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156"/>
        <w:ind w:left="22" w:hanging="22" w:hangingChars="5"/>
        <w:jc w:val="center"/>
        <w:rPr>
          <w:rFonts w:ascii="黑体" w:hAnsi="黑体" w:eastAsia="黑体" w:cs="黑体"/>
          <w:bCs/>
          <w:color w:val="000000" w:themeColor="text1"/>
          <w:sz w:val="44"/>
          <w:szCs w:val="44"/>
          <w:highlight w:val="none"/>
          <w14:textFill>
            <w14:solidFill>
              <w14:schemeClr w14:val="tx1"/>
            </w14:solidFill>
          </w14:textFill>
        </w:rPr>
      </w:pPr>
      <w:r>
        <w:rPr>
          <w:rFonts w:hint="eastAsia" w:ascii="黑体" w:hAnsi="黑体" w:eastAsia="黑体" w:cs="黑体"/>
          <w:bCs/>
          <w:color w:val="000000" w:themeColor="text1"/>
          <w:sz w:val="44"/>
          <w:szCs w:val="44"/>
          <w:highlight w:val="none"/>
          <w14:textFill>
            <w14:solidFill>
              <w14:schemeClr w14:val="tx1"/>
            </w14:solidFill>
          </w14:textFill>
        </w:rPr>
        <w:t>广州浪奇化工厂地块二(A)及广州浪奇化工厂地块二(B)土壤污染修复工程施工项目</w:t>
      </w:r>
    </w:p>
    <w:p>
      <w:pPr>
        <w:pStyle w:val="15"/>
        <w:rPr>
          <w:rFonts w:ascii="黑体" w:hAnsi="黑体" w:eastAsia="黑体" w:cs="黑体"/>
          <w:bCs/>
          <w:color w:val="000000" w:themeColor="text1"/>
          <w:sz w:val="44"/>
          <w:szCs w:val="44"/>
          <w:highlight w:val="none"/>
          <w14:textFill>
            <w14:solidFill>
              <w14:schemeClr w14:val="tx1"/>
            </w14:solidFill>
          </w14:textFill>
        </w:rPr>
      </w:pPr>
      <w:r>
        <w:rPr>
          <w:rFonts w:hint="eastAsia" w:ascii="黑体" w:hAnsi="黑体" w:eastAsia="黑体" w:cs="黑体"/>
          <w:bCs/>
          <w:color w:val="000000" w:themeColor="text1"/>
          <w:sz w:val="44"/>
          <w:szCs w:val="44"/>
          <w:highlight w:val="none"/>
          <w14:textFill>
            <w14:solidFill>
              <w14:schemeClr w14:val="tx1"/>
            </w14:solidFill>
          </w14:textFill>
        </w:rPr>
        <w:t>施工合同</w:t>
      </w:r>
    </w:p>
    <w:p>
      <w:pPr>
        <w:spacing w:before="156"/>
        <w:ind w:left="460" w:firstLine="640"/>
        <w:rPr>
          <w:rFonts w:ascii="仿宋_GB2312" w:hAnsi="黑体" w:eastAsia="仿宋_GB2312"/>
          <w:color w:val="000000" w:themeColor="text1"/>
          <w:sz w:val="32"/>
          <w:szCs w:val="32"/>
          <w:highlight w:val="none"/>
          <w14:textFill>
            <w14:solidFill>
              <w14:schemeClr w14:val="tx1"/>
            </w14:solidFill>
          </w14:textFill>
        </w:rPr>
      </w:pPr>
    </w:p>
    <w:p>
      <w:pPr>
        <w:spacing w:before="156"/>
        <w:ind w:left="460" w:firstLine="640"/>
        <w:rPr>
          <w:rFonts w:ascii="仿宋_GB2312" w:hAnsi="黑体" w:eastAsia="仿宋_GB2312"/>
          <w:color w:val="000000" w:themeColor="text1"/>
          <w:sz w:val="32"/>
          <w:szCs w:val="32"/>
          <w:highlight w:val="none"/>
          <w14:textFill>
            <w14:solidFill>
              <w14:schemeClr w14:val="tx1"/>
            </w14:solidFill>
          </w14:textFill>
        </w:rPr>
      </w:pPr>
      <w:bookmarkStart w:id="11" w:name="_GoBack"/>
      <w:bookmarkEnd w:id="11"/>
    </w:p>
    <w:p>
      <w:pPr>
        <w:spacing w:before="156"/>
        <w:ind w:left="460" w:firstLine="640"/>
        <w:rPr>
          <w:rFonts w:ascii="仿宋_GB2312" w:hAnsi="黑体" w:eastAsia="仿宋_GB2312"/>
          <w:color w:val="000000" w:themeColor="text1"/>
          <w:sz w:val="32"/>
          <w:szCs w:val="32"/>
          <w:highlight w:val="none"/>
          <w14:textFill>
            <w14:solidFill>
              <w14:schemeClr w14:val="tx1"/>
            </w14:solidFill>
          </w14:textFill>
        </w:rPr>
      </w:pPr>
    </w:p>
    <w:p>
      <w:pPr>
        <w:pStyle w:val="2"/>
        <w:rPr>
          <w:rFonts w:ascii="仿宋_GB2312" w:hAnsi="黑体" w:eastAsia="仿宋_GB2312"/>
          <w:color w:val="000000" w:themeColor="text1"/>
          <w:sz w:val="32"/>
          <w:szCs w:val="32"/>
          <w:highlight w:val="none"/>
          <w14:textFill>
            <w14:solidFill>
              <w14:schemeClr w14:val="tx1"/>
            </w14:solidFill>
          </w14:textFill>
        </w:rPr>
      </w:pPr>
    </w:p>
    <w:p>
      <w:pPr>
        <w:pStyle w:val="2"/>
        <w:rPr>
          <w:rFonts w:ascii="仿宋_GB2312" w:hAnsi="黑体" w:eastAsia="仿宋_GB2312"/>
          <w:color w:val="000000" w:themeColor="text1"/>
          <w:sz w:val="32"/>
          <w:szCs w:val="32"/>
          <w:highlight w:val="none"/>
          <w14:textFill>
            <w14:solidFill>
              <w14:schemeClr w14:val="tx1"/>
            </w14:solidFill>
          </w14:textFill>
        </w:rPr>
      </w:pPr>
    </w:p>
    <w:p>
      <w:pPr>
        <w:pStyle w:val="2"/>
        <w:rPr>
          <w:rFonts w:ascii="仿宋_GB2312" w:hAnsi="黑体" w:eastAsia="仿宋_GB2312"/>
          <w:color w:val="000000" w:themeColor="text1"/>
          <w:sz w:val="32"/>
          <w:szCs w:val="32"/>
          <w:highlight w:val="none"/>
          <w14:textFill>
            <w14:solidFill>
              <w14:schemeClr w14:val="tx1"/>
            </w14:solidFill>
          </w14:textFill>
        </w:rPr>
      </w:pPr>
    </w:p>
    <w:p>
      <w:pPr>
        <w:pStyle w:val="2"/>
        <w:rPr>
          <w:rFonts w:ascii="仿宋_GB2312" w:hAnsi="黑体" w:eastAsia="仿宋_GB2312"/>
          <w:color w:val="000000" w:themeColor="text1"/>
          <w:sz w:val="32"/>
          <w:szCs w:val="32"/>
          <w:highlight w:val="none"/>
          <w14:textFill>
            <w14:solidFill>
              <w14:schemeClr w14:val="tx1"/>
            </w14:solidFill>
          </w14:textFill>
        </w:rPr>
      </w:pPr>
    </w:p>
    <w:p>
      <w:pPr>
        <w:pStyle w:val="2"/>
        <w:rPr>
          <w:rFonts w:ascii="仿宋_GB2312" w:hAnsi="黑体" w:eastAsia="仿宋_GB2312"/>
          <w:color w:val="000000" w:themeColor="text1"/>
          <w:sz w:val="32"/>
          <w:szCs w:val="32"/>
          <w:highlight w:val="none"/>
          <w14:textFill>
            <w14:solidFill>
              <w14:schemeClr w14:val="tx1"/>
            </w14:solidFill>
          </w14:textFill>
        </w:rPr>
      </w:pPr>
    </w:p>
    <w:p>
      <w:pPr>
        <w:pStyle w:val="2"/>
        <w:rPr>
          <w:rFonts w:ascii="仿宋_GB2312" w:hAnsi="黑体" w:eastAsia="仿宋_GB2312"/>
          <w:color w:val="000000" w:themeColor="text1"/>
          <w:sz w:val="32"/>
          <w:szCs w:val="32"/>
          <w:highlight w:val="none"/>
          <w14:textFill>
            <w14:solidFill>
              <w14:schemeClr w14:val="tx1"/>
            </w14:solidFill>
          </w14:textFill>
        </w:rPr>
      </w:pPr>
    </w:p>
    <w:p>
      <w:pPr>
        <w:pStyle w:val="2"/>
        <w:rPr>
          <w:rFonts w:ascii="仿宋_GB2312" w:hAnsi="黑体" w:eastAsia="仿宋_GB2312"/>
          <w:color w:val="000000" w:themeColor="text1"/>
          <w:sz w:val="32"/>
          <w:szCs w:val="32"/>
          <w:highlight w:val="none"/>
          <w14:textFill>
            <w14:solidFill>
              <w14:schemeClr w14:val="tx1"/>
            </w14:solidFill>
          </w14:textFill>
        </w:rPr>
      </w:pPr>
    </w:p>
    <w:p>
      <w:pPr>
        <w:spacing w:before="156"/>
        <w:ind w:left="460" w:firstLine="640"/>
        <w:rPr>
          <w:rFonts w:ascii="仿宋_GB2312" w:hAnsi="宋体" w:eastAsia="仿宋_GB2312" w:cs="宋体"/>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14:textFill>
            <w14:solidFill>
              <w14:schemeClr w14:val="tx1"/>
            </w14:solidFill>
          </w14:textFill>
        </w:rPr>
        <w:t>发包人</w:t>
      </w:r>
      <w:r>
        <w:rPr>
          <w:rFonts w:hint="eastAsia" w:ascii="仿宋_GB2312" w:hAnsi="宋体" w:eastAsia="仿宋_GB2312" w:cs="宋体"/>
          <w:color w:val="000000" w:themeColor="text1"/>
          <w:sz w:val="32"/>
          <w:szCs w:val="32"/>
          <w:highlight w:val="none"/>
          <w14:textFill>
            <w14:solidFill>
              <w14:schemeClr w14:val="tx1"/>
            </w14:solidFill>
          </w14:textFill>
        </w:rPr>
        <w:t>：</w:t>
      </w:r>
      <w:r>
        <w:rPr>
          <w:rFonts w:hint="eastAsia" w:ascii="仿宋_GB2312" w:hAnsi="黑体" w:eastAsia="仿宋_GB2312"/>
          <w:color w:val="000000" w:themeColor="text1"/>
          <w:sz w:val="32"/>
          <w:szCs w:val="32"/>
          <w:highlight w:val="none"/>
          <w14:textFill>
            <w14:solidFill>
              <w14:schemeClr w14:val="tx1"/>
            </w14:solidFill>
          </w14:textFill>
        </w:rPr>
        <w:t xml:space="preserve">  </w:t>
      </w:r>
    </w:p>
    <w:p>
      <w:pPr>
        <w:spacing w:before="156"/>
        <w:ind w:left="460" w:firstLine="640"/>
        <w:rPr>
          <w:rFonts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14:textFill>
            <w14:solidFill>
              <w14:schemeClr w14:val="tx1"/>
            </w14:solidFill>
          </w14:textFill>
        </w:rPr>
        <w:t>承包人：</w:t>
      </w:r>
    </w:p>
    <w:p>
      <w:pPr>
        <w:pStyle w:val="15"/>
        <w:rPr>
          <w:rFonts w:ascii="仿宋_GB2312" w:hAnsi="黑体" w:eastAsia="仿宋_GB2312"/>
          <w:color w:val="000000" w:themeColor="text1"/>
          <w:sz w:val="32"/>
          <w:szCs w:val="32"/>
          <w:highlight w:val="none"/>
          <w14:textFill>
            <w14:solidFill>
              <w14:schemeClr w14:val="tx1"/>
            </w14:solidFill>
          </w14:textFill>
        </w:rPr>
      </w:pPr>
    </w:p>
    <w:p>
      <w:pPr>
        <w:pStyle w:val="15"/>
        <w:rPr>
          <w:rFonts w:ascii="仿宋_GB2312" w:hAnsi="黑体" w:eastAsia="仿宋_GB2312"/>
          <w:color w:val="000000" w:themeColor="text1"/>
          <w:sz w:val="32"/>
          <w:szCs w:val="32"/>
          <w:highlight w:val="none"/>
          <w14:textFill>
            <w14:solidFill>
              <w14:schemeClr w14:val="tx1"/>
            </w14:solidFill>
          </w14:textFill>
        </w:rPr>
      </w:pPr>
    </w:p>
    <w:p>
      <w:pPr>
        <w:pStyle w:val="10"/>
        <w:spacing w:before="156"/>
        <w:ind w:left="0" w:firstLine="1280" w:firstLineChars="400"/>
        <w:rPr>
          <w:rFonts w:ascii="仿宋_GB2312" w:hAnsi="宋体" w:eastAsia="仿宋_GB2312"/>
          <w:color w:val="000000" w:themeColor="text1"/>
          <w:sz w:val="32"/>
          <w:szCs w:val="32"/>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r>
        <w:rPr>
          <w:rFonts w:hint="eastAsia" w:ascii="仿宋_GB2312" w:hAnsi="黑体" w:eastAsia="仿宋_GB2312"/>
          <w:color w:val="000000" w:themeColor="text1"/>
          <w:sz w:val="32"/>
          <w:szCs w:val="32"/>
          <w:highlight w:val="none"/>
          <w14:textFill>
            <w14:solidFill>
              <w14:schemeClr w14:val="tx1"/>
            </w14:solidFill>
          </w14:textFill>
        </w:rPr>
        <w:t>签</w:t>
      </w:r>
      <w:r>
        <w:rPr>
          <w:rFonts w:ascii="仿宋_GB2312" w:hAnsi="黑体" w:eastAsia="仿宋_GB2312"/>
          <w:color w:val="000000" w:themeColor="text1"/>
          <w:sz w:val="32"/>
          <w:szCs w:val="32"/>
          <w:highlight w:val="none"/>
          <w14:textFill>
            <w14:solidFill>
              <w14:schemeClr w14:val="tx1"/>
            </w14:solidFill>
          </w14:textFill>
        </w:rPr>
        <w:t xml:space="preserve">  </w:t>
      </w:r>
      <w:r>
        <w:rPr>
          <w:rFonts w:hint="eastAsia" w:ascii="仿宋_GB2312" w:hAnsi="黑体" w:eastAsia="仿宋_GB2312"/>
          <w:color w:val="000000" w:themeColor="text1"/>
          <w:sz w:val="32"/>
          <w:szCs w:val="32"/>
          <w:highlight w:val="none"/>
          <w14:textFill>
            <w14:solidFill>
              <w14:schemeClr w14:val="tx1"/>
            </w14:solidFill>
          </w14:textFill>
        </w:rPr>
        <w:t>订</w:t>
      </w:r>
      <w:r>
        <w:rPr>
          <w:rFonts w:ascii="仿宋_GB2312" w:hAnsi="黑体" w:eastAsia="仿宋_GB2312"/>
          <w:color w:val="000000" w:themeColor="text1"/>
          <w:sz w:val="32"/>
          <w:szCs w:val="32"/>
          <w:highlight w:val="none"/>
          <w14:textFill>
            <w14:solidFill>
              <w14:schemeClr w14:val="tx1"/>
            </w14:solidFill>
          </w14:textFill>
        </w:rPr>
        <w:t xml:space="preserve">  </w:t>
      </w:r>
      <w:r>
        <w:rPr>
          <w:rFonts w:hint="eastAsia" w:ascii="仿宋_GB2312" w:hAnsi="黑体" w:eastAsia="仿宋_GB2312"/>
          <w:color w:val="000000" w:themeColor="text1"/>
          <w:sz w:val="32"/>
          <w:szCs w:val="32"/>
          <w:highlight w:val="none"/>
          <w14:textFill>
            <w14:solidFill>
              <w14:schemeClr w14:val="tx1"/>
            </w14:solidFill>
          </w14:textFill>
        </w:rPr>
        <w:t>日</w:t>
      </w:r>
      <w:r>
        <w:rPr>
          <w:rFonts w:ascii="仿宋_GB2312" w:hAnsi="黑体" w:eastAsia="仿宋_GB2312"/>
          <w:color w:val="000000" w:themeColor="text1"/>
          <w:sz w:val="32"/>
          <w:szCs w:val="32"/>
          <w:highlight w:val="none"/>
          <w14:textFill>
            <w14:solidFill>
              <w14:schemeClr w14:val="tx1"/>
            </w14:solidFill>
          </w14:textFill>
        </w:rPr>
        <w:t xml:space="preserve">  </w:t>
      </w:r>
      <w:r>
        <w:rPr>
          <w:rFonts w:hint="eastAsia" w:ascii="仿宋_GB2312" w:hAnsi="黑体" w:eastAsia="仿宋_GB2312"/>
          <w:color w:val="000000" w:themeColor="text1"/>
          <w:sz w:val="32"/>
          <w:szCs w:val="32"/>
          <w:highlight w:val="none"/>
          <w14:textFill>
            <w14:solidFill>
              <w14:schemeClr w14:val="tx1"/>
            </w14:solidFill>
          </w14:textFill>
        </w:rPr>
        <w:t>期：</w:t>
      </w:r>
      <w:r>
        <w:rPr>
          <w:rFonts w:ascii="仿宋_GB2312" w:hAnsi="黑体" w:eastAsia="仿宋_GB2312"/>
          <w:color w:val="000000" w:themeColor="text1"/>
          <w:sz w:val="32"/>
          <w:szCs w:val="32"/>
          <w:highlight w:val="none"/>
          <w14:textFill>
            <w14:solidFill>
              <w14:schemeClr w14:val="tx1"/>
            </w14:solidFill>
          </w14:textFill>
        </w:rPr>
        <w:t>202</w:t>
      </w:r>
      <w:r>
        <w:rPr>
          <w:rFonts w:hint="eastAsia" w:ascii="仿宋_GB2312" w:hAnsi="黑体" w:eastAsia="仿宋_GB2312"/>
          <w:color w:val="000000" w:themeColor="text1"/>
          <w:sz w:val="32"/>
          <w:szCs w:val="32"/>
          <w:highlight w:val="none"/>
          <w14:textFill>
            <w14:solidFill>
              <w14:schemeClr w14:val="tx1"/>
            </w14:solidFill>
          </w14:textFill>
        </w:rPr>
        <w:t>5年  月</w:t>
      </w:r>
      <w:r>
        <w:rPr>
          <w:rFonts w:ascii="仿宋_GB2312" w:hAnsi="黑体" w:eastAsia="仿宋_GB2312"/>
          <w:color w:val="000000" w:themeColor="text1"/>
          <w:sz w:val="32"/>
          <w:szCs w:val="32"/>
          <w:highlight w:val="none"/>
          <w14:textFill>
            <w14:solidFill>
              <w14:schemeClr w14:val="tx1"/>
            </w14:solidFill>
          </w14:textFill>
        </w:rPr>
        <w:t xml:space="preserve">  </w:t>
      </w:r>
    </w:p>
    <w:p>
      <w:pPr>
        <w:autoSpaceDE w:val="0"/>
        <w:snapToGrid w:val="0"/>
        <w:spacing w:before="156"/>
        <w:ind w:right="266" w:firstLine="0" w:firstLineChars="0"/>
        <w:rPr>
          <w:rFonts w:ascii="仿宋" w:hAnsi="仿宋" w:eastAsia="仿宋" w:cs="仿宋"/>
          <w:color w:val="000000" w:themeColor="text1"/>
          <w:highlight w:val="none"/>
          <w:u w:val="single"/>
          <w14:textFill>
            <w14:solidFill>
              <w14:schemeClr w14:val="tx1"/>
            </w14:solidFill>
          </w14:textFill>
        </w:rPr>
      </w:pPr>
      <w:bookmarkStart w:id="0" w:name="_Toc4890"/>
      <w:bookmarkStart w:id="1" w:name="_Toc553"/>
      <w:r>
        <w:rPr>
          <w:rFonts w:hint="eastAsia" w:ascii="仿宋" w:hAnsi="仿宋" w:eastAsia="仿宋" w:cs="仿宋"/>
          <w:color w:val="000000" w:themeColor="text1"/>
          <w:highlight w:val="none"/>
          <w14:textFill>
            <w14:solidFill>
              <w14:schemeClr w14:val="tx1"/>
            </w14:solidFill>
          </w14:textFill>
        </w:rPr>
        <w:t>发包人：</w:t>
      </w:r>
      <w:r>
        <w:rPr>
          <w:rFonts w:hint="eastAsia" w:ascii="仿宋" w:hAnsi="仿宋" w:eastAsia="仿宋" w:cs="仿宋"/>
          <w:color w:val="000000" w:themeColor="text1"/>
          <w:highlight w:val="none"/>
          <w:u w:val="single"/>
          <w14:textFill>
            <w14:solidFill>
              <w14:schemeClr w14:val="tx1"/>
            </w14:solidFill>
          </w14:textFill>
        </w:rPr>
        <w:t xml:space="preserve">                                   </w:t>
      </w:r>
    </w:p>
    <w:p>
      <w:pPr>
        <w:autoSpaceDE w:val="0"/>
        <w:snapToGrid w:val="0"/>
        <w:spacing w:before="156"/>
        <w:ind w:right="266" w:firstLine="0" w:firstLineChars="0"/>
        <w:rPr>
          <w:rFonts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承包人：</w:t>
      </w:r>
      <w:r>
        <w:rPr>
          <w:rFonts w:hint="eastAsia" w:ascii="仿宋" w:hAnsi="仿宋" w:eastAsia="仿宋" w:cs="仿宋"/>
          <w:color w:val="000000" w:themeColor="text1"/>
          <w:highlight w:val="none"/>
          <w:u w:val="single"/>
          <w14:textFill>
            <w14:solidFill>
              <w14:schemeClr w14:val="tx1"/>
            </w14:solidFill>
          </w14:textFill>
        </w:rPr>
        <w:t xml:space="preserve">                                  </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鉴于：发包人负责</w:t>
      </w:r>
      <w:r>
        <w:rPr>
          <w:rFonts w:hint="eastAsia" w:ascii="仿宋" w:hAnsi="仿宋" w:eastAsia="仿宋" w:cs="仿宋"/>
          <w:color w:val="000000" w:themeColor="text1"/>
          <w:highlight w:val="none"/>
          <w:u w:val="single"/>
          <w14:textFill>
            <w14:solidFill>
              <w14:schemeClr w14:val="tx1"/>
            </w14:solidFill>
          </w14:textFill>
        </w:rPr>
        <w:t xml:space="preserve">  广州浪奇化工厂地块二(A)及广州浪奇化工厂地块二(B)</w:t>
      </w:r>
      <w:r>
        <w:rPr>
          <w:rFonts w:hint="eastAsia" w:ascii="仿宋" w:hAnsi="仿宋" w:eastAsia="仿宋" w:cs="仿宋"/>
          <w:color w:val="000000" w:themeColor="text1"/>
          <w:highlight w:val="none"/>
          <w14:textFill>
            <w14:solidFill>
              <w14:schemeClr w14:val="tx1"/>
            </w14:solidFill>
          </w14:textFill>
        </w:rPr>
        <w:t>开发盘活工作。按照有关工作推进计划，发包人开展</w:t>
      </w:r>
      <w:r>
        <w:rPr>
          <w:rFonts w:hint="eastAsia" w:ascii="仿宋" w:hAnsi="仿宋" w:eastAsia="仿宋" w:cs="仿宋"/>
          <w:color w:val="000000" w:themeColor="text1"/>
          <w:highlight w:val="none"/>
          <w:u w:val="single"/>
          <w14:textFill>
            <w14:solidFill>
              <w14:schemeClr w14:val="tx1"/>
            </w14:solidFill>
          </w14:textFill>
        </w:rPr>
        <w:t xml:space="preserve"> 广州浪奇化工厂地块二(A)及广州浪奇化工厂地块二(B)土壤污染修复工程，</w:t>
      </w:r>
      <w:r>
        <w:rPr>
          <w:rFonts w:hint="eastAsia" w:ascii="仿宋" w:hAnsi="仿宋" w:eastAsia="仿宋" w:cs="仿宋"/>
          <w:color w:val="000000" w:themeColor="text1"/>
          <w:highlight w:val="none"/>
          <w14:textFill>
            <w14:solidFill>
              <w14:schemeClr w14:val="tx1"/>
            </w14:solidFill>
          </w14:textFill>
        </w:rPr>
        <w:t>作为招标人组织实施。合同由发包人、承包人共同签订。发包人将按照实际工程进度及阶段性完成的原则，按照相关财务制度向承包人收取合法凭证后，根据合同约定将款项拨付至承包人的指定账号。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为配合和推进</w:t>
      </w:r>
      <w:r>
        <w:rPr>
          <w:rFonts w:hint="eastAsia" w:ascii="仿宋" w:hAnsi="仿宋" w:eastAsia="仿宋" w:cs="仿宋"/>
          <w:color w:val="000000" w:themeColor="text1"/>
          <w:highlight w:val="none"/>
          <w:u w:val="single"/>
          <w14:textFill>
            <w14:solidFill>
              <w14:schemeClr w14:val="tx1"/>
            </w14:solidFill>
          </w14:textFill>
        </w:rPr>
        <w:t xml:space="preserve"> 广州浪奇化工厂地块二(A)</w:t>
      </w:r>
      <w:r>
        <w:rPr>
          <w:rFonts w:hint="eastAsia" w:ascii="仿宋" w:hAnsi="仿宋" w:eastAsia="仿宋" w:cs="仿宋"/>
          <w:color w:val="000000" w:themeColor="text1"/>
          <w:highlight w:val="none"/>
          <w14:textFill>
            <w14:solidFill>
              <w14:schemeClr w14:val="tx1"/>
            </w14:solidFill>
          </w14:textFill>
        </w:rPr>
        <w:t>及</w:t>
      </w:r>
      <w:r>
        <w:rPr>
          <w:rFonts w:hint="eastAsia" w:ascii="仿宋" w:hAnsi="仿宋" w:eastAsia="仿宋" w:cs="仿宋"/>
          <w:color w:val="000000" w:themeColor="text1"/>
          <w:highlight w:val="none"/>
          <w:u w:val="single"/>
          <w14:textFill>
            <w14:solidFill>
              <w14:schemeClr w14:val="tx1"/>
            </w14:solidFill>
          </w14:textFill>
        </w:rPr>
        <w:t>广州浪奇化工厂地块二(B)土壤污染修复工程</w:t>
      </w:r>
      <w:r>
        <w:rPr>
          <w:rFonts w:hint="eastAsia" w:ascii="仿宋" w:hAnsi="仿宋" w:eastAsia="仿宋" w:cs="仿宋"/>
          <w:color w:val="000000" w:themeColor="text1"/>
          <w:highlight w:val="none"/>
          <w14:textFill>
            <w14:solidFill>
              <w14:schemeClr w14:val="tx1"/>
            </w14:solidFill>
          </w14:textFill>
        </w:rPr>
        <w:t>施工工作，发包人决定委托承包人实施</w:t>
      </w:r>
      <w:r>
        <w:rPr>
          <w:rFonts w:hint="eastAsia" w:ascii="仿宋" w:hAnsi="仿宋" w:eastAsia="仿宋" w:cs="仿宋"/>
          <w:color w:val="000000" w:themeColor="text1"/>
          <w:highlight w:val="none"/>
          <w:u w:val="single"/>
          <w14:textFill>
            <w14:solidFill>
              <w14:schemeClr w14:val="tx1"/>
            </w14:solidFill>
          </w14:textFill>
        </w:rPr>
        <w:t xml:space="preserve">  广州浪奇化工厂地块二(A)</w:t>
      </w:r>
      <w:r>
        <w:rPr>
          <w:rFonts w:hint="eastAsia" w:ascii="仿宋" w:hAnsi="仿宋" w:eastAsia="仿宋" w:cs="仿宋"/>
          <w:color w:val="000000" w:themeColor="text1"/>
          <w:highlight w:val="none"/>
          <w14:textFill>
            <w14:solidFill>
              <w14:schemeClr w14:val="tx1"/>
            </w14:solidFill>
          </w14:textFill>
        </w:rPr>
        <w:t>及</w:t>
      </w:r>
      <w:r>
        <w:rPr>
          <w:rFonts w:hint="eastAsia" w:ascii="仿宋" w:hAnsi="仿宋" w:eastAsia="仿宋" w:cs="仿宋"/>
          <w:color w:val="000000" w:themeColor="text1"/>
          <w:highlight w:val="none"/>
          <w:u w:val="single"/>
          <w14:textFill>
            <w14:solidFill>
              <w14:schemeClr w14:val="tx1"/>
            </w14:solidFill>
          </w14:textFill>
        </w:rPr>
        <w:t>广州浪奇化工厂地块二(B)土壤污染修复工程</w:t>
      </w:r>
      <w:r>
        <w:rPr>
          <w:rFonts w:hint="eastAsia" w:ascii="仿宋" w:hAnsi="仿宋" w:eastAsia="仿宋" w:cs="仿宋"/>
          <w:color w:val="000000" w:themeColor="text1"/>
          <w:highlight w:val="none"/>
          <w14:textFill>
            <w14:solidFill>
              <w14:schemeClr w14:val="tx1"/>
            </w14:solidFill>
          </w14:textFill>
        </w:rPr>
        <w:t>施工项目。依据《中华人民共和国民法典》及有关法律法规规定，结合本项目的具体情况，为明确责任、协作配合，经双方协商一致，签订本合同，共同遵守。</w:t>
      </w:r>
    </w:p>
    <w:p>
      <w:pPr>
        <w:pStyle w:val="11"/>
        <w:snapToGrid w:val="0"/>
        <w:spacing w:before="156" w:line="360" w:lineRule="auto"/>
        <w:ind w:firstLine="482"/>
        <w:jc w:val="left"/>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第一条  工程概况及内容</w:t>
      </w:r>
    </w:p>
    <w:p>
      <w:pPr>
        <w:autoSpaceDE w:val="0"/>
        <w:snapToGrid w:val="0"/>
        <w:spacing w:before="156"/>
        <w:ind w:firstLine="480"/>
        <w:outlineLvl w:val="1"/>
        <w:rPr>
          <w:rFonts w:ascii="仿宋" w:hAnsi="仿宋" w:eastAsia="仿宋" w:cs="仿宋"/>
          <w:color w:val="000000" w:themeColor="text1"/>
          <w:highlight w:val="none"/>
          <w:u w:val="single"/>
          <w14:textFill>
            <w14:solidFill>
              <w14:schemeClr w14:val="tx1"/>
            </w14:solidFill>
          </w14:textFill>
        </w:rPr>
      </w:pPr>
      <w:bookmarkStart w:id="2" w:name="_Toc4517"/>
      <w:r>
        <w:rPr>
          <w:rFonts w:hint="eastAsia" w:ascii="仿宋" w:hAnsi="仿宋" w:eastAsia="仿宋" w:cs="仿宋"/>
          <w:color w:val="000000" w:themeColor="text1"/>
          <w:highlight w:val="none"/>
          <w14:textFill>
            <w14:solidFill>
              <w14:schemeClr w14:val="tx1"/>
            </w14:solidFill>
          </w14:textFill>
        </w:rPr>
        <w:t>1.1工程概况</w:t>
      </w:r>
      <w:bookmarkEnd w:id="2"/>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_GB2312" w:hAnsi="宋体" w:eastAsia="仿宋_GB2312"/>
          <w:color w:val="000000" w:themeColor="text1"/>
          <w:highlight w:val="none"/>
          <w:u w:val="single"/>
          <w14:textFill>
            <w14:solidFill>
              <w14:schemeClr w14:val="tx1"/>
            </w14:solidFill>
          </w14:textFill>
        </w:rPr>
        <w:t xml:space="preserve">      /        </w:t>
      </w:r>
    </w:p>
    <w:p>
      <w:pPr>
        <w:autoSpaceDE w:val="0"/>
        <w:snapToGrid w:val="0"/>
        <w:spacing w:before="156"/>
        <w:ind w:firstLine="480"/>
        <w:outlineLvl w:val="1"/>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1.1.1工程名称：</w:t>
      </w:r>
      <w:r>
        <w:rPr>
          <w:rFonts w:hint="eastAsia" w:ascii="仿宋" w:hAnsi="仿宋" w:eastAsia="仿宋" w:cs="仿宋"/>
          <w:color w:val="000000" w:themeColor="text1"/>
          <w:highlight w:val="none"/>
          <w:u w:val="single"/>
          <w14:textFill>
            <w14:solidFill>
              <w14:schemeClr w14:val="tx1"/>
            </w14:solidFill>
          </w14:textFill>
        </w:rPr>
        <w:t xml:space="preserve"> 广州浪奇化工厂地块二(A)及广州浪奇化工厂地块二(B)土壤污染修复工程项目（以下简称“本项目”）。</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1.1.2工程地点：</w:t>
      </w:r>
      <w:r>
        <w:rPr>
          <w:rFonts w:hint="eastAsia" w:ascii="仿宋" w:hAnsi="仿宋" w:eastAsia="仿宋" w:cs="仿宋"/>
          <w:color w:val="000000" w:themeColor="text1"/>
          <w:highlight w:val="none"/>
          <w:u w:val="single"/>
          <w14:textFill>
            <w14:solidFill>
              <w14:schemeClr w14:val="tx1"/>
            </w14:solidFill>
          </w14:textFill>
        </w:rPr>
        <w:t>广州市</w:t>
      </w:r>
      <w:r>
        <w:rPr>
          <w:rFonts w:hint="eastAsia" w:ascii="仿宋" w:hAnsi="仿宋" w:eastAsia="仿宋" w:cs="仿宋"/>
          <w:bCs/>
          <w:color w:val="000000" w:themeColor="text1"/>
          <w:highlight w:val="none"/>
          <w:u w:val="single"/>
          <w14:textFill>
            <w14:solidFill>
              <w14:schemeClr w14:val="tx1"/>
            </w14:solidFill>
          </w14:textFill>
        </w:rPr>
        <w:t>金融城东区，黄埔大道东128号</w:t>
      </w:r>
    </w:p>
    <w:p>
      <w:pPr>
        <w:autoSpaceDE w:val="0"/>
        <w:snapToGrid w:val="0"/>
        <w:spacing w:before="156"/>
        <w:ind w:firstLine="480"/>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1.1.3工程规模：</w:t>
      </w:r>
      <w:r>
        <w:rPr>
          <w:rFonts w:hint="eastAsia" w:ascii="仿宋" w:hAnsi="仿宋" w:eastAsia="仿宋" w:cs="仿宋"/>
          <w:color w:val="000000" w:themeColor="text1"/>
          <w:highlight w:val="none"/>
          <w:u w:val="single"/>
          <w14:textFill>
            <w14:solidFill>
              <w14:schemeClr w14:val="tx1"/>
            </w14:solidFill>
          </w14:textFill>
        </w:rPr>
        <w:t>广州浪奇化工厂地块二(A)需要处理的污染土堆约10595.37m</w:t>
      </w:r>
      <w:r>
        <w:rPr>
          <w:rFonts w:hint="eastAsia" w:ascii="仿宋" w:hAnsi="仿宋" w:eastAsia="仿宋" w:cs="仿宋"/>
          <w:color w:val="000000" w:themeColor="text1"/>
          <w:highlight w:val="none"/>
          <w:u w:val="single"/>
          <w:vertAlign w:val="superscript"/>
          <w14:textFill>
            <w14:solidFill>
              <w14:schemeClr w14:val="tx1"/>
            </w14:solidFill>
          </w14:textFill>
        </w:rPr>
        <w:t>3</w:t>
      </w:r>
      <w:r>
        <w:rPr>
          <w:rFonts w:hint="eastAsia" w:ascii="仿宋" w:hAnsi="仿宋" w:eastAsia="仿宋" w:cs="仿宋"/>
          <w:color w:val="000000" w:themeColor="text1"/>
          <w:highlight w:val="none"/>
          <w:u w:val="single"/>
          <w14:textFill>
            <w14:solidFill>
              <w14:schemeClr w14:val="tx1"/>
            </w14:solidFill>
          </w14:textFill>
        </w:rPr>
        <w:t>(包括本地块剩余污染土6429.53m</w:t>
      </w:r>
      <w:r>
        <w:rPr>
          <w:rFonts w:hint="eastAsia" w:ascii="仿宋" w:hAnsi="仿宋" w:eastAsia="仿宋" w:cs="仿宋"/>
          <w:color w:val="000000" w:themeColor="text1"/>
          <w:highlight w:val="none"/>
          <w:u w:val="single"/>
          <w:vertAlign w:val="superscript"/>
          <w14:textFill>
            <w14:solidFill>
              <w14:schemeClr w14:val="tx1"/>
            </w14:solidFill>
          </w14:textFill>
        </w:rPr>
        <w:t>3</w:t>
      </w:r>
      <w:r>
        <w:rPr>
          <w:rFonts w:hint="eastAsia" w:ascii="仿宋" w:hAnsi="仿宋" w:eastAsia="仿宋" w:cs="仿宋"/>
          <w:color w:val="000000" w:themeColor="text1"/>
          <w:highlight w:val="none"/>
          <w:u w:val="single"/>
          <w14:textFill>
            <w14:solidFill>
              <w14:schemeClr w14:val="tx1"/>
            </w14:solidFill>
          </w14:textFill>
        </w:rPr>
        <w:t>和其他地块暂存的污染土4165.84</w:t>
      </w:r>
      <w:r>
        <w:rPr>
          <w:color w:val="000000" w:themeColor="text1"/>
          <w:highlight w:val="none"/>
          <w14:textFill>
            <w14:solidFill>
              <w14:schemeClr w14:val="tx1"/>
            </w14:solidFill>
          </w14:textFill>
        </w:rPr>
        <w:t>m</w:t>
      </w:r>
      <w:r>
        <w:rPr>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u w:val="single"/>
          <w14:textFill>
            <w14:solidFill>
              <w14:schemeClr w14:val="tx1"/>
            </w14:solidFill>
          </w14:textFill>
        </w:rPr>
        <w:t>；环境管理土壤工程量约1644.5m³；高臭味强度土壤约24083m³，低臭味强度土壤约56083m³；废水处理工程量约12729.85m³；基坑支护施工；危废堆体约420.99m³，化学氧化后处置后堆土约10039.02m³，热脱附处置后堆土约4625.27m³，疑似污染土约5033.15m³，清洁土约9172.49m³，具体以备案方案为准。</w:t>
      </w:r>
    </w:p>
    <w:p>
      <w:pPr>
        <w:autoSpaceDE w:val="0"/>
        <w:snapToGrid w:val="0"/>
        <w:spacing w:before="156"/>
        <w:ind w:firstLine="480"/>
        <w:outlineLvl w:val="1"/>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广州浪奇化工厂地块二(B)需要清挖处置的土壤工程量约 8420.5m³(包括石油烃(C10-C40)污染土工程量约5967.1m³，镍污染土工程量约2453.4m³，含镍危废土壤工程量约 118.62m³);环境管理土壤工程量约5387.25m³:高臭味强度土壤约20461.73m³,低臭味强度土壤约39010.25m³,废水处理工程量约26812.65m³基坑支护施工，清洁土约53000m³，具体以备案方案为准。</w:t>
      </w:r>
      <w:bookmarkStart w:id="3" w:name="_Toc14940"/>
    </w:p>
    <w:p>
      <w:pPr>
        <w:autoSpaceDE w:val="0"/>
        <w:snapToGrid w:val="0"/>
        <w:spacing w:before="156"/>
        <w:ind w:firstLine="480"/>
        <w:outlineLvl w:val="1"/>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1.2工程内容：基坑支护</w:t>
      </w:r>
      <w:r>
        <w:rPr>
          <w:rFonts w:hint="eastAsia" w:ascii="仿宋" w:hAnsi="仿宋" w:eastAsia="仿宋" w:cs="仿宋"/>
          <w:color w:val="000000" w:themeColor="text1"/>
          <w:highlight w:val="none"/>
          <w:lang w:val="en-US" w:eastAsia="zh-CN"/>
          <w14:textFill>
            <w14:solidFill>
              <w14:schemeClr w14:val="tx1"/>
            </w14:solidFill>
          </w14:textFill>
        </w:rPr>
        <w:t>和止水帷幕</w:t>
      </w:r>
      <w:r>
        <w:rPr>
          <w:rFonts w:hint="eastAsia" w:ascii="仿宋" w:hAnsi="仿宋" w:eastAsia="仿宋" w:cs="仿宋"/>
          <w:color w:val="000000" w:themeColor="text1"/>
          <w:highlight w:val="none"/>
          <w14:textFill>
            <w14:solidFill>
              <w14:schemeClr w14:val="tx1"/>
            </w14:solidFill>
          </w14:textFill>
        </w:rPr>
        <w:t>施工，遗留堆土处置</w:t>
      </w:r>
      <w:r>
        <w:rPr>
          <w:rFonts w:hint="eastAsia" w:ascii="仿宋" w:hAnsi="仿宋" w:eastAsia="仿宋" w:cs="仿宋"/>
          <w:color w:val="000000" w:themeColor="text1"/>
          <w:highlight w:val="none"/>
          <w:lang w:val="en-US"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污染土壤</w:t>
      </w:r>
      <w:bookmarkEnd w:id="3"/>
      <w:r>
        <w:rPr>
          <w:rFonts w:hint="eastAsia" w:ascii="仿宋" w:hAnsi="仿宋" w:eastAsia="仿宋" w:cs="仿宋"/>
          <w:color w:val="000000" w:themeColor="text1"/>
          <w:highlight w:val="none"/>
          <w14:textFill>
            <w14:solidFill>
              <w14:schemeClr w14:val="tx1"/>
            </w14:solidFill>
          </w14:textFill>
        </w:rPr>
        <w:t>修复工程</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异味土壤及地下水治理工程。</w:t>
      </w:r>
    </w:p>
    <w:p>
      <w:pPr>
        <w:pStyle w:val="11"/>
        <w:snapToGrid w:val="0"/>
        <w:spacing w:before="156" w:line="360" w:lineRule="auto"/>
        <w:ind w:firstLine="482"/>
        <w:jc w:val="left"/>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第二条  承包</w:t>
      </w:r>
      <w:r>
        <w:rPr>
          <w:rFonts w:hint="eastAsia" w:ascii="仿宋" w:hAnsi="仿宋" w:eastAsia="仿宋" w:cs="仿宋"/>
          <w:color w:val="000000" w:themeColor="text1"/>
          <w:sz w:val="24"/>
          <w:szCs w:val="24"/>
          <w:highlight w:val="none"/>
          <w:lang w:val="en-US" w:eastAsia="zh-CN"/>
          <w14:textFill>
            <w14:solidFill>
              <w14:schemeClr w14:val="tx1"/>
            </w14:solidFill>
          </w14:textFill>
        </w:rPr>
        <w:t>方</w:t>
      </w:r>
      <w:r>
        <w:rPr>
          <w:rFonts w:hint="eastAsia" w:ascii="仿宋" w:hAnsi="仿宋" w:eastAsia="仿宋" w:cs="仿宋"/>
          <w:color w:val="000000" w:themeColor="text1"/>
          <w:sz w:val="24"/>
          <w:szCs w:val="24"/>
          <w:highlight w:val="none"/>
          <w14:textFill>
            <w14:solidFill>
              <w14:schemeClr w14:val="tx1"/>
            </w14:solidFill>
          </w14:textFill>
        </w:rPr>
        <w:t>式及范围</w:t>
      </w:r>
    </w:p>
    <w:p>
      <w:pPr>
        <w:autoSpaceDE w:val="0"/>
        <w:snapToGrid w:val="0"/>
        <w:spacing w:before="156"/>
        <w:ind w:firstLine="480"/>
        <w:outlineLvl w:val="1"/>
        <w:rPr>
          <w:rFonts w:ascii="仿宋" w:hAnsi="仿宋" w:eastAsia="仿宋" w:cs="仿宋"/>
          <w:color w:val="000000" w:themeColor="text1"/>
          <w:highlight w:val="none"/>
          <w14:textFill>
            <w14:solidFill>
              <w14:schemeClr w14:val="tx1"/>
            </w14:solidFill>
          </w14:textFill>
        </w:rPr>
      </w:pPr>
      <w:bookmarkStart w:id="4" w:name="_Toc18197"/>
      <w:r>
        <w:rPr>
          <w:rFonts w:hint="eastAsia" w:ascii="仿宋" w:hAnsi="仿宋" w:eastAsia="仿宋" w:cs="仿宋"/>
          <w:color w:val="000000" w:themeColor="text1"/>
          <w:highlight w:val="none"/>
          <w14:textFill>
            <w14:solidFill>
              <w14:schemeClr w14:val="tx1"/>
            </w14:solidFill>
          </w14:textFill>
        </w:rPr>
        <w:t>2.1承包</w:t>
      </w:r>
      <w:r>
        <w:rPr>
          <w:rFonts w:hint="eastAsia" w:ascii="仿宋" w:hAnsi="仿宋" w:eastAsia="仿宋" w:cs="仿宋"/>
          <w:color w:val="000000" w:themeColor="text1"/>
          <w:highlight w:val="none"/>
          <w:lang w:val="en-US" w:eastAsia="zh-CN"/>
          <w14:textFill>
            <w14:solidFill>
              <w14:schemeClr w14:val="tx1"/>
            </w14:solidFill>
          </w14:textFill>
        </w:rPr>
        <w:t>方</w:t>
      </w:r>
      <w:r>
        <w:rPr>
          <w:rFonts w:hint="eastAsia" w:ascii="仿宋" w:hAnsi="仿宋" w:eastAsia="仿宋" w:cs="仿宋"/>
          <w:color w:val="000000" w:themeColor="text1"/>
          <w:highlight w:val="none"/>
          <w14:textFill>
            <w14:solidFill>
              <w14:schemeClr w14:val="tx1"/>
            </w14:solidFill>
          </w14:textFill>
        </w:rPr>
        <w:t>式：</w:t>
      </w:r>
      <w:bookmarkEnd w:id="4"/>
    </w:p>
    <w:p>
      <w:pPr>
        <w:pStyle w:val="14"/>
        <w:snapToGrid w:val="0"/>
        <w:spacing w:before="156"/>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本项目以综合单价包干的方式完成合同约定的全部工作内容，包括但不限于包人工、包机械、包材料、包设备、包税金、包工期、包质量、包基坑支护施工及土方回填、包遗留堆土处置、包安全生产、包文明施工、包二次污染防治、包专项方案编制及评审、包不同处置方式（暂按水泥窑处置方式，实际以发包人或主管单位确认的处置方式为准）、包通过生态环境主管部门验收。除合同另有约定外，在承包范围和合同约定承包内容中的费用均已包含在报价中，不因任何原因调整。</w:t>
      </w:r>
    </w:p>
    <w:p>
      <w:pPr>
        <w:autoSpaceDE w:val="0"/>
        <w:snapToGrid w:val="0"/>
        <w:spacing w:before="156"/>
        <w:ind w:firstLine="480"/>
        <w:outlineLvl w:val="1"/>
        <w:rPr>
          <w:rFonts w:ascii="仿宋" w:hAnsi="仿宋" w:eastAsia="仿宋" w:cs="仿宋"/>
          <w:color w:val="000000" w:themeColor="text1"/>
          <w:highlight w:val="none"/>
          <w14:textFill>
            <w14:solidFill>
              <w14:schemeClr w14:val="tx1"/>
            </w14:solidFill>
          </w14:textFill>
        </w:rPr>
      </w:pPr>
      <w:bookmarkStart w:id="5" w:name="_Toc25212"/>
      <w:r>
        <w:rPr>
          <w:rFonts w:hint="eastAsia" w:ascii="仿宋" w:hAnsi="仿宋" w:eastAsia="仿宋" w:cs="仿宋"/>
          <w:color w:val="000000" w:themeColor="text1"/>
          <w:highlight w:val="none"/>
          <w14:textFill>
            <w14:solidFill>
              <w14:schemeClr w14:val="tx1"/>
            </w14:solidFill>
          </w14:textFill>
        </w:rPr>
        <w:t>2.2承包范围：</w:t>
      </w:r>
      <w:bookmarkEnd w:id="5"/>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承包人根据国家、广东省、广州市现行有关标准、规范、规程及《风险评估报告》和发包人的相关要求，结合本地块实际情况，编制《广州浪奇化工厂地块二(A)土壤污染修复方案》和《广州浪奇化工厂地块二(B)土壤污染修复方案》并完成生态环境主管部门备案工作。完成污染土壤修复工作，达到修复目标值，确保治理与修复过程不产生二次污染，修复场地内无残留污染超标土壤。完成修复方案所有内容，</w:t>
      </w:r>
      <w:r>
        <w:rPr>
          <w:rFonts w:hint="eastAsia" w:ascii="仿宋" w:hAnsi="仿宋" w:eastAsia="仿宋" w:cs="仿宋"/>
          <w:bCs/>
          <w:color w:val="000000" w:themeColor="text1"/>
          <w:highlight w:val="none"/>
          <w14:textFill>
            <w14:solidFill>
              <w14:schemeClr w14:val="tx1"/>
            </w14:solidFill>
          </w14:textFill>
        </w:rPr>
        <w:t>配合</w:t>
      </w:r>
      <w:r>
        <w:rPr>
          <w:rFonts w:hint="eastAsia" w:ascii="仿宋" w:hAnsi="仿宋" w:eastAsia="仿宋" w:cs="仿宋"/>
          <w:color w:val="000000" w:themeColor="text1"/>
          <w:highlight w:val="none"/>
          <w14:textFill>
            <w14:solidFill>
              <w14:schemeClr w14:val="tx1"/>
            </w14:solidFill>
          </w14:textFill>
        </w:rPr>
        <w:t>广州浪奇化工厂地块二(A)、(B)地块土壤污染修复的</w:t>
      </w:r>
      <w:r>
        <w:rPr>
          <w:rFonts w:hint="eastAsia" w:ascii="仿宋" w:hAnsi="仿宋" w:eastAsia="仿宋" w:cs="仿宋"/>
          <w:bCs/>
          <w:color w:val="000000" w:themeColor="text1"/>
          <w:highlight w:val="none"/>
          <w14:textFill>
            <w14:solidFill>
              <w14:schemeClr w14:val="tx1"/>
            </w14:solidFill>
          </w14:textFill>
        </w:rPr>
        <w:t>环境与工程监理单位，效果评估单位开展相关工作，</w:t>
      </w:r>
      <w:r>
        <w:rPr>
          <w:rFonts w:hint="eastAsia" w:ascii="仿宋" w:hAnsi="仿宋" w:eastAsia="仿宋" w:cs="仿宋"/>
          <w:color w:val="000000" w:themeColor="text1"/>
          <w:highlight w:val="none"/>
          <w14:textFill>
            <w14:solidFill>
              <w14:schemeClr w14:val="tx1"/>
            </w14:solidFill>
          </w14:textFill>
        </w:rPr>
        <w:t>直至《广州浪奇化工厂地块二(A)土壤污染修复效果评估报告》和《广州浪奇化工厂地块二(B)土壤污染修复效果评估报告》达到省、市生态环境主管部门的验收备案条件，完成本地块从广东省建设用地土壤污染风险管控和修复名录中移除工作。负责在项目完工后的质保工作以及内外所需的各项协调事宜，并顺利通过各级主管部门验收（具体验收程序及验收部门，以验收时生态环境主管部门规定及要求为准）。</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具体工作内容包括但不限于：</w:t>
      </w:r>
    </w:p>
    <w:p>
      <w:pPr>
        <w:autoSpaceDE w:val="0"/>
        <w:snapToGrid w:val="0"/>
        <w:spacing w:before="156"/>
        <w:ind w:firstLine="480"/>
        <w:outlineLvl w:val="2"/>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（一）方案编制及备案阶段</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1.承包人在编制《广州浪奇化工厂地块二(A)土壤污染修复方案》和《广州浪奇化工厂地块二(B)土壤污染修复方案》前，须按照法律法规要求完成污染土壤的危险废物鉴定工作；</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承包人按规范及要求编制《广州浪奇化工厂地块二(A)土壤污染修复方案》和《广州浪奇化工厂地块二(B)土壤污染修复方案》及相关专项方案，根据发包人需求对方案进行深化，并组织相关方案的论证及评审工作；</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3.《广州浪奇化工厂地块二(A)土壤污染修复方案》和《广州浪奇化工厂地块二(B)土壤污染修复方案》包括但不限于：组织实施方案、污染土壤开挖方案、支护施工及监测方案、基坑涌水处理方案、交通组织方案、污染废弃物及污染土壤外运方案、环境监测及自验收方案、临水、临电专项方案、环境管理与二次污染防治措施、安全文明管理保证措施、工作进度计划与保证措施、布设修复现场平面布置图、投入人员及设备和材料等资源保障措施、质量管理保证措施、拟投入本项目的团队成员（包括但不限于工作职责及相关人员资质）及其他相关设计图纸等； </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4.承包人根据《风险评估报告》中污染土壤点坐标核定地块污染范围、迁移概念模型、修复工程量及开挖边界；</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5.承包人办理、完善各项施工条件，按要求办理以上各项必须的开工报审、报批手续及材料编制与报审报批工作；</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6.《广州浪奇化工厂地块二(A)土壤污染修复方案》和《广州浪奇化工厂地块二(B)土壤污染修复方案》由承包人完成向生态环境主管部门备案工作；</w:t>
      </w:r>
    </w:p>
    <w:p>
      <w:pPr>
        <w:autoSpaceDE w:val="0"/>
        <w:snapToGrid w:val="0"/>
        <w:spacing w:before="156"/>
        <w:ind w:firstLine="480"/>
        <w:outlineLvl w:val="2"/>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（二）临建阶段</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包括但不限于：</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承包人按照相关标准规范有序开展前期相关配套工作，施工临时建设范围严格按照备案的《广州浪奇化工厂地块二(A)土壤污染修复方案》和《广州浪奇化工厂地块二(B)土壤污染修复方案》区域进行建设，严禁擅自变更施工临时建设区域。因项目施工需要，确需临时征用场地的，必须事先取得监理单位和发包人的批准。施工临时建设包括但不限于办公区（含发包人、监理、效评单位办公用房）、材料区、筛分区、暂存区域、水处理设备安装、临水临电及排水排污的管网布设及接驳口的申报（如有）、地面平整、围蔽、修复区域内部道路、施工大棚（含基础等配套工程）、监控等；</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2.承包人负责设置场地内、外的各项标识布设，包括但不限于公示牌、平面布置图、安全宣传栏、安全警示标志等；</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3.承包人在实施期间负责对周边环境、建（构）筑物及附属设备、设施的保护，保障场地内用水、用电，协调处理周边居民、单位的投诉，主动、全面处理好各方的关系等。</w:t>
      </w:r>
    </w:p>
    <w:p>
      <w:pPr>
        <w:autoSpaceDE w:val="0"/>
        <w:snapToGrid w:val="0"/>
        <w:spacing w:before="156"/>
        <w:ind w:firstLine="480"/>
        <w:outlineLvl w:val="2"/>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（三）污染土壤修复施工阶段</w:t>
      </w:r>
      <w:r>
        <w:rPr>
          <w:rFonts w:ascii="仿宋" w:hAnsi="仿宋" w:eastAsia="仿宋" w:cs="仿宋"/>
          <w:color w:val="000000" w:themeColor="text1"/>
          <w:highlight w:val="none"/>
          <w14:textFill>
            <w14:solidFill>
              <w14:schemeClr w14:val="tx1"/>
            </w14:solidFill>
          </w14:textFill>
        </w:rPr>
        <w:t xml:space="preserve"> </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包括但不限于：</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1.污染土壤开挖、外运处置及回填</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1.1承包人在污染土壤开挖前须对场地内管线进行保护，确保施工过程中不会破坏原有管线，对施工过程中造成的管线破坏及所引起的损失，由承包人自行承担；</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1.2承包人按照备案的《广州浪奇化工厂地块二(A)土壤污染修复方案》和《广州浪奇化工厂地块二(B)土壤污染修复方案》进行放线，污染土壤开挖区分区分层清挖，清挖出的土壤进行预处理及暂存处理，经检测分析后，清洁土壤、污染土壤分区存放，疑似污染土壤须再次检测分析后分区存放。开挖区支护扩挖</w:t>
      </w:r>
      <w:r>
        <w:rPr>
          <w:rFonts w:hint="eastAsia" w:ascii="仿宋" w:hAnsi="仿宋" w:eastAsia="仿宋" w:cs="仿宋"/>
          <w:color w:val="000000" w:themeColor="text1"/>
          <w:highlight w:val="none"/>
          <w14:textFill>
            <w14:solidFill>
              <w14:schemeClr w14:val="tx1"/>
            </w14:solidFill>
          </w14:textFill>
        </w:rPr>
        <w:t>土壤经检测无污染后存放于清洁土区，后续运输至消纳场进行消纳；</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1.3承包人须严格按照备案的《广州浪奇化工厂地块二(A)土壤污染修复方案》和《广州浪奇化工厂地块二(B)土壤污染修复方案》中污染土壤开挖区施工顺序及支护专项方案完成开挖区支护施工，把控工程质量和验收工作，同时开展开挖区安全监测工作，防止开挖区积水、偏移、滑塌；（施工界面参考附件，具体以清单为准。）</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1.4修复验收完成后，承包人对土壤修复区域开挖的基坑进行回填工作（回填标高按现场指令为准）。</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1.5承包人须对污染土壤开挖过程中产生的废水进行收集处置，严禁向市政污水管道或外环境直接排放；</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1.6承包人须按已在生态环境部门完成备案的《广州浪奇化工厂地块二(A)土壤污染修复方案》和《广州浪奇化工厂地块二(B)土壤污染修复方案》中的技术路线处置污染物，由承包人自行委托符合生态环境主管部门要求的处置单位，自行考虑运输距离、存储空间、处理量等情况；</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1.7承包人须具有运输污染废弃物及污染土壤的相关资质，或委托给有资质的第三方单位运输污染废弃物及污染土壤；</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1.8承包人负责前往主管部门办理各相关审批备案手续，完善外运计划及运输路线报备工作；</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1.9承包人在污染废弃物及污染土壤运输过程中须完善二次污染防控措施。若在此过程中受到相关单位处罚及产生的一切后果，由承包人自行承担；</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1.10承包人自行选取污染土壤运输方式，运输至接收地。污染土壤转运过程每运输一车，填写一份转运联单，达到目的地后，接收负责人将按联单填写内容对污染土壤进行验收，过磅计量。</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2.承包人负责承包范围内各项验收准备，配合各方组织的各项检查、验收工作，确保修复工程规范、文明施工，保障修复工程成果通过政府主管部门验收；</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3.承包人负责完成本场地内所有污染土壤修复工作，确保达到生态环境主管部门验收备案标准。在承包人自行验收合格后，对开挖区申请效果评估检测取样，如修复效果评估阶段出现验收不合格的，承包人自行承担后续修复、监理、效果评估所产生的费用，直至顺利通过验收，造成工期滞后的由发包人或委托的监理单位进行处罚；</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4.效果评估单位完成本项目所有污染区域土壤修复效果评估后，承包人按发包人要求完成所有开挖区抽水等工作；</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5.承包人接受发包人委托的监理单位及修复效果评估单位等监督要求，配合开展各项测量、设备报验、监督、材料检查、监测、检测等工作。对不符合要求的工程内容和项目，必须无条件进行返工，确保符合质量、安全要求及治理达标，并自行承担一切费用，如拒不接受整改要求或整改效果未达到要求，发包人或委托的监理单位有权按合同要求对承包人处以相应罚款及/或终止本项目的实施，承包人还须对本项目延误造成的损失予以赔偿；</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6.承包人须及时向发包人或监理单位上报工程进度，完善各阶段质量验收或报验手续；</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7.承包人负责施工期间现场安保工作，负责施工现场围蔽，设置进出口、相关人员专用通道及车辆专用通道。在本项目修复施工阶段需有专职人员登记、管理进出修复场地内人员、车辆信息；</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8.承包人开工前期、中期、后期，须定期组织现场施工人员进行安全施工培训，形成记录表备查；负责场地施工安全、安保等工作，确保项目实施期间无安全事故发生，如造成安全事故，责任及损失由承包人自行承担；</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9.承包人及时更新现场管理人员、施工人员情况表，主要人员变更须书面报监理单位审核及发包人审批；项目实施期间，如出现重大安全隐患、工期严重滞后、管理混乱、不配合发包人或监理单位等情况，发包人可根据工作表现要求承包人更换相关责任人；</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10.承包人完善施工所用设备、材料进场报审等工作，把控用料质量，各自形成台账登记表备查；</w:t>
      </w:r>
    </w:p>
    <w:p>
      <w:pPr>
        <w:pStyle w:val="2"/>
        <w:spacing w:before="156"/>
        <w:ind w:firstLine="480"/>
        <w:rPr>
          <w:rFonts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11.双方约定施工期间的水、电费用承担方式为承包人承担。</w:t>
      </w:r>
    </w:p>
    <w:p>
      <w:pPr>
        <w:pStyle w:val="2"/>
        <w:snapToGrid w:val="0"/>
        <w:spacing w:before="156"/>
        <w:ind w:firstLine="480"/>
        <w:rPr>
          <w:rFonts w:ascii="仿宋" w:hAnsi="仿宋" w:eastAsia="仿宋" w:cs="仿宋"/>
          <w:color w:val="000000" w:themeColor="text1"/>
          <w:highlight w:val="none"/>
          <w14:textFill>
            <w14:solidFill>
              <w14:schemeClr w14:val="tx1"/>
            </w14:solidFill>
          </w14:textFill>
        </w:rPr>
      </w:pPr>
    </w:p>
    <w:p>
      <w:pPr>
        <w:autoSpaceDE w:val="0"/>
        <w:snapToGrid w:val="0"/>
        <w:spacing w:before="156"/>
        <w:ind w:firstLine="480"/>
        <w:outlineLvl w:val="2"/>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（四）资料整理</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包括但不限于：</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1.承包人需做好前期、中期、后期台账整理备检，配合项目结算的各项评审工作，包括但不限于按要求提供材料、及时补充材料和说明解释、确认评审结果等；</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2.承包人负责整理的项目竣工资料（包括但不限于临建、破表、支护施工、开挖、筛分记录，设备材料、转运、施工记录，排水、污染废弃物及建筑废渣处置记录的相关证明材料），并在验收合格之日起14个日历天内移交给发包人；</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3.承包人按发包人要求及时完成本项目相关的各种汇报材料编制、汇报；</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4.承包人编制结算材料及协助完成项目工程结算。</w:t>
      </w:r>
    </w:p>
    <w:p>
      <w:pPr>
        <w:autoSpaceDE w:val="0"/>
        <w:snapToGrid w:val="0"/>
        <w:spacing w:before="156"/>
        <w:ind w:firstLine="480"/>
        <w:outlineLvl w:val="2"/>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（五）评审及移除污染地块名录工作</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1.承包人须组织开展《广州浪奇化工厂地块二(A)土壤污染修复施工总结报告》及《广州浪奇化工厂地块二(B)土壤污染修复施工总结报告》编制，成果须通过生态环境主管部门验收；</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2.承包人积极协助修复效果评估单位完成移除污染地块名录工作。</w:t>
      </w:r>
    </w:p>
    <w:p>
      <w:pPr>
        <w:autoSpaceDE w:val="0"/>
        <w:snapToGrid w:val="0"/>
        <w:spacing w:before="156"/>
        <w:ind w:firstLine="480"/>
        <w:outlineLvl w:val="2"/>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（六）其它要求</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1.承包人按照法律法规及各主管部门要求及时做好信息公开工作；</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2.承包人负责修复项目工作的质保等后续服务工作；</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3.承包人负责各项验收准备工作，配合各方组织的各项检查、验收工作，确保工程规范、文明施工。</w:t>
      </w: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第三条  合同适用法律、合同文件的组成和解释顺序</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3.1合同适用法律</w:t>
      </w:r>
    </w:p>
    <w:p>
      <w:pPr>
        <w:autoSpaceDE w:val="0"/>
        <w:snapToGrid w:val="0"/>
        <w:spacing w:before="156"/>
        <w:ind w:firstLine="482"/>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（一）法律法规</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1.《中华人民共和国环境保护法》（2015年1月1日施行）；</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2.《中华人民共和国土壤污染防治法》（2019年1月1日施行）；</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3.《中华人民共和国水污染防治法》（2018年1月1日施行）；</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4.《中华人民共和国土地管理法》（2020年1月1日施行）；</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5.《广东省实施&lt;中华人民共和国土壤污染防治法&gt;办法》（2019年3月1日施行）。</w:t>
      </w:r>
    </w:p>
    <w:p>
      <w:pPr>
        <w:autoSpaceDE w:val="0"/>
        <w:snapToGrid w:val="0"/>
        <w:spacing w:before="156"/>
        <w:ind w:firstLine="482"/>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（二）相关规定及政策</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1.《污染地块土壤环境管理办法（试行）》（环保部令第42号；2017年7月1日施行）；</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2.《关于印发&lt;全国地下水污染防治规划（2011-2020 年）&gt;的通知》（环发〔2011〕128号）；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3.《土壤污染防治行动计划》（国发〔2016〕31号）；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4.《地下水污染防治实施方案》（环土壤〔2019〕25号）；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5.《广东省土壤污染防治行动计划实施方案》（粤府〔2016〕145号）；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6.《广州市土壤污染防治行动计划工作方案》（穗府〔2017〕13号）；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7.《广州市人民政府关于印发广州市申请使用建设用地规则的通知》（穗府〔2015〕15号）；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8.《广州市环境保护局关于印发广州市土壤环境保护和综合治理方案的通知》（穗环〔2014〕128号）；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9.《广州市土地开发中心关于加快开展土地污染环境调查、污染风险评估和土地污染修复工作的函》（穗土开函〔2015〕115号）；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10.《广州市人民政府关于提升城市更新水平促进节约集约用地的实施意见》（穗府规〔2017〕6号）；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11.《关于印发广州市污染地块再开发利用环境管理实施方案（试行）的通知》（穗环〔2018〕26号）；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12.《广州市生态环境局办公室关于做好再开发利用地块土壤污染状况调查和治理修复效果评估质量监督工作的通知》（穗环办〔2020〕62号）。</w:t>
      </w:r>
    </w:p>
    <w:p>
      <w:pPr>
        <w:autoSpaceDE w:val="0"/>
        <w:snapToGrid w:val="0"/>
        <w:spacing w:before="156"/>
        <w:ind w:firstLine="482"/>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（三）技术导则、标准与规范</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1.《土壤环境质量 建设用地土壤污染风险管控标准（试行）》（GB36600-2018）；</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2.《地下水质量标准》（GB/T 14848-2017）；</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3.《土壤环境监测技术规范》（HJ/T 166-2004）；</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4.《地下水环境监测技术规范》（HJ/T 164-2020）；</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5.《生活饮用水卫生标准》（GB 5749-2006）；</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6.《工业企业场地环境调查评估与修复工作指南（试行）》（环境保护部公告 2014年第78号）；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7.《建设用地土壤环境调查评估技术指南》（环境保护部公告 2017年第72号）；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8.《建设用地土壤污染风险管控和修复术语》（HJ 682-2019）；</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9.《建设用地土壤污染状况调查技术导则》（HJ 25.1-2019）；</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10.《建设用地土壤污染风险管控和修复监测技术导则》（HJ 25.2-2019）；</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11.《建设用地土壤污染风险评估技术导则》（HJ 25.3-2019）；</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12.《关于印发&lt;建设用地土壤污染状况调查、风险评估、风险管控及修复效果评估报告评审指南&gt;的通知》（环办土壤〔2019〕63号）；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13.《重点行业企业用地调查样品采集保存和流转技术规定（试行）》；</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14.《地块土壤和地下水中挥发性有机物采样技术导则》（HJ 1019-2019）；</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15.《地下水环境状况调查评价工作指南》（2019年9 月）；</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16.《广州市环境保护局办公室关于印发广州市工业企业场地环境调查、治理修复及效果评估技术要点的通知》（穗环办〔2018〕173号）；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17.《广州市生态环境局办公室关于做好再开发利用地块土壤污染状况调查和治理修复效果评估质量监督工作的通知》（穗环办〔2020〕62号）；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18.《建设用地土壤污染防治第1部分：污染状况调查技术规范》（DB4401/T 102.1-2020）；</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19.《建设用地土壤污染防治第3部分：土壤重金属监测质量保证与质量控制技术规范》（DB4401/T 102.3-2020）；</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20.《建设用地土壤污染防治第4部分：土壤挥发性有机物监测质量保证与质量控制技术规范》（DB4401/T 102.4-2020）；</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21.《岩土工程勘察规范》（GB50021-2001）（2009版）；</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22.《土的工程分类标准》（GB/T50145-2007）；</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23.《供水水文地质勘察规范》（GB 50027-2001）；</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24.《工程测量标准》（GB 50026-2020）；</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25.《供水水文地质钻探与凿井操作规程》（CJJ 13-87）；</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26.《广东省建设用地土壤污染状况调查、风险评估及效果评估报告技术审查要点（试行）》（粤环办（2020）67 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27.《水泥窑协同处置固体废物污染控制标准》（GB30485-2013）；</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28.关于广州市污染地块土壤异地处置异地修复等评审管理指南（穗环﹝2021﹞96号）；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29.《广州市绿化条例》（穗人常﹝2022﹞6号）。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（以上法律法规、技术导则、标准与规范相关规定及政策若有更新，以更新后的文件为准）</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有国家、广东省和广州市标准、规范的，适用国家、广东省和广州市标准、规范；没有国家、广东省和广州市标准、规范的，适用国家、广东省和广州市行业标准；没有国家、广东省和广州市行业标准的，由发包人提出技术要求，承包人按照要求向发包人提出施工方案和措施并报发包人、监理单位审批。</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现行的国家、地方或行业有关标准、规范，与技术文件或发包人提出的技术要求不一致时，采用较严格标准、规范，合同价款包括执行较严格标准、规范所需之全部费用。具体标准、规范包括但不限于本合同附件的内容。当合同期内发生相关标准、规范变更或修改的，按国家有关规定执行。</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3.3合同文件的组成和解释顺序：合同由下列文件组成，构成合同的文件应被视为是能互相说明的，互相补充的，除非文件中另有说明，如果合同文件存在歧义或不一致，则根据如下顺序来做出解释：</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（1）履行本合同过程中双方达成的补充等的书面协议；</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（2）本合同；</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（3）中标通知书；</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（4）投标文件、工程报价单、预算书及其附件（含评标期间的补充资料）；</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（5）招标文件（含招标文件补充文件、澄清文件、答疑文件、现场踏勘确认书等）；</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（6）标准、规范及有关技术文件。</w:t>
      </w: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第四条  合同价款、支付及其调整</w:t>
      </w:r>
    </w:p>
    <w:p>
      <w:pPr>
        <w:autoSpaceDE w:val="0"/>
        <w:snapToGrid w:val="0"/>
        <w:spacing w:before="156"/>
        <w:ind w:firstLine="480"/>
        <w:outlineLvl w:val="1"/>
        <w:rPr>
          <w:rFonts w:ascii="仿宋" w:hAnsi="仿宋" w:eastAsia="仿宋" w:cs="仿宋"/>
          <w:color w:val="000000" w:themeColor="text1"/>
          <w:highlight w:val="none"/>
          <w14:textFill>
            <w14:solidFill>
              <w14:schemeClr w14:val="tx1"/>
            </w14:solidFill>
          </w14:textFill>
        </w:rPr>
      </w:pPr>
      <w:bookmarkStart w:id="6" w:name="_Toc2309"/>
      <w:r>
        <w:rPr>
          <w:rFonts w:hint="eastAsia" w:ascii="仿宋" w:hAnsi="仿宋" w:eastAsia="仿宋" w:cs="仿宋"/>
          <w:color w:val="000000" w:themeColor="text1"/>
          <w:highlight w:val="none"/>
          <w14:textFill>
            <w14:solidFill>
              <w14:schemeClr w14:val="tx1"/>
            </w14:solidFill>
          </w14:textFill>
        </w:rPr>
        <w:t>4.1合同价款</w:t>
      </w:r>
      <w:bookmarkEnd w:id="6"/>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4.1.1本合同以人民币为报价及结算货币。</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4.1.2合同</w:t>
      </w:r>
      <w:r>
        <w:rPr>
          <w:rFonts w:hint="eastAsia" w:ascii="仿宋" w:hAnsi="仿宋" w:eastAsia="仿宋" w:cs="仿宋"/>
          <w:color w:val="000000" w:themeColor="text1"/>
          <w:highlight w:val="none"/>
          <w:lang w:val="en-US" w:eastAsia="zh-CN"/>
          <w14:textFill>
            <w14:solidFill>
              <w14:schemeClr w14:val="tx1"/>
            </w14:solidFill>
          </w14:textFill>
        </w:rPr>
        <w:t>暂定总价</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元（大写：</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）含税，</w:t>
      </w:r>
      <w:r>
        <w:rPr>
          <w:rFonts w:hint="eastAsia" w:ascii="仿宋_GB2312" w:hAnsi="仿宋_GB2312" w:eastAsia="仿宋_GB2312" w:cs="仿宋_GB2312"/>
          <w:color w:val="000000" w:themeColor="text1"/>
          <w:highlight w:val="none"/>
          <w:u w:val="single"/>
          <w14:textFill>
            <w14:solidFill>
              <w14:schemeClr w14:val="tx1"/>
            </w14:solidFill>
          </w14:textFill>
        </w:rPr>
        <w:t>（其中不含税金额</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元</w:t>
      </w:r>
      <w:r>
        <w:rPr>
          <w:rFonts w:hint="eastAsia" w:ascii="仿宋" w:hAnsi="仿宋" w:eastAsia="仿宋" w:cs="仿宋"/>
          <w:color w:val="000000" w:themeColor="text1"/>
          <w:highlight w:val="none"/>
          <w14:textFill>
            <w14:solidFill>
              <w14:schemeClr w14:val="tx1"/>
            </w14:solidFill>
          </w14:textFill>
        </w:rPr>
        <w:t>，增值税税率为</w:t>
      </w:r>
      <w:r>
        <w:rPr>
          <w:rFonts w:hint="eastAsia" w:ascii="仿宋" w:hAnsi="仿宋" w:eastAsia="仿宋" w:cs="仿宋"/>
          <w:color w:val="000000" w:themeColor="text1"/>
          <w:highlight w:val="none"/>
          <w:u w:val="single"/>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，如合同履行期间因政策性原因调整增值税专用发票税率，按国家最新政策规定执行，不含税合同价格不变。</w:t>
      </w:r>
    </w:p>
    <w:p>
      <w:pPr>
        <w:adjustRightInd w:val="0"/>
        <w:snapToGrid w:val="0"/>
        <w:spacing w:before="156" w:after="12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4.1.3具体合同价款组成详见已标价工程量清单。</w:t>
      </w:r>
    </w:p>
    <w:p>
      <w:pPr>
        <w:adjustRightInd w:val="0"/>
        <w:snapToGrid w:val="0"/>
        <w:spacing w:before="156" w:after="120"/>
        <w:ind w:firstLine="480"/>
        <w:rPr>
          <w:rFonts w:ascii="仿宋" w:hAnsi="仿宋" w:eastAsia="仿宋" w:cs="仿宋"/>
          <w:color w:val="000000" w:themeColor="text1"/>
          <w:highlight w:val="none"/>
          <w14:textFill>
            <w14:solidFill>
              <w14:schemeClr w14:val="tx1"/>
            </w14:solidFill>
          </w14:textFill>
        </w:rPr>
      </w:pPr>
      <w:bookmarkStart w:id="7" w:name="_Toc8293646"/>
      <w:r>
        <w:rPr>
          <w:rFonts w:hint="eastAsia" w:ascii="仿宋" w:hAnsi="仿宋" w:eastAsia="仿宋" w:cs="仿宋"/>
          <w:color w:val="000000" w:themeColor="text1"/>
          <w:highlight w:val="none"/>
          <w14:textFill>
            <w14:solidFill>
              <w14:schemeClr w14:val="tx1"/>
            </w14:solidFill>
          </w14:textFill>
        </w:rPr>
        <w:t>（一）合同价款的方式</w:t>
      </w:r>
    </w:p>
    <w:p>
      <w:pPr>
        <w:pStyle w:val="2"/>
        <w:adjustRightInd w:val="0"/>
        <w:snapToGrid w:val="0"/>
        <w:spacing w:before="156" w:after="12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清单</w:t>
      </w:r>
      <w:r>
        <w:rPr>
          <w:rFonts w:ascii="仿宋" w:hAnsi="仿宋" w:eastAsia="仿宋" w:cs="仿宋"/>
          <w:color w:val="000000" w:themeColor="text1"/>
          <w:highlight w:val="none"/>
          <w14:textFill>
            <w14:solidFill>
              <w14:schemeClr w14:val="tx1"/>
            </w14:solidFill>
          </w14:textFill>
        </w:rPr>
        <w:t>综合含税单价包干，工程量以最终实施确认为准。</w:t>
      </w:r>
    </w:p>
    <w:p>
      <w:pPr>
        <w:adjustRightInd w:val="0"/>
        <w:snapToGrid w:val="0"/>
        <w:spacing w:before="156" w:after="12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（二）合同结算方式：</w:t>
      </w:r>
    </w:p>
    <w:bookmarkEnd w:id="7"/>
    <w:p>
      <w:pPr>
        <w:autoSpaceDE/>
        <w:adjustRightInd w:val="0"/>
        <w:snapToGrid w:val="0"/>
        <w:spacing w:before="156" w:after="12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土壤污染修复工程为含税清单综合单价，结算清单综合单价不因人工、材料、机械等物价的涨落而调整。</w:t>
      </w:r>
      <w:r>
        <w:rPr>
          <w:rFonts w:hint="eastAsia" w:ascii="仿宋" w:hAnsi="仿宋" w:eastAsia="仿宋" w:cs="仿宋"/>
          <w:color w:val="000000" w:themeColor="text1"/>
          <w:highlight w:val="none"/>
          <w:lang w:val="en-US" w:eastAsia="zh-CN"/>
          <w14:textFill>
            <w14:solidFill>
              <w14:schemeClr w14:val="tx1"/>
            </w14:solidFill>
          </w14:textFill>
        </w:rPr>
        <w:t>合同结算金额的计算方式为</w:t>
      </w:r>
      <w:r>
        <w:rPr>
          <w:rFonts w:hint="eastAsia" w:ascii="仿宋" w:hAnsi="仿宋" w:eastAsia="仿宋" w:cs="仿宋"/>
          <w:color w:val="000000" w:themeColor="text1"/>
          <w:highlight w:val="none"/>
          <w14:textFill>
            <w14:solidFill>
              <w14:schemeClr w14:val="tx1"/>
            </w14:solidFill>
          </w14:textFill>
        </w:rPr>
        <w:t>含税清单综合单价</w:t>
      </w:r>
      <w:r>
        <w:rPr>
          <w:rFonts w:hint="eastAsia" w:ascii="仿宋" w:hAnsi="仿宋" w:eastAsia="仿宋" w:cs="仿宋"/>
          <w:color w:val="000000" w:themeColor="text1"/>
          <w:highlight w:val="none"/>
          <w:lang w:val="en-US" w:eastAsia="zh-CN"/>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最终实施确认</w:t>
      </w:r>
      <w:r>
        <w:rPr>
          <w:rFonts w:hint="eastAsia" w:ascii="仿宋" w:hAnsi="仿宋" w:eastAsia="仿宋" w:cs="仿宋"/>
          <w:color w:val="000000" w:themeColor="text1"/>
          <w:highlight w:val="none"/>
          <w:lang w:val="en-US" w:eastAsia="zh-CN"/>
          <w14:textFill>
            <w14:solidFill>
              <w14:schemeClr w14:val="tx1"/>
            </w14:solidFill>
          </w14:textFill>
        </w:rPr>
        <w:t>的实际工程量。</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4.1.4本合同约定费用应为完成本项目招标范围内全部工作内容所需的全部费用，包括但不限于劳务(含技术人员)费、材料费、机械费(含各种车辆、仪器设备、软件等使用费、进出场费)、运输费、临时设施费、土方资源费、消纳费、差旅交通费、就餐费、住宿费、管理费、规费、利润、税金、保险费、不可预见费、其它项目费、检测与试验、处置费用、组织专家进行工程实施方案论证、因项目需要而开展的各专项评估、专项方案编制及评审等工作费用、专家咨询费、配合服务（含配合第三方监测单位按规范开展地块修复后的土壤环境质量监测、协助发包人进行招标范围内的有关技术管理、协助发包人向环保主管部门申请项目验收等）、缺陷修复、环境保护、建筑垃圾处置费、危废及污水处理的相关费用、措施项目费（含安全防护、文明施工措施费）、工程报建、验收、移交、结算、相关协调费及其他实物和技术工作收费等全部相关费用，以及合同明示或暗示的所有责任、义务和风险。</w:t>
      </w:r>
    </w:p>
    <w:p>
      <w:pPr>
        <w:autoSpaceDE w:val="0"/>
        <w:snapToGrid w:val="0"/>
        <w:spacing w:before="156"/>
        <w:ind w:firstLine="480"/>
        <w:outlineLvl w:val="1"/>
        <w:rPr>
          <w:rFonts w:ascii="仿宋" w:hAnsi="仿宋" w:eastAsia="仿宋" w:cs="仿宋"/>
          <w:color w:val="000000" w:themeColor="text1"/>
          <w:highlight w:val="none"/>
          <w14:textFill>
            <w14:solidFill>
              <w14:schemeClr w14:val="tx1"/>
            </w14:solidFill>
          </w14:textFill>
        </w:rPr>
      </w:pPr>
      <w:bookmarkStart w:id="8" w:name="_Toc13022"/>
      <w:r>
        <w:rPr>
          <w:rFonts w:hint="eastAsia" w:ascii="仿宋" w:hAnsi="仿宋" w:eastAsia="仿宋" w:cs="仿宋"/>
          <w:color w:val="000000" w:themeColor="text1"/>
          <w:highlight w:val="none"/>
          <w14:textFill>
            <w14:solidFill>
              <w14:schemeClr w14:val="tx1"/>
            </w14:solidFill>
          </w14:textFill>
        </w:rPr>
        <w:t>4.2合同价款的支付：</w:t>
      </w:r>
      <w:bookmarkEnd w:id="8"/>
    </w:p>
    <w:p>
      <w:pPr>
        <w:pStyle w:val="11"/>
        <w:snapToGrid w:val="0"/>
        <w:spacing w:before="156" w:after="0" w:line="360" w:lineRule="auto"/>
        <w:ind w:firstLine="480"/>
        <w:jc w:val="left"/>
        <w:outlineLvl w:val="9"/>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4.2.1.承包人按合同要求提供申请支付文件资料，报发包人审核合格后，合同款项由发包人按下列程序支付：</w:t>
      </w:r>
    </w:p>
    <w:p>
      <w:pPr>
        <w:pStyle w:val="11"/>
        <w:snapToGrid w:val="0"/>
        <w:spacing w:before="156" w:line="360" w:lineRule="auto"/>
        <w:ind w:firstLine="480"/>
        <w:jc w:val="left"/>
        <w:outlineLvl w:val="9"/>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4.2.1.1合同签订生效后</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承包人向发包人递交请款资料，</w:t>
      </w:r>
      <w:r>
        <w:rPr>
          <w:rFonts w:hint="eastAsia" w:ascii="仿宋" w:hAnsi="仿宋" w:eastAsia="仿宋" w:cs="仿宋"/>
          <w:bCs/>
          <w:color w:val="000000" w:themeColor="text1"/>
          <w:sz w:val="24"/>
          <w:szCs w:val="24"/>
          <w:highlight w:val="none"/>
          <w14:textFill>
            <w14:solidFill>
              <w14:schemeClr w14:val="tx1"/>
            </w14:solidFill>
          </w14:textFill>
        </w:rPr>
        <w:t>发包人1</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Cs/>
          <w:color w:val="000000" w:themeColor="text1"/>
          <w:sz w:val="24"/>
          <w:szCs w:val="24"/>
          <w:highlight w:val="none"/>
          <w14:textFill>
            <w14:solidFill>
              <w14:schemeClr w14:val="tx1"/>
            </w14:solidFill>
          </w14:textFill>
        </w:rPr>
        <w:t>个日历天内，支付合同总价的20%；</w:t>
      </w:r>
    </w:p>
    <w:p>
      <w:pPr>
        <w:pStyle w:val="11"/>
        <w:snapToGrid w:val="0"/>
        <w:spacing w:before="156" w:after="0" w:line="360" w:lineRule="auto"/>
        <w:ind w:firstLine="480"/>
        <w:jc w:val="left"/>
        <w:outlineLvl w:val="9"/>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4.2.1.2承包人完成《广州浪奇化工厂地块二(A)土壤污染修复方案》和《广州浪奇化工厂地块二(B)土壤污染修复方案》备案工作，完成前期临建、报建、报批手续和施工准备，收到项目施工开工令后  ，承包人向发包人递交请款资料，</w:t>
      </w:r>
      <w:r>
        <w:rPr>
          <w:rFonts w:hint="eastAsia" w:ascii="仿宋" w:hAnsi="仿宋" w:eastAsia="仿宋" w:cs="仿宋"/>
          <w:bCs/>
          <w:color w:val="000000" w:themeColor="text1"/>
          <w:sz w:val="24"/>
          <w:szCs w:val="24"/>
          <w:highlight w:val="none"/>
          <w14:textFill>
            <w14:solidFill>
              <w14:schemeClr w14:val="tx1"/>
            </w14:solidFill>
          </w14:textFill>
        </w:rPr>
        <w:t>发包人审核通过后1</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Cs/>
          <w:color w:val="000000" w:themeColor="text1"/>
          <w:sz w:val="24"/>
          <w:szCs w:val="24"/>
          <w:highlight w:val="none"/>
          <w14:textFill>
            <w14:solidFill>
              <w14:schemeClr w14:val="tx1"/>
            </w14:solidFill>
          </w14:textFill>
        </w:rPr>
        <w:t>个日历天内，支付合同</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暂定</w:t>
      </w:r>
      <w:r>
        <w:rPr>
          <w:rFonts w:hint="eastAsia" w:ascii="仿宋" w:hAnsi="仿宋" w:eastAsia="仿宋" w:cs="仿宋"/>
          <w:bCs/>
          <w:color w:val="000000" w:themeColor="text1"/>
          <w:sz w:val="24"/>
          <w:szCs w:val="24"/>
          <w:highlight w:val="none"/>
          <w14:textFill>
            <w14:solidFill>
              <w14:schemeClr w14:val="tx1"/>
            </w14:solidFill>
          </w14:textFill>
        </w:rPr>
        <w:t>总价的20%；</w:t>
      </w:r>
    </w:p>
    <w:p>
      <w:pPr>
        <w:pStyle w:val="11"/>
        <w:snapToGrid w:val="0"/>
        <w:spacing w:before="156" w:line="360" w:lineRule="auto"/>
        <w:ind w:firstLine="480"/>
        <w:jc w:val="left"/>
        <w:outlineLvl w:val="9"/>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4.2.1.3 承包人每月向发包人提交已完成的工程量报量单及请款资料，</w:t>
      </w:r>
      <w:r>
        <w:rPr>
          <w:rFonts w:hint="eastAsia" w:ascii="仿宋" w:hAnsi="仿宋" w:eastAsia="仿宋" w:cs="仿宋"/>
          <w:bCs/>
          <w:color w:val="000000" w:themeColor="text1"/>
          <w:sz w:val="24"/>
          <w:szCs w:val="24"/>
          <w:highlight w:val="none"/>
          <w14:textFill>
            <w14:solidFill>
              <w14:schemeClr w14:val="tx1"/>
            </w14:solidFill>
          </w14:textFill>
        </w:rPr>
        <w:t>经发包人审核合格后1</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Cs/>
          <w:color w:val="000000" w:themeColor="text1"/>
          <w:sz w:val="24"/>
          <w:szCs w:val="24"/>
          <w:highlight w:val="none"/>
          <w14:textFill>
            <w14:solidFill>
              <w14:schemeClr w14:val="tx1"/>
            </w14:solidFill>
          </w14:textFill>
        </w:rPr>
        <w:t>个日历天内由发包人向承包人支付</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当月</w:t>
      </w:r>
      <w:r>
        <w:rPr>
          <w:rFonts w:hint="eastAsia" w:ascii="仿宋" w:hAnsi="仿宋" w:eastAsia="仿宋" w:cs="仿宋"/>
          <w:bCs/>
          <w:color w:val="000000" w:themeColor="text1"/>
          <w:sz w:val="24"/>
          <w:szCs w:val="24"/>
          <w:highlight w:val="none"/>
          <w14:textFill>
            <w14:solidFill>
              <w14:schemeClr w14:val="tx1"/>
            </w14:solidFill>
          </w14:textFill>
        </w:rPr>
        <w:t>审核确认金额的80%；</w:t>
      </w:r>
      <w:r>
        <w:rPr>
          <w:rFonts w:hint="eastAsia" w:ascii="仿宋" w:hAnsi="仿宋" w:eastAsia="仿宋" w:cs="仿宋"/>
          <w:b w:val="0"/>
          <w:color w:val="000000" w:themeColor="text1"/>
          <w:sz w:val="24"/>
          <w:szCs w:val="24"/>
          <w:highlight w:val="none"/>
          <w14:textFill>
            <w14:solidFill>
              <w14:schemeClr w14:val="tx1"/>
            </w14:solidFill>
          </w14:textFill>
        </w:rPr>
        <w:t>（当累计支付达到合同</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暂定</w:t>
      </w:r>
      <w:r>
        <w:rPr>
          <w:rFonts w:hint="eastAsia" w:ascii="仿宋" w:hAnsi="仿宋" w:eastAsia="仿宋" w:cs="仿宋"/>
          <w:b w:val="0"/>
          <w:color w:val="000000" w:themeColor="text1"/>
          <w:sz w:val="24"/>
          <w:szCs w:val="24"/>
          <w:highlight w:val="none"/>
          <w14:textFill>
            <w14:solidFill>
              <w14:schemeClr w14:val="tx1"/>
            </w14:solidFill>
          </w14:textFill>
        </w:rPr>
        <w:t>总价80%时，暂停工程进度款的支付。）</w:t>
      </w:r>
    </w:p>
    <w:p>
      <w:pPr>
        <w:pStyle w:val="11"/>
        <w:snapToGrid w:val="0"/>
        <w:spacing w:before="156" w:after="0" w:line="360" w:lineRule="auto"/>
        <w:ind w:firstLine="480"/>
        <w:jc w:val="left"/>
        <w:outlineLvl w:val="9"/>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4.2.1.4 承包人完成广州浪奇化工厂地块二(A)及广州浪奇化工厂地块二(B)效果评估验收并取得专家意见后向发包人提交已完成工程量报量单及请款资料，</w:t>
      </w:r>
      <w:r>
        <w:rPr>
          <w:rFonts w:hint="eastAsia" w:ascii="仿宋" w:hAnsi="仿宋" w:eastAsia="仿宋" w:cs="仿宋"/>
          <w:bCs/>
          <w:color w:val="000000" w:themeColor="text1"/>
          <w:sz w:val="24"/>
          <w:szCs w:val="24"/>
          <w:highlight w:val="none"/>
          <w14:textFill>
            <w14:solidFill>
              <w14:schemeClr w14:val="tx1"/>
            </w14:solidFill>
          </w14:textFill>
        </w:rPr>
        <w:t>经发包人审核合格后1</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4个日历天</w:t>
      </w:r>
      <w:r>
        <w:rPr>
          <w:rFonts w:hint="eastAsia" w:ascii="仿宋" w:hAnsi="仿宋" w:eastAsia="仿宋" w:cs="仿宋"/>
          <w:bCs/>
          <w:color w:val="000000" w:themeColor="text1"/>
          <w:sz w:val="24"/>
          <w:szCs w:val="24"/>
          <w:highlight w:val="none"/>
          <w14:textFill>
            <w14:solidFill>
              <w14:schemeClr w14:val="tx1"/>
            </w14:solidFill>
          </w14:textFill>
        </w:rPr>
        <w:t>内由发包人向承包人累计支付至审核确认金额的90%；</w:t>
      </w:r>
    </w:p>
    <w:p>
      <w:pPr>
        <w:pStyle w:val="11"/>
        <w:snapToGrid w:val="0"/>
        <w:spacing w:before="156" w:after="0" w:line="360" w:lineRule="auto"/>
        <w:ind w:firstLine="480"/>
        <w:jc w:val="left"/>
        <w:outlineLvl w:val="9"/>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4.2.1.5本工程办理完成完工验收及完成竣工结算书，并整体项目</w:t>
      </w:r>
      <w:r>
        <w:rPr>
          <w:rFonts w:hint="eastAsia" w:ascii="仿宋" w:hAnsi="仿宋" w:eastAsia="仿宋" w:cs="仿宋"/>
          <w:bCs/>
          <w:color w:val="000000" w:themeColor="text1"/>
          <w:sz w:val="24"/>
          <w:szCs w:val="24"/>
          <w:highlight w:val="none"/>
          <w14:textFill>
            <w14:solidFill>
              <w14:schemeClr w14:val="tx1"/>
            </w14:solidFill>
          </w14:textFill>
        </w:rPr>
        <w:t>移出广东省建设用地土壤污染风险管控和修复名录后14个日历天内，付至结算金额的100%；</w:t>
      </w:r>
    </w:p>
    <w:p>
      <w:pPr>
        <w:pStyle w:val="11"/>
        <w:snapToGrid w:val="0"/>
        <w:spacing w:before="156" w:after="0" w:line="360" w:lineRule="auto"/>
        <w:ind w:firstLine="480"/>
        <w:jc w:val="both"/>
        <w:outlineLvl w:val="9"/>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4.2.1.6承包人在每期支付前凭以下有效文件向发包人请款：</w:t>
      </w:r>
    </w:p>
    <w:p>
      <w:pPr>
        <w:pStyle w:val="11"/>
        <w:snapToGrid w:val="0"/>
        <w:spacing w:before="156" w:after="0" w:line="360" w:lineRule="auto"/>
        <w:ind w:firstLine="480"/>
        <w:jc w:val="left"/>
        <w:outlineLvl w:val="9"/>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①合同；</w:t>
      </w:r>
    </w:p>
    <w:p>
      <w:pPr>
        <w:pStyle w:val="11"/>
        <w:snapToGrid w:val="0"/>
        <w:spacing w:before="156" w:after="0" w:line="360" w:lineRule="auto"/>
        <w:ind w:firstLine="480"/>
        <w:jc w:val="left"/>
        <w:outlineLvl w:val="9"/>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②承包人开具的正式发票（增值税专用发票）；</w:t>
      </w:r>
    </w:p>
    <w:p>
      <w:pPr>
        <w:pStyle w:val="11"/>
        <w:snapToGrid w:val="0"/>
        <w:spacing w:before="156" w:after="0" w:line="360" w:lineRule="auto"/>
        <w:ind w:firstLine="480"/>
        <w:jc w:val="left"/>
        <w:outlineLvl w:val="9"/>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③相关工作成果；</w:t>
      </w:r>
    </w:p>
    <w:p>
      <w:pPr>
        <w:pStyle w:val="11"/>
        <w:snapToGrid w:val="0"/>
        <w:spacing w:before="156" w:after="0" w:line="360" w:lineRule="auto"/>
        <w:ind w:firstLine="480"/>
        <w:jc w:val="left"/>
        <w:outlineLvl w:val="9"/>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④加盖公章的合同价款申请函；</w:t>
      </w:r>
    </w:p>
    <w:p>
      <w:pPr>
        <w:pStyle w:val="11"/>
        <w:snapToGrid w:val="0"/>
        <w:spacing w:before="156" w:after="0" w:line="360" w:lineRule="auto"/>
        <w:ind w:firstLine="480"/>
        <w:jc w:val="left"/>
        <w:outlineLvl w:val="9"/>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⑤验收报告（加盖承包人公章，如有）；</w:t>
      </w:r>
    </w:p>
    <w:p>
      <w:pPr>
        <w:pStyle w:val="11"/>
        <w:snapToGrid w:val="0"/>
        <w:spacing w:before="156" w:after="0" w:line="360" w:lineRule="auto"/>
        <w:ind w:firstLine="480"/>
        <w:jc w:val="left"/>
        <w:outlineLvl w:val="9"/>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⑥发包人要求的其他资料（如有）。</w:t>
      </w:r>
    </w:p>
    <w:p>
      <w:pPr>
        <w:pStyle w:val="11"/>
        <w:snapToGrid w:val="0"/>
        <w:spacing w:before="156" w:after="0" w:line="360" w:lineRule="auto"/>
        <w:ind w:firstLine="480"/>
        <w:jc w:val="left"/>
        <w:outlineLvl w:val="9"/>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若承包人未按要求提供请款资料，发包人有权拒绝支付。</w:t>
      </w:r>
    </w:p>
    <w:p>
      <w:pPr>
        <w:pStyle w:val="11"/>
        <w:snapToGrid w:val="0"/>
        <w:spacing w:before="156" w:after="0" w:line="360" w:lineRule="auto"/>
        <w:ind w:firstLine="480"/>
        <w:jc w:val="left"/>
        <w:outlineLvl w:val="9"/>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4.2.1.6承包人在各阶段收款前须向发包人提供书面请款报告、相关工作成果及等额、真实、有效的增值税专用发票（增值税税率按最新政策规定）作为请款资料，否则发包人有权拒绝付款。</w:t>
      </w: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第五条  进场和开工</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5.1本项目委托第三方进行监理，承包人必须服从监理单位的监管。</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5.2 承包人在正式开工前应做好各项准备工作，包括但不限于协助办理与本项目相关的报批手续（如需），含水陆运输证、排水许可证、环卫和施工噪音管理等各种相关证件、手续的办理及各类专业报建手续的报批，组织安排施工人员、提供工作条件、提供工程所需的机械、仪器、工具和车辆等并确保它们处于良好状态以满足施工需要；并按招标文件要求及施工现场情况编制详细的施工方案，并报经监理单位、相关行业主管部门和发包人审批。</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5.3承包人应在接到监理单位开工令之日起3天内进场，发包人于承包人进场当日向承包人移交现场并填写三方现场记录。</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5.4如承包人认为现场不具备开工条件，应在48小时内向发包人、监理提出书面报告。承包人在收到监理单位开工令之日起3天内，仍不进场施工的，视为承包人违约，承包人应承担一切的延误相关的责任。发包人有权解除本合同，承包人应以履约担保全额向发包人承担赔偿责任，且发包人保留依法追究承包人相应经济与法律责任的权利。</w:t>
      </w: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第六条  发包人的权利和义务</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6.1发包人有权审核承包人提交的施工组织方案、进度计划并监督承包人执行。</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6.2发包人配合承包人办理施工所需的各种审批、许可等手续。</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6.3发包人有权根据上级指示或实际情况，要求承包人临时停工。</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6.4发包人有权监督承包人的安全生产、环保措施的落实，并要求承包人按照发包人的要求完善安全生产及环保措施；如承包人有不安全行为，在发包人取得证据的情况下，发包人有权按本合同第十六条《违约责任及扣罚》的约定进行扣罚，承包人不得有异议。</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6.5发包人有权要求承包人更换不称职的主要人员，承包人必须无条件更换。</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6.6发包人应当对承包人提出的问题做出答复和指示。</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6.7发包人应当在承包人完成全部工程内容后及时组织验收。</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6.8如承包人不履行或者不按合同规定履行义务，发包人有权安排其他专业单位进行相应工作，由此发生的费用由承包人承担，发包人有权在工程款中将该费用扣除。</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6.9发包人将委托监理对施工过程的环保情况进行监督，确保施工过程不会造成二次污染。</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6.10如承包人不服从发包人或监理单位的监管。发现有故意延误工期；拖欠工人工资；拖欠工程材料和设备款项；以及对该工程有不良影响的其他行为。发包人有权解除本合同并追究承包人法律责任。</w:t>
      </w:r>
    </w:p>
    <w:p>
      <w:pPr>
        <w:pStyle w:val="2"/>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6.11基坑支护方案由发包人委托第三方完成。</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6.12发包人应及时按照合同约定办理合同款项的支付。</w:t>
      </w: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第七条  承包人的权利和义务</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7.1承包人不得将本项目转包和违法分包。</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7.2承包人应当严格按照本合同及招标文件要求进行文明施工，确保施工的工期、质量、安全及环境保护等方面符合国家、广东省、广州市有关法律、法规、规范、标准的规定及发包人的要求。如有违反所造成的一切后果，全部由承包人负责承担。</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7.3承包人负责协助办理与本项目相关的所有报批手续，含水陆运输证、环卫和施工噪音管理等各种相关证件、手续的办理及各类专业报建手续的报批，上述工作的相关费用已包含在合同价款中。承包人自行承担相关费用，如不按期缴纳的，发包人有权在任何一期工程款中扣除该费用。</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7.4承包人应当遵守国家、广东省、广州市环保有关规定，开展项目的施工作业。</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7.5承包人应当严格执行施工组织设计中的资源投入计划，将工程施工所需的机械设备、人员、材料等资源，根据工程进度计划按时、按标准、足额投入。</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7.6承包人应当为完成本合同而设置合格的现场施工项目经理部，并为此配备具有足够工作经验和工作能力的、认真负责的管理人员和技术人员。</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7.7承包人人员应接受发包人、监理单位现场管理人员的监督和检查，遵照其指示工作，并为其日常查验提供工作便利和安全条件。承包人人员不执行或者错误执行指示的，承包人应当承担由此产生的费用并赔偿发包人的损失。</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7.8承包人为完成工程内容而雇佣的特殊工种的工人和操作人员应受过专门的培训并已取得政府有关管理机构颁发的上岗证书。</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7.9除非合同文件另有约定，从工程开工之日起直至工程竣工之日止，承包人应对施工现场的照管负完全责任。</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7.10承包人负责施工临时设施、临时道路、水电管线的修建安装，保证施工的正常进行。负责运输、保管自行采购及使用的材料和工程设备，若由此发生的安全等事故，一切后果及法律责任由承包人承担。</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7.11承包人指派</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为项目负责人（应具有相应技术资格和施工管理经验）负责施工现场的全面工作，处理现场有关事宜，代表承包人做出决定和遵照发包人指示工作。</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7.12承包人应当遵守政府有关部门对施工现场地交通、市容和施工噪声以及环境保护等的管理规定，并承担因此发生的费用和因违反规定而受到的罚款。</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7.13在施工中，承包人应当负责由自身原因造成的停工、返工、机械二次进场等的费用和损失。</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7.14承包人应当负责妥善安排施工人员的食宿。在现场安全保卫工作方面，保证满足本项目施工过程中所必需的所有要求，自行解决一切扰民问题。</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7.15承包人应按政府主管部门的要求取得为完成其在本合同项下的工作所必需的许可、证书及执照，且办理以上手续的费用由承包人自行承担。同时，承包人必须保证其向发包人提供的资质证明文件的真实性、合法性、有效性。由于承包人未按规定办理所需手续而导致的罚款及给发包人造成的损失均由承包人承担。</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7.16无论何时，承包人向发包人提供的有关工程施工的书面文件虽经审批，亦不能因此减免承包人应履行的义务及应负的任何法律责任。</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7.17承包人应做好安全教育培训和安全保障措施，在施工过程中造成安全事故、工期延误、人员生命财产损害和经济损失，均由承包人承担全部责任，并赔偿发包人因此受到的经济损失。</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7.18对于因承包人给发包人造成的损失、费用增加及违约金等，发包人有权在承包人的履约担保或者未支付的任何一期款项中将该费用扣付而无需取得承包人的事先同意，若履约担保及未支付款项不足以抵扣造成的损失、费用增加及违约金等，承包人须另行支付相应费用。</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7.19承包人应当负责所雇用的工人的伤亡事故或损失。对于这类伤亡或损失，发包人不承担任何责任，且不负担涉及这类伤亡或损失的索赔、诉讼、损害赔偿及其它费用。</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7.20承包人应当清楚地预计到施工期间对外界可能产生的必需的不可能避免的干扰，并为此保证主动努力减少这些干扰对外界的影响，且应当积极主动与外界进行协调。</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7.21承包人在清运过程中，若不按政府的有关规定处理余泥及污染废弃物的，相关责任由承包人承担。</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7.22承包人负责对其聘用的工作人员的劳动用工进行管理（包括但不限于依法为其派出人员建立、终止、解除劳动关系，处理劳动争议，依法支付工资、缴纳社会保险、发放高温津贴，负责劳动安全、职业卫生、计划生育、奖惩、休息休假等管理）。合同期内，承包人应严格遵守国家、省、市有关安全、消防、环保、计生、劳动卫生和城市管理等法律法规或相关规定，建立规章制度和防护措施，遵守发包人规章制度，并承担由于自身原因所造成的事故责任和发生的费用。发包人有权对承包人执行上述工作的情况进行检查，并有权要求承包人纠正违法违纪行为。</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7.23承包人应积极配合发包人委托的环保监理进行环保监测，确保施工过程的环境符合各项环保法律法规的要求。</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7.24承包人应无条件配合发包人或其上级单位的监督和检查工作。</w:t>
      </w:r>
    </w:p>
    <w:p>
      <w:pPr>
        <w:autoSpaceDE w:val="0"/>
        <w:snapToGrid w:val="0"/>
        <w:spacing w:before="156"/>
        <w:ind w:firstLine="480"/>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7.25承包人应无条件配合发包人或其上级单位的监督和检查工作。</w:t>
      </w: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第八条  施工组织设计及进度计划</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8.1承包人应在本合同签订之日起30天内提交详细的工艺设计、施工组织设计和施工进度计划，并报发包人、监理单位审批。该进度计划在经发包人、监理单位审批通过后对各方均具有约束力。承包人同时办理相关手续（因修复技术路线需要办理相关鉴定、检测等前置工作也由承包人办理，但提交时间视具体情况而定）。</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8.2承包人应采取任何必要和适当的措施保证工程按照第八条8.1中审批通过的施工进度计划进行施工，任何与此类措施有关的费用由承包人承担。如需夜间施工，承包人应自行办理相关政府审批手续，并承担相关费用。</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8.3在工程进行时，在承包人无权延长工期的情况下，发包人认为工程进度被延迟至令本项目可能无法在竣工日前完成，发包人可向承包人发出以下指示：</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8.3.1发包人及监理单位有权指示承包人增加人手、机械、加班工作（包括夜班工作），执行指定的施工工序或建造一切临时设施以加速工程进度，承包人应收到有关指示之日起两天内呈交加速工程进度之施工组织设计及更改后的进度计划给发包人审批备案，并按照审批通过后的计划工序有规律及尽力地完成施工。</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8.3.2发包人可指示承包人优先完成工程的某个部分，而承包人应无条件遵守该项指示。</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8.3.3承包人在执行以上各项指示时，不能索取任何费用。</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如发包人认为承包人未能遵守任何上列指示时，可自行雇用额外人手、增加施工机械及建造临时设施以使工程能如期完成，一切产生的费用在发包人及监理单位核实后从承包人履约担保或未支付的款项中扣付。 </w:t>
      </w: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第九条  工期</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9.1合同工期</w:t>
      </w:r>
      <w:r>
        <w:rPr>
          <w:rFonts w:hint="eastAsia" w:ascii="仿宋" w:hAnsi="仿宋" w:eastAsia="仿宋" w:cs="仿宋"/>
          <w:color w:val="000000" w:themeColor="text1"/>
          <w:highlight w:val="none"/>
          <w:u w:val="single"/>
          <w14:textFill>
            <w14:solidFill>
              <w14:schemeClr w14:val="tx1"/>
            </w14:solidFill>
          </w14:textFill>
        </w:rPr>
        <w:t xml:space="preserve">    259   </w:t>
      </w:r>
      <w:r>
        <w:rPr>
          <w:rFonts w:hint="eastAsia" w:ascii="仿宋" w:hAnsi="仿宋" w:eastAsia="仿宋" w:cs="仿宋"/>
          <w:color w:val="000000" w:themeColor="text1"/>
          <w:highlight w:val="none"/>
          <w14:textFill>
            <w14:solidFill>
              <w14:schemeClr w14:val="tx1"/>
            </w14:solidFill>
          </w14:textFill>
        </w:rPr>
        <w:t>日历天，开工日期以监理单位签发开工令为准。</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9.1.1合同签订之日起 </w:t>
      </w:r>
      <w:r>
        <w:rPr>
          <w:rFonts w:hint="eastAsia" w:ascii="仿宋" w:hAnsi="仿宋" w:eastAsia="仿宋" w:cs="仿宋"/>
          <w:color w:val="000000" w:themeColor="text1"/>
          <w:highlight w:val="none"/>
          <w:u w:val="single"/>
          <w14:textFill>
            <w14:solidFill>
              <w14:schemeClr w14:val="tx1"/>
            </w14:solidFill>
          </w14:textFill>
        </w:rPr>
        <w:t xml:space="preserve">  30    </w:t>
      </w:r>
      <w:r>
        <w:rPr>
          <w:rFonts w:hint="eastAsia" w:ascii="仿宋" w:hAnsi="仿宋" w:eastAsia="仿宋" w:cs="仿宋"/>
          <w:color w:val="000000" w:themeColor="text1"/>
          <w:highlight w:val="none"/>
          <w14:textFill>
            <w14:solidFill>
              <w14:schemeClr w14:val="tx1"/>
            </w14:solidFill>
          </w14:textFill>
        </w:rPr>
        <w:t>日历天内，承包人完成《广州浪奇化工厂地块二(A)土壤污染修复方案》和《广州浪奇化工厂地块二(B)土壤污染修复方案》编制及在相关部门的备案；</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9.1.2合同签订之日起</w:t>
      </w:r>
      <w:r>
        <w:rPr>
          <w:rFonts w:hint="eastAsia" w:ascii="仿宋" w:hAnsi="仿宋" w:eastAsia="仿宋" w:cs="仿宋"/>
          <w:color w:val="000000" w:themeColor="text1"/>
          <w:highlight w:val="none"/>
          <w:u w:val="single"/>
          <w14:textFill>
            <w14:solidFill>
              <w14:schemeClr w14:val="tx1"/>
            </w14:solidFill>
          </w14:textFill>
        </w:rPr>
        <w:t xml:space="preserve">    199    日历天</w:t>
      </w:r>
      <w:r>
        <w:rPr>
          <w:rFonts w:hint="eastAsia" w:ascii="仿宋" w:hAnsi="仿宋" w:eastAsia="仿宋" w:cs="仿宋"/>
          <w:color w:val="000000" w:themeColor="text1"/>
          <w:highlight w:val="none"/>
          <w14:textFill>
            <w14:solidFill>
              <w14:schemeClr w14:val="tx1"/>
            </w14:solidFill>
          </w14:textFill>
        </w:rPr>
        <w:t>内，完成污染土开挖、水泥窑协同处置、污染土修复效果自检、基坑涌水处理</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异味土壤治理</w:t>
      </w:r>
      <w:r>
        <w:rPr>
          <w:rFonts w:hint="eastAsia" w:ascii="仿宋" w:hAnsi="仿宋" w:eastAsia="仿宋" w:cs="仿宋"/>
          <w:color w:val="000000" w:themeColor="text1"/>
          <w:highlight w:val="none"/>
          <w14:textFill>
            <w14:solidFill>
              <w14:schemeClr w14:val="tx1"/>
            </w14:solidFill>
          </w14:textFill>
        </w:rPr>
        <w:t>等施工期所有工作，编制完成修复施工总结报告。</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9.1.3 合同签订之日起</w:t>
      </w:r>
      <w:r>
        <w:rPr>
          <w:rFonts w:hint="eastAsia" w:ascii="仿宋" w:hAnsi="仿宋" w:eastAsia="仿宋" w:cs="仿宋"/>
          <w:color w:val="000000" w:themeColor="text1"/>
          <w:highlight w:val="none"/>
          <w:u w:val="single"/>
          <w14:textFill>
            <w14:solidFill>
              <w14:schemeClr w14:val="tx1"/>
            </w14:solidFill>
          </w14:textFill>
        </w:rPr>
        <w:t xml:space="preserve">    229     </w:t>
      </w:r>
      <w:r>
        <w:rPr>
          <w:rFonts w:hint="eastAsia" w:ascii="仿宋" w:hAnsi="仿宋" w:eastAsia="仿宋" w:cs="仿宋"/>
          <w:color w:val="000000" w:themeColor="text1"/>
          <w:highlight w:val="none"/>
          <w14:textFill>
            <w14:solidFill>
              <w14:schemeClr w14:val="tx1"/>
            </w14:solidFill>
          </w14:textFill>
        </w:rPr>
        <w:t>日历天内，协助效果评估单位完成修复效果评估报告备案。</w:t>
      </w:r>
    </w:p>
    <w:p>
      <w:pPr>
        <w:pStyle w:val="4"/>
        <w:spacing w:before="156"/>
        <w:ind w:firstLine="0" w:firstLineChars="0"/>
        <w:rPr>
          <w:rFonts w:ascii="仿宋" w:hAnsi="仿宋" w:eastAsia="仿宋" w:cs="仿宋"/>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9.1.4合同签订之日起 259日历天内，项目移出广东省建设用地土壤污染风险管控和修复名录。</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9.1.5承包人不得以变更或签证未审核为由延误执行，否则承包人承担由此产生工期延误及相关损失。</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9.2进度计划</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9.2.1承包人在编制工期及各个进度控制节点时，已充分考虑可能出现的下雨、台风（政府发布的橙色预警以下）、高温天气、停水、停电、节假日等因素及承包人原因造成的《广州浪奇化工厂地块二(A)土壤污染修复方案》和《广州浪奇化工厂地块二(B)土壤污染修复方案》的设计、修改、变更所需时间（除本合同定义的不可抗力因素外）。</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9.2.2.承包人必须按发包人、监理确认的进度计划组织施工，接受发包人、监理的检查、监督。工程进度延迟时，承包人必须按发包人、监理的要求提出改进措施。经发包人、监理确认后，限期追回进度。因承包人的原因导致进度延迟，工期不予顺延。</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9.3承包人的施工时间必须遵守政府的有关规定。</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9.4工期调整</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9.4.1.因以下原因造成工期延误，经发包人确认，工期相应顺延。</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（1）本合同定义的不可抗力；</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（2）发包人未能在开工前3天提供施工场地、进场通道；</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（3）发包人引起的工程延期开工、停建、缓建、暂停施工；</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（4）发包人无正当理由未按本合同约定日期支付工程款；</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（5）本合同中约定或发包人同意工期顺延的其他情况。</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9.4.2.承包人在9.4.1条款情况发生后2天内，应就工期调整的理由以书面形式向发包人提出报告。如承包人未在上述时间内提出申请,视为工期不受影响。</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9.4.3.凡由于承包人造成的工期延误，则工期不能顺延，由此引起的赶工措施等费用增加均由承包人自行承担。</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9.5暂停施工</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凡出现下列情形之一的，监理工程师报经发包人书面同意后，可通知承包人暂停施工并限期整改；若承包人拒绝或未能在限期内妥善整改的，发包人有权暂停拨付工程款。由此发生的管理费用、修复费用、工程清理费用及停工损失等全部责任由承包人承担，工期不予顺延：</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9.5.1出现质量事故或安全事故；</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9.5.2存在安全隐患，未按监理单位或发包人的要求及时进行整改；</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9.5.3因噪音或污染等方面问题而严重影响其他单位或个人的生产、生活且未及时整改的；</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9.5.4拒绝接受发包人或监理单位的监督、管理；</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9.5.5施工方案未获批准而进行施工；</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9.5.6未经监理单位检验通过而进行下一道工序作业；</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9.5.7擅自变更施工方案；</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在暂停施工期间，承包人应妥善保护本项目，并保障其能延续下阶段的施工需要及其安全。</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9.6承包人应根据发包人要求进行施工，保证工期、质量符合本合同及发包人要求。 </w:t>
      </w: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第十条  转包与分包</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承包人不得将本项目转包或违法分包。承包人欲合法分包，应向发包人提供分包相应资料，发包人审批后方可进行。</w:t>
      </w: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第十一条  安全施工及环境保护</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11.1施工现场安全由承包人负责，承包人应服从发包人对施工现场安全施工及环境保护方面的管理。</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11.2承包人应按国家、广东省、广州市有关安全施工法律、法规、规范的规定，做好现场施工安全管理，随时接受有关安全检查人员依法进行的监督检查。承包人应采取严格的维护安全的措施、防范危险的措施、预防火灾的措施，承担由于安全措施不力造成事故的责任和因此发生的费用。</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11.3承包人应加强现场安全保卫工作，安排保安人员值勤，做好防火防盗工作，确保工程顺利进行。</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11.4承包人应遵守环境保护的法律、法规的规定，采取一切合理的办法对施工现场的各种粉尘、噪声、废水、废气、固体废物采取必要的控制措施，避免各种粉尘、噪声污染。</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11.5发包人认为承包人工作中的安全、环保措施、设施不符合有关规定的，有权要求承包人限期整改。当承包人不能满足发包人要求时，发包人有权自行安排其他单位采取相应措施，以确保施工的安全、环保，费用从承包人的工程款中扣付。</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11.6承包人在施工组织设计文件中必须包括安全施工及环境保护的有关内容，经发包人审批通过后严格执行。</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11.7承包人应当设立安全生产管理机构，配备专职安全生产管理人员。</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11.8承包人应当建立健全安全生产责任制度和安全生产教育培训制度，制定安全生产操作规程，并保证本项目安全生产条件所需资金的投入。</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11.9施工的脚手架应当设置相应的围护措施，还应搭设防护隔离棚。</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11.10承包人应强化安全意识，做好施工安全工作。作业前对施工人员的身体状况进行检查，患病、饮酒及其它身体不适者不得施工，严禁未经培训的施工人员从事高空作业。作业前承包人管理人员必须对施工用具进行安全检查，对员工的安全措施是否完善、妥当进行检查，发现有易燃、易爆隐患的，应在隐患消除后方可作业。</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11.11承包人应当制定生产安全事故应急救援预案，配备应急救援人员以及必要的应急救援器材、设备。</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11.12发生施工安全事故后承包人应当采取措施防止事故扩大，保护事故现场。需要移动现场物品时，应当做出标记和书面记录，妥善保护有关证物。</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11.13施工发生安全事故，应当按照国家有关伤亡事故报告和调查处理的规定，及时、如实的向安全生产监督部门、建设行政主管部门及其他有关部门报告，由此发生的费用由承包人承担。</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11.14施工过程中所发生的一切安全事故，均由承包人承担全部责任和经济损失，包括但不限于经济、法律及刑事责任等。</w:t>
      </w: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第十二条  文明施工</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12.1在本项目施工期间，承包人应保证现场不出现任何不必要的障碍物，存放并处置好所有的机械设备，并及时清除现场的任何废料、垃圾和不再需要的临时设施。</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12.2承包人应保证本项目施工场地清洁卫生，符合环境卫生管理的有关规定，并承担因违反有关规定造成的损失和罚款。</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12.3在工程完成后，承包人应彻底清除现场并运出全部机械设备，确保现场平整、清洁，通过发包人和监理单位验收。</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12.4若承包人不能完成上述工作，发包人有权委托专业单位代替承包人完成上述工作，费用从承包人工程款中扣付。 </w:t>
      </w: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第十三条  竣工验收与移交</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13.1本项目竣工后，承包人应及时准备验收资料并配合发包人向生态环境部门书面提出验收申请。</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13.2如果全部工程或某区段未能通过验收，则承包人应根据验收结果对全部工程或某区段进行整改或修复。整改修复完毕后，承包人应及时重新准备验收资料并申请一个新的竣工验收日期，并配合发包人向生态环境部门书面提出重新验收申请。</w:t>
      </w:r>
    </w:p>
    <w:p>
      <w:pPr>
        <w:autoSpaceDE w:val="0"/>
        <w:snapToGrid w:val="0"/>
        <w:spacing w:before="156"/>
        <w:ind w:firstLine="480"/>
        <w:rPr>
          <w:rFonts w:ascii="仿宋" w:hAnsi="仿宋" w:eastAsia="仿宋" w:cs="仿宋"/>
          <w:b/>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13.3工程验收标准：严格执行《广州市建设工程文明施工管理规定》（广州市人民政府2011年第62号令）、《建筑施工场界噪声限值》（GB12523-2011）、《场地环境监测技术导则》（HJ25.2-2014）、《污染场地土壤修复技术导则》（HJ25.4-2014）、《工业企业场地环境调查评估与修复工作指南（试行）》《广东省水污染物排放限值》(DB44/26-2001)、《广东省大气污染物排放限值》(DB44/27-2001)等国家、省、市、行业及发包人规定的相关标准。</w:t>
      </w:r>
      <w:r>
        <w:rPr>
          <w:rFonts w:hint="eastAsia" w:ascii="仿宋" w:hAnsi="仿宋" w:eastAsia="仿宋" w:cs="仿宋"/>
          <w:b/>
          <w:color w:val="000000" w:themeColor="text1"/>
          <w:highlight w:val="none"/>
          <w:u w:val="single"/>
          <w14:textFill>
            <w14:solidFill>
              <w14:schemeClr w14:val="tx1"/>
            </w14:solidFill>
          </w14:textFill>
        </w:rPr>
        <w:t>如有最新的相关标准，则按最新的相关标准执行。</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有国家、广东省和广州市标准、规范的，适用国家、广东省和广州市行业标准；没有国家、广东省和广州市行业标准的，由发包人提出技术要求，承包人按照要求向发包人提出施工方案和措施并报发包人、监理单位审批。</w:t>
      </w: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第十四条  结算</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承包人在完成合同全部施工内容并协助效果评估单位在生态环境主管部门完成备案工作后，可向发包人提出结算申请。</w:t>
      </w: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第十五条  变更</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本项目合同为综合单价包干，在承包范围和合同约定承包内容内如出现工程量变更，合同额应同时变更。</w:t>
      </w: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第十六条  争议的解决</w:t>
      </w:r>
    </w:p>
    <w:p>
      <w:pPr>
        <w:pStyle w:val="11"/>
        <w:snapToGrid w:val="0"/>
        <w:spacing w:before="156" w:line="360" w:lineRule="auto"/>
        <w:ind w:firstLine="480"/>
        <w:jc w:val="left"/>
        <w:outlineLvl w:val="9"/>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16.1甲、乙双方因本合同而起或与本合同有关的争议，应友好协商解决，经协商不能解决的，任何一方均有权向发包人所在地有管辖权的人民法院提起诉讼。</w:t>
      </w:r>
    </w:p>
    <w:p>
      <w:pPr>
        <w:pStyle w:val="11"/>
        <w:snapToGrid w:val="0"/>
        <w:spacing w:before="156" w:line="360" w:lineRule="auto"/>
        <w:ind w:firstLine="480"/>
        <w:jc w:val="left"/>
        <w:outlineLvl w:val="9"/>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 xml:space="preserve">16.2发生争议后，除非出现法律规定的可以中止履行合同的情形，合同各方都应继续履行合同，保持本项目进展的连续性。 </w:t>
      </w: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第十七条  违约责任及扣罚</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17.1本合同签订后，甲、乙双方均应全面履行自己的义务，否则，任何一方不履行或不按合同约定履行合同的行为将构成违约行为，对于守约方因此遭受的损失，违约方应承担赔偿责任。</w:t>
      </w: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17.2若承包人未按时完成合同全部施工内容并完成土壤污染修复总结报告编制，导致修复效果评估报告无法按时在生态环境主管部门完成备案的，视为承包人违约，承包人按 </w:t>
      </w:r>
      <w:r>
        <w:rPr>
          <w:rFonts w:hint="eastAsia" w:ascii="仿宋" w:hAnsi="仿宋" w:eastAsia="仿宋" w:cs="仿宋"/>
          <w:color w:val="000000" w:themeColor="text1"/>
          <w:highlight w:val="none"/>
          <w:u w:val="single"/>
          <w14:textFill>
            <w14:solidFill>
              <w14:schemeClr w14:val="tx1"/>
            </w14:solidFill>
          </w14:textFill>
        </w:rPr>
        <w:t xml:space="preserve">  20000  </w:t>
      </w:r>
      <w:r>
        <w:rPr>
          <w:rFonts w:hint="eastAsia" w:ascii="仿宋" w:hAnsi="仿宋" w:eastAsia="仿宋" w:cs="仿宋"/>
          <w:color w:val="000000" w:themeColor="text1"/>
          <w:highlight w:val="none"/>
          <w14:textFill>
            <w14:solidFill>
              <w14:schemeClr w14:val="tx1"/>
            </w14:solidFill>
          </w14:textFill>
        </w:rPr>
        <w:t>元/天向发包人支付违约金，最多不超过合同总金额的3%。因非承包人原因造成无法按时完成效果评估报告备案的，承包人须提供证明材料供发包人审核，经发包人审核通过的，不构成违约。</w:t>
      </w:r>
    </w:p>
    <w:p>
      <w:pPr>
        <w:pStyle w:val="5"/>
        <w:snapToGrid w:val="0"/>
        <w:spacing w:before="156"/>
        <w:ind w:firstLine="482"/>
        <w:jc w:val="center"/>
        <w:rPr>
          <w:rFonts w:ascii="仿宋" w:hAnsi="仿宋" w:eastAsia="仿宋" w:cs="仿宋"/>
          <w:b/>
          <w:bCs/>
          <w:color w:val="000000" w:themeColor="text1"/>
          <w:sz w:val="24"/>
          <w:szCs w:val="24"/>
          <w:highlight w:val="none"/>
          <w14:textFill>
            <w14:solidFill>
              <w14:schemeClr w14:val="tx1"/>
            </w14:solidFill>
          </w14:textFill>
        </w:rPr>
      </w:pP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第十八条  保险</w:t>
      </w:r>
    </w:p>
    <w:p>
      <w:pPr>
        <w:autoSpaceDE w:val="0"/>
        <w:snapToGrid w:val="0"/>
        <w:spacing w:before="156"/>
        <w:ind w:right="346"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18.1本项目开工前，承包人必须购买工程一切险及第三者责任险，并为承包人人员办理人身意外伤害保险，保险费用由承包人自行支付。承包人违反本条约定，未购买约定保险或发生保险事故时保险金额不足以覆盖赔偿金额的，由承包人承担全部责任，与发包人无关。</w:t>
      </w:r>
    </w:p>
    <w:p>
      <w:pPr>
        <w:autoSpaceDE w:val="0"/>
        <w:snapToGrid w:val="0"/>
        <w:spacing w:before="156"/>
        <w:ind w:right="346"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18.2保险事故发生时，承包人有责任尽力采取必要的措施防止或者减少损失。 </w:t>
      </w: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第十九条  不可抗力</w:t>
      </w:r>
    </w:p>
    <w:p>
      <w:pPr>
        <w:autoSpaceDE w:val="0"/>
        <w:snapToGrid w:val="0"/>
        <w:spacing w:before="156"/>
        <w:ind w:right="346"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19.1不可抗力是指战争、严重火灾、水灾、台风（政府相关部门发布的红色预警及以上）、地震等人力不可抗拒的因素引起的延误和影响。</w:t>
      </w:r>
    </w:p>
    <w:p>
      <w:pPr>
        <w:autoSpaceDE w:val="0"/>
        <w:snapToGrid w:val="0"/>
        <w:spacing w:before="156"/>
        <w:ind w:right="346"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19.2当发包人或承包人因不可抗力的影响不能履行合同义务时，履行合同的时间将予以顺延，延长期与不可抗力影响期相同，但合同价款不能因此而改变。</w:t>
      </w:r>
    </w:p>
    <w:p>
      <w:pPr>
        <w:autoSpaceDE w:val="0"/>
        <w:snapToGrid w:val="0"/>
        <w:spacing w:before="156"/>
        <w:ind w:right="346"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19.3不可抗力发生后，双方应努力采取必要措施，密切配合减少甚至消除不可抗力的影响；不可抗力的影响消除后应立即通知另一方继续履行合同。</w:t>
      </w:r>
    </w:p>
    <w:p>
      <w:pPr>
        <w:autoSpaceDE w:val="0"/>
        <w:snapToGrid w:val="0"/>
        <w:spacing w:before="156"/>
        <w:ind w:right="346"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19.4甲、乙双方任何一方如确因不可抗力的原因，不能履行或须延期履行、部分履行本合同时，应及时通知对方不能履行或须延期履行、部分履行合同的理由。在取得对方认可后，本合同可以不履行或延期履行或部分履行，并免予承担违约责任。 </w:t>
      </w: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第二十条  合同效力</w:t>
      </w:r>
    </w:p>
    <w:p>
      <w:pPr>
        <w:autoSpaceDE w:val="0"/>
        <w:snapToGrid w:val="0"/>
        <w:spacing w:before="156"/>
        <w:ind w:right="346"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20.1本合同自甲、乙双方签字加盖公章后，合同正式生效，至甲、乙双方的全部义务履行完毕后失效。</w:t>
      </w:r>
    </w:p>
    <w:p>
      <w:pPr>
        <w:shd w:val="clear" w:color="auto" w:fill="FFFFFF"/>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20.2本合同一式</w:t>
      </w:r>
      <w:r>
        <w:rPr>
          <w:rFonts w:hint="eastAsia" w:ascii="仿宋" w:hAnsi="仿宋" w:eastAsia="仿宋" w:cs="仿宋"/>
          <w:color w:val="000000" w:themeColor="text1"/>
          <w:highlight w:val="none"/>
          <w:u w:val="single"/>
          <w14:textFill>
            <w14:solidFill>
              <w14:schemeClr w14:val="tx1"/>
            </w14:solidFill>
          </w14:textFill>
        </w:rPr>
        <w:t>捌</w:t>
      </w:r>
      <w:r>
        <w:rPr>
          <w:rFonts w:hint="eastAsia" w:ascii="仿宋" w:hAnsi="仿宋" w:eastAsia="仿宋" w:cs="仿宋"/>
          <w:color w:val="000000" w:themeColor="text1"/>
          <w:highlight w:val="none"/>
          <w14:textFill>
            <w14:solidFill>
              <w14:schemeClr w14:val="tx1"/>
            </w14:solidFill>
          </w14:textFill>
        </w:rPr>
        <w:t>份，甲、乙各执</w:t>
      </w:r>
      <w:r>
        <w:rPr>
          <w:rFonts w:hint="eastAsia" w:ascii="仿宋" w:hAnsi="仿宋" w:eastAsia="仿宋" w:cs="仿宋"/>
          <w:color w:val="000000" w:themeColor="text1"/>
          <w:highlight w:val="none"/>
          <w:u w:val="single"/>
          <w14:textFill>
            <w14:solidFill>
              <w14:schemeClr w14:val="tx1"/>
            </w14:solidFill>
          </w14:textFill>
        </w:rPr>
        <w:t>肆</w:t>
      </w:r>
      <w:r>
        <w:rPr>
          <w:rFonts w:hint="eastAsia" w:ascii="仿宋" w:hAnsi="仿宋" w:eastAsia="仿宋" w:cs="仿宋"/>
          <w:color w:val="000000" w:themeColor="text1"/>
          <w:highlight w:val="none"/>
          <w14:textFill>
            <w14:solidFill>
              <w14:schemeClr w14:val="tx1"/>
            </w14:solidFill>
          </w14:textFill>
        </w:rPr>
        <w:t>份，均具同等法律效力。</w:t>
      </w:r>
    </w:p>
    <w:p>
      <w:pPr>
        <w:autoSpaceDE w:val="0"/>
        <w:snapToGrid w:val="0"/>
        <w:spacing w:before="156"/>
        <w:ind w:right="346"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20.3当甲、乙双方任何一方的行为构成实质性违约（指一方的违约行为致使另一方订立本合同的目的不能实现或对一方来说，另一方继续履行合同已无必要）或有预期违约、欺诈等行为时，合同另一方有权单方解除合同。在这种情况下，本合同自受约方的书面解除合同通知到达违约方之日起发生解除效力。 </w:t>
      </w:r>
    </w:p>
    <w:p>
      <w:pPr>
        <w:pStyle w:val="11"/>
        <w:snapToGrid w:val="0"/>
        <w:spacing w:before="156" w:line="360" w:lineRule="auto"/>
        <w:ind w:firstLine="482"/>
        <w:outlineLvl w:val="9"/>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第二十一条  其他</w:t>
      </w:r>
    </w:p>
    <w:p>
      <w:pPr>
        <w:autoSpaceDE w:val="0"/>
        <w:snapToGrid w:val="0"/>
        <w:spacing w:before="156"/>
        <w:ind w:right="346"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21.1本合同未尽事宜，由甲、乙双方协商一致后签订补充协议。</w:t>
      </w:r>
    </w:p>
    <w:p>
      <w:pPr>
        <w:autoSpaceDE w:val="0"/>
        <w:snapToGrid w:val="0"/>
        <w:spacing w:before="156"/>
        <w:ind w:right="346"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21.2本合同的附件和补充协议与本合同具有同等的法律效力。</w:t>
      </w:r>
    </w:p>
    <w:p>
      <w:pPr>
        <w:autoSpaceDE w:val="0"/>
        <w:snapToGrid w:val="0"/>
        <w:spacing w:before="156"/>
        <w:ind w:right="346"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21.3合同签订地点：广州市</w:t>
      </w:r>
    </w:p>
    <w:p>
      <w:pPr>
        <w:autoSpaceDE w:val="0"/>
        <w:snapToGrid w:val="0"/>
        <w:spacing w:before="156"/>
        <w:ind w:right="346"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21.4合同签订时间：    年  月  日</w:t>
      </w:r>
    </w:p>
    <w:p>
      <w:pPr>
        <w:pStyle w:val="15"/>
        <w:snapToGrid w:val="0"/>
        <w:spacing w:line="360" w:lineRule="auto"/>
        <w:ind w:firstLine="480" w:firstLineChars="200"/>
        <w:jc w:val="left"/>
        <w:rPr>
          <w:rFonts w:ascii="仿宋" w:hAnsi="仿宋" w:cs="仿宋"/>
          <w:color w:val="000000" w:themeColor="text1"/>
          <w:sz w:val="24"/>
          <w:highlight w:val="none"/>
          <w14:textFill>
            <w14:solidFill>
              <w14:schemeClr w14:val="tx1"/>
            </w14:solidFill>
          </w14:textFill>
        </w:rPr>
      </w:pPr>
      <w:r>
        <w:rPr>
          <w:rFonts w:hint="eastAsia" w:ascii="仿宋" w:hAnsi="仿宋" w:cs="仿宋"/>
          <w:color w:val="000000" w:themeColor="text1"/>
          <w:sz w:val="24"/>
          <w:highlight w:val="none"/>
          <w14:textFill>
            <w14:solidFill>
              <w14:schemeClr w14:val="tx1"/>
            </w14:solidFill>
          </w14:textFill>
        </w:rPr>
        <w:t>（以下无正文）</w:t>
      </w:r>
    </w:p>
    <w:p>
      <w:pPr>
        <w:pStyle w:val="15"/>
        <w:snapToGrid w:val="0"/>
        <w:spacing w:line="360" w:lineRule="auto"/>
        <w:rPr>
          <w:rFonts w:ascii="仿宋" w:hAnsi="仿宋" w:cs="仿宋"/>
          <w:color w:val="000000" w:themeColor="text1"/>
          <w:kern w:val="0"/>
          <w:sz w:val="24"/>
          <w:highlight w:val="none"/>
          <w14:textFill>
            <w14:solidFill>
              <w14:schemeClr w14:val="tx1"/>
            </w14:solidFill>
          </w14:textFill>
        </w:rPr>
      </w:pPr>
    </w:p>
    <w:p>
      <w:pPr>
        <w:pStyle w:val="15"/>
        <w:snapToGrid w:val="0"/>
        <w:spacing w:line="360" w:lineRule="auto"/>
        <w:rPr>
          <w:rFonts w:ascii="仿宋" w:hAnsi="仿宋" w:cs="仿宋"/>
          <w:color w:val="000000" w:themeColor="text1"/>
          <w:kern w:val="0"/>
          <w:sz w:val="24"/>
          <w:highlight w:val="none"/>
          <w14:textFill>
            <w14:solidFill>
              <w14:schemeClr w14:val="tx1"/>
            </w14:solidFill>
          </w14:textFill>
        </w:rPr>
      </w:pPr>
    </w:p>
    <w:p>
      <w:pPr>
        <w:pStyle w:val="15"/>
        <w:snapToGrid w:val="0"/>
        <w:spacing w:line="360" w:lineRule="auto"/>
        <w:rPr>
          <w:rFonts w:ascii="仿宋" w:hAnsi="仿宋" w:cs="仿宋"/>
          <w:color w:val="000000" w:themeColor="text1"/>
          <w:kern w:val="0"/>
          <w:sz w:val="24"/>
          <w:highlight w:val="none"/>
          <w14:textFill>
            <w14:solidFill>
              <w14:schemeClr w14:val="tx1"/>
            </w14:solidFill>
          </w14:textFill>
        </w:rPr>
      </w:pPr>
    </w:p>
    <w:p>
      <w:pPr>
        <w:pStyle w:val="15"/>
        <w:snapToGrid w:val="0"/>
        <w:spacing w:line="360" w:lineRule="auto"/>
        <w:rPr>
          <w:rFonts w:ascii="仿宋" w:hAnsi="仿宋" w:cs="仿宋"/>
          <w:color w:val="000000" w:themeColor="text1"/>
          <w:kern w:val="0"/>
          <w:sz w:val="24"/>
          <w:highlight w:val="none"/>
          <w14:textFill>
            <w14:solidFill>
              <w14:schemeClr w14:val="tx1"/>
            </w14:solidFill>
          </w14:textFill>
        </w:rPr>
      </w:pPr>
    </w:p>
    <w:p>
      <w:pPr>
        <w:pStyle w:val="15"/>
        <w:snapToGrid w:val="0"/>
        <w:spacing w:line="360" w:lineRule="auto"/>
        <w:rPr>
          <w:rFonts w:ascii="仿宋" w:hAnsi="仿宋" w:cs="仿宋"/>
          <w:color w:val="000000" w:themeColor="text1"/>
          <w:kern w:val="0"/>
          <w:sz w:val="24"/>
          <w:highlight w:val="none"/>
          <w14:textFill>
            <w14:solidFill>
              <w14:schemeClr w14:val="tx1"/>
            </w14:solidFill>
          </w14:textFill>
        </w:rPr>
      </w:pPr>
    </w:p>
    <w:p>
      <w:pPr>
        <w:spacing w:before="156"/>
        <w:ind w:firstLine="480"/>
        <w:rPr>
          <w:rFonts w:ascii="仿宋" w:hAnsi="仿宋" w:cs="仿宋"/>
          <w:color w:val="000000" w:themeColor="text1"/>
          <w:kern w:val="0"/>
          <w:highlight w:val="none"/>
          <w14:textFill>
            <w14:solidFill>
              <w14:schemeClr w14:val="tx1"/>
            </w14:solidFill>
          </w14:textFill>
        </w:rPr>
      </w:pPr>
    </w:p>
    <w:p>
      <w:pPr>
        <w:pStyle w:val="15"/>
        <w:snapToGrid w:val="0"/>
        <w:spacing w:line="360" w:lineRule="auto"/>
        <w:rPr>
          <w:rFonts w:ascii="仿宋" w:hAnsi="仿宋" w:cs="仿宋"/>
          <w:color w:val="000000" w:themeColor="text1"/>
          <w:kern w:val="0"/>
          <w:sz w:val="24"/>
          <w:highlight w:val="none"/>
          <w14:textFill>
            <w14:solidFill>
              <w14:schemeClr w14:val="tx1"/>
            </w14:solidFill>
          </w14:textFill>
        </w:rPr>
      </w:pPr>
    </w:p>
    <w:p>
      <w:pPr>
        <w:pStyle w:val="15"/>
        <w:snapToGrid w:val="0"/>
        <w:spacing w:line="360" w:lineRule="auto"/>
        <w:rPr>
          <w:rFonts w:ascii="仿宋" w:hAnsi="仿宋" w:cs="仿宋"/>
          <w:color w:val="000000" w:themeColor="text1"/>
          <w:kern w:val="0"/>
          <w:sz w:val="24"/>
          <w:highlight w:val="none"/>
          <w14:textFill>
            <w14:solidFill>
              <w14:schemeClr w14:val="tx1"/>
            </w14:solidFill>
          </w14:textFill>
        </w:rPr>
      </w:pPr>
      <w:r>
        <w:rPr>
          <w:rFonts w:hint="eastAsia" w:ascii="仿宋" w:hAnsi="仿宋" w:cs="仿宋"/>
          <w:color w:val="000000" w:themeColor="text1"/>
          <w:kern w:val="0"/>
          <w:sz w:val="24"/>
          <w:highlight w:val="none"/>
          <w14:textFill>
            <w14:solidFill>
              <w14:schemeClr w14:val="tx1"/>
            </w14:solidFill>
          </w14:textFill>
        </w:rPr>
        <w:t>合同签署页</w:t>
      </w:r>
    </w:p>
    <w:p>
      <w:pPr>
        <w:pStyle w:val="15"/>
        <w:snapToGrid w:val="0"/>
        <w:spacing w:line="360" w:lineRule="auto"/>
        <w:jc w:val="both"/>
        <w:rPr>
          <w:rFonts w:ascii="仿宋" w:hAnsi="仿宋" w:cs="仿宋"/>
          <w:color w:val="000000" w:themeColor="text1"/>
          <w:kern w:val="0"/>
          <w:sz w:val="24"/>
          <w:highlight w:val="none"/>
          <w14:textFill>
            <w14:solidFill>
              <w14:schemeClr w14:val="tx1"/>
            </w14:solidFill>
          </w14:textFill>
        </w:rPr>
      </w:pPr>
    </w:p>
    <w:p>
      <w:pPr>
        <w:tabs>
          <w:tab w:val="left" w:pos="5207"/>
        </w:tabs>
        <w:autoSpaceDE w:val="0"/>
        <w:snapToGrid w:val="0"/>
        <w:spacing w:before="156"/>
        <w:ind w:left="5678" w:leftChars="166" w:hanging="5280" w:hangingChars="2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发包人：                        承包人：</w:t>
      </w:r>
    </w:p>
    <w:p>
      <w:pPr>
        <w:tabs>
          <w:tab w:val="left" w:pos="5207"/>
        </w:tabs>
        <w:autoSpaceDE w:val="0"/>
        <w:snapToGrid w:val="0"/>
        <w:spacing w:before="156"/>
        <w:ind w:firstLine="720" w:firstLineChars="3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（盖章）                     （盖章）</w:t>
      </w:r>
    </w:p>
    <w:p>
      <w:pPr>
        <w:tabs>
          <w:tab w:val="left" w:pos="5207"/>
        </w:tabs>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p>
    <w:p>
      <w:pPr>
        <w:tabs>
          <w:tab w:val="left" w:pos="5207"/>
        </w:tabs>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                     法定代表人：</w:t>
      </w:r>
    </w:p>
    <w:p>
      <w:pPr>
        <w:tabs>
          <w:tab w:val="left" w:pos="5207"/>
        </w:tabs>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p>
    <w:p>
      <w:pPr>
        <w:tabs>
          <w:tab w:val="left" w:pos="5207"/>
        </w:tabs>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经办人：                         经办人：               </w:t>
      </w:r>
    </w:p>
    <w:p>
      <w:pPr>
        <w:tabs>
          <w:tab w:val="left" w:pos="5207"/>
        </w:tabs>
        <w:autoSpaceDE w:val="0"/>
        <w:snapToGrid w:val="0"/>
        <w:spacing w:before="156"/>
        <w:ind w:left="1118" w:leftChars="166" w:hanging="720" w:hangingChars="3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w:t>
      </w:r>
      <w:r>
        <w:rPr>
          <w:rFonts w:hint="eastAsia" w:ascii="仿宋" w:hAnsi="仿宋" w:eastAsia="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 xml:space="preserve">                     地址：                  </w:t>
      </w:r>
    </w:p>
    <w:p>
      <w:pPr>
        <w:tabs>
          <w:tab w:val="left" w:pos="5207"/>
        </w:tabs>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邮政编码：                       邮政编码：</w:t>
      </w:r>
    </w:p>
    <w:p>
      <w:pPr>
        <w:tabs>
          <w:tab w:val="left" w:pos="5207"/>
        </w:tabs>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电话：                           电话： </w:t>
      </w:r>
    </w:p>
    <w:p>
      <w:pPr>
        <w:tabs>
          <w:tab w:val="left" w:pos="5207"/>
        </w:tabs>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开户银行：</w:t>
      </w:r>
      <w:r>
        <w:rPr>
          <w:rFonts w:hint="eastAsia" w:ascii="仿宋" w:hAnsi="仿宋" w:eastAsia="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 xml:space="preserve">开户银行：      </w:t>
      </w:r>
    </w:p>
    <w:p>
      <w:pPr>
        <w:tabs>
          <w:tab w:val="left" w:pos="5207"/>
        </w:tabs>
        <w:autoSpaceDE w:val="0"/>
        <w:snapToGrid w:val="0"/>
        <w:spacing w:before="156"/>
        <w:ind w:left="1358" w:leftChars="166" w:hanging="960" w:hangingChars="4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开户名：</w:t>
      </w:r>
      <w:r>
        <w:rPr>
          <w:rFonts w:hint="eastAsia" w:ascii="仿宋" w:hAnsi="仿宋" w:eastAsia="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开户名：</w:t>
      </w:r>
      <w:r>
        <w:rPr>
          <w:rFonts w:hint="eastAsia" w:ascii="仿宋" w:hAnsi="仿宋" w:eastAsia="仿宋"/>
          <w:color w:val="000000" w:themeColor="text1"/>
          <w:highlight w:val="none"/>
          <w14:textFill>
            <w14:solidFill>
              <w14:schemeClr w14:val="tx1"/>
            </w14:solidFill>
          </w14:textFill>
        </w:rPr>
        <w:t xml:space="preserve">                        </w:t>
      </w:r>
    </w:p>
    <w:p>
      <w:pPr>
        <w:tabs>
          <w:tab w:val="left" w:pos="5207"/>
        </w:tabs>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银行帐户：</w:t>
      </w:r>
      <w:r>
        <w:rPr>
          <w:rFonts w:hint="eastAsia" w:ascii="仿宋" w:hAnsi="仿宋" w:eastAsia="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银行帐户：</w:t>
      </w:r>
    </w:p>
    <w:p>
      <w:pPr>
        <w:autoSpaceDE w:val="0"/>
        <w:snapToGrid w:val="0"/>
        <w:spacing w:before="156"/>
        <w:ind w:firstLine="480"/>
        <w:outlineLvl w:val="0"/>
        <w:rPr>
          <w:rFonts w:ascii="仿宋" w:hAnsi="仿宋" w:eastAsia="仿宋" w:cs="仿宋"/>
          <w:color w:val="000000" w:themeColor="text1"/>
          <w:highlight w:val="none"/>
          <w14:textFill>
            <w14:solidFill>
              <w14:schemeClr w14:val="tx1"/>
            </w14:solidFill>
          </w14:textFill>
        </w:rPr>
      </w:pPr>
      <w:bookmarkStart w:id="9" w:name="_Toc1507"/>
      <w:r>
        <w:rPr>
          <w:rFonts w:hint="eastAsia" w:ascii="仿宋" w:hAnsi="仿宋" w:eastAsia="仿宋" w:cs="仿宋"/>
          <w:color w:val="000000" w:themeColor="text1"/>
          <w:highlight w:val="none"/>
          <w14:textFill>
            <w14:solidFill>
              <w14:schemeClr w14:val="tx1"/>
            </w14:solidFill>
          </w14:textFill>
        </w:rPr>
        <w:t>附件1</w:t>
      </w:r>
      <w:bookmarkEnd w:id="9"/>
    </w:p>
    <w:p>
      <w:pPr>
        <w:snapToGrid w:val="0"/>
        <w:spacing w:before="156"/>
        <w:ind w:firstLine="482"/>
        <w:jc w:val="center"/>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廉洁协议</w:t>
      </w:r>
    </w:p>
    <w:p>
      <w:pPr>
        <w:snapToGrid w:val="0"/>
        <w:spacing w:before="156"/>
        <w:ind w:firstLine="480"/>
        <w:rPr>
          <w:rFonts w:ascii="仿宋" w:hAnsi="仿宋" w:eastAsia="仿宋" w:cs="仿宋"/>
          <w:bCs/>
          <w:color w:val="000000" w:themeColor="text1"/>
          <w:highlight w:val="none"/>
          <w14:textFill>
            <w14:solidFill>
              <w14:schemeClr w14:val="tx1"/>
            </w14:solidFill>
          </w14:textFill>
        </w:rPr>
      </w:pPr>
    </w:p>
    <w:p>
      <w:pPr>
        <w:snapToGrid w:val="0"/>
        <w:spacing w:before="156"/>
        <w:ind w:firstLine="48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发包人：</w:t>
      </w:r>
      <w:r>
        <w:rPr>
          <w:rFonts w:hint="eastAsia" w:ascii="仿宋" w:hAnsi="仿宋" w:eastAsia="仿宋" w:cs="仿宋"/>
          <w:bCs/>
          <w:color w:val="000000" w:themeColor="text1"/>
          <w:highlight w:val="none"/>
          <w:u w:val="single"/>
          <w14:textFill>
            <w14:solidFill>
              <w14:schemeClr w14:val="tx1"/>
            </w14:solidFill>
          </w14:textFill>
        </w:rPr>
        <w:t xml:space="preserve">               </w:t>
      </w:r>
    </w:p>
    <w:p>
      <w:pPr>
        <w:snapToGrid w:val="0"/>
        <w:spacing w:before="156"/>
        <w:ind w:firstLine="48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承包人：</w:t>
      </w:r>
      <w:r>
        <w:rPr>
          <w:rFonts w:hint="eastAsia" w:ascii="仿宋" w:hAnsi="仿宋" w:eastAsia="仿宋" w:cs="仿宋"/>
          <w:bCs/>
          <w:color w:val="000000" w:themeColor="text1"/>
          <w:highlight w:val="none"/>
          <w:u w:val="single"/>
          <w14:textFill>
            <w14:solidFill>
              <w14:schemeClr w14:val="tx1"/>
            </w14:solidFill>
          </w14:textFill>
        </w:rPr>
        <w:t xml:space="preserve">               </w:t>
      </w:r>
    </w:p>
    <w:p>
      <w:pPr>
        <w:pStyle w:val="15"/>
        <w:snapToGrid w:val="0"/>
        <w:spacing w:line="360" w:lineRule="auto"/>
        <w:ind w:firstLine="424" w:firstLineChars="176"/>
        <w:rPr>
          <w:rFonts w:ascii="仿宋" w:hAnsi="仿宋" w:cs="仿宋"/>
          <w:b/>
          <w:color w:val="000000" w:themeColor="text1"/>
          <w:sz w:val="24"/>
          <w:highlight w:val="none"/>
          <w14:textFill>
            <w14:solidFill>
              <w14:schemeClr w14:val="tx1"/>
            </w14:solidFill>
          </w14:textFill>
        </w:rPr>
      </w:pP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为了在项目实施过程中保持廉洁自律的工作作风，防止建设项目承发包过程中不正之风和腐败现象的发生，根据国家、省和广州市有关建设项目承发包和廉政建设的各项规定，结合项目的特点，特订立本协议如下：</w:t>
      </w: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一、各方应当自觉遵守国家、省和广州市关于建设项目承发包工作规则以及有关廉政建设的各项规定。</w:t>
      </w: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二、发包人及其工作人员不得以任何形式向承包人索要和收受回扣等好处费。</w:t>
      </w: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三、发包人工作人员应当保持与承包人的正常业务交往，不得接受承包人的礼金、有价证券和贵重物品，不得在承包人报销任何应由单位和个人支付的费用。</w:t>
      </w: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四、发包人工作人员不得参加可能对公正执行公务有影响的宴请和娱乐活动。</w:t>
      </w: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五、发包人工作人员不得要求和接受承包人为其住房装修、婚丧嫁娶、家属和子女的工作安排以及出国、出境等提供方便。</w:t>
      </w: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六、发包人工作人员不得在承包人兼职以及向承包人介绍家属或者亲友从事与发包人工程有关的材料设备供应、工程分包等经济活动。</w:t>
      </w: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七、承包人及其工作人员不得利用向发包人单位及其工作人员行贿、提供回扣或者其它好处等不正当手段承揽工程。</w:t>
      </w: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八、承包人不得为谋取私利擅自与发包人工作人员就建设项目承包、建设项目费用、材料设备供应、工程量变更、工程验收、建设项目质量问题处理等进行私下商谈或者达成默契。</w:t>
      </w: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九、承包人不得以洽谈业务、签定经济合同为借口，邀请发包人工作人员外出旅游和进入营业性高档娱乐场所活动。</w:t>
      </w: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十、承包人不得为发包人单位和个人购置或者长期无偿提供通讯工具、交通工具、家电、办公用品等物品。</w:t>
      </w: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十一、承包人如发现发包人工作人员有违反上述协议者，应向发包人领导、发包人上级单位或纪检监察、检察机关举报。发包人不得找任何借口对承包人进行报复。发包人对举报属实和严格遵守廉洁协议的承包人，在同等条件下给予承接后续工程投标优先权。发包人工作人员向承包人索贿，经承包人检举，被纪检监察、检察机关立案查处认定的，承包人有权从发包人获得被索贿款1-3倍作为奖励（此款由索贿人承担），由此产生的办案费由发包人索贿人承担。</w:t>
      </w: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十二、发包人发现承包人有违反本协议或者采取不正当的手段行贿发包人工作人员，发包人根据具体情节和造成的后果追究承包人的违约责任。由此给发包人单位造成的损失均由承包人承担。承包人在项目建设中贿赂发包人工作人员，被纪检监察或司法机关立案查处的，发包人有权中止项目合同，由此导致发包人所造成的损失以及发生的一切费用均由承包人承担。</w:t>
      </w: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十三、本廉洁协议是项目承发包中各方的行为规范，应共同遵守，搞好项目建设和廉洁建设。各方签署后协议立即生效。</w:t>
      </w: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十四、本协议一式</w:t>
      </w:r>
      <w:r>
        <w:rPr>
          <w:rFonts w:hint="eastAsia" w:ascii="仿宋" w:hAnsi="仿宋" w:eastAsia="仿宋" w:cs="仿宋"/>
          <w:color w:val="000000" w:themeColor="text1"/>
          <w:highlight w:val="none"/>
          <w:u w:val="single"/>
          <w14:textFill>
            <w14:solidFill>
              <w14:schemeClr w14:val="tx1"/>
            </w14:solidFill>
          </w14:textFill>
        </w:rPr>
        <w:t>捌</w:t>
      </w:r>
      <w:r>
        <w:rPr>
          <w:rFonts w:hint="eastAsia" w:ascii="仿宋" w:hAnsi="仿宋" w:eastAsia="仿宋" w:cs="仿宋"/>
          <w:color w:val="000000" w:themeColor="text1"/>
          <w:highlight w:val="none"/>
          <w14:textFill>
            <w14:solidFill>
              <w14:schemeClr w14:val="tx1"/>
            </w14:solidFill>
          </w14:textFill>
        </w:rPr>
        <w:t>份，发包人执</w:t>
      </w:r>
      <w:r>
        <w:rPr>
          <w:rFonts w:hint="eastAsia" w:ascii="仿宋" w:hAnsi="仿宋" w:eastAsia="仿宋" w:cs="仿宋"/>
          <w:color w:val="000000" w:themeColor="text1"/>
          <w:kern w:val="3"/>
          <w:highlight w:val="none"/>
          <w:u w:val="single"/>
          <w14:textFill>
            <w14:solidFill>
              <w14:schemeClr w14:val="tx1"/>
            </w14:solidFill>
          </w14:textFill>
        </w:rPr>
        <w:t>肆</w:t>
      </w:r>
      <w:r>
        <w:rPr>
          <w:rFonts w:hint="eastAsia" w:ascii="仿宋" w:hAnsi="仿宋" w:eastAsia="仿宋" w:cs="仿宋"/>
          <w:color w:val="000000" w:themeColor="text1"/>
          <w:highlight w:val="none"/>
          <w14:textFill>
            <w14:solidFill>
              <w14:schemeClr w14:val="tx1"/>
            </w14:solidFill>
          </w14:textFill>
        </w:rPr>
        <w:t>份，承包人执</w:t>
      </w:r>
      <w:r>
        <w:rPr>
          <w:rFonts w:hint="eastAsia" w:ascii="仿宋" w:hAnsi="仿宋" w:eastAsia="仿宋" w:cs="仿宋"/>
          <w:color w:val="000000" w:themeColor="text1"/>
          <w:kern w:val="3"/>
          <w:highlight w:val="none"/>
          <w:u w:val="single"/>
          <w14:textFill>
            <w14:solidFill>
              <w14:schemeClr w14:val="tx1"/>
            </w14:solidFill>
          </w14:textFill>
        </w:rPr>
        <w:t>肆</w:t>
      </w:r>
      <w:r>
        <w:rPr>
          <w:rFonts w:hint="eastAsia" w:ascii="仿宋" w:hAnsi="仿宋" w:eastAsia="仿宋" w:cs="仿宋"/>
          <w:color w:val="000000" w:themeColor="text1"/>
          <w:highlight w:val="none"/>
          <w14:textFill>
            <w14:solidFill>
              <w14:schemeClr w14:val="tx1"/>
            </w14:solidFill>
          </w14:textFill>
        </w:rPr>
        <w:t>份。</w:t>
      </w: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十五、本协议自双方签字之日起生效，在承包人按照招标文件约定的工作内容及技术要求履行合同所有义务后自动终止。</w:t>
      </w:r>
    </w:p>
    <w:p>
      <w:pPr>
        <w:snapToGrid w:val="0"/>
        <w:spacing w:before="156"/>
        <w:ind w:firstLine="480"/>
        <w:rPr>
          <w:rFonts w:ascii="仿宋" w:hAnsi="仿宋" w:eastAsia="仿宋" w:cs="仿宋"/>
          <w:color w:val="000000" w:themeColor="text1"/>
          <w:highlight w:val="none"/>
          <w14:textFill>
            <w14:solidFill>
              <w14:schemeClr w14:val="tx1"/>
            </w14:solidFill>
          </w14:textFill>
        </w:rPr>
      </w:pPr>
    </w:p>
    <w:p>
      <w:pPr>
        <w:pStyle w:val="15"/>
        <w:snapToGrid w:val="0"/>
        <w:spacing w:line="360" w:lineRule="auto"/>
        <w:rPr>
          <w:rFonts w:ascii="仿宋" w:hAnsi="仿宋" w:cs="仿宋"/>
          <w:color w:val="000000" w:themeColor="text1"/>
          <w:sz w:val="24"/>
          <w:highlight w:val="none"/>
          <w14:textFill>
            <w14:solidFill>
              <w14:schemeClr w14:val="tx1"/>
            </w14:solidFill>
          </w14:textFill>
        </w:rPr>
      </w:pPr>
    </w:p>
    <w:p>
      <w:pPr>
        <w:pStyle w:val="15"/>
        <w:snapToGrid w:val="0"/>
        <w:spacing w:line="360" w:lineRule="auto"/>
        <w:rPr>
          <w:rFonts w:ascii="仿宋" w:hAnsi="仿宋" w:cs="仿宋"/>
          <w:color w:val="000000" w:themeColor="text1"/>
          <w:sz w:val="24"/>
          <w:highlight w:val="none"/>
          <w14:textFill>
            <w14:solidFill>
              <w14:schemeClr w14:val="tx1"/>
            </w14:solidFill>
          </w14:textFill>
        </w:rPr>
      </w:pPr>
    </w:p>
    <w:p>
      <w:pPr>
        <w:pStyle w:val="15"/>
        <w:snapToGrid w:val="0"/>
        <w:spacing w:line="360" w:lineRule="auto"/>
        <w:rPr>
          <w:rFonts w:ascii="仿宋" w:hAnsi="仿宋" w:cs="仿宋"/>
          <w:color w:val="000000" w:themeColor="text1"/>
          <w:sz w:val="24"/>
          <w:highlight w:val="none"/>
          <w14:textFill>
            <w14:solidFill>
              <w14:schemeClr w14:val="tx1"/>
            </w14:solidFill>
          </w14:textFill>
        </w:rPr>
      </w:pPr>
    </w:p>
    <w:p>
      <w:pPr>
        <w:pStyle w:val="15"/>
        <w:snapToGrid w:val="0"/>
        <w:spacing w:line="360" w:lineRule="auto"/>
        <w:rPr>
          <w:rFonts w:ascii="仿宋" w:hAnsi="仿宋" w:cs="仿宋"/>
          <w:color w:val="000000" w:themeColor="text1"/>
          <w:sz w:val="24"/>
          <w:highlight w:val="none"/>
          <w14:textFill>
            <w14:solidFill>
              <w14:schemeClr w14:val="tx1"/>
            </w14:solidFill>
          </w14:textFill>
        </w:rPr>
      </w:pPr>
    </w:p>
    <w:p>
      <w:pPr>
        <w:pStyle w:val="15"/>
        <w:snapToGrid w:val="0"/>
        <w:spacing w:line="360" w:lineRule="auto"/>
        <w:rPr>
          <w:rFonts w:ascii="仿宋" w:hAnsi="仿宋" w:cs="仿宋"/>
          <w:color w:val="000000" w:themeColor="text1"/>
          <w:sz w:val="24"/>
          <w:highlight w:val="none"/>
          <w14:textFill>
            <w14:solidFill>
              <w14:schemeClr w14:val="tx1"/>
            </w14:solidFill>
          </w14:textFill>
        </w:rPr>
      </w:pPr>
    </w:p>
    <w:p>
      <w:pPr>
        <w:pStyle w:val="15"/>
        <w:snapToGrid w:val="0"/>
        <w:spacing w:line="360" w:lineRule="auto"/>
        <w:jc w:val="both"/>
        <w:rPr>
          <w:rFonts w:ascii="仿宋" w:hAnsi="仿宋" w:cs="仿宋"/>
          <w:color w:val="000000" w:themeColor="text1"/>
          <w:sz w:val="24"/>
          <w:highlight w:val="none"/>
          <w14:textFill>
            <w14:solidFill>
              <w14:schemeClr w14:val="tx1"/>
            </w14:solidFill>
          </w14:textFill>
        </w:rPr>
      </w:pPr>
    </w:p>
    <w:p>
      <w:pPr>
        <w:snapToGrid w:val="0"/>
        <w:spacing w:before="156"/>
        <w:ind w:firstLine="480"/>
        <w:jc w:val="center"/>
        <w:rPr>
          <w:rFonts w:ascii="仿宋" w:hAnsi="仿宋" w:eastAsia="仿宋" w:cs="仿宋"/>
          <w:color w:val="000000" w:themeColor="text1"/>
          <w:highlight w:val="none"/>
          <w:lang w:bidi="ar"/>
          <w14:textFill>
            <w14:solidFill>
              <w14:schemeClr w14:val="tx1"/>
            </w14:solidFill>
          </w14:textFill>
        </w:rPr>
      </w:pPr>
      <w:r>
        <w:rPr>
          <w:rFonts w:hint="eastAsia" w:ascii="仿宋" w:hAnsi="仿宋" w:eastAsia="仿宋" w:cs="仿宋"/>
          <w:color w:val="000000" w:themeColor="text1"/>
          <w:highlight w:val="none"/>
          <w:lang w:bidi="ar"/>
          <w14:textFill>
            <w14:solidFill>
              <w14:schemeClr w14:val="tx1"/>
            </w14:solidFill>
          </w14:textFill>
        </w:rPr>
        <w:t>廉洁协议签署栏</w:t>
      </w:r>
    </w:p>
    <w:p>
      <w:pPr>
        <w:pStyle w:val="15"/>
        <w:snapToGrid w:val="0"/>
        <w:spacing w:line="360" w:lineRule="auto"/>
        <w:ind w:firstLine="600"/>
        <w:rPr>
          <w:rFonts w:ascii="仿宋" w:hAnsi="仿宋" w:cs="仿宋"/>
          <w:color w:val="000000" w:themeColor="text1"/>
          <w:sz w:val="24"/>
          <w:highlight w:val="none"/>
          <w:lang w:bidi="ar"/>
          <w14:textFill>
            <w14:solidFill>
              <w14:schemeClr w14:val="tx1"/>
            </w14:solidFill>
          </w14:textFill>
        </w:rPr>
      </w:pPr>
    </w:p>
    <w:tbl>
      <w:tblPr>
        <w:tblStyle w:val="12"/>
        <w:tblW w:w="8242" w:type="dxa"/>
        <w:tblInd w:w="0" w:type="dxa"/>
        <w:tblLayout w:type="fixed"/>
        <w:tblCellMar>
          <w:top w:w="0" w:type="dxa"/>
          <w:left w:w="108" w:type="dxa"/>
          <w:bottom w:w="0" w:type="dxa"/>
          <w:right w:w="108" w:type="dxa"/>
        </w:tblCellMar>
      </w:tblPr>
      <w:tblGrid>
        <w:gridCol w:w="4084"/>
        <w:gridCol w:w="4158"/>
      </w:tblGrid>
      <w:tr>
        <w:tblPrEx>
          <w:tblCellMar>
            <w:top w:w="0" w:type="dxa"/>
            <w:left w:w="108" w:type="dxa"/>
            <w:bottom w:w="0" w:type="dxa"/>
            <w:right w:w="108" w:type="dxa"/>
          </w:tblCellMar>
        </w:tblPrEx>
        <w:tc>
          <w:tcPr>
            <w:tcW w:w="4084" w:type="dxa"/>
          </w:tcPr>
          <w:p>
            <w:pPr>
              <w:snapToGrid w:val="0"/>
              <w:spacing w:before="156"/>
              <w:ind w:left="720" w:hanging="720" w:hangingChars="300"/>
              <w:rPr>
                <w:rFonts w:ascii="仿宋" w:hAnsi="仿宋" w:eastAsia="仿宋" w:cs="仿宋"/>
                <w:color w:val="000000" w:themeColor="text1"/>
                <w:highlight w:val="none"/>
                <w:lang w:bidi="ar"/>
                <w14:textFill>
                  <w14:solidFill>
                    <w14:schemeClr w14:val="tx1"/>
                  </w14:solidFill>
                </w14:textFill>
              </w:rPr>
            </w:pPr>
            <w:r>
              <w:rPr>
                <w:rFonts w:hint="eastAsia" w:ascii="仿宋" w:hAnsi="仿宋" w:eastAsia="仿宋" w:cs="仿宋"/>
                <w:color w:val="000000" w:themeColor="text1"/>
                <w:highlight w:val="none"/>
                <w:lang w:bidi="ar"/>
                <w14:textFill>
                  <w14:solidFill>
                    <w14:schemeClr w14:val="tx1"/>
                  </w14:solidFill>
                </w14:textFill>
              </w:rPr>
              <w:t>发包人：</w:t>
            </w:r>
          </w:p>
          <w:p>
            <w:pPr>
              <w:snapToGrid w:val="0"/>
              <w:spacing w:before="156"/>
              <w:ind w:left="720" w:hanging="720" w:hangingChars="300"/>
              <w:rPr>
                <w:rFonts w:ascii="仿宋" w:hAnsi="仿宋" w:eastAsia="仿宋" w:cs="仿宋"/>
                <w:color w:val="000000" w:themeColor="text1"/>
                <w:highlight w:val="none"/>
                <w:lang w:bidi="ar"/>
                <w14:textFill>
                  <w14:solidFill>
                    <w14:schemeClr w14:val="tx1"/>
                  </w14:solidFill>
                </w14:textFill>
              </w:rPr>
            </w:pPr>
            <w:r>
              <w:rPr>
                <w:rFonts w:hint="eastAsia" w:ascii="仿宋" w:hAnsi="仿宋" w:eastAsia="仿宋" w:cs="仿宋"/>
                <w:color w:val="000000" w:themeColor="text1"/>
                <w:highlight w:val="none"/>
                <w:lang w:bidi="ar"/>
                <w14:textFill>
                  <w14:solidFill>
                    <w14:schemeClr w14:val="tx1"/>
                  </w14:solidFill>
                </w14:textFill>
              </w:rPr>
              <w:t>（盖章）</w:t>
            </w:r>
          </w:p>
          <w:p>
            <w:pPr>
              <w:snapToGrid w:val="0"/>
              <w:spacing w:before="156"/>
              <w:ind w:firstLine="480"/>
              <w:rPr>
                <w:rFonts w:ascii="仿宋" w:hAnsi="仿宋" w:eastAsia="仿宋" w:cs="仿宋"/>
                <w:color w:val="000000" w:themeColor="text1"/>
                <w:highlight w:val="none"/>
                <w:lang w:bidi="ar"/>
                <w14:textFill>
                  <w14:solidFill>
                    <w14:schemeClr w14:val="tx1"/>
                  </w14:solidFill>
                </w14:textFill>
              </w:rPr>
            </w:pPr>
            <w:r>
              <w:rPr>
                <w:rFonts w:hint="eastAsia" w:ascii="仿宋" w:hAnsi="仿宋" w:eastAsia="仿宋" w:cs="仿宋"/>
                <w:color w:val="000000" w:themeColor="text1"/>
                <w:highlight w:val="none"/>
                <w:lang w:bidi="ar"/>
                <w14:textFill>
                  <w14:solidFill>
                    <w14:schemeClr w14:val="tx1"/>
                  </w14:solidFill>
                </w14:textFill>
              </w:rPr>
              <w:t>法定代表人</w:t>
            </w:r>
          </w:p>
          <w:p>
            <w:pPr>
              <w:snapToGrid w:val="0"/>
              <w:spacing w:before="156"/>
              <w:ind w:firstLine="480"/>
              <w:rPr>
                <w:rFonts w:ascii="仿宋" w:hAnsi="仿宋" w:eastAsia="仿宋" w:cs="仿宋"/>
                <w:color w:val="000000" w:themeColor="text1"/>
                <w:highlight w:val="none"/>
                <w:lang w:bidi="ar"/>
                <w14:textFill>
                  <w14:solidFill>
                    <w14:schemeClr w14:val="tx1"/>
                  </w14:solidFill>
                </w14:textFill>
              </w:rPr>
            </w:pPr>
            <w:r>
              <w:rPr>
                <w:rFonts w:hint="eastAsia" w:ascii="仿宋" w:hAnsi="仿宋" w:eastAsia="仿宋" w:cs="仿宋"/>
                <w:color w:val="000000" w:themeColor="text1"/>
                <w:highlight w:val="none"/>
                <w:lang w:bidi="ar"/>
                <w14:textFill>
                  <w14:solidFill>
                    <w14:schemeClr w14:val="tx1"/>
                  </w14:solidFill>
                </w14:textFill>
              </w:rPr>
              <w:t>或其授权代表：</w:t>
            </w:r>
          </w:p>
          <w:p>
            <w:pPr>
              <w:snapToGrid w:val="0"/>
              <w:spacing w:before="156"/>
              <w:ind w:firstLine="480"/>
              <w:rPr>
                <w:rFonts w:ascii="仿宋" w:hAnsi="仿宋" w:eastAsia="仿宋" w:cs="仿宋"/>
                <w:color w:val="000000" w:themeColor="text1"/>
                <w:highlight w:val="none"/>
                <w:lang w:bidi="ar"/>
                <w14:textFill>
                  <w14:solidFill>
                    <w14:schemeClr w14:val="tx1"/>
                  </w14:solidFill>
                </w14:textFill>
              </w:rPr>
            </w:pPr>
            <w:r>
              <w:rPr>
                <w:rFonts w:hint="eastAsia" w:ascii="仿宋" w:hAnsi="仿宋" w:eastAsia="仿宋" w:cs="仿宋"/>
                <w:color w:val="000000" w:themeColor="text1"/>
                <w:highlight w:val="none"/>
                <w:lang w:bidi="ar"/>
                <w14:textFill>
                  <w14:solidFill>
                    <w14:schemeClr w14:val="tx1"/>
                  </w14:solidFill>
                </w14:textFill>
              </w:rPr>
              <w:t>日期：  年  月  日</w:t>
            </w:r>
          </w:p>
        </w:tc>
        <w:tc>
          <w:tcPr>
            <w:tcW w:w="4158" w:type="dxa"/>
          </w:tcPr>
          <w:p>
            <w:pPr>
              <w:snapToGrid w:val="0"/>
              <w:spacing w:before="156"/>
              <w:ind w:left="720" w:hanging="720" w:hangingChars="300"/>
              <w:rPr>
                <w:rFonts w:ascii="仿宋" w:hAnsi="仿宋" w:eastAsia="仿宋" w:cs="仿宋"/>
                <w:color w:val="000000" w:themeColor="text1"/>
                <w:highlight w:val="none"/>
                <w:lang w:bidi="ar"/>
                <w14:textFill>
                  <w14:solidFill>
                    <w14:schemeClr w14:val="tx1"/>
                  </w14:solidFill>
                </w14:textFill>
              </w:rPr>
            </w:pPr>
            <w:r>
              <w:rPr>
                <w:rFonts w:hint="eastAsia" w:ascii="仿宋" w:hAnsi="仿宋" w:eastAsia="仿宋" w:cs="仿宋"/>
                <w:color w:val="000000" w:themeColor="text1"/>
                <w:highlight w:val="none"/>
                <w:lang w:bidi="ar"/>
                <w14:textFill>
                  <w14:solidFill>
                    <w14:schemeClr w14:val="tx1"/>
                  </w14:solidFill>
                </w14:textFill>
              </w:rPr>
              <w:t>承包人：</w:t>
            </w:r>
          </w:p>
          <w:p>
            <w:pPr>
              <w:snapToGrid w:val="0"/>
              <w:spacing w:before="156"/>
              <w:ind w:left="720" w:hanging="720" w:hangingChars="300"/>
              <w:rPr>
                <w:rFonts w:ascii="仿宋" w:hAnsi="仿宋" w:eastAsia="仿宋" w:cs="仿宋"/>
                <w:color w:val="000000" w:themeColor="text1"/>
                <w:highlight w:val="none"/>
                <w:lang w:bidi="ar"/>
                <w14:textFill>
                  <w14:solidFill>
                    <w14:schemeClr w14:val="tx1"/>
                  </w14:solidFill>
                </w14:textFill>
              </w:rPr>
            </w:pPr>
            <w:r>
              <w:rPr>
                <w:rFonts w:hint="eastAsia" w:ascii="仿宋" w:hAnsi="仿宋" w:eastAsia="仿宋" w:cs="仿宋"/>
                <w:color w:val="000000" w:themeColor="text1"/>
                <w:highlight w:val="none"/>
                <w:lang w:bidi="ar"/>
                <w14:textFill>
                  <w14:solidFill>
                    <w14:schemeClr w14:val="tx1"/>
                  </w14:solidFill>
                </w14:textFill>
              </w:rPr>
              <w:t>（盖章）</w:t>
            </w:r>
          </w:p>
          <w:p>
            <w:pPr>
              <w:snapToGrid w:val="0"/>
              <w:spacing w:before="156"/>
              <w:ind w:firstLine="480"/>
              <w:rPr>
                <w:rFonts w:ascii="仿宋" w:hAnsi="仿宋" w:eastAsia="仿宋" w:cs="仿宋"/>
                <w:color w:val="000000" w:themeColor="text1"/>
                <w:highlight w:val="none"/>
                <w:lang w:bidi="ar"/>
                <w14:textFill>
                  <w14:solidFill>
                    <w14:schemeClr w14:val="tx1"/>
                  </w14:solidFill>
                </w14:textFill>
              </w:rPr>
            </w:pPr>
            <w:r>
              <w:rPr>
                <w:rFonts w:hint="eastAsia" w:ascii="仿宋" w:hAnsi="仿宋" w:eastAsia="仿宋" w:cs="仿宋"/>
                <w:color w:val="000000" w:themeColor="text1"/>
                <w:highlight w:val="none"/>
                <w:lang w:bidi="ar"/>
                <w14:textFill>
                  <w14:solidFill>
                    <w14:schemeClr w14:val="tx1"/>
                  </w14:solidFill>
                </w14:textFill>
              </w:rPr>
              <w:t>法定代表人</w:t>
            </w:r>
          </w:p>
          <w:p>
            <w:pPr>
              <w:snapToGrid w:val="0"/>
              <w:spacing w:before="156"/>
              <w:ind w:firstLine="480"/>
              <w:rPr>
                <w:rFonts w:ascii="仿宋" w:hAnsi="仿宋" w:eastAsia="仿宋" w:cs="仿宋"/>
                <w:color w:val="000000" w:themeColor="text1"/>
                <w:highlight w:val="none"/>
                <w:lang w:bidi="ar"/>
                <w14:textFill>
                  <w14:solidFill>
                    <w14:schemeClr w14:val="tx1"/>
                  </w14:solidFill>
                </w14:textFill>
              </w:rPr>
            </w:pPr>
            <w:r>
              <w:rPr>
                <w:rFonts w:hint="eastAsia" w:ascii="仿宋" w:hAnsi="仿宋" w:eastAsia="仿宋" w:cs="仿宋"/>
                <w:color w:val="000000" w:themeColor="text1"/>
                <w:highlight w:val="none"/>
                <w:lang w:bidi="ar"/>
                <w14:textFill>
                  <w14:solidFill>
                    <w14:schemeClr w14:val="tx1"/>
                  </w14:solidFill>
                </w14:textFill>
              </w:rPr>
              <w:t>或其授权代表：</w:t>
            </w:r>
          </w:p>
          <w:p>
            <w:pPr>
              <w:snapToGrid w:val="0"/>
              <w:spacing w:before="156"/>
              <w:ind w:firstLine="480"/>
              <w:rPr>
                <w:rFonts w:ascii="仿宋" w:hAnsi="仿宋" w:eastAsia="仿宋" w:cs="仿宋"/>
                <w:color w:val="000000" w:themeColor="text1"/>
                <w:highlight w:val="none"/>
                <w:lang w:bidi="ar"/>
                <w14:textFill>
                  <w14:solidFill>
                    <w14:schemeClr w14:val="tx1"/>
                  </w14:solidFill>
                </w14:textFill>
              </w:rPr>
            </w:pPr>
            <w:r>
              <w:rPr>
                <w:rFonts w:hint="eastAsia" w:ascii="仿宋" w:hAnsi="仿宋" w:eastAsia="仿宋" w:cs="仿宋"/>
                <w:color w:val="000000" w:themeColor="text1"/>
                <w:highlight w:val="none"/>
                <w:lang w:bidi="ar"/>
                <w14:textFill>
                  <w14:solidFill>
                    <w14:schemeClr w14:val="tx1"/>
                  </w14:solidFill>
                </w14:textFill>
              </w:rPr>
              <w:t>日期：  年  月  日</w:t>
            </w:r>
          </w:p>
        </w:tc>
      </w:tr>
    </w:tbl>
    <w:p>
      <w:pPr>
        <w:snapToGrid w:val="0"/>
        <w:spacing w:before="156"/>
        <w:ind w:firstLine="480"/>
        <w:rPr>
          <w:rFonts w:ascii="仿宋" w:hAnsi="仿宋" w:eastAsia="仿宋" w:cs="仿宋"/>
          <w:color w:val="000000" w:themeColor="text1"/>
          <w:highlight w:val="none"/>
          <w:lang w:bidi="ar"/>
          <w14:textFill>
            <w14:solidFill>
              <w14:schemeClr w14:val="tx1"/>
            </w14:solidFill>
          </w14:textFill>
        </w:rPr>
      </w:pP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pPr>
        <w:autoSpaceDE w:val="0"/>
        <w:snapToGrid w:val="0"/>
        <w:spacing w:before="156"/>
        <w:ind w:firstLine="480"/>
        <w:outlineLvl w:val="0"/>
        <w:rPr>
          <w:rFonts w:ascii="仿宋" w:hAnsi="仿宋" w:eastAsia="仿宋" w:cs="仿宋"/>
          <w:color w:val="000000" w:themeColor="text1"/>
          <w:highlight w:val="none"/>
          <w14:textFill>
            <w14:solidFill>
              <w14:schemeClr w14:val="tx1"/>
            </w14:solidFill>
          </w14:textFill>
        </w:rPr>
      </w:pPr>
      <w:bookmarkStart w:id="10" w:name="_Toc24662"/>
      <w:r>
        <w:rPr>
          <w:rFonts w:hint="eastAsia" w:ascii="仿宋" w:hAnsi="仿宋" w:eastAsia="仿宋" w:cs="仿宋"/>
          <w:color w:val="000000" w:themeColor="text1"/>
          <w:highlight w:val="none"/>
          <w14:textFill>
            <w14:solidFill>
              <w14:schemeClr w14:val="tx1"/>
            </w14:solidFill>
          </w14:textFill>
        </w:rPr>
        <w:t>附件2</w:t>
      </w:r>
      <w:bookmarkEnd w:id="10"/>
    </w:p>
    <w:p>
      <w:pPr>
        <w:snapToGrid w:val="0"/>
        <w:spacing w:before="156" w:after="156" w:afterLines="50"/>
        <w:ind w:firstLine="482"/>
        <w:jc w:val="center"/>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安全生产合同</w:t>
      </w:r>
    </w:p>
    <w:p>
      <w:pPr>
        <w:pStyle w:val="16"/>
        <w:adjustRightInd w:val="0"/>
        <w:snapToGrid w:val="0"/>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7"/>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承包人</w:t>
      </w:r>
      <w:r>
        <w:rPr>
          <w:rFonts w:hint="eastAsia" w:ascii="仿宋" w:hAnsi="仿宋" w:eastAsia="仿宋" w:cs="仿宋"/>
          <w:snapToGrid w:val="0"/>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Style w:val="17"/>
        <w:snapToGrid w:val="0"/>
        <w:spacing w:line="360" w:lineRule="auto"/>
        <w:rPr>
          <w:rFonts w:ascii="仿宋" w:hAnsi="仿宋" w:eastAsia="仿宋" w:cs="仿宋"/>
          <w:color w:val="000000" w:themeColor="text1"/>
          <w:sz w:val="24"/>
          <w:highlight w:val="none"/>
          <w14:textFill>
            <w14:solidFill>
              <w14:schemeClr w14:val="tx1"/>
            </w14:solidFill>
          </w14:textFill>
        </w:rPr>
      </w:pPr>
    </w:p>
    <w:p>
      <w:pPr>
        <w:autoSpaceDE w:val="0"/>
        <w:autoSpaceDN w:val="0"/>
        <w:adjustRightInd w:val="0"/>
        <w:snapToGrid w:val="0"/>
        <w:spacing w:before="156"/>
        <w:ind w:right="11" w:firstLine="480"/>
        <w:rPr>
          <w:rFonts w:ascii="仿宋" w:hAnsi="仿宋" w:eastAsia="仿宋" w:cs="仿宋"/>
          <w:snapToGrid w:val="0"/>
          <w:color w:val="000000" w:themeColor="text1"/>
          <w:highlight w:val="none"/>
          <w:lang w:val="zh-CN"/>
          <w14:textFill>
            <w14:solidFill>
              <w14:schemeClr w14:val="tx1"/>
            </w14:solidFill>
          </w14:textFill>
        </w:rPr>
      </w:pPr>
      <w:r>
        <w:rPr>
          <w:rFonts w:hint="eastAsia" w:ascii="仿宋" w:hAnsi="仿宋" w:eastAsia="仿宋" w:cs="仿宋"/>
          <w:snapToGrid w:val="0"/>
          <w:color w:val="000000" w:themeColor="text1"/>
          <w:highlight w:val="none"/>
          <w:lang w:val="zh-CN"/>
          <w14:textFill>
            <w14:solidFill>
              <w14:schemeClr w14:val="tx1"/>
            </w14:solidFill>
          </w14:textFill>
        </w:rPr>
        <w:t>为确保实施过程中的安全，发包人、承包人</w:t>
      </w:r>
      <w:r>
        <w:rPr>
          <w:rFonts w:hint="eastAsia" w:ascii="仿宋" w:hAnsi="仿宋" w:eastAsia="仿宋" w:cs="仿宋"/>
          <w:snapToGrid w:val="0"/>
          <w:color w:val="000000" w:themeColor="text1"/>
          <w:highlight w:val="none"/>
          <w14:textFill>
            <w14:solidFill>
              <w14:schemeClr w14:val="tx1"/>
            </w14:solidFill>
          </w14:textFill>
        </w:rPr>
        <w:t>协商一致</w:t>
      </w:r>
      <w:r>
        <w:rPr>
          <w:rFonts w:hint="eastAsia" w:ascii="仿宋" w:hAnsi="仿宋" w:eastAsia="仿宋" w:cs="仿宋"/>
          <w:snapToGrid w:val="0"/>
          <w:color w:val="000000" w:themeColor="text1"/>
          <w:highlight w:val="none"/>
          <w:lang w:val="zh-CN"/>
          <w14:textFill>
            <w14:solidFill>
              <w14:schemeClr w14:val="tx1"/>
            </w14:solidFill>
          </w14:textFill>
        </w:rPr>
        <w:t>，特签订本安全生产合同，明确</w:t>
      </w:r>
      <w:r>
        <w:rPr>
          <w:rFonts w:hint="eastAsia" w:ascii="仿宋" w:hAnsi="仿宋" w:eastAsia="仿宋" w:cs="仿宋"/>
          <w:snapToGrid w:val="0"/>
          <w:color w:val="000000" w:themeColor="text1"/>
          <w:highlight w:val="none"/>
          <w14:textFill>
            <w14:solidFill>
              <w14:schemeClr w14:val="tx1"/>
            </w14:solidFill>
          </w14:textFill>
        </w:rPr>
        <w:t>各</w:t>
      </w:r>
      <w:r>
        <w:rPr>
          <w:rFonts w:hint="eastAsia" w:ascii="仿宋" w:hAnsi="仿宋" w:eastAsia="仿宋" w:cs="仿宋"/>
          <w:snapToGrid w:val="0"/>
          <w:color w:val="000000" w:themeColor="text1"/>
          <w:highlight w:val="none"/>
          <w:lang w:val="zh-CN"/>
          <w14:textFill>
            <w14:solidFill>
              <w14:schemeClr w14:val="tx1"/>
            </w14:solidFill>
          </w14:textFill>
        </w:rPr>
        <w:t>方职责。</w:t>
      </w:r>
    </w:p>
    <w:p>
      <w:pPr>
        <w:tabs>
          <w:tab w:val="left" w:pos="480"/>
        </w:tabs>
        <w:autoSpaceDE w:val="0"/>
        <w:autoSpaceDN w:val="0"/>
        <w:adjustRightInd w:val="0"/>
        <w:snapToGrid w:val="0"/>
        <w:spacing w:before="156"/>
        <w:ind w:left="461" w:firstLine="482"/>
        <w:rPr>
          <w:rFonts w:ascii="仿宋" w:hAnsi="仿宋" w:eastAsia="仿宋" w:cs="仿宋"/>
          <w:b/>
          <w:snapToGrid w:val="0"/>
          <w:color w:val="000000" w:themeColor="text1"/>
          <w:highlight w:val="none"/>
          <w:lang w:val="zh-CN"/>
          <w14:textFill>
            <w14:solidFill>
              <w14:schemeClr w14:val="tx1"/>
            </w14:solidFill>
          </w14:textFill>
        </w:rPr>
      </w:pPr>
      <w:r>
        <w:rPr>
          <w:rFonts w:hint="eastAsia" w:ascii="仿宋" w:hAnsi="仿宋" w:eastAsia="仿宋" w:cs="仿宋"/>
          <w:b/>
          <w:snapToGrid w:val="0"/>
          <w:color w:val="000000" w:themeColor="text1"/>
          <w:highlight w:val="none"/>
          <w:lang w:val="zh-CN"/>
          <w14:textFill>
            <w14:solidFill>
              <w14:schemeClr w14:val="tx1"/>
            </w14:solidFill>
          </w14:textFill>
        </w:rPr>
        <w:t>一、发包人职责</w:t>
      </w:r>
    </w:p>
    <w:p>
      <w:pPr>
        <w:autoSpaceDE w:val="0"/>
        <w:autoSpaceDN w:val="0"/>
        <w:adjustRightInd w:val="0"/>
        <w:snapToGrid w:val="0"/>
        <w:spacing w:before="156"/>
        <w:ind w:firstLine="480"/>
        <w:rPr>
          <w:rFonts w:ascii="仿宋" w:hAnsi="仿宋" w:eastAsia="仿宋" w:cs="仿宋"/>
          <w:snapToGrid w:val="0"/>
          <w:color w:val="000000" w:themeColor="text1"/>
          <w:highlight w:val="none"/>
          <w:lang w:val="zh-CN"/>
          <w14:textFill>
            <w14:solidFill>
              <w14:schemeClr w14:val="tx1"/>
            </w14:solidFill>
          </w14:textFill>
        </w:rPr>
      </w:pPr>
      <w:r>
        <w:rPr>
          <w:rFonts w:hint="eastAsia" w:ascii="仿宋" w:hAnsi="仿宋" w:eastAsia="仿宋" w:cs="仿宋"/>
          <w:snapToGrid w:val="0"/>
          <w:color w:val="000000" w:themeColor="text1"/>
          <w:highlight w:val="none"/>
          <w:lang w:val="zh-CN"/>
          <w14:textFill>
            <w14:solidFill>
              <w14:schemeClr w14:val="tx1"/>
            </w14:solidFill>
          </w14:textFill>
        </w:rPr>
        <w:t>（一）认真履行《建设工程安全生产管理条例》规定的安全责任及执行工程承包合同中的有关安全条款。</w:t>
      </w:r>
    </w:p>
    <w:p>
      <w:pPr>
        <w:autoSpaceDE w:val="0"/>
        <w:autoSpaceDN w:val="0"/>
        <w:adjustRightInd w:val="0"/>
        <w:snapToGrid w:val="0"/>
        <w:spacing w:before="156"/>
        <w:ind w:firstLine="480"/>
        <w:rPr>
          <w:rFonts w:ascii="仿宋" w:hAnsi="仿宋" w:eastAsia="仿宋" w:cs="仿宋"/>
          <w:snapToGrid w:val="0"/>
          <w:color w:val="000000" w:themeColor="text1"/>
          <w:highlight w:val="none"/>
          <w:lang w:val="zh-CN"/>
          <w14:textFill>
            <w14:solidFill>
              <w14:schemeClr w14:val="tx1"/>
            </w14:solidFill>
          </w14:textFill>
        </w:rPr>
      </w:pPr>
      <w:r>
        <w:rPr>
          <w:rFonts w:hint="eastAsia" w:ascii="仿宋" w:hAnsi="仿宋" w:eastAsia="仿宋" w:cs="仿宋"/>
          <w:snapToGrid w:val="0"/>
          <w:color w:val="000000" w:themeColor="text1"/>
          <w:highlight w:val="none"/>
          <w:lang w:val="zh-CN"/>
          <w14:textFill>
            <w14:solidFill>
              <w14:schemeClr w14:val="tx1"/>
            </w14:solidFill>
          </w14:textFill>
        </w:rPr>
        <w:t>（二）重要的安全设施必须坚持与主体工程“三同时”的原则，即：同时设计、审批；同时施工；同时验收，投入使用。</w:t>
      </w:r>
    </w:p>
    <w:p>
      <w:pPr>
        <w:autoSpaceDE w:val="0"/>
        <w:autoSpaceDN w:val="0"/>
        <w:adjustRightInd w:val="0"/>
        <w:snapToGrid w:val="0"/>
        <w:spacing w:before="156"/>
        <w:ind w:firstLine="480"/>
        <w:rPr>
          <w:rFonts w:ascii="仿宋" w:hAnsi="仿宋" w:eastAsia="仿宋" w:cs="仿宋"/>
          <w:snapToGrid w:val="0"/>
          <w:color w:val="000000" w:themeColor="text1"/>
          <w:highlight w:val="none"/>
          <w:lang w:val="zh-CN"/>
          <w14:textFill>
            <w14:solidFill>
              <w14:schemeClr w14:val="tx1"/>
            </w14:solidFill>
          </w14:textFill>
        </w:rPr>
      </w:pPr>
      <w:r>
        <w:rPr>
          <w:rFonts w:hint="eastAsia" w:ascii="仿宋" w:hAnsi="仿宋" w:eastAsia="仿宋" w:cs="仿宋"/>
          <w:snapToGrid w:val="0"/>
          <w:color w:val="000000" w:themeColor="text1"/>
          <w:highlight w:val="none"/>
          <w:lang w:val="zh-CN"/>
          <w14:textFill>
            <w14:solidFill>
              <w14:schemeClr w14:val="tx1"/>
            </w14:solidFill>
          </w14:textFill>
        </w:rPr>
        <w:t>（三）定期召开安全生产会议，指出施工现场存在的安全隐患，及时传达上级关于安全文明施工的要求。</w:t>
      </w:r>
    </w:p>
    <w:p>
      <w:pPr>
        <w:autoSpaceDE w:val="0"/>
        <w:autoSpaceDN w:val="0"/>
        <w:adjustRightInd w:val="0"/>
        <w:snapToGrid w:val="0"/>
        <w:spacing w:before="156"/>
        <w:ind w:firstLine="480"/>
        <w:rPr>
          <w:rFonts w:ascii="仿宋" w:hAnsi="仿宋" w:eastAsia="仿宋" w:cs="仿宋"/>
          <w:snapToGrid w:val="0"/>
          <w:color w:val="000000" w:themeColor="text1"/>
          <w:highlight w:val="none"/>
          <w:lang w:val="zh-CN"/>
          <w14:textFill>
            <w14:solidFill>
              <w14:schemeClr w14:val="tx1"/>
            </w14:solidFill>
          </w14:textFill>
        </w:rPr>
      </w:pPr>
      <w:r>
        <w:rPr>
          <w:rFonts w:hint="eastAsia" w:ascii="仿宋" w:hAnsi="仿宋" w:eastAsia="仿宋" w:cs="仿宋"/>
          <w:snapToGrid w:val="0"/>
          <w:color w:val="000000" w:themeColor="text1"/>
          <w:highlight w:val="none"/>
          <w:lang w:val="zh-CN"/>
          <w14:textFill>
            <w14:solidFill>
              <w14:schemeClr w14:val="tx1"/>
            </w14:solidFill>
          </w14:textFill>
        </w:rPr>
        <w:t>（四）组织对承包人施工现场安全生产检查，监督承包人及时排除各种安全隐患。</w:t>
      </w:r>
    </w:p>
    <w:p>
      <w:pPr>
        <w:autoSpaceDE w:val="0"/>
        <w:autoSpaceDN w:val="0"/>
        <w:adjustRightInd w:val="0"/>
        <w:snapToGrid w:val="0"/>
        <w:spacing w:before="156"/>
        <w:ind w:firstLine="482"/>
        <w:rPr>
          <w:rFonts w:ascii="仿宋" w:hAnsi="仿宋" w:eastAsia="仿宋" w:cs="仿宋"/>
          <w:b/>
          <w:snapToGrid w:val="0"/>
          <w:color w:val="000000" w:themeColor="text1"/>
          <w:highlight w:val="none"/>
          <w:lang w:val="zh-CN"/>
          <w14:textFill>
            <w14:solidFill>
              <w14:schemeClr w14:val="tx1"/>
            </w14:solidFill>
          </w14:textFill>
        </w:rPr>
      </w:pPr>
      <w:r>
        <w:rPr>
          <w:rFonts w:hint="eastAsia" w:ascii="仿宋" w:hAnsi="仿宋" w:eastAsia="仿宋" w:cs="仿宋"/>
          <w:b/>
          <w:snapToGrid w:val="0"/>
          <w:color w:val="000000" w:themeColor="text1"/>
          <w:highlight w:val="none"/>
          <w:lang w:val="zh-CN"/>
          <w14:textFill>
            <w14:solidFill>
              <w14:schemeClr w14:val="tx1"/>
            </w14:solidFill>
          </w14:textFill>
        </w:rPr>
        <w:t>二、承包人职责</w:t>
      </w:r>
    </w:p>
    <w:p>
      <w:pPr>
        <w:autoSpaceDE w:val="0"/>
        <w:autoSpaceDN w:val="0"/>
        <w:adjustRightInd w:val="0"/>
        <w:snapToGrid w:val="0"/>
        <w:spacing w:before="156"/>
        <w:ind w:firstLine="480"/>
        <w:rPr>
          <w:rFonts w:ascii="仿宋" w:hAnsi="仿宋" w:eastAsia="仿宋" w:cs="仿宋"/>
          <w:snapToGrid w:val="0"/>
          <w:color w:val="000000" w:themeColor="text1"/>
          <w:highlight w:val="none"/>
          <w:lang w:val="zh-CN"/>
          <w14:textFill>
            <w14:solidFill>
              <w14:schemeClr w14:val="tx1"/>
            </w14:solidFill>
          </w14:textFill>
        </w:rPr>
      </w:pPr>
      <w:r>
        <w:rPr>
          <w:rFonts w:hint="eastAsia" w:ascii="仿宋" w:hAnsi="仿宋" w:eastAsia="仿宋" w:cs="仿宋"/>
          <w:snapToGrid w:val="0"/>
          <w:color w:val="000000" w:themeColor="text1"/>
          <w:highlight w:val="none"/>
          <w:lang w:val="zh-CN"/>
          <w14:textFill>
            <w14:solidFill>
              <w14:schemeClr w14:val="tx1"/>
            </w14:solidFill>
          </w14:textFill>
        </w:rPr>
        <w:t>（一）认真履行《建设工程安全生产管理条例》规定的安全责任及执行工程承包合同中的有关安全条款。</w:t>
      </w:r>
    </w:p>
    <w:p>
      <w:pPr>
        <w:autoSpaceDE w:val="0"/>
        <w:autoSpaceDN w:val="0"/>
        <w:adjustRightInd w:val="0"/>
        <w:snapToGrid w:val="0"/>
        <w:spacing w:before="156"/>
        <w:ind w:firstLine="480"/>
        <w:rPr>
          <w:rFonts w:ascii="仿宋" w:hAnsi="仿宋" w:eastAsia="仿宋" w:cs="仿宋"/>
          <w:snapToGrid w:val="0"/>
          <w:color w:val="000000" w:themeColor="text1"/>
          <w:highlight w:val="none"/>
          <w:lang w:val="zh-CN"/>
          <w14:textFill>
            <w14:solidFill>
              <w14:schemeClr w14:val="tx1"/>
            </w14:solidFill>
          </w14:textFill>
        </w:rPr>
      </w:pPr>
      <w:r>
        <w:rPr>
          <w:rFonts w:hint="eastAsia" w:ascii="仿宋" w:hAnsi="仿宋" w:eastAsia="仿宋" w:cs="仿宋"/>
          <w:snapToGrid w:val="0"/>
          <w:color w:val="000000" w:themeColor="text1"/>
          <w:highlight w:val="none"/>
          <w:lang w:val="zh-CN"/>
          <w14:textFill>
            <w14:solidFill>
              <w14:schemeClr w14:val="tx1"/>
            </w14:solidFill>
          </w14:textFill>
        </w:rPr>
        <w:t>（二）坚持</w:t>
      </w:r>
      <w:r>
        <w:rPr>
          <w:rFonts w:hint="eastAsia" w:ascii="仿宋" w:hAnsi="仿宋" w:eastAsia="仿宋" w:cs="仿宋"/>
          <w:snapToGrid w:val="0"/>
          <w:color w:val="000000" w:themeColor="text1"/>
          <w:highlight w:val="none"/>
          <w14:textFill>
            <w14:solidFill>
              <w14:schemeClr w14:val="tx1"/>
            </w14:solidFill>
          </w14:textFill>
        </w:rPr>
        <w:t>“</w:t>
      </w:r>
      <w:r>
        <w:rPr>
          <w:rFonts w:hint="eastAsia" w:ascii="仿宋" w:hAnsi="仿宋" w:eastAsia="仿宋" w:cs="仿宋"/>
          <w:snapToGrid w:val="0"/>
          <w:color w:val="000000" w:themeColor="text1"/>
          <w:highlight w:val="none"/>
          <w:lang w:val="zh-CN"/>
          <w14:textFill>
            <w14:solidFill>
              <w14:schemeClr w14:val="tx1"/>
            </w14:solidFill>
          </w14:textFill>
        </w:rPr>
        <w:t>安全</w:t>
      </w:r>
      <w:r>
        <w:rPr>
          <w:rFonts w:hint="eastAsia" w:ascii="仿宋" w:hAnsi="仿宋" w:eastAsia="仿宋" w:cs="仿宋"/>
          <w:snapToGrid w:val="0"/>
          <w:color w:val="000000" w:themeColor="text1"/>
          <w:highlight w:val="none"/>
          <w14:textFill>
            <w14:solidFill>
              <w14:schemeClr w14:val="tx1"/>
            </w14:solidFill>
          </w14:textFill>
        </w:rPr>
        <w:t>第一</w:t>
      </w:r>
      <w:r>
        <w:rPr>
          <w:rFonts w:hint="eastAsia" w:ascii="仿宋" w:hAnsi="仿宋" w:eastAsia="仿宋" w:cs="仿宋"/>
          <w:snapToGrid w:val="0"/>
          <w:color w:val="000000" w:themeColor="text1"/>
          <w:highlight w:val="none"/>
          <w:lang w:val="zh-CN"/>
          <w14:textFill>
            <w14:solidFill>
              <w14:schemeClr w14:val="tx1"/>
            </w14:solidFill>
          </w14:textFill>
        </w:rPr>
        <w:t>、预防为主</w:t>
      </w:r>
      <w:r>
        <w:rPr>
          <w:rFonts w:hint="eastAsia" w:ascii="仿宋" w:hAnsi="仿宋" w:eastAsia="仿宋" w:cs="仿宋"/>
          <w:snapToGrid w:val="0"/>
          <w:color w:val="000000" w:themeColor="text1"/>
          <w:highlight w:val="none"/>
          <w14:textFill>
            <w14:solidFill>
              <w14:schemeClr w14:val="tx1"/>
            </w14:solidFill>
          </w14:textFill>
        </w:rPr>
        <w:t>”</w:t>
      </w:r>
      <w:r>
        <w:rPr>
          <w:rFonts w:hint="eastAsia" w:ascii="仿宋" w:hAnsi="仿宋" w:eastAsia="仿宋" w:cs="仿宋"/>
          <w:snapToGrid w:val="0"/>
          <w:color w:val="000000" w:themeColor="text1"/>
          <w:highlight w:val="none"/>
          <w:lang w:val="zh-CN"/>
          <w14:textFill>
            <w14:solidFill>
              <w14:schemeClr w14:val="tx1"/>
            </w14:solidFill>
          </w14:textFill>
        </w:rPr>
        <w:t>和</w:t>
      </w:r>
      <w:r>
        <w:rPr>
          <w:rFonts w:hint="eastAsia" w:ascii="仿宋" w:hAnsi="仿宋" w:eastAsia="仿宋" w:cs="仿宋"/>
          <w:snapToGrid w:val="0"/>
          <w:color w:val="000000" w:themeColor="text1"/>
          <w:highlight w:val="none"/>
          <w14:textFill>
            <w14:solidFill>
              <w14:schemeClr w14:val="tx1"/>
            </w14:solidFill>
          </w14:textFill>
        </w:rPr>
        <w:t>“</w:t>
      </w:r>
      <w:r>
        <w:rPr>
          <w:rFonts w:hint="eastAsia" w:ascii="仿宋" w:hAnsi="仿宋" w:eastAsia="仿宋" w:cs="仿宋"/>
          <w:snapToGrid w:val="0"/>
          <w:color w:val="000000" w:themeColor="text1"/>
          <w:highlight w:val="none"/>
          <w:lang w:val="zh-CN"/>
          <w14:textFill>
            <w14:solidFill>
              <w14:schemeClr w14:val="tx1"/>
            </w14:solidFill>
          </w14:textFill>
        </w:rPr>
        <w:t>管生产必须管安全</w:t>
      </w:r>
      <w:r>
        <w:rPr>
          <w:rFonts w:hint="eastAsia" w:ascii="仿宋" w:hAnsi="仿宋" w:eastAsia="仿宋" w:cs="仿宋"/>
          <w:snapToGrid w:val="0"/>
          <w:color w:val="000000" w:themeColor="text1"/>
          <w:highlight w:val="none"/>
          <w14:textFill>
            <w14:solidFill>
              <w14:schemeClr w14:val="tx1"/>
            </w14:solidFill>
          </w14:textFill>
        </w:rPr>
        <w:t>”</w:t>
      </w:r>
      <w:r>
        <w:rPr>
          <w:rFonts w:hint="eastAsia" w:ascii="仿宋" w:hAnsi="仿宋" w:eastAsia="仿宋" w:cs="仿宋"/>
          <w:snapToGrid w:val="0"/>
          <w:color w:val="000000" w:themeColor="text1"/>
          <w:highlight w:val="none"/>
          <w:lang w:val="zh-CN"/>
          <w14:textFill>
            <w14:solidFill>
              <w14:schemeClr w14:val="tx1"/>
            </w14:solidFill>
          </w14:textFill>
        </w:rPr>
        <w:t>的原则，加强安全生产宣传教育，增强全员安全生产意识，建立健全各项安全生产管理制度，配备专职安全管理人员，有组织有领导地开展安全生产活动。项目负责人、工程技术人员、生产管理人员和具体操作人员，必须熟悉和遵守安全生产的各项规定，做到生产与安全工作同时计划、布置、检查、总结和评比。</w:t>
      </w:r>
    </w:p>
    <w:p>
      <w:pPr>
        <w:autoSpaceDE w:val="0"/>
        <w:autoSpaceDN w:val="0"/>
        <w:adjustRightInd w:val="0"/>
        <w:snapToGrid w:val="0"/>
        <w:spacing w:before="156"/>
        <w:ind w:firstLine="480"/>
        <w:rPr>
          <w:rFonts w:ascii="仿宋" w:hAnsi="仿宋" w:eastAsia="仿宋" w:cs="仿宋"/>
          <w:snapToGrid w:val="0"/>
          <w:color w:val="000000" w:themeColor="text1"/>
          <w:highlight w:val="none"/>
          <w:lang w:val="zh-CN"/>
          <w14:textFill>
            <w14:solidFill>
              <w14:schemeClr w14:val="tx1"/>
            </w14:solidFill>
          </w14:textFill>
        </w:rPr>
      </w:pPr>
      <w:r>
        <w:rPr>
          <w:rFonts w:hint="eastAsia" w:ascii="仿宋" w:hAnsi="仿宋" w:eastAsia="仿宋" w:cs="仿宋"/>
          <w:snapToGrid w:val="0"/>
          <w:color w:val="000000" w:themeColor="text1"/>
          <w:highlight w:val="none"/>
          <w:lang w:val="zh-CN"/>
          <w14:textFill>
            <w14:solidFill>
              <w14:schemeClr w14:val="tx1"/>
            </w14:solidFill>
          </w14:textFill>
        </w:rPr>
        <w:t>（三）建立</w:t>
      </w:r>
      <w:r>
        <w:rPr>
          <w:rFonts w:hint="eastAsia" w:ascii="仿宋" w:hAnsi="仿宋" w:eastAsia="仿宋" w:cs="仿宋"/>
          <w:snapToGrid w:val="0"/>
          <w:color w:val="000000" w:themeColor="text1"/>
          <w:highlight w:val="none"/>
          <w14:textFill>
            <w14:solidFill>
              <w14:schemeClr w14:val="tx1"/>
            </w14:solidFill>
          </w14:textFill>
        </w:rPr>
        <w:t>安全生产</w:t>
      </w:r>
      <w:r>
        <w:rPr>
          <w:rFonts w:hint="eastAsia" w:ascii="仿宋" w:hAnsi="仿宋" w:eastAsia="仿宋" w:cs="仿宋"/>
          <w:snapToGrid w:val="0"/>
          <w:color w:val="000000" w:themeColor="text1"/>
          <w:highlight w:val="none"/>
          <w:lang w:val="zh-CN"/>
          <w14:textFill>
            <w14:solidFill>
              <w14:schemeClr w14:val="tx1"/>
            </w14:solidFill>
          </w14:textFill>
        </w:rPr>
        <w:t>保证体系，健全安全生产责任制，从派驻项目的项目负责人到生产工人（包括临时雇请的农民工）及各职能部门都必须有明确的安全责任，项目负责人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pPr>
        <w:autoSpaceDE w:val="0"/>
        <w:autoSpaceDN w:val="0"/>
        <w:adjustRightInd w:val="0"/>
        <w:snapToGrid w:val="0"/>
        <w:spacing w:before="156"/>
        <w:ind w:firstLine="480"/>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zh-CN"/>
          <w14:textFill>
            <w14:solidFill>
              <w14:schemeClr w14:val="tx1"/>
            </w14:solidFill>
          </w14:textFill>
        </w:rPr>
        <w:t>（四）</w:t>
      </w:r>
      <w:r>
        <w:rPr>
          <w:rFonts w:hint="eastAsia" w:ascii="仿宋" w:hAnsi="仿宋" w:eastAsia="仿宋" w:cs="仿宋"/>
          <w:snapToGrid w:val="0"/>
          <w:color w:val="000000" w:themeColor="text1"/>
          <w:highlight w:val="none"/>
          <w14:textFill>
            <w14:solidFill>
              <w14:schemeClr w14:val="tx1"/>
            </w14:solidFill>
          </w14:textFill>
        </w:rPr>
        <w:t>有责任采取各种合理的预防措施，防止其员工发生各种违法、违禁、暴力或妨碍治安的行为。</w:t>
      </w:r>
    </w:p>
    <w:p>
      <w:pPr>
        <w:autoSpaceDE w:val="0"/>
        <w:autoSpaceDN w:val="0"/>
        <w:adjustRightInd w:val="0"/>
        <w:snapToGrid w:val="0"/>
        <w:spacing w:before="156"/>
        <w:ind w:firstLine="480"/>
        <w:rPr>
          <w:rFonts w:ascii="仿宋" w:hAnsi="仿宋" w:eastAsia="仿宋" w:cs="仿宋"/>
          <w:snapToGrid w:val="0"/>
          <w:color w:val="000000" w:themeColor="text1"/>
          <w:highlight w:val="none"/>
          <w:lang w:val="zh-CN"/>
          <w14:textFill>
            <w14:solidFill>
              <w14:schemeClr w14:val="tx1"/>
            </w14:solidFill>
          </w14:textFill>
        </w:rPr>
      </w:pPr>
      <w:r>
        <w:rPr>
          <w:rFonts w:hint="eastAsia" w:ascii="仿宋" w:hAnsi="仿宋" w:eastAsia="仿宋" w:cs="仿宋"/>
          <w:snapToGrid w:val="0"/>
          <w:color w:val="000000" w:themeColor="text1"/>
          <w:highlight w:val="none"/>
          <w14:textFill>
            <w14:solidFill>
              <w14:schemeClr w14:val="tx1"/>
            </w14:solidFill>
          </w14:textFill>
        </w:rPr>
        <w:t>（五）参加施工的人员，必须接受安全技术教育，熟知和遵守所在岗位（工种）的各项安全技术操作规程，定期进行安全技术考核，取得平安卡后方准上岗操作。对于从事电气、</w:t>
      </w:r>
      <w:r>
        <w:rPr>
          <w:rFonts w:hint="eastAsia" w:ascii="仿宋" w:hAnsi="仿宋" w:eastAsia="仿宋" w:cs="仿宋"/>
          <w:snapToGrid w:val="0"/>
          <w:color w:val="000000" w:themeColor="text1"/>
          <w:highlight w:val="none"/>
          <w:lang w:val="zh-CN"/>
          <w14:textFill>
            <w14:solidFill>
              <w14:schemeClr w14:val="tx1"/>
            </w14:solidFill>
          </w14:textFill>
        </w:rPr>
        <w:t>起重、登高作业、焊接等特殊工种的人员，须经过专业培训，获得《安全操作合格证》后，方准上岗。施工现场如出现特种行业无证上岗时，项目负责人必须承担责任。</w:t>
      </w:r>
    </w:p>
    <w:p>
      <w:pPr>
        <w:autoSpaceDE w:val="0"/>
        <w:autoSpaceDN w:val="0"/>
        <w:adjustRightInd w:val="0"/>
        <w:snapToGrid w:val="0"/>
        <w:spacing w:before="156"/>
        <w:ind w:firstLine="480"/>
        <w:rPr>
          <w:rFonts w:ascii="仿宋" w:hAnsi="仿宋" w:eastAsia="仿宋" w:cs="仿宋"/>
          <w:snapToGrid w:val="0"/>
          <w:color w:val="000000" w:themeColor="text1"/>
          <w:highlight w:val="none"/>
          <w:lang w:val="zh-CN"/>
          <w14:textFill>
            <w14:solidFill>
              <w14:schemeClr w14:val="tx1"/>
            </w14:solidFill>
          </w14:textFill>
        </w:rPr>
      </w:pPr>
      <w:r>
        <w:rPr>
          <w:rFonts w:hint="eastAsia" w:ascii="仿宋" w:hAnsi="仿宋" w:eastAsia="仿宋" w:cs="仿宋"/>
          <w:snapToGrid w:val="0"/>
          <w:color w:val="000000" w:themeColor="text1"/>
          <w:highlight w:val="none"/>
          <w:lang w:val="zh-CN"/>
          <w14:textFill>
            <w14:solidFill>
              <w14:schemeClr w14:val="tx1"/>
            </w14:solidFill>
          </w14:textFill>
        </w:rPr>
        <w:t>（六）对于</w:t>
      </w:r>
      <w:r>
        <w:rPr>
          <w:rFonts w:hint="eastAsia" w:ascii="仿宋" w:hAnsi="仿宋" w:eastAsia="仿宋" w:cs="仿宋"/>
          <w:snapToGrid w:val="0"/>
          <w:color w:val="000000" w:themeColor="text1"/>
          <w:highlight w:val="none"/>
          <w14:textFill>
            <w14:solidFill>
              <w14:schemeClr w14:val="tx1"/>
            </w14:solidFill>
          </w14:textFill>
        </w:rPr>
        <w:t>易燃易爆</w:t>
      </w:r>
      <w:r>
        <w:rPr>
          <w:rFonts w:hint="eastAsia" w:ascii="仿宋" w:hAnsi="仿宋" w:eastAsia="仿宋" w:cs="仿宋"/>
          <w:snapToGrid w:val="0"/>
          <w:color w:val="000000" w:themeColor="text1"/>
          <w:highlight w:val="none"/>
          <w:lang w:val="zh-CN"/>
          <w14:textFill>
            <w14:solidFill>
              <w14:schemeClr w14:val="tx1"/>
            </w14:solidFill>
          </w14:textFill>
        </w:rPr>
        <w:t>的材料除应专门妥善保管之外，还应配备足够的消防设施，所有施工人员都应熟悉消防设备的性能和使用方法；承包人不能将任何种类的爆炸物给予、易货或以其它方式转让给任何其它人，或允许、容忍上述同样行为。</w:t>
      </w:r>
    </w:p>
    <w:p>
      <w:pPr>
        <w:autoSpaceDE w:val="0"/>
        <w:autoSpaceDN w:val="0"/>
        <w:adjustRightInd w:val="0"/>
        <w:snapToGrid w:val="0"/>
        <w:spacing w:before="156"/>
        <w:ind w:firstLine="480"/>
        <w:rPr>
          <w:rFonts w:ascii="仿宋" w:hAnsi="仿宋" w:eastAsia="仿宋" w:cs="仿宋"/>
          <w:snapToGrid w:val="0"/>
          <w:color w:val="000000" w:themeColor="text1"/>
          <w:highlight w:val="none"/>
          <w:lang w:val="zh-CN"/>
          <w14:textFill>
            <w14:solidFill>
              <w14:schemeClr w14:val="tx1"/>
            </w14:solidFill>
          </w14:textFill>
        </w:rPr>
      </w:pPr>
      <w:r>
        <w:rPr>
          <w:rFonts w:hint="eastAsia" w:ascii="仿宋" w:hAnsi="仿宋" w:eastAsia="仿宋" w:cs="仿宋"/>
          <w:snapToGrid w:val="0"/>
          <w:color w:val="000000" w:themeColor="text1"/>
          <w:highlight w:val="none"/>
          <w:lang w:val="zh-CN"/>
          <w14:textFill>
            <w14:solidFill>
              <w14:schemeClr w14:val="tx1"/>
            </w14:solidFill>
          </w14:textFill>
        </w:rPr>
        <w:t>（七）</w:t>
      </w:r>
      <w:r>
        <w:rPr>
          <w:rFonts w:hint="eastAsia" w:ascii="仿宋" w:hAnsi="仿宋" w:eastAsia="仿宋" w:cs="仿宋"/>
          <w:snapToGrid w:val="0"/>
          <w:color w:val="000000" w:themeColor="text1"/>
          <w:highlight w:val="none"/>
          <w14:textFill>
            <w14:solidFill>
              <w14:schemeClr w14:val="tx1"/>
            </w14:solidFill>
          </w14:textFill>
        </w:rPr>
        <w:t>操作</w:t>
      </w:r>
      <w:r>
        <w:rPr>
          <w:rFonts w:hint="eastAsia" w:ascii="仿宋" w:hAnsi="仿宋" w:eastAsia="仿宋" w:cs="仿宋"/>
          <w:snapToGrid w:val="0"/>
          <w:color w:val="000000" w:themeColor="text1"/>
          <w:highlight w:val="none"/>
          <w:lang w:val="zh-CN"/>
          <w14:textFill>
            <w14:solidFill>
              <w14:schemeClr w14:val="tx1"/>
            </w14:solidFill>
          </w14:textFill>
        </w:rPr>
        <w:t>人员上岗，必须按规定佩带平安卡及穿戴安全帽等防护用品。项目负责人和专职安全员应随时检查劳动防护用品的穿戴情况，不按规定穿戴防护用品的人员不得上岗。</w:t>
      </w:r>
    </w:p>
    <w:p>
      <w:pPr>
        <w:autoSpaceDE w:val="0"/>
        <w:autoSpaceDN w:val="0"/>
        <w:adjustRightInd w:val="0"/>
        <w:snapToGrid w:val="0"/>
        <w:spacing w:before="156"/>
        <w:ind w:firstLine="480"/>
        <w:rPr>
          <w:rFonts w:ascii="仿宋" w:hAnsi="仿宋" w:eastAsia="仿宋" w:cs="仿宋"/>
          <w:snapToGrid w:val="0"/>
          <w:color w:val="000000" w:themeColor="text1"/>
          <w:highlight w:val="none"/>
          <w:lang w:val="zh-CN"/>
          <w14:textFill>
            <w14:solidFill>
              <w14:schemeClr w14:val="tx1"/>
            </w14:solidFill>
          </w14:textFill>
        </w:rPr>
      </w:pPr>
      <w:r>
        <w:rPr>
          <w:rFonts w:hint="eastAsia" w:ascii="仿宋" w:hAnsi="仿宋" w:eastAsia="仿宋" w:cs="仿宋"/>
          <w:snapToGrid w:val="0"/>
          <w:color w:val="000000" w:themeColor="text1"/>
          <w:highlight w:val="none"/>
          <w:lang w:val="zh-CN"/>
          <w14:textFill>
            <w14:solidFill>
              <w14:schemeClr w14:val="tx1"/>
            </w14:solidFill>
          </w14:textFill>
        </w:rPr>
        <w:t>（八）所有施工</w:t>
      </w:r>
      <w:r>
        <w:rPr>
          <w:rFonts w:hint="eastAsia" w:ascii="仿宋" w:hAnsi="仿宋" w:eastAsia="仿宋" w:cs="仿宋"/>
          <w:snapToGrid w:val="0"/>
          <w:color w:val="000000" w:themeColor="text1"/>
          <w:highlight w:val="none"/>
          <w14:textFill>
            <w14:solidFill>
              <w14:schemeClr w14:val="tx1"/>
            </w14:solidFill>
          </w14:textFill>
        </w:rPr>
        <w:t>机具</w:t>
      </w:r>
      <w:r>
        <w:rPr>
          <w:rFonts w:hint="eastAsia" w:ascii="仿宋" w:hAnsi="仿宋" w:eastAsia="仿宋" w:cs="仿宋"/>
          <w:snapToGrid w:val="0"/>
          <w:color w:val="000000" w:themeColor="text1"/>
          <w:highlight w:val="none"/>
          <w:lang w:val="zh-CN"/>
          <w14:textFill>
            <w14:solidFill>
              <w14:schemeClr w14:val="tx1"/>
            </w14:solidFill>
          </w14:textFill>
        </w:rPr>
        <w:t>设备和高处作业的设备均应定期检查，并有安全员的签名记录，保证其经常处于完好状态，不合格的机具、设备和劳动保护用品严禁使用。</w:t>
      </w:r>
    </w:p>
    <w:p>
      <w:pPr>
        <w:autoSpaceDE w:val="0"/>
        <w:autoSpaceDN w:val="0"/>
        <w:adjustRightInd w:val="0"/>
        <w:snapToGrid w:val="0"/>
        <w:spacing w:before="156"/>
        <w:ind w:firstLine="480"/>
        <w:rPr>
          <w:rFonts w:ascii="仿宋" w:hAnsi="仿宋" w:eastAsia="仿宋" w:cs="仿宋"/>
          <w:snapToGrid w:val="0"/>
          <w:color w:val="000000" w:themeColor="text1"/>
          <w:highlight w:val="none"/>
          <w:lang w:val="zh-CN"/>
          <w14:textFill>
            <w14:solidFill>
              <w14:schemeClr w14:val="tx1"/>
            </w14:solidFill>
          </w14:textFill>
        </w:rPr>
      </w:pPr>
      <w:r>
        <w:rPr>
          <w:rFonts w:hint="eastAsia" w:ascii="仿宋" w:hAnsi="仿宋" w:eastAsia="仿宋" w:cs="仿宋"/>
          <w:snapToGrid w:val="0"/>
          <w:color w:val="000000" w:themeColor="text1"/>
          <w:highlight w:val="none"/>
          <w:lang w:val="zh-CN"/>
          <w14:textFill>
            <w14:solidFill>
              <w14:schemeClr w14:val="tx1"/>
            </w14:solidFill>
          </w14:textFill>
        </w:rPr>
        <w:t>（九）施工中采用新技术、新工艺、新设备、新材料，必须制定相应的安全技术措施。施工现场必须按规定有针对性地悬挂安全标志牌。</w:t>
      </w:r>
    </w:p>
    <w:p>
      <w:pPr>
        <w:autoSpaceDE w:val="0"/>
        <w:autoSpaceDN w:val="0"/>
        <w:adjustRightInd w:val="0"/>
        <w:snapToGrid w:val="0"/>
        <w:spacing w:before="156"/>
        <w:ind w:firstLine="480"/>
        <w:rPr>
          <w:rFonts w:ascii="仿宋" w:hAnsi="仿宋" w:eastAsia="仿宋" w:cs="仿宋"/>
          <w:snapToGrid w:val="0"/>
          <w:color w:val="000000" w:themeColor="text1"/>
          <w:highlight w:val="none"/>
          <w:lang w:val="zh-CN"/>
          <w14:textFill>
            <w14:solidFill>
              <w14:schemeClr w14:val="tx1"/>
            </w14:solidFill>
          </w14:textFill>
        </w:rPr>
      </w:pPr>
      <w:r>
        <w:rPr>
          <w:rFonts w:hint="eastAsia" w:ascii="仿宋" w:hAnsi="仿宋" w:eastAsia="仿宋" w:cs="仿宋"/>
          <w:snapToGrid w:val="0"/>
          <w:color w:val="000000" w:themeColor="text1"/>
          <w:highlight w:val="none"/>
          <w:lang w:val="zh-CN"/>
          <w14:textFill>
            <w14:solidFill>
              <w14:schemeClr w14:val="tx1"/>
            </w14:solidFill>
          </w14:textFill>
        </w:rPr>
        <w:t>（十）承包人</w:t>
      </w:r>
      <w:r>
        <w:rPr>
          <w:rFonts w:hint="eastAsia" w:ascii="仿宋" w:hAnsi="仿宋" w:eastAsia="仿宋" w:cs="仿宋"/>
          <w:snapToGrid w:val="0"/>
          <w:color w:val="000000" w:themeColor="text1"/>
          <w:highlight w:val="none"/>
          <w14:textFill>
            <w14:solidFill>
              <w14:schemeClr w14:val="tx1"/>
            </w14:solidFill>
          </w14:textFill>
        </w:rPr>
        <w:t>必须</w:t>
      </w:r>
      <w:r>
        <w:rPr>
          <w:rFonts w:hint="eastAsia" w:ascii="仿宋" w:hAnsi="仿宋" w:eastAsia="仿宋" w:cs="仿宋"/>
          <w:snapToGrid w:val="0"/>
          <w:color w:val="000000" w:themeColor="text1"/>
          <w:highlight w:val="none"/>
          <w:lang w:val="zh-CN"/>
          <w14:textFill>
            <w14:solidFill>
              <w14:schemeClr w14:val="tx1"/>
            </w14:solidFill>
          </w14:textFill>
        </w:rPr>
        <w:t>按照本工程项目特点，制定安全事故应急救援预案；如果发生安全事故，应按照《建设工程安全管理条例》的有关规定上报有关部门，并按照</w:t>
      </w:r>
      <w:r>
        <w:rPr>
          <w:rFonts w:hint="eastAsia" w:ascii="仿宋" w:hAnsi="仿宋" w:eastAsia="仿宋" w:cs="仿宋"/>
          <w:snapToGrid w:val="0"/>
          <w:color w:val="000000" w:themeColor="text1"/>
          <w:highlight w:val="none"/>
          <w14:textFill>
            <w14:solidFill>
              <w14:schemeClr w14:val="tx1"/>
            </w14:solidFill>
          </w14:textFill>
        </w:rPr>
        <w:t>“</w:t>
      </w:r>
      <w:r>
        <w:rPr>
          <w:rFonts w:hint="eastAsia" w:ascii="仿宋" w:hAnsi="仿宋" w:eastAsia="仿宋" w:cs="仿宋"/>
          <w:snapToGrid w:val="0"/>
          <w:color w:val="000000" w:themeColor="text1"/>
          <w:highlight w:val="none"/>
          <w:lang w:val="zh-CN"/>
          <w14:textFill>
            <w14:solidFill>
              <w14:schemeClr w14:val="tx1"/>
            </w14:solidFill>
          </w14:textFill>
        </w:rPr>
        <w:t>四不放过</w:t>
      </w:r>
      <w:r>
        <w:rPr>
          <w:rFonts w:hint="eastAsia" w:ascii="仿宋" w:hAnsi="仿宋" w:eastAsia="仿宋" w:cs="仿宋"/>
          <w:snapToGrid w:val="0"/>
          <w:color w:val="000000" w:themeColor="text1"/>
          <w:highlight w:val="none"/>
          <w14:textFill>
            <w14:solidFill>
              <w14:schemeClr w14:val="tx1"/>
            </w14:solidFill>
          </w14:textFill>
        </w:rPr>
        <w:t>”</w:t>
      </w:r>
      <w:r>
        <w:rPr>
          <w:rFonts w:hint="eastAsia" w:ascii="仿宋" w:hAnsi="仿宋" w:eastAsia="仿宋" w:cs="仿宋"/>
          <w:snapToGrid w:val="0"/>
          <w:color w:val="000000" w:themeColor="text1"/>
          <w:highlight w:val="none"/>
          <w:lang w:val="zh-CN"/>
          <w14:textFill>
            <w14:solidFill>
              <w14:schemeClr w14:val="tx1"/>
            </w14:solidFill>
          </w14:textFill>
        </w:rPr>
        <w:t>的原则调查处理。</w:t>
      </w:r>
    </w:p>
    <w:p>
      <w:pPr>
        <w:autoSpaceDE w:val="0"/>
        <w:autoSpaceDN w:val="0"/>
        <w:adjustRightInd w:val="0"/>
        <w:snapToGrid w:val="0"/>
        <w:spacing w:before="156"/>
        <w:ind w:firstLine="482"/>
        <w:rPr>
          <w:rFonts w:ascii="仿宋" w:hAnsi="仿宋" w:eastAsia="仿宋" w:cs="仿宋"/>
          <w:b/>
          <w:snapToGrid w:val="0"/>
          <w:color w:val="000000" w:themeColor="text1"/>
          <w:highlight w:val="none"/>
          <w:lang w:val="zh-CN"/>
          <w14:textFill>
            <w14:solidFill>
              <w14:schemeClr w14:val="tx1"/>
            </w14:solidFill>
          </w14:textFill>
        </w:rPr>
      </w:pPr>
      <w:r>
        <w:rPr>
          <w:rFonts w:hint="eastAsia" w:ascii="仿宋" w:hAnsi="仿宋" w:eastAsia="仿宋" w:cs="仿宋"/>
          <w:b/>
          <w:snapToGrid w:val="0"/>
          <w:color w:val="000000" w:themeColor="text1"/>
          <w:highlight w:val="none"/>
          <w:lang w:val="zh-CN"/>
          <w14:textFill>
            <w14:solidFill>
              <w14:schemeClr w14:val="tx1"/>
            </w14:solidFill>
          </w14:textFill>
        </w:rPr>
        <w:t>三、违约责任</w:t>
      </w:r>
    </w:p>
    <w:p>
      <w:pPr>
        <w:snapToGrid w:val="0"/>
        <w:spacing w:before="156" w:after="156" w:afterLines="50"/>
        <w:ind w:firstLine="480"/>
        <w:rPr>
          <w:rFonts w:ascii="仿宋" w:hAnsi="仿宋" w:eastAsia="仿宋" w:cs="仿宋"/>
          <w:snapToGrid w:val="0"/>
          <w:color w:val="000000" w:themeColor="text1"/>
          <w:highlight w:val="none"/>
          <w:lang w:val="zh-CN"/>
          <w14:textFill>
            <w14:solidFill>
              <w14:schemeClr w14:val="tx1"/>
            </w14:solidFill>
          </w14:textFill>
        </w:rPr>
      </w:pPr>
      <w:r>
        <w:rPr>
          <w:rFonts w:hint="eastAsia" w:ascii="仿宋" w:hAnsi="仿宋" w:eastAsia="仿宋" w:cs="仿宋"/>
          <w:snapToGrid w:val="0"/>
          <w:color w:val="000000" w:themeColor="text1"/>
          <w:highlight w:val="none"/>
          <w:lang w:val="zh-CN"/>
          <w14:textFill>
            <w14:solidFill>
              <w14:schemeClr w14:val="tx1"/>
            </w14:solidFill>
          </w14:textFill>
        </w:rPr>
        <w:t>如因</w:t>
      </w:r>
      <w:r>
        <w:rPr>
          <w:rFonts w:hint="eastAsia" w:ascii="仿宋" w:hAnsi="仿宋" w:eastAsia="仿宋" w:cs="仿宋"/>
          <w:color w:val="000000" w:themeColor="text1"/>
          <w:highlight w:val="none"/>
          <w14:textFill>
            <w14:solidFill>
              <w14:schemeClr w14:val="tx1"/>
            </w14:solidFill>
          </w14:textFill>
        </w:rPr>
        <w:t>建设单位、</w:t>
      </w:r>
      <w:r>
        <w:rPr>
          <w:rFonts w:hint="eastAsia" w:ascii="仿宋" w:hAnsi="仿宋" w:eastAsia="仿宋" w:cs="仿宋"/>
          <w:snapToGrid w:val="0"/>
          <w:color w:val="000000" w:themeColor="text1"/>
          <w:highlight w:val="none"/>
          <w:lang w:val="zh-CN"/>
          <w14:textFill>
            <w14:solidFill>
              <w14:schemeClr w14:val="tx1"/>
            </w14:solidFill>
          </w14:textFill>
        </w:rPr>
        <w:t>发包人或承包人失职违约，将依据《建设工程安全管理条例》、合同及有关规定追究责任。</w:t>
      </w:r>
    </w:p>
    <w:p>
      <w:pPr>
        <w:adjustRightInd w:val="0"/>
        <w:snapToGrid w:val="0"/>
        <w:spacing w:before="156"/>
        <w:ind w:firstLine="480"/>
        <w:rPr>
          <w:rFonts w:ascii="仿宋" w:hAnsi="仿宋" w:eastAsia="仿宋" w:cs="仿宋"/>
          <w:color w:val="000000" w:themeColor="text1"/>
          <w:highlight w:val="none"/>
          <w:lang w:bidi="ar"/>
          <w14:textFill>
            <w14:solidFill>
              <w14:schemeClr w14:val="tx1"/>
            </w14:solidFill>
          </w14:textFill>
        </w:rPr>
      </w:pPr>
      <w:r>
        <w:rPr>
          <w:rFonts w:hint="eastAsia" w:ascii="仿宋" w:hAnsi="仿宋" w:eastAsia="仿宋" w:cs="仿宋"/>
          <w:snapToGrid w:val="0"/>
          <w:color w:val="000000" w:themeColor="text1"/>
          <w:highlight w:val="none"/>
          <w:lang w:val="zh-CN"/>
          <w14:textFill>
            <w14:solidFill>
              <w14:schemeClr w14:val="tx1"/>
            </w14:solidFill>
          </w14:textFill>
        </w:rPr>
        <w:t>本安全生产合同由各方</w:t>
      </w:r>
      <w:r>
        <w:rPr>
          <w:rFonts w:hint="eastAsia" w:ascii="仿宋" w:hAnsi="仿宋" w:eastAsia="仿宋" w:cs="仿宋"/>
          <w:snapToGrid w:val="0"/>
          <w:color w:val="000000" w:themeColor="text1"/>
          <w:highlight w:val="none"/>
          <w14:textFill>
            <w14:solidFill>
              <w14:schemeClr w14:val="tx1"/>
            </w14:solidFill>
          </w14:textFill>
        </w:rPr>
        <w:t>法定代表人（或委托代理人）签字或加盖公章</w:t>
      </w:r>
      <w:r>
        <w:rPr>
          <w:rFonts w:hint="eastAsia" w:ascii="仿宋" w:hAnsi="仿宋" w:eastAsia="仿宋" w:cs="仿宋"/>
          <w:snapToGrid w:val="0"/>
          <w:color w:val="000000" w:themeColor="text1"/>
          <w:highlight w:val="none"/>
          <w:lang w:val="zh-CN"/>
          <w14:textFill>
            <w14:solidFill>
              <w14:schemeClr w14:val="tx1"/>
            </w14:solidFill>
          </w14:textFill>
        </w:rPr>
        <w:t>后生效。工程竣工验收合格</w:t>
      </w:r>
      <w:r>
        <w:rPr>
          <w:rFonts w:hint="eastAsia" w:ascii="仿宋" w:hAnsi="仿宋" w:eastAsia="仿宋" w:cs="仿宋"/>
          <w:snapToGrid w:val="0"/>
          <w:color w:val="000000" w:themeColor="text1"/>
          <w:highlight w:val="none"/>
          <w14:textFill>
            <w14:solidFill>
              <w14:schemeClr w14:val="tx1"/>
            </w14:solidFill>
          </w14:textFill>
        </w:rPr>
        <w:t>及质保期</w:t>
      </w:r>
      <w:r>
        <w:rPr>
          <w:rFonts w:hint="eastAsia" w:ascii="仿宋" w:hAnsi="仿宋" w:eastAsia="仿宋" w:cs="仿宋"/>
          <w:snapToGrid w:val="0"/>
          <w:color w:val="000000" w:themeColor="text1"/>
          <w:highlight w:val="none"/>
          <w:lang w:val="zh-CN"/>
          <w14:textFill>
            <w14:solidFill>
              <w14:schemeClr w14:val="tx1"/>
            </w14:solidFill>
          </w14:textFill>
        </w:rPr>
        <w:t>后失效。</w:t>
      </w:r>
    </w:p>
    <w:p>
      <w:pPr>
        <w:adjustRightInd w:val="0"/>
        <w:snapToGrid w:val="0"/>
        <w:spacing w:before="312" w:beforeLines="100"/>
        <w:ind w:firstLine="480"/>
        <w:jc w:val="left"/>
        <w:rPr>
          <w:rFonts w:ascii="仿宋" w:hAnsi="仿宋" w:eastAsia="仿宋" w:cs="仿宋"/>
          <w:color w:val="000000" w:themeColor="text1"/>
          <w:highlight w:val="none"/>
          <w:lang w:bidi="ar"/>
          <w14:textFill>
            <w14:solidFill>
              <w14:schemeClr w14:val="tx1"/>
            </w14:solidFill>
          </w14:textFill>
        </w:rPr>
      </w:pPr>
      <w:r>
        <w:rPr>
          <w:rFonts w:hint="eastAsia" w:ascii="仿宋" w:hAnsi="仿宋" w:eastAsia="仿宋" w:cs="仿宋"/>
          <w:color w:val="000000" w:themeColor="text1"/>
          <w:highlight w:val="none"/>
          <w:lang w:bidi="ar"/>
          <w14:textFill>
            <w14:solidFill>
              <w14:schemeClr w14:val="tx1"/>
            </w14:solidFill>
          </w14:textFill>
        </w:rPr>
        <w:t>（以下无正文）</w:t>
      </w:r>
    </w:p>
    <w:p>
      <w:pPr>
        <w:adjustRightInd w:val="0"/>
        <w:snapToGrid w:val="0"/>
        <w:spacing w:before="312" w:beforeLines="100"/>
        <w:ind w:firstLine="480"/>
        <w:jc w:val="left"/>
        <w:rPr>
          <w:rFonts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lang w:bidi="ar"/>
          <w14:textFill>
            <w14:solidFill>
              <w14:schemeClr w14:val="tx1"/>
            </w14:solidFill>
          </w14:textFill>
        </w:rPr>
        <w:t>安全生产合同签署栏</w:t>
      </w:r>
      <w:bookmarkEnd w:id="0"/>
      <w:bookmarkEnd w:id="1"/>
    </w:p>
    <w:tbl>
      <w:tblPr>
        <w:tblStyle w:val="12"/>
        <w:tblpPr w:leftFromText="180" w:rightFromText="180" w:vertAnchor="text" w:horzAnchor="page" w:tblpX="2124" w:tblpY="377"/>
        <w:tblOverlap w:val="never"/>
        <w:tblW w:w="8262" w:type="dxa"/>
        <w:tblInd w:w="0" w:type="dxa"/>
        <w:tblLayout w:type="fixed"/>
        <w:tblCellMar>
          <w:top w:w="0" w:type="dxa"/>
          <w:left w:w="108" w:type="dxa"/>
          <w:bottom w:w="0" w:type="dxa"/>
          <w:right w:w="108" w:type="dxa"/>
        </w:tblCellMar>
      </w:tblPr>
      <w:tblGrid>
        <w:gridCol w:w="4167"/>
        <w:gridCol w:w="4095"/>
      </w:tblGrid>
      <w:tr>
        <w:tblPrEx>
          <w:tblCellMar>
            <w:top w:w="0" w:type="dxa"/>
            <w:left w:w="108" w:type="dxa"/>
            <w:bottom w:w="0" w:type="dxa"/>
            <w:right w:w="108" w:type="dxa"/>
          </w:tblCellMar>
        </w:tblPrEx>
        <w:trPr>
          <w:trHeight w:val="2024" w:hRule="atLeast"/>
        </w:trPr>
        <w:tc>
          <w:tcPr>
            <w:tcW w:w="4167" w:type="dxa"/>
          </w:tcPr>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发包人：</w:t>
            </w:r>
            <w:r>
              <w:rPr>
                <w:rFonts w:hint="eastAsia" w:ascii="仿宋" w:hAnsi="仿宋" w:eastAsia="仿宋" w:cs="仿宋"/>
                <w:color w:val="000000" w:themeColor="text1"/>
                <w:highlight w:val="none"/>
                <w:u w:val="single"/>
                <w14:textFill>
                  <w14:solidFill>
                    <w14:schemeClr w14:val="tx1"/>
                  </w14:solidFill>
                </w14:textFill>
              </w:rPr>
              <w:t xml:space="preserve"> </w:t>
            </w:r>
          </w:p>
          <w:p>
            <w:pPr>
              <w:snapToGrid w:val="0"/>
              <w:spacing w:before="156"/>
              <w:ind w:firstLine="48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（盖章）</w:t>
            </w:r>
          </w:p>
        </w:tc>
        <w:tc>
          <w:tcPr>
            <w:tcW w:w="4095" w:type="dxa"/>
          </w:tcPr>
          <w:p>
            <w:pPr>
              <w:snapToGrid w:val="0"/>
              <w:spacing w:before="156"/>
              <w:ind w:left="960" w:hanging="960" w:hangingChars="400"/>
              <w:rPr>
                <w:rFonts w:ascii="仿宋" w:hAnsi="仿宋" w:eastAsia="仿宋" w:cs="仿宋"/>
                <w:snapToGrid w:val="0"/>
                <w:color w:val="000000" w:themeColor="text1"/>
                <w:kern w:val="0"/>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承包人： </w:t>
            </w: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（盖章）</w:t>
            </w:r>
          </w:p>
          <w:p>
            <w:pPr>
              <w:pStyle w:val="2"/>
              <w:spacing w:before="156"/>
              <w:ind w:firstLine="0" w:firstLineChars="0"/>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1360" w:hRule="atLeast"/>
        </w:trPr>
        <w:tc>
          <w:tcPr>
            <w:tcW w:w="4167" w:type="dxa"/>
          </w:tcPr>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w:t>
            </w: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或其授权代表：</w:t>
            </w:r>
          </w:p>
        </w:tc>
        <w:tc>
          <w:tcPr>
            <w:tcW w:w="4095" w:type="dxa"/>
          </w:tcPr>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w:t>
            </w:r>
          </w:p>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或其授权代表：</w:t>
            </w:r>
          </w:p>
        </w:tc>
      </w:tr>
      <w:tr>
        <w:tblPrEx>
          <w:tblCellMar>
            <w:top w:w="0" w:type="dxa"/>
            <w:left w:w="108" w:type="dxa"/>
            <w:bottom w:w="0" w:type="dxa"/>
            <w:right w:w="108" w:type="dxa"/>
          </w:tblCellMar>
        </w:tblPrEx>
        <w:trPr>
          <w:trHeight w:val="535" w:hRule="atLeast"/>
        </w:trPr>
        <w:tc>
          <w:tcPr>
            <w:tcW w:w="4167" w:type="dxa"/>
          </w:tcPr>
          <w:p>
            <w:pPr>
              <w:snapToGrid w:val="0"/>
              <w:spacing w:before="156"/>
              <w:ind w:firstLine="480"/>
              <w:rPr>
                <w:rFonts w:ascii="仿宋" w:hAnsi="仿宋" w:eastAsia="仿宋" w:cs="仿宋"/>
                <w:color w:val="000000" w:themeColor="text1"/>
                <w:highlight w:val="none"/>
                <w14:textFill>
                  <w14:solidFill>
                    <w14:schemeClr w14:val="tx1"/>
                  </w14:solidFill>
                </w14:textFill>
              </w:rPr>
            </w:pPr>
          </w:p>
        </w:tc>
        <w:tc>
          <w:tcPr>
            <w:tcW w:w="4095" w:type="dxa"/>
          </w:tcPr>
          <w:p>
            <w:pPr>
              <w:snapToGrid w:val="0"/>
              <w:spacing w:before="156"/>
              <w:ind w:firstLine="480"/>
              <w:rPr>
                <w:rFonts w:ascii="仿宋" w:hAnsi="仿宋" w:eastAsia="仿宋" w:cs="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660" w:hRule="atLeast"/>
        </w:trPr>
        <w:tc>
          <w:tcPr>
            <w:tcW w:w="4167" w:type="dxa"/>
            <w:vAlign w:val="center"/>
          </w:tcPr>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2025年  月   日</w:t>
            </w:r>
          </w:p>
        </w:tc>
        <w:tc>
          <w:tcPr>
            <w:tcW w:w="4095" w:type="dxa"/>
            <w:vAlign w:val="center"/>
          </w:tcPr>
          <w:p>
            <w:pPr>
              <w:snapToGrid w:val="0"/>
              <w:spacing w:before="156"/>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2025年  月   日</w:t>
            </w:r>
          </w:p>
        </w:tc>
      </w:tr>
    </w:tbl>
    <w:p>
      <w:pPr>
        <w:snapToGrid w:val="0"/>
        <w:spacing w:before="156"/>
        <w:ind w:firstLine="480"/>
        <w:rPr>
          <w:rFonts w:ascii="仿宋" w:hAnsi="仿宋" w:eastAsia="仿宋" w:cs="仿宋"/>
          <w:color w:val="000000" w:themeColor="text1"/>
          <w:highlight w:val="none"/>
          <w14:textFill>
            <w14:solidFill>
              <w14:schemeClr w14:val="tx1"/>
            </w14:solidFill>
          </w14:textFill>
        </w:rPr>
      </w:pPr>
    </w:p>
    <w:p>
      <w:pPr>
        <w:autoSpaceDE w:val="0"/>
        <w:snapToGrid w:val="0"/>
        <w:spacing w:before="156"/>
        <w:ind w:firstLine="480"/>
        <w:rPr>
          <w:rFonts w:ascii="仿宋" w:hAnsi="仿宋" w:eastAsia="仿宋" w:cs="仿宋"/>
          <w:color w:val="000000" w:themeColor="text1"/>
          <w:highlight w:val="none"/>
          <w14:textFill>
            <w14:solidFill>
              <w14:schemeClr w14:val="tx1"/>
            </w14:solidFill>
          </w14:textFill>
        </w:rPr>
      </w:pPr>
    </w:p>
    <w:p>
      <w:pPr>
        <w:snapToGrid w:val="0"/>
        <w:spacing w:before="156"/>
        <w:ind w:firstLine="480"/>
        <w:rPr>
          <w:rFonts w:ascii="仿宋" w:hAnsi="仿宋" w:eastAsia="仿宋" w:cs="仿宋"/>
          <w:color w:val="000000" w:themeColor="text1"/>
          <w:highlight w:val="none"/>
          <w14:textFill>
            <w14:solidFill>
              <w14:schemeClr w14:val="tx1"/>
            </w14:solidFill>
          </w14:textFill>
        </w:rPr>
      </w:pPr>
    </w:p>
    <w:p>
      <w:pPr>
        <w:pStyle w:val="2"/>
        <w:snapToGrid w:val="0"/>
        <w:spacing w:before="156"/>
        <w:ind w:firstLine="0" w:firstLineChars="0"/>
        <w:rPr>
          <w:rFonts w:ascii="仿宋" w:hAnsi="仿宋" w:eastAsia="仿宋" w:cs="仿宋"/>
          <w:bCs/>
          <w:color w:val="000000" w:themeColor="text1"/>
          <w:highlight w:val="none"/>
          <w14:textFill>
            <w14:solidFill>
              <w14:schemeClr w14:val="tx1"/>
            </w14:solidFill>
          </w14:textFill>
        </w:rPr>
      </w:pPr>
    </w:p>
    <w:p>
      <w:pPr>
        <w:pStyle w:val="2"/>
        <w:snapToGrid w:val="0"/>
        <w:spacing w:before="156"/>
        <w:ind w:firstLine="0" w:firstLineChars="0"/>
        <w:rPr>
          <w:rFonts w:ascii="仿宋" w:hAnsi="仿宋" w:eastAsia="仿宋" w:cs="仿宋"/>
          <w:bCs/>
          <w:color w:val="000000" w:themeColor="text1"/>
          <w:highlight w:val="none"/>
          <w14:textFill>
            <w14:solidFill>
              <w14:schemeClr w14:val="tx1"/>
            </w14:solidFill>
          </w14:textFill>
        </w:rPr>
      </w:pPr>
    </w:p>
    <w:p>
      <w:pPr>
        <w:spacing w:before="156"/>
        <w:ind w:firstLine="0" w:firstLineChars="0"/>
        <w:rPr>
          <w:color w:val="000000" w:themeColor="text1"/>
          <w:highlight w:val="none"/>
          <w14:textFill>
            <w14:solidFill>
              <w14:schemeClr w14:val="tx1"/>
            </w14:solidFill>
          </w14:textFill>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CE5802-104C-4B09-88BB-4C78A705C6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93D122C-2C96-4BE5-A670-32C74513414B}"/>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C7E6B7DE-E066-4F7E-96A7-F4C95B22CBB4}"/>
  </w:font>
  <w:font w:name="仿宋_GB2312">
    <w:altName w:val="仿宋"/>
    <w:panose1 w:val="00000000000000000000"/>
    <w:charset w:val="86"/>
    <w:family w:val="modern"/>
    <w:pitch w:val="default"/>
    <w:sig w:usb0="00000000" w:usb1="00000000" w:usb2="00000000" w:usb3="00000000" w:csb0="00040000" w:csb1="00000000"/>
    <w:embedRegular r:id="rId4" w:fontKey="{7E855FF7-C6A8-4A68-A9DB-B73C567E63BF}"/>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590963"/>
    </w:sdtPr>
    <w:sdtContent>
      <w:p>
        <w:pPr>
          <w:pStyle w:val="8"/>
          <w:spacing w:before="120"/>
          <w:ind w:firstLine="360"/>
          <w:jc w:val="center"/>
        </w:pPr>
        <w:r>
          <w:fldChar w:fldCharType="begin"/>
        </w:r>
        <w:r>
          <w:instrText xml:space="preserve">PAGE   \* MERGEFORMAT</w:instrText>
        </w:r>
        <w:r>
          <w:fldChar w:fldCharType="separate"/>
        </w:r>
        <w:r>
          <w:rPr>
            <w:lang w:val="zh-CN"/>
          </w:rPr>
          <w:t>41</w:t>
        </w:r>
        <w:r>
          <w:fldChar w:fldCharType="end"/>
        </w:r>
      </w:p>
    </w:sdtContent>
  </w:sdt>
  <w:p>
    <w:pPr>
      <w:pStyle w:val="8"/>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C04773"/>
    <w:rsid w:val="000E759A"/>
    <w:rsid w:val="00200008"/>
    <w:rsid w:val="002426AF"/>
    <w:rsid w:val="00250847"/>
    <w:rsid w:val="002962CB"/>
    <w:rsid w:val="00326A9A"/>
    <w:rsid w:val="003862A8"/>
    <w:rsid w:val="00484C53"/>
    <w:rsid w:val="00522102"/>
    <w:rsid w:val="005475C3"/>
    <w:rsid w:val="0056142B"/>
    <w:rsid w:val="00564C32"/>
    <w:rsid w:val="005E533D"/>
    <w:rsid w:val="00830451"/>
    <w:rsid w:val="008E3E1C"/>
    <w:rsid w:val="009A7605"/>
    <w:rsid w:val="00A15A82"/>
    <w:rsid w:val="00A31096"/>
    <w:rsid w:val="00AA1F2F"/>
    <w:rsid w:val="00BC01BF"/>
    <w:rsid w:val="00C01581"/>
    <w:rsid w:val="00CF68D5"/>
    <w:rsid w:val="00D3757D"/>
    <w:rsid w:val="00E67BE5"/>
    <w:rsid w:val="00FC75ED"/>
    <w:rsid w:val="01390BCC"/>
    <w:rsid w:val="02C6361D"/>
    <w:rsid w:val="033754D2"/>
    <w:rsid w:val="033E696D"/>
    <w:rsid w:val="03C54999"/>
    <w:rsid w:val="04003C23"/>
    <w:rsid w:val="05883C21"/>
    <w:rsid w:val="05AB5E10"/>
    <w:rsid w:val="06F37E87"/>
    <w:rsid w:val="073E6F3C"/>
    <w:rsid w:val="07A336EF"/>
    <w:rsid w:val="081D4EDF"/>
    <w:rsid w:val="08400A92"/>
    <w:rsid w:val="08C72F61"/>
    <w:rsid w:val="09CD6050"/>
    <w:rsid w:val="09D232AC"/>
    <w:rsid w:val="0C14470F"/>
    <w:rsid w:val="0C160487"/>
    <w:rsid w:val="0D603E2B"/>
    <w:rsid w:val="0D7C5DC3"/>
    <w:rsid w:val="0D7F311A"/>
    <w:rsid w:val="0DFF55D2"/>
    <w:rsid w:val="0E52675F"/>
    <w:rsid w:val="0ECC307F"/>
    <w:rsid w:val="0EFD14A9"/>
    <w:rsid w:val="0F291755"/>
    <w:rsid w:val="113E15B3"/>
    <w:rsid w:val="11B12A00"/>
    <w:rsid w:val="120A2D9F"/>
    <w:rsid w:val="132743A2"/>
    <w:rsid w:val="13C95DDF"/>
    <w:rsid w:val="13CC1D73"/>
    <w:rsid w:val="14447B5C"/>
    <w:rsid w:val="15113FD7"/>
    <w:rsid w:val="156404B5"/>
    <w:rsid w:val="15E2762C"/>
    <w:rsid w:val="176048E7"/>
    <w:rsid w:val="17B5198A"/>
    <w:rsid w:val="18042091"/>
    <w:rsid w:val="18A60DE5"/>
    <w:rsid w:val="193A5851"/>
    <w:rsid w:val="199F03AD"/>
    <w:rsid w:val="1A9326A3"/>
    <w:rsid w:val="1A993B01"/>
    <w:rsid w:val="1AD5775F"/>
    <w:rsid w:val="1B4904D9"/>
    <w:rsid w:val="1BB13D28"/>
    <w:rsid w:val="1C25570A"/>
    <w:rsid w:val="1EC44756"/>
    <w:rsid w:val="1F4D46D7"/>
    <w:rsid w:val="1F7E6C18"/>
    <w:rsid w:val="1FED10A7"/>
    <w:rsid w:val="20B47E17"/>
    <w:rsid w:val="240F44D0"/>
    <w:rsid w:val="24D55588"/>
    <w:rsid w:val="257543BE"/>
    <w:rsid w:val="26E96660"/>
    <w:rsid w:val="2739477E"/>
    <w:rsid w:val="27396D02"/>
    <w:rsid w:val="284D3AAB"/>
    <w:rsid w:val="289B5D77"/>
    <w:rsid w:val="28BC5ABB"/>
    <w:rsid w:val="29385A89"/>
    <w:rsid w:val="29480E97"/>
    <w:rsid w:val="2AA8279A"/>
    <w:rsid w:val="2B0025D7"/>
    <w:rsid w:val="2B1241BD"/>
    <w:rsid w:val="2BC37FB3"/>
    <w:rsid w:val="2C370819"/>
    <w:rsid w:val="2C7C4FC9"/>
    <w:rsid w:val="2CC94C4A"/>
    <w:rsid w:val="2D5E5392"/>
    <w:rsid w:val="2F7B344B"/>
    <w:rsid w:val="30232F16"/>
    <w:rsid w:val="30B050B9"/>
    <w:rsid w:val="32BF699A"/>
    <w:rsid w:val="32F62E2B"/>
    <w:rsid w:val="333F30C5"/>
    <w:rsid w:val="34EC597A"/>
    <w:rsid w:val="352516BA"/>
    <w:rsid w:val="35270760"/>
    <w:rsid w:val="355A69F7"/>
    <w:rsid w:val="35A91F34"/>
    <w:rsid w:val="360A1A4D"/>
    <w:rsid w:val="37630CB5"/>
    <w:rsid w:val="377D6D5D"/>
    <w:rsid w:val="37EB0837"/>
    <w:rsid w:val="38145D11"/>
    <w:rsid w:val="38961762"/>
    <w:rsid w:val="38F117B0"/>
    <w:rsid w:val="39F130B5"/>
    <w:rsid w:val="3A4B5DAB"/>
    <w:rsid w:val="3A8D5509"/>
    <w:rsid w:val="3AB42A3E"/>
    <w:rsid w:val="3C0D6901"/>
    <w:rsid w:val="3CA54818"/>
    <w:rsid w:val="3D251A29"/>
    <w:rsid w:val="3D6E451D"/>
    <w:rsid w:val="3DA54918"/>
    <w:rsid w:val="3EB32D81"/>
    <w:rsid w:val="3F245755"/>
    <w:rsid w:val="3F2C5261"/>
    <w:rsid w:val="40646D0C"/>
    <w:rsid w:val="415E375B"/>
    <w:rsid w:val="41601281"/>
    <w:rsid w:val="41961147"/>
    <w:rsid w:val="434F66BD"/>
    <w:rsid w:val="436A63E7"/>
    <w:rsid w:val="446217B4"/>
    <w:rsid w:val="448862F3"/>
    <w:rsid w:val="44DB6604"/>
    <w:rsid w:val="45826E17"/>
    <w:rsid w:val="45C54E9F"/>
    <w:rsid w:val="464473C4"/>
    <w:rsid w:val="46497843"/>
    <w:rsid w:val="467302CF"/>
    <w:rsid w:val="475F1FDB"/>
    <w:rsid w:val="47637D1D"/>
    <w:rsid w:val="47C6205A"/>
    <w:rsid w:val="48A506F0"/>
    <w:rsid w:val="49550910"/>
    <w:rsid w:val="49ED54F0"/>
    <w:rsid w:val="49F7299F"/>
    <w:rsid w:val="4A871F75"/>
    <w:rsid w:val="4BA83F51"/>
    <w:rsid w:val="4C7D5BCD"/>
    <w:rsid w:val="4D13189E"/>
    <w:rsid w:val="4D20220D"/>
    <w:rsid w:val="4D7B7443"/>
    <w:rsid w:val="4F005E52"/>
    <w:rsid w:val="4F006586"/>
    <w:rsid w:val="4F0E4A13"/>
    <w:rsid w:val="500656EA"/>
    <w:rsid w:val="502913D8"/>
    <w:rsid w:val="5245699D"/>
    <w:rsid w:val="52F061DD"/>
    <w:rsid w:val="532033D1"/>
    <w:rsid w:val="54C811C0"/>
    <w:rsid w:val="55C04773"/>
    <w:rsid w:val="55D547C8"/>
    <w:rsid w:val="562C577E"/>
    <w:rsid w:val="56DC47D8"/>
    <w:rsid w:val="576A2A02"/>
    <w:rsid w:val="578A0969"/>
    <w:rsid w:val="57E02CC4"/>
    <w:rsid w:val="58B71C77"/>
    <w:rsid w:val="59305585"/>
    <w:rsid w:val="59462FFB"/>
    <w:rsid w:val="5A160C1F"/>
    <w:rsid w:val="5A9B2ED2"/>
    <w:rsid w:val="5B9242D5"/>
    <w:rsid w:val="5CAB0C03"/>
    <w:rsid w:val="5CCB7A9F"/>
    <w:rsid w:val="5CD5091E"/>
    <w:rsid w:val="5DFE3EA4"/>
    <w:rsid w:val="5F092B01"/>
    <w:rsid w:val="603D2175"/>
    <w:rsid w:val="6106379C"/>
    <w:rsid w:val="619568CD"/>
    <w:rsid w:val="629817D1"/>
    <w:rsid w:val="62AE40EB"/>
    <w:rsid w:val="63CB4828"/>
    <w:rsid w:val="63E37DC4"/>
    <w:rsid w:val="640862D8"/>
    <w:rsid w:val="64CA0F84"/>
    <w:rsid w:val="66F75F12"/>
    <w:rsid w:val="6769578B"/>
    <w:rsid w:val="678C7A7E"/>
    <w:rsid w:val="67C1127F"/>
    <w:rsid w:val="681419D0"/>
    <w:rsid w:val="68774F7F"/>
    <w:rsid w:val="69052915"/>
    <w:rsid w:val="69527534"/>
    <w:rsid w:val="69A43BF4"/>
    <w:rsid w:val="69B0699A"/>
    <w:rsid w:val="69CD2A55"/>
    <w:rsid w:val="69EC450D"/>
    <w:rsid w:val="6A7F636D"/>
    <w:rsid w:val="6AB252BB"/>
    <w:rsid w:val="6ADE12E5"/>
    <w:rsid w:val="6AED6860"/>
    <w:rsid w:val="6C305B70"/>
    <w:rsid w:val="6C4B4758"/>
    <w:rsid w:val="6CF92406"/>
    <w:rsid w:val="6DDD3AD6"/>
    <w:rsid w:val="6E26547D"/>
    <w:rsid w:val="6E355E4E"/>
    <w:rsid w:val="6E71421E"/>
    <w:rsid w:val="6EE2580F"/>
    <w:rsid w:val="6F3C65DA"/>
    <w:rsid w:val="70E044B8"/>
    <w:rsid w:val="70EC5DDE"/>
    <w:rsid w:val="71F4601C"/>
    <w:rsid w:val="72001B41"/>
    <w:rsid w:val="7285473C"/>
    <w:rsid w:val="73041B05"/>
    <w:rsid w:val="73353A6C"/>
    <w:rsid w:val="7521716B"/>
    <w:rsid w:val="75AB3C9B"/>
    <w:rsid w:val="76C159A0"/>
    <w:rsid w:val="76FD6F97"/>
    <w:rsid w:val="77013C90"/>
    <w:rsid w:val="77550B81"/>
    <w:rsid w:val="77FAE579"/>
    <w:rsid w:val="788D7EA7"/>
    <w:rsid w:val="79052133"/>
    <w:rsid w:val="79AD07BC"/>
    <w:rsid w:val="79D35D8D"/>
    <w:rsid w:val="7AC14FCE"/>
    <w:rsid w:val="7D44147C"/>
    <w:rsid w:val="7DB202CF"/>
    <w:rsid w:val="7EB51F2B"/>
    <w:rsid w:val="7FE4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50"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2"/>
    <w:basedOn w:val="1"/>
    <w:next w:val="1"/>
    <w:link w:val="20"/>
    <w:qFormat/>
    <w:uiPriority w:val="0"/>
    <w:pPr>
      <w:tabs>
        <w:tab w:val="left" w:pos="1134"/>
      </w:tabs>
      <w:snapToGrid w:val="0"/>
      <w:spacing w:before="0" w:beforeLines="0" w:after="158" w:afterLines="50"/>
      <w:ind w:firstLine="0" w:firstLineChars="0"/>
      <w:outlineLvl w:val="1"/>
    </w:pPr>
    <w:rPr>
      <w:rFonts w:ascii="宋体" w:hAnsi="宋体" w:cs="宋体"/>
      <w:b/>
      <w:bCs/>
      <w:kern w:val="44"/>
      <w:sz w:val="21"/>
      <w:szCs w:val="21"/>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Theme="minorHAnsi" w:hAnsiTheme="minorHAnsi" w:cstheme="minorBidi"/>
    </w:rPr>
  </w:style>
  <w:style w:type="paragraph" w:styleId="4">
    <w:name w:val="annotation text"/>
    <w:basedOn w:val="1"/>
    <w:qFormat/>
    <w:uiPriority w:val="0"/>
    <w:pPr>
      <w:jc w:val="left"/>
    </w:pPr>
  </w:style>
  <w:style w:type="paragraph" w:styleId="5">
    <w:name w:val="Plain Text"/>
    <w:basedOn w:val="1"/>
    <w:next w:val="1"/>
    <w:qFormat/>
    <w:uiPriority w:val="99"/>
    <w:pPr>
      <w:widowControl/>
    </w:pPr>
    <w:rPr>
      <w:rFonts w:ascii="宋体" w:hAnsi="Courier New" w:cs="Courier New" w:eastAsiaTheme="minorEastAsia"/>
      <w:sz w:val="21"/>
      <w:szCs w:val="21"/>
    </w:rPr>
  </w:style>
  <w:style w:type="paragraph" w:styleId="6">
    <w:name w:val="Body Text Indent 2"/>
    <w:basedOn w:val="1"/>
    <w:qFormat/>
    <w:uiPriority w:val="0"/>
    <w:pPr>
      <w:spacing w:after="120" w:line="480" w:lineRule="auto"/>
      <w:ind w:left="420" w:leftChars="200"/>
    </w:pPr>
    <w:rPr>
      <w:rFonts w:asciiTheme="minorHAnsi" w:hAnsiTheme="minorHAnsi" w:eastAsiaTheme="minorEastAsia" w:cstheme="minorBidi"/>
    </w:rPr>
  </w:style>
  <w:style w:type="paragraph" w:styleId="7">
    <w:name w:val="Balloon Text"/>
    <w:basedOn w:val="1"/>
    <w:link w:val="21"/>
    <w:qFormat/>
    <w:uiPriority w:val="0"/>
    <w:pPr>
      <w:spacing w:before="0" w:line="240" w:lineRule="auto"/>
    </w:pPr>
    <w:rPr>
      <w:sz w:val="18"/>
      <w:szCs w:val="18"/>
    </w:rPr>
  </w:style>
  <w:style w:type="paragraph" w:styleId="8">
    <w:name w:val="footer"/>
    <w:basedOn w:val="1"/>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10">
    <w:name w:val="toc 4"/>
    <w:basedOn w:val="1"/>
    <w:next w:val="1"/>
    <w:qFormat/>
    <w:uiPriority w:val="0"/>
    <w:pPr>
      <w:ind w:left="630"/>
    </w:pPr>
    <w:rPr>
      <w:sz w:val="18"/>
      <w:szCs w:val="18"/>
    </w:rPr>
  </w:style>
  <w:style w:type="paragraph" w:styleId="11">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14">
    <w:name w:val="表格"/>
    <w:basedOn w:val="1"/>
    <w:qFormat/>
    <w:uiPriority w:val="0"/>
    <w:pPr>
      <w:jc w:val="center"/>
      <w:textAlignment w:val="center"/>
    </w:pPr>
    <w:rPr>
      <w:rFonts w:ascii="华文细黑" w:hAnsi="华文细黑"/>
      <w:kern w:val="0"/>
      <w:szCs w:val="20"/>
    </w:rPr>
  </w:style>
  <w:style w:type="paragraph" w:customStyle="1" w:styleId="15">
    <w:name w:val="表格内容"/>
    <w:qFormat/>
    <w:uiPriority w:val="15"/>
    <w:pPr>
      <w:widowControl w:val="0"/>
      <w:autoSpaceDN w:val="0"/>
      <w:jc w:val="center"/>
      <w:textAlignment w:val="center"/>
    </w:pPr>
    <w:rPr>
      <w:rFonts w:ascii="Times New Roman" w:hAnsi="Times New Roman" w:eastAsia="仿宋" w:cs="Times New Roman"/>
      <w:kern w:val="2"/>
      <w:sz w:val="21"/>
      <w:szCs w:val="24"/>
      <w:lang w:val="en-US" w:eastAsia="zh-CN" w:bidi="ar-SA"/>
    </w:rPr>
  </w:style>
  <w:style w:type="paragraph" w:customStyle="1" w:styleId="16">
    <w:name w:val="正文 New New New New New New New New New New New New New New New New New New New"/>
    <w:qFormat/>
    <w:uiPriority w:val="0"/>
    <w:pPr>
      <w:widowControl w:val="0"/>
      <w:jc w:val="both"/>
    </w:pPr>
    <w:rPr>
      <w:rFonts w:ascii="仿宋_GB2312" w:hAnsi="仿宋_GB2312" w:eastAsia="微软雅黑" w:cs="宋体"/>
      <w:snapToGrid w:val="0"/>
      <w:sz w:val="21"/>
      <w:szCs w:val="32"/>
      <w:lang w:val="en-US" w:eastAsia="zh-CN" w:bidi="ar-SA"/>
    </w:rPr>
  </w:style>
  <w:style w:type="paragraph" w:customStyle="1" w:styleId="17">
    <w:name w:val="正文 New New"/>
    <w:qFormat/>
    <w:uiPriority w:val="0"/>
    <w:pPr>
      <w:widowControl w:val="0"/>
      <w:jc w:val="both"/>
    </w:pPr>
    <w:rPr>
      <w:rFonts w:ascii="Times New Roman" w:hAnsi="Times New Roman" w:eastAsia="微软雅黑" w:cs="Times New Roman"/>
      <w:kern w:val="2"/>
      <w:sz w:val="30"/>
      <w:szCs w:val="24"/>
      <w:lang w:val="en-US" w:eastAsia="zh-CN" w:bidi="ar-SA"/>
    </w:rPr>
  </w:style>
  <w:style w:type="paragraph" w:customStyle="1" w:styleId="18">
    <w:name w:val="修订1"/>
    <w:hidden/>
    <w:unhideWhenUsed/>
    <w:qFormat/>
    <w:uiPriority w:val="99"/>
    <w:rPr>
      <w:rFonts w:ascii="Times New Roman" w:hAnsi="Times New Roman" w:eastAsia="宋体" w:cs="Times New Roman"/>
      <w:kern w:val="2"/>
      <w:sz w:val="24"/>
      <w:szCs w:val="24"/>
      <w:lang w:val="en-US" w:eastAsia="zh-CN" w:bidi="ar-SA"/>
    </w:rPr>
  </w:style>
  <w:style w:type="paragraph" w:customStyle="1" w:styleId="19">
    <w:name w:val="修订2"/>
    <w:hidden/>
    <w:unhideWhenUsed/>
    <w:qFormat/>
    <w:uiPriority w:val="99"/>
    <w:rPr>
      <w:rFonts w:ascii="Times New Roman" w:hAnsi="Times New Roman" w:eastAsia="宋体" w:cs="Times New Roman"/>
      <w:kern w:val="2"/>
      <w:sz w:val="24"/>
      <w:szCs w:val="24"/>
      <w:lang w:val="en-US" w:eastAsia="zh-CN" w:bidi="ar-SA"/>
    </w:rPr>
  </w:style>
  <w:style w:type="character" w:customStyle="1" w:styleId="20">
    <w:name w:val="标题 2 Char"/>
    <w:basedOn w:val="13"/>
    <w:link w:val="3"/>
    <w:qFormat/>
    <w:uiPriority w:val="0"/>
    <w:rPr>
      <w:rFonts w:ascii="宋体" w:hAnsi="宋体" w:eastAsia="宋体" w:cs="宋体"/>
      <w:b/>
      <w:bCs/>
      <w:kern w:val="44"/>
      <w:sz w:val="21"/>
      <w:szCs w:val="21"/>
    </w:rPr>
  </w:style>
  <w:style w:type="character" w:customStyle="1" w:styleId="21">
    <w:name w:val="批注框文本 Char"/>
    <w:basedOn w:val="13"/>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18376</Words>
  <Characters>19615</Characters>
  <Lines>190</Lines>
  <Paragraphs>53</Paragraphs>
  <TotalTime>27</TotalTime>
  <ScaleCrop>false</ScaleCrop>
  <LinksUpToDate>false</LinksUpToDate>
  <CharactersWithSpaces>20293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2025-11-24T10:09:00Z</dcterms:created>
  <dc:creator>叶浩标</dc:creator>
  <cp:lastModifiedBy>user</cp:lastModifiedBy>
  <cp:lastPrinted>2025-11-11T09:38:00Z</cp:lastPrinted>
  <dcterms:modified xsi:type="dcterms:W3CDTF">2025-12-24T02:32:27Z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5F7841239D464A309547638C0CFAAF9F_13</vt:lpwstr>
  </property>
  <property fmtid="{D5CDD505-2E9C-101B-9397-08002B2CF9AE}" pid="4" name="KSOTemplateDocerSaveRecord">
    <vt:lpwstr>eyJoZGlkIjoiZWFiNWE5YzFmZTFkYmExMTIwMzM1ODkxNDZhNmJiYTAiLCJ1c2VySWQiOiIyNzM0MzE5MjUifQ==</vt:lpwstr>
  </property>
</Properties>
</file>