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ascii="宋体" w:hAnsi="宋体"/>
          <w:b/>
          <w:sz w:val="48"/>
          <w:szCs w:val="32"/>
        </w:rPr>
      </w:pPr>
      <w:bookmarkStart w:id="0" w:name="_Hlk78288426"/>
    </w:p>
    <w:p>
      <w:pPr>
        <w:spacing w:line="760" w:lineRule="exact"/>
        <w:jc w:val="center"/>
        <w:rPr>
          <w:rFonts w:ascii="黑体" w:hAnsi="黑体" w:eastAsia="黑体"/>
          <w:b/>
          <w:sz w:val="56"/>
          <w:szCs w:val="56"/>
        </w:rPr>
      </w:pPr>
      <w:bookmarkStart w:id="1" w:name="_Hlk108190762"/>
      <w:r>
        <w:rPr>
          <w:rFonts w:hint="eastAsia" w:ascii="黑体" w:hAnsi="黑体" w:eastAsia="黑体"/>
          <w:b/>
          <w:sz w:val="56"/>
          <w:szCs w:val="56"/>
        </w:rPr>
        <w:t>同康路大中修工程</w:t>
      </w:r>
      <w:r>
        <w:rPr>
          <w:rFonts w:hint="eastAsia" w:ascii="黑体" w:hAnsi="黑体" w:eastAsia="黑体"/>
          <w:b/>
          <w:sz w:val="56"/>
          <w:szCs w:val="56"/>
          <w:lang w:eastAsia="zh-CN"/>
        </w:rPr>
        <w:t>施工</w:t>
      </w:r>
      <w:r>
        <w:rPr>
          <w:rFonts w:hint="eastAsia" w:ascii="黑体" w:hAnsi="黑体" w:eastAsia="黑体"/>
          <w:b/>
          <w:sz w:val="56"/>
          <w:szCs w:val="56"/>
        </w:rPr>
        <w:t>监理</w:t>
      </w:r>
    </w:p>
    <w:bookmarkEnd w:id="0"/>
    <w:bookmarkEnd w:id="1"/>
    <w:p>
      <w:pPr>
        <w:spacing w:line="400" w:lineRule="exact"/>
        <w:rPr>
          <w:rFonts w:ascii="黑体" w:hAnsi="黑体" w:eastAsia="黑体"/>
        </w:rPr>
      </w:pPr>
    </w:p>
    <w:p>
      <w:pPr>
        <w:spacing w:line="400" w:lineRule="exact"/>
        <w:jc w:val="right"/>
        <w:rPr>
          <w:rFonts w:ascii="黑体" w:hAnsi="黑体" w:eastAsia="黑体"/>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rPr>
      </w:pPr>
    </w:p>
    <w:p>
      <w:pPr>
        <w:rPr>
          <w:rFonts w:ascii="黑体" w:hAnsi="黑体" w:eastAsia="黑体"/>
          <w:sz w:val="28"/>
        </w:rPr>
      </w:pPr>
    </w:p>
    <w:p>
      <w:pPr>
        <w:jc w:val="center"/>
        <w:rPr>
          <w:rFonts w:ascii="黑体" w:hAnsi="黑体" w:eastAsia="黑体"/>
          <w:b/>
          <w:sz w:val="56"/>
          <w:szCs w:val="32"/>
        </w:rPr>
      </w:pPr>
      <w:r>
        <w:rPr>
          <w:rFonts w:ascii="黑体" w:hAnsi="黑体" w:eastAsia="黑体"/>
          <w:b/>
          <w:sz w:val="56"/>
          <w:szCs w:val="32"/>
        </w:rPr>
        <w:t>招标</w:t>
      </w:r>
      <w:r>
        <w:rPr>
          <w:rFonts w:hint="eastAsia" w:ascii="黑体" w:hAnsi="黑体" w:eastAsia="黑体"/>
          <w:b/>
          <w:sz w:val="56"/>
          <w:szCs w:val="32"/>
        </w:rPr>
        <w:t>公告</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80" w:lineRule="auto"/>
        <w:rPr>
          <w:rFonts w:ascii="宋体" w:hAnsi="宋体"/>
          <w:b/>
          <w:sz w:val="28"/>
          <w:szCs w:val="24"/>
        </w:rPr>
      </w:pPr>
    </w:p>
    <w:p>
      <w:pPr>
        <w:spacing w:line="480" w:lineRule="auto"/>
        <w:jc w:val="center"/>
        <w:rPr>
          <w:rFonts w:ascii="宋体" w:hAnsi="宋体"/>
          <w:b/>
          <w:sz w:val="28"/>
          <w:szCs w:val="24"/>
        </w:rPr>
      </w:pPr>
      <w:r>
        <w:rPr>
          <w:rFonts w:ascii="宋体" w:hAnsi="宋体"/>
          <w:b/>
          <w:sz w:val="28"/>
          <w:szCs w:val="24"/>
        </w:rPr>
        <w:t>招标人：</w:t>
      </w:r>
      <w:r>
        <w:rPr>
          <w:rFonts w:hint="eastAsia" w:ascii="宋体" w:hAnsi="宋体"/>
          <w:b/>
          <w:sz w:val="28"/>
          <w:szCs w:val="24"/>
        </w:rPr>
        <w:t>广州市白云区重点交通项目管理中心</w:t>
      </w:r>
    </w:p>
    <w:p>
      <w:pPr>
        <w:spacing w:line="480" w:lineRule="auto"/>
        <w:jc w:val="center"/>
        <w:rPr>
          <w:rFonts w:ascii="宋体" w:hAnsi="宋体"/>
          <w:b/>
          <w:sz w:val="28"/>
          <w:szCs w:val="24"/>
        </w:rPr>
      </w:pPr>
      <w:r>
        <w:rPr>
          <w:rFonts w:hint="eastAsia" w:ascii="宋体" w:hAnsi="宋体"/>
          <w:b/>
          <w:sz w:val="28"/>
          <w:szCs w:val="24"/>
        </w:rPr>
        <w:t>招标代理：中达安股份有限公司</w:t>
      </w:r>
    </w:p>
    <w:p>
      <w:pPr>
        <w:widowControl/>
        <w:jc w:val="center"/>
        <w:rPr>
          <w:rFonts w:ascii="宋体" w:hAnsi="宋体"/>
          <w:b/>
          <w:sz w:val="28"/>
          <w:szCs w:val="24"/>
          <w:highlight w:val="none"/>
        </w:rPr>
      </w:pPr>
      <w:r>
        <w:rPr>
          <w:rFonts w:hint="eastAsia" w:ascii="宋体" w:hAnsi="宋体"/>
          <w:b/>
          <w:sz w:val="28"/>
          <w:szCs w:val="24"/>
          <w:highlight w:val="none"/>
        </w:rPr>
        <w:t>日期：202</w:t>
      </w:r>
      <w:r>
        <w:rPr>
          <w:rFonts w:ascii="宋体" w:hAnsi="宋体"/>
          <w:b/>
          <w:sz w:val="28"/>
          <w:szCs w:val="24"/>
          <w:highlight w:val="none"/>
        </w:rPr>
        <w:t>3</w:t>
      </w:r>
      <w:r>
        <w:rPr>
          <w:rFonts w:hint="eastAsia" w:ascii="宋体" w:hAnsi="宋体"/>
          <w:b/>
          <w:sz w:val="28"/>
          <w:szCs w:val="24"/>
          <w:highlight w:val="none"/>
        </w:rPr>
        <w:t>年</w:t>
      </w:r>
      <w:r>
        <w:rPr>
          <w:rFonts w:hint="eastAsia" w:ascii="宋体" w:hAnsi="宋体"/>
          <w:b/>
          <w:sz w:val="28"/>
          <w:szCs w:val="24"/>
          <w:highlight w:val="none"/>
          <w:lang w:val="en-US" w:eastAsia="zh-CN"/>
        </w:rPr>
        <w:t>3</w:t>
      </w:r>
      <w:r>
        <w:rPr>
          <w:rFonts w:hint="eastAsia" w:ascii="宋体" w:hAnsi="宋体"/>
          <w:b/>
          <w:sz w:val="28"/>
          <w:szCs w:val="24"/>
          <w:highlight w:val="none"/>
        </w:rPr>
        <w:t>月</w:t>
      </w:r>
    </w:p>
    <w:p>
      <w:pPr>
        <w:widowControl/>
        <w:jc w:val="center"/>
        <w:rPr>
          <w:rFonts w:ascii="黑体" w:hAnsi="黑体" w:eastAsia="黑体" w:cs="宋体"/>
          <w:b/>
          <w:kern w:val="0"/>
          <w:sz w:val="36"/>
          <w:szCs w:val="36"/>
        </w:rPr>
      </w:pPr>
      <w:r>
        <w:rPr>
          <w:rFonts w:ascii="宋体" w:hAnsi="宋体"/>
          <w:b/>
          <w:sz w:val="28"/>
          <w:szCs w:val="24"/>
        </w:rPr>
        <w:br w:type="page"/>
      </w:r>
      <w:r>
        <w:rPr>
          <w:rFonts w:hint="eastAsia" w:ascii="黑体" w:hAnsi="黑体" w:eastAsia="黑体" w:cs="宋体"/>
          <w:b/>
          <w:kern w:val="0"/>
          <w:sz w:val="36"/>
          <w:szCs w:val="36"/>
        </w:rPr>
        <w:t>同康路大中修工程监理</w:t>
      </w:r>
    </w:p>
    <w:p>
      <w:pPr>
        <w:widowControl/>
        <w:jc w:val="center"/>
        <w:rPr>
          <w:rFonts w:eastAsia="黑体"/>
          <w:b/>
          <w:sz w:val="32"/>
          <w:szCs w:val="32"/>
        </w:rPr>
      </w:pPr>
      <w:r>
        <w:rPr>
          <w:rFonts w:eastAsia="黑体"/>
          <w:b/>
          <w:sz w:val="36"/>
          <w:szCs w:val="36"/>
        </w:rPr>
        <w:t>招标公告</w:t>
      </w:r>
    </w:p>
    <w:p>
      <w:pPr>
        <w:pStyle w:val="2"/>
        <w:keepNext w:val="0"/>
        <w:keepLines w:val="0"/>
        <w:spacing w:before="0" w:after="0" w:line="240" w:lineRule="auto"/>
        <w:rPr>
          <w:rFonts w:ascii="Times New Roman" w:hAnsi="Times New Roman"/>
        </w:rPr>
      </w:pPr>
      <w:bookmarkStart w:id="2" w:name="_Toc514099623"/>
      <w:bookmarkStart w:id="3" w:name="_Toc511557025"/>
      <w:r>
        <w:rPr>
          <w:rFonts w:ascii="Times New Roman" w:hAnsi="Times New Roman"/>
        </w:rPr>
        <w:t>1. 招标条件</w:t>
      </w:r>
      <w:bookmarkEnd w:id="2"/>
      <w:bookmarkEnd w:id="3"/>
    </w:p>
    <w:p>
      <w:pPr>
        <w:spacing w:line="360" w:lineRule="auto"/>
        <w:ind w:firstLine="480" w:firstLineChars="200"/>
        <w:rPr>
          <w:rFonts w:ascii="宋体" w:hAnsi="宋体"/>
          <w:sz w:val="24"/>
          <w:szCs w:val="24"/>
        </w:rPr>
      </w:pPr>
      <w:r>
        <w:rPr>
          <w:rFonts w:ascii="宋体" w:hAnsi="宋体"/>
          <w:sz w:val="24"/>
          <w:szCs w:val="24"/>
        </w:rPr>
        <w:t>本招标项目</w:t>
      </w:r>
      <w:r>
        <w:rPr>
          <w:rFonts w:hint="eastAsia" w:ascii="宋体" w:hAnsi="宋体"/>
          <w:sz w:val="24"/>
          <w:u w:val="single"/>
        </w:rPr>
        <w:t>同康路大中修工程监理</w:t>
      </w:r>
      <w:r>
        <w:rPr>
          <w:rFonts w:ascii="宋体" w:hAnsi="宋体"/>
          <w:sz w:val="24"/>
          <w:szCs w:val="24"/>
        </w:rPr>
        <w:t>已由</w:t>
      </w:r>
      <w:r>
        <w:rPr>
          <w:rFonts w:hint="eastAsia" w:ascii="宋体" w:hAnsi="宋体"/>
          <w:sz w:val="24"/>
          <w:szCs w:val="24"/>
          <w:highlight w:val="none"/>
          <w:u w:val="single"/>
        </w:rPr>
        <w:t>广州市白云区发展和改革局</w:t>
      </w:r>
      <w:r>
        <w:rPr>
          <w:rFonts w:ascii="宋体" w:hAnsi="宋体"/>
          <w:sz w:val="24"/>
          <w:szCs w:val="24"/>
          <w:highlight w:val="none"/>
        </w:rPr>
        <w:t>以</w:t>
      </w:r>
      <w:r>
        <w:rPr>
          <w:rFonts w:hint="eastAsia" w:ascii="宋体" w:hAnsi="宋体"/>
          <w:sz w:val="24"/>
          <w:szCs w:val="24"/>
          <w:highlight w:val="none"/>
          <w:u w:val="single"/>
          <w:lang w:eastAsia="zh-CN"/>
        </w:rPr>
        <w:t>穗白发改投批[2022]24 号</w:t>
      </w:r>
      <w:r>
        <w:rPr>
          <w:rFonts w:ascii="宋体" w:hAnsi="宋体"/>
          <w:sz w:val="24"/>
          <w:szCs w:val="24"/>
          <w:highlight w:val="none"/>
        </w:rPr>
        <w:t>批准建设，</w:t>
      </w:r>
      <w:r>
        <w:rPr>
          <w:rFonts w:hint="eastAsia" w:ascii="宋体" w:hAnsi="宋体" w:cs="宋体"/>
          <w:sz w:val="24"/>
          <w:szCs w:val="24"/>
          <w:highlight w:val="none"/>
          <w:lang w:val="zh-CN"/>
        </w:rPr>
        <w:t>项目建设单位为</w:t>
      </w:r>
      <w:r>
        <w:rPr>
          <w:rFonts w:hint="eastAsia" w:ascii="宋体" w:hAnsi="宋体" w:cs="宋体"/>
          <w:sz w:val="24"/>
          <w:szCs w:val="24"/>
          <w:highlight w:val="none"/>
          <w:u w:val="single"/>
          <w:lang w:val="zh-CN"/>
        </w:rPr>
        <w:t>广州市白云区住房建设和交通局</w:t>
      </w:r>
      <w:r>
        <w:rPr>
          <w:rFonts w:hint="eastAsia" w:ascii="宋体" w:hAnsi="宋体" w:cs="宋体"/>
          <w:sz w:val="24"/>
          <w:szCs w:val="24"/>
          <w:lang w:val="zh-CN"/>
        </w:rPr>
        <w:t>，</w:t>
      </w:r>
      <w:r>
        <w:rPr>
          <w:rFonts w:ascii="宋体" w:hAnsi="宋体"/>
          <w:sz w:val="24"/>
          <w:szCs w:val="24"/>
        </w:rPr>
        <w:t>建设资金来自</w:t>
      </w:r>
      <w:r>
        <w:rPr>
          <w:rFonts w:hint="eastAsia" w:ascii="宋体" w:hAnsi="宋体"/>
          <w:sz w:val="24"/>
          <w:szCs w:val="24"/>
          <w:u w:val="single"/>
        </w:rPr>
        <w:t>区财政资金</w:t>
      </w:r>
      <w:r>
        <w:rPr>
          <w:rFonts w:ascii="宋体" w:hAnsi="宋体"/>
          <w:sz w:val="24"/>
          <w:szCs w:val="24"/>
        </w:rPr>
        <w:t>，出资比例为</w:t>
      </w:r>
      <w:r>
        <w:rPr>
          <w:rFonts w:ascii="宋体" w:hAnsi="宋体"/>
          <w:sz w:val="24"/>
          <w:szCs w:val="24"/>
          <w:u w:val="single"/>
        </w:rPr>
        <w:t>100%</w:t>
      </w:r>
      <w:r>
        <w:rPr>
          <w:rFonts w:ascii="宋体" w:hAnsi="宋体"/>
          <w:sz w:val="24"/>
          <w:szCs w:val="24"/>
        </w:rPr>
        <w:t>，招标人为</w:t>
      </w:r>
      <w:r>
        <w:rPr>
          <w:rFonts w:hint="eastAsia" w:ascii="宋体" w:hAnsi="宋体" w:cs="宋体"/>
          <w:sz w:val="24"/>
          <w:szCs w:val="24"/>
          <w:u w:val="single"/>
          <w:lang w:val="zh-CN"/>
        </w:rPr>
        <w:t>广州市白云区重点交通项目管理中心</w:t>
      </w:r>
      <w:r>
        <w:rPr>
          <w:rFonts w:ascii="宋体" w:hAnsi="宋体"/>
          <w:sz w:val="24"/>
          <w:szCs w:val="24"/>
        </w:rPr>
        <w:t>。项目已具备招标条件，现对该项目的</w:t>
      </w:r>
      <w:r>
        <w:rPr>
          <w:rFonts w:ascii="宋体" w:hAnsi="宋体"/>
          <w:sz w:val="24"/>
          <w:szCs w:val="24"/>
          <w:u w:val="single"/>
        </w:rPr>
        <w:t>监理</w:t>
      </w:r>
      <w:r>
        <w:rPr>
          <w:rFonts w:ascii="宋体" w:hAnsi="宋体"/>
          <w:sz w:val="24"/>
          <w:szCs w:val="24"/>
        </w:rPr>
        <w:t>进行公开招标。</w:t>
      </w:r>
    </w:p>
    <w:p>
      <w:pPr>
        <w:pStyle w:val="2"/>
        <w:keepNext w:val="0"/>
        <w:keepLines w:val="0"/>
        <w:spacing w:before="0" w:after="0" w:line="240" w:lineRule="auto"/>
        <w:rPr>
          <w:rFonts w:ascii="Times New Roman" w:hAnsi="Times New Roman"/>
        </w:rPr>
      </w:pPr>
      <w:bookmarkStart w:id="4" w:name="_Toc511557026"/>
      <w:bookmarkStart w:id="5" w:name="_Toc514099624"/>
      <w:r>
        <w:rPr>
          <w:rFonts w:ascii="Times New Roman" w:hAnsi="Times New Roman"/>
        </w:rPr>
        <w:t>2. 项目概况与</w:t>
      </w:r>
      <w:r>
        <w:rPr>
          <w:rFonts w:hint="eastAsia" w:ascii="Times New Roman" w:hAnsi="Times New Roman"/>
        </w:rPr>
        <w:t>招标范围</w:t>
      </w:r>
      <w:bookmarkEnd w:id="4"/>
      <w:bookmarkEnd w:id="5"/>
    </w:p>
    <w:p>
      <w:pPr>
        <w:tabs>
          <w:tab w:val="left" w:pos="7513"/>
        </w:tabs>
        <w:spacing w:line="360" w:lineRule="auto"/>
        <w:ind w:firstLine="424" w:firstLineChars="177"/>
        <w:rPr>
          <w:rFonts w:ascii="宋体" w:hAnsi="宋体"/>
          <w:sz w:val="24"/>
          <w:szCs w:val="24"/>
        </w:rPr>
      </w:pPr>
      <w:r>
        <w:rPr>
          <w:rFonts w:hint="eastAsia" w:ascii="宋体" w:hAnsi="宋体"/>
          <w:sz w:val="24"/>
          <w:szCs w:val="24"/>
        </w:rPr>
        <w:t>2.1招标项目概况</w:t>
      </w:r>
    </w:p>
    <w:p>
      <w:pPr>
        <w:tabs>
          <w:tab w:val="left" w:pos="7513"/>
        </w:tabs>
        <w:spacing w:line="360" w:lineRule="auto"/>
        <w:ind w:firstLine="424" w:firstLineChars="177"/>
        <w:rPr>
          <w:rFonts w:ascii="宋体" w:hAnsi="宋体" w:cs="宋体"/>
          <w:sz w:val="24"/>
        </w:rPr>
      </w:pPr>
      <w:r>
        <w:rPr>
          <w:rFonts w:hint="eastAsia" w:ascii="宋体" w:hAnsi="宋体"/>
          <w:sz w:val="24"/>
          <w:szCs w:val="24"/>
        </w:rPr>
        <w:t>2.1.1招标项目名称：</w:t>
      </w:r>
      <w:r>
        <w:rPr>
          <w:rFonts w:hint="eastAsia" w:ascii="宋体" w:hAnsi="宋体"/>
          <w:sz w:val="24"/>
          <w:u w:val="single"/>
        </w:rPr>
        <w:t>同康路大中修工程监理</w:t>
      </w:r>
    </w:p>
    <w:p>
      <w:pPr>
        <w:tabs>
          <w:tab w:val="left" w:pos="7513"/>
        </w:tabs>
        <w:spacing w:line="360" w:lineRule="auto"/>
        <w:ind w:firstLine="424" w:firstLineChars="177"/>
        <w:rPr>
          <w:rFonts w:ascii="宋体" w:hAnsi="宋体"/>
          <w:sz w:val="24"/>
          <w:highlight w:val="none"/>
          <w:u w:val="single"/>
        </w:rPr>
      </w:pPr>
      <w:r>
        <w:rPr>
          <w:rFonts w:ascii="宋体" w:hAnsi="宋体"/>
          <w:sz w:val="24"/>
          <w:szCs w:val="24"/>
        </w:rPr>
        <w:t>2.</w:t>
      </w:r>
      <w:r>
        <w:rPr>
          <w:rFonts w:hint="eastAsia" w:ascii="宋体" w:hAnsi="宋体"/>
          <w:sz w:val="24"/>
          <w:szCs w:val="24"/>
        </w:rPr>
        <w:t>1.2工程建设地点</w:t>
      </w:r>
      <w:r>
        <w:rPr>
          <w:rFonts w:hint="eastAsia" w:ascii="宋体" w:hAnsi="宋体"/>
          <w:sz w:val="24"/>
          <w:szCs w:val="24"/>
          <w:highlight w:val="none"/>
        </w:rPr>
        <w:t>：</w:t>
      </w:r>
      <w:r>
        <w:rPr>
          <w:rFonts w:hint="eastAsia" w:ascii="宋体" w:hAnsi="宋体"/>
          <w:sz w:val="24"/>
          <w:szCs w:val="24"/>
          <w:highlight w:val="none"/>
          <w:u w:val="single"/>
        </w:rPr>
        <w:t>广州市白云区包括田心西路的人行道和同康路全段</w:t>
      </w:r>
      <w:r>
        <w:rPr>
          <w:rFonts w:hint="eastAsia" w:ascii="宋体" w:hAnsi="宋体"/>
          <w:sz w:val="24"/>
          <w:highlight w:val="none"/>
        </w:rPr>
        <w:t>。</w:t>
      </w:r>
    </w:p>
    <w:p>
      <w:pPr>
        <w:tabs>
          <w:tab w:val="left" w:pos="7513"/>
        </w:tabs>
        <w:spacing w:line="360" w:lineRule="auto"/>
        <w:ind w:firstLine="424" w:firstLineChars="177"/>
        <w:rPr>
          <w:rFonts w:ascii="宋体" w:hAnsi="宋体"/>
          <w:sz w:val="24"/>
          <w:highlight w:val="none"/>
          <w:u w:val="single"/>
        </w:rPr>
      </w:pPr>
      <w:r>
        <w:rPr>
          <w:rFonts w:ascii="宋体" w:hAnsi="宋体"/>
          <w:sz w:val="24"/>
          <w:szCs w:val="24"/>
        </w:rPr>
        <w:t>2.</w:t>
      </w:r>
      <w:r>
        <w:rPr>
          <w:rFonts w:hint="eastAsia" w:ascii="宋体" w:hAnsi="宋体"/>
          <w:sz w:val="24"/>
          <w:szCs w:val="24"/>
        </w:rPr>
        <w:t>1.3工程建设</w:t>
      </w:r>
      <w:r>
        <w:rPr>
          <w:rFonts w:hint="eastAsia" w:ascii="宋体" w:hAnsi="宋体"/>
          <w:sz w:val="24"/>
          <w:szCs w:val="24"/>
          <w:highlight w:val="none"/>
        </w:rPr>
        <w:t>规模和内容：</w:t>
      </w:r>
      <w:bookmarkStart w:id="6" w:name="_Hlk108443077"/>
      <w:r>
        <w:rPr>
          <w:rFonts w:hint="eastAsia" w:ascii="宋体" w:hAnsi="宋体"/>
          <w:sz w:val="24"/>
          <w:szCs w:val="24"/>
          <w:highlight w:val="none"/>
          <w:u w:val="single"/>
        </w:rPr>
        <w:t xml:space="preserve">本项目大中修范围包括田心西路的人行道和同康路全段。其中同康路全长约 1.25 公里，道路等级为城市次干路，设计速度为 </w:t>
      </w:r>
      <w:r>
        <w:rPr>
          <w:rFonts w:hint="eastAsia" w:ascii="宋体" w:hAnsi="宋体"/>
          <w:color w:val="auto"/>
          <w:sz w:val="24"/>
          <w:szCs w:val="24"/>
          <w:highlight w:val="none"/>
          <w:u w:val="single"/>
        </w:rPr>
        <w:t>40 公里/小时。建设内容包括道路、交通、桥梁、排水、景观绿化和照明等工程。项目投资总额估算</w:t>
      </w:r>
      <w:r>
        <w:rPr>
          <w:rFonts w:ascii="宋体" w:hAnsi="宋体"/>
          <w:color w:val="auto"/>
          <w:sz w:val="24"/>
          <w:szCs w:val="24"/>
          <w:highlight w:val="none"/>
          <w:u w:val="single"/>
        </w:rPr>
        <w:t>为</w:t>
      </w:r>
      <w:r>
        <w:rPr>
          <w:rFonts w:hint="eastAsia" w:ascii="宋体" w:hAnsi="宋体"/>
          <w:color w:val="auto"/>
          <w:sz w:val="24"/>
          <w:szCs w:val="24"/>
          <w:highlight w:val="none"/>
          <w:u w:val="single"/>
        </w:rPr>
        <w:t>5448.45万元</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其中工程费</w:t>
      </w:r>
      <w:r>
        <w:rPr>
          <w:rFonts w:ascii="宋体" w:hAnsi="宋体"/>
          <w:color w:val="auto"/>
          <w:sz w:val="24"/>
          <w:szCs w:val="24"/>
          <w:highlight w:val="none"/>
          <w:u w:val="single"/>
        </w:rPr>
        <w:t>3417.33</w:t>
      </w:r>
      <w:r>
        <w:rPr>
          <w:rFonts w:hint="eastAsia" w:ascii="宋体" w:hAnsi="宋体"/>
          <w:color w:val="auto"/>
          <w:sz w:val="24"/>
          <w:szCs w:val="24"/>
          <w:highlight w:val="none"/>
          <w:u w:val="single"/>
        </w:rPr>
        <w:t>万元</w:t>
      </w:r>
      <w:r>
        <w:rPr>
          <w:rFonts w:hint="eastAsia" w:ascii="宋体" w:hAnsi="宋体"/>
          <w:bCs/>
          <w:color w:val="auto"/>
          <w:sz w:val="24"/>
          <w:highlight w:val="none"/>
        </w:rPr>
        <w:t>。</w:t>
      </w:r>
      <w:bookmarkEnd w:id="6"/>
    </w:p>
    <w:p>
      <w:pPr>
        <w:tabs>
          <w:tab w:val="left" w:pos="7513"/>
        </w:tabs>
        <w:spacing w:line="360" w:lineRule="auto"/>
        <w:ind w:firstLine="360" w:firstLineChars="150"/>
        <w:rPr>
          <w:rFonts w:ascii="宋体" w:hAnsi="宋体"/>
          <w:sz w:val="24"/>
          <w:szCs w:val="24"/>
        </w:rPr>
      </w:pPr>
      <w:r>
        <w:rPr>
          <w:rFonts w:ascii="宋体" w:hAnsi="宋体"/>
          <w:sz w:val="24"/>
          <w:szCs w:val="24"/>
        </w:rPr>
        <w:t>2.</w:t>
      </w:r>
      <w:r>
        <w:rPr>
          <w:rFonts w:hint="eastAsia" w:ascii="宋体" w:hAnsi="宋体"/>
          <w:sz w:val="24"/>
          <w:szCs w:val="24"/>
        </w:rPr>
        <w:t>2招标范围：</w:t>
      </w:r>
    </w:p>
    <w:p>
      <w:pPr>
        <w:tabs>
          <w:tab w:val="left" w:pos="7513"/>
        </w:tabs>
        <w:spacing w:line="360" w:lineRule="auto"/>
        <w:ind w:firstLine="360" w:firstLineChars="150"/>
        <w:rPr>
          <w:rFonts w:ascii="宋体" w:hAnsi="宋体" w:cs="宋体"/>
          <w:sz w:val="24"/>
        </w:rPr>
      </w:pPr>
      <w:r>
        <w:rPr>
          <w:rFonts w:hint="eastAsia" w:ascii="宋体" w:hAnsi="宋体"/>
          <w:sz w:val="24"/>
        </w:rPr>
        <w:t>2.2.1</w:t>
      </w:r>
      <w:r>
        <w:rPr>
          <w:rFonts w:hint="eastAsia"/>
          <w:bCs/>
          <w:sz w:val="24"/>
          <w:szCs w:val="24"/>
        </w:rPr>
        <w:t>标段划分：</w:t>
      </w:r>
      <w:r>
        <w:rPr>
          <w:rFonts w:hint="eastAsia"/>
          <w:sz w:val="24"/>
          <w:szCs w:val="24"/>
          <w:u w:val="single"/>
        </w:rPr>
        <w:t>本项目设1个标段</w:t>
      </w:r>
      <w:r>
        <w:rPr>
          <w:rFonts w:hint="eastAsia"/>
          <w:sz w:val="24"/>
          <w:szCs w:val="24"/>
        </w:rPr>
        <w:t>。</w:t>
      </w:r>
    </w:p>
    <w:p>
      <w:pPr>
        <w:tabs>
          <w:tab w:val="left" w:pos="7513"/>
        </w:tabs>
        <w:spacing w:line="360" w:lineRule="auto"/>
        <w:ind w:firstLine="360" w:firstLineChars="150"/>
        <w:rPr>
          <w:rFonts w:ascii="宋体" w:hAnsi="宋体"/>
          <w:sz w:val="24"/>
          <w:u w:val="single"/>
        </w:rPr>
      </w:pPr>
      <w:r>
        <w:rPr>
          <w:rFonts w:hint="eastAsia" w:ascii="宋体" w:hAnsi="宋体"/>
          <w:sz w:val="24"/>
        </w:rPr>
        <w:t>2.2.2监理范围</w:t>
      </w:r>
      <w:r>
        <w:rPr>
          <w:rFonts w:hint="eastAsia" w:ascii="宋体" w:hAnsi="宋体"/>
          <w:sz w:val="24"/>
          <w:highlight w:val="none"/>
        </w:rPr>
        <w:t>：</w:t>
      </w:r>
      <w:bookmarkStart w:id="7" w:name="_Hlk108443088"/>
      <w:r>
        <w:rPr>
          <w:rFonts w:hint="eastAsia" w:ascii="宋体" w:hAnsi="宋体"/>
          <w:sz w:val="24"/>
          <w:szCs w:val="24"/>
          <w:highlight w:val="none"/>
          <w:u w:val="single"/>
        </w:rPr>
        <w:t>本项目大中修范围包括田心西路的人行道和同康路全段。其中同康路全长约 1.25 公里，道路等级为城市次干路，设计速度为 40 公里/小时。建设内容包括道路、交通、桥梁、排水、景观绿化和照明等工程。</w:t>
      </w:r>
      <w:r>
        <w:rPr>
          <w:rFonts w:hint="eastAsia" w:ascii="宋体" w:hAnsi="宋体"/>
          <w:sz w:val="24"/>
          <w:highlight w:val="none"/>
          <w:u w:val="single"/>
        </w:rPr>
        <w:t>监</w:t>
      </w:r>
      <w:r>
        <w:rPr>
          <w:rFonts w:hint="eastAsia" w:ascii="宋体" w:hAnsi="宋体"/>
          <w:sz w:val="24"/>
          <w:u w:val="single"/>
        </w:rPr>
        <w:t>理范围</w:t>
      </w:r>
      <w:r>
        <w:rPr>
          <w:rFonts w:hint="eastAsia" w:ascii="宋体" w:hAnsi="宋体"/>
          <w:sz w:val="24"/>
          <w:szCs w:val="24"/>
          <w:u w:val="single"/>
        </w:rPr>
        <w:t>包括工程的施工准备阶段、施工阶段、工程收尾阶段（包括但不限于竣工验收及竣工验收资料移交城建档案、整改、工程移交及实物移交、工程结算、竣工备案等）及工程质量保修阶段的质量控制、进度控制、投资控制、安全生产监督管理、合同管理、信息管理及组织协调等监理工作</w:t>
      </w:r>
      <w:bookmarkEnd w:id="7"/>
      <w:r>
        <w:rPr>
          <w:rFonts w:hint="eastAsia" w:ascii="宋体" w:hAnsi="宋体"/>
          <w:sz w:val="24"/>
          <w:szCs w:val="24"/>
          <w:u w:val="single"/>
        </w:rPr>
        <w:t>。</w:t>
      </w:r>
    </w:p>
    <w:p>
      <w:pPr>
        <w:tabs>
          <w:tab w:val="left" w:pos="7513"/>
        </w:tabs>
        <w:spacing w:line="360" w:lineRule="auto"/>
        <w:ind w:firstLine="360" w:firstLineChars="150"/>
        <w:rPr>
          <w:rFonts w:ascii="宋体" w:hAnsi="宋体"/>
          <w:sz w:val="24"/>
          <w:szCs w:val="24"/>
          <w:u w:val="single"/>
        </w:rPr>
      </w:pPr>
      <w:r>
        <w:rPr>
          <w:rFonts w:ascii="宋体" w:hAnsi="宋体"/>
          <w:sz w:val="24"/>
          <w:szCs w:val="24"/>
        </w:rPr>
        <w:t>2.</w:t>
      </w:r>
      <w:r>
        <w:rPr>
          <w:rFonts w:hint="eastAsia" w:ascii="宋体" w:hAnsi="宋体"/>
          <w:sz w:val="24"/>
          <w:szCs w:val="24"/>
        </w:rPr>
        <w:t>2.3监理服务期：</w:t>
      </w:r>
      <w:bookmarkStart w:id="8" w:name="_Hlk108443109"/>
      <w:r>
        <w:rPr>
          <w:rFonts w:hint="eastAsia" w:ascii="宋体" w:hAnsi="宋体"/>
          <w:sz w:val="24"/>
          <w:szCs w:val="24"/>
          <w:u w:val="single"/>
        </w:rPr>
        <w:t>施工准备阶段、工程施工阶段、工程保修阶段和竣工结算期的监理服务期：</w:t>
      </w:r>
    </w:p>
    <w:p>
      <w:pPr>
        <w:tabs>
          <w:tab w:val="left" w:pos="7513"/>
        </w:tabs>
        <w:spacing w:line="360" w:lineRule="auto"/>
        <w:ind w:firstLine="360" w:firstLineChars="150"/>
        <w:rPr>
          <w:rFonts w:ascii="宋体" w:hAnsi="宋体"/>
          <w:sz w:val="24"/>
          <w:szCs w:val="24"/>
          <w:u w:val="single"/>
        </w:rPr>
      </w:pPr>
      <w:r>
        <w:rPr>
          <w:rFonts w:hint="eastAsia" w:ascii="宋体" w:hAnsi="宋体"/>
          <w:sz w:val="24"/>
          <w:szCs w:val="24"/>
          <w:u w:val="single"/>
        </w:rPr>
        <w:t>（1）施工准备阶段：从签订监理合同之日起参与施工准备阶段配合业主完成各项报建手续。</w:t>
      </w:r>
    </w:p>
    <w:p>
      <w:pPr>
        <w:tabs>
          <w:tab w:val="left" w:pos="7513"/>
        </w:tabs>
        <w:spacing w:line="360" w:lineRule="auto"/>
        <w:ind w:firstLine="360" w:firstLineChars="150"/>
        <w:rPr>
          <w:rFonts w:ascii="宋体" w:hAnsi="宋体"/>
          <w:sz w:val="24"/>
          <w:szCs w:val="24"/>
          <w:u w:val="single"/>
        </w:rPr>
      </w:pPr>
      <w:r>
        <w:rPr>
          <w:rFonts w:hint="eastAsia" w:ascii="宋体" w:hAnsi="宋体"/>
          <w:sz w:val="24"/>
          <w:szCs w:val="24"/>
          <w:u w:val="single"/>
        </w:rPr>
        <w:t>（2）施工阶段监理服务期：从业主下达开工令或开工报告审批之日起至施工项目全部完工并办理竣工验收、竣工结算、备案管理等为止。</w:t>
      </w:r>
    </w:p>
    <w:p>
      <w:pPr>
        <w:tabs>
          <w:tab w:val="left" w:pos="7513"/>
        </w:tabs>
        <w:spacing w:line="360" w:lineRule="auto"/>
        <w:ind w:firstLine="360" w:firstLineChars="150"/>
        <w:rPr>
          <w:rFonts w:ascii="宋体" w:hAnsi="宋体"/>
          <w:sz w:val="24"/>
          <w:szCs w:val="24"/>
          <w:u w:val="single"/>
        </w:rPr>
      </w:pPr>
      <w:r>
        <w:rPr>
          <w:rFonts w:hint="eastAsia" w:ascii="宋体" w:hAnsi="宋体"/>
          <w:sz w:val="24"/>
          <w:szCs w:val="24"/>
          <w:u w:val="single"/>
        </w:rPr>
        <w:t>（3）保修阶段监理服务期：从工程竣工验收合格、备案管理完成之日起至完成保修期服务为止。</w:t>
      </w:r>
    </w:p>
    <w:p>
      <w:pPr>
        <w:tabs>
          <w:tab w:val="left" w:pos="7513"/>
        </w:tabs>
        <w:spacing w:line="360" w:lineRule="auto"/>
        <w:ind w:firstLine="360" w:firstLineChars="150"/>
        <w:rPr>
          <w:rFonts w:ascii="宋体" w:hAnsi="宋体"/>
          <w:sz w:val="24"/>
          <w:szCs w:val="24"/>
          <w:u w:val="single"/>
        </w:rPr>
      </w:pPr>
      <w:r>
        <w:rPr>
          <w:rFonts w:hint="eastAsia" w:ascii="宋体" w:hAnsi="宋体"/>
          <w:sz w:val="24"/>
          <w:szCs w:val="24"/>
          <w:u w:val="single"/>
        </w:rPr>
        <w:t>（4）竣工结算期：从工程竣工验收合格至财政部门审定结算为止。</w:t>
      </w:r>
    </w:p>
    <w:p>
      <w:pPr>
        <w:tabs>
          <w:tab w:val="left" w:pos="7513"/>
        </w:tabs>
        <w:spacing w:line="360" w:lineRule="auto"/>
        <w:ind w:firstLine="360" w:firstLineChars="150"/>
        <w:rPr>
          <w:rFonts w:ascii="宋体" w:hAnsi="宋体"/>
          <w:sz w:val="24"/>
          <w:szCs w:val="24"/>
          <w:u w:val="single"/>
        </w:rPr>
      </w:pPr>
      <w:r>
        <w:rPr>
          <w:rFonts w:hint="eastAsia" w:ascii="宋体" w:hAnsi="宋体"/>
          <w:sz w:val="24"/>
          <w:szCs w:val="24"/>
          <w:u w:val="single"/>
        </w:rPr>
        <w:t>（5）监理服务周期必须满足实际施工要求。</w:t>
      </w:r>
      <w:bookmarkEnd w:id="8"/>
    </w:p>
    <w:p>
      <w:pPr>
        <w:tabs>
          <w:tab w:val="left" w:pos="7513"/>
        </w:tabs>
        <w:spacing w:line="360" w:lineRule="auto"/>
        <w:ind w:firstLine="600" w:firstLineChars="250"/>
        <w:rPr>
          <w:rFonts w:ascii="宋体" w:hAnsi="宋体"/>
          <w:sz w:val="24"/>
          <w:szCs w:val="24"/>
        </w:rPr>
      </w:pPr>
      <w:r>
        <w:rPr>
          <w:rFonts w:hint="eastAsia" w:ascii="宋体" w:hAnsi="宋体"/>
          <w:sz w:val="24"/>
          <w:szCs w:val="24"/>
        </w:rPr>
        <w:t>2.2.4监理服务最高投标</w:t>
      </w:r>
      <w:r>
        <w:rPr>
          <w:rFonts w:hint="eastAsia" w:ascii="宋体" w:hAnsi="宋体"/>
          <w:sz w:val="24"/>
          <w:szCs w:val="24"/>
          <w:highlight w:val="none"/>
        </w:rPr>
        <w:t>限价：</w:t>
      </w:r>
      <w:r>
        <w:rPr>
          <w:rFonts w:hint="eastAsia" w:ascii="宋体" w:hAnsi="宋体"/>
          <w:color w:val="auto"/>
          <w:sz w:val="24"/>
          <w:highlight w:val="none"/>
          <w:u w:val="single"/>
          <w:lang w:val="en-US" w:eastAsia="zh-CN"/>
        </w:rPr>
        <w:t>69.61</w:t>
      </w:r>
      <w:r>
        <w:rPr>
          <w:rFonts w:hint="eastAsia" w:ascii="宋体" w:hAnsi="宋体"/>
          <w:color w:val="auto"/>
          <w:sz w:val="24"/>
          <w:highlight w:val="none"/>
          <w:u w:val="single"/>
        </w:rPr>
        <w:t>万元。</w:t>
      </w:r>
    </w:p>
    <w:p>
      <w:pPr>
        <w:pStyle w:val="2"/>
        <w:keepNext w:val="0"/>
        <w:keepLines w:val="0"/>
        <w:tabs>
          <w:tab w:val="center" w:pos="4153"/>
        </w:tabs>
        <w:spacing w:before="0" w:after="0" w:line="240" w:lineRule="auto"/>
        <w:rPr>
          <w:rFonts w:ascii="Times New Roman" w:hAnsi="Times New Roman"/>
        </w:rPr>
      </w:pPr>
      <w:bookmarkStart w:id="9" w:name="_Toc511557027"/>
      <w:bookmarkStart w:id="10" w:name="_Toc514099625"/>
      <w:r>
        <w:rPr>
          <w:rFonts w:ascii="Times New Roman" w:hAnsi="Times New Roman"/>
        </w:rPr>
        <w:t>3. 投标人资格要求</w:t>
      </w:r>
      <w:bookmarkEnd w:id="9"/>
      <w:bookmarkEnd w:id="10"/>
      <w:r>
        <w:rPr>
          <w:rFonts w:ascii="Times New Roman" w:hAnsi="Times New Roman"/>
        </w:rPr>
        <w:tab/>
      </w:r>
    </w:p>
    <w:p>
      <w:pPr>
        <w:spacing w:line="360" w:lineRule="auto"/>
        <w:ind w:firstLine="480" w:firstLineChars="200"/>
        <w:rPr>
          <w:rFonts w:ascii="宋体" w:hAnsi="宋体"/>
          <w:sz w:val="24"/>
          <w:szCs w:val="24"/>
        </w:rPr>
      </w:pPr>
      <w:r>
        <w:rPr>
          <w:rFonts w:ascii="宋体" w:hAnsi="宋体"/>
          <w:sz w:val="24"/>
          <w:szCs w:val="24"/>
        </w:rPr>
        <w:t xml:space="preserve">3.1  </w:t>
      </w:r>
      <w:r>
        <w:rPr>
          <w:rFonts w:hint="eastAsia" w:ascii="宋体" w:hAnsi="宋体"/>
          <w:sz w:val="24"/>
          <w:szCs w:val="24"/>
        </w:rPr>
        <w:t xml:space="preserve">本次招标要求投标人须具备相应资质，具备相应业绩。 </w:t>
      </w:r>
    </w:p>
    <w:p>
      <w:pPr>
        <w:spacing w:line="360" w:lineRule="auto"/>
        <w:ind w:firstLine="480" w:firstLineChars="200"/>
        <w:rPr>
          <w:rFonts w:ascii="宋体" w:hAnsi="宋体"/>
          <w:sz w:val="24"/>
          <w:szCs w:val="24"/>
        </w:rPr>
      </w:pPr>
      <w:r>
        <w:rPr>
          <w:rFonts w:hint="eastAsia" w:ascii="宋体" w:hAnsi="宋体"/>
          <w:sz w:val="24"/>
          <w:szCs w:val="24"/>
        </w:rPr>
        <w:t>3.1.1</w:t>
      </w:r>
      <w:r>
        <w:rPr>
          <w:rFonts w:ascii="宋体" w:hAnsi="宋体"/>
          <w:sz w:val="24"/>
          <w:szCs w:val="24"/>
        </w:rPr>
        <w:t>投标</w:t>
      </w:r>
      <w:r>
        <w:rPr>
          <w:rFonts w:ascii="宋体" w:hAnsi="宋体"/>
          <w:sz w:val="24"/>
          <w:szCs w:val="24"/>
          <w:highlight w:val="none"/>
        </w:rPr>
        <w:t>人须具备</w:t>
      </w:r>
      <w:r>
        <w:rPr>
          <w:rFonts w:hint="eastAsia" w:ascii="宋体" w:hAnsi="宋体" w:cs="宋体"/>
          <w:kern w:val="0"/>
          <w:sz w:val="24"/>
          <w:highlight w:val="none"/>
          <w:u w:val="single"/>
        </w:rPr>
        <w:t>工程监理综合资质；或市政公用工程监理</w:t>
      </w:r>
      <w:r>
        <w:rPr>
          <w:rFonts w:hint="eastAsia" w:ascii="宋体" w:hAnsi="宋体" w:cs="宋体"/>
          <w:kern w:val="0"/>
          <w:sz w:val="24"/>
          <w:highlight w:val="none"/>
          <w:u w:val="single"/>
          <w:lang w:val="en-US" w:eastAsia="zh-CN"/>
        </w:rPr>
        <w:t>乙</w:t>
      </w:r>
      <w:r>
        <w:rPr>
          <w:rFonts w:hint="eastAsia" w:ascii="宋体" w:hAnsi="宋体" w:cs="宋体"/>
          <w:kern w:val="0"/>
          <w:sz w:val="24"/>
          <w:highlight w:val="none"/>
          <w:u w:val="single"/>
        </w:rPr>
        <w:t>级</w:t>
      </w:r>
      <w:r>
        <w:rPr>
          <w:rFonts w:hint="eastAsia" w:ascii="宋体" w:hAnsi="宋体" w:cs="宋体"/>
          <w:kern w:val="0"/>
          <w:sz w:val="24"/>
          <w:highlight w:val="none"/>
          <w:u w:val="single"/>
          <w:lang w:eastAsia="zh-CN"/>
        </w:rPr>
        <w:t>或以上</w:t>
      </w:r>
      <w:r>
        <w:rPr>
          <w:rFonts w:hint="eastAsia" w:ascii="宋体" w:hAnsi="宋体" w:cs="宋体"/>
          <w:kern w:val="0"/>
          <w:sz w:val="24"/>
          <w:highlight w:val="none"/>
          <w:u w:val="single"/>
        </w:rPr>
        <w:t>资质</w:t>
      </w:r>
      <w:r>
        <w:rPr>
          <w:rFonts w:ascii="宋体" w:hAnsi="宋体"/>
          <w:sz w:val="24"/>
          <w:szCs w:val="24"/>
          <w:highlight w:val="none"/>
        </w:rPr>
        <w:t>。</w:t>
      </w:r>
    </w:p>
    <w:p>
      <w:pPr>
        <w:spacing w:line="360" w:lineRule="auto"/>
        <w:ind w:firstLine="480" w:firstLineChars="200"/>
        <w:rPr>
          <w:rFonts w:ascii="宋体" w:hAnsi="宋体"/>
          <w:sz w:val="24"/>
          <w:szCs w:val="24"/>
        </w:rPr>
      </w:pPr>
      <w:r>
        <w:rPr>
          <w:rFonts w:hint="eastAsia" w:ascii="宋体" w:hAnsi="宋体"/>
          <w:sz w:val="24"/>
          <w:szCs w:val="24"/>
        </w:rPr>
        <w:t>注：住房和城乡建设部或广东省各级住房城乡建设主管部门核发的工程监理企业资质，资质证书有效期按《住房和城乡建设部办公厅关于建设工程企业资质延续有关事项的通知》（建办市函〔2020〕334号）、《住房和城乡建设部建筑市场监管司关于建设工程企业资质有效期延期的通知》（建司局函市〔2020〕38号）、《广东省住房和城乡建设厅关于建设工程企业资质延续有关事项的通知》（粤建许函〔2020〕298号）和《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有关事宜的通知》（建办市函〔2022〕361号）和《广东省住房和城乡建设厅关于建设工程企业资质有关事宜的通知》（粤建许函〔2022〕846号）执行。</w:t>
      </w:r>
    </w:p>
    <w:p>
      <w:pPr>
        <w:spacing w:line="360" w:lineRule="auto"/>
        <w:ind w:firstLine="480" w:firstLineChars="200"/>
        <w:rPr>
          <w:rFonts w:ascii="宋体" w:hAnsi="宋体"/>
          <w:sz w:val="24"/>
          <w:szCs w:val="24"/>
        </w:rPr>
      </w:pPr>
      <w:r>
        <w:rPr>
          <w:rFonts w:hint="eastAsia" w:ascii="宋体" w:hAnsi="宋体"/>
          <w:sz w:val="24"/>
          <w:szCs w:val="24"/>
        </w:rPr>
        <w:t>3.1.2投</w:t>
      </w:r>
      <w:r>
        <w:rPr>
          <w:rFonts w:hint="eastAsia" w:ascii="宋体" w:hAnsi="宋体"/>
          <w:sz w:val="24"/>
          <w:szCs w:val="24"/>
          <w:highlight w:val="none"/>
        </w:rPr>
        <w:t>标人自</w:t>
      </w:r>
      <w:r>
        <w:rPr>
          <w:rFonts w:hint="eastAsia" w:ascii="宋体" w:hAnsi="宋体"/>
          <w:color w:val="auto"/>
          <w:sz w:val="24"/>
          <w:szCs w:val="24"/>
          <w:highlight w:val="none"/>
          <w:u w:val="single"/>
        </w:rPr>
        <w:t>20</w:t>
      </w:r>
      <w:r>
        <w:rPr>
          <w:rFonts w:hint="eastAsia" w:ascii="宋体" w:hAnsi="宋体"/>
          <w:color w:val="auto"/>
          <w:sz w:val="24"/>
          <w:szCs w:val="24"/>
          <w:highlight w:val="none"/>
          <w:u w:val="single"/>
          <w:lang w:val="en-US" w:eastAsia="zh-CN"/>
        </w:rPr>
        <w:t>18</w:t>
      </w:r>
      <w:r>
        <w:rPr>
          <w:rFonts w:hint="eastAsia" w:ascii="宋体" w:hAnsi="宋体"/>
          <w:color w:val="auto"/>
          <w:sz w:val="24"/>
          <w:szCs w:val="24"/>
          <w:highlight w:val="none"/>
        </w:rPr>
        <w:t>年</w:t>
      </w:r>
      <w:r>
        <w:rPr>
          <w:rFonts w:hint="eastAsia" w:ascii="宋体" w:hAnsi="宋体"/>
          <w:color w:val="auto"/>
          <w:sz w:val="24"/>
          <w:szCs w:val="24"/>
          <w:highlight w:val="none"/>
          <w:u w:val="single"/>
        </w:rPr>
        <w:t>1</w:t>
      </w:r>
      <w:r>
        <w:rPr>
          <w:rFonts w:hint="eastAsia" w:ascii="宋体" w:hAnsi="宋体"/>
          <w:color w:val="auto"/>
          <w:sz w:val="24"/>
          <w:szCs w:val="24"/>
          <w:highlight w:val="none"/>
        </w:rPr>
        <w:t>月</w:t>
      </w:r>
      <w:r>
        <w:rPr>
          <w:rFonts w:hint="eastAsia" w:ascii="宋体" w:hAnsi="宋体"/>
          <w:color w:val="auto"/>
          <w:sz w:val="24"/>
          <w:szCs w:val="24"/>
          <w:highlight w:val="none"/>
          <w:u w:val="single"/>
        </w:rPr>
        <w:t>1</w:t>
      </w:r>
      <w:r>
        <w:rPr>
          <w:rFonts w:hint="eastAsia" w:ascii="宋体" w:hAnsi="宋体"/>
          <w:color w:val="auto"/>
          <w:sz w:val="24"/>
          <w:szCs w:val="24"/>
          <w:highlight w:val="none"/>
        </w:rPr>
        <w:t>日至今完成过质量合格的类似工程业绩（类似工程是指第</w:t>
      </w:r>
      <w:r>
        <w:rPr>
          <w:rFonts w:ascii="宋体" w:hAnsi="宋体"/>
          <w:color w:val="auto"/>
          <w:sz w:val="24"/>
          <w:szCs w:val="24"/>
          <w:highlight w:val="none"/>
        </w:rPr>
        <w:t>3</w:t>
      </w:r>
      <w:r>
        <w:rPr>
          <w:rFonts w:hint="eastAsia" w:ascii="宋体" w:hAnsi="宋体"/>
          <w:color w:val="auto"/>
          <w:sz w:val="24"/>
          <w:szCs w:val="24"/>
          <w:highlight w:val="none"/>
        </w:rPr>
        <w:t>.1.1</w:t>
      </w:r>
      <w:r>
        <w:rPr>
          <w:rFonts w:hint="eastAsia" w:ascii="宋体" w:hAnsi="宋体"/>
          <w:sz w:val="24"/>
          <w:szCs w:val="24"/>
          <w:highlight w:val="none"/>
        </w:rPr>
        <w:t>点所</w:t>
      </w:r>
      <w:r>
        <w:rPr>
          <w:rFonts w:hint="eastAsia" w:ascii="宋体" w:hAnsi="宋体"/>
          <w:sz w:val="24"/>
          <w:szCs w:val="24"/>
        </w:rPr>
        <w:t>述资质方能承接的市政公用工程）。需同时提供中标通知书或免招标的相关证明、监理服务合同、竣工验收报告或竣工验收证明，完成时间以竣工验收报告或竣工验收证明的时间为准。</w:t>
      </w:r>
    </w:p>
    <w:p>
      <w:pPr>
        <w:spacing w:line="360" w:lineRule="auto"/>
        <w:ind w:firstLine="480" w:firstLineChars="200"/>
        <w:rPr>
          <w:rFonts w:ascii="宋体" w:hAnsi="宋体"/>
          <w:sz w:val="24"/>
          <w:szCs w:val="24"/>
        </w:rPr>
      </w:pPr>
      <w:r>
        <w:rPr>
          <w:rFonts w:hint="eastAsia" w:ascii="宋体" w:hAnsi="宋体"/>
          <w:sz w:val="24"/>
          <w:szCs w:val="24"/>
        </w:rPr>
        <w:t>3.2总监理工程师：</w:t>
      </w:r>
      <w:bookmarkStart w:id="11" w:name="_Hlk108443134"/>
      <w:r>
        <w:rPr>
          <w:rFonts w:hint="eastAsia" w:ascii="宋体" w:hAnsi="宋体"/>
          <w:sz w:val="24"/>
          <w:szCs w:val="24"/>
        </w:rPr>
        <w:t>拟派总监理工程师须具有建设部</w:t>
      </w:r>
      <w:r>
        <w:rPr>
          <w:rFonts w:ascii="宋体" w:hAnsi="宋体"/>
          <w:sz w:val="24"/>
          <w:szCs w:val="24"/>
        </w:rPr>
        <w:t>2006</w:t>
      </w:r>
      <w:r>
        <w:rPr>
          <w:rFonts w:hint="eastAsia" w:ascii="宋体" w:hAnsi="宋体"/>
          <w:sz w:val="24"/>
          <w:szCs w:val="24"/>
        </w:rPr>
        <w:t>年</w:t>
      </w:r>
      <w:r>
        <w:rPr>
          <w:rFonts w:ascii="宋体" w:hAnsi="宋体"/>
          <w:sz w:val="24"/>
          <w:szCs w:val="24"/>
        </w:rPr>
        <w:t>4</w:t>
      </w:r>
      <w:r>
        <w:rPr>
          <w:rFonts w:hint="eastAsia" w:ascii="宋体" w:hAnsi="宋体"/>
          <w:sz w:val="24"/>
          <w:szCs w:val="24"/>
        </w:rPr>
        <w:t>月</w:t>
      </w:r>
      <w:r>
        <w:rPr>
          <w:rFonts w:ascii="宋体" w:hAnsi="宋体"/>
          <w:sz w:val="24"/>
          <w:szCs w:val="24"/>
        </w:rPr>
        <w:t>1</w:t>
      </w:r>
      <w:r>
        <w:rPr>
          <w:rFonts w:hint="eastAsia" w:ascii="宋体" w:hAnsi="宋体"/>
          <w:sz w:val="24"/>
          <w:szCs w:val="24"/>
        </w:rPr>
        <w:t>日后颁发的中华人民共和国注册监理工程师注册执业证书，且其注册证书专业为</w:t>
      </w:r>
      <w:r>
        <w:rPr>
          <w:rFonts w:hint="eastAsia" w:ascii="宋体" w:hAnsi="宋体"/>
          <w:sz w:val="24"/>
          <w:szCs w:val="24"/>
          <w:u w:val="single"/>
        </w:rPr>
        <w:t>市政公用工程</w:t>
      </w:r>
      <w:r>
        <w:rPr>
          <w:rFonts w:hint="eastAsia" w:ascii="宋体" w:hAnsi="宋体"/>
          <w:sz w:val="24"/>
          <w:szCs w:val="24"/>
        </w:rPr>
        <w:t>，注册执业单位为本公司</w:t>
      </w:r>
      <w:r>
        <w:rPr>
          <w:rFonts w:hint="eastAsia" w:ascii="宋体" w:hAnsi="宋体" w:cs="楷体"/>
          <w:sz w:val="24"/>
          <w:szCs w:val="24"/>
        </w:rPr>
        <w:t>，</w:t>
      </w:r>
      <w:r>
        <w:rPr>
          <w:rFonts w:ascii="宋体" w:hAnsi="宋体" w:cs="楷体"/>
          <w:sz w:val="24"/>
          <w:szCs w:val="24"/>
          <w:u w:val="single"/>
        </w:rPr>
        <w:t>并具备本科或以上学历</w:t>
      </w:r>
      <w:r>
        <w:rPr>
          <w:rFonts w:hint="eastAsia" w:ascii="宋体" w:hAnsi="宋体"/>
          <w:sz w:val="24"/>
          <w:szCs w:val="24"/>
        </w:rPr>
        <w:t>。</w:t>
      </w:r>
      <w:bookmarkEnd w:id="11"/>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 xml:space="preserve">3 </w:t>
      </w:r>
      <w:r>
        <w:rPr>
          <w:rFonts w:ascii="宋体" w:hAnsi="宋体"/>
          <w:sz w:val="24"/>
          <w:szCs w:val="24"/>
        </w:rPr>
        <w:t>本次招标</w:t>
      </w:r>
      <w:r>
        <w:rPr>
          <w:rFonts w:hint="eastAsia" w:ascii="宋体" w:hAnsi="宋体"/>
          <w:sz w:val="24"/>
          <w:szCs w:val="24"/>
          <w:u w:val="single"/>
        </w:rPr>
        <w:t>不接受</w:t>
      </w:r>
      <w:r>
        <w:rPr>
          <w:rFonts w:ascii="宋体" w:hAnsi="宋体"/>
          <w:sz w:val="24"/>
          <w:szCs w:val="24"/>
        </w:rPr>
        <w:t>联合体投标。</w:t>
      </w:r>
    </w:p>
    <w:p>
      <w:pPr>
        <w:spacing w:line="360" w:lineRule="auto"/>
        <w:ind w:firstLine="480" w:firstLineChars="200"/>
        <w:rPr>
          <w:rFonts w:ascii="宋体" w:hAnsi="宋体"/>
          <w:sz w:val="24"/>
          <w:szCs w:val="24"/>
        </w:rPr>
      </w:pPr>
      <w:r>
        <w:rPr>
          <w:rFonts w:hint="eastAsia" w:ascii="宋体" w:hAnsi="宋体"/>
          <w:sz w:val="24"/>
          <w:szCs w:val="24"/>
        </w:rPr>
        <w:t>3.4投标人参加投标的意思表达清楚，投标人代表被授权有效。</w:t>
      </w:r>
    </w:p>
    <w:p>
      <w:pPr>
        <w:spacing w:line="360" w:lineRule="auto"/>
        <w:ind w:firstLine="480" w:firstLineChars="200"/>
        <w:rPr>
          <w:rFonts w:ascii="宋体" w:hAnsi="宋体"/>
          <w:sz w:val="24"/>
          <w:szCs w:val="24"/>
        </w:rPr>
      </w:pPr>
      <w:r>
        <w:rPr>
          <w:rFonts w:hint="eastAsia" w:ascii="宋体" w:hAnsi="宋体"/>
          <w:sz w:val="24"/>
          <w:szCs w:val="24"/>
        </w:rPr>
        <w:t>3.5投标人均具有独立法人资格，持有有效的工商行政管理部门核发的法人营业执照，按国家法律经营。</w:t>
      </w:r>
    </w:p>
    <w:p>
      <w:pPr>
        <w:spacing w:line="360" w:lineRule="auto"/>
        <w:ind w:firstLine="480" w:firstLineChars="200"/>
        <w:rPr>
          <w:rFonts w:ascii="宋体" w:hAnsi="宋体"/>
          <w:sz w:val="24"/>
          <w:szCs w:val="24"/>
        </w:rPr>
      </w:pPr>
      <w:r>
        <w:rPr>
          <w:rFonts w:hint="eastAsia" w:ascii="宋体" w:hAnsi="宋体"/>
          <w:sz w:val="24"/>
          <w:szCs w:val="24"/>
        </w:rPr>
        <w:t>3.6</w:t>
      </w:r>
      <w:r>
        <w:rPr>
          <w:rFonts w:hint="eastAsia" w:ascii="宋体" w:hAnsi="宋体"/>
          <w:sz w:val="24"/>
          <w:szCs w:val="24"/>
          <w:highlight w:val="none"/>
          <w:u w:val="single"/>
        </w:rPr>
        <w:t>在形式评审、资格评审和响应性评审前</w:t>
      </w:r>
      <w:r>
        <w:rPr>
          <w:rFonts w:hint="eastAsia" w:ascii="宋体" w:hAnsi="宋体"/>
          <w:sz w:val="24"/>
          <w:szCs w:val="24"/>
          <w:highlight w:val="none"/>
        </w:rPr>
        <w:t>，投标</w:t>
      </w:r>
      <w:r>
        <w:rPr>
          <w:rFonts w:hint="eastAsia" w:ascii="宋体" w:hAnsi="宋体"/>
          <w:sz w:val="24"/>
          <w:szCs w:val="24"/>
        </w:rPr>
        <w:t>人须在广州交易集团有限公司（广州公共资源交易中心）办理企业信息登记及拟担任本工程总监理工程师须是本企业信息登记中的在册人员（以广州交易集团有限公司（广州公共资源交易中心）网站查询信息为准）。</w:t>
      </w:r>
    </w:p>
    <w:p>
      <w:pPr>
        <w:spacing w:line="360" w:lineRule="auto"/>
        <w:ind w:firstLine="480" w:firstLineChars="200"/>
        <w:rPr>
          <w:rFonts w:ascii="宋体" w:hAnsi="宋体"/>
          <w:sz w:val="24"/>
          <w:szCs w:val="24"/>
        </w:rPr>
      </w:pPr>
      <w:r>
        <w:rPr>
          <w:rFonts w:hint="eastAsia" w:ascii="宋体" w:hAnsi="宋体"/>
          <w:sz w:val="24"/>
          <w:szCs w:val="24"/>
        </w:rPr>
        <w:t>3.7投标人已出具按照招标公告中</w:t>
      </w:r>
      <w:r>
        <w:rPr>
          <w:rFonts w:hint="eastAsia" w:ascii="宋体" w:hAnsi="宋体"/>
          <w:sz w:val="24"/>
          <w:szCs w:val="24"/>
          <w:u w:val="single"/>
        </w:rPr>
        <w:t>附件一</w:t>
      </w:r>
      <w:r>
        <w:rPr>
          <w:rFonts w:hint="eastAsia" w:ascii="宋体" w:hAnsi="宋体"/>
          <w:sz w:val="24"/>
          <w:szCs w:val="24"/>
        </w:rPr>
        <w:t>的内容签署盖章的投标人声明。</w:t>
      </w:r>
    </w:p>
    <w:p>
      <w:pPr>
        <w:spacing w:line="360" w:lineRule="auto"/>
        <w:ind w:firstLine="480" w:firstLineChars="200"/>
        <w:rPr>
          <w:rFonts w:ascii="宋体" w:hAnsi="宋体"/>
          <w:sz w:val="24"/>
          <w:szCs w:val="24"/>
        </w:rPr>
      </w:pPr>
      <w:r>
        <w:rPr>
          <w:rFonts w:hint="eastAsia" w:ascii="宋体" w:hAnsi="宋体"/>
          <w:sz w:val="24"/>
          <w:szCs w:val="24"/>
        </w:rPr>
        <w:t>3.8 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ascii="宋体" w:hAnsi="宋体"/>
          <w:sz w:val="24"/>
          <w:szCs w:val="24"/>
        </w:rPr>
      </w:pPr>
      <w:r>
        <w:rPr>
          <w:rFonts w:hint="eastAsia" w:ascii="宋体" w:hAnsi="宋体"/>
          <w:sz w:val="24"/>
          <w:szCs w:val="24"/>
        </w:rPr>
        <w:t>3.9未被纳入失信联合惩戒名单且被限制参加财政投资工程或政府投资工程或建设工程投标的（具体名单以递交投标文件截止时间“信用广州”https://credit1.gz.gov.cn/sgs/sgsXkNew公布的“失信黑名单”为准）；本项评审投标人无需提供资料，按资格评审时广州交易集团有限公司（广州公共资源交易中心）交易系统比对的结果进行评审。</w:t>
      </w:r>
    </w:p>
    <w:p>
      <w:pPr>
        <w:tabs>
          <w:tab w:val="left" w:pos="312"/>
        </w:tabs>
        <w:wordWrap w:val="0"/>
        <w:topLinePunct/>
        <w:adjustRightInd w:val="0"/>
        <w:snapToGrid w:val="0"/>
        <w:spacing w:line="360" w:lineRule="auto"/>
        <w:ind w:firstLine="480" w:firstLineChars="200"/>
        <w:rPr>
          <w:rFonts w:ascii="宋体" w:hAnsi="宋体" w:cs="宋体"/>
          <w:sz w:val="24"/>
        </w:rPr>
      </w:pPr>
      <w:r>
        <w:rPr>
          <w:rFonts w:hint="eastAsia" w:ascii="宋体" w:hAnsi="宋体" w:cs="宋体"/>
          <w:sz w:val="24"/>
        </w:rPr>
        <w:t>注：未在招标公告第3条单列的投标人资格要求条件，不作为资审不合格的依据。</w:t>
      </w:r>
    </w:p>
    <w:p>
      <w:pPr>
        <w:pStyle w:val="2"/>
        <w:keepNext w:val="0"/>
        <w:keepLines w:val="0"/>
        <w:spacing w:before="0" w:after="0" w:line="240" w:lineRule="auto"/>
        <w:rPr>
          <w:rFonts w:ascii="Times New Roman" w:hAnsi="Times New Roman"/>
        </w:rPr>
      </w:pPr>
      <w:bookmarkStart w:id="12" w:name="_Toc514099626"/>
      <w:bookmarkStart w:id="13" w:name="_Toc511557028"/>
      <w:r>
        <w:rPr>
          <w:rFonts w:ascii="Times New Roman" w:hAnsi="Times New Roman"/>
        </w:rPr>
        <w:t xml:space="preserve">4. </w:t>
      </w:r>
      <w:r>
        <w:rPr>
          <w:rFonts w:hint="eastAsia" w:ascii="Times New Roman" w:hAnsi="Times New Roman"/>
        </w:rPr>
        <w:t>招标文件的获取</w:t>
      </w:r>
      <w:bookmarkEnd w:id="12"/>
      <w:bookmarkEnd w:id="13"/>
      <w:r>
        <w:rPr>
          <w:rFonts w:hint="eastAsia" w:ascii="Times New Roman" w:hAnsi="Times New Roman"/>
        </w:rPr>
        <w:t>及招标公告发布</w:t>
      </w:r>
    </w:p>
    <w:p>
      <w:pPr>
        <w:spacing w:line="360" w:lineRule="auto"/>
        <w:ind w:firstLine="424" w:firstLineChars="177"/>
        <w:rPr>
          <w:rFonts w:ascii="宋体" w:hAnsi="宋体"/>
          <w:sz w:val="24"/>
          <w:szCs w:val="24"/>
        </w:rPr>
      </w:pPr>
      <w:r>
        <w:rPr>
          <w:rFonts w:ascii="宋体" w:hAnsi="宋体"/>
          <w:sz w:val="24"/>
          <w:szCs w:val="24"/>
        </w:rPr>
        <w:t>4.1 凡有意参加投标者</w:t>
      </w:r>
      <w:r>
        <w:rPr>
          <w:rFonts w:ascii="宋体" w:hAnsi="宋体"/>
          <w:color w:val="auto"/>
          <w:sz w:val="24"/>
          <w:szCs w:val="24"/>
        </w:rPr>
        <w:t>，请</w:t>
      </w:r>
      <w:r>
        <w:rPr>
          <w:rFonts w:hint="eastAsia" w:ascii="宋体" w:hAnsi="宋体"/>
          <w:color w:val="auto"/>
          <w:sz w:val="24"/>
          <w:szCs w:val="24"/>
        </w:rPr>
        <w:t>于</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00</w:t>
      </w:r>
      <w:r>
        <w:rPr>
          <w:rFonts w:hint="eastAsia" w:ascii="宋体" w:hAnsi="宋体"/>
          <w:color w:val="auto"/>
          <w:sz w:val="24"/>
          <w:szCs w:val="24"/>
        </w:rPr>
        <w:t>时</w:t>
      </w:r>
      <w:r>
        <w:rPr>
          <w:rFonts w:ascii="宋体" w:hAnsi="宋体"/>
          <w:color w:val="auto"/>
          <w:sz w:val="24"/>
          <w:szCs w:val="24"/>
          <w:u w:val="single"/>
        </w:rPr>
        <w:t>00</w:t>
      </w:r>
      <w:r>
        <w:rPr>
          <w:rFonts w:hint="eastAsia" w:ascii="宋体" w:hAnsi="宋体"/>
          <w:color w:val="auto"/>
          <w:sz w:val="24"/>
          <w:szCs w:val="24"/>
        </w:rPr>
        <w:t>分至</w:t>
      </w:r>
      <w:r>
        <w:rPr>
          <w:rFonts w:hint="eastAsia" w:ascii="宋体" w:hAnsi="宋体"/>
          <w:color w:val="auto"/>
          <w:sz w:val="24"/>
          <w:szCs w:val="24"/>
          <w:u w:val="single"/>
        </w:rPr>
        <w:t>2</w:t>
      </w:r>
      <w:r>
        <w:rPr>
          <w:rFonts w:ascii="宋体" w:hAnsi="宋体"/>
          <w:color w:val="auto"/>
          <w:sz w:val="24"/>
          <w:szCs w:val="24"/>
          <w:u w:val="single"/>
        </w:rPr>
        <w:t>023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w:t>
      </w:r>
      <w:r>
        <w:rPr>
          <w:rFonts w:ascii="宋体" w:hAnsi="宋体"/>
          <w:sz w:val="24"/>
          <w:szCs w:val="24"/>
          <w:u w:val="single"/>
        </w:rPr>
        <w:t>0</w:t>
      </w:r>
      <w:r>
        <w:rPr>
          <w:rFonts w:hint="eastAsia" w:ascii="宋体" w:hAnsi="宋体"/>
          <w:sz w:val="24"/>
          <w:szCs w:val="24"/>
        </w:rPr>
        <w:t>时</w:t>
      </w:r>
      <w:r>
        <w:rPr>
          <w:rFonts w:ascii="宋体" w:hAnsi="宋体"/>
          <w:sz w:val="24"/>
          <w:szCs w:val="24"/>
          <w:u w:val="single"/>
        </w:rPr>
        <w:t>30</w:t>
      </w:r>
      <w:r>
        <w:rPr>
          <w:rFonts w:hint="eastAsia" w:ascii="宋体" w:hAnsi="宋体"/>
          <w:sz w:val="24"/>
          <w:szCs w:val="24"/>
        </w:rPr>
        <w:t>分</w:t>
      </w:r>
      <w:r>
        <w:rPr>
          <w:rFonts w:ascii="宋体" w:hAnsi="宋体"/>
          <w:sz w:val="24"/>
          <w:szCs w:val="24"/>
        </w:rPr>
        <w:t>(</w:t>
      </w:r>
      <w:r>
        <w:rPr>
          <w:rFonts w:hint="eastAsia" w:ascii="宋体" w:hAnsi="宋体"/>
          <w:sz w:val="24"/>
          <w:szCs w:val="24"/>
        </w:rPr>
        <w:t>北京时间，下同</w:t>
      </w:r>
      <w:r>
        <w:rPr>
          <w:rFonts w:ascii="宋体" w:hAnsi="宋体"/>
          <w:sz w:val="24"/>
          <w:szCs w:val="24"/>
        </w:rPr>
        <w:t>)</w:t>
      </w:r>
      <w:r>
        <w:rPr>
          <w:rFonts w:hint="eastAsia" w:ascii="宋体" w:hAnsi="宋体"/>
          <w:sz w:val="24"/>
          <w:szCs w:val="24"/>
        </w:rPr>
        <w:t>，</w:t>
      </w:r>
      <w:r>
        <w:rPr>
          <w:rFonts w:ascii="宋体" w:hAnsi="宋体"/>
          <w:sz w:val="24"/>
          <w:szCs w:val="24"/>
        </w:rPr>
        <w:t>登录</w:t>
      </w:r>
      <w:r>
        <w:rPr>
          <w:rFonts w:hint="eastAsia" w:ascii="宋体" w:hAnsi="宋体"/>
          <w:sz w:val="24"/>
          <w:szCs w:val="24"/>
        </w:rPr>
        <w:t>广州交易集团有限公司（广州公共资源交易中心）网站（</w:t>
      </w:r>
      <w:r>
        <w:rPr>
          <w:rFonts w:ascii="宋体" w:hAnsi="宋体"/>
          <w:sz w:val="24"/>
          <w:szCs w:val="24"/>
        </w:rPr>
        <w:t>http//www.gzggzy.cn</w:t>
      </w:r>
      <w:r>
        <w:rPr>
          <w:rFonts w:hint="eastAsia" w:ascii="宋体" w:hAnsi="宋体"/>
          <w:sz w:val="24"/>
          <w:szCs w:val="24"/>
        </w:rPr>
        <w:t>）</w:t>
      </w:r>
      <w:r>
        <w:rPr>
          <w:rFonts w:ascii="宋体" w:hAnsi="宋体"/>
          <w:sz w:val="24"/>
          <w:szCs w:val="24"/>
        </w:rPr>
        <w:t>下载</w:t>
      </w:r>
      <w:r>
        <w:rPr>
          <w:rFonts w:hint="eastAsia" w:ascii="宋体" w:hAnsi="宋体"/>
          <w:sz w:val="24"/>
          <w:szCs w:val="24"/>
        </w:rPr>
        <w:t>电子</w:t>
      </w:r>
      <w:r>
        <w:rPr>
          <w:rFonts w:ascii="宋体" w:hAnsi="宋体"/>
          <w:sz w:val="24"/>
          <w:szCs w:val="24"/>
        </w:rPr>
        <w:t>招标文件。</w:t>
      </w:r>
    </w:p>
    <w:p>
      <w:pPr>
        <w:tabs>
          <w:tab w:val="left" w:pos="7513"/>
        </w:tabs>
        <w:spacing w:line="360" w:lineRule="auto"/>
        <w:ind w:firstLine="424" w:firstLineChars="177"/>
        <w:rPr>
          <w:rFonts w:ascii="宋体" w:hAnsi="宋体"/>
          <w:sz w:val="24"/>
        </w:rPr>
      </w:pPr>
      <w:r>
        <w:rPr>
          <w:rFonts w:hint="eastAsia" w:ascii="宋体" w:hAnsi="宋体"/>
          <w:sz w:val="24"/>
        </w:rPr>
        <w:t>4.2本项目采用资格后审方式。</w:t>
      </w:r>
    </w:p>
    <w:p>
      <w:pPr>
        <w:tabs>
          <w:tab w:val="left" w:pos="7513"/>
        </w:tabs>
        <w:spacing w:line="360" w:lineRule="auto"/>
        <w:ind w:firstLine="424" w:firstLineChars="177"/>
        <w:rPr>
          <w:rFonts w:ascii="宋体" w:hAnsi="宋体"/>
          <w:sz w:val="24"/>
        </w:rPr>
      </w:pPr>
      <w:r>
        <w:rPr>
          <w:rFonts w:hint="eastAsia" w:ascii="宋体" w:hAnsi="宋体"/>
          <w:sz w:val="24"/>
        </w:rPr>
        <w:t>注：（1）电子招投标操作流程详见广州交易集团有限公司（广州公共资源交易中心）网站发布的最新版操作指引。</w:t>
      </w:r>
    </w:p>
    <w:p>
      <w:pPr>
        <w:tabs>
          <w:tab w:val="left" w:pos="7513"/>
        </w:tabs>
        <w:spacing w:line="360" w:lineRule="auto"/>
        <w:ind w:firstLine="424" w:firstLineChars="177"/>
        <w:rPr>
          <w:rFonts w:ascii="宋体" w:hAnsi="宋体"/>
          <w:sz w:val="24"/>
        </w:rPr>
      </w:pPr>
      <w:r>
        <w:rPr>
          <w:rFonts w:hint="eastAsia" w:ascii="宋体" w:hAnsi="宋体"/>
          <w:sz w:val="24"/>
        </w:rPr>
        <w:t>（2）投标人应在递交投标文件截止时间前，登录广州交易集团有限公司（广州公共资源交易中心）交易平台网站办理网上投标登记手续。</w:t>
      </w:r>
    </w:p>
    <w:p>
      <w:pPr>
        <w:spacing w:line="360" w:lineRule="auto"/>
        <w:ind w:firstLine="424" w:firstLineChars="177"/>
        <w:rPr>
          <w:rFonts w:ascii="宋体" w:hAnsi="宋体"/>
          <w:sz w:val="24"/>
          <w:szCs w:val="24"/>
        </w:rPr>
      </w:pPr>
      <w:r>
        <w:rPr>
          <w:rFonts w:hint="eastAsia" w:ascii="宋体" w:hAnsi="宋体"/>
          <w:sz w:val="24"/>
          <w:szCs w:val="24"/>
        </w:rPr>
        <w:t>4.3本项目采用网上登记方式进行投标登记</w:t>
      </w:r>
    </w:p>
    <w:p>
      <w:pPr>
        <w:tabs>
          <w:tab w:val="left" w:pos="7513"/>
        </w:tabs>
        <w:spacing w:line="360" w:lineRule="auto"/>
        <w:ind w:firstLine="424" w:firstLineChars="177"/>
        <w:rPr>
          <w:rFonts w:ascii="宋体" w:hAnsi="宋体"/>
          <w:color w:val="auto"/>
          <w:sz w:val="24"/>
        </w:rPr>
      </w:pPr>
      <w:r>
        <w:rPr>
          <w:rFonts w:hint="eastAsia" w:ascii="宋体" w:hAnsi="宋体"/>
          <w:sz w:val="24"/>
          <w:szCs w:val="24"/>
        </w:rPr>
        <w:t>投标登记</w:t>
      </w:r>
      <w:r>
        <w:rPr>
          <w:rFonts w:hint="eastAsia" w:ascii="宋体" w:hAnsi="宋体"/>
          <w:color w:val="auto"/>
          <w:sz w:val="24"/>
          <w:szCs w:val="24"/>
        </w:rPr>
        <w:t>时间：</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00</w:t>
      </w:r>
      <w:r>
        <w:rPr>
          <w:rFonts w:hint="eastAsia" w:ascii="宋体" w:hAnsi="宋体"/>
          <w:color w:val="auto"/>
          <w:sz w:val="24"/>
          <w:szCs w:val="24"/>
        </w:rPr>
        <w:t>时</w:t>
      </w:r>
      <w:r>
        <w:rPr>
          <w:rFonts w:ascii="宋体" w:hAnsi="宋体"/>
          <w:color w:val="auto"/>
          <w:sz w:val="24"/>
          <w:szCs w:val="24"/>
          <w:u w:val="single"/>
        </w:rPr>
        <w:t>00</w:t>
      </w:r>
      <w:r>
        <w:rPr>
          <w:rFonts w:hint="eastAsia" w:ascii="宋体" w:hAnsi="宋体"/>
          <w:color w:val="auto"/>
          <w:sz w:val="24"/>
          <w:szCs w:val="24"/>
        </w:rPr>
        <w:t>分至</w:t>
      </w:r>
      <w:r>
        <w:rPr>
          <w:rFonts w:hint="eastAsia" w:ascii="宋体" w:hAnsi="宋体"/>
          <w:color w:val="auto"/>
          <w:sz w:val="24"/>
          <w:szCs w:val="24"/>
          <w:u w:val="single"/>
        </w:rPr>
        <w:t>2</w:t>
      </w:r>
      <w:r>
        <w:rPr>
          <w:rFonts w:ascii="宋体" w:hAnsi="宋体"/>
          <w:color w:val="auto"/>
          <w:sz w:val="24"/>
          <w:szCs w:val="24"/>
          <w:u w:val="single"/>
        </w:rPr>
        <w:t>023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10</w:t>
      </w:r>
      <w:r>
        <w:rPr>
          <w:rFonts w:hint="eastAsia" w:ascii="宋体" w:hAnsi="宋体"/>
          <w:color w:val="auto"/>
          <w:sz w:val="24"/>
          <w:szCs w:val="24"/>
        </w:rPr>
        <w:t>时</w:t>
      </w:r>
      <w:r>
        <w:rPr>
          <w:rFonts w:ascii="宋体" w:hAnsi="宋体"/>
          <w:color w:val="auto"/>
          <w:sz w:val="24"/>
          <w:szCs w:val="24"/>
          <w:u w:val="single"/>
        </w:rPr>
        <w:t>30</w:t>
      </w:r>
      <w:r>
        <w:rPr>
          <w:rFonts w:hint="eastAsia" w:ascii="宋体" w:hAnsi="宋体"/>
          <w:color w:val="auto"/>
          <w:sz w:val="24"/>
          <w:szCs w:val="24"/>
        </w:rPr>
        <w:t>分</w:t>
      </w:r>
      <w:r>
        <w:rPr>
          <w:rFonts w:hint="eastAsia" w:ascii="宋体" w:hAnsi="宋体"/>
          <w:color w:val="auto"/>
          <w:sz w:val="24"/>
        </w:rPr>
        <w:t>。</w:t>
      </w:r>
    </w:p>
    <w:p>
      <w:pPr>
        <w:tabs>
          <w:tab w:val="left" w:pos="7513"/>
        </w:tabs>
        <w:spacing w:line="360" w:lineRule="auto"/>
        <w:ind w:firstLine="424" w:firstLineChars="177"/>
        <w:rPr>
          <w:rFonts w:ascii="宋体" w:hAnsi="宋体"/>
          <w:color w:val="auto"/>
          <w:sz w:val="24"/>
        </w:rPr>
      </w:pPr>
      <w:r>
        <w:rPr>
          <w:rFonts w:hint="eastAsia" w:ascii="宋体" w:hAnsi="宋体"/>
          <w:color w:val="auto"/>
          <w:sz w:val="24"/>
        </w:rPr>
        <w:t>注：电子招投标操作流程详见广州交易集团有限公司（广州公共资源交易中心）网站发布的最新版操作指引。</w:t>
      </w:r>
    </w:p>
    <w:p>
      <w:pPr>
        <w:wordWrap w:val="0"/>
        <w:spacing w:line="360" w:lineRule="auto"/>
        <w:ind w:firstLine="424" w:firstLineChars="177"/>
        <w:rPr>
          <w:rFonts w:ascii="宋体" w:hAnsi="宋体" w:cs="宋体"/>
          <w:color w:val="auto"/>
          <w:sz w:val="24"/>
          <w:szCs w:val="24"/>
        </w:rPr>
      </w:pPr>
      <w:r>
        <w:rPr>
          <w:rFonts w:hint="eastAsia" w:ascii="宋体" w:hAnsi="宋体"/>
          <w:color w:val="auto"/>
          <w:sz w:val="24"/>
        </w:rPr>
        <w:t>4.4</w:t>
      </w:r>
      <w:r>
        <w:rPr>
          <w:rFonts w:hint="eastAsia" w:ascii="宋体" w:hAnsi="宋体" w:cs="宋体"/>
          <w:color w:val="auto"/>
          <w:sz w:val="24"/>
          <w:szCs w:val="24"/>
        </w:rPr>
        <w:t>发布招标公告时间（含本日）：</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00</w:t>
      </w:r>
      <w:r>
        <w:rPr>
          <w:rFonts w:hint="eastAsia" w:ascii="宋体" w:hAnsi="宋体"/>
          <w:color w:val="auto"/>
          <w:sz w:val="24"/>
          <w:szCs w:val="24"/>
        </w:rPr>
        <w:t>时</w:t>
      </w:r>
      <w:r>
        <w:rPr>
          <w:rFonts w:ascii="宋体" w:hAnsi="宋体"/>
          <w:color w:val="auto"/>
          <w:sz w:val="24"/>
          <w:szCs w:val="24"/>
          <w:u w:val="single"/>
        </w:rPr>
        <w:t>00</w:t>
      </w:r>
      <w:r>
        <w:rPr>
          <w:rFonts w:hint="eastAsia" w:ascii="宋体" w:hAnsi="宋体"/>
          <w:color w:val="auto"/>
          <w:sz w:val="24"/>
          <w:szCs w:val="24"/>
        </w:rPr>
        <w:t>分至</w:t>
      </w:r>
      <w:r>
        <w:rPr>
          <w:rFonts w:hint="eastAsia" w:ascii="宋体" w:hAnsi="宋体"/>
          <w:color w:val="auto"/>
          <w:sz w:val="24"/>
          <w:szCs w:val="24"/>
          <w:u w:val="single"/>
        </w:rPr>
        <w:t>2</w:t>
      </w:r>
      <w:r>
        <w:rPr>
          <w:rFonts w:ascii="宋体" w:hAnsi="宋体"/>
          <w:color w:val="auto"/>
          <w:sz w:val="24"/>
          <w:szCs w:val="24"/>
          <w:u w:val="single"/>
        </w:rPr>
        <w:t>023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10</w:t>
      </w:r>
      <w:r>
        <w:rPr>
          <w:rFonts w:hint="eastAsia" w:ascii="宋体" w:hAnsi="宋体"/>
          <w:color w:val="auto"/>
          <w:sz w:val="24"/>
          <w:szCs w:val="24"/>
        </w:rPr>
        <w:t>时</w:t>
      </w:r>
      <w:r>
        <w:rPr>
          <w:rFonts w:ascii="宋体" w:hAnsi="宋体"/>
          <w:color w:val="auto"/>
          <w:sz w:val="24"/>
          <w:szCs w:val="24"/>
          <w:u w:val="single"/>
        </w:rPr>
        <w:t>30</w:t>
      </w:r>
      <w:r>
        <w:rPr>
          <w:rFonts w:hint="eastAsia" w:ascii="宋体" w:hAnsi="宋体"/>
          <w:color w:val="auto"/>
          <w:sz w:val="24"/>
          <w:szCs w:val="24"/>
        </w:rPr>
        <w:t>分</w:t>
      </w:r>
      <w:r>
        <w:rPr>
          <w:rFonts w:hint="eastAsia" w:ascii="宋体" w:hAnsi="宋体" w:cs="宋体"/>
          <w:color w:val="auto"/>
          <w:sz w:val="24"/>
          <w:szCs w:val="24"/>
        </w:rPr>
        <w:t>。</w:t>
      </w:r>
    </w:p>
    <w:p>
      <w:pPr>
        <w:wordWrap w:val="0"/>
        <w:spacing w:line="360" w:lineRule="auto"/>
        <w:ind w:firstLine="424" w:firstLineChars="177"/>
        <w:rPr>
          <w:rFonts w:ascii="宋体" w:hAnsi="宋体"/>
          <w:color w:val="auto"/>
          <w:sz w:val="24"/>
          <w:szCs w:val="24"/>
          <w:u w:val="single"/>
        </w:rPr>
      </w:pPr>
      <w:r>
        <w:rPr>
          <w:rFonts w:hint="eastAsia" w:ascii="宋体" w:hAnsi="宋体" w:cs="宋体"/>
          <w:color w:val="auto"/>
          <w:sz w:val="24"/>
          <w:szCs w:val="24"/>
        </w:rPr>
        <w:t>注：</w:t>
      </w:r>
      <w:r>
        <w:rPr>
          <w:rFonts w:hint="eastAsia" w:ascii="宋体" w:hAnsi="宋体"/>
          <w:color w:val="auto"/>
          <w:sz w:val="24"/>
          <w:szCs w:val="24"/>
          <w:u w:val="single"/>
        </w:rPr>
        <w:t>本公告发布之日起开始发布招标文件，发布招标公告的时间为招标公告发出之日起至递交投标文件截止时间止,并从招标公告发布之日起开始计算备标时间。</w:t>
      </w:r>
      <w:bookmarkStart w:id="56" w:name="_GoBack"/>
      <w:bookmarkEnd w:id="56"/>
    </w:p>
    <w:p>
      <w:pPr>
        <w:pStyle w:val="2"/>
        <w:keepNext w:val="0"/>
        <w:keepLines w:val="0"/>
        <w:spacing w:before="0" w:after="0" w:line="240" w:lineRule="auto"/>
        <w:rPr>
          <w:rFonts w:ascii="Times New Roman" w:hAnsi="Times New Roman"/>
          <w:color w:val="auto"/>
        </w:rPr>
      </w:pPr>
      <w:bookmarkStart w:id="14" w:name="_Toc511557029"/>
      <w:bookmarkStart w:id="15" w:name="_Toc514099627"/>
      <w:r>
        <w:rPr>
          <w:rFonts w:hint="eastAsia" w:ascii="Times New Roman" w:hAnsi="Times New Roman"/>
          <w:color w:val="auto"/>
        </w:rPr>
        <w:t>5</w:t>
      </w:r>
      <w:r>
        <w:rPr>
          <w:rFonts w:ascii="Times New Roman" w:hAnsi="Times New Roman"/>
          <w:color w:val="auto"/>
        </w:rPr>
        <w:t xml:space="preserve">. </w:t>
      </w:r>
      <w:r>
        <w:rPr>
          <w:rFonts w:hint="eastAsia" w:ascii="Times New Roman" w:hAnsi="Times New Roman"/>
          <w:color w:val="auto"/>
        </w:rPr>
        <w:t>投标文件的递交</w:t>
      </w:r>
      <w:bookmarkEnd w:id="14"/>
      <w:bookmarkEnd w:id="15"/>
      <w:r>
        <w:rPr>
          <w:rFonts w:hint="eastAsia" w:ascii="Times New Roman" w:hAnsi="Times New Roman"/>
          <w:color w:val="auto"/>
        </w:rPr>
        <w:t>、开标</w:t>
      </w:r>
    </w:p>
    <w:p>
      <w:pPr>
        <w:spacing w:line="360" w:lineRule="auto"/>
        <w:ind w:firstLine="424" w:firstLineChars="177"/>
        <w:jc w:val="left"/>
        <w:rPr>
          <w:rFonts w:ascii="宋体" w:hAnsi="宋体"/>
          <w:color w:val="auto"/>
          <w:sz w:val="24"/>
          <w:szCs w:val="24"/>
        </w:rPr>
      </w:pPr>
      <w:r>
        <w:rPr>
          <w:rFonts w:ascii="宋体" w:hAnsi="宋体"/>
          <w:color w:val="auto"/>
          <w:sz w:val="24"/>
          <w:szCs w:val="24"/>
        </w:rPr>
        <w:t>5.1</w:t>
      </w:r>
      <w:r>
        <w:rPr>
          <w:rFonts w:hint="eastAsia" w:ascii="宋体" w:hAnsi="宋体"/>
          <w:color w:val="auto"/>
          <w:sz w:val="24"/>
          <w:szCs w:val="24"/>
        </w:rPr>
        <w:t xml:space="preserve"> 递交电子投标文件</w:t>
      </w:r>
    </w:p>
    <w:p>
      <w:pPr>
        <w:spacing w:line="360" w:lineRule="auto"/>
        <w:ind w:firstLine="424" w:firstLineChars="177"/>
        <w:jc w:val="left"/>
        <w:rPr>
          <w:rFonts w:ascii="宋体" w:hAnsi="宋体"/>
          <w:color w:val="auto"/>
          <w:sz w:val="24"/>
          <w:szCs w:val="24"/>
        </w:rPr>
      </w:pPr>
      <w:r>
        <w:rPr>
          <w:rFonts w:ascii="宋体" w:hAnsi="宋体"/>
          <w:color w:val="auto"/>
          <w:sz w:val="24"/>
          <w:szCs w:val="24"/>
        </w:rPr>
        <w:t>投标文件递交的截止时间（投标截止时间，下同）为</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10</w:t>
      </w:r>
      <w:r>
        <w:rPr>
          <w:rFonts w:hint="eastAsia" w:ascii="宋体" w:hAnsi="宋体"/>
          <w:color w:val="auto"/>
          <w:sz w:val="24"/>
          <w:szCs w:val="24"/>
        </w:rPr>
        <w:t>时</w:t>
      </w:r>
      <w:r>
        <w:rPr>
          <w:rFonts w:ascii="宋体" w:hAnsi="宋体"/>
          <w:color w:val="auto"/>
          <w:sz w:val="24"/>
          <w:szCs w:val="24"/>
          <w:u w:val="single"/>
        </w:rPr>
        <w:t>30</w:t>
      </w:r>
      <w:r>
        <w:rPr>
          <w:rFonts w:hint="eastAsia" w:ascii="宋体" w:hAnsi="宋体"/>
          <w:color w:val="auto"/>
          <w:sz w:val="24"/>
          <w:szCs w:val="24"/>
        </w:rPr>
        <w:t>分</w:t>
      </w:r>
      <w:r>
        <w:rPr>
          <w:rFonts w:ascii="宋体" w:hAnsi="宋体"/>
          <w:color w:val="auto"/>
          <w:sz w:val="24"/>
          <w:szCs w:val="24"/>
        </w:rPr>
        <w:t>，投标人应在截止时间前通过</w:t>
      </w:r>
      <w:r>
        <w:rPr>
          <w:rFonts w:hint="eastAsia" w:ascii="宋体" w:hAnsi="宋体"/>
          <w:color w:val="auto"/>
          <w:sz w:val="24"/>
          <w:szCs w:val="24"/>
          <w:u w:val="single"/>
        </w:rPr>
        <w:t>广州交易集团有限公司（广州公共资源交易中心）数字交易平台（网址：</w:t>
      </w:r>
      <w:r>
        <w:rPr>
          <w:rFonts w:ascii="宋体" w:hAnsi="宋体"/>
          <w:color w:val="auto"/>
          <w:sz w:val="24"/>
          <w:szCs w:val="24"/>
          <w:u w:val="single"/>
        </w:rPr>
        <w:t>http://www.gzggzy.cn</w:t>
      </w:r>
      <w:r>
        <w:rPr>
          <w:rFonts w:hint="eastAsia" w:ascii="宋体" w:hAnsi="宋体"/>
          <w:color w:val="auto"/>
          <w:sz w:val="24"/>
          <w:szCs w:val="24"/>
          <w:u w:val="single"/>
        </w:rPr>
        <w:t>）</w:t>
      </w:r>
      <w:r>
        <w:rPr>
          <w:rFonts w:ascii="宋体" w:hAnsi="宋体"/>
          <w:color w:val="auto"/>
          <w:sz w:val="24"/>
          <w:szCs w:val="24"/>
        </w:rPr>
        <w:t>递交电子投标文件。</w:t>
      </w:r>
    </w:p>
    <w:p>
      <w:pPr>
        <w:spacing w:line="360" w:lineRule="auto"/>
        <w:ind w:firstLine="424" w:firstLineChars="177"/>
        <w:jc w:val="left"/>
        <w:rPr>
          <w:rFonts w:ascii="宋体" w:hAnsi="宋体"/>
          <w:color w:val="auto"/>
          <w:sz w:val="24"/>
          <w:szCs w:val="24"/>
        </w:rPr>
      </w:pPr>
      <w:r>
        <w:rPr>
          <w:rFonts w:hint="eastAsia" w:ascii="宋体" w:hAnsi="宋体"/>
          <w:color w:val="auto"/>
          <w:sz w:val="24"/>
          <w:szCs w:val="24"/>
        </w:rPr>
        <w:t>5.2提交投标文件光盘（备用）</w:t>
      </w:r>
    </w:p>
    <w:p>
      <w:pPr>
        <w:spacing w:line="360" w:lineRule="auto"/>
        <w:ind w:firstLine="424" w:firstLineChars="177"/>
        <w:jc w:val="left"/>
        <w:rPr>
          <w:rFonts w:ascii="宋体" w:hAnsi="宋体"/>
          <w:color w:val="auto"/>
          <w:sz w:val="24"/>
          <w:szCs w:val="24"/>
        </w:rPr>
      </w:pPr>
      <w:r>
        <w:rPr>
          <w:rFonts w:hint="eastAsia" w:ascii="宋体" w:hAnsi="宋体"/>
          <w:color w:val="auto"/>
          <w:sz w:val="24"/>
          <w:szCs w:val="24"/>
        </w:rPr>
        <w:t>投标文件光盘（备用）递交时间</w:t>
      </w:r>
      <w:r>
        <w:rPr>
          <w:rFonts w:ascii="宋体" w:hAnsi="宋体"/>
          <w:color w:val="auto"/>
          <w:sz w:val="24"/>
          <w:szCs w:val="24"/>
        </w:rPr>
        <w:t>：</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10</w:t>
      </w:r>
      <w:r>
        <w:rPr>
          <w:rFonts w:hint="eastAsia" w:ascii="宋体" w:hAnsi="宋体"/>
          <w:color w:val="auto"/>
          <w:sz w:val="24"/>
          <w:szCs w:val="24"/>
        </w:rPr>
        <w:t>时</w:t>
      </w:r>
      <w:r>
        <w:rPr>
          <w:rFonts w:ascii="宋体" w:hAnsi="宋体"/>
          <w:color w:val="auto"/>
          <w:sz w:val="24"/>
          <w:szCs w:val="24"/>
          <w:u w:val="single"/>
        </w:rPr>
        <w:t>15</w:t>
      </w:r>
      <w:r>
        <w:rPr>
          <w:rFonts w:hint="eastAsia" w:ascii="宋体" w:hAnsi="宋体"/>
          <w:color w:val="auto"/>
          <w:sz w:val="24"/>
          <w:szCs w:val="24"/>
        </w:rPr>
        <w:t>分至</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10</w:t>
      </w:r>
      <w:r>
        <w:rPr>
          <w:rFonts w:hint="eastAsia" w:ascii="宋体" w:hAnsi="宋体"/>
          <w:color w:val="auto"/>
          <w:sz w:val="24"/>
          <w:szCs w:val="24"/>
        </w:rPr>
        <w:t>时</w:t>
      </w:r>
      <w:r>
        <w:rPr>
          <w:rFonts w:ascii="宋体" w:hAnsi="宋体"/>
          <w:color w:val="auto"/>
          <w:sz w:val="24"/>
          <w:szCs w:val="24"/>
          <w:u w:val="single"/>
        </w:rPr>
        <w:t>30</w:t>
      </w:r>
      <w:r>
        <w:rPr>
          <w:rFonts w:hint="eastAsia" w:ascii="宋体" w:hAnsi="宋体"/>
          <w:color w:val="auto"/>
          <w:sz w:val="24"/>
          <w:szCs w:val="24"/>
        </w:rPr>
        <w:t>分；地点</w:t>
      </w:r>
      <w:r>
        <w:rPr>
          <w:rFonts w:ascii="宋体" w:hAnsi="宋体"/>
          <w:color w:val="auto"/>
          <w:sz w:val="24"/>
          <w:szCs w:val="24"/>
        </w:rPr>
        <w:t>：</w:t>
      </w:r>
      <w:r>
        <w:rPr>
          <w:rFonts w:hint="eastAsia" w:ascii="宋体" w:hAnsi="宋体"/>
          <w:color w:val="auto"/>
          <w:sz w:val="24"/>
          <w:szCs w:val="24"/>
        </w:rPr>
        <w:t>广州交易集团有限公司（广州公共资源交易中心）第</w:t>
      </w:r>
      <w:r>
        <w:rPr>
          <w:rFonts w:ascii="宋体" w:hAnsi="宋体"/>
          <w:color w:val="auto"/>
          <w:sz w:val="24"/>
          <w:szCs w:val="24"/>
          <w:u w:val="single"/>
        </w:rPr>
        <w:t>13</w:t>
      </w:r>
      <w:r>
        <w:rPr>
          <w:rFonts w:hint="eastAsia" w:ascii="宋体" w:hAnsi="宋体"/>
          <w:color w:val="auto"/>
          <w:sz w:val="24"/>
          <w:szCs w:val="24"/>
        </w:rPr>
        <w:t>开标室。（电子光盘需按规定封装。投标人在将数据刻录到光盘之后，投标前自行检查文件是否可以读取)</w:t>
      </w:r>
    </w:p>
    <w:p>
      <w:pPr>
        <w:spacing w:line="360" w:lineRule="auto"/>
        <w:ind w:firstLine="424" w:firstLineChars="177"/>
        <w:jc w:val="left"/>
        <w:rPr>
          <w:rFonts w:ascii="宋体" w:hAnsi="宋体" w:cs="宋体"/>
          <w:color w:val="auto"/>
          <w:sz w:val="24"/>
        </w:rPr>
      </w:pPr>
      <w:r>
        <w:rPr>
          <w:rFonts w:hint="eastAsia" w:ascii="宋体" w:hAnsi="宋体" w:cs="宋体"/>
          <w:color w:val="auto"/>
          <w:sz w:val="24"/>
        </w:rPr>
        <w:t>5.3开标时间为</w:t>
      </w:r>
      <w:r>
        <w:rPr>
          <w:rFonts w:hint="eastAsia" w:ascii="宋体" w:hAnsi="宋体"/>
          <w:color w:val="auto"/>
          <w:sz w:val="24"/>
          <w:szCs w:val="24"/>
          <w:u w:val="single"/>
        </w:rPr>
        <w:t>20</w:t>
      </w:r>
      <w:r>
        <w:rPr>
          <w:rFonts w:ascii="宋体" w:hAnsi="宋体"/>
          <w:color w:val="auto"/>
          <w:sz w:val="24"/>
          <w:szCs w:val="24"/>
          <w:u w:val="single"/>
        </w:rPr>
        <w:t>23</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r>
        <w:rPr>
          <w:rFonts w:ascii="宋体" w:hAnsi="宋体"/>
          <w:color w:val="auto"/>
          <w:sz w:val="24"/>
          <w:szCs w:val="24"/>
          <w:u w:val="single"/>
        </w:rPr>
        <w:t>10</w:t>
      </w:r>
      <w:r>
        <w:rPr>
          <w:rFonts w:hint="eastAsia" w:ascii="宋体" w:hAnsi="宋体"/>
          <w:color w:val="auto"/>
          <w:sz w:val="24"/>
          <w:szCs w:val="24"/>
        </w:rPr>
        <w:t>时</w:t>
      </w:r>
      <w:r>
        <w:rPr>
          <w:rFonts w:ascii="宋体" w:hAnsi="宋体"/>
          <w:color w:val="auto"/>
          <w:sz w:val="24"/>
          <w:szCs w:val="24"/>
          <w:u w:val="single"/>
        </w:rPr>
        <w:t>30</w:t>
      </w:r>
      <w:r>
        <w:rPr>
          <w:rFonts w:hint="eastAsia" w:ascii="宋体" w:hAnsi="宋体"/>
          <w:color w:val="auto"/>
          <w:sz w:val="24"/>
          <w:szCs w:val="24"/>
        </w:rPr>
        <w:t>分</w:t>
      </w:r>
      <w:r>
        <w:rPr>
          <w:rFonts w:ascii="宋体" w:hAnsi="宋体" w:cs="宋体"/>
          <w:color w:val="auto"/>
          <w:sz w:val="24"/>
        </w:rPr>
        <w:t>，地点：广州交易集团有限公司（广州公共资源交易中心）第</w:t>
      </w:r>
      <w:r>
        <w:rPr>
          <w:rFonts w:ascii="宋体" w:hAnsi="宋体" w:cs="宋体"/>
          <w:color w:val="auto"/>
          <w:sz w:val="24"/>
          <w:u w:val="single"/>
        </w:rPr>
        <w:t>XX</w:t>
      </w:r>
      <w:r>
        <w:rPr>
          <w:rFonts w:ascii="宋体" w:hAnsi="宋体" w:cs="宋体"/>
          <w:color w:val="auto"/>
          <w:sz w:val="24"/>
        </w:rPr>
        <w:t>开标室。</w:t>
      </w:r>
    </w:p>
    <w:p>
      <w:pPr>
        <w:spacing w:line="360" w:lineRule="auto"/>
        <w:ind w:firstLine="424" w:firstLineChars="177"/>
        <w:jc w:val="left"/>
        <w:rPr>
          <w:rFonts w:ascii="宋体" w:hAnsi="宋体"/>
          <w:sz w:val="24"/>
          <w:szCs w:val="24"/>
        </w:rPr>
      </w:pPr>
      <w:r>
        <w:rPr>
          <w:rFonts w:hint="eastAsia" w:ascii="宋体" w:hAnsi="宋体"/>
          <w:sz w:val="24"/>
          <w:szCs w:val="24"/>
        </w:rPr>
        <w:t>5.</w:t>
      </w:r>
      <w:r>
        <w:rPr>
          <w:rFonts w:ascii="宋体" w:hAnsi="宋体"/>
          <w:sz w:val="24"/>
          <w:szCs w:val="24"/>
        </w:rPr>
        <w:t>4</w:t>
      </w:r>
      <w:r>
        <w:rPr>
          <w:rFonts w:hint="eastAsia" w:ascii="宋体" w:hAnsi="宋体"/>
          <w:sz w:val="24"/>
          <w:szCs w:val="24"/>
        </w:rPr>
        <w:t>投标人完成电子投标上传后，电子招标投标交易平台即时向投标人发出递交回执通知。递交时间以递交回执通知载明的传输时间为准。</w:t>
      </w:r>
    </w:p>
    <w:p>
      <w:pPr>
        <w:spacing w:line="360" w:lineRule="auto"/>
        <w:ind w:firstLine="424" w:firstLineChars="177"/>
        <w:jc w:val="left"/>
        <w:rPr>
          <w:rFonts w:ascii="宋体" w:hAnsi="宋体"/>
          <w:sz w:val="24"/>
          <w:szCs w:val="24"/>
        </w:rPr>
      </w:pPr>
      <w:r>
        <w:rPr>
          <w:rFonts w:hint="eastAsia" w:ascii="宋体" w:hAnsi="宋体"/>
          <w:sz w:val="24"/>
          <w:szCs w:val="24"/>
        </w:rPr>
        <w:t>5.</w:t>
      </w:r>
      <w:r>
        <w:rPr>
          <w:rFonts w:ascii="宋体" w:hAnsi="宋体"/>
          <w:sz w:val="24"/>
          <w:szCs w:val="24"/>
        </w:rPr>
        <w:t>5逾期送达的投标文件，电子招标投标交易平台将予以拒收。</w:t>
      </w:r>
    </w:p>
    <w:p>
      <w:pPr>
        <w:pStyle w:val="2"/>
        <w:keepNext w:val="0"/>
        <w:keepLines w:val="0"/>
        <w:spacing w:before="0" w:after="0" w:line="240" w:lineRule="auto"/>
        <w:rPr>
          <w:rFonts w:ascii="Times New Roman" w:hAnsi="Times New Roman"/>
        </w:rPr>
      </w:pPr>
      <w:bookmarkStart w:id="16" w:name="_Toc514099628"/>
      <w:bookmarkStart w:id="17" w:name="_Toc511557030"/>
      <w:r>
        <w:rPr>
          <w:rFonts w:hint="eastAsia" w:ascii="Times New Roman" w:hAnsi="Times New Roman"/>
        </w:rPr>
        <w:t>6</w:t>
      </w:r>
      <w:r>
        <w:rPr>
          <w:rFonts w:ascii="Times New Roman" w:hAnsi="Times New Roman"/>
        </w:rPr>
        <w:t xml:space="preserve">. </w:t>
      </w:r>
      <w:r>
        <w:rPr>
          <w:rFonts w:hint="eastAsia" w:ascii="Times New Roman" w:hAnsi="Times New Roman"/>
        </w:rPr>
        <w:t>发布公告的媒介</w:t>
      </w:r>
      <w:bookmarkEnd w:id="16"/>
      <w:bookmarkEnd w:id="17"/>
    </w:p>
    <w:p>
      <w:pPr>
        <w:spacing w:line="360" w:lineRule="auto"/>
        <w:ind w:firstLine="480" w:firstLineChars="200"/>
        <w:rPr>
          <w:rFonts w:ascii="宋体" w:hAnsi="宋体"/>
          <w:sz w:val="24"/>
          <w:szCs w:val="24"/>
        </w:rPr>
      </w:pPr>
      <w:r>
        <w:rPr>
          <w:rFonts w:ascii="宋体" w:hAnsi="宋体"/>
          <w:sz w:val="24"/>
          <w:szCs w:val="24"/>
        </w:rPr>
        <w:t>本次招标公告同时在</w:t>
      </w:r>
      <w:r>
        <w:rPr>
          <w:rFonts w:hint="eastAsia" w:ascii="宋体" w:hAnsi="宋体"/>
          <w:sz w:val="24"/>
          <w:szCs w:val="24"/>
          <w:u w:val="single"/>
        </w:rPr>
        <w:t>广州交易集团有限公司（广州公共资源交易中心）（网址：</w:t>
      </w:r>
      <w:r>
        <w:rPr>
          <w:rFonts w:ascii="宋体" w:hAnsi="宋体"/>
          <w:sz w:val="24"/>
          <w:szCs w:val="24"/>
          <w:u w:val="single"/>
        </w:rPr>
        <w:t>http://www.gzggzy.cn</w:t>
      </w:r>
      <w:r>
        <w:rPr>
          <w:rFonts w:hint="eastAsia" w:ascii="宋体" w:hAnsi="宋体"/>
          <w:sz w:val="24"/>
          <w:szCs w:val="24"/>
          <w:u w:val="single"/>
        </w:rPr>
        <w:t>）、广东省招标投标监管网（网址：</w:t>
      </w:r>
      <w:r>
        <w:rPr>
          <w:rFonts w:ascii="宋体" w:hAnsi="宋体"/>
          <w:sz w:val="24"/>
          <w:szCs w:val="24"/>
          <w:u w:val="single"/>
        </w:rPr>
        <w:t>http://zbtb.gd.gov.cn/</w:t>
      </w:r>
      <w:r>
        <w:rPr>
          <w:rFonts w:hint="eastAsia" w:ascii="宋体" w:hAnsi="宋体"/>
          <w:sz w:val="24"/>
          <w:szCs w:val="24"/>
          <w:u w:val="single"/>
        </w:rPr>
        <w:t>）和中国招标投标公共服务平台（网址：</w:t>
      </w:r>
      <w:r>
        <w:rPr>
          <w:rFonts w:ascii="宋体" w:hAnsi="宋体"/>
          <w:sz w:val="24"/>
          <w:szCs w:val="24"/>
          <w:u w:val="single"/>
        </w:rPr>
        <w:t>http://www.cebpubservice.com/</w:t>
      </w:r>
      <w:r>
        <w:rPr>
          <w:rFonts w:hint="eastAsia" w:ascii="宋体" w:hAnsi="宋体"/>
          <w:sz w:val="24"/>
          <w:szCs w:val="24"/>
          <w:u w:val="single"/>
        </w:rPr>
        <w:t>）</w:t>
      </w:r>
      <w:r>
        <w:rPr>
          <w:rFonts w:hint="eastAsia" w:ascii="宋体" w:hAnsi="宋体" w:cs="宋体"/>
          <w:sz w:val="24"/>
          <w:szCs w:val="24"/>
          <w:u w:val="single"/>
        </w:rPr>
        <w:t>发布，本公告的修改、补充，在广州交易集团有限公司（广州公共资源交易中心）网站</w:t>
      </w:r>
      <w:r>
        <w:rPr>
          <w:rFonts w:ascii="宋体" w:hAnsi="宋体"/>
          <w:sz w:val="24"/>
          <w:szCs w:val="24"/>
        </w:rPr>
        <w:t>上发布。</w:t>
      </w:r>
    </w:p>
    <w:p>
      <w:pPr>
        <w:pStyle w:val="2"/>
        <w:keepNext w:val="0"/>
        <w:keepLines w:val="0"/>
        <w:spacing w:before="0" w:after="0" w:line="240" w:lineRule="auto"/>
        <w:rPr>
          <w:rFonts w:ascii="Times New Roman" w:hAnsi="Times New Roman"/>
        </w:rPr>
      </w:pPr>
      <w:r>
        <w:rPr>
          <w:rFonts w:hint="eastAsia" w:ascii="Times New Roman" w:hAnsi="Times New Roman"/>
        </w:rPr>
        <w:t>7. 异议受理</w:t>
      </w:r>
    </w:p>
    <w:p>
      <w:pPr>
        <w:spacing w:line="360" w:lineRule="auto"/>
        <w:ind w:firstLine="480" w:firstLineChars="200"/>
        <w:rPr>
          <w:rFonts w:ascii="宋体" w:hAnsi="宋体"/>
          <w:sz w:val="24"/>
        </w:rPr>
      </w:pPr>
      <w:r>
        <w:rPr>
          <w:rFonts w:hint="eastAsia" w:ascii="宋体" w:hAnsi="宋体"/>
          <w:sz w:val="24"/>
        </w:rPr>
        <w:t>潜在投标人或利害关系人对本招标公告及招标内容异议的，可向招标人书面提出。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异议受理部门：</w:t>
      </w:r>
      <w:r>
        <w:rPr>
          <w:rFonts w:hint="eastAsia" w:ascii="宋体" w:hAnsi="宋体" w:cs="宋体"/>
          <w:kern w:val="0"/>
          <w:sz w:val="24"/>
          <w:szCs w:val="24"/>
          <w:u w:val="single"/>
        </w:rPr>
        <w:t>广州市白云区重点交通项目管理中心</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rPr>
        <w:t>异议受理电话：</w:t>
      </w:r>
      <w:r>
        <w:rPr>
          <w:rFonts w:ascii="宋体" w:hAnsi="宋体" w:cs="宋体"/>
          <w:kern w:val="0"/>
          <w:sz w:val="24"/>
          <w:szCs w:val="24"/>
          <w:u w:val="single"/>
        </w:rPr>
        <w:t>020-</w:t>
      </w:r>
      <w:r>
        <w:rPr>
          <w:rFonts w:hint="eastAsia" w:ascii="宋体" w:hAnsi="宋体" w:cs="宋体"/>
          <w:kern w:val="0"/>
          <w:sz w:val="24"/>
          <w:szCs w:val="24"/>
          <w:u w:val="single"/>
        </w:rPr>
        <w:t>86178448</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地址：</w:t>
      </w:r>
      <w:r>
        <w:rPr>
          <w:rFonts w:hint="eastAsia" w:ascii="宋体" w:hAnsi="宋体"/>
          <w:sz w:val="24"/>
          <w:szCs w:val="24"/>
          <w:u w:val="single"/>
        </w:rPr>
        <w:t>广州市白云区大金钟路31号四楼</w:t>
      </w:r>
    </w:p>
    <w:p>
      <w:pPr>
        <w:pStyle w:val="2"/>
        <w:keepNext w:val="0"/>
        <w:keepLines w:val="0"/>
        <w:spacing w:before="0" w:after="0" w:line="240" w:lineRule="auto"/>
        <w:rPr>
          <w:rFonts w:ascii="Times New Roman" w:hAnsi="Times New Roman"/>
        </w:rPr>
      </w:pPr>
      <w:bookmarkStart w:id="18" w:name="_Toc514099629"/>
      <w:bookmarkStart w:id="19" w:name="_Toc511557031"/>
      <w:r>
        <w:rPr>
          <w:rFonts w:hint="eastAsia" w:ascii="Times New Roman" w:hAnsi="Times New Roman"/>
        </w:rPr>
        <w:t>8</w:t>
      </w:r>
      <w:r>
        <w:rPr>
          <w:rFonts w:ascii="Times New Roman" w:hAnsi="Times New Roman"/>
        </w:rPr>
        <w:t xml:space="preserve"> </w:t>
      </w:r>
      <w:r>
        <w:rPr>
          <w:rFonts w:hint="eastAsia" w:ascii="Times New Roman" w:hAnsi="Times New Roman"/>
        </w:rPr>
        <w:t>联系方式</w:t>
      </w:r>
      <w:bookmarkEnd w:id="18"/>
      <w:bookmarkEnd w:id="19"/>
    </w:p>
    <w:p/>
    <w:p>
      <w:pPr>
        <w:spacing w:line="360" w:lineRule="auto"/>
        <w:ind w:left="7191" w:leftChars="228" w:right="480" w:hanging="6712" w:hangingChars="2797"/>
        <w:jc w:val="left"/>
        <w:rPr>
          <w:rFonts w:ascii="宋体" w:hAnsi="宋体"/>
          <w:sz w:val="24"/>
          <w:szCs w:val="24"/>
          <w:u w:val="single"/>
        </w:rPr>
      </w:pPr>
      <w:bookmarkStart w:id="20" w:name="_Toc384308188"/>
      <w:bookmarkEnd w:id="20"/>
      <w:bookmarkStart w:id="21" w:name="_Toc144974480"/>
      <w:bookmarkEnd w:id="21"/>
      <w:bookmarkStart w:id="22" w:name="_Toc247527536"/>
      <w:bookmarkEnd w:id="22"/>
      <w:bookmarkStart w:id="23" w:name="_Toc352691455"/>
      <w:bookmarkEnd w:id="23"/>
      <w:bookmarkStart w:id="24" w:name="_Toc152045512"/>
      <w:bookmarkEnd w:id="24"/>
      <w:bookmarkStart w:id="25" w:name="_Toc361508562"/>
      <w:bookmarkEnd w:id="25"/>
      <w:bookmarkStart w:id="26" w:name="_Toc384308187"/>
      <w:bookmarkEnd w:id="26"/>
      <w:bookmarkStart w:id="27" w:name="_Toc152042288"/>
      <w:bookmarkEnd w:id="27"/>
      <w:bookmarkStart w:id="28" w:name="_Toc144974481"/>
      <w:bookmarkEnd w:id="28"/>
      <w:bookmarkStart w:id="29" w:name="_Toc17972"/>
      <w:bookmarkEnd w:id="29"/>
      <w:bookmarkStart w:id="30" w:name="_Toc30817"/>
      <w:bookmarkEnd w:id="30"/>
      <w:bookmarkStart w:id="31" w:name="_Toc384308185"/>
      <w:bookmarkEnd w:id="31"/>
      <w:bookmarkStart w:id="32" w:name="_Toc152045513"/>
      <w:bookmarkEnd w:id="32"/>
      <w:bookmarkStart w:id="33" w:name="_Toc300834927"/>
      <w:bookmarkEnd w:id="33"/>
      <w:bookmarkStart w:id="34" w:name="_Toc247513935"/>
      <w:bookmarkEnd w:id="34"/>
      <w:bookmarkStart w:id="35" w:name="_Toc361508560"/>
      <w:bookmarkEnd w:id="35"/>
      <w:bookmarkStart w:id="36" w:name="_Toc369531495"/>
      <w:bookmarkEnd w:id="36"/>
      <w:bookmarkStart w:id="37" w:name="_Toc247513934"/>
      <w:bookmarkEnd w:id="37"/>
      <w:bookmarkStart w:id="38" w:name="_Toc152042289"/>
      <w:bookmarkEnd w:id="38"/>
      <w:bookmarkStart w:id="39" w:name="_Toc300834929"/>
      <w:bookmarkEnd w:id="39"/>
      <w:bookmarkStart w:id="40" w:name="_Toc300834930"/>
      <w:bookmarkEnd w:id="40"/>
      <w:bookmarkStart w:id="41" w:name="_Toc361508563"/>
      <w:bookmarkEnd w:id="41"/>
      <w:bookmarkStart w:id="42" w:name="_Toc352691453"/>
      <w:bookmarkEnd w:id="42"/>
      <w:bookmarkStart w:id="43" w:name="_Toc352691456"/>
      <w:bookmarkEnd w:id="43"/>
      <w:bookmarkStart w:id="44" w:name="_Toc247527535"/>
      <w:bookmarkEnd w:id="44"/>
      <w:bookmarkStart w:id="45" w:name="_Toc369531497"/>
      <w:bookmarkEnd w:id="45"/>
      <w:bookmarkStart w:id="46" w:name="_Toc369531498"/>
      <w:bookmarkEnd w:id="46"/>
      <w:bookmarkStart w:id="47" w:name="_Toc10785"/>
      <w:bookmarkEnd w:id="47"/>
      <w:r>
        <w:rPr>
          <w:rFonts w:ascii="宋体" w:hAnsi="宋体"/>
          <w:sz w:val="24"/>
          <w:szCs w:val="24"/>
        </w:rPr>
        <w:t>招标人：</w:t>
      </w:r>
      <w:r>
        <w:rPr>
          <w:rFonts w:hint="eastAsia" w:ascii="宋体" w:hAnsi="宋体" w:cs="宋体"/>
          <w:kern w:val="0"/>
          <w:sz w:val="24"/>
          <w:szCs w:val="24"/>
          <w:u w:val="single"/>
        </w:rPr>
        <w:t>广州市白云区重点交通项目管理中心</w:t>
      </w:r>
    </w:p>
    <w:p>
      <w:pPr>
        <w:topLinePunct/>
        <w:spacing w:line="360" w:lineRule="auto"/>
        <w:ind w:firstLine="480" w:firstLineChars="200"/>
        <w:jc w:val="left"/>
        <w:rPr>
          <w:rFonts w:ascii="宋体" w:hAnsi="宋体"/>
          <w:sz w:val="24"/>
          <w:szCs w:val="24"/>
        </w:rPr>
      </w:pPr>
      <w:r>
        <w:rPr>
          <w:rFonts w:ascii="宋体" w:hAnsi="宋体"/>
          <w:sz w:val="24"/>
          <w:szCs w:val="24"/>
        </w:rPr>
        <w:t>地址：</w:t>
      </w:r>
      <w:r>
        <w:rPr>
          <w:rFonts w:hint="eastAsia" w:ascii="宋体" w:hAnsi="宋体"/>
          <w:sz w:val="24"/>
          <w:szCs w:val="24"/>
          <w:u w:val="single"/>
        </w:rPr>
        <w:t>广州市白云区大金钟路31号四楼</w:t>
      </w:r>
    </w:p>
    <w:p>
      <w:pPr>
        <w:topLinePunct/>
        <w:spacing w:line="360" w:lineRule="auto"/>
        <w:ind w:left="7191" w:leftChars="228" w:right="480" w:hanging="6712" w:hangingChars="2797"/>
        <w:jc w:val="left"/>
        <w:rPr>
          <w:rFonts w:ascii="宋体" w:hAnsi="宋体"/>
          <w:sz w:val="24"/>
          <w:szCs w:val="24"/>
          <w:u w:val="single"/>
        </w:rPr>
      </w:pPr>
      <w:r>
        <w:rPr>
          <w:rFonts w:ascii="宋体" w:hAnsi="宋体"/>
          <w:sz w:val="24"/>
          <w:szCs w:val="24"/>
        </w:rPr>
        <w:t>联系人：</w:t>
      </w:r>
      <w:r>
        <w:rPr>
          <w:rFonts w:hint="eastAsia" w:ascii="宋体" w:hAnsi="宋体"/>
          <w:sz w:val="24"/>
          <w:szCs w:val="24"/>
          <w:u w:val="single"/>
        </w:rPr>
        <w:t>龚工</w:t>
      </w:r>
    </w:p>
    <w:p>
      <w:pPr>
        <w:topLinePunct/>
        <w:spacing w:line="360" w:lineRule="auto"/>
        <w:ind w:left="7191" w:leftChars="228" w:right="480" w:hanging="6712" w:hangingChars="2797"/>
        <w:jc w:val="left"/>
        <w:rPr>
          <w:rFonts w:ascii="宋体" w:hAnsi="宋体"/>
          <w:sz w:val="24"/>
          <w:szCs w:val="24"/>
        </w:rPr>
      </w:pPr>
      <w:r>
        <w:rPr>
          <w:rFonts w:ascii="宋体" w:hAnsi="宋体"/>
          <w:sz w:val="24"/>
          <w:szCs w:val="24"/>
        </w:rPr>
        <w:t>电话：</w:t>
      </w:r>
      <w:r>
        <w:rPr>
          <w:rFonts w:ascii="宋体" w:hAnsi="宋体"/>
          <w:sz w:val="24"/>
          <w:szCs w:val="24"/>
          <w:u w:val="single"/>
        </w:rPr>
        <w:t>020-</w:t>
      </w:r>
      <w:r>
        <w:rPr>
          <w:rFonts w:hint="eastAsia" w:ascii="宋体" w:hAnsi="宋体"/>
          <w:sz w:val="24"/>
          <w:szCs w:val="24"/>
          <w:u w:val="single"/>
        </w:rPr>
        <w:t>86178448</w:t>
      </w:r>
    </w:p>
    <w:p>
      <w:pPr>
        <w:topLinePunct/>
        <w:spacing w:line="360" w:lineRule="auto"/>
        <w:ind w:right="480" w:firstLine="480" w:firstLineChars="200"/>
        <w:jc w:val="left"/>
        <w:rPr>
          <w:rFonts w:ascii="宋体" w:hAnsi="宋体"/>
          <w:sz w:val="24"/>
          <w:szCs w:val="24"/>
        </w:rPr>
      </w:pPr>
      <w:r>
        <w:rPr>
          <w:rFonts w:ascii="宋体" w:hAnsi="宋体"/>
          <w:sz w:val="24"/>
          <w:szCs w:val="24"/>
        </w:rPr>
        <w:t>邮编：</w:t>
      </w:r>
      <w:r>
        <w:rPr>
          <w:rFonts w:hint="eastAsia" w:ascii="宋体" w:hAnsi="宋体"/>
          <w:sz w:val="24"/>
          <w:szCs w:val="24"/>
          <w:u w:val="single"/>
        </w:rPr>
        <w:t>510405</w:t>
      </w:r>
    </w:p>
    <w:p>
      <w:pPr>
        <w:topLinePunct/>
        <w:spacing w:line="360" w:lineRule="auto"/>
        <w:ind w:left="120" w:right="360" w:hanging="120" w:hangingChars="50"/>
        <w:jc w:val="left"/>
        <w:rPr>
          <w:rFonts w:ascii="宋体" w:hAnsi="宋体"/>
          <w:sz w:val="24"/>
          <w:szCs w:val="24"/>
        </w:rPr>
      </w:pPr>
      <w:r>
        <w:rPr>
          <w:rFonts w:hint="eastAsia" w:ascii="宋体" w:hAnsi="宋体"/>
          <w:sz w:val="24"/>
          <w:szCs w:val="24"/>
        </w:rPr>
        <w:t xml:space="preserve">    </w:t>
      </w:r>
    </w:p>
    <w:p>
      <w:pPr>
        <w:spacing w:line="360" w:lineRule="auto"/>
        <w:ind w:right="360" w:firstLine="480" w:firstLineChars="200"/>
        <w:jc w:val="left"/>
        <w:rPr>
          <w:rFonts w:ascii="宋体" w:hAnsi="宋体" w:cs="宋体"/>
          <w:sz w:val="24"/>
          <w:szCs w:val="24"/>
          <w:u w:val="single"/>
        </w:rPr>
      </w:pPr>
      <w:r>
        <w:rPr>
          <w:rFonts w:ascii="宋体" w:hAnsi="宋体"/>
          <w:sz w:val="24"/>
          <w:szCs w:val="24"/>
        </w:rPr>
        <w:t>招标代理机构：</w:t>
      </w:r>
      <w:r>
        <w:rPr>
          <w:rFonts w:hint="eastAsia" w:ascii="宋体" w:hAnsi="宋体"/>
          <w:sz w:val="24"/>
          <w:szCs w:val="24"/>
          <w:u w:val="single"/>
        </w:rPr>
        <w:t>中达安股份有限公司</w:t>
      </w:r>
    </w:p>
    <w:p>
      <w:pPr>
        <w:topLinePunct/>
        <w:spacing w:line="360" w:lineRule="auto"/>
        <w:ind w:firstLine="480" w:firstLineChars="200"/>
        <w:jc w:val="left"/>
        <w:rPr>
          <w:rFonts w:ascii="宋体" w:hAnsi="宋体"/>
          <w:sz w:val="24"/>
          <w:szCs w:val="24"/>
        </w:rPr>
      </w:pPr>
      <w:r>
        <w:rPr>
          <w:rFonts w:ascii="宋体" w:hAnsi="宋体"/>
          <w:sz w:val="24"/>
          <w:szCs w:val="24"/>
        </w:rPr>
        <w:t>地址：</w:t>
      </w:r>
      <w:r>
        <w:rPr>
          <w:rFonts w:hint="eastAsia" w:ascii="宋体" w:hAnsi="宋体"/>
          <w:sz w:val="24"/>
          <w:u w:val="single"/>
        </w:rPr>
        <w:t>广州市白云区彭上新村南路20号3楼（白云事业部）</w:t>
      </w:r>
    </w:p>
    <w:p>
      <w:pPr>
        <w:topLinePunct/>
        <w:spacing w:line="360" w:lineRule="auto"/>
        <w:ind w:left="7484" w:leftChars="228" w:hanging="7005" w:hangingChars="2919"/>
        <w:jc w:val="left"/>
        <w:rPr>
          <w:rFonts w:ascii="宋体" w:hAnsi="宋体"/>
          <w:sz w:val="24"/>
          <w:szCs w:val="24"/>
          <w:u w:val="single"/>
        </w:rPr>
      </w:pPr>
      <w:r>
        <w:rPr>
          <w:rFonts w:ascii="宋体" w:hAnsi="宋体"/>
          <w:sz w:val="24"/>
          <w:szCs w:val="24"/>
        </w:rPr>
        <w:t>联系人：</w:t>
      </w:r>
      <w:r>
        <w:rPr>
          <w:rFonts w:hint="eastAsia" w:ascii="宋体" w:hAnsi="宋体"/>
          <w:sz w:val="24"/>
          <w:szCs w:val="24"/>
          <w:u w:val="single"/>
        </w:rPr>
        <w:t>林工</w:t>
      </w:r>
    </w:p>
    <w:p>
      <w:pPr>
        <w:topLinePunct/>
        <w:spacing w:line="360" w:lineRule="auto"/>
        <w:ind w:left="7484" w:leftChars="228" w:hanging="7005" w:hangingChars="2919"/>
        <w:jc w:val="left"/>
        <w:rPr>
          <w:rFonts w:ascii="宋体" w:hAnsi="宋体"/>
          <w:sz w:val="24"/>
          <w:szCs w:val="24"/>
          <w:u w:val="single"/>
        </w:rPr>
      </w:pPr>
      <w:r>
        <w:rPr>
          <w:rFonts w:ascii="宋体" w:hAnsi="宋体"/>
          <w:sz w:val="24"/>
          <w:szCs w:val="24"/>
        </w:rPr>
        <w:t>电话：</w:t>
      </w:r>
      <w:r>
        <w:rPr>
          <w:rFonts w:ascii="宋体" w:hAnsi="宋体"/>
          <w:sz w:val="24"/>
          <w:szCs w:val="24"/>
          <w:u w:val="single"/>
        </w:rPr>
        <w:t>020-31529550</w:t>
      </w:r>
    </w:p>
    <w:p>
      <w:pPr>
        <w:topLinePunct/>
        <w:spacing w:line="360" w:lineRule="auto"/>
        <w:ind w:firstLine="480" w:firstLineChars="200"/>
        <w:jc w:val="left"/>
        <w:rPr>
          <w:rFonts w:ascii="宋体" w:hAnsi="宋体"/>
          <w:sz w:val="24"/>
          <w:szCs w:val="24"/>
          <w:u w:val="single"/>
        </w:rPr>
      </w:pPr>
      <w:r>
        <w:rPr>
          <w:rFonts w:ascii="宋体" w:hAnsi="宋体"/>
          <w:sz w:val="24"/>
          <w:szCs w:val="24"/>
        </w:rPr>
        <w:t>邮编：</w:t>
      </w:r>
      <w:r>
        <w:rPr>
          <w:rFonts w:hint="eastAsia" w:ascii="宋体" w:hAnsi="宋体"/>
          <w:sz w:val="24"/>
          <w:szCs w:val="24"/>
          <w:u w:val="single"/>
        </w:rPr>
        <w:t>51</w:t>
      </w:r>
      <w:r>
        <w:rPr>
          <w:rFonts w:ascii="宋体" w:hAnsi="宋体"/>
          <w:sz w:val="24"/>
          <w:szCs w:val="24"/>
          <w:u w:val="single"/>
        </w:rPr>
        <w:t>0440</w:t>
      </w:r>
    </w:p>
    <w:p>
      <w:pPr>
        <w:topLinePunct/>
        <w:spacing w:line="360" w:lineRule="auto"/>
        <w:ind w:left="7050" w:leftChars="1587" w:hanging="3717" w:hangingChars="1549"/>
        <w:jc w:val="left"/>
        <w:rPr>
          <w:rFonts w:ascii="宋体" w:hAnsi="宋体"/>
          <w:sz w:val="24"/>
          <w:szCs w:val="24"/>
          <w:u w:val="single"/>
        </w:rPr>
      </w:pPr>
    </w:p>
    <w:p>
      <w:pPr>
        <w:spacing w:line="360" w:lineRule="auto"/>
        <w:ind w:right="360" w:firstLine="480" w:firstLineChars="200"/>
        <w:jc w:val="left"/>
        <w:rPr>
          <w:rFonts w:ascii="宋体" w:hAnsi="宋体"/>
          <w:sz w:val="24"/>
          <w:szCs w:val="24"/>
          <w:u w:val="single"/>
        </w:rPr>
      </w:pPr>
      <w:r>
        <w:rPr>
          <w:rFonts w:ascii="宋体" w:hAnsi="宋体"/>
          <w:sz w:val="24"/>
          <w:szCs w:val="24"/>
        </w:rPr>
        <w:t>招标监督机构：</w:t>
      </w:r>
      <w:r>
        <w:rPr>
          <w:rFonts w:hint="eastAsia" w:ascii="宋体" w:hAnsi="宋体"/>
          <w:sz w:val="24"/>
          <w:u w:val="single"/>
        </w:rPr>
        <w:t>广州市白云区建设工程研究和招投标管理中心</w:t>
      </w:r>
    </w:p>
    <w:p>
      <w:pPr>
        <w:tabs>
          <w:tab w:val="left" w:pos="1080"/>
        </w:tabs>
        <w:autoSpaceDE w:val="0"/>
        <w:autoSpaceDN w:val="0"/>
        <w:adjustRightInd w:val="0"/>
        <w:spacing w:line="500" w:lineRule="exact"/>
        <w:ind w:firstLine="480" w:firstLineChars="200"/>
        <w:rPr>
          <w:rFonts w:ascii="宋体" w:hAnsi="宋体"/>
          <w:sz w:val="24"/>
          <w:u w:val="single"/>
        </w:rPr>
      </w:pPr>
      <w:r>
        <w:rPr>
          <w:rFonts w:hint="eastAsia" w:ascii="宋体" w:hAnsi="宋体"/>
          <w:sz w:val="24"/>
          <w:szCs w:val="24"/>
        </w:rPr>
        <w:t>监督</w:t>
      </w:r>
      <w:r>
        <w:rPr>
          <w:rFonts w:ascii="宋体" w:hAnsi="宋体"/>
          <w:sz w:val="24"/>
          <w:szCs w:val="24"/>
        </w:rPr>
        <w:t>电话：</w:t>
      </w:r>
      <w:r>
        <w:rPr>
          <w:rFonts w:hint="eastAsia" w:ascii="宋体" w:hAnsi="宋体"/>
          <w:sz w:val="24"/>
          <w:u w:val="single"/>
        </w:rPr>
        <w:t>020-86212546</w:t>
      </w:r>
    </w:p>
    <w:p>
      <w:pPr>
        <w:tabs>
          <w:tab w:val="left" w:pos="1080"/>
        </w:tabs>
        <w:autoSpaceDE w:val="0"/>
        <w:autoSpaceDN w:val="0"/>
        <w:adjustRightInd w:val="0"/>
        <w:spacing w:line="500" w:lineRule="exact"/>
        <w:ind w:firstLine="480" w:firstLineChars="200"/>
        <w:rPr>
          <w:rFonts w:ascii="宋体" w:hAnsi="宋体"/>
          <w:sz w:val="24"/>
          <w:u w:val="single"/>
        </w:rPr>
      </w:pPr>
      <w:r>
        <w:rPr>
          <w:rFonts w:hint="eastAsia" w:ascii="宋体" w:hAnsi="宋体" w:cs="宋体"/>
          <w:sz w:val="24"/>
          <w:szCs w:val="24"/>
          <w:lang w:val="zh-CN"/>
        </w:rPr>
        <w:t>地址：</w:t>
      </w:r>
      <w:r>
        <w:rPr>
          <w:rFonts w:ascii="宋体" w:hAnsi="宋体"/>
          <w:sz w:val="24"/>
          <w:u w:val="single"/>
        </w:rPr>
        <w:t>广州市白云区</w:t>
      </w:r>
      <w:r>
        <w:rPr>
          <w:rFonts w:hint="eastAsia" w:ascii="宋体" w:hAnsi="宋体"/>
          <w:sz w:val="24"/>
          <w:u w:val="single"/>
        </w:rPr>
        <w:t>大金钟路23号二楼</w:t>
      </w:r>
    </w:p>
    <w:p>
      <w:pPr>
        <w:tabs>
          <w:tab w:val="left" w:pos="1080"/>
        </w:tabs>
        <w:autoSpaceDE w:val="0"/>
        <w:autoSpaceDN w:val="0"/>
        <w:adjustRightInd w:val="0"/>
        <w:spacing w:line="500" w:lineRule="exact"/>
        <w:ind w:firstLine="480" w:firstLineChars="200"/>
        <w:rPr>
          <w:rFonts w:ascii="宋体" w:hAnsi="宋体"/>
          <w:sz w:val="24"/>
          <w:szCs w:val="24"/>
        </w:rPr>
      </w:pPr>
      <w:r>
        <w:rPr>
          <w:rFonts w:hint="eastAsia" w:ascii="宋体" w:hAnsi="宋体"/>
          <w:sz w:val="24"/>
        </w:rPr>
        <w:t>邮编：</w:t>
      </w:r>
      <w:r>
        <w:rPr>
          <w:rFonts w:hint="eastAsia" w:ascii="宋体" w:hAnsi="宋体"/>
          <w:sz w:val="24"/>
          <w:u w:val="single"/>
        </w:rPr>
        <w:t>510405</w:t>
      </w:r>
    </w:p>
    <w:p>
      <w:pPr>
        <w:pageBreakBefore/>
        <w:widowControl/>
        <w:adjustRightInd w:val="0"/>
        <w:snapToGrid w:val="0"/>
        <w:spacing w:line="360" w:lineRule="auto"/>
        <w:rPr>
          <w:rFonts w:ascii="宋体" w:hAnsi="宋体" w:cs="宋体"/>
          <w:kern w:val="0"/>
          <w:sz w:val="24"/>
        </w:rPr>
      </w:pPr>
      <w:r>
        <w:rPr>
          <w:rFonts w:hint="eastAsia" w:ascii="宋体" w:hAnsi="宋体" w:cs="宋体"/>
          <w:kern w:val="0"/>
          <w:sz w:val="24"/>
        </w:rPr>
        <w:t>附件一：</w:t>
      </w:r>
    </w:p>
    <w:p>
      <w:pPr>
        <w:spacing w:line="500" w:lineRule="exact"/>
        <w:jc w:val="center"/>
        <w:rPr>
          <w:rFonts w:ascii="宋体" w:hAnsi="宋体"/>
          <w:b/>
          <w:sz w:val="44"/>
          <w:szCs w:val="44"/>
        </w:rPr>
      </w:pPr>
      <w:bookmarkStart w:id="48" w:name="_Toc266093553"/>
      <w:bookmarkStart w:id="49" w:name="_Toc249845977"/>
      <w:bookmarkStart w:id="50" w:name="_Toc249846232"/>
      <w:bookmarkStart w:id="51" w:name="_Toc416357992"/>
      <w:bookmarkStart w:id="52" w:name="_Toc416358163"/>
      <w:bookmarkStart w:id="53" w:name="_Toc266881405"/>
      <w:bookmarkStart w:id="54" w:name="_Toc245024005"/>
      <w:bookmarkStart w:id="55" w:name="_Toc253143224"/>
      <w:r>
        <w:rPr>
          <w:rFonts w:hint="eastAsia" w:ascii="宋体" w:hAnsi="宋体"/>
          <w:b/>
          <w:kern w:val="0"/>
          <w:sz w:val="44"/>
          <w:szCs w:val="44"/>
        </w:rPr>
        <w:t>投标人</w:t>
      </w:r>
      <w:r>
        <w:rPr>
          <w:rFonts w:hint="eastAsia" w:ascii="宋体" w:hAnsi="宋体"/>
          <w:b/>
          <w:sz w:val="44"/>
          <w:szCs w:val="44"/>
        </w:rPr>
        <w:t>声明</w:t>
      </w:r>
      <w:bookmarkEnd w:id="48"/>
      <w:bookmarkEnd w:id="49"/>
      <w:bookmarkEnd w:id="50"/>
      <w:bookmarkEnd w:id="51"/>
      <w:bookmarkEnd w:id="52"/>
      <w:bookmarkEnd w:id="53"/>
      <w:bookmarkEnd w:id="54"/>
      <w:bookmarkEnd w:id="55"/>
    </w:p>
    <w:p>
      <w:pPr>
        <w:pStyle w:val="20"/>
        <w:spacing w:line="440" w:lineRule="exact"/>
        <w:ind w:firstLine="480" w:firstLineChars="200"/>
        <w:rPr>
          <w:rFonts w:ascii="宋体" w:hAnsi="宋体" w:eastAsia="宋体" w:cs="宋体"/>
          <w:color w:val="auto"/>
          <w:sz w:val="24"/>
          <w:szCs w:val="24"/>
        </w:rPr>
      </w:pPr>
    </w:p>
    <w:p>
      <w:pPr>
        <w:snapToGrid w:val="0"/>
        <w:spacing w:line="360" w:lineRule="auto"/>
        <w:rPr>
          <w:rFonts w:ascii="宋体" w:hAnsi="宋体" w:cs="宋体"/>
          <w:kern w:val="0"/>
          <w:sz w:val="24"/>
          <w:szCs w:val="24"/>
        </w:rPr>
      </w:pPr>
      <w:r>
        <w:rPr>
          <w:rFonts w:hint="eastAsia" w:ascii="宋体" w:hAnsi="宋体" w:cs="宋体"/>
          <w:kern w:val="0"/>
          <w:sz w:val="24"/>
          <w:szCs w:val="24"/>
          <w:lang w:bidi="ar"/>
        </w:rPr>
        <w:t>广州市白云区住房建设和交通局、广州市白云区重点交通项目管理中心及广州市白云区建设工程研究和招投标管理中心：</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bidi="ar"/>
        </w:rPr>
        <w:t>本公司就参加</w:t>
      </w:r>
      <w:r>
        <w:rPr>
          <w:rFonts w:hint="eastAsia" w:ascii="宋体" w:hAnsi="宋体" w:cs="宋体"/>
          <w:kern w:val="0"/>
          <w:sz w:val="24"/>
          <w:szCs w:val="24"/>
          <w:u w:val="single"/>
          <w:lang w:bidi="ar"/>
        </w:rPr>
        <w:t>                </w:t>
      </w:r>
      <w:r>
        <w:rPr>
          <w:rFonts w:hint="eastAsia" w:ascii="宋体" w:hAnsi="宋体" w:cs="宋体"/>
          <w:kern w:val="0"/>
          <w:sz w:val="24"/>
          <w:szCs w:val="24"/>
          <w:lang w:bidi="ar"/>
        </w:rPr>
        <w:t>项目投标工作，作出郑重声明：</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bidi="ar"/>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bidi="ar"/>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bidi="ar"/>
        </w:rPr>
        <w:t>三、本公司不存在招标文件第二章投标人须知第1.4.3项所规定的任何一种情形。</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lang w:bidi="ar"/>
        </w:rPr>
        <w:t>四、本公司及其有隶属关系的机构，没有参加本项目招标文件的编写工作；本公司与本次招标的招标代理机构没有隶属关系或其他利害关系。</w:t>
      </w:r>
      <w:r>
        <w:rPr>
          <w:rFonts w:hint="eastAsia" w:ascii="宋体" w:hAnsi="宋体" w:cs="宋体"/>
          <w:b/>
          <w:bCs/>
          <w:color w:val="000000"/>
          <w:kern w:val="0"/>
          <w:sz w:val="24"/>
          <w:szCs w:val="24"/>
          <w:u w:val="single"/>
        </w:rPr>
        <w:t>本公司与本工程的承包单位以及建筑材料、建筑构配件和设备供应单位没有隶属关系或其他利害关系。</w:t>
      </w:r>
    </w:p>
    <w:p>
      <w:pPr>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五、本公司承诺，中标后严格执行安全生产相关管理规定。</w:t>
      </w:r>
    </w:p>
    <w:p>
      <w:pPr>
        <w:snapToGrid w:val="0"/>
        <w:spacing w:line="360" w:lineRule="auto"/>
        <w:ind w:firstLine="482" w:firstLineChars="200"/>
        <w:rPr>
          <w:rFonts w:ascii="宋体" w:hAnsi="宋体" w:cs="宋体"/>
          <w:kern w:val="0"/>
          <w:sz w:val="24"/>
          <w:szCs w:val="24"/>
        </w:rPr>
      </w:pPr>
      <w:r>
        <w:rPr>
          <w:rFonts w:hint="eastAsia" w:ascii="宋体" w:hAnsi="宋体"/>
          <w:b/>
          <w:kern w:val="0"/>
          <w:sz w:val="24"/>
          <w:szCs w:val="24"/>
        </w:rPr>
        <w:t>六、与本公司单位负责人为同一人或者与本公司存在控股、管理关系的其他单位包括：</w:t>
      </w:r>
      <w:r>
        <w:rPr>
          <w:rFonts w:hint="eastAsia" w:ascii="宋体" w:hAnsi="宋体"/>
          <w:b/>
          <w:kern w:val="0"/>
          <w:sz w:val="24"/>
          <w:szCs w:val="24"/>
          <w:u w:val="single"/>
        </w:rPr>
        <w:t xml:space="preserve">                       </w:t>
      </w:r>
      <w:r>
        <w:rPr>
          <w:rFonts w:hint="eastAsia" w:ascii="宋体" w:hAnsi="宋体"/>
          <w:b/>
          <w:kern w:val="0"/>
          <w:sz w:val="24"/>
          <w:szCs w:val="24"/>
        </w:rPr>
        <w:t>。（注：本条由投标人如实填写，如有，应列出全部满足招标公告资质要求的相关单位的名称；如无，则填写“无”。）</w:t>
      </w:r>
    </w:p>
    <w:p>
      <w:pPr>
        <w:snapToGrid w:val="0"/>
        <w:spacing w:line="360" w:lineRule="auto"/>
        <w:ind w:firstLine="482" w:firstLineChars="200"/>
        <w:rPr>
          <w:rFonts w:ascii="宋体" w:hAnsi="宋体" w:cs="宋体"/>
          <w:kern w:val="0"/>
          <w:sz w:val="24"/>
          <w:szCs w:val="24"/>
        </w:rPr>
      </w:pPr>
      <w:r>
        <w:rPr>
          <w:rFonts w:hint="eastAsia" w:ascii="宋体" w:hAnsi="宋体" w:cs="宋体"/>
          <w:b/>
          <w:kern w:val="0"/>
          <w:sz w:val="24"/>
          <w:szCs w:val="24"/>
          <w:lang w:bidi="ar"/>
        </w:rPr>
        <w:t>本公司违反上述承诺，或本声明陈述与事实不符，经查实，本公司愿意接受公开通报，愿意按照《广州市建筑市场信用管理办法》（穗建规字</w:t>
      </w:r>
      <w:r>
        <w:rPr>
          <w:rFonts w:hint="eastAsia" w:ascii="宋体" w:hAnsi="宋体" w:cs="微软雅黑"/>
          <w:b/>
          <w:kern w:val="0"/>
          <w:sz w:val="24"/>
          <w:szCs w:val="24"/>
          <w:lang w:bidi="ar"/>
        </w:rPr>
        <w:t>﹝</w:t>
      </w:r>
      <w:r>
        <w:rPr>
          <w:rFonts w:hint="eastAsia" w:ascii="宋体" w:hAnsi="宋体" w:cs="宋体"/>
          <w:b/>
          <w:kern w:val="0"/>
          <w:sz w:val="24"/>
          <w:szCs w:val="24"/>
          <w:lang w:bidi="ar"/>
        </w:rPr>
        <w:t>20</w:t>
      </w:r>
      <w:r>
        <w:rPr>
          <w:rFonts w:ascii="宋体" w:hAnsi="宋体" w:cs="宋体"/>
          <w:b/>
          <w:kern w:val="0"/>
          <w:sz w:val="24"/>
          <w:szCs w:val="24"/>
          <w:lang w:bidi="ar"/>
        </w:rPr>
        <w:t>19</w:t>
      </w:r>
      <w:r>
        <w:rPr>
          <w:rFonts w:hint="eastAsia" w:ascii="宋体" w:hAnsi="宋体" w:cs="微软雅黑"/>
          <w:b/>
          <w:kern w:val="0"/>
          <w:sz w:val="24"/>
          <w:szCs w:val="24"/>
          <w:lang w:bidi="ar"/>
        </w:rPr>
        <w:t>﹞</w:t>
      </w:r>
      <w:r>
        <w:rPr>
          <w:rFonts w:hint="eastAsia" w:ascii="宋体" w:hAnsi="宋体" w:cs="宋体"/>
          <w:b/>
          <w:kern w:val="0"/>
          <w:sz w:val="24"/>
          <w:szCs w:val="24"/>
          <w:lang w:bidi="ar"/>
        </w:rPr>
        <w:t>16号）的规定被记录为失信信息，</w:t>
      </w:r>
      <w:r>
        <w:rPr>
          <w:rFonts w:hint="eastAsia" w:ascii="宋体" w:hAnsi="宋体" w:cs="宋体"/>
          <w:kern w:val="0"/>
          <w:sz w:val="24"/>
          <w:szCs w:val="24"/>
          <w:lang w:bidi="ar"/>
        </w:rPr>
        <w:t>承担由此带来的一切后果，并自愿停止参加广州市行政辖区内的招标投标活动三个月。</w:t>
      </w:r>
    </w:p>
    <w:p>
      <w:pPr>
        <w:snapToGrid w:val="0"/>
        <w:spacing w:line="360" w:lineRule="auto"/>
        <w:ind w:firstLine="480" w:firstLineChars="200"/>
        <w:rPr>
          <w:rFonts w:ascii="宋体" w:hAnsi="宋体" w:cs="宋体"/>
          <w:kern w:val="0"/>
          <w:sz w:val="24"/>
          <w:szCs w:val="24"/>
          <w:lang w:bidi="ar"/>
        </w:rPr>
      </w:pPr>
      <w:r>
        <w:rPr>
          <w:rFonts w:hint="eastAsia" w:ascii="宋体" w:hAnsi="宋体" w:cs="宋体"/>
          <w:kern w:val="0"/>
          <w:sz w:val="24"/>
          <w:szCs w:val="24"/>
          <w:lang w:bidi="ar"/>
        </w:rPr>
        <w:t>特此声明。</w:t>
      </w: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lang w:bidi="ar"/>
        </w:rPr>
        <w:t>声明企业：            (企业公章)</w:t>
      </w:r>
    </w:p>
    <w:p>
      <w:pPr>
        <w:snapToGrid w:val="0"/>
        <w:spacing w:line="360" w:lineRule="auto"/>
        <w:ind w:right="-340" w:rightChars="-162" w:firstLine="4320" w:firstLineChars="1800"/>
        <w:rPr>
          <w:rFonts w:ascii="宋体" w:hAnsi="宋体" w:cs="宋体"/>
          <w:kern w:val="0"/>
          <w:sz w:val="24"/>
          <w:szCs w:val="24"/>
        </w:rPr>
      </w:pPr>
      <w:r>
        <w:rPr>
          <w:rFonts w:hint="eastAsia" w:ascii="宋体" w:hAnsi="宋体" w:cs="宋体"/>
          <w:kern w:val="0"/>
          <w:sz w:val="24"/>
          <w:szCs w:val="24"/>
          <w:lang w:bidi="ar"/>
        </w:rPr>
        <w:t xml:space="preserve">总监理工程师（签字或盖章）：         </w:t>
      </w:r>
    </w:p>
    <w:p>
      <w:pPr>
        <w:snapToGrid w:val="0"/>
        <w:spacing w:line="360" w:lineRule="auto"/>
        <w:ind w:firstLine="4372" w:firstLineChars="1822"/>
        <w:rPr>
          <w:rFonts w:ascii="宋体" w:hAnsi="宋体" w:cs="宋体"/>
          <w:kern w:val="0"/>
          <w:sz w:val="24"/>
          <w:szCs w:val="24"/>
        </w:rPr>
      </w:pPr>
      <w:r>
        <w:rPr>
          <w:rFonts w:hint="eastAsia" w:ascii="宋体" w:hAnsi="宋体" w:cs="宋体"/>
          <w:kern w:val="0"/>
          <w:sz w:val="24"/>
          <w:szCs w:val="24"/>
          <w:lang w:bidi="ar"/>
        </w:rPr>
        <w:t>法定代表人（签字或盖章）：</w:t>
      </w:r>
    </w:p>
    <w:p>
      <w:pPr>
        <w:spacing w:line="360" w:lineRule="auto"/>
        <w:ind w:firstLine="6240" w:firstLineChars="2600"/>
        <w:rPr>
          <w:rFonts w:ascii="宋体" w:hAnsi="宋体"/>
        </w:rPr>
      </w:pPr>
      <w:r>
        <w:rPr>
          <w:rFonts w:hint="eastAsia" w:ascii="宋体" w:hAnsi="宋体" w:cs="宋体"/>
          <w:kern w:val="0"/>
          <w:sz w:val="24"/>
          <w:szCs w:val="24"/>
          <w:lang w:bidi="ar"/>
        </w:rPr>
        <w:t>年   月   日</w:t>
      </w: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ZjdjOGYxMzAyYTBjYTkzNTE3MWE4Njc1NDgwNDAifQ=="/>
  </w:docVars>
  <w:rsids>
    <w:rsidRoot w:val="00172A27"/>
    <w:rsid w:val="00002471"/>
    <w:rsid w:val="00005498"/>
    <w:rsid w:val="0000775A"/>
    <w:rsid w:val="0001787E"/>
    <w:rsid w:val="00023AC9"/>
    <w:rsid w:val="0003392E"/>
    <w:rsid w:val="00066EF5"/>
    <w:rsid w:val="000677B2"/>
    <w:rsid w:val="000735AC"/>
    <w:rsid w:val="00087AD2"/>
    <w:rsid w:val="00093710"/>
    <w:rsid w:val="000A0E57"/>
    <w:rsid w:val="000C00D8"/>
    <w:rsid w:val="000C1710"/>
    <w:rsid w:val="000C5A1C"/>
    <w:rsid w:val="000C623A"/>
    <w:rsid w:val="000D1365"/>
    <w:rsid w:val="00106598"/>
    <w:rsid w:val="001106B1"/>
    <w:rsid w:val="00123491"/>
    <w:rsid w:val="00140858"/>
    <w:rsid w:val="0014086D"/>
    <w:rsid w:val="00152AF9"/>
    <w:rsid w:val="00152CB4"/>
    <w:rsid w:val="00155A02"/>
    <w:rsid w:val="00170B60"/>
    <w:rsid w:val="00172A27"/>
    <w:rsid w:val="00183266"/>
    <w:rsid w:val="00183A8C"/>
    <w:rsid w:val="001A10B6"/>
    <w:rsid w:val="001B1DF2"/>
    <w:rsid w:val="001F1E0E"/>
    <w:rsid w:val="001F56EB"/>
    <w:rsid w:val="001F7691"/>
    <w:rsid w:val="002028B4"/>
    <w:rsid w:val="00203685"/>
    <w:rsid w:val="00203EEB"/>
    <w:rsid w:val="002051F6"/>
    <w:rsid w:val="00240C7A"/>
    <w:rsid w:val="00247EBA"/>
    <w:rsid w:val="002602D3"/>
    <w:rsid w:val="00265D59"/>
    <w:rsid w:val="002724DB"/>
    <w:rsid w:val="0028184E"/>
    <w:rsid w:val="0028295E"/>
    <w:rsid w:val="002A2612"/>
    <w:rsid w:val="002B177D"/>
    <w:rsid w:val="002C08B4"/>
    <w:rsid w:val="002E05AD"/>
    <w:rsid w:val="002E41BF"/>
    <w:rsid w:val="002E4D7F"/>
    <w:rsid w:val="002F15AE"/>
    <w:rsid w:val="002F458E"/>
    <w:rsid w:val="002F4DE9"/>
    <w:rsid w:val="00327555"/>
    <w:rsid w:val="00341C5B"/>
    <w:rsid w:val="00354968"/>
    <w:rsid w:val="00355A5A"/>
    <w:rsid w:val="003973C9"/>
    <w:rsid w:val="003A6520"/>
    <w:rsid w:val="003C5B4C"/>
    <w:rsid w:val="003D0444"/>
    <w:rsid w:val="003E37E7"/>
    <w:rsid w:val="003F4B8A"/>
    <w:rsid w:val="0040242F"/>
    <w:rsid w:val="00402A89"/>
    <w:rsid w:val="00411832"/>
    <w:rsid w:val="004140AA"/>
    <w:rsid w:val="00425073"/>
    <w:rsid w:val="004257A0"/>
    <w:rsid w:val="004266BC"/>
    <w:rsid w:val="00441FB0"/>
    <w:rsid w:val="00445E41"/>
    <w:rsid w:val="0045077F"/>
    <w:rsid w:val="00453E3B"/>
    <w:rsid w:val="0047032D"/>
    <w:rsid w:val="00470880"/>
    <w:rsid w:val="00476085"/>
    <w:rsid w:val="00481014"/>
    <w:rsid w:val="00491EC9"/>
    <w:rsid w:val="0049228C"/>
    <w:rsid w:val="004C3CD6"/>
    <w:rsid w:val="004C7E89"/>
    <w:rsid w:val="004D4280"/>
    <w:rsid w:val="004E5CDD"/>
    <w:rsid w:val="004F58C6"/>
    <w:rsid w:val="00506F47"/>
    <w:rsid w:val="00521341"/>
    <w:rsid w:val="005452F2"/>
    <w:rsid w:val="005464BE"/>
    <w:rsid w:val="005502DD"/>
    <w:rsid w:val="005561E7"/>
    <w:rsid w:val="0057363F"/>
    <w:rsid w:val="00573780"/>
    <w:rsid w:val="00576DB7"/>
    <w:rsid w:val="00586B02"/>
    <w:rsid w:val="00592734"/>
    <w:rsid w:val="0059420F"/>
    <w:rsid w:val="005A729D"/>
    <w:rsid w:val="005D5CBF"/>
    <w:rsid w:val="005E1A21"/>
    <w:rsid w:val="006018A8"/>
    <w:rsid w:val="0060713F"/>
    <w:rsid w:val="00616F8B"/>
    <w:rsid w:val="00620476"/>
    <w:rsid w:val="0062725D"/>
    <w:rsid w:val="00631AAE"/>
    <w:rsid w:val="00631C4B"/>
    <w:rsid w:val="006506A1"/>
    <w:rsid w:val="00651FE2"/>
    <w:rsid w:val="00666D62"/>
    <w:rsid w:val="00674EB9"/>
    <w:rsid w:val="00683BAA"/>
    <w:rsid w:val="006A0AB1"/>
    <w:rsid w:val="006C5220"/>
    <w:rsid w:val="006D2EE8"/>
    <w:rsid w:val="006F34C8"/>
    <w:rsid w:val="006F46CF"/>
    <w:rsid w:val="006F6FE8"/>
    <w:rsid w:val="0070076E"/>
    <w:rsid w:val="007053D0"/>
    <w:rsid w:val="007103FA"/>
    <w:rsid w:val="007150D3"/>
    <w:rsid w:val="00720CC5"/>
    <w:rsid w:val="0073411E"/>
    <w:rsid w:val="00747A18"/>
    <w:rsid w:val="00763883"/>
    <w:rsid w:val="0076691E"/>
    <w:rsid w:val="00767F23"/>
    <w:rsid w:val="00770CF2"/>
    <w:rsid w:val="00772B79"/>
    <w:rsid w:val="007808BA"/>
    <w:rsid w:val="00784DBB"/>
    <w:rsid w:val="00786884"/>
    <w:rsid w:val="00794E3C"/>
    <w:rsid w:val="007A6F65"/>
    <w:rsid w:val="007B4EEC"/>
    <w:rsid w:val="007B6068"/>
    <w:rsid w:val="007D0BD1"/>
    <w:rsid w:val="007F402F"/>
    <w:rsid w:val="007F4F99"/>
    <w:rsid w:val="00800A82"/>
    <w:rsid w:val="00803F42"/>
    <w:rsid w:val="008132E2"/>
    <w:rsid w:val="00832D6D"/>
    <w:rsid w:val="00835647"/>
    <w:rsid w:val="00843A6C"/>
    <w:rsid w:val="00863189"/>
    <w:rsid w:val="00864BA5"/>
    <w:rsid w:val="00874551"/>
    <w:rsid w:val="0087620C"/>
    <w:rsid w:val="008A05F1"/>
    <w:rsid w:val="008A7B3A"/>
    <w:rsid w:val="008B21D2"/>
    <w:rsid w:val="008B66DB"/>
    <w:rsid w:val="008B704F"/>
    <w:rsid w:val="008D060B"/>
    <w:rsid w:val="008D1010"/>
    <w:rsid w:val="008D1D74"/>
    <w:rsid w:val="008D239A"/>
    <w:rsid w:val="008F0E7C"/>
    <w:rsid w:val="008F222F"/>
    <w:rsid w:val="009370D4"/>
    <w:rsid w:val="009407AE"/>
    <w:rsid w:val="009503BA"/>
    <w:rsid w:val="00952CAE"/>
    <w:rsid w:val="009568E2"/>
    <w:rsid w:val="009610BA"/>
    <w:rsid w:val="009B1413"/>
    <w:rsid w:val="009B1DD5"/>
    <w:rsid w:val="009C1F19"/>
    <w:rsid w:val="009C5725"/>
    <w:rsid w:val="009C7381"/>
    <w:rsid w:val="009E1F96"/>
    <w:rsid w:val="00A079ED"/>
    <w:rsid w:val="00A100D2"/>
    <w:rsid w:val="00A41FC9"/>
    <w:rsid w:val="00A44660"/>
    <w:rsid w:val="00A570AF"/>
    <w:rsid w:val="00A57144"/>
    <w:rsid w:val="00A64C81"/>
    <w:rsid w:val="00A65158"/>
    <w:rsid w:val="00A65422"/>
    <w:rsid w:val="00A754C3"/>
    <w:rsid w:val="00A7797D"/>
    <w:rsid w:val="00A80890"/>
    <w:rsid w:val="00A90F3F"/>
    <w:rsid w:val="00A93EBB"/>
    <w:rsid w:val="00AB2DA2"/>
    <w:rsid w:val="00AB4562"/>
    <w:rsid w:val="00AB4C6C"/>
    <w:rsid w:val="00AC4007"/>
    <w:rsid w:val="00AE0223"/>
    <w:rsid w:val="00AE3402"/>
    <w:rsid w:val="00AE5900"/>
    <w:rsid w:val="00AE62F2"/>
    <w:rsid w:val="00AF073B"/>
    <w:rsid w:val="00AF7089"/>
    <w:rsid w:val="00B16855"/>
    <w:rsid w:val="00B25D70"/>
    <w:rsid w:val="00B26A23"/>
    <w:rsid w:val="00B37014"/>
    <w:rsid w:val="00B6123D"/>
    <w:rsid w:val="00B75404"/>
    <w:rsid w:val="00B908CB"/>
    <w:rsid w:val="00BA1381"/>
    <w:rsid w:val="00BA2B02"/>
    <w:rsid w:val="00BA7439"/>
    <w:rsid w:val="00BC17B8"/>
    <w:rsid w:val="00BD46AB"/>
    <w:rsid w:val="00BD74D3"/>
    <w:rsid w:val="00C03263"/>
    <w:rsid w:val="00C0522F"/>
    <w:rsid w:val="00C13895"/>
    <w:rsid w:val="00C232F9"/>
    <w:rsid w:val="00C3390B"/>
    <w:rsid w:val="00C47CCD"/>
    <w:rsid w:val="00C50094"/>
    <w:rsid w:val="00C50E31"/>
    <w:rsid w:val="00C542E1"/>
    <w:rsid w:val="00C71626"/>
    <w:rsid w:val="00C759CF"/>
    <w:rsid w:val="00C81A64"/>
    <w:rsid w:val="00C87E24"/>
    <w:rsid w:val="00C97D73"/>
    <w:rsid w:val="00CA79EC"/>
    <w:rsid w:val="00CC089B"/>
    <w:rsid w:val="00CC4961"/>
    <w:rsid w:val="00CD06F0"/>
    <w:rsid w:val="00CE2D1B"/>
    <w:rsid w:val="00CE4F47"/>
    <w:rsid w:val="00CF1128"/>
    <w:rsid w:val="00CF64D7"/>
    <w:rsid w:val="00D027C0"/>
    <w:rsid w:val="00D27A7C"/>
    <w:rsid w:val="00D31707"/>
    <w:rsid w:val="00D44157"/>
    <w:rsid w:val="00D45FC6"/>
    <w:rsid w:val="00D510A7"/>
    <w:rsid w:val="00D51CC3"/>
    <w:rsid w:val="00D60582"/>
    <w:rsid w:val="00D736BF"/>
    <w:rsid w:val="00D73DA0"/>
    <w:rsid w:val="00D97F59"/>
    <w:rsid w:val="00DA3381"/>
    <w:rsid w:val="00DE2848"/>
    <w:rsid w:val="00DE28AC"/>
    <w:rsid w:val="00DE4D5E"/>
    <w:rsid w:val="00E03B8F"/>
    <w:rsid w:val="00E142D4"/>
    <w:rsid w:val="00E16D4C"/>
    <w:rsid w:val="00E247CC"/>
    <w:rsid w:val="00E34502"/>
    <w:rsid w:val="00E40C04"/>
    <w:rsid w:val="00E40E82"/>
    <w:rsid w:val="00E44433"/>
    <w:rsid w:val="00E54F5E"/>
    <w:rsid w:val="00E6607D"/>
    <w:rsid w:val="00E75BC6"/>
    <w:rsid w:val="00E868CE"/>
    <w:rsid w:val="00EB3341"/>
    <w:rsid w:val="00EC1365"/>
    <w:rsid w:val="00EC1C94"/>
    <w:rsid w:val="00EC6FFA"/>
    <w:rsid w:val="00ED10EA"/>
    <w:rsid w:val="00ED1B46"/>
    <w:rsid w:val="00ED225A"/>
    <w:rsid w:val="00EE3A76"/>
    <w:rsid w:val="00EE7DC7"/>
    <w:rsid w:val="00EF16AF"/>
    <w:rsid w:val="00F01A00"/>
    <w:rsid w:val="00F038F5"/>
    <w:rsid w:val="00F43730"/>
    <w:rsid w:val="00F725AD"/>
    <w:rsid w:val="00F74298"/>
    <w:rsid w:val="00F76A3B"/>
    <w:rsid w:val="00F85732"/>
    <w:rsid w:val="00FD24B7"/>
    <w:rsid w:val="00FD3A98"/>
    <w:rsid w:val="00FD65B3"/>
    <w:rsid w:val="00FE2315"/>
    <w:rsid w:val="00FE68C7"/>
    <w:rsid w:val="00FF2F6A"/>
    <w:rsid w:val="01626374"/>
    <w:rsid w:val="037800D1"/>
    <w:rsid w:val="07803E46"/>
    <w:rsid w:val="08921435"/>
    <w:rsid w:val="0EEC0F05"/>
    <w:rsid w:val="13073AA1"/>
    <w:rsid w:val="13280BC7"/>
    <w:rsid w:val="14CA4539"/>
    <w:rsid w:val="17243C61"/>
    <w:rsid w:val="189C4005"/>
    <w:rsid w:val="1C140A41"/>
    <w:rsid w:val="1D641951"/>
    <w:rsid w:val="23067962"/>
    <w:rsid w:val="28715507"/>
    <w:rsid w:val="37D06C87"/>
    <w:rsid w:val="387D0104"/>
    <w:rsid w:val="394E3D62"/>
    <w:rsid w:val="486B2395"/>
    <w:rsid w:val="4C343C43"/>
    <w:rsid w:val="4DF73F1B"/>
    <w:rsid w:val="55025076"/>
    <w:rsid w:val="5576561E"/>
    <w:rsid w:val="57D010D0"/>
    <w:rsid w:val="5A1555EB"/>
    <w:rsid w:val="62606335"/>
    <w:rsid w:val="641114C1"/>
    <w:rsid w:val="648E56FE"/>
    <w:rsid w:val="64F555B5"/>
    <w:rsid w:val="66150964"/>
    <w:rsid w:val="66441A16"/>
    <w:rsid w:val="692871C4"/>
    <w:rsid w:val="703F5375"/>
    <w:rsid w:val="733F42BF"/>
    <w:rsid w:val="79B212FD"/>
    <w:rsid w:val="7E5D11F4"/>
    <w:rsid w:val="7ED6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3"/>
    <w:qFormat/>
    <w:uiPriority w:val="0"/>
    <w:pPr>
      <w:keepNext/>
      <w:keepLines/>
      <w:spacing w:before="260" w:after="260" w:line="412" w:lineRule="auto"/>
      <w:outlineLvl w:val="1"/>
    </w:pPr>
    <w:rPr>
      <w:rFonts w:ascii="Arial" w:hAnsi="Arial" w:eastAsia="黑体"/>
      <w:b/>
      <w:kern w:val="0"/>
      <w:sz w:val="32"/>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kern w:val="0"/>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qFormat/>
    <w:uiPriority w:val="0"/>
    <w:rPr>
      <w:b/>
      <w:bCs/>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标题 2 Char"/>
    <w:link w:val="2"/>
    <w:qFormat/>
    <w:uiPriority w:val="0"/>
    <w:rPr>
      <w:rFonts w:ascii="Arial" w:hAnsi="Arial" w:eastAsia="黑体" w:cs="Times New Roman"/>
      <w:b/>
      <w:sz w:val="32"/>
      <w:szCs w:val="20"/>
    </w:rPr>
  </w:style>
  <w:style w:type="character" w:customStyle="1" w:styleId="14">
    <w:name w:val="批注文字 Char"/>
    <w:link w:val="3"/>
    <w:qFormat/>
    <w:uiPriority w:val="0"/>
    <w:rPr>
      <w:kern w:val="2"/>
      <w:sz w:val="21"/>
      <w:szCs w:val="22"/>
    </w:rPr>
  </w:style>
  <w:style w:type="character" w:customStyle="1" w:styleId="15">
    <w:name w:val="批注框文本 Char"/>
    <w:link w:val="4"/>
    <w:qFormat/>
    <w:uiPriority w:val="0"/>
    <w:rPr>
      <w:kern w:val="2"/>
      <w:sz w:val="18"/>
      <w:szCs w:val="18"/>
    </w:rPr>
  </w:style>
  <w:style w:type="character" w:customStyle="1" w:styleId="16">
    <w:name w:val="页脚 Char"/>
    <w:link w:val="5"/>
    <w:qFormat/>
    <w:uiPriority w:val="0"/>
    <w:rPr>
      <w:sz w:val="18"/>
      <w:szCs w:val="18"/>
    </w:rPr>
  </w:style>
  <w:style w:type="character" w:customStyle="1" w:styleId="17">
    <w:name w:val="页眉 Char"/>
    <w:link w:val="6"/>
    <w:qFormat/>
    <w:uiPriority w:val="0"/>
    <w:rPr>
      <w:sz w:val="18"/>
      <w:szCs w:val="18"/>
    </w:rPr>
  </w:style>
  <w:style w:type="character" w:customStyle="1" w:styleId="18">
    <w:name w:val="批注主题 Char"/>
    <w:link w:val="8"/>
    <w:qFormat/>
    <w:uiPriority w:val="0"/>
    <w:rPr>
      <w:b/>
      <w:bCs/>
      <w:kern w:val="2"/>
      <w:sz w:val="21"/>
      <w:szCs w:val="22"/>
    </w:rPr>
  </w:style>
  <w:style w:type="paragraph" w:customStyle="1" w:styleId="19">
    <w:name w:val="Revision"/>
    <w:qFormat/>
    <w:uiPriority w:val="0"/>
    <w:rPr>
      <w:rFonts w:ascii="Times New Roman" w:hAnsi="Times New Roman" w:eastAsia="宋体" w:cs="Times New Roman"/>
      <w:kern w:val="2"/>
      <w:sz w:val="21"/>
      <w:szCs w:val="22"/>
      <w:lang w:val="en-US" w:eastAsia="zh-CN" w:bidi="ar-SA"/>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发文落款"/>
    <w:basedOn w:val="20"/>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3974</Words>
  <Characters>4410</Characters>
  <Lines>32</Lines>
  <Paragraphs>9</Paragraphs>
  <TotalTime>147</TotalTime>
  <ScaleCrop>false</ScaleCrop>
  <LinksUpToDate>false</LinksUpToDate>
  <CharactersWithSpaces>4565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2022-10-24T02:36:00Z</dcterms:created>
  <dc:creator>林命创</dc:creator>
  <cp:lastModifiedBy>huaweilet</cp:lastModifiedBy>
  <dcterms:modified xsi:type="dcterms:W3CDTF">2023-03-14T08:01:23Z</dcterms:modified>
  <dc:title>白云生物医药健康产业基地创新大道（一标段）施工监理招标公告</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47396B7CC6194863B2A60DD452B4F773</vt:lpwstr>
  </property>
</Properties>
</file>