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6A7BD">
      <w:pPr>
        <w:pStyle w:val="10"/>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2</w:t>
      </w:r>
    </w:p>
    <w:p w14:paraId="45D8DF3C">
      <w:pPr>
        <w:pStyle w:val="10"/>
        <w:rPr>
          <w:rFonts w:hint="eastAsia" w:ascii="宋体" w:hAnsi="宋体" w:eastAsia="宋体" w:cs="宋体"/>
          <w:color w:val="auto"/>
          <w:highlight w:val="none"/>
        </w:rPr>
      </w:pPr>
    </w:p>
    <w:p w14:paraId="5C9ADCF1">
      <w:pPr>
        <w:widowControl/>
        <w:tabs>
          <w:tab w:val="left" w:pos="8610"/>
        </w:tabs>
        <w:kinsoku w:val="0"/>
        <w:autoSpaceDE w:val="0"/>
        <w:autoSpaceDN w:val="0"/>
        <w:adjustRightInd w:val="0"/>
        <w:snapToGrid w:val="0"/>
        <w:spacing w:before="120" w:beforeLines="50" w:after="120" w:afterLines="50" w:line="360" w:lineRule="auto"/>
        <w:jc w:val="center"/>
        <w:textAlignment w:val="baseline"/>
        <w:outlineLvl w:val="0"/>
        <w:rPr>
          <w:rFonts w:hint="eastAsia" w:ascii="宋体" w:hAnsi="宋体" w:eastAsia="宋体" w:cs="宋体"/>
          <w:b/>
          <w:bCs/>
          <w:snapToGrid w:val="0"/>
          <w:color w:val="000000"/>
          <w:spacing w:val="5"/>
          <w:kern w:val="0"/>
          <w:sz w:val="36"/>
          <w:szCs w:val="36"/>
          <w:highlight w:val="none"/>
        </w:rPr>
      </w:pPr>
      <w:bookmarkStart w:id="34" w:name="_GoBack"/>
      <w:bookmarkEnd w:id="34"/>
      <w:bookmarkStart w:id="0" w:name="_Toc509407133"/>
      <w:bookmarkStart w:id="1" w:name="_Toc503235805"/>
      <w:r>
        <w:rPr>
          <w:rFonts w:hint="eastAsia" w:ascii="宋体" w:hAnsi="宋体" w:eastAsia="宋体" w:cs="宋体"/>
          <w:b/>
          <w:bCs/>
          <w:snapToGrid w:val="0"/>
          <w:color w:val="000000"/>
          <w:spacing w:val="5"/>
          <w:kern w:val="0"/>
          <w:sz w:val="36"/>
          <w:szCs w:val="36"/>
          <w:highlight w:val="none"/>
        </w:rPr>
        <w:t>第三章  评标办法（双信封的综合评分法）</w:t>
      </w:r>
      <w:bookmarkEnd w:id="0"/>
      <w:bookmarkEnd w:id="1"/>
    </w:p>
    <w:p w14:paraId="43A160E2">
      <w:pPr>
        <w:pStyle w:val="3"/>
        <w:spacing w:after="0"/>
        <w:jc w:val="left"/>
        <w:rPr>
          <w:rFonts w:eastAsia="宋体"/>
          <w:i w:val="0"/>
          <w:iCs w:val="0"/>
          <w:color w:val="000000"/>
          <w:szCs w:val="24"/>
          <w:highlight w:val="none"/>
        </w:rPr>
      </w:pPr>
      <w:bookmarkStart w:id="2" w:name="_Toc509407134"/>
      <w:bookmarkStart w:id="3" w:name="_Toc503235806"/>
      <w:r>
        <w:rPr>
          <w:rStyle w:val="13"/>
          <w:bCs/>
          <w:i w:val="0"/>
          <w:iCs w:val="0"/>
          <w:color w:val="000000"/>
          <w:sz w:val="24"/>
          <w:szCs w:val="24"/>
          <w:highlight w:val="none"/>
        </w:rPr>
        <w:t>评标办法前附表</w:t>
      </w:r>
      <w:bookmarkEnd w:id="2"/>
      <w:bookmarkEnd w:id="3"/>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74873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2269" w:type="dxa"/>
            <w:gridSpan w:val="2"/>
            <w:tcBorders>
              <w:top w:val="single" w:color="auto" w:sz="4" w:space="0"/>
              <w:bottom w:val="single" w:color="auto" w:sz="4" w:space="0"/>
              <w:right w:val="single" w:color="auto" w:sz="4" w:space="0"/>
            </w:tcBorders>
            <w:noWrap w:val="0"/>
            <w:vAlign w:val="center"/>
          </w:tcPr>
          <w:p w14:paraId="088EC4B0">
            <w:pPr>
              <w:adjustRightInd w:val="0"/>
              <w:snapToGrid w:val="0"/>
              <w:ind w:left="105" w:leftChars="5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条款号</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35F497C">
            <w:pPr>
              <w:adjustRightInd w:val="0"/>
              <w:snapToGrid w:val="0"/>
              <w:ind w:left="105" w:leftChars="50"/>
              <w:jc w:val="center"/>
              <w:rPr>
                <w:rFonts w:hint="eastAsia" w:ascii="宋体" w:hAnsi="宋体" w:eastAsia="宋体" w:cs="宋体"/>
                <w:b/>
                <w:color w:val="000000"/>
                <w:spacing w:val="4"/>
                <w:sz w:val="24"/>
                <w:highlight w:val="none"/>
              </w:rPr>
            </w:pPr>
            <w:r>
              <w:rPr>
                <w:rFonts w:hint="eastAsia" w:ascii="宋体" w:hAnsi="宋体" w:eastAsia="宋体" w:cs="宋体"/>
                <w:b/>
                <w:color w:val="000000"/>
                <w:spacing w:val="4"/>
                <w:sz w:val="24"/>
                <w:highlight w:val="none"/>
              </w:rPr>
              <w:t>评审因素与评审标准</w:t>
            </w:r>
          </w:p>
        </w:tc>
      </w:tr>
      <w:tr w14:paraId="6B9CC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9" w:type="dxa"/>
            <w:tcBorders>
              <w:top w:val="single" w:color="auto" w:sz="4" w:space="0"/>
              <w:bottom w:val="single" w:color="auto" w:sz="4" w:space="0"/>
              <w:right w:val="single" w:color="auto" w:sz="4" w:space="0"/>
            </w:tcBorders>
            <w:noWrap w:val="0"/>
            <w:vAlign w:val="center"/>
          </w:tcPr>
          <w:p w14:paraId="36186EA1">
            <w:pPr>
              <w:adjustRightInd w:val="0"/>
              <w:snapToGrid w:val="0"/>
              <w:ind w:left="105" w:left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280" w:type="dxa"/>
            <w:tcBorders>
              <w:top w:val="single" w:color="auto" w:sz="4" w:space="0"/>
              <w:bottom w:val="single" w:color="auto" w:sz="4" w:space="0"/>
              <w:right w:val="single" w:color="auto" w:sz="4" w:space="0"/>
            </w:tcBorders>
            <w:noWrap w:val="0"/>
            <w:vAlign w:val="center"/>
          </w:tcPr>
          <w:p w14:paraId="21A868EF">
            <w:pPr>
              <w:adjustRightInd w:val="0"/>
              <w:snapToGrid w:val="0"/>
              <w:ind w:left="105" w:left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6622" w:type="dxa"/>
            <w:tcBorders>
              <w:top w:val="single" w:color="auto" w:sz="4" w:space="0"/>
              <w:left w:val="single" w:color="auto" w:sz="4" w:space="0"/>
              <w:right w:val="single" w:color="auto" w:sz="4" w:space="0"/>
            </w:tcBorders>
            <w:noWrap w:val="0"/>
            <w:vAlign w:val="center"/>
          </w:tcPr>
          <w:p w14:paraId="6CF24C77">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综合评分相等时，评标委员会依次按照以下优先顺序推荐中标候选人或确定中标人：</w:t>
            </w:r>
          </w:p>
          <w:p w14:paraId="5E060AB0">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（1）评标价低的投标人优先；</w:t>
            </w:r>
          </w:p>
          <w:p w14:paraId="55C1D31E">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（2）按招标文件规定被认定为广东省信用等级较高的投标人优先</w:t>
            </w:r>
            <w:r>
              <w:rPr>
                <w:rFonts w:hint="eastAsia" w:ascii="宋体" w:hAnsi="宋体" w:eastAsia="宋体" w:cs="宋体"/>
                <w:color w:val="000000"/>
                <w:sz w:val="24"/>
                <w:highlight w:val="none"/>
                <w:lang w:val="zh-CN"/>
              </w:rPr>
              <w:t>（采用如下的优先顺序：承诺使用的AA级投标人、不承诺使用的AA级投标人、承诺使用的A级投标人、不承诺使用的A级投标人、B级投标人、未参评且被确定为B级投标人）</w:t>
            </w:r>
            <w:r>
              <w:rPr>
                <w:rFonts w:hint="eastAsia" w:ascii="宋体" w:hAnsi="宋体" w:eastAsia="宋体" w:cs="宋体"/>
                <w:color w:val="000000"/>
                <w:sz w:val="24"/>
                <w:highlight w:val="none"/>
              </w:rPr>
              <w:t>；</w:t>
            </w:r>
          </w:p>
          <w:p w14:paraId="37436B57">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（3）商务和技术得分较高的投标人优先；</w:t>
            </w:r>
          </w:p>
          <w:p w14:paraId="58822E8A">
            <w:pPr>
              <w:adjustRightInd w:val="0"/>
              <w:snapToGrid w:val="0"/>
              <w:ind w:left="105" w:leftChars="50" w:firstLine="328" w:firstLineChars="137"/>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（4）</w:t>
            </w:r>
            <w:r>
              <w:rPr>
                <w:rFonts w:hint="eastAsia" w:ascii="宋体" w:hAnsi="宋体" w:eastAsia="宋体" w:cs="宋体"/>
                <w:color w:val="000000"/>
                <w:sz w:val="24"/>
                <w:highlight w:val="none"/>
                <w:lang w:val="zh-CN"/>
              </w:rPr>
              <w:t>评标委员会视投标人情况综合比较，投票确定其名次</w:t>
            </w:r>
            <w:r>
              <w:rPr>
                <w:rFonts w:hint="eastAsia" w:ascii="宋体" w:hAnsi="宋体" w:eastAsia="宋体" w:cs="宋体"/>
                <w:color w:val="000000"/>
                <w:sz w:val="24"/>
                <w:highlight w:val="none"/>
              </w:rPr>
              <w:t>。</w:t>
            </w:r>
          </w:p>
        </w:tc>
      </w:tr>
      <w:tr w14:paraId="29957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89" w:type="dxa"/>
            <w:tcBorders>
              <w:top w:val="single" w:color="auto" w:sz="4" w:space="0"/>
              <w:bottom w:val="single" w:color="auto" w:sz="4" w:space="0"/>
              <w:right w:val="single" w:color="auto" w:sz="4" w:space="0"/>
            </w:tcBorders>
            <w:noWrap w:val="0"/>
            <w:vAlign w:val="center"/>
          </w:tcPr>
          <w:p w14:paraId="0971BE56">
            <w:pPr>
              <w:adjustRightInd w:val="0"/>
              <w:snapToGrid w:val="0"/>
              <w:ind w:left="105" w:left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2.1.1</w:t>
            </w:r>
          </w:p>
          <w:p w14:paraId="36C223CB">
            <w:pPr>
              <w:adjustRightInd w:val="0"/>
              <w:snapToGrid w:val="0"/>
              <w:ind w:left="105" w:left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2.1.3</w:t>
            </w:r>
          </w:p>
        </w:tc>
        <w:tc>
          <w:tcPr>
            <w:tcW w:w="1280" w:type="dxa"/>
            <w:tcBorders>
              <w:top w:val="single" w:color="auto" w:sz="4" w:space="0"/>
              <w:bottom w:val="single" w:color="auto" w:sz="4" w:space="0"/>
              <w:right w:val="single" w:color="auto" w:sz="4" w:space="0"/>
            </w:tcBorders>
            <w:noWrap w:val="0"/>
            <w:vAlign w:val="center"/>
          </w:tcPr>
          <w:p w14:paraId="4006A571">
            <w:pPr>
              <w:adjustRightInd w:val="0"/>
              <w:snapToGrid w:val="0"/>
              <w:ind w:left="105" w:left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形式评审与响应性评审标准</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CD197A">
            <w:pPr>
              <w:adjustRightInd w:val="0"/>
              <w:snapToGrid w:val="0"/>
              <w:ind w:left="105" w:leftChars="50"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第一个信封（商务及技术文件）评审标准：</w:t>
            </w:r>
          </w:p>
          <w:p w14:paraId="519C756C">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（1）投标文件按照招标文件规定的格式、内容填写，字迹清晰可辨：</w:t>
            </w:r>
          </w:p>
          <w:p w14:paraId="6799B5B5">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a.投标函按招标文件规定填报了项目名称、标段号（如有）、</w:t>
            </w:r>
            <w:r>
              <w:rPr>
                <w:rFonts w:hint="eastAsia" w:ascii="宋体" w:hAnsi="宋体" w:eastAsia="宋体" w:cs="宋体"/>
                <w:color w:val="000000"/>
                <w:sz w:val="24"/>
                <w:highlight w:val="none"/>
                <w:lang w:eastAsia="zh-CN"/>
              </w:rPr>
              <w:t>补遗书</w:t>
            </w:r>
            <w:r>
              <w:rPr>
                <w:rFonts w:hint="eastAsia" w:ascii="宋体" w:hAnsi="宋体" w:eastAsia="宋体" w:cs="宋体"/>
                <w:color w:val="000000"/>
                <w:sz w:val="24"/>
                <w:highlight w:val="none"/>
              </w:rPr>
              <w:t>编号（如有）、监理服务期限、工程质量要求及安全目标；</w:t>
            </w:r>
          </w:p>
          <w:p w14:paraId="70B751D4">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b.投标文件组成齐全完整，内容均按规定填写。</w:t>
            </w:r>
          </w:p>
          <w:p w14:paraId="2E123DE9">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（2）投标文件上法定代表人或其委托代理人的签字、投标人的单位章盖章齐全，符合招标文件规定。</w:t>
            </w:r>
          </w:p>
          <w:p w14:paraId="59875F1A">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（3）投标人按照招标文件的规定提供了投标保证金：</w:t>
            </w:r>
          </w:p>
          <w:p w14:paraId="0AB6A8B4">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a.投标保证金金额符合招标文件规定的金额，且投标保证金有效期不少于投标有效期；</w:t>
            </w:r>
          </w:p>
          <w:p w14:paraId="3D800248">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b.若投标保证金采用现金或支票形式提交，投标人应在招标文件规定的投标保证金递交截止时间之前，将投标保证金由投标人的基本账户转入招标人指定账户；</w:t>
            </w:r>
          </w:p>
          <w:p w14:paraId="71E68A6C">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c.</w:t>
            </w:r>
            <w:r>
              <w:rPr>
                <w:rFonts w:hint="eastAsia" w:ascii="宋体" w:hAnsi="宋体" w:eastAsia="宋体" w:cs="宋体"/>
                <w:color w:val="000000"/>
                <w:sz w:val="24"/>
                <w:highlight w:val="none"/>
                <w:lang w:val="zh-CN"/>
              </w:rPr>
              <w:t>若投标保证金采用银行保函形式提交，银行保函的格式、开具保函的银行均满足招标文件要求，银行保函原件在递交投标文件时单独密封递交，其复印件装订在投标文件中</w:t>
            </w:r>
            <w:r>
              <w:rPr>
                <w:rFonts w:hint="eastAsia" w:ascii="宋体" w:hAnsi="宋体" w:eastAsia="宋体" w:cs="宋体"/>
                <w:color w:val="000000"/>
                <w:sz w:val="24"/>
                <w:highlight w:val="none"/>
              </w:rPr>
              <w:t>。</w:t>
            </w:r>
          </w:p>
          <w:p w14:paraId="5603CAC1">
            <w:pPr>
              <w:pStyle w:val="2"/>
              <w:spacing w:after="0"/>
              <w:ind w:left="105" w:leftChars="50" w:firstLine="240" w:firstLineChars="100"/>
              <w:rPr>
                <w:rFonts w:hint="eastAsia" w:ascii="宋体" w:hAnsi="宋体" w:cs="宋体"/>
                <w:color w:val="000000"/>
                <w:sz w:val="24"/>
                <w:highlight w:val="none"/>
              </w:rPr>
            </w:pPr>
            <w:r>
              <w:rPr>
                <w:rFonts w:hint="eastAsia" w:ascii="宋体" w:hAnsi="宋体" w:cs="宋体"/>
                <w:color w:val="000000"/>
                <w:sz w:val="24"/>
                <w:highlight w:val="none"/>
              </w:rPr>
              <w:t>d.</w:t>
            </w:r>
            <w:r>
              <w:rPr>
                <w:rFonts w:hint="eastAsia" w:ascii="宋体" w:hAnsi="宋体" w:cs="宋体"/>
                <w:color w:val="000000"/>
                <w:sz w:val="24"/>
                <w:highlight w:val="none"/>
                <w:lang w:val="zh-CN"/>
              </w:rPr>
              <w:t>若投标保证金采用</w:t>
            </w:r>
            <w:r>
              <w:rPr>
                <w:rFonts w:hint="eastAsia" w:ascii="宋体" w:hAnsi="宋体" w:cs="宋体"/>
                <w:color w:val="000000"/>
                <w:sz w:val="24"/>
                <w:highlight w:val="none"/>
              </w:rPr>
              <w:t>其他</w:t>
            </w:r>
            <w:r>
              <w:rPr>
                <w:rFonts w:hint="eastAsia" w:ascii="宋体" w:hAnsi="宋体" w:cs="宋体"/>
                <w:color w:val="000000"/>
                <w:sz w:val="24"/>
                <w:highlight w:val="none"/>
                <w:lang w:val="zh-CN"/>
              </w:rPr>
              <w:t>形式提交，</w:t>
            </w:r>
            <w:r>
              <w:rPr>
                <w:rFonts w:hint="eastAsia" w:ascii="宋体" w:hAnsi="宋体" w:cs="宋体"/>
                <w:color w:val="000000"/>
                <w:sz w:val="24"/>
                <w:highlight w:val="none"/>
              </w:rPr>
              <w:t>应满足须知前附表3.4.1项的规定。</w:t>
            </w:r>
          </w:p>
          <w:p w14:paraId="761446BA">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（4）投标人法定代表人授权委托代理人签署投标文件的，须提交授权委托书，且授权人和被授权人均在授权委托书上签名，未使用印章、签名章或其他电子制版签名代替。</w:t>
            </w:r>
          </w:p>
          <w:p w14:paraId="2DA84266">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（5）投标人法定代表人亲自签署投标文件的，提供了法定代表人身份证明，且法定代表人在法定代表人身份证明上签名，未使用印章、签名章或其他电子制版签名代替。</w:t>
            </w:r>
          </w:p>
          <w:p w14:paraId="1B031E9F">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（6）投标人未以联合体形式投标。</w:t>
            </w:r>
          </w:p>
          <w:p w14:paraId="66AD896A">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（7）同一投标人未提交两个以上不同的投标文件，但招标文件要求提交备选投标的除外。</w:t>
            </w:r>
          </w:p>
          <w:p w14:paraId="09D95395">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（8）投标文件中未出现有关投标报价的内容。</w:t>
            </w:r>
          </w:p>
          <w:p w14:paraId="33618F8E">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（9）投标文件载明的招标项目完成期限未超过招标文件规定的时限。</w:t>
            </w:r>
          </w:p>
          <w:p w14:paraId="1D1BE885">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（10）投标文件对招标文件的实质性要求和条件作出响应。</w:t>
            </w:r>
          </w:p>
          <w:p w14:paraId="5EEF97A7">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（11）权利义务符合招标文件规定：</w:t>
            </w:r>
          </w:p>
          <w:p w14:paraId="31A7FD91">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a.投标人应接受招标文件规定的风险划分原则，未提出新的风险划分办法；</w:t>
            </w:r>
          </w:p>
          <w:p w14:paraId="3AD59CFB">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b.投标人未增加委托人的责任范围，或减少投标人义务；</w:t>
            </w:r>
          </w:p>
          <w:p w14:paraId="285F674A">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c.投标人未提出不同的支付办法；</w:t>
            </w:r>
          </w:p>
          <w:p w14:paraId="1DBF33B9">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d.投标人对合同纠纷、事故处理办法未提出异议；</w:t>
            </w:r>
          </w:p>
          <w:p w14:paraId="247F6CA5">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e.投标人在投标活动中无欺诈行为；</w:t>
            </w:r>
          </w:p>
          <w:p w14:paraId="14E1C12B">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f.投标人未对合同条款有重要保留。</w:t>
            </w:r>
          </w:p>
          <w:p w14:paraId="5B31BE0B">
            <w:pPr>
              <w:adjustRightInd w:val="0"/>
              <w:snapToGrid w:val="0"/>
              <w:ind w:left="105" w:leftChars="50" w:firstLine="328" w:firstLineChars="137"/>
              <w:rPr>
                <w:rFonts w:hint="eastAsia" w:ascii="宋体" w:hAnsi="宋体" w:eastAsia="宋体" w:cs="宋体"/>
                <w:color w:val="000000"/>
                <w:sz w:val="24"/>
                <w:highlight w:val="none"/>
              </w:rPr>
            </w:pPr>
            <w:r>
              <w:rPr>
                <w:rFonts w:hint="eastAsia" w:ascii="宋体" w:hAnsi="宋体" w:eastAsia="宋体" w:cs="宋体"/>
                <w:color w:val="000000"/>
                <w:sz w:val="24"/>
                <w:highlight w:val="none"/>
              </w:rPr>
              <w:t>（12）投标文件正、副本份数符合招标文件第二章“投标人须知”第3.7.4项规定。</w:t>
            </w:r>
          </w:p>
          <w:p w14:paraId="2D1838DB">
            <w:pPr>
              <w:adjustRightInd w:val="0"/>
              <w:snapToGrid w:val="0"/>
              <w:ind w:left="105" w:leftChars="50" w:firstLine="480" w:firstLineChars="200"/>
              <w:rPr>
                <w:rFonts w:hint="eastAsia" w:ascii="宋体" w:hAnsi="宋体" w:eastAsia="宋体" w:cs="宋体"/>
                <w:color w:val="000000"/>
                <w:sz w:val="24"/>
                <w:highlight w:val="none"/>
              </w:rPr>
            </w:pPr>
          </w:p>
          <w:p w14:paraId="55656755">
            <w:pPr>
              <w:adjustRightInd w:val="0"/>
              <w:snapToGrid w:val="0"/>
              <w:ind w:left="105" w:leftChars="50"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第二个信封（报价文件）评审标准：</w:t>
            </w:r>
          </w:p>
          <w:p w14:paraId="6DA0C8CE">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（1）投标文件按照招标文件规定的格式、内容填写，字迹清晰可辨，内容齐全完整：</w:t>
            </w:r>
          </w:p>
          <w:p w14:paraId="7359A12F">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a.投标函按招标文件规定填报了项目名称、标段号（如有）、</w:t>
            </w:r>
            <w:r>
              <w:rPr>
                <w:rFonts w:hint="eastAsia" w:ascii="宋体" w:hAnsi="宋体" w:eastAsia="宋体" w:cs="宋体"/>
                <w:color w:val="000000"/>
                <w:sz w:val="24"/>
                <w:highlight w:val="none"/>
                <w:lang w:eastAsia="zh-CN"/>
              </w:rPr>
              <w:t>补遗书</w:t>
            </w:r>
            <w:r>
              <w:rPr>
                <w:rFonts w:hint="eastAsia" w:ascii="宋体" w:hAnsi="宋体" w:eastAsia="宋体" w:cs="宋体"/>
                <w:color w:val="000000"/>
                <w:sz w:val="24"/>
                <w:highlight w:val="none"/>
              </w:rPr>
              <w:t>编号（如有）、投标总报价（包括大写金额和小写金额）；</w:t>
            </w:r>
          </w:p>
          <w:p w14:paraId="25444EB5">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b.已标价报价清单说明文字与招标文件规定一致，未进行实质性修改和删减；</w:t>
            </w:r>
          </w:p>
          <w:p w14:paraId="4F57424A">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c.投标文件组成齐全完整，内容均按规定填写。</w:t>
            </w:r>
          </w:p>
          <w:p w14:paraId="2BE825C1">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（2）投标文件上法定代表人或其委托代理人的签字、投标人的单位章盖章齐全，符合招标文件规定。</w:t>
            </w:r>
          </w:p>
          <w:p w14:paraId="759257DB">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（3）投标报价未超过招标文件设定的最高投标限价（如有）。</w:t>
            </w:r>
          </w:p>
          <w:p w14:paraId="3BBCC4A7">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（4）投标报价的大写金额能够确定具体数值。</w:t>
            </w:r>
          </w:p>
          <w:p w14:paraId="38B6AB8C">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（5）同一投标人未提交两个以上不同的投标报价，但招标文件要求提交备选投标的除外。</w:t>
            </w:r>
          </w:p>
          <w:p w14:paraId="619CC2E9">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（6）投标文件正、副本份数符合招标文件第二章“投标人须知”第3.7.4项规定。</w:t>
            </w:r>
          </w:p>
        </w:tc>
      </w:tr>
      <w:tr w14:paraId="700A3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9" w:type="dxa"/>
            <w:tcBorders>
              <w:top w:val="single" w:color="auto" w:sz="4" w:space="0"/>
              <w:bottom w:val="single" w:color="auto" w:sz="4" w:space="0"/>
              <w:right w:val="single" w:color="auto" w:sz="4" w:space="0"/>
            </w:tcBorders>
            <w:noWrap w:val="0"/>
            <w:vAlign w:val="center"/>
          </w:tcPr>
          <w:p w14:paraId="351B001F">
            <w:pPr>
              <w:adjustRightInd w:val="0"/>
              <w:snapToGrid w:val="0"/>
              <w:ind w:left="105" w:left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2.1.2</w:t>
            </w:r>
          </w:p>
        </w:tc>
        <w:tc>
          <w:tcPr>
            <w:tcW w:w="1280" w:type="dxa"/>
            <w:tcBorders>
              <w:top w:val="single" w:color="auto" w:sz="4" w:space="0"/>
              <w:bottom w:val="single" w:color="auto" w:sz="4" w:space="0"/>
              <w:right w:val="single" w:color="auto" w:sz="4" w:space="0"/>
            </w:tcBorders>
            <w:noWrap w:val="0"/>
            <w:vAlign w:val="center"/>
          </w:tcPr>
          <w:p w14:paraId="46D20762">
            <w:pPr>
              <w:adjustRightInd w:val="0"/>
              <w:snapToGrid w:val="0"/>
              <w:ind w:left="105" w:left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资格评审标准</w:t>
            </w:r>
          </w:p>
        </w:tc>
        <w:tc>
          <w:tcPr>
            <w:tcW w:w="6622" w:type="dxa"/>
            <w:tcBorders>
              <w:top w:val="single" w:color="auto" w:sz="4" w:space="0"/>
              <w:left w:val="single" w:color="auto" w:sz="4" w:space="0"/>
              <w:right w:val="single" w:color="auto" w:sz="4" w:space="0"/>
            </w:tcBorders>
            <w:noWrap w:val="0"/>
            <w:vAlign w:val="center"/>
          </w:tcPr>
          <w:p w14:paraId="24FDF953">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具备有效的营业执照（或事业单位法人证书）、监理资质证书和基本账户开户许可证（如企业所在地已取消企业银行账户许可而无法提供开户许可证的，则需附上开户银行盖章的“基本存款账户信息”或“人民银行账户管理系统查询的基本账户信息截图”）。</w:t>
            </w:r>
          </w:p>
          <w:p w14:paraId="7FF3D925">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（2）投标人的资质等级符合招标文件规定。</w:t>
            </w:r>
          </w:p>
          <w:p w14:paraId="67C2F789">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（3）投标人的类似工程业绩符合招标文件规定。</w:t>
            </w:r>
          </w:p>
          <w:p w14:paraId="397B9109">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（4）投标人的信誉符合招标文件规定。</w:t>
            </w:r>
          </w:p>
          <w:p w14:paraId="085B4091">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（5）投标人的总监理工程师（含备选，如有）资格、在岗情况符合招标文件规定，并按规定在投标文件中签字确认。</w:t>
            </w:r>
          </w:p>
          <w:p w14:paraId="7D59FB1C">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（6）投标人的其他要求符合招标文件规定。</w:t>
            </w:r>
          </w:p>
          <w:p w14:paraId="0D1AFF2D">
            <w:pPr>
              <w:adjustRightInd w:val="0"/>
              <w:snapToGrid w:val="0"/>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（7）投标人不存在第二章“投标人须知”第1.4.3项或第1.4.4项规定的任何一种情形。</w:t>
            </w:r>
          </w:p>
        </w:tc>
      </w:tr>
    </w:tbl>
    <w:p w14:paraId="3B122E30">
      <w:pPr>
        <w:rPr>
          <w:rFonts w:ascii="宋体" w:hAnsi="宋体" w:eastAsia="宋体"/>
          <w:color w:val="000000"/>
          <w:highlight w:val="none"/>
        </w:rPr>
      </w:pPr>
    </w:p>
    <w:p w14:paraId="09B57CB5">
      <w:pPr>
        <w:ind w:right="210" w:rightChars="100"/>
        <w:jc w:val="right"/>
        <w:rPr>
          <w:rFonts w:ascii="宋体" w:hAnsi="宋体" w:eastAsia="宋体"/>
          <w:b/>
          <w:bCs/>
          <w:color w:val="000000"/>
          <w:highlight w:val="none"/>
        </w:rPr>
      </w:pPr>
      <w:r>
        <w:rPr>
          <w:rFonts w:ascii="宋体" w:hAnsi="宋体" w:eastAsia="宋体"/>
          <w:b/>
          <w:bCs/>
          <w:color w:val="000000"/>
          <w:spacing w:val="4"/>
          <w:szCs w:val="21"/>
          <w:highlight w:val="none"/>
        </w:rPr>
        <w:br w:type="page"/>
      </w:r>
      <w:r>
        <w:rPr>
          <w:rFonts w:ascii="宋体" w:hAnsi="宋体" w:eastAsia="宋体"/>
          <w:color w:val="000000"/>
          <w:spacing w:val="4"/>
          <w:szCs w:val="21"/>
          <w:highlight w:val="none"/>
        </w:rPr>
        <w:t>续上表</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914"/>
      </w:tblGrid>
      <w:tr w14:paraId="604B0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9" w:type="dxa"/>
            <w:tcBorders>
              <w:top w:val="single" w:color="auto" w:sz="4" w:space="0"/>
              <w:right w:val="single" w:color="auto" w:sz="4" w:space="0"/>
            </w:tcBorders>
            <w:noWrap w:val="0"/>
            <w:vAlign w:val="center"/>
          </w:tcPr>
          <w:p w14:paraId="248F3432">
            <w:pPr>
              <w:adjustRightInd w:val="0"/>
              <w:snapToGrid w:val="0"/>
              <w:ind w:left="105" w:leftChars="50"/>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条款号</w:t>
            </w:r>
          </w:p>
        </w:tc>
        <w:tc>
          <w:tcPr>
            <w:tcW w:w="1280" w:type="dxa"/>
            <w:tcBorders>
              <w:top w:val="single" w:color="auto" w:sz="4" w:space="0"/>
              <w:right w:val="single" w:color="auto" w:sz="4" w:space="0"/>
            </w:tcBorders>
            <w:noWrap w:val="0"/>
            <w:vAlign w:val="center"/>
          </w:tcPr>
          <w:p w14:paraId="4397E597">
            <w:pPr>
              <w:adjustRightInd w:val="0"/>
              <w:snapToGrid w:val="0"/>
              <w:ind w:left="105" w:leftChars="50"/>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条款内容</w:t>
            </w:r>
          </w:p>
        </w:tc>
        <w:tc>
          <w:tcPr>
            <w:tcW w:w="6914" w:type="dxa"/>
            <w:tcBorders>
              <w:top w:val="single" w:color="auto" w:sz="4" w:space="0"/>
              <w:left w:val="single" w:color="auto" w:sz="4" w:space="0"/>
              <w:right w:val="single" w:color="auto" w:sz="4" w:space="0"/>
            </w:tcBorders>
            <w:noWrap w:val="0"/>
            <w:vAlign w:val="center"/>
          </w:tcPr>
          <w:p w14:paraId="16AF9193">
            <w:pPr>
              <w:adjustRightInd w:val="0"/>
              <w:snapToGrid w:val="0"/>
              <w:ind w:left="105" w:leftChars="50"/>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编列内容</w:t>
            </w:r>
          </w:p>
        </w:tc>
      </w:tr>
      <w:tr w14:paraId="4B3F1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9" w:type="dxa"/>
            <w:tcBorders>
              <w:top w:val="single" w:color="auto" w:sz="4" w:space="0"/>
              <w:right w:val="single" w:color="auto" w:sz="4" w:space="0"/>
            </w:tcBorders>
            <w:noWrap w:val="0"/>
            <w:vAlign w:val="center"/>
          </w:tcPr>
          <w:p w14:paraId="10EC1B36">
            <w:pPr>
              <w:adjustRightInd w:val="0"/>
              <w:snapToGrid w:val="0"/>
              <w:ind w:left="105" w:leftChars="50"/>
              <w:jc w:val="center"/>
              <w:rPr>
                <w:rFonts w:ascii="宋体" w:hAnsi="宋体" w:eastAsia="宋体" w:cs="宋体"/>
                <w:color w:val="000000"/>
                <w:sz w:val="24"/>
                <w:highlight w:val="none"/>
              </w:rPr>
            </w:pPr>
            <w:r>
              <w:rPr>
                <w:rFonts w:hint="eastAsia" w:ascii="宋体" w:hAnsi="宋体" w:eastAsia="宋体" w:cs="宋体"/>
                <w:color w:val="000000"/>
                <w:sz w:val="24"/>
                <w:highlight w:val="none"/>
              </w:rPr>
              <w:t>2.2.1</w:t>
            </w:r>
          </w:p>
        </w:tc>
        <w:tc>
          <w:tcPr>
            <w:tcW w:w="1280" w:type="dxa"/>
            <w:tcBorders>
              <w:top w:val="single" w:color="auto" w:sz="4" w:space="0"/>
              <w:right w:val="single" w:color="auto" w:sz="4" w:space="0"/>
            </w:tcBorders>
            <w:noWrap w:val="0"/>
            <w:vAlign w:val="center"/>
          </w:tcPr>
          <w:p w14:paraId="5A5EA99D">
            <w:pPr>
              <w:adjustRightInd w:val="0"/>
              <w:snapToGrid w:val="0"/>
              <w:spacing w:line="360" w:lineRule="auto"/>
              <w:ind w:left="105" w:leftChars="50"/>
              <w:jc w:val="center"/>
              <w:rPr>
                <w:rFonts w:ascii="宋体" w:hAnsi="宋体" w:eastAsia="宋体" w:cs="宋体"/>
                <w:color w:val="000000"/>
                <w:sz w:val="24"/>
                <w:highlight w:val="none"/>
              </w:rPr>
            </w:pPr>
            <w:r>
              <w:rPr>
                <w:rFonts w:hint="eastAsia" w:ascii="宋体" w:hAnsi="宋体" w:eastAsia="宋体" w:cs="宋体"/>
                <w:color w:val="000000"/>
                <w:sz w:val="24"/>
                <w:highlight w:val="none"/>
              </w:rPr>
              <w:t>分值构成（总分100分）</w:t>
            </w:r>
          </w:p>
        </w:tc>
        <w:tc>
          <w:tcPr>
            <w:tcW w:w="6914" w:type="dxa"/>
            <w:tcBorders>
              <w:top w:val="single" w:color="auto" w:sz="4" w:space="0"/>
              <w:left w:val="single" w:color="auto" w:sz="4" w:space="0"/>
              <w:right w:val="single" w:color="auto" w:sz="4" w:space="0"/>
            </w:tcBorders>
            <w:noWrap w:val="0"/>
            <w:vAlign w:val="center"/>
          </w:tcPr>
          <w:p w14:paraId="2814546E">
            <w:pPr>
              <w:adjustRightInd w:val="0"/>
              <w:snapToGrid w:val="0"/>
              <w:spacing w:line="360" w:lineRule="auto"/>
              <w:rPr>
                <w:rFonts w:ascii="宋体" w:hAnsi="宋体" w:eastAsia="宋体" w:cs="宋体"/>
                <w:b/>
                <w:bCs/>
                <w:color w:val="000000"/>
                <w:sz w:val="24"/>
                <w:highlight w:val="none"/>
              </w:rPr>
            </w:pPr>
            <w:r>
              <w:rPr>
                <w:rFonts w:hint="eastAsia" w:ascii="宋体" w:hAnsi="宋体" w:eastAsia="宋体" w:cs="宋体"/>
                <w:b/>
                <w:bCs/>
                <w:color w:val="000000"/>
                <w:sz w:val="24"/>
                <w:highlight w:val="none"/>
              </w:rPr>
              <w:t>第一个信封（商务及技术文件）评分分值构成：</w:t>
            </w:r>
          </w:p>
          <w:p w14:paraId="35011E0D">
            <w:pPr>
              <w:adjustRightInd w:val="0"/>
              <w:snapToGrid w:val="0"/>
              <w:spacing w:line="360" w:lineRule="auto"/>
              <w:ind w:left="105" w:leftChars="5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监理大纲：</w:t>
            </w:r>
            <w:r>
              <w:rPr>
                <w:rFonts w:hint="eastAsia" w:ascii="宋体" w:hAnsi="宋体" w:eastAsia="宋体" w:cs="宋体"/>
                <w:color w:val="000000"/>
                <w:sz w:val="24"/>
                <w:highlight w:val="none"/>
                <w:u w:val="single"/>
              </w:rPr>
              <w:t>40</w:t>
            </w:r>
            <w:r>
              <w:rPr>
                <w:rFonts w:hint="eastAsia" w:ascii="宋体" w:hAnsi="宋体" w:eastAsia="宋体" w:cs="宋体"/>
                <w:color w:val="000000"/>
                <w:sz w:val="24"/>
                <w:highlight w:val="none"/>
              </w:rPr>
              <w:t>分</w:t>
            </w:r>
          </w:p>
          <w:p w14:paraId="42EE1A56">
            <w:pPr>
              <w:adjustRightInd w:val="0"/>
              <w:snapToGrid w:val="0"/>
              <w:spacing w:line="360" w:lineRule="auto"/>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主要人员：</w:t>
            </w:r>
            <w:r>
              <w:rPr>
                <w:rFonts w:hint="eastAsia" w:ascii="宋体" w:hAnsi="宋体" w:eastAsia="宋体" w:cs="宋体"/>
                <w:color w:val="000000"/>
                <w:sz w:val="24"/>
                <w:highlight w:val="none"/>
                <w:u w:val="single"/>
              </w:rPr>
              <w:t>22</w:t>
            </w:r>
            <w:r>
              <w:rPr>
                <w:rFonts w:hint="eastAsia" w:ascii="宋体" w:hAnsi="宋体" w:eastAsia="宋体" w:cs="宋体"/>
                <w:color w:val="000000"/>
                <w:sz w:val="24"/>
                <w:highlight w:val="none"/>
              </w:rPr>
              <w:t>分</w:t>
            </w:r>
          </w:p>
          <w:p w14:paraId="62A663A5">
            <w:pPr>
              <w:adjustRightInd w:val="0"/>
              <w:snapToGrid w:val="0"/>
              <w:spacing w:line="360" w:lineRule="auto"/>
              <w:ind w:left="105" w:leftChars="50" w:firstLine="720" w:firstLineChars="300"/>
              <w:rPr>
                <w:rFonts w:ascii="宋体" w:hAnsi="宋体" w:eastAsia="宋体" w:cs="宋体"/>
                <w:color w:val="000000"/>
                <w:sz w:val="24"/>
                <w:highlight w:val="none"/>
              </w:rPr>
            </w:pPr>
            <w:r>
              <w:rPr>
                <w:rFonts w:hint="eastAsia" w:ascii="宋体" w:hAnsi="宋体" w:eastAsia="宋体" w:cs="宋体"/>
                <w:color w:val="000000"/>
                <w:sz w:val="24"/>
                <w:highlight w:val="none"/>
              </w:rPr>
              <w:t>总监理工程师：</w:t>
            </w:r>
            <w:r>
              <w:rPr>
                <w:rFonts w:hint="eastAsia" w:ascii="宋体" w:hAnsi="宋体" w:eastAsia="宋体" w:cs="宋体"/>
                <w:color w:val="000000"/>
                <w:sz w:val="24"/>
                <w:highlight w:val="none"/>
                <w:u w:val="single"/>
              </w:rPr>
              <w:t>20</w:t>
            </w:r>
            <w:r>
              <w:rPr>
                <w:rFonts w:hint="eastAsia" w:ascii="宋体" w:hAnsi="宋体" w:eastAsia="宋体" w:cs="宋体"/>
                <w:color w:val="000000"/>
                <w:sz w:val="24"/>
                <w:highlight w:val="none"/>
              </w:rPr>
              <w:t>分</w:t>
            </w:r>
          </w:p>
          <w:p w14:paraId="76ECE2AE">
            <w:pPr>
              <w:adjustRightInd w:val="0"/>
              <w:snapToGrid w:val="0"/>
              <w:spacing w:line="360" w:lineRule="auto"/>
              <w:ind w:left="105" w:leftChars="50"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其他主要监理人员：</w:t>
            </w:r>
            <w:r>
              <w:rPr>
                <w:rFonts w:hint="eastAsia" w:ascii="宋体" w:hAnsi="宋体" w:eastAsia="宋体" w:cs="宋体"/>
                <w:color w:val="000000"/>
                <w:sz w:val="24"/>
                <w:highlight w:val="none"/>
                <w:u w:val="single"/>
              </w:rPr>
              <w:t>2</w:t>
            </w:r>
            <w:r>
              <w:rPr>
                <w:rFonts w:hint="eastAsia" w:ascii="宋体" w:hAnsi="宋体" w:eastAsia="宋体" w:cs="宋体"/>
                <w:color w:val="000000"/>
                <w:sz w:val="24"/>
                <w:highlight w:val="none"/>
              </w:rPr>
              <w:t>分</w:t>
            </w:r>
          </w:p>
          <w:p w14:paraId="7DB072BF">
            <w:pPr>
              <w:adjustRightInd w:val="0"/>
              <w:snapToGrid w:val="0"/>
              <w:spacing w:line="360" w:lineRule="auto"/>
              <w:ind w:left="105" w:leftChars="5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其他因素：</w:t>
            </w:r>
            <w:r>
              <w:rPr>
                <w:rFonts w:hint="eastAsia" w:ascii="宋体" w:hAnsi="宋体" w:eastAsia="宋体" w:cs="宋体"/>
                <w:color w:val="000000"/>
                <w:sz w:val="24"/>
                <w:highlight w:val="none"/>
                <w:u w:val="single"/>
              </w:rPr>
              <w:t>23</w:t>
            </w:r>
            <w:r>
              <w:rPr>
                <w:rFonts w:hint="eastAsia" w:ascii="宋体" w:hAnsi="宋体" w:eastAsia="宋体" w:cs="宋体"/>
                <w:color w:val="000000"/>
                <w:sz w:val="24"/>
                <w:highlight w:val="none"/>
              </w:rPr>
              <w:t>分：</w:t>
            </w:r>
          </w:p>
          <w:p w14:paraId="10572FD8">
            <w:pPr>
              <w:adjustRightInd w:val="0"/>
              <w:snapToGrid w:val="0"/>
              <w:spacing w:line="360" w:lineRule="auto"/>
              <w:ind w:left="105" w:leftChars="50" w:firstLine="720" w:firstLineChars="300"/>
              <w:rPr>
                <w:rFonts w:ascii="宋体" w:hAnsi="宋体" w:eastAsia="宋体" w:cs="宋体"/>
                <w:color w:val="000000"/>
                <w:sz w:val="24"/>
                <w:highlight w:val="none"/>
              </w:rPr>
            </w:pPr>
            <w:r>
              <w:rPr>
                <w:rFonts w:hint="eastAsia" w:ascii="宋体" w:hAnsi="宋体" w:eastAsia="宋体" w:cs="宋体"/>
                <w:color w:val="000000"/>
                <w:sz w:val="24"/>
                <w:highlight w:val="none"/>
              </w:rPr>
              <w:t>业绩：</w:t>
            </w:r>
            <w:r>
              <w:rPr>
                <w:rFonts w:hint="eastAsia" w:ascii="宋体" w:hAnsi="宋体" w:eastAsia="宋体" w:cs="宋体"/>
                <w:color w:val="000000"/>
                <w:sz w:val="24"/>
                <w:highlight w:val="none"/>
                <w:u w:val="single"/>
              </w:rPr>
              <w:t>10</w:t>
            </w:r>
            <w:r>
              <w:rPr>
                <w:rFonts w:hint="eastAsia" w:ascii="宋体" w:hAnsi="宋体" w:eastAsia="宋体" w:cs="宋体"/>
                <w:color w:val="000000"/>
                <w:sz w:val="24"/>
                <w:highlight w:val="none"/>
              </w:rPr>
              <w:t>分</w:t>
            </w:r>
          </w:p>
          <w:p w14:paraId="203350D0">
            <w:pPr>
              <w:adjustRightInd w:val="0"/>
              <w:snapToGrid w:val="0"/>
              <w:spacing w:line="360" w:lineRule="auto"/>
              <w:ind w:left="105" w:leftChars="50" w:firstLine="720" w:firstLineChars="300"/>
              <w:rPr>
                <w:rFonts w:ascii="宋体" w:hAnsi="宋体" w:eastAsia="宋体" w:cs="宋体"/>
                <w:color w:val="000000"/>
                <w:sz w:val="24"/>
                <w:highlight w:val="none"/>
              </w:rPr>
            </w:pPr>
            <w:r>
              <w:rPr>
                <w:rFonts w:hint="eastAsia" w:ascii="宋体" w:hAnsi="宋体" w:eastAsia="宋体" w:cs="宋体"/>
                <w:color w:val="000000"/>
                <w:sz w:val="24"/>
                <w:highlight w:val="none"/>
              </w:rPr>
              <w:t>履约信誉：</w:t>
            </w:r>
            <w:r>
              <w:rPr>
                <w:rFonts w:hint="eastAsia" w:ascii="宋体" w:hAnsi="宋体" w:eastAsia="宋体" w:cs="宋体"/>
                <w:color w:val="000000"/>
                <w:sz w:val="24"/>
                <w:highlight w:val="none"/>
                <w:u w:val="single"/>
              </w:rPr>
              <w:t>10</w:t>
            </w:r>
            <w:r>
              <w:rPr>
                <w:rFonts w:hint="eastAsia" w:ascii="宋体" w:hAnsi="宋体" w:eastAsia="宋体" w:cs="宋体"/>
                <w:color w:val="000000"/>
                <w:sz w:val="24"/>
                <w:highlight w:val="none"/>
              </w:rPr>
              <w:t>分</w:t>
            </w:r>
          </w:p>
          <w:p w14:paraId="4E3B00F7">
            <w:pPr>
              <w:pStyle w:val="5"/>
              <w:adjustRightInd w:val="0"/>
              <w:snapToGrid w:val="0"/>
              <w:spacing w:line="360" w:lineRule="auto"/>
              <w:ind w:left="105" w:leftChars="50" w:firstLine="720" w:firstLineChars="300"/>
              <w:rPr>
                <w:rFonts w:hint="eastAsia" w:hAnsi="宋体" w:cs="宋体"/>
                <w:color w:val="000000"/>
                <w:sz w:val="24"/>
                <w:szCs w:val="24"/>
                <w:highlight w:val="none"/>
              </w:rPr>
            </w:pPr>
            <w:r>
              <w:rPr>
                <w:rFonts w:hint="eastAsia" w:hAnsi="宋体" w:cs="宋体"/>
                <w:color w:val="000000"/>
                <w:sz w:val="24"/>
                <w:szCs w:val="24"/>
                <w:highlight w:val="none"/>
              </w:rPr>
              <w:t>企业综合实力：</w:t>
            </w:r>
            <w:r>
              <w:rPr>
                <w:rFonts w:hint="eastAsia" w:hAnsi="宋体" w:cs="宋体"/>
                <w:color w:val="000000"/>
                <w:sz w:val="24"/>
                <w:szCs w:val="24"/>
                <w:highlight w:val="none"/>
                <w:u w:val="single"/>
              </w:rPr>
              <w:t>3</w:t>
            </w:r>
            <w:r>
              <w:rPr>
                <w:rFonts w:hint="eastAsia" w:hAnsi="宋体" w:cs="宋体"/>
                <w:color w:val="000000"/>
                <w:sz w:val="24"/>
                <w:szCs w:val="24"/>
                <w:highlight w:val="none"/>
              </w:rPr>
              <w:t>分</w:t>
            </w:r>
          </w:p>
          <w:p w14:paraId="3D8E18E8">
            <w:pPr>
              <w:adjustRightInd w:val="0"/>
              <w:snapToGrid w:val="0"/>
              <w:spacing w:line="360" w:lineRule="auto"/>
              <w:rPr>
                <w:rFonts w:ascii="宋体" w:hAnsi="宋体" w:eastAsia="宋体" w:cs="宋体"/>
                <w:b/>
                <w:bCs/>
                <w:color w:val="000000"/>
                <w:sz w:val="24"/>
                <w:highlight w:val="none"/>
              </w:rPr>
            </w:pPr>
            <w:r>
              <w:rPr>
                <w:rFonts w:hint="eastAsia" w:ascii="宋体" w:hAnsi="宋体" w:eastAsia="宋体" w:cs="宋体"/>
                <w:b/>
                <w:bCs/>
                <w:color w:val="000000"/>
                <w:sz w:val="24"/>
                <w:highlight w:val="none"/>
              </w:rPr>
              <w:t>第二个信封（报价文件）评分分值构成：</w:t>
            </w:r>
          </w:p>
          <w:p w14:paraId="1A1D5D56">
            <w:pPr>
              <w:adjustRightInd w:val="0"/>
              <w:snapToGrid w:val="0"/>
              <w:spacing w:line="360" w:lineRule="auto"/>
              <w:ind w:left="105" w:leftChars="5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评标价：</w:t>
            </w:r>
            <w:r>
              <w:rPr>
                <w:rFonts w:hint="eastAsia" w:ascii="宋体" w:hAnsi="宋体" w:eastAsia="宋体" w:cs="宋体"/>
                <w:color w:val="000000"/>
                <w:sz w:val="24"/>
                <w:highlight w:val="none"/>
                <w:u w:val="single"/>
              </w:rPr>
              <w:t>15</w:t>
            </w:r>
            <w:r>
              <w:rPr>
                <w:rFonts w:hint="eastAsia" w:ascii="宋体" w:hAnsi="宋体" w:eastAsia="宋体" w:cs="宋体"/>
                <w:color w:val="000000"/>
                <w:sz w:val="24"/>
                <w:highlight w:val="none"/>
              </w:rPr>
              <w:t>分</w:t>
            </w:r>
          </w:p>
        </w:tc>
      </w:tr>
      <w:tr w14:paraId="1B89E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9" w:type="dxa"/>
            <w:tcBorders>
              <w:top w:val="single" w:color="auto" w:sz="4" w:space="0"/>
              <w:right w:val="single" w:color="auto" w:sz="4" w:space="0"/>
            </w:tcBorders>
            <w:noWrap w:val="0"/>
            <w:vAlign w:val="center"/>
          </w:tcPr>
          <w:p w14:paraId="1BFA42BB">
            <w:pPr>
              <w:adjustRightInd w:val="0"/>
              <w:snapToGrid w:val="0"/>
              <w:ind w:left="105" w:leftChars="50"/>
              <w:jc w:val="center"/>
              <w:rPr>
                <w:rFonts w:ascii="宋体" w:hAnsi="宋体" w:eastAsia="宋体" w:cs="宋体"/>
                <w:color w:val="000000"/>
                <w:sz w:val="24"/>
                <w:highlight w:val="none"/>
              </w:rPr>
            </w:pPr>
            <w:r>
              <w:rPr>
                <w:rFonts w:hint="eastAsia" w:ascii="宋体" w:hAnsi="宋体" w:eastAsia="宋体" w:cs="宋体"/>
                <w:color w:val="000000"/>
                <w:sz w:val="24"/>
                <w:highlight w:val="none"/>
              </w:rPr>
              <w:t>2.2.2</w:t>
            </w:r>
          </w:p>
        </w:tc>
        <w:tc>
          <w:tcPr>
            <w:tcW w:w="1280" w:type="dxa"/>
            <w:tcBorders>
              <w:top w:val="single" w:color="auto" w:sz="4" w:space="0"/>
              <w:right w:val="single" w:color="auto" w:sz="4" w:space="0"/>
            </w:tcBorders>
            <w:noWrap w:val="0"/>
            <w:vAlign w:val="center"/>
          </w:tcPr>
          <w:p w14:paraId="132DA6EF">
            <w:pPr>
              <w:adjustRightInd w:val="0"/>
              <w:snapToGrid w:val="0"/>
              <w:spacing w:line="360" w:lineRule="auto"/>
              <w:ind w:left="105" w:leftChars="50"/>
              <w:jc w:val="center"/>
              <w:rPr>
                <w:rFonts w:ascii="宋体" w:hAnsi="宋体" w:eastAsia="宋体" w:cs="宋体"/>
                <w:color w:val="000000"/>
                <w:sz w:val="24"/>
                <w:highlight w:val="none"/>
              </w:rPr>
            </w:pPr>
            <w:r>
              <w:rPr>
                <w:rFonts w:hint="eastAsia" w:ascii="宋体" w:hAnsi="宋体" w:eastAsia="宋体" w:cs="宋体"/>
                <w:color w:val="000000"/>
                <w:sz w:val="24"/>
                <w:highlight w:val="none"/>
              </w:rPr>
              <w:t>评标基准价计算方法</w:t>
            </w:r>
          </w:p>
        </w:tc>
        <w:tc>
          <w:tcPr>
            <w:tcW w:w="6914" w:type="dxa"/>
            <w:tcBorders>
              <w:top w:val="single" w:color="auto" w:sz="4" w:space="0"/>
              <w:left w:val="single" w:color="auto" w:sz="4" w:space="0"/>
              <w:right w:val="single" w:color="auto" w:sz="4" w:space="0"/>
            </w:tcBorders>
            <w:noWrap w:val="0"/>
            <w:vAlign w:val="center"/>
          </w:tcPr>
          <w:p w14:paraId="6C15A1FF">
            <w:pPr>
              <w:adjustRightInd w:val="0"/>
              <w:snapToGrid w:val="0"/>
              <w:spacing w:line="360" w:lineRule="auto"/>
              <w:ind w:left="105" w:leftChars="5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评标基准价的计算：</w:t>
            </w:r>
          </w:p>
          <w:p w14:paraId="342C29C2">
            <w:pPr>
              <w:pStyle w:val="12"/>
              <w:shd w:val="clear" w:color="auto" w:fill="auto"/>
              <w:adjustRightInd w:val="0"/>
              <w:snapToGrid w:val="0"/>
              <w:spacing w:before="0" w:line="360" w:lineRule="auto"/>
              <w:ind w:left="105" w:leftChars="50"/>
              <w:jc w:val="left"/>
              <w:rPr>
                <w:rFonts w:hint="eastAsia" w:ascii="宋体" w:hAnsi="宋体" w:eastAsia="宋体" w:cs="宋体"/>
                <w:color w:val="000000"/>
                <w:sz w:val="24"/>
                <w:szCs w:val="24"/>
                <w:highlight w:val="none"/>
              </w:rPr>
            </w:pPr>
            <w:r>
              <w:rPr>
                <w:rStyle w:val="15"/>
                <w:rFonts w:hint="eastAsia" w:ascii="宋体" w:hAnsi="宋体" w:eastAsia="宋体" w:cs="宋体"/>
                <w:color w:val="000000"/>
                <w:sz w:val="24"/>
                <w:szCs w:val="24"/>
                <w:highlight w:val="none"/>
              </w:rPr>
              <w:t>在开标现场，招标人将当场计算并宣布评标基准价。</w:t>
            </w:r>
          </w:p>
          <w:p w14:paraId="23F0BD70">
            <w:pPr>
              <w:adjustRightInd w:val="0"/>
              <w:snapToGrid w:val="0"/>
              <w:spacing w:line="360" w:lineRule="auto"/>
              <w:ind w:left="105" w:leftChars="50"/>
              <w:rPr>
                <w:rFonts w:hint="eastAsia" w:ascii="宋体" w:hAnsi="宋体" w:eastAsia="宋体" w:cs="宋体"/>
                <w:b/>
                <w:bCs/>
                <w:color w:val="000000"/>
                <w:sz w:val="24"/>
                <w:highlight w:val="none"/>
              </w:rPr>
            </w:pPr>
            <w:r>
              <w:rPr>
                <w:rStyle w:val="15"/>
                <w:rFonts w:hint="eastAsia" w:ascii="宋体" w:hAnsi="宋体" w:eastAsia="宋体" w:cs="宋体"/>
                <w:b/>
                <w:bCs/>
                <w:color w:val="000000"/>
                <w:sz w:val="24"/>
                <w:szCs w:val="24"/>
                <w:highlight w:val="none"/>
              </w:rPr>
              <w:t>(1)评标价的确定：</w:t>
            </w:r>
          </w:p>
          <w:p w14:paraId="603BCD71">
            <w:pPr>
              <w:pStyle w:val="12"/>
              <w:shd w:val="clear" w:color="auto" w:fill="auto"/>
              <w:tabs>
                <w:tab w:val="left" w:pos="413"/>
              </w:tabs>
              <w:adjustRightInd w:val="0"/>
              <w:snapToGrid w:val="0"/>
              <w:spacing w:before="0" w:line="360" w:lineRule="auto"/>
              <w:ind w:left="105" w:leftChars="50"/>
              <w:jc w:val="both"/>
              <w:rPr>
                <w:rStyle w:val="15"/>
                <w:rFonts w:hint="eastAsia" w:ascii="宋体" w:hAnsi="宋体" w:eastAsia="宋体" w:cs="宋体"/>
                <w:color w:val="000000"/>
                <w:sz w:val="24"/>
                <w:szCs w:val="24"/>
                <w:highlight w:val="none"/>
              </w:rPr>
            </w:pPr>
            <w:r>
              <w:rPr>
                <w:rStyle w:val="15"/>
                <w:rFonts w:hint="eastAsia" w:ascii="宋体" w:hAnsi="宋体" w:eastAsia="宋体" w:cs="宋体"/>
                <w:color w:val="000000"/>
                <w:sz w:val="24"/>
                <w:szCs w:val="24"/>
                <w:highlight w:val="none"/>
              </w:rPr>
              <w:t>评标价=投标函文字报价</w:t>
            </w:r>
          </w:p>
          <w:p w14:paraId="081D1DAE">
            <w:pPr>
              <w:adjustRightInd w:val="0"/>
              <w:snapToGrid w:val="0"/>
              <w:spacing w:line="360" w:lineRule="auto"/>
              <w:ind w:left="105" w:leftChars="50"/>
              <w:rPr>
                <w:rFonts w:hint="eastAsia" w:ascii="宋体" w:hAnsi="宋体" w:eastAsia="宋体" w:cs="宋体"/>
                <w:b/>
                <w:bCs/>
                <w:color w:val="000000"/>
                <w:sz w:val="24"/>
                <w:highlight w:val="none"/>
              </w:rPr>
            </w:pPr>
            <w:r>
              <w:rPr>
                <w:rStyle w:val="15"/>
                <w:rFonts w:hint="eastAsia" w:ascii="宋体" w:hAnsi="宋体" w:eastAsia="宋体" w:cs="宋体"/>
                <w:b/>
                <w:bCs/>
                <w:color w:val="000000"/>
                <w:sz w:val="24"/>
                <w:szCs w:val="24"/>
                <w:highlight w:val="none"/>
              </w:rPr>
              <w:t>(2)</w:t>
            </w:r>
            <w:r>
              <w:rPr>
                <w:rFonts w:hint="eastAsia" w:ascii="宋体" w:hAnsi="宋体" w:eastAsia="宋体" w:cs="宋体"/>
                <w:b/>
                <w:bCs/>
                <w:color w:val="000000"/>
                <w:sz w:val="24"/>
                <w:highlight w:val="none"/>
              </w:rPr>
              <w:t>确定参与评标基准价计算的评标价平均值计算：</w:t>
            </w:r>
          </w:p>
          <w:p w14:paraId="5E6278F2">
            <w:pPr>
              <w:adjustRightInd w:val="0"/>
              <w:snapToGrid w:val="0"/>
              <w:spacing w:line="360" w:lineRule="auto"/>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snapToGrid w:val="0"/>
                <w:color w:val="000000"/>
                <w:sz w:val="24"/>
                <w:highlight w:val="none"/>
              </w:rPr>
              <w:t>①参与评标基准价计算的评标价范围：</w:t>
            </w:r>
            <w:r>
              <w:rPr>
                <w:rFonts w:hint="eastAsia" w:ascii="宋体" w:hAnsi="宋体" w:eastAsia="宋体" w:cs="宋体"/>
                <w:color w:val="000000"/>
                <w:sz w:val="24"/>
                <w:highlight w:val="none"/>
              </w:rPr>
              <w:t>最高投标限价的85%≤</w:t>
            </w:r>
            <w:r>
              <w:rPr>
                <w:rFonts w:hint="eastAsia" w:ascii="宋体" w:hAnsi="宋体" w:eastAsia="宋体" w:cs="宋体"/>
                <w:snapToGrid w:val="0"/>
                <w:color w:val="000000"/>
                <w:sz w:val="24"/>
                <w:highlight w:val="none"/>
              </w:rPr>
              <w:t>参与评标基准价计算的评标价</w:t>
            </w:r>
            <w:r>
              <w:rPr>
                <w:rFonts w:hint="eastAsia" w:ascii="宋体" w:hAnsi="宋体" w:eastAsia="宋体" w:cs="宋体"/>
                <w:color w:val="000000"/>
                <w:sz w:val="24"/>
                <w:highlight w:val="none"/>
              </w:rPr>
              <w:t>≤最高投标限价的100%，小于最高投标限价85%</w:t>
            </w:r>
            <w:r>
              <w:rPr>
                <w:rFonts w:hint="eastAsia" w:ascii="宋体" w:hAnsi="宋体" w:eastAsia="宋体" w:cs="宋体"/>
                <w:snapToGrid w:val="0"/>
                <w:color w:val="000000"/>
                <w:sz w:val="24"/>
                <w:highlight w:val="none"/>
              </w:rPr>
              <w:t>的评标价不参与评标基准价的计算，但仍参与评标价的得分计算</w:t>
            </w:r>
            <w:r>
              <w:rPr>
                <w:rFonts w:hint="eastAsia" w:ascii="宋体" w:hAnsi="宋体" w:eastAsia="宋体" w:cs="宋体"/>
                <w:color w:val="000000"/>
                <w:sz w:val="24"/>
                <w:highlight w:val="none"/>
              </w:rPr>
              <w:t>。</w:t>
            </w:r>
          </w:p>
          <w:p w14:paraId="6F002DAF">
            <w:pPr>
              <w:adjustRightInd w:val="0"/>
              <w:snapToGrid w:val="0"/>
              <w:spacing w:line="360" w:lineRule="auto"/>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snapToGrid w:val="0"/>
                <w:color w:val="000000"/>
                <w:sz w:val="24"/>
                <w:highlight w:val="none"/>
              </w:rPr>
              <w:t>②参与评标基准价计算的有效评标价的算术平均值：</w:t>
            </w:r>
            <w:r>
              <w:rPr>
                <w:rStyle w:val="15"/>
                <w:rFonts w:hint="eastAsia" w:ascii="宋体" w:hAnsi="宋体" w:eastAsia="宋体" w:cs="宋体"/>
                <w:color w:val="000000"/>
                <w:sz w:val="24"/>
                <w:szCs w:val="24"/>
                <w:highlight w:val="none"/>
              </w:rPr>
              <w:t>除按第二章“投标人须知”第5.2.4项规定开标现场被宣布为不进入评标基准价计算的投标报价之外</w:t>
            </w:r>
            <w:r>
              <w:rPr>
                <w:rFonts w:hint="eastAsia" w:ascii="宋体" w:hAnsi="宋体" w:eastAsia="宋体" w:cs="宋体"/>
                <w:color w:val="000000"/>
                <w:sz w:val="24"/>
                <w:highlight w:val="none"/>
              </w:rPr>
              <w:t>，在上述确定的</w:t>
            </w:r>
            <w:r>
              <w:rPr>
                <w:rFonts w:hint="eastAsia" w:ascii="宋体" w:hAnsi="宋体" w:eastAsia="宋体" w:cs="宋体"/>
                <w:snapToGrid w:val="0"/>
                <w:color w:val="000000"/>
                <w:sz w:val="24"/>
                <w:highlight w:val="none"/>
              </w:rPr>
              <w:t>参与评标基准价计算的评标价中</w:t>
            </w:r>
            <w:r>
              <w:rPr>
                <w:rFonts w:hint="eastAsia" w:ascii="宋体" w:hAnsi="宋体" w:eastAsia="宋体" w:cs="宋体"/>
                <w:color w:val="000000"/>
                <w:sz w:val="24"/>
                <w:highlight w:val="none"/>
              </w:rPr>
              <w:t>去掉一个最高值和一个最低值后的算术平均值即为</w:t>
            </w:r>
            <w:r>
              <w:rPr>
                <w:rFonts w:hint="eastAsia" w:ascii="宋体" w:hAnsi="宋体" w:eastAsia="宋体" w:cs="宋体"/>
                <w:snapToGrid w:val="0"/>
                <w:color w:val="000000"/>
                <w:sz w:val="24"/>
                <w:highlight w:val="none"/>
              </w:rPr>
              <w:t>参与评标基准价计算的有效评标价的算术平均值</w:t>
            </w:r>
            <w:r>
              <w:rPr>
                <w:rFonts w:hint="eastAsia" w:ascii="宋体" w:hAnsi="宋体" w:eastAsia="宋体" w:cs="宋体"/>
                <w:color w:val="000000"/>
                <w:sz w:val="24"/>
                <w:highlight w:val="none"/>
              </w:rPr>
              <w:t>(如果参与评标价平均值计算的有效投标人少于5家（含5家）时，则计算上述平均值时不去掉最高值和最低值)；</w:t>
            </w:r>
          </w:p>
          <w:p w14:paraId="53A2CE5F">
            <w:pPr>
              <w:adjustRightInd w:val="0"/>
              <w:snapToGrid w:val="0"/>
              <w:spacing w:line="360" w:lineRule="auto"/>
              <w:ind w:left="105" w:leftChars="5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若投标人的评标价均小于最高评标限价的85%时，则以最高评标限价的85%为评标基准价，同时可对评标价小于最高评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p w14:paraId="472D0935">
            <w:pPr>
              <w:adjustRightInd w:val="0"/>
              <w:snapToGrid w:val="0"/>
              <w:spacing w:line="360" w:lineRule="auto"/>
              <w:ind w:left="105" w:leftChars="5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即使某投标文件第二个信封未通过形式评审与响应性评审,如其报价处于参与评标基准价计算的评标价的有效范围内，其评标价仍应参与有效评标价平均值的计算。</w:t>
            </w:r>
          </w:p>
          <w:p w14:paraId="1F29B8E8">
            <w:pPr>
              <w:adjustRightInd w:val="0"/>
              <w:snapToGrid w:val="0"/>
              <w:spacing w:line="360" w:lineRule="auto"/>
              <w:ind w:left="105" w:leftChars="5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(3)评标基准价的确定：</w:t>
            </w:r>
          </w:p>
          <w:p w14:paraId="6D14B96A">
            <w:pPr>
              <w:adjustRightInd w:val="0"/>
              <w:snapToGrid w:val="0"/>
              <w:spacing w:line="360" w:lineRule="auto"/>
              <w:ind w:left="105" w:leftChars="50" w:firstLine="480" w:firstLineChars="200"/>
              <w:rPr>
                <w:rFonts w:hint="eastAsia" w:ascii="宋体" w:hAnsi="宋体" w:eastAsia="宋体" w:cs="宋体"/>
                <w:snapToGrid w:val="0"/>
                <w:color w:val="000000"/>
                <w:sz w:val="24"/>
                <w:highlight w:val="none"/>
              </w:rPr>
            </w:pPr>
            <w:r>
              <w:rPr>
                <w:rFonts w:hint="eastAsia" w:ascii="宋体" w:hAnsi="宋体" w:eastAsia="宋体" w:cs="宋体"/>
                <w:color w:val="000000"/>
                <w:sz w:val="24"/>
                <w:highlight w:val="none"/>
              </w:rPr>
              <w:t>评标基准价=</w:t>
            </w:r>
            <w:r>
              <w:rPr>
                <w:rFonts w:hint="eastAsia" w:ascii="宋体" w:hAnsi="宋体" w:eastAsia="宋体" w:cs="宋体"/>
                <w:snapToGrid w:val="0"/>
                <w:color w:val="000000"/>
                <w:sz w:val="24"/>
                <w:highlight w:val="none"/>
              </w:rPr>
              <w:t>M×</w:t>
            </w:r>
            <w:r>
              <w:rPr>
                <w:rFonts w:hint="eastAsia" w:ascii="宋体" w:hAnsi="宋体" w:eastAsia="宋体" w:cs="宋体"/>
                <w:color w:val="000000"/>
                <w:sz w:val="24"/>
                <w:highlight w:val="none"/>
              </w:rPr>
              <w:t>最高投标限价</w:t>
            </w:r>
            <w:r>
              <w:rPr>
                <w:rFonts w:hint="eastAsia" w:ascii="宋体" w:hAnsi="宋体" w:eastAsia="宋体" w:cs="宋体"/>
                <w:snapToGrid w:val="0"/>
                <w:color w:val="000000"/>
                <w:sz w:val="24"/>
                <w:highlight w:val="none"/>
              </w:rPr>
              <w:t>+N×参与评标基准价计算的有效评标价的算术平均值</w:t>
            </w:r>
          </w:p>
          <w:p w14:paraId="4F676C66">
            <w:pPr>
              <w:adjustRightInd w:val="0"/>
              <w:snapToGrid w:val="0"/>
              <w:spacing w:line="360" w:lineRule="auto"/>
              <w:ind w:left="105" w:leftChars="50" w:firstLine="480" w:firstLineChars="200"/>
              <w:rPr>
                <w:rFonts w:hint="eastAsia" w:ascii="宋体" w:hAnsi="宋体" w:eastAsia="宋体" w:cs="宋体"/>
                <w:snapToGrid w:val="0"/>
                <w:color w:val="000000"/>
                <w:sz w:val="24"/>
                <w:highlight w:val="none"/>
                <w:u w:val="single"/>
              </w:rPr>
            </w:pPr>
            <w:r>
              <w:rPr>
                <w:rFonts w:hint="eastAsia" w:ascii="宋体" w:hAnsi="宋体" w:eastAsia="宋体" w:cs="宋体"/>
                <w:snapToGrid w:val="0"/>
                <w:color w:val="000000"/>
                <w:sz w:val="24"/>
                <w:highlight w:val="none"/>
              </w:rPr>
              <w:t>其中：</w:t>
            </w:r>
            <w:r>
              <w:rPr>
                <w:rFonts w:hint="eastAsia" w:ascii="宋体" w:hAnsi="宋体" w:eastAsia="宋体" w:cs="宋体"/>
                <w:snapToGrid w:val="0"/>
                <w:color w:val="000000"/>
                <w:sz w:val="24"/>
                <w:highlight w:val="none"/>
                <w:u w:val="single"/>
              </w:rPr>
              <w:t>M=0.8，N=0.2。</w:t>
            </w:r>
          </w:p>
          <w:p w14:paraId="07A62CD0">
            <w:pPr>
              <w:adjustRightInd w:val="0"/>
              <w:snapToGrid w:val="0"/>
              <w:spacing w:line="360" w:lineRule="auto"/>
              <w:ind w:left="105" w:leftChars="5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5FC20A18">
            <w:pPr>
              <w:pStyle w:val="2"/>
              <w:spacing w:after="0" w:line="360" w:lineRule="auto"/>
              <w:ind w:left="105" w:leftChars="50" w:firstLine="480" w:firstLineChars="200"/>
              <w:rPr>
                <w:rFonts w:ascii="宋体" w:hAnsi="宋体" w:cs="宋体"/>
                <w:b/>
                <w:color w:val="000000"/>
                <w:sz w:val="24"/>
                <w:highlight w:val="none"/>
              </w:rPr>
            </w:pPr>
            <w:r>
              <w:rPr>
                <w:rFonts w:hint="eastAsia" w:ascii="宋体" w:hAnsi="宋体" w:cs="宋体"/>
                <w:color w:val="000000"/>
                <w:sz w:val="24"/>
                <w:highlight w:val="none"/>
              </w:rPr>
              <w:t>备注：评标基准价四舍五入至个位整数。</w:t>
            </w:r>
          </w:p>
        </w:tc>
      </w:tr>
      <w:tr w14:paraId="3305D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9" w:type="dxa"/>
            <w:tcBorders>
              <w:top w:val="single" w:color="auto" w:sz="4" w:space="0"/>
              <w:right w:val="single" w:color="auto" w:sz="4" w:space="0"/>
            </w:tcBorders>
            <w:noWrap w:val="0"/>
            <w:vAlign w:val="center"/>
          </w:tcPr>
          <w:p w14:paraId="7C2FCA41">
            <w:pPr>
              <w:adjustRightInd w:val="0"/>
              <w:snapToGrid w:val="0"/>
              <w:ind w:left="105" w:leftChars="50"/>
              <w:jc w:val="center"/>
              <w:rPr>
                <w:rFonts w:ascii="宋体" w:hAnsi="宋体" w:eastAsia="宋体" w:cs="宋体"/>
                <w:color w:val="000000"/>
                <w:sz w:val="24"/>
                <w:highlight w:val="none"/>
              </w:rPr>
            </w:pPr>
            <w:r>
              <w:rPr>
                <w:rFonts w:hint="eastAsia" w:ascii="宋体" w:hAnsi="宋体" w:eastAsia="宋体" w:cs="宋体"/>
                <w:color w:val="000000"/>
                <w:sz w:val="24"/>
                <w:highlight w:val="none"/>
              </w:rPr>
              <w:t>2.2.3</w:t>
            </w:r>
          </w:p>
        </w:tc>
        <w:tc>
          <w:tcPr>
            <w:tcW w:w="1280" w:type="dxa"/>
            <w:tcBorders>
              <w:top w:val="single" w:color="auto" w:sz="4" w:space="0"/>
              <w:right w:val="single" w:color="auto" w:sz="4" w:space="0"/>
            </w:tcBorders>
            <w:noWrap w:val="0"/>
            <w:vAlign w:val="center"/>
          </w:tcPr>
          <w:p w14:paraId="56B2AC00">
            <w:pPr>
              <w:adjustRightInd w:val="0"/>
              <w:snapToGrid w:val="0"/>
              <w:spacing w:line="360" w:lineRule="auto"/>
              <w:ind w:left="105" w:leftChars="50"/>
              <w:jc w:val="center"/>
              <w:rPr>
                <w:rFonts w:ascii="宋体" w:hAnsi="宋体" w:eastAsia="宋体" w:cs="宋体"/>
                <w:color w:val="000000"/>
                <w:sz w:val="24"/>
                <w:highlight w:val="none"/>
              </w:rPr>
            </w:pPr>
            <w:r>
              <w:rPr>
                <w:rFonts w:hint="eastAsia" w:ascii="宋体" w:hAnsi="宋体" w:eastAsia="宋体" w:cs="宋体"/>
                <w:color w:val="000000"/>
                <w:sz w:val="24"/>
                <w:highlight w:val="none"/>
              </w:rPr>
              <w:t>评标价的偏差率计算公式</w:t>
            </w:r>
          </w:p>
        </w:tc>
        <w:tc>
          <w:tcPr>
            <w:tcW w:w="6914" w:type="dxa"/>
            <w:tcBorders>
              <w:top w:val="single" w:color="auto" w:sz="4" w:space="0"/>
              <w:left w:val="single" w:color="auto" w:sz="4" w:space="0"/>
              <w:right w:val="single" w:color="auto" w:sz="4" w:space="0"/>
            </w:tcBorders>
            <w:noWrap w:val="0"/>
            <w:vAlign w:val="center"/>
          </w:tcPr>
          <w:p w14:paraId="27748DDE">
            <w:pPr>
              <w:adjustRightInd w:val="0"/>
              <w:snapToGrid w:val="0"/>
              <w:spacing w:line="360" w:lineRule="auto"/>
              <w:rPr>
                <w:rFonts w:ascii="宋体" w:hAnsi="宋体" w:eastAsia="宋体" w:cs="宋体"/>
                <w:b/>
                <w:color w:val="000000"/>
                <w:sz w:val="24"/>
                <w:highlight w:val="none"/>
              </w:rPr>
            </w:pPr>
            <w:r>
              <w:rPr>
                <w:rFonts w:hint="eastAsia" w:ascii="宋体" w:hAnsi="宋体" w:eastAsia="宋体" w:cs="宋体"/>
                <w:color w:val="000000"/>
                <w:sz w:val="24"/>
                <w:highlight w:val="none"/>
              </w:rPr>
              <w:t>偏差率=100%×（投标人评标价－评标基准价）/评标基准价</w:t>
            </w:r>
          </w:p>
        </w:tc>
      </w:tr>
    </w:tbl>
    <w:p w14:paraId="66ACBBC9">
      <w:pPr>
        <w:ind w:right="210" w:rightChars="100"/>
        <w:jc w:val="right"/>
        <w:rPr>
          <w:rFonts w:ascii="宋体" w:hAnsi="宋体" w:eastAsia="宋体"/>
          <w:color w:val="000000"/>
          <w:highlight w:val="none"/>
        </w:rPr>
      </w:pPr>
      <w:r>
        <w:rPr>
          <w:rFonts w:ascii="宋体" w:hAnsi="宋体" w:eastAsia="宋体"/>
          <w:color w:val="000000"/>
          <w:sz w:val="27"/>
          <w:szCs w:val="27"/>
          <w:highlight w:val="none"/>
        </w:rPr>
        <w:br w:type="page"/>
      </w:r>
      <w:r>
        <w:rPr>
          <w:rFonts w:ascii="宋体" w:hAnsi="宋体" w:eastAsia="宋体"/>
          <w:color w:val="000000"/>
          <w:spacing w:val="4"/>
          <w:szCs w:val="21"/>
          <w:highlight w:val="none"/>
        </w:rPr>
        <w:t>续上表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585"/>
        <w:gridCol w:w="806"/>
        <w:gridCol w:w="1144"/>
        <w:gridCol w:w="915"/>
        <w:gridCol w:w="4545"/>
      </w:tblGrid>
      <w:tr w14:paraId="60E8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5" w:type="dxa"/>
            <w:gridSpan w:val="5"/>
            <w:tcBorders>
              <w:top w:val="single" w:color="auto" w:sz="4" w:space="0"/>
            </w:tcBorders>
            <w:noWrap w:val="0"/>
            <w:vAlign w:val="center"/>
          </w:tcPr>
          <w:p w14:paraId="53267236">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b/>
                <w:color w:val="000000"/>
                <w:sz w:val="24"/>
                <w:highlight w:val="none"/>
              </w:rPr>
            </w:pPr>
            <w:r>
              <w:rPr>
                <w:rFonts w:hint="eastAsia" w:ascii="宋体" w:hAnsi="宋体" w:eastAsia="宋体" w:cs="宋体"/>
                <w:b/>
                <w:color w:val="000000"/>
                <w:sz w:val="24"/>
                <w:highlight w:val="none"/>
              </w:rPr>
              <w:t>评分因素与权重分值</w:t>
            </w:r>
          </w:p>
        </w:tc>
        <w:tc>
          <w:tcPr>
            <w:tcW w:w="4545" w:type="dxa"/>
            <w:vMerge w:val="restart"/>
            <w:tcBorders>
              <w:top w:val="single" w:color="auto" w:sz="4" w:space="0"/>
            </w:tcBorders>
            <w:noWrap w:val="0"/>
            <w:vAlign w:val="center"/>
          </w:tcPr>
          <w:p w14:paraId="038D3749">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b/>
                <w:color w:val="000000"/>
                <w:sz w:val="24"/>
                <w:highlight w:val="none"/>
              </w:rPr>
            </w:pPr>
            <w:r>
              <w:rPr>
                <w:rFonts w:hint="eastAsia" w:ascii="宋体" w:hAnsi="宋体" w:eastAsia="宋体" w:cs="宋体"/>
                <w:b/>
                <w:color w:val="000000"/>
                <w:sz w:val="24"/>
                <w:highlight w:val="none"/>
              </w:rPr>
              <w:t>评分标准</w:t>
            </w:r>
          </w:p>
        </w:tc>
      </w:tr>
      <w:tr w14:paraId="024D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noWrap w:val="0"/>
            <w:vAlign w:val="center"/>
          </w:tcPr>
          <w:p w14:paraId="0ABE13B4">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b/>
                <w:color w:val="000000"/>
                <w:sz w:val="24"/>
                <w:highlight w:val="none"/>
              </w:rPr>
            </w:pPr>
            <w:r>
              <w:rPr>
                <w:rFonts w:hint="eastAsia" w:ascii="宋体" w:hAnsi="宋体" w:eastAsia="宋体" w:cs="宋体"/>
                <w:b/>
                <w:color w:val="000000"/>
                <w:sz w:val="24"/>
                <w:highlight w:val="none"/>
              </w:rPr>
              <w:t>条款号</w:t>
            </w:r>
          </w:p>
        </w:tc>
        <w:tc>
          <w:tcPr>
            <w:tcW w:w="585" w:type="dxa"/>
            <w:noWrap w:val="0"/>
            <w:vAlign w:val="center"/>
          </w:tcPr>
          <w:p w14:paraId="0B1F92C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b/>
                <w:color w:val="000000"/>
                <w:sz w:val="24"/>
                <w:highlight w:val="none"/>
              </w:rPr>
            </w:pPr>
            <w:r>
              <w:rPr>
                <w:rFonts w:hint="eastAsia" w:ascii="宋体" w:hAnsi="宋体" w:eastAsia="宋体" w:cs="宋体"/>
                <w:b/>
                <w:color w:val="000000"/>
                <w:sz w:val="24"/>
                <w:highlight w:val="none"/>
              </w:rPr>
              <w:t>评分因素</w:t>
            </w:r>
          </w:p>
        </w:tc>
        <w:tc>
          <w:tcPr>
            <w:tcW w:w="806" w:type="dxa"/>
            <w:noWrap w:val="0"/>
            <w:vAlign w:val="center"/>
          </w:tcPr>
          <w:p w14:paraId="2BAD05B7">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b/>
                <w:color w:val="000000"/>
                <w:sz w:val="24"/>
                <w:highlight w:val="none"/>
              </w:rPr>
            </w:pPr>
            <w:r>
              <w:rPr>
                <w:rFonts w:hint="eastAsia" w:ascii="宋体" w:hAnsi="宋体" w:eastAsia="宋体" w:cs="宋体"/>
                <w:b/>
                <w:color w:val="000000"/>
                <w:sz w:val="24"/>
                <w:highlight w:val="none"/>
              </w:rPr>
              <w:t>评分因素权重分值</w:t>
            </w:r>
          </w:p>
        </w:tc>
        <w:tc>
          <w:tcPr>
            <w:tcW w:w="1144" w:type="dxa"/>
            <w:noWrap w:val="0"/>
            <w:vAlign w:val="center"/>
          </w:tcPr>
          <w:p w14:paraId="4CBEFF5F">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b/>
                <w:color w:val="000000"/>
                <w:sz w:val="24"/>
                <w:highlight w:val="none"/>
              </w:rPr>
            </w:pPr>
            <w:r>
              <w:rPr>
                <w:rFonts w:hint="eastAsia" w:ascii="宋体" w:hAnsi="宋体" w:eastAsia="宋体" w:cs="宋体"/>
                <w:b/>
                <w:color w:val="000000"/>
                <w:sz w:val="24"/>
                <w:highlight w:val="none"/>
              </w:rPr>
              <w:t>各评分因素细分项</w:t>
            </w:r>
          </w:p>
        </w:tc>
        <w:tc>
          <w:tcPr>
            <w:tcW w:w="915" w:type="dxa"/>
            <w:noWrap w:val="0"/>
            <w:vAlign w:val="center"/>
          </w:tcPr>
          <w:p w14:paraId="38C1AFEE">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b/>
                <w:color w:val="000000"/>
                <w:sz w:val="24"/>
                <w:highlight w:val="none"/>
              </w:rPr>
            </w:pPr>
            <w:r>
              <w:rPr>
                <w:rFonts w:hint="eastAsia" w:ascii="宋体" w:hAnsi="宋体" w:eastAsia="宋体" w:cs="宋体"/>
                <w:b/>
                <w:color w:val="000000"/>
                <w:sz w:val="24"/>
                <w:highlight w:val="none"/>
              </w:rPr>
              <w:t>分值</w:t>
            </w:r>
          </w:p>
        </w:tc>
        <w:tc>
          <w:tcPr>
            <w:tcW w:w="4545" w:type="dxa"/>
            <w:vMerge w:val="continue"/>
            <w:noWrap w:val="0"/>
            <w:vAlign w:val="center"/>
          </w:tcPr>
          <w:p w14:paraId="49E20659">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b/>
                <w:color w:val="000000"/>
                <w:sz w:val="24"/>
                <w:highlight w:val="none"/>
              </w:rPr>
            </w:pPr>
          </w:p>
        </w:tc>
      </w:tr>
      <w:tr w14:paraId="5A68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065" w:type="dxa"/>
            <w:vMerge w:val="restart"/>
            <w:noWrap w:val="0"/>
            <w:vAlign w:val="center"/>
          </w:tcPr>
          <w:p w14:paraId="013779B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2.2.4</w:t>
            </w:r>
          </w:p>
          <w:p w14:paraId="7378837E">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585" w:type="dxa"/>
            <w:vMerge w:val="restart"/>
            <w:noWrap w:val="0"/>
            <w:vAlign w:val="center"/>
          </w:tcPr>
          <w:p w14:paraId="2754435F">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监理大纲</w:t>
            </w:r>
          </w:p>
        </w:tc>
        <w:tc>
          <w:tcPr>
            <w:tcW w:w="806" w:type="dxa"/>
            <w:vMerge w:val="restart"/>
            <w:noWrap w:val="0"/>
            <w:vAlign w:val="center"/>
          </w:tcPr>
          <w:p w14:paraId="461EADB4">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40</w:t>
            </w:r>
            <w:r>
              <w:rPr>
                <w:rFonts w:hint="eastAsia" w:ascii="宋体" w:hAnsi="宋体" w:eastAsia="宋体" w:cs="宋体"/>
                <w:color w:val="000000"/>
                <w:sz w:val="24"/>
                <w:highlight w:val="none"/>
              </w:rPr>
              <w:t>分</w:t>
            </w:r>
          </w:p>
        </w:tc>
        <w:tc>
          <w:tcPr>
            <w:tcW w:w="1144" w:type="dxa"/>
            <w:noWrap w:val="0"/>
            <w:vAlign w:val="center"/>
          </w:tcPr>
          <w:p w14:paraId="77988B27">
            <w:pPr>
              <w:pStyle w:val="16"/>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主要监理岗位职责</w:t>
            </w:r>
          </w:p>
        </w:tc>
        <w:tc>
          <w:tcPr>
            <w:tcW w:w="915" w:type="dxa"/>
            <w:noWrap w:val="0"/>
            <w:vAlign w:val="center"/>
          </w:tcPr>
          <w:p w14:paraId="61A5C7C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u w:val="single"/>
              </w:rPr>
              <w:t>10</w:t>
            </w:r>
            <w:r>
              <w:rPr>
                <w:rFonts w:hint="eastAsia" w:ascii="宋体" w:hAnsi="宋体" w:eastAsia="宋体" w:cs="宋体"/>
                <w:color w:val="000000"/>
                <w:sz w:val="24"/>
                <w:highlight w:val="none"/>
              </w:rPr>
              <w:t>分</w:t>
            </w:r>
          </w:p>
        </w:tc>
        <w:tc>
          <w:tcPr>
            <w:tcW w:w="4545" w:type="dxa"/>
            <w:noWrap w:val="0"/>
            <w:vAlign w:val="center"/>
          </w:tcPr>
          <w:p w14:paraId="566A530E">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依据监理合同中约定的监理服务的要求和范围，对拟投监理标段的监理工作安排、主要监理人员的岗位职责进行必要的阐述，现场监理机构设置与人员安排等</w:t>
            </w:r>
            <w:r>
              <w:rPr>
                <w:rFonts w:ascii="宋体" w:hAnsi="宋体" w:eastAsia="宋体" w:cs="宋体"/>
                <w:color w:val="000000"/>
                <w:sz w:val="24"/>
                <w:highlight w:val="none"/>
              </w:rPr>
              <w:t>。</w:t>
            </w:r>
            <w:r>
              <w:rPr>
                <w:rFonts w:hint="eastAsia" w:ascii="宋体" w:hAnsi="宋体" w:eastAsia="宋体" w:cs="宋体"/>
                <w:color w:val="000000"/>
                <w:sz w:val="24"/>
                <w:highlight w:val="none"/>
              </w:rPr>
              <w:t>优</w:t>
            </w:r>
            <w:r>
              <w:rPr>
                <w:rFonts w:ascii="宋体" w:hAnsi="宋体" w:eastAsia="宋体" w:cs="宋体"/>
                <w:color w:val="000000"/>
                <w:sz w:val="24"/>
                <w:highlight w:val="none"/>
              </w:rPr>
              <w:t>10分，良(10-</w:t>
            </w:r>
            <w:r>
              <w:rPr>
                <w:rFonts w:hint="eastAsia" w:ascii="宋体" w:hAnsi="宋体" w:eastAsia="宋体" w:cs="宋体"/>
                <w:color w:val="000000"/>
                <w:sz w:val="24"/>
                <w:highlight w:val="none"/>
              </w:rPr>
              <w:t>8</w:t>
            </w:r>
            <w:r>
              <w:rPr>
                <w:rFonts w:ascii="宋体" w:hAnsi="宋体" w:eastAsia="宋体" w:cs="宋体"/>
                <w:color w:val="000000"/>
                <w:sz w:val="24"/>
                <w:highlight w:val="none"/>
              </w:rPr>
              <w:t>]分，一般(</w:t>
            </w:r>
            <w:r>
              <w:rPr>
                <w:rFonts w:hint="eastAsia" w:ascii="宋体" w:hAnsi="宋体" w:eastAsia="宋体" w:cs="宋体"/>
                <w:color w:val="000000"/>
                <w:sz w:val="24"/>
                <w:highlight w:val="none"/>
              </w:rPr>
              <w:t>8</w:t>
            </w:r>
            <w:r>
              <w:rPr>
                <w:rFonts w:ascii="宋体" w:hAnsi="宋体" w:eastAsia="宋体" w:cs="宋体"/>
                <w:color w:val="000000"/>
                <w:sz w:val="24"/>
                <w:highlight w:val="none"/>
              </w:rPr>
              <w:t>-</w:t>
            </w:r>
            <w:r>
              <w:rPr>
                <w:rFonts w:hint="eastAsia" w:ascii="宋体" w:hAnsi="宋体" w:eastAsia="宋体" w:cs="宋体"/>
                <w:color w:val="000000"/>
                <w:sz w:val="24"/>
                <w:highlight w:val="none"/>
              </w:rPr>
              <w:t>6</w:t>
            </w:r>
            <w:r>
              <w:rPr>
                <w:rFonts w:ascii="宋体" w:hAnsi="宋体" w:eastAsia="宋体" w:cs="宋体"/>
                <w:color w:val="000000"/>
                <w:sz w:val="24"/>
                <w:highlight w:val="none"/>
              </w:rPr>
              <w:t>]分。缺少</w:t>
            </w:r>
            <w:r>
              <w:rPr>
                <w:rFonts w:hint="eastAsia" w:ascii="宋体" w:hAnsi="宋体" w:eastAsia="宋体" w:cs="宋体"/>
                <w:color w:val="000000"/>
                <w:sz w:val="24"/>
                <w:highlight w:val="none"/>
              </w:rPr>
              <w:t>该项不得分。</w:t>
            </w:r>
          </w:p>
        </w:tc>
      </w:tr>
      <w:tr w14:paraId="76F4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065" w:type="dxa"/>
            <w:vMerge w:val="continue"/>
            <w:noWrap w:val="0"/>
            <w:vAlign w:val="center"/>
          </w:tcPr>
          <w:p w14:paraId="0958B48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p>
        </w:tc>
        <w:tc>
          <w:tcPr>
            <w:tcW w:w="585" w:type="dxa"/>
            <w:vMerge w:val="continue"/>
            <w:noWrap w:val="0"/>
            <w:vAlign w:val="center"/>
          </w:tcPr>
          <w:p w14:paraId="7C9E55C4">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p>
        </w:tc>
        <w:tc>
          <w:tcPr>
            <w:tcW w:w="806" w:type="dxa"/>
            <w:vMerge w:val="continue"/>
            <w:noWrap w:val="0"/>
            <w:vAlign w:val="center"/>
          </w:tcPr>
          <w:p w14:paraId="573FB428">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right"/>
              <w:textAlignment w:val="auto"/>
              <w:rPr>
                <w:rFonts w:ascii="宋体" w:hAnsi="宋体" w:eastAsia="宋体" w:cs="宋体"/>
                <w:color w:val="000000"/>
                <w:sz w:val="24"/>
                <w:highlight w:val="none"/>
                <w:u w:val="single"/>
              </w:rPr>
            </w:pPr>
          </w:p>
        </w:tc>
        <w:tc>
          <w:tcPr>
            <w:tcW w:w="1144" w:type="dxa"/>
            <w:noWrap w:val="0"/>
            <w:vAlign w:val="center"/>
          </w:tcPr>
          <w:p w14:paraId="3608AFC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对本工程监理的重点难点分析及对策</w:t>
            </w:r>
          </w:p>
        </w:tc>
        <w:tc>
          <w:tcPr>
            <w:tcW w:w="915" w:type="dxa"/>
            <w:noWrap w:val="0"/>
            <w:vAlign w:val="center"/>
          </w:tcPr>
          <w:p w14:paraId="40C5575B">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u w:val="single"/>
              </w:rPr>
              <w:t>10</w:t>
            </w:r>
            <w:r>
              <w:rPr>
                <w:rFonts w:hint="eastAsia" w:ascii="宋体" w:hAnsi="宋体" w:eastAsia="宋体" w:cs="宋体"/>
                <w:color w:val="000000"/>
                <w:sz w:val="24"/>
                <w:highlight w:val="none"/>
              </w:rPr>
              <w:t>分</w:t>
            </w:r>
          </w:p>
        </w:tc>
        <w:tc>
          <w:tcPr>
            <w:tcW w:w="4545" w:type="dxa"/>
            <w:noWrap w:val="0"/>
            <w:vAlign w:val="center"/>
          </w:tcPr>
          <w:p w14:paraId="2AC2536B">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对本工程监理的重点难点分析及对策：针对本工程难点分析，根据招标文件及现场考察，对本工程监理工作需要特别给予重视的问题逐一论述并给出解决方法。优</w:t>
            </w:r>
            <w:r>
              <w:rPr>
                <w:rFonts w:ascii="宋体" w:hAnsi="宋体" w:eastAsia="宋体" w:cs="宋体"/>
                <w:color w:val="000000"/>
                <w:sz w:val="24"/>
                <w:highlight w:val="none"/>
              </w:rPr>
              <w:t>10分，良(10-</w:t>
            </w:r>
            <w:r>
              <w:rPr>
                <w:rFonts w:hint="eastAsia" w:ascii="宋体" w:hAnsi="宋体" w:eastAsia="宋体" w:cs="宋体"/>
                <w:color w:val="000000"/>
                <w:sz w:val="24"/>
                <w:highlight w:val="none"/>
              </w:rPr>
              <w:t>8</w:t>
            </w:r>
            <w:r>
              <w:rPr>
                <w:rFonts w:ascii="宋体" w:hAnsi="宋体" w:eastAsia="宋体" w:cs="宋体"/>
                <w:color w:val="000000"/>
                <w:sz w:val="24"/>
                <w:highlight w:val="none"/>
              </w:rPr>
              <w:t>]分，一般(</w:t>
            </w:r>
            <w:r>
              <w:rPr>
                <w:rFonts w:hint="eastAsia" w:ascii="宋体" w:hAnsi="宋体" w:eastAsia="宋体" w:cs="宋体"/>
                <w:color w:val="000000"/>
                <w:sz w:val="24"/>
                <w:highlight w:val="none"/>
              </w:rPr>
              <w:t>8</w:t>
            </w:r>
            <w:r>
              <w:rPr>
                <w:rFonts w:ascii="宋体" w:hAnsi="宋体" w:eastAsia="宋体" w:cs="宋体"/>
                <w:color w:val="000000"/>
                <w:sz w:val="24"/>
                <w:highlight w:val="none"/>
              </w:rPr>
              <w:t>-</w:t>
            </w:r>
            <w:r>
              <w:rPr>
                <w:rFonts w:hint="eastAsia" w:ascii="宋体" w:hAnsi="宋体" w:eastAsia="宋体" w:cs="宋体"/>
                <w:color w:val="000000"/>
                <w:sz w:val="24"/>
                <w:highlight w:val="none"/>
              </w:rPr>
              <w:t>6</w:t>
            </w:r>
            <w:r>
              <w:rPr>
                <w:rFonts w:ascii="宋体" w:hAnsi="宋体" w:eastAsia="宋体" w:cs="宋体"/>
                <w:color w:val="000000"/>
                <w:sz w:val="24"/>
                <w:highlight w:val="none"/>
              </w:rPr>
              <w:t>]分。缺少</w:t>
            </w:r>
            <w:r>
              <w:rPr>
                <w:rFonts w:hint="eastAsia" w:ascii="宋体" w:hAnsi="宋体" w:eastAsia="宋体" w:cs="宋体"/>
                <w:color w:val="000000"/>
                <w:sz w:val="24"/>
                <w:highlight w:val="none"/>
              </w:rPr>
              <w:t>该项不得分。</w:t>
            </w:r>
          </w:p>
        </w:tc>
      </w:tr>
      <w:tr w14:paraId="2C11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1065" w:type="dxa"/>
            <w:vMerge w:val="continue"/>
            <w:noWrap w:val="0"/>
            <w:vAlign w:val="center"/>
          </w:tcPr>
          <w:p w14:paraId="7A1992F8">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p>
        </w:tc>
        <w:tc>
          <w:tcPr>
            <w:tcW w:w="585" w:type="dxa"/>
            <w:vMerge w:val="continue"/>
            <w:noWrap w:val="0"/>
            <w:vAlign w:val="center"/>
          </w:tcPr>
          <w:p w14:paraId="21907E1B">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p>
        </w:tc>
        <w:tc>
          <w:tcPr>
            <w:tcW w:w="806" w:type="dxa"/>
            <w:vMerge w:val="continue"/>
            <w:noWrap w:val="0"/>
            <w:vAlign w:val="center"/>
          </w:tcPr>
          <w:p w14:paraId="2C3C09B9">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right"/>
              <w:textAlignment w:val="auto"/>
              <w:rPr>
                <w:rFonts w:ascii="宋体" w:hAnsi="宋体" w:eastAsia="宋体" w:cs="宋体"/>
                <w:color w:val="000000"/>
                <w:sz w:val="24"/>
                <w:highlight w:val="none"/>
                <w:u w:val="single"/>
              </w:rPr>
            </w:pPr>
          </w:p>
        </w:tc>
        <w:tc>
          <w:tcPr>
            <w:tcW w:w="1144" w:type="dxa"/>
            <w:noWrap w:val="0"/>
            <w:vAlign w:val="center"/>
          </w:tcPr>
          <w:p w14:paraId="37C5FCF8">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监理工作的程序与措施</w:t>
            </w:r>
          </w:p>
        </w:tc>
        <w:tc>
          <w:tcPr>
            <w:tcW w:w="915" w:type="dxa"/>
            <w:noWrap w:val="0"/>
            <w:vAlign w:val="center"/>
          </w:tcPr>
          <w:p w14:paraId="2F5115E9">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10</w:t>
            </w:r>
            <w:r>
              <w:rPr>
                <w:rFonts w:hint="eastAsia" w:ascii="宋体" w:hAnsi="宋体" w:eastAsia="宋体" w:cs="宋体"/>
                <w:color w:val="000000"/>
                <w:sz w:val="24"/>
                <w:highlight w:val="none"/>
              </w:rPr>
              <w:t>分</w:t>
            </w:r>
          </w:p>
        </w:tc>
        <w:tc>
          <w:tcPr>
            <w:tcW w:w="4545" w:type="dxa"/>
            <w:noWrap w:val="0"/>
            <w:vAlign w:val="center"/>
          </w:tcPr>
          <w:p w14:paraId="3EFA04B0">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结合监理工作的阶段划分，对工程质量控制、进度控制、施工安全控制、施工环境保护、费用控制、合同及其他事项管理、文件资料管理等方面，进行监理工作的方法与流程的简要阐述。以及对拟投入本工程的监理仪器、设备和设施的配备进行说明</w:t>
            </w:r>
            <w:r>
              <w:rPr>
                <w:rFonts w:ascii="宋体" w:hAnsi="宋体" w:eastAsia="宋体" w:cs="宋体"/>
                <w:color w:val="000000"/>
                <w:sz w:val="24"/>
                <w:highlight w:val="none"/>
              </w:rPr>
              <w:t>。</w:t>
            </w:r>
            <w:r>
              <w:rPr>
                <w:rFonts w:hint="eastAsia" w:ascii="宋体" w:hAnsi="宋体" w:eastAsia="宋体" w:cs="宋体"/>
                <w:color w:val="000000"/>
                <w:sz w:val="24"/>
                <w:highlight w:val="none"/>
              </w:rPr>
              <w:t>优</w:t>
            </w:r>
            <w:r>
              <w:rPr>
                <w:rFonts w:ascii="宋体" w:hAnsi="宋体" w:eastAsia="宋体" w:cs="宋体"/>
                <w:color w:val="000000"/>
                <w:sz w:val="24"/>
                <w:highlight w:val="none"/>
              </w:rPr>
              <w:t>10分，良(10-</w:t>
            </w:r>
            <w:r>
              <w:rPr>
                <w:rFonts w:hint="eastAsia" w:ascii="宋体" w:hAnsi="宋体" w:eastAsia="宋体" w:cs="宋体"/>
                <w:color w:val="000000"/>
                <w:sz w:val="24"/>
                <w:highlight w:val="none"/>
              </w:rPr>
              <w:t>8</w:t>
            </w:r>
            <w:r>
              <w:rPr>
                <w:rFonts w:ascii="宋体" w:hAnsi="宋体" w:eastAsia="宋体" w:cs="宋体"/>
                <w:color w:val="000000"/>
                <w:sz w:val="24"/>
                <w:highlight w:val="none"/>
              </w:rPr>
              <w:t>]分，一般(</w:t>
            </w:r>
            <w:r>
              <w:rPr>
                <w:rFonts w:hint="eastAsia" w:ascii="宋体" w:hAnsi="宋体" w:eastAsia="宋体" w:cs="宋体"/>
                <w:color w:val="000000"/>
                <w:sz w:val="24"/>
                <w:highlight w:val="none"/>
              </w:rPr>
              <w:t>8</w:t>
            </w:r>
            <w:r>
              <w:rPr>
                <w:rFonts w:ascii="宋体" w:hAnsi="宋体" w:eastAsia="宋体" w:cs="宋体"/>
                <w:color w:val="000000"/>
                <w:sz w:val="24"/>
                <w:highlight w:val="none"/>
              </w:rPr>
              <w:t>-</w:t>
            </w:r>
            <w:r>
              <w:rPr>
                <w:rFonts w:hint="eastAsia" w:ascii="宋体" w:hAnsi="宋体" w:eastAsia="宋体" w:cs="宋体"/>
                <w:color w:val="000000"/>
                <w:sz w:val="24"/>
                <w:highlight w:val="none"/>
              </w:rPr>
              <w:t>6</w:t>
            </w:r>
            <w:r>
              <w:rPr>
                <w:rFonts w:ascii="宋体" w:hAnsi="宋体" w:eastAsia="宋体" w:cs="宋体"/>
                <w:color w:val="000000"/>
                <w:sz w:val="24"/>
                <w:highlight w:val="none"/>
              </w:rPr>
              <w:t>]分。缺少</w:t>
            </w:r>
            <w:r>
              <w:rPr>
                <w:rFonts w:hint="eastAsia" w:ascii="宋体" w:hAnsi="宋体" w:eastAsia="宋体" w:cs="宋体"/>
                <w:color w:val="000000"/>
                <w:sz w:val="24"/>
                <w:highlight w:val="none"/>
              </w:rPr>
              <w:t>该项不得分。</w:t>
            </w:r>
          </w:p>
        </w:tc>
      </w:tr>
      <w:tr w14:paraId="6425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065" w:type="dxa"/>
            <w:vMerge w:val="continue"/>
            <w:noWrap w:val="0"/>
            <w:vAlign w:val="center"/>
          </w:tcPr>
          <w:p w14:paraId="0C23D952">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p>
        </w:tc>
        <w:tc>
          <w:tcPr>
            <w:tcW w:w="585" w:type="dxa"/>
            <w:vMerge w:val="continue"/>
            <w:noWrap w:val="0"/>
            <w:vAlign w:val="center"/>
          </w:tcPr>
          <w:p w14:paraId="447B4FD4">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p>
        </w:tc>
        <w:tc>
          <w:tcPr>
            <w:tcW w:w="806" w:type="dxa"/>
            <w:vMerge w:val="continue"/>
            <w:noWrap w:val="0"/>
            <w:vAlign w:val="center"/>
          </w:tcPr>
          <w:p w14:paraId="18B0601E">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right"/>
              <w:textAlignment w:val="auto"/>
              <w:rPr>
                <w:rFonts w:ascii="宋体" w:hAnsi="宋体" w:eastAsia="宋体" w:cs="宋体"/>
                <w:color w:val="000000"/>
                <w:sz w:val="24"/>
                <w:highlight w:val="none"/>
                <w:u w:val="single"/>
              </w:rPr>
            </w:pPr>
          </w:p>
        </w:tc>
        <w:tc>
          <w:tcPr>
            <w:tcW w:w="1144" w:type="dxa"/>
            <w:noWrap w:val="0"/>
            <w:vAlign w:val="center"/>
          </w:tcPr>
          <w:p w14:paraId="79DC525B">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对本工程的建议</w:t>
            </w:r>
          </w:p>
        </w:tc>
        <w:tc>
          <w:tcPr>
            <w:tcW w:w="915" w:type="dxa"/>
            <w:noWrap w:val="0"/>
            <w:vAlign w:val="center"/>
          </w:tcPr>
          <w:p w14:paraId="4F805F47">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10</w:t>
            </w:r>
            <w:r>
              <w:rPr>
                <w:rFonts w:hint="eastAsia" w:ascii="宋体" w:hAnsi="宋体" w:eastAsia="宋体" w:cs="宋体"/>
                <w:color w:val="000000"/>
                <w:sz w:val="24"/>
                <w:highlight w:val="none"/>
              </w:rPr>
              <w:t>分</w:t>
            </w:r>
          </w:p>
        </w:tc>
        <w:tc>
          <w:tcPr>
            <w:tcW w:w="4545" w:type="dxa"/>
            <w:noWrap w:val="0"/>
            <w:vAlign w:val="center"/>
          </w:tcPr>
          <w:p w14:paraId="3D9632F5">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针对本项目的疏浚工程、水工建筑工程、装卸工艺等工程情况，为更好地完成本工程的监理工作，监理人可根据以往的经验，对本工程监理工作提出针对性建议。优</w:t>
            </w:r>
            <w:r>
              <w:rPr>
                <w:rFonts w:ascii="宋体" w:hAnsi="宋体" w:eastAsia="宋体" w:cs="宋体"/>
                <w:color w:val="000000"/>
                <w:sz w:val="24"/>
                <w:highlight w:val="none"/>
              </w:rPr>
              <w:t>10分，良(10-</w:t>
            </w:r>
            <w:r>
              <w:rPr>
                <w:rFonts w:hint="eastAsia" w:ascii="宋体" w:hAnsi="宋体" w:eastAsia="宋体" w:cs="宋体"/>
                <w:color w:val="000000"/>
                <w:sz w:val="24"/>
                <w:highlight w:val="none"/>
              </w:rPr>
              <w:t>8</w:t>
            </w:r>
            <w:r>
              <w:rPr>
                <w:rFonts w:ascii="宋体" w:hAnsi="宋体" w:eastAsia="宋体" w:cs="宋体"/>
                <w:color w:val="000000"/>
                <w:sz w:val="24"/>
                <w:highlight w:val="none"/>
              </w:rPr>
              <w:t>]分，一般(</w:t>
            </w:r>
            <w:r>
              <w:rPr>
                <w:rFonts w:hint="eastAsia" w:ascii="宋体" w:hAnsi="宋体" w:eastAsia="宋体" w:cs="宋体"/>
                <w:color w:val="000000"/>
                <w:sz w:val="24"/>
                <w:highlight w:val="none"/>
              </w:rPr>
              <w:t>8</w:t>
            </w:r>
            <w:r>
              <w:rPr>
                <w:rFonts w:ascii="宋体" w:hAnsi="宋体" w:eastAsia="宋体" w:cs="宋体"/>
                <w:color w:val="000000"/>
                <w:sz w:val="24"/>
                <w:highlight w:val="none"/>
              </w:rPr>
              <w:t>-</w:t>
            </w:r>
            <w:r>
              <w:rPr>
                <w:rFonts w:hint="eastAsia" w:ascii="宋体" w:hAnsi="宋体" w:eastAsia="宋体" w:cs="宋体"/>
                <w:color w:val="000000"/>
                <w:sz w:val="24"/>
                <w:highlight w:val="none"/>
              </w:rPr>
              <w:t>6</w:t>
            </w:r>
            <w:r>
              <w:rPr>
                <w:rFonts w:ascii="宋体" w:hAnsi="宋体" w:eastAsia="宋体" w:cs="宋体"/>
                <w:color w:val="000000"/>
                <w:sz w:val="24"/>
                <w:highlight w:val="none"/>
              </w:rPr>
              <w:t>]分。缺少</w:t>
            </w:r>
            <w:r>
              <w:rPr>
                <w:rFonts w:hint="eastAsia" w:ascii="宋体" w:hAnsi="宋体" w:eastAsia="宋体" w:cs="宋体"/>
                <w:color w:val="000000"/>
                <w:sz w:val="24"/>
                <w:highlight w:val="none"/>
              </w:rPr>
              <w:t>该项不得分。</w:t>
            </w:r>
          </w:p>
        </w:tc>
      </w:tr>
      <w:tr w14:paraId="07E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restart"/>
            <w:noWrap w:val="0"/>
            <w:vAlign w:val="center"/>
          </w:tcPr>
          <w:p w14:paraId="28F46D5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2.2.4</w:t>
            </w:r>
          </w:p>
          <w:p w14:paraId="3532011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585" w:type="dxa"/>
            <w:vMerge w:val="restart"/>
            <w:noWrap w:val="0"/>
            <w:vAlign w:val="center"/>
          </w:tcPr>
          <w:p w14:paraId="2AAFCB59">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主要人员</w:t>
            </w:r>
          </w:p>
        </w:tc>
        <w:tc>
          <w:tcPr>
            <w:tcW w:w="806" w:type="dxa"/>
            <w:vMerge w:val="restart"/>
            <w:noWrap w:val="0"/>
            <w:vAlign w:val="center"/>
          </w:tcPr>
          <w:p w14:paraId="1278A010">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u w:val="single"/>
              </w:rPr>
              <w:t>22</w:t>
            </w:r>
            <w:r>
              <w:rPr>
                <w:rFonts w:hint="eastAsia" w:ascii="宋体" w:hAnsi="宋体" w:eastAsia="宋体" w:cs="宋体"/>
                <w:color w:val="000000"/>
                <w:sz w:val="24"/>
                <w:highlight w:val="none"/>
              </w:rPr>
              <w:t>分</w:t>
            </w:r>
          </w:p>
        </w:tc>
        <w:tc>
          <w:tcPr>
            <w:tcW w:w="1144" w:type="dxa"/>
            <w:noWrap w:val="0"/>
            <w:vAlign w:val="center"/>
          </w:tcPr>
          <w:p w14:paraId="59BC1012">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总监理工程师</w:t>
            </w:r>
          </w:p>
        </w:tc>
        <w:tc>
          <w:tcPr>
            <w:tcW w:w="915" w:type="dxa"/>
            <w:noWrap w:val="0"/>
            <w:vAlign w:val="center"/>
          </w:tcPr>
          <w:p w14:paraId="17E2DB1E">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20分</w:t>
            </w:r>
          </w:p>
        </w:tc>
        <w:tc>
          <w:tcPr>
            <w:tcW w:w="4545" w:type="dxa"/>
            <w:noWrap w:val="0"/>
            <w:vAlign w:val="center"/>
          </w:tcPr>
          <w:p w14:paraId="2F99C13F">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1.满足资格审查要求的，得5分。</w:t>
            </w:r>
          </w:p>
          <w:p w14:paraId="539D00C6">
            <w:pPr>
              <w:keepNext w:val="0"/>
              <w:keepLines w:val="0"/>
              <w:pageBreakBefore w:val="0"/>
              <w:widowControl w:val="0"/>
              <w:tabs>
                <w:tab w:val="left" w:pos="312"/>
              </w:tabs>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olor w:val="000000"/>
                <w:sz w:val="24"/>
                <w:highlight w:val="none"/>
              </w:rPr>
            </w:pPr>
            <w:r>
              <w:rPr>
                <w:rFonts w:hint="eastAsia" w:ascii="宋体" w:hAnsi="宋体" w:eastAsia="宋体" w:cs="宋体"/>
                <w:color w:val="000000"/>
                <w:sz w:val="24"/>
                <w:highlight w:val="none"/>
              </w:rPr>
              <w:t>2.</w:t>
            </w:r>
            <w:r>
              <w:rPr>
                <w:rFonts w:ascii="宋体" w:hAnsi="宋体" w:eastAsia="宋体" w:cs="宋体"/>
                <w:color w:val="000000"/>
                <w:sz w:val="24"/>
                <w:highlight w:val="none"/>
              </w:rPr>
              <w:t>具有水</w:t>
            </w:r>
            <w:r>
              <w:rPr>
                <w:rFonts w:hint="eastAsia" w:ascii="宋体" w:hAnsi="宋体" w:eastAsia="宋体" w:cs="宋体"/>
                <w:color w:val="000000"/>
                <w:sz w:val="24"/>
                <w:highlight w:val="none"/>
              </w:rPr>
              <w:t>运工程系列高级或以上职称</w:t>
            </w:r>
            <w:r>
              <w:rPr>
                <w:rFonts w:ascii="宋体" w:hAnsi="宋体" w:eastAsia="宋体" w:cs="宋体"/>
                <w:color w:val="000000"/>
                <w:sz w:val="24"/>
                <w:highlight w:val="none"/>
              </w:rPr>
              <w:t>的得</w:t>
            </w:r>
            <w:r>
              <w:rPr>
                <w:rFonts w:hint="eastAsia" w:ascii="宋体" w:hAnsi="宋体" w:eastAsia="宋体" w:cs="宋体"/>
                <w:color w:val="000000"/>
                <w:sz w:val="24"/>
                <w:highlight w:val="none"/>
              </w:rPr>
              <w:t>10</w:t>
            </w:r>
            <w:r>
              <w:rPr>
                <w:rFonts w:ascii="宋体" w:hAnsi="宋体" w:eastAsia="宋体" w:cs="宋体"/>
                <w:color w:val="000000"/>
                <w:sz w:val="24"/>
                <w:highlight w:val="none"/>
              </w:rPr>
              <w:t>分；</w:t>
            </w:r>
            <w:r>
              <w:rPr>
                <w:rFonts w:ascii="宋体" w:hAnsi="宋体" w:eastAsia="宋体" w:cs="宋体"/>
                <w:color w:val="000000"/>
                <w:sz w:val="24"/>
                <w:highlight w:val="none"/>
              </w:rPr>
              <w:cr/>
            </w:r>
            <w:r>
              <w:rPr>
                <w:rFonts w:hint="eastAsia" w:ascii="宋体" w:hAnsi="宋体" w:eastAsia="宋体" w:cs="宋体"/>
                <w:color w:val="000000"/>
                <w:sz w:val="24"/>
                <w:highlight w:val="none"/>
              </w:rPr>
              <w:t>3.自</w:t>
            </w:r>
            <w:r>
              <w:rPr>
                <w:rFonts w:ascii="宋体" w:hAnsi="宋体" w:eastAsia="宋体" w:cs="宋体"/>
                <w:color w:val="000000"/>
                <w:sz w:val="24"/>
                <w:highlight w:val="none"/>
              </w:rPr>
              <w:t>2020年1月1日至投</w:t>
            </w:r>
            <w:r>
              <w:rPr>
                <w:rFonts w:hint="eastAsia" w:ascii="宋体" w:hAnsi="宋体" w:eastAsia="宋体" w:cs="宋体"/>
                <w:color w:val="000000"/>
                <w:sz w:val="24"/>
                <w:highlight w:val="none"/>
              </w:rPr>
              <w:t>标文件递交截止日（以交工验收或无交工验收一次性竣工验收的时间为准），担任过5万</w:t>
            </w:r>
            <w:r>
              <w:rPr>
                <w:rFonts w:ascii="宋体" w:hAnsi="宋体" w:eastAsia="宋体" w:cs="宋体"/>
                <w:color w:val="000000"/>
                <w:sz w:val="24"/>
                <w:highlight w:val="none"/>
              </w:rPr>
              <w:t>吨</w:t>
            </w:r>
            <w:r>
              <w:rPr>
                <w:rFonts w:hint="eastAsia" w:ascii="宋体" w:hAnsi="宋体" w:eastAsia="宋体" w:cs="宋体"/>
                <w:color w:val="000000"/>
                <w:sz w:val="24"/>
                <w:highlight w:val="none"/>
              </w:rPr>
              <w:t>级或以上码头新建、改建或扩建工程总监理工程师或副总监理工程师或总监代表的监理业绩的，提供一个以上得5分，最高得5分。</w:t>
            </w:r>
            <w:r>
              <w:rPr>
                <w:rFonts w:hint="eastAsia" w:ascii="宋体" w:hAnsi="宋体" w:eastAsia="宋体"/>
                <w:color w:val="000000"/>
                <w:sz w:val="24"/>
                <w:highlight w:val="none"/>
              </w:rPr>
              <w:t>用于资格审查的业绩不参与评分。</w:t>
            </w:r>
          </w:p>
          <w:p w14:paraId="3E670EC2">
            <w:pPr>
              <w:keepNext w:val="0"/>
              <w:keepLines w:val="0"/>
              <w:pageBreakBefore w:val="0"/>
              <w:widowControl w:val="0"/>
              <w:tabs>
                <w:tab w:val="left" w:pos="312"/>
              </w:tabs>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olor w:val="000000"/>
                <w:sz w:val="24"/>
                <w:highlight w:val="none"/>
              </w:rPr>
            </w:pPr>
            <w:r>
              <w:rPr>
                <w:rFonts w:hint="eastAsia" w:ascii="宋体" w:hAnsi="宋体" w:eastAsia="宋体"/>
                <w:color w:val="000000"/>
                <w:sz w:val="24"/>
                <w:highlight w:val="none"/>
              </w:rPr>
              <w:t>注：业绩证明材料要求以投标人须知前附表-需要补充的其他内容3.5.4为准。</w:t>
            </w:r>
          </w:p>
        </w:tc>
      </w:tr>
      <w:tr w14:paraId="13A3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continue"/>
            <w:noWrap w:val="0"/>
            <w:vAlign w:val="center"/>
          </w:tcPr>
          <w:p w14:paraId="5213FEB6">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p>
        </w:tc>
        <w:tc>
          <w:tcPr>
            <w:tcW w:w="585" w:type="dxa"/>
            <w:vMerge w:val="continue"/>
            <w:noWrap w:val="0"/>
            <w:vAlign w:val="center"/>
          </w:tcPr>
          <w:p w14:paraId="0F24677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p>
        </w:tc>
        <w:tc>
          <w:tcPr>
            <w:tcW w:w="806" w:type="dxa"/>
            <w:vMerge w:val="continue"/>
            <w:noWrap w:val="0"/>
            <w:vAlign w:val="center"/>
          </w:tcPr>
          <w:p w14:paraId="16EE5D10">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u w:val="single"/>
              </w:rPr>
            </w:pPr>
          </w:p>
        </w:tc>
        <w:tc>
          <w:tcPr>
            <w:tcW w:w="1144" w:type="dxa"/>
            <w:noWrap w:val="0"/>
            <w:vAlign w:val="center"/>
          </w:tcPr>
          <w:p w14:paraId="12419452">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其他主要监理人员</w:t>
            </w:r>
          </w:p>
        </w:tc>
        <w:tc>
          <w:tcPr>
            <w:tcW w:w="915" w:type="dxa"/>
            <w:noWrap w:val="0"/>
            <w:vAlign w:val="center"/>
          </w:tcPr>
          <w:p w14:paraId="7C1FFB7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2</w:t>
            </w:r>
            <w:r>
              <w:rPr>
                <w:rFonts w:hint="eastAsia" w:ascii="宋体" w:hAnsi="宋体" w:eastAsia="宋体" w:cs="宋体"/>
                <w:color w:val="000000"/>
                <w:sz w:val="24"/>
                <w:highlight w:val="none"/>
              </w:rPr>
              <w:t>分</w:t>
            </w:r>
          </w:p>
        </w:tc>
        <w:tc>
          <w:tcPr>
            <w:tcW w:w="4545" w:type="dxa"/>
            <w:noWrap w:val="0"/>
            <w:vAlign w:val="center"/>
          </w:tcPr>
          <w:p w14:paraId="7F9AE11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4" w:name="OLE_LINK1"/>
            <w:r>
              <w:rPr>
                <w:rFonts w:hint="eastAsia" w:ascii="宋体" w:hAnsi="宋体" w:eastAsia="宋体" w:cs="宋体"/>
                <w:color w:val="000000"/>
                <w:sz w:val="24"/>
                <w:highlight w:val="none"/>
              </w:rPr>
              <w:t>测量专业监理工程师</w:t>
            </w:r>
            <w:bookmarkEnd w:id="4"/>
            <w:r>
              <w:rPr>
                <w:rFonts w:hint="eastAsia" w:ascii="宋体" w:hAnsi="宋体" w:eastAsia="宋体" w:cs="宋体"/>
                <w:color w:val="000000"/>
                <w:sz w:val="24"/>
                <w:highlight w:val="none"/>
              </w:rPr>
              <w:t>具有工</w:t>
            </w:r>
            <w:r>
              <w:rPr>
                <w:rFonts w:ascii="宋体" w:hAnsi="宋体" w:eastAsia="宋体" w:cs="宋体"/>
                <w:color w:val="000000"/>
                <w:sz w:val="24"/>
                <w:highlight w:val="none"/>
              </w:rPr>
              <w:t>程系列高</w:t>
            </w:r>
            <w:r>
              <w:rPr>
                <w:rFonts w:hint="eastAsia" w:ascii="宋体" w:hAnsi="宋体" w:eastAsia="宋体" w:cs="宋体"/>
                <w:color w:val="000000"/>
                <w:sz w:val="24"/>
                <w:highlight w:val="none"/>
              </w:rPr>
              <w:t>级（含）以上职称或注册测绘师资格证书的，得1分；</w:t>
            </w:r>
          </w:p>
          <w:p w14:paraId="27E8DBE6">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2.机电专业监理工程师具有工</w:t>
            </w:r>
            <w:r>
              <w:rPr>
                <w:rFonts w:ascii="宋体" w:hAnsi="宋体" w:eastAsia="宋体" w:cs="宋体"/>
                <w:color w:val="000000"/>
                <w:sz w:val="24"/>
                <w:highlight w:val="none"/>
              </w:rPr>
              <w:t>程系列高</w:t>
            </w:r>
            <w:r>
              <w:rPr>
                <w:rFonts w:hint="eastAsia" w:ascii="宋体" w:hAnsi="宋体" w:eastAsia="宋体" w:cs="宋体"/>
                <w:color w:val="000000"/>
                <w:sz w:val="24"/>
                <w:highlight w:val="none"/>
              </w:rPr>
              <w:t>级（含）以上职称或住建部机电安装工程专业监理工程师注册证书的，得1分。</w:t>
            </w:r>
          </w:p>
        </w:tc>
      </w:tr>
      <w:tr w14:paraId="24CD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065" w:type="dxa"/>
            <w:noWrap w:val="0"/>
            <w:vAlign w:val="center"/>
          </w:tcPr>
          <w:p w14:paraId="50F4ED2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2.2.4</w:t>
            </w:r>
          </w:p>
          <w:p w14:paraId="35B97D96">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585" w:type="dxa"/>
            <w:noWrap w:val="0"/>
            <w:vAlign w:val="center"/>
          </w:tcPr>
          <w:p w14:paraId="28D53B2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评标价</w:t>
            </w:r>
          </w:p>
        </w:tc>
        <w:tc>
          <w:tcPr>
            <w:tcW w:w="806" w:type="dxa"/>
            <w:noWrap w:val="0"/>
            <w:vAlign w:val="center"/>
          </w:tcPr>
          <w:p w14:paraId="4EF7135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u w:val="single"/>
              </w:rPr>
              <w:t>15</w:t>
            </w:r>
            <w:r>
              <w:rPr>
                <w:rFonts w:hint="eastAsia" w:ascii="宋体" w:hAnsi="宋体" w:eastAsia="宋体" w:cs="宋体"/>
                <w:color w:val="000000"/>
                <w:sz w:val="24"/>
                <w:highlight w:val="none"/>
              </w:rPr>
              <w:t>分</w:t>
            </w:r>
          </w:p>
        </w:tc>
        <w:tc>
          <w:tcPr>
            <w:tcW w:w="6604" w:type="dxa"/>
            <w:gridSpan w:val="3"/>
            <w:noWrap w:val="0"/>
            <w:vAlign w:val="center"/>
          </w:tcPr>
          <w:p w14:paraId="6A9F6BF5">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olor w:val="000000"/>
                <w:sz w:val="24"/>
                <w:highlight w:val="none"/>
              </w:rPr>
            </w:pPr>
            <w:r>
              <w:rPr>
                <w:rFonts w:ascii="宋体" w:hAnsi="宋体" w:eastAsia="宋体"/>
                <w:color w:val="000000"/>
                <w:sz w:val="24"/>
                <w:highlight w:val="none"/>
              </w:rPr>
              <w:t>评标价得分计算公式示例：</w:t>
            </w:r>
          </w:p>
          <w:p w14:paraId="55038B6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olor w:val="000000"/>
                <w:sz w:val="24"/>
                <w:highlight w:val="none"/>
              </w:rPr>
            </w:pPr>
            <w:r>
              <w:rPr>
                <w:rFonts w:ascii="宋体" w:hAnsi="宋体" w:eastAsia="宋体"/>
                <w:color w:val="000000"/>
                <w:sz w:val="24"/>
                <w:highlight w:val="none"/>
              </w:rPr>
              <w:t>如果投标人的评标价&gt;评标基准价，则评标价得分＝F－偏差率×100×</w:t>
            </w:r>
            <w:r>
              <w:rPr>
                <w:rFonts w:hint="eastAsia" w:ascii="宋体" w:hAnsi="宋体" w:eastAsia="宋体"/>
                <w:color w:val="000000"/>
                <w:sz w:val="24"/>
                <w:highlight w:val="none"/>
              </w:rPr>
              <w:t>D1</w:t>
            </w:r>
            <w:r>
              <w:rPr>
                <w:rFonts w:ascii="宋体" w:hAnsi="宋体" w:eastAsia="宋体"/>
                <w:color w:val="000000"/>
                <w:sz w:val="24"/>
                <w:highlight w:val="none"/>
              </w:rPr>
              <w:t>；</w:t>
            </w:r>
          </w:p>
          <w:p w14:paraId="33424CC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olor w:val="000000"/>
                <w:sz w:val="24"/>
                <w:highlight w:val="none"/>
              </w:rPr>
            </w:pPr>
            <w:r>
              <w:rPr>
                <w:rFonts w:ascii="宋体" w:hAnsi="宋体" w:eastAsia="宋体"/>
                <w:color w:val="000000"/>
                <w:sz w:val="24"/>
                <w:highlight w:val="none"/>
              </w:rPr>
              <w:t>如果投标人的评标价≤评标基准价，则评标价得分＝F＋偏差率×100×</w:t>
            </w:r>
            <w:r>
              <w:rPr>
                <w:rFonts w:hint="eastAsia" w:ascii="宋体" w:hAnsi="宋体" w:eastAsia="宋体"/>
                <w:color w:val="000000"/>
                <w:sz w:val="24"/>
                <w:highlight w:val="none"/>
              </w:rPr>
              <w:t>D2；</w:t>
            </w:r>
          </w:p>
          <w:p w14:paraId="42357AE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olor w:val="000000"/>
                <w:sz w:val="24"/>
                <w:highlight w:val="none"/>
              </w:rPr>
            </w:pPr>
            <w:r>
              <w:rPr>
                <w:rFonts w:hint="eastAsia" w:ascii="宋体" w:hAnsi="宋体" w:eastAsia="宋体"/>
                <w:color w:val="000000"/>
                <w:sz w:val="24"/>
                <w:highlight w:val="none"/>
              </w:rPr>
              <w:t>其中：</w:t>
            </w:r>
            <w:r>
              <w:rPr>
                <w:rFonts w:ascii="宋体" w:hAnsi="宋体" w:eastAsia="宋体"/>
                <w:color w:val="000000"/>
                <w:sz w:val="24"/>
                <w:highlight w:val="none"/>
              </w:rPr>
              <w:t>F</w:t>
            </w:r>
            <w:r>
              <w:rPr>
                <w:rFonts w:hint="eastAsia" w:ascii="宋体" w:hAnsi="宋体" w:eastAsia="宋体"/>
                <w:color w:val="000000"/>
                <w:sz w:val="24"/>
                <w:highlight w:val="none"/>
              </w:rPr>
              <w:t>为评标价分值15分，D1取1，D2取0.5。</w:t>
            </w:r>
          </w:p>
          <w:p w14:paraId="552BD7C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s="宋体"/>
                <w:color w:val="000000"/>
                <w:sz w:val="24"/>
                <w:highlight w:val="none"/>
              </w:rPr>
            </w:pPr>
            <w:r>
              <w:rPr>
                <w:rFonts w:hint="eastAsia" w:ascii="宋体" w:hAnsi="宋体" w:eastAsia="宋体"/>
                <w:color w:val="000000"/>
                <w:sz w:val="24"/>
                <w:highlight w:val="none"/>
              </w:rPr>
              <w:t>注：评标价得分计算保留小数点后四位，小数点后第五位“</w:t>
            </w:r>
            <w:r>
              <w:rPr>
                <w:rFonts w:ascii="宋体" w:hAnsi="宋体" w:eastAsia="宋体"/>
                <w:color w:val="000000"/>
                <w:sz w:val="24"/>
                <w:highlight w:val="none"/>
              </w:rPr>
              <w:t>四舍五入</w:t>
            </w:r>
            <w:r>
              <w:rPr>
                <w:rFonts w:hint="eastAsia" w:ascii="宋体" w:hAnsi="宋体" w:eastAsia="宋体"/>
                <w:color w:val="000000"/>
                <w:sz w:val="24"/>
                <w:highlight w:val="none"/>
              </w:rPr>
              <w:t>”。</w:t>
            </w:r>
          </w:p>
        </w:tc>
      </w:tr>
      <w:tr w14:paraId="1CD7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restart"/>
            <w:noWrap w:val="0"/>
            <w:vAlign w:val="center"/>
          </w:tcPr>
          <w:p w14:paraId="2009B681">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2.2.4</w:t>
            </w:r>
          </w:p>
          <w:p w14:paraId="240D59D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(4)</w:t>
            </w:r>
          </w:p>
        </w:tc>
        <w:tc>
          <w:tcPr>
            <w:tcW w:w="585" w:type="dxa"/>
            <w:vMerge w:val="restart"/>
            <w:noWrap w:val="0"/>
            <w:vAlign w:val="center"/>
          </w:tcPr>
          <w:p w14:paraId="69B49CDF">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其他因素</w:t>
            </w:r>
          </w:p>
        </w:tc>
        <w:tc>
          <w:tcPr>
            <w:tcW w:w="806" w:type="dxa"/>
            <w:vMerge w:val="restart"/>
            <w:noWrap w:val="0"/>
            <w:vAlign w:val="center"/>
          </w:tcPr>
          <w:p w14:paraId="4A9005F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u w:val="single"/>
              </w:rPr>
              <w:t>23</w:t>
            </w:r>
            <w:r>
              <w:rPr>
                <w:rFonts w:hint="eastAsia" w:ascii="宋体" w:hAnsi="宋体" w:eastAsia="宋体" w:cs="宋体"/>
                <w:color w:val="000000"/>
                <w:sz w:val="24"/>
                <w:highlight w:val="none"/>
              </w:rPr>
              <w:t>分</w:t>
            </w:r>
          </w:p>
        </w:tc>
        <w:tc>
          <w:tcPr>
            <w:tcW w:w="1144" w:type="dxa"/>
            <w:noWrap w:val="0"/>
            <w:vAlign w:val="center"/>
          </w:tcPr>
          <w:p w14:paraId="33C8C420">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业绩</w:t>
            </w:r>
          </w:p>
        </w:tc>
        <w:tc>
          <w:tcPr>
            <w:tcW w:w="915" w:type="dxa"/>
            <w:noWrap w:val="0"/>
            <w:vAlign w:val="center"/>
          </w:tcPr>
          <w:p w14:paraId="358AFC52">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u w:val="single"/>
              </w:rPr>
              <w:t>10</w:t>
            </w:r>
            <w:r>
              <w:rPr>
                <w:rFonts w:hint="eastAsia" w:ascii="宋体" w:hAnsi="宋体" w:eastAsia="宋体" w:cs="宋体"/>
                <w:color w:val="000000"/>
                <w:sz w:val="24"/>
                <w:highlight w:val="none"/>
              </w:rPr>
              <w:t>分</w:t>
            </w:r>
          </w:p>
        </w:tc>
        <w:tc>
          <w:tcPr>
            <w:tcW w:w="4545" w:type="dxa"/>
            <w:noWrap w:val="0"/>
            <w:vAlign w:val="center"/>
          </w:tcPr>
          <w:p w14:paraId="62D8AE99">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olor w:val="000000"/>
                <w:sz w:val="24"/>
                <w:highlight w:val="none"/>
              </w:rPr>
            </w:pPr>
            <w:r>
              <w:rPr>
                <w:rFonts w:hint="eastAsia" w:ascii="宋体" w:hAnsi="宋体" w:eastAsia="宋体"/>
                <w:color w:val="000000"/>
                <w:sz w:val="24"/>
                <w:highlight w:val="none"/>
              </w:rPr>
              <w:t>投标人自</w:t>
            </w:r>
            <w:r>
              <w:rPr>
                <w:rFonts w:ascii="宋体" w:hAnsi="宋体" w:eastAsia="宋体"/>
                <w:color w:val="000000"/>
                <w:sz w:val="24"/>
                <w:highlight w:val="none"/>
              </w:rPr>
              <w:t>2020年1月1日至投</w:t>
            </w:r>
            <w:r>
              <w:rPr>
                <w:rFonts w:hint="eastAsia" w:ascii="宋体" w:hAnsi="宋体" w:eastAsia="宋体"/>
                <w:color w:val="000000"/>
                <w:sz w:val="24"/>
                <w:highlight w:val="none"/>
              </w:rPr>
              <w:t>标文件递交截止日（以交工验收或无交工验收一次性竣工验收的时间为准），完成过5万</w:t>
            </w:r>
            <w:r>
              <w:rPr>
                <w:rFonts w:ascii="宋体" w:hAnsi="宋体" w:eastAsia="宋体"/>
                <w:color w:val="000000"/>
                <w:sz w:val="24"/>
                <w:highlight w:val="none"/>
              </w:rPr>
              <w:t>吨</w:t>
            </w:r>
            <w:r>
              <w:rPr>
                <w:rFonts w:hint="eastAsia" w:ascii="宋体" w:hAnsi="宋体" w:eastAsia="宋体"/>
                <w:color w:val="000000"/>
                <w:sz w:val="24"/>
                <w:highlight w:val="none"/>
              </w:rPr>
              <w:t>级或以上码头新建、改建或扩建工程施工监理业绩工程的，每提供一个得2.5分，最高得10分。</w:t>
            </w:r>
          </w:p>
          <w:p w14:paraId="764B9D9A">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olor w:val="000000"/>
                <w:sz w:val="24"/>
                <w:highlight w:val="none"/>
              </w:rPr>
            </w:pPr>
            <w:r>
              <w:rPr>
                <w:rFonts w:hint="eastAsia" w:ascii="宋体" w:hAnsi="宋体" w:eastAsia="宋体"/>
                <w:color w:val="000000"/>
                <w:sz w:val="24"/>
                <w:highlight w:val="none"/>
              </w:rPr>
              <w:t>注意：用于资格审查的业绩不参与评分。</w:t>
            </w:r>
          </w:p>
          <w:p w14:paraId="18AE641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ascii="宋体" w:hAnsi="宋体" w:eastAsia="宋体"/>
                <w:color w:val="000000"/>
                <w:sz w:val="24"/>
                <w:highlight w:val="none"/>
              </w:rPr>
            </w:pPr>
            <w:r>
              <w:rPr>
                <w:rFonts w:hint="eastAsia" w:ascii="宋体" w:hAnsi="宋体" w:eastAsia="宋体"/>
                <w:color w:val="000000"/>
                <w:sz w:val="24"/>
                <w:highlight w:val="none"/>
              </w:rPr>
              <w:t>注：业绩证明材料要求以投标人须知前附表-需要补充的其他内容3.5.2为准。</w:t>
            </w:r>
          </w:p>
        </w:tc>
      </w:tr>
      <w:tr w14:paraId="735C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continue"/>
            <w:noWrap w:val="0"/>
            <w:vAlign w:val="center"/>
          </w:tcPr>
          <w:p w14:paraId="37A28B00">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p>
        </w:tc>
        <w:tc>
          <w:tcPr>
            <w:tcW w:w="585" w:type="dxa"/>
            <w:vMerge w:val="continue"/>
            <w:noWrap w:val="0"/>
            <w:vAlign w:val="center"/>
          </w:tcPr>
          <w:p w14:paraId="7D91AB2B">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p>
        </w:tc>
        <w:tc>
          <w:tcPr>
            <w:tcW w:w="806" w:type="dxa"/>
            <w:vMerge w:val="continue"/>
            <w:noWrap w:val="0"/>
            <w:vAlign w:val="center"/>
          </w:tcPr>
          <w:p w14:paraId="422630C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u w:val="single"/>
              </w:rPr>
            </w:pPr>
          </w:p>
        </w:tc>
        <w:tc>
          <w:tcPr>
            <w:tcW w:w="1144" w:type="dxa"/>
            <w:noWrap w:val="0"/>
            <w:vAlign w:val="center"/>
          </w:tcPr>
          <w:p w14:paraId="1151970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履约信誉</w:t>
            </w:r>
          </w:p>
        </w:tc>
        <w:tc>
          <w:tcPr>
            <w:tcW w:w="915" w:type="dxa"/>
            <w:noWrap w:val="0"/>
            <w:vAlign w:val="center"/>
          </w:tcPr>
          <w:p w14:paraId="14295E51">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u w:val="single"/>
              </w:rPr>
              <w:t>1</w:t>
            </w:r>
            <w:r>
              <w:rPr>
                <w:rFonts w:ascii="宋体" w:hAnsi="宋体" w:eastAsia="宋体" w:cs="宋体"/>
                <w:color w:val="000000"/>
                <w:sz w:val="24"/>
                <w:highlight w:val="none"/>
                <w:u w:val="single"/>
              </w:rPr>
              <w:t>0</w:t>
            </w:r>
            <w:r>
              <w:rPr>
                <w:rFonts w:hint="eastAsia" w:ascii="宋体" w:hAnsi="宋体" w:eastAsia="宋体" w:cs="宋体"/>
                <w:color w:val="000000"/>
                <w:sz w:val="24"/>
                <w:highlight w:val="none"/>
              </w:rPr>
              <w:t>分</w:t>
            </w:r>
          </w:p>
        </w:tc>
        <w:tc>
          <w:tcPr>
            <w:tcW w:w="4545" w:type="dxa"/>
            <w:noWrap w:val="0"/>
            <w:vAlign w:val="center"/>
          </w:tcPr>
          <w:p w14:paraId="5DC543F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1.信用等级分值（5分）</w:t>
            </w:r>
          </w:p>
          <w:p w14:paraId="7067198A">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AA、A、B、C级单位的信用等级分得分分别为</w:t>
            </w:r>
            <w:r>
              <w:rPr>
                <w:rFonts w:hint="eastAsia" w:ascii="宋体" w:hAnsi="宋体" w:eastAsia="宋体" w:cs="宋体"/>
                <w:color w:val="000000"/>
                <w:sz w:val="24"/>
                <w:highlight w:val="none"/>
                <w:u w:val="single"/>
              </w:rPr>
              <w:t>5.00、4.75、4.45、3.65</w:t>
            </w:r>
            <w:r>
              <w:rPr>
                <w:rFonts w:hint="eastAsia" w:ascii="宋体" w:hAnsi="宋体" w:eastAsia="宋体" w:cs="宋体"/>
                <w:color w:val="000000"/>
                <w:sz w:val="24"/>
                <w:highlight w:val="none"/>
              </w:rPr>
              <w:t>分。</w:t>
            </w:r>
          </w:p>
          <w:p w14:paraId="78126638">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注：信用等级的确定原则遵循投标人须知前附表10.2款的规定。以联合体形式投标的，按联合体成员中等级较低的计算。</w:t>
            </w:r>
          </w:p>
          <w:p w14:paraId="6AB6E6EA">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2.履约情况（5分）</w:t>
            </w:r>
          </w:p>
          <w:p w14:paraId="3B8CCEA6">
            <w:pPr>
              <w:pStyle w:val="5"/>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9" w:firstLineChars="4"/>
              <w:textAlignment w:val="auto"/>
              <w:rPr>
                <w:rFonts w:hint="eastAsia" w:hAnsi="宋体"/>
                <w:color w:val="000000"/>
                <w:sz w:val="24"/>
                <w:szCs w:val="24"/>
                <w:highlight w:val="none"/>
              </w:rPr>
            </w:pPr>
            <w:r>
              <w:rPr>
                <w:rFonts w:hint="eastAsia" w:hAnsi="宋体"/>
                <w:color w:val="000000"/>
                <w:sz w:val="24"/>
                <w:szCs w:val="24"/>
                <w:highlight w:val="none"/>
              </w:rPr>
              <w:t>若没出现下述情形得满分；</w:t>
            </w:r>
          </w:p>
          <w:p w14:paraId="56D0A54D">
            <w:pPr>
              <w:pStyle w:val="5"/>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9" w:firstLineChars="4"/>
              <w:textAlignment w:val="auto"/>
              <w:rPr>
                <w:rFonts w:hint="eastAsia" w:hAnsi="宋体"/>
                <w:color w:val="000000"/>
                <w:sz w:val="24"/>
                <w:szCs w:val="24"/>
                <w:highlight w:val="none"/>
              </w:rPr>
            </w:pPr>
            <w:r>
              <w:rPr>
                <w:rFonts w:hint="eastAsia" w:hAnsi="宋体"/>
                <w:color w:val="000000"/>
                <w:sz w:val="24"/>
                <w:szCs w:val="24"/>
                <w:highlight w:val="none"/>
              </w:rPr>
              <w:t>投标文件递交截止日前1年内，投标人因水运工程（含附属设施）质量、安全、履约或招标投标问题等原因被：</w:t>
            </w:r>
          </w:p>
          <w:p w14:paraId="414009F3">
            <w:pPr>
              <w:pStyle w:val="5"/>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9" w:firstLineChars="4"/>
              <w:textAlignment w:val="auto"/>
              <w:rPr>
                <w:rFonts w:hAnsi="宋体"/>
                <w:color w:val="000000"/>
                <w:sz w:val="24"/>
                <w:szCs w:val="24"/>
                <w:highlight w:val="none"/>
              </w:rPr>
            </w:pPr>
            <w:r>
              <w:rPr>
                <w:rFonts w:hAnsi="宋体"/>
                <w:color w:val="000000"/>
                <w:sz w:val="24"/>
                <w:szCs w:val="24"/>
                <w:highlight w:val="none"/>
              </w:rPr>
              <w:t>（1）交通运输部行政处罚的，扣</w:t>
            </w:r>
            <w:r>
              <w:rPr>
                <w:rFonts w:hAnsi="宋体"/>
                <w:color w:val="000000"/>
                <w:sz w:val="24"/>
                <w:szCs w:val="24"/>
                <w:highlight w:val="none"/>
                <w:u w:val="single"/>
              </w:rPr>
              <w:t>5</w:t>
            </w:r>
            <w:r>
              <w:rPr>
                <w:rFonts w:hAnsi="宋体"/>
                <w:color w:val="000000"/>
                <w:sz w:val="24"/>
                <w:szCs w:val="24"/>
                <w:highlight w:val="none"/>
              </w:rPr>
              <w:t>分/次</w:t>
            </w:r>
            <w:r>
              <w:rPr>
                <w:rFonts w:hint="eastAsia" w:hAnsi="宋体"/>
                <w:color w:val="000000"/>
                <w:sz w:val="24"/>
                <w:szCs w:val="24"/>
                <w:highlight w:val="none"/>
              </w:rPr>
              <w:t>。</w:t>
            </w:r>
          </w:p>
          <w:p w14:paraId="19E7B5F0">
            <w:pPr>
              <w:pStyle w:val="5"/>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9" w:firstLineChars="4"/>
              <w:textAlignment w:val="auto"/>
              <w:rPr>
                <w:rFonts w:hint="eastAsia" w:hAnsi="宋体"/>
                <w:color w:val="000000"/>
                <w:sz w:val="24"/>
                <w:szCs w:val="24"/>
                <w:highlight w:val="none"/>
              </w:rPr>
            </w:pPr>
            <w:r>
              <w:rPr>
                <w:rFonts w:hAnsi="宋体"/>
                <w:color w:val="000000"/>
                <w:sz w:val="24"/>
                <w:szCs w:val="24"/>
                <w:highlight w:val="none"/>
              </w:rPr>
              <w:t>（2）广东省交通运输厅行政处罚的，扣</w:t>
            </w:r>
            <w:r>
              <w:rPr>
                <w:rFonts w:hint="eastAsia" w:hAnsi="宋体"/>
                <w:color w:val="000000"/>
                <w:sz w:val="24"/>
                <w:szCs w:val="24"/>
                <w:highlight w:val="none"/>
                <w:u w:val="single"/>
              </w:rPr>
              <w:t>3</w:t>
            </w:r>
            <w:r>
              <w:rPr>
                <w:rFonts w:hAnsi="宋体"/>
                <w:color w:val="000000"/>
                <w:sz w:val="24"/>
                <w:szCs w:val="24"/>
                <w:highlight w:val="none"/>
              </w:rPr>
              <w:t>分/次</w:t>
            </w:r>
            <w:r>
              <w:rPr>
                <w:rFonts w:hint="eastAsia" w:hAnsi="宋体"/>
                <w:color w:val="000000"/>
                <w:sz w:val="24"/>
                <w:szCs w:val="24"/>
                <w:highlight w:val="none"/>
              </w:rPr>
              <w:t>。</w:t>
            </w:r>
          </w:p>
          <w:p w14:paraId="0425FAB2">
            <w:pPr>
              <w:pStyle w:val="5"/>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9" w:firstLineChars="4"/>
              <w:textAlignment w:val="auto"/>
              <w:rPr>
                <w:rFonts w:hAnsi="宋体"/>
                <w:color w:val="000000"/>
                <w:sz w:val="24"/>
                <w:szCs w:val="24"/>
                <w:highlight w:val="none"/>
              </w:rPr>
            </w:pPr>
            <w:r>
              <w:rPr>
                <w:rFonts w:hAnsi="宋体"/>
                <w:color w:val="000000"/>
                <w:sz w:val="24"/>
                <w:szCs w:val="24"/>
                <w:highlight w:val="none"/>
                <w:u w:val="single"/>
              </w:rPr>
              <w:t>（</w:t>
            </w:r>
            <w:r>
              <w:rPr>
                <w:rFonts w:hint="eastAsia" w:hAnsi="宋体"/>
                <w:color w:val="000000"/>
                <w:sz w:val="24"/>
                <w:szCs w:val="24"/>
                <w:highlight w:val="none"/>
                <w:u w:val="single"/>
              </w:rPr>
              <w:t>3</w:t>
            </w:r>
            <w:r>
              <w:rPr>
                <w:rFonts w:hAnsi="宋体"/>
                <w:color w:val="000000"/>
                <w:sz w:val="24"/>
                <w:szCs w:val="24"/>
                <w:highlight w:val="none"/>
                <w:u w:val="single"/>
              </w:rPr>
              <w:t>）项目所在地</w:t>
            </w:r>
            <w:r>
              <w:rPr>
                <w:rFonts w:hint="eastAsia" w:hAnsi="宋体"/>
                <w:color w:val="000000"/>
                <w:sz w:val="24"/>
                <w:szCs w:val="24"/>
                <w:highlight w:val="none"/>
                <w:u w:val="single"/>
              </w:rPr>
              <w:t>地级以上市</w:t>
            </w:r>
            <w:r>
              <w:rPr>
                <w:rFonts w:hAnsi="宋体"/>
                <w:color w:val="000000"/>
                <w:sz w:val="24"/>
                <w:szCs w:val="24"/>
                <w:highlight w:val="none"/>
                <w:u w:val="single"/>
              </w:rPr>
              <w:t>交通</w:t>
            </w:r>
            <w:r>
              <w:rPr>
                <w:rFonts w:hint="eastAsia" w:hAnsi="宋体"/>
                <w:color w:val="000000"/>
                <w:sz w:val="24"/>
                <w:szCs w:val="24"/>
                <w:highlight w:val="none"/>
                <w:u w:val="single"/>
              </w:rPr>
              <w:t>运输</w:t>
            </w:r>
            <w:r>
              <w:rPr>
                <w:rFonts w:hAnsi="宋体"/>
                <w:color w:val="000000"/>
                <w:sz w:val="24"/>
                <w:szCs w:val="24"/>
                <w:highlight w:val="none"/>
                <w:u w:val="single"/>
              </w:rPr>
              <w:t>局行政处罚的，扣</w:t>
            </w:r>
            <w:r>
              <w:rPr>
                <w:rFonts w:hint="eastAsia" w:hAnsi="宋体"/>
                <w:color w:val="000000"/>
                <w:sz w:val="24"/>
                <w:szCs w:val="24"/>
                <w:highlight w:val="none"/>
                <w:u w:val="single"/>
              </w:rPr>
              <w:t>1.5</w:t>
            </w:r>
            <w:r>
              <w:rPr>
                <w:rFonts w:hAnsi="宋体"/>
                <w:color w:val="000000"/>
                <w:sz w:val="24"/>
                <w:szCs w:val="24"/>
                <w:highlight w:val="none"/>
                <w:u w:val="single"/>
              </w:rPr>
              <w:t>分/次</w:t>
            </w:r>
            <w:r>
              <w:rPr>
                <w:rFonts w:hint="eastAsia" w:hAnsi="宋体"/>
                <w:color w:val="000000"/>
                <w:sz w:val="24"/>
                <w:szCs w:val="24"/>
                <w:highlight w:val="none"/>
                <w:u w:val="single"/>
              </w:rPr>
              <w:t>。</w:t>
            </w:r>
          </w:p>
          <w:p w14:paraId="7203E965">
            <w:pPr>
              <w:pStyle w:val="5"/>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9" w:firstLineChars="4"/>
              <w:textAlignment w:val="auto"/>
              <w:rPr>
                <w:rFonts w:hAnsi="宋体"/>
                <w:color w:val="000000"/>
                <w:sz w:val="24"/>
                <w:szCs w:val="24"/>
                <w:highlight w:val="none"/>
              </w:rPr>
            </w:pPr>
            <w:r>
              <w:rPr>
                <w:rFonts w:hAnsi="宋体"/>
                <w:color w:val="000000"/>
                <w:sz w:val="24"/>
                <w:szCs w:val="24"/>
                <w:highlight w:val="none"/>
              </w:rPr>
              <w:t>（</w:t>
            </w:r>
            <w:r>
              <w:rPr>
                <w:rFonts w:hint="eastAsia" w:hAnsi="宋体"/>
                <w:color w:val="000000"/>
                <w:sz w:val="24"/>
                <w:szCs w:val="24"/>
                <w:highlight w:val="none"/>
              </w:rPr>
              <w:t>4</w:t>
            </w:r>
            <w:r>
              <w:rPr>
                <w:rFonts w:hAnsi="宋体"/>
                <w:color w:val="000000"/>
                <w:sz w:val="24"/>
                <w:szCs w:val="24"/>
                <w:highlight w:val="none"/>
              </w:rPr>
              <w:t>）广东省交通运输厅正式约谈的，扣</w:t>
            </w:r>
            <w:r>
              <w:rPr>
                <w:rFonts w:hint="eastAsia" w:hAnsi="宋体"/>
                <w:color w:val="000000"/>
                <w:sz w:val="24"/>
                <w:szCs w:val="24"/>
                <w:highlight w:val="none"/>
                <w:u w:val="single"/>
              </w:rPr>
              <w:t>0.</w:t>
            </w:r>
            <w:r>
              <w:rPr>
                <w:rFonts w:hAnsi="宋体"/>
                <w:color w:val="000000"/>
                <w:sz w:val="24"/>
                <w:szCs w:val="24"/>
                <w:highlight w:val="none"/>
                <w:u w:val="single"/>
              </w:rPr>
              <w:t>1</w:t>
            </w:r>
            <w:r>
              <w:rPr>
                <w:rFonts w:hint="eastAsia" w:hAnsi="宋体"/>
                <w:color w:val="000000"/>
                <w:sz w:val="24"/>
                <w:szCs w:val="24"/>
                <w:highlight w:val="none"/>
              </w:rPr>
              <w:t>分/次。</w:t>
            </w:r>
          </w:p>
          <w:p w14:paraId="52027776">
            <w:pPr>
              <w:pStyle w:val="5"/>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9" w:firstLineChars="4"/>
              <w:textAlignment w:val="auto"/>
              <w:rPr>
                <w:rFonts w:hint="eastAsia" w:hAnsi="宋体"/>
                <w:color w:val="000000"/>
                <w:sz w:val="24"/>
                <w:szCs w:val="24"/>
                <w:highlight w:val="none"/>
              </w:rPr>
            </w:pPr>
            <w:r>
              <w:rPr>
                <w:rFonts w:hint="eastAsia" w:hAnsi="宋体"/>
                <w:color w:val="000000"/>
                <w:sz w:val="24"/>
                <w:szCs w:val="24"/>
                <w:highlight w:val="none"/>
              </w:rPr>
              <w:t>注：同一事项同时被多个部门行政处罚或正式约谈只按最高的扣分计算1次。如果扣完本项分值，可以从投标人总得分中扣。以联合体形式投标的，若各联合体成员任何一方或均存在上述情形的，对联合体各成员进行累计扣分。</w:t>
            </w:r>
          </w:p>
        </w:tc>
      </w:tr>
      <w:tr w14:paraId="7DBA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vMerge w:val="continue"/>
            <w:noWrap w:val="0"/>
            <w:vAlign w:val="center"/>
          </w:tcPr>
          <w:p w14:paraId="31CCE4BA">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rPr>
            </w:pPr>
          </w:p>
        </w:tc>
        <w:tc>
          <w:tcPr>
            <w:tcW w:w="585" w:type="dxa"/>
            <w:vMerge w:val="continue"/>
            <w:noWrap w:val="0"/>
            <w:vAlign w:val="center"/>
          </w:tcPr>
          <w:p w14:paraId="35DF78DE">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p>
        </w:tc>
        <w:tc>
          <w:tcPr>
            <w:tcW w:w="806" w:type="dxa"/>
            <w:vMerge w:val="continue"/>
            <w:noWrap w:val="0"/>
            <w:vAlign w:val="center"/>
          </w:tcPr>
          <w:p w14:paraId="7776FE4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u w:val="single"/>
              </w:rPr>
            </w:pPr>
          </w:p>
        </w:tc>
        <w:tc>
          <w:tcPr>
            <w:tcW w:w="1144" w:type="dxa"/>
            <w:noWrap w:val="0"/>
            <w:vAlign w:val="center"/>
          </w:tcPr>
          <w:p w14:paraId="6CF19675">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u w:val="single"/>
              </w:rPr>
              <w:t>企业综合能力</w:t>
            </w:r>
          </w:p>
        </w:tc>
        <w:tc>
          <w:tcPr>
            <w:tcW w:w="915" w:type="dxa"/>
            <w:noWrap w:val="0"/>
            <w:vAlign w:val="center"/>
          </w:tcPr>
          <w:p w14:paraId="7B679E2F">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jc w:val="center"/>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3</w:t>
            </w:r>
            <w:r>
              <w:rPr>
                <w:rFonts w:hint="eastAsia" w:ascii="宋体" w:hAnsi="宋体" w:eastAsia="宋体" w:cs="宋体"/>
                <w:color w:val="000000"/>
                <w:sz w:val="24"/>
                <w:highlight w:val="none"/>
              </w:rPr>
              <w:t>分</w:t>
            </w:r>
          </w:p>
        </w:tc>
        <w:tc>
          <w:tcPr>
            <w:tcW w:w="4545" w:type="dxa"/>
            <w:noWrap w:val="0"/>
            <w:vAlign w:val="center"/>
          </w:tcPr>
          <w:p w14:paraId="5C54BF2A">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textAlignment w:val="auto"/>
              <w:rPr>
                <w:rFonts w:hint="eastAsia"/>
                <w:color w:val="000000"/>
                <w:sz w:val="24"/>
                <w:highlight w:val="none"/>
              </w:rPr>
            </w:pPr>
            <w:bookmarkStart w:id="5" w:name="OLE_LINK2"/>
            <w:r>
              <w:rPr>
                <w:rFonts w:hint="eastAsia" w:ascii="宋体" w:hAnsi="宋体" w:eastAsia="宋体" w:cs="宋体"/>
                <w:color w:val="000000"/>
                <w:sz w:val="24"/>
                <w:highlight w:val="none"/>
              </w:rPr>
              <w:t>自</w:t>
            </w:r>
            <w:r>
              <w:rPr>
                <w:rFonts w:ascii="宋体" w:hAnsi="宋体" w:eastAsia="宋体" w:cs="宋体"/>
                <w:color w:val="000000"/>
                <w:sz w:val="24"/>
                <w:highlight w:val="none"/>
              </w:rPr>
              <w:t>2020年1月1日</w:t>
            </w:r>
            <w:r>
              <w:rPr>
                <w:rFonts w:hint="eastAsia" w:ascii="宋体" w:hAnsi="宋体" w:eastAsia="宋体" w:cs="宋体"/>
                <w:color w:val="000000"/>
                <w:sz w:val="24"/>
                <w:highlight w:val="none"/>
              </w:rPr>
              <w:t>以来（以获奖证书颁发时间为准），投标人承担的国内港口工程获得过国家优质工程金质奖、国家优质工程奖、鲁班奖、中国土木工程詹天佑奖，每提供1个得1.5分，最多得3分（须提供获奖证书扫描件）</w:t>
            </w:r>
            <w:bookmarkEnd w:id="5"/>
          </w:p>
        </w:tc>
      </w:tr>
    </w:tbl>
    <w:p w14:paraId="22BEB756">
      <w:pPr>
        <w:keepNext w:val="0"/>
        <w:keepLines w:val="0"/>
        <w:pageBreakBefore w:val="0"/>
        <w:kinsoku/>
        <w:wordWrap/>
        <w:overflowPunct/>
        <w:topLinePunct w:val="0"/>
        <w:bidi w:val="0"/>
        <w:spacing w:line="360" w:lineRule="auto"/>
        <w:ind w:left="0" w:leftChars="0" w:right="0" w:rightChars="0"/>
        <w:textAlignment w:val="auto"/>
        <w:rPr>
          <w:rFonts w:ascii="宋体" w:hAnsi="宋体" w:eastAsia="宋体"/>
          <w:vanish/>
          <w:color w:val="000000"/>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7658"/>
      </w:tblGrid>
      <w:tr w14:paraId="7DC6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2"/>
            <w:noWrap w:val="0"/>
            <w:vAlign w:val="top"/>
          </w:tcPr>
          <w:p w14:paraId="0C0D0E8B">
            <w:pPr>
              <w:keepNext w:val="0"/>
              <w:keepLines w:val="0"/>
              <w:pageBreakBefore w:val="0"/>
              <w:widowControl/>
              <w:kinsoku/>
              <w:wordWrap/>
              <w:overflowPunct/>
              <w:topLinePunct w:val="0"/>
              <w:bidi w:val="0"/>
              <w:spacing w:line="360" w:lineRule="auto"/>
              <w:ind w:left="0" w:leftChars="0" w:right="0" w:rightChars="0"/>
              <w:jc w:val="left"/>
              <w:textAlignment w:val="auto"/>
              <w:rPr>
                <w:rFonts w:ascii="宋体" w:hAnsi="宋体" w:eastAsia="宋体" w:cs="宋体"/>
                <w:b/>
                <w:bCs/>
                <w:color w:val="000000"/>
                <w:sz w:val="24"/>
                <w:highlight w:val="none"/>
              </w:rPr>
            </w:pPr>
            <w:r>
              <w:rPr>
                <w:rFonts w:hint="eastAsia" w:ascii="宋体" w:hAnsi="宋体" w:eastAsia="宋体" w:cs="宋体"/>
                <w:b/>
                <w:bCs/>
                <w:color w:val="000000"/>
                <w:sz w:val="24"/>
                <w:highlight w:val="none"/>
              </w:rPr>
              <w:t>需要补充的其他内容</w:t>
            </w:r>
          </w:p>
        </w:tc>
      </w:tr>
      <w:tr w14:paraId="2417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33" w:type="dxa"/>
            <w:noWrap w:val="0"/>
            <w:vAlign w:val="center"/>
          </w:tcPr>
          <w:p w14:paraId="712C38A3">
            <w:pPr>
              <w:keepNext w:val="0"/>
              <w:keepLines w:val="0"/>
              <w:pageBreakBefore w:val="0"/>
              <w:widowControl/>
              <w:kinsoku/>
              <w:wordWrap/>
              <w:overflowPunct/>
              <w:topLinePunct w:val="0"/>
              <w:bidi w:val="0"/>
              <w:spacing w:line="360" w:lineRule="auto"/>
              <w:ind w:left="0" w:leftChars="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条款号</w:t>
            </w:r>
          </w:p>
        </w:tc>
        <w:tc>
          <w:tcPr>
            <w:tcW w:w="7658" w:type="dxa"/>
            <w:noWrap w:val="0"/>
            <w:vAlign w:val="center"/>
          </w:tcPr>
          <w:p w14:paraId="52204D16">
            <w:pPr>
              <w:keepNext w:val="0"/>
              <w:keepLines w:val="0"/>
              <w:pageBreakBefore w:val="0"/>
              <w:widowControl/>
              <w:kinsoku/>
              <w:wordWrap/>
              <w:overflowPunct/>
              <w:topLinePunct w:val="0"/>
              <w:bidi w:val="0"/>
              <w:spacing w:line="360" w:lineRule="auto"/>
              <w:ind w:left="0" w:leftChars="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补充或修改的内容</w:t>
            </w:r>
          </w:p>
        </w:tc>
      </w:tr>
      <w:tr w14:paraId="4480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674CE4F1">
            <w:pPr>
              <w:keepNext w:val="0"/>
              <w:keepLines w:val="0"/>
              <w:pageBreakBefore w:val="0"/>
              <w:kinsoku/>
              <w:wordWrap/>
              <w:overflowPunct/>
              <w:topLinePunct w:val="0"/>
              <w:bidi w:val="0"/>
              <w:spacing w:line="360" w:lineRule="auto"/>
              <w:ind w:left="0" w:leftChars="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3.2.2</w:t>
            </w:r>
          </w:p>
        </w:tc>
        <w:tc>
          <w:tcPr>
            <w:tcW w:w="7658" w:type="dxa"/>
            <w:noWrap w:val="0"/>
            <w:vAlign w:val="center"/>
          </w:tcPr>
          <w:p w14:paraId="16517599">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将评标办法原文第3.2.2项修改如下：</w:t>
            </w:r>
          </w:p>
          <w:p w14:paraId="618FAA88">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投标人的商务和技术得分分值计算保留小数点后三位，小数点后第四位“四舍五入”。</w:t>
            </w:r>
          </w:p>
        </w:tc>
      </w:tr>
      <w:tr w14:paraId="4C82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3" w:type="dxa"/>
            <w:noWrap w:val="0"/>
            <w:vAlign w:val="center"/>
          </w:tcPr>
          <w:p w14:paraId="396E8950">
            <w:pPr>
              <w:keepNext w:val="0"/>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000000"/>
                <w:sz w:val="24"/>
                <w:highlight w:val="none"/>
              </w:rPr>
            </w:pPr>
            <w:r>
              <w:rPr>
                <w:rFonts w:hint="eastAsia" w:ascii="宋体" w:hAnsi="宋体" w:cs="宋体"/>
                <w:color w:val="000000"/>
                <w:sz w:val="24"/>
                <w:highlight w:val="none"/>
              </w:rPr>
              <w:t>3.2.3</w:t>
            </w:r>
          </w:p>
        </w:tc>
        <w:tc>
          <w:tcPr>
            <w:tcW w:w="7658" w:type="dxa"/>
            <w:noWrap w:val="0"/>
            <w:vAlign w:val="center"/>
          </w:tcPr>
          <w:p w14:paraId="665632C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rPr>
              <w:t>将</w:t>
            </w:r>
            <w:r>
              <w:rPr>
                <w:rFonts w:hint="eastAsia" w:ascii="宋体" w:hAnsi="宋体" w:eastAsia="宋体" w:cs="宋体"/>
                <w:color w:val="000000"/>
                <w:sz w:val="24"/>
                <w:highlight w:val="none"/>
              </w:rPr>
              <w:t>评标办法范本原文第3.2.3项细化如下：</w:t>
            </w:r>
          </w:p>
          <w:p w14:paraId="2C7D6AA6">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投标人的商务和技术得分=A+B+D。</w:t>
            </w:r>
          </w:p>
          <w:p w14:paraId="6556D0A7">
            <w:pPr>
              <w:keepNext w:val="0"/>
              <w:keepLines w:val="0"/>
              <w:pageBreakBefore w:val="0"/>
              <w:kinsoku/>
              <w:wordWrap/>
              <w:overflowPunct/>
              <w:topLinePunct w:val="0"/>
              <w:autoSpaceDE w:val="0"/>
              <w:autoSpaceDN w:val="0"/>
              <w:bidi w:val="0"/>
              <w:adjustRightInd w:val="0"/>
              <w:spacing w:line="360" w:lineRule="auto"/>
              <w:ind w:left="0" w:leftChars="0" w:right="0" w:rightChars="0" w:firstLine="42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投标文件评分因素</w:t>
            </w:r>
            <w:r>
              <w:rPr>
                <w:rFonts w:hint="eastAsia" w:ascii="宋体" w:hAnsi="宋体" w:eastAsia="宋体" w:cs="宋体"/>
                <w:color w:val="000000"/>
                <w:sz w:val="24"/>
                <w:highlight w:val="none"/>
                <w:u w:val="single"/>
              </w:rPr>
              <w:t>（监理大纲）</w:t>
            </w:r>
            <w:r>
              <w:rPr>
                <w:rFonts w:hint="eastAsia" w:ascii="宋体" w:hAnsi="宋体" w:eastAsia="宋体" w:cs="宋体"/>
                <w:color w:val="000000"/>
                <w:sz w:val="24"/>
                <w:highlight w:val="none"/>
              </w:rPr>
              <w:t>细分项得分均不应低于其权重分的60%，评分低于权重分值60%的，评标委员会成员应当在评标报告中作出说明。</w:t>
            </w:r>
          </w:p>
          <w:p w14:paraId="16F1E9DC">
            <w:pPr>
              <w:keepNext w:val="0"/>
              <w:keepLines w:val="0"/>
              <w:pageBreakBefore w:val="0"/>
              <w:kinsoku/>
              <w:wordWrap/>
              <w:overflowPunct/>
              <w:topLinePunct w:val="0"/>
              <w:autoSpaceDE w:val="0"/>
              <w:autoSpaceDN w:val="0"/>
              <w:bidi w:val="0"/>
              <w:adjustRightInd w:val="0"/>
              <w:spacing w:line="360" w:lineRule="auto"/>
              <w:ind w:left="0" w:leftChars="0" w:right="0" w:rightChars="0" w:firstLine="42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评标委员会人数为7人时，计算投标人技术得分时:各评分因素细分项中取消一个最高、一个最低分后计算算术平均值的和为投标人的最终技术得分，平均值计算保留小数点后三位，小数点后第四位“四舍五入”。</w:t>
            </w:r>
          </w:p>
          <w:p w14:paraId="5B3DE391">
            <w:pPr>
              <w:keepNext w:val="0"/>
              <w:keepLines w:val="0"/>
              <w:pageBreakBefore w:val="0"/>
              <w:kinsoku/>
              <w:wordWrap/>
              <w:overflowPunct/>
              <w:topLinePunct w:val="0"/>
              <w:autoSpaceDE w:val="0"/>
              <w:autoSpaceDN w:val="0"/>
              <w:bidi w:val="0"/>
              <w:adjustRightInd w:val="0"/>
              <w:spacing w:line="360" w:lineRule="auto"/>
              <w:ind w:left="0" w:leftChars="0" w:right="0" w:rightChars="0" w:firstLine="42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以上评标委员会人数以实际参与评审的评标委员会人数数量为准。</w:t>
            </w:r>
          </w:p>
        </w:tc>
      </w:tr>
      <w:tr w14:paraId="6E9F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65710B13">
            <w:pPr>
              <w:keepNext w:val="0"/>
              <w:keepLines w:val="0"/>
              <w:pageBreakBefore w:val="0"/>
              <w:widowControl/>
              <w:kinsoku/>
              <w:wordWrap/>
              <w:overflowPunct/>
              <w:topLinePunct w:val="0"/>
              <w:bidi w:val="0"/>
              <w:spacing w:line="360" w:lineRule="auto"/>
              <w:ind w:left="0" w:leftChars="0" w:right="0" w:rightChars="0"/>
              <w:jc w:val="center"/>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3.9</w:t>
            </w:r>
          </w:p>
        </w:tc>
        <w:tc>
          <w:tcPr>
            <w:tcW w:w="7658" w:type="dxa"/>
            <w:noWrap w:val="0"/>
            <w:vAlign w:val="top"/>
          </w:tcPr>
          <w:p w14:paraId="7E8BA57A">
            <w:pPr>
              <w:keepNext w:val="0"/>
              <w:keepLines w:val="0"/>
              <w:pageBreakBefore w:val="0"/>
              <w:kinsoku/>
              <w:wordWrap/>
              <w:overflowPunct/>
              <w:topLinePunct w:val="0"/>
              <w:bidi w:val="0"/>
              <w:adjustRightInd w:val="0"/>
              <w:snapToGrid w:val="0"/>
              <w:spacing w:line="360" w:lineRule="auto"/>
              <w:ind w:left="0" w:leftChars="0" w:right="0" w:rightChars="0" w:firstLine="494" w:firstLineChars="206"/>
              <w:textAlignment w:val="auto"/>
              <w:rPr>
                <w:rFonts w:ascii="宋体" w:hAnsi="宋体" w:eastAsia="宋体" w:cs="宋体"/>
                <w:color w:val="000000"/>
                <w:sz w:val="24"/>
                <w:highlight w:val="none"/>
              </w:rPr>
            </w:pPr>
            <w:r>
              <w:rPr>
                <w:rFonts w:hint="eastAsia" w:ascii="宋体" w:hAnsi="宋体" w:cs="宋体"/>
                <w:bCs/>
                <w:color w:val="000000"/>
                <w:sz w:val="24"/>
                <w:highlight w:val="none"/>
              </w:rPr>
              <w:t>增加3.9.3-3.9.7</w:t>
            </w:r>
            <w:r>
              <w:rPr>
                <w:rFonts w:hint="eastAsia" w:ascii="宋体" w:hAnsi="宋体" w:cs="宋体"/>
                <w:color w:val="000000"/>
                <w:sz w:val="24"/>
                <w:highlight w:val="none"/>
              </w:rPr>
              <w:t>项</w:t>
            </w:r>
            <w:r>
              <w:rPr>
                <w:rFonts w:hint="eastAsia" w:ascii="宋体" w:hAnsi="宋体" w:cs="宋体"/>
                <w:bCs/>
                <w:color w:val="000000"/>
                <w:sz w:val="24"/>
                <w:highlight w:val="none"/>
              </w:rPr>
              <w:t>：</w:t>
            </w:r>
          </w:p>
          <w:p w14:paraId="4E8B8F67">
            <w:pPr>
              <w:keepNext w:val="0"/>
              <w:keepLines w:val="0"/>
              <w:pageBreakBefore w:val="0"/>
              <w:kinsoku/>
              <w:wordWrap/>
              <w:overflowPunct/>
              <w:topLinePunct w:val="0"/>
              <w:bidi w:val="0"/>
              <w:spacing w:line="360" w:lineRule="auto"/>
              <w:ind w:left="0" w:leftChars="0" w:right="0" w:rightChars="0" w:firstLine="480" w:firstLineChars="20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3.9.3</w:t>
            </w:r>
            <w:r>
              <w:rPr>
                <w:rFonts w:hint="eastAsia" w:ascii="宋体" w:hAnsi="宋体" w:eastAsia="宋体" w:cs="宋体"/>
                <w:color w:val="000000"/>
                <w:sz w:val="24"/>
                <w:highlight w:val="none"/>
                <w:u w:val="single"/>
              </w:rPr>
              <w:t>如允许多个标段同时投标，推荐中标候选人方式：（</w:t>
            </w:r>
            <w:r>
              <w:rPr>
                <w:rFonts w:ascii="宋体" w:hAnsi="宋体" w:eastAsia="宋体" w:cs="宋体"/>
                <w:color w:val="000000"/>
                <w:sz w:val="24"/>
                <w:highlight w:val="none"/>
                <w:u w:val="single"/>
              </w:rPr>
              <w:t>1）已被推荐</w:t>
            </w:r>
            <w:r>
              <w:rPr>
                <w:rFonts w:hint="eastAsia" w:ascii="宋体" w:hAnsi="宋体" w:eastAsia="宋体" w:cs="宋体"/>
                <w:color w:val="000000"/>
                <w:sz w:val="24"/>
                <w:highlight w:val="none"/>
                <w:u w:val="single"/>
              </w:rPr>
              <w:t>为某一标段的第一中标候选人，自动失去其在本次招标中其他标段的中标候选人资格。（</w:t>
            </w:r>
            <w:r>
              <w:rPr>
                <w:rFonts w:ascii="宋体" w:hAnsi="宋体" w:eastAsia="宋体" w:cs="宋体"/>
                <w:color w:val="000000"/>
                <w:sz w:val="24"/>
                <w:highlight w:val="none"/>
                <w:u w:val="single"/>
              </w:rPr>
              <w:t>2）按</w:t>
            </w:r>
            <w:r>
              <w:rPr>
                <w:rFonts w:hint="eastAsia" w:ascii="宋体" w:hAnsi="宋体" w:eastAsia="宋体" w:cs="宋体"/>
                <w:color w:val="000000"/>
                <w:sz w:val="24"/>
                <w:highlight w:val="none"/>
                <w:u w:val="single"/>
              </w:rPr>
              <w:t>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r>
              <w:rPr>
                <w:rFonts w:hint="eastAsia" w:ascii="宋体" w:hAnsi="宋体" w:eastAsia="宋体" w:cs="宋体"/>
                <w:color w:val="000000"/>
                <w:sz w:val="24"/>
                <w:highlight w:val="none"/>
              </w:rPr>
              <w:t>。</w:t>
            </w:r>
          </w:p>
          <w:p w14:paraId="3A9F0CCB">
            <w:pPr>
              <w:keepNext w:val="0"/>
              <w:keepLines w:val="0"/>
              <w:pageBreakBefore w:val="0"/>
              <w:kinsoku/>
              <w:wordWrap/>
              <w:overflowPunct/>
              <w:topLinePunct w:val="0"/>
              <w:bidi w:val="0"/>
              <w:spacing w:line="360" w:lineRule="auto"/>
              <w:ind w:left="0" w:leftChars="0" w:right="0" w:rightChars="0" w:firstLine="432" w:firstLineChars="18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3.9.4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14:paraId="34721481">
            <w:pPr>
              <w:keepNext w:val="0"/>
              <w:keepLines w:val="0"/>
              <w:pageBreakBefore w:val="0"/>
              <w:kinsoku/>
              <w:wordWrap/>
              <w:overflowPunct/>
              <w:topLinePunct w:val="0"/>
              <w:bidi w:val="0"/>
              <w:spacing w:line="360" w:lineRule="auto"/>
              <w:ind w:left="0" w:leftChars="0" w:right="0" w:rightChars="0" w:firstLine="432" w:firstLineChars="18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3.9.5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5040D1C8">
            <w:pPr>
              <w:keepNext w:val="0"/>
              <w:keepLines w:val="0"/>
              <w:pageBreakBefore w:val="0"/>
              <w:kinsoku/>
              <w:wordWrap/>
              <w:overflowPunct/>
              <w:topLinePunct w:val="0"/>
              <w:bidi w:val="0"/>
              <w:spacing w:line="360" w:lineRule="auto"/>
              <w:ind w:left="0" w:leftChars="0" w:right="0" w:rightChars="0" w:firstLine="432" w:firstLineChars="18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3.9.6如果发生无法确定推荐中标候选人的其它意外情况，评标委员会可建议招标人重新招标。</w:t>
            </w:r>
          </w:p>
          <w:p w14:paraId="2441E0B4">
            <w:pPr>
              <w:keepNext w:val="0"/>
              <w:keepLines w:val="0"/>
              <w:pageBreakBefore w:val="0"/>
              <w:kinsoku/>
              <w:wordWrap/>
              <w:overflowPunct/>
              <w:topLinePunct w:val="0"/>
              <w:bidi w:val="0"/>
              <w:spacing w:line="360" w:lineRule="auto"/>
              <w:ind w:left="0" w:leftChars="0" w:right="0" w:rightChars="0" w:firstLine="432" w:firstLineChars="1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3.9.7本招标文件规定的否决投标条款包含在以下条款：</w:t>
            </w:r>
          </w:p>
          <w:p w14:paraId="3FEE58DB">
            <w:pPr>
              <w:keepNext w:val="0"/>
              <w:keepLines w:val="0"/>
              <w:pageBreakBefore w:val="0"/>
              <w:kinsoku/>
              <w:wordWrap/>
              <w:overflowPunct/>
              <w:topLinePunct w:val="0"/>
              <w:bidi w:val="0"/>
              <w:spacing w:line="360" w:lineRule="auto"/>
              <w:ind w:left="0" w:leftChars="0" w:right="0" w:rightChars="0" w:firstLine="432" w:firstLineChars="1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（1）招标公告第3点 投标人资格要求；</w:t>
            </w:r>
          </w:p>
          <w:p w14:paraId="4C58BB5D">
            <w:pPr>
              <w:keepNext w:val="0"/>
              <w:keepLines w:val="0"/>
              <w:pageBreakBefore w:val="0"/>
              <w:kinsoku/>
              <w:wordWrap/>
              <w:overflowPunct/>
              <w:topLinePunct w:val="0"/>
              <w:bidi w:val="0"/>
              <w:spacing w:line="360" w:lineRule="auto"/>
              <w:ind w:left="0" w:leftChars="0" w:right="0" w:rightChars="0" w:firstLine="432" w:firstLineChars="1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u w:val="single"/>
              </w:rPr>
              <w:t>投标人须知1.4.3项、1.4.4项、1.12.2项、3.4.2项、3.5.8项、3.6.1项</w:t>
            </w:r>
            <w:r>
              <w:rPr>
                <w:rFonts w:hint="eastAsia" w:ascii="宋体" w:hAnsi="宋体" w:eastAsia="宋体" w:cs="宋体"/>
                <w:color w:val="000000"/>
                <w:sz w:val="24"/>
                <w:highlight w:val="none"/>
              </w:rPr>
              <w:t>；</w:t>
            </w:r>
          </w:p>
          <w:p w14:paraId="3D75A00E">
            <w:pPr>
              <w:keepNext w:val="0"/>
              <w:keepLines w:val="0"/>
              <w:pageBreakBefore w:val="0"/>
              <w:kinsoku/>
              <w:wordWrap/>
              <w:overflowPunct/>
              <w:topLinePunct w:val="0"/>
              <w:bidi w:val="0"/>
              <w:spacing w:line="360" w:lineRule="auto"/>
              <w:ind w:left="0" w:leftChars="0" w:right="0" w:rightChars="0" w:firstLine="432" w:firstLineChars="180"/>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（3）本评标办法的否决条款。</w:t>
            </w:r>
          </w:p>
        </w:tc>
      </w:tr>
      <w:tr w14:paraId="3F37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33" w:type="dxa"/>
            <w:noWrap w:val="0"/>
            <w:vAlign w:val="center"/>
          </w:tcPr>
          <w:p w14:paraId="54895724">
            <w:pPr>
              <w:keepNext w:val="0"/>
              <w:keepLines w:val="0"/>
              <w:pageBreakBefore w:val="0"/>
              <w:widowControl/>
              <w:kinsoku/>
              <w:wordWrap/>
              <w:overflowPunct/>
              <w:topLinePunct w:val="0"/>
              <w:bidi w:val="0"/>
              <w:spacing w:line="360" w:lineRule="auto"/>
              <w:ind w:left="0" w:leftChars="0" w:right="0" w:rightChars="0"/>
              <w:jc w:val="center"/>
              <w:textAlignment w:val="auto"/>
              <w:rPr>
                <w:rFonts w:hint="eastAsia" w:ascii="宋体" w:hAnsi="宋体" w:eastAsia="宋体" w:cs="宋体"/>
                <w:color w:val="000000"/>
                <w:sz w:val="24"/>
                <w:highlight w:val="none"/>
              </w:rPr>
            </w:pPr>
            <w:r>
              <w:rPr>
                <w:rFonts w:hint="eastAsia" w:ascii="宋体" w:hAnsi="宋体" w:cs="宋体"/>
                <w:color w:val="000000"/>
                <w:sz w:val="24"/>
                <w:highlight w:val="none"/>
              </w:rPr>
              <w:t>…</w:t>
            </w:r>
          </w:p>
        </w:tc>
        <w:tc>
          <w:tcPr>
            <w:tcW w:w="7658" w:type="dxa"/>
            <w:noWrap w:val="0"/>
            <w:vAlign w:val="top"/>
          </w:tcPr>
          <w:p w14:paraId="24AD4795">
            <w:pPr>
              <w:keepNext w:val="0"/>
              <w:keepLines w:val="0"/>
              <w:pageBreakBefore w:val="0"/>
              <w:kinsoku/>
              <w:wordWrap/>
              <w:overflowPunct/>
              <w:topLinePunct w:val="0"/>
              <w:bidi w:val="0"/>
              <w:spacing w:line="360" w:lineRule="auto"/>
              <w:ind w:left="0" w:leftChars="0" w:right="0" w:rightChars="0" w:firstLine="432" w:firstLineChars="18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rPr>
              <w:t>…</w:t>
            </w:r>
          </w:p>
        </w:tc>
      </w:tr>
    </w:tbl>
    <w:p w14:paraId="5A99A1A2">
      <w:pPr>
        <w:pStyle w:val="3"/>
        <w:spacing w:after="0" w:line="360" w:lineRule="auto"/>
        <w:jc w:val="left"/>
        <w:rPr>
          <w:rFonts w:eastAsia="宋体"/>
          <w:b/>
          <w:bCs w:val="0"/>
          <w:i w:val="0"/>
          <w:iCs w:val="0"/>
          <w:color w:val="000000"/>
          <w:highlight w:val="none"/>
        </w:rPr>
      </w:pPr>
      <w:r>
        <w:rPr>
          <w:rFonts w:ascii="宋体" w:hAnsi="宋体" w:eastAsia="宋体"/>
          <w:color w:val="000000"/>
          <w:sz w:val="27"/>
          <w:szCs w:val="27"/>
          <w:highlight w:val="none"/>
        </w:rPr>
        <w:br w:type="page"/>
      </w:r>
      <w:bookmarkStart w:id="6" w:name="_Toc503517985"/>
      <w:r>
        <w:rPr>
          <w:rFonts w:ascii="宋体" w:hAnsi="宋体" w:eastAsia="宋体" w:cs="Times New Roman"/>
          <w:b/>
          <w:bCs/>
          <w:i w:val="0"/>
          <w:iCs w:val="0"/>
          <w:color w:val="000000"/>
          <w:highlight w:val="none"/>
        </w:rPr>
        <w:t>1. 评标方法</w:t>
      </w:r>
      <w:bookmarkEnd w:id="6"/>
    </w:p>
    <w:p w14:paraId="75E7E999">
      <w:pPr>
        <w:spacing w:line="360" w:lineRule="auto"/>
        <w:rPr>
          <w:rFonts w:ascii="宋体" w:hAnsi="宋体" w:eastAsia="宋体"/>
          <w:color w:val="000000"/>
          <w:sz w:val="24"/>
          <w:highlight w:val="none"/>
        </w:rPr>
      </w:pPr>
      <w:r>
        <w:rPr>
          <w:rFonts w:ascii="宋体" w:hAnsi="宋体" w:eastAsia="宋体"/>
          <w:color w:val="000000"/>
          <w:sz w:val="24"/>
          <w:highlight w:val="none"/>
        </w:rPr>
        <w:t>1.1</w:t>
      </w:r>
      <w:r>
        <w:rPr>
          <w:rFonts w:hint="eastAsia" w:ascii="宋体" w:hAnsi="宋体" w:eastAsia="宋体"/>
          <w:color w:val="000000"/>
          <w:sz w:val="24"/>
          <w:highlight w:val="none"/>
        </w:rPr>
        <w:t>评标方法</w:t>
      </w:r>
    </w:p>
    <w:p w14:paraId="05DA736C">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本次评标采用双信封的综合评分法。评标委员会对满足招标文件实质性要求的投标文件，按照本章第</w:t>
      </w:r>
      <w:r>
        <w:rPr>
          <w:rFonts w:ascii="宋体" w:hAnsi="宋体" w:eastAsia="宋体"/>
          <w:color w:val="000000"/>
          <w:sz w:val="24"/>
          <w:highlight w:val="none"/>
        </w:rPr>
        <w:t>2.2款</w:t>
      </w:r>
      <w:r>
        <w:rPr>
          <w:rFonts w:hint="eastAsia" w:ascii="宋体" w:hAnsi="宋体" w:eastAsia="宋体"/>
          <w:color w:val="000000"/>
          <w:sz w:val="24"/>
          <w:highlight w:val="none"/>
        </w:rPr>
        <w:t>规定的评分标准进行打分，并按得分由高到低顺序推荐中标候选人，但投标报价低于其成本的除外。综合评分相等时，评标委员会应按照评标办法前附表规定的优先次序推荐中标候选人或确定中标人。</w:t>
      </w:r>
    </w:p>
    <w:p w14:paraId="21F2716A">
      <w:pPr>
        <w:spacing w:line="360" w:lineRule="auto"/>
        <w:rPr>
          <w:rFonts w:ascii="宋体" w:hAnsi="宋体" w:eastAsia="宋体"/>
          <w:color w:val="000000"/>
          <w:sz w:val="24"/>
          <w:highlight w:val="none"/>
        </w:rPr>
      </w:pPr>
      <w:r>
        <w:rPr>
          <w:rFonts w:ascii="宋体" w:hAnsi="宋体" w:eastAsia="宋体"/>
          <w:color w:val="000000"/>
          <w:sz w:val="24"/>
          <w:highlight w:val="none"/>
        </w:rPr>
        <w:t>1.2</w:t>
      </w:r>
      <w:r>
        <w:rPr>
          <w:rFonts w:hint="eastAsia" w:ascii="宋体" w:hAnsi="宋体" w:eastAsia="宋体"/>
          <w:color w:val="000000"/>
          <w:sz w:val="24"/>
          <w:highlight w:val="none"/>
        </w:rPr>
        <w:t>评标组织</w:t>
      </w:r>
    </w:p>
    <w:p w14:paraId="7E352753">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1.2.1</w:t>
      </w:r>
      <w:r>
        <w:rPr>
          <w:rFonts w:hint="eastAsia" w:ascii="宋体" w:hAnsi="宋体" w:eastAsia="宋体"/>
          <w:color w:val="000000"/>
          <w:sz w:val="24"/>
          <w:highlight w:val="none"/>
        </w:rPr>
        <w:t>协助工作组</w:t>
      </w:r>
    </w:p>
    <w:p w14:paraId="564BE3C1">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招标人可在评标工作开始前成立协助工作组，选派熟悉招标工作、政治素质高的人员组成，协助评标委员会工作。协助工作组人员的具体数量由招标人视评标工作量确定。</w:t>
      </w:r>
    </w:p>
    <w:p w14:paraId="4E4E5CB0">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招标人可以协助评标委员会开展下列工作并提供相关信息：</w:t>
      </w:r>
    </w:p>
    <w:p w14:paraId="24768085">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1）根据招</w:t>
      </w:r>
      <w:r>
        <w:rPr>
          <w:rFonts w:hint="eastAsia" w:ascii="宋体" w:hAnsi="宋体" w:eastAsia="宋体"/>
          <w:color w:val="000000"/>
          <w:sz w:val="24"/>
          <w:highlight w:val="none"/>
        </w:rPr>
        <w:t>标文件，编制评标使用的相应表格；</w:t>
      </w:r>
    </w:p>
    <w:p w14:paraId="324D9CBE">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2）</w:t>
      </w:r>
      <w:r>
        <w:rPr>
          <w:rFonts w:hint="eastAsia" w:ascii="宋体" w:hAnsi="宋体" w:eastAsia="宋体"/>
          <w:color w:val="000000"/>
          <w:sz w:val="24"/>
          <w:highlight w:val="none"/>
        </w:rPr>
        <w:t>对投标报价进行算术性校核；</w:t>
      </w:r>
    </w:p>
    <w:p w14:paraId="3FA99B3B">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3）以</w:t>
      </w:r>
      <w:r>
        <w:rPr>
          <w:rFonts w:hint="eastAsia" w:ascii="宋体" w:hAnsi="宋体" w:eastAsia="宋体"/>
          <w:color w:val="000000"/>
          <w:sz w:val="24"/>
          <w:highlight w:val="none"/>
        </w:rPr>
        <w:t>评标标准和方法为依据，列出投标文件相对于招标文件的所有偏差，并进行归类汇总；</w:t>
      </w:r>
    </w:p>
    <w:p w14:paraId="738CAE05">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4）查</w:t>
      </w:r>
      <w:r>
        <w:rPr>
          <w:rFonts w:hint="eastAsia" w:ascii="宋体" w:hAnsi="宋体" w:eastAsia="宋体"/>
          <w:color w:val="000000"/>
          <w:sz w:val="24"/>
          <w:highlight w:val="none"/>
        </w:rPr>
        <w:t>询水运建设市场信用信息管理系统，对投标人的资质、业绩、主要人员资历和目前在岗情况、企业信用等级进行核实（如有）。</w:t>
      </w:r>
    </w:p>
    <w:p w14:paraId="177D7EED">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招标人不得对投标文件作出任何评价，不得故意遗漏或者片面摘录，不得在评标委员会对所有偏差定性之前透露存有偏差的投标人名称。</w:t>
      </w:r>
    </w:p>
    <w:p w14:paraId="2215BC5E">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1.2.2</w:t>
      </w:r>
      <w:r>
        <w:rPr>
          <w:rFonts w:hint="eastAsia" w:ascii="宋体" w:hAnsi="宋体" w:eastAsia="宋体"/>
          <w:color w:val="000000"/>
          <w:sz w:val="24"/>
          <w:highlight w:val="none"/>
        </w:rPr>
        <w:t>评标委员会</w:t>
      </w:r>
    </w:p>
    <w:p w14:paraId="6084CDA9">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评标委员会由招标人按国家、广东省等的有关规定依法组建。评标委员人数参见本招标文件“投标人须知前附表第</w:t>
      </w:r>
      <w:r>
        <w:rPr>
          <w:rFonts w:ascii="宋体" w:hAnsi="宋体" w:eastAsia="宋体"/>
          <w:color w:val="000000"/>
          <w:sz w:val="24"/>
          <w:highlight w:val="none"/>
        </w:rPr>
        <w:t>6.1.1款。</w:t>
      </w:r>
      <w:r>
        <w:rPr>
          <w:rFonts w:hint="eastAsia" w:ascii="宋体" w:hAnsi="宋体" w:eastAsia="宋体"/>
          <w:color w:val="000000"/>
          <w:sz w:val="24"/>
          <w:highlight w:val="none"/>
        </w:rPr>
        <w:t>评标委员会的主要工作内容包括：</w:t>
      </w:r>
    </w:p>
    <w:p w14:paraId="6B058B5A">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1）</w:t>
      </w:r>
      <w:r>
        <w:rPr>
          <w:rFonts w:hint="eastAsia" w:ascii="宋体" w:hAnsi="宋体" w:eastAsia="宋体"/>
          <w:color w:val="000000"/>
          <w:sz w:val="24"/>
          <w:highlight w:val="none"/>
        </w:rPr>
        <w:t>评标委员会开始评标工作之前，首先听取招标人、协助工作组关于工程情况和辅助工作的说明，并认真研读招标文件，获取评标所需的重要信息和数据；</w:t>
      </w:r>
    </w:p>
    <w:p w14:paraId="2A025C52">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2）</w:t>
      </w:r>
      <w:r>
        <w:rPr>
          <w:rFonts w:hint="eastAsia" w:ascii="宋体" w:hAnsi="宋体" w:eastAsia="宋体"/>
          <w:color w:val="000000"/>
          <w:sz w:val="24"/>
          <w:highlight w:val="none"/>
        </w:rPr>
        <w:t>对协助工作组提供的评标工作用表和评标内容进行核查。</w:t>
      </w:r>
    </w:p>
    <w:p w14:paraId="03F16A1B">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3）按照以下1.3款程序</w:t>
      </w:r>
      <w:r>
        <w:rPr>
          <w:rFonts w:hint="eastAsia" w:ascii="宋体" w:hAnsi="宋体" w:eastAsia="宋体"/>
          <w:color w:val="000000"/>
          <w:sz w:val="24"/>
          <w:highlight w:val="none"/>
        </w:rPr>
        <w:t>进行各项评审工作。</w:t>
      </w:r>
    </w:p>
    <w:p w14:paraId="40300380">
      <w:pPr>
        <w:spacing w:line="360" w:lineRule="auto"/>
        <w:rPr>
          <w:rFonts w:ascii="宋体" w:hAnsi="宋体" w:eastAsia="宋体"/>
          <w:color w:val="000000"/>
          <w:sz w:val="24"/>
          <w:highlight w:val="none"/>
        </w:rPr>
      </w:pPr>
      <w:r>
        <w:rPr>
          <w:rFonts w:ascii="宋体" w:hAnsi="宋体" w:eastAsia="宋体"/>
          <w:color w:val="000000"/>
          <w:sz w:val="24"/>
          <w:highlight w:val="none"/>
        </w:rPr>
        <w:t>1.3</w:t>
      </w:r>
      <w:r>
        <w:rPr>
          <w:rFonts w:hint="eastAsia" w:ascii="宋体" w:hAnsi="宋体" w:eastAsia="宋体"/>
          <w:color w:val="000000"/>
          <w:sz w:val="24"/>
          <w:highlight w:val="none"/>
        </w:rPr>
        <w:t>评审工作程序</w:t>
      </w:r>
    </w:p>
    <w:p w14:paraId="64D4D553">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（一）第一信封（商务及技术文件）：</w:t>
      </w:r>
    </w:p>
    <w:p w14:paraId="633DA6A6">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l、初步</w:t>
      </w:r>
      <w:r>
        <w:rPr>
          <w:rFonts w:hint="eastAsia" w:ascii="宋体" w:hAnsi="宋体" w:eastAsia="宋体"/>
          <w:color w:val="000000"/>
          <w:sz w:val="24"/>
          <w:highlight w:val="none"/>
        </w:rPr>
        <w:t>评审：包括形式评审与响应性评审、资格评审；</w:t>
      </w:r>
    </w:p>
    <w:p w14:paraId="3B8D8AD5">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w:t>
      </w:r>
      <w:r>
        <w:rPr>
          <w:rFonts w:hint="eastAsia" w:ascii="宋体" w:hAnsi="宋体" w:eastAsia="宋体"/>
          <w:color w:val="000000"/>
          <w:sz w:val="24"/>
          <w:highlight w:val="none"/>
        </w:rPr>
        <w:t>详细评审（评审打分）：评标委员会首先对通过初步评审的投标文件第一个信封（商务及技术文件）进行详细评审，对投标人的监理大纲、主要人员、其他因素等分别评审打分。</w:t>
      </w:r>
    </w:p>
    <w:p w14:paraId="2FC251CE">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（二）第二信封（报价文件）：</w:t>
      </w:r>
    </w:p>
    <w:p w14:paraId="61495FDC">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1、初步</w:t>
      </w:r>
      <w:r>
        <w:rPr>
          <w:rFonts w:hint="eastAsia" w:ascii="宋体" w:hAnsi="宋体" w:eastAsia="宋体"/>
          <w:color w:val="000000"/>
          <w:sz w:val="24"/>
          <w:highlight w:val="none"/>
        </w:rPr>
        <w:t>评审：</w:t>
      </w:r>
    </w:p>
    <w:p w14:paraId="1AA161FA">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1）只有投</w:t>
      </w:r>
      <w:r>
        <w:rPr>
          <w:rFonts w:hint="eastAsia" w:ascii="宋体" w:hAnsi="宋体" w:eastAsia="宋体"/>
          <w:color w:val="000000"/>
          <w:sz w:val="24"/>
          <w:highlight w:val="none"/>
        </w:rPr>
        <w:t>标文件第一个信封通过详细评审的投标人才能继续参加第二信封报价文件的形式评审与响应性评审；</w:t>
      </w:r>
    </w:p>
    <w:p w14:paraId="1827126D">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w:t>
      </w:r>
      <w:r>
        <w:rPr>
          <w:rFonts w:ascii="宋体" w:hAnsi="宋体" w:eastAsia="宋体"/>
          <w:color w:val="000000"/>
          <w:sz w:val="24"/>
          <w:highlight w:val="none"/>
        </w:rPr>
        <w:t>2）</w:t>
      </w:r>
      <w:r>
        <w:rPr>
          <w:rFonts w:hint="eastAsia" w:ascii="宋体" w:hAnsi="宋体" w:eastAsia="宋体"/>
          <w:color w:val="000000"/>
          <w:sz w:val="24"/>
          <w:highlight w:val="none"/>
        </w:rPr>
        <w:t>报价算术性修正；</w:t>
      </w:r>
    </w:p>
    <w:p w14:paraId="0C9DE840">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w:t>
      </w:r>
      <w:r>
        <w:rPr>
          <w:rFonts w:hint="eastAsia" w:ascii="宋体" w:hAnsi="宋体" w:eastAsia="宋体"/>
          <w:color w:val="000000"/>
          <w:sz w:val="24"/>
          <w:highlight w:val="none"/>
        </w:rPr>
        <w:t>详细评审：计算评标基准价、评标价得分及综合得分；</w:t>
      </w:r>
    </w:p>
    <w:p w14:paraId="31D3AEED">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（三）投标文件相关信息的核查。</w:t>
      </w:r>
    </w:p>
    <w:p w14:paraId="53B875AA">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（四）</w:t>
      </w:r>
      <w:r>
        <w:rPr>
          <w:rFonts w:ascii="宋体" w:hAnsi="宋体" w:eastAsia="宋体"/>
          <w:color w:val="000000"/>
          <w:sz w:val="24"/>
          <w:highlight w:val="none"/>
        </w:rPr>
        <w:t>投</w:t>
      </w:r>
      <w:r>
        <w:rPr>
          <w:rFonts w:hint="eastAsia" w:ascii="宋体" w:hAnsi="宋体" w:eastAsia="宋体"/>
          <w:color w:val="000000"/>
          <w:sz w:val="24"/>
          <w:highlight w:val="none"/>
        </w:rPr>
        <w:t>标文件的澄清和说明</w:t>
      </w:r>
      <w:r>
        <w:rPr>
          <w:rFonts w:ascii="宋体" w:hAnsi="宋体" w:eastAsia="宋体"/>
          <w:color w:val="000000"/>
          <w:sz w:val="24"/>
          <w:highlight w:val="none"/>
        </w:rPr>
        <w:t>(如有)</w:t>
      </w:r>
    </w:p>
    <w:p w14:paraId="51725B0A">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（五）按评标办法规定推荐中标候选人，编写评标报告。</w:t>
      </w:r>
    </w:p>
    <w:p w14:paraId="5872DEA9">
      <w:pPr>
        <w:pStyle w:val="3"/>
        <w:spacing w:after="0" w:line="360" w:lineRule="auto"/>
        <w:jc w:val="left"/>
        <w:rPr>
          <w:rFonts w:eastAsia="宋体"/>
          <w:b/>
          <w:bCs w:val="0"/>
          <w:i w:val="0"/>
          <w:iCs w:val="0"/>
          <w:color w:val="000000"/>
          <w:highlight w:val="none"/>
        </w:rPr>
      </w:pPr>
      <w:bookmarkStart w:id="7" w:name="_Toc503517986"/>
      <w:bookmarkStart w:id="8" w:name="_Toc503235808"/>
      <w:r>
        <w:rPr>
          <w:rFonts w:eastAsia="宋体"/>
          <w:b/>
          <w:bCs w:val="0"/>
          <w:i w:val="0"/>
          <w:iCs w:val="0"/>
          <w:color w:val="000000"/>
          <w:highlight w:val="none"/>
        </w:rPr>
        <w:t>2. 评审标准</w:t>
      </w:r>
      <w:bookmarkEnd w:id="7"/>
      <w:bookmarkEnd w:id="8"/>
    </w:p>
    <w:p w14:paraId="51C6869F">
      <w:pPr>
        <w:spacing w:line="360" w:lineRule="auto"/>
        <w:rPr>
          <w:rFonts w:ascii="宋体" w:hAnsi="宋体" w:eastAsia="宋体"/>
          <w:color w:val="000000"/>
          <w:sz w:val="24"/>
          <w:highlight w:val="none"/>
        </w:rPr>
      </w:pPr>
      <w:bookmarkStart w:id="9" w:name="_Toc503235809"/>
      <w:bookmarkStart w:id="10" w:name="_Toc503517987"/>
      <w:r>
        <w:rPr>
          <w:rFonts w:ascii="宋体" w:hAnsi="宋体" w:eastAsia="宋体"/>
          <w:color w:val="000000"/>
          <w:sz w:val="24"/>
          <w:highlight w:val="none"/>
        </w:rPr>
        <w:t>2.1 初步评审标准</w:t>
      </w:r>
      <w:bookmarkEnd w:id="9"/>
      <w:bookmarkEnd w:id="10"/>
    </w:p>
    <w:p w14:paraId="1132CD28">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2.1.1 形式评审标准：见评标办法前附表。</w:t>
      </w:r>
    </w:p>
    <w:p w14:paraId="547F2CFD">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2.1.2 资格评审标准：见评标办法前附表。</w:t>
      </w:r>
    </w:p>
    <w:p w14:paraId="6B5F1F0D">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2.1.3 响应性评审标准：见评标办法前附表。</w:t>
      </w:r>
    </w:p>
    <w:p w14:paraId="66709FE7">
      <w:pPr>
        <w:spacing w:line="360" w:lineRule="auto"/>
        <w:rPr>
          <w:rFonts w:ascii="宋体" w:hAnsi="宋体" w:eastAsia="宋体"/>
          <w:color w:val="000000"/>
          <w:sz w:val="24"/>
          <w:highlight w:val="none"/>
        </w:rPr>
      </w:pPr>
      <w:bookmarkStart w:id="11" w:name="_Toc503517988"/>
      <w:bookmarkStart w:id="12" w:name="_Toc503235810"/>
      <w:r>
        <w:rPr>
          <w:rFonts w:ascii="宋体" w:hAnsi="宋体" w:eastAsia="宋体"/>
          <w:color w:val="000000"/>
          <w:sz w:val="24"/>
          <w:highlight w:val="none"/>
        </w:rPr>
        <w:t>2.2 分值构成与评分标准</w:t>
      </w:r>
      <w:bookmarkEnd w:id="11"/>
      <w:bookmarkEnd w:id="12"/>
    </w:p>
    <w:p w14:paraId="4C79D04B">
      <w:pPr>
        <w:tabs>
          <w:tab w:val="left" w:pos="360"/>
        </w:tabs>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2.2.1 分值构成</w:t>
      </w:r>
    </w:p>
    <w:p w14:paraId="27F1680A">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（1）</w:t>
      </w:r>
      <w:r>
        <w:rPr>
          <w:rFonts w:hint="eastAsia" w:ascii="宋体" w:hAnsi="宋体" w:eastAsia="宋体"/>
          <w:color w:val="000000"/>
          <w:sz w:val="24"/>
          <w:highlight w:val="none"/>
        </w:rPr>
        <w:t>监理大纲</w:t>
      </w:r>
      <w:r>
        <w:rPr>
          <w:rFonts w:ascii="宋体" w:hAnsi="宋体" w:eastAsia="宋体"/>
          <w:color w:val="000000"/>
          <w:sz w:val="24"/>
          <w:highlight w:val="none"/>
        </w:rPr>
        <w:t>：见评标办法前附表；</w:t>
      </w:r>
    </w:p>
    <w:p w14:paraId="4987BBD5">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w:t>
      </w:r>
      <w:r>
        <w:rPr>
          <w:rFonts w:hint="eastAsia" w:ascii="宋体" w:hAnsi="宋体" w:eastAsia="宋体"/>
          <w:color w:val="000000"/>
          <w:sz w:val="24"/>
          <w:highlight w:val="none"/>
        </w:rPr>
        <w:t>主要人员</w:t>
      </w:r>
      <w:r>
        <w:rPr>
          <w:rFonts w:ascii="宋体" w:hAnsi="宋体" w:eastAsia="宋体"/>
          <w:color w:val="000000"/>
          <w:sz w:val="24"/>
          <w:highlight w:val="none"/>
        </w:rPr>
        <w:t>：见评标办法前附表；</w:t>
      </w:r>
    </w:p>
    <w:p w14:paraId="419805E1">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评标价</w:t>
      </w:r>
      <w:r>
        <w:rPr>
          <w:rFonts w:ascii="宋体" w:hAnsi="宋体" w:eastAsia="宋体"/>
          <w:color w:val="000000"/>
          <w:sz w:val="24"/>
          <w:highlight w:val="none"/>
        </w:rPr>
        <w:t>：见评标办法前附表；</w:t>
      </w:r>
    </w:p>
    <w:p w14:paraId="0DEBD499">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（4）其他评分因素：见评标办法前附表。</w:t>
      </w:r>
    </w:p>
    <w:p w14:paraId="35E727FF">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2.2.2 评标基准价计算</w:t>
      </w:r>
    </w:p>
    <w:p w14:paraId="44EC650F">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评标基准价计算方法：见评标办法前附表。</w:t>
      </w:r>
    </w:p>
    <w:p w14:paraId="411231A2">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 xml:space="preserve">2.2.3 </w:t>
      </w:r>
      <w:r>
        <w:rPr>
          <w:rFonts w:hint="eastAsia" w:ascii="宋体" w:hAnsi="宋体" w:eastAsia="宋体"/>
          <w:color w:val="000000"/>
          <w:sz w:val="24"/>
          <w:highlight w:val="none"/>
        </w:rPr>
        <w:t>评标价</w:t>
      </w:r>
      <w:r>
        <w:rPr>
          <w:rFonts w:ascii="宋体" w:hAnsi="宋体" w:eastAsia="宋体"/>
          <w:color w:val="000000"/>
          <w:sz w:val="24"/>
          <w:highlight w:val="none"/>
        </w:rPr>
        <w:t>的偏差率计算</w:t>
      </w:r>
    </w:p>
    <w:p w14:paraId="38C22D07">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评标价</w:t>
      </w:r>
      <w:r>
        <w:rPr>
          <w:rFonts w:ascii="宋体" w:hAnsi="宋体" w:eastAsia="宋体"/>
          <w:color w:val="000000"/>
          <w:sz w:val="24"/>
          <w:highlight w:val="none"/>
        </w:rPr>
        <w:t>的偏差率计算公式：见评标办法前附表。</w:t>
      </w:r>
    </w:p>
    <w:p w14:paraId="3DEBE79C">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2.2.4 评分标准</w:t>
      </w:r>
    </w:p>
    <w:p w14:paraId="78E0380A">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（1）</w:t>
      </w:r>
      <w:r>
        <w:rPr>
          <w:rFonts w:hint="eastAsia" w:ascii="宋体" w:hAnsi="宋体" w:eastAsia="宋体"/>
          <w:color w:val="000000"/>
          <w:sz w:val="24"/>
          <w:highlight w:val="none"/>
        </w:rPr>
        <w:t>监理大纲</w:t>
      </w:r>
      <w:r>
        <w:rPr>
          <w:rFonts w:ascii="宋体" w:hAnsi="宋体" w:eastAsia="宋体"/>
          <w:color w:val="000000"/>
          <w:sz w:val="24"/>
          <w:highlight w:val="none"/>
        </w:rPr>
        <w:t>评分标准：见评标办法前附表；</w:t>
      </w:r>
    </w:p>
    <w:p w14:paraId="660C58DF">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w:t>
      </w:r>
      <w:r>
        <w:rPr>
          <w:rFonts w:hint="eastAsia" w:ascii="宋体" w:hAnsi="宋体" w:eastAsia="宋体"/>
          <w:color w:val="000000"/>
          <w:sz w:val="24"/>
          <w:highlight w:val="none"/>
        </w:rPr>
        <w:t>主要人员</w:t>
      </w:r>
      <w:r>
        <w:rPr>
          <w:rFonts w:ascii="宋体" w:hAnsi="宋体" w:eastAsia="宋体"/>
          <w:color w:val="000000"/>
          <w:sz w:val="24"/>
          <w:highlight w:val="none"/>
        </w:rPr>
        <w:t>评分标准：见评标办法前附表；</w:t>
      </w:r>
    </w:p>
    <w:p w14:paraId="2FF26D23">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评标价</w:t>
      </w:r>
      <w:r>
        <w:rPr>
          <w:rFonts w:ascii="宋体" w:hAnsi="宋体" w:eastAsia="宋体"/>
          <w:color w:val="000000"/>
          <w:sz w:val="24"/>
          <w:highlight w:val="none"/>
        </w:rPr>
        <w:t>评分标准：见评标办法前附表；</w:t>
      </w:r>
    </w:p>
    <w:p w14:paraId="5AC4AC95">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（4）其他因素评分标准：见评标办法前附表。</w:t>
      </w:r>
    </w:p>
    <w:p w14:paraId="1A262B6E">
      <w:pPr>
        <w:pStyle w:val="3"/>
        <w:spacing w:after="0" w:line="360" w:lineRule="auto"/>
        <w:jc w:val="left"/>
        <w:rPr>
          <w:rFonts w:eastAsia="宋体"/>
          <w:b/>
          <w:bCs w:val="0"/>
          <w:i w:val="0"/>
          <w:iCs w:val="0"/>
          <w:color w:val="000000"/>
          <w:highlight w:val="none"/>
        </w:rPr>
      </w:pPr>
      <w:bookmarkStart w:id="13" w:name="_Toc503517989"/>
      <w:bookmarkStart w:id="14" w:name="_Toc503235811"/>
      <w:r>
        <w:rPr>
          <w:rFonts w:eastAsia="宋体"/>
          <w:b/>
          <w:bCs w:val="0"/>
          <w:i w:val="0"/>
          <w:iCs w:val="0"/>
          <w:color w:val="000000"/>
          <w:highlight w:val="none"/>
        </w:rPr>
        <w:t>3. 评标程序</w:t>
      </w:r>
      <w:bookmarkEnd w:id="13"/>
      <w:bookmarkEnd w:id="14"/>
    </w:p>
    <w:p w14:paraId="3A6DAECF">
      <w:pPr>
        <w:spacing w:line="360" w:lineRule="auto"/>
        <w:rPr>
          <w:rFonts w:ascii="宋体" w:hAnsi="宋体" w:eastAsia="宋体"/>
          <w:color w:val="000000"/>
          <w:sz w:val="24"/>
          <w:highlight w:val="none"/>
        </w:rPr>
      </w:pPr>
      <w:bookmarkStart w:id="15" w:name="_Toc503235812"/>
      <w:bookmarkStart w:id="16" w:name="_Toc503517990"/>
      <w:r>
        <w:rPr>
          <w:rFonts w:ascii="宋体" w:hAnsi="宋体" w:eastAsia="宋体"/>
          <w:color w:val="000000"/>
          <w:sz w:val="24"/>
          <w:highlight w:val="none"/>
        </w:rPr>
        <w:t>3.1</w:t>
      </w:r>
      <w:r>
        <w:rPr>
          <w:rFonts w:hint="eastAsia" w:ascii="宋体" w:hAnsi="宋体" w:eastAsia="宋体"/>
          <w:color w:val="000000"/>
          <w:sz w:val="24"/>
          <w:highlight w:val="none"/>
        </w:rPr>
        <w:t xml:space="preserve"> 第一个信封</w:t>
      </w:r>
      <w:r>
        <w:rPr>
          <w:rFonts w:ascii="宋体" w:hAnsi="宋体" w:eastAsia="宋体"/>
          <w:color w:val="000000"/>
          <w:sz w:val="24"/>
          <w:highlight w:val="none"/>
        </w:rPr>
        <w:t>初步评审</w:t>
      </w:r>
      <w:bookmarkEnd w:id="15"/>
      <w:bookmarkEnd w:id="16"/>
    </w:p>
    <w:p w14:paraId="7A241E7A">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3.1.1 评标委员会可以要求投标人提交第二章“投标人须知”第3.5.1项至第3.5.</w:t>
      </w:r>
      <w:r>
        <w:rPr>
          <w:rFonts w:hint="eastAsia" w:ascii="宋体" w:hAnsi="宋体" w:eastAsia="宋体"/>
          <w:color w:val="000000"/>
          <w:sz w:val="24"/>
          <w:highlight w:val="none"/>
        </w:rPr>
        <w:t>5</w:t>
      </w:r>
      <w:r>
        <w:rPr>
          <w:rFonts w:ascii="宋体" w:hAnsi="宋体" w:eastAsia="宋体"/>
          <w:color w:val="000000"/>
          <w:sz w:val="24"/>
          <w:highlight w:val="none"/>
        </w:rPr>
        <w:t>项规定的有关证明和证件的原件，以便核验。评标委员会依据本章第2.1款规定的标准对投标文件</w:t>
      </w:r>
      <w:r>
        <w:rPr>
          <w:rFonts w:hint="eastAsia" w:ascii="宋体" w:hAnsi="宋体" w:eastAsia="宋体"/>
          <w:color w:val="000000"/>
          <w:sz w:val="24"/>
          <w:highlight w:val="none"/>
        </w:rPr>
        <w:t>第一个信封（商务及技术文件）</w:t>
      </w:r>
      <w:r>
        <w:rPr>
          <w:rFonts w:ascii="宋体" w:hAnsi="宋体" w:eastAsia="宋体"/>
          <w:color w:val="000000"/>
          <w:sz w:val="24"/>
          <w:highlight w:val="none"/>
        </w:rPr>
        <w:t>进行初步评审。有一项不符合评审标准的，</w:t>
      </w:r>
      <w:r>
        <w:rPr>
          <w:rFonts w:hint="eastAsia" w:ascii="宋体" w:hAnsi="宋体" w:eastAsia="宋体"/>
          <w:color w:val="000000"/>
          <w:sz w:val="24"/>
          <w:highlight w:val="none"/>
        </w:rPr>
        <w:t>评标委员会应否决其投标</w:t>
      </w:r>
      <w:r>
        <w:rPr>
          <w:rFonts w:ascii="宋体" w:hAnsi="宋体" w:eastAsia="宋体"/>
          <w:color w:val="000000"/>
          <w:sz w:val="24"/>
          <w:highlight w:val="none"/>
        </w:rPr>
        <w:t>。</w:t>
      </w:r>
    </w:p>
    <w:p w14:paraId="1415667F">
      <w:pPr>
        <w:spacing w:line="360" w:lineRule="auto"/>
        <w:rPr>
          <w:rFonts w:ascii="宋体" w:hAnsi="宋体" w:eastAsia="宋体"/>
          <w:color w:val="000000"/>
          <w:sz w:val="24"/>
          <w:highlight w:val="none"/>
        </w:rPr>
      </w:pPr>
      <w:bookmarkStart w:id="17" w:name="_Toc503517991"/>
      <w:bookmarkStart w:id="18" w:name="_Toc503235813"/>
      <w:r>
        <w:rPr>
          <w:rFonts w:ascii="宋体" w:hAnsi="宋体" w:eastAsia="宋体"/>
          <w:color w:val="000000"/>
          <w:sz w:val="24"/>
          <w:highlight w:val="none"/>
        </w:rPr>
        <w:t>3.</w:t>
      </w:r>
      <w:r>
        <w:rPr>
          <w:rFonts w:hint="eastAsia" w:ascii="宋体" w:hAnsi="宋体" w:eastAsia="宋体"/>
          <w:color w:val="000000"/>
          <w:sz w:val="24"/>
          <w:highlight w:val="none"/>
        </w:rPr>
        <w:t>2 第一个信封</w:t>
      </w:r>
      <w:r>
        <w:rPr>
          <w:rFonts w:ascii="宋体" w:hAnsi="宋体" w:eastAsia="宋体"/>
          <w:color w:val="000000"/>
          <w:sz w:val="24"/>
          <w:highlight w:val="none"/>
        </w:rPr>
        <w:t>详细评审</w:t>
      </w:r>
      <w:bookmarkEnd w:id="17"/>
      <w:bookmarkEnd w:id="18"/>
    </w:p>
    <w:p w14:paraId="0BD1DF70">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2</w:t>
      </w:r>
      <w:r>
        <w:rPr>
          <w:rFonts w:ascii="宋体" w:hAnsi="宋体" w:eastAsia="宋体"/>
          <w:color w:val="000000"/>
          <w:sz w:val="24"/>
          <w:highlight w:val="none"/>
        </w:rPr>
        <w:t>.1 评标委员会按本章第2.2款规定的量化因素和分值进行打分，并计算出</w:t>
      </w:r>
      <w:r>
        <w:rPr>
          <w:rFonts w:hint="eastAsia" w:ascii="宋体" w:hAnsi="宋体" w:eastAsia="宋体"/>
          <w:color w:val="000000"/>
          <w:sz w:val="24"/>
          <w:highlight w:val="none"/>
        </w:rPr>
        <w:t>各投标人的商务和技术</w:t>
      </w:r>
      <w:r>
        <w:rPr>
          <w:rFonts w:ascii="宋体" w:hAnsi="宋体" w:eastAsia="宋体"/>
          <w:color w:val="000000"/>
          <w:sz w:val="24"/>
          <w:highlight w:val="none"/>
        </w:rPr>
        <w:t>得分。</w:t>
      </w:r>
    </w:p>
    <w:p w14:paraId="5A940091">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（1）按本章第2.2.4项（1）目规定的评审因素和分值对</w:t>
      </w:r>
      <w:r>
        <w:rPr>
          <w:rFonts w:hint="eastAsia" w:ascii="宋体" w:hAnsi="宋体" w:eastAsia="宋体"/>
          <w:color w:val="000000"/>
          <w:sz w:val="24"/>
          <w:highlight w:val="none"/>
        </w:rPr>
        <w:t>监理大纲</w:t>
      </w:r>
      <w:r>
        <w:rPr>
          <w:rFonts w:ascii="宋体" w:hAnsi="宋体" w:eastAsia="宋体"/>
          <w:color w:val="000000"/>
          <w:sz w:val="24"/>
          <w:highlight w:val="none"/>
        </w:rPr>
        <w:t>部分计算出得分A；</w:t>
      </w:r>
    </w:p>
    <w:p w14:paraId="706A0095">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（2）按本章第2.2.4项（2）目规定的评审因素和分值对</w:t>
      </w:r>
      <w:r>
        <w:rPr>
          <w:rFonts w:hint="eastAsia" w:ascii="宋体" w:hAnsi="宋体" w:eastAsia="宋体"/>
          <w:color w:val="000000"/>
          <w:sz w:val="24"/>
          <w:highlight w:val="none"/>
        </w:rPr>
        <w:t>主要人员部分</w:t>
      </w:r>
      <w:r>
        <w:rPr>
          <w:rFonts w:ascii="宋体" w:hAnsi="宋体" w:eastAsia="宋体"/>
          <w:color w:val="000000"/>
          <w:sz w:val="24"/>
          <w:highlight w:val="none"/>
        </w:rPr>
        <w:t>计算出得分B；</w:t>
      </w:r>
    </w:p>
    <w:p w14:paraId="5B28AC32">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（3）按本章第2.2.4项（4）目规定的评审因素和分值对其他部分计算出得分D。</w:t>
      </w:r>
    </w:p>
    <w:p w14:paraId="6538732E">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2</w:t>
      </w:r>
      <w:r>
        <w:rPr>
          <w:rFonts w:ascii="宋体" w:hAnsi="宋体" w:eastAsia="宋体"/>
          <w:color w:val="000000"/>
          <w:sz w:val="24"/>
          <w:highlight w:val="none"/>
        </w:rPr>
        <w:t xml:space="preserve">.2 </w:t>
      </w:r>
      <w:r>
        <w:rPr>
          <w:rFonts w:hint="eastAsia" w:ascii="宋体" w:hAnsi="宋体" w:eastAsia="宋体"/>
          <w:color w:val="000000"/>
          <w:sz w:val="24"/>
          <w:highlight w:val="none"/>
        </w:rPr>
        <w:t>投标人的商务和技术得分</w:t>
      </w:r>
      <w:r>
        <w:rPr>
          <w:rFonts w:ascii="宋体" w:hAnsi="宋体" w:eastAsia="宋体"/>
          <w:color w:val="000000"/>
          <w:sz w:val="24"/>
          <w:highlight w:val="none"/>
        </w:rPr>
        <w:t>分值计算保留小数点后两位，小数点后第三位“四舍五入”。</w:t>
      </w:r>
    </w:p>
    <w:p w14:paraId="69FE82A0">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2</w:t>
      </w:r>
      <w:r>
        <w:rPr>
          <w:rFonts w:ascii="宋体" w:hAnsi="宋体" w:eastAsia="宋体"/>
          <w:color w:val="000000"/>
          <w:sz w:val="24"/>
          <w:highlight w:val="none"/>
        </w:rPr>
        <w:t>.3 投标人</w:t>
      </w:r>
      <w:r>
        <w:rPr>
          <w:rFonts w:hint="eastAsia" w:ascii="宋体" w:hAnsi="宋体" w:eastAsia="宋体"/>
          <w:color w:val="000000"/>
          <w:sz w:val="24"/>
          <w:highlight w:val="none"/>
        </w:rPr>
        <w:t>的商务和技术</w:t>
      </w:r>
      <w:r>
        <w:rPr>
          <w:rFonts w:ascii="宋体" w:hAnsi="宋体" w:eastAsia="宋体"/>
          <w:color w:val="000000"/>
          <w:sz w:val="24"/>
          <w:highlight w:val="none"/>
        </w:rPr>
        <w:t>得分=A+B+D。</w:t>
      </w:r>
      <w:r>
        <w:rPr>
          <w:rFonts w:hint="eastAsia" w:ascii="宋体" w:hAnsi="宋体" w:eastAsia="宋体"/>
          <w:color w:val="000000"/>
          <w:sz w:val="24"/>
          <w:highlight w:val="none"/>
        </w:rPr>
        <w:t xml:space="preserve"> </w:t>
      </w:r>
    </w:p>
    <w:p w14:paraId="0684850D">
      <w:pPr>
        <w:spacing w:line="360" w:lineRule="auto"/>
        <w:rPr>
          <w:rFonts w:ascii="宋体" w:hAnsi="宋体" w:eastAsia="宋体"/>
          <w:color w:val="000000"/>
          <w:sz w:val="24"/>
          <w:highlight w:val="none"/>
        </w:rPr>
      </w:pPr>
      <w:bookmarkStart w:id="19" w:name="_Toc503517992"/>
      <w:bookmarkStart w:id="20" w:name="_Toc503235814"/>
      <w:r>
        <w:rPr>
          <w:rFonts w:ascii="宋体" w:hAnsi="宋体" w:eastAsia="宋体"/>
          <w:color w:val="000000"/>
          <w:sz w:val="24"/>
          <w:highlight w:val="none"/>
        </w:rPr>
        <w:t>3.</w:t>
      </w:r>
      <w:r>
        <w:rPr>
          <w:rFonts w:hint="eastAsia" w:ascii="宋体" w:hAnsi="宋体" w:eastAsia="宋体"/>
          <w:color w:val="000000"/>
          <w:sz w:val="24"/>
          <w:highlight w:val="none"/>
        </w:rPr>
        <w:t>3 第二个信封开标</w:t>
      </w:r>
      <w:bookmarkEnd w:id="19"/>
      <w:bookmarkEnd w:id="20"/>
    </w:p>
    <w:p w14:paraId="5BB196E5">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第一</w:t>
      </w:r>
      <w:r>
        <w:rPr>
          <w:rFonts w:hint="eastAsia" w:ascii="宋体" w:hAnsi="宋体" w:eastAsia="宋体"/>
          <w:color w:val="000000"/>
          <w:sz w:val="24"/>
          <w:highlight w:val="none"/>
        </w:rPr>
        <w:t>个</w:t>
      </w:r>
      <w:r>
        <w:rPr>
          <w:rFonts w:ascii="宋体" w:hAnsi="宋体" w:eastAsia="宋体"/>
          <w:color w:val="000000"/>
          <w:sz w:val="24"/>
          <w:highlight w:val="none"/>
        </w:rPr>
        <w:t>信封（商务及技术文件）评审结束后，招标人将按照</w:t>
      </w:r>
      <w:r>
        <w:rPr>
          <w:rFonts w:hint="eastAsia" w:ascii="宋体" w:hAnsi="宋体" w:eastAsia="宋体"/>
          <w:color w:val="000000"/>
          <w:sz w:val="24"/>
          <w:highlight w:val="none"/>
        </w:rPr>
        <w:t>第二章</w:t>
      </w:r>
      <w:r>
        <w:rPr>
          <w:rFonts w:ascii="宋体" w:hAnsi="宋体" w:eastAsia="宋体"/>
          <w:color w:val="000000"/>
          <w:sz w:val="24"/>
          <w:highlight w:val="none"/>
        </w:rPr>
        <w:t>“</w:t>
      </w:r>
      <w:r>
        <w:rPr>
          <w:rFonts w:hint="eastAsia" w:ascii="宋体" w:hAnsi="宋体" w:eastAsia="宋体"/>
          <w:color w:val="000000"/>
          <w:sz w:val="24"/>
          <w:highlight w:val="none"/>
        </w:rPr>
        <w:t>投标</w:t>
      </w:r>
      <w:r>
        <w:rPr>
          <w:rFonts w:ascii="宋体" w:hAnsi="宋体" w:eastAsia="宋体"/>
          <w:color w:val="000000"/>
          <w:sz w:val="24"/>
          <w:highlight w:val="none"/>
        </w:rPr>
        <w:t>人须知”</w:t>
      </w:r>
      <w:r>
        <w:rPr>
          <w:rFonts w:hint="eastAsia" w:ascii="宋体" w:hAnsi="宋体" w:eastAsia="宋体"/>
          <w:color w:val="000000"/>
          <w:sz w:val="24"/>
          <w:highlight w:val="none"/>
        </w:rPr>
        <w:t>第5.1款</w:t>
      </w:r>
      <w:r>
        <w:rPr>
          <w:rFonts w:ascii="宋体" w:hAnsi="宋体" w:eastAsia="宋体"/>
          <w:color w:val="000000"/>
          <w:sz w:val="24"/>
          <w:highlight w:val="none"/>
        </w:rPr>
        <w:t>规定的时间和地点</w:t>
      </w:r>
      <w:r>
        <w:rPr>
          <w:rFonts w:hint="eastAsia" w:ascii="宋体" w:hAnsi="宋体" w:eastAsia="宋体"/>
          <w:color w:val="000000"/>
          <w:sz w:val="24"/>
          <w:highlight w:val="none"/>
        </w:rPr>
        <w:t>对</w:t>
      </w:r>
      <w:r>
        <w:rPr>
          <w:rFonts w:ascii="宋体" w:hAnsi="宋体" w:eastAsia="宋体"/>
          <w:color w:val="000000"/>
          <w:sz w:val="24"/>
          <w:highlight w:val="none"/>
        </w:rPr>
        <w:t>通过投标文件第一</w:t>
      </w:r>
      <w:r>
        <w:rPr>
          <w:rFonts w:hint="eastAsia" w:ascii="宋体" w:hAnsi="宋体" w:eastAsia="宋体"/>
          <w:color w:val="000000"/>
          <w:sz w:val="24"/>
          <w:highlight w:val="none"/>
        </w:rPr>
        <w:t>个</w:t>
      </w:r>
      <w:r>
        <w:rPr>
          <w:rFonts w:ascii="宋体" w:hAnsi="宋体" w:eastAsia="宋体"/>
          <w:color w:val="000000"/>
          <w:sz w:val="24"/>
          <w:highlight w:val="none"/>
        </w:rPr>
        <w:t>信封（商务及技术文件）评审的投标</w:t>
      </w:r>
      <w:r>
        <w:rPr>
          <w:rFonts w:hint="eastAsia" w:ascii="宋体" w:hAnsi="宋体" w:eastAsia="宋体"/>
          <w:color w:val="000000"/>
          <w:sz w:val="24"/>
          <w:highlight w:val="none"/>
        </w:rPr>
        <w:t>文件</w:t>
      </w:r>
      <w:r>
        <w:rPr>
          <w:rFonts w:ascii="宋体" w:hAnsi="宋体" w:eastAsia="宋体"/>
          <w:color w:val="000000"/>
          <w:sz w:val="24"/>
          <w:highlight w:val="none"/>
        </w:rPr>
        <w:t>第二</w:t>
      </w:r>
      <w:r>
        <w:rPr>
          <w:rFonts w:hint="eastAsia" w:ascii="宋体" w:hAnsi="宋体" w:eastAsia="宋体"/>
          <w:color w:val="000000"/>
          <w:sz w:val="24"/>
          <w:highlight w:val="none"/>
        </w:rPr>
        <w:t>个</w:t>
      </w:r>
      <w:r>
        <w:rPr>
          <w:rFonts w:ascii="宋体" w:hAnsi="宋体" w:eastAsia="宋体"/>
          <w:color w:val="000000"/>
          <w:sz w:val="24"/>
          <w:highlight w:val="none"/>
        </w:rPr>
        <w:t>信封（报价</w:t>
      </w:r>
      <w:r>
        <w:rPr>
          <w:rFonts w:hint="eastAsia" w:ascii="宋体" w:hAnsi="宋体" w:eastAsia="宋体"/>
          <w:color w:val="000000"/>
          <w:sz w:val="24"/>
          <w:highlight w:val="none"/>
        </w:rPr>
        <w:t>文件</w:t>
      </w:r>
      <w:r>
        <w:rPr>
          <w:rFonts w:ascii="宋体" w:hAnsi="宋体" w:eastAsia="宋体"/>
          <w:color w:val="000000"/>
          <w:sz w:val="24"/>
          <w:highlight w:val="none"/>
        </w:rPr>
        <w:t>）进行开标。</w:t>
      </w:r>
    </w:p>
    <w:p w14:paraId="297D5DBC">
      <w:pPr>
        <w:spacing w:line="360" w:lineRule="auto"/>
        <w:rPr>
          <w:rFonts w:ascii="宋体" w:hAnsi="宋体" w:eastAsia="宋体"/>
          <w:color w:val="000000"/>
          <w:sz w:val="24"/>
          <w:highlight w:val="none"/>
        </w:rPr>
      </w:pPr>
      <w:bookmarkStart w:id="21" w:name="_Toc503235815"/>
      <w:bookmarkStart w:id="22" w:name="_Toc503517993"/>
      <w:r>
        <w:rPr>
          <w:rFonts w:ascii="宋体" w:hAnsi="宋体" w:eastAsia="宋体"/>
          <w:color w:val="000000"/>
          <w:sz w:val="24"/>
          <w:highlight w:val="none"/>
        </w:rPr>
        <w:t>3.</w:t>
      </w:r>
      <w:r>
        <w:rPr>
          <w:rFonts w:hint="eastAsia" w:ascii="宋体" w:hAnsi="宋体" w:eastAsia="宋体"/>
          <w:color w:val="000000"/>
          <w:sz w:val="24"/>
          <w:highlight w:val="none"/>
        </w:rPr>
        <w:t>4 第二个信封</w:t>
      </w:r>
      <w:r>
        <w:rPr>
          <w:rFonts w:ascii="宋体" w:hAnsi="宋体" w:eastAsia="宋体"/>
          <w:color w:val="000000"/>
          <w:sz w:val="24"/>
          <w:highlight w:val="none"/>
        </w:rPr>
        <w:t>初步评审</w:t>
      </w:r>
      <w:bookmarkEnd w:id="21"/>
      <w:bookmarkEnd w:id="22"/>
    </w:p>
    <w:p w14:paraId="649A49A4">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4</w:t>
      </w:r>
      <w:r>
        <w:rPr>
          <w:rFonts w:ascii="宋体" w:hAnsi="宋体" w:eastAsia="宋体"/>
          <w:color w:val="000000"/>
          <w:sz w:val="24"/>
          <w:highlight w:val="none"/>
        </w:rPr>
        <w:t>.1 评标委员会依据本章第2.1.1项、第2.1.3项规定的评审标准对投标文件</w:t>
      </w:r>
      <w:r>
        <w:rPr>
          <w:rFonts w:hint="eastAsia" w:ascii="宋体" w:hAnsi="宋体" w:eastAsia="宋体"/>
          <w:color w:val="000000"/>
          <w:sz w:val="24"/>
          <w:highlight w:val="none"/>
        </w:rPr>
        <w:t>第二个信封（报价文件）</w:t>
      </w:r>
      <w:r>
        <w:rPr>
          <w:rFonts w:ascii="宋体" w:hAnsi="宋体" w:eastAsia="宋体"/>
          <w:color w:val="000000"/>
          <w:sz w:val="24"/>
          <w:highlight w:val="none"/>
        </w:rPr>
        <w:t>进行初步评审。有一项不符合评审标准的，</w:t>
      </w:r>
      <w:r>
        <w:rPr>
          <w:rFonts w:hint="eastAsia" w:ascii="宋体" w:hAnsi="宋体" w:eastAsia="宋体"/>
          <w:color w:val="000000"/>
          <w:sz w:val="24"/>
          <w:highlight w:val="none"/>
        </w:rPr>
        <w:t>评标委员会应否决其投标</w:t>
      </w:r>
      <w:r>
        <w:rPr>
          <w:rFonts w:ascii="宋体" w:hAnsi="宋体" w:eastAsia="宋体"/>
          <w:color w:val="000000"/>
          <w:sz w:val="24"/>
          <w:highlight w:val="none"/>
        </w:rPr>
        <w:t>。</w:t>
      </w:r>
    </w:p>
    <w:p w14:paraId="0DC266E7">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4</w:t>
      </w:r>
      <w:r>
        <w:rPr>
          <w:rFonts w:ascii="宋体" w:hAnsi="宋体" w:eastAsia="宋体"/>
          <w:color w:val="000000"/>
          <w:sz w:val="24"/>
          <w:highlight w:val="none"/>
        </w:rPr>
        <w:t>.</w:t>
      </w:r>
      <w:r>
        <w:rPr>
          <w:rFonts w:hint="eastAsia" w:ascii="宋体" w:hAnsi="宋体" w:eastAsia="宋体"/>
          <w:color w:val="000000"/>
          <w:sz w:val="24"/>
          <w:highlight w:val="none"/>
        </w:rPr>
        <w:t>2</w:t>
      </w:r>
      <w:r>
        <w:rPr>
          <w:rFonts w:ascii="宋体" w:hAnsi="宋体" w:eastAsia="宋体"/>
          <w:color w:val="000000"/>
          <w:sz w:val="24"/>
          <w:highlight w:val="none"/>
        </w:rPr>
        <w:t xml:space="preserve"> 投标报价有算术错误的，评标委员会按以下原则对投标报价进行修正，修正的价格经投标人书面确认后具有约束力。投标人不接受修正价格的，</w:t>
      </w:r>
      <w:r>
        <w:rPr>
          <w:rFonts w:hint="eastAsia" w:ascii="宋体" w:hAnsi="宋体" w:eastAsia="宋体"/>
          <w:color w:val="000000"/>
          <w:sz w:val="24"/>
          <w:highlight w:val="none"/>
        </w:rPr>
        <w:t>评标委员会应否决其投标。</w:t>
      </w:r>
    </w:p>
    <w:p w14:paraId="25D56278">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（1）投标文件中的大写金额与小写金额不一致的，以大写金额为准；</w:t>
      </w:r>
    </w:p>
    <w:p w14:paraId="61DE2651">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（2）总价金额与依据单价计算出的结果不一致的，以单价金额为准修正总价，但单价金额小数点有明显错误的除外</w:t>
      </w:r>
      <w:r>
        <w:rPr>
          <w:rFonts w:hint="eastAsia" w:ascii="宋体" w:hAnsi="宋体" w:eastAsia="宋体"/>
          <w:color w:val="000000"/>
          <w:sz w:val="24"/>
          <w:highlight w:val="none"/>
        </w:rPr>
        <w:t>；</w:t>
      </w:r>
    </w:p>
    <w:p w14:paraId="5AEE923F">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（3）当单价与数量相乘不等于合价时，以单价计算为准，如果单价有明显的小数点位置差错，应以标出的合价为准，同时对单价予以修正；</w:t>
      </w:r>
    </w:p>
    <w:p w14:paraId="47745201">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（4）当各子目的合价累计不等于总价时，应以各子目合价累计数为准，修正总价。</w:t>
      </w:r>
    </w:p>
    <w:p w14:paraId="6A83D65A">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3.4.</w:t>
      </w:r>
      <w:r>
        <w:rPr>
          <w:rFonts w:ascii="宋体" w:hAnsi="宋体" w:eastAsia="宋体"/>
          <w:color w:val="000000"/>
          <w:sz w:val="24"/>
          <w:highlight w:val="none"/>
        </w:rPr>
        <w:t>3</w:t>
      </w:r>
      <w:r>
        <w:rPr>
          <w:rFonts w:hint="eastAsia" w:ascii="宋体" w:hAnsi="宋体" w:eastAsia="宋体"/>
          <w:color w:val="000000"/>
          <w:sz w:val="24"/>
          <w:highlight w:val="none"/>
        </w:rPr>
        <w:t xml:space="preserve"> 修正后的最终投标报价若超过最高投标限价（如有），评标委员会应否决其投标。</w:t>
      </w:r>
    </w:p>
    <w:p w14:paraId="0C39F963">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3.4.</w:t>
      </w:r>
      <w:r>
        <w:rPr>
          <w:rFonts w:ascii="宋体" w:hAnsi="宋体" w:eastAsia="宋体"/>
          <w:color w:val="000000"/>
          <w:sz w:val="24"/>
          <w:highlight w:val="none"/>
        </w:rPr>
        <w:t>4</w:t>
      </w:r>
      <w:r>
        <w:rPr>
          <w:rFonts w:hint="eastAsia" w:ascii="宋体" w:hAnsi="宋体" w:eastAsia="宋体"/>
          <w:color w:val="000000"/>
          <w:sz w:val="24"/>
          <w:highlight w:val="none"/>
        </w:rPr>
        <w:t xml:space="preserve"> 修正后的最终投标报价仅作为签订合同的一个依据，不参与评标价得分的计算。</w:t>
      </w:r>
    </w:p>
    <w:p w14:paraId="3B0544F3">
      <w:pPr>
        <w:spacing w:line="360" w:lineRule="auto"/>
        <w:rPr>
          <w:rFonts w:ascii="宋体" w:hAnsi="宋体" w:eastAsia="宋体"/>
          <w:color w:val="000000"/>
          <w:sz w:val="24"/>
          <w:highlight w:val="none"/>
        </w:rPr>
      </w:pPr>
      <w:bookmarkStart w:id="23" w:name="_Toc503235816"/>
      <w:bookmarkStart w:id="24" w:name="_Toc503517994"/>
      <w:r>
        <w:rPr>
          <w:rFonts w:ascii="宋体" w:hAnsi="宋体" w:eastAsia="宋体"/>
          <w:color w:val="000000"/>
          <w:sz w:val="24"/>
          <w:highlight w:val="none"/>
        </w:rPr>
        <w:t>3.</w:t>
      </w:r>
      <w:r>
        <w:rPr>
          <w:rFonts w:hint="eastAsia" w:ascii="宋体" w:hAnsi="宋体" w:eastAsia="宋体"/>
          <w:color w:val="000000"/>
          <w:sz w:val="24"/>
          <w:highlight w:val="none"/>
        </w:rPr>
        <w:t>5 第二个信封</w:t>
      </w:r>
      <w:r>
        <w:rPr>
          <w:rFonts w:ascii="宋体" w:hAnsi="宋体" w:eastAsia="宋体"/>
          <w:color w:val="000000"/>
          <w:sz w:val="24"/>
          <w:highlight w:val="none"/>
        </w:rPr>
        <w:t>详细评审</w:t>
      </w:r>
      <w:bookmarkEnd w:id="23"/>
      <w:bookmarkEnd w:id="24"/>
    </w:p>
    <w:p w14:paraId="78C775D0">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5</w:t>
      </w:r>
      <w:r>
        <w:rPr>
          <w:rFonts w:ascii="宋体" w:hAnsi="宋体" w:eastAsia="宋体"/>
          <w:color w:val="000000"/>
          <w:sz w:val="24"/>
          <w:highlight w:val="none"/>
        </w:rPr>
        <w:t>.1 评标委员会按本章第2.2.4项（3）目规定的评审因素和分值对</w:t>
      </w:r>
      <w:r>
        <w:rPr>
          <w:rFonts w:hint="eastAsia" w:ascii="宋体" w:hAnsi="宋体" w:eastAsia="宋体"/>
          <w:color w:val="000000"/>
          <w:sz w:val="24"/>
          <w:highlight w:val="none"/>
        </w:rPr>
        <w:t>评标价</w:t>
      </w:r>
      <w:r>
        <w:rPr>
          <w:rFonts w:ascii="宋体" w:hAnsi="宋体" w:eastAsia="宋体"/>
          <w:color w:val="000000"/>
          <w:sz w:val="24"/>
          <w:highlight w:val="none"/>
        </w:rPr>
        <w:t>计算出得分C</w:t>
      </w:r>
      <w:r>
        <w:rPr>
          <w:rFonts w:hint="eastAsia" w:ascii="宋体" w:hAnsi="宋体" w:eastAsia="宋体"/>
          <w:color w:val="000000"/>
          <w:sz w:val="24"/>
          <w:highlight w:val="none"/>
        </w:rPr>
        <w:t>。评标价得</w:t>
      </w:r>
      <w:r>
        <w:rPr>
          <w:rFonts w:ascii="宋体" w:hAnsi="宋体" w:eastAsia="宋体"/>
          <w:color w:val="000000"/>
          <w:sz w:val="24"/>
          <w:highlight w:val="none"/>
        </w:rPr>
        <w:t>分分值计算保留小数点后两位，小数点后第三位“四舍五入”。</w:t>
      </w:r>
    </w:p>
    <w:p w14:paraId="7E28159B">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 xml:space="preserve">3.5.2 </w:t>
      </w:r>
      <w:r>
        <w:rPr>
          <w:rFonts w:ascii="宋体" w:hAnsi="宋体" w:eastAsia="宋体"/>
          <w:color w:val="000000"/>
          <w:sz w:val="24"/>
          <w:highlight w:val="none"/>
        </w:rPr>
        <w:t>投标人综合得分=</w:t>
      </w:r>
      <w:r>
        <w:rPr>
          <w:rFonts w:hint="eastAsia" w:ascii="宋体" w:hAnsi="宋体" w:eastAsia="宋体"/>
          <w:color w:val="000000"/>
          <w:sz w:val="24"/>
          <w:highlight w:val="none"/>
        </w:rPr>
        <w:t>投标人的商务和技术得分</w:t>
      </w:r>
      <w:r>
        <w:rPr>
          <w:rFonts w:ascii="宋体" w:hAnsi="宋体" w:eastAsia="宋体"/>
          <w:color w:val="000000"/>
          <w:sz w:val="24"/>
          <w:highlight w:val="none"/>
        </w:rPr>
        <w:t>+C。</w:t>
      </w:r>
    </w:p>
    <w:p w14:paraId="4511CAC6">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5</w:t>
      </w:r>
      <w:r>
        <w:rPr>
          <w:rFonts w:ascii="宋体" w:hAnsi="宋体" w:eastAsia="宋体"/>
          <w:color w:val="000000"/>
          <w:sz w:val="24"/>
          <w:highlight w:val="none"/>
        </w:rPr>
        <w:t>.</w:t>
      </w:r>
      <w:r>
        <w:rPr>
          <w:rFonts w:hint="eastAsia" w:ascii="宋体" w:hAnsi="宋体" w:eastAsia="宋体"/>
          <w:color w:val="000000"/>
          <w:sz w:val="24"/>
          <w:highlight w:val="none"/>
        </w:rPr>
        <w:t>3</w:t>
      </w:r>
      <w:r>
        <w:rPr>
          <w:rFonts w:ascii="宋体" w:hAnsi="宋体" w:eastAsia="宋体"/>
          <w:color w:val="000000"/>
          <w:sz w:val="24"/>
          <w:highlight w:val="none"/>
        </w:rPr>
        <w:t xml:space="preserve">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0FA5166C">
      <w:pPr>
        <w:spacing w:line="360" w:lineRule="auto"/>
        <w:rPr>
          <w:rFonts w:ascii="宋体" w:hAnsi="宋体" w:eastAsia="宋体"/>
          <w:color w:val="000000"/>
          <w:sz w:val="24"/>
          <w:highlight w:val="none"/>
        </w:rPr>
      </w:pPr>
      <w:bookmarkStart w:id="25" w:name="_Toc503235817"/>
      <w:bookmarkStart w:id="26" w:name="_Toc503517995"/>
      <w:r>
        <w:rPr>
          <w:rFonts w:ascii="宋体" w:hAnsi="宋体" w:eastAsia="宋体"/>
          <w:color w:val="000000"/>
          <w:sz w:val="24"/>
          <w:highlight w:val="none"/>
        </w:rPr>
        <w:t>3.</w:t>
      </w:r>
      <w:r>
        <w:rPr>
          <w:rFonts w:hint="eastAsia" w:ascii="宋体" w:hAnsi="宋体" w:eastAsia="宋体"/>
          <w:color w:val="000000"/>
          <w:sz w:val="24"/>
          <w:highlight w:val="none"/>
        </w:rPr>
        <w:t>6 投标文件相关信息的核查</w:t>
      </w:r>
      <w:bookmarkEnd w:id="25"/>
      <w:bookmarkEnd w:id="26"/>
    </w:p>
    <w:p w14:paraId="22C94232">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6</w:t>
      </w:r>
      <w:r>
        <w:rPr>
          <w:rFonts w:ascii="宋体" w:hAnsi="宋体" w:eastAsia="宋体"/>
          <w:color w:val="000000"/>
          <w:sz w:val="24"/>
          <w:highlight w:val="none"/>
        </w:rPr>
        <w:t>.1</w:t>
      </w:r>
      <w:r>
        <w:rPr>
          <w:rFonts w:hint="eastAsia" w:ascii="宋体" w:hAnsi="宋体" w:eastAsia="宋体"/>
          <w:color w:val="000000"/>
          <w:sz w:val="24"/>
          <w:highlight w:val="none"/>
        </w:rPr>
        <w:t xml:space="preserve"> 在评标过程中，评标</w:t>
      </w:r>
      <w:r>
        <w:rPr>
          <w:rFonts w:ascii="宋体" w:hAnsi="宋体" w:eastAsia="宋体"/>
          <w:color w:val="000000"/>
          <w:sz w:val="24"/>
          <w:highlight w:val="none"/>
        </w:rPr>
        <w:t>委员会应查询</w:t>
      </w:r>
      <w:r>
        <w:rPr>
          <w:rFonts w:hint="eastAsia" w:ascii="宋体" w:hAnsi="宋体" w:eastAsia="宋体"/>
          <w:color w:val="000000"/>
          <w:sz w:val="24"/>
          <w:highlight w:val="none"/>
        </w:rPr>
        <w:t>交通运输主管部门“水运</w:t>
      </w:r>
      <w:r>
        <w:rPr>
          <w:rFonts w:ascii="宋体" w:hAnsi="宋体" w:eastAsia="宋体"/>
          <w:color w:val="000000"/>
          <w:sz w:val="24"/>
          <w:highlight w:val="none"/>
        </w:rPr>
        <w:t>建设市场信用信息管理系统</w:t>
      </w:r>
      <w:r>
        <w:rPr>
          <w:rFonts w:hint="eastAsia" w:ascii="宋体" w:hAnsi="宋体" w:eastAsia="宋体"/>
          <w:color w:val="000000"/>
          <w:sz w:val="24"/>
          <w:highlight w:val="none"/>
        </w:rPr>
        <w:t>”</w:t>
      </w:r>
      <w:r>
        <w:rPr>
          <w:rFonts w:ascii="宋体" w:hAnsi="宋体" w:eastAsia="宋体"/>
          <w:color w:val="000000"/>
          <w:sz w:val="24"/>
          <w:highlight w:val="none"/>
        </w:rPr>
        <w:t>，对</w:t>
      </w:r>
      <w:r>
        <w:rPr>
          <w:rFonts w:hint="eastAsia" w:ascii="宋体" w:hAnsi="宋体" w:eastAsia="宋体"/>
          <w:color w:val="000000"/>
          <w:sz w:val="24"/>
          <w:highlight w:val="none"/>
        </w:rPr>
        <w:t>投标</w:t>
      </w:r>
      <w:r>
        <w:rPr>
          <w:rFonts w:ascii="宋体" w:hAnsi="宋体" w:eastAsia="宋体"/>
          <w:color w:val="000000"/>
          <w:sz w:val="24"/>
          <w:highlight w:val="none"/>
        </w:rPr>
        <w:t>人的资质、业绩、主要人员资历和目前在岗情况、信用等级等信息进行核实。若</w:t>
      </w:r>
      <w:r>
        <w:rPr>
          <w:rFonts w:hint="eastAsia" w:ascii="宋体" w:hAnsi="宋体" w:eastAsia="宋体"/>
          <w:color w:val="000000"/>
          <w:sz w:val="24"/>
          <w:highlight w:val="none"/>
        </w:rPr>
        <w:t>投标</w:t>
      </w:r>
      <w:r>
        <w:rPr>
          <w:rFonts w:ascii="宋体" w:hAnsi="宋体" w:eastAsia="宋体"/>
          <w:color w:val="000000"/>
          <w:sz w:val="24"/>
          <w:highlight w:val="none"/>
        </w:rPr>
        <w:t>文件载明的信息与</w:t>
      </w:r>
      <w:r>
        <w:rPr>
          <w:rFonts w:hint="eastAsia" w:ascii="宋体" w:hAnsi="宋体" w:eastAsia="宋体"/>
          <w:color w:val="000000"/>
          <w:sz w:val="24"/>
          <w:highlight w:val="none"/>
        </w:rPr>
        <w:t>交通运输主管部门“水运</w:t>
      </w:r>
      <w:r>
        <w:rPr>
          <w:rFonts w:ascii="宋体" w:hAnsi="宋体" w:eastAsia="宋体"/>
          <w:color w:val="000000"/>
          <w:sz w:val="24"/>
          <w:highlight w:val="none"/>
        </w:rPr>
        <w:t>建设市场信用信息管理系统</w:t>
      </w:r>
      <w:r>
        <w:rPr>
          <w:rFonts w:hint="eastAsia" w:ascii="宋体" w:hAnsi="宋体" w:eastAsia="宋体"/>
          <w:color w:val="000000"/>
          <w:sz w:val="24"/>
          <w:highlight w:val="none"/>
        </w:rPr>
        <w:t>”</w:t>
      </w:r>
      <w:r>
        <w:rPr>
          <w:rFonts w:ascii="宋体" w:hAnsi="宋体" w:eastAsia="宋体"/>
          <w:color w:val="000000"/>
          <w:sz w:val="24"/>
          <w:highlight w:val="none"/>
        </w:rPr>
        <w:t>发布的信息不符，使得</w:t>
      </w:r>
      <w:r>
        <w:rPr>
          <w:rFonts w:hint="eastAsia" w:ascii="宋体" w:hAnsi="宋体" w:eastAsia="宋体"/>
          <w:color w:val="000000"/>
          <w:sz w:val="24"/>
          <w:highlight w:val="none"/>
        </w:rPr>
        <w:t>投标</w:t>
      </w:r>
      <w:r>
        <w:rPr>
          <w:rFonts w:ascii="宋体" w:hAnsi="宋体" w:eastAsia="宋体"/>
          <w:color w:val="000000"/>
          <w:sz w:val="24"/>
          <w:highlight w:val="none"/>
        </w:rPr>
        <w:t>人的资格条件不符合</w:t>
      </w:r>
      <w:r>
        <w:rPr>
          <w:rFonts w:hint="eastAsia" w:ascii="宋体" w:hAnsi="宋体" w:eastAsia="宋体"/>
          <w:color w:val="000000"/>
          <w:sz w:val="24"/>
          <w:highlight w:val="none"/>
        </w:rPr>
        <w:t>招标文件</w:t>
      </w:r>
      <w:r>
        <w:rPr>
          <w:rFonts w:ascii="宋体" w:hAnsi="宋体" w:eastAsia="宋体"/>
          <w:color w:val="000000"/>
          <w:sz w:val="24"/>
          <w:highlight w:val="none"/>
        </w:rPr>
        <w:t>规定的，评标委员会应否决其投标。</w:t>
      </w:r>
    </w:p>
    <w:p w14:paraId="55FDA667">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 xml:space="preserve">3.6.2 </w:t>
      </w:r>
      <w:r>
        <w:rPr>
          <w:rFonts w:ascii="宋体" w:hAnsi="宋体" w:eastAsia="宋体"/>
          <w:color w:val="000000"/>
          <w:sz w:val="24"/>
          <w:highlight w:val="none"/>
        </w:rPr>
        <w:t>评标委员会应对在评标过程中发现的投标人与投标人之间、投标人与招标人之间存在的串通投标的情形进行评审和认定。</w:t>
      </w:r>
      <w:r>
        <w:rPr>
          <w:rFonts w:hint="eastAsia" w:ascii="宋体" w:hAnsi="宋体" w:eastAsia="宋体"/>
          <w:color w:val="000000"/>
          <w:sz w:val="24"/>
          <w:highlight w:val="none"/>
        </w:rPr>
        <w:t>投标人存在</w:t>
      </w:r>
      <w:r>
        <w:rPr>
          <w:rFonts w:ascii="宋体" w:hAnsi="宋体" w:eastAsia="宋体"/>
          <w:color w:val="000000"/>
          <w:sz w:val="24"/>
          <w:highlight w:val="none"/>
        </w:rPr>
        <w:t>串通投标</w:t>
      </w:r>
      <w:r>
        <w:rPr>
          <w:rFonts w:hint="eastAsia" w:ascii="宋体" w:hAnsi="宋体" w:eastAsia="宋体"/>
          <w:color w:val="000000"/>
          <w:sz w:val="24"/>
          <w:highlight w:val="none"/>
        </w:rPr>
        <w:t>、</w:t>
      </w:r>
      <w:r>
        <w:rPr>
          <w:rFonts w:ascii="宋体" w:hAnsi="宋体" w:eastAsia="宋体"/>
          <w:color w:val="000000"/>
          <w:sz w:val="24"/>
          <w:highlight w:val="none"/>
        </w:rPr>
        <w:t>弄虚作假</w:t>
      </w:r>
      <w:r>
        <w:rPr>
          <w:rFonts w:hint="eastAsia" w:ascii="宋体" w:hAnsi="宋体" w:eastAsia="宋体"/>
          <w:color w:val="000000"/>
          <w:sz w:val="24"/>
          <w:highlight w:val="none"/>
        </w:rPr>
        <w:t>、行贿等</w:t>
      </w:r>
      <w:r>
        <w:rPr>
          <w:rFonts w:ascii="宋体" w:hAnsi="宋体" w:eastAsia="宋体"/>
          <w:color w:val="000000"/>
          <w:sz w:val="24"/>
          <w:highlight w:val="none"/>
        </w:rPr>
        <w:t>违法行为的</w:t>
      </w:r>
      <w:r>
        <w:rPr>
          <w:rFonts w:hint="eastAsia" w:ascii="宋体" w:hAnsi="宋体" w:eastAsia="宋体"/>
          <w:color w:val="000000"/>
          <w:sz w:val="24"/>
          <w:highlight w:val="none"/>
        </w:rPr>
        <w:t>，评标委员会应否决其投标。</w:t>
      </w:r>
    </w:p>
    <w:p w14:paraId="70EE418A">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（1）</w:t>
      </w:r>
      <w:r>
        <w:rPr>
          <w:rFonts w:ascii="宋体" w:hAnsi="宋体" w:eastAsia="宋体"/>
          <w:color w:val="000000"/>
          <w:sz w:val="24"/>
          <w:highlight w:val="none"/>
        </w:rPr>
        <w:t>有下列情形之一的，属于投标人相互串通投标：</w:t>
      </w:r>
    </w:p>
    <w:p w14:paraId="3A395B56">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a.投标人之间协商投标报价等投标文件的实质性内容；</w:t>
      </w:r>
    </w:p>
    <w:p w14:paraId="22DE0CA3">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b.投标人之间约定中标人；</w:t>
      </w:r>
    </w:p>
    <w:p w14:paraId="6FD6D2AA">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c.投标人之间约定部分投标人放弃投标或中标；</w:t>
      </w:r>
    </w:p>
    <w:p w14:paraId="6042F3B2">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d.属于同一集团、协会、商会等组织成员的投标人按照该组织要求协同投标；</w:t>
      </w:r>
    </w:p>
    <w:p w14:paraId="1BA4DE1C">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e.投标人之间为谋取中标或排斥特定投标人而采取的其他联合行动。</w:t>
      </w:r>
    </w:p>
    <w:p w14:paraId="214B1CAC">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（2）</w:t>
      </w:r>
      <w:r>
        <w:rPr>
          <w:rFonts w:ascii="宋体" w:hAnsi="宋体" w:eastAsia="宋体"/>
          <w:color w:val="000000"/>
          <w:sz w:val="24"/>
          <w:highlight w:val="none"/>
        </w:rPr>
        <w:t>有下列情形之一的，视为投标人相互串通投标：</w:t>
      </w:r>
    </w:p>
    <w:p w14:paraId="612A7CEF">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a.不同投标人的投标文件由同一单位或个人编制；</w:t>
      </w:r>
    </w:p>
    <w:p w14:paraId="7517C82A">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b.不同投标人委托同一单位或个人办理投标事宜；</w:t>
      </w:r>
    </w:p>
    <w:p w14:paraId="0C355990">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c.不同投标人的投标文件载明的项目管理成员为同一人；</w:t>
      </w:r>
    </w:p>
    <w:p w14:paraId="04FD1D13">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d.不同投标人的投标文件异常一致或投标报价呈规律性差异；</w:t>
      </w:r>
    </w:p>
    <w:p w14:paraId="525FFE6B">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e.不同投标人的投标文件相互混装；</w:t>
      </w:r>
    </w:p>
    <w:p w14:paraId="0F2E8083">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f.不同投标人的投标保证金从同一单位或个人的账户转出。</w:t>
      </w:r>
    </w:p>
    <w:p w14:paraId="57BA9181">
      <w:pPr>
        <w:spacing w:line="360" w:lineRule="auto"/>
        <w:ind w:firstLine="480" w:firstLineChars="200"/>
        <w:rPr>
          <w:rFonts w:hint="eastAsia" w:ascii="宋体" w:hAnsi="宋体" w:eastAsia="宋体"/>
          <w:color w:val="000000"/>
          <w:sz w:val="24"/>
          <w:highlight w:val="none"/>
        </w:rPr>
      </w:pPr>
      <w:r>
        <w:rPr>
          <w:rFonts w:ascii="宋体" w:hAnsi="宋体" w:eastAsia="宋体"/>
          <w:color w:val="000000"/>
          <w:sz w:val="24"/>
          <w:highlight w:val="none"/>
        </w:rPr>
        <w:t>g.</w:t>
      </w:r>
      <w:r>
        <w:rPr>
          <w:rFonts w:hint="eastAsia" w:ascii="宋体" w:hAnsi="宋体" w:eastAsia="宋体"/>
          <w:color w:val="000000"/>
          <w:sz w:val="24"/>
          <w:highlight w:val="none"/>
        </w:rPr>
        <w:t>广东省实施《中华人民共和国招标投标法》办法第十六条规定的情形。</w:t>
      </w:r>
    </w:p>
    <w:p w14:paraId="4635DF1E">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（3）</w:t>
      </w:r>
      <w:r>
        <w:rPr>
          <w:rFonts w:ascii="宋体" w:hAnsi="宋体" w:eastAsia="宋体"/>
          <w:color w:val="000000"/>
          <w:sz w:val="24"/>
          <w:highlight w:val="none"/>
        </w:rPr>
        <w:t>有下列情形之一的，属于招标人与投标人串通投标：</w:t>
      </w:r>
    </w:p>
    <w:p w14:paraId="6912B430">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a.招标人在开标前开启投标文件并将有关信息泄露给其他投标人;</w:t>
      </w:r>
    </w:p>
    <w:p w14:paraId="43C432BF">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b.招标人直接或间接向投标人泄露标底、评标委员会成员等信息；</w:t>
      </w:r>
    </w:p>
    <w:p w14:paraId="2125865B">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c.招标人明示或暗示投标人压低或抬高投标报价；</w:t>
      </w:r>
    </w:p>
    <w:p w14:paraId="4BA2DE16">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d.招标人授意投标人撤换、修改投标文件；</w:t>
      </w:r>
    </w:p>
    <w:p w14:paraId="4B02028C">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e.招标人明示或暗示投标人为特定投标人中标提供方便；</w:t>
      </w:r>
    </w:p>
    <w:p w14:paraId="34C0752E">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f.招标人与投标人为谋求特定投标人中标而采取的其他串通行为。</w:t>
      </w:r>
    </w:p>
    <w:p w14:paraId="7E029EE1">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（4）</w:t>
      </w:r>
      <w:r>
        <w:rPr>
          <w:rFonts w:ascii="宋体" w:hAnsi="宋体" w:eastAsia="宋体"/>
          <w:color w:val="000000"/>
          <w:sz w:val="24"/>
          <w:highlight w:val="none"/>
        </w:rPr>
        <w:t>投标人有下列情形之一的，属于弄虚作假的行为：</w:t>
      </w:r>
    </w:p>
    <w:p w14:paraId="3EF2109C">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a.使用通过受让或租借等方式获取的资格、资质证书投标</w:t>
      </w:r>
      <w:r>
        <w:rPr>
          <w:rFonts w:hint="eastAsia" w:ascii="宋体" w:hAnsi="宋体" w:eastAsia="宋体"/>
          <w:color w:val="000000"/>
          <w:sz w:val="24"/>
          <w:highlight w:val="none"/>
        </w:rPr>
        <w:t>；</w:t>
      </w:r>
    </w:p>
    <w:p w14:paraId="100DF514">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b.使用伪造、变造的许可证件；</w:t>
      </w:r>
    </w:p>
    <w:p w14:paraId="134433A8">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c.提供虚假的业绩；</w:t>
      </w:r>
    </w:p>
    <w:p w14:paraId="4098ED20">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d.提供虚假的项目负责人或主要技术人员简历、劳动关系证明；</w:t>
      </w:r>
    </w:p>
    <w:p w14:paraId="33E241BE">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e.提供虚假的信用状况；</w:t>
      </w:r>
    </w:p>
    <w:p w14:paraId="7EBEE3A6">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f.其他弄虚作假的行为。</w:t>
      </w:r>
    </w:p>
    <w:p w14:paraId="61EE8879">
      <w:pPr>
        <w:spacing w:line="360" w:lineRule="auto"/>
        <w:ind w:firstLine="480" w:firstLineChars="200"/>
        <w:rPr>
          <w:rFonts w:hint="eastAsia" w:ascii="宋体" w:hAnsi="宋体" w:eastAsia="宋体"/>
          <w:color w:val="000000"/>
          <w:sz w:val="24"/>
          <w:highlight w:val="none"/>
        </w:rPr>
      </w:pPr>
      <w:r>
        <w:rPr>
          <w:rFonts w:hint="eastAsia" w:ascii="宋体" w:hAnsi="宋体" w:eastAsia="宋体"/>
          <w:color w:val="000000"/>
          <w:sz w:val="24"/>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p w14:paraId="307EA0A4">
      <w:pPr>
        <w:spacing w:line="360" w:lineRule="auto"/>
        <w:rPr>
          <w:rFonts w:ascii="宋体" w:hAnsi="宋体" w:eastAsia="宋体"/>
          <w:color w:val="000000"/>
          <w:sz w:val="24"/>
          <w:highlight w:val="none"/>
        </w:rPr>
      </w:pPr>
      <w:bookmarkStart w:id="27" w:name="_Toc503235818"/>
      <w:bookmarkStart w:id="28" w:name="_Toc503517996"/>
      <w:r>
        <w:rPr>
          <w:rFonts w:ascii="宋体" w:hAnsi="宋体" w:eastAsia="宋体"/>
          <w:color w:val="000000"/>
          <w:sz w:val="24"/>
          <w:highlight w:val="none"/>
        </w:rPr>
        <w:t>3.</w:t>
      </w:r>
      <w:r>
        <w:rPr>
          <w:rFonts w:hint="eastAsia" w:ascii="宋体" w:hAnsi="宋体" w:eastAsia="宋体"/>
          <w:color w:val="000000"/>
          <w:sz w:val="24"/>
          <w:highlight w:val="none"/>
        </w:rPr>
        <w:t>7</w:t>
      </w:r>
      <w:r>
        <w:rPr>
          <w:rFonts w:ascii="宋体" w:hAnsi="宋体" w:eastAsia="宋体"/>
          <w:color w:val="000000"/>
          <w:sz w:val="24"/>
          <w:highlight w:val="none"/>
        </w:rPr>
        <w:t xml:space="preserve"> 投标文件的澄清和</w:t>
      </w:r>
      <w:r>
        <w:rPr>
          <w:rFonts w:hint="eastAsia" w:ascii="宋体" w:hAnsi="宋体" w:eastAsia="宋体"/>
          <w:color w:val="000000"/>
          <w:sz w:val="24"/>
          <w:highlight w:val="none"/>
        </w:rPr>
        <w:t>说明</w:t>
      </w:r>
      <w:bookmarkEnd w:id="27"/>
      <w:bookmarkEnd w:id="28"/>
    </w:p>
    <w:p w14:paraId="066559AF">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7</w:t>
      </w:r>
      <w:r>
        <w:rPr>
          <w:rFonts w:ascii="宋体" w:hAnsi="宋体" w:eastAsia="宋体"/>
          <w:color w:val="000000"/>
          <w:sz w:val="24"/>
          <w:highlight w:val="none"/>
        </w:rPr>
        <w:t>.1</w:t>
      </w:r>
      <w:r>
        <w:rPr>
          <w:rFonts w:hint="eastAsia" w:ascii="宋体" w:hAnsi="宋体" w:eastAsia="宋体"/>
          <w:color w:val="000000"/>
          <w:sz w:val="24"/>
          <w:highlight w:val="none"/>
        </w:rPr>
        <w:t xml:space="preserve"> </w:t>
      </w:r>
      <w:r>
        <w:rPr>
          <w:rFonts w:ascii="宋体" w:hAnsi="宋体" w:eastAsia="宋体"/>
          <w:color w:val="000000"/>
          <w:sz w:val="24"/>
          <w:highlight w:val="none"/>
        </w:rPr>
        <w:t>在评标过程中，评标委员会可以书面形式要求投标人对投标文件中</w:t>
      </w:r>
      <w:r>
        <w:rPr>
          <w:rFonts w:hint="eastAsia" w:ascii="宋体" w:hAnsi="宋体" w:eastAsia="宋体"/>
          <w:color w:val="000000"/>
          <w:sz w:val="24"/>
          <w:highlight w:val="none"/>
        </w:rPr>
        <w:t>含义</w:t>
      </w:r>
      <w:r>
        <w:rPr>
          <w:rFonts w:ascii="宋体" w:hAnsi="宋体" w:eastAsia="宋体"/>
          <w:color w:val="000000"/>
          <w:sz w:val="24"/>
          <w:highlight w:val="none"/>
        </w:rPr>
        <w:t>不明确的内容</w:t>
      </w:r>
      <w:r>
        <w:rPr>
          <w:rFonts w:hint="eastAsia" w:ascii="宋体" w:hAnsi="宋体" w:eastAsia="宋体"/>
          <w:color w:val="000000"/>
          <w:sz w:val="24"/>
          <w:highlight w:val="none"/>
        </w:rPr>
        <w:t>、明显文字或计算错误</w:t>
      </w:r>
      <w:r>
        <w:rPr>
          <w:rFonts w:ascii="宋体" w:hAnsi="宋体" w:eastAsia="宋体"/>
          <w:color w:val="000000"/>
          <w:sz w:val="24"/>
          <w:highlight w:val="none"/>
        </w:rPr>
        <w:t>进行书面澄清或说明。评标委员会不接受投标人主动提出的澄清、说明。</w:t>
      </w:r>
      <w:r>
        <w:rPr>
          <w:rFonts w:hint="eastAsia" w:ascii="宋体" w:hAnsi="宋体" w:eastAsia="宋体"/>
          <w:color w:val="000000"/>
          <w:sz w:val="24"/>
          <w:highlight w:val="none"/>
        </w:rPr>
        <w:t>投标人不按评标委员会要求澄清或说明的，评标委员会应否决其投标。</w:t>
      </w:r>
    </w:p>
    <w:p w14:paraId="68A8FB5B">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7</w:t>
      </w:r>
      <w:r>
        <w:rPr>
          <w:rFonts w:ascii="宋体" w:hAnsi="宋体" w:eastAsia="宋体"/>
          <w:color w:val="000000"/>
          <w:sz w:val="24"/>
          <w:highlight w:val="none"/>
        </w:rPr>
        <w:t>.2</w:t>
      </w:r>
      <w:r>
        <w:rPr>
          <w:rFonts w:hint="eastAsia" w:ascii="宋体" w:hAnsi="宋体" w:eastAsia="宋体"/>
          <w:color w:val="000000"/>
          <w:sz w:val="24"/>
          <w:highlight w:val="none"/>
        </w:rPr>
        <w:t xml:space="preserve"> </w:t>
      </w:r>
      <w:r>
        <w:rPr>
          <w:rFonts w:ascii="宋体" w:hAnsi="宋体" w:eastAsia="宋体"/>
          <w:color w:val="000000"/>
          <w:sz w:val="24"/>
          <w:highlight w:val="none"/>
        </w:rPr>
        <w:t>澄清</w:t>
      </w:r>
      <w:r>
        <w:rPr>
          <w:rFonts w:hint="eastAsia" w:ascii="宋体" w:hAnsi="宋体" w:eastAsia="宋体"/>
          <w:color w:val="000000"/>
          <w:sz w:val="24"/>
          <w:highlight w:val="none"/>
        </w:rPr>
        <w:t>和</w:t>
      </w:r>
      <w:r>
        <w:rPr>
          <w:rFonts w:ascii="宋体" w:hAnsi="宋体" w:eastAsia="宋体"/>
          <w:color w:val="000000"/>
          <w:sz w:val="24"/>
          <w:highlight w:val="none"/>
        </w:rPr>
        <w:t>说明不得</w:t>
      </w:r>
      <w:r>
        <w:rPr>
          <w:rFonts w:hint="eastAsia" w:ascii="宋体" w:hAnsi="宋体" w:eastAsia="宋体"/>
          <w:color w:val="000000"/>
          <w:sz w:val="24"/>
          <w:highlight w:val="none"/>
        </w:rPr>
        <w:t>超出投标文件的范围或</w:t>
      </w:r>
      <w:r>
        <w:rPr>
          <w:rFonts w:ascii="宋体" w:hAnsi="宋体" w:eastAsia="宋体"/>
          <w:color w:val="000000"/>
          <w:sz w:val="24"/>
          <w:highlight w:val="none"/>
        </w:rPr>
        <w:t>改变投标文件的实质性内容（算术性错误的修正除外）。投标人的书面澄清、说明属于投标文件的组成部分。</w:t>
      </w:r>
    </w:p>
    <w:p w14:paraId="1536058B">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7</w:t>
      </w:r>
      <w:r>
        <w:rPr>
          <w:rFonts w:ascii="宋体" w:hAnsi="宋体" w:eastAsia="宋体"/>
          <w:color w:val="000000"/>
          <w:sz w:val="24"/>
          <w:highlight w:val="none"/>
        </w:rPr>
        <w:t>.3</w:t>
      </w:r>
      <w:r>
        <w:rPr>
          <w:rFonts w:hint="eastAsia" w:ascii="宋体" w:hAnsi="宋体" w:eastAsia="宋体"/>
          <w:color w:val="000000"/>
          <w:sz w:val="24"/>
          <w:highlight w:val="none"/>
        </w:rPr>
        <w:t xml:space="preserve"> </w:t>
      </w:r>
      <w:r>
        <w:rPr>
          <w:rFonts w:ascii="宋体" w:hAnsi="宋体" w:eastAsia="宋体"/>
          <w:color w:val="000000"/>
          <w:sz w:val="24"/>
          <w:highlight w:val="none"/>
        </w:rPr>
        <w:t>评标委员会</w:t>
      </w:r>
      <w:r>
        <w:rPr>
          <w:rFonts w:hint="eastAsia" w:ascii="宋体" w:hAnsi="宋体" w:eastAsia="宋体"/>
          <w:color w:val="000000"/>
          <w:sz w:val="24"/>
          <w:highlight w:val="none"/>
        </w:rPr>
        <w:t>不得暗示或诱导投标人作出澄清、说明，</w:t>
      </w:r>
      <w:r>
        <w:rPr>
          <w:rFonts w:ascii="宋体" w:hAnsi="宋体" w:eastAsia="宋体"/>
          <w:color w:val="000000"/>
          <w:sz w:val="24"/>
          <w:highlight w:val="none"/>
        </w:rPr>
        <w:t>对投标人提交的澄清、说明有疑问的，可以要求投标人进一步澄清</w:t>
      </w:r>
      <w:r>
        <w:rPr>
          <w:rFonts w:hint="eastAsia" w:ascii="宋体" w:hAnsi="宋体" w:eastAsia="宋体"/>
          <w:color w:val="000000"/>
          <w:sz w:val="24"/>
          <w:highlight w:val="none"/>
        </w:rPr>
        <w:t>或</w:t>
      </w:r>
      <w:r>
        <w:rPr>
          <w:rFonts w:ascii="宋体" w:hAnsi="宋体" w:eastAsia="宋体"/>
          <w:color w:val="000000"/>
          <w:sz w:val="24"/>
          <w:highlight w:val="none"/>
        </w:rPr>
        <w:t>说明，直至满足评标委员会的要求。</w:t>
      </w:r>
    </w:p>
    <w:p w14:paraId="2432EC24">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3.7.4 凡超出招标文件规定的或给委托人带来未曾要求的利益的变化、偏差或其他因素在评标时不予考虑。</w:t>
      </w:r>
    </w:p>
    <w:p w14:paraId="443ADE2D">
      <w:pPr>
        <w:spacing w:line="360" w:lineRule="auto"/>
        <w:rPr>
          <w:rFonts w:ascii="宋体" w:hAnsi="宋体" w:eastAsia="宋体"/>
          <w:color w:val="000000"/>
          <w:sz w:val="24"/>
          <w:highlight w:val="none"/>
        </w:rPr>
      </w:pPr>
      <w:bookmarkStart w:id="29" w:name="_Toc503235819"/>
      <w:bookmarkStart w:id="30" w:name="_Toc503517997"/>
      <w:bookmarkStart w:id="31" w:name="_Toc501257170"/>
      <w:r>
        <w:rPr>
          <w:rFonts w:hint="eastAsia" w:ascii="宋体" w:hAnsi="宋体" w:eastAsia="宋体"/>
          <w:color w:val="000000"/>
          <w:sz w:val="24"/>
          <w:highlight w:val="none"/>
        </w:rPr>
        <w:t>3.8 不得否决投标的情形</w:t>
      </w:r>
      <w:bookmarkEnd w:id="29"/>
      <w:bookmarkEnd w:id="30"/>
      <w:bookmarkEnd w:id="31"/>
    </w:p>
    <w:p w14:paraId="605CA4D6">
      <w:pPr>
        <w:spacing w:line="360" w:lineRule="auto"/>
        <w:ind w:firstLine="480" w:firstLineChars="200"/>
        <w:rPr>
          <w:rFonts w:ascii="宋体" w:hAnsi="宋体" w:eastAsia="宋体"/>
          <w:color w:val="000000"/>
          <w:sz w:val="24"/>
          <w:highlight w:val="none"/>
        </w:rPr>
      </w:pPr>
      <w:r>
        <w:rPr>
          <w:rFonts w:hint="eastAsia" w:ascii="宋体" w:hAnsi="宋体" w:eastAsia="宋体"/>
          <w:color w:val="000000"/>
          <w:sz w:val="24"/>
          <w:highlight w:val="none"/>
        </w:rPr>
        <w:t>投标文件存在第二章“投标人须知”第1.12.3项所列情形的，均视为细微偏差，评标委员会不得否决投标人的投标，</w:t>
      </w:r>
      <w:r>
        <w:rPr>
          <w:rFonts w:ascii="宋体" w:hAnsi="宋体" w:eastAsia="宋体"/>
          <w:color w:val="000000"/>
          <w:sz w:val="24"/>
          <w:highlight w:val="none"/>
        </w:rPr>
        <w:t>应按照</w:t>
      </w:r>
      <w:r>
        <w:rPr>
          <w:rFonts w:hint="eastAsia" w:ascii="宋体" w:hAnsi="宋体" w:eastAsia="宋体"/>
          <w:color w:val="000000"/>
          <w:sz w:val="24"/>
          <w:highlight w:val="none"/>
        </w:rPr>
        <w:t>第二章“投标人须知”第1.12.4项规定的原则处理。</w:t>
      </w:r>
    </w:p>
    <w:p w14:paraId="5BA7A88C">
      <w:pPr>
        <w:spacing w:line="360" w:lineRule="auto"/>
        <w:rPr>
          <w:rFonts w:ascii="宋体" w:hAnsi="宋体" w:eastAsia="宋体"/>
          <w:color w:val="000000"/>
          <w:sz w:val="24"/>
          <w:highlight w:val="none"/>
        </w:rPr>
      </w:pPr>
      <w:bookmarkStart w:id="32" w:name="_Toc503235820"/>
      <w:bookmarkStart w:id="33" w:name="_Toc503517998"/>
      <w:r>
        <w:rPr>
          <w:rFonts w:ascii="宋体" w:hAnsi="宋体" w:eastAsia="宋体"/>
          <w:color w:val="000000"/>
          <w:sz w:val="24"/>
          <w:highlight w:val="none"/>
        </w:rPr>
        <w:t>3.</w:t>
      </w:r>
      <w:r>
        <w:rPr>
          <w:rFonts w:hint="eastAsia" w:ascii="宋体" w:hAnsi="宋体" w:eastAsia="宋体"/>
          <w:color w:val="000000"/>
          <w:sz w:val="24"/>
          <w:highlight w:val="none"/>
        </w:rPr>
        <w:t>9</w:t>
      </w:r>
      <w:r>
        <w:rPr>
          <w:rFonts w:ascii="宋体" w:hAnsi="宋体" w:eastAsia="宋体"/>
          <w:color w:val="000000"/>
          <w:sz w:val="24"/>
          <w:highlight w:val="none"/>
        </w:rPr>
        <w:t xml:space="preserve"> 评标结果</w:t>
      </w:r>
      <w:bookmarkEnd w:id="32"/>
      <w:bookmarkEnd w:id="33"/>
    </w:p>
    <w:p w14:paraId="5D399481">
      <w:pPr>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9</w:t>
      </w:r>
      <w:r>
        <w:rPr>
          <w:rFonts w:ascii="宋体" w:hAnsi="宋体" w:eastAsia="宋体"/>
          <w:color w:val="000000"/>
          <w:sz w:val="24"/>
          <w:highlight w:val="none"/>
        </w:rPr>
        <w:t>.1</w:t>
      </w:r>
      <w:r>
        <w:rPr>
          <w:rFonts w:hint="eastAsia" w:ascii="宋体" w:hAnsi="宋体" w:eastAsia="宋体"/>
          <w:color w:val="000000"/>
          <w:sz w:val="24"/>
          <w:highlight w:val="none"/>
        </w:rPr>
        <w:t xml:space="preserve"> </w:t>
      </w:r>
      <w:r>
        <w:rPr>
          <w:rFonts w:ascii="宋体" w:hAnsi="宋体" w:eastAsia="宋体"/>
          <w:color w:val="000000"/>
          <w:sz w:val="24"/>
          <w:highlight w:val="none"/>
        </w:rPr>
        <w:t>除第二章</w:t>
      </w:r>
      <w:r>
        <w:rPr>
          <w:rFonts w:hint="eastAsia" w:ascii="宋体" w:hAnsi="宋体" w:eastAsia="宋体"/>
          <w:color w:val="000000"/>
          <w:sz w:val="24"/>
          <w:highlight w:val="none"/>
        </w:rPr>
        <w:t>“</w:t>
      </w:r>
      <w:r>
        <w:rPr>
          <w:rFonts w:ascii="宋体" w:hAnsi="宋体" w:eastAsia="宋体"/>
          <w:color w:val="000000"/>
          <w:sz w:val="24"/>
          <w:highlight w:val="none"/>
        </w:rPr>
        <w:t>投标人须知</w:t>
      </w:r>
      <w:r>
        <w:rPr>
          <w:rFonts w:hint="eastAsia" w:ascii="宋体" w:hAnsi="宋体" w:eastAsia="宋体"/>
          <w:color w:val="000000"/>
          <w:sz w:val="24"/>
          <w:highlight w:val="none"/>
        </w:rPr>
        <w:t>”</w:t>
      </w:r>
      <w:r>
        <w:rPr>
          <w:rFonts w:ascii="宋体" w:hAnsi="宋体" w:eastAsia="宋体"/>
          <w:color w:val="000000"/>
          <w:sz w:val="24"/>
          <w:highlight w:val="none"/>
        </w:rPr>
        <w:t>前附表授权直接确定中标人外，评标委员会按照得分由高到低的顺序推荐中标候选人</w:t>
      </w:r>
      <w:r>
        <w:rPr>
          <w:rFonts w:hint="eastAsia" w:ascii="宋体" w:hAnsi="宋体" w:eastAsia="宋体"/>
          <w:color w:val="000000"/>
          <w:sz w:val="24"/>
          <w:highlight w:val="none"/>
        </w:rPr>
        <w:t>，</w:t>
      </w:r>
      <w:r>
        <w:rPr>
          <w:rFonts w:ascii="宋体" w:hAnsi="宋体" w:eastAsia="宋体"/>
          <w:color w:val="000000"/>
          <w:sz w:val="24"/>
          <w:highlight w:val="none"/>
        </w:rPr>
        <w:t>并标明排序。</w:t>
      </w:r>
    </w:p>
    <w:p w14:paraId="1CDEFB61">
      <w:pPr>
        <w:spacing w:line="360" w:lineRule="auto"/>
        <w:ind w:firstLine="480" w:firstLineChars="200"/>
        <w:rPr>
          <w:rFonts w:hint="eastAsia" w:ascii="宋体" w:hAnsi="宋体" w:eastAsia="宋体"/>
          <w:color w:val="000000"/>
          <w:sz w:val="24"/>
          <w:highlight w:val="none"/>
        </w:rPr>
      </w:pPr>
      <w:r>
        <w:rPr>
          <w:rFonts w:ascii="宋体" w:hAnsi="宋体" w:eastAsia="宋体"/>
          <w:color w:val="000000"/>
          <w:sz w:val="24"/>
          <w:highlight w:val="none"/>
        </w:rPr>
        <w:t>3.</w:t>
      </w:r>
      <w:r>
        <w:rPr>
          <w:rFonts w:hint="eastAsia" w:ascii="宋体" w:hAnsi="宋体" w:eastAsia="宋体"/>
          <w:color w:val="000000"/>
          <w:sz w:val="24"/>
          <w:highlight w:val="none"/>
        </w:rPr>
        <w:t>9</w:t>
      </w:r>
      <w:r>
        <w:rPr>
          <w:rFonts w:ascii="宋体" w:hAnsi="宋体" w:eastAsia="宋体"/>
          <w:color w:val="000000"/>
          <w:sz w:val="24"/>
          <w:highlight w:val="none"/>
        </w:rPr>
        <w:t>.2 评标委员会完成评标后，应向招标人提交书面评标报告。</w:t>
      </w:r>
    </w:p>
    <w:p w14:paraId="2DF5A391">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420" w:firstLineChars="200"/>
        <w:jc w:val="both"/>
        <w:textAlignment w:val="baseline"/>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_HKSCS">
    <w:altName w:val="MingLiU-ExtB"/>
    <w:panose1 w:val="00000000000000000000"/>
    <w:charset w:val="88"/>
    <w:family w:val="roman"/>
    <w:pitch w:val="default"/>
    <w:sig w:usb0="00000000" w:usb1="00000000"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F76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9E04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9E04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6A1AD"/>
    <w:multiLevelType w:val="singleLevel"/>
    <w:tmpl w:val="DF46A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65139"/>
    <w:rsid w:val="0F5F09C4"/>
    <w:rsid w:val="12300635"/>
    <w:rsid w:val="24255ABF"/>
    <w:rsid w:val="26E629DC"/>
    <w:rsid w:val="35C57746"/>
    <w:rsid w:val="44687A85"/>
    <w:rsid w:val="536A616D"/>
    <w:rsid w:val="5797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eastAsia="zh-CN" w:bidi="zh-CN"/>
    </w:rPr>
  </w:style>
  <w:style w:type="paragraph" w:styleId="4">
    <w:name w:val="Normal Indent"/>
    <w:basedOn w:val="1"/>
    <w:qFormat/>
    <w:uiPriority w:val="0"/>
    <w:pPr>
      <w:ind w:firstLine="420" w:firstLineChars="200"/>
    </w:pPr>
  </w:style>
  <w:style w:type="paragraph" w:styleId="5">
    <w:name w:val="Plain Text"/>
    <w:basedOn w:val="1"/>
    <w:qFormat/>
    <w:uiPriority w:val="99"/>
    <w:rPr>
      <w:rFonts w:ascii="宋体" w:hAnsi="Courier New" w:eastAsia="宋体"/>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1">
    <w:name w:val="正文文本 (2)_"/>
    <w:link w:val="12"/>
    <w:qFormat/>
    <w:locked/>
    <w:uiPriority w:val="99"/>
    <w:rPr>
      <w:rFonts w:ascii="MingLiU" w:eastAsia="MingLiU" w:cs="MingLiU"/>
      <w:spacing w:val="20"/>
      <w:sz w:val="22"/>
      <w:shd w:val="clear" w:color="auto" w:fill="FFFFFF"/>
    </w:rPr>
  </w:style>
  <w:style w:type="paragraph" w:customStyle="1" w:styleId="12">
    <w:name w:val="正文文本 (2)1"/>
    <w:basedOn w:val="1"/>
    <w:link w:val="11"/>
    <w:qFormat/>
    <w:uiPriority w:val="0"/>
    <w:pPr>
      <w:shd w:val="clear" w:color="auto" w:fill="FFFFFF"/>
      <w:spacing w:before="300" w:beforeLines="0" w:line="439" w:lineRule="exact"/>
      <w:jc w:val="distribute"/>
    </w:pPr>
    <w:rPr>
      <w:rFonts w:ascii="MingLiU" w:eastAsia="MingLiU" w:cs="MingLiU"/>
      <w:spacing w:val="20"/>
      <w:sz w:val="22"/>
      <w:shd w:val="clear" w:color="auto" w:fill="FFFFFF"/>
    </w:rPr>
  </w:style>
  <w:style w:type="character" w:customStyle="1" w:styleId="13">
    <w:name w:val="标题 1 Char1"/>
    <w:qFormat/>
    <w:uiPriority w:val="0"/>
    <w:rPr>
      <w:rFonts w:eastAsia="宋体"/>
      <w:b/>
      <w:bCs/>
      <w:kern w:val="44"/>
      <w:sz w:val="32"/>
      <w:szCs w:val="44"/>
    </w:rPr>
  </w:style>
  <w:style w:type="character" w:customStyle="1" w:styleId="14">
    <w:name w:val="fontstyle01"/>
    <w:qFormat/>
    <w:uiPriority w:val="0"/>
    <w:rPr>
      <w:rFonts w:ascii="宋体" w:hAnsi="宋体" w:eastAsia="宋体" w:cs="宋体"/>
      <w:color w:val="000000"/>
      <w:sz w:val="24"/>
      <w:szCs w:val="24"/>
    </w:rPr>
  </w:style>
  <w:style w:type="character" w:customStyle="1" w:styleId="15">
    <w:name w:val="正文文本 (2) + 间距 0 pt5"/>
    <w:qFormat/>
    <w:uiPriority w:val="99"/>
    <w:rPr>
      <w:rFonts w:ascii="MingLiU" w:eastAsia="MingLiU" w:cs="MingLiU"/>
      <w:spacing w:val="0"/>
      <w:sz w:val="22"/>
      <w:szCs w:val="22"/>
      <w:u w:val="none"/>
    </w:rPr>
  </w:style>
  <w:style w:type="paragraph" w:customStyle="1" w:styleId="16">
    <w:name w:val="表格正文-DDDDD"/>
    <w:basedOn w:val="1"/>
    <w:qFormat/>
    <w:uiPriority w:val="0"/>
    <w:pPr>
      <w:spacing w:line="300" w:lineRule="exact"/>
      <w:jc w:val="center"/>
    </w:pPr>
    <w:rPr>
      <w:rFonts w:ascii="方正宋三简体" w:eastAsia="方正宋三简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1538</Words>
  <Characters>1559</Characters>
  <Lines>0</Lines>
  <Paragraphs>0</Paragraphs>
  <TotalTime>0</TotalTime>
  <ScaleCrop>false</ScaleCrop>
  <LinksUpToDate>false</LinksUpToDate>
  <CharactersWithSpaces>1572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2025-12-23T03:12:00Z</dcterms:created>
  <dc:creator>loisz</dc:creator>
  <cp:lastModifiedBy>广咨国际</cp:lastModifiedBy>
  <dcterms:modified xsi:type="dcterms:W3CDTF">2025-12-23T04:28:57Z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eyJoZGlkIjoiYWMzOTkwZTlhMWZkZGY4OGJlMmVhYmVlOWE0ZmY4ZjAiLCJ1c2VySWQiOiIxMzIzNTUyOCJ9</vt:lpwstr>
  </property>
  <property fmtid="{D5CDD505-2E9C-101B-9397-08002B2CF9AE}" pid="4" name="ICV">
    <vt:lpwstr>0470165C326C477D84BC3B173762DE0F_13</vt:lpwstr>
  </property>
</Properties>
</file>