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A7BD">
      <w:pPr>
        <w:pStyle w:val="8"/>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3</w:t>
      </w:r>
    </w:p>
    <w:p w14:paraId="45D8DF3C">
      <w:pPr>
        <w:pStyle w:val="8"/>
        <w:rPr>
          <w:rFonts w:hint="eastAsia" w:ascii="宋体" w:hAnsi="宋体" w:eastAsia="宋体" w:cs="宋体"/>
          <w:color w:val="auto"/>
          <w:highlight w:val="none"/>
        </w:rPr>
      </w:pPr>
    </w:p>
    <w:p w14:paraId="3833F762">
      <w:pPr>
        <w:pageBreakBefore w:val="0"/>
        <w:tabs>
          <w:tab w:val="left" w:pos="8610"/>
        </w:tabs>
        <w:wordWrap/>
        <w:overflowPunct/>
        <w:bidi w:val="0"/>
        <w:spacing w:before="120" w:beforeLines="50" w:after="120" w:afterLines="50" w:line="360" w:lineRule="auto"/>
        <w:jc w:val="center"/>
        <w:outlineLvl w:val="0"/>
        <w:rPr>
          <w:rFonts w:hint="eastAsia" w:ascii="宋体" w:hAnsi="宋体" w:eastAsia="宋体" w:cs="宋体"/>
          <w:b/>
          <w:bCs/>
          <w:color w:val="000000" w:themeColor="text1"/>
          <w:spacing w:val="5"/>
          <w:sz w:val="36"/>
          <w:szCs w:val="36"/>
          <w:highlight w:val="none"/>
          <w:lang w:eastAsia="zh-CN"/>
          <w14:textFill>
            <w14:solidFill>
              <w14:schemeClr w14:val="tx1"/>
            </w14:solidFill>
          </w14:textFill>
        </w:rPr>
      </w:pPr>
      <w:bookmarkStart w:id="0" w:name="_Toc30972"/>
      <w:r>
        <w:rPr>
          <w:rFonts w:hint="eastAsia" w:ascii="宋体" w:hAnsi="宋体" w:eastAsia="宋体" w:cs="宋体"/>
          <w:b/>
          <w:bCs/>
          <w:color w:val="000000" w:themeColor="text1"/>
          <w:spacing w:val="5"/>
          <w:sz w:val="36"/>
          <w:szCs w:val="36"/>
          <w:highlight w:val="none"/>
          <w:lang w:eastAsia="zh-CN"/>
          <w14:textFill>
            <w14:solidFill>
              <w14:schemeClr w14:val="tx1"/>
            </w14:solidFill>
          </w14:textFill>
        </w:rPr>
        <w:t>第三章 评标办法（双信封的综合评分法）</w:t>
      </w:r>
      <w:bookmarkEnd w:id="0"/>
    </w:p>
    <w:p w14:paraId="3CA63F92">
      <w:pPr>
        <w:pageBreakBefore w:val="0"/>
        <w:wordWrap/>
        <w:overflowPunct/>
        <w:bidi w:val="0"/>
        <w:spacing w:before="120" w:beforeLines="50" w:after="120" w:afterLines="50" w:line="360" w:lineRule="auto"/>
        <w:outlineLvl w:val="1"/>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1" w:name="_Toc21313"/>
      <w:r>
        <w:rPr>
          <w:rFonts w:hint="eastAsia" w:ascii="宋体" w:hAnsi="宋体" w:eastAsia="宋体" w:cs="宋体"/>
          <w:b/>
          <w:bCs/>
          <w:color w:val="000000" w:themeColor="text1"/>
          <w:sz w:val="24"/>
          <w:szCs w:val="24"/>
          <w:highlight w:val="none"/>
          <w:lang w:eastAsia="zh-CN"/>
          <w14:textFill>
            <w14:solidFill>
              <w14:schemeClr w14:val="tx1"/>
            </w14:solidFill>
          </w14:textFill>
        </w:rPr>
        <w:t>1．评标方法</w:t>
      </w:r>
      <w:bookmarkEnd w:id="1"/>
    </w:p>
    <w:p w14:paraId="7A55D3B3">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49A77CA1">
      <w:pPr>
        <w:pageBreakBefore w:val="0"/>
        <w:wordWrap/>
        <w:overflowPunct/>
        <w:bidi w:val="0"/>
        <w:spacing w:before="120" w:beforeLines="50" w:after="120" w:afterLines="50" w:line="360" w:lineRule="auto"/>
        <w:outlineLvl w:val="1"/>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2" w:name="_Toc25405"/>
      <w:r>
        <w:rPr>
          <w:rFonts w:hint="eastAsia" w:ascii="宋体" w:hAnsi="宋体" w:eastAsia="宋体" w:cs="宋体"/>
          <w:b/>
          <w:bCs/>
          <w:color w:val="000000" w:themeColor="text1"/>
          <w:sz w:val="24"/>
          <w:szCs w:val="24"/>
          <w:highlight w:val="none"/>
          <w:lang w:eastAsia="zh-CN"/>
          <w14:textFill>
            <w14:solidFill>
              <w14:schemeClr w14:val="tx1"/>
            </w14:solidFill>
          </w14:textFill>
        </w:rPr>
        <w:t>2．评审标准</w:t>
      </w:r>
      <w:bookmarkEnd w:id="2"/>
      <w:bookmarkStart w:id="10" w:name="_GoBack"/>
      <w:bookmarkEnd w:id="10"/>
    </w:p>
    <w:p w14:paraId="3964F70B">
      <w:pPr>
        <w:pageBreakBefore w:val="0"/>
        <w:wordWrap/>
        <w:overflowPunct/>
        <w:bidi w:val="0"/>
        <w:spacing w:before="120" w:beforeLines="50" w:after="120" w:afterLines="50" w:line="360" w:lineRule="auto"/>
        <w:outlineLvl w:val="1"/>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3" w:name="_Toc1997"/>
      <w:r>
        <w:rPr>
          <w:rFonts w:hint="eastAsia" w:ascii="宋体" w:hAnsi="宋体" w:eastAsia="宋体" w:cs="宋体"/>
          <w:b/>
          <w:bCs/>
          <w:color w:val="000000" w:themeColor="text1"/>
          <w:sz w:val="24"/>
          <w:szCs w:val="24"/>
          <w:highlight w:val="none"/>
          <w:lang w:eastAsia="zh-CN"/>
          <w14:textFill>
            <w14:solidFill>
              <w14:schemeClr w14:val="tx1"/>
            </w14:solidFill>
          </w14:textFill>
        </w:rPr>
        <w:t>评标办法前附表</w:t>
      </w:r>
      <w:bookmarkEnd w:id="3"/>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433"/>
        <w:gridCol w:w="6947"/>
      </w:tblGrid>
      <w:tr w14:paraId="2DB1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76" w:type="dxa"/>
            <w:gridSpan w:val="2"/>
            <w:shd w:val="clear" w:color="auto" w:fill="D7D7D7" w:themeFill="background1" w:themeFillShade="D8"/>
            <w:vAlign w:val="center"/>
          </w:tcPr>
          <w:p w14:paraId="7862272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条款号</w:t>
            </w:r>
          </w:p>
        </w:tc>
        <w:tc>
          <w:tcPr>
            <w:tcW w:w="6947" w:type="dxa"/>
            <w:shd w:val="clear" w:color="auto" w:fill="D7D7D7" w:themeFill="background1" w:themeFillShade="D8"/>
            <w:vAlign w:val="center"/>
          </w:tcPr>
          <w:p w14:paraId="688411F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评审因素与评审标准</w:t>
            </w:r>
          </w:p>
        </w:tc>
      </w:tr>
      <w:tr w14:paraId="2C865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center"/>
          </w:tcPr>
          <w:p w14:paraId="0E6C799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pacing w:val="7"/>
                <w:sz w:val="24"/>
                <w:szCs w:val="24"/>
                <w:highlight w:val="none"/>
                <w14:textFill>
                  <w14:solidFill>
                    <w14:schemeClr w14:val="tx1"/>
                  </w14:solidFill>
                </w14:textFill>
              </w:rPr>
            </w:pPr>
            <w:r>
              <w:rPr>
                <w:rFonts w:hint="eastAsia"/>
                <w:color w:val="000000" w:themeColor="text1"/>
                <w:spacing w:val="7"/>
                <w:sz w:val="24"/>
                <w:szCs w:val="24"/>
                <w:highlight w:val="none"/>
                <w14:textFill>
                  <w14:solidFill>
                    <w14:schemeClr w14:val="tx1"/>
                  </w14:solidFill>
                </w14:textFill>
              </w:rPr>
              <w:t>1</w:t>
            </w:r>
          </w:p>
        </w:tc>
        <w:tc>
          <w:tcPr>
            <w:tcW w:w="1433" w:type="dxa"/>
            <w:vAlign w:val="center"/>
          </w:tcPr>
          <w:p w14:paraId="72828108">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pacing w:val="7"/>
                <w:sz w:val="24"/>
                <w:szCs w:val="24"/>
                <w:highlight w:val="none"/>
                <w14:textFill>
                  <w14:solidFill>
                    <w14:schemeClr w14:val="tx1"/>
                  </w14:solidFill>
                </w14:textFill>
              </w:rPr>
            </w:pPr>
            <w:r>
              <w:rPr>
                <w:rFonts w:hint="eastAsia"/>
                <w:color w:val="000000" w:themeColor="text1"/>
                <w:spacing w:val="7"/>
                <w:sz w:val="24"/>
                <w:szCs w:val="24"/>
                <w:highlight w:val="none"/>
                <w14:textFill>
                  <w14:solidFill>
                    <w14:schemeClr w14:val="tx1"/>
                  </w14:solidFill>
                </w14:textFill>
              </w:rPr>
              <w:t>评标方法</w:t>
            </w:r>
          </w:p>
        </w:tc>
        <w:tc>
          <w:tcPr>
            <w:tcW w:w="6947" w:type="dxa"/>
            <w:vAlign w:val="center"/>
          </w:tcPr>
          <w:p w14:paraId="139CF98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综合评分相等时，评标委员会依次按照以下优先顺序推荐中标候选人或确定中标人：</w:t>
            </w:r>
          </w:p>
          <w:p w14:paraId="081E9AE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（1）评标价低的优先；</w:t>
            </w:r>
          </w:p>
          <w:p w14:paraId="192A1D8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2）按招标文件规定被认定为最新年度广东省水运工程从业单位信用评价等级较高的投标人优先；【采用如下的优先顺序：承诺使用的AA级投标人、不承诺使用的AA级投标人、承诺使用的A级投标人、不承诺使用的A级投标人、B级投标人、未参评且被确定为B级投标人】</w:t>
            </w:r>
          </w:p>
          <w:p w14:paraId="7FBAF2E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（3）以投标人企业最新年度（2024年）净资产较高的优先；</w:t>
            </w:r>
          </w:p>
          <w:p w14:paraId="3B32F24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（4）评标委员会视投标人情况综合比较，投票确定其名次。</w:t>
            </w:r>
          </w:p>
        </w:tc>
      </w:tr>
      <w:tr w14:paraId="4045D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center"/>
          </w:tcPr>
          <w:p w14:paraId="380AAEB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pacing w:val="10"/>
                <w:position w:val="12"/>
                <w:sz w:val="24"/>
                <w:szCs w:val="24"/>
                <w:highlight w:val="none"/>
                <w14:textFill>
                  <w14:solidFill>
                    <w14:schemeClr w14:val="tx1"/>
                  </w14:solidFill>
                </w14:textFill>
              </w:rPr>
            </w:pPr>
            <w:r>
              <w:rPr>
                <w:rFonts w:hint="eastAsia" w:ascii="宋体" w:hAnsi="宋体" w:eastAsia="宋体" w:cs="宋体"/>
                <w:color w:val="000000" w:themeColor="text1"/>
                <w:spacing w:val="10"/>
                <w:position w:val="12"/>
                <w:sz w:val="24"/>
                <w:szCs w:val="24"/>
                <w:highlight w:val="none"/>
                <w14:textFill>
                  <w14:solidFill>
                    <w14:schemeClr w14:val="tx1"/>
                  </w14:solidFill>
                </w14:textFill>
              </w:rPr>
              <w:t>2.1.1</w:t>
            </w:r>
          </w:p>
          <w:p w14:paraId="0CDE32D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pacing w:val="10"/>
                <w:position w:val="12"/>
                <w:sz w:val="24"/>
                <w:szCs w:val="24"/>
                <w:highlight w:val="none"/>
                <w14:textFill>
                  <w14:solidFill>
                    <w14:schemeClr w14:val="tx1"/>
                  </w14:solidFill>
                </w14:textFill>
              </w:rPr>
            </w:pPr>
            <w:r>
              <w:rPr>
                <w:rFonts w:hint="eastAsia" w:ascii="宋体" w:hAnsi="宋体" w:eastAsia="宋体" w:cs="宋体"/>
                <w:color w:val="000000" w:themeColor="text1"/>
                <w:spacing w:val="10"/>
                <w:position w:val="12"/>
                <w:sz w:val="24"/>
                <w:szCs w:val="24"/>
                <w:highlight w:val="none"/>
                <w14:textFill>
                  <w14:solidFill>
                    <w14:schemeClr w14:val="tx1"/>
                  </w14:solidFill>
                </w14:textFill>
              </w:rPr>
              <w:t>2.1.3</w:t>
            </w:r>
          </w:p>
        </w:tc>
        <w:tc>
          <w:tcPr>
            <w:tcW w:w="1433" w:type="dxa"/>
            <w:vAlign w:val="center"/>
          </w:tcPr>
          <w:p w14:paraId="43516C6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pacing w:val="10"/>
                <w:position w:val="12"/>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position w:val="12"/>
                <w:sz w:val="24"/>
                <w:szCs w:val="24"/>
                <w:highlight w:val="none"/>
                <w:lang w:eastAsia="zh-CN"/>
                <w14:textFill>
                  <w14:solidFill>
                    <w14:schemeClr w14:val="tx1"/>
                  </w14:solidFill>
                </w14:textFill>
              </w:rPr>
              <w:t>形式评审与响应性评审标准</w:t>
            </w:r>
          </w:p>
        </w:tc>
        <w:tc>
          <w:tcPr>
            <w:tcW w:w="6947" w:type="dxa"/>
            <w:vAlign w:val="center"/>
          </w:tcPr>
          <w:p w14:paraId="25B950E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b/>
                <w:bCs/>
                <w:color w:val="000000" w:themeColor="text1"/>
                <w:spacing w:val="7"/>
                <w:sz w:val="24"/>
                <w:szCs w:val="24"/>
                <w:highlight w:val="none"/>
                <w:lang w:eastAsia="zh-CN"/>
                <w14:textFill>
                  <w14:solidFill>
                    <w14:schemeClr w14:val="tx1"/>
                  </w14:solidFill>
                </w14:textFill>
              </w:rPr>
            </w:pPr>
            <w:r>
              <w:rPr>
                <w:rFonts w:hint="eastAsia"/>
                <w:b/>
                <w:bCs/>
                <w:color w:val="000000" w:themeColor="text1"/>
                <w:spacing w:val="7"/>
                <w:sz w:val="24"/>
                <w:szCs w:val="24"/>
                <w:highlight w:val="none"/>
                <w:lang w:eastAsia="zh-CN"/>
                <w14:textFill>
                  <w14:solidFill>
                    <w14:schemeClr w14:val="tx1"/>
                  </w14:solidFill>
                </w14:textFill>
              </w:rPr>
              <w:t>第一个信封（商务及技术文件）评审标准：</w:t>
            </w:r>
          </w:p>
          <w:p w14:paraId="5161E72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（1）投标文件按照招标文件规定的格式、内容填写，字迹清晰可辨：</w:t>
            </w:r>
          </w:p>
          <w:p w14:paraId="33ED2A85">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a.投标函按招标文件规定填报了项目名称、标段号（如有）、工期、工程质量要求及安全目标；</w:t>
            </w:r>
          </w:p>
          <w:p w14:paraId="2C84ED0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b.投标函附录的所有数据均符合招标文件规定；</w:t>
            </w:r>
          </w:p>
          <w:p w14:paraId="0285448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C.投标文件组成齐全完整，内容均按规定填写。</w:t>
            </w:r>
          </w:p>
          <w:p w14:paraId="4DA226D0">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（2）投标文件上法定代表人或其委托代理人的签字、投标人的单位章盖章齐全，符合招标文件规定。</w:t>
            </w:r>
          </w:p>
          <w:p w14:paraId="60B7CF82">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（3）投标人按照招标文件的规定提供了投标保证金：</w:t>
            </w:r>
          </w:p>
          <w:p w14:paraId="06A085D2">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a.投标保证金金额符合招标文件规定的金额，且投标保证金有效期不少于投标有效期；</w:t>
            </w:r>
          </w:p>
          <w:p w14:paraId="573A89B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b.若投标保证金采用现金或支票形式提交，投标人应在投标人须知3.4.1款规定的时间，将投标保证金由投标人的基本账户转入招标人指定账户；</w:t>
            </w:r>
          </w:p>
          <w:p w14:paraId="7BC28680">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C.若投标保证金采用银行保函形式提交，银行保函的格式、开具保函的银行均满足招标文件要求，银行保函原件在递交投标文件时单独密封递交，其复印件装订在投标文件中。</w:t>
            </w:r>
          </w:p>
          <w:p w14:paraId="70AEC5D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d.若投标保证金采用其他形式提交，应满足须知前附表3.4.1项的规定。</w:t>
            </w:r>
          </w:p>
          <w:p w14:paraId="7BE8FEA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b/>
                <w:bCs/>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（4）投标人法定代表人授权委托代理人签署投标文件的，需提交授权委托书，且授权人和被授权人均在授权委托书上签名，</w:t>
            </w:r>
            <w:r>
              <w:rPr>
                <w:rFonts w:hint="eastAsia"/>
                <w:b/>
                <w:bCs/>
                <w:color w:val="000000" w:themeColor="text1"/>
                <w:spacing w:val="9"/>
                <w:sz w:val="24"/>
                <w:szCs w:val="24"/>
                <w:highlight w:val="none"/>
                <w:lang w:eastAsia="zh-CN"/>
                <w14:textFill>
                  <w14:solidFill>
                    <w14:schemeClr w14:val="tx1"/>
                  </w14:solidFill>
                </w14:textFill>
              </w:rPr>
              <w:t>未使用印章、签名</w:t>
            </w:r>
            <w:r>
              <w:rPr>
                <w:rFonts w:hint="eastAsia"/>
                <w:b/>
                <w:bCs/>
                <w:color w:val="000000" w:themeColor="text1"/>
                <w:spacing w:val="8"/>
                <w:sz w:val="24"/>
                <w:szCs w:val="24"/>
                <w:highlight w:val="none"/>
                <w:lang w:eastAsia="zh-CN"/>
                <w14:textFill>
                  <w14:solidFill>
                    <w14:schemeClr w14:val="tx1"/>
                  </w14:solidFill>
                </w14:textFill>
              </w:rPr>
              <w:t>章或其他电子</w:t>
            </w:r>
            <w:r>
              <w:rPr>
                <w:rFonts w:hint="eastAsia"/>
                <w:b/>
                <w:bCs/>
                <w:color w:val="000000" w:themeColor="text1"/>
                <w:spacing w:val="7"/>
                <w:sz w:val="24"/>
                <w:szCs w:val="24"/>
                <w:highlight w:val="none"/>
                <w:lang w:eastAsia="zh-CN"/>
                <w14:textFill>
                  <w14:solidFill>
                    <w14:schemeClr w14:val="tx1"/>
                  </w14:solidFill>
                </w14:textFill>
              </w:rPr>
              <w:t>制版签名代替。</w:t>
            </w:r>
          </w:p>
          <w:p w14:paraId="347E515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jc w:val="both"/>
              <w:textAlignment w:val="baseline"/>
              <w:rPr>
                <w:rFonts w:hint="eastAsia"/>
                <w:b/>
                <w:bCs/>
                <w:color w:val="000000" w:themeColor="text1"/>
                <w:spacing w:val="6"/>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（5）投标人法定代表人亲自签署投标文件的，</w:t>
            </w:r>
            <w:r>
              <w:rPr>
                <w:rFonts w:hint="eastAsia"/>
                <w:color w:val="000000" w:themeColor="text1"/>
                <w:spacing w:val="7"/>
                <w:sz w:val="24"/>
                <w:szCs w:val="24"/>
                <w:highlight w:val="none"/>
                <w:lang w:eastAsia="zh-CN"/>
                <w14:textFill>
                  <w14:solidFill>
                    <w14:schemeClr w14:val="tx1"/>
                  </w14:solidFill>
                </w14:textFill>
              </w:rPr>
              <w:t>提供了法定代表人身份证明，且</w:t>
            </w:r>
            <w:r>
              <w:rPr>
                <w:rFonts w:hint="eastAsia"/>
                <w:color w:val="000000" w:themeColor="text1"/>
                <w:spacing w:val="9"/>
                <w:sz w:val="24"/>
                <w:szCs w:val="24"/>
                <w:highlight w:val="none"/>
                <w:lang w:eastAsia="zh-CN"/>
                <w14:textFill>
                  <w14:solidFill>
                    <w14:schemeClr w14:val="tx1"/>
                  </w14:solidFill>
                </w14:textFill>
              </w:rPr>
              <w:t>法定代表人在法定代表人身份证明上签名，</w:t>
            </w:r>
            <w:r>
              <w:rPr>
                <w:rFonts w:hint="eastAsia"/>
                <w:b/>
                <w:bCs/>
                <w:color w:val="000000" w:themeColor="text1"/>
                <w:spacing w:val="9"/>
                <w:sz w:val="24"/>
                <w:szCs w:val="24"/>
                <w:highlight w:val="none"/>
                <w:lang w:eastAsia="zh-CN"/>
                <w14:textFill>
                  <w14:solidFill>
                    <w14:schemeClr w14:val="tx1"/>
                  </w14:solidFill>
                </w14:textFill>
              </w:rPr>
              <w:t>未使用印章、签名章或其他电子制</w:t>
            </w:r>
            <w:r>
              <w:rPr>
                <w:rFonts w:hint="eastAsia"/>
                <w:b/>
                <w:bCs/>
                <w:color w:val="000000" w:themeColor="text1"/>
                <w:spacing w:val="6"/>
                <w:sz w:val="24"/>
                <w:szCs w:val="24"/>
                <w:highlight w:val="none"/>
                <w:lang w:eastAsia="zh-CN"/>
                <w14:textFill>
                  <w14:solidFill>
                    <w14:schemeClr w14:val="tx1"/>
                  </w14:solidFill>
                </w14:textFill>
              </w:rPr>
              <w:t>版签名代替。</w:t>
            </w:r>
          </w:p>
          <w:p w14:paraId="6D0450F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12"/>
                <w:sz w:val="24"/>
                <w:szCs w:val="24"/>
                <w:highlight w:val="none"/>
                <w:lang w:eastAsia="zh-CN"/>
                <w14:textFill>
                  <w14:solidFill>
                    <w14:schemeClr w14:val="tx1"/>
                  </w14:solidFill>
                </w14:textFill>
              </w:rPr>
            </w:pPr>
            <w:r>
              <w:rPr>
                <w:rFonts w:hint="eastAsia"/>
                <w:color w:val="000000" w:themeColor="text1"/>
                <w:spacing w:val="12"/>
                <w:sz w:val="24"/>
                <w:szCs w:val="24"/>
                <w:highlight w:val="none"/>
                <w:lang w:eastAsia="zh-CN"/>
                <w14:textFill>
                  <w14:solidFill>
                    <w14:schemeClr w14:val="tx1"/>
                  </w14:solidFill>
                </w14:textFill>
              </w:rPr>
              <w:t>（6）投标人以联合体形式投标时，联合体满足招标文件的要求：投标人按照招标文件提供的格式签订了联合体协议书，明确各方承担连带责任，并明确了联合体牵头人；</w:t>
            </w:r>
          </w:p>
          <w:p w14:paraId="59A43C4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7）如投标人不具备拟分包工程所需的某专项工程相应资质或投标人如有分包计划，符合招标文件第二章“投标人须知”第1.11款规定，且按招标文件第八章“投标文件格式”的要求填写了“拟分包项目情况表”。</w:t>
            </w:r>
          </w:p>
          <w:p w14:paraId="0CA92A2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（8）同一投标人未提交两个以上不同的投标文件，但招标文件要求提交备选投标的除外。</w:t>
            </w:r>
          </w:p>
          <w:p w14:paraId="50C353D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（9）投标文件中未出现有关投标报价的内容。</w:t>
            </w:r>
          </w:p>
          <w:p w14:paraId="70743CF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（10）投标文件载明的招标项目完成期限未超过招标文件规定的时限。</w:t>
            </w:r>
          </w:p>
          <w:p w14:paraId="3654A69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（11）投标文件对招标文件的实质性要求和条件作出响应。</w:t>
            </w:r>
          </w:p>
          <w:p w14:paraId="688842F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（12）权利义务符合招标文件规定：</w:t>
            </w:r>
          </w:p>
          <w:p w14:paraId="4E7E534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a.投标人应接受招标文件规定的风险划分原则，未提出新的风险划分办法；</w:t>
            </w:r>
          </w:p>
          <w:p w14:paraId="5F4D983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b.投标人未增加发包人的责任范围，或减少投标人义务；</w:t>
            </w:r>
          </w:p>
          <w:p w14:paraId="3ED481F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C.投标人未提出不同的工程验收、计量、支付办法；</w:t>
            </w:r>
          </w:p>
          <w:p w14:paraId="798BC03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d.投标人对合同纠纷、事故处理办法未提出异议；</w:t>
            </w:r>
          </w:p>
          <w:p w14:paraId="015A011C">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e.投标人在投标活动中无欺诈行为；</w:t>
            </w:r>
          </w:p>
          <w:p w14:paraId="74E93DD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f.投标人未对合同条款有重要保留。</w:t>
            </w:r>
          </w:p>
          <w:p w14:paraId="32F6B44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（13）投标文件正、副本份数符合招标文件第二章“投标人须知第3.7.4项规定。</w:t>
            </w:r>
          </w:p>
          <w:p w14:paraId="3D6E01B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jc w:val="both"/>
              <w:textAlignment w:val="baseline"/>
              <w:rPr>
                <w:rFonts w:hint="eastAsia"/>
                <w:b/>
                <w:bCs/>
                <w:color w:val="000000" w:themeColor="text1"/>
                <w:spacing w:val="6"/>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（14）投标文件未附有招标人不能接受的条件。</w:t>
            </w:r>
          </w:p>
        </w:tc>
      </w:tr>
    </w:tbl>
    <w:p w14:paraId="527A5DC4">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pPr>
    </w:p>
    <w:p w14:paraId="0A27BDEF">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sectPr>
          <w:headerReference r:id="rId3" w:type="default"/>
          <w:footerReference r:id="rId4" w:type="default"/>
          <w:pgSz w:w="11900" w:h="16840"/>
          <w:pgMar w:top="947" w:right="1263" w:bottom="1084" w:left="1408" w:header="707" w:footer="921" w:gutter="0"/>
          <w:pgNumType w:fmt="numberInDash"/>
          <w:cols w:space="720" w:num="1"/>
        </w:sectPr>
      </w:pPr>
    </w:p>
    <w:p w14:paraId="31AE35D8">
      <w:pPr>
        <w:pageBreakBefore w:val="0"/>
        <w:wordWrap/>
        <w:overflowPunct/>
        <w:bidi w:val="0"/>
        <w:spacing w:before="35"/>
        <w:rPr>
          <w:rFonts w:hint="eastAsia" w:ascii="宋体" w:hAnsi="宋体" w:eastAsia="宋体" w:cs="宋体"/>
          <w:color w:val="000000" w:themeColor="text1"/>
          <w:highlight w:val="none"/>
          <w:lang w:eastAsia="zh-CN"/>
          <w14:textFill>
            <w14:solidFill>
              <w14:schemeClr w14:val="tx1"/>
            </w14:solidFill>
          </w14:textFill>
        </w:rPr>
      </w:pPr>
    </w:p>
    <w:tbl>
      <w:tblPr>
        <w:tblStyle w:val="12"/>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115"/>
        <w:gridCol w:w="7121"/>
      </w:tblGrid>
      <w:tr w14:paraId="4C6A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957" w:type="dxa"/>
            <w:gridSpan w:val="2"/>
            <w:shd w:val="clear" w:color="auto" w:fill="D7D7D7" w:themeFill="background1" w:themeFillShade="D8"/>
            <w:vAlign w:val="center"/>
          </w:tcPr>
          <w:p w14:paraId="035465E8">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条款号</w:t>
            </w:r>
          </w:p>
        </w:tc>
        <w:tc>
          <w:tcPr>
            <w:tcW w:w="7121" w:type="dxa"/>
            <w:shd w:val="clear" w:color="auto" w:fill="D7D7D7" w:themeFill="background1" w:themeFillShade="D8"/>
            <w:vAlign w:val="center"/>
          </w:tcPr>
          <w:p w14:paraId="57D61ED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评审因素与评审标准</w:t>
            </w:r>
          </w:p>
        </w:tc>
      </w:tr>
      <w:tr w14:paraId="3587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2" w:type="dxa"/>
            <w:vAlign w:val="center"/>
          </w:tcPr>
          <w:p w14:paraId="3F8144A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jc w:val="center"/>
              <w:textAlignment w:val="baseline"/>
              <w:rPr>
                <w:rFonts w:hint="eastAsia"/>
                <w:color w:val="000000" w:themeColor="text1"/>
                <w:spacing w:val="7"/>
                <w:sz w:val="24"/>
                <w:szCs w:val="24"/>
                <w:highlight w:val="none"/>
                <w14:textFill>
                  <w14:solidFill>
                    <w14:schemeClr w14:val="tx1"/>
                  </w14:solidFill>
                </w14:textFill>
              </w:rPr>
            </w:pPr>
            <w:r>
              <w:rPr>
                <w:rFonts w:hint="eastAsia"/>
                <w:color w:val="000000" w:themeColor="text1"/>
                <w:spacing w:val="7"/>
                <w:sz w:val="24"/>
                <w:szCs w:val="24"/>
                <w:highlight w:val="none"/>
                <w14:textFill>
                  <w14:solidFill>
                    <w14:schemeClr w14:val="tx1"/>
                  </w14:solidFill>
                </w14:textFill>
              </w:rPr>
              <w:t>2.1.1</w:t>
            </w:r>
          </w:p>
          <w:p w14:paraId="5D32B4EB">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jc w:val="center"/>
              <w:textAlignment w:val="baseline"/>
              <w:rPr>
                <w:rFonts w:hint="eastAsia"/>
                <w:color w:val="000000" w:themeColor="text1"/>
                <w:spacing w:val="7"/>
                <w:sz w:val="24"/>
                <w:szCs w:val="24"/>
                <w:highlight w:val="none"/>
                <w14:textFill>
                  <w14:solidFill>
                    <w14:schemeClr w14:val="tx1"/>
                  </w14:solidFill>
                </w14:textFill>
              </w:rPr>
            </w:pPr>
            <w:r>
              <w:rPr>
                <w:rFonts w:hint="eastAsia"/>
                <w:color w:val="000000" w:themeColor="text1"/>
                <w:spacing w:val="7"/>
                <w:sz w:val="24"/>
                <w:szCs w:val="24"/>
                <w:highlight w:val="none"/>
                <w14:textFill>
                  <w14:solidFill>
                    <w14:schemeClr w14:val="tx1"/>
                  </w14:solidFill>
                </w14:textFill>
              </w:rPr>
              <w:t>2.1.3</w:t>
            </w:r>
          </w:p>
        </w:tc>
        <w:tc>
          <w:tcPr>
            <w:tcW w:w="1115" w:type="dxa"/>
            <w:vAlign w:val="center"/>
          </w:tcPr>
          <w:p w14:paraId="7D5392C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jc w:val="center"/>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形式评审与响应性评审标准</w:t>
            </w:r>
          </w:p>
        </w:tc>
        <w:tc>
          <w:tcPr>
            <w:tcW w:w="7121" w:type="dxa"/>
            <w:vAlign w:val="center"/>
          </w:tcPr>
          <w:p w14:paraId="0A33D735">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b/>
                <w:bCs/>
                <w:color w:val="000000" w:themeColor="text1"/>
                <w:spacing w:val="7"/>
                <w:sz w:val="24"/>
                <w:szCs w:val="24"/>
                <w:highlight w:val="none"/>
                <w:lang w:eastAsia="zh-CN"/>
                <w14:textFill>
                  <w14:solidFill>
                    <w14:schemeClr w14:val="tx1"/>
                  </w14:solidFill>
                </w14:textFill>
              </w:rPr>
            </w:pPr>
            <w:r>
              <w:rPr>
                <w:rFonts w:hint="eastAsia"/>
                <w:b/>
                <w:bCs/>
                <w:color w:val="000000" w:themeColor="text1"/>
                <w:spacing w:val="7"/>
                <w:sz w:val="24"/>
                <w:szCs w:val="24"/>
                <w:highlight w:val="none"/>
                <w:lang w:eastAsia="zh-CN"/>
                <w14:textFill>
                  <w14:solidFill>
                    <w14:schemeClr w14:val="tx1"/>
                  </w14:solidFill>
                </w14:textFill>
              </w:rPr>
              <w:t>第二个信封（报价文件）评审标准：</w:t>
            </w:r>
          </w:p>
          <w:p w14:paraId="01D3D52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(1)投标文件按照招标文件规定的格式、内容填写，</w:t>
            </w:r>
            <w:r>
              <w:rPr>
                <w:rFonts w:hint="eastAsia"/>
                <w:color w:val="000000" w:themeColor="text1"/>
                <w:spacing w:val="7"/>
                <w:sz w:val="24"/>
                <w:szCs w:val="24"/>
                <w:highlight w:val="none"/>
                <w:lang w:eastAsia="zh-CN"/>
                <w14:textFill>
                  <w14:solidFill>
                    <w14:schemeClr w14:val="tx1"/>
                  </w14:solidFill>
                </w14:textFill>
              </w:rPr>
              <w:t>字迹清晰可辨：</w:t>
            </w:r>
          </w:p>
          <w:p w14:paraId="36A5559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a.投标函按招标文件规定填报了项目名称、标段号（如有）、投标总报价（包括大</w:t>
            </w:r>
            <w:r>
              <w:rPr>
                <w:rFonts w:hint="eastAsia"/>
                <w:color w:val="000000" w:themeColor="text1"/>
                <w:spacing w:val="6"/>
                <w:sz w:val="24"/>
                <w:szCs w:val="24"/>
                <w:highlight w:val="none"/>
                <w:lang w:eastAsia="zh-CN"/>
                <w14:textFill>
                  <w14:solidFill>
                    <w14:schemeClr w14:val="tx1"/>
                  </w14:solidFill>
                </w14:textFill>
              </w:rPr>
              <w:t>写金</w:t>
            </w:r>
            <w:r>
              <w:rPr>
                <w:rFonts w:hint="eastAsia"/>
                <w:color w:val="000000" w:themeColor="text1"/>
                <w:spacing w:val="7"/>
                <w:sz w:val="24"/>
                <w:szCs w:val="24"/>
                <w:highlight w:val="none"/>
                <w:lang w:eastAsia="zh-CN"/>
                <w14:textFill>
                  <w14:solidFill>
                    <w14:schemeClr w14:val="tx1"/>
                  </w14:solidFill>
                </w14:textFill>
              </w:rPr>
              <w:t>额和小写金额)；</w:t>
            </w:r>
          </w:p>
          <w:p w14:paraId="7FD2726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b.已标价工程量清单说明文字与招标文件规定一致，未进行实质性修改和删</w:t>
            </w:r>
            <w:r>
              <w:rPr>
                <w:rFonts w:hint="eastAsia"/>
                <w:color w:val="000000" w:themeColor="text1"/>
                <w:sz w:val="24"/>
                <w:szCs w:val="24"/>
                <w:highlight w:val="none"/>
                <w:lang w:eastAsia="zh-CN"/>
                <w14:textFill>
                  <w14:solidFill>
                    <w14:schemeClr w14:val="tx1"/>
                  </w14:solidFill>
                </w14:textFill>
              </w:rPr>
              <w:t>减；</w:t>
            </w:r>
          </w:p>
          <w:p w14:paraId="477CC33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6"/>
                <w:sz w:val="24"/>
                <w:szCs w:val="24"/>
                <w:highlight w:val="none"/>
                <w:lang w:eastAsia="zh-CN"/>
                <w14:textFill>
                  <w14:solidFill>
                    <w14:schemeClr w14:val="tx1"/>
                  </w14:solidFill>
                </w14:textFill>
              </w:rPr>
              <w:t>c.投标文件组成齐全完整，内容均按规定填写。</w:t>
            </w:r>
          </w:p>
          <w:p w14:paraId="185B274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（2）投标文件上法定代表人或其委托代理人的签字、投标人的单位章盖章齐</w:t>
            </w:r>
            <w:r>
              <w:rPr>
                <w:rFonts w:hint="eastAsia"/>
                <w:color w:val="000000" w:themeColor="text1"/>
                <w:spacing w:val="7"/>
                <w:sz w:val="24"/>
                <w:szCs w:val="24"/>
                <w:highlight w:val="none"/>
                <w:lang w:eastAsia="zh-CN"/>
                <w14:textFill>
                  <w14:solidFill>
                    <w14:schemeClr w14:val="tx1"/>
                  </w14:solidFill>
                </w14:textFill>
              </w:rPr>
              <w:t>全，符合招标文件规定。</w:t>
            </w:r>
          </w:p>
          <w:p w14:paraId="7BFE64AB">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pacing w:val="8"/>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（3）投标报价或调价函中的报价未超过招标文件设定的最高投标限价（如有)。</w:t>
            </w:r>
          </w:p>
          <w:p w14:paraId="6968F5D2">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（4）投标报价或调价函中报价的大写金额能够</w:t>
            </w:r>
            <w:r>
              <w:rPr>
                <w:rFonts w:hint="eastAsia"/>
                <w:color w:val="000000" w:themeColor="text1"/>
                <w:spacing w:val="8"/>
                <w:sz w:val="24"/>
                <w:szCs w:val="24"/>
                <w:highlight w:val="none"/>
                <w:lang w:eastAsia="zh-CN"/>
                <w14:textFill>
                  <w14:solidFill>
                    <w14:schemeClr w14:val="tx1"/>
                  </w14:solidFill>
                </w14:textFill>
              </w:rPr>
              <w:t>确定具体数值。</w:t>
            </w:r>
          </w:p>
          <w:p w14:paraId="7AAB634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（5）同一投标人未提交两个以上不同的投标总报价，但招标文件要求提</w:t>
            </w:r>
            <w:r>
              <w:rPr>
                <w:rFonts w:hint="eastAsia"/>
                <w:color w:val="000000" w:themeColor="text1"/>
                <w:spacing w:val="6"/>
                <w:sz w:val="24"/>
                <w:szCs w:val="24"/>
                <w:highlight w:val="none"/>
                <w:lang w:eastAsia="zh-CN"/>
                <w14:textFill>
                  <w14:solidFill>
                    <w14:schemeClr w14:val="tx1"/>
                  </w14:solidFill>
                </w14:textFill>
              </w:rPr>
              <w:t>交备选投标的除外。</w:t>
            </w:r>
          </w:p>
          <w:p w14:paraId="1C0DCEB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（6）投标人若提交调价函，调价函符合招标文件第二章“投标人须知”第3.2.6项要求。</w:t>
            </w:r>
          </w:p>
          <w:p w14:paraId="58C0875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pacing w:val="10"/>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（7）投标人若填写工程量固化清单，填写完毕的工程量固化清单未对工</w:t>
            </w:r>
            <w:r>
              <w:rPr>
                <w:rFonts w:hint="eastAsia"/>
                <w:color w:val="000000" w:themeColor="text1"/>
                <w:spacing w:val="6"/>
                <w:sz w:val="24"/>
                <w:szCs w:val="24"/>
                <w:highlight w:val="none"/>
                <w:lang w:eastAsia="zh-CN"/>
                <w14:textFill>
                  <w14:solidFill>
                    <w14:schemeClr w14:val="tx1"/>
                  </w14:solidFill>
                </w14:textFill>
              </w:rPr>
              <w:t>程量固化</w:t>
            </w:r>
            <w:r>
              <w:rPr>
                <w:rFonts w:hint="eastAsia"/>
                <w:color w:val="000000" w:themeColor="text1"/>
                <w:spacing w:val="10"/>
                <w:sz w:val="24"/>
                <w:szCs w:val="24"/>
                <w:highlight w:val="none"/>
                <w:lang w:eastAsia="zh-CN"/>
                <w14:textFill>
                  <w14:solidFill>
                    <w14:schemeClr w14:val="tx1"/>
                  </w14:solidFill>
                </w14:textFill>
              </w:rPr>
              <w:t>清单电子文件中的数据、格式和运算定义进行修改；工程量固化清单中的投标总报价和投标函大写金额报价一致。</w:t>
            </w:r>
          </w:p>
          <w:p w14:paraId="6D140EC8">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0"/>
                <w:sz w:val="24"/>
                <w:szCs w:val="24"/>
                <w:highlight w:val="none"/>
                <w:lang w:eastAsia="zh-CN"/>
                <w14:textFill>
                  <w14:solidFill>
                    <w14:schemeClr w14:val="tx1"/>
                  </w14:solidFill>
                </w14:textFill>
              </w:rPr>
              <w:t>（8）投标文件正、副本份数符合招标文件第二章“投标人须知”第3.7.4项规定。</w:t>
            </w:r>
          </w:p>
        </w:tc>
      </w:tr>
      <w:tr w14:paraId="4482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2" w:type="dxa"/>
            <w:vAlign w:val="center"/>
          </w:tcPr>
          <w:p w14:paraId="3D533AD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jc w:val="center"/>
              <w:textAlignment w:val="baseline"/>
              <w:rPr>
                <w:rFonts w:hint="eastAsia"/>
                <w:color w:val="000000" w:themeColor="text1"/>
                <w:spacing w:val="8"/>
                <w:sz w:val="24"/>
                <w:szCs w:val="24"/>
                <w:highlight w:val="none"/>
                <w14:textFill>
                  <w14:solidFill>
                    <w14:schemeClr w14:val="tx1"/>
                  </w14:solidFill>
                </w14:textFill>
              </w:rPr>
            </w:pPr>
            <w:r>
              <w:rPr>
                <w:rFonts w:hint="eastAsia"/>
                <w:color w:val="000000" w:themeColor="text1"/>
                <w:spacing w:val="8"/>
                <w:sz w:val="24"/>
                <w:szCs w:val="24"/>
                <w:highlight w:val="none"/>
                <w14:textFill>
                  <w14:solidFill>
                    <w14:schemeClr w14:val="tx1"/>
                  </w14:solidFill>
                </w14:textFill>
              </w:rPr>
              <w:t>2.1.2</w:t>
            </w:r>
          </w:p>
        </w:tc>
        <w:tc>
          <w:tcPr>
            <w:tcW w:w="1115" w:type="dxa"/>
            <w:vAlign w:val="center"/>
          </w:tcPr>
          <w:p w14:paraId="3D04A67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jc w:val="center"/>
              <w:textAlignment w:val="baseline"/>
              <w:rPr>
                <w:rFonts w:hint="eastAsia"/>
                <w:color w:val="000000" w:themeColor="text1"/>
                <w:spacing w:val="8"/>
                <w:sz w:val="24"/>
                <w:szCs w:val="24"/>
                <w:highlight w:val="none"/>
                <w14:textFill>
                  <w14:solidFill>
                    <w14:schemeClr w14:val="tx1"/>
                  </w14:solidFill>
                </w14:textFill>
              </w:rPr>
            </w:pPr>
            <w:r>
              <w:rPr>
                <w:rFonts w:hint="eastAsia"/>
                <w:color w:val="000000" w:themeColor="text1"/>
                <w:spacing w:val="8"/>
                <w:sz w:val="24"/>
                <w:szCs w:val="24"/>
                <w:highlight w:val="none"/>
                <w14:textFill>
                  <w14:solidFill>
                    <w14:schemeClr w14:val="tx1"/>
                  </w14:solidFill>
                </w14:textFill>
              </w:rPr>
              <w:t>资格评审标准</w:t>
            </w:r>
          </w:p>
        </w:tc>
        <w:tc>
          <w:tcPr>
            <w:tcW w:w="7121" w:type="dxa"/>
            <w:vAlign w:val="center"/>
          </w:tcPr>
          <w:p w14:paraId="7672053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（1）投标人具备有效的营业执照、资质证书、安全生产许可证和基本账</w:t>
            </w:r>
            <w:r>
              <w:rPr>
                <w:rFonts w:hint="eastAsia"/>
                <w:color w:val="000000" w:themeColor="text1"/>
                <w:spacing w:val="6"/>
                <w:sz w:val="24"/>
                <w:szCs w:val="24"/>
                <w:highlight w:val="none"/>
                <w:lang w:eastAsia="zh-CN"/>
                <w14:textFill>
                  <w14:solidFill>
                    <w14:schemeClr w14:val="tx1"/>
                  </w14:solidFill>
                </w14:textFill>
              </w:rPr>
              <w:t>户开户许</w:t>
            </w:r>
            <w:r>
              <w:rPr>
                <w:rFonts w:hint="eastAsia"/>
                <w:color w:val="000000" w:themeColor="text1"/>
                <w:spacing w:val="10"/>
                <w:sz w:val="24"/>
                <w:szCs w:val="24"/>
                <w:highlight w:val="none"/>
                <w:lang w:eastAsia="zh-CN"/>
                <w14:textFill>
                  <w14:solidFill>
                    <w14:schemeClr w14:val="tx1"/>
                  </w14:solidFill>
                </w14:textFill>
              </w:rPr>
              <w:t>可证（如企业所在地已取消企业银行账户许可而无</w:t>
            </w:r>
            <w:r>
              <w:rPr>
                <w:rFonts w:hint="eastAsia"/>
                <w:color w:val="000000" w:themeColor="text1"/>
                <w:spacing w:val="9"/>
                <w:sz w:val="24"/>
                <w:szCs w:val="24"/>
                <w:highlight w:val="none"/>
                <w:lang w:eastAsia="zh-CN"/>
                <w14:textFill>
                  <w14:solidFill>
                    <w14:schemeClr w14:val="tx1"/>
                  </w14:solidFill>
                </w14:textFill>
              </w:rPr>
              <w:t>法提供开户许可证的，则需附上开户银行出具的“基本存款账户信息”或“人民银行账户管理系统</w:t>
            </w:r>
            <w:r>
              <w:rPr>
                <w:rFonts w:hint="eastAsia"/>
                <w:color w:val="000000" w:themeColor="text1"/>
                <w:spacing w:val="8"/>
                <w:sz w:val="24"/>
                <w:szCs w:val="24"/>
                <w:highlight w:val="none"/>
                <w:lang w:eastAsia="zh-CN"/>
                <w14:textFill>
                  <w14:solidFill>
                    <w14:schemeClr w14:val="tx1"/>
                  </w14:solidFill>
                </w14:textFill>
              </w:rPr>
              <w:t>查询的基本账户信息截图”</w:t>
            </w:r>
            <w:r>
              <w:rPr>
                <w:rFonts w:hint="eastAsia"/>
                <w:color w:val="000000" w:themeColor="text1"/>
                <w:spacing w:val="-10"/>
                <w:sz w:val="24"/>
                <w:szCs w:val="24"/>
                <w:highlight w:val="none"/>
                <w:lang w:eastAsia="zh-CN"/>
                <w14:textFill>
                  <w14:solidFill>
                    <w14:schemeClr w14:val="tx1"/>
                  </w14:solidFill>
                </w14:textFill>
              </w:rPr>
              <w:t>）；</w:t>
            </w:r>
          </w:p>
          <w:p w14:paraId="0F3E990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（2）投标人的资质等级符合招标文件规定；</w:t>
            </w:r>
          </w:p>
          <w:p w14:paraId="6F813BD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（3）投标人的财务状况符合招标文件规定；</w:t>
            </w:r>
          </w:p>
          <w:p w14:paraId="4BE19DF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（4）投标人的类似项目业绩符合招标文件规定；</w:t>
            </w:r>
          </w:p>
          <w:p w14:paraId="297503B0">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（5）投标人的信誉符合招标文件规定；</w:t>
            </w:r>
          </w:p>
          <w:p w14:paraId="091B4850">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（6）投标人的项目负责人和项目技术负责人资格、在岗情况符合招标文件规</w:t>
            </w:r>
            <w:r>
              <w:rPr>
                <w:rFonts w:hint="eastAsia"/>
                <w:color w:val="000000" w:themeColor="text1"/>
                <w:spacing w:val="7"/>
                <w:sz w:val="24"/>
                <w:szCs w:val="24"/>
                <w:highlight w:val="none"/>
                <w:lang w:eastAsia="zh-CN"/>
                <w14:textFill>
                  <w14:solidFill>
                    <w14:schemeClr w14:val="tx1"/>
                  </w14:solidFill>
                </w14:textFill>
              </w:rPr>
              <w:t>定，</w:t>
            </w:r>
            <w:r>
              <w:rPr>
                <w:rFonts w:hint="eastAsia"/>
                <w:color w:val="000000" w:themeColor="text1"/>
                <w:spacing w:val="8"/>
                <w:sz w:val="24"/>
                <w:szCs w:val="24"/>
                <w:highlight w:val="none"/>
                <w:lang w:eastAsia="zh-CN"/>
                <w14:textFill>
                  <w14:solidFill>
                    <w14:schemeClr w14:val="tx1"/>
                  </w14:solidFill>
                </w14:textFill>
              </w:rPr>
              <w:t>并按规定在投标文件中签字确认；</w:t>
            </w:r>
          </w:p>
          <w:p w14:paraId="76B1E29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position w:val="3"/>
                <w:sz w:val="24"/>
                <w:szCs w:val="24"/>
                <w:highlight w:val="none"/>
                <w:lang w:eastAsia="zh-CN"/>
                <w14:textFill>
                  <w14:solidFill>
                    <w14:schemeClr w14:val="tx1"/>
                  </w14:solidFill>
                </w14:textFill>
              </w:rPr>
              <w:t>（7）投标人的其他要求符合招标文件规定；</w:t>
            </w:r>
          </w:p>
          <w:p w14:paraId="214E267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4"/>
                <w:sz w:val="24"/>
                <w:szCs w:val="24"/>
                <w:highlight w:val="none"/>
                <w:lang w:eastAsia="zh-CN"/>
                <w14:textFill>
                  <w14:solidFill>
                    <w14:schemeClr w14:val="tx1"/>
                  </w14:solidFill>
                </w14:textFill>
              </w:rPr>
              <w:t>（8）投标人不存在第二章“投标人须知”第1.4</w:t>
            </w:r>
            <w:r>
              <w:rPr>
                <w:rFonts w:hint="eastAsia"/>
                <w:color w:val="000000" w:themeColor="text1"/>
                <w:spacing w:val="3"/>
                <w:sz w:val="24"/>
                <w:szCs w:val="24"/>
                <w:highlight w:val="none"/>
                <w:lang w:eastAsia="zh-CN"/>
                <w14:textFill>
                  <w14:solidFill>
                    <w14:schemeClr w14:val="tx1"/>
                  </w14:solidFill>
                </w14:textFill>
              </w:rPr>
              <w:t>.3项或第1.4.4项规定的任何一</w:t>
            </w:r>
            <w:r>
              <w:rPr>
                <w:rFonts w:hint="eastAsia"/>
                <w:color w:val="000000" w:themeColor="text1"/>
                <w:spacing w:val="5"/>
                <w:sz w:val="24"/>
                <w:szCs w:val="24"/>
                <w:highlight w:val="none"/>
                <w:lang w:eastAsia="zh-CN"/>
                <w14:textFill>
                  <w14:solidFill>
                    <w14:schemeClr w14:val="tx1"/>
                  </w14:solidFill>
                </w14:textFill>
              </w:rPr>
              <w:t>种情形；</w:t>
            </w:r>
          </w:p>
          <w:p w14:paraId="4E26E09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2"/>
                <w:sz w:val="24"/>
                <w:szCs w:val="24"/>
                <w:highlight w:val="none"/>
                <w:lang w:eastAsia="zh-CN"/>
                <w14:textFill>
                  <w14:solidFill>
                    <w14:schemeClr w14:val="tx1"/>
                  </w14:solidFill>
                </w14:textFill>
              </w:rPr>
              <w:t>（9）以联合体形式参与投标的，联合体各方均未再以自己名义单独或参加其他联合体在同一标段中投标；独立参与投标的，投标人未同时参加联合体在同一标段中投标。</w:t>
            </w:r>
          </w:p>
        </w:tc>
      </w:tr>
    </w:tbl>
    <w:p w14:paraId="541658CE">
      <w:pPr>
        <w:pageBreakBefore w:val="0"/>
        <w:wordWrap/>
        <w:overflowPunct/>
        <w:bidi w:val="0"/>
        <w:spacing w:line="363" w:lineRule="auto"/>
        <w:rPr>
          <w:rFonts w:hint="eastAsia" w:ascii="宋体" w:hAnsi="宋体" w:eastAsia="宋体" w:cs="宋体"/>
          <w:color w:val="000000" w:themeColor="text1"/>
          <w:highlight w:val="none"/>
          <w:lang w:eastAsia="zh-CN"/>
          <w14:textFill>
            <w14:solidFill>
              <w14:schemeClr w14:val="tx1"/>
            </w14:solidFill>
          </w14:textFill>
        </w:rPr>
      </w:pPr>
    </w:p>
    <w:p w14:paraId="3698A848">
      <w:pPr>
        <w:pageBreakBefore w:val="0"/>
        <w:wordWrap/>
        <w:overflowPunct/>
        <w:bidi w:val="0"/>
        <w:spacing w:line="219" w:lineRule="auto"/>
        <w:rPr>
          <w:rFonts w:hint="eastAsia" w:ascii="宋体" w:hAnsi="宋体" w:eastAsia="宋体" w:cs="宋体"/>
          <w:color w:val="000000" w:themeColor="text1"/>
          <w:sz w:val="18"/>
          <w:szCs w:val="18"/>
          <w:highlight w:val="none"/>
          <w:lang w:eastAsia="zh-CN"/>
          <w14:textFill>
            <w14:solidFill>
              <w14:schemeClr w14:val="tx1"/>
            </w14:solidFill>
          </w14:textFill>
        </w:rPr>
        <w:sectPr>
          <w:headerReference r:id="rId5" w:type="default"/>
          <w:footerReference r:id="rId6" w:type="default"/>
          <w:pgSz w:w="11900" w:h="16840"/>
          <w:pgMar w:top="947" w:right="1408" w:bottom="1084" w:left="1408" w:header="707" w:footer="921" w:gutter="0"/>
          <w:pgNumType w:fmt="numberInDash"/>
          <w:cols w:space="720" w:num="1"/>
        </w:sectPr>
      </w:pPr>
      <w:bookmarkStart w:id="4" w:name="bookmark78"/>
      <w:bookmarkEnd w:id="4"/>
    </w:p>
    <w:p w14:paraId="197CB297">
      <w:pPr>
        <w:pageBreakBefore w:val="0"/>
        <w:wordWrap/>
        <w:overflowPunct/>
        <w:bidi w:val="0"/>
        <w:spacing w:before="229"/>
        <w:rPr>
          <w:rFonts w:hint="eastAsia" w:ascii="宋体" w:hAnsi="宋体" w:eastAsia="宋体" w:cs="宋体"/>
          <w:color w:val="000000" w:themeColor="text1"/>
          <w:highlight w:val="none"/>
          <w:lang w:eastAsia="zh-CN"/>
          <w14:textFill>
            <w14:solidFill>
              <w14:schemeClr w14:val="tx1"/>
            </w14:solidFill>
          </w14:textFill>
        </w:rPr>
      </w:pPr>
    </w:p>
    <w:tbl>
      <w:tblPr>
        <w:tblStyle w:val="12"/>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2008"/>
        <w:gridCol w:w="6200"/>
      </w:tblGrid>
      <w:tr w14:paraId="15646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84" w:type="dxa"/>
            <w:gridSpan w:val="2"/>
            <w:shd w:val="clear" w:color="auto" w:fill="D7D7D7" w:themeFill="background1" w:themeFillShade="D8"/>
            <w:vAlign w:val="center"/>
          </w:tcPr>
          <w:p w14:paraId="5FDC1BE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条款号</w:t>
            </w:r>
          </w:p>
        </w:tc>
        <w:tc>
          <w:tcPr>
            <w:tcW w:w="6200" w:type="dxa"/>
            <w:shd w:val="clear" w:color="auto" w:fill="D7D7D7" w:themeFill="background1" w:themeFillShade="D8"/>
            <w:vAlign w:val="center"/>
          </w:tcPr>
          <w:p w14:paraId="1A284178">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评审因素与评审标准</w:t>
            </w:r>
          </w:p>
        </w:tc>
      </w:tr>
      <w:tr w14:paraId="4060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76" w:type="dxa"/>
            <w:vAlign w:val="center"/>
          </w:tcPr>
          <w:p w14:paraId="46FA5B5A">
            <w:pPr>
              <w:pStyle w:val="11"/>
              <w:keepNext w:val="0"/>
              <w:keepLines w:val="0"/>
              <w:pageBreakBefore w:val="0"/>
              <w:widowControl/>
              <w:kinsoku w:val="0"/>
              <w:wordWrap/>
              <w:overflowPunct/>
              <w:topLinePunct w:val="0"/>
              <w:autoSpaceDE w:val="0"/>
              <w:autoSpaceDN w:val="0"/>
              <w:bidi w:val="0"/>
              <w:adjustRightInd w:val="0"/>
              <w:snapToGrid w:val="0"/>
              <w:spacing w:before="62" w:after="0" w:line="240" w:lineRule="auto"/>
              <w:ind w:left="0" w:leftChars="0"/>
              <w:jc w:val="center"/>
              <w:textAlignment w:val="baseline"/>
              <w:rPr>
                <w:rFonts w:hint="eastAsia"/>
                <w:color w:val="000000" w:themeColor="text1"/>
                <w:spacing w:val="19"/>
                <w:sz w:val="24"/>
                <w:szCs w:val="24"/>
                <w:highlight w:val="none"/>
                <w14:textFill>
                  <w14:solidFill>
                    <w14:schemeClr w14:val="tx1"/>
                  </w14:solidFill>
                </w14:textFill>
              </w:rPr>
            </w:pPr>
            <w:r>
              <w:rPr>
                <w:rFonts w:hint="eastAsia"/>
                <w:color w:val="000000" w:themeColor="text1"/>
                <w:spacing w:val="19"/>
                <w:sz w:val="24"/>
                <w:szCs w:val="24"/>
                <w:highlight w:val="none"/>
                <w14:textFill>
                  <w14:solidFill>
                    <w14:schemeClr w14:val="tx1"/>
                  </w14:solidFill>
                </w14:textFill>
              </w:rPr>
              <w:t>2.2.1</w:t>
            </w:r>
          </w:p>
        </w:tc>
        <w:tc>
          <w:tcPr>
            <w:tcW w:w="2008" w:type="dxa"/>
            <w:vAlign w:val="center"/>
          </w:tcPr>
          <w:p w14:paraId="0D8F73D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宋体" w:hAnsi="宋体" w:eastAsia="宋体" w:cs="宋体"/>
                <w:color w:val="000000" w:themeColor="text1"/>
                <w:spacing w:val="19"/>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分值构成</w:t>
            </w:r>
          </w:p>
          <w:p w14:paraId="535C11B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宋体" w:hAnsi="宋体" w:eastAsia="宋体" w:cs="宋体"/>
                <w:color w:val="000000" w:themeColor="text1"/>
                <w:spacing w:val="19"/>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(总分10</w:t>
            </w:r>
            <w:r>
              <w:rPr>
                <w:rFonts w:hint="eastAsia" w:ascii="宋体" w:hAnsi="宋体" w:eastAsia="宋体" w:cs="宋体"/>
                <w:color w:val="000000" w:themeColor="text1"/>
                <w:spacing w:val="19"/>
                <w:sz w:val="24"/>
                <w:szCs w:val="24"/>
                <w:highlight w:val="none"/>
                <w:lang w:eastAsia="zh-CN"/>
                <w14:textFill>
                  <w14:solidFill>
                    <w14:schemeClr w14:val="tx1"/>
                  </w14:solidFill>
                </w14:textFill>
              </w:rPr>
              <w:t>0</w:t>
            </w:r>
            <w:r>
              <w:rPr>
                <w:rFonts w:hint="eastAsia" w:ascii="宋体" w:hAnsi="宋体" w:eastAsia="宋体" w:cs="宋体"/>
                <w:color w:val="000000" w:themeColor="text1"/>
                <w:spacing w:val="19"/>
                <w:sz w:val="24"/>
                <w:szCs w:val="24"/>
                <w:highlight w:val="none"/>
                <w14:textFill>
                  <w14:solidFill>
                    <w14:schemeClr w14:val="tx1"/>
                  </w14:solidFill>
                </w14:textFill>
              </w:rPr>
              <w:t>分）</w:t>
            </w:r>
          </w:p>
        </w:tc>
        <w:tc>
          <w:tcPr>
            <w:tcW w:w="6200" w:type="dxa"/>
            <w:vAlign w:val="center"/>
          </w:tcPr>
          <w:p w14:paraId="0E216B8F">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b/>
                <w:bCs/>
                <w:color w:val="000000" w:themeColor="text1"/>
                <w:spacing w:val="9"/>
                <w:sz w:val="24"/>
                <w:szCs w:val="24"/>
                <w:highlight w:val="none"/>
                <w:lang w:eastAsia="zh-CN"/>
                <w14:textFill>
                  <w14:solidFill>
                    <w14:schemeClr w14:val="tx1"/>
                  </w14:solidFill>
                </w14:textFill>
              </w:rPr>
            </w:pPr>
          </w:p>
          <w:p w14:paraId="33281601">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pacing w:val="10"/>
                <w:sz w:val="24"/>
                <w:szCs w:val="24"/>
                <w:highlight w:val="none"/>
                <w:lang w:eastAsia="zh-CN"/>
                <w14:textFill>
                  <w14:solidFill>
                    <w14:schemeClr w14:val="tx1"/>
                  </w14:solidFill>
                </w14:textFill>
              </w:rPr>
            </w:pPr>
            <w:r>
              <w:rPr>
                <w:rFonts w:hint="eastAsia"/>
                <w:b/>
                <w:bCs/>
                <w:color w:val="000000" w:themeColor="text1"/>
                <w:spacing w:val="9"/>
                <w:sz w:val="24"/>
                <w:szCs w:val="24"/>
                <w:highlight w:val="none"/>
                <w:lang w:eastAsia="zh-CN"/>
                <w14:textFill>
                  <w14:solidFill>
                    <w14:schemeClr w14:val="tx1"/>
                  </w14:solidFill>
                </w14:textFill>
              </w:rPr>
              <w:t>第一个信封（商务及技术文件）评分分值构成：</w:t>
            </w:r>
          </w:p>
          <w:p w14:paraId="0A177BF8">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施工组织设计：</w:t>
            </w:r>
            <w:r>
              <w:rPr>
                <w:rFonts w:hint="eastAsia"/>
                <w:color w:val="000000" w:themeColor="text1"/>
                <w:spacing w:val="-7"/>
                <w:sz w:val="24"/>
                <w:szCs w:val="24"/>
                <w:highlight w:val="none"/>
                <w:u w:val="single"/>
                <w:lang w:eastAsia="zh-CN"/>
                <w14:textFill>
                  <w14:solidFill>
                    <w14:schemeClr w14:val="tx1"/>
                  </w14:solidFill>
                </w14:textFill>
              </w:rPr>
              <w:t>（</w:t>
            </w:r>
            <w:r>
              <w:rPr>
                <w:rFonts w:hint="eastAsia"/>
                <w:color w:val="000000" w:themeColor="text1"/>
                <w:spacing w:val="19"/>
                <w:sz w:val="24"/>
                <w:szCs w:val="24"/>
                <w:highlight w:val="none"/>
                <w:u w:val="single"/>
                <w:lang w:eastAsia="zh-CN"/>
                <w14:textFill>
                  <w14:solidFill>
                    <w14:schemeClr w14:val="tx1"/>
                  </w14:solidFill>
                </w14:textFill>
              </w:rPr>
              <w:t>6）</w:t>
            </w:r>
            <w:r>
              <w:rPr>
                <w:rFonts w:hint="eastAsia"/>
                <w:color w:val="000000" w:themeColor="text1"/>
                <w:spacing w:val="19"/>
                <w:sz w:val="24"/>
                <w:szCs w:val="24"/>
                <w:highlight w:val="none"/>
                <w:lang w:eastAsia="zh-CN"/>
                <w14:textFill>
                  <w14:solidFill>
                    <w14:schemeClr w14:val="tx1"/>
                  </w14:solidFill>
                </w14:textFill>
              </w:rPr>
              <w:t>分</w:t>
            </w:r>
          </w:p>
          <w:p w14:paraId="41FBA020">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0"/>
                <w:sz w:val="24"/>
                <w:szCs w:val="24"/>
                <w:highlight w:val="none"/>
                <w:lang w:eastAsia="zh-CN"/>
                <w14:textFill>
                  <w14:solidFill>
                    <w14:schemeClr w14:val="tx1"/>
                  </w14:solidFill>
                </w14:textFill>
              </w:rPr>
              <w:t>项目管理机构</w:t>
            </w:r>
            <w:r>
              <w:rPr>
                <w:rFonts w:hint="eastAsia"/>
                <w:color w:val="000000" w:themeColor="text1"/>
                <w:spacing w:val="-4"/>
                <w:sz w:val="24"/>
                <w:szCs w:val="24"/>
                <w:highlight w:val="none"/>
                <w:lang w:eastAsia="zh-CN"/>
                <w14:textFill>
                  <w14:solidFill>
                    <w14:schemeClr w14:val="tx1"/>
                  </w14:solidFill>
                </w14:textFill>
              </w:rPr>
              <w:t>：</w:t>
            </w:r>
            <w:r>
              <w:rPr>
                <w:rFonts w:hint="eastAsia"/>
                <w:color w:val="000000" w:themeColor="text1"/>
                <w:spacing w:val="-4"/>
                <w:sz w:val="24"/>
                <w:szCs w:val="24"/>
                <w:highlight w:val="none"/>
                <w:u w:val="single"/>
                <w:lang w:eastAsia="zh-CN"/>
                <w14:textFill>
                  <w14:solidFill>
                    <w14:schemeClr w14:val="tx1"/>
                  </w14:solidFill>
                </w14:textFill>
              </w:rPr>
              <w:t>（</w:t>
            </w:r>
            <w:r>
              <w:rPr>
                <w:rFonts w:hint="eastAsia"/>
                <w:color w:val="000000" w:themeColor="text1"/>
                <w:spacing w:val="10"/>
                <w:sz w:val="24"/>
                <w:szCs w:val="24"/>
                <w:highlight w:val="none"/>
                <w:u w:val="single"/>
                <w:lang w:eastAsia="zh-CN"/>
                <w14:textFill>
                  <w14:solidFill>
                    <w14:schemeClr w14:val="tx1"/>
                  </w14:solidFill>
                </w14:textFill>
              </w:rPr>
              <w:t>1）</w:t>
            </w:r>
            <w:r>
              <w:rPr>
                <w:rFonts w:hint="eastAsia"/>
                <w:color w:val="000000" w:themeColor="text1"/>
                <w:spacing w:val="10"/>
                <w:sz w:val="24"/>
                <w:szCs w:val="24"/>
                <w:highlight w:val="none"/>
                <w:lang w:eastAsia="zh-CN"/>
                <w14:textFill>
                  <w14:solidFill>
                    <w14:schemeClr w14:val="tx1"/>
                  </w14:solidFill>
                </w14:textFill>
              </w:rPr>
              <w:t>分</w:t>
            </w:r>
          </w:p>
          <w:p w14:paraId="6D3ACCF4">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8"/>
                <w:sz w:val="24"/>
                <w:szCs w:val="24"/>
                <w:highlight w:val="none"/>
                <w14:textFill>
                  <w14:solidFill>
                    <w14:schemeClr w14:val="tx1"/>
                  </w14:solidFill>
                </w14:textFill>
              </w:rPr>
              <w:t>其他因素</w:t>
            </w:r>
            <w:r>
              <w:rPr>
                <w:rFonts w:hint="eastAsia"/>
                <w:color w:val="000000" w:themeColor="text1"/>
                <w:spacing w:val="1"/>
                <w:sz w:val="24"/>
                <w:szCs w:val="24"/>
                <w:highlight w:val="none"/>
                <w14:textFill>
                  <w14:solidFill>
                    <w14:schemeClr w14:val="tx1"/>
                  </w14:solidFill>
                </w14:textFill>
              </w:rPr>
              <w:t>：</w:t>
            </w:r>
            <w:r>
              <w:rPr>
                <w:rFonts w:hint="eastAsia"/>
                <w:color w:val="000000" w:themeColor="text1"/>
                <w:spacing w:val="1"/>
                <w:sz w:val="24"/>
                <w:szCs w:val="24"/>
                <w:highlight w:val="none"/>
                <w:u w:val="single"/>
                <w14:textFill>
                  <w14:solidFill>
                    <w14:schemeClr w14:val="tx1"/>
                  </w14:solidFill>
                </w14:textFill>
              </w:rPr>
              <w:t>（</w:t>
            </w:r>
            <w:r>
              <w:rPr>
                <w:rFonts w:hint="eastAsia"/>
                <w:color w:val="000000" w:themeColor="text1"/>
                <w:spacing w:val="8"/>
                <w:sz w:val="24"/>
                <w:szCs w:val="24"/>
                <w:highlight w:val="none"/>
                <w:u w:val="single"/>
                <w:lang w:eastAsia="zh-CN"/>
                <w14:textFill>
                  <w14:solidFill>
                    <w14:schemeClr w14:val="tx1"/>
                  </w14:solidFill>
                </w14:textFill>
              </w:rPr>
              <w:t>13</w:t>
            </w:r>
            <w:r>
              <w:rPr>
                <w:rFonts w:hint="eastAsia"/>
                <w:color w:val="000000" w:themeColor="text1"/>
                <w:spacing w:val="8"/>
                <w:sz w:val="24"/>
                <w:szCs w:val="24"/>
                <w:highlight w:val="none"/>
                <w:u w:val="single"/>
                <w14:textFill>
                  <w14:solidFill>
                    <w14:schemeClr w14:val="tx1"/>
                  </w14:solidFill>
                </w14:textFill>
              </w:rPr>
              <w:t>）</w:t>
            </w:r>
            <w:r>
              <w:rPr>
                <w:rFonts w:hint="eastAsia"/>
                <w:color w:val="000000" w:themeColor="text1"/>
                <w:spacing w:val="8"/>
                <w:sz w:val="24"/>
                <w:szCs w:val="24"/>
                <w:highlight w:val="none"/>
                <w14:textFill>
                  <w14:solidFill>
                    <w14:schemeClr w14:val="tx1"/>
                  </w14:solidFill>
                </w14:textFill>
              </w:rPr>
              <w:t>分，其中：</w:t>
            </w:r>
          </w:p>
          <w:p w14:paraId="03D5AAF9">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4"/>
                <w:sz w:val="24"/>
                <w:szCs w:val="24"/>
                <w:highlight w:val="none"/>
                <w:lang w:eastAsia="zh-CN"/>
                <w14:textFill>
                  <w14:solidFill>
                    <w14:schemeClr w14:val="tx1"/>
                  </w14:solidFill>
                </w14:textFill>
              </w:rPr>
              <w:t>工程业绩</w:t>
            </w:r>
            <w:r>
              <w:rPr>
                <w:rFonts w:hint="eastAsia"/>
                <w:color w:val="000000" w:themeColor="text1"/>
                <w:spacing w:val="-4"/>
                <w:sz w:val="24"/>
                <w:szCs w:val="24"/>
                <w:highlight w:val="none"/>
                <w:u w:val="single"/>
                <w:lang w:eastAsia="zh-CN"/>
                <w14:textFill>
                  <w14:solidFill>
                    <w14:schemeClr w14:val="tx1"/>
                  </w14:solidFill>
                </w14:textFill>
              </w:rPr>
              <w:t>：（3</w:t>
            </w:r>
            <w:r>
              <w:rPr>
                <w:rFonts w:hint="eastAsia"/>
                <w:color w:val="000000" w:themeColor="text1"/>
                <w:spacing w:val="14"/>
                <w:sz w:val="24"/>
                <w:szCs w:val="24"/>
                <w:highlight w:val="none"/>
                <w:u w:val="single"/>
                <w:lang w:eastAsia="zh-CN"/>
                <w14:textFill>
                  <w14:solidFill>
                    <w14:schemeClr w14:val="tx1"/>
                  </w14:solidFill>
                </w14:textFill>
              </w:rPr>
              <w:t>）</w:t>
            </w:r>
            <w:r>
              <w:rPr>
                <w:rFonts w:hint="eastAsia"/>
                <w:color w:val="000000" w:themeColor="text1"/>
                <w:spacing w:val="14"/>
                <w:sz w:val="24"/>
                <w:szCs w:val="24"/>
                <w:highlight w:val="none"/>
                <w:lang w:eastAsia="zh-CN"/>
                <w14:textFill>
                  <w14:solidFill>
                    <w14:schemeClr w14:val="tx1"/>
                  </w14:solidFill>
                </w14:textFill>
              </w:rPr>
              <w:t>分</w:t>
            </w:r>
          </w:p>
          <w:p w14:paraId="370CCF86">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0"/>
                <w:sz w:val="24"/>
                <w:szCs w:val="24"/>
                <w:highlight w:val="none"/>
                <w:lang w:eastAsia="zh-CN"/>
                <w14:textFill>
                  <w14:solidFill>
                    <w14:schemeClr w14:val="tx1"/>
                  </w14:solidFill>
                </w14:textFill>
              </w:rPr>
              <w:t>财务能力</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u w:val="single"/>
                <w:lang w:eastAsia="zh-CN"/>
                <w14:textFill>
                  <w14:solidFill>
                    <w14:schemeClr w14:val="tx1"/>
                  </w14:solidFill>
                </w14:textFill>
              </w:rPr>
              <w:t>（</w:t>
            </w:r>
            <w:r>
              <w:rPr>
                <w:rFonts w:hint="eastAsia"/>
                <w:color w:val="000000" w:themeColor="text1"/>
                <w:spacing w:val="10"/>
                <w:sz w:val="24"/>
                <w:szCs w:val="24"/>
                <w:highlight w:val="none"/>
                <w:u w:val="single"/>
                <w:lang w:eastAsia="zh-CN"/>
                <w14:textFill>
                  <w14:solidFill>
                    <w14:schemeClr w14:val="tx1"/>
                  </w14:solidFill>
                </w14:textFill>
              </w:rPr>
              <w:t>0）</w:t>
            </w:r>
            <w:r>
              <w:rPr>
                <w:rFonts w:hint="eastAsia"/>
                <w:color w:val="000000" w:themeColor="text1"/>
                <w:spacing w:val="10"/>
                <w:sz w:val="24"/>
                <w:szCs w:val="24"/>
                <w:highlight w:val="none"/>
                <w:lang w:eastAsia="zh-CN"/>
                <w14:textFill>
                  <w14:solidFill>
                    <w14:schemeClr w14:val="tx1"/>
                  </w14:solidFill>
                </w14:textFill>
              </w:rPr>
              <w:t>分</w:t>
            </w:r>
          </w:p>
          <w:p w14:paraId="018222F2">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机械设备</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u w:val="single"/>
                <w:lang w:eastAsia="zh-CN"/>
                <w14:textFill>
                  <w14:solidFill>
                    <w14:schemeClr w14:val="tx1"/>
                  </w14:solidFill>
                </w14:textFill>
              </w:rPr>
              <w:t>（</w:t>
            </w:r>
            <w:r>
              <w:rPr>
                <w:rFonts w:hint="eastAsia"/>
                <w:color w:val="000000" w:themeColor="text1"/>
                <w:spacing w:val="9"/>
                <w:sz w:val="24"/>
                <w:szCs w:val="24"/>
                <w:highlight w:val="none"/>
                <w:u w:val="single"/>
                <w:lang w:eastAsia="zh-CN"/>
                <w14:textFill>
                  <w14:solidFill>
                    <w14:schemeClr w14:val="tx1"/>
                  </w14:solidFill>
                </w14:textFill>
              </w:rPr>
              <w:t>0）</w:t>
            </w:r>
            <w:r>
              <w:rPr>
                <w:rFonts w:hint="eastAsia"/>
                <w:color w:val="000000" w:themeColor="text1"/>
                <w:spacing w:val="9"/>
                <w:sz w:val="24"/>
                <w:szCs w:val="24"/>
                <w:highlight w:val="none"/>
                <w:lang w:eastAsia="zh-CN"/>
                <w14:textFill>
                  <w14:solidFill>
                    <w14:schemeClr w14:val="tx1"/>
                  </w14:solidFill>
                </w14:textFill>
              </w:rPr>
              <w:t>分</w:t>
            </w:r>
          </w:p>
          <w:p w14:paraId="78835A87">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pacing w:val="18"/>
                <w:sz w:val="24"/>
                <w:szCs w:val="24"/>
                <w:highlight w:val="none"/>
                <w:lang w:eastAsia="zh-CN"/>
                <w14:textFill>
                  <w14:solidFill>
                    <w14:schemeClr w14:val="tx1"/>
                  </w14:solidFill>
                </w14:textFill>
              </w:rPr>
            </w:pPr>
            <w:r>
              <w:rPr>
                <w:rFonts w:hint="eastAsia"/>
                <w:color w:val="000000" w:themeColor="text1"/>
                <w:spacing w:val="18"/>
                <w:sz w:val="24"/>
                <w:szCs w:val="24"/>
                <w:highlight w:val="none"/>
                <w:lang w:eastAsia="zh-CN"/>
                <w14:textFill>
                  <w14:solidFill>
                    <w14:schemeClr w14:val="tx1"/>
                  </w14:solidFill>
                </w14:textFill>
              </w:rPr>
              <w:t>履约信誉</w:t>
            </w:r>
            <w:r>
              <w:rPr>
                <w:rFonts w:hint="eastAsia"/>
                <w:color w:val="000000" w:themeColor="text1"/>
                <w:spacing w:val="-9"/>
                <w:sz w:val="24"/>
                <w:szCs w:val="24"/>
                <w:highlight w:val="none"/>
                <w:lang w:eastAsia="zh-CN"/>
                <w14:textFill>
                  <w14:solidFill>
                    <w14:schemeClr w14:val="tx1"/>
                  </w14:solidFill>
                </w14:textFill>
              </w:rPr>
              <w:t>：</w:t>
            </w:r>
            <w:r>
              <w:rPr>
                <w:rFonts w:hint="eastAsia"/>
                <w:color w:val="000000" w:themeColor="text1"/>
                <w:spacing w:val="-9"/>
                <w:sz w:val="24"/>
                <w:szCs w:val="24"/>
                <w:highlight w:val="none"/>
                <w:u w:val="single"/>
                <w:lang w:eastAsia="zh-CN"/>
                <w14:textFill>
                  <w14:solidFill>
                    <w14:schemeClr w14:val="tx1"/>
                  </w14:solidFill>
                </w14:textFill>
              </w:rPr>
              <w:t>（</w:t>
            </w:r>
            <w:r>
              <w:rPr>
                <w:rFonts w:hint="eastAsia"/>
                <w:color w:val="000000" w:themeColor="text1"/>
                <w:spacing w:val="18"/>
                <w:sz w:val="24"/>
                <w:szCs w:val="24"/>
                <w:highlight w:val="none"/>
                <w:u w:val="single"/>
                <w:lang w:eastAsia="zh-CN"/>
                <w14:textFill>
                  <w14:solidFill>
                    <w14:schemeClr w14:val="tx1"/>
                  </w14:solidFill>
                </w14:textFill>
              </w:rPr>
              <w:t>10）</w:t>
            </w:r>
            <w:r>
              <w:rPr>
                <w:rFonts w:hint="eastAsia"/>
                <w:color w:val="000000" w:themeColor="text1"/>
                <w:spacing w:val="18"/>
                <w:sz w:val="24"/>
                <w:szCs w:val="24"/>
                <w:highlight w:val="none"/>
                <w:lang w:eastAsia="zh-CN"/>
                <w14:textFill>
                  <w14:solidFill>
                    <w14:schemeClr w14:val="tx1"/>
                  </w14:solidFill>
                </w14:textFill>
              </w:rPr>
              <w:t>分</w:t>
            </w:r>
          </w:p>
          <w:p w14:paraId="2330CA97">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b/>
                <w:bCs/>
                <w:color w:val="000000" w:themeColor="text1"/>
                <w:spacing w:val="9"/>
                <w:sz w:val="24"/>
                <w:szCs w:val="24"/>
                <w:highlight w:val="none"/>
                <w:lang w:eastAsia="zh-CN"/>
                <w14:textFill>
                  <w14:solidFill>
                    <w14:schemeClr w14:val="tx1"/>
                  </w14:solidFill>
                </w14:textFill>
              </w:rPr>
              <w:t>第二个信封（报价文件）评分分值构成：</w:t>
            </w:r>
          </w:p>
          <w:p w14:paraId="16CB5385">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投标报价：</w:t>
            </w:r>
            <w:r>
              <w:rPr>
                <w:rFonts w:hint="eastAsia"/>
                <w:color w:val="000000" w:themeColor="text1"/>
                <w:spacing w:val="4"/>
                <w:sz w:val="24"/>
                <w:szCs w:val="24"/>
                <w:highlight w:val="none"/>
                <w:u w:val="single"/>
                <w:lang w:eastAsia="zh-CN"/>
                <w14:textFill>
                  <w14:solidFill>
                    <w14:schemeClr w14:val="tx1"/>
                  </w14:solidFill>
                </w14:textFill>
              </w:rPr>
              <w:t>80</w:t>
            </w:r>
            <w:r>
              <w:rPr>
                <w:rFonts w:hint="eastAsia"/>
                <w:color w:val="000000" w:themeColor="text1"/>
                <w:spacing w:val="4"/>
                <w:sz w:val="24"/>
                <w:szCs w:val="24"/>
                <w:highlight w:val="none"/>
                <w14:textFill>
                  <w14:solidFill>
                    <w14:schemeClr w14:val="tx1"/>
                  </w14:solidFill>
                </w14:textFill>
              </w:rPr>
              <w:t>分</w:t>
            </w:r>
          </w:p>
        </w:tc>
      </w:tr>
    </w:tbl>
    <w:p w14:paraId="4BD05ED2">
      <w:pPr>
        <w:pageBreakBefore w:val="0"/>
        <w:wordWrap/>
        <w:overflowPunct/>
        <w:bidi w:val="0"/>
        <w:spacing w:line="243" w:lineRule="auto"/>
        <w:rPr>
          <w:rFonts w:hint="eastAsia" w:ascii="宋体" w:hAnsi="宋体" w:eastAsia="宋体" w:cs="宋体"/>
          <w:color w:val="000000" w:themeColor="text1"/>
          <w:highlight w:val="none"/>
          <w14:textFill>
            <w14:solidFill>
              <w14:schemeClr w14:val="tx1"/>
            </w14:solidFill>
          </w14:textFill>
        </w:rPr>
      </w:pPr>
    </w:p>
    <w:p w14:paraId="13D26F70">
      <w:pPr>
        <w:pageBreakBefore w:val="0"/>
        <w:wordWrap/>
        <w:overflowPunct/>
        <w:bidi w:val="0"/>
        <w:spacing w:line="243" w:lineRule="auto"/>
        <w:rPr>
          <w:rFonts w:hint="eastAsia" w:ascii="宋体" w:hAnsi="宋体" w:eastAsia="宋体" w:cs="宋体"/>
          <w:color w:val="000000" w:themeColor="text1"/>
          <w:highlight w:val="none"/>
          <w14:textFill>
            <w14:solidFill>
              <w14:schemeClr w14:val="tx1"/>
            </w14:solidFill>
          </w14:textFill>
        </w:rPr>
      </w:pPr>
    </w:p>
    <w:p w14:paraId="0B09EAAA">
      <w:pPr>
        <w:pageBreakBefore w:val="0"/>
        <w:wordWrap/>
        <w:overflowPunct/>
        <w:bidi w:val="0"/>
        <w:spacing w:line="243" w:lineRule="auto"/>
        <w:rPr>
          <w:rFonts w:hint="eastAsia" w:ascii="宋体" w:hAnsi="宋体" w:eastAsia="宋体" w:cs="宋体"/>
          <w:color w:val="000000" w:themeColor="text1"/>
          <w:highlight w:val="none"/>
          <w14:textFill>
            <w14:solidFill>
              <w14:schemeClr w14:val="tx1"/>
            </w14:solidFill>
          </w14:textFill>
        </w:rPr>
      </w:pPr>
    </w:p>
    <w:p w14:paraId="167C4078">
      <w:pPr>
        <w:pageBreakBefore w:val="0"/>
        <w:wordWrap/>
        <w:overflowPunct/>
        <w:bidi w:val="0"/>
        <w:spacing w:line="243" w:lineRule="auto"/>
        <w:rPr>
          <w:rFonts w:hint="eastAsia" w:ascii="宋体" w:hAnsi="宋体" w:eastAsia="宋体" w:cs="宋体"/>
          <w:color w:val="000000" w:themeColor="text1"/>
          <w:highlight w:val="none"/>
          <w14:textFill>
            <w14:solidFill>
              <w14:schemeClr w14:val="tx1"/>
            </w14:solidFill>
          </w14:textFill>
        </w:rPr>
      </w:pPr>
    </w:p>
    <w:p w14:paraId="37C204B9">
      <w:pPr>
        <w:pageBreakBefore w:val="0"/>
        <w:wordWrap/>
        <w:overflowPunct/>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93C11D6">
      <w:pPr>
        <w:pStyle w:val="2"/>
        <w:pageBreakBefore w:val="0"/>
        <w:wordWrap/>
        <w:overflowPunct/>
        <w:bidi w:val="0"/>
        <w:rPr>
          <w:rFonts w:hint="eastAsia" w:ascii="宋体" w:hAnsi="宋体" w:eastAsia="宋体" w:cs="宋体"/>
          <w:color w:val="000000" w:themeColor="text1"/>
          <w:highlight w:val="none"/>
          <w14:textFill>
            <w14:solidFill>
              <w14:schemeClr w14:val="tx1"/>
            </w14:solidFill>
          </w14:textFill>
        </w:rPr>
      </w:pPr>
    </w:p>
    <w:tbl>
      <w:tblPr>
        <w:tblStyle w:val="12"/>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227"/>
        <w:gridCol w:w="7146"/>
      </w:tblGrid>
      <w:tr w14:paraId="3325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92" w:type="dxa"/>
            <w:shd w:val="clear" w:color="auto" w:fill="D7D7D7" w:themeFill="background1" w:themeFillShade="D8"/>
            <w:vAlign w:val="center"/>
          </w:tcPr>
          <w:p w14:paraId="0085166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条款号</w:t>
            </w:r>
          </w:p>
        </w:tc>
        <w:tc>
          <w:tcPr>
            <w:tcW w:w="1227" w:type="dxa"/>
            <w:shd w:val="clear" w:color="auto" w:fill="D7D7D7" w:themeFill="background1" w:themeFillShade="D8"/>
            <w:vAlign w:val="center"/>
          </w:tcPr>
          <w:p w14:paraId="0CB9818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条款内容</w:t>
            </w:r>
          </w:p>
        </w:tc>
        <w:tc>
          <w:tcPr>
            <w:tcW w:w="7146" w:type="dxa"/>
            <w:shd w:val="clear" w:color="auto" w:fill="D7D7D7" w:themeFill="background1" w:themeFillShade="D8"/>
            <w:vAlign w:val="center"/>
          </w:tcPr>
          <w:p w14:paraId="43ABDC0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firstLineChars="0"/>
              <w:jc w:val="center"/>
              <w:textAlignment w:val="baseline"/>
              <w:rPr>
                <w:rFonts w:hint="eastAsia"/>
                <w:b/>
                <w:bCs/>
                <w:color w:val="000000" w:themeColor="text1"/>
                <w:spacing w:val="7"/>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编列内容</w:t>
            </w:r>
          </w:p>
        </w:tc>
      </w:tr>
      <w:tr w14:paraId="43AC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2" w:type="dxa"/>
            <w:vAlign w:val="center"/>
          </w:tcPr>
          <w:p w14:paraId="308229D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2.2.2</w:t>
            </w:r>
          </w:p>
        </w:tc>
        <w:tc>
          <w:tcPr>
            <w:tcW w:w="1227" w:type="dxa"/>
            <w:vAlign w:val="center"/>
          </w:tcPr>
          <w:p w14:paraId="0C8B7CD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8"/>
                <w:sz w:val="24"/>
                <w:szCs w:val="24"/>
                <w:highlight w:val="none"/>
                <w14:textFill>
                  <w14:solidFill>
                    <w14:schemeClr w14:val="tx1"/>
                  </w14:solidFill>
                </w14:textFill>
              </w:rPr>
              <w:t>评标基准价</w:t>
            </w:r>
            <w:r>
              <w:rPr>
                <w:rFonts w:hint="eastAsia"/>
                <w:color w:val="000000" w:themeColor="text1"/>
                <w:spacing w:val="7"/>
                <w:sz w:val="24"/>
                <w:szCs w:val="24"/>
                <w:highlight w:val="none"/>
                <w14:textFill>
                  <w14:solidFill>
                    <w14:schemeClr w14:val="tx1"/>
                  </w14:solidFill>
                </w14:textFill>
              </w:rPr>
              <w:t>计算方法</w:t>
            </w:r>
          </w:p>
        </w:tc>
        <w:tc>
          <w:tcPr>
            <w:tcW w:w="7146" w:type="dxa"/>
            <w:vAlign w:val="center"/>
          </w:tcPr>
          <w:p w14:paraId="5E400663">
            <w:pPr>
              <w:pStyle w:val="11"/>
              <w:keepNext w:val="0"/>
              <w:keepLines w:val="0"/>
              <w:pageBreakBefore w:val="0"/>
              <w:widowControl/>
              <w:kinsoku w:val="0"/>
              <w:wordWrap/>
              <w:overflowPunct/>
              <w:topLinePunct w:val="0"/>
              <w:autoSpaceDE w:val="0"/>
              <w:autoSpaceDN w:val="0"/>
              <w:bidi w:val="0"/>
              <w:adjustRightInd w:val="0"/>
              <w:snapToGrid w:val="0"/>
              <w:spacing w:before="0" w:beforeLines="50"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评标基准价的计算：</w:t>
            </w:r>
          </w:p>
          <w:p w14:paraId="5941E119">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9"/>
                <w:position w:val="11"/>
                <w:sz w:val="24"/>
                <w:szCs w:val="24"/>
                <w:highlight w:val="none"/>
                <w:lang w:eastAsia="zh-CN"/>
                <w14:textFill>
                  <w14:solidFill>
                    <w14:schemeClr w14:val="tx1"/>
                  </w14:solidFill>
                </w14:textFill>
              </w:rPr>
              <w:t>在开标现场，招标人将当场计算并宣布评标基准价。</w:t>
            </w:r>
          </w:p>
          <w:p w14:paraId="4F6573D1">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pacing w:val="6"/>
                <w:sz w:val="24"/>
                <w:szCs w:val="24"/>
                <w:highlight w:val="none"/>
                <w:u w:val="single"/>
                <w:lang w:eastAsia="zh-CN"/>
                <w14:textFill>
                  <w14:solidFill>
                    <w14:schemeClr w14:val="tx1"/>
                  </w14:solidFill>
                </w14:textFill>
              </w:rPr>
            </w:pPr>
            <w:r>
              <w:rPr>
                <w:rFonts w:hint="eastAsia"/>
                <w:b/>
                <w:bCs/>
                <w:color w:val="000000" w:themeColor="text1"/>
                <w:spacing w:val="6"/>
                <w:sz w:val="24"/>
                <w:szCs w:val="24"/>
                <w:highlight w:val="none"/>
                <w:u w:val="single"/>
                <w:lang w:eastAsia="zh-CN"/>
                <w14:textFill>
                  <w14:solidFill>
                    <w14:schemeClr w14:val="tx1"/>
                  </w14:solidFill>
                </w14:textFill>
              </w:rPr>
              <w:t>（1）评标价的确定：</w:t>
            </w:r>
          </w:p>
          <w:p w14:paraId="0218FCCF">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评标价=投标函文字报价</w:t>
            </w:r>
          </w:p>
          <w:p w14:paraId="5FD12B9A">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pacing w:val="6"/>
                <w:sz w:val="24"/>
                <w:szCs w:val="24"/>
                <w:highlight w:val="none"/>
                <w:u w:val="single"/>
                <w:lang w:eastAsia="zh-CN"/>
                <w14:textFill>
                  <w14:solidFill>
                    <w14:schemeClr w14:val="tx1"/>
                  </w14:solidFill>
                </w14:textFill>
              </w:rPr>
            </w:pPr>
            <w:r>
              <w:rPr>
                <w:rFonts w:hint="eastAsia"/>
                <w:b/>
                <w:bCs/>
                <w:color w:val="000000" w:themeColor="text1"/>
                <w:spacing w:val="6"/>
                <w:sz w:val="24"/>
                <w:szCs w:val="24"/>
                <w:highlight w:val="none"/>
                <w:u w:val="single"/>
                <w:lang w:eastAsia="zh-CN"/>
                <w14:textFill>
                  <w14:solidFill>
                    <w14:schemeClr w14:val="tx1"/>
                  </w14:solidFill>
                </w14:textFill>
              </w:rPr>
              <w:t>（2）最高评标限价的确定</w:t>
            </w:r>
          </w:p>
          <w:p w14:paraId="76829074">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1"/>
                <w:sz w:val="24"/>
                <w:szCs w:val="24"/>
                <w:highlight w:val="none"/>
                <w:lang w:eastAsia="zh-CN"/>
                <w14:textFill>
                  <w14:solidFill>
                    <w14:schemeClr w14:val="tx1"/>
                  </w14:solidFill>
                </w14:textFill>
              </w:rPr>
              <w:t>最高</w:t>
            </w:r>
            <w:r>
              <w:rPr>
                <w:rFonts w:hint="eastAsia"/>
                <w:color w:val="000000" w:themeColor="text1"/>
                <w:spacing w:val="12"/>
                <w:sz w:val="24"/>
                <w:szCs w:val="24"/>
                <w:highlight w:val="none"/>
                <w:lang w:eastAsia="zh-CN"/>
                <w14:textFill>
                  <w14:solidFill>
                    <w14:schemeClr w14:val="tx1"/>
                  </w14:solidFill>
                </w14:textFill>
              </w:rPr>
              <w:t>投标限价下浮率在开标前在开标现场采取逐标段</w:t>
            </w:r>
            <w:r>
              <w:rPr>
                <w:rFonts w:hint="eastAsia"/>
                <w:color w:val="000000" w:themeColor="text1"/>
                <w:spacing w:val="11"/>
                <w:sz w:val="24"/>
                <w:szCs w:val="24"/>
                <w:highlight w:val="none"/>
                <w:lang w:eastAsia="zh-CN"/>
                <w14:textFill>
                  <w14:solidFill>
                    <w14:schemeClr w14:val="tx1"/>
                  </w14:solidFill>
                </w14:textFill>
              </w:rPr>
              <w:t>摇珠方式确定。摇</w:t>
            </w:r>
            <w:r>
              <w:rPr>
                <w:rFonts w:hint="eastAsia"/>
                <w:color w:val="000000" w:themeColor="text1"/>
                <w:spacing w:val="5"/>
                <w:sz w:val="24"/>
                <w:szCs w:val="24"/>
                <w:highlight w:val="none"/>
                <w:lang w:eastAsia="zh-CN"/>
                <w14:textFill>
                  <w14:solidFill>
                    <w14:schemeClr w14:val="tx1"/>
                  </w14:solidFill>
                </w14:textFill>
              </w:rPr>
              <w:t>珠操作办法如下：在下浮率（0%-3%）摇珠范围内，以0.1%为一档次增序确定摇珠号码，</w:t>
            </w:r>
            <w:r>
              <w:rPr>
                <w:rFonts w:hint="eastAsia"/>
                <w:color w:val="000000" w:themeColor="text1"/>
                <w:spacing w:val="6"/>
                <w:sz w:val="24"/>
                <w:szCs w:val="24"/>
                <w:highlight w:val="none"/>
                <w:lang w:eastAsia="zh-CN"/>
                <w14:textFill>
                  <w14:solidFill>
                    <w14:schemeClr w14:val="tx1"/>
                  </w14:solidFill>
                </w14:textFill>
              </w:rPr>
              <w:t>不少于31个球，每个标段各一次性摇出3个球（摇出的球不放回</w:t>
            </w:r>
            <w:r>
              <w:rPr>
                <w:rFonts w:hint="eastAsia"/>
                <w:color w:val="000000" w:themeColor="text1"/>
                <w:spacing w:val="21"/>
                <w:sz w:val="24"/>
                <w:szCs w:val="24"/>
                <w:highlight w:val="none"/>
                <w:lang w:eastAsia="zh-CN"/>
                <w14:textFill>
                  <w14:solidFill>
                    <w14:schemeClr w14:val="tx1"/>
                  </w14:solidFill>
                </w14:textFill>
              </w:rPr>
              <w:t>），</w:t>
            </w:r>
            <w:r>
              <w:rPr>
                <w:rFonts w:hint="eastAsia"/>
                <w:color w:val="000000" w:themeColor="text1"/>
                <w:spacing w:val="6"/>
                <w:sz w:val="24"/>
                <w:szCs w:val="24"/>
                <w:highlight w:val="none"/>
                <w:lang w:eastAsia="zh-CN"/>
                <w14:textFill>
                  <w14:solidFill>
                    <w14:schemeClr w14:val="tx1"/>
                  </w14:solidFill>
                </w14:textFill>
              </w:rPr>
              <w:t>摇出3</w:t>
            </w:r>
            <w:r>
              <w:rPr>
                <w:rFonts w:hint="eastAsia"/>
                <w:color w:val="000000" w:themeColor="text1"/>
                <w:spacing w:val="12"/>
                <w:sz w:val="24"/>
                <w:szCs w:val="24"/>
                <w:highlight w:val="none"/>
                <w:lang w:eastAsia="zh-CN"/>
                <w14:textFill>
                  <w14:solidFill>
                    <w14:schemeClr w14:val="tx1"/>
                  </w14:solidFill>
                </w14:textFill>
              </w:rPr>
              <w:t>个球对应的下浮率的平均值即为本标段招标的下浮率。（注</w:t>
            </w:r>
            <w:r>
              <w:rPr>
                <w:rFonts w:hint="eastAsia"/>
                <w:color w:val="000000" w:themeColor="text1"/>
                <w:spacing w:val="11"/>
                <w:sz w:val="24"/>
                <w:szCs w:val="24"/>
                <w:highlight w:val="none"/>
                <w:lang w:eastAsia="zh-CN"/>
                <w14:textFill>
                  <w14:solidFill>
                    <w14:schemeClr w14:val="tx1"/>
                  </w14:solidFill>
                </w14:textFill>
              </w:rPr>
              <w:t>：下浮率摇珠区</w:t>
            </w:r>
            <w:r>
              <w:rPr>
                <w:rFonts w:hint="eastAsia"/>
                <w:color w:val="000000" w:themeColor="text1"/>
                <w:spacing w:val="7"/>
                <w:sz w:val="24"/>
                <w:szCs w:val="24"/>
                <w:highlight w:val="none"/>
                <w:lang w:eastAsia="zh-CN"/>
                <w14:textFill>
                  <w14:solidFill>
                    <w14:schemeClr w14:val="tx1"/>
                  </w14:solidFill>
                </w14:textFill>
              </w:rPr>
              <w:t>间差值以3至5个百分点为宜，三个下浮率的平均值</w:t>
            </w:r>
            <w:r>
              <w:rPr>
                <w:rFonts w:hint="eastAsia"/>
                <w:color w:val="000000" w:themeColor="text1"/>
                <w:spacing w:val="6"/>
                <w:sz w:val="24"/>
                <w:szCs w:val="24"/>
                <w:highlight w:val="none"/>
                <w:lang w:eastAsia="zh-CN"/>
                <w14:textFill>
                  <w14:solidFill>
                    <w14:schemeClr w14:val="tx1"/>
                  </w14:solidFill>
                </w14:textFill>
              </w:rPr>
              <w:t>四舍五入取整到0.001%)</w:t>
            </w:r>
          </w:p>
          <w:p w14:paraId="09ECA65C">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pacing w:val="8"/>
                <w:sz w:val="24"/>
                <w:szCs w:val="24"/>
                <w:highlight w:val="none"/>
                <w:lang w:eastAsia="zh-CN"/>
                <w14:textFill>
                  <w14:solidFill>
                    <w14:schemeClr w14:val="tx1"/>
                  </w14:solidFill>
                </w14:textFill>
              </w:rPr>
            </w:pPr>
            <w:r>
              <w:rPr>
                <w:rFonts w:hint="eastAsia"/>
                <w:b/>
                <w:bCs/>
                <w:color w:val="000000" w:themeColor="text1"/>
                <w:spacing w:val="8"/>
                <w:sz w:val="24"/>
                <w:szCs w:val="24"/>
                <w:highlight w:val="none"/>
                <w:lang w:eastAsia="zh-CN"/>
                <w14:textFill>
                  <w14:solidFill>
                    <w14:schemeClr w14:val="tx1"/>
                  </w14:solidFill>
                </w14:textFill>
              </w:rPr>
              <w:t>最高评标限价＝最高投标限价×（1-下浮率）</w:t>
            </w:r>
          </w:p>
          <w:p w14:paraId="3C003D55">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pacing w:val="7"/>
                <w:sz w:val="24"/>
                <w:szCs w:val="24"/>
                <w:highlight w:val="none"/>
                <w:lang w:eastAsia="zh-CN"/>
                <w14:textFill>
                  <w14:solidFill>
                    <w14:schemeClr w14:val="tx1"/>
                  </w14:solidFill>
                </w14:textFill>
              </w:rPr>
              <w:t>最高投标限价、下浮率有效范围可在投标文件递交截止日15天前</w:t>
            </w:r>
            <w:r>
              <w:rPr>
                <w:rFonts w:hint="eastAsia"/>
                <w:b/>
                <w:bCs/>
                <w:color w:val="000000" w:themeColor="text1"/>
                <w:spacing w:val="6"/>
                <w:sz w:val="24"/>
                <w:szCs w:val="24"/>
                <w:highlight w:val="none"/>
                <w:lang w:eastAsia="zh-CN"/>
                <w14:textFill>
                  <w14:solidFill>
                    <w14:schemeClr w14:val="tx1"/>
                  </w14:solidFill>
                </w14:textFill>
              </w:rPr>
              <w:t>以书面</w:t>
            </w:r>
            <w:r>
              <w:rPr>
                <w:rFonts w:hint="eastAsia"/>
                <w:b/>
                <w:bCs/>
                <w:color w:val="000000" w:themeColor="text1"/>
                <w:spacing w:val="8"/>
                <w:sz w:val="24"/>
                <w:szCs w:val="24"/>
                <w:highlight w:val="none"/>
                <w:lang w:eastAsia="zh-CN"/>
                <w14:textFill>
                  <w14:solidFill>
                    <w14:schemeClr w14:val="tx1"/>
                  </w14:solidFill>
                </w14:textFill>
              </w:rPr>
              <w:t>补遗书的形式通知各投标人。</w:t>
            </w:r>
          </w:p>
          <w:p w14:paraId="703DC0C4">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z w:val="24"/>
                <w:szCs w:val="24"/>
                <w:highlight w:val="none"/>
                <w:u w:val="single"/>
                <w:lang w:eastAsia="zh-CN"/>
                <w14:textFill>
                  <w14:solidFill>
                    <w14:schemeClr w14:val="tx1"/>
                  </w14:solidFill>
                </w14:textFill>
              </w:rPr>
            </w:pPr>
            <w:r>
              <w:rPr>
                <w:rFonts w:hint="eastAsia"/>
                <w:b/>
                <w:bCs/>
                <w:color w:val="000000" w:themeColor="text1"/>
                <w:spacing w:val="6"/>
                <w:sz w:val="24"/>
                <w:szCs w:val="24"/>
                <w:highlight w:val="none"/>
                <w:u w:val="single"/>
                <w:lang w:eastAsia="zh-CN"/>
                <w14:textFill>
                  <w14:solidFill>
                    <w14:schemeClr w14:val="tx1"/>
                  </w14:solidFill>
                </w14:textFill>
              </w:rPr>
              <w:t>（3）有效评标价范围：</w:t>
            </w:r>
          </w:p>
          <w:p w14:paraId="0C1905B5">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2"/>
                <w:sz w:val="24"/>
                <w:szCs w:val="24"/>
                <w:highlight w:val="none"/>
                <w:lang w:eastAsia="zh-CN"/>
                <w14:textFill>
                  <w14:solidFill>
                    <w14:schemeClr w14:val="tx1"/>
                  </w14:solidFill>
                </w14:textFill>
              </w:rPr>
              <w:t>有效评标价范围：不大于最高评标限价的评标价为有效评</w:t>
            </w:r>
            <w:r>
              <w:rPr>
                <w:rFonts w:hint="eastAsia"/>
                <w:color w:val="000000" w:themeColor="text1"/>
                <w:spacing w:val="11"/>
                <w:sz w:val="24"/>
                <w:szCs w:val="24"/>
                <w:highlight w:val="none"/>
                <w:lang w:eastAsia="zh-CN"/>
                <w14:textFill>
                  <w14:solidFill>
                    <w14:schemeClr w14:val="tx1"/>
                  </w14:solidFill>
                </w14:textFill>
              </w:rPr>
              <w:t>标价。</w:t>
            </w:r>
            <w:r>
              <w:rPr>
                <w:rFonts w:hint="eastAsia"/>
                <w:b/>
                <w:bCs/>
                <w:color w:val="000000" w:themeColor="text1"/>
                <w:spacing w:val="11"/>
                <w:sz w:val="24"/>
                <w:szCs w:val="24"/>
                <w:highlight w:val="none"/>
                <w:lang w:eastAsia="zh-CN"/>
                <w14:textFill>
                  <w14:solidFill>
                    <w14:schemeClr w14:val="tx1"/>
                  </w14:solidFill>
                </w14:textFill>
              </w:rPr>
              <w:t>若大于</w:t>
            </w:r>
            <w:r>
              <w:rPr>
                <w:rFonts w:hint="eastAsia"/>
                <w:b/>
                <w:bCs/>
                <w:color w:val="000000" w:themeColor="text1"/>
                <w:spacing w:val="8"/>
                <w:sz w:val="24"/>
                <w:szCs w:val="24"/>
                <w:highlight w:val="none"/>
                <w:lang w:eastAsia="zh-CN"/>
                <w14:textFill>
                  <w14:solidFill>
                    <w14:schemeClr w14:val="tx1"/>
                  </w14:solidFill>
                </w14:textFill>
              </w:rPr>
              <w:t>最高评标限价的评标价，将否决其投标。</w:t>
            </w:r>
          </w:p>
          <w:p w14:paraId="17FE1D09">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pacing w:val="6"/>
                <w:sz w:val="24"/>
                <w:szCs w:val="24"/>
                <w:highlight w:val="none"/>
                <w:u w:val="single"/>
                <w:lang w:eastAsia="zh-CN"/>
                <w14:textFill>
                  <w14:solidFill>
                    <w14:schemeClr w14:val="tx1"/>
                  </w14:solidFill>
                </w14:textFill>
              </w:rPr>
            </w:pPr>
            <w:r>
              <w:rPr>
                <w:rFonts w:hint="eastAsia"/>
                <w:b/>
                <w:bCs/>
                <w:color w:val="000000" w:themeColor="text1"/>
                <w:spacing w:val="6"/>
                <w:sz w:val="24"/>
                <w:szCs w:val="24"/>
                <w:highlight w:val="none"/>
                <w:u w:val="single"/>
                <w:lang w:eastAsia="zh-CN"/>
                <w14:textFill>
                  <w14:solidFill>
                    <w14:schemeClr w14:val="tx1"/>
                  </w14:solidFill>
                </w14:textFill>
              </w:rPr>
              <w:t>（4）确定参与评标基准价计算的评标价平均值计算：</w:t>
            </w:r>
          </w:p>
          <w:p w14:paraId="0AACA316">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6"/>
                <w:sz w:val="24"/>
                <w:szCs w:val="24"/>
                <w:highlight w:val="none"/>
                <w:lang w:eastAsia="zh-CN"/>
                <w14:textFill>
                  <w14:solidFill>
                    <w14:schemeClr w14:val="tx1"/>
                  </w14:solidFill>
                </w14:textFill>
              </w:rPr>
              <w:t>①</w:t>
            </w:r>
            <w:r>
              <w:rPr>
                <w:rFonts w:hint="eastAsia"/>
                <w:color w:val="000000" w:themeColor="text1"/>
                <w:spacing w:val="11"/>
                <w:sz w:val="24"/>
                <w:szCs w:val="24"/>
                <w:highlight w:val="none"/>
                <w:lang w:eastAsia="zh-CN"/>
                <w14:textFill>
                  <w14:solidFill>
                    <w14:schemeClr w14:val="tx1"/>
                  </w14:solidFill>
                </w14:textFill>
              </w:rPr>
              <w:t>参与</w:t>
            </w:r>
            <w:r>
              <w:rPr>
                <w:rFonts w:hint="eastAsia"/>
                <w:color w:val="000000" w:themeColor="text1"/>
                <w:spacing w:val="6"/>
                <w:sz w:val="24"/>
                <w:szCs w:val="24"/>
                <w:highlight w:val="none"/>
                <w:lang w:eastAsia="zh-CN"/>
                <w14:textFill>
                  <w14:solidFill>
                    <w14:schemeClr w14:val="tx1"/>
                  </w14:solidFill>
                </w14:textFill>
              </w:rPr>
              <w:t>评标基准价计算的有效评标价范围：最高评标限价的85%≤参与评标</w:t>
            </w:r>
            <w:r>
              <w:rPr>
                <w:rFonts w:hint="eastAsia"/>
                <w:color w:val="000000" w:themeColor="text1"/>
                <w:spacing w:val="10"/>
                <w:sz w:val="24"/>
                <w:szCs w:val="24"/>
                <w:highlight w:val="none"/>
                <w:lang w:eastAsia="zh-CN"/>
                <w14:textFill>
                  <w14:solidFill>
                    <w14:schemeClr w14:val="tx1"/>
                  </w14:solidFill>
                </w14:textFill>
              </w:rPr>
              <w:t>基准价计算的有效评标价≤最高评标限价的10</w:t>
            </w:r>
            <w:r>
              <w:rPr>
                <w:rFonts w:hint="eastAsia"/>
                <w:color w:val="000000" w:themeColor="text1"/>
                <w:spacing w:val="9"/>
                <w:sz w:val="24"/>
                <w:szCs w:val="24"/>
                <w:highlight w:val="none"/>
                <w:lang w:eastAsia="zh-CN"/>
                <w14:textFill>
                  <w14:solidFill>
                    <w14:schemeClr w14:val="tx1"/>
                  </w14:solidFill>
                </w14:textFill>
              </w:rPr>
              <w:t>0%，小于最高评标限价85%的评标价不参与评标基准价的计算，但仍参与评标价的得分计算。</w:t>
            </w:r>
          </w:p>
          <w:p w14:paraId="1BF93B0B">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pacing w:val="5"/>
                <w:sz w:val="24"/>
                <w:szCs w:val="24"/>
                <w:highlight w:val="none"/>
                <w:lang w:eastAsia="zh-CN"/>
                <w14:textFill>
                  <w14:solidFill>
                    <w14:schemeClr w14:val="tx1"/>
                  </w14:solidFill>
                </w14:textFill>
              </w:rPr>
            </w:pPr>
            <w:r>
              <w:rPr>
                <w:rFonts w:hint="eastAsia"/>
                <w:color w:val="000000" w:themeColor="text1"/>
                <w:spacing w:val="13"/>
                <w:sz w:val="24"/>
                <w:szCs w:val="24"/>
                <w:highlight w:val="none"/>
                <w:lang w:eastAsia="zh-CN"/>
                <w14:textFill>
                  <w14:solidFill>
                    <w14:schemeClr w14:val="tx1"/>
                  </w14:solidFill>
                </w14:textFill>
              </w:rPr>
              <w:t>②参与</w:t>
            </w:r>
            <w:r>
              <w:rPr>
                <w:rFonts w:hint="eastAsia"/>
                <w:color w:val="000000" w:themeColor="text1"/>
                <w:spacing w:val="11"/>
                <w:sz w:val="24"/>
                <w:szCs w:val="24"/>
                <w:highlight w:val="none"/>
                <w:lang w:eastAsia="zh-CN"/>
                <w14:textFill>
                  <w14:solidFill>
                    <w14:schemeClr w14:val="tx1"/>
                  </w14:solidFill>
                </w14:textFill>
              </w:rPr>
              <w:t>评标</w:t>
            </w:r>
            <w:r>
              <w:rPr>
                <w:rFonts w:hint="eastAsia"/>
                <w:color w:val="000000" w:themeColor="text1"/>
                <w:spacing w:val="13"/>
                <w:sz w:val="24"/>
                <w:szCs w:val="24"/>
                <w:highlight w:val="none"/>
                <w:lang w:eastAsia="zh-CN"/>
                <w14:textFill>
                  <w14:solidFill>
                    <w14:schemeClr w14:val="tx1"/>
                  </w14:solidFill>
                </w14:textFill>
              </w:rPr>
              <w:t>基准价计算的有效评标价平均值</w:t>
            </w:r>
            <w:r>
              <w:rPr>
                <w:rFonts w:hint="eastAsia"/>
                <w:color w:val="000000" w:themeColor="text1"/>
                <w:spacing w:val="12"/>
                <w:sz w:val="24"/>
                <w:szCs w:val="24"/>
                <w:highlight w:val="none"/>
                <w:lang w:eastAsia="zh-CN"/>
                <w14:textFill>
                  <w14:solidFill>
                    <w14:schemeClr w14:val="tx1"/>
                  </w14:solidFill>
                </w14:textFill>
              </w:rPr>
              <w:t>：除按第二章“投标人须知”</w:t>
            </w:r>
            <w:r>
              <w:rPr>
                <w:rFonts w:hint="eastAsia"/>
                <w:color w:val="000000" w:themeColor="text1"/>
                <w:spacing w:val="9"/>
                <w:sz w:val="24"/>
                <w:szCs w:val="24"/>
                <w:highlight w:val="none"/>
                <w:lang w:eastAsia="zh-CN"/>
                <w14:textFill>
                  <w14:solidFill>
                    <w14:schemeClr w14:val="tx1"/>
                  </w14:solidFill>
                </w14:textFill>
              </w:rPr>
              <w:t>第5.2.4项规定开标现场被宣布为不进入评标基准价计算的投标报价之外，</w:t>
            </w:r>
            <w:r>
              <w:rPr>
                <w:rFonts w:hint="eastAsia"/>
                <w:color w:val="000000" w:themeColor="text1"/>
                <w:spacing w:val="10"/>
                <w:sz w:val="24"/>
                <w:szCs w:val="24"/>
                <w:highlight w:val="none"/>
                <w:lang w:eastAsia="zh-CN"/>
                <w14:textFill>
                  <w14:solidFill>
                    <w14:schemeClr w14:val="tx1"/>
                  </w14:solidFill>
                </w14:textFill>
              </w:rPr>
              <w:t>在上述确定的参与评标基准价计算的评标价中</w:t>
            </w:r>
            <w:r>
              <w:rPr>
                <w:rFonts w:hint="eastAsia"/>
                <w:b/>
                <w:bCs/>
                <w:color w:val="000000" w:themeColor="text1"/>
                <w:spacing w:val="10"/>
                <w:sz w:val="24"/>
                <w:szCs w:val="24"/>
                <w:highlight w:val="none"/>
                <w:lang w:eastAsia="zh-CN"/>
                <w14:textFill>
                  <w14:solidFill>
                    <w14:schemeClr w14:val="tx1"/>
                  </w14:solidFill>
                </w14:textFill>
              </w:rPr>
              <w:t>去掉一个最高值和一个最低值</w:t>
            </w:r>
            <w:r>
              <w:rPr>
                <w:rFonts w:hint="eastAsia"/>
                <w:b/>
                <w:bCs/>
                <w:color w:val="000000" w:themeColor="text1"/>
                <w:spacing w:val="13"/>
                <w:sz w:val="24"/>
                <w:szCs w:val="24"/>
                <w:highlight w:val="none"/>
                <w:lang w:eastAsia="zh-CN"/>
                <w14:textFill>
                  <w14:solidFill>
                    <w14:schemeClr w14:val="tx1"/>
                  </w14:solidFill>
                </w14:textFill>
              </w:rPr>
              <w:t>后</w:t>
            </w:r>
            <w:r>
              <w:rPr>
                <w:rFonts w:hint="eastAsia"/>
                <w:color w:val="000000" w:themeColor="text1"/>
                <w:spacing w:val="13"/>
                <w:sz w:val="24"/>
                <w:szCs w:val="24"/>
                <w:highlight w:val="none"/>
                <w:lang w:eastAsia="zh-CN"/>
                <w14:textFill>
                  <w14:solidFill>
                    <w14:schemeClr w14:val="tx1"/>
                  </w14:solidFill>
                </w14:textFill>
              </w:rPr>
              <w:t>的算术平均值即为参与评标基准价计算的有效评标价平均值(如果参与评</w:t>
            </w:r>
            <w:r>
              <w:rPr>
                <w:rFonts w:hint="eastAsia"/>
                <w:color w:val="000000" w:themeColor="text1"/>
                <w:spacing w:val="9"/>
                <w:sz w:val="24"/>
                <w:szCs w:val="24"/>
                <w:highlight w:val="none"/>
                <w:lang w:eastAsia="zh-CN"/>
                <w14:textFill>
                  <w14:solidFill>
                    <w14:schemeClr w14:val="tx1"/>
                  </w14:solidFill>
                </w14:textFill>
              </w:rPr>
              <w:t>标价平均值计算的有效投标人少于5家时，则计算上述平均值时不去掉最高</w:t>
            </w:r>
            <w:r>
              <w:rPr>
                <w:rFonts w:hint="eastAsia"/>
                <w:color w:val="000000" w:themeColor="text1"/>
                <w:spacing w:val="5"/>
                <w:sz w:val="24"/>
                <w:szCs w:val="24"/>
                <w:highlight w:val="none"/>
                <w:lang w:eastAsia="zh-CN"/>
                <w14:textFill>
                  <w14:solidFill>
                    <w14:schemeClr w14:val="tx1"/>
                  </w14:solidFill>
                </w14:textFill>
              </w:rPr>
              <w:t>值和最低值)；</w:t>
            </w:r>
          </w:p>
          <w:p w14:paraId="0C06246D">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pacing w:val="8"/>
                <w:sz w:val="24"/>
                <w:szCs w:val="24"/>
                <w:highlight w:val="none"/>
                <w:lang w:eastAsia="zh-CN"/>
                <w14:textFill>
                  <w14:solidFill>
                    <w14:schemeClr w14:val="tx1"/>
                  </w14:solidFill>
                </w14:textFill>
              </w:rPr>
            </w:pPr>
            <w:r>
              <w:rPr>
                <w:rFonts w:hint="eastAsia"/>
                <w:color w:val="000000" w:themeColor="text1"/>
                <w:spacing w:val="8"/>
                <w:sz w:val="24"/>
                <w:szCs w:val="24"/>
                <w:highlight w:val="none"/>
                <w:lang w:eastAsia="zh-CN"/>
                <w14:textFill>
                  <w14:solidFill>
                    <w14:schemeClr w14:val="tx1"/>
                  </w14:solidFill>
                </w14:textFill>
              </w:rPr>
              <w:t>若投标人的评标价均小于最高评标限价的85%时，则以最高评标限价的85%为评标基准价，同时可对评标价小于最高评标限价的85％的启动澄清程</w:t>
            </w:r>
            <w:r>
              <w:rPr>
                <w:rFonts w:hint="eastAsia"/>
                <w:color w:val="000000" w:themeColor="text1"/>
                <w:spacing w:val="10"/>
                <w:sz w:val="24"/>
                <w:szCs w:val="24"/>
                <w:highlight w:val="none"/>
                <w:lang w:eastAsia="zh-CN"/>
                <w14:textFill>
                  <w14:solidFill>
                    <w14:schemeClr w14:val="tx1"/>
                  </w14:solidFill>
                </w14:textFill>
              </w:rPr>
              <w:t>序，要求投标人作出书面说明并提供相关证明材料。</w:t>
            </w:r>
            <w:r>
              <w:rPr>
                <w:rFonts w:hint="eastAsia"/>
                <w:color w:val="000000" w:themeColor="text1"/>
                <w:spacing w:val="9"/>
                <w:sz w:val="24"/>
                <w:szCs w:val="24"/>
                <w:highlight w:val="none"/>
                <w:lang w:eastAsia="zh-CN"/>
                <w14:textFill>
                  <w14:solidFill>
                    <w14:schemeClr w14:val="tx1"/>
                  </w14:solidFill>
                </w14:textFill>
              </w:rPr>
              <w:t>投标人不能合理说明或</w:t>
            </w:r>
            <w:r>
              <w:rPr>
                <w:rFonts w:hint="eastAsia"/>
                <w:color w:val="000000" w:themeColor="text1"/>
                <w:spacing w:val="7"/>
                <w:sz w:val="24"/>
                <w:szCs w:val="24"/>
                <w:highlight w:val="none"/>
                <w:lang w:eastAsia="zh-CN"/>
                <w14:textFill>
                  <w14:solidFill>
                    <w14:schemeClr w14:val="tx1"/>
                  </w14:solidFill>
                </w14:textFill>
              </w:rPr>
              <w:t>者不能提供相关证明资料的，评标委员会认定该投标人以低于成本报价竞标，</w:t>
            </w:r>
            <w:r>
              <w:rPr>
                <w:rFonts w:hint="eastAsia"/>
                <w:b/>
                <w:bCs/>
                <w:color w:val="000000" w:themeColor="text1"/>
                <w:spacing w:val="10"/>
                <w:sz w:val="24"/>
                <w:szCs w:val="24"/>
                <w:highlight w:val="none"/>
                <w:lang w:eastAsia="zh-CN"/>
                <w14:textFill>
                  <w14:solidFill>
                    <w14:schemeClr w14:val="tx1"/>
                  </w14:solidFill>
                </w14:textFill>
              </w:rPr>
              <w:t>否决其投标。</w:t>
            </w:r>
            <w:r>
              <w:rPr>
                <w:rFonts w:hint="eastAsia"/>
                <w:color w:val="000000" w:themeColor="text1"/>
                <w:spacing w:val="10"/>
                <w:sz w:val="24"/>
                <w:szCs w:val="24"/>
                <w:highlight w:val="none"/>
                <w:lang w:eastAsia="zh-CN"/>
                <w14:textFill>
                  <w14:solidFill>
                    <w14:schemeClr w14:val="tx1"/>
                  </w14:solidFill>
                </w14:textFill>
              </w:rPr>
              <w:t>当所有投标人的投标因此种情况被否决</w:t>
            </w:r>
            <w:r>
              <w:rPr>
                <w:rFonts w:hint="eastAsia"/>
                <w:color w:val="000000" w:themeColor="text1"/>
                <w:spacing w:val="9"/>
                <w:sz w:val="24"/>
                <w:szCs w:val="24"/>
                <w:highlight w:val="none"/>
                <w:lang w:eastAsia="zh-CN"/>
                <w14:textFill>
                  <w14:solidFill>
                    <w14:schemeClr w14:val="tx1"/>
                  </w14:solidFill>
                </w14:textFill>
              </w:rPr>
              <w:t>；或当因此种情况被否</w:t>
            </w:r>
            <w:r>
              <w:rPr>
                <w:rFonts w:hint="eastAsia"/>
                <w:color w:val="000000" w:themeColor="text1"/>
                <w:spacing w:val="10"/>
                <w:sz w:val="24"/>
                <w:szCs w:val="24"/>
                <w:highlight w:val="none"/>
                <w:lang w:eastAsia="zh-CN"/>
                <w14:textFill>
                  <w14:solidFill>
                    <w14:schemeClr w14:val="tx1"/>
                  </w14:solidFill>
                </w14:textFill>
              </w:rPr>
              <w:t>决部分投标人后，有效投标人不足三家，评标委员会</w:t>
            </w:r>
            <w:r>
              <w:rPr>
                <w:rFonts w:hint="eastAsia"/>
                <w:color w:val="000000" w:themeColor="text1"/>
                <w:spacing w:val="9"/>
                <w:sz w:val="24"/>
                <w:szCs w:val="24"/>
                <w:highlight w:val="none"/>
                <w:lang w:eastAsia="zh-CN"/>
                <w14:textFill>
                  <w14:solidFill>
                    <w14:schemeClr w14:val="tx1"/>
                  </w14:solidFill>
                </w14:textFill>
              </w:rPr>
              <w:t>认为竞争不足的情况出</w:t>
            </w:r>
            <w:r>
              <w:rPr>
                <w:rFonts w:hint="eastAsia"/>
                <w:color w:val="000000" w:themeColor="text1"/>
                <w:spacing w:val="10"/>
                <w:sz w:val="24"/>
                <w:szCs w:val="24"/>
                <w:highlight w:val="none"/>
                <w:lang w:eastAsia="zh-CN"/>
                <w14:textFill>
                  <w14:solidFill>
                    <w14:schemeClr w14:val="tx1"/>
                  </w14:solidFill>
                </w14:textFill>
              </w:rPr>
              <w:t>现时，评标委员会可以否决全部投标。未否决全部投</w:t>
            </w:r>
            <w:r>
              <w:rPr>
                <w:rFonts w:hint="eastAsia"/>
                <w:color w:val="000000" w:themeColor="text1"/>
                <w:spacing w:val="9"/>
                <w:sz w:val="24"/>
                <w:szCs w:val="24"/>
                <w:highlight w:val="none"/>
                <w:lang w:eastAsia="zh-CN"/>
                <w14:textFill>
                  <w14:solidFill>
                    <w14:schemeClr w14:val="tx1"/>
                  </w14:solidFill>
                </w14:textFill>
              </w:rPr>
              <w:t>标的，评标委员会应当</w:t>
            </w:r>
            <w:r>
              <w:rPr>
                <w:rFonts w:hint="eastAsia"/>
                <w:color w:val="000000" w:themeColor="text1"/>
                <w:spacing w:val="8"/>
                <w:sz w:val="24"/>
                <w:szCs w:val="24"/>
                <w:highlight w:val="none"/>
                <w:lang w:eastAsia="zh-CN"/>
                <w14:textFill>
                  <w14:solidFill>
                    <w14:schemeClr w14:val="tx1"/>
                  </w14:solidFill>
                </w14:textFill>
              </w:rPr>
              <w:t>在评标报告中阐明理由并推荐中标候选人。</w:t>
            </w:r>
          </w:p>
          <w:p w14:paraId="62B02850">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1"/>
                <w:sz w:val="24"/>
                <w:szCs w:val="24"/>
                <w:highlight w:val="none"/>
                <w:lang w:eastAsia="zh-CN"/>
                <w14:textFill>
                  <w14:solidFill>
                    <w14:schemeClr w14:val="tx1"/>
                  </w14:solidFill>
                </w14:textFill>
              </w:rPr>
              <w:t>即使某投标文件第二个信封未通过形式评审与响应性评审，如其报价处</w:t>
            </w:r>
            <w:r>
              <w:rPr>
                <w:rFonts w:hint="eastAsia"/>
                <w:color w:val="000000" w:themeColor="text1"/>
                <w:spacing w:val="12"/>
                <w:sz w:val="24"/>
                <w:szCs w:val="24"/>
                <w:highlight w:val="none"/>
                <w:lang w:eastAsia="zh-CN"/>
                <w14:textFill>
                  <w14:solidFill>
                    <w14:schemeClr w14:val="tx1"/>
                  </w14:solidFill>
                </w14:textFill>
              </w:rPr>
              <w:t>于参与评标基准价计算的有效评标价的范围内，其</w:t>
            </w:r>
            <w:r>
              <w:rPr>
                <w:rFonts w:hint="eastAsia"/>
                <w:color w:val="000000" w:themeColor="text1"/>
                <w:spacing w:val="11"/>
                <w:sz w:val="24"/>
                <w:szCs w:val="24"/>
                <w:highlight w:val="none"/>
                <w:lang w:eastAsia="zh-CN"/>
                <w14:textFill>
                  <w14:solidFill>
                    <w14:schemeClr w14:val="tx1"/>
                  </w14:solidFill>
                </w14:textFill>
              </w:rPr>
              <w:t>评标价仍应参与有效评标</w:t>
            </w:r>
            <w:r>
              <w:rPr>
                <w:rFonts w:hint="eastAsia"/>
                <w:color w:val="000000" w:themeColor="text1"/>
                <w:spacing w:val="7"/>
                <w:sz w:val="24"/>
                <w:szCs w:val="24"/>
                <w:highlight w:val="none"/>
                <w:lang w:eastAsia="zh-CN"/>
                <w14:textFill>
                  <w14:solidFill>
                    <w14:schemeClr w14:val="tx1"/>
                  </w14:solidFill>
                </w14:textFill>
              </w:rPr>
              <w:t>价平均值的计算。</w:t>
            </w:r>
          </w:p>
          <w:p w14:paraId="1B07602E">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b/>
                <w:bCs/>
                <w:color w:val="000000" w:themeColor="text1"/>
                <w:spacing w:val="6"/>
                <w:sz w:val="24"/>
                <w:szCs w:val="24"/>
                <w:highlight w:val="none"/>
                <w:u w:val="single"/>
                <w:lang w:eastAsia="zh-CN"/>
                <w14:textFill>
                  <w14:solidFill>
                    <w14:schemeClr w14:val="tx1"/>
                  </w14:solidFill>
                </w14:textFill>
              </w:rPr>
            </w:pPr>
            <w:r>
              <w:rPr>
                <w:rFonts w:hint="eastAsia"/>
                <w:b/>
                <w:bCs/>
                <w:color w:val="000000" w:themeColor="text1"/>
                <w:spacing w:val="6"/>
                <w:sz w:val="24"/>
                <w:szCs w:val="24"/>
                <w:highlight w:val="none"/>
                <w:u w:val="single"/>
                <w:lang w:eastAsia="zh-CN"/>
                <w14:textFill>
                  <w14:solidFill>
                    <w14:schemeClr w14:val="tx1"/>
                  </w14:solidFill>
                </w14:textFill>
              </w:rPr>
              <w:t>(5)评标基准价P的确定：</w:t>
            </w:r>
          </w:p>
          <w:p w14:paraId="05017365">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11"/>
                <w:sz w:val="24"/>
                <w:szCs w:val="24"/>
                <w:highlight w:val="none"/>
                <w:lang w:eastAsia="zh-CN"/>
                <w14:textFill>
                  <w14:solidFill>
                    <w14:schemeClr w14:val="tx1"/>
                  </w14:solidFill>
                </w14:textFill>
              </w:rPr>
              <w:t>方法</w:t>
            </w:r>
            <w:r>
              <w:rPr>
                <w:rFonts w:hint="eastAsia"/>
                <w:color w:val="000000" w:themeColor="text1"/>
                <w:spacing w:val="7"/>
                <w:sz w:val="24"/>
                <w:szCs w:val="24"/>
                <w:highlight w:val="none"/>
                <w:lang w:eastAsia="zh-CN"/>
                <w14:textFill>
                  <w14:solidFill>
                    <w14:schemeClr w14:val="tx1"/>
                  </w14:solidFill>
                </w14:textFill>
              </w:rPr>
              <w:t>：P=M×最高评标限价+N×参与评标基准价计算的有效评标价的平均值；其中M=0.8，N=0.2。</w:t>
            </w:r>
          </w:p>
          <w:p w14:paraId="63ECE18F">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p w14:paraId="11960790">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0" w:firstLineChars="0"/>
              <w:textAlignment w:val="baseline"/>
              <w:rPr>
                <w:rFonts w:hint="eastAsia"/>
                <w:color w:val="000000" w:themeColor="text1"/>
                <w:spacing w:val="9"/>
                <w:sz w:val="24"/>
                <w:szCs w:val="24"/>
                <w:highlight w:val="none"/>
                <w:lang w:eastAsia="zh-CN"/>
                <w14:textFill>
                  <w14:solidFill>
                    <w14:schemeClr w14:val="tx1"/>
                  </w14:solidFill>
                </w14:textFill>
              </w:rPr>
            </w:pPr>
            <w:r>
              <w:rPr>
                <w:rFonts w:hint="eastAsia"/>
                <w:b/>
                <w:bCs/>
                <w:color w:val="000000" w:themeColor="text1"/>
                <w:spacing w:val="7"/>
                <w:sz w:val="24"/>
                <w:szCs w:val="24"/>
                <w:highlight w:val="none"/>
                <w:lang w:eastAsia="zh-CN"/>
                <w14:textFill>
                  <w14:solidFill>
                    <w14:schemeClr w14:val="tx1"/>
                  </w14:solidFill>
                </w14:textFill>
              </w:rPr>
              <w:t>备注：最高评标限价、评标基准价四舍五入至个位整数</w:t>
            </w:r>
            <w:r>
              <w:rPr>
                <w:rFonts w:hint="eastAsia"/>
                <w:color w:val="000000" w:themeColor="text1"/>
                <w:spacing w:val="7"/>
                <w:sz w:val="24"/>
                <w:szCs w:val="24"/>
                <w:highlight w:val="none"/>
                <w:lang w:eastAsia="zh-CN"/>
                <w14:textFill>
                  <w14:solidFill>
                    <w14:schemeClr w14:val="tx1"/>
                  </w14:solidFill>
                </w14:textFill>
              </w:rPr>
              <w:t>。</w:t>
            </w:r>
          </w:p>
        </w:tc>
      </w:tr>
      <w:tr w14:paraId="52D66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2" w:type="dxa"/>
            <w:vAlign w:val="center"/>
          </w:tcPr>
          <w:p w14:paraId="5B0ABF6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color w:val="000000" w:themeColor="text1"/>
                <w:spacing w:val="-3"/>
                <w:sz w:val="24"/>
                <w:szCs w:val="24"/>
                <w:highlight w:val="none"/>
                <w14:textFill>
                  <w14:solidFill>
                    <w14:schemeClr w14:val="tx1"/>
                  </w14:solidFill>
                </w14:textFill>
              </w:rPr>
            </w:pPr>
            <w:r>
              <w:rPr>
                <w:rFonts w:hint="eastAsia"/>
                <w:color w:val="000000" w:themeColor="text1"/>
                <w:spacing w:val="2"/>
                <w:sz w:val="24"/>
                <w:szCs w:val="24"/>
                <w:highlight w:val="none"/>
                <w14:textFill>
                  <w14:solidFill>
                    <w14:schemeClr w14:val="tx1"/>
                  </w14:solidFill>
                </w14:textFill>
              </w:rPr>
              <w:t>2.2.3</w:t>
            </w:r>
          </w:p>
        </w:tc>
        <w:tc>
          <w:tcPr>
            <w:tcW w:w="1227" w:type="dxa"/>
            <w:vAlign w:val="center"/>
          </w:tcPr>
          <w:p w14:paraId="465EBB0C">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评标价的偏差率计算公式</w:t>
            </w:r>
          </w:p>
        </w:tc>
        <w:tc>
          <w:tcPr>
            <w:tcW w:w="7146" w:type="dxa"/>
            <w:vAlign w:val="center"/>
          </w:tcPr>
          <w:p w14:paraId="3B3A9E4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firstLine="0" w:firstLineChars="0"/>
              <w:textAlignment w:val="baseline"/>
              <w:rPr>
                <w:rFonts w:hint="eastAsia"/>
                <w:color w:val="000000" w:themeColor="text1"/>
                <w:spacing w:val="7"/>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偏差率=100%×(投标人评标价－评标基准价)/评标基准价</w:t>
            </w:r>
          </w:p>
        </w:tc>
      </w:tr>
    </w:tbl>
    <w:p w14:paraId="064F65B1">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pPr>
    </w:p>
    <w:p w14:paraId="55D6F77F">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sectPr>
          <w:headerReference r:id="rId7" w:type="default"/>
          <w:footerReference r:id="rId8" w:type="default"/>
          <w:pgSz w:w="11900" w:h="16840"/>
          <w:pgMar w:top="947" w:right="1121" w:bottom="1084" w:left="1408" w:header="707" w:footer="921" w:gutter="0"/>
          <w:pgNumType w:fmt="numberInDash"/>
          <w:cols w:space="720" w:num="1"/>
        </w:sectPr>
      </w:pPr>
    </w:p>
    <w:p w14:paraId="32E1AC43">
      <w:pPr>
        <w:pageBreakBefore w:val="0"/>
        <w:wordWrap/>
        <w:overflowPunct/>
        <w:bidi w:val="0"/>
        <w:spacing w:before="229"/>
        <w:rPr>
          <w:rFonts w:hint="eastAsia" w:ascii="宋体" w:hAnsi="宋体" w:eastAsia="宋体" w:cs="宋体"/>
          <w:color w:val="000000" w:themeColor="text1"/>
          <w:highlight w:val="none"/>
          <w:lang w:eastAsia="zh-CN"/>
          <w14:textFill>
            <w14:solidFill>
              <w14:schemeClr w14:val="tx1"/>
            </w14:solidFill>
          </w14:textFill>
        </w:rPr>
      </w:pPr>
    </w:p>
    <w:tbl>
      <w:tblPr>
        <w:tblStyle w:val="12"/>
        <w:tblW w:w="93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764"/>
        <w:gridCol w:w="660"/>
        <w:gridCol w:w="1035"/>
        <w:gridCol w:w="750"/>
        <w:gridCol w:w="5371"/>
      </w:tblGrid>
      <w:tr w14:paraId="04EB3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025" w:type="dxa"/>
            <w:gridSpan w:val="5"/>
            <w:shd w:val="clear" w:color="auto" w:fill="D7D7D7" w:themeFill="background1" w:themeFillShade="D8"/>
            <w:vAlign w:val="center"/>
          </w:tcPr>
          <w:p w14:paraId="169A5A1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9"/>
                <w:sz w:val="24"/>
                <w:szCs w:val="24"/>
                <w:highlight w:val="none"/>
                <w14:textFill>
                  <w14:solidFill>
                    <w14:schemeClr w14:val="tx1"/>
                  </w14:solidFill>
                </w14:textFill>
              </w:rPr>
              <w:t>评分因素与权重分值</w:t>
            </w:r>
          </w:p>
        </w:tc>
        <w:tc>
          <w:tcPr>
            <w:tcW w:w="5371" w:type="dxa"/>
            <w:vMerge w:val="restart"/>
            <w:tcBorders>
              <w:bottom w:val="nil"/>
            </w:tcBorders>
            <w:shd w:val="clear" w:color="auto" w:fill="D7D7D7" w:themeFill="background1" w:themeFillShade="D8"/>
            <w:vAlign w:val="center"/>
          </w:tcPr>
          <w:p w14:paraId="3A7FC0DC">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jc w:val="center"/>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评分标准</w:t>
            </w:r>
          </w:p>
        </w:tc>
      </w:tr>
      <w:tr w14:paraId="6818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shd w:val="clear" w:color="auto" w:fill="D7D7D7" w:themeFill="background1" w:themeFillShade="D8"/>
            <w:vAlign w:val="center"/>
          </w:tcPr>
          <w:p w14:paraId="4DD19C2B">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条款号</w:t>
            </w:r>
          </w:p>
        </w:tc>
        <w:tc>
          <w:tcPr>
            <w:tcW w:w="764" w:type="dxa"/>
            <w:shd w:val="clear" w:color="auto" w:fill="D7D7D7" w:themeFill="background1" w:themeFillShade="D8"/>
            <w:vAlign w:val="center"/>
          </w:tcPr>
          <w:p w14:paraId="7D61003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7"/>
                <w:sz w:val="24"/>
                <w:szCs w:val="24"/>
                <w:highlight w:val="none"/>
                <w14:textFill>
                  <w14:solidFill>
                    <w14:schemeClr w14:val="tx1"/>
                  </w14:solidFill>
                </w14:textFill>
              </w:rPr>
              <w:t>评分因素</w:t>
            </w:r>
          </w:p>
        </w:tc>
        <w:tc>
          <w:tcPr>
            <w:tcW w:w="660" w:type="dxa"/>
            <w:shd w:val="clear" w:color="auto" w:fill="D7D7D7" w:themeFill="background1" w:themeFillShade="D8"/>
            <w:vAlign w:val="center"/>
          </w:tcPr>
          <w:p w14:paraId="0D528C6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7"/>
                <w:sz w:val="24"/>
                <w:szCs w:val="24"/>
                <w:highlight w:val="none"/>
                <w14:textFill>
                  <w14:solidFill>
                    <w14:schemeClr w14:val="tx1"/>
                  </w14:solidFill>
                </w14:textFill>
              </w:rPr>
              <w:t>评分因</w:t>
            </w:r>
            <w:r>
              <w:rPr>
                <w:rFonts w:hint="eastAsia" w:ascii="宋体" w:hAnsi="宋体" w:eastAsia="宋体" w:cs="宋体"/>
                <w:b/>
                <w:bCs/>
                <w:color w:val="000000" w:themeColor="text1"/>
                <w:spacing w:val="6"/>
                <w:sz w:val="24"/>
                <w:szCs w:val="24"/>
                <w:highlight w:val="none"/>
                <w14:textFill>
                  <w14:solidFill>
                    <w14:schemeClr w14:val="tx1"/>
                  </w14:solidFill>
                </w14:textFill>
              </w:rPr>
              <w:t>素权重</w:t>
            </w:r>
            <w:r>
              <w:rPr>
                <w:rFonts w:hint="eastAsia" w:ascii="宋体" w:hAnsi="宋体" w:eastAsia="宋体" w:cs="宋体"/>
                <w:b/>
                <w:bCs/>
                <w:color w:val="000000" w:themeColor="text1"/>
                <w:spacing w:val="3"/>
                <w:sz w:val="24"/>
                <w:szCs w:val="24"/>
                <w:highlight w:val="none"/>
                <w14:textFill>
                  <w14:solidFill>
                    <w14:schemeClr w14:val="tx1"/>
                  </w14:solidFill>
                </w14:textFill>
              </w:rPr>
              <w:t>分值</w:t>
            </w:r>
          </w:p>
        </w:tc>
        <w:tc>
          <w:tcPr>
            <w:tcW w:w="1035" w:type="dxa"/>
            <w:shd w:val="clear" w:color="auto" w:fill="D7D7D7" w:themeFill="background1" w:themeFillShade="D8"/>
            <w:vAlign w:val="center"/>
          </w:tcPr>
          <w:p w14:paraId="32E15BC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8"/>
                <w:sz w:val="24"/>
                <w:szCs w:val="24"/>
                <w:highlight w:val="none"/>
                <w14:textFill>
                  <w14:solidFill>
                    <w14:schemeClr w14:val="tx1"/>
                  </w14:solidFill>
                </w14:textFill>
              </w:rPr>
              <w:t>各评分因素细分项</w:t>
            </w:r>
          </w:p>
        </w:tc>
        <w:tc>
          <w:tcPr>
            <w:tcW w:w="750" w:type="dxa"/>
            <w:shd w:val="clear" w:color="auto" w:fill="D7D7D7" w:themeFill="background1" w:themeFillShade="D8"/>
            <w:vAlign w:val="center"/>
          </w:tcPr>
          <w:p w14:paraId="0A8BC88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14:textFill>
                  <w14:solidFill>
                    <w14:schemeClr w14:val="tx1"/>
                  </w14:solidFill>
                </w14:textFill>
              </w:rPr>
              <w:t>分值</w:t>
            </w:r>
          </w:p>
        </w:tc>
        <w:tc>
          <w:tcPr>
            <w:tcW w:w="5371" w:type="dxa"/>
            <w:vMerge w:val="continue"/>
            <w:tcBorders>
              <w:top w:val="nil"/>
            </w:tcBorders>
            <w:vAlign w:val="center"/>
          </w:tcPr>
          <w:p w14:paraId="2F97A819">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6C1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restart"/>
            <w:vAlign w:val="center"/>
          </w:tcPr>
          <w:p w14:paraId="12C5BC3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2.2.4(1)</w:t>
            </w:r>
          </w:p>
        </w:tc>
        <w:tc>
          <w:tcPr>
            <w:tcW w:w="764" w:type="dxa"/>
            <w:vMerge w:val="restart"/>
            <w:vAlign w:val="center"/>
          </w:tcPr>
          <w:p w14:paraId="46D22EF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施工组织设计</w:t>
            </w:r>
          </w:p>
        </w:tc>
        <w:tc>
          <w:tcPr>
            <w:tcW w:w="660" w:type="dxa"/>
            <w:vMerge w:val="restart"/>
            <w:vAlign w:val="center"/>
          </w:tcPr>
          <w:p w14:paraId="0861BC24">
            <w:pPr>
              <w:pStyle w:val="11"/>
              <w:keepNext w:val="0"/>
              <w:keepLines w:val="0"/>
              <w:pageBreakBefore w:val="0"/>
              <w:widowControl/>
              <w:tabs>
                <w:tab w:val="left" w:pos="499"/>
              </w:tabs>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5" w:type="dxa"/>
            <w:vAlign w:val="center"/>
          </w:tcPr>
          <w:p w14:paraId="287B59D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船舶机械配备及进</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场计划</w:t>
            </w:r>
          </w:p>
        </w:tc>
        <w:tc>
          <w:tcPr>
            <w:tcW w:w="750" w:type="dxa"/>
            <w:vAlign w:val="center"/>
          </w:tcPr>
          <w:p w14:paraId="1F325FC1">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6A903000">
            <w:pPr>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设备配置数量足、合理，主要设备落实与进度吻合得（0.45,0.5]分；</w:t>
            </w:r>
          </w:p>
          <w:p w14:paraId="388E5561">
            <w:pPr>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设备配置数量足、基本合理，主要设备落实与进度基本吻合得（0.4，0.45]分；</w:t>
            </w:r>
          </w:p>
          <w:p w14:paraId="476E3ADC">
            <w:pPr>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设备配置不足、欠合理，主要设备基本落实与进度欠吻合得[0.3，0.4]分；</w:t>
            </w:r>
          </w:p>
          <w:p w14:paraId="6AD4F4D8">
            <w:pPr>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未提供机械设备及进场计划的，得0分。</w:t>
            </w:r>
          </w:p>
        </w:tc>
      </w:tr>
      <w:tr w14:paraId="057B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5755A73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0BFC346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657259CF">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6EEC3B9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施工场地布置</w:t>
            </w:r>
          </w:p>
        </w:tc>
        <w:tc>
          <w:tcPr>
            <w:tcW w:w="750" w:type="dxa"/>
            <w:vAlign w:val="center"/>
          </w:tcPr>
          <w:p w14:paraId="77B7883D">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56F291C2">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可行、布置合理、具体得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0.4</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w:t>
            </w:r>
          </w:p>
          <w:p w14:paraId="32CE9439">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可行、布置基本合理、具体得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0.4</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3A1912E4">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布置欠合理、不够具体得[0.3，0.4]分；</w:t>
            </w:r>
          </w:p>
          <w:p w14:paraId="6EF699E7">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未提供施工场地布置计划的，得0分。</w:t>
            </w:r>
          </w:p>
        </w:tc>
      </w:tr>
      <w:tr w14:paraId="2AC4F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6295DBB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2A1B9B5B">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0023C6A8">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7788D14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施工工艺流程</w:t>
            </w:r>
          </w:p>
        </w:tc>
        <w:tc>
          <w:tcPr>
            <w:tcW w:w="750" w:type="dxa"/>
            <w:vAlign w:val="center"/>
          </w:tcPr>
          <w:p w14:paraId="56D17E1D">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3DE0075C">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可行、可靠、先进、合理得（0.45，0.5]分；</w:t>
            </w:r>
          </w:p>
          <w:p w14:paraId="568732AE">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基本可行、可靠得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0.4</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1BB02A62">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欠可行、欠可靠得[0.3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56BE07">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未提供施工工艺流程的，得0分。</w:t>
            </w:r>
          </w:p>
        </w:tc>
      </w:tr>
      <w:tr w14:paraId="2C0D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613FAB2B">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6296688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3F3445E7">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536A805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施工进度计划</w:t>
            </w:r>
          </w:p>
        </w:tc>
        <w:tc>
          <w:tcPr>
            <w:tcW w:w="750" w:type="dxa"/>
            <w:vAlign w:val="center"/>
          </w:tcPr>
          <w:p w14:paraId="37CB5AA2">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0F60D371">
            <w:pPr>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工期合理，进度计划可行、合理、先进，保证措施具体得（0.45,0.5]分；</w:t>
            </w:r>
          </w:p>
          <w:p w14:paraId="109C60AF">
            <w:pPr>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工期基本合理，进度计划基本可行、合理、有保证措施得（0.4，0.45]分；</w:t>
            </w:r>
          </w:p>
          <w:p w14:paraId="5A35C9C0">
            <w:pPr>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工期欠合理，进度计划欠合理、保证措施一般得[0.3，0.4]分；</w:t>
            </w:r>
          </w:p>
          <w:p w14:paraId="5C89C315">
            <w:pPr>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未提供施工进度计划的，得0分。</w:t>
            </w:r>
          </w:p>
        </w:tc>
      </w:tr>
      <w:tr w14:paraId="3B8D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2E059BEF">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283BED14">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1E02D62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6DDE97B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材料供应和检验</w:t>
            </w:r>
          </w:p>
        </w:tc>
        <w:tc>
          <w:tcPr>
            <w:tcW w:w="750" w:type="dxa"/>
            <w:vAlign w:val="center"/>
          </w:tcPr>
          <w:p w14:paraId="0F6F49DC">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3B71327F">
            <w:pPr>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材料进场和检验与进度吻合得（0.45，0.5]分；</w:t>
            </w:r>
          </w:p>
          <w:p w14:paraId="00AB071C">
            <w:pPr>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材料进场和检验与进度基本吻合得（0.4，0.45]分；</w:t>
            </w:r>
          </w:p>
          <w:p w14:paraId="3C3C6FE6">
            <w:pPr>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材料进场和检验与进度欠吻合得[0.3，0.4]分；</w:t>
            </w:r>
          </w:p>
          <w:p w14:paraId="759DA345">
            <w:pPr>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未提供材料供应和检验计划的，得0分。</w:t>
            </w:r>
          </w:p>
        </w:tc>
      </w:tr>
      <w:tr w14:paraId="611F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3CEBC907">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3C8BEFC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5F7B78A4">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1ED01E5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施工技术措施</w:t>
            </w:r>
          </w:p>
        </w:tc>
        <w:tc>
          <w:tcPr>
            <w:tcW w:w="750" w:type="dxa"/>
            <w:vAlign w:val="center"/>
          </w:tcPr>
          <w:p w14:paraId="3129E07B">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2E958A7A">
            <w:pPr>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措施针对性好、具体、成熟得（0.45，0.5]分；</w:t>
            </w:r>
          </w:p>
          <w:p w14:paraId="39EE4236">
            <w:pPr>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措施针对性较好、较具体得（0.4，0.45]分；</w:t>
            </w:r>
          </w:p>
          <w:p w14:paraId="046EEDEF">
            <w:pPr>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措施欠具体得</w:t>
            </w:r>
            <w:r>
              <w:rPr>
                <w:rFonts w:hint="eastAsia" w:ascii="宋体" w:hAnsi="宋体" w:eastAsia="宋体" w:cs="宋体"/>
                <w:color w:val="000000" w:themeColor="text1"/>
                <w:sz w:val="24"/>
                <w:szCs w:val="24"/>
                <w:highlight w:val="none"/>
                <w14:textFill>
                  <w14:solidFill>
                    <w14:schemeClr w14:val="tx1"/>
                  </w14:solidFill>
                </w14:textFill>
              </w:rPr>
              <w:t>[0.3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2EAA94E9">
            <w:pPr>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未提供施工技术措施的，得0分。</w:t>
            </w:r>
          </w:p>
        </w:tc>
      </w:tr>
      <w:tr w14:paraId="4970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0E909394">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5B7A5F6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00AA7C3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276CDBC5">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施工质量保证措施</w:t>
            </w:r>
          </w:p>
        </w:tc>
        <w:tc>
          <w:tcPr>
            <w:tcW w:w="750" w:type="dxa"/>
            <w:vAlign w:val="center"/>
          </w:tcPr>
          <w:p w14:paraId="1637E378">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791E3BD5">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（1）满足招标文件质量要求，工程质量保证措施明确、具体、可行、针对性好、各项落实得（0.45,0.5]分；</w:t>
            </w:r>
          </w:p>
          <w:p w14:paraId="17EA5CA5">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（2）基本满足招标文件质量要求，工程质量保证措施较明确、较具体、较可行、较落实得（0.4，0.45]分；</w:t>
            </w:r>
          </w:p>
          <w:p w14:paraId="14F0E45C">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（3）一般满足招标文件质量要求，工程质量保证措施一般、但对工程质量保证措施有认识得[0.3，0.4]分；</w:t>
            </w:r>
          </w:p>
          <w:p w14:paraId="78755CA9">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（4）未提供施工质量保证措施的，得0分。</w:t>
            </w:r>
          </w:p>
        </w:tc>
      </w:tr>
      <w:tr w14:paraId="2FFF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vAlign w:val="center"/>
          </w:tcPr>
          <w:p w14:paraId="0173D05F">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vAlign w:val="center"/>
          </w:tcPr>
          <w:p w14:paraId="530D8FC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vAlign w:val="center"/>
          </w:tcPr>
          <w:p w14:paraId="4A52634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55B825E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施工安全保障措施</w:t>
            </w:r>
          </w:p>
        </w:tc>
        <w:tc>
          <w:tcPr>
            <w:tcW w:w="750" w:type="dxa"/>
            <w:vAlign w:val="center"/>
          </w:tcPr>
          <w:p w14:paraId="14934A8B">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tcPr>
          <w:p w14:paraId="719F6360">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措施针对性好、具体、成熟得（0.45，0.5]分；</w:t>
            </w:r>
          </w:p>
          <w:p w14:paraId="0AB45283">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措施针对性较好、较具体得（0.4，0.45]分；</w:t>
            </w:r>
          </w:p>
          <w:p w14:paraId="42CE3026">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措施不具体得</w:t>
            </w:r>
            <w:r>
              <w:rPr>
                <w:rFonts w:hint="eastAsia" w:ascii="宋体" w:hAnsi="宋体" w:eastAsia="宋体" w:cs="宋体"/>
                <w:color w:val="000000" w:themeColor="text1"/>
                <w:sz w:val="24"/>
                <w:szCs w:val="24"/>
                <w:highlight w:val="none"/>
                <w14:textFill>
                  <w14:solidFill>
                    <w14:schemeClr w14:val="tx1"/>
                  </w14:solidFill>
                </w14:textFill>
              </w:rPr>
              <w:t>[0.3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7B1A035C">
            <w:pPr>
              <w:keepNext w:val="0"/>
              <w:keepLines w:val="0"/>
              <w:pageBreakBefore w:val="0"/>
              <w:widowControl/>
              <w:numPr>
                <w:ilvl w:val="0"/>
                <w:numId w:val="7"/>
              </w:numPr>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未提供施工安全保障措施的，得0分。</w:t>
            </w:r>
          </w:p>
        </w:tc>
      </w:tr>
      <w:tr w14:paraId="7193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816" w:type="dxa"/>
            <w:vMerge w:val="continue"/>
            <w:vAlign w:val="center"/>
          </w:tcPr>
          <w:p w14:paraId="03738D3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64" w:type="dxa"/>
            <w:vMerge w:val="continue"/>
            <w:vAlign w:val="center"/>
          </w:tcPr>
          <w:p w14:paraId="02FE329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660" w:type="dxa"/>
            <w:vMerge w:val="continue"/>
            <w:vAlign w:val="center"/>
          </w:tcPr>
          <w:p w14:paraId="6CE7344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5" w:type="dxa"/>
            <w:tcBorders>
              <w:bottom w:val="single" w:color="auto" w:sz="4" w:space="0"/>
            </w:tcBorders>
            <w:vAlign w:val="center"/>
          </w:tcPr>
          <w:p w14:paraId="7CCE545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文明施工与环境保</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护措施</w:t>
            </w:r>
          </w:p>
        </w:tc>
        <w:tc>
          <w:tcPr>
            <w:tcW w:w="750" w:type="dxa"/>
            <w:tcBorders>
              <w:bottom w:val="single" w:color="auto" w:sz="4" w:space="0"/>
            </w:tcBorders>
            <w:vAlign w:val="center"/>
          </w:tcPr>
          <w:p w14:paraId="1285E9B8">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0.5分</w:t>
            </w:r>
          </w:p>
        </w:tc>
        <w:tc>
          <w:tcPr>
            <w:tcW w:w="5371" w:type="dxa"/>
            <w:tcBorders>
              <w:bottom w:val="single" w:color="auto" w:sz="4" w:space="0"/>
            </w:tcBorders>
          </w:tcPr>
          <w:p w14:paraId="3663EB2C">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（1）措施针对性好、具体、成熟得（0.45，0.5]分；</w:t>
            </w:r>
          </w:p>
          <w:p w14:paraId="3241BAB9">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（2）措施针对性较好、较具体得（0.4，0.45]分；</w:t>
            </w:r>
          </w:p>
          <w:p w14:paraId="1EA5067A">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措施不具体得</w:t>
            </w:r>
            <w:r>
              <w:rPr>
                <w:rFonts w:hint="eastAsia" w:ascii="宋体" w:hAnsi="宋体" w:eastAsia="宋体" w:cs="宋体"/>
                <w:color w:val="000000" w:themeColor="text1"/>
                <w:sz w:val="24"/>
                <w:szCs w:val="24"/>
                <w:highlight w:val="none"/>
                <w14:textFill>
                  <w14:solidFill>
                    <w14:schemeClr w14:val="tx1"/>
                  </w14:solidFill>
                </w14:textFill>
              </w:rPr>
              <w:t>[0.3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3BF643CC">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（4）未提供文明施工与环境保护措施的，得0分。</w:t>
            </w:r>
          </w:p>
        </w:tc>
      </w:tr>
      <w:tr w14:paraId="44B8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16" w:type="dxa"/>
            <w:vMerge w:val="continue"/>
            <w:tcBorders>
              <w:bottom w:val="single" w:color="auto" w:sz="4" w:space="0"/>
            </w:tcBorders>
            <w:vAlign w:val="center"/>
          </w:tcPr>
          <w:p w14:paraId="4B9C821B">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tcBorders>
              <w:bottom w:val="single" w:color="auto" w:sz="4" w:space="0"/>
            </w:tcBorders>
            <w:vAlign w:val="center"/>
          </w:tcPr>
          <w:p w14:paraId="4E3822F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tcBorders>
              <w:bottom w:val="single" w:color="auto" w:sz="4" w:space="0"/>
            </w:tcBorders>
            <w:vAlign w:val="center"/>
          </w:tcPr>
          <w:p w14:paraId="5AA16F4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tcBorders>
              <w:bottom w:val="single" w:color="auto" w:sz="4" w:space="0"/>
            </w:tcBorders>
            <w:vAlign w:val="center"/>
          </w:tcPr>
          <w:p w14:paraId="7E372765">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pacing w:val="8"/>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mec输送设备技术方案</w:t>
            </w:r>
          </w:p>
        </w:tc>
        <w:tc>
          <w:tcPr>
            <w:tcW w:w="750" w:type="dxa"/>
            <w:tcBorders>
              <w:bottom w:val="single" w:color="auto" w:sz="4" w:space="0"/>
            </w:tcBorders>
            <w:vAlign w:val="center"/>
          </w:tcPr>
          <w:p w14:paraId="24EF52C4">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0.5分</w:t>
            </w:r>
          </w:p>
        </w:tc>
        <w:tc>
          <w:tcPr>
            <w:tcW w:w="5371" w:type="dxa"/>
            <w:tcBorders>
              <w:bottom w:val="single" w:color="auto" w:sz="4" w:space="0"/>
            </w:tcBorders>
          </w:tcPr>
          <w:p w14:paraId="0C46F376">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（1）方案全面、科学，对设备参数、布置安装、与现有工艺衔接均有详细、可靠的阐述，并进行了优化得（0.45,0.5]分；</w:t>
            </w:r>
          </w:p>
          <w:p w14:paraId="18F6A992">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（2）方案完整、可行，对设备参数、布置安装和工艺衔接有基本阐述，无明显缺陷得（0.4，0.45]分；</w:t>
            </w:r>
          </w:p>
          <w:p w14:paraId="49D40641">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（3）方案内容简单，仅对部分要点有描述，但缺乏细节，可行性一般得[0.3，0.4]分；</w:t>
            </w:r>
          </w:p>
          <w:p w14:paraId="6600B8A3">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（4）方案未提供得0分。</w:t>
            </w:r>
          </w:p>
        </w:tc>
      </w:tr>
      <w:tr w14:paraId="3A8FA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16" w:type="dxa"/>
            <w:tcBorders>
              <w:bottom w:val="single" w:color="auto" w:sz="4" w:space="0"/>
            </w:tcBorders>
            <w:vAlign w:val="center"/>
          </w:tcPr>
          <w:p w14:paraId="6AB97DA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64" w:type="dxa"/>
            <w:tcBorders>
              <w:bottom w:val="single" w:color="auto" w:sz="4" w:space="0"/>
            </w:tcBorders>
            <w:vAlign w:val="center"/>
          </w:tcPr>
          <w:p w14:paraId="69162431">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660" w:type="dxa"/>
            <w:tcBorders>
              <w:bottom w:val="single" w:color="auto" w:sz="4" w:space="0"/>
            </w:tcBorders>
            <w:vAlign w:val="center"/>
          </w:tcPr>
          <w:p w14:paraId="1177524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5" w:type="dxa"/>
            <w:tcBorders>
              <w:bottom w:val="single" w:color="auto" w:sz="4" w:space="0"/>
            </w:tcBorders>
            <w:vAlign w:val="center"/>
          </w:tcPr>
          <w:p w14:paraId="299D4065">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pacing w:val="8"/>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水下注浆加固施工技术方案</w:t>
            </w:r>
          </w:p>
        </w:tc>
        <w:tc>
          <w:tcPr>
            <w:tcW w:w="750" w:type="dxa"/>
            <w:tcBorders>
              <w:bottom w:val="single" w:color="auto" w:sz="4" w:space="0"/>
            </w:tcBorders>
            <w:vAlign w:val="center"/>
          </w:tcPr>
          <w:p w14:paraId="10BC362A">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0.5分</w:t>
            </w:r>
          </w:p>
        </w:tc>
        <w:tc>
          <w:tcPr>
            <w:tcW w:w="5371" w:type="dxa"/>
            <w:tcBorders>
              <w:bottom w:val="single" w:color="auto" w:sz="4" w:space="0"/>
            </w:tcBorders>
          </w:tcPr>
          <w:p w14:paraId="1F76AA13">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（1）方案科学合理，针对性强，技术先进可行，措施全面可靠，能显著提升工程质量与安全，得（0.45,0.5]分；</w:t>
            </w:r>
          </w:p>
          <w:p w14:paraId="266752F3">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（2）方案合理可行，针对性较强，措施较为全面，能保证工程质量和安全，得（0.4，0.45]分；</w:t>
            </w:r>
          </w:p>
          <w:p w14:paraId="64E60905">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（3）方案内容基本完整，但深度不足，针对性一般，关键工序措施不够具体，得[0.3，0.4]分；</w:t>
            </w:r>
          </w:p>
          <w:p w14:paraId="67F4EF5D">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（4）方案未提供得0分。</w:t>
            </w:r>
          </w:p>
        </w:tc>
      </w:tr>
      <w:tr w14:paraId="6A47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16" w:type="dxa"/>
            <w:tcBorders>
              <w:bottom w:val="single" w:color="auto" w:sz="4" w:space="0"/>
            </w:tcBorders>
            <w:vAlign w:val="center"/>
          </w:tcPr>
          <w:p w14:paraId="3427A466">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64" w:type="dxa"/>
            <w:tcBorders>
              <w:bottom w:val="single" w:color="auto" w:sz="4" w:space="0"/>
            </w:tcBorders>
            <w:vAlign w:val="center"/>
          </w:tcPr>
          <w:p w14:paraId="6FDAB219">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660" w:type="dxa"/>
            <w:tcBorders>
              <w:bottom w:val="single" w:color="auto" w:sz="4" w:space="0"/>
            </w:tcBorders>
            <w:vAlign w:val="center"/>
          </w:tcPr>
          <w:p w14:paraId="33EF4924">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5" w:type="dxa"/>
            <w:tcBorders>
              <w:bottom w:val="single" w:color="auto" w:sz="4" w:space="0"/>
            </w:tcBorders>
            <w:vAlign w:val="center"/>
          </w:tcPr>
          <w:p w14:paraId="7DD5BED2">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pacing w:val="8"/>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疏浚淤泥海上抛运管控方案</w:t>
            </w:r>
          </w:p>
        </w:tc>
        <w:tc>
          <w:tcPr>
            <w:tcW w:w="750" w:type="dxa"/>
            <w:tcBorders>
              <w:bottom w:val="single" w:color="auto" w:sz="4" w:space="0"/>
            </w:tcBorders>
            <w:vAlign w:val="center"/>
          </w:tcPr>
          <w:p w14:paraId="0C0668D7">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0.5分</w:t>
            </w:r>
          </w:p>
        </w:tc>
        <w:tc>
          <w:tcPr>
            <w:tcW w:w="5371" w:type="dxa"/>
            <w:tcBorders>
              <w:bottom w:val="single" w:color="auto" w:sz="4" w:space="0"/>
            </w:tcBorders>
          </w:tcPr>
          <w:p w14:paraId="6CF0BEF8">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（1）方案系统、周密、技术先进，形成了从“装船”到“弃置点接收”的全过程、无死角、可追溯的闭环管理，且各项措施均符合最新规范，具备极强的可操作性，得（0.45,0.5]分；</w:t>
            </w:r>
          </w:p>
          <w:p w14:paraId="6ADB1924">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（2）方案全面、合理，覆盖了所有关键环节，措施具体可行，能满足合规与审计要求，但在技术先进性或细节深度上略有不足，（0.4，0.45]分；</w:t>
            </w:r>
          </w:p>
          <w:p w14:paraId="72606D64">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（3）方案基本完整，但措施较为原则化、笼统，缺乏具体的技术手段和量化控制，可操作性和可验证性一般，得[0.3，0.4]分；</w:t>
            </w:r>
          </w:p>
          <w:p w14:paraId="78518425">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（4）方案未提供得0分。</w:t>
            </w:r>
          </w:p>
        </w:tc>
      </w:tr>
      <w:tr w14:paraId="3360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restart"/>
            <w:tcBorders>
              <w:bottom w:val="nil"/>
            </w:tcBorders>
            <w:vAlign w:val="center"/>
          </w:tcPr>
          <w:p w14:paraId="51F345F7">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2.2.4(2)</w:t>
            </w:r>
          </w:p>
        </w:tc>
        <w:tc>
          <w:tcPr>
            <w:tcW w:w="764" w:type="dxa"/>
            <w:vMerge w:val="restart"/>
            <w:tcBorders>
              <w:bottom w:val="nil"/>
            </w:tcBorders>
            <w:vAlign w:val="center"/>
          </w:tcPr>
          <w:p w14:paraId="7CD001F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项目管理机构</w:t>
            </w:r>
          </w:p>
        </w:tc>
        <w:tc>
          <w:tcPr>
            <w:tcW w:w="660" w:type="dxa"/>
            <w:vMerge w:val="restart"/>
            <w:tcBorders>
              <w:bottom w:val="nil"/>
            </w:tcBorders>
            <w:vAlign w:val="center"/>
          </w:tcPr>
          <w:p w14:paraId="52E8A737">
            <w:pPr>
              <w:pStyle w:val="11"/>
              <w:keepNext w:val="0"/>
              <w:keepLines w:val="0"/>
              <w:pageBreakBefore w:val="0"/>
              <w:widowControl/>
              <w:tabs>
                <w:tab w:val="left" w:pos="417"/>
              </w:tabs>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035" w:type="dxa"/>
            <w:vAlign w:val="center"/>
          </w:tcPr>
          <w:p w14:paraId="4263C94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项目负责人任职资格与业绩</w:t>
            </w:r>
          </w:p>
        </w:tc>
        <w:tc>
          <w:tcPr>
            <w:tcW w:w="750" w:type="dxa"/>
            <w:vAlign w:val="center"/>
          </w:tcPr>
          <w:p w14:paraId="1D53205B">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5371" w:type="dxa"/>
            <w:vAlign w:val="center"/>
          </w:tcPr>
          <w:p w14:paraId="190D0B24">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（1）拟派项目负责人满足资格审查条件(项目负责人和项目技术负责人最低要求)，得0.3分；</w:t>
            </w:r>
          </w:p>
          <w:p w14:paraId="247133E1">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拟派的项目负责人在满足资格审查条件(项目负责人和项目技术负责人最低要求)基础上，另有担任过质量合格的新建或改、扩建沿海不少于5万吨级码头工程施工项目的项目负责人或项目副经理或项目技术负责人至少一项得0.2分。本小项最多得0.2分。</w:t>
            </w:r>
          </w:p>
          <w:p w14:paraId="1DEE3C0A">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p>
          <w:p w14:paraId="57820E05">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人员相关证明材料要求详见投标人须知前附表中需要补充的其他内容3.5.5项。所要求的业绩仅限中华人民共和国境内业绩</w:t>
            </w:r>
          </w:p>
        </w:tc>
      </w:tr>
      <w:tr w14:paraId="4D15F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Merge w:val="continue"/>
            <w:tcBorders>
              <w:top w:val="nil"/>
              <w:bottom w:val="nil"/>
            </w:tcBorders>
            <w:vAlign w:val="center"/>
          </w:tcPr>
          <w:p w14:paraId="1EDDD61A">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64" w:type="dxa"/>
            <w:vMerge w:val="continue"/>
            <w:tcBorders>
              <w:top w:val="nil"/>
              <w:bottom w:val="nil"/>
            </w:tcBorders>
            <w:vAlign w:val="center"/>
          </w:tcPr>
          <w:p w14:paraId="3F6B6F7F">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660" w:type="dxa"/>
            <w:vMerge w:val="continue"/>
            <w:tcBorders>
              <w:top w:val="nil"/>
              <w:bottom w:val="nil"/>
            </w:tcBorders>
            <w:vAlign w:val="center"/>
          </w:tcPr>
          <w:p w14:paraId="17A142F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35" w:type="dxa"/>
            <w:vAlign w:val="center"/>
          </w:tcPr>
          <w:p w14:paraId="2093B44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项目技术负责人任职资格与业绩</w:t>
            </w:r>
          </w:p>
        </w:tc>
        <w:tc>
          <w:tcPr>
            <w:tcW w:w="750" w:type="dxa"/>
            <w:vAlign w:val="center"/>
          </w:tcPr>
          <w:p w14:paraId="5D7910B7">
            <w:pPr>
              <w:pStyle w:val="11"/>
              <w:keepNext w:val="0"/>
              <w:keepLines w:val="0"/>
              <w:pageBreakBefore w:val="0"/>
              <w:widowControl/>
              <w:tabs>
                <w:tab w:val="left" w:pos="525"/>
              </w:tabs>
              <w:kinsoku w:val="0"/>
              <w:wordWrap/>
              <w:overflowPunct/>
              <w:topLinePunct w:val="0"/>
              <w:autoSpaceDE w:val="0"/>
              <w:autoSpaceDN w:val="0"/>
              <w:bidi w:val="0"/>
              <w:adjustRightInd w:val="0"/>
              <w:snapToGrid w:val="0"/>
              <w:spacing w:after="0" w:line="240" w:lineRule="auto"/>
              <w:ind w:left="0" w:leftChars="0" w:right="0" w:firstLine="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0.5分</w:t>
            </w:r>
          </w:p>
        </w:tc>
        <w:tc>
          <w:tcPr>
            <w:tcW w:w="5371" w:type="dxa"/>
            <w:vAlign w:val="center"/>
          </w:tcPr>
          <w:p w14:paraId="08832A67">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（1）拟派项目技术负责人满足资格审查条件(项目负责人和项目技术负责人最低要求)，得0.3分；</w:t>
            </w:r>
          </w:p>
          <w:p w14:paraId="2AFE76CE">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（2）拟派的项目技术负责人具有港口与航道工程专业一级注册建造师注册证书的，得0.1分；</w:t>
            </w:r>
          </w:p>
          <w:p w14:paraId="7F2077F3">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拟派的项目技术负责人在满足资格审查条件(项目负责人和项目技术负责人最低要求)基础上，另有担任过至少1项质量合格的新建或改、扩建沿海不少于5万吨级码头工程施工项目的项目经理或分管生产的项目副经理或项目技术负责人（总工程师）或技术部门主要负责人或工程部门主要负责人的，得0.1分。</w:t>
            </w:r>
          </w:p>
          <w:p w14:paraId="64F5FC88">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p>
          <w:p w14:paraId="4BE5E1D8">
            <w:pPr>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人员相关证明材料要求详见投标人须知前附表中需要补充的其他内容3.5.5项。所要求的业绩仅限中华人民共和国境内业绩。</w:t>
            </w:r>
          </w:p>
        </w:tc>
      </w:tr>
      <w:tr w14:paraId="5B17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6" w:type="dxa"/>
            <w:vAlign w:val="center"/>
          </w:tcPr>
          <w:p w14:paraId="5FFD578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2.2.4(3)</w:t>
            </w:r>
          </w:p>
        </w:tc>
        <w:tc>
          <w:tcPr>
            <w:tcW w:w="764" w:type="dxa"/>
            <w:vAlign w:val="center"/>
          </w:tcPr>
          <w:p w14:paraId="15138FD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评标价</w:t>
            </w:r>
          </w:p>
        </w:tc>
        <w:tc>
          <w:tcPr>
            <w:tcW w:w="660" w:type="dxa"/>
            <w:vAlign w:val="center"/>
          </w:tcPr>
          <w:p w14:paraId="2A80FA20">
            <w:pPr>
              <w:pStyle w:val="11"/>
              <w:keepNext w:val="0"/>
              <w:keepLines w:val="0"/>
              <w:pageBreakBefore w:val="0"/>
              <w:widowControl/>
              <w:tabs>
                <w:tab w:val="left" w:pos="462"/>
              </w:tabs>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80</w:t>
            </w:r>
            <w:r>
              <w:rPr>
                <w:rFonts w:hint="eastAsia" w:ascii="宋体" w:hAnsi="宋体" w:eastAsia="宋体" w:cs="宋体"/>
                <w:color w:val="000000" w:themeColor="text1"/>
                <w:spacing w:val="-3"/>
                <w:sz w:val="24"/>
                <w:szCs w:val="24"/>
                <w:highlight w:val="none"/>
                <w14:textFill>
                  <w14:solidFill>
                    <w14:schemeClr w14:val="tx1"/>
                  </w14:solidFill>
                </w14:textFill>
              </w:rPr>
              <w:t>分</w:t>
            </w:r>
          </w:p>
        </w:tc>
        <w:tc>
          <w:tcPr>
            <w:tcW w:w="7156" w:type="dxa"/>
            <w:gridSpan w:val="3"/>
          </w:tcPr>
          <w:p w14:paraId="2CA8243B">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评标价得分计算公式示例：</w:t>
            </w:r>
          </w:p>
          <w:p w14:paraId="3863E54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（1）如果投标人的评标价&gt;评标基准价，则评标价</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得分＝F-</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偏差率×100×D1；D1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14:paraId="4C9F3DDB">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(2)如果投标人的评标价≤评标基准价，则评标价得分＝F+</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偏差率×100×D2；D2＝1。</w:t>
            </w:r>
          </w:p>
          <w:p w14:paraId="7FE58A8C">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注：F=评标价满分。评标价得分计算</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保留小数点后四位</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，小数点后第五</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位“四</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舍五入”。</w:t>
            </w:r>
          </w:p>
        </w:tc>
      </w:tr>
    </w:tbl>
    <w:p w14:paraId="4090DD68">
      <w:pPr>
        <w:pageBreakBefore w:val="0"/>
        <w:wordWrap/>
        <w:overflowPunct/>
        <w:bidi w:val="0"/>
        <w:spacing w:line="257" w:lineRule="auto"/>
        <w:rPr>
          <w:rFonts w:hint="eastAsia" w:ascii="宋体" w:hAnsi="宋体" w:eastAsia="宋体" w:cs="宋体"/>
          <w:color w:val="000000" w:themeColor="text1"/>
          <w:highlight w:val="none"/>
          <w:lang w:eastAsia="zh-CN"/>
          <w14:textFill>
            <w14:solidFill>
              <w14:schemeClr w14:val="tx1"/>
            </w14:solidFill>
          </w14:textFill>
        </w:rPr>
      </w:pPr>
    </w:p>
    <w:p w14:paraId="108AAEBC">
      <w:pPr>
        <w:pageBreakBefore w:val="0"/>
        <w:wordWrap/>
        <w:overflowPunct/>
        <w:bidi w:val="0"/>
        <w:spacing w:line="257" w:lineRule="auto"/>
        <w:rPr>
          <w:rFonts w:hint="eastAsia" w:ascii="宋体" w:hAnsi="宋体" w:eastAsia="宋体" w:cs="宋体"/>
          <w:color w:val="000000" w:themeColor="text1"/>
          <w:highlight w:val="none"/>
          <w:lang w:eastAsia="zh-CN"/>
          <w14:textFill>
            <w14:solidFill>
              <w14:schemeClr w14:val="tx1"/>
            </w14:solidFill>
          </w14:textFill>
        </w:rPr>
      </w:pPr>
    </w:p>
    <w:p w14:paraId="335E0E81">
      <w:pPr>
        <w:pageBreakBefore w:val="0"/>
        <w:wordWrap/>
        <w:overflowPunct/>
        <w:bidi w:val="0"/>
        <w:spacing w:line="257" w:lineRule="auto"/>
        <w:rPr>
          <w:rFonts w:hint="eastAsia" w:ascii="宋体" w:hAnsi="宋体" w:eastAsia="宋体" w:cs="宋体"/>
          <w:color w:val="000000" w:themeColor="text1"/>
          <w:highlight w:val="none"/>
          <w:lang w:eastAsia="zh-CN"/>
          <w14:textFill>
            <w14:solidFill>
              <w14:schemeClr w14:val="tx1"/>
            </w14:solidFill>
          </w14:textFill>
        </w:rPr>
      </w:pPr>
    </w:p>
    <w:p w14:paraId="3A5F4B26">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pPr>
      <w:bookmarkStart w:id="5" w:name="bookmark82"/>
      <w:bookmarkEnd w:id="5"/>
      <w:r>
        <w:rPr>
          <w:rFonts w:hint="eastAsia" w:ascii="宋体" w:hAnsi="宋体" w:eastAsia="宋体" w:cs="宋体"/>
          <w:color w:val="000000" w:themeColor="text1"/>
          <w:highlight w:val="none"/>
          <w:lang w:eastAsia="zh-CN"/>
          <w14:textFill>
            <w14:solidFill>
              <w14:schemeClr w14:val="tx1"/>
            </w14:solidFill>
          </w14:textFill>
        </w:rPr>
        <w:br w:type="page"/>
      </w:r>
    </w:p>
    <w:tbl>
      <w:tblPr>
        <w:tblStyle w:val="12"/>
        <w:tblpPr w:leftFromText="180" w:rightFromText="180" w:vertAnchor="text" w:horzAnchor="page" w:tblpX="1309" w:tblpY="458"/>
        <w:tblOverlap w:val="never"/>
        <w:tblW w:w="92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56"/>
        <w:gridCol w:w="849"/>
        <w:gridCol w:w="906"/>
        <w:gridCol w:w="2212"/>
        <w:gridCol w:w="1790"/>
        <w:gridCol w:w="1870"/>
      </w:tblGrid>
      <w:tr w14:paraId="314F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373" w:type="dxa"/>
            <w:gridSpan w:val="6"/>
            <w:shd w:val="clear" w:color="auto" w:fill="D7D7D7" w:themeFill="background1" w:themeFillShade="D8"/>
            <w:vAlign w:val="center"/>
          </w:tcPr>
          <w:p w14:paraId="30A664A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9"/>
                <w:sz w:val="24"/>
                <w:szCs w:val="24"/>
                <w:highlight w:val="none"/>
                <w14:textFill>
                  <w14:solidFill>
                    <w14:schemeClr w14:val="tx1"/>
                  </w14:solidFill>
                </w14:textFill>
              </w:rPr>
              <w:t>评分因素与权重分值</w:t>
            </w:r>
          </w:p>
        </w:tc>
        <w:tc>
          <w:tcPr>
            <w:tcW w:w="1870" w:type="dxa"/>
            <w:vMerge w:val="restart"/>
            <w:tcBorders>
              <w:bottom w:val="nil"/>
            </w:tcBorders>
            <w:shd w:val="clear" w:color="auto" w:fill="D7D7D7" w:themeFill="background1" w:themeFillShade="D8"/>
            <w:vAlign w:val="center"/>
          </w:tcPr>
          <w:p w14:paraId="4E21100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评分标准</w:t>
            </w:r>
          </w:p>
        </w:tc>
      </w:tr>
      <w:tr w14:paraId="21DC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0" w:type="dxa"/>
            <w:shd w:val="clear" w:color="auto" w:fill="D7D7D7" w:themeFill="background1" w:themeFillShade="D8"/>
            <w:vAlign w:val="center"/>
          </w:tcPr>
          <w:p w14:paraId="6401C5C0">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6"/>
                <w:sz w:val="24"/>
                <w:szCs w:val="24"/>
                <w:highlight w:val="none"/>
                <w14:textFill>
                  <w14:solidFill>
                    <w14:schemeClr w14:val="tx1"/>
                  </w14:solidFill>
                </w14:textFill>
              </w:rPr>
              <w:t>条款号</w:t>
            </w:r>
          </w:p>
        </w:tc>
        <w:tc>
          <w:tcPr>
            <w:tcW w:w="1605" w:type="dxa"/>
            <w:gridSpan w:val="2"/>
            <w:shd w:val="clear" w:color="auto" w:fill="D7D7D7" w:themeFill="background1" w:themeFillShade="D8"/>
            <w:vAlign w:val="center"/>
          </w:tcPr>
          <w:p w14:paraId="005D4581">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评分因素</w:t>
            </w:r>
          </w:p>
        </w:tc>
        <w:tc>
          <w:tcPr>
            <w:tcW w:w="906" w:type="dxa"/>
            <w:shd w:val="clear" w:color="auto" w:fill="D7D7D7" w:themeFill="background1" w:themeFillShade="D8"/>
            <w:vAlign w:val="center"/>
          </w:tcPr>
          <w:p w14:paraId="322C394C">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7"/>
                <w:sz w:val="24"/>
                <w:szCs w:val="24"/>
                <w:highlight w:val="none"/>
                <w14:textFill>
                  <w14:solidFill>
                    <w14:schemeClr w14:val="tx1"/>
                  </w14:solidFill>
                </w14:textFill>
              </w:rPr>
              <w:t>评分因</w:t>
            </w:r>
            <w:r>
              <w:rPr>
                <w:rFonts w:hint="eastAsia"/>
                <w:b/>
                <w:bCs/>
                <w:color w:val="000000" w:themeColor="text1"/>
                <w:spacing w:val="6"/>
                <w:sz w:val="24"/>
                <w:szCs w:val="24"/>
                <w:highlight w:val="none"/>
                <w14:textFill>
                  <w14:solidFill>
                    <w14:schemeClr w14:val="tx1"/>
                  </w14:solidFill>
                </w14:textFill>
              </w:rPr>
              <w:t>素权重</w:t>
            </w:r>
            <w:r>
              <w:rPr>
                <w:rFonts w:hint="eastAsia"/>
                <w:b/>
                <w:bCs/>
                <w:color w:val="000000" w:themeColor="text1"/>
                <w:spacing w:val="3"/>
                <w:sz w:val="24"/>
                <w:szCs w:val="24"/>
                <w:highlight w:val="none"/>
                <w14:textFill>
                  <w14:solidFill>
                    <w14:schemeClr w14:val="tx1"/>
                  </w14:solidFill>
                </w14:textFill>
              </w:rPr>
              <w:t>分值</w:t>
            </w:r>
          </w:p>
        </w:tc>
        <w:tc>
          <w:tcPr>
            <w:tcW w:w="2212" w:type="dxa"/>
            <w:shd w:val="clear" w:color="auto" w:fill="D7D7D7" w:themeFill="background1" w:themeFillShade="D8"/>
            <w:vAlign w:val="center"/>
          </w:tcPr>
          <w:p w14:paraId="0CCA3B5C">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8"/>
                <w:sz w:val="24"/>
                <w:szCs w:val="24"/>
                <w:highlight w:val="none"/>
                <w14:textFill>
                  <w14:solidFill>
                    <w14:schemeClr w14:val="tx1"/>
                  </w14:solidFill>
                </w14:textFill>
              </w:rPr>
              <w:t>各评分因素细分项</w:t>
            </w:r>
          </w:p>
        </w:tc>
        <w:tc>
          <w:tcPr>
            <w:tcW w:w="1790" w:type="dxa"/>
            <w:shd w:val="clear" w:color="auto" w:fill="D7D7D7" w:themeFill="background1" w:themeFillShade="D8"/>
            <w:vAlign w:val="center"/>
          </w:tcPr>
          <w:p w14:paraId="6A6E6F7D">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3"/>
                <w:sz w:val="24"/>
                <w:szCs w:val="24"/>
                <w:highlight w:val="none"/>
                <w14:textFill>
                  <w14:solidFill>
                    <w14:schemeClr w14:val="tx1"/>
                  </w14:solidFill>
                </w14:textFill>
              </w:rPr>
              <w:t>分值</w:t>
            </w:r>
          </w:p>
        </w:tc>
        <w:tc>
          <w:tcPr>
            <w:tcW w:w="1870" w:type="dxa"/>
            <w:vMerge w:val="continue"/>
            <w:tcBorders>
              <w:top w:val="nil"/>
            </w:tcBorders>
            <w:vAlign w:val="center"/>
          </w:tcPr>
          <w:p w14:paraId="437E6C2A">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2563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0" w:type="dxa"/>
            <w:vMerge w:val="restart"/>
            <w:tcBorders>
              <w:bottom w:val="nil"/>
            </w:tcBorders>
            <w:vAlign w:val="center"/>
          </w:tcPr>
          <w:p w14:paraId="5F07368E">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pacing w:val="3"/>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2.2.4</w:t>
            </w:r>
          </w:p>
          <w:p w14:paraId="0D1A8153">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(4)</w:t>
            </w:r>
          </w:p>
        </w:tc>
        <w:tc>
          <w:tcPr>
            <w:tcW w:w="756" w:type="dxa"/>
            <w:vMerge w:val="restart"/>
            <w:tcBorders>
              <w:bottom w:val="nil"/>
            </w:tcBorders>
            <w:vAlign w:val="center"/>
          </w:tcPr>
          <w:p w14:paraId="4961A3F8">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其他</w:t>
            </w:r>
            <w:r>
              <w:rPr>
                <w:rFonts w:hint="eastAsia"/>
                <w:color w:val="000000" w:themeColor="text1"/>
                <w:spacing w:val="-4"/>
                <w:sz w:val="24"/>
                <w:szCs w:val="24"/>
                <w:highlight w:val="none"/>
                <w14:textFill>
                  <w14:solidFill>
                    <w14:schemeClr w14:val="tx1"/>
                  </w14:solidFill>
                </w14:textFill>
              </w:rPr>
              <w:t>因素</w:t>
            </w:r>
          </w:p>
        </w:tc>
        <w:tc>
          <w:tcPr>
            <w:tcW w:w="849" w:type="dxa"/>
            <w:vAlign w:val="center"/>
          </w:tcPr>
          <w:p w14:paraId="6D62C495">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履约信誉</w:t>
            </w:r>
          </w:p>
        </w:tc>
        <w:tc>
          <w:tcPr>
            <w:tcW w:w="906" w:type="dxa"/>
            <w:vAlign w:val="center"/>
          </w:tcPr>
          <w:p w14:paraId="3BA5D799">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z w:val="24"/>
                <w:szCs w:val="24"/>
                <w:highlight w:val="none"/>
                <w14:textFill>
                  <w14:solidFill>
                    <w14:schemeClr w14:val="tx1"/>
                  </w14:solidFill>
                </w14:textFill>
              </w:rPr>
            </w:pPr>
            <w:r>
              <w:rPr>
                <w:rFonts w:hint="eastAsia"/>
                <w:b/>
                <w:bCs/>
                <w:color w:val="000000" w:themeColor="text1"/>
                <w:spacing w:val="-12"/>
                <w:sz w:val="24"/>
                <w:szCs w:val="24"/>
                <w:highlight w:val="none"/>
                <w:u w:val="single"/>
                <w14:textFill>
                  <w14:solidFill>
                    <w14:schemeClr w14:val="tx1"/>
                  </w14:solidFill>
                </w14:textFill>
              </w:rPr>
              <w:t>10</w:t>
            </w:r>
            <w:r>
              <w:rPr>
                <w:rFonts w:hint="eastAsia"/>
                <w:b/>
                <w:bCs/>
                <w:color w:val="000000" w:themeColor="text1"/>
                <w:spacing w:val="-12"/>
                <w:sz w:val="24"/>
                <w:szCs w:val="24"/>
                <w:highlight w:val="none"/>
                <w14:textFill>
                  <w14:solidFill>
                    <w14:schemeClr w14:val="tx1"/>
                  </w14:solidFill>
                </w14:textFill>
              </w:rPr>
              <w:t>分</w:t>
            </w:r>
          </w:p>
        </w:tc>
        <w:tc>
          <w:tcPr>
            <w:tcW w:w="5872" w:type="dxa"/>
            <w:gridSpan w:val="3"/>
            <w:vAlign w:val="center"/>
          </w:tcPr>
          <w:p w14:paraId="4D6C35C3">
            <w:pPr>
              <w:keepNext w:val="0"/>
              <w:keepLines w:val="0"/>
              <w:pageBreakBefore w:val="0"/>
              <w:widowControl/>
              <w:kinsoku w:val="0"/>
              <w:wordWrap/>
              <w:overflowPunct/>
              <w:topLinePunct w:val="0"/>
              <w:autoSpaceDE w:val="0"/>
              <w:autoSpaceDN w:val="0"/>
              <w:bidi w:val="0"/>
              <w:adjustRightInd w:val="0"/>
              <w:snapToGrid w:val="0"/>
              <w:spacing w:before="0" w:beforeLines="50" w:after="0" w:line="360" w:lineRule="auto"/>
              <w:ind w:left="105" w:leftChars="50" w:right="0" w:firstLine="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1.信用等级分值（5分）</w:t>
            </w:r>
          </w:p>
          <w:p w14:paraId="21FE3463">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AA、A、B、C级单位的信用等级分得分分别为5.00、4.75、4.45、3.65分。</w:t>
            </w:r>
          </w:p>
          <w:p w14:paraId="212784A7">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注：信用等级的确定原则遵循投标人须知前附表10.2款的规定。</w:t>
            </w:r>
          </w:p>
          <w:p w14:paraId="5F82C889">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2.履约情况（5分）</w:t>
            </w:r>
          </w:p>
          <w:p w14:paraId="64893024">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若没出现下述情形得满分。投标文件递交截止日前1年内，投标人因水运工程（含附属设施）建设项目质量、安全、履约或招标投标问题等原因被：</w:t>
            </w:r>
          </w:p>
          <w:p w14:paraId="065031E1">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（1）交通运输部行政处罚的，扣5分/次。</w:t>
            </w:r>
          </w:p>
          <w:p w14:paraId="17069935">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（2）广东省交通运输厅行政处罚的，扣3分/次。</w:t>
            </w:r>
          </w:p>
          <w:p w14:paraId="2F6E4FC2">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（3）项目所在地地级以上市交通运输局行政处罚的，扣1.5分/次。</w:t>
            </w:r>
          </w:p>
          <w:p w14:paraId="3B99DAF5">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（4）广东省交通运输厅正式约谈的，扣0.6分/次。</w:t>
            </w:r>
          </w:p>
          <w:p w14:paraId="206DE06F">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（5）项目所在地地级以上市交通运输局正式约谈的，扣0.3分/次。</w:t>
            </w:r>
          </w:p>
          <w:p w14:paraId="59105DAF">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（6）招标人上级管理单位（仅限于广东省内）正式约谈的，扣0.2分/次。</w:t>
            </w:r>
          </w:p>
          <w:p w14:paraId="32BAB371">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（7）本项目招标人正式约谈的，扣0.1分/次。</w:t>
            </w:r>
          </w:p>
          <w:p w14:paraId="56C52B33">
            <w:pPr>
              <w:pStyle w:val="3"/>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注意：</w:t>
            </w:r>
            <w:r>
              <w:rPr>
                <w:rFonts w:hint="eastAsia" w:ascii="宋体" w:hAnsi="宋体" w:eastAsia="宋体" w:cs="宋体"/>
                <w:color w:val="000000" w:themeColor="text1"/>
                <w:sz w:val="24"/>
                <w:szCs w:val="24"/>
                <w:highlight w:val="none"/>
                <w:lang w:eastAsia="zh-CN"/>
                <w14:textFill>
                  <w14:solidFill>
                    <w14:schemeClr w14:val="tx1"/>
                  </w14:solidFill>
                </w14:textFill>
              </w:rPr>
              <w:t>（1）同一事项同时被多个部门行政处罚或正式约谈只按最高的扣分计算1次（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如果扣完本项分值，可以从总分中扣。以联合体形式投标的，若各联合体成员任何一方或均存在上述情形的，对联合体各成员进行累计扣分。</w:t>
            </w:r>
          </w:p>
          <w:p w14:paraId="15383130">
            <w:pPr>
              <w:pStyle w:val="3"/>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（2）项目所在地地级以上市交通运输局、本项目招标人或招标人上级管理单位（仅限于广东省内）做出的行政处罚、正式约谈，其扣分仅适用于做出处罚、约谈决定的单位所管辖范围内项目的招标工作。</w:t>
            </w:r>
          </w:p>
        </w:tc>
      </w:tr>
      <w:tr w14:paraId="433F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0" w:type="dxa"/>
            <w:vMerge w:val="continue"/>
            <w:tcBorders>
              <w:top w:val="nil"/>
              <w:bottom w:val="nil"/>
            </w:tcBorders>
            <w:vAlign w:val="center"/>
          </w:tcPr>
          <w:p w14:paraId="567AADB1">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56" w:type="dxa"/>
            <w:vMerge w:val="continue"/>
            <w:tcBorders>
              <w:top w:val="nil"/>
              <w:bottom w:val="nil"/>
            </w:tcBorders>
            <w:vAlign w:val="center"/>
          </w:tcPr>
          <w:p w14:paraId="659D4DC5">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849" w:type="dxa"/>
            <w:vAlign w:val="center"/>
          </w:tcPr>
          <w:p w14:paraId="34A0FA6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w:t>
            </w:r>
          </w:p>
          <w:p w14:paraId="3C9BDE2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业绩</w:t>
            </w:r>
          </w:p>
        </w:tc>
        <w:tc>
          <w:tcPr>
            <w:tcW w:w="906" w:type="dxa"/>
            <w:vAlign w:val="center"/>
          </w:tcPr>
          <w:p w14:paraId="466B60F6">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firstLine="0"/>
              <w:jc w:val="center"/>
              <w:textAlignment w:val="baseline"/>
              <w:rPr>
                <w:rFonts w:hint="eastAsia"/>
                <w:color w:val="000000" w:themeColor="text1"/>
                <w:sz w:val="24"/>
                <w:szCs w:val="24"/>
                <w:highlight w:val="none"/>
                <w14:textFill>
                  <w14:solidFill>
                    <w14:schemeClr w14:val="tx1"/>
                  </w14:solidFill>
                </w14:textFill>
              </w:rPr>
            </w:pPr>
            <w:r>
              <w:rPr>
                <w:rFonts w:hint="eastAsia"/>
                <w:b/>
                <w:bCs/>
                <w:color w:val="000000" w:themeColor="text1"/>
                <w:spacing w:val="-12"/>
                <w:sz w:val="24"/>
                <w:szCs w:val="24"/>
                <w:highlight w:val="none"/>
                <w:u w:val="single"/>
                <w:lang w:eastAsia="zh-CN"/>
                <w14:textFill>
                  <w14:solidFill>
                    <w14:schemeClr w14:val="tx1"/>
                  </w14:solidFill>
                </w14:textFill>
              </w:rPr>
              <w:t>3</w:t>
            </w:r>
            <w:r>
              <w:rPr>
                <w:rFonts w:hint="eastAsia"/>
                <w:b/>
                <w:bCs/>
                <w:color w:val="000000" w:themeColor="text1"/>
                <w:spacing w:val="-12"/>
                <w:sz w:val="24"/>
                <w:szCs w:val="24"/>
                <w:highlight w:val="none"/>
                <w:lang w:eastAsia="zh-CN"/>
                <w14:textFill>
                  <w14:solidFill>
                    <w14:schemeClr w14:val="tx1"/>
                  </w14:solidFill>
                </w14:textFill>
              </w:rPr>
              <w:t>分</w:t>
            </w:r>
          </w:p>
        </w:tc>
        <w:tc>
          <w:tcPr>
            <w:tcW w:w="5872" w:type="dxa"/>
            <w:gridSpan w:val="3"/>
            <w:vAlign w:val="center"/>
          </w:tcPr>
          <w:p w14:paraId="2936F08D">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（1）投标人的工程业绩在满足资格审查条件（业绩最低要求）时，得1.8分；</w:t>
            </w:r>
          </w:p>
          <w:p w14:paraId="31D03D77">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（2）在满足资格审查条件（业绩最低要求）的基础上，投标人</w:t>
            </w:r>
            <w:r>
              <w:rPr>
                <w:rFonts w:hint="eastAsia" w:ascii="宋体" w:hAnsi="宋体" w:eastAsia="宋体" w:cs="宋体"/>
                <w:color w:val="000000" w:themeColor="text1"/>
                <w:sz w:val="24"/>
                <w:szCs w:val="24"/>
                <w:highlight w:val="none"/>
                <w:lang w:eastAsia="zh-Hans"/>
                <w14:textFill>
                  <w14:solidFill>
                    <w14:schemeClr w14:val="tx1"/>
                  </w14:solidFill>
                </w14:textFill>
              </w:rPr>
              <w:t>自20</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lang w:eastAsia="zh-Hans"/>
                <w14:textFill>
                  <w14:solidFill>
                    <w14:schemeClr w14:val="tx1"/>
                  </w14:solidFill>
                </w14:textFill>
              </w:rPr>
              <w:t>年1月1日至今【以交（竣）工验收时间为准】</w:t>
            </w:r>
            <w:r>
              <w:rPr>
                <w:rFonts w:hint="eastAsia" w:ascii="宋体" w:hAnsi="宋体" w:eastAsia="宋体" w:cs="宋体"/>
                <w:color w:val="000000" w:themeColor="text1"/>
                <w:sz w:val="24"/>
                <w:szCs w:val="24"/>
                <w:highlight w:val="none"/>
                <w:lang w:eastAsia="zh-CN"/>
                <w14:textFill>
                  <w14:solidFill>
                    <w14:schemeClr w14:val="tx1"/>
                  </w14:solidFill>
                </w14:textFill>
              </w:rPr>
              <w:t>独立完成过质量合格的新、改、扩建沿海不少于5万吨级码头工程施工</w:t>
            </w:r>
            <w:r>
              <w:rPr>
                <w:rFonts w:hint="eastAsia" w:ascii="宋体" w:hAnsi="宋体" w:eastAsia="宋体" w:cs="宋体"/>
                <w:color w:val="000000" w:themeColor="text1"/>
                <w:sz w:val="24"/>
                <w:szCs w:val="24"/>
                <w:highlight w:val="none"/>
                <w:lang w:eastAsia="zh-Hans"/>
                <w14:textFill>
                  <w14:solidFill>
                    <w14:schemeClr w14:val="tx1"/>
                  </w14:solidFill>
                </w14:textFill>
              </w:rPr>
              <w:t>业绩</w:t>
            </w:r>
            <w:r>
              <w:rPr>
                <w:rFonts w:hint="eastAsia" w:ascii="宋体" w:hAnsi="宋体" w:eastAsia="宋体" w:cs="宋体"/>
                <w:color w:val="000000" w:themeColor="text1"/>
                <w:sz w:val="24"/>
                <w:szCs w:val="24"/>
                <w:highlight w:val="none"/>
                <w:lang w:eastAsia="zh-CN"/>
                <w14:textFill>
                  <w14:solidFill>
                    <w14:schemeClr w14:val="tx1"/>
                  </w14:solidFill>
                </w14:textFill>
              </w:rPr>
              <w:t>的，每完成1项得0.2分，最高可得1.2分。</w:t>
            </w:r>
          </w:p>
          <w:p w14:paraId="0B43167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注：（1）和（2）所要求的业绩仅限中华人民共和国境内业绩，业绩证明材料要求详见投标人须知前附表中需要补充的其他内容 3.5.3 项。</w:t>
            </w:r>
          </w:p>
        </w:tc>
      </w:tr>
    </w:tbl>
    <w:p w14:paraId="11D73798">
      <w:pPr>
        <w:pageBreakBefore w:val="0"/>
        <w:wordWrap/>
        <w:overflowPunct/>
        <w:bidi w:val="0"/>
        <w:spacing w:before="229"/>
        <w:rPr>
          <w:rFonts w:hint="eastAsia" w:ascii="宋体" w:hAnsi="宋体" w:eastAsia="宋体" w:cs="宋体"/>
          <w:color w:val="000000" w:themeColor="text1"/>
          <w:highlight w:val="none"/>
          <w:lang w:eastAsia="zh-CN"/>
          <w14:textFill>
            <w14:solidFill>
              <w14:schemeClr w14:val="tx1"/>
            </w14:solidFill>
          </w14:textFill>
        </w:rPr>
      </w:pPr>
    </w:p>
    <w:p w14:paraId="3755268C">
      <w:pPr>
        <w:pageBreakBefore w:val="0"/>
        <w:wordWrap/>
        <w:overflowPunct/>
        <w:bidi w:val="0"/>
        <w:spacing w:line="270" w:lineRule="auto"/>
        <w:rPr>
          <w:rFonts w:hint="eastAsia" w:ascii="宋体" w:hAnsi="宋体" w:eastAsia="宋体" w:cs="宋体"/>
          <w:color w:val="000000" w:themeColor="text1"/>
          <w:highlight w:val="none"/>
          <w:lang w:eastAsia="zh-CN"/>
          <w14:textFill>
            <w14:solidFill>
              <w14:schemeClr w14:val="tx1"/>
            </w14:solidFill>
          </w14:textFill>
        </w:rPr>
      </w:pPr>
    </w:p>
    <w:p w14:paraId="21FCAEFD">
      <w:pPr>
        <w:pageBreakBefore w:val="0"/>
        <w:wordWrap/>
        <w:overflowPunct/>
        <w:bidi w:val="0"/>
        <w:rPr>
          <w:rFonts w:hint="eastAsia" w:ascii="宋体" w:hAnsi="宋体" w:eastAsia="宋体" w:cs="宋体"/>
          <w:color w:val="000000" w:themeColor="text1"/>
          <w:sz w:val="18"/>
          <w:szCs w:val="18"/>
          <w:highlight w:val="none"/>
          <w:lang w:eastAsia="zh-CN"/>
          <w14:textFill>
            <w14:solidFill>
              <w14:schemeClr w14:val="tx1"/>
            </w14:solidFill>
          </w14:textFill>
        </w:rPr>
        <w:sectPr>
          <w:headerReference r:id="rId9" w:type="default"/>
          <w:footerReference r:id="rId10" w:type="default"/>
          <w:pgSz w:w="11900" w:h="16840"/>
          <w:pgMar w:top="947" w:right="1346" w:bottom="1084" w:left="1305" w:header="707" w:footer="921" w:gutter="0"/>
          <w:pgNumType w:fmt="numberInDash"/>
          <w:cols w:space="720" w:num="1"/>
        </w:sectPr>
      </w:pPr>
    </w:p>
    <w:p w14:paraId="75D1E66A">
      <w:pPr>
        <w:pageBreakBefore w:val="0"/>
        <w:wordWrap/>
        <w:overflowPunct/>
        <w:bidi w:val="0"/>
        <w:spacing w:before="87"/>
        <w:rPr>
          <w:rFonts w:hint="eastAsia" w:ascii="宋体" w:hAnsi="宋体" w:eastAsia="宋体" w:cs="宋体"/>
          <w:color w:val="000000" w:themeColor="text1"/>
          <w:highlight w:val="none"/>
          <w:lang w:eastAsia="zh-CN"/>
          <w14:textFill>
            <w14:solidFill>
              <w14:schemeClr w14:val="tx1"/>
            </w14:solidFill>
          </w14:textFill>
        </w:rPr>
      </w:pPr>
    </w:p>
    <w:tbl>
      <w:tblPr>
        <w:tblStyle w:val="12"/>
        <w:tblW w:w="8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7800"/>
      </w:tblGrid>
      <w:tr w14:paraId="505D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832" w:type="dxa"/>
            <w:gridSpan w:val="2"/>
            <w:shd w:val="clear" w:color="auto" w:fill="D7D7D7" w:themeFill="background1" w:themeFillShade="D8"/>
            <w:vAlign w:val="center"/>
          </w:tcPr>
          <w:p w14:paraId="10816DCB">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textAlignment w:val="baseline"/>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pacing w:val="-3"/>
                <w:sz w:val="24"/>
                <w:szCs w:val="24"/>
                <w:highlight w:val="none"/>
                <w:lang w:eastAsia="zh-CN"/>
                <w14:textFill>
                  <w14:solidFill>
                    <w14:schemeClr w14:val="tx1"/>
                  </w14:solidFill>
                </w14:textFill>
              </w:rPr>
              <w:t>需要补充的其他内容：</w:t>
            </w:r>
          </w:p>
        </w:tc>
      </w:tr>
      <w:tr w14:paraId="2D99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shd w:val="clear" w:color="auto" w:fill="D7D7D7" w:themeFill="background1" w:themeFillShade="D8"/>
            <w:vAlign w:val="center"/>
          </w:tcPr>
          <w:p w14:paraId="34BC480A">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条款号</w:t>
            </w:r>
          </w:p>
        </w:tc>
        <w:tc>
          <w:tcPr>
            <w:tcW w:w="7800" w:type="dxa"/>
            <w:shd w:val="clear" w:color="auto" w:fill="D7D7D7" w:themeFill="background1" w:themeFillShade="D8"/>
            <w:vAlign w:val="center"/>
          </w:tcPr>
          <w:p w14:paraId="3624673F">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b/>
                <w:bCs/>
                <w:color w:val="000000" w:themeColor="text1"/>
                <w:sz w:val="24"/>
                <w:szCs w:val="24"/>
                <w:highlight w:val="none"/>
                <w14:textFill>
                  <w14:solidFill>
                    <w14:schemeClr w14:val="tx1"/>
                  </w14:solidFill>
                </w14:textFill>
              </w:rPr>
            </w:pPr>
            <w:r>
              <w:rPr>
                <w:rFonts w:hint="eastAsia"/>
                <w:b/>
                <w:bCs/>
                <w:color w:val="000000" w:themeColor="text1"/>
                <w:spacing w:val="-2"/>
                <w:sz w:val="24"/>
                <w:szCs w:val="24"/>
                <w:highlight w:val="none"/>
                <w14:textFill>
                  <w14:solidFill>
                    <w14:schemeClr w14:val="tx1"/>
                  </w14:solidFill>
                </w14:textFill>
              </w:rPr>
              <w:t>补充或修改的内容</w:t>
            </w:r>
          </w:p>
        </w:tc>
      </w:tr>
      <w:tr w14:paraId="0505C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7E16C42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7800" w:type="dxa"/>
            <w:vAlign w:val="center"/>
          </w:tcPr>
          <w:p w14:paraId="4A6FA3FF">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将评标办法原文第1条“评标方法”改为“评标方法、组织及工作程序”，原文内容修改如下：</w:t>
            </w:r>
          </w:p>
          <w:p w14:paraId="37F33E7C">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1.评标方法、组织及工作程序</w:t>
            </w:r>
          </w:p>
          <w:p w14:paraId="09B0F484">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 评标方法</w:t>
            </w:r>
          </w:p>
          <w:p w14:paraId="64A11AC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14:paraId="138D58A7">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 评标组织</w:t>
            </w:r>
          </w:p>
          <w:p w14:paraId="308ECB05">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1.2.1协助工作组</w:t>
            </w:r>
          </w:p>
          <w:p w14:paraId="710F5C2D">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招标人可在评标工作开始前成立协助工作组，选派熟悉招标工作、政治素质高的人员组成，协助评标委员会工作。协助工作组人员的具体数量由招标人视评标工作量确定，评标责任由评标委员会负责。</w:t>
            </w:r>
          </w:p>
          <w:p w14:paraId="7550109F">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招标人可以协助评标委员会开展下列工作并提供相关信息：</w:t>
            </w:r>
          </w:p>
          <w:p w14:paraId="1B9AA1B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（1）根据招标文件，编制评标使用的相应表格；</w:t>
            </w:r>
          </w:p>
          <w:p w14:paraId="163AD05C">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（2）对投标报价进行算术性校核（如采用固化工程量清单，本步骤省略）；</w:t>
            </w:r>
          </w:p>
          <w:p w14:paraId="69581BF5">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（3）以评标标准和方法为依据，列出投标文件相对于招标文件的所有偏差，并进行归类汇总；</w:t>
            </w:r>
          </w:p>
          <w:p w14:paraId="74356B3B">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（4）对投标人的资质、业绩、主要人员资历和目前在岗情况、信用等级进行核实。</w:t>
            </w:r>
          </w:p>
          <w:p w14:paraId="405F9F7C">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招标人不得对投标文件作出任何评价，不得故意遗漏或者片面摘录，不得在评标委员会对所有偏差定性之前透露存有偏差的投标人名称。</w:t>
            </w:r>
          </w:p>
          <w:p w14:paraId="2F762500">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 评标委员会</w:t>
            </w:r>
          </w:p>
          <w:p w14:paraId="62763961">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评标委员会由招标人按国家、广东省等的有关规定依法组建。评标委员会的主要工作内容包括：</w:t>
            </w:r>
          </w:p>
          <w:p w14:paraId="6C8429E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（1）评标委员会开始评标工作之前，首先听取招标人、协助工作组关于工程情况和辅助工作的说明，并认真研读招标文件，获取评标所需的重要信息和数据；</w:t>
            </w:r>
          </w:p>
          <w:p w14:paraId="2548AA29">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（2）对协助工作组提供的评标工作用表和评标内容进行核查。</w:t>
            </w:r>
          </w:p>
          <w:p w14:paraId="6FB4AA8D">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（3）按照以下1.3款程序进行各项评审工作。</w:t>
            </w:r>
          </w:p>
          <w:p w14:paraId="00FFE441">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 评审工作程序</w:t>
            </w:r>
          </w:p>
          <w:p w14:paraId="73E43CFE">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（一）第一个信封（商务及技术文件）：</w:t>
            </w:r>
          </w:p>
          <w:p w14:paraId="1604E300">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l、初步评审：包括形式评审与响应性评审、资格评审；</w:t>
            </w:r>
          </w:p>
          <w:p w14:paraId="54852647">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2、详细评审（评审打分）：评标委员会首先对通过初步评审的投标文件第一个信封（商务及技术文件）进行详细评审，对投标人的施工组织设计、项目管理机构、其他因素等分别评审打分。</w:t>
            </w:r>
          </w:p>
          <w:p w14:paraId="131A633D">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（二）第二个信封（报价文件）：</w:t>
            </w:r>
          </w:p>
          <w:p w14:paraId="765DCEC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1、初步评审：</w:t>
            </w:r>
          </w:p>
          <w:p w14:paraId="07D2D4A2">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（1）只有投标文件第一个信封通过详细评审的投标人才能继续参加第二个信封报价文件的形式评审与响应性评审；</w:t>
            </w:r>
          </w:p>
          <w:p w14:paraId="3E33F5A3">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（2）报价算术性修正（如采用固化工程量清单，本步骤省略）；</w:t>
            </w:r>
          </w:p>
          <w:p w14:paraId="6A633D30">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2、详细评审：计算评标基准价、评标价得分及综合得分；</w:t>
            </w:r>
          </w:p>
          <w:p w14:paraId="7C2F4582">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（三）投标文件相关信息的核查。</w:t>
            </w:r>
          </w:p>
          <w:p w14:paraId="3C8A7BB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（四）投标文件的澄清和说明(如有)</w:t>
            </w:r>
          </w:p>
          <w:p w14:paraId="27B92679">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（五）按评标办法规定推荐中标候选人，编写评标报告。</w:t>
            </w:r>
          </w:p>
        </w:tc>
      </w:tr>
      <w:tr w14:paraId="0D86B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49C80C88">
            <w:pPr>
              <w:pStyle w:val="11"/>
              <w:keepNext w:val="0"/>
              <w:keepLines w:val="0"/>
              <w:pageBreakBefore w:val="0"/>
              <w:widowControl/>
              <w:kinsoku w:val="0"/>
              <w:wordWrap/>
              <w:overflowPunct/>
              <w:topLinePunct w:val="0"/>
              <w:autoSpaceDE w:val="0"/>
              <w:autoSpaceDN w:val="0"/>
              <w:bidi w:val="0"/>
              <w:adjustRightInd w:val="0"/>
              <w:snapToGrid w:val="0"/>
              <w:spacing w:before="78" w:after="0" w:line="240" w:lineRule="auto"/>
              <w:ind w:left="0" w:leftChars="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3.2.2</w:t>
            </w:r>
          </w:p>
        </w:tc>
        <w:tc>
          <w:tcPr>
            <w:tcW w:w="7800" w:type="dxa"/>
            <w:vAlign w:val="center"/>
          </w:tcPr>
          <w:p w14:paraId="1A959B3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将评标办法原文第3.2.2项修改如下：</w:t>
            </w:r>
          </w:p>
          <w:p w14:paraId="787076B3">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投标人的商务和技术得分分值计算保留小数点后三位，小数点后第四位“四舍五入”。</w:t>
            </w:r>
          </w:p>
        </w:tc>
      </w:tr>
      <w:tr w14:paraId="5C334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04FC02BB">
            <w:pPr>
              <w:pStyle w:val="11"/>
              <w:keepNext w:val="0"/>
              <w:keepLines w:val="0"/>
              <w:pageBreakBefore w:val="0"/>
              <w:widowControl/>
              <w:kinsoku w:val="0"/>
              <w:wordWrap/>
              <w:overflowPunct/>
              <w:topLinePunct w:val="0"/>
              <w:autoSpaceDE w:val="0"/>
              <w:autoSpaceDN w:val="0"/>
              <w:bidi w:val="0"/>
              <w:adjustRightInd w:val="0"/>
              <w:snapToGrid w:val="0"/>
              <w:spacing w:before="78" w:after="0" w:line="240" w:lineRule="auto"/>
              <w:ind w:left="0" w:leftChars="0"/>
              <w:jc w:val="center"/>
              <w:textAlignment w:val="baseline"/>
              <w:rPr>
                <w:rFonts w:hint="eastAsia"/>
                <w:color w:val="000000" w:themeColor="text1"/>
                <w:spacing w:val="-3"/>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3.2.3</w:t>
            </w:r>
          </w:p>
        </w:tc>
        <w:tc>
          <w:tcPr>
            <w:tcW w:w="7800" w:type="dxa"/>
            <w:vAlign w:val="center"/>
          </w:tcPr>
          <w:p w14:paraId="5301786E">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将评标办法范本原文第3.2.3项细化如下：</w:t>
            </w:r>
          </w:p>
          <w:p w14:paraId="7A75EC26">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投标人的商务和技术得分=A+B+D。</w:t>
            </w:r>
          </w:p>
          <w:p w14:paraId="18F165FE">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2"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除评标价、履约信誉得分外，投标文件各评分因素细分项得分均不应低于其权重分的60%，评分低于权重分值60%的，评标委员会成员应当在评标报告中作出说明。</w:t>
            </w:r>
          </w:p>
          <w:p w14:paraId="7FE2823C">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2"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评标委员会人数不少于9人单数时，</w:t>
            </w:r>
            <w:r>
              <w:rPr>
                <w:rFonts w:hint="eastAsia" w:ascii="宋体" w:hAnsi="宋体" w:eastAsia="宋体" w:cs="宋体"/>
                <w:color w:val="000000" w:themeColor="text1"/>
                <w:sz w:val="24"/>
                <w:szCs w:val="24"/>
                <w:highlight w:val="none"/>
                <w:lang w:eastAsia="zh-CN"/>
                <w14:textFill>
                  <w14:solidFill>
                    <w14:schemeClr w14:val="tx1"/>
                  </w14:solidFill>
                </w14:textFill>
              </w:rPr>
              <w:t>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作为投标人的最终技术得分，平均值计算保留小数点后三位，小数点后第四位“四舍五入”。</w:t>
            </w:r>
          </w:p>
          <w:p w14:paraId="2FAB2425">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14:paraId="53966C1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注：如某一评委对每个投标人评分如下：10分、10分、9分、8分、8分、7分、7分的情况，次分差计算方式如下：10分-8分=2分。</w:t>
            </w:r>
          </w:p>
          <w:p w14:paraId="4CBDA797">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取消其中1名评委评分的办法二：按随机抽取的方式选定取消1名评委评分。</w:t>
            </w:r>
          </w:p>
          <w:p w14:paraId="22D321A7">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2"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评标委员会人数为7人时，</w:t>
            </w:r>
            <w:r>
              <w:rPr>
                <w:rFonts w:hint="eastAsia" w:ascii="宋体" w:hAnsi="宋体" w:eastAsia="宋体" w:cs="宋体"/>
                <w:color w:val="000000" w:themeColor="text1"/>
                <w:sz w:val="24"/>
                <w:szCs w:val="24"/>
                <w:highlight w:val="none"/>
                <w:lang w:eastAsia="zh-CN"/>
                <w14:textFill>
                  <w14:solidFill>
                    <w14:schemeClr w14:val="tx1"/>
                  </w14:solidFill>
                </w14:textFill>
              </w:rPr>
              <w:t>计算投标人技术得分时:各评分因素细分项中取消一个最高、一个最低分后计算算术平均值作为投标人的最终技术得分，平均值计算保留小数点后四位，小数点后第五位“四舍五入”。</w:t>
            </w:r>
          </w:p>
          <w:p w14:paraId="315D1D21">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2" w:firstLineChars="200"/>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以上评标委员会人数以实际参与评审的评标委员会人数数量为准。</w:t>
            </w:r>
          </w:p>
        </w:tc>
      </w:tr>
      <w:tr w14:paraId="6CE0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35EE75D9">
            <w:pPr>
              <w:pStyle w:val="11"/>
              <w:keepNext w:val="0"/>
              <w:keepLines w:val="0"/>
              <w:pageBreakBefore w:val="0"/>
              <w:widowControl/>
              <w:kinsoku w:val="0"/>
              <w:wordWrap/>
              <w:overflowPunct/>
              <w:topLinePunct w:val="0"/>
              <w:autoSpaceDE w:val="0"/>
              <w:autoSpaceDN w:val="0"/>
              <w:bidi w:val="0"/>
              <w:adjustRightInd w:val="0"/>
              <w:snapToGrid w:val="0"/>
              <w:spacing w:before="78" w:after="0" w:line="240" w:lineRule="auto"/>
              <w:ind w:left="0" w:leftChars="0"/>
              <w:jc w:val="center"/>
              <w:textAlignment w:val="baseline"/>
              <w:rPr>
                <w:rFonts w:hint="eastAsia"/>
                <w:color w:val="000000" w:themeColor="text1"/>
                <w:spacing w:val="-3"/>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3.5.2</w:t>
            </w:r>
          </w:p>
        </w:tc>
        <w:tc>
          <w:tcPr>
            <w:tcW w:w="7800" w:type="dxa"/>
            <w:vAlign w:val="center"/>
          </w:tcPr>
          <w:p w14:paraId="182BCE4A">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将评标办法原文第3.5.2项细化如下：</w:t>
            </w:r>
          </w:p>
          <w:p w14:paraId="6395B92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投标人综合得分=投标人的商务和技术得分+C。（计算保留小数点后四位，小数点后第五位“四舍五入”）</w:t>
            </w:r>
          </w:p>
          <w:p w14:paraId="01ED304A">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C=投标报价得分</w:t>
            </w:r>
          </w:p>
        </w:tc>
      </w:tr>
      <w:tr w14:paraId="6C43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0C77CBF1">
            <w:pPr>
              <w:pStyle w:val="11"/>
              <w:keepNext w:val="0"/>
              <w:keepLines w:val="0"/>
              <w:pageBreakBefore w:val="0"/>
              <w:widowControl/>
              <w:kinsoku w:val="0"/>
              <w:wordWrap/>
              <w:overflowPunct/>
              <w:topLinePunct w:val="0"/>
              <w:autoSpaceDE w:val="0"/>
              <w:autoSpaceDN w:val="0"/>
              <w:bidi w:val="0"/>
              <w:adjustRightInd w:val="0"/>
              <w:snapToGrid w:val="0"/>
              <w:spacing w:before="78" w:after="0" w:line="240" w:lineRule="auto"/>
              <w:ind w:left="0" w:leftChars="0"/>
              <w:jc w:val="center"/>
              <w:textAlignment w:val="baseline"/>
              <w:rPr>
                <w:rFonts w:hint="eastAsia"/>
                <w:color w:val="000000" w:themeColor="text1"/>
                <w:spacing w:val="-5"/>
                <w:sz w:val="24"/>
                <w:szCs w:val="24"/>
                <w:highlight w:val="none"/>
                <w14:textFill>
                  <w14:solidFill>
                    <w14:schemeClr w14:val="tx1"/>
                  </w14:solidFill>
                </w14:textFill>
              </w:rPr>
            </w:pPr>
            <w:r>
              <w:rPr>
                <w:rFonts w:hint="eastAsia"/>
                <w:color w:val="000000" w:themeColor="text1"/>
                <w:spacing w:val="-5"/>
                <w:sz w:val="24"/>
                <w:szCs w:val="24"/>
                <w:highlight w:val="none"/>
                <w14:textFill>
                  <w14:solidFill>
                    <w14:schemeClr w14:val="tx1"/>
                  </w14:solidFill>
                </w14:textFill>
              </w:rPr>
              <w:t>3.6</w:t>
            </w:r>
          </w:p>
        </w:tc>
        <w:tc>
          <w:tcPr>
            <w:tcW w:w="7800" w:type="dxa"/>
            <w:vAlign w:val="center"/>
          </w:tcPr>
          <w:p w14:paraId="6AD79891">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3.6.1项（2）目末增加以下条款：</w:t>
            </w:r>
          </w:p>
          <w:p w14:paraId="6C04DF7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g.当一家以上投标人评标价相同时，若各投标人工程量清单细目单价也相同，视为串标（一个标段仅一工作细目报价的除外）。</w:t>
            </w:r>
          </w:p>
          <w:p w14:paraId="11FDF4E9">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h.广东省实施《中华人民共和国招标投标法》办法第十六条规定的情形。</w:t>
            </w:r>
          </w:p>
          <w:p w14:paraId="56A93AED">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增加3.6.2项：</w:t>
            </w:r>
          </w:p>
          <w:p w14:paraId="35467D5A">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3.6.2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47FF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7A12AAB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3.9</w:t>
            </w:r>
          </w:p>
        </w:tc>
        <w:tc>
          <w:tcPr>
            <w:tcW w:w="7800" w:type="dxa"/>
            <w:vAlign w:val="center"/>
          </w:tcPr>
          <w:p w14:paraId="392CFF95">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增加3.9.3-3.9.7项：</w:t>
            </w:r>
          </w:p>
          <w:p w14:paraId="0E55D8C4">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3.9.3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如允许多个标段同时投标，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001FBC3A">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3.9.4 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5C84A588">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3.9.5 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14:paraId="67CF2F8B">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3.9.6 如果发生无法确定推荐中标候选人的其他意外情况，评标委员会可建议招标人重新招标。</w:t>
            </w:r>
          </w:p>
          <w:p w14:paraId="125FC742">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3.9.7 本招标文件规定的否决投标条款包含在以下条款：</w:t>
            </w:r>
          </w:p>
          <w:p w14:paraId="69A484C2">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（1）招标公告第3点投标人资格要求；</w:t>
            </w:r>
          </w:p>
          <w:p w14:paraId="6785F24C">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投标人须知1.4.3项、1.4.4项、1.11.1项、1.12.2项、3.4.2项、3.6.1项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8AD3610">
            <w:pPr>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firstLine="480" w:firstLineChars="200"/>
              <w:textAlignment w:val="baseline"/>
              <w:rPr>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（3）本评标办法的否决条款。</w:t>
            </w:r>
          </w:p>
        </w:tc>
      </w:tr>
      <w:tr w14:paraId="6CF4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2" w:type="dxa"/>
            <w:vAlign w:val="center"/>
          </w:tcPr>
          <w:p w14:paraId="395815D9">
            <w:pPr>
              <w:pStyle w:val="11"/>
              <w:keepNext w:val="0"/>
              <w:keepLines w:val="0"/>
              <w:pageBreakBefore w:val="0"/>
              <w:widowControl/>
              <w:kinsoku w:val="0"/>
              <w:wordWrap/>
              <w:overflowPunct/>
              <w:topLinePunct w:val="0"/>
              <w:autoSpaceDE w:val="0"/>
              <w:autoSpaceDN w:val="0"/>
              <w:bidi w:val="0"/>
              <w:adjustRightInd w:val="0"/>
              <w:snapToGrid w:val="0"/>
              <w:spacing w:before="78" w:after="0" w:line="240" w:lineRule="auto"/>
              <w:ind w:left="0" w:leftChars="0"/>
              <w:jc w:val="center"/>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7800" w:type="dxa"/>
            <w:vAlign w:val="center"/>
          </w:tcPr>
          <w:p w14:paraId="034AF064">
            <w:pPr>
              <w:pStyle w:val="11"/>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textAlignment w:val="baseline"/>
              <w:rPr>
                <w:rFonts w:hint="eastAsia"/>
                <w:color w:val="000000" w:themeColor="text1"/>
                <w:sz w:val="24"/>
                <w:szCs w:val="24"/>
                <w:highlight w:val="none"/>
                <w14:textFill>
                  <w14:solidFill>
                    <w14:schemeClr w14:val="tx1"/>
                  </w14:solidFill>
                </w14:textFill>
              </w:rPr>
            </w:pPr>
          </w:p>
        </w:tc>
      </w:tr>
    </w:tbl>
    <w:p w14:paraId="61AACA18">
      <w:pPr>
        <w:pageBreakBefore w:val="0"/>
        <w:wordWrap/>
        <w:overflowPunct/>
        <w:bidi w:val="0"/>
        <w:rPr>
          <w:rFonts w:hint="eastAsia" w:ascii="宋体" w:hAnsi="宋体" w:eastAsia="宋体" w:cs="宋体"/>
          <w:color w:val="000000" w:themeColor="text1"/>
          <w:highlight w:val="none"/>
          <w14:textFill>
            <w14:solidFill>
              <w14:schemeClr w14:val="tx1"/>
            </w14:solidFill>
          </w14:textFill>
        </w:rPr>
        <w:sectPr>
          <w:headerReference r:id="rId11" w:type="default"/>
          <w:footerReference r:id="rId12" w:type="default"/>
          <w:pgSz w:w="11900" w:h="16840"/>
          <w:pgMar w:top="947" w:right="1417" w:bottom="1084" w:left="1305" w:header="707" w:footer="921" w:gutter="0"/>
          <w:pgNumType w:fmt="numberInDash"/>
          <w:cols w:space="720" w:num="1"/>
        </w:sectPr>
      </w:pPr>
    </w:p>
    <w:p w14:paraId="7017DE8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6" w:name="_Toc24772"/>
      <w:r>
        <w:rPr>
          <w:rFonts w:hint="eastAsia" w:ascii="宋体" w:hAnsi="宋体" w:eastAsia="宋体" w:cs="宋体"/>
          <w:b/>
          <w:bCs/>
          <w:color w:val="000000" w:themeColor="text1"/>
          <w:sz w:val="24"/>
          <w:szCs w:val="24"/>
          <w:highlight w:val="none"/>
          <w:lang w:eastAsia="zh-CN"/>
          <w14:textFill>
            <w14:solidFill>
              <w14:schemeClr w14:val="tx1"/>
            </w14:solidFill>
          </w14:textFill>
        </w:rPr>
        <w:t>1．评标方法</w:t>
      </w:r>
      <w:bookmarkEnd w:id="6"/>
    </w:p>
    <w:p w14:paraId="5EC0926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CBE07B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1"/>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7" w:name="_Toc30046"/>
      <w:r>
        <w:rPr>
          <w:rFonts w:hint="eastAsia" w:ascii="宋体" w:hAnsi="宋体" w:eastAsia="宋体" w:cs="宋体"/>
          <w:b/>
          <w:bCs/>
          <w:color w:val="000000" w:themeColor="text1"/>
          <w:sz w:val="24"/>
          <w:szCs w:val="24"/>
          <w:highlight w:val="none"/>
          <w:lang w:eastAsia="zh-CN"/>
          <w14:textFill>
            <w14:solidFill>
              <w14:schemeClr w14:val="tx1"/>
            </w14:solidFill>
          </w14:textFill>
        </w:rPr>
        <w:t>2．评审标准</w:t>
      </w:r>
      <w:bookmarkEnd w:id="7"/>
    </w:p>
    <w:p w14:paraId="4139A5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2.1 初步评审标准</w:t>
      </w:r>
    </w:p>
    <w:p w14:paraId="5B84AE6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2.1.1 形式评审标准：见评标办法前附表。</w:t>
      </w:r>
    </w:p>
    <w:p w14:paraId="0C23D42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2.1.2 资格评审标准：见评标办法前附表。</w:t>
      </w:r>
    </w:p>
    <w:p w14:paraId="558EA61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2.1.3 响应性评审标准：见评标办法前附表。</w:t>
      </w:r>
    </w:p>
    <w:p w14:paraId="5C87D7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 分值构成与评分标准</w:t>
      </w:r>
    </w:p>
    <w:p w14:paraId="626F3D9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2.2.1 分值构成</w:t>
      </w:r>
    </w:p>
    <w:p w14:paraId="609BEEA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（1）施工组织设计：见评标办法前附表；</w:t>
      </w:r>
    </w:p>
    <w:p w14:paraId="591F5A1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（2）主要人员：见评标办法前附表；</w:t>
      </w:r>
    </w:p>
    <w:p w14:paraId="22D084B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（3）投标报价：见评标办法前附表；</w:t>
      </w:r>
    </w:p>
    <w:p w14:paraId="347F4DB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（4）其他因素：见评标办法前附表。</w:t>
      </w:r>
    </w:p>
    <w:p w14:paraId="12D485E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2.2.2 评标基准价计算：见评标办法前附表；</w:t>
      </w:r>
    </w:p>
    <w:p w14:paraId="7E209E8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2.2.3 投标报价的偏差率计算：见评标办法前附表；</w:t>
      </w:r>
    </w:p>
    <w:p w14:paraId="446F0ED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2.2.4 评分标准</w:t>
      </w:r>
    </w:p>
    <w:p w14:paraId="739A228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（1）施工组织设计评分标准：见评标办法前附表；</w:t>
      </w:r>
    </w:p>
    <w:p w14:paraId="7B2A901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（2）主要人员评分标准：见评标办法前附表；</w:t>
      </w:r>
    </w:p>
    <w:p w14:paraId="2AE7C66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（3）投标报价评分标准：见评标办法前附表；</w:t>
      </w:r>
    </w:p>
    <w:p w14:paraId="18B3793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（4）其他因素评分标准：见评标办法前附表；</w:t>
      </w:r>
    </w:p>
    <w:p w14:paraId="383D3ED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1"/>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8" w:name="_Toc16070"/>
      <w:r>
        <w:rPr>
          <w:rFonts w:hint="eastAsia" w:ascii="宋体" w:hAnsi="宋体" w:eastAsia="宋体" w:cs="宋体"/>
          <w:b/>
          <w:bCs/>
          <w:color w:val="000000" w:themeColor="text1"/>
          <w:sz w:val="24"/>
          <w:szCs w:val="24"/>
          <w:highlight w:val="none"/>
          <w:lang w:eastAsia="zh-CN"/>
          <w14:textFill>
            <w14:solidFill>
              <w14:schemeClr w14:val="tx1"/>
            </w14:solidFill>
          </w14:textFill>
        </w:rPr>
        <w:t>3．评标程序</w:t>
      </w:r>
      <w:bookmarkEnd w:id="8"/>
    </w:p>
    <w:p w14:paraId="20A0A97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3.1 第一个信封初步评审</w:t>
      </w:r>
    </w:p>
    <w:p w14:paraId="4E92925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68044E4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3.2 第一个信封详细评审</w:t>
      </w:r>
    </w:p>
    <w:p w14:paraId="083C92C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评标委员会按本章第2.2款规定的量化因素和分值进行打分，并计算出各投标人的商务和技术得分。</w:t>
      </w:r>
    </w:p>
    <w:p w14:paraId="16D7959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（1）按本章第2.2.4（1）目规定的评审因素和分值对施工组织设计部分计算出得分A；</w:t>
      </w:r>
    </w:p>
    <w:p w14:paraId="6793802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（2）按本章第2.2.4（2）目规定的评审因素和分值对主要人员部分计算出得分B；</w:t>
      </w:r>
    </w:p>
    <w:p w14:paraId="20A8230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（3）按本章第2.2.4（4）目规定的评审因素和分值对其他部分计算出得分D。</w:t>
      </w:r>
    </w:p>
    <w:p w14:paraId="6D54624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 投标人的商务和技术得分分值计算保留小数点后两位，小数点后第三位“四舍五入”。</w:t>
      </w:r>
    </w:p>
    <w:p w14:paraId="594A904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3.2.3 投标人的商务和技术得分=A+B+D。</w:t>
      </w:r>
    </w:p>
    <w:p w14:paraId="1C8F1D2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3.3 第二个信封开标</w:t>
      </w:r>
    </w:p>
    <w:p w14:paraId="395E8E6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第一个信封（商务及技术文件）评审结束后，招标人将按照第二章“投标人须知”第5.1款规定的时间和地点对通过投标文件第一个信封（商务及技术文件）评审的投标文件第二个信封（报价文件）进行开标。</w:t>
      </w:r>
    </w:p>
    <w:p w14:paraId="7B89DD7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3.4 第二个信封初步评审</w:t>
      </w:r>
    </w:p>
    <w:p w14:paraId="7301BBC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评标委员会依据本章第2.1.1项、第2.1.3项规定的评审标准对投标文件第二个信封（报价文件）进行初步评审。有一项不符合评审标准的，评标委员会应否决其投标。</w:t>
      </w:r>
    </w:p>
    <w:p w14:paraId="248CA47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eastAsia="zh-CN"/>
          <w14:textFill>
            <w14:solidFill>
              <w14:schemeClr w14:val="tx1"/>
            </w14:solidFill>
          </w14:textFill>
        </w:rPr>
        <w:instrText xml:space="preserve">HYPERLINK\l"bookmark89"</w:instrTex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投标报价有算术错误的，评标委员会按以下原则对投标报价进行修正，修正的价格经投标人书面确认后具有约束力。投标人不接受修正价格的，评标委员会应否决其投标。</w:t>
      </w:r>
    </w:p>
    <w:p w14:paraId="428E62D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(1)投标文件中的大写金额与小写金额不一致的，以大写金额为准；</w:t>
      </w:r>
    </w:p>
    <w:p w14:paraId="6B72A46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(2)总价金额与依据单价计算出的结果不一致的，以单价金额为准修正总价，但单价金额小数点有明显错误的除外；</w:t>
      </w:r>
    </w:p>
    <w:p w14:paraId="2818E1A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(3)当单价与数量相乘不等于合价时，以单价计算为准，如果单价有明显的小数点位置差错，应以标出的合价为准，同时对单价予以修正；</w:t>
      </w:r>
    </w:p>
    <w:p w14:paraId="5D95710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9" w:name="bookmark89"/>
      <w:bookmarkEnd w:id="9"/>
      <w:r>
        <w:rPr>
          <w:rFonts w:hint="eastAsia" w:ascii="宋体" w:hAnsi="宋体" w:eastAsia="宋体" w:cs="宋体"/>
          <w:color w:val="000000" w:themeColor="text1"/>
          <w:sz w:val="24"/>
          <w:szCs w:val="24"/>
          <w:highlight w:val="none"/>
          <w:lang w:eastAsia="zh-CN"/>
          <w14:textFill>
            <w14:solidFill>
              <w14:schemeClr w14:val="tx1"/>
            </w14:solidFill>
          </w14:textFill>
        </w:rPr>
        <w:t>(4)当各子目的合价累计不等于总价时，应以各子目合价累计数为准，修正总价。</w:t>
      </w:r>
    </w:p>
    <w:p w14:paraId="491CE2B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有关3.4.2的说明：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3.4.2项和第3.4.3项的规定对投标报价进行修正，第3.4.2项至第3.4.5项内容不适用。）</w:t>
      </w:r>
    </w:p>
    <w:p w14:paraId="74327EE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3.4.3 工程量清单中的投标报价有其他错误的，评标委员会按以下原则对投标报价进行修正，修正的价格经投标人书面确认后具有约束力。投标人不接受修正价格的，评标委员会应否决其投标。</w:t>
      </w:r>
    </w:p>
    <w:p w14:paraId="503AC6B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9E57AC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3A4BFA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(3)当单价与数量的乘积与合价(金额)虽然一致，但投标人修改了该子目的工程数量，则其合价按招标人给定的工程数量乘以投标人所报单价予以修正。</w:t>
      </w:r>
    </w:p>
    <w:p w14:paraId="125A022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3.4.4 修正后的最终投标报价若超过最高投标限价(如有)，评标委员会应否决其投标。</w:t>
      </w:r>
    </w:p>
    <w:p w14:paraId="22105AF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3.4.5 修正后的最终投标报价仅作为签订合同的一个依据，不参与评标价得分的计算。</w:t>
      </w:r>
    </w:p>
    <w:p w14:paraId="687EB1A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3.5 第二个信封详细评审</w:t>
      </w:r>
    </w:p>
    <w:p w14:paraId="5F728AD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3.5.1 评标委员会按本章第2.2.4（3）目规定的评审因素和分值对投标报价计算出得分C。投标报价得分分值计算保留小数点后两位，小数点后第三位“四舍五入”。</w:t>
      </w:r>
    </w:p>
    <w:p w14:paraId="484644C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3.5.2 投标人得分=投标人的商务和技术得分+C</w:t>
      </w:r>
    </w:p>
    <w:p w14:paraId="4AC8A5B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0E8A0BC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3.6 投标文件相关信息的核查</w:t>
      </w:r>
    </w:p>
    <w:p w14:paraId="60F3019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3.6.1 评标委员会应对在评标过程中发现的投标人与投标人之间、投标人与招标人之间存在的串通投标的情形进行评审和认定。投标人存在串通投标、弄虚作假、行贿等违法行为的，评标委员会应否决其投标。</w:t>
      </w:r>
    </w:p>
    <w:p w14:paraId="659133C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（1）有下列情形之一的，属于投标人相互串通投标：</w:t>
      </w:r>
    </w:p>
    <w:p w14:paraId="0E7C5A6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a.投标人之间协商投标报价等投标文件的实质性内容；</w:t>
      </w:r>
    </w:p>
    <w:p w14:paraId="53A4AD4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b.投标人之间约定中标人；</w:t>
      </w:r>
    </w:p>
    <w:p w14:paraId="6F978B4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c.投标人之间约定部分投标人放弃投标或中标；</w:t>
      </w:r>
    </w:p>
    <w:p w14:paraId="23C6F584">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d.属于同一集团、协会、商会等组织成员的投标人按照该组织要求协同投标；</w:t>
      </w:r>
    </w:p>
    <w:p w14:paraId="22C590D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e.投标人之间为谋取中标或排斥特定投标人而采取的其他联合行动。</w:t>
      </w:r>
    </w:p>
    <w:p w14:paraId="1051367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（2）有下列情形之一的，视为投标人相互串通投标：</w:t>
      </w:r>
    </w:p>
    <w:p w14:paraId="16A2F78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a.不同投标人的投标文件由同一单位或个人编制；</w:t>
      </w:r>
    </w:p>
    <w:p w14:paraId="04FDD0E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b.不同投标人委托同一单位或个人办理投标事宜；</w:t>
      </w:r>
    </w:p>
    <w:p w14:paraId="1843FAD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c.不同投标人的投标文件载明的项目管理成员为同一人；</w:t>
      </w:r>
    </w:p>
    <w:p w14:paraId="02FC056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d.不同投标人的投标文件异常一致或投标报价呈规律性差异；</w:t>
      </w:r>
    </w:p>
    <w:p w14:paraId="1967B90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e.不同投标人的投标文件相互混装；</w:t>
      </w:r>
    </w:p>
    <w:p w14:paraId="3B310F84">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f.不同投标人的投标保证金从同一单位或个人的账户转出。</w:t>
      </w:r>
    </w:p>
    <w:p w14:paraId="642D159D">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（3）有下列情形之一的，属于招标人与投标人串通投标：</w:t>
      </w:r>
    </w:p>
    <w:p w14:paraId="30A31FF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a.招标人在开标前开启投标文件并将有关信息泄露给其他投标人；</w:t>
      </w:r>
    </w:p>
    <w:p w14:paraId="7D0F4C0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b.招标人直接或间接向投标人泄露标底、评标委员会成员等信息；</w:t>
      </w:r>
    </w:p>
    <w:p w14:paraId="4EE5ADC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c.招标人明示或暗示投标人压低或抬高投标报价；</w:t>
      </w:r>
    </w:p>
    <w:p w14:paraId="5C49369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d.招标人授意投标人撤换、修改投标文件；</w:t>
      </w:r>
    </w:p>
    <w:p w14:paraId="7FBF08C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e.招标人明示或暗示投标人为特定投标人中标提供方便；</w:t>
      </w:r>
    </w:p>
    <w:p w14:paraId="5EC0ABA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f.招标人与投标人为谋求特定投标人中标而采取的其他串通行为。</w:t>
      </w:r>
    </w:p>
    <w:p w14:paraId="2086457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（4）投标人有下列情形之一的，属于弄虚作假的行为：</w:t>
      </w:r>
    </w:p>
    <w:p w14:paraId="5A24B71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a.使用通过受让或租借等方式获取的资格、资质证书投标；</w:t>
      </w:r>
    </w:p>
    <w:p w14:paraId="4D9179D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b.使用伪造、变造的许可证件；</w:t>
      </w:r>
    </w:p>
    <w:p w14:paraId="60FB668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c.提供虚假的财务状况或业绩；</w:t>
      </w:r>
    </w:p>
    <w:p w14:paraId="2798F87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d.提供虚假的项目负责人或主要技术人员简历、劳动关系证明；</w:t>
      </w:r>
    </w:p>
    <w:p w14:paraId="328112F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e.提供虚假的信用状况；</w:t>
      </w:r>
    </w:p>
    <w:p w14:paraId="1CC1AC3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f.其他弄虚作假的行为。</w:t>
      </w:r>
    </w:p>
    <w:p w14:paraId="4CF8273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3.7 投标文件的澄清和说明</w:t>
      </w:r>
    </w:p>
    <w:p w14:paraId="67068C5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01434B3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3.7.2 澄清和说明不得超出投标文件的范围或改变投标文件的实质性内容（算术性错误的修正除外）。投标人的书面澄清、说明属于投标文件的组成部分。</w:t>
      </w:r>
    </w:p>
    <w:p w14:paraId="0DA838E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14:paraId="099B757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3.7.4 凡超出招标文件规定的或给招标人带来未曾要求的利益的变化、偏差或其他因素在评标时不予考虑。</w:t>
      </w:r>
    </w:p>
    <w:p w14:paraId="2593B41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3.8不得否决投标的情形</w:t>
      </w:r>
    </w:p>
    <w:p w14:paraId="2E70D44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投标文件存在第二章“投标人须知”第1.12.3项所列情形的，均视为细微偏差，评标委员会不得否决投标人的投标，应按照第二章“投标人须知”第1.12.4项规定的原则处理。</w:t>
      </w:r>
    </w:p>
    <w:p w14:paraId="398C519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outlineLvl w:val="2"/>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3.9评标结果</w:t>
      </w:r>
    </w:p>
    <w:p w14:paraId="5721F87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3.9.1 除第二章“投标人须知”前附表授权直接确定中标人外，评标委员会按照得分由高到低的顺序推荐中标候选人，并标明排序。</w:t>
      </w:r>
    </w:p>
    <w:p w14:paraId="7D1BDE0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pPr>
      <w:r>
        <w:rPr>
          <w:rFonts w:hint="eastAsia" w:ascii="宋体" w:hAnsi="宋体" w:eastAsia="宋体" w:cs="宋体"/>
          <w:color w:val="000000" w:themeColor="text1"/>
          <w:sz w:val="24"/>
          <w:szCs w:val="24"/>
          <w:highlight w:val="none"/>
          <w:lang w:eastAsia="zh-CN"/>
          <w14:textFill>
            <w14:solidFill>
              <w14:schemeClr w14:val="tx1"/>
            </w14:solidFill>
          </w14:textFill>
        </w:rPr>
        <w:t>3.9.2 评标委员会完成评标后，应向招标人提交书面评标报告。</w:t>
      </w:r>
    </w:p>
    <w:sectPr>
      <w:footerReference r:id="rId1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E38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F733">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F1CF733">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8BF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F5154">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31BF5154">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DCEA">
    <w:pPr>
      <w:spacing w:line="176" w:lineRule="auto"/>
      <w:ind w:left="44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6250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0306250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DF17">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A4B6E">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0A0A4B6E">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A2C1">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76D8C">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0DC76D8C">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F7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E04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9E04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EF66">
    <w:pPr>
      <w:spacing w:line="218" w:lineRule="auto"/>
      <w:ind w:left="17"/>
      <w:rPr>
        <w:rFonts w:hint="eastAsia"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E26C">
    <w:pPr>
      <w:spacing w:line="218" w:lineRule="auto"/>
      <w:ind w:left="17"/>
      <w:rPr>
        <w:rFonts w:hint="eastAsia"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6DFC">
    <w:pPr>
      <w:spacing w:line="218" w:lineRule="auto"/>
      <w:ind w:left="17"/>
      <w:rPr>
        <w:rFonts w:hint="eastAsia"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D5C7">
    <w:pPr>
      <w:spacing w:line="218" w:lineRule="auto"/>
      <w:ind w:left="120"/>
      <w:rPr>
        <w:rFonts w:hint="eastAsia"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C7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7FBA1"/>
    <w:multiLevelType w:val="singleLevel"/>
    <w:tmpl w:val="9767FBA1"/>
    <w:lvl w:ilvl="0" w:tentative="0">
      <w:start w:val="1"/>
      <w:numFmt w:val="decimal"/>
      <w:suff w:val="nothing"/>
      <w:lvlText w:val="（%1）"/>
      <w:lvlJc w:val="left"/>
    </w:lvl>
  </w:abstractNum>
  <w:abstractNum w:abstractNumId="1">
    <w:nsid w:val="A4A58A63"/>
    <w:multiLevelType w:val="singleLevel"/>
    <w:tmpl w:val="A4A58A63"/>
    <w:lvl w:ilvl="0" w:tentative="0">
      <w:start w:val="1"/>
      <w:numFmt w:val="decimal"/>
      <w:suff w:val="nothing"/>
      <w:lvlText w:val="（%1）"/>
      <w:lvlJc w:val="left"/>
    </w:lvl>
  </w:abstractNum>
  <w:abstractNum w:abstractNumId="2">
    <w:nsid w:val="FF0B8739"/>
    <w:multiLevelType w:val="singleLevel"/>
    <w:tmpl w:val="FF0B8739"/>
    <w:lvl w:ilvl="0" w:tentative="0">
      <w:start w:val="1"/>
      <w:numFmt w:val="decimal"/>
      <w:suff w:val="nothing"/>
      <w:lvlText w:val="（%1）"/>
      <w:lvlJc w:val="left"/>
    </w:lvl>
  </w:abstractNum>
  <w:abstractNum w:abstractNumId="3">
    <w:nsid w:val="0362030B"/>
    <w:multiLevelType w:val="singleLevel"/>
    <w:tmpl w:val="0362030B"/>
    <w:lvl w:ilvl="0" w:tentative="0">
      <w:start w:val="1"/>
      <w:numFmt w:val="decimal"/>
      <w:suff w:val="nothing"/>
      <w:lvlText w:val="（%1）"/>
      <w:lvlJc w:val="left"/>
    </w:lvl>
  </w:abstractNum>
  <w:abstractNum w:abstractNumId="4">
    <w:nsid w:val="087D992D"/>
    <w:multiLevelType w:val="singleLevel"/>
    <w:tmpl w:val="087D992D"/>
    <w:lvl w:ilvl="0" w:tentative="0">
      <w:start w:val="1"/>
      <w:numFmt w:val="decimal"/>
      <w:suff w:val="nothing"/>
      <w:lvlText w:val="（%1）"/>
      <w:lvlJc w:val="left"/>
    </w:lvl>
  </w:abstractNum>
  <w:abstractNum w:abstractNumId="5">
    <w:nsid w:val="15253D03"/>
    <w:multiLevelType w:val="singleLevel"/>
    <w:tmpl w:val="15253D03"/>
    <w:lvl w:ilvl="0" w:tentative="0">
      <w:start w:val="1"/>
      <w:numFmt w:val="decimal"/>
      <w:suff w:val="nothing"/>
      <w:lvlText w:val="（%1）"/>
      <w:lvlJc w:val="left"/>
    </w:lvl>
  </w:abstractNum>
  <w:abstractNum w:abstractNumId="6">
    <w:nsid w:val="5BD8B367"/>
    <w:multiLevelType w:val="singleLevel"/>
    <w:tmpl w:val="5BD8B367"/>
    <w:lvl w:ilvl="0" w:tentative="0">
      <w:start w:val="1"/>
      <w:numFmt w:val="decimal"/>
      <w:suff w:val="nothing"/>
      <w:lvlText w:val="（%1）"/>
      <w:lvlJc w:val="left"/>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C08E6"/>
    <w:rsid w:val="24255ABF"/>
    <w:rsid w:val="24844675"/>
    <w:rsid w:val="25052E0F"/>
    <w:rsid w:val="25DB04AA"/>
    <w:rsid w:val="26E629DC"/>
    <w:rsid w:val="44687A85"/>
    <w:rsid w:val="4D975614"/>
    <w:rsid w:val="536A616D"/>
    <w:rsid w:val="5797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rPr>
      <w:rFonts w:ascii="宋体" w:hAnsi="宋体" w:eastAsia="宋体" w:cs="宋体"/>
      <w:sz w:val="21"/>
      <w:szCs w:val="21"/>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
    <w:name w:val="正文文本 (2)_"/>
    <w:link w:val="10"/>
    <w:qFormat/>
    <w:locked/>
    <w:uiPriority w:val="99"/>
    <w:rPr>
      <w:rFonts w:ascii="MingLiU" w:eastAsia="MingLiU" w:cs="MingLiU"/>
      <w:spacing w:val="20"/>
      <w:sz w:val="22"/>
      <w:shd w:val="clear" w:color="auto" w:fill="FFFFFF"/>
    </w:rPr>
  </w:style>
  <w:style w:type="paragraph" w:customStyle="1" w:styleId="10">
    <w:name w:val="正文文本 (2)1"/>
    <w:basedOn w:val="1"/>
    <w:link w:val="9"/>
    <w:qFormat/>
    <w:uiPriority w:val="0"/>
    <w:pPr>
      <w:shd w:val="clear" w:color="auto" w:fill="FFFFFF"/>
      <w:spacing w:before="300" w:beforeLines="0" w:line="439" w:lineRule="exact"/>
      <w:jc w:val="distribute"/>
    </w:pPr>
    <w:rPr>
      <w:rFonts w:ascii="MingLiU" w:eastAsia="MingLiU" w:cs="MingLiU"/>
      <w:spacing w:val="20"/>
      <w:sz w:val="22"/>
      <w:shd w:val="clear" w:color="auto" w:fill="FFFFFF"/>
    </w:rPr>
  </w:style>
  <w:style w:type="paragraph" w:customStyle="1" w:styleId="11">
    <w:name w:val="Table Text"/>
    <w:basedOn w:val="1"/>
    <w:semiHidden/>
    <w:qFormat/>
    <w:uiPriority w:val="0"/>
    <w:rPr>
      <w:rFonts w:ascii="宋体" w:hAnsi="宋体" w:eastAsia="宋体" w:cs="宋体"/>
      <w:sz w:val="20"/>
      <w:szCs w:val="20"/>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584</Words>
  <Characters>601</Characters>
  <Lines>0</Lines>
  <Paragraphs>0</Paragraphs>
  <TotalTime>0</TotalTime>
  <ScaleCrop>false</ScaleCrop>
  <LinksUpToDate>false</LinksUpToDate>
  <CharactersWithSpaces>601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loisz</dc:creator>
  <cp:lastModifiedBy>广咨国际</cp:lastModifiedBy>
  <dcterms:modified xsi:type="dcterms:W3CDTF">2025-12-23T03:19:16Z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eyJoZGlkIjoiYWMzOTkwZTlhMWZkZGY4OGJlMmVhYmVlOWE0ZmY4ZjAiLCJ1c2VySWQiOiIxMzIzNTUyOCJ9</vt:lpwstr>
  </property>
  <property fmtid="{D5CDD505-2E9C-101B-9397-08002B2CF9AE}" pid="4" name="ICV">
    <vt:lpwstr>D40EF1B6E1B8469AAB6833CE2EED59A0_13</vt:lpwstr>
  </property>
</Properties>
</file>