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广东省工程建设项目</w:t>
      </w:r>
      <w:bookmarkStart w:id="0" w:name="_GoBack"/>
      <w:bookmarkEnd w:id="0"/>
      <w:r>
        <w:rPr>
          <w:rFonts w:hint="eastAsia"/>
        </w:rPr>
        <w:t>招标公告</w:t>
      </w:r>
    </w:p>
    <w:tbl>
      <w:tblPr>
        <w:tblStyle w:val="5"/>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861"/>
        <w:gridCol w:w="1547"/>
        <w:gridCol w:w="118"/>
        <w:gridCol w:w="1473"/>
        <w:gridCol w:w="1737"/>
        <w:gridCol w:w="1786"/>
      </w:tblGrid>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94"/>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投资项目代码</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9144010169693015XH</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71"/>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投资项目名称</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乐广高速公路（南段）源潭服务区建设项目施工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83"/>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招标项目名称</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乐广高速公路（南段）源潭服务区建设项目施工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929"/>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标段（包）名称</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TJ1</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公告性质</w:t>
            </w:r>
          </w:p>
        </w:tc>
        <w:tc>
          <w:tcPr>
            <w:tcW w:type="dxa" w:w="3523"/>
            <w:gridSpan w:val="2"/>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正常</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3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资格审查方式</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资格后审</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招标项目实施</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(交货)地点</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源潭服务区</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60"/>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资金来源</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企业自筹</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资金来源构成</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100%</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74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招标范围及规模</w:t>
            </w:r>
          </w:p>
        </w:tc>
        <w:tc>
          <w:tcPr>
            <w:tcW w:type="dxa" w:w="6661"/>
            <w:gridSpan w:val="5"/>
            <w:vAlign w:val="top"/>
          </w:tcPr>
          <w:p>
            <w:pPr>
              <w:jc w:val="both"/>
              <w:rPr>
                <w:sz w:val="18"/>
              </w:rPr>
            </w:pPr>
            <w:r>
              <w:rPr>
                <w:rFonts w:ascii="宋体" w:hAnsi="宋体" w:cs="宋体" w:eastAsia="宋体"/>
                <w:color w:val=""/>
                <w:sz w:val="18"/>
                <w:u w:val="none"/>
              </w:rPr>
              <w:t xml:space="preserve">    源潭服务区建设项目工程包括新建源潭南行服务区及现状北行源潭服务区提质升级改造。</w:t>
            </w:r>
          </w:p>
          <w:p>
            <w:pPr>
              <w:jc w:val="both"/>
              <w:rPr>
                <w:sz w:val="18"/>
              </w:rPr>
            </w:pPr>
            <w:r>
              <w:rPr>
                <w:rFonts w:ascii="宋体" w:hAnsi="宋体" w:cs="宋体" w:eastAsia="宋体"/>
                <w:color w:val=""/>
                <w:sz w:val="18"/>
                <w:u w:val="none"/>
              </w:rPr>
              <w:t xml:space="preserve">    新建源潭南行服务区，用地面积148.49亩；土建工程包括主线单侧拼宽段长595.544m，新建匝道845.808m，桥梁534.8m/3座，路面、绿化、机电及交安设施等；配套房建工程总建筑面积约10000㎡，包括新增综合楼、服务楼、设备用房、修车房及垃圾房、污水处理设备房、埋地污水处理池等。</w:t>
            </w:r>
          </w:p>
          <w:p>
            <w:pPr>
              <w:jc w:val="both"/>
              <w:rPr>
                <w:sz w:val="18"/>
              </w:rPr>
            </w:pPr>
            <w:r>
              <w:rPr>
                <w:rFonts w:ascii="宋体" w:hAnsi="宋体" w:cs="宋体" w:eastAsia="宋体"/>
                <w:color w:val=""/>
                <w:sz w:val="18"/>
                <w:u w:val="none"/>
              </w:rPr>
              <w:t xml:space="preserve">   现状北行源潭服务区提质升级改造，用地面积68.65亩；房建工程主要为服务楼局部改造，服务楼面积约2600㎡；土建工程为路面罩面等。</w:t>
            </w:r>
          </w:p>
          <w:p>
            <w:pPr>
              <w:jc w:val="both"/>
              <w:rPr>
                <w:sz w:val="18"/>
              </w:rPr>
            </w:pPr>
            <w:r>
              <w:rPr>
                <w:rFonts w:ascii="宋体" w:hAnsi="宋体" w:cs="宋体" w:eastAsia="宋体"/>
                <w:color w:val=""/>
                <w:sz w:val="18"/>
                <w:u w:val="none"/>
              </w:rPr>
              <w:t xml:space="preserve">   本工程计划工期为270天。</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66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招标内容</w:t>
            </w:r>
          </w:p>
        </w:tc>
        <w:tc>
          <w:tcPr>
            <w:tcW w:type="dxa" w:w="6661"/>
            <w:gridSpan w:val="5"/>
            <w:vAlign w:val="top"/>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工期（交货期）</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详见招标公告，具体开工日期以监理工程师签发的开工令为准。</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最高投标限价</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最高投标限价以补遗形式发布，发布时间在投标截止时间15天前。</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是否接受联合体投标</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否</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22"/>
        </w:trPr>
        <w:tc>
          <w:tcPr>
            <w:tcW w:type="dxa" w:w="1861"/>
            <w:vMerge w:val="restart"/>
            <w:vAlign w:val="center"/>
          </w:tcPr>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投标资格能力要求</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(包括但不限于资质</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人员、业绩等要求)</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投标人资格要求</w:t>
            </w:r>
          </w:p>
        </w:tc>
        <w:tc>
          <w:tcPr>
            <w:tcW w:type="dxa" w:w="4996"/>
            <w:gridSpan w:val="3"/>
            <w:vAlign w:val="center"/>
          </w:tcPr>
          <w:p>
            <w:pPr>
              <w:jc w:val="both"/>
              <w:rPr>
                <w:sz w:val="18"/>
              </w:rPr>
            </w:pPr>
            <w:r>
              <w:rPr>
                <w:rFonts w:ascii="宋体" w:hAnsi="宋体" w:cs="宋体" w:eastAsia="宋体"/>
                <w:color w:val=""/>
                <w:sz w:val="18"/>
                <w:u w:val="none"/>
              </w:rPr>
              <w:t>TJ1：1.具有独立法人资格，持有有效的营业执照。</w:t>
            </w:r>
          </w:p>
          <w:p>
            <w:pPr>
              <w:jc w:val="both"/>
              <w:rPr>
                <w:sz w:val="18"/>
              </w:rPr>
            </w:pPr>
            <w:r>
              <w:rPr>
                <w:rFonts w:ascii="宋体" w:hAnsi="宋体" w:cs="宋体" w:eastAsia="宋体"/>
                <w:color w:val=""/>
                <w:sz w:val="18"/>
                <w:u w:val="none"/>
              </w:rPr>
              <w:t>2.同时具备住房城乡建设主管部门核发的公路工程施工总承包壹级和建筑工程施工总承包贰级资质。</w:t>
            </w:r>
          </w:p>
          <w:p>
            <w:pPr>
              <w:jc w:val="both"/>
              <w:rPr>
                <w:sz w:val="18"/>
              </w:rPr>
            </w:pPr>
            <w:r>
              <w:rPr>
                <w:rFonts w:ascii="宋体" w:hAnsi="宋体" w:cs="宋体" w:eastAsia="宋体"/>
                <w:color w:val=""/>
                <w:sz w:val="18"/>
                <w:u w:val="none"/>
              </w:rPr>
              <w:t>3.具有合法有效的安全生产许可证。</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62"/>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投标人业绩要求</w:t>
            </w:r>
          </w:p>
        </w:tc>
        <w:tc>
          <w:tcPr>
            <w:tcW w:type="dxa" w:w="4996"/>
            <w:gridSpan w:val="3"/>
            <w:vAlign w:val="center"/>
          </w:tcPr>
          <w:p>
            <w:pPr>
              <w:jc w:val="both"/>
              <w:rPr>
                <w:sz w:val="18"/>
              </w:rPr>
            </w:pPr>
            <w:r>
              <w:rPr>
                <w:rFonts w:ascii="宋体" w:hAnsi="宋体" w:cs="宋体" w:eastAsia="宋体"/>
                <w:color w:val=""/>
                <w:sz w:val="18"/>
                <w:u w:val="none"/>
              </w:rPr>
              <w:t>TJ1：近五年内，成功完成:</w:t>
            </w:r>
          </w:p>
          <w:p>
            <w:pPr>
              <w:jc w:val="both"/>
              <w:rPr>
                <w:sz w:val="18"/>
              </w:rPr>
            </w:pPr>
            <w:r>
              <w:rPr>
                <w:rFonts w:ascii="宋体" w:hAnsi="宋体" w:cs="宋体" w:eastAsia="宋体"/>
                <w:color w:val=""/>
                <w:sz w:val="18"/>
                <w:u w:val="none"/>
              </w:rPr>
              <w:t>（1）新建或改、扩建高速公路沥青混凝土路面工程至少1个标段；</w:t>
            </w:r>
          </w:p>
          <w:p>
            <w:pPr>
              <w:jc w:val="both"/>
              <w:rPr>
                <w:sz w:val="18"/>
              </w:rPr>
            </w:pPr>
            <w:r>
              <w:rPr>
                <w:rFonts w:ascii="宋体" w:hAnsi="宋体" w:cs="宋体" w:eastAsia="宋体"/>
                <w:color w:val=""/>
                <w:sz w:val="18"/>
                <w:u w:val="none"/>
              </w:rPr>
              <w:t>（2）新建或改、扩建高速公路路基工程至少1个标段；</w:t>
            </w:r>
          </w:p>
          <w:p>
            <w:pPr>
              <w:jc w:val="both"/>
              <w:rPr>
                <w:sz w:val="18"/>
              </w:rPr>
            </w:pPr>
            <w:r>
              <w:rPr>
                <w:rFonts w:ascii="宋体" w:hAnsi="宋体" w:cs="宋体" w:eastAsia="宋体"/>
                <w:color w:val=""/>
                <w:sz w:val="18"/>
                <w:u w:val="none"/>
              </w:rPr>
              <w:t>（3）建筑面积累计30000㎡以上的新建房建工程(同时含土建和安装)。</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1018"/>
        </w:trPr>
        <w:tc>
          <w:tcPr>
            <w:tcW w:type="dxa" w:w="1861"/>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是否采用电子</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招标投标方式</w:t>
            </w:r>
          </w:p>
        </w:tc>
        <w:tc>
          <w:tcPr>
            <w:tcW w:type="dxa" w:w="1665"/>
            <w:gridSpan w:val="2"/>
            <w:vMerge w:val="restart"/>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是</w:t>
            </w:r>
          </w:p>
        </w:tc>
        <w:tc>
          <w:tcPr>
            <w:tcW w:type="dxa" w:w="1473"/>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/招标文件的</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方式</w:t>
            </w: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下载资格预审/招标文件的网络地址</w:t>
            </w:r>
          </w:p>
        </w:tc>
        <w:tc>
          <w:tcPr>
            <w:tcW w:type="dxa" w:w="1786"/>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广东省公路水运工程建设项目电子招投标交易平台（http://219.137.32.201:30887/tenderlogin）</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Merge w:val="continue"/>
            <w:vAlign w:val="center"/>
          </w:tcPr>
          <w:p>
            <w:pPr>
              <w:jc w:val="center"/>
              <w:rPr>
                <w:rFonts w:ascii="宋体" w:cs="宋体" w:eastAsia="宋体" w:hAnsi="宋体" w:hint="eastAsia"/>
                <w:sz w:val="18"/>
                <w:szCs w:val="18"/>
                <w:vertAlign w:val="baseline"/>
              </w:rPr>
            </w:pPr>
          </w:p>
        </w:tc>
        <w:tc>
          <w:tcPr>
            <w:tcW w:type="dxa" w:w="1473"/>
            <w:vMerge w:val="continue"/>
            <w:vAlign w:val="center"/>
          </w:tcPr>
          <w:p>
            <w:pPr>
              <w:jc w:val="center"/>
              <w:rPr>
                <w:rFonts w:ascii="宋体" w:cs="宋体" w:eastAsia="宋体" w:hAnsi="宋体" w:hint="eastAsia"/>
                <w:sz w:val="18"/>
                <w:szCs w:val="18"/>
                <w:vertAlign w:val="baseline"/>
              </w:rPr>
            </w:pP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获取纸质资格预审/招标文件的方式</w:t>
            </w:r>
          </w:p>
        </w:tc>
        <w:tc>
          <w:tcPr>
            <w:tcW w:type="dxa" w:w="1786"/>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获取资格预审/招标文件开始时间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2025年12月23日</w:t>
            </w:r>
          </w:p>
        </w:tc>
        <w:tc>
          <w:tcPr>
            <w:tcW w:type="dxa" w:w="1473"/>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/招标文件截</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止时间</w:t>
            </w:r>
          </w:p>
        </w:tc>
        <w:tc>
          <w:tcPr>
            <w:tcW w:type="dxa" w:w="3523"/>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2025年12月29日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递交资格预审/投标文件截止时间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2026年01月14日09时30分</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资格预审/投标文件递交方式</w:t>
            </w:r>
          </w:p>
        </w:tc>
        <w:tc>
          <w:tcPr>
            <w:tcW w:type="dxa" w:w="3523"/>
            <w:gridSpan w:val="2"/>
            <w:vAlign w:val="center"/>
          </w:tcPr>
          <w:p>
            <w:pPr>
              <w:jc w:val="both"/>
              <w:rPr>
                <w:sz w:val="18"/>
              </w:rPr>
            </w:pPr>
            <w:r>
              <w:rPr>
                <w:rFonts w:ascii="宋体" w:hAnsi="宋体" w:cs="宋体" w:eastAsia="宋体"/>
                <w:color w:val=""/>
                <w:sz w:val="18"/>
                <w:u w:val="none"/>
              </w:rPr>
              <w:t>投标文件电子文件统一采用网络上传的方式，投标人于2025年12月23日00时00分至_2026年01月14日09时30分将电子文件完整上传。递交投标文件纸质文件截止时间为2026年01月14日09时30分，投标人应于2026年01月14日09时00分至2026年01月14日09时30分将投标文件纸质文件递交至广州公共资源交易中心相应的开标室，具体开标室见交易中心大厅公告（广州市天河区天润路333号）。</w:t>
            </w:r>
          </w:p>
          <w:p>
            <w:pPr>
              <w:jc w:val="both"/>
              <w:rPr>
                <w:sz w:val="18"/>
              </w:rPr>
            </w:pPr>
            <w:r>
              <w:rPr>
                <w:rFonts w:ascii="宋体" w:hAnsi="宋体" w:cs="宋体" w:eastAsia="宋体"/>
                <w:color w:val=""/>
                <w:sz w:val="18"/>
                <w:u w:val="none"/>
              </w:rPr>
              <w:t>逾期送达的、未送达指定地点的或不按照招标文件要求密封的投标文件，招标人将予以拒收。</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开标时间</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2026年01月14日09时30分</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开标地点</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广州公共资源交易中心</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7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发布公告媒介</w:t>
            </w:r>
          </w:p>
        </w:tc>
        <w:tc>
          <w:tcPr>
            <w:tcW w:type="dxa" w:w="6661"/>
            <w:gridSpan w:val="5"/>
            <w:vAlign w:val="center"/>
          </w:tcPr>
          <w:p>
            <w:pPr>
              <w:jc w:val="both"/>
              <w:rPr>
                <w:sz w:val="18"/>
              </w:rPr>
            </w:pPr>
            <w:r>
              <w:rPr>
                <w:rFonts w:ascii="宋体" w:hAnsi="宋体" w:cs="宋体" w:eastAsia="宋体"/>
                <w:color w:val=""/>
                <w:sz w:val="18"/>
                <w:u w:val="none"/>
              </w:rPr>
              <w:t>本次招标公告同时在广东省招标投标监管网、广州公共资源交易中心及“粤采易”阳光采购平台网站上发布。如公告详细内容不一致者，以广东省招标投标监管网公告为准。</w:t>
            </w:r>
          </w:p>
          <w:p>
            <w:pPr>
              <w:jc w:val="both"/>
              <w:rPr>
                <w:sz w:val="18"/>
              </w:rPr>
            </w:pPr>
            <w:r>
              <w:rPr>
                <w:rFonts w:ascii="宋体" w:hAnsi="宋体" w:cs="宋体" w:eastAsia="宋体"/>
                <w:color w:val=""/>
                <w:sz w:val="18"/>
                <w:u w:val="none"/>
              </w:rPr>
              <w:t>7.在规定的投标登记期间，如某个标段投标登记并购买招标文件的投标人不足3家时，招标人有权选择以下任一方式：（1）在广东省招标投标监管网及 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广东广乐高速公路有限公司</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广东省清远市清城区源潭镇果园村对面</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张工</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13902230987</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招标监督机构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其他依法应当载明的内容</w:t>
            </w:r>
          </w:p>
        </w:tc>
        <w:tc>
          <w:tcPr>
            <w:tcW w:type="dxa" w:w="6661"/>
            <w:gridSpan w:val="5"/>
            <w:vAlign w:val="center"/>
          </w:tcPr>
          <w:p>
            <w:pPr>
              <w:jc w:val="center"/>
              <w:rPr>
                <w:rFonts w:ascii="宋体" w:cs="宋体" w:eastAsia="宋体" w:hAnsi="宋体" w:hint="eastAsia"/>
                <w:sz w:val="18"/>
                <w:szCs w:val="18"/>
                <w:vertAlign w:val="baseline"/>
              </w:rPr>
            </w:pPr>
          </w:p>
        </w:tc>
      </w:tr>
    </w:tbl>
    <w:p>
      <w:pPr>
        <w:rPr>
          <w:rFonts w:ascii="宋体" w:cs="宋体" w:eastAsia="宋体" w:hAnsi="宋体" w:hint="eastAsia"/>
        </w:rPr>
      </w:pPr>
    </w:p>
    <w:sectPr>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BmYzViNmM1OWM4MGVhN2RmMzhiYTQ1MGQ4MTgifQ=="/>
  </w:docVars>
  <w:rsids>
    <w:rsidRoot w:val="00000000"/>
    <w:rsid w:val="028247F4"/>
    <w:rsid w:val="0396194E"/>
    <w:rsid w:val="04620439"/>
    <w:rsid w:val="05687A1E"/>
    <w:rsid w:val="05932FA0"/>
    <w:rsid w:val="072445B9"/>
    <w:rsid w:val="08B7634F"/>
    <w:rsid w:val="0A7B4003"/>
    <w:rsid w:val="0ADD625D"/>
    <w:rsid w:val="0B085689"/>
    <w:rsid w:val="0B66715B"/>
    <w:rsid w:val="0BEA32BC"/>
    <w:rsid w:val="0CC86D0F"/>
    <w:rsid w:val="11F8062F"/>
    <w:rsid w:val="133815F1"/>
    <w:rsid w:val="1424395D"/>
    <w:rsid w:val="151F6812"/>
    <w:rsid w:val="17BA3F9F"/>
    <w:rsid w:val="18FA3AAC"/>
    <w:rsid w:val="1903629F"/>
    <w:rsid w:val="1937087B"/>
    <w:rsid w:val="19BD16CC"/>
    <w:rsid w:val="1A8D6F59"/>
    <w:rsid w:val="1AE77ACD"/>
    <w:rsid w:val="1BA63D15"/>
    <w:rsid w:val="1E9A4F48"/>
    <w:rsid w:val="1F015BE8"/>
    <w:rsid w:val="1F6F644D"/>
    <w:rsid w:val="22240889"/>
    <w:rsid w:val="2288155B"/>
    <w:rsid w:val="244F43AD"/>
    <w:rsid w:val="24C5104D"/>
    <w:rsid w:val="25205A7B"/>
    <w:rsid w:val="25EF5485"/>
    <w:rsid w:val="26192901"/>
    <w:rsid w:val="26BB1EFF"/>
    <w:rsid w:val="27C844E7"/>
    <w:rsid w:val="2A3C3357"/>
    <w:rsid w:val="2AF66BF8"/>
    <w:rsid w:val="2BB24EAC"/>
    <w:rsid w:val="2C243739"/>
    <w:rsid w:val="2D1B36F8"/>
    <w:rsid w:val="2DAC7BED"/>
    <w:rsid w:val="2FBA5573"/>
    <w:rsid w:val="307C6264"/>
    <w:rsid w:val="32F5208D"/>
    <w:rsid w:val="33492641"/>
    <w:rsid w:val="33D47D4F"/>
    <w:rsid w:val="34BE7E51"/>
    <w:rsid w:val="358A56C2"/>
    <w:rsid w:val="35DF39AD"/>
    <w:rsid w:val="37CE29CF"/>
    <w:rsid w:val="385D5DEF"/>
    <w:rsid w:val="38E31CCA"/>
    <w:rsid w:val="396B18F5"/>
    <w:rsid w:val="3A0674A4"/>
    <w:rsid w:val="3ADC46EA"/>
    <w:rsid w:val="3CAF4612"/>
    <w:rsid w:val="3E972B6C"/>
    <w:rsid w:val="3FA50A7A"/>
    <w:rsid w:val="40185875"/>
    <w:rsid w:val="403666A1"/>
    <w:rsid w:val="40FD53A3"/>
    <w:rsid w:val="412F7925"/>
    <w:rsid w:val="42355B4F"/>
    <w:rsid w:val="43076734"/>
    <w:rsid w:val="4327700E"/>
    <w:rsid w:val="43AF4742"/>
    <w:rsid w:val="43ED593A"/>
    <w:rsid w:val="44093E52"/>
    <w:rsid w:val="44711472"/>
    <w:rsid w:val="450B3510"/>
    <w:rsid w:val="45F11042"/>
    <w:rsid w:val="46E719AA"/>
    <w:rsid w:val="473F6691"/>
    <w:rsid w:val="478F466E"/>
    <w:rsid w:val="485D29BF"/>
    <w:rsid w:val="48724017"/>
    <w:rsid w:val="49DC0844"/>
    <w:rsid w:val="4B1331CA"/>
    <w:rsid w:val="4BB26B7D"/>
    <w:rsid w:val="4C1A1186"/>
    <w:rsid w:val="4C235C4C"/>
    <w:rsid w:val="4EDF7A58"/>
    <w:rsid w:val="4F626994"/>
    <w:rsid w:val="4FAD422B"/>
    <w:rsid w:val="4FCD042A"/>
    <w:rsid w:val="50037A14"/>
    <w:rsid w:val="50C35086"/>
    <w:rsid w:val="50CD3B67"/>
    <w:rsid w:val="546E63A5"/>
    <w:rsid w:val="55F14746"/>
    <w:rsid w:val="57812F2D"/>
    <w:rsid w:val="587578B0"/>
    <w:rsid w:val="58B242BD"/>
    <w:rsid w:val="59E26240"/>
    <w:rsid w:val="5C321615"/>
    <w:rsid w:val="5C53318D"/>
    <w:rsid w:val="5CE9261B"/>
    <w:rsid w:val="5D301FF8"/>
    <w:rsid w:val="5DA84284"/>
    <w:rsid w:val="5ED93504"/>
    <w:rsid w:val="5F107065"/>
    <w:rsid w:val="60592C21"/>
    <w:rsid w:val="60EA79A6"/>
    <w:rsid w:val="612C2AD6"/>
    <w:rsid w:val="62944BFA"/>
    <w:rsid w:val="638D1ED6"/>
    <w:rsid w:val="63DA4A6C"/>
    <w:rsid w:val="65165D18"/>
    <w:rsid w:val="657C227E"/>
    <w:rsid w:val="65A2329F"/>
    <w:rsid w:val="676E4DB6"/>
    <w:rsid w:val="6779459B"/>
    <w:rsid w:val="686178A3"/>
    <w:rsid w:val="68BE495C"/>
    <w:rsid w:val="68CF4DBB"/>
    <w:rsid w:val="69C615E3"/>
    <w:rsid w:val="6A1B23CD"/>
    <w:rsid w:val="6A2230B3"/>
    <w:rsid w:val="6BDA0D35"/>
    <w:rsid w:val="6C1A459F"/>
    <w:rsid w:val="6C2E3313"/>
    <w:rsid w:val="6CA51AD2"/>
    <w:rsid w:val="6D01750D"/>
    <w:rsid w:val="6D747CDF"/>
    <w:rsid w:val="6E0F17B6"/>
    <w:rsid w:val="6E586D17"/>
    <w:rsid w:val="6F603095"/>
    <w:rsid w:val="706728F0"/>
    <w:rsid w:val="71CA611F"/>
    <w:rsid w:val="72AB7B7B"/>
    <w:rsid w:val="745B748A"/>
    <w:rsid w:val="74777E8B"/>
    <w:rsid w:val="751A73BE"/>
    <w:rsid w:val="764C2334"/>
    <w:rsid w:val="781B08C4"/>
    <w:rsid w:val="786170B2"/>
    <w:rsid w:val="7A276C5B"/>
    <w:rsid w:val="7A737ACF"/>
    <w:rsid w:val="7AB30DC5"/>
    <w:rsid w:val="7B0F7299"/>
    <w:rsid w:val="7B263107"/>
    <w:rsid w:val="7BE54F72"/>
    <w:rsid w:val="7C142DB9"/>
    <w:rsid w:val="7CBA4636"/>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semiHidden="0"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qFormat="1" w:uiPriority="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qFormat="1" w:semiHidden="0" w:uiPriority="0" w:unhideWhenUsed="0"/>
    <w:lsdException w:name="Closing" w:semiHidden="0" w:uiPriority="0" w:unhideWhenUsed="0"/>
    <w:lsdException w:name="Signature" w:semiHidden="0" w:uiPriority="0" w:unhideWhenUsed="0"/>
    <w:lsdException w:name="Default Paragraph Font" w:qFormat="1"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qFormat="1"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qFormat="1" w:semiHidden="0" w:uiPriority="0" w:unhideWhenUsed="0"/>
    <w:lsdException w:name="Emphasis" w:qFormat="1"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qFormat="1"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4"/>
      <w:lang w:bidi="ar-SA" w:eastAsia="zh-CN" w:val="en-US"/>
    </w:rPr>
  </w:style>
  <w:style w:styleId="2" w:type="paragraph">
    <w:name w:val="heading 2"/>
    <w:basedOn w:val="1"/>
    <w:next w:val="1"/>
    <w:unhideWhenUsed/>
    <w:qFormat/>
    <w:uiPriority w:val="0"/>
    <w:pPr>
      <w:keepNext/>
      <w:keepLines/>
      <w:spacing w:after="260" w:afterAutospacing="0" w:afterLines="0" w:before="260" w:beforeAutospacing="0" w:beforeLines="0" w:line="413" w:lineRule="auto"/>
      <w:outlineLvl w:val="1"/>
    </w:pPr>
    <w:rPr>
      <w:rFonts w:ascii="Arial" w:eastAsia="黑体" w:hAnsi="Arial"/>
      <w:b/>
      <w:sz w:val="32"/>
    </w:rPr>
  </w:style>
  <w:style w:default="1" w:styleId="6" w:type="character">
    <w:name w:val="Default Paragraph Font"/>
    <w:semiHidden/>
    <w:qFormat/>
    <w:uiPriority w:val="0"/>
  </w:style>
  <w:style w:default="1" w:styleId="4" w:type="table">
    <w:name w:val="Normal Table"/>
    <w:semiHidden/>
    <w:qFormat/>
    <w:uiPriority w:val="0"/>
    <w:tblPr>
      <w:tblCellMar>
        <w:top w:type="dxa" w:w="0"/>
        <w:left w:type="dxa" w:w="108"/>
        <w:bottom w:type="dxa" w:w="0"/>
        <w:right w:type="dxa" w:w="108"/>
      </w:tblCellMar>
    </w:tblPr>
  </w:style>
  <w:style w:styleId="3" w:type="paragraph">
    <w:name w:val="HTML Preformatted"/>
    <w:basedOn w:val="1"/>
    <w:uiPriority w:val="0"/>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cs="宋体" w:eastAsia="宋体" w:hAnsi="宋体" w:hint="eastAsia"/>
      <w:kern w:val="0"/>
      <w:sz w:val="24"/>
      <w:szCs w:val="24"/>
      <w:lang w:bidi="ar" w:eastAsia="zh-CN" w:val="en-US"/>
    </w:rPr>
  </w:style>
  <w:style w:styleId="5" w:type="table">
    <w:name w:val="Table Grid"/>
    <w:basedOn w:val="4"/>
    <w:qFormat/>
    <w:uiPriority w:val="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2023-10-30T03:10:00Z</dcterms:created>
  <dc:creator>ct</dc:creator>
  <cp:lastModifiedBy>空白</cp:lastModifiedBy>
  <dcterms:modified xsi:type="dcterms:W3CDTF">2023-11-08T02:35:37Z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2052-12.1.0.15712</vt:lpwstr>
  </property>
  <property fmtid="{D5CDD505-2E9C-101B-9397-08002B2CF9AE}" name="ICV" pid="3">
    <vt:lpwstr>DE513D7F1DA64BA78ED3D63D32C30144_12</vt:lpwstr>
  </property>
</Properties>
</file>