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126" w:firstLineChars="45"/>
        <w:jc w:val="center"/>
        <w:rPr>
          <w:rFonts w:ascii="黑体" w:eastAsia="黑体"/>
          <w:color w:val="auto"/>
          <w:sz w:val="28"/>
        </w:rPr>
      </w:pPr>
      <w:r>
        <w:rPr>
          <w:rFonts w:hint="eastAsia" w:ascii="黑体" w:eastAsia="黑体"/>
          <w:color w:val="auto"/>
          <w:sz w:val="28"/>
        </w:rPr>
        <w:t>甲方合同编号：</w:t>
      </w:r>
    </w:p>
    <w:p>
      <w:pPr>
        <w:adjustRightInd w:val="0"/>
        <w:snapToGrid w:val="0"/>
        <w:spacing w:line="360" w:lineRule="auto"/>
        <w:ind w:firstLine="126" w:firstLineChars="45"/>
        <w:jc w:val="center"/>
        <w:rPr>
          <w:rFonts w:ascii="黑体" w:eastAsia="黑体"/>
          <w:color w:val="auto"/>
          <w:sz w:val="28"/>
          <w:szCs w:val="22"/>
        </w:rPr>
      </w:pPr>
      <w:r>
        <w:rPr>
          <w:rFonts w:hint="eastAsia" w:ascii="黑体" w:eastAsia="黑体"/>
          <w:color w:val="auto"/>
          <w:sz w:val="28"/>
          <w:szCs w:val="22"/>
        </w:rPr>
        <w:t>乙方合同编号：</w:t>
      </w:r>
    </w:p>
    <w:p>
      <w:pPr>
        <w:adjustRightInd w:val="0"/>
        <w:snapToGrid w:val="0"/>
        <w:spacing w:line="312" w:lineRule="auto"/>
        <w:rPr>
          <w:rFonts w:ascii="黑体" w:eastAsia="黑体"/>
          <w:color w:val="auto"/>
          <w:sz w:val="44"/>
        </w:rPr>
      </w:pPr>
    </w:p>
    <w:p>
      <w:pPr>
        <w:pStyle w:val="8"/>
        <w:rPr>
          <w:rFonts w:ascii="黑体" w:eastAsia="黑体"/>
          <w:color w:val="auto"/>
          <w:sz w:val="44"/>
        </w:rPr>
      </w:pPr>
    </w:p>
    <w:p>
      <w:pPr>
        <w:pStyle w:val="7"/>
        <w:spacing w:line="336" w:lineRule="auto"/>
        <w:jc w:val="center"/>
        <w:rPr>
          <w:rFonts w:ascii="黑体" w:eastAsia="黑体"/>
          <w:bCs/>
          <w:color w:val="auto"/>
          <w:sz w:val="36"/>
          <w:szCs w:val="36"/>
        </w:rPr>
      </w:pPr>
      <w:r>
        <w:rPr>
          <w:rFonts w:hint="eastAsia" w:ascii="黑体" w:eastAsia="黑体"/>
          <w:bCs/>
          <w:color w:val="auto"/>
          <w:sz w:val="36"/>
          <w:szCs w:val="36"/>
        </w:rPr>
        <w:t>广州工控大湾区现代高端装备研发生产基地项目</w:t>
      </w:r>
    </w:p>
    <w:p>
      <w:pPr>
        <w:pStyle w:val="7"/>
        <w:spacing w:line="336" w:lineRule="auto"/>
        <w:jc w:val="center"/>
        <w:rPr>
          <w:rFonts w:ascii="黑体" w:eastAsia="黑体"/>
          <w:bCs/>
          <w:color w:val="auto"/>
          <w:sz w:val="36"/>
          <w:szCs w:val="36"/>
        </w:rPr>
      </w:pPr>
      <w:r>
        <w:rPr>
          <w:rFonts w:hint="eastAsia" w:ascii="黑体" w:eastAsia="黑体"/>
          <w:bCs/>
          <w:color w:val="auto"/>
          <w:sz w:val="36"/>
          <w:szCs w:val="36"/>
        </w:rPr>
        <w:t>（二期）第三方检测及监测服务合同</w:t>
      </w:r>
    </w:p>
    <w:p>
      <w:pPr>
        <w:adjustRightInd w:val="0"/>
        <w:snapToGrid w:val="0"/>
        <w:spacing w:line="312" w:lineRule="auto"/>
        <w:rPr>
          <w:color w:val="auto"/>
          <w:sz w:val="36"/>
        </w:rPr>
      </w:pPr>
    </w:p>
    <w:p>
      <w:pPr>
        <w:adjustRightInd w:val="0"/>
        <w:snapToGrid w:val="0"/>
        <w:spacing w:line="312" w:lineRule="auto"/>
        <w:rPr>
          <w:color w:val="auto"/>
          <w:sz w:val="36"/>
        </w:rPr>
      </w:pPr>
    </w:p>
    <w:p>
      <w:pPr>
        <w:adjustRightInd w:val="0"/>
        <w:snapToGrid w:val="0"/>
        <w:spacing w:line="312" w:lineRule="auto"/>
        <w:rPr>
          <w:color w:val="auto"/>
          <w:sz w:val="36"/>
        </w:rPr>
      </w:pPr>
    </w:p>
    <w:p>
      <w:pPr>
        <w:adjustRightInd w:val="0"/>
        <w:snapToGrid w:val="0"/>
        <w:spacing w:line="312" w:lineRule="auto"/>
        <w:rPr>
          <w:color w:val="auto"/>
          <w:sz w:val="36"/>
        </w:rPr>
      </w:pPr>
    </w:p>
    <w:p>
      <w:pPr>
        <w:adjustRightInd w:val="0"/>
        <w:snapToGrid w:val="0"/>
        <w:spacing w:line="312" w:lineRule="auto"/>
        <w:rPr>
          <w:color w:val="auto"/>
          <w:sz w:val="36"/>
        </w:rPr>
      </w:pPr>
    </w:p>
    <w:p>
      <w:pPr>
        <w:adjustRightInd w:val="0"/>
        <w:snapToGrid w:val="0"/>
        <w:spacing w:line="312" w:lineRule="auto"/>
        <w:rPr>
          <w:color w:val="auto"/>
          <w:sz w:val="36"/>
        </w:rPr>
      </w:pPr>
    </w:p>
    <w:p>
      <w:pPr>
        <w:pStyle w:val="7"/>
        <w:spacing w:line="336" w:lineRule="auto"/>
        <w:ind w:left="1285" w:hanging="1285" w:hangingChars="400"/>
        <w:rPr>
          <w:rFonts w:ascii="仿宋_GB2312" w:eastAsia="仿宋_GB2312"/>
          <w:b/>
          <w:bCs/>
          <w:color w:val="auto"/>
          <w:sz w:val="32"/>
          <w:szCs w:val="32"/>
          <w:u w:val="single"/>
        </w:rPr>
      </w:pPr>
      <w:r>
        <w:rPr>
          <w:rFonts w:hint="eastAsia" w:ascii="仿宋_GB2312" w:eastAsia="仿宋_GB2312"/>
          <w:b/>
          <w:bCs/>
          <w:color w:val="auto"/>
          <w:sz w:val="32"/>
          <w:szCs w:val="32"/>
        </w:rPr>
        <w:t>项目名称：</w:t>
      </w:r>
      <w:r>
        <w:rPr>
          <w:rFonts w:hint="eastAsia" w:ascii="仿宋_GB2312" w:eastAsia="仿宋_GB2312"/>
          <w:b/>
          <w:bCs/>
          <w:color w:val="auto"/>
          <w:sz w:val="32"/>
          <w:szCs w:val="32"/>
          <w:u w:val="single"/>
        </w:rPr>
        <w:t>广州工控大湾区现代高端装备研发生产基地项目（二期）第三方检测及监测服务</w:t>
      </w:r>
      <w:bookmarkStart w:id="21" w:name="_GoBack"/>
      <w:bookmarkEnd w:id="21"/>
    </w:p>
    <w:p>
      <w:pPr>
        <w:adjustRightInd w:val="0"/>
        <w:snapToGrid w:val="0"/>
        <w:spacing w:beforeLines="20" w:line="312" w:lineRule="auto"/>
        <w:ind w:left="2156" w:hanging="2156" w:hangingChars="671"/>
        <w:rPr>
          <w:rFonts w:ascii="仿宋_GB2312" w:hAnsi="宋体" w:eastAsia="仿宋_GB2312" w:cs="宋体"/>
          <w:b/>
          <w:bCs/>
          <w:color w:val="auto"/>
          <w:kern w:val="0"/>
          <w:sz w:val="32"/>
          <w:szCs w:val="32"/>
          <w:u w:val="single"/>
        </w:rPr>
      </w:pPr>
      <w:r>
        <w:rPr>
          <w:rFonts w:hint="eastAsia" w:ascii="仿宋_GB2312" w:eastAsia="仿宋_GB2312"/>
          <w:b/>
          <w:bCs/>
          <w:color w:val="auto"/>
          <w:sz w:val="32"/>
          <w:szCs w:val="32"/>
        </w:rPr>
        <w:t>委托方（甲方）：</w:t>
      </w:r>
      <w:r>
        <w:rPr>
          <w:rFonts w:hint="eastAsia" w:ascii="仿宋_GB2312" w:hAnsi="宋体" w:eastAsia="仿宋_GB2312" w:cs="宋体"/>
          <w:b/>
          <w:bCs/>
          <w:color w:val="auto"/>
          <w:kern w:val="0"/>
          <w:sz w:val="32"/>
          <w:szCs w:val="32"/>
          <w:u w:val="single"/>
        </w:rPr>
        <w:t>广州中船船用柴油机有限公司</w:t>
      </w:r>
    </w:p>
    <w:p>
      <w:pPr>
        <w:adjustRightInd w:val="0"/>
        <w:snapToGrid w:val="0"/>
        <w:spacing w:beforeLines="20" w:line="312" w:lineRule="auto"/>
        <w:ind w:left="2156" w:hanging="2156" w:hangingChars="671"/>
        <w:rPr>
          <w:rFonts w:ascii="仿宋_GB2312" w:eastAsia="仿宋_GB2312"/>
          <w:b/>
          <w:bCs/>
          <w:color w:val="auto"/>
          <w:sz w:val="32"/>
          <w:szCs w:val="32"/>
        </w:rPr>
      </w:pPr>
    </w:p>
    <w:p>
      <w:pPr>
        <w:adjustRightInd w:val="0"/>
        <w:snapToGrid w:val="0"/>
        <w:spacing w:before="20" w:line="312" w:lineRule="auto"/>
        <w:ind w:left="2156" w:hanging="2156" w:hangingChars="671"/>
        <w:rPr>
          <w:rFonts w:ascii="仿宋_GB2312" w:eastAsia="仿宋_GB2312"/>
          <w:b/>
          <w:bCs/>
          <w:color w:val="auto"/>
          <w:sz w:val="32"/>
          <w:szCs w:val="32"/>
        </w:rPr>
      </w:pPr>
      <w:r>
        <w:rPr>
          <w:rFonts w:hint="eastAsia" w:ascii="仿宋_GB2312" w:eastAsia="仿宋_GB2312"/>
          <w:b/>
          <w:bCs/>
          <w:color w:val="auto"/>
          <w:sz w:val="32"/>
          <w:szCs w:val="32"/>
        </w:rPr>
        <w:t>签订地点：</w:t>
      </w:r>
      <w:r>
        <w:rPr>
          <w:rFonts w:hint="eastAsia" w:ascii="仿宋_GB2312" w:eastAsia="仿宋_GB2312"/>
          <w:b/>
          <w:bCs/>
          <w:color w:val="auto"/>
          <w:sz w:val="32"/>
          <w:szCs w:val="32"/>
          <w:u w:val="single"/>
        </w:rPr>
        <w:t>广东省广州市南沙区</w:t>
      </w:r>
    </w:p>
    <w:p>
      <w:pPr>
        <w:pStyle w:val="8"/>
        <w:rPr>
          <w:b/>
          <w:bCs/>
          <w:color w:val="auto"/>
          <w:sz w:val="36"/>
        </w:rPr>
      </w:pPr>
    </w:p>
    <w:p>
      <w:pPr>
        <w:pStyle w:val="8"/>
        <w:rPr>
          <w:b/>
          <w:bCs/>
          <w:color w:val="auto"/>
          <w:sz w:val="36"/>
        </w:rPr>
      </w:pPr>
    </w:p>
    <w:p>
      <w:pPr>
        <w:pStyle w:val="8"/>
        <w:rPr>
          <w:b/>
          <w:bCs/>
          <w:color w:val="auto"/>
          <w:sz w:val="36"/>
        </w:rPr>
      </w:pPr>
    </w:p>
    <w:p>
      <w:pPr>
        <w:adjustRightInd w:val="0"/>
        <w:snapToGrid w:val="0"/>
        <w:spacing w:beforeLines="130" w:line="288" w:lineRule="auto"/>
        <w:ind w:firstLine="405" w:firstLineChars="112"/>
        <w:jc w:val="center"/>
        <w:rPr>
          <w:rFonts w:ascii="黑体" w:eastAsia="黑体"/>
          <w:b/>
          <w:bCs/>
          <w:color w:val="auto"/>
          <w:sz w:val="36"/>
        </w:rPr>
      </w:pPr>
      <w:r>
        <w:rPr>
          <w:rFonts w:hint="eastAsia" w:ascii="黑体" w:eastAsia="黑体"/>
          <w:b/>
          <w:bCs/>
          <w:color w:val="auto"/>
          <w:sz w:val="36"/>
        </w:rPr>
        <w:t>中华人民共和国科学技术部印制</w:t>
      </w:r>
    </w:p>
    <w:p>
      <w:pPr>
        <w:pStyle w:val="8"/>
        <w:rPr>
          <w:rFonts w:ascii="黑体" w:eastAsia="黑体"/>
          <w:color w:val="auto"/>
          <w:sz w:val="44"/>
        </w:rPr>
      </w:pPr>
    </w:p>
    <w:p>
      <w:pPr>
        <w:pStyle w:val="8"/>
        <w:rPr>
          <w:rFonts w:ascii="黑体" w:eastAsia="黑体"/>
          <w:color w:val="auto"/>
          <w:sz w:val="44"/>
        </w:rPr>
      </w:pPr>
    </w:p>
    <w:p>
      <w:pPr>
        <w:adjustRightInd w:val="0"/>
        <w:snapToGrid w:val="0"/>
        <w:jc w:val="center"/>
        <w:rPr>
          <w:rFonts w:ascii="黑体" w:eastAsia="黑体"/>
          <w:color w:val="auto"/>
          <w:sz w:val="44"/>
        </w:rPr>
      </w:pPr>
      <w:r>
        <w:rPr>
          <w:rFonts w:hint="eastAsia" w:ascii="黑体" w:eastAsia="黑体"/>
          <w:color w:val="auto"/>
          <w:sz w:val="44"/>
        </w:rPr>
        <w:t>填写说明</w:t>
      </w:r>
    </w:p>
    <w:p>
      <w:pPr>
        <w:adjustRightInd w:val="0"/>
        <w:snapToGrid w:val="0"/>
        <w:jc w:val="center"/>
        <w:rPr>
          <w:color w:val="auto"/>
          <w:sz w:val="44"/>
        </w:rPr>
      </w:pPr>
    </w:p>
    <w:p>
      <w:pPr>
        <w:adjustRightInd w:val="0"/>
        <w:snapToGrid w:val="0"/>
        <w:spacing w:line="360" w:lineRule="auto"/>
        <w:ind w:firstLine="560" w:firstLineChars="200"/>
        <w:rPr>
          <w:rFonts w:ascii="仿宋_GB2312" w:eastAsia="仿宋_GB2312"/>
          <w:color w:val="auto"/>
          <w:sz w:val="28"/>
        </w:rPr>
      </w:pPr>
      <w:r>
        <w:rPr>
          <w:rFonts w:hint="eastAsia" w:ascii="仿宋_GB2312" w:eastAsia="仿宋_GB2312"/>
          <w:color w:val="auto"/>
          <w:sz w:val="28"/>
        </w:rPr>
        <w:t>一、本合同为中华人民共和国科学技术部印制的技术服务合同示范文本，各技术合同登记机构可推介技术合同当事人参照使用。</w:t>
      </w:r>
    </w:p>
    <w:p>
      <w:pPr>
        <w:adjustRightInd w:val="0"/>
        <w:snapToGrid w:val="0"/>
        <w:spacing w:line="360" w:lineRule="auto"/>
        <w:ind w:firstLine="560" w:firstLineChars="200"/>
        <w:rPr>
          <w:rFonts w:ascii="仿宋_GB2312" w:eastAsia="仿宋_GB2312"/>
          <w:color w:val="auto"/>
          <w:sz w:val="28"/>
        </w:rPr>
      </w:pPr>
      <w:r>
        <w:rPr>
          <w:rFonts w:hint="eastAsia" w:ascii="仿宋_GB2312" w:eastAsia="仿宋_GB2312"/>
          <w:color w:val="auto"/>
          <w:sz w:val="28"/>
        </w:rPr>
        <w:t>二、本合同书适用于一方当事人（受托方）以技术知识为另一方（委托方）解决特定技术问题所订立的合同。</w:t>
      </w:r>
    </w:p>
    <w:p>
      <w:pPr>
        <w:adjustRightInd w:val="0"/>
        <w:snapToGrid w:val="0"/>
        <w:spacing w:line="360" w:lineRule="auto"/>
        <w:ind w:firstLine="560" w:firstLineChars="200"/>
        <w:rPr>
          <w:rFonts w:ascii="仿宋_GB2312" w:eastAsia="仿宋_GB2312"/>
          <w:color w:val="auto"/>
          <w:sz w:val="28"/>
        </w:rPr>
      </w:pPr>
      <w:r>
        <w:rPr>
          <w:rFonts w:hint="eastAsia" w:ascii="仿宋_GB2312" w:eastAsia="仿宋_GB2312"/>
          <w:color w:val="auto"/>
          <w:sz w:val="28"/>
        </w:rPr>
        <w:t>三、签约一方为多个当事人的，可按各自在合同关系中的作用等，在“委托方”、“受托方”项下（增页）分别排列为共同委托人或共同受托人。</w:t>
      </w:r>
    </w:p>
    <w:p>
      <w:pPr>
        <w:adjustRightInd w:val="0"/>
        <w:snapToGrid w:val="0"/>
        <w:spacing w:line="360" w:lineRule="auto"/>
        <w:ind w:firstLine="560" w:firstLineChars="200"/>
        <w:rPr>
          <w:rFonts w:ascii="仿宋_GB2312" w:eastAsia="仿宋_GB2312"/>
          <w:color w:val="auto"/>
          <w:sz w:val="28"/>
        </w:rPr>
      </w:pPr>
      <w:r>
        <w:rPr>
          <w:rFonts w:hint="eastAsia" w:ascii="仿宋_GB2312" w:eastAsia="仿宋_GB2312"/>
          <w:color w:val="auto"/>
          <w:sz w:val="28"/>
        </w:rPr>
        <w:t>四、本合同书未尽事项，可由当事人附页另行约定，并作为本合同的组成部分。</w:t>
      </w:r>
    </w:p>
    <w:p>
      <w:pPr>
        <w:adjustRightInd w:val="0"/>
        <w:snapToGrid w:val="0"/>
        <w:spacing w:line="360" w:lineRule="auto"/>
        <w:ind w:firstLine="560" w:firstLineChars="200"/>
        <w:rPr>
          <w:rFonts w:ascii="仿宋_GB2312" w:eastAsia="仿宋_GB2312"/>
          <w:color w:val="auto"/>
          <w:sz w:val="28"/>
        </w:rPr>
      </w:pPr>
      <w:r>
        <w:rPr>
          <w:rFonts w:hint="eastAsia" w:ascii="仿宋_GB2312" w:eastAsia="仿宋_GB2312"/>
          <w:color w:val="auto"/>
          <w:sz w:val="28"/>
        </w:rPr>
        <w:t>五、当事人使用本合同书时约定无需填写的条款，应在该条款处注明“无”等字样。</w:t>
      </w:r>
    </w:p>
    <w:p>
      <w:pPr>
        <w:pStyle w:val="7"/>
        <w:spacing w:line="336" w:lineRule="auto"/>
        <w:ind w:firstLine="880"/>
        <w:jc w:val="center"/>
        <w:rPr>
          <w:rFonts w:ascii="黑体" w:eastAsia="黑体"/>
          <w:bCs/>
          <w:color w:val="auto"/>
          <w:sz w:val="44"/>
        </w:rPr>
      </w:pPr>
    </w:p>
    <w:p>
      <w:pPr>
        <w:pStyle w:val="7"/>
        <w:spacing w:line="336" w:lineRule="auto"/>
        <w:rPr>
          <w:rFonts w:ascii="黑体" w:eastAsia="黑体"/>
          <w:bCs/>
          <w:color w:val="auto"/>
          <w:sz w:val="44"/>
        </w:rPr>
      </w:pPr>
    </w:p>
    <w:p>
      <w:pPr>
        <w:widowControl/>
        <w:rPr>
          <w:rFonts w:ascii="黑体" w:hAnsi="宋体" w:eastAsia="黑体" w:cs="宋体"/>
          <w:bCs/>
          <w:color w:val="auto"/>
          <w:kern w:val="0"/>
          <w:sz w:val="44"/>
          <w:szCs w:val="24"/>
        </w:rPr>
      </w:pPr>
      <w:r>
        <w:rPr>
          <w:rFonts w:ascii="黑体" w:eastAsia="黑体"/>
          <w:bCs/>
          <w:color w:val="auto"/>
          <w:sz w:val="44"/>
        </w:rPr>
        <w:br w:type="page"/>
      </w:r>
    </w:p>
    <w:p>
      <w:pPr>
        <w:pStyle w:val="7"/>
        <w:spacing w:line="336" w:lineRule="auto"/>
        <w:jc w:val="center"/>
        <w:rPr>
          <w:rFonts w:ascii="黑体" w:eastAsia="黑体"/>
          <w:bCs/>
          <w:color w:val="auto"/>
          <w:sz w:val="36"/>
          <w:szCs w:val="36"/>
        </w:rPr>
      </w:pPr>
      <w:r>
        <w:rPr>
          <w:rFonts w:hint="eastAsia" w:ascii="黑体" w:eastAsia="黑体"/>
          <w:bCs/>
          <w:color w:val="auto"/>
          <w:sz w:val="36"/>
          <w:szCs w:val="36"/>
        </w:rPr>
        <w:t>广州工控大湾区现代高端装备研发生产基地项目</w:t>
      </w:r>
    </w:p>
    <w:p>
      <w:pPr>
        <w:pStyle w:val="7"/>
        <w:spacing w:line="336" w:lineRule="auto"/>
        <w:jc w:val="center"/>
        <w:rPr>
          <w:rFonts w:ascii="黑体" w:eastAsia="黑体"/>
          <w:bCs/>
          <w:color w:val="auto"/>
          <w:sz w:val="36"/>
          <w:szCs w:val="36"/>
        </w:rPr>
      </w:pPr>
      <w:r>
        <w:rPr>
          <w:rFonts w:hint="eastAsia" w:ascii="黑体" w:eastAsia="黑体"/>
          <w:bCs/>
          <w:color w:val="auto"/>
          <w:sz w:val="36"/>
          <w:szCs w:val="36"/>
        </w:rPr>
        <w:t>（二期）第三方检测及监测服务合同</w:t>
      </w:r>
    </w:p>
    <w:p>
      <w:pPr>
        <w:spacing w:afterLines="50"/>
        <w:rPr>
          <w:rFonts w:ascii="宋体" w:hAnsi="宋体" w:cs="宋体"/>
          <w:b/>
          <w:bCs/>
          <w:color w:val="auto"/>
          <w:szCs w:val="21"/>
        </w:rPr>
      </w:pPr>
      <w:r>
        <w:rPr>
          <w:rFonts w:hint="eastAsia" w:ascii="宋体" w:hAnsi="宋体" w:cs="宋体"/>
          <w:b/>
          <w:bCs/>
          <w:color w:val="auto"/>
          <w:szCs w:val="21"/>
        </w:rPr>
        <w:t>（委托方）甲方：</w:t>
      </w:r>
      <w:r>
        <w:rPr>
          <w:rFonts w:hint="eastAsia" w:ascii="宋体" w:hAnsi="宋体" w:cs="宋体"/>
          <w:b/>
          <w:bCs/>
          <w:color w:val="auto"/>
          <w:szCs w:val="21"/>
          <w:u w:val="single"/>
        </w:rPr>
        <w:t>广州中船船用柴油机有限公司</w:t>
      </w:r>
    </w:p>
    <w:p>
      <w:pPr>
        <w:spacing w:afterLines="50"/>
        <w:rPr>
          <w:rFonts w:ascii="宋体" w:hAnsi="宋体" w:cs="宋体"/>
          <w:b/>
          <w:bCs/>
          <w:color w:val="auto"/>
          <w:szCs w:val="21"/>
        </w:rPr>
      </w:pPr>
      <w:r>
        <w:rPr>
          <w:rFonts w:hint="eastAsia" w:ascii="宋体" w:hAnsi="宋体" w:cs="宋体"/>
          <w:b/>
          <w:bCs/>
          <w:color w:val="auto"/>
          <w:szCs w:val="21"/>
        </w:rPr>
        <w:t>住所地：</w:t>
      </w:r>
    </w:p>
    <w:p>
      <w:pPr>
        <w:spacing w:afterLines="50"/>
        <w:rPr>
          <w:rFonts w:ascii="宋体" w:hAnsi="宋体" w:cs="宋体"/>
          <w:b/>
          <w:bCs/>
          <w:color w:val="auto"/>
          <w:szCs w:val="21"/>
        </w:rPr>
      </w:pPr>
      <w:r>
        <w:rPr>
          <w:rFonts w:hint="eastAsia" w:ascii="宋体" w:hAnsi="宋体" w:cs="宋体"/>
          <w:b/>
          <w:bCs/>
          <w:color w:val="auto"/>
          <w:szCs w:val="21"/>
        </w:rPr>
        <w:t>法定代表人：</w:t>
      </w:r>
    </w:p>
    <w:p>
      <w:pPr>
        <w:spacing w:afterLines="50"/>
        <w:rPr>
          <w:rFonts w:ascii="宋体" w:hAnsi="宋体" w:cs="宋体"/>
          <w:b/>
          <w:bCs/>
          <w:color w:val="auto"/>
          <w:szCs w:val="21"/>
        </w:rPr>
      </w:pPr>
      <w:r>
        <w:rPr>
          <w:rFonts w:hint="eastAsia" w:ascii="宋体" w:hAnsi="宋体" w:cs="宋体"/>
          <w:b/>
          <w:bCs/>
          <w:color w:val="auto"/>
          <w:szCs w:val="21"/>
        </w:rPr>
        <w:t>项目联系人：电话：</w:t>
      </w:r>
    </w:p>
    <w:p>
      <w:pPr>
        <w:spacing w:afterLines="50"/>
        <w:rPr>
          <w:rFonts w:ascii="宋体" w:hAnsi="宋体" w:cs="宋体"/>
          <w:b/>
          <w:bCs/>
          <w:color w:val="auto"/>
          <w:szCs w:val="21"/>
        </w:rPr>
      </w:pPr>
      <w:r>
        <w:rPr>
          <w:rFonts w:hint="eastAsia" w:ascii="宋体" w:hAnsi="宋体" w:cs="宋体"/>
          <w:b/>
          <w:bCs/>
          <w:color w:val="auto"/>
          <w:szCs w:val="21"/>
        </w:rPr>
        <w:t>受托方（乙方）：</w:t>
      </w:r>
    </w:p>
    <w:p>
      <w:pPr>
        <w:spacing w:afterLines="50"/>
        <w:rPr>
          <w:rFonts w:ascii="宋体" w:hAnsi="宋体" w:cs="宋体"/>
          <w:b/>
          <w:bCs/>
          <w:color w:val="auto"/>
          <w:szCs w:val="21"/>
        </w:rPr>
      </w:pPr>
      <w:r>
        <w:rPr>
          <w:rFonts w:hint="eastAsia" w:ascii="宋体" w:hAnsi="宋体" w:cs="宋体"/>
          <w:b/>
          <w:bCs/>
          <w:color w:val="auto"/>
          <w:szCs w:val="21"/>
        </w:rPr>
        <w:t>住所地：</w:t>
      </w:r>
    </w:p>
    <w:p>
      <w:pPr>
        <w:spacing w:afterLines="50"/>
        <w:rPr>
          <w:rFonts w:ascii="宋体" w:hAnsi="宋体" w:cs="宋体"/>
          <w:b/>
          <w:bCs/>
          <w:color w:val="auto"/>
          <w:szCs w:val="21"/>
        </w:rPr>
      </w:pPr>
      <w:r>
        <w:rPr>
          <w:rFonts w:hint="eastAsia" w:ascii="宋体" w:hAnsi="宋体" w:cs="宋体"/>
          <w:b/>
          <w:bCs/>
          <w:color w:val="auto"/>
          <w:szCs w:val="21"/>
        </w:rPr>
        <w:t>法定代表人：</w:t>
      </w:r>
    </w:p>
    <w:p>
      <w:pPr>
        <w:spacing w:afterLines="50"/>
        <w:rPr>
          <w:color w:val="auto"/>
        </w:rPr>
      </w:pPr>
      <w:r>
        <w:rPr>
          <w:rFonts w:hint="eastAsia" w:ascii="宋体" w:hAnsi="宋体" w:cs="宋体"/>
          <w:b/>
          <w:bCs/>
          <w:color w:val="auto"/>
          <w:szCs w:val="21"/>
        </w:rPr>
        <w:t>项目联系人：电话：</w:t>
      </w:r>
    </w:p>
    <w:p>
      <w:pPr>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甲方就</w:t>
      </w:r>
      <w:r>
        <w:rPr>
          <w:rFonts w:hint="eastAsia" w:ascii="宋体" w:hAnsi="宋体" w:cs="宋体"/>
          <w:color w:val="auto"/>
          <w:kern w:val="0"/>
          <w:sz w:val="24"/>
          <w:szCs w:val="24"/>
          <w:u w:val="single"/>
        </w:rPr>
        <w:t>广州工控大湾区现代高端装备研发生产基地项目（二期）第三方检测及监测</w:t>
      </w:r>
      <w:r>
        <w:rPr>
          <w:rFonts w:hint="eastAsia" w:ascii="宋体" w:hAnsi="宋体" w:cs="宋体"/>
          <w:color w:val="auto"/>
          <w:kern w:val="0"/>
          <w:sz w:val="24"/>
          <w:szCs w:val="24"/>
        </w:rPr>
        <w:t>服务委托乙方提供技术服务事宜，经双方平等协商，在真实、充分地表达各自意愿的基础上，根据《中华人民共和国民法典》、《中华人民共和国建筑法》、《建设工程勘察设计管理条例》及国家有关法律、法规规定，遵循平等、自愿、公平和诚实守信的原则，结合本工程的实际情况，为明确责任、协作配合，经协商一致，签订本合同，以资共同遵守。</w:t>
      </w:r>
    </w:p>
    <w:p>
      <w:pPr>
        <w:pStyle w:val="7"/>
        <w:spacing w:line="336" w:lineRule="auto"/>
        <w:rPr>
          <w:b/>
          <w:color w:val="auto"/>
          <w:sz w:val="28"/>
          <w:szCs w:val="28"/>
        </w:rPr>
      </w:pPr>
      <w:r>
        <w:rPr>
          <w:rFonts w:hint="eastAsia"/>
          <w:b/>
          <w:color w:val="auto"/>
          <w:sz w:val="28"/>
          <w:szCs w:val="28"/>
        </w:rPr>
        <w:t>第一条工程概况</w:t>
      </w:r>
    </w:p>
    <w:p>
      <w:pPr>
        <w:adjustRightInd w:val="0"/>
        <w:snapToGrid w:val="0"/>
        <w:spacing w:beforeLines="20" w:line="312" w:lineRule="auto"/>
        <w:ind w:firstLine="480" w:firstLineChars="200"/>
        <w:jc w:val="left"/>
        <w:rPr>
          <w:color w:val="auto"/>
          <w:sz w:val="24"/>
        </w:rPr>
      </w:pPr>
      <w:r>
        <w:rPr>
          <w:rFonts w:hint="eastAsia"/>
          <w:color w:val="auto"/>
          <w:sz w:val="24"/>
        </w:rPr>
        <w:t>1.项目名称：广州工控大湾区现代高端装备研发生产基地项目</w:t>
      </w:r>
      <w:r>
        <w:rPr>
          <w:rFonts w:hint="eastAsia" w:ascii="宋体" w:hAnsi="宋体"/>
          <w:color w:val="auto"/>
          <w:sz w:val="24"/>
        </w:rPr>
        <w:t>（以下简称“本项目”）</w:t>
      </w:r>
    </w:p>
    <w:p>
      <w:pPr>
        <w:adjustRightInd w:val="0"/>
        <w:snapToGrid w:val="0"/>
        <w:spacing w:beforeLines="20" w:line="312" w:lineRule="auto"/>
        <w:ind w:firstLine="480" w:firstLineChars="200"/>
        <w:jc w:val="left"/>
        <w:rPr>
          <w:rFonts w:ascii="宋体" w:hAnsi="宋体"/>
          <w:color w:val="auto"/>
          <w:sz w:val="24"/>
          <w:szCs w:val="22"/>
        </w:rPr>
      </w:pPr>
      <w:r>
        <w:rPr>
          <w:rFonts w:hint="eastAsia"/>
          <w:color w:val="auto"/>
          <w:sz w:val="24"/>
        </w:rPr>
        <w:t>2.</w:t>
      </w:r>
      <w:r>
        <w:rPr>
          <w:rFonts w:hint="eastAsia" w:hAnsi="宋体"/>
          <w:color w:val="auto"/>
          <w:sz w:val="24"/>
        </w:rPr>
        <w:t>工程名称：</w:t>
      </w:r>
      <w:r>
        <w:rPr>
          <w:rFonts w:hint="eastAsia" w:ascii="宋体" w:hAnsi="宋体"/>
          <w:color w:val="auto"/>
          <w:sz w:val="24"/>
        </w:rPr>
        <w:t>广州工控大湾区现代高端装备研发生产基地项目（二期）第三方检测及监测服务</w:t>
      </w:r>
      <w:r>
        <w:rPr>
          <w:rFonts w:hint="eastAsia" w:ascii="宋体" w:hAnsi="宋体"/>
          <w:color w:val="auto"/>
          <w:sz w:val="24"/>
          <w:szCs w:val="22"/>
        </w:rPr>
        <w:t>（以下简称“本工程”）</w:t>
      </w:r>
    </w:p>
    <w:p>
      <w:pPr>
        <w:adjustRightInd w:val="0"/>
        <w:snapToGrid w:val="0"/>
        <w:spacing w:line="360" w:lineRule="auto"/>
        <w:ind w:firstLine="480" w:firstLineChars="200"/>
        <w:jc w:val="left"/>
        <w:rPr>
          <w:rFonts w:hAnsi="宋体"/>
          <w:color w:val="auto"/>
          <w:sz w:val="24"/>
        </w:rPr>
      </w:pPr>
      <w:r>
        <w:rPr>
          <w:color w:val="auto"/>
          <w:sz w:val="24"/>
        </w:rPr>
        <w:t>2</w:t>
      </w:r>
      <w:r>
        <w:rPr>
          <w:rFonts w:hint="eastAsia"/>
          <w:color w:val="auto"/>
          <w:sz w:val="24"/>
        </w:rPr>
        <w:t>.</w:t>
      </w:r>
      <w:r>
        <w:rPr>
          <w:rFonts w:hint="eastAsia" w:hAnsi="宋体"/>
          <w:color w:val="auto"/>
          <w:sz w:val="24"/>
        </w:rPr>
        <w:t>工程建设地点</w:t>
      </w:r>
      <w:r>
        <w:rPr>
          <w:rFonts w:hint="eastAsia" w:hAnsi="宋体"/>
          <w:color w:val="auto"/>
          <w:sz w:val="24"/>
          <w:szCs w:val="22"/>
        </w:rPr>
        <w:t>：</w:t>
      </w:r>
      <w:r>
        <w:rPr>
          <w:rFonts w:hint="eastAsia" w:ascii="宋体" w:hAnsi="宋体" w:cs="宋体"/>
          <w:color w:val="auto"/>
          <w:sz w:val="24"/>
          <w:szCs w:val="22"/>
        </w:rPr>
        <w:t>广州市南沙区大岗镇潭新公路362号</w:t>
      </w:r>
    </w:p>
    <w:p>
      <w:pPr>
        <w:ind w:firstLine="480" w:firstLineChars="200"/>
        <w:jc w:val="left"/>
        <w:rPr>
          <w:rFonts w:hAnsi="宋体"/>
          <w:color w:val="auto"/>
          <w:sz w:val="24"/>
        </w:rPr>
      </w:pPr>
      <w:r>
        <w:rPr>
          <w:color w:val="auto"/>
          <w:sz w:val="24"/>
        </w:rPr>
        <w:t>3</w:t>
      </w:r>
      <w:r>
        <w:rPr>
          <w:rFonts w:hint="eastAsia"/>
          <w:color w:val="auto"/>
          <w:sz w:val="24"/>
        </w:rPr>
        <w:t>.</w:t>
      </w:r>
      <w:r>
        <w:rPr>
          <w:rFonts w:hint="eastAsia" w:hAnsi="宋体"/>
          <w:color w:val="auto"/>
          <w:sz w:val="24"/>
        </w:rPr>
        <w:t>工程规模、特征：</w:t>
      </w:r>
    </w:p>
    <w:p>
      <w:pPr>
        <w:adjustRightInd w:val="0"/>
        <w:snapToGrid w:val="0"/>
        <w:spacing w:beforeLines="20" w:line="312" w:lineRule="auto"/>
        <w:ind w:firstLine="480" w:firstLineChars="200"/>
        <w:jc w:val="left"/>
        <w:rPr>
          <w:rFonts w:ascii="宋体" w:hAnsi="宋体"/>
          <w:color w:val="auto"/>
          <w:sz w:val="24"/>
          <w:szCs w:val="22"/>
        </w:rPr>
      </w:pPr>
      <w:r>
        <w:rPr>
          <w:rFonts w:hint="eastAsia" w:ascii="宋体" w:hAnsi="宋体"/>
          <w:color w:val="auto"/>
          <w:sz w:val="24"/>
          <w:szCs w:val="22"/>
        </w:rPr>
        <w:t>广州工控大湾区现代高端装备研发生产基地项目（二期）北靠中船中路，南临滨河路及洪奇沥水道，西面为规划云生四路，东至中船东路。项目用地面积约102781.80平方米。二期总建筑面积约72355.17平方米（计容面积444466.51平方米），包括联合厂房（局部五层）、开闭所（地上一层）、水泵房（含地下室）、供油站（地上一层）、油化库（地上一层）、固废站（地上一层）、燃气增压站（地上一层）以及周边附属配套等。单体建筑最大面积68809.83平方米，厂房高度35.6米，厂房单跨度有18米、30米、36米、42米。</w:t>
      </w:r>
    </w:p>
    <w:p>
      <w:pPr>
        <w:widowControl/>
        <w:adjustRightInd w:val="0"/>
        <w:snapToGrid w:val="0"/>
        <w:spacing w:beforeLines="20" w:line="312" w:lineRule="auto"/>
        <w:ind w:firstLine="480" w:firstLineChars="200"/>
        <w:jc w:val="left"/>
        <w:rPr>
          <w:rFonts w:hAnsi="宋体" w:cs="宋体"/>
          <w:color w:val="auto"/>
          <w:kern w:val="0"/>
          <w:sz w:val="24"/>
          <w:szCs w:val="24"/>
        </w:rPr>
      </w:pPr>
      <w:r>
        <w:rPr>
          <w:rFonts w:hint="eastAsia" w:hAnsi="宋体" w:cs="宋体"/>
          <w:color w:val="auto"/>
          <w:kern w:val="0"/>
          <w:sz w:val="24"/>
          <w:szCs w:val="24"/>
        </w:rPr>
        <w:t>4..单位名称</w:t>
      </w:r>
    </w:p>
    <w:p>
      <w:pPr>
        <w:spacing w:line="360" w:lineRule="auto"/>
        <w:ind w:firstLine="600" w:firstLineChars="250"/>
        <w:jc w:val="left"/>
        <w:rPr>
          <w:rFonts w:ascii="宋体" w:hAnsi="宋体" w:cs="宋体"/>
          <w:color w:val="auto"/>
          <w:kern w:val="0"/>
          <w:sz w:val="24"/>
          <w:szCs w:val="24"/>
          <w:u w:val="single"/>
        </w:rPr>
      </w:pPr>
      <w:r>
        <w:rPr>
          <w:rFonts w:hint="eastAsia" w:ascii="宋体" w:hAnsi="宋体" w:cs="宋体"/>
          <w:color w:val="auto"/>
          <w:kern w:val="0"/>
          <w:sz w:val="24"/>
          <w:szCs w:val="24"/>
        </w:rPr>
        <w:t>设计单位：</w:t>
      </w:r>
    </w:p>
    <w:p>
      <w:pPr>
        <w:spacing w:line="360" w:lineRule="auto"/>
        <w:ind w:firstLine="600" w:firstLineChars="250"/>
        <w:jc w:val="left"/>
        <w:rPr>
          <w:rFonts w:ascii="宋体" w:hAnsi="宋体" w:cs="宋体"/>
          <w:color w:val="auto"/>
          <w:kern w:val="0"/>
          <w:sz w:val="24"/>
          <w:szCs w:val="24"/>
          <w:u w:val="single"/>
        </w:rPr>
      </w:pPr>
      <w:r>
        <w:rPr>
          <w:rFonts w:hint="eastAsia" w:ascii="宋体" w:hAnsi="宋体" w:cs="宋体"/>
          <w:color w:val="auto"/>
          <w:kern w:val="0"/>
          <w:sz w:val="24"/>
          <w:szCs w:val="24"/>
        </w:rPr>
        <w:t>监理单位：</w:t>
      </w:r>
    </w:p>
    <w:p>
      <w:pPr>
        <w:spacing w:line="360" w:lineRule="auto"/>
        <w:ind w:firstLine="600" w:firstLineChars="250"/>
        <w:jc w:val="left"/>
        <w:rPr>
          <w:rFonts w:ascii="宋体" w:hAnsi="宋体" w:cs="宋体"/>
          <w:color w:val="auto"/>
          <w:kern w:val="0"/>
          <w:sz w:val="24"/>
          <w:szCs w:val="24"/>
          <w:u w:val="single"/>
        </w:rPr>
      </w:pPr>
      <w:r>
        <w:rPr>
          <w:rFonts w:hint="eastAsia" w:ascii="宋体" w:hAnsi="宋体" w:cs="宋体"/>
          <w:color w:val="auto"/>
          <w:kern w:val="0"/>
          <w:sz w:val="24"/>
          <w:szCs w:val="24"/>
        </w:rPr>
        <w:t>造价咨询：</w:t>
      </w:r>
    </w:p>
    <w:p>
      <w:pPr>
        <w:pStyle w:val="7"/>
        <w:spacing w:line="336" w:lineRule="auto"/>
        <w:rPr>
          <w:b/>
          <w:color w:val="auto"/>
          <w:sz w:val="28"/>
          <w:szCs w:val="28"/>
        </w:rPr>
      </w:pPr>
      <w:r>
        <w:rPr>
          <w:rFonts w:hint="eastAsia"/>
          <w:b/>
          <w:color w:val="auto"/>
          <w:sz w:val="28"/>
          <w:szCs w:val="28"/>
        </w:rPr>
        <w:t>第二条技术服务的内容、技术服务的目标及技术服务的方式</w:t>
      </w:r>
    </w:p>
    <w:p>
      <w:pPr>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1．技术服务内容：</w:t>
      </w:r>
    </w:p>
    <w:p>
      <w:pPr>
        <w:spacing w:line="360" w:lineRule="auto"/>
        <w:ind w:firstLine="600" w:firstLineChars="250"/>
        <w:jc w:val="left"/>
        <w:rPr>
          <w:rFonts w:ascii="宋体" w:hAnsi="宋体" w:cs="宋体"/>
          <w:bCs/>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1</w:t>
      </w:r>
      <w:r>
        <w:rPr>
          <w:rFonts w:hint="eastAsia" w:ascii="宋体" w:hAnsi="宋体" w:cs="宋体"/>
          <w:color w:val="auto"/>
          <w:kern w:val="0"/>
          <w:sz w:val="24"/>
          <w:szCs w:val="24"/>
        </w:rPr>
        <w:t>）本次</w:t>
      </w:r>
      <w:r>
        <w:rPr>
          <w:rFonts w:hint="eastAsia" w:ascii="宋体" w:hAnsi="宋体"/>
          <w:bCs/>
          <w:color w:val="auto"/>
          <w:sz w:val="24"/>
        </w:rPr>
        <w:t>检测、监测</w:t>
      </w:r>
      <w:r>
        <w:rPr>
          <w:rFonts w:hint="eastAsia" w:ascii="宋体" w:hAnsi="宋体" w:cs="宋体"/>
          <w:color w:val="auto"/>
          <w:kern w:val="0"/>
          <w:sz w:val="24"/>
          <w:szCs w:val="24"/>
        </w:rPr>
        <w:t>工作范围包括且不限于：</w:t>
      </w:r>
      <w:r>
        <w:rPr>
          <w:rFonts w:hint="eastAsia" w:ascii="宋体" w:hAnsi="宋体" w:cs="宋体"/>
          <w:color w:val="auto"/>
          <w:kern w:val="0"/>
          <w:sz w:val="24"/>
          <w:szCs w:val="24"/>
          <w:u w:val="single"/>
        </w:rPr>
        <w:t>材料检测、钢结构检测、道路检测、排水工程检测、消防检测、节能检测、智能化检测、防雷检测、环境检测、生活用水水质检测、主体结构检测、地基基础检测</w:t>
      </w:r>
      <w:r>
        <w:rPr>
          <w:rFonts w:hint="eastAsia" w:ascii="宋体" w:hAnsi="宋体" w:cs="宋体"/>
          <w:color w:val="auto"/>
          <w:sz w:val="24"/>
          <w:u w:val="single"/>
        </w:rPr>
        <w:t>等</w:t>
      </w:r>
      <w:r>
        <w:rPr>
          <w:rFonts w:hint="eastAsia" w:ascii="宋体" w:hAnsi="宋体" w:cs="宋体"/>
          <w:color w:val="auto"/>
          <w:sz w:val="24"/>
          <w:u w:val="single"/>
        </w:rPr>
        <w:t>，按规范和验收要求及招标人根据本项目的实际情况要求检测监测的项目。具体检测监测项目以最终招标人出具的检测清单、设计图纸及有关规范要求为准。</w:t>
      </w:r>
    </w:p>
    <w:p>
      <w:pPr>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（2）结合本项目实际情况，编制检(监)测实施方案并报送建设工程质量安全监督机构审批备案或相关部门审批备案。</w:t>
      </w:r>
    </w:p>
    <w:p>
      <w:pPr>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3）与本项目所在行政区域的相关建设行政主管部门和监督部门进行检(监)测工作的协调，申报检(监)测技术成果的审批，保证本项目的技术成果能够通过相关部门认可，确保不因检(监)测工作影响本工程项目的建设进度和竣工验收。</w:t>
      </w:r>
    </w:p>
    <w:p>
      <w:pPr>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4）在进行检(监)测任务的过程中与本项目工程建设相关的施工单位、监理单位、设计单位、建设单位、建设主管部门等相关单位的协调工作，确保检(监)测工作满足本项目进度需求。乙方签订本合同视为已投标报价中综合考虑本项目协调工作的费用。</w:t>
      </w:r>
    </w:p>
    <w:p>
      <w:pPr>
        <w:widowControl/>
        <w:tabs>
          <w:tab w:val="left" w:pos="1800"/>
        </w:tabs>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（5）负责将本工程检测数据的有关信息按照相关建设主管部门要求的通过广州市建设工程质量检测监管信息网进行报送，乙方已在合同清单单价中综合考虑该项协调工作费用。</w:t>
      </w:r>
    </w:p>
    <w:p>
      <w:pPr>
        <w:widowControl/>
        <w:tabs>
          <w:tab w:val="left" w:pos="1800"/>
        </w:tabs>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（6）负责按照相关建设主管部门要求将本工程的监测数据实时上传至广州市地下工程和深基坑安全监测信息管理系统（如需要）、广州市高大模板实时监测管理平台。</w:t>
      </w:r>
    </w:p>
    <w:p>
      <w:pPr>
        <w:widowControl/>
        <w:tabs>
          <w:tab w:val="left" w:pos="1800"/>
        </w:tabs>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（7）检(监)测过程中配合服务内容：以甲方的通知为准，必须满足本项目的实际验收要求。</w:t>
      </w:r>
    </w:p>
    <w:p>
      <w:pPr>
        <w:widowControl/>
        <w:tabs>
          <w:tab w:val="left" w:pos="1800"/>
        </w:tabs>
        <w:spacing w:line="360" w:lineRule="auto"/>
        <w:ind w:firstLine="420" w:firstLineChars="200"/>
        <w:jc w:val="left"/>
        <w:rPr>
          <w:rFonts w:ascii="宋体" w:hAnsi="宋体" w:cs="宋体"/>
          <w:color w:val="auto"/>
          <w:kern w:val="0"/>
          <w:sz w:val="24"/>
          <w:szCs w:val="24"/>
        </w:rPr>
      </w:pPr>
      <w:r>
        <w:rPr>
          <w:rFonts w:hint="eastAsia"/>
          <w:color w:val="auto"/>
        </w:rPr>
        <w:t>（8）</w:t>
      </w:r>
      <w:r>
        <w:rPr>
          <w:rFonts w:hint="eastAsia" w:ascii="宋体" w:hAnsi="宋体" w:cs="宋体"/>
          <w:color w:val="auto"/>
          <w:kern w:val="0"/>
          <w:sz w:val="24"/>
          <w:szCs w:val="24"/>
        </w:rPr>
        <w:t>本项目实施期间，如果因本项目验收需要，按规范和经批准的检(监)测方案，经甲方确认需增加《工程量清单报价表》中没有的其他检(监)测项目，且乙方也具备相应资质，则乙方不得以任何原因拒绝为甲方提供检(监)测，并按要求出具符合验收要求的检(监)测报告。乙方检(监)测资质不能涵盖的项目由乙方委托有资质的相应单位实施，并取得相应管理部门的确认。</w:t>
      </w:r>
    </w:p>
    <w:p>
      <w:pPr>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2．技术服务的目标：</w:t>
      </w:r>
    </w:p>
    <w:p>
      <w:pPr>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检测包括：</w:t>
      </w:r>
      <w:r>
        <w:rPr>
          <w:rFonts w:hint="eastAsia" w:ascii="宋体" w:hAnsi="宋体" w:cs="宋体"/>
          <w:color w:val="auto"/>
          <w:sz w:val="24"/>
          <w:u w:val="single"/>
        </w:rPr>
        <w:t>基坑支护检测、地基基础检测、室内场地和室外道路场地加固检测、主体结构检测、钢结构检测、材料检测、节能绿建检测、室内环境检测、防雷检测、消防检测、道路检测</w:t>
      </w:r>
      <w:r>
        <w:rPr>
          <w:rFonts w:hint="eastAsia" w:ascii="宋体" w:hAnsi="宋体" w:cs="宋体"/>
          <w:bCs/>
          <w:color w:val="auto"/>
          <w:kern w:val="0"/>
          <w:sz w:val="24"/>
          <w:szCs w:val="24"/>
        </w:rPr>
        <w:t>等检测项，</w:t>
      </w:r>
      <w:r>
        <w:rPr>
          <w:rFonts w:hint="eastAsia" w:ascii="宋体" w:hAnsi="宋体" w:cs="宋体"/>
          <w:b/>
          <w:bCs/>
          <w:color w:val="auto"/>
          <w:kern w:val="0"/>
          <w:sz w:val="24"/>
          <w:szCs w:val="24"/>
        </w:rPr>
        <w:t>出具检测报告，具体以本项目验收所需的检测项及技术需求为准</w:t>
      </w:r>
      <w:r>
        <w:rPr>
          <w:rFonts w:hint="eastAsia" w:ascii="宋体" w:hAnsi="宋体" w:cs="宋体"/>
          <w:color w:val="auto"/>
          <w:kern w:val="0"/>
          <w:sz w:val="24"/>
          <w:szCs w:val="24"/>
        </w:rPr>
        <w:t>。</w:t>
      </w:r>
    </w:p>
    <w:p>
      <w:pPr>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监测包括：</w:t>
      </w:r>
      <w:r>
        <w:rPr>
          <w:rFonts w:hint="eastAsia" w:ascii="宋体" w:hAnsi="宋体" w:cs="宋体"/>
          <w:color w:val="auto"/>
          <w:kern w:val="0"/>
          <w:sz w:val="24"/>
          <w:szCs w:val="24"/>
          <w:u w:val="single"/>
        </w:rPr>
        <w:t>支护结构顶部水平位移观测、支护结构顶部沉降观测、支护结构测斜观测、基坑内外地下水位观测、场地软基处理监测（如有）、支护桩观测、锚索内力观测、支撑轴力观测、立柱沉降观测、基坑外地面沉降观测、周边建（构）筑物的水平位移和垂直位移观测；主体结构沉降的基准点埋设、沉降观测点埋设及观测；主体高大支模基准点埋设、观测点埋设及观测等，</w:t>
      </w:r>
      <w:r>
        <w:rPr>
          <w:rFonts w:hint="eastAsia" w:ascii="宋体" w:hAnsi="宋体" w:cs="宋体"/>
          <w:bCs/>
          <w:color w:val="auto"/>
          <w:kern w:val="0"/>
          <w:sz w:val="24"/>
          <w:szCs w:val="24"/>
          <w:u w:val="single"/>
        </w:rPr>
        <w:t>乙方按本项目设计图纸要求及项目建设要求完成项目监测，</w:t>
      </w:r>
      <w:r>
        <w:rPr>
          <w:rFonts w:hint="eastAsia" w:ascii="宋体" w:hAnsi="宋体" w:cs="宋体"/>
          <w:bCs/>
          <w:color w:val="auto"/>
          <w:kern w:val="0"/>
          <w:sz w:val="24"/>
          <w:szCs w:val="24"/>
        </w:rPr>
        <w:t>并</w:t>
      </w:r>
      <w:r>
        <w:rPr>
          <w:rFonts w:hint="eastAsia" w:ascii="宋体" w:hAnsi="宋体" w:cs="宋体"/>
          <w:b/>
          <w:bCs/>
          <w:color w:val="auto"/>
          <w:kern w:val="0"/>
          <w:sz w:val="24"/>
          <w:szCs w:val="24"/>
        </w:rPr>
        <w:t>出具监测报告</w:t>
      </w:r>
      <w:r>
        <w:rPr>
          <w:rFonts w:hint="eastAsia" w:ascii="宋体" w:hAnsi="宋体" w:cs="宋体"/>
          <w:color w:val="auto"/>
          <w:kern w:val="0"/>
          <w:sz w:val="24"/>
          <w:szCs w:val="24"/>
        </w:rPr>
        <w:t>。</w:t>
      </w:r>
    </w:p>
    <w:p>
      <w:pPr>
        <w:spacing w:line="360" w:lineRule="auto"/>
        <w:ind w:firstLine="602" w:firstLineChars="250"/>
        <w:jc w:val="left"/>
        <w:rPr>
          <w:rFonts w:ascii="宋体" w:hAnsi="宋体" w:cs="宋体"/>
          <w:b/>
          <w:bCs/>
          <w:color w:val="auto"/>
          <w:kern w:val="0"/>
          <w:sz w:val="24"/>
          <w:szCs w:val="24"/>
        </w:rPr>
      </w:pPr>
      <w:r>
        <w:rPr>
          <w:rFonts w:hint="eastAsia" w:ascii="宋体" w:hAnsi="宋体" w:cs="宋体"/>
          <w:b/>
          <w:bCs/>
          <w:color w:val="auto"/>
          <w:kern w:val="0"/>
          <w:sz w:val="24"/>
          <w:szCs w:val="24"/>
        </w:rPr>
        <w:t>注明：本合同中的“检测”包括了材料及构（配）件、试件的检测、功能性检测、结构可靠性检测、破坏性试验等，且不局限于此。</w:t>
      </w:r>
    </w:p>
    <w:p>
      <w:pPr>
        <w:pStyle w:val="7"/>
        <w:spacing w:line="300" w:lineRule="auto"/>
        <w:ind w:firstLine="480" w:firstLineChars="200"/>
        <w:rPr>
          <w:color w:val="auto"/>
        </w:rPr>
      </w:pPr>
      <w:r>
        <w:rPr>
          <w:rFonts w:hint="eastAsia"/>
          <w:color w:val="auto"/>
        </w:rPr>
        <w:t>3．技术服务方式：</w:t>
      </w:r>
    </w:p>
    <w:p>
      <w:pPr>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（1）第一次进场时间由甲方书面通知确定，并提前2天通知乙方。</w:t>
      </w:r>
    </w:p>
    <w:p>
      <w:pPr>
        <w:spacing w:line="360" w:lineRule="auto"/>
        <w:ind w:firstLine="600" w:firstLineChars="250"/>
        <w:jc w:val="left"/>
        <w:rPr>
          <w:rFonts w:ascii="宋体" w:hAnsi="宋体" w:cs="宋体"/>
          <w:color w:val="auto"/>
          <w:kern w:val="0"/>
          <w:sz w:val="24"/>
          <w:szCs w:val="24"/>
        </w:rPr>
      </w:pPr>
      <w:r>
        <w:rPr>
          <w:rFonts w:hint="eastAsia" w:ascii="宋体" w:hAnsi="宋体" w:cs="宋体"/>
          <w:color w:val="auto"/>
          <w:kern w:val="0"/>
          <w:sz w:val="24"/>
          <w:szCs w:val="24"/>
        </w:rPr>
        <w:t>（2）在开展检(监)测工作之前需向甲方提交由乙方技术负责人审核签字并加盖公章的《检(监)测实施方案》，该方案必须满足设计文件以及国家、广东省及广州市现行技术规范的要求。经勘察、设计、施工、监理、甲方确认，并报项目所在行政区域的相关建设行政主管部门（如有）、质检部门（如有）报备（或审批）后实施。</w:t>
      </w:r>
    </w:p>
    <w:p>
      <w:pPr>
        <w:spacing w:line="360" w:lineRule="auto"/>
        <w:ind w:firstLine="600" w:firstLineChars="250"/>
        <w:jc w:val="left"/>
        <w:rPr>
          <w:color w:val="auto"/>
        </w:rPr>
      </w:pPr>
      <w:r>
        <w:rPr>
          <w:rFonts w:hint="eastAsia" w:ascii="宋体" w:hAnsi="宋体" w:cs="宋体"/>
          <w:color w:val="auto"/>
          <w:kern w:val="0"/>
          <w:sz w:val="24"/>
          <w:szCs w:val="24"/>
        </w:rPr>
        <w:t>（3）乙方在检(监)测期间，向甲方提交检(监)测报告初稿（一式陆份，同步提供电子版）检(监)测报告初稿须经甲方书面确认后，乙方再行出具正式检(监)测报告，如甲方对初步检(监)测报告异议，乙方须根据甲方意见无偿检(监)测并出具准确有效的检(监)测报告；乙方须对检(监)测结果负责，发现异常时须及时向建设、设计、施工、监理单位报告，以便建设单位及时组织相关单位采取处置措施。全部检(监)测工作完成后提供正式检(监)测结果报告一式陆份。出具的检(监)测报告必须具有法定效力，且必须有国家相关主管部门认可的检(监)测印章。</w:t>
      </w:r>
    </w:p>
    <w:p>
      <w:pPr>
        <w:pStyle w:val="7"/>
        <w:spacing w:line="300" w:lineRule="auto"/>
        <w:rPr>
          <w:b/>
          <w:color w:val="auto"/>
          <w:sz w:val="28"/>
          <w:szCs w:val="28"/>
        </w:rPr>
      </w:pPr>
      <w:r>
        <w:rPr>
          <w:rFonts w:hint="eastAsia"/>
          <w:b/>
          <w:color w:val="auto"/>
          <w:sz w:val="28"/>
          <w:szCs w:val="28"/>
        </w:rPr>
        <w:t>第三条技术服务工作的要求：</w:t>
      </w:r>
    </w:p>
    <w:p>
      <w:pPr>
        <w:pStyle w:val="7"/>
        <w:spacing w:before="0" w:beforeAutospacing="0" w:after="0" w:afterAutospacing="0" w:line="360" w:lineRule="auto"/>
        <w:ind w:firstLine="480" w:firstLineChars="200"/>
        <w:rPr>
          <w:color w:val="auto"/>
        </w:rPr>
      </w:pPr>
      <w:r>
        <w:rPr>
          <w:rFonts w:hint="eastAsia"/>
          <w:color w:val="auto"/>
        </w:rPr>
        <w:t>1．技术服务地点：中国广东省广州市；</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2．技术服务期限：</w:t>
      </w:r>
      <w:r>
        <w:rPr>
          <w:rFonts w:hint="eastAsia" w:ascii="宋体" w:hAnsi="宋体"/>
          <w:b/>
          <w:bCs/>
          <w:color w:val="auto"/>
          <w:sz w:val="24"/>
        </w:rPr>
        <w:t>以甲方的通知为准，乙方自进场至按照本合同约定的完成本项目所有服务为止</w:t>
      </w:r>
      <w:r>
        <w:rPr>
          <w:rFonts w:hint="eastAsia" w:ascii="宋体" w:hAnsi="宋体"/>
          <w:color w:val="auto"/>
          <w:sz w:val="24"/>
        </w:rPr>
        <w:t>，乙方进场、服务周期及检(监)测必须满足实际施工要求。</w:t>
      </w:r>
      <w:r>
        <w:rPr>
          <w:rFonts w:hint="eastAsia" w:ascii="宋体" w:hAnsi="宋体"/>
          <w:color w:val="auto"/>
          <w:sz w:val="24"/>
        </w:rPr>
        <w:t>且不得超过正常的检(监)测时间，并不得因此而影响工程建设的正常进行。</w:t>
      </w:r>
    </w:p>
    <w:p>
      <w:pPr>
        <w:spacing w:line="360" w:lineRule="auto"/>
        <w:ind w:firstLine="480" w:firstLineChars="200"/>
        <w:rPr>
          <w:rFonts w:ascii="宋体" w:hAnsi="宋体"/>
          <w:color w:val="auto"/>
          <w:sz w:val="24"/>
        </w:rPr>
      </w:pPr>
      <w:r>
        <w:rPr>
          <w:rFonts w:hint="eastAsia" w:ascii="宋体" w:hAnsi="宋体"/>
          <w:color w:val="auto"/>
          <w:sz w:val="24"/>
        </w:rPr>
        <w:t>单项检(监)测工程的工期应严格按照甲方要求执行，具体时间根据具检(监)测项目的特点而定，且需满足:</w:t>
      </w:r>
    </w:p>
    <w:p>
      <w:pPr>
        <w:spacing w:line="360" w:lineRule="auto"/>
        <w:rPr>
          <w:rFonts w:ascii="宋体" w:hAnsi="宋体"/>
          <w:color w:val="auto"/>
          <w:sz w:val="24"/>
          <w:szCs w:val="22"/>
        </w:rPr>
      </w:pPr>
      <w:r>
        <w:rPr>
          <w:rFonts w:hint="eastAsia" w:ascii="宋体" w:hAnsi="宋体"/>
          <w:color w:val="auto"/>
          <w:sz w:val="24"/>
        </w:rPr>
        <w:tab/>
      </w:r>
      <w:r>
        <w:rPr>
          <w:rFonts w:hint="eastAsia" w:ascii="宋体" w:hAnsi="宋体"/>
          <w:color w:val="auto"/>
          <w:sz w:val="24"/>
          <w:szCs w:val="22"/>
        </w:rPr>
        <w:t>（1）</w:t>
      </w:r>
      <w:r>
        <w:rPr>
          <w:rFonts w:hint="eastAsia" w:ascii="宋体" w:hAnsi="宋体"/>
          <w:color w:val="auto"/>
          <w:sz w:val="24"/>
          <w:szCs w:val="22"/>
        </w:rPr>
        <w:t>满足检(监)测条件，且收到甲方通知后1个工作日内开始检(监)测工作；</w:t>
      </w:r>
    </w:p>
    <w:p>
      <w:pPr>
        <w:spacing w:line="360" w:lineRule="auto"/>
        <w:rPr>
          <w:rFonts w:ascii="宋体" w:hAnsi="宋体"/>
          <w:color w:val="auto"/>
          <w:sz w:val="24"/>
        </w:rPr>
      </w:pPr>
      <w:r>
        <w:rPr>
          <w:rFonts w:hint="eastAsia" w:ascii="宋体" w:hAnsi="宋体"/>
          <w:color w:val="auto"/>
          <w:sz w:val="24"/>
          <w:szCs w:val="22"/>
        </w:rPr>
        <w:tab/>
      </w:r>
      <w:r>
        <w:rPr>
          <w:rFonts w:hint="eastAsia" w:ascii="宋体" w:hAnsi="宋体"/>
          <w:color w:val="auto"/>
          <w:sz w:val="24"/>
          <w:szCs w:val="22"/>
        </w:rPr>
        <w:t>（2）需取样检(监)测的，取样后3个工作日内向甲方提交阶段性检(监)测结果（经甲方</w:t>
      </w:r>
      <w:r>
        <w:rPr>
          <w:rFonts w:hint="eastAsia" w:ascii="宋体" w:hAnsi="宋体"/>
          <w:color w:val="auto"/>
          <w:sz w:val="24"/>
        </w:rPr>
        <w:t>同意可适当延长）；</w:t>
      </w:r>
    </w:p>
    <w:p>
      <w:pPr>
        <w:spacing w:line="360" w:lineRule="auto"/>
        <w:rPr>
          <w:rFonts w:ascii="宋体" w:hAnsi="宋体"/>
          <w:color w:val="auto"/>
          <w:sz w:val="24"/>
        </w:rPr>
      </w:pPr>
      <w:r>
        <w:rPr>
          <w:rFonts w:hint="eastAsia" w:ascii="宋体" w:hAnsi="宋体"/>
          <w:color w:val="auto"/>
          <w:sz w:val="24"/>
        </w:rPr>
        <w:tab/>
      </w:r>
      <w:r>
        <w:rPr>
          <w:rFonts w:hint="eastAsia" w:ascii="宋体" w:hAnsi="宋体"/>
          <w:color w:val="auto"/>
          <w:sz w:val="24"/>
        </w:rPr>
        <w:t>（3）无需取样的，检(监)测结束后2个工作日内提供检(监)测结果；</w:t>
      </w:r>
    </w:p>
    <w:p>
      <w:pPr>
        <w:spacing w:line="360" w:lineRule="auto"/>
        <w:rPr>
          <w:rFonts w:ascii="宋体" w:hAnsi="宋体"/>
          <w:color w:val="auto"/>
          <w:sz w:val="24"/>
        </w:rPr>
      </w:pPr>
      <w:r>
        <w:rPr>
          <w:rFonts w:hint="eastAsia" w:ascii="宋体" w:hAnsi="宋体"/>
          <w:color w:val="auto"/>
          <w:sz w:val="24"/>
        </w:rPr>
        <w:tab/>
      </w:r>
      <w:r>
        <w:rPr>
          <w:rFonts w:hint="eastAsia" w:ascii="宋体" w:hAnsi="宋体"/>
          <w:color w:val="auto"/>
          <w:sz w:val="24"/>
        </w:rPr>
        <w:t>（4）甲方提供完整正确的技术资料且检测工作全部结束后7个工作日内向甲方提交正式检测结果，及时提交正式技术服务成果报告，并盖有广东省质量技术监督局标准所计量认证合格“CMA”标志；</w:t>
      </w:r>
      <w:r>
        <w:rPr>
          <w:rFonts w:hint="eastAsia" w:ascii="宋体" w:hAnsi="宋体" w:cs="宋体"/>
          <w:color w:val="auto"/>
          <w:kern w:val="0"/>
          <w:sz w:val="24"/>
          <w:szCs w:val="24"/>
        </w:rPr>
        <w:t>所有检(监)测报告必须符合国家和地方现行的规范、标准。</w:t>
      </w:r>
      <w:r>
        <w:rPr>
          <w:rFonts w:hint="eastAsia" w:ascii="宋体" w:hAnsi="宋体"/>
          <w:color w:val="auto"/>
          <w:sz w:val="24"/>
        </w:rPr>
        <w:t>技术服务成果报告需装订成册。</w:t>
      </w:r>
    </w:p>
    <w:p>
      <w:pPr>
        <w:spacing w:line="360" w:lineRule="auto"/>
        <w:rPr>
          <w:rFonts w:ascii="宋体" w:hAnsi="宋体"/>
          <w:color w:val="auto"/>
          <w:sz w:val="24"/>
        </w:rPr>
      </w:pPr>
      <w:r>
        <w:rPr>
          <w:rFonts w:hint="eastAsia" w:ascii="宋体" w:hAnsi="宋体"/>
          <w:color w:val="auto"/>
          <w:sz w:val="24"/>
        </w:rPr>
        <w:tab/>
      </w:r>
      <w:r>
        <w:rPr>
          <w:rFonts w:hint="eastAsia" w:ascii="宋体" w:hAnsi="宋体"/>
          <w:color w:val="auto"/>
          <w:sz w:val="24"/>
        </w:rPr>
        <w:t>（5</w:t>
      </w:r>
      <w:r>
        <w:rPr>
          <w:rFonts w:ascii="宋体" w:hAnsi="宋体"/>
          <w:color w:val="auto"/>
          <w:sz w:val="24"/>
        </w:rPr>
        <w:t>）</w:t>
      </w:r>
      <w:r>
        <w:rPr>
          <w:rFonts w:hint="eastAsia" w:ascii="宋体" w:hAnsi="宋体"/>
          <w:color w:val="auto"/>
          <w:sz w:val="24"/>
        </w:rPr>
        <w:t>当检(监)测结果显示有可能对工程建设造成重大影响，或造成质量事故、财产损失、人员伤亡的现象时，应在发现问题后立即报告甲方，且不管是否属于非工作日、非工作时间。</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如由于工期紧迫，甲方要求乙方提前交付检(监)测成果，且该时间要求能满足基本的检(监)测所需时间的，乙方应按规定时间提供检(监)测成果，且不得因此要求甲方支付任何额外费用。</w:t>
      </w:r>
    </w:p>
    <w:p>
      <w:pPr>
        <w:widowControl/>
        <w:spacing w:line="360" w:lineRule="auto"/>
        <w:ind w:firstLine="420" w:firstLineChars="200"/>
        <w:jc w:val="left"/>
        <w:rPr>
          <w:color w:val="auto"/>
        </w:rPr>
      </w:pPr>
      <w:r>
        <w:rPr>
          <w:color w:val="auto"/>
        </w:rPr>
        <w:t>3</w:t>
      </w:r>
      <w:r>
        <w:rPr>
          <w:rFonts w:hint="eastAsia"/>
          <w:color w:val="auto"/>
        </w:rPr>
        <w:t>．</w:t>
      </w:r>
      <w:r>
        <w:rPr>
          <w:rFonts w:hint="eastAsia" w:ascii="宋体" w:hAnsi="宋体"/>
          <w:color w:val="auto"/>
          <w:sz w:val="24"/>
        </w:rPr>
        <w:t>技术服务进度</w:t>
      </w:r>
      <w:r>
        <w:rPr>
          <w:rFonts w:hint="eastAsia"/>
          <w:color w:val="auto"/>
        </w:rPr>
        <w:t>：</w:t>
      </w:r>
      <w:r>
        <w:rPr>
          <w:rFonts w:hint="eastAsia" w:ascii="宋体" w:hAnsi="宋体"/>
          <w:color w:val="auto"/>
          <w:sz w:val="24"/>
        </w:rPr>
        <w:t>满足施工验收进度及甲方要求</w:t>
      </w:r>
      <w:r>
        <w:rPr>
          <w:rFonts w:hint="eastAsia"/>
          <w:color w:val="auto"/>
        </w:rPr>
        <w:t>；</w:t>
      </w:r>
    </w:p>
    <w:p>
      <w:pPr>
        <w:pStyle w:val="7"/>
        <w:spacing w:before="0" w:beforeAutospacing="0" w:after="0" w:afterAutospacing="0" w:line="360" w:lineRule="auto"/>
        <w:ind w:firstLine="480" w:firstLineChars="200"/>
        <w:rPr>
          <w:color w:val="auto"/>
        </w:rPr>
      </w:pPr>
      <w:r>
        <w:rPr>
          <w:rFonts w:hint="eastAsia"/>
          <w:color w:val="auto"/>
        </w:rPr>
        <w:t>4．技术服务质量要求：</w:t>
      </w:r>
    </w:p>
    <w:p>
      <w:pPr>
        <w:spacing w:line="360" w:lineRule="auto"/>
        <w:ind w:firstLine="480" w:firstLineChars="200"/>
        <w:rPr>
          <w:rFonts w:ascii="宋体" w:hAnsi="宋体"/>
          <w:color w:val="auto"/>
          <w:sz w:val="24"/>
          <w:szCs w:val="22"/>
        </w:rPr>
      </w:pPr>
      <w:r>
        <w:rPr>
          <w:rFonts w:hint="eastAsia" w:ascii="宋体" w:hAnsi="宋体"/>
          <w:color w:val="auto"/>
          <w:sz w:val="24"/>
          <w:szCs w:val="22"/>
        </w:rPr>
        <w:t>验收标准参照国家、广东省及广州市现行有关技术规范或规定以及设计单位的技术要求。</w:t>
      </w:r>
    </w:p>
    <w:p>
      <w:pPr>
        <w:spacing w:line="420" w:lineRule="auto"/>
        <w:ind w:firstLine="480" w:firstLineChars="200"/>
        <w:rPr>
          <w:rFonts w:ascii="宋体" w:hAnsi="宋体"/>
          <w:color w:val="auto"/>
          <w:spacing w:val="21"/>
          <w:sz w:val="24"/>
          <w:szCs w:val="24"/>
        </w:rPr>
      </w:pPr>
      <w:r>
        <w:rPr>
          <w:rFonts w:hint="eastAsia" w:ascii="宋体" w:hAnsi="宋体"/>
          <w:color w:val="auto"/>
          <w:sz w:val="24"/>
          <w:szCs w:val="24"/>
        </w:rPr>
        <w:t>5.</w:t>
      </w:r>
      <w:r>
        <w:rPr>
          <w:rFonts w:ascii="宋体" w:hAnsi="宋体"/>
          <w:color w:val="auto"/>
          <w:spacing w:val="21"/>
          <w:sz w:val="24"/>
          <w:szCs w:val="24"/>
        </w:rPr>
        <w:t>技术服务</w:t>
      </w:r>
      <w:r>
        <w:rPr>
          <w:rFonts w:hint="eastAsia" w:ascii="宋体" w:hAnsi="宋体"/>
          <w:color w:val="auto"/>
          <w:spacing w:val="21"/>
          <w:sz w:val="24"/>
          <w:szCs w:val="24"/>
        </w:rPr>
        <w:t>技术要求</w:t>
      </w:r>
      <w:r>
        <w:rPr>
          <w:rFonts w:ascii="宋体" w:hAnsi="宋体"/>
          <w:color w:val="auto"/>
          <w:spacing w:val="21"/>
          <w:sz w:val="24"/>
          <w:szCs w:val="24"/>
        </w:rPr>
        <w:t>：</w:t>
      </w:r>
    </w:p>
    <w:p>
      <w:pPr>
        <w:spacing w:line="360" w:lineRule="auto"/>
        <w:rPr>
          <w:rFonts w:ascii="宋体" w:hAnsi="宋体"/>
          <w:color w:val="auto"/>
          <w:sz w:val="24"/>
          <w:szCs w:val="22"/>
        </w:rPr>
      </w:pPr>
      <w:r>
        <w:rPr>
          <w:rFonts w:hint="eastAsia" w:ascii="宋体" w:hAnsi="宋体"/>
          <w:color w:val="auto"/>
          <w:sz w:val="24"/>
          <w:szCs w:val="22"/>
        </w:rPr>
        <w:t>（1）按照中华人民共和国家标准、国行业标准、广东省市标准、设计文件要求及其它相关等规范进行检(监)测和判定，出具完整检(监)测报告（如有最新按最新执行）。包括但不限于以下检(监)测规范或规程：</w:t>
      </w:r>
    </w:p>
    <w:p>
      <w:pPr>
        <w:spacing w:line="360" w:lineRule="auto"/>
        <w:rPr>
          <w:rFonts w:ascii="宋体" w:hAnsi="宋体"/>
          <w:color w:val="auto"/>
          <w:sz w:val="24"/>
          <w:szCs w:val="22"/>
        </w:rPr>
      </w:pPr>
      <w:r>
        <w:rPr>
          <w:rFonts w:hint="eastAsia" w:ascii="宋体" w:hAnsi="宋体"/>
          <w:color w:val="auto"/>
          <w:sz w:val="24"/>
          <w:szCs w:val="22"/>
        </w:rPr>
        <w:t>国家标准《工程测量规范》(GB 50026-2020)</w:t>
      </w:r>
    </w:p>
    <w:p>
      <w:pPr>
        <w:spacing w:line="360" w:lineRule="auto"/>
        <w:rPr>
          <w:rFonts w:ascii="宋体" w:hAnsi="宋体"/>
          <w:color w:val="auto"/>
          <w:sz w:val="24"/>
          <w:szCs w:val="22"/>
        </w:rPr>
      </w:pPr>
      <w:r>
        <w:rPr>
          <w:rFonts w:hint="eastAsia" w:ascii="宋体" w:hAnsi="宋体"/>
          <w:color w:val="auto"/>
          <w:sz w:val="24"/>
          <w:szCs w:val="22"/>
        </w:rPr>
        <w:t>国家标准《岩土工程勘测规范》（GB 50021-2017）</w:t>
      </w:r>
    </w:p>
    <w:p>
      <w:pPr>
        <w:spacing w:line="360" w:lineRule="auto"/>
        <w:rPr>
          <w:rFonts w:ascii="宋体" w:hAnsi="宋体"/>
          <w:color w:val="auto"/>
          <w:sz w:val="24"/>
          <w:szCs w:val="22"/>
        </w:rPr>
      </w:pPr>
      <w:r>
        <w:rPr>
          <w:rFonts w:hint="eastAsia" w:ascii="宋体" w:hAnsi="宋体"/>
          <w:color w:val="auto"/>
          <w:sz w:val="24"/>
          <w:szCs w:val="22"/>
        </w:rPr>
        <w:t>国家标准《建筑地基基础设计规范》（GB 50007-2011）</w:t>
      </w:r>
    </w:p>
    <w:p>
      <w:pPr>
        <w:spacing w:line="360" w:lineRule="auto"/>
        <w:rPr>
          <w:rFonts w:ascii="宋体" w:hAnsi="宋体"/>
          <w:color w:val="auto"/>
          <w:sz w:val="24"/>
          <w:szCs w:val="22"/>
        </w:rPr>
      </w:pPr>
      <w:r>
        <w:rPr>
          <w:rFonts w:hint="eastAsia" w:ascii="宋体" w:hAnsi="宋体"/>
          <w:color w:val="auto"/>
          <w:sz w:val="24"/>
          <w:szCs w:val="22"/>
        </w:rPr>
        <w:t>国家标准《建筑基坑监测技术规范》（GB 50497-2019）</w:t>
      </w:r>
    </w:p>
    <w:p>
      <w:pPr>
        <w:spacing w:line="360" w:lineRule="auto"/>
        <w:rPr>
          <w:rFonts w:ascii="宋体" w:hAnsi="宋体"/>
          <w:color w:val="auto"/>
          <w:sz w:val="24"/>
          <w:szCs w:val="22"/>
        </w:rPr>
      </w:pPr>
      <w:r>
        <w:rPr>
          <w:rFonts w:hint="eastAsia" w:ascii="宋体" w:hAnsi="宋体"/>
          <w:color w:val="auto"/>
          <w:sz w:val="24"/>
          <w:szCs w:val="22"/>
        </w:rPr>
        <w:t>国家标准《混凝土结构工程施工质量验收规范》（GB 50204-2015）</w:t>
      </w:r>
    </w:p>
    <w:p>
      <w:pPr>
        <w:spacing w:line="360" w:lineRule="auto"/>
        <w:rPr>
          <w:rFonts w:ascii="宋体" w:hAnsi="宋体"/>
          <w:color w:val="auto"/>
          <w:sz w:val="24"/>
          <w:szCs w:val="22"/>
        </w:rPr>
      </w:pPr>
      <w:r>
        <w:rPr>
          <w:rFonts w:hint="eastAsia" w:ascii="宋体" w:hAnsi="宋体"/>
          <w:color w:val="auto"/>
          <w:sz w:val="24"/>
          <w:szCs w:val="22"/>
        </w:rPr>
        <w:t>国家标准《混凝土砌块和砖试验方法》（GB/T4111-2013）</w:t>
      </w:r>
    </w:p>
    <w:p>
      <w:pPr>
        <w:spacing w:line="360" w:lineRule="auto"/>
        <w:rPr>
          <w:rFonts w:ascii="宋体" w:hAnsi="宋体"/>
          <w:color w:val="auto"/>
          <w:sz w:val="24"/>
          <w:szCs w:val="22"/>
        </w:rPr>
      </w:pPr>
      <w:r>
        <w:rPr>
          <w:rFonts w:hint="eastAsia" w:ascii="宋体" w:hAnsi="宋体"/>
          <w:color w:val="auto"/>
          <w:sz w:val="24"/>
          <w:szCs w:val="22"/>
        </w:rPr>
        <w:t>国家标准《混凝土强度检验评定标准》(GB 50107-2010)</w:t>
      </w:r>
    </w:p>
    <w:p>
      <w:pPr>
        <w:spacing w:line="360" w:lineRule="auto"/>
        <w:rPr>
          <w:rFonts w:ascii="宋体" w:hAnsi="宋体"/>
          <w:color w:val="auto"/>
          <w:sz w:val="24"/>
          <w:szCs w:val="22"/>
        </w:rPr>
      </w:pPr>
      <w:r>
        <w:rPr>
          <w:rFonts w:hint="eastAsia" w:ascii="宋体" w:hAnsi="宋体"/>
          <w:color w:val="auto"/>
          <w:sz w:val="24"/>
          <w:szCs w:val="22"/>
        </w:rPr>
        <w:t>国家标准《砌体工程施工质量验收规范》（GB 50203-2011）</w:t>
      </w:r>
    </w:p>
    <w:p>
      <w:pPr>
        <w:spacing w:line="360" w:lineRule="auto"/>
        <w:rPr>
          <w:rFonts w:ascii="宋体" w:hAnsi="宋体"/>
          <w:color w:val="auto"/>
          <w:sz w:val="24"/>
          <w:szCs w:val="22"/>
        </w:rPr>
      </w:pPr>
      <w:r>
        <w:rPr>
          <w:rFonts w:hint="eastAsia" w:ascii="宋体" w:hAnsi="宋体"/>
          <w:color w:val="auto"/>
          <w:sz w:val="24"/>
          <w:szCs w:val="22"/>
        </w:rPr>
        <w:t>国家标准《屋面工程质量验收规范》（GB 50207-2012）</w:t>
      </w:r>
    </w:p>
    <w:p>
      <w:pPr>
        <w:spacing w:line="360" w:lineRule="auto"/>
        <w:rPr>
          <w:rFonts w:ascii="宋体" w:hAnsi="宋体"/>
          <w:color w:val="auto"/>
          <w:sz w:val="24"/>
          <w:szCs w:val="22"/>
        </w:rPr>
      </w:pPr>
      <w:r>
        <w:rPr>
          <w:rFonts w:hint="eastAsia" w:ascii="宋体" w:hAnsi="宋体"/>
          <w:color w:val="auto"/>
          <w:sz w:val="24"/>
          <w:szCs w:val="22"/>
        </w:rPr>
        <w:t>国家标准《给水排水管道工程施工及验收规范》（GB 50268-2008）</w:t>
      </w:r>
    </w:p>
    <w:p>
      <w:pPr>
        <w:spacing w:line="360" w:lineRule="auto"/>
        <w:rPr>
          <w:rFonts w:ascii="宋体" w:hAnsi="宋体"/>
          <w:color w:val="auto"/>
          <w:sz w:val="24"/>
          <w:szCs w:val="22"/>
        </w:rPr>
      </w:pPr>
      <w:r>
        <w:rPr>
          <w:rFonts w:hint="eastAsia" w:ascii="宋体" w:hAnsi="宋体"/>
          <w:color w:val="auto"/>
          <w:sz w:val="24"/>
          <w:szCs w:val="22"/>
        </w:rPr>
        <w:t>国家标准《建筑地面工程施工质量验收规范》（GB 50209-2002）</w:t>
      </w:r>
    </w:p>
    <w:p>
      <w:pPr>
        <w:spacing w:line="360" w:lineRule="auto"/>
        <w:rPr>
          <w:rFonts w:ascii="宋体" w:hAnsi="宋体"/>
          <w:color w:val="auto"/>
          <w:sz w:val="24"/>
          <w:szCs w:val="22"/>
        </w:rPr>
      </w:pPr>
      <w:r>
        <w:rPr>
          <w:rFonts w:hint="eastAsia" w:ascii="宋体" w:hAnsi="宋体"/>
          <w:color w:val="auto"/>
          <w:sz w:val="24"/>
          <w:szCs w:val="22"/>
        </w:rPr>
        <w:t>国家标准《建筑装饰装修工程质量验收规范》（GB 50300-2018）</w:t>
      </w:r>
    </w:p>
    <w:p>
      <w:pPr>
        <w:spacing w:line="360" w:lineRule="auto"/>
        <w:rPr>
          <w:rFonts w:ascii="宋体" w:hAnsi="宋体"/>
          <w:color w:val="auto"/>
          <w:sz w:val="24"/>
          <w:szCs w:val="22"/>
        </w:rPr>
      </w:pPr>
      <w:r>
        <w:rPr>
          <w:rFonts w:hint="eastAsia" w:ascii="宋体" w:hAnsi="宋体"/>
          <w:color w:val="auto"/>
          <w:sz w:val="24"/>
          <w:szCs w:val="22"/>
        </w:rPr>
        <w:t>国家标准《焊接接头拉伸试验方法》（GB 2651-2008）</w:t>
      </w:r>
    </w:p>
    <w:p>
      <w:pPr>
        <w:spacing w:line="360" w:lineRule="auto"/>
        <w:rPr>
          <w:rFonts w:ascii="宋体" w:hAnsi="宋体"/>
          <w:color w:val="auto"/>
          <w:sz w:val="24"/>
          <w:szCs w:val="22"/>
        </w:rPr>
      </w:pPr>
      <w:r>
        <w:rPr>
          <w:rFonts w:hint="eastAsia" w:ascii="宋体" w:hAnsi="宋体"/>
          <w:color w:val="auto"/>
          <w:sz w:val="24"/>
          <w:szCs w:val="22"/>
        </w:rPr>
        <w:t>国家标准《水泥细度检验方法筛析法》（GB/T1345-2005）</w:t>
      </w:r>
    </w:p>
    <w:p>
      <w:pPr>
        <w:spacing w:line="360" w:lineRule="auto"/>
        <w:rPr>
          <w:rFonts w:ascii="宋体" w:hAnsi="宋体"/>
          <w:color w:val="auto"/>
          <w:sz w:val="24"/>
          <w:szCs w:val="22"/>
        </w:rPr>
      </w:pPr>
      <w:r>
        <w:rPr>
          <w:rFonts w:hint="eastAsia" w:ascii="宋体" w:hAnsi="宋体"/>
          <w:color w:val="auto"/>
          <w:sz w:val="24"/>
          <w:szCs w:val="22"/>
        </w:rPr>
        <w:t>国家标准《水泥标准稠度用水量、凝结时间、安定性检验方法》（GB/T1346-2011）</w:t>
      </w:r>
    </w:p>
    <w:p>
      <w:pPr>
        <w:spacing w:line="360" w:lineRule="auto"/>
        <w:rPr>
          <w:rFonts w:ascii="宋体" w:hAnsi="宋体"/>
          <w:color w:val="auto"/>
          <w:sz w:val="24"/>
          <w:szCs w:val="22"/>
        </w:rPr>
      </w:pPr>
      <w:r>
        <w:rPr>
          <w:rFonts w:hint="eastAsia" w:ascii="宋体" w:hAnsi="宋体"/>
          <w:color w:val="auto"/>
          <w:sz w:val="24"/>
          <w:szCs w:val="22"/>
        </w:rPr>
        <w:t>国家标准《水泥水化热测定方法》（GB/T12959-2008）</w:t>
      </w:r>
    </w:p>
    <w:p>
      <w:pPr>
        <w:spacing w:line="360" w:lineRule="auto"/>
        <w:rPr>
          <w:rFonts w:ascii="宋体" w:hAnsi="宋体"/>
          <w:color w:val="auto"/>
          <w:sz w:val="24"/>
          <w:szCs w:val="22"/>
        </w:rPr>
      </w:pPr>
      <w:r>
        <w:rPr>
          <w:rFonts w:hint="eastAsia" w:ascii="宋体" w:hAnsi="宋体"/>
          <w:color w:val="auto"/>
          <w:sz w:val="24"/>
          <w:szCs w:val="22"/>
        </w:rPr>
        <w:t>国家标准《钢结构工程施工质量验收规范》(GB 50205-2020)</w:t>
      </w:r>
    </w:p>
    <w:p>
      <w:pPr>
        <w:spacing w:line="360" w:lineRule="auto"/>
        <w:rPr>
          <w:rFonts w:ascii="宋体" w:hAnsi="宋体"/>
          <w:color w:val="auto"/>
          <w:sz w:val="24"/>
          <w:szCs w:val="22"/>
        </w:rPr>
      </w:pPr>
      <w:r>
        <w:rPr>
          <w:rFonts w:hint="eastAsia" w:ascii="宋体" w:hAnsi="宋体"/>
          <w:color w:val="auto"/>
          <w:sz w:val="24"/>
          <w:szCs w:val="22"/>
        </w:rPr>
        <w:t>国家标准《电缆和光缆绝缘和护套材料通用试验方法》（GB/T2951-2008）</w:t>
      </w:r>
    </w:p>
    <w:p>
      <w:pPr>
        <w:spacing w:line="360" w:lineRule="auto"/>
        <w:rPr>
          <w:rFonts w:ascii="宋体" w:hAnsi="宋体"/>
          <w:color w:val="auto"/>
          <w:sz w:val="24"/>
          <w:szCs w:val="22"/>
        </w:rPr>
      </w:pPr>
      <w:r>
        <w:rPr>
          <w:rFonts w:hint="eastAsia" w:ascii="宋体" w:hAnsi="宋体"/>
          <w:color w:val="auto"/>
          <w:sz w:val="24"/>
          <w:szCs w:val="22"/>
        </w:rPr>
        <w:t>国家标准《陶瓷砖试验方法》（GB/T3810.2-2016）</w:t>
      </w:r>
    </w:p>
    <w:p>
      <w:pPr>
        <w:spacing w:line="360" w:lineRule="auto"/>
        <w:rPr>
          <w:rFonts w:ascii="宋体" w:hAnsi="宋体"/>
          <w:color w:val="auto"/>
          <w:sz w:val="24"/>
          <w:szCs w:val="22"/>
        </w:rPr>
      </w:pPr>
      <w:r>
        <w:rPr>
          <w:rFonts w:hint="eastAsia" w:ascii="宋体" w:hAnsi="宋体"/>
          <w:color w:val="auto"/>
          <w:sz w:val="24"/>
          <w:szCs w:val="22"/>
        </w:rPr>
        <w:t>国家标准《民用建筑工程室内环境污染控制规范》（GB 50325—2010）</w:t>
      </w:r>
    </w:p>
    <w:p>
      <w:pPr>
        <w:spacing w:line="360" w:lineRule="auto"/>
        <w:rPr>
          <w:rFonts w:ascii="宋体" w:hAnsi="宋体"/>
          <w:color w:val="auto"/>
          <w:sz w:val="24"/>
          <w:szCs w:val="22"/>
        </w:rPr>
      </w:pPr>
      <w:r>
        <w:rPr>
          <w:rFonts w:hint="eastAsia" w:ascii="宋体" w:hAnsi="宋体"/>
          <w:color w:val="auto"/>
          <w:sz w:val="24"/>
          <w:szCs w:val="22"/>
        </w:rPr>
        <w:t>国家标准《建筑物防雷工程施工与质量验收规范》（GB 50601-2010）</w:t>
      </w:r>
    </w:p>
    <w:p>
      <w:pPr>
        <w:spacing w:line="360" w:lineRule="auto"/>
        <w:rPr>
          <w:rFonts w:ascii="宋体" w:hAnsi="宋体"/>
          <w:color w:val="auto"/>
          <w:sz w:val="24"/>
          <w:szCs w:val="22"/>
        </w:rPr>
      </w:pPr>
      <w:r>
        <w:rPr>
          <w:rFonts w:hint="eastAsia" w:ascii="宋体" w:hAnsi="宋体"/>
          <w:color w:val="auto"/>
          <w:sz w:val="24"/>
          <w:szCs w:val="22"/>
        </w:rPr>
        <w:t>国家标准《建筑节能工程施工质量验收规范》（GB 50411-2019）</w:t>
      </w:r>
    </w:p>
    <w:p>
      <w:pPr>
        <w:spacing w:line="360" w:lineRule="auto"/>
        <w:rPr>
          <w:rFonts w:ascii="宋体" w:hAnsi="宋体"/>
          <w:color w:val="auto"/>
          <w:sz w:val="24"/>
          <w:szCs w:val="22"/>
        </w:rPr>
      </w:pPr>
      <w:r>
        <w:rPr>
          <w:rFonts w:hint="eastAsia" w:ascii="宋体" w:hAnsi="宋体"/>
          <w:color w:val="auto"/>
          <w:sz w:val="24"/>
          <w:szCs w:val="22"/>
        </w:rPr>
        <w:t>国家标准《通风与空调工程施工质量验收规范》（GB 50243-2016）</w:t>
      </w:r>
    </w:p>
    <w:p>
      <w:pPr>
        <w:spacing w:line="360" w:lineRule="auto"/>
        <w:rPr>
          <w:rFonts w:ascii="宋体" w:hAnsi="宋体"/>
          <w:color w:val="auto"/>
          <w:sz w:val="24"/>
          <w:szCs w:val="22"/>
        </w:rPr>
      </w:pPr>
      <w:r>
        <w:rPr>
          <w:rFonts w:hint="eastAsia" w:ascii="宋体" w:hAnsi="宋体"/>
          <w:color w:val="auto"/>
          <w:sz w:val="24"/>
          <w:szCs w:val="22"/>
        </w:rPr>
        <w:t>国家标准《建筑电气工程施工质量验收规范》（GB 50303-2015）</w:t>
      </w:r>
    </w:p>
    <w:p>
      <w:pPr>
        <w:spacing w:line="360" w:lineRule="auto"/>
        <w:rPr>
          <w:rFonts w:ascii="宋体" w:hAnsi="宋体"/>
          <w:color w:val="auto"/>
          <w:sz w:val="24"/>
          <w:szCs w:val="22"/>
        </w:rPr>
      </w:pPr>
      <w:r>
        <w:rPr>
          <w:rFonts w:hint="eastAsia" w:ascii="宋体" w:hAnsi="宋体"/>
          <w:color w:val="auto"/>
          <w:sz w:val="24"/>
          <w:szCs w:val="22"/>
        </w:rPr>
        <w:t>国家标准《智能建筑设计标准》（GB 50314-2015）</w:t>
      </w:r>
    </w:p>
    <w:p>
      <w:pPr>
        <w:spacing w:line="360" w:lineRule="auto"/>
        <w:rPr>
          <w:rFonts w:ascii="宋体" w:hAnsi="宋体"/>
          <w:color w:val="auto"/>
          <w:sz w:val="24"/>
          <w:szCs w:val="22"/>
        </w:rPr>
      </w:pPr>
      <w:r>
        <w:rPr>
          <w:rFonts w:hint="eastAsia" w:ascii="宋体" w:hAnsi="宋体"/>
          <w:color w:val="auto"/>
          <w:sz w:val="24"/>
          <w:szCs w:val="22"/>
        </w:rPr>
        <w:t>国家行业标准《建筑基桩检测技术规范》（JGJ106-2014）</w:t>
      </w:r>
    </w:p>
    <w:p>
      <w:pPr>
        <w:spacing w:line="360" w:lineRule="auto"/>
        <w:rPr>
          <w:rFonts w:ascii="宋体" w:hAnsi="宋体"/>
          <w:color w:val="auto"/>
          <w:sz w:val="24"/>
          <w:szCs w:val="22"/>
        </w:rPr>
      </w:pPr>
      <w:r>
        <w:rPr>
          <w:rFonts w:hint="eastAsia" w:ascii="宋体" w:hAnsi="宋体"/>
          <w:color w:val="auto"/>
          <w:sz w:val="24"/>
          <w:szCs w:val="22"/>
        </w:rPr>
        <w:t>国家行业标准《建筑桩基技术规范》（JGJ94—2008）</w:t>
      </w:r>
    </w:p>
    <w:p>
      <w:pPr>
        <w:spacing w:line="360" w:lineRule="auto"/>
        <w:rPr>
          <w:rFonts w:ascii="宋体" w:hAnsi="宋体"/>
          <w:color w:val="auto"/>
          <w:sz w:val="24"/>
          <w:szCs w:val="22"/>
        </w:rPr>
      </w:pPr>
      <w:r>
        <w:rPr>
          <w:rFonts w:hint="eastAsia" w:ascii="宋体" w:hAnsi="宋体"/>
          <w:color w:val="auto"/>
          <w:sz w:val="24"/>
          <w:szCs w:val="22"/>
        </w:rPr>
        <w:t>国家行业标准《建筑基坑支护技术规程》（JGJ120-2012）</w:t>
      </w:r>
    </w:p>
    <w:p>
      <w:pPr>
        <w:spacing w:line="360" w:lineRule="auto"/>
        <w:rPr>
          <w:rFonts w:ascii="宋体" w:hAnsi="宋体"/>
          <w:color w:val="auto"/>
          <w:sz w:val="24"/>
          <w:szCs w:val="22"/>
        </w:rPr>
      </w:pPr>
      <w:r>
        <w:rPr>
          <w:rFonts w:hint="eastAsia" w:ascii="宋体" w:hAnsi="宋体"/>
          <w:color w:val="auto"/>
          <w:sz w:val="24"/>
          <w:szCs w:val="22"/>
        </w:rPr>
        <w:t>国家行业标准《建筑地基处理技术规程》（JGJ79-2012）</w:t>
      </w:r>
    </w:p>
    <w:p>
      <w:pPr>
        <w:spacing w:line="360" w:lineRule="auto"/>
        <w:rPr>
          <w:rFonts w:ascii="宋体" w:hAnsi="宋体"/>
          <w:color w:val="auto"/>
          <w:sz w:val="24"/>
          <w:szCs w:val="22"/>
        </w:rPr>
      </w:pPr>
      <w:r>
        <w:rPr>
          <w:rFonts w:hint="eastAsia" w:ascii="宋体" w:hAnsi="宋体"/>
          <w:color w:val="auto"/>
          <w:sz w:val="24"/>
          <w:szCs w:val="22"/>
        </w:rPr>
        <w:t>国家行业标准《建筑变形测量规程》（JGJ8-2016）</w:t>
      </w:r>
    </w:p>
    <w:p>
      <w:pPr>
        <w:spacing w:line="360" w:lineRule="auto"/>
        <w:rPr>
          <w:rFonts w:ascii="宋体" w:hAnsi="宋体"/>
          <w:color w:val="auto"/>
          <w:sz w:val="24"/>
          <w:szCs w:val="22"/>
        </w:rPr>
      </w:pPr>
      <w:r>
        <w:rPr>
          <w:rFonts w:hint="eastAsia" w:ascii="宋体" w:hAnsi="宋体"/>
          <w:color w:val="auto"/>
          <w:sz w:val="24"/>
          <w:szCs w:val="22"/>
        </w:rPr>
        <w:t>国家行业标准《混凝土中钢筋检测技术规程》（JGJ152T-2008）</w:t>
      </w:r>
    </w:p>
    <w:p>
      <w:pPr>
        <w:spacing w:line="360" w:lineRule="auto"/>
        <w:rPr>
          <w:rFonts w:ascii="宋体" w:hAnsi="宋体"/>
          <w:color w:val="auto"/>
          <w:sz w:val="24"/>
          <w:szCs w:val="22"/>
        </w:rPr>
      </w:pPr>
      <w:r>
        <w:rPr>
          <w:rFonts w:hint="eastAsia" w:ascii="宋体" w:hAnsi="宋体"/>
          <w:color w:val="auto"/>
          <w:sz w:val="24"/>
          <w:szCs w:val="22"/>
        </w:rPr>
        <w:t>国家行业标准《回弹法检测混凝土抗压强度技术规程》（JGJT23-2011）</w:t>
      </w:r>
    </w:p>
    <w:p>
      <w:pPr>
        <w:spacing w:line="360" w:lineRule="auto"/>
        <w:rPr>
          <w:rFonts w:ascii="宋体" w:hAnsi="宋体"/>
          <w:color w:val="auto"/>
          <w:sz w:val="24"/>
          <w:szCs w:val="22"/>
        </w:rPr>
      </w:pPr>
      <w:r>
        <w:rPr>
          <w:rFonts w:hint="eastAsia" w:ascii="宋体" w:hAnsi="宋体"/>
          <w:color w:val="auto"/>
          <w:sz w:val="24"/>
          <w:szCs w:val="22"/>
        </w:rPr>
        <w:t>国家行业标准《普通混凝土用砂、石质量及检验方法标准》（JGJ52-2006）</w:t>
      </w:r>
    </w:p>
    <w:p>
      <w:pPr>
        <w:spacing w:line="360" w:lineRule="auto"/>
        <w:rPr>
          <w:rFonts w:ascii="宋体" w:hAnsi="宋体"/>
          <w:color w:val="auto"/>
          <w:sz w:val="24"/>
          <w:szCs w:val="22"/>
        </w:rPr>
      </w:pPr>
      <w:r>
        <w:rPr>
          <w:rFonts w:hint="eastAsia" w:ascii="宋体" w:hAnsi="宋体"/>
          <w:color w:val="auto"/>
          <w:sz w:val="24"/>
          <w:szCs w:val="22"/>
        </w:rPr>
        <w:t>国家行业标准《钻芯法检测混凝土强度技术规程》（</w:t>
      </w:r>
      <w:r>
        <w:rPr>
          <w:rFonts w:ascii="宋体" w:hAnsi="宋体"/>
          <w:color w:val="auto"/>
          <w:sz w:val="24"/>
          <w:szCs w:val="22"/>
        </w:rPr>
        <w:t>JGJT384-2016</w:t>
      </w:r>
      <w:r>
        <w:rPr>
          <w:rFonts w:hint="eastAsia" w:ascii="宋体" w:hAnsi="宋体"/>
          <w:color w:val="auto"/>
          <w:sz w:val="24"/>
          <w:szCs w:val="22"/>
        </w:rPr>
        <w:t>）</w:t>
      </w:r>
    </w:p>
    <w:p>
      <w:pPr>
        <w:spacing w:line="360" w:lineRule="auto"/>
        <w:rPr>
          <w:rFonts w:ascii="宋体" w:hAnsi="宋体"/>
          <w:color w:val="auto"/>
          <w:sz w:val="24"/>
          <w:szCs w:val="22"/>
        </w:rPr>
      </w:pPr>
      <w:r>
        <w:rPr>
          <w:rFonts w:hint="eastAsia" w:ascii="宋体" w:hAnsi="宋体"/>
          <w:color w:val="auto"/>
          <w:sz w:val="24"/>
          <w:szCs w:val="22"/>
        </w:rPr>
        <w:t>国家行业标准《钢筋焊接接头试验方法标准》( JGJ/T27-2014 )</w:t>
      </w:r>
    </w:p>
    <w:p>
      <w:pPr>
        <w:spacing w:line="360" w:lineRule="auto"/>
        <w:rPr>
          <w:rFonts w:ascii="宋体" w:hAnsi="宋体"/>
          <w:color w:val="auto"/>
          <w:sz w:val="24"/>
          <w:szCs w:val="22"/>
        </w:rPr>
      </w:pPr>
      <w:r>
        <w:rPr>
          <w:rFonts w:hint="eastAsia" w:ascii="宋体" w:hAnsi="宋体"/>
          <w:color w:val="auto"/>
          <w:sz w:val="24"/>
          <w:szCs w:val="22"/>
        </w:rPr>
        <w:t>国家行业标准《居住建筑节能检测标准》( JGJ/T132 )</w:t>
      </w:r>
    </w:p>
    <w:p>
      <w:pPr>
        <w:spacing w:line="360" w:lineRule="auto"/>
        <w:rPr>
          <w:rFonts w:ascii="宋体" w:hAnsi="宋体"/>
          <w:color w:val="auto"/>
          <w:sz w:val="24"/>
          <w:szCs w:val="22"/>
        </w:rPr>
      </w:pPr>
      <w:r>
        <w:rPr>
          <w:rFonts w:hint="eastAsia" w:ascii="宋体" w:hAnsi="宋体"/>
          <w:color w:val="auto"/>
          <w:sz w:val="24"/>
          <w:szCs w:val="22"/>
        </w:rPr>
        <w:t>国家行业标准《公共建筑节能检测标准》( JGJ/T177 )</w:t>
      </w:r>
    </w:p>
    <w:p>
      <w:pPr>
        <w:spacing w:line="360" w:lineRule="auto"/>
        <w:rPr>
          <w:rFonts w:ascii="宋体" w:hAnsi="宋体"/>
          <w:color w:val="auto"/>
          <w:sz w:val="24"/>
          <w:szCs w:val="22"/>
        </w:rPr>
      </w:pPr>
      <w:r>
        <w:rPr>
          <w:rFonts w:hint="eastAsia" w:ascii="宋体" w:hAnsi="宋体"/>
          <w:color w:val="auto"/>
          <w:sz w:val="24"/>
          <w:szCs w:val="22"/>
        </w:rPr>
        <w:t>国家行业标准《照明测量方法》( GB/T5700-2008)</w:t>
      </w:r>
    </w:p>
    <w:p>
      <w:pPr>
        <w:spacing w:line="360" w:lineRule="auto"/>
        <w:rPr>
          <w:rFonts w:ascii="宋体" w:hAnsi="宋体"/>
          <w:color w:val="auto"/>
          <w:sz w:val="24"/>
          <w:szCs w:val="22"/>
        </w:rPr>
      </w:pPr>
      <w:r>
        <w:rPr>
          <w:rFonts w:hint="eastAsia" w:ascii="宋体" w:hAnsi="宋体"/>
          <w:color w:val="auto"/>
          <w:sz w:val="24"/>
          <w:szCs w:val="22"/>
        </w:rPr>
        <w:t>国家行业标准《风机盘管机组》( GB/T19232-2019)</w:t>
      </w:r>
    </w:p>
    <w:p>
      <w:pPr>
        <w:spacing w:line="360" w:lineRule="auto"/>
        <w:rPr>
          <w:rFonts w:ascii="宋体" w:hAnsi="宋体"/>
          <w:color w:val="auto"/>
          <w:sz w:val="24"/>
          <w:szCs w:val="22"/>
        </w:rPr>
      </w:pPr>
      <w:r>
        <w:rPr>
          <w:rFonts w:hint="eastAsia" w:ascii="宋体" w:hAnsi="宋体"/>
          <w:color w:val="auto"/>
          <w:sz w:val="24"/>
          <w:szCs w:val="22"/>
        </w:rPr>
        <w:t>广东省标准《建筑基坑支护工程技术规程》（DBJ/T 15-20-2016）</w:t>
      </w:r>
    </w:p>
    <w:p>
      <w:pPr>
        <w:spacing w:line="360" w:lineRule="auto"/>
        <w:rPr>
          <w:rFonts w:ascii="宋体" w:hAnsi="宋体"/>
          <w:color w:val="auto"/>
          <w:sz w:val="24"/>
          <w:szCs w:val="22"/>
        </w:rPr>
      </w:pPr>
      <w:r>
        <w:rPr>
          <w:rFonts w:hint="eastAsia" w:ascii="宋体" w:hAnsi="宋体"/>
          <w:color w:val="auto"/>
          <w:sz w:val="24"/>
          <w:szCs w:val="22"/>
        </w:rPr>
        <w:t>广东省标准《建筑地基基础检测规范》（DBJ/T 15-60-2019）</w:t>
      </w:r>
    </w:p>
    <w:p>
      <w:pPr>
        <w:spacing w:line="360" w:lineRule="auto"/>
        <w:rPr>
          <w:rFonts w:ascii="宋体" w:hAnsi="宋体"/>
          <w:color w:val="auto"/>
          <w:sz w:val="24"/>
          <w:szCs w:val="22"/>
        </w:rPr>
      </w:pPr>
      <w:r>
        <w:rPr>
          <w:rFonts w:hint="eastAsia" w:ascii="宋体" w:hAnsi="宋体"/>
          <w:color w:val="auto"/>
          <w:sz w:val="24"/>
          <w:szCs w:val="22"/>
        </w:rPr>
        <w:t>广东省标准《建筑防火及消防设施检测技术规程》（DBJ/T 15-110-2015）</w:t>
      </w:r>
    </w:p>
    <w:p>
      <w:pPr>
        <w:spacing w:line="360" w:lineRule="auto"/>
        <w:rPr>
          <w:rFonts w:ascii="宋体" w:hAnsi="宋体"/>
          <w:color w:val="auto"/>
          <w:sz w:val="24"/>
          <w:szCs w:val="22"/>
        </w:rPr>
      </w:pPr>
      <w:r>
        <w:rPr>
          <w:rFonts w:hint="eastAsia" w:ascii="宋体" w:hAnsi="宋体"/>
          <w:color w:val="auto"/>
          <w:sz w:val="24"/>
          <w:szCs w:val="22"/>
        </w:rPr>
        <w:t>广东省标准《广东省建筑节能工程施工质量验收规范》（DBJ15-65-2009）</w:t>
      </w:r>
    </w:p>
    <w:p>
      <w:pPr>
        <w:spacing w:line="360" w:lineRule="auto"/>
        <w:rPr>
          <w:rFonts w:ascii="宋体" w:hAnsi="宋体"/>
          <w:color w:val="auto"/>
          <w:sz w:val="24"/>
          <w:szCs w:val="22"/>
        </w:rPr>
      </w:pPr>
      <w:r>
        <w:rPr>
          <w:rFonts w:hint="eastAsia" w:ascii="宋体" w:hAnsi="宋体"/>
          <w:color w:val="auto"/>
          <w:sz w:val="24"/>
          <w:szCs w:val="22"/>
        </w:rPr>
        <w:t>广东省标准《广东省建筑智能工程施工、检测与验收规范》（DBJ/T 15-147-2018）</w:t>
      </w:r>
    </w:p>
    <w:p>
      <w:pPr>
        <w:spacing w:line="360" w:lineRule="auto"/>
        <w:rPr>
          <w:rFonts w:ascii="宋体" w:hAnsi="宋体"/>
          <w:color w:val="auto"/>
          <w:sz w:val="24"/>
          <w:szCs w:val="22"/>
        </w:rPr>
      </w:pPr>
      <w:r>
        <w:rPr>
          <w:rFonts w:hint="eastAsia" w:ascii="宋体" w:hAnsi="宋体"/>
          <w:color w:val="auto"/>
          <w:sz w:val="24"/>
          <w:szCs w:val="22"/>
        </w:rPr>
        <w:t>广东省标准《园林绿化用植物材料》（DB440100/T105-2006）</w:t>
      </w:r>
    </w:p>
    <w:p>
      <w:pPr>
        <w:spacing w:line="360" w:lineRule="auto"/>
        <w:rPr>
          <w:rFonts w:ascii="宋体" w:hAnsi="宋体"/>
          <w:color w:val="auto"/>
          <w:sz w:val="24"/>
          <w:szCs w:val="22"/>
        </w:rPr>
      </w:pPr>
      <w:r>
        <w:rPr>
          <w:rFonts w:hint="eastAsia" w:ascii="宋体" w:hAnsi="宋体"/>
          <w:color w:val="auto"/>
          <w:sz w:val="24"/>
          <w:szCs w:val="22"/>
        </w:rPr>
        <w:t>广东省标准《广东城市绿化工程施工和验收规范》（DB44/T581-2009）</w:t>
      </w:r>
    </w:p>
    <w:p>
      <w:pPr>
        <w:spacing w:line="360" w:lineRule="auto"/>
        <w:rPr>
          <w:rFonts w:ascii="宋体" w:hAnsi="宋体"/>
          <w:color w:val="auto"/>
          <w:sz w:val="24"/>
          <w:szCs w:val="22"/>
        </w:rPr>
      </w:pPr>
      <w:r>
        <w:rPr>
          <w:rFonts w:hint="eastAsia" w:ascii="宋体" w:hAnsi="宋体"/>
          <w:color w:val="auto"/>
          <w:sz w:val="24"/>
          <w:szCs w:val="22"/>
        </w:rPr>
        <w:t>广东省标准《城市绿化和园林绿地用植物材料木本苗》（CJ/T24-1999）</w:t>
      </w:r>
    </w:p>
    <w:p>
      <w:pPr>
        <w:spacing w:line="360" w:lineRule="auto"/>
        <w:rPr>
          <w:rFonts w:ascii="宋体" w:hAnsi="宋体"/>
          <w:color w:val="auto"/>
          <w:sz w:val="24"/>
          <w:szCs w:val="22"/>
        </w:rPr>
      </w:pPr>
      <w:r>
        <w:rPr>
          <w:rFonts w:hint="eastAsia" w:ascii="宋体" w:hAnsi="宋体"/>
          <w:color w:val="auto"/>
          <w:sz w:val="24"/>
          <w:szCs w:val="22"/>
        </w:rPr>
        <w:t>广州市标准《广州地区建筑基坑支护技术规定》（GJB02-98）</w:t>
      </w:r>
    </w:p>
    <w:p>
      <w:pPr>
        <w:spacing w:line="360" w:lineRule="auto"/>
        <w:rPr>
          <w:rFonts w:ascii="宋体" w:hAnsi="宋体"/>
          <w:color w:val="auto"/>
          <w:sz w:val="24"/>
          <w:szCs w:val="22"/>
        </w:rPr>
      </w:pPr>
      <w:r>
        <w:rPr>
          <w:rFonts w:hint="eastAsia" w:ascii="宋体" w:hAnsi="宋体"/>
          <w:color w:val="auto"/>
          <w:sz w:val="24"/>
          <w:szCs w:val="22"/>
        </w:rPr>
        <w:t>协会标准《超声回弹综合法检测混凝土强度技术规程》（CECS02-2005）</w:t>
      </w:r>
    </w:p>
    <w:p>
      <w:pPr>
        <w:spacing w:line="360" w:lineRule="auto"/>
        <w:rPr>
          <w:rFonts w:ascii="宋体" w:hAnsi="宋体"/>
          <w:color w:val="auto"/>
          <w:sz w:val="24"/>
          <w:szCs w:val="22"/>
        </w:rPr>
      </w:pPr>
      <w:r>
        <w:rPr>
          <w:rFonts w:hint="eastAsia" w:ascii="宋体" w:hAnsi="宋体"/>
          <w:color w:val="auto"/>
          <w:sz w:val="24"/>
          <w:szCs w:val="22"/>
        </w:rPr>
        <w:t>《建设工程质量管理条例文件汇编》（广州地区建设工程质量安全监督站编制）</w:t>
      </w:r>
    </w:p>
    <w:p>
      <w:pPr>
        <w:spacing w:line="360" w:lineRule="auto"/>
        <w:rPr>
          <w:rFonts w:ascii="宋体" w:hAnsi="宋体"/>
          <w:color w:val="auto"/>
          <w:sz w:val="24"/>
          <w:szCs w:val="22"/>
        </w:rPr>
      </w:pPr>
      <w:r>
        <w:rPr>
          <w:rFonts w:hint="eastAsia" w:ascii="宋体" w:hAnsi="宋体"/>
          <w:color w:val="auto"/>
          <w:sz w:val="24"/>
          <w:szCs w:val="22"/>
        </w:rPr>
        <w:t>《转发省建设厅〈广东省桩基质量检测技术规定〉（试行）的通知》（穗建筑[2001]395号）</w:t>
      </w:r>
    </w:p>
    <w:p>
      <w:pPr>
        <w:spacing w:line="360" w:lineRule="auto"/>
        <w:rPr>
          <w:rFonts w:ascii="宋体" w:hAnsi="宋体"/>
          <w:color w:val="auto"/>
          <w:sz w:val="24"/>
          <w:szCs w:val="22"/>
        </w:rPr>
      </w:pPr>
      <w:r>
        <w:rPr>
          <w:rFonts w:hint="eastAsia" w:ascii="宋体" w:hAnsi="宋体"/>
          <w:color w:val="auto"/>
          <w:sz w:val="24"/>
          <w:szCs w:val="22"/>
        </w:rPr>
        <w:t>《关于印发〈广州市建筑工程结构实体质量监督抽检暂行办法〉的通知》（穗建质监字[2007]31号）</w:t>
      </w:r>
    </w:p>
    <w:p>
      <w:pPr>
        <w:spacing w:line="360" w:lineRule="auto"/>
        <w:rPr>
          <w:rFonts w:ascii="宋体" w:hAnsi="宋体"/>
          <w:color w:val="auto"/>
          <w:sz w:val="24"/>
          <w:szCs w:val="22"/>
        </w:rPr>
      </w:pPr>
      <w:r>
        <w:rPr>
          <w:rFonts w:hint="eastAsia" w:ascii="宋体" w:hAnsi="宋体"/>
          <w:color w:val="auto"/>
          <w:sz w:val="24"/>
          <w:szCs w:val="22"/>
        </w:rPr>
        <w:t>国家标准《工程测量规范》(GB 50026-2020)</w:t>
      </w:r>
    </w:p>
    <w:p>
      <w:pPr>
        <w:spacing w:line="360" w:lineRule="auto"/>
        <w:rPr>
          <w:rFonts w:ascii="宋体" w:hAnsi="宋体"/>
          <w:color w:val="auto"/>
          <w:sz w:val="24"/>
          <w:szCs w:val="22"/>
        </w:rPr>
      </w:pPr>
      <w:r>
        <w:rPr>
          <w:rFonts w:hint="eastAsia" w:ascii="宋体" w:hAnsi="宋体"/>
          <w:color w:val="auto"/>
          <w:sz w:val="24"/>
          <w:szCs w:val="22"/>
        </w:rPr>
        <w:t>国家标准《岩土工程勘测规范》（GB 50021-2017）</w:t>
      </w:r>
    </w:p>
    <w:p>
      <w:pPr>
        <w:spacing w:line="360" w:lineRule="auto"/>
        <w:rPr>
          <w:rFonts w:ascii="宋体" w:hAnsi="宋体"/>
          <w:color w:val="auto"/>
          <w:sz w:val="24"/>
          <w:szCs w:val="22"/>
        </w:rPr>
      </w:pPr>
      <w:r>
        <w:rPr>
          <w:rFonts w:hint="eastAsia" w:ascii="宋体" w:hAnsi="宋体"/>
          <w:color w:val="auto"/>
          <w:sz w:val="24"/>
          <w:szCs w:val="22"/>
        </w:rPr>
        <w:t>国家标准《建筑地基基础设计规范》（GB 50007-2011）</w:t>
      </w:r>
    </w:p>
    <w:p>
      <w:pPr>
        <w:spacing w:line="360" w:lineRule="auto"/>
        <w:rPr>
          <w:rFonts w:ascii="宋体" w:hAnsi="宋体"/>
          <w:color w:val="auto"/>
          <w:sz w:val="24"/>
          <w:szCs w:val="22"/>
        </w:rPr>
      </w:pPr>
      <w:r>
        <w:rPr>
          <w:rFonts w:hint="eastAsia" w:ascii="宋体" w:hAnsi="宋体"/>
          <w:color w:val="auto"/>
          <w:sz w:val="24"/>
          <w:szCs w:val="22"/>
        </w:rPr>
        <w:t>国家标准《建筑基坑监测技术规范》（GB 50497-2019）</w:t>
      </w:r>
    </w:p>
    <w:p>
      <w:pPr>
        <w:spacing w:line="360" w:lineRule="auto"/>
        <w:rPr>
          <w:rFonts w:ascii="宋体" w:hAnsi="宋体"/>
          <w:color w:val="auto"/>
          <w:sz w:val="24"/>
          <w:szCs w:val="22"/>
        </w:rPr>
      </w:pPr>
      <w:r>
        <w:rPr>
          <w:rFonts w:hint="eastAsia" w:ascii="宋体" w:hAnsi="宋体"/>
          <w:color w:val="auto"/>
          <w:sz w:val="24"/>
          <w:szCs w:val="22"/>
        </w:rPr>
        <w:t>国家标准《国家一、二等水准测量规范》GB/T 12897-2007</w:t>
      </w:r>
    </w:p>
    <w:p>
      <w:pPr>
        <w:spacing w:line="360" w:lineRule="auto"/>
        <w:rPr>
          <w:rFonts w:ascii="宋体" w:hAnsi="宋体"/>
          <w:color w:val="auto"/>
          <w:sz w:val="24"/>
          <w:szCs w:val="22"/>
        </w:rPr>
      </w:pPr>
      <w:r>
        <w:rPr>
          <w:rFonts w:hint="eastAsia" w:ascii="宋体" w:hAnsi="宋体"/>
          <w:color w:val="auto"/>
          <w:sz w:val="24"/>
          <w:szCs w:val="22"/>
        </w:rPr>
        <w:t>国家行业标准《建筑基坑支护技术规程》（JGJ120-2012）</w:t>
      </w:r>
    </w:p>
    <w:p>
      <w:pPr>
        <w:spacing w:line="360" w:lineRule="auto"/>
        <w:rPr>
          <w:rFonts w:ascii="宋体" w:hAnsi="宋体"/>
          <w:color w:val="auto"/>
          <w:sz w:val="24"/>
          <w:szCs w:val="22"/>
        </w:rPr>
      </w:pPr>
      <w:r>
        <w:rPr>
          <w:rFonts w:hint="eastAsia" w:ascii="宋体" w:hAnsi="宋体"/>
          <w:color w:val="auto"/>
          <w:sz w:val="24"/>
          <w:szCs w:val="22"/>
        </w:rPr>
        <w:t>国家行业标准《建筑地基处理技术规程》（JGJ79-2012）</w:t>
      </w:r>
    </w:p>
    <w:p>
      <w:pPr>
        <w:spacing w:line="360" w:lineRule="auto"/>
        <w:rPr>
          <w:rFonts w:ascii="宋体" w:hAnsi="宋体"/>
          <w:color w:val="auto"/>
          <w:sz w:val="24"/>
          <w:szCs w:val="22"/>
        </w:rPr>
      </w:pPr>
      <w:r>
        <w:rPr>
          <w:rFonts w:hint="eastAsia" w:ascii="宋体" w:hAnsi="宋体"/>
          <w:color w:val="auto"/>
          <w:sz w:val="24"/>
          <w:szCs w:val="22"/>
        </w:rPr>
        <w:t>国家行业标准《建筑变形测量规程》（JGJ8-2016）</w:t>
      </w:r>
    </w:p>
    <w:p>
      <w:pPr>
        <w:pStyle w:val="8"/>
        <w:rPr>
          <w:color w:val="auto"/>
        </w:rPr>
      </w:pPr>
      <w:r>
        <w:rPr>
          <w:rFonts w:hint="eastAsia" w:hAnsi="宋体"/>
          <w:color w:val="auto"/>
          <w:sz w:val="24"/>
          <w:szCs w:val="22"/>
        </w:rPr>
        <w:t>广东省标准《建筑基坑支护工程技术规程》（DBJ/T 15-20-2016）</w:t>
      </w:r>
    </w:p>
    <w:p>
      <w:pPr>
        <w:spacing w:line="360" w:lineRule="auto"/>
        <w:ind w:firstLine="240" w:firstLineChars="100"/>
        <w:rPr>
          <w:rFonts w:ascii="宋体" w:hAnsi="宋体"/>
          <w:color w:val="auto"/>
          <w:sz w:val="24"/>
          <w:szCs w:val="22"/>
        </w:rPr>
      </w:pPr>
      <w:r>
        <w:rPr>
          <w:rFonts w:hint="eastAsia" w:ascii="宋体" w:hAnsi="宋体"/>
          <w:color w:val="auto"/>
          <w:sz w:val="24"/>
          <w:szCs w:val="22"/>
        </w:rPr>
        <w:t>（2）</w:t>
      </w:r>
      <w:r>
        <w:rPr>
          <w:rFonts w:hint="eastAsia" w:ascii="宋体" w:hAnsi="宋体"/>
          <w:color w:val="auto"/>
          <w:sz w:val="24"/>
          <w:szCs w:val="22"/>
        </w:rPr>
        <w:t>与本项目检测内容相关的其他检测（监测）规范、强制性标准，如未包括在上述规范中，但实际工作中需要执行的，则按相关规范执行。以上标准若有更新，以最新版本为准。如上文所列规范与现行规范冲突的，由甲方负责解释。</w:t>
      </w:r>
    </w:p>
    <w:p>
      <w:pPr>
        <w:spacing w:line="360" w:lineRule="auto"/>
        <w:ind w:firstLine="480" w:firstLineChars="200"/>
        <w:rPr>
          <w:rFonts w:ascii="宋体" w:hAnsi="宋体"/>
          <w:color w:val="auto"/>
          <w:sz w:val="24"/>
          <w:szCs w:val="22"/>
        </w:rPr>
      </w:pPr>
      <w:r>
        <w:rPr>
          <w:rFonts w:hint="eastAsia" w:ascii="宋体" w:hAnsi="宋体"/>
          <w:color w:val="auto"/>
          <w:sz w:val="24"/>
          <w:szCs w:val="22"/>
        </w:rPr>
        <w:t>6．技术服务质量期限要求：满足设计、规范要求。检测过程、结果出现异常情况或者检测结果不合格的，乙方应在24小时内以书面报告形式提交至甲方。</w:t>
      </w:r>
    </w:p>
    <w:p>
      <w:pPr>
        <w:widowControl/>
        <w:adjustRightInd w:val="0"/>
        <w:snapToGrid w:val="0"/>
        <w:spacing w:line="440" w:lineRule="exact"/>
        <w:ind w:firstLine="480" w:firstLineChars="200"/>
        <w:rPr>
          <w:rFonts w:ascii="宋体" w:hAnsi="宋体"/>
          <w:color w:val="auto"/>
          <w:sz w:val="24"/>
        </w:rPr>
      </w:pPr>
      <w:r>
        <w:rPr>
          <w:rFonts w:hint="eastAsia" w:ascii="宋体" w:hAnsi="宋体"/>
          <w:color w:val="auto"/>
          <w:sz w:val="24"/>
          <w:szCs w:val="22"/>
        </w:rPr>
        <w:t>7.</w:t>
      </w:r>
      <w:r>
        <w:rPr>
          <w:rFonts w:hint="eastAsia" w:ascii="宋体" w:hAnsi="宋体"/>
          <w:color w:val="auto"/>
          <w:sz w:val="24"/>
        </w:rPr>
        <w:t>乙方须制定现场作业计划报监理单位及甲方审批。</w:t>
      </w:r>
    </w:p>
    <w:p>
      <w:pPr>
        <w:widowControl/>
        <w:adjustRightInd w:val="0"/>
        <w:snapToGrid w:val="0"/>
        <w:spacing w:line="440" w:lineRule="exact"/>
        <w:ind w:firstLine="480" w:firstLineChars="200"/>
        <w:rPr>
          <w:rFonts w:ascii="宋体" w:hAnsi="宋体"/>
          <w:color w:val="auto"/>
          <w:sz w:val="24"/>
        </w:rPr>
      </w:pPr>
      <w:r>
        <w:rPr>
          <w:rFonts w:hint="eastAsia" w:ascii="宋体" w:hAnsi="宋体"/>
          <w:color w:val="auto"/>
          <w:sz w:val="24"/>
        </w:rPr>
        <w:t>8.现场监测要求：乙方应严格按照设计要求及现场监理人员要求，配合工程进度，及时到现场进行监测工作。</w:t>
      </w:r>
    </w:p>
    <w:p>
      <w:pPr>
        <w:widowControl/>
        <w:adjustRightInd w:val="0"/>
        <w:snapToGrid w:val="0"/>
        <w:spacing w:line="440" w:lineRule="exact"/>
        <w:ind w:firstLine="480" w:firstLineChars="200"/>
        <w:rPr>
          <w:rFonts w:ascii="宋体" w:hAnsi="宋体"/>
          <w:color w:val="auto"/>
          <w:sz w:val="24"/>
        </w:rPr>
      </w:pPr>
      <w:r>
        <w:rPr>
          <w:rFonts w:hint="eastAsia" w:ascii="宋体" w:hAnsi="宋体"/>
          <w:color w:val="auto"/>
          <w:sz w:val="24"/>
        </w:rPr>
        <w:t>9.监测频率和监测要求（以招标文件、设计图纸、工程量清单及相关资料为准）：</w:t>
      </w:r>
    </w:p>
    <w:p>
      <w:pPr>
        <w:widowControl/>
        <w:adjustRightInd w:val="0"/>
        <w:snapToGrid w:val="0"/>
        <w:spacing w:line="440" w:lineRule="exact"/>
        <w:ind w:firstLine="480" w:firstLineChars="200"/>
        <w:rPr>
          <w:rFonts w:ascii="宋体" w:hAnsi="宋体"/>
          <w:color w:val="auto"/>
          <w:sz w:val="24"/>
          <w:szCs w:val="22"/>
        </w:rPr>
      </w:pPr>
      <w:r>
        <w:rPr>
          <w:rFonts w:hint="eastAsia" w:ascii="宋体" w:hAnsi="宋体"/>
          <w:color w:val="auto"/>
          <w:sz w:val="24"/>
          <w:szCs w:val="22"/>
        </w:rPr>
        <w:fldChar w:fldCharType="begin"/>
      </w:r>
      <w:r>
        <w:rPr>
          <w:rFonts w:hint="eastAsia" w:ascii="宋体" w:hAnsi="宋体"/>
          <w:color w:val="auto"/>
          <w:sz w:val="24"/>
          <w:szCs w:val="22"/>
        </w:rPr>
        <w:instrText xml:space="preserve"> = 1 \* GB3 </w:instrText>
      </w:r>
      <w:r>
        <w:rPr>
          <w:rFonts w:hint="eastAsia" w:ascii="宋体" w:hAnsi="宋体"/>
          <w:color w:val="auto"/>
          <w:sz w:val="24"/>
          <w:szCs w:val="22"/>
        </w:rPr>
        <w:fldChar w:fldCharType="separate"/>
      </w:r>
      <w:r>
        <w:rPr>
          <w:rFonts w:hint="eastAsia" w:ascii="宋体" w:hAnsi="宋体"/>
          <w:color w:val="auto"/>
          <w:sz w:val="24"/>
          <w:szCs w:val="22"/>
        </w:rPr>
        <w:t>①</w:t>
      </w:r>
      <w:r>
        <w:rPr>
          <w:rFonts w:hint="eastAsia" w:ascii="宋体" w:hAnsi="宋体"/>
          <w:color w:val="auto"/>
          <w:sz w:val="24"/>
          <w:szCs w:val="22"/>
        </w:rPr>
        <w:fldChar w:fldCharType="end"/>
      </w:r>
      <w:r>
        <w:rPr>
          <w:rFonts w:hint="eastAsia" w:ascii="宋体" w:hAnsi="宋体"/>
          <w:color w:val="auto"/>
          <w:sz w:val="24"/>
          <w:szCs w:val="22"/>
        </w:rPr>
        <w:t>应编制具体《监测实施方案》，监测频率满足设计以及相关规范要求。监测频率按设计图纸要求及项目进度实施情况而定。如甲方另有通知，以甲方书</w:t>
      </w:r>
      <w:r>
        <w:rPr>
          <w:rFonts w:ascii="宋体" w:hAnsi="宋体"/>
          <w:color w:val="auto"/>
          <w:sz w:val="24"/>
          <w:szCs w:val="22"/>
        </w:rPr>
        <w:t>面</w:t>
      </w:r>
      <w:r>
        <w:rPr>
          <w:rFonts w:hint="eastAsia" w:ascii="宋体" w:hAnsi="宋体"/>
          <w:color w:val="auto"/>
          <w:sz w:val="24"/>
          <w:szCs w:val="22"/>
        </w:rPr>
        <w:t>通知为准。</w:t>
      </w:r>
    </w:p>
    <w:p>
      <w:pPr>
        <w:widowControl/>
        <w:adjustRightInd w:val="0"/>
        <w:snapToGrid w:val="0"/>
        <w:spacing w:line="440" w:lineRule="exact"/>
        <w:ind w:firstLine="480" w:firstLineChars="200"/>
        <w:rPr>
          <w:rFonts w:ascii="宋体" w:hAnsi="宋体"/>
          <w:color w:val="auto"/>
          <w:sz w:val="24"/>
          <w:szCs w:val="22"/>
        </w:rPr>
      </w:pPr>
      <w:r>
        <w:rPr>
          <w:rFonts w:hint="eastAsia" w:ascii="宋体" w:hAnsi="宋体"/>
          <w:color w:val="auto"/>
          <w:sz w:val="24"/>
          <w:szCs w:val="22"/>
        </w:rPr>
        <w:fldChar w:fldCharType="begin"/>
      </w:r>
      <w:r>
        <w:rPr>
          <w:rFonts w:hint="eastAsia" w:ascii="宋体" w:hAnsi="宋体"/>
          <w:color w:val="auto"/>
          <w:sz w:val="24"/>
          <w:szCs w:val="22"/>
        </w:rPr>
        <w:instrText xml:space="preserve"> = 2 \* GB3 </w:instrText>
      </w:r>
      <w:r>
        <w:rPr>
          <w:rFonts w:hint="eastAsia" w:ascii="宋体" w:hAnsi="宋体"/>
          <w:color w:val="auto"/>
          <w:sz w:val="24"/>
          <w:szCs w:val="22"/>
        </w:rPr>
        <w:fldChar w:fldCharType="separate"/>
      </w:r>
      <w:r>
        <w:rPr>
          <w:rFonts w:hint="eastAsia" w:ascii="宋体" w:hAnsi="宋体"/>
          <w:color w:val="auto"/>
          <w:sz w:val="24"/>
          <w:szCs w:val="22"/>
        </w:rPr>
        <w:t>②</w:t>
      </w:r>
      <w:r>
        <w:rPr>
          <w:rFonts w:hint="eastAsia" w:ascii="宋体" w:hAnsi="宋体"/>
          <w:color w:val="auto"/>
          <w:sz w:val="24"/>
          <w:szCs w:val="22"/>
        </w:rPr>
        <w:fldChar w:fldCharType="end"/>
      </w:r>
      <w:r>
        <w:rPr>
          <w:rFonts w:hint="eastAsia" w:ascii="宋体" w:hAnsi="宋体"/>
          <w:color w:val="auto"/>
          <w:sz w:val="24"/>
          <w:szCs w:val="22"/>
        </w:rPr>
        <w:t>当变形超过有关标准或场地条件变化较大时，应加密观测。</w:t>
      </w:r>
    </w:p>
    <w:p>
      <w:pPr>
        <w:widowControl/>
        <w:adjustRightInd w:val="0"/>
        <w:snapToGrid w:val="0"/>
        <w:spacing w:line="440" w:lineRule="exact"/>
        <w:ind w:firstLine="480" w:firstLineChars="200"/>
        <w:rPr>
          <w:rFonts w:ascii="宋体" w:hAnsi="宋体"/>
          <w:color w:val="auto"/>
          <w:sz w:val="24"/>
          <w:szCs w:val="22"/>
        </w:rPr>
      </w:pPr>
      <w:r>
        <w:rPr>
          <w:rFonts w:hint="eastAsia" w:ascii="宋体" w:hAnsi="宋体"/>
          <w:color w:val="auto"/>
          <w:sz w:val="24"/>
          <w:szCs w:val="22"/>
        </w:rPr>
        <w:fldChar w:fldCharType="begin"/>
      </w:r>
      <w:r>
        <w:rPr>
          <w:rFonts w:hint="eastAsia" w:ascii="宋体" w:hAnsi="宋体"/>
          <w:color w:val="auto"/>
          <w:sz w:val="24"/>
          <w:szCs w:val="22"/>
        </w:rPr>
        <w:instrText xml:space="preserve"> = 3 \* GB3</w:instrText>
      </w:r>
      <w:r>
        <w:rPr>
          <w:rFonts w:hint="eastAsia" w:ascii="宋体" w:hAnsi="宋体"/>
          <w:color w:val="auto"/>
          <w:sz w:val="24"/>
          <w:szCs w:val="22"/>
        </w:rPr>
        <w:fldChar w:fldCharType="separate"/>
      </w:r>
      <w:r>
        <w:rPr>
          <w:rFonts w:hint="eastAsia" w:ascii="宋体" w:hAnsi="宋体"/>
          <w:color w:val="auto"/>
          <w:sz w:val="24"/>
          <w:szCs w:val="22"/>
        </w:rPr>
        <w:t>③</w:t>
      </w:r>
      <w:r>
        <w:rPr>
          <w:rFonts w:hint="eastAsia" w:ascii="宋体" w:hAnsi="宋体"/>
          <w:color w:val="auto"/>
          <w:sz w:val="24"/>
          <w:szCs w:val="22"/>
        </w:rPr>
        <w:fldChar w:fldCharType="end"/>
      </w:r>
      <w:r>
        <w:rPr>
          <w:rFonts w:hint="eastAsia" w:ascii="宋体" w:hAnsi="宋体"/>
          <w:color w:val="auto"/>
          <w:sz w:val="24"/>
          <w:szCs w:val="22"/>
        </w:rPr>
        <w:t>当大暴雨、结构变形超过有关标准时，应加密监测；当有危险事故征兆时，应进行连续监测，并向监理单位及甲方作书面汇报。</w:t>
      </w:r>
    </w:p>
    <w:p>
      <w:pPr>
        <w:widowControl/>
        <w:adjustRightInd w:val="0"/>
        <w:snapToGrid w:val="0"/>
        <w:spacing w:line="440" w:lineRule="exact"/>
        <w:ind w:firstLine="480" w:firstLineChars="200"/>
        <w:rPr>
          <w:rFonts w:ascii="宋体" w:hAnsi="宋体"/>
          <w:color w:val="auto"/>
          <w:sz w:val="24"/>
          <w:szCs w:val="22"/>
        </w:rPr>
      </w:pPr>
      <w:r>
        <w:rPr>
          <w:rFonts w:hint="eastAsia" w:ascii="宋体" w:hAnsi="宋体"/>
          <w:color w:val="auto"/>
          <w:sz w:val="24"/>
          <w:szCs w:val="24"/>
        </w:rPr>
        <w:fldChar w:fldCharType="begin"/>
      </w:r>
      <w:r>
        <w:rPr>
          <w:rFonts w:hint="eastAsia" w:ascii="宋体" w:hAnsi="宋体"/>
          <w:color w:val="auto"/>
          <w:sz w:val="24"/>
          <w:szCs w:val="24"/>
        </w:rPr>
        <w:instrText xml:space="preserve"> = 4 \* GB3 </w:instrText>
      </w:r>
      <w:r>
        <w:rPr>
          <w:rFonts w:hint="eastAsia" w:ascii="宋体" w:hAnsi="宋体"/>
          <w:color w:val="auto"/>
          <w:sz w:val="24"/>
          <w:szCs w:val="24"/>
        </w:rPr>
        <w:fldChar w:fldCharType="separate"/>
      </w:r>
      <w:r>
        <w:rPr>
          <w:rFonts w:hint="eastAsia" w:ascii="宋体" w:hAnsi="宋体"/>
          <w:color w:val="auto"/>
          <w:sz w:val="24"/>
          <w:szCs w:val="24"/>
        </w:rPr>
        <w:t>④</w:t>
      </w:r>
      <w:r>
        <w:rPr>
          <w:rFonts w:hint="eastAsia" w:ascii="宋体" w:hAnsi="宋体"/>
          <w:color w:val="auto"/>
          <w:sz w:val="24"/>
          <w:szCs w:val="24"/>
        </w:rPr>
        <w:fldChar w:fldCharType="end"/>
      </w:r>
      <w:r>
        <w:rPr>
          <w:rFonts w:hint="eastAsia" w:ascii="宋体" w:hAnsi="宋体"/>
          <w:color w:val="auto"/>
          <w:sz w:val="24"/>
          <w:szCs w:val="22"/>
        </w:rPr>
        <w:t>埋设在结构中的监测元件应尽量减小对结构正常受力的影响，埋设水位观测孔、测斜管和深层水平位移的回填土应与岩土介质匹配。</w:t>
      </w:r>
    </w:p>
    <w:p>
      <w:pPr>
        <w:widowControl/>
        <w:adjustRightInd w:val="0"/>
        <w:snapToGrid w:val="0"/>
        <w:spacing w:line="440" w:lineRule="exact"/>
        <w:ind w:firstLine="480" w:firstLineChars="200"/>
        <w:rPr>
          <w:rFonts w:ascii="宋体" w:hAnsi="宋体"/>
          <w:color w:val="auto"/>
          <w:sz w:val="24"/>
          <w:szCs w:val="22"/>
        </w:rPr>
      </w:pPr>
      <w:r>
        <w:rPr>
          <w:rFonts w:hint="eastAsia" w:ascii="宋体" w:hAnsi="宋体"/>
          <w:color w:val="auto"/>
          <w:sz w:val="24"/>
          <w:szCs w:val="24"/>
        </w:rPr>
        <w:fldChar w:fldCharType="begin"/>
      </w:r>
      <w:r>
        <w:rPr>
          <w:rFonts w:hint="eastAsia" w:ascii="宋体" w:hAnsi="宋体"/>
          <w:color w:val="auto"/>
          <w:sz w:val="24"/>
          <w:szCs w:val="24"/>
        </w:rPr>
        <w:instrText xml:space="preserve"> = 5 \* GB3 </w:instrText>
      </w:r>
      <w:r>
        <w:rPr>
          <w:rFonts w:hint="eastAsia" w:ascii="宋体" w:hAnsi="宋体"/>
          <w:color w:val="auto"/>
          <w:sz w:val="24"/>
          <w:szCs w:val="24"/>
        </w:rPr>
        <w:fldChar w:fldCharType="separate"/>
      </w:r>
      <w:r>
        <w:rPr>
          <w:rFonts w:hint="eastAsia" w:ascii="宋体" w:hAnsi="宋体"/>
          <w:color w:val="auto"/>
          <w:sz w:val="24"/>
          <w:szCs w:val="24"/>
        </w:rPr>
        <w:t>⑤</w:t>
      </w:r>
      <w:r>
        <w:rPr>
          <w:rFonts w:hint="eastAsia" w:ascii="宋体" w:hAnsi="宋体"/>
          <w:color w:val="auto"/>
          <w:sz w:val="24"/>
          <w:szCs w:val="24"/>
        </w:rPr>
        <w:fldChar w:fldCharType="end"/>
      </w:r>
      <w:r>
        <w:rPr>
          <w:rFonts w:hint="eastAsia" w:ascii="宋体" w:hAnsi="宋体"/>
          <w:color w:val="auto"/>
          <w:sz w:val="24"/>
          <w:szCs w:val="22"/>
        </w:rPr>
        <w:t>乙方应严格按照设计要求及现场监理人员要求，及时到现场进行工作。</w:t>
      </w:r>
    </w:p>
    <w:p>
      <w:pPr>
        <w:widowControl/>
        <w:adjustRightInd w:val="0"/>
        <w:snapToGrid w:val="0"/>
        <w:spacing w:line="440" w:lineRule="exact"/>
        <w:ind w:firstLine="480" w:firstLineChars="200"/>
        <w:rPr>
          <w:rFonts w:ascii="宋体" w:hAnsi="宋体"/>
          <w:color w:val="auto"/>
          <w:sz w:val="24"/>
          <w:szCs w:val="22"/>
        </w:rPr>
      </w:pPr>
      <w:r>
        <w:rPr>
          <w:rFonts w:hint="eastAsia" w:ascii="宋体" w:hAnsi="宋体"/>
          <w:color w:val="auto"/>
          <w:sz w:val="24"/>
          <w:szCs w:val="24"/>
        </w:rPr>
        <w:fldChar w:fldCharType="begin"/>
      </w:r>
      <w:r>
        <w:rPr>
          <w:rFonts w:hint="eastAsia" w:ascii="宋体" w:hAnsi="宋体"/>
          <w:color w:val="auto"/>
          <w:sz w:val="24"/>
          <w:szCs w:val="24"/>
        </w:rPr>
        <w:instrText xml:space="preserve"> = 6 \* GB3 </w:instrText>
      </w:r>
      <w:r>
        <w:rPr>
          <w:rFonts w:hint="eastAsia" w:ascii="宋体" w:hAnsi="宋体"/>
          <w:color w:val="auto"/>
          <w:sz w:val="24"/>
          <w:szCs w:val="24"/>
        </w:rPr>
        <w:fldChar w:fldCharType="separate"/>
      </w:r>
      <w:r>
        <w:rPr>
          <w:rFonts w:hint="eastAsia" w:ascii="宋体" w:hAnsi="宋体"/>
          <w:color w:val="auto"/>
          <w:sz w:val="24"/>
          <w:szCs w:val="24"/>
        </w:rPr>
        <w:t>⑥</w:t>
      </w:r>
      <w:r>
        <w:rPr>
          <w:rFonts w:hint="eastAsia" w:ascii="宋体" w:hAnsi="宋体"/>
          <w:color w:val="auto"/>
          <w:sz w:val="24"/>
          <w:szCs w:val="24"/>
        </w:rPr>
        <w:fldChar w:fldCharType="end"/>
      </w:r>
      <w:r>
        <w:rPr>
          <w:rFonts w:hint="eastAsia" w:ascii="宋体" w:hAnsi="宋体"/>
          <w:color w:val="auto"/>
          <w:sz w:val="24"/>
          <w:szCs w:val="22"/>
        </w:rPr>
        <w:t>监测应有完整的记录表、数据报表、图形和曲线。</w:t>
      </w:r>
    </w:p>
    <w:p>
      <w:pPr>
        <w:widowControl/>
        <w:adjustRightInd w:val="0"/>
        <w:snapToGrid w:val="0"/>
        <w:spacing w:line="440" w:lineRule="exact"/>
        <w:ind w:firstLine="480" w:firstLineChars="200"/>
        <w:rPr>
          <w:rFonts w:ascii="宋体" w:hAnsi="宋体"/>
          <w:color w:val="auto"/>
          <w:sz w:val="24"/>
          <w:szCs w:val="22"/>
        </w:rPr>
      </w:pPr>
      <w:r>
        <w:rPr>
          <w:rFonts w:hint="eastAsia" w:ascii="宋体" w:hAnsi="宋体"/>
          <w:color w:val="auto"/>
          <w:sz w:val="24"/>
          <w:szCs w:val="22"/>
        </w:rPr>
        <w:t>10.工程出现质量隐患时，必须立即上报监理单位及甲方，因乙方未及时上报情况，而造成安全事故的，乙方需负全部责任，对甲方造成损失的，应赔偿该部分费用。</w:t>
      </w:r>
    </w:p>
    <w:p>
      <w:pPr>
        <w:widowControl/>
        <w:adjustRightInd w:val="0"/>
        <w:snapToGrid w:val="0"/>
        <w:spacing w:line="440" w:lineRule="exact"/>
        <w:ind w:firstLine="480" w:firstLineChars="200"/>
        <w:rPr>
          <w:rFonts w:ascii="宋体" w:hAnsi="宋体"/>
          <w:color w:val="auto"/>
          <w:sz w:val="24"/>
          <w:szCs w:val="22"/>
        </w:rPr>
      </w:pPr>
      <w:r>
        <w:rPr>
          <w:rFonts w:hint="eastAsia" w:ascii="宋体" w:hAnsi="宋体"/>
          <w:color w:val="auto"/>
          <w:sz w:val="24"/>
          <w:szCs w:val="22"/>
        </w:rPr>
        <w:t>11.发生险情时，乙方收到监理单位或甲方通知后的2个小时内必须派专人赶至施工现场。</w:t>
      </w:r>
    </w:p>
    <w:p>
      <w:pPr>
        <w:spacing w:line="360" w:lineRule="auto"/>
        <w:ind w:firstLine="480" w:firstLineChars="200"/>
        <w:rPr>
          <w:rFonts w:ascii="宋体" w:hAnsi="宋体"/>
          <w:color w:val="auto"/>
          <w:sz w:val="24"/>
          <w:szCs w:val="22"/>
        </w:rPr>
      </w:pPr>
      <w:r>
        <w:rPr>
          <w:rFonts w:hint="eastAsia" w:ascii="宋体" w:hAnsi="宋体"/>
          <w:color w:val="auto"/>
          <w:sz w:val="24"/>
          <w:szCs w:val="22"/>
        </w:rPr>
        <w:t>12.在合同履行期间，乙</w:t>
      </w:r>
      <w:r>
        <w:rPr>
          <w:rFonts w:hint="eastAsia" w:ascii="宋体" w:hAnsi="宋体"/>
          <w:color w:val="auto"/>
          <w:sz w:val="24"/>
          <w:szCs w:val="22"/>
        </w:rPr>
        <w:t>方不得随意更换本项目负责人，如因特殊原因必须更换，必须得到甲方书面同意，且更换后的负责人资历及能力不得低于原负责人。乙方未经甲方同意更换负责人的，应当向甲方支付100000元</w:t>
      </w:r>
      <w:r>
        <w:rPr>
          <w:rFonts w:ascii="宋体" w:hAnsi="宋体"/>
          <w:color w:val="auto"/>
          <w:sz w:val="24"/>
          <w:szCs w:val="22"/>
        </w:rPr>
        <w:t>/人/次</w:t>
      </w:r>
      <w:r>
        <w:rPr>
          <w:rFonts w:hint="eastAsia" w:ascii="宋体" w:hAnsi="宋体"/>
          <w:color w:val="auto"/>
          <w:sz w:val="24"/>
          <w:szCs w:val="22"/>
        </w:rPr>
        <w:t>违约金。</w:t>
      </w:r>
    </w:p>
    <w:p>
      <w:pPr>
        <w:spacing w:line="360" w:lineRule="auto"/>
        <w:ind w:firstLine="480" w:firstLineChars="200"/>
        <w:rPr>
          <w:rFonts w:ascii="宋体" w:hAnsi="宋体"/>
          <w:color w:val="auto"/>
          <w:sz w:val="24"/>
          <w:szCs w:val="22"/>
        </w:rPr>
      </w:pPr>
      <w:r>
        <w:rPr>
          <w:rFonts w:hint="eastAsia" w:ascii="宋体" w:hAnsi="宋体"/>
          <w:color w:val="auto"/>
          <w:sz w:val="24"/>
          <w:szCs w:val="22"/>
        </w:rPr>
        <w:t>13.在合同履行期间本项目的主要工作人员，乙方不得随意更换，如因特殊原因必须更换，必须得到甲方书面同意，且更换后的人员资历及能力不得低于原来的人员。</w:t>
      </w:r>
    </w:p>
    <w:p>
      <w:pPr>
        <w:spacing w:line="360" w:lineRule="auto"/>
        <w:ind w:firstLine="480" w:firstLineChars="200"/>
        <w:rPr>
          <w:rFonts w:ascii="宋体" w:hAnsi="宋体"/>
          <w:color w:val="auto"/>
          <w:sz w:val="24"/>
          <w:szCs w:val="22"/>
        </w:rPr>
      </w:pPr>
      <w:r>
        <w:rPr>
          <w:rFonts w:hint="eastAsia" w:ascii="宋体" w:hAnsi="宋体"/>
          <w:color w:val="auto"/>
          <w:sz w:val="24"/>
          <w:szCs w:val="22"/>
        </w:rPr>
        <w:t>14.为配合工程进度要求，需先行口头通知监理工程师检(监)测结果。</w:t>
      </w:r>
    </w:p>
    <w:p>
      <w:pPr>
        <w:pStyle w:val="7"/>
        <w:spacing w:line="300" w:lineRule="auto"/>
        <w:rPr>
          <w:b/>
          <w:color w:val="auto"/>
          <w:sz w:val="28"/>
          <w:szCs w:val="28"/>
        </w:rPr>
      </w:pPr>
      <w:r>
        <w:rPr>
          <w:rFonts w:hint="eastAsia"/>
          <w:b/>
          <w:color w:val="auto"/>
          <w:sz w:val="28"/>
          <w:szCs w:val="28"/>
        </w:rPr>
        <w:t>第四条技术服务成果的提交</w:t>
      </w:r>
    </w:p>
    <w:p>
      <w:pPr>
        <w:spacing w:line="360" w:lineRule="auto"/>
        <w:ind w:firstLine="480" w:firstLineChars="200"/>
        <w:rPr>
          <w:rFonts w:ascii="宋体" w:hAnsi="宋体" w:cs="宋体"/>
          <w:color w:val="auto"/>
          <w:kern w:val="0"/>
          <w:sz w:val="24"/>
          <w:szCs w:val="24"/>
        </w:rPr>
      </w:pPr>
      <w:r>
        <w:rPr>
          <w:rFonts w:hint="eastAsia" w:ascii="宋体" w:hAnsi="宋体"/>
          <w:snapToGrid w:val="0"/>
          <w:color w:val="auto"/>
          <w:kern w:val="0"/>
          <w:sz w:val="24"/>
          <w:szCs w:val="24"/>
        </w:rPr>
        <w:t>（</w:t>
      </w:r>
      <w:r>
        <w:rPr>
          <w:rFonts w:hint="eastAsia" w:ascii="宋体" w:hAnsi="宋体" w:cs="宋体"/>
          <w:color w:val="auto"/>
          <w:kern w:val="0"/>
          <w:sz w:val="24"/>
          <w:szCs w:val="24"/>
        </w:rPr>
        <w:t>1）乙方在试验检测工作完成后，应按甲方要求及时提交有效的试验检测报告。最终报告需加盖试验检测报告专用章和计量认证章（CMA章）。</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（2）所有检测报告必须符合国家和地方现行的规范、标准。</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w:t>
      </w:r>
      <w:r>
        <w:rPr>
          <w:rFonts w:hint="eastAsia" w:ascii="宋体" w:hAnsi="宋体" w:cs="宋体"/>
          <w:color w:val="auto"/>
          <w:kern w:val="0"/>
          <w:sz w:val="24"/>
          <w:szCs w:val="24"/>
        </w:rPr>
        <w:t>全部检测工程完成后 10个工作日内乙方向甲方提供按合同约定的最终书面检测报告，</w:t>
      </w:r>
      <w:r>
        <w:rPr>
          <w:rFonts w:hint="eastAsia" w:ascii="宋体" w:hAnsi="宋体"/>
          <w:color w:val="auto"/>
          <w:sz w:val="24"/>
        </w:rPr>
        <w:t>经甲方确认无异议后，乙方提交</w:t>
      </w:r>
      <w:r>
        <w:rPr>
          <w:rFonts w:hint="eastAsia" w:ascii="宋体" w:hAnsi="宋体" w:cs="宋体"/>
          <w:color w:val="auto"/>
          <w:kern w:val="0"/>
          <w:sz w:val="24"/>
          <w:szCs w:val="24"/>
        </w:rPr>
        <w:t>一式陆份及完整电子文档壹份。</w:t>
      </w:r>
    </w:p>
    <w:p>
      <w:pPr>
        <w:spacing w:line="360" w:lineRule="auto"/>
        <w:ind w:firstLine="460" w:firstLineChars="192"/>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）检测报告根据检测内容进行调整。包括但不限于：</w:t>
      </w:r>
    </w:p>
    <w:p>
      <w:pPr>
        <w:spacing w:line="360" w:lineRule="auto"/>
        <w:ind w:firstLine="460" w:firstLineChars="19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1 \* GB3 </w:instrText>
      </w:r>
      <w:r>
        <w:rPr>
          <w:rFonts w:hint="eastAsia" w:ascii="宋体" w:hAnsi="宋体"/>
          <w:color w:val="auto"/>
          <w:sz w:val="24"/>
          <w:szCs w:val="24"/>
        </w:rPr>
        <w:fldChar w:fldCharType="separate"/>
      </w:r>
      <w:r>
        <w:rPr>
          <w:rFonts w:hint="eastAsia" w:ascii="宋体" w:hAnsi="宋体"/>
          <w:color w:val="auto"/>
          <w:sz w:val="24"/>
          <w:szCs w:val="24"/>
        </w:rPr>
        <w:t>①</w:t>
      </w:r>
      <w:r>
        <w:rPr>
          <w:rFonts w:hint="eastAsia" w:ascii="宋体" w:hAnsi="宋体"/>
          <w:color w:val="auto"/>
          <w:sz w:val="24"/>
          <w:szCs w:val="24"/>
        </w:rPr>
        <w:fldChar w:fldCharType="end"/>
      </w:r>
      <w:r>
        <w:rPr>
          <w:rFonts w:hint="eastAsia" w:ascii="宋体" w:hAnsi="宋体"/>
          <w:color w:val="auto"/>
          <w:sz w:val="24"/>
          <w:szCs w:val="24"/>
        </w:rPr>
        <w:t>委托方名称，工程名称，工程地点，建设、勘察、设计、监理和施工单位，基础类型，设计要求，检测目的，检测依据，检测数量，检测日期；</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2 \* GB3 </w:instrText>
      </w:r>
      <w:r>
        <w:rPr>
          <w:rFonts w:hint="eastAsia" w:ascii="宋体" w:hAnsi="宋体"/>
          <w:color w:val="auto"/>
          <w:sz w:val="24"/>
          <w:szCs w:val="24"/>
        </w:rPr>
        <w:fldChar w:fldCharType="separate"/>
      </w:r>
      <w:r>
        <w:rPr>
          <w:rFonts w:hint="eastAsia" w:ascii="宋体" w:hAnsi="宋体"/>
          <w:color w:val="auto"/>
          <w:sz w:val="24"/>
          <w:szCs w:val="24"/>
        </w:rPr>
        <w:t>②</w:t>
      </w:r>
      <w:r>
        <w:rPr>
          <w:rFonts w:hint="eastAsia" w:ascii="宋体" w:hAnsi="宋体"/>
          <w:color w:val="auto"/>
          <w:sz w:val="24"/>
          <w:szCs w:val="24"/>
        </w:rPr>
        <w:fldChar w:fldCharType="end"/>
      </w:r>
      <w:r>
        <w:rPr>
          <w:rFonts w:hint="eastAsia" w:ascii="宋体" w:hAnsi="宋体"/>
          <w:color w:val="auto"/>
          <w:sz w:val="24"/>
          <w:szCs w:val="24"/>
        </w:rPr>
        <w:t>主要岩土工程勘察资料；</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3 \* GB3 </w:instrText>
      </w:r>
      <w:r>
        <w:rPr>
          <w:rFonts w:hint="eastAsia" w:ascii="宋体" w:hAnsi="宋体"/>
          <w:color w:val="auto"/>
          <w:sz w:val="24"/>
          <w:szCs w:val="24"/>
        </w:rPr>
        <w:fldChar w:fldCharType="separate"/>
      </w:r>
      <w:r>
        <w:rPr>
          <w:rFonts w:hint="eastAsia" w:ascii="宋体" w:hAnsi="宋体"/>
          <w:color w:val="auto"/>
          <w:sz w:val="24"/>
          <w:szCs w:val="24"/>
        </w:rPr>
        <w:t>③</w:t>
      </w:r>
      <w:r>
        <w:rPr>
          <w:rFonts w:hint="eastAsia" w:ascii="宋体" w:hAnsi="宋体"/>
          <w:color w:val="auto"/>
          <w:sz w:val="24"/>
          <w:szCs w:val="24"/>
        </w:rPr>
        <w:fldChar w:fldCharType="end"/>
      </w:r>
      <w:r>
        <w:rPr>
          <w:rFonts w:hint="eastAsia" w:ascii="宋体" w:hAnsi="宋体"/>
          <w:color w:val="auto"/>
          <w:sz w:val="24"/>
          <w:szCs w:val="24"/>
        </w:rPr>
        <w:t>检测对象的编号、位置和相关施工记录；</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4 \* GB3 </w:instrText>
      </w:r>
      <w:r>
        <w:rPr>
          <w:rFonts w:hint="eastAsia" w:ascii="宋体" w:hAnsi="宋体"/>
          <w:color w:val="auto"/>
          <w:sz w:val="24"/>
          <w:szCs w:val="24"/>
        </w:rPr>
        <w:fldChar w:fldCharType="separate"/>
      </w:r>
      <w:r>
        <w:rPr>
          <w:rFonts w:hint="eastAsia" w:ascii="宋体" w:hAnsi="宋体"/>
          <w:color w:val="auto"/>
          <w:sz w:val="24"/>
          <w:szCs w:val="24"/>
        </w:rPr>
        <w:t>④</w:t>
      </w:r>
      <w:r>
        <w:rPr>
          <w:rFonts w:hint="eastAsia" w:ascii="宋体" w:hAnsi="宋体"/>
          <w:color w:val="auto"/>
          <w:sz w:val="24"/>
          <w:szCs w:val="24"/>
        </w:rPr>
        <w:fldChar w:fldCharType="end"/>
      </w:r>
      <w:r>
        <w:rPr>
          <w:rFonts w:hint="eastAsia" w:ascii="宋体" w:hAnsi="宋体"/>
          <w:color w:val="auto"/>
          <w:sz w:val="24"/>
          <w:szCs w:val="24"/>
        </w:rPr>
        <w:t>主要检测仪器设备；</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5 \* GB3 </w:instrText>
      </w:r>
      <w:r>
        <w:rPr>
          <w:rFonts w:hint="eastAsia" w:ascii="宋体" w:hAnsi="宋体"/>
          <w:color w:val="auto"/>
          <w:sz w:val="24"/>
          <w:szCs w:val="24"/>
        </w:rPr>
        <w:fldChar w:fldCharType="separate"/>
      </w:r>
      <w:r>
        <w:rPr>
          <w:rFonts w:hint="eastAsia" w:ascii="宋体" w:hAnsi="宋体"/>
          <w:color w:val="auto"/>
          <w:sz w:val="24"/>
          <w:szCs w:val="24"/>
        </w:rPr>
        <w:t>⑤</w:t>
      </w:r>
      <w:r>
        <w:rPr>
          <w:rFonts w:hint="eastAsia" w:ascii="宋体" w:hAnsi="宋体"/>
          <w:color w:val="auto"/>
          <w:sz w:val="24"/>
          <w:szCs w:val="24"/>
        </w:rPr>
        <w:fldChar w:fldCharType="end"/>
      </w:r>
      <w:r>
        <w:rPr>
          <w:rFonts w:hint="eastAsia" w:ascii="宋体" w:hAnsi="宋体"/>
          <w:color w:val="auto"/>
          <w:sz w:val="24"/>
          <w:szCs w:val="24"/>
        </w:rPr>
        <w:t>检测方法；</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6 \* GB3 </w:instrText>
      </w:r>
      <w:r>
        <w:rPr>
          <w:rFonts w:hint="eastAsia" w:ascii="宋体" w:hAnsi="宋体"/>
          <w:color w:val="auto"/>
          <w:sz w:val="24"/>
          <w:szCs w:val="24"/>
        </w:rPr>
        <w:fldChar w:fldCharType="separate"/>
      </w:r>
      <w:r>
        <w:rPr>
          <w:rFonts w:hint="eastAsia" w:ascii="宋体" w:hAnsi="宋体"/>
          <w:color w:val="auto"/>
          <w:sz w:val="24"/>
          <w:szCs w:val="24"/>
        </w:rPr>
        <w:t>⑥</w:t>
      </w:r>
      <w:r>
        <w:rPr>
          <w:rFonts w:hint="eastAsia" w:ascii="宋体" w:hAnsi="宋体"/>
          <w:color w:val="auto"/>
          <w:sz w:val="24"/>
          <w:szCs w:val="24"/>
        </w:rPr>
        <w:fldChar w:fldCharType="end"/>
      </w:r>
      <w:r>
        <w:rPr>
          <w:rFonts w:hint="eastAsia" w:ascii="宋体" w:hAnsi="宋体"/>
          <w:color w:val="auto"/>
          <w:sz w:val="24"/>
          <w:szCs w:val="24"/>
        </w:rPr>
        <w:t>实测与计算分析图表和检测数据汇总结果；</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7 \* GB3 </w:instrText>
      </w:r>
      <w:r>
        <w:rPr>
          <w:rFonts w:hint="eastAsia" w:ascii="宋体" w:hAnsi="宋体"/>
          <w:color w:val="auto"/>
          <w:sz w:val="24"/>
          <w:szCs w:val="24"/>
        </w:rPr>
        <w:fldChar w:fldCharType="separate"/>
      </w:r>
      <w:r>
        <w:rPr>
          <w:rFonts w:hint="eastAsia" w:ascii="宋体" w:hAnsi="宋体"/>
          <w:color w:val="auto"/>
          <w:sz w:val="24"/>
          <w:szCs w:val="24"/>
        </w:rPr>
        <w:t>⑦</w:t>
      </w:r>
      <w:r>
        <w:rPr>
          <w:rFonts w:hint="eastAsia" w:ascii="宋体" w:hAnsi="宋体"/>
          <w:color w:val="auto"/>
          <w:sz w:val="24"/>
          <w:szCs w:val="24"/>
        </w:rPr>
        <w:fldChar w:fldCharType="end"/>
      </w:r>
      <w:r>
        <w:rPr>
          <w:rFonts w:hint="eastAsia" w:ascii="宋体" w:hAnsi="宋体"/>
          <w:color w:val="auto"/>
          <w:sz w:val="24"/>
          <w:szCs w:val="24"/>
        </w:rPr>
        <w:t>检测过程中的异常情况描述(必要时)；</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8 \* GB3 </w:instrText>
      </w:r>
      <w:r>
        <w:rPr>
          <w:rFonts w:hint="eastAsia" w:ascii="宋体" w:hAnsi="宋体"/>
          <w:color w:val="auto"/>
          <w:sz w:val="24"/>
          <w:szCs w:val="24"/>
        </w:rPr>
        <w:fldChar w:fldCharType="separate"/>
      </w:r>
      <w:r>
        <w:rPr>
          <w:rFonts w:hint="eastAsia" w:ascii="宋体" w:hAnsi="宋体"/>
          <w:color w:val="auto"/>
          <w:sz w:val="24"/>
          <w:szCs w:val="24"/>
        </w:rPr>
        <w:t>⑧</w:t>
      </w:r>
      <w:r>
        <w:rPr>
          <w:rFonts w:hint="eastAsia" w:ascii="宋体" w:hAnsi="宋体"/>
          <w:color w:val="auto"/>
          <w:sz w:val="24"/>
          <w:szCs w:val="24"/>
        </w:rPr>
        <w:fldChar w:fldCharType="end"/>
      </w:r>
      <w:r>
        <w:rPr>
          <w:rFonts w:hint="eastAsia" w:ascii="宋体" w:hAnsi="宋体"/>
          <w:color w:val="auto"/>
          <w:sz w:val="24"/>
          <w:szCs w:val="24"/>
        </w:rPr>
        <w:t>检测结论。</w:t>
      </w:r>
    </w:p>
    <w:p>
      <w:pPr>
        <w:widowControl/>
        <w:adjustRightInd w:val="0"/>
        <w:snapToGrid w:val="0"/>
        <w:spacing w:line="440" w:lineRule="exact"/>
        <w:ind w:firstLine="480" w:firstLineChars="200"/>
        <w:rPr>
          <w:rFonts w:ascii="宋体" w:hAnsi="宋体"/>
          <w:color w:val="auto"/>
          <w:sz w:val="24"/>
        </w:rPr>
      </w:pPr>
      <w:r>
        <w:rPr>
          <w:rFonts w:hint="eastAsia" w:ascii="宋体" w:hAnsi="宋体"/>
          <w:snapToGrid w:val="0"/>
          <w:color w:val="auto"/>
          <w:kern w:val="0"/>
          <w:sz w:val="24"/>
          <w:szCs w:val="24"/>
        </w:rPr>
        <w:t>（</w:t>
      </w:r>
      <w:r>
        <w:rPr>
          <w:rFonts w:hint="eastAsia" w:ascii="宋体" w:hAnsi="宋体" w:cs="宋体"/>
          <w:color w:val="auto"/>
          <w:kern w:val="0"/>
          <w:sz w:val="24"/>
          <w:szCs w:val="24"/>
        </w:rPr>
        <w:t>5）乙方在完成观测、监测工作后，应按甲方要求及时提交有效的</w:t>
      </w:r>
      <w:r>
        <w:rPr>
          <w:rFonts w:hint="eastAsia" w:ascii="宋体" w:hAnsi="宋体"/>
          <w:color w:val="auto"/>
          <w:sz w:val="24"/>
        </w:rPr>
        <w:t>监测总结报告</w:t>
      </w:r>
      <w:r>
        <w:rPr>
          <w:rFonts w:hint="eastAsia" w:ascii="宋体" w:hAnsi="宋体" w:cs="宋体"/>
          <w:color w:val="auto"/>
          <w:kern w:val="0"/>
          <w:sz w:val="24"/>
          <w:szCs w:val="24"/>
        </w:rPr>
        <w:t>。</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（6）所有</w:t>
      </w:r>
      <w:r>
        <w:rPr>
          <w:rFonts w:hint="eastAsia" w:ascii="宋体" w:hAnsi="宋体"/>
          <w:color w:val="auto"/>
          <w:sz w:val="24"/>
        </w:rPr>
        <w:t>监测</w:t>
      </w:r>
      <w:r>
        <w:rPr>
          <w:rFonts w:hint="eastAsia" w:ascii="宋体" w:hAnsi="宋体" w:cs="宋体"/>
          <w:color w:val="auto"/>
          <w:kern w:val="0"/>
          <w:sz w:val="24"/>
          <w:szCs w:val="24"/>
        </w:rPr>
        <w:t>报告必须符合国家和地方现行的规范、标准。</w:t>
      </w:r>
    </w:p>
    <w:p>
      <w:pPr>
        <w:spacing w:line="360" w:lineRule="auto"/>
        <w:ind w:firstLine="460" w:firstLineChars="192"/>
        <w:rPr>
          <w:rFonts w:ascii="宋体" w:hAnsi="宋体"/>
          <w:color w:val="auto"/>
          <w:sz w:val="24"/>
        </w:rPr>
      </w:pPr>
      <w:r>
        <w:rPr>
          <w:rFonts w:hint="eastAsia" w:ascii="宋体" w:hAnsi="宋体" w:cs="宋体"/>
          <w:color w:val="auto"/>
          <w:kern w:val="0"/>
          <w:sz w:val="24"/>
          <w:szCs w:val="24"/>
        </w:rPr>
        <w:t>（7</w:t>
      </w:r>
      <w:r>
        <w:rPr>
          <w:rFonts w:ascii="宋体" w:hAnsi="宋体" w:cs="宋体"/>
          <w:color w:val="auto"/>
          <w:kern w:val="0"/>
          <w:sz w:val="24"/>
          <w:szCs w:val="24"/>
        </w:rPr>
        <w:t>）</w:t>
      </w:r>
      <w:r>
        <w:rPr>
          <w:rFonts w:hint="eastAsia" w:ascii="宋体" w:hAnsi="宋体" w:cs="宋体"/>
          <w:color w:val="auto"/>
          <w:kern w:val="0"/>
          <w:sz w:val="24"/>
          <w:szCs w:val="24"/>
        </w:rPr>
        <w:t>乙方</w:t>
      </w:r>
      <w:r>
        <w:rPr>
          <w:rFonts w:hint="eastAsia" w:ascii="宋体" w:hAnsi="宋体"/>
          <w:color w:val="auto"/>
          <w:sz w:val="24"/>
        </w:rPr>
        <w:t>应在监测单次观测完成后2个工作日内出具观测简报一式叁份；全部观测结束后，10个工作日内完成监测总结报告，并向甲方提交</w:t>
      </w:r>
      <w:r>
        <w:rPr>
          <w:rFonts w:hint="eastAsia" w:ascii="宋体" w:hAnsi="宋体"/>
          <w:color w:val="auto"/>
          <w:sz w:val="24"/>
          <w:szCs w:val="24"/>
        </w:rPr>
        <w:t>监测</w:t>
      </w:r>
      <w:r>
        <w:rPr>
          <w:rFonts w:hint="eastAsia" w:ascii="宋体" w:hAnsi="宋体"/>
          <w:color w:val="auto"/>
          <w:sz w:val="24"/>
        </w:rPr>
        <w:t>报告，经甲方确认无异议后，乙方提交一式</w:t>
      </w:r>
      <w:r>
        <w:rPr>
          <w:rFonts w:hint="eastAsia" w:ascii="宋体" w:hAnsi="宋体" w:cs="宋体"/>
          <w:color w:val="auto"/>
          <w:kern w:val="0"/>
          <w:sz w:val="24"/>
          <w:szCs w:val="24"/>
        </w:rPr>
        <w:t>陆</w:t>
      </w:r>
      <w:r>
        <w:rPr>
          <w:rFonts w:hint="eastAsia" w:ascii="宋体" w:hAnsi="宋体"/>
          <w:color w:val="auto"/>
          <w:sz w:val="24"/>
        </w:rPr>
        <w:t>份</w:t>
      </w:r>
      <w:r>
        <w:rPr>
          <w:rFonts w:hint="eastAsia" w:ascii="宋体" w:hAnsi="宋体" w:cs="宋体"/>
          <w:color w:val="auto"/>
          <w:kern w:val="0"/>
          <w:sz w:val="24"/>
          <w:szCs w:val="24"/>
        </w:rPr>
        <w:t>及完整电子文档壹份</w:t>
      </w:r>
      <w:r>
        <w:rPr>
          <w:rFonts w:hint="eastAsia" w:ascii="宋体" w:hAnsi="宋体"/>
          <w:color w:val="auto"/>
          <w:sz w:val="24"/>
        </w:rPr>
        <w:t>。</w:t>
      </w:r>
    </w:p>
    <w:p>
      <w:pPr>
        <w:spacing w:line="360" w:lineRule="auto"/>
        <w:ind w:firstLine="460" w:firstLineChars="192"/>
        <w:rPr>
          <w:rFonts w:ascii="宋体" w:hAnsi="宋体"/>
          <w:color w:val="auto"/>
          <w:sz w:val="24"/>
          <w:szCs w:val="24"/>
        </w:rPr>
      </w:pPr>
      <w:r>
        <w:rPr>
          <w:rFonts w:hint="eastAsia" w:ascii="宋体" w:hAnsi="宋体"/>
          <w:color w:val="auto"/>
          <w:sz w:val="24"/>
          <w:szCs w:val="24"/>
        </w:rPr>
        <w:t>（8）监测报告根据监测内容进行调整。包括但不限于：</w:t>
      </w:r>
    </w:p>
    <w:p>
      <w:pPr>
        <w:spacing w:line="360" w:lineRule="auto"/>
        <w:ind w:firstLine="460" w:firstLineChars="19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1 \* GB3 </w:instrText>
      </w:r>
      <w:r>
        <w:rPr>
          <w:rFonts w:hint="eastAsia" w:ascii="宋体" w:hAnsi="宋体"/>
          <w:color w:val="auto"/>
          <w:sz w:val="24"/>
          <w:szCs w:val="24"/>
        </w:rPr>
        <w:fldChar w:fldCharType="separate"/>
      </w:r>
      <w:r>
        <w:rPr>
          <w:rFonts w:hint="eastAsia" w:ascii="宋体" w:hAnsi="宋体"/>
          <w:color w:val="auto"/>
          <w:sz w:val="24"/>
          <w:szCs w:val="24"/>
        </w:rPr>
        <w:t>①</w:t>
      </w:r>
      <w:r>
        <w:rPr>
          <w:rFonts w:hint="eastAsia" w:ascii="宋体" w:hAnsi="宋体"/>
          <w:color w:val="auto"/>
          <w:sz w:val="24"/>
          <w:szCs w:val="24"/>
        </w:rPr>
        <w:fldChar w:fldCharType="end"/>
      </w:r>
      <w:r>
        <w:rPr>
          <w:rFonts w:hint="eastAsia" w:ascii="宋体" w:hAnsi="宋体"/>
          <w:color w:val="auto"/>
          <w:sz w:val="24"/>
          <w:szCs w:val="24"/>
        </w:rPr>
        <w:t>委托方名称，工程名称，工程地点；</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2 \* GB3 </w:instrText>
      </w:r>
      <w:r>
        <w:rPr>
          <w:rFonts w:hint="eastAsia" w:ascii="宋体" w:hAnsi="宋体"/>
          <w:color w:val="auto"/>
          <w:sz w:val="24"/>
          <w:szCs w:val="24"/>
        </w:rPr>
        <w:fldChar w:fldCharType="separate"/>
      </w:r>
      <w:r>
        <w:rPr>
          <w:rFonts w:hint="eastAsia" w:ascii="宋体" w:hAnsi="宋体"/>
          <w:color w:val="auto"/>
          <w:sz w:val="24"/>
          <w:szCs w:val="24"/>
        </w:rPr>
        <w:t>②</w:t>
      </w:r>
      <w:r>
        <w:rPr>
          <w:rFonts w:hint="eastAsia" w:ascii="宋体" w:hAnsi="宋体"/>
          <w:color w:val="auto"/>
          <w:sz w:val="24"/>
          <w:szCs w:val="24"/>
        </w:rPr>
        <w:fldChar w:fldCharType="end"/>
      </w:r>
      <w:r>
        <w:rPr>
          <w:rFonts w:hint="eastAsia" w:ascii="宋体" w:hAnsi="宋体"/>
          <w:color w:val="auto"/>
          <w:sz w:val="24"/>
          <w:szCs w:val="24"/>
        </w:rPr>
        <w:t>建设、勘察、设计、监理和施工单位；</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3 \* GB3 </w:instrText>
      </w:r>
      <w:r>
        <w:rPr>
          <w:rFonts w:hint="eastAsia" w:ascii="宋体" w:hAnsi="宋体"/>
          <w:color w:val="auto"/>
          <w:sz w:val="24"/>
          <w:szCs w:val="24"/>
        </w:rPr>
        <w:fldChar w:fldCharType="separate"/>
      </w:r>
      <w:r>
        <w:rPr>
          <w:rFonts w:hint="eastAsia" w:ascii="宋体" w:hAnsi="宋体"/>
          <w:color w:val="auto"/>
          <w:sz w:val="24"/>
          <w:szCs w:val="24"/>
        </w:rPr>
        <w:t>③</w:t>
      </w:r>
      <w:r>
        <w:rPr>
          <w:rFonts w:hint="eastAsia" w:ascii="宋体" w:hAnsi="宋体"/>
          <w:color w:val="auto"/>
          <w:sz w:val="24"/>
          <w:szCs w:val="24"/>
        </w:rPr>
        <w:fldChar w:fldCharType="end"/>
      </w:r>
      <w:r>
        <w:rPr>
          <w:rFonts w:hint="eastAsia" w:ascii="宋体" w:hAnsi="宋体"/>
          <w:color w:val="auto"/>
          <w:sz w:val="24"/>
          <w:szCs w:val="24"/>
        </w:rPr>
        <w:t>工程概况，设计要求；</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4 \* GB3 </w:instrText>
      </w:r>
      <w:r>
        <w:rPr>
          <w:rFonts w:hint="eastAsia" w:ascii="宋体" w:hAnsi="宋体"/>
          <w:color w:val="auto"/>
          <w:sz w:val="24"/>
          <w:szCs w:val="24"/>
        </w:rPr>
        <w:fldChar w:fldCharType="separate"/>
      </w:r>
      <w:r>
        <w:rPr>
          <w:rFonts w:hint="eastAsia" w:ascii="宋体" w:hAnsi="宋体"/>
          <w:color w:val="auto"/>
          <w:sz w:val="24"/>
          <w:szCs w:val="24"/>
        </w:rPr>
        <w:t>④</w:t>
      </w:r>
      <w:r>
        <w:rPr>
          <w:rFonts w:hint="eastAsia" w:ascii="宋体" w:hAnsi="宋体"/>
          <w:color w:val="auto"/>
          <w:sz w:val="24"/>
          <w:szCs w:val="24"/>
        </w:rPr>
        <w:fldChar w:fldCharType="end"/>
      </w:r>
      <w:r>
        <w:rPr>
          <w:rFonts w:hint="eastAsia" w:ascii="宋体" w:hAnsi="宋体"/>
          <w:color w:val="auto"/>
          <w:sz w:val="24"/>
          <w:szCs w:val="24"/>
        </w:rPr>
        <w:t>监测对象、监测依据、监测内容、监测点布置、监测方法；</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5 \* GB3 </w:instrText>
      </w:r>
      <w:r>
        <w:rPr>
          <w:rFonts w:hint="eastAsia" w:ascii="宋体" w:hAnsi="宋体"/>
          <w:color w:val="auto"/>
          <w:sz w:val="24"/>
          <w:szCs w:val="24"/>
        </w:rPr>
        <w:fldChar w:fldCharType="separate"/>
      </w:r>
      <w:r>
        <w:rPr>
          <w:rFonts w:hint="eastAsia" w:ascii="宋体" w:hAnsi="宋体"/>
          <w:color w:val="auto"/>
          <w:sz w:val="24"/>
          <w:szCs w:val="24"/>
        </w:rPr>
        <w:t>⑤</w:t>
      </w:r>
      <w:r>
        <w:rPr>
          <w:rFonts w:hint="eastAsia" w:ascii="宋体" w:hAnsi="宋体"/>
          <w:color w:val="auto"/>
          <w:sz w:val="24"/>
          <w:szCs w:val="24"/>
        </w:rPr>
        <w:fldChar w:fldCharType="end"/>
      </w:r>
      <w:r>
        <w:rPr>
          <w:rFonts w:hint="eastAsia" w:ascii="宋体" w:hAnsi="宋体"/>
          <w:color w:val="auto"/>
          <w:sz w:val="24"/>
          <w:szCs w:val="24"/>
        </w:rPr>
        <w:t>监测工序、测点保护、监测时长、监测频率；</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6 \* GB3 </w:instrText>
      </w:r>
      <w:r>
        <w:rPr>
          <w:rFonts w:hint="eastAsia" w:ascii="宋体" w:hAnsi="宋体"/>
          <w:color w:val="auto"/>
          <w:sz w:val="24"/>
          <w:szCs w:val="24"/>
        </w:rPr>
        <w:fldChar w:fldCharType="separate"/>
      </w:r>
      <w:r>
        <w:rPr>
          <w:rFonts w:hint="eastAsia" w:ascii="宋体" w:hAnsi="宋体"/>
          <w:color w:val="auto"/>
          <w:sz w:val="24"/>
          <w:szCs w:val="24"/>
        </w:rPr>
        <w:t>⑥</w:t>
      </w:r>
      <w:r>
        <w:rPr>
          <w:rFonts w:hint="eastAsia" w:ascii="宋体" w:hAnsi="宋体"/>
          <w:color w:val="auto"/>
          <w:sz w:val="24"/>
          <w:szCs w:val="24"/>
        </w:rPr>
        <w:fldChar w:fldCharType="end"/>
      </w:r>
      <w:r>
        <w:rPr>
          <w:rFonts w:hint="eastAsia" w:ascii="宋体" w:hAnsi="宋体"/>
          <w:color w:val="auto"/>
          <w:sz w:val="24"/>
          <w:szCs w:val="24"/>
        </w:rPr>
        <w:t>报警值；</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7 \* GB3 </w:instrText>
      </w:r>
      <w:r>
        <w:rPr>
          <w:rFonts w:hint="eastAsia" w:ascii="宋体" w:hAnsi="宋体"/>
          <w:color w:val="auto"/>
          <w:sz w:val="24"/>
          <w:szCs w:val="24"/>
        </w:rPr>
        <w:fldChar w:fldCharType="separate"/>
      </w:r>
      <w:r>
        <w:rPr>
          <w:rFonts w:hint="eastAsia" w:ascii="宋体" w:hAnsi="宋体"/>
          <w:color w:val="auto"/>
          <w:sz w:val="24"/>
          <w:szCs w:val="24"/>
        </w:rPr>
        <w:t>⑦</w:t>
      </w:r>
      <w:r>
        <w:rPr>
          <w:rFonts w:hint="eastAsia" w:ascii="宋体" w:hAnsi="宋体"/>
          <w:color w:val="auto"/>
          <w:sz w:val="24"/>
          <w:szCs w:val="24"/>
        </w:rPr>
        <w:fldChar w:fldCharType="end"/>
      </w:r>
      <w:r>
        <w:rPr>
          <w:rFonts w:hint="eastAsia" w:ascii="宋体" w:hAnsi="宋体"/>
          <w:color w:val="auto"/>
          <w:sz w:val="24"/>
          <w:szCs w:val="24"/>
        </w:rPr>
        <w:t>监测成果与分析；</w:t>
      </w:r>
    </w:p>
    <w:p>
      <w:pPr>
        <w:spacing w:line="360" w:lineRule="auto"/>
        <w:ind w:firstLine="820" w:firstLineChars="342"/>
        <w:rPr>
          <w:rFonts w:ascii="宋体" w:hAnsi="宋体"/>
          <w:color w:val="auto"/>
          <w:sz w:val="24"/>
          <w:szCs w:val="24"/>
        </w:rPr>
      </w:pPr>
      <w:r>
        <w:rPr>
          <w:rFonts w:hint="eastAsia" w:ascii="宋体" w:hAnsi="宋体"/>
          <w:color w:val="auto"/>
          <w:sz w:val="24"/>
          <w:szCs w:val="24"/>
        </w:rPr>
        <w:fldChar w:fldCharType="begin"/>
      </w:r>
      <w:r>
        <w:rPr>
          <w:rFonts w:hint="eastAsia" w:ascii="宋体" w:hAnsi="宋体"/>
          <w:color w:val="auto"/>
          <w:sz w:val="24"/>
          <w:szCs w:val="24"/>
        </w:rPr>
        <w:instrText xml:space="preserve"> = 8 \* GB3 </w:instrText>
      </w:r>
      <w:r>
        <w:rPr>
          <w:rFonts w:hint="eastAsia" w:ascii="宋体" w:hAnsi="宋体"/>
          <w:color w:val="auto"/>
          <w:sz w:val="24"/>
          <w:szCs w:val="24"/>
        </w:rPr>
        <w:fldChar w:fldCharType="separate"/>
      </w:r>
      <w:r>
        <w:rPr>
          <w:rFonts w:hint="eastAsia" w:ascii="宋体" w:hAnsi="宋体"/>
          <w:color w:val="auto"/>
          <w:sz w:val="24"/>
          <w:szCs w:val="24"/>
        </w:rPr>
        <w:t>⑧</w:t>
      </w:r>
      <w:r>
        <w:rPr>
          <w:rFonts w:hint="eastAsia" w:ascii="宋体" w:hAnsi="宋体"/>
          <w:color w:val="auto"/>
          <w:sz w:val="24"/>
          <w:szCs w:val="24"/>
        </w:rPr>
        <w:fldChar w:fldCharType="end"/>
      </w:r>
      <w:r>
        <w:rPr>
          <w:rFonts w:hint="eastAsia" w:ascii="宋体" w:hAnsi="宋体"/>
          <w:color w:val="auto"/>
          <w:sz w:val="24"/>
          <w:szCs w:val="24"/>
        </w:rPr>
        <w:t>附表、附图。</w:t>
      </w:r>
    </w:p>
    <w:p>
      <w:pPr>
        <w:pStyle w:val="8"/>
        <w:rPr>
          <w:color w:val="auto"/>
        </w:rPr>
      </w:pPr>
    </w:p>
    <w:p>
      <w:pPr>
        <w:pStyle w:val="7"/>
        <w:spacing w:line="348" w:lineRule="auto"/>
        <w:rPr>
          <w:b/>
          <w:color w:val="auto"/>
          <w:sz w:val="28"/>
          <w:szCs w:val="28"/>
        </w:rPr>
      </w:pPr>
      <w:r>
        <w:rPr>
          <w:rFonts w:hint="eastAsia"/>
          <w:b/>
          <w:color w:val="auto"/>
          <w:sz w:val="28"/>
          <w:szCs w:val="28"/>
        </w:rPr>
        <w:t>第五条技术服务工作成果的验收：</w:t>
      </w:r>
    </w:p>
    <w:p>
      <w:pPr>
        <w:spacing w:line="360" w:lineRule="auto"/>
        <w:ind w:firstLine="480" w:firstLineChars="200"/>
        <w:rPr>
          <w:rFonts w:ascii="宋体" w:hAnsi="宋体"/>
          <w:color w:val="auto"/>
          <w:sz w:val="24"/>
          <w:szCs w:val="22"/>
        </w:rPr>
      </w:pPr>
      <w:r>
        <w:rPr>
          <w:rFonts w:hint="eastAsia" w:ascii="宋体" w:hAnsi="宋体"/>
          <w:color w:val="auto"/>
          <w:sz w:val="24"/>
          <w:szCs w:val="22"/>
        </w:rPr>
        <w:t>1.乙方完成技术服务工作的形式：全部检测工程完成后乙方按合同约定的向甲方提供本项目的最终检测报告一式陆份。</w:t>
      </w:r>
    </w:p>
    <w:p>
      <w:pPr>
        <w:spacing w:line="360" w:lineRule="auto"/>
        <w:ind w:firstLine="480" w:firstLineChars="200"/>
        <w:rPr>
          <w:rFonts w:ascii="宋体" w:hAnsi="宋体"/>
          <w:color w:val="auto"/>
          <w:sz w:val="24"/>
          <w:szCs w:val="22"/>
        </w:rPr>
      </w:pPr>
      <w:r>
        <w:rPr>
          <w:rFonts w:hint="eastAsia" w:ascii="宋体" w:hAnsi="宋体"/>
          <w:color w:val="auto"/>
          <w:sz w:val="24"/>
          <w:szCs w:val="22"/>
        </w:rPr>
        <w:t>2.技术服务工作成果的验收标准：参照《建设工程质量检测管理办法》、《广州市建设工程质量检测管理办法》等国家、省、市相关规范及招标文件要求。</w:t>
      </w:r>
    </w:p>
    <w:p>
      <w:pPr>
        <w:spacing w:line="360" w:lineRule="auto"/>
        <w:ind w:firstLine="480" w:firstLineChars="200"/>
        <w:rPr>
          <w:rFonts w:ascii="宋体" w:hAnsi="宋体"/>
          <w:color w:val="auto"/>
          <w:sz w:val="24"/>
          <w:szCs w:val="22"/>
        </w:rPr>
      </w:pPr>
      <w:r>
        <w:rPr>
          <w:rFonts w:hint="eastAsia" w:ascii="宋体" w:hAnsi="宋体"/>
          <w:color w:val="auto"/>
          <w:sz w:val="24"/>
          <w:szCs w:val="22"/>
        </w:rPr>
        <w:t>3.技术服务工作成果的验收方法：乙方的技术检测实施方案应符合国家及地方现行有关技术规范或规定以及设计单位的技术要求，同时也要符合施工质量监督部门的要求，确保检测过程中不发生因检测单位引起的质量安全事故，全部检测工作完成后应出具符合国家标准的检测报告。</w:t>
      </w:r>
    </w:p>
    <w:p>
      <w:pPr>
        <w:spacing w:line="360" w:lineRule="auto"/>
        <w:ind w:firstLine="480" w:firstLineChars="200"/>
        <w:rPr>
          <w:rFonts w:ascii="宋体" w:hAnsi="宋体"/>
          <w:color w:val="auto"/>
          <w:sz w:val="24"/>
          <w:szCs w:val="22"/>
        </w:rPr>
      </w:pPr>
      <w:r>
        <w:rPr>
          <w:rFonts w:hint="eastAsia" w:ascii="宋体" w:hAnsi="宋体"/>
          <w:color w:val="auto"/>
          <w:sz w:val="24"/>
          <w:szCs w:val="22"/>
        </w:rPr>
        <w:t>4.验收的时间和地点：工程所在地。</w:t>
      </w:r>
    </w:p>
    <w:p>
      <w:pPr>
        <w:pStyle w:val="7"/>
        <w:spacing w:line="336" w:lineRule="auto"/>
        <w:rPr>
          <w:b/>
          <w:color w:val="auto"/>
          <w:sz w:val="28"/>
          <w:szCs w:val="28"/>
        </w:rPr>
      </w:pPr>
      <w:r>
        <w:rPr>
          <w:rFonts w:hint="eastAsia"/>
          <w:b/>
          <w:color w:val="auto"/>
          <w:sz w:val="28"/>
          <w:szCs w:val="28"/>
        </w:rPr>
        <w:t>第六条甲方向乙方提供下列工作条件和协作事项：</w:t>
      </w:r>
    </w:p>
    <w:p>
      <w:pPr>
        <w:spacing w:line="360" w:lineRule="auto"/>
        <w:ind w:firstLine="480" w:firstLineChars="200"/>
        <w:rPr>
          <w:rFonts w:ascii="宋体" w:hAnsi="宋体"/>
          <w:color w:val="auto"/>
          <w:sz w:val="24"/>
          <w:szCs w:val="22"/>
        </w:rPr>
      </w:pPr>
      <w:r>
        <w:rPr>
          <w:rFonts w:hint="eastAsia" w:ascii="宋体" w:hAnsi="宋体"/>
          <w:color w:val="auto"/>
          <w:sz w:val="24"/>
          <w:szCs w:val="22"/>
        </w:rPr>
        <w:t>1.甲方应协调乙方与现场各方关系，为检(监)测提供必要的便利条件；</w:t>
      </w:r>
    </w:p>
    <w:p>
      <w:pPr>
        <w:spacing w:line="360" w:lineRule="auto"/>
        <w:ind w:firstLine="480" w:firstLineChars="200"/>
        <w:rPr>
          <w:rFonts w:ascii="宋体" w:hAnsi="宋体"/>
          <w:color w:val="auto"/>
          <w:sz w:val="24"/>
          <w:szCs w:val="22"/>
        </w:rPr>
      </w:pPr>
      <w:r>
        <w:rPr>
          <w:rFonts w:hint="eastAsia" w:ascii="宋体" w:hAnsi="宋体"/>
          <w:color w:val="auto"/>
          <w:sz w:val="24"/>
          <w:szCs w:val="22"/>
        </w:rPr>
        <w:t>2.在乙方进场前向乙方提供开展检(监)测工作所必须的设计文件、工程资料、技术资料等。乙方对检(监)测有特别技术要求的，应至少提前3个工作日且以书面形式提出。</w:t>
      </w:r>
    </w:p>
    <w:p>
      <w:pPr>
        <w:spacing w:line="360" w:lineRule="auto"/>
        <w:ind w:firstLine="480" w:firstLineChars="200"/>
        <w:rPr>
          <w:rFonts w:ascii="宋体" w:hAnsi="宋体"/>
          <w:color w:val="auto"/>
          <w:sz w:val="24"/>
          <w:szCs w:val="22"/>
        </w:rPr>
      </w:pPr>
      <w:r>
        <w:rPr>
          <w:rFonts w:hint="eastAsia" w:ascii="宋体" w:hAnsi="宋体"/>
          <w:color w:val="auto"/>
          <w:sz w:val="24"/>
          <w:szCs w:val="22"/>
        </w:rPr>
        <w:t>3.指定专人或现场监理工程师对乙方的现场检测作监督，协助乙方安装</w:t>
      </w:r>
      <w:r>
        <w:rPr>
          <w:rFonts w:hint="eastAsia" w:ascii="宋体" w:hAnsi="宋体"/>
          <w:color w:val="auto"/>
          <w:sz w:val="24"/>
          <w:szCs w:val="24"/>
        </w:rPr>
        <w:t>监测设备及清理现场障碍物等</w:t>
      </w:r>
      <w:r>
        <w:rPr>
          <w:rFonts w:hint="eastAsia" w:ascii="宋体" w:hAnsi="宋体"/>
          <w:color w:val="auto"/>
          <w:sz w:val="24"/>
          <w:szCs w:val="22"/>
        </w:rPr>
        <w:t>。</w:t>
      </w:r>
    </w:p>
    <w:p>
      <w:pPr>
        <w:spacing w:line="360" w:lineRule="auto"/>
        <w:ind w:firstLine="480" w:firstLineChars="200"/>
        <w:rPr>
          <w:rFonts w:ascii="宋体" w:hAnsi="宋体"/>
          <w:color w:val="auto"/>
          <w:sz w:val="24"/>
          <w:szCs w:val="22"/>
        </w:rPr>
      </w:pPr>
      <w:r>
        <w:rPr>
          <w:rFonts w:hint="eastAsia" w:ascii="宋体" w:hAnsi="宋体"/>
          <w:color w:val="auto"/>
          <w:sz w:val="24"/>
          <w:szCs w:val="22"/>
        </w:rPr>
        <w:t>4.负责提供现场检测场地或监测工作面，告知驻场单位（监理单位、总承包施工单位、专业工程施工单位）对检测的检测部位及位置并做好前期准备工作，提供满足现场检测的场地条件。安排施工总承包单位协助做好现场各类监测点或标志的保护工作，确保监测工作正常进行。</w:t>
      </w:r>
    </w:p>
    <w:p>
      <w:pPr>
        <w:spacing w:line="360" w:lineRule="auto"/>
        <w:ind w:firstLine="480" w:firstLineChars="200"/>
        <w:rPr>
          <w:rFonts w:ascii="宋体" w:hAnsi="宋体"/>
          <w:color w:val="auto"/>
          <w:sz w:val="24"/>
          <w:szCs w:val="22"/>
        </w:rPr>
      </w:pPr>
      <w:r>
        <w:rPr>
          <w:rFonts w:hint="eastAsia" w:ascii="宋体" w:hAnsi="宋体"/>
          <w:color w:val="auto"/>
          <w:sz w:val="24"/>
          <w:szCs w:val="22"/>
        </w:rPr>
        <w:t>5.负责提供以下的现场条件：负责协调现场，提供电源、水源接驳点各一个供乙方使用（水电使用费及其他相关费用由乙方自行承担）。</w:t>
      </w:r>
    </w:p>
    <w:p>
      <w:pPr>
        <w:spacing w:line="360" w:lineRule="auto"/>
        <w:ind w:firstLine="480" w:firstLineChars="200"/>
        <w:rPr>
          <w:rFonts w:ascii="宋体" w:hAnsi="宋体"/>
          <w:color w:val="auto"/>
          <w:sz w:val="24"/>
          <w:szCs w:val="22"/>
        </w:rPr>
      </w:pPr>
      <w:r>
        <w:rPr>
          <w:rFonts w:hint="eastAsia" w:ascii="宋体" w:hAnsi="宋体"/>
          <w:color w:val="auto"/>
          <w:sz w:val="24"/>
          <w:szCs w:val="22"/>
        </w:rPr>
        <w:t>6.甲方在乙方进场日期前一周负责提供上述工作条件和协助事项。</w:t>
      </w:r>
    </w:p>
    <w:p>
      <w:pPr>
        <w:pStyle w:val="7"/>
        <w:spacing w:line="324" w:lineRule="auto"/>
        <w:rPr>
          <w:b/>
          <w:color w:val="auto"/>
          <w:sz w:val="28"/>
          <w:szCs w:val="28"/>
        </w:rPr>
      </w:pPr>
      <w:r>
        <w:rPr>
          <w:rFonts w:hint="eastAsia"/>
          <w:b/>
          <w:color w:val="auto"/>
          <w:sz w:val="28"/>
          <w:szCs w:val="28"/>
        </w:rPr>
        <w:t>第七条合同价款、承包方式及支付方式：</w:t>
      </w:r>
    </w:p>
    <w:p>
      <w:pPr>
        <w:spacing w:line="360" w:lineRule="auto"/>
        <w:ind w:firstLine="480" w:firstLineChars="200"/>
        <w:rPr>
          <w:rFonts w:ascii="宋体" w:hAnsi="宋体"/>
          <w:color w:val="auto"/>
          <w:sz w:val="24"/>
          <w:szCs w:val="22"/>
        </w:rPr>
      </w:pPr>
      <w:r>
        <w:rPr>
          <w:rFonts w:hint="eastAsia" w:ascii="宋体" w:hAnsi="宋体"/>
          <w:color w:val="auto"/>
          <w:sz w:val="24"/>
          <w:szCs w:val="22"/>
        </w:rPr>
        <w:t>1．本项目合同含税总价为人民币（大写），小写：（¥元）；合同不含税总价为人民币（大写）：，小写：（¥元），税率为</w:t>
      </w:r>
      <w:r>
        <w:rPr>
          <w:rFonts w:hint="eastAsia" w:ascii="宋体" w:hAnsi="宋体"/>
          <w:color w:val="auto"/>
          <w:sz w:val="24"/>
          <w:szCs w:val="22"/>
          <w:u w:val="single"/>
        </w:rPr>
        <w:t xml:space="preserve">6 </w:t>
      </w:r>
      <w:r>
        <w:rPr>
          <w:rFonts w:hint="eastAsia" w:ascii="宋体" w:hAnsi="宋体"/>
          <w:color w:val="auto"/>
          <w:sz w:val="24"/>
          <w:szCs w:val="22"/>
        </w:rPr>
        <w:t>％。</w:t>
      </w:r>
    </w:p>
    <w:p>
      <w:pPr>
        <w:wordWrap w:val="0"/>
        <w:spacing w:line="360" w:lineRule="auto"/>
        <w:ind w:firstLine="480" w:firstLineChars="200"/>
        <w:rPr>
          <w:rFonts w:ascii="宋体" w:hAnsi="宋体"/>
          <w:color w:val="auto"/>
          <w:sz w:val="24"/>
          <w:szCs w:val="22"/>
        </w:rPr>
      </w:pPr>
      <w:r>
        <w:rPr>
          <w:rFonts w:hint="eastAsia" w:ascii="宋体" w:hAnsi="宋体"/>
          <w:color w:val="auto"/>
          <w:sz w:val="24"/>
          <w:szCs w:val="24"/>
        </w:rPr>
        <w:t>招标检测监测工程量清单只作为投标报价的参考，本合同价格为实际包干价，如发包人取消其中的分部工程，实际包干价按比例扣减。</w:t>
      </w:r>
    </w:p>
    <w:p>
      <w:pPr>
        <w:spacing w:line="360" w:lineRule="auto"/>
        <w:ind w:firstLine="480" w:firstLineChars="200"/>
        <w:rPr>
          <w:rFonts w:ascii="宋体" w:hAnsi="宋体"/>
          <w:color w:val="auto"/>
          <w:sz w:val="24"/>
          <w:szCs w:val="22"/>
        </w:rPr>
      </w:pPr>
      <w:r>
        <w:rPr>
          <w:rFonts w:hint="eastAsia" w:ascii="宋体" w:hAnsi="宋体"/>
          <w:color w:val="auto"/>
          <w:sz w:val="24"/>
          <w:szCs w:val="22"/>
        </w:rPr>
        <w:t>如遇国家税率调整，支付服务价款及结算时，不含税价不变，含税总价作相应调整。中标下浮率为%。</w:t>
      </w:r>
    </w:p>
    <w:p>
      <w:pPr>
        <w:spacing w:line="360" w:lineRule="auto"/>
        <w:ind w:firstLine="480" w:firstLineChars="200"/>
        <w:rPr>
          <w:rFonts w:ascii="宋体" w:hAnsi="宋体"/>
          <w:color w:val="auto"/>
          <w:sz w:val="24"/>
          <w:szCs w:val="22"/>
        </w:rPr>
      </w:pPr>
      <w:r>
        <w:rPr>
          <w:rFonts w:hint="eastAsia" w:ascii="宋体" w:hAnsi="宋体"/>
          <w:color w:val="auto"/>
          <w:sz w:val="24"/>
          <w:szCs w:val="22"/>
        </w:rPr>
        <w:t>因实际施工和验收需求或国家、省市检(监)测标准要求增加检(监)测项及检(监)测量的按实际完成工作量进行结算，</w:t>
      </w:r>
    </w:p>
    <w:p>
      <w:pPr>
        <w:spacing w:line="360" w:lineRule="auto"/>
        <w:ind w:firstLine="480" w:firstLineChars="200"/>
        <w:rPr>
          <w:rFonts w:ascii="宋体" w:hAnsi="宋体"/>
          <w:color w:val="auto"/>
          <w:sz w:val="24"/>
          <w:szCs w:val="22"/>
        </w:rPr>
      </w:pPr>
      <w:r>
        <w:rPr>
          <w:rFonts w:hint="eastAsia" w:ascii="宋体" w:hAnsi="宋体"/>
          <w:color w:val="auto"/>
          <w:sz w:val="24"/>
          <w:szCs w:val="22"/>
        </w:rPr>
        <w:t>2．承包方式：</w:t>
      </w:r>
    </w:p>
    <w:p>
      <w:pPr>
        <w:spacing w:line="360" w:lineRule="auto"/>
        <w:ind w:firstLine="480" w:firstLineChars="200"/>
        <w:rPr>
          <w:rFonts w:ascii="宋体" w:hAnsi="宋体"/>
          <w:color w:val="auto"/>
          <w:sz w:val="24"/>
          <w:szCs w:val="22"/>
        </w:rPr>
      </w:pPr>
      <w:r>
        <w:rPr>
          <w:rFonts w:hint="eastAsia" w:ascii="宋体" w:hAnsi="宋体"/>
          <w:color w:val="auto"/>
          <w:sz w:val="24"/>
          <w:szCs w:val="22"/>
        </w:rPr>
        <w:t>（1）</w:t>
      </w:r>
      <w:r>
        <w:rPr>
          <w:rFonts w:hint="eastAsia" w:ascii="宋体" w:hAnsi="宋体"/>
          <w:color w:val="auto"/>
          <w:sz w:val="24"/>
          <w:szCs w:val="22"/>
        </w:rPr>
        <w:t>采用总价包干的方式进行承包，包工期、包质量、包安全、包文明、包服务和工作成果、包结算的形式承包本技术服务项目及完成资料整理备案。</w:t>
      </w:r>
      <w:r>
        <w:rPr>
          <w:rFonts w:hint="eastAsia" w:ascii="宋体" w:hAnsi="宋体"/>
          <w:color w:val="auto"/>
          <w:sz w:val="24"/>
          <w:szCs w:val="22"/>
        </w:rPr>
        <w:t>检(监)测费用包含整个检(监)测周期内所有的检(监)测费及技术工作费、人工费、材料费、机械设备费、检测试验费、</w:t>
      </w:r>
      <w:r>
        <w:rPr>
          <w:rFonts w:hint="eastAsia" w:ascii="宋体" w:hAnsi="宋体"/>
          <w:color w:val="auto"/>
          <w:sz w:val="24"/>
        </w:rPr>
        <w:t>基准点埋设与观测费用、</w:t>
      </w:r>
      <w:r>
        <w:rPr>
          <w:rFonts w:hint="eastAsia" w:ascii="宋体" w:hAnsi="宋体"/>
          <w:color w:val="auto"/>
          <w:sz w:val="24"/>
          <w:szCs w:val="22"/>
        </w:rPr>
        <w:t>监测试验费、监测点</w:t>
      </w:r>
      <w:r>
        <w:rPr>
          <w:rFonts w:hint="eastAsia" w:ascii="宋体" w:hAnsi="宋体"/>
          <w:color w:val="auto"/>
          <w:sz w:val="24"/>
        </w:rPr>
        <w:t>埋设和</w:t>
      </w:r>
      <w:r>
        <w:rPr>
          <w:rFonts w:hint="eastAsia" w:ascii="宋体" w:hAnsi="宋体"/>
          <w:color w:val="auto"/>
          <w:sz w:val="24"/>
          <w:szCs w:val="22"/>
        </w:rPr>
        <w:t>损坏修复费</w:t>
      </w:r>
      <w:r>
        <w:rPr>
          <w:rFonts w:hint="eastAsia" w:ascii="宋体" w:hAnsi="宋体"/>
          <w:color w:val="auto"/>
          <w:sz w:val="24"/>
        </w:rPr>
        <w:t>（并且包括相关检测频率不得少于设计文件和规范要求所规定的频率）、</w:t>
      </w:r>
      <w:r>
        <w:rPr>
          <w:rFonts w:hint="eastAsia" w:ascii="宋体" w:hAnsi="宋体"/>
          <w:color w:val="auto"/>
          <w:sz w:val="24"/>
          <w:szCs w:val="22"/>
        </w:rPr>
        <w:t>仪器设备使用费、各项措施费（包括但不限于安全文明施工、临水临电安装、临时道路铺设、机械设备进出场、工作面清理及整理、检测配载、桩头处理、试坑开挖、疏干排水、工作搭架、工作棚、锚桩及焊接等相关费用）、报告编写费、配合协调费、工程保险费、风险费、监测点或标志的制作、检(监)测点钻孔埋设费用、临时设施、就餐、住宿、管理费、利润、税金等所有的一切相关费用。与检(监)测工作相关的其它辅助工作，其相关费用已包含在相关检(监)测工作的报价中，不再另行支付。</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rPr>
        <w:t>若因检(监)测实施方案通不过审批，需要调整方案，所增加的检(监)测费用由检(监)测单位负责，造成损失的，甲方将按规定追究检(监)测单位责任</w:t>
      </w:r>
      <w:r>
        <w:rPr>
          <w:rFonts w:hint="eastAsia" w:ascii="宋体" w:hAnsi="宋体" w:cs="宋体"/>
          <w:color w:val="auto"/>
          <w:kern w:val="0"/>
          <w:sz w:val="24"/>
          <w:szCs w:val="24"/>
        </w:rPr>
        <w:t>。</w:t>
      </w:r>
    </w:p>
    <w:p>
      <w:pPr>
        <w:pStyle w:val="7"/>
        <w:spacing w:before="0" w:beforeAutospacing="0" w:after="0" w:afterAutospacing="0" w:line="336" w:lineRule="auto"/>
        <w:ind w:firstLine="480" w:firstLineChars="200"/>
        <w:rPr>
          <w:color w:val="auto"/>
        </w:rPr>
      </w:pPr>
      <w:r>
        <w:rPr>
          <w:rFonts w:hint="eastAsia"/>
          <w:color w:val="auto"/>
        </w:rPr>
        <w:t>（3）乙方应当自行完成本项目验收所要求的</w:t>
      </w:r>
      <w:r>
        <w:rPr>
          <w:rFonts w:hint="eastAsia"/>
          <w:bCs/>
          <w:color w:val="auto"/>
        </w:rPr>
        <w:t>检(监)测业务</w:t>
      </w:r>
      <w:r>
        <w:rPr>
          <w:rFonts w:hint="eastAsia"/>
          <w:color w:val="auto"/>
        </w:rPr>
        <w:t>，并在保证所有检(监)测成果符合规范要求、有效前提下，经甲方同意，可以依法将特殊专业检(监)测业务交由有相关专业检(监)测资质的单位承担；或由甲方按照相关法律法规另行委托，费用在乙方合同价中开支。</w:t>
      </w:r>
    </w:p>
    <w:p>
      <w:pPr>
        <w:pStyle w:val="7"/>
        <w:spacing w:before="0" w:beforeAutospacing="0" w:after="0" w:afterAutospacing="0"/>
        <w:ind w:firstLine="480" w:firstLineChars="200"/>
        <w:rPr>
          <w:color w:val="auto"/>
        </w:rPr>
      </w:pPr>
      <w:r>
        <w:rPr>
          <w:rFonts w:hint="eastAsia"/>
          <w:color w:val="auto"/>
        </w:rPr>
        <w:t>3．合同价款的支付方式如下：</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rPr>
        <w:t>本合同不设预付款。</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（2）本合同按季度进行支付进度款。本季度支付上一季度的服务费。</w:t>
      </w:r>
      <w:r>
        <w:rPr>
          <w:rFonts w:hint="eastAsia" w:ascii="宋体" w:hAnsi="宋体" w:cs="宋体"/>
          <w:color w:val="auto"/>
          <w:kern w:val="0"/>
          <w:sz w:val="24"/>
          <w:szCs w:val="24"/>
        </w:rPr>
        <w:t>乙方每季度将上季度完成的服务计量资料（计量资料应包含批准的检(监)测实施方案、材料和工程设备进场记录、验收单、检(监)测清单、检(监)测报告签收表等）提交监理单位、造价咨询单位审核。审核后报送甲方，甲方在收到经监理单位、造价咨询单位审核的计量资料后15个工作日内复核</w:t>
      </w:r>
      <w:r>
        <w:rPr>
          <w:rFonts w:hint="eastAsia" w:ascii="宋体" w:hAnsi="宋体" w:cs="宋体"/>
          <w:color w:val="auto"/>
          <w:kern w:val="0"/>
          <w:sz w:val="24"/>
          <w:szCs w:val="24"/>
        </w:rPr>
        <w:t>完成并支付乙方已完成服务费的80%。</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w:t>
      </w:r>
      <w:r>
        <w:rPr>
          <w:rFonts w:hint="eastAsia" w:ascii="宋体" w:hAnsi="宋体" w:cs="宋体"/>
          <w:color w:val="auto"/>
          <w:kern w:val="0"/>
          <w:sz w:val="24"/>
          <w:szCs w:val="24"/>
        </w:rPr>
        <w:t>合同支付到合同总价的90%后暂停支付，乙方不得因暂停支付影响检(监)测工作的继续实施。双方协商签订补充协议后支付；</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（4）乙方完成本合同约定的全部内容，并提交全部技术成果报告后经监理单位、造价咨询单位审核确认后，提交完整结算资料经甲方确认后方可请款，甲方应当于乙方请款后28天内一次支付剩余结算余款。</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（5）检(监)测数量由乙方、监理单位、甲方共同以书面方式确定，项目结算时按确认后的实际数量乘以合同单价作为合同的结算总价。</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（6）支付进度款和结算款时，乙方需提交真实、合法、等额、有效的增值税专用发票及符合甲方要求的相关请款资料，方可请款，否则甲方有权拒绝付款且不承担延迟付款的责任。</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（7）乙方应清楚明白本项目工程款的拨付程序，不得以非甲方原因造成的工程款支付拖延向甲方要求计付拖延工程款期间的利息，及因此导致的其它损失。</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5、履约担保：</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（1）本合同履约保证金为合同总价的10%，由乙方在签订本合同后30天内一次性提供。</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履约担保应采用银行保函形式，乙方按招标文件载明的格式向甲方提交由在中华人民共和国注册且营业地点在广州市行政辖区内的银行开出的担保金额为合同价款10%的无条件《履约银行保函》原件。担保形式选择中国工商银行、中国建设银行、中国银行、中国农业银行四大银行保函之一。因工程项目工期延长或发生延误时，履约保函的有效期必须延长，而相应的费用由乙方自行承担。</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履约保函的范围为乙方按合同约定应向甲方履行的全部债务，包括但不限于乙方在投标时所承诺投入的人力资源、仪器设备、服务职责、服务质量、服务期、未按时足额缴纳的违约金及按期支付工人劳务工资等。</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乙方提交的履约银行保函是对本合同约定的乙方的全部义务（包括但不限于承包人违约后应支付的违约金和赔偿金）的担保，乙方的任何一次不履行或不完全履行合同义务的行为，甲方均有权直接向出函银行提出索赔。</w:t>
      </w:r>
    </w:p>
    <w:p>
      <w:pPr>
        <w:spacing w:line="360" w:lineRule="auto"/>
        <w:ind w:firstLine="480" w:firstLineChars="200"/>
        <w:jc w:val="left"/>
        <w:rPr>
          <w:rFonts w:ascii="Sylfaen" w:hAnsi="Sylfaen" w:eastAsia="仿宋_GB2312"/>
          <w:color w:val="auto"/>
          <w:kern w:val="0"/>
          <w:sz w:val="28"/>
          <w:szCs w:val="28"/>
        </w:rPr>
      </w:pPr>
      <w:r>
        <w:rPr>
          <w:rFonts w:hint="eastAsia" w:ascii="宋体" w:hAnsi="宋体" w:cs="宋体"/>
          <w:color w:val="auto"/>
          <w:kern w:val="0"/>
          <w:sz w:val="24"/>
          <w:szCs w:val="24"/>
        </w:rPr>
        <w:t>（5）乙方不履行或不完全履行合同义务的行为导致甲方依据履约银行保函向银行索赔履约银行保函金额的一部分或者全部的，乙方必须在甲方规定的时间内补充提交履约银行保函，使得本合同履行期间有效的履约银行保函金额等于乙方第一次提交的履约银行保函金额。</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6）履约保函期限和退还：履约担保的有效期是从本合同生效之日起至乙方向甲方提交成果报告并验收合格，本合同双方均履行完毕全部义务且结清全部费用（及所有的索赔获得赔偿）后的一个月内，由甲方将此保函无息退还给乙方。</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（7）乙方未按合同约定提交履约保函的，甲方有权待乙方提交履约保函且履约保函在有效期内才向乙方支付款项。</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（8）担保内容、方式和责任等事项的约定：见本履约银行保函的内容。如服务周期发生延长或延误时，履约保函的有效期必须延长，而相应的费用由乙方自行承担。</w:t>
      </w:r>
    </w:p>
    <w:p>
      <w:pPr>
        <w:spacing w:line="360" w:lineRule="auto"/>
        <w:ind w:firstLine="480" w:firstLineChars="200"/>
        <w:jc w:val="left"/>
        <w:rPr>
          <w:rFonts w:ascii="宋体" w:hAnsi="宋体"/>
          <w:b/>
          <w:snapToGrid w:val="0"/>
          <w:color w:val="auto"/>
          <w:kern w:val="0"/>
          <w:sz w:val="24"/>
        </w:rPr>
      </w:pPr>
      <w:r>
        <w:rPr>
          <w:rFonts w:hint="eastAsia" w:ascii="宋体" w:hAnsi="宋体" w:cs="宋体"/>
          <w:color w:val="auto"/>
          <w:kern w:val="0"/>
          <w:sz w:val="24"/>
          <w:szCs w:val="24"/>
        </w:rPr>
        <w:t>（9）乙方提供的履约保函的银行，需在广州市内有营业点。</w:t>
      </w:r>
    </w:p>
    <w:p>
      <w:pPr>
        <w:pStyle w:val="22"/>
        <w:rPr>
          <w:color w:val="auto"/>
        </w:rPr>
      </w:pPr>
    </w:p>
    <w:p>
      <w:pPr>
        <w:adjustRightInd w:val="0"/>
        <w:snapToGrid w:val="0"/>
        <w:spacing w:line="5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六、甲方开票信息为：</w:t>
      </w:r>
    </w:p>
    <w:p>
      <w:pPr>
        <w:adjustRightInd w:val="0"/>
        <w:snapToGrid w:val="0"/>
        <w:spacing w:line="5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名称：</w:t>
      </w:r>
    </w:p>
    <w:p>
      <w:pPr>
        <w:adjustRightInd w:val="0"/>
        <w:snapToGrid w:val="0"/>
        <w:spacing w:line="5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地址、电话：</w:t>
      </w:r>
    </w:p>
    <w:p>
      <w:pPr>
        <w:adjustRightInd w:val="0"/>
        <w:snapToGrid w:val="0"/>
        <w:spacing w:line="5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开户银行：</w:t>
      </w:r>
    </w:p>
    <w:p>
      <w:pPr>
        <w:adjustRightInd w:val="0"/>
        <w:snapToGrid w:val="0"/>
        <w:spacing w:line="5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纳税识别号：</w:t>
      </w:r>
    </w:p>
    <w:p>
      <w:pPr>
        <w:adjustRightInd w:val="0"/>
        <w:snapToGrid w:val="0"/>
        <w:spacing w:line="540" w:lineRule="exact"/>
        <w:ind w:firstLine="480" w:firstLineChars="200"/>
        <w:rPr>
          <w:rFonts w:ascii="宋体" w:hAnsi="宋体"/>
          <w:color w:val="auto"/>
          <w:sz w:val="24"/>
          <w:u w:val="single"/>
        </w:rPr>
      </w:pPr>
      <w:r>
        <w:rPr>
          <w:rFonts w:hint="eastAsia" w:ascii="宋体" w:hAnsi="宋体" w:cs="宋体"/>
          <w:color w:val="auto"/>
          <w:kern w:val="0"/>
          <w:sz w:val="24"/>
          <w:szCs w:val="24"/>
        </w:rPr>
        <w:t>七、乙方收款账号为：</w:t>
      </w:r>
    </w:p>
    <w:p>
      <w:pPr>
        <w:adjustRightInd w:val="0"/>
        <w:snapToGrid w:val="0"/>
        <w:spacing w:line="5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户名：</w:t>
      </w:r>
    </w:p>
    <w:p>
      <w:pPr>
        <w:adjustRightInd w:val="0"/>
        <w:snapToGrid w:val="0"/>
        <w:spacing w:line="5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账号：</w:t>
      </w:r>
    </w:p>
    <w:p>
      <w:pPr>
        <w:adjustRightInd w:val="0"/>
        <w:snapToGrid w:val="0"/>
        <w:spacing w:line="5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开户银行：</w:t>
      </w:r>
    </w:p>
    <w:p>
      <w:pPr>
        <w:spacing w:line="520" w:lineRule="exact"/>
        <w:ind w:firstLine="480" w:firstLineChars="200"/>
        <w:rPr>
          <w:rFonts w:ascii="宋体" w:hAnsi="宋体"/>
          <w:b/>
          <w:bCs/>
          <w:color w:val="auto"/>
          <w:sz w:val="24"/>
          <w:u w:val="single"/>
        </w:rPr>
      </w:pPr>
      <w:r>
        <w:rPr>
          <w:rFonts w:hint="eastAsia" w:ascii="宋体" w:hAnsi="宋体" w:cs="宋体"/>
          <w:color w:val="auto"/>
          <w:kern w:val="0"/>
          <w:sz w:val="24"/>
          <w:szCs w:val="24"/>
        </w:rPr>
        <w:t>纳税识别号</w:t>
      </w:r>
      <w:r>
        <w:rPr>
          <w:rFonts w:hint="eastAsia" w:ascii="宋体" w:hAnsi="宋体"/>
          <w:b/>
          <w:bCs/>
          <w:color w:val="auto"/>
          <w:sz w:val="24"/>
        </w:rPr>
        <w:t>：</w:t>
      </w:r>
    </w:p>
    <w:p>
      <w:pPr>
        <w:pStyle w:val="22"/>
        <w:rPr>
          <w:color w:val="auto"/>
        </w:rPr>
      </w:pPr>
    </w:p>
    <w:p>
      <w:pPr>
        <w:pStyle w:val="7"/>
        <w:spacing w:line="300" w:lineRule="auto"/>
        <w:rPr>
          <w:b/>
          <w:color w:val="auto"/>
          <w:sz w:val="28"/>
          <w:szCs w:val="28"/>
        </w:rPr>
      </w:pPr>
      <w:r>
        <w:rPr>
          <w:rFonts w:hint="eastAsia"/>
          <w:b/>
          <w:color w:val="auto"/>
          <w:sz w:val="28"/>
          <w:szCs w:val="28"/>
        </w:rPr>
        <w:t>第八条项目联系人</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在本合同有效期内，甲方指定为甲方项目联系人，乙方指定为乙方项目联系人。项目联系人承担以下责任：</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1.按时向本方提醒本方应尽的责任和义务；</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2.按时向对方提醒对方应尽的责任和义务。</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一方变更项目联系人的，应当及时以书面形式通知另一方。未及时通知并影响本合同履行或造成损失的，应承担相应的责任。</w:t>
      </w:r>
    </w:p>
    <w:p>
      <w:pPr>
        <w:pStyle w:val="7"/>
        <w:spacing w:line="324" w:lineRule="auto"/>
        <w:rPr>
          <w:b/>
          <w:color w:val="auto"/>
          <w:sz w:val="28"/>
          <w:szCs w:val="28"/>
        </w:rPr>
      </w:pPr>
      <w:r>
        <w:rPr>
          <w:rFonts w:hint="eastAsia"/>
          <w:b/>
          <w:color w:val="auto"/>
          <w:sz w:val="28"/>
          <w:szCs w:val="28"/>
        </w:rPr>
        <w:t>第九条知识产权</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1.在本合同有效期内，甲方利用乙方提交的技术服务工作成果所完成的新的技术成果，归甲方所有。</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2.在本合同有效期内，乙方利用甲方提供的技术资料和工作条件所完成的新的技术成果，归甲方所有。</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3.出具的技术服务成果报告的著作权属于甲方。未经甲方书面同意，乙方或乙方自行委托的检(监)测单位不得将技术服务成果报告或甲方提供的其他资料向本合同外的第三方披露或者用于本合同之外的其他目的。</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4.乙方为履行本合同而使用或交付甲方的任何含有知识产权的物品、程序或资料，所有与该知识产权相关的费用（含但不限于使用费）视为已包括在合同总价内，如需向第三人支付，均由乙方负责支付，乙方侵犯或涉嫌侵犯任何物品、程序或资料的知识产权，及由此导致甲方持有或使用该类物品、程序或资料构成侵犯或涉嫌侵犯他人的知识产权，因此发生经济纠纷或法律纠纷，一切责任及后果由乙方负责和承担，乙方须全额赔偿因此给甲方造成的所有损失。</w:t>
      </w:r>
    </w:p>
    <w:p>
      <w:pPr>
        <w:adjustRightInd w:val="0"/>
        <w:snapToGrid w:val="0"/>
        <w:spacing w:line="360" w:lineRule="auto"/>
        <w:ind w:firstLine="562" w:firstLineChars="200"/>
        <w:rPr>
          <w:rFonts w:ascii="宋体" w:hAnsi="宋体"/>
          <w:b/>
          <w:color w:val="auto"/>
          <w:sz w:val="28"/>
          <w:szCs w:val="28"/>
        </w:rPr>
      </w:pPr>
    </w:p>
    <w:p>
      <w:pPr>
        <w:adjustRightInd w:val="0"/>
        <w:snapToGrid w:val="0"/>
        <w:spacing w:line="360" w:lineRule="auto"/>
        <w:rPr>
          <w:rFonts w:ascii="宋体" w:hAnsi="宋体"/>
          <w:b/>
          <w:color w:val="auto"/>
          <w:sz w:val="28"/>
          <w:szCs w:val="28"/>
        </w:rPr>
      </w:pPr>
      <w:r>
        <w:rPr>
          <w:rFonts w:hint="eastAsia" w:ascii="宋体" w:hAnsi="宋体"/>
          <w:b/>
          <w:color w:val="auto"/>
          <w:sz w:val="28"/>
          <w:szCs w:val="28"/>
        </w:rPr>
        <w:t>第十条双方权利和义务</w:t>
      </w:r>
    </w:p>
    <w:p>
      <w:pPr>
        <w:pStyle w:val="7"/>
        <w:adjustRightInd w:val="0"/>
        <w:rPr>
          <w:snapToGrid w:val="0"/>
          <w:color w:val="auto"/>
        </w:rPr>
      </w:pPr>
      <w:r>
        <w:rPr>
          <w:rFonts w:hint="eastAsia"/>
          <w:snapToGrid w:val="0"/>
          <w:color w:val="auto"/>
        </w:rPr>
        <w:t>（一）甲方的权利和义务</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1.甲方有权对乙方编制的本工程检(监)测实施方案进行审核和批准。</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2.乙方人员不按合同履行职责的，甲方有权要求乙方更换人员，如乙方不更换或更换后的人员仍不按本合同履行职责，甲方有权单方面解除本合同并要求乙方承担相应的赔偿责任。</w:t>
      </w:r>
    </w:p>
    <w:p>
      <w:pPr>
        <w:tabs>
          <w:tab w:val="left" w:pos="420"/>
        </w:tabs>
        <w:spacing w:line="360" w:lineRule="auto"/>
        <w:ind w:left="-17" w:leftChars="-8" w:firstLine="482" w:firstLineChars="201"/>
        <w:rPr>
          <w:rFonts w:ascii="宋体" w:hAnsi="宋体"/>
          <w:bCs/>
          <w:color w:val="auto"/>
          <w:sz w:val="24"/>
          <w:szCs w:val="24"/>
        </w:rPr>
      </w:pPr>
      <w:r>
        <w:rPr>
          <w:rFonts w:hint="eastAsia" w:ascii="宋体" w:hAnsi="宋体"/>
          <w:bCs/>
          <w:color w:val="auto"/>
          <w:sz w:val="24"/>
          <w:szCs w:val="24"/>
        </w:rPr>
        <w:t>3.</w:t>
      </w:r>
      <w:r>
        <w:rPr>
          <w:rFonts w:hint="eastAsia" w:ascii="宋体" w:hAnsi="宋体"/>
          <w:color w:val="auto"/>
          <w:sz w:val="24"/>
          <w:szCs w:val="22"/>
        </w:rPr>
        <w:t>在乙方进场前</w:t>
      </w:r>
      <w:r>
        <w:rPr>
          <w:rFonts w:hint="eastAsia" w:ascii="宋体" w:hAnsi="宋体"/>
          <w:bCs/>
          <w:color w:val="auto"/>
          <w:sz w:val="24"/>
          <w:szCs w:val="24"/>
        </w:rPr>
        <w:t>向乙方提供开展检(监)测工作所必须的设计文件、工程资料、技术资料、岩土工程勘察资料、施工等</w:t>
      </w:r>
      <w:r>
        <w:rPr>
          <w:rFonts w:ascii="宋体" w:hAnsi="宋体"/>
          <w:bCs/>
          <w:color w:val="auto"/>
          <w:sz w:val="24"/>
          <w:szCs w:val="24"/>
        </w:rPr>
        <w:t>相关</w:t>
      </w:r>
      <w:r>
        <w:rPr>
          <w:rFonts w:hint="eastAsia" w:ascii="宋体" w:hAnsi="宋体"/>
          <w:bCs/>
          <w:color w:val="auto"/>
          <w:sz w:val="24"/>
          <w:szCs w:val="24"/>
        </w:rPr>
        <w:t>资料。乙方对监测有特别技术要求的，应提前以书面形式提出。</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4.甲方应在收到乙方书面提交并要求作出决定事宜的相关文件之日起5个工作日内作出书面答复。</w:t>
      </w:r>
    </w:p>
    <w:p>
      <w:pPr>
        <w:spacing w:line="360" w:lineRule="auto"/>
        <w:ind w:left="-29" w:leftChars="-14" w:firstLine="480" w:firstLineChars="200"/>
        <w:rPr>
          <w:rFonts w:ascii="宋体" w:hAnsi="宋体"/>
          <w:bCs/>
          <w:color w:val="auto"/>
          <w:sz w:val="24"/>
          <w:szCs w:val="24"/>
        </w:rPr>
      </w:pPr>
      <w:r>
        <w:rPr>
          <w:rFonts w:hint="eastAsia" w:ascii="宋体" w:hAnsi="宋体"/>
          <w:bCs/>
          <w:color w:val="auto"/>
          <w:sz w:val="24"/>
          <w:szCs w:val="24"/>
        </w:rPr>
        <w:t>5.甲方应协调</w:t>
      </w:r>
      <w:r>
        <w:rPr>
          <w:rFonts w:hint="eastAsia" w:ascii="宋体" w:hAnsi="宋体"/>
          <w:snapToGrid w:val="0"/>
          <w:color w:val="auto"/>
          <w:kern w:val="0"/>
          <w:sz w:val="24"/>
          <w:szCs w:val="24"/>
        </w:rPr>
        <w:t>乙方</w:t>
      </w:r>
      <w:r>
        <w:rPr>
          <w:rFonts w:hint="eastAsia" w:ascii="宋体" w:hAnsi="宋体"/>
          <w:bCs/>
          <w:color w:val="auto"/>
          <w:sz w:val="24"/>
          <w:szCs w:val="24"/>
        </w:rPr>
        <w:t>与现场各方关系，</w:t>
      </w:r>
      <w:r>
        <w:rPr>
          <w:rFonts w:hint="eastAsia" w:ascii="宋体" w:hAnsi="宋体"/>
          <w:color w:val="auto"/>
          <w:sz w:val="24"/>
          <w:szCs w:val="24"/>
        </w:rPr>
        <w:t>负责提供检(监)测的场地</w:t>
      </w:r>
      <w:r>
        <w:rPr>
          <w:rFonts w:hint="eastAsia" w:ascii="宋体" w:hAnsi="宋体"/>
          <w:bCs/>
          <w:color w:val="auto"/>
          <w:sz w:val="24"/>
          <w:szCs w:val="24"/>
        </w:rPr>
        <w:t>；告知驻场单位（监理单位、总承包施工单位、专业工程施工单位）对检测项目的检测部位及位置做好前期准备工作。</w:t>
      </w:r>
    </w:p>
    <w:p>
      <w:pPr>
        <w:spacing w:line="360" w:lineRule="auto"/>
        <w:ind w:firstLine="480" w:firstLineChars="200"/>
        <w:rPr>
          <w:rFonts w:ascii="宋体" w:hAnsi="宋体"/>
          <w:color w:val="auto"/>
          <w:sz w:val="24"/>
          <w:szCs w:val="24"/>
        </w:rPr>
      </w:pPr>
      <w:r>
        <w:rPr>
          <w:rFonts w:hint="eastAsia" w:ascii="宋体" w:hAnsi="宋体"/>
          <w:bCs/>
          <w:color w:val="auto"/>
          <w:sz w:val="24"/>
          <w:szCs w:val="24"/>
        </w:rPr>
        <w:t>6.</w:t>
      </w:r>
      <w:r>
        <w:rPr>
          <w:rFonts w:hint="eastAsia" w:ascii="宋体" w:hAnsi="宋体"/>
          <w:color w:val="auto"/>
          <w:sz w:val="24"/>
          <w:szCs w:val="24"/>
        </w:rPr>
        <w:t>派员参与检(监)测的初验、各种验收和签证工作，并提供相关的协调配合。</w:t>
      </w:r>
    </w:p>
    <w:p>
      <w:pPr>
        <w:spacing w:line="360" w:lineRule="auto"/>
        <w:ind w:left="-29" w:leftChars="-14" w:firstLine="480" w:firstLineChars="200"/>
        <w:rPr>
          <w:rFonts w:ascii="宋体" w:hAnsi="宋体"/>
          <w:bCs/>
          <w:color w:val="auto"/>
          <w:sz w:val="24"/>
          <w:szCs w:val="24"/>
        </w:rPr>
      </w:pPr>
      <w:r>
        <w:rPr>
          <w:rFonts w:hint="eastAsia" w:ascii="宋体" w:hAnsi="宋体"/>
          <w:bCs/>
          <w:color w:val="auto"/>
          <w:sz w:val="24"/>
          <w:szCs w:val="24"/>
        </w:rPr>
        <w:t>7.有权指定专人或现场监理工程师对乙方的现场检(监)测作旁站式监督。</w:t>
      </w:r>
    </w:p>
    <w:p>
      <w:pPr>
        <w:spacing w:line="360" w:lineRule="auto"/>
        <w:ind w:left="-29" w:leftChars="-14" w:firstLine="480" w:firstLineChars="200"/>
        <w:rPr>
          <w:rFonts w:ascii="宋体" w:hAnsi="宋体"/>
          <w:bCs/>
          <w:color w:val="auto"/>
          <w:sz w:val="24"/>
          <w:szCs w:val="24"/>
        </w:rPr>
      </w:pPr>
      <w:r>
        <w:rPr>
          <w:rFonts w:hint="eastAsia" w:ascii="宋体" w:hAnsi="宋体"/>
          <w:bCs/>
          <w:color w:val="auto"/>
          <w:sz w:val="24"/>
          <w:szCs w:val="24"/>
        </w:rPr>
        <w:t>8.负责提供以下的现场条件：负责协调现场，提供电源、水源接驳点各一个供乙方使用（水电使用费及其他相关费用由乙方自行承担）。</w:t>
      </w:r>
    </w:p>
    <w:p>
      <w:pPr>
        <w:spacing w:line="360" w:lineRule="auto"/>
        <w:ind w:left="-29" w:leftChars="-14" w:firstLine="480" w:firstLineChars="200"/>
        <w:rPr>
          <w:rFonts w:ascii="宋体" w:hAnsi="宋体"/>
          <w:bCs/>
          <w:color w:val="auto"/>
          <w:sz w:val="24"/>
          <w:szCs w:val="24"/>
        </w:rPr>
      </w:pPr>
      <w:r>
        <w:rPr>
          <w:rFonts w:hint="eastAsia" w:ascii="宋体" w:hAnsi="宋体"/>
          <w:bCs/>
          <w:color w:val="auto"/>
          <w:sz w:val="24"/>
          <w:szCs w:val="24"/>
        </w:rPr>
        <w:t>9.组织本工程技术服务成果的审查和验收，并对乙方工作量进行确认。</w:t>
      </w:r>
    </w:p>
    <w:p>
      <w:pPr>
        <w:spacing w:line="360" w:lineRule="auto"/>
        <w:ind w:left="-29" w:leftChars="-14" w:firstLine="480" w:firstLineChars="200"/>
        <w:rPr>
          <w:rFonts w:ascii="宋体" w:hAnsi="宋体"/>
          <w:bCs/>
          <w:color w:val="auto"/>
          <w:sz w:val="24"/>
          <w:szCs w:val="24"/>
        </w:rPr>
      </w:pPr>
      <w:r>
        <w:rPr>
          <w:rFonts w:hint="eastAsia" w:ascii="宋体" w:hAnsi="宋体"/>
          <w:bCs/>
          <w:color w:val="auto"/>
          <w:sz w:val="24"/>
          <w:szCs w:val="24"/>
        </w:rPr>
        <w:t>10.甲方应按本合同约定支付服务报酬。</w:t>
      </w:r>
    </w:p>
    <w:p>
      <w:pPr>
        <w:spacing w:line="360" w:lineRule="auto"/>
        <w:ind w:left="-29" w:leftChars="-14" w:firstLine="480"/>
        <w:rPr>
          <w:rFonts w:ascii="宋体" w:hAnsi="宋体"/>
          <w:bCs/>
          <w:color w:val="auto"/>
          <w:sz w:val="24"/>
          <w:szCs w:val="24"/>
        </w:rPr>
      </w:pPr>
      <w:r>
        <w:rPr>
          <w:rFonts w:hint="eastAsia" w:ascii="宋体" w:hAnsi="宋体"/>
          <w:bCs/>
          <w:color w:val="auto"/>
          <w:sz w:val="24"/>
          <w:szCs w:val="24"/>
        </w:rPr>
        <w:t>11甲方有权要求乙方参加本项目的相关会议或安排技术人员到现场解决相关问题。若乙方未经甲方同意不参加相关会议或不安排技术人员到现场解决相关问题的，构成违约，甲方有权按1000元/每人次要求乙方支付违约金，违约金可从进度款中直接扣除。</w:t>
      </w:r>
    </w:p>
    <w:p>
      <w:pPr>
        <w:spacing w:line="360" w:lineRule="auto"/>
        <w:ind w:left="-29" w:leftChars="-14" w:firstLine="480"/>
        <w:rPr>
          <w:rFonts w:ascii="宋体" w:hAnsi="宋体"/>
          <w:bCs/>
          <w:color w:val="auto"/>
          <w:sz w:val="24"/>
          <w:szCs w:val="24"/>
        </w:rPr>
      </w:pPr>
      <w:r>
        <w:rPr>
          <w:rFonts w:hint="eastAsia" w:ascii="宋体" w:hAnsi="宋体"/>
          <w:bCs/>
          <w:color w:val="auto"/>
          <w:sz w:val="24"/>
          <w:szCs w:val="24"/>
        </w:rPr>
        <w:t>12.甲方应向乙方提供与本合同检测业务有关的工程资料，并对其真实性、准确性、合规性负责。在本合同履行过程中，当发生变化时，甲方应及时向乙方更新有关资料。</w:t>
      </w:r>
    </w:p>
    <w:p>
      <w:pPr>
        <w:spacing w:line="360" w:lineRule="auto"/>
        <w:ind w:left="-29" w:leftChars="-14" w:firstLine="480"/>
        <w:rPr>
          <w:rFonts w:ascii="宋体" w:hAnsi="宋体"/>
          <w:bCs/>
          <w:color w:val="auto"/>
          <w:sz w:val="24"/>
          <w:szCs w:val="24"/>
        </w:rPr>
      </w:pPr>
      <w:r>
        <w:rPr>
          <w:rFonts w:hint="eastAsia" w:ascii="宋体" w:hAnsi="宋体"/>
          <w:bCs/>
          <w:color w:val="auto"/>
          <w:sz w:val="24"/>
          <w:szCs w:val="24"/>
        </w:rPr>
        <w:t>13.甲方应在检测前向乙方以书面形式明确检测要求（包括但不限于受检工程部位及数量、进度），必要时提供经质量安全监督部门批复的检测方案。对检测有特别技术要求的，也应以书面形式提出。</w:t>
      </w:r>
    </w:p>
    <w:p>
      <w:pPr>
        <w:spacing w:line="360" w:lineRule="auto"/>
        <w:ind w:left="-29" w:leftChars="-14" w:firstLine="480"/>
        <w:rPr>
          <w:rFonts w:ascii="宋体" w:hAnsi="宋体"/>
          <w:bCs/>
          <w:color w:val="auto"/>
          <w:sz w:val="24"/>
          <w:szCs w:val="24"/>
        </w:rPr>
      </w:pPr>
      <w:r>
        <w:rPr>
          <w:rFonts w:hint="eastAsia" w:ascii="宋体" w:hAnsi="宋体"/>
          <w:bCs/>
          <w:color w:val="auto"/>
          <w:sz w:val="24"/>
          <w:szCs w:val="24"/>
        </w:rPr>
        <w:t>14.实施见证送检、监督抽检或执法抽检时，甲方应提供相应检测的有关资料，指派专人填写委托单和送检样品送至乙方检测场所并承担相应运输费用，对样品的真实性负责。当样品信息填写有误或发生变更时，应及时以书面形式通知乙方。</w:t>
      </w:r>
    </w:p>
    <w:p>
      <w:pPr>
        <w:pStyle w:val="2"/>
        <w:rPr>
          <w:color w:val="auto"/>
        </w:rPr>
      </w:pPr>
      <w:r>
        <w:rPr>
          <w:rFonts w:hint="eastAsia" w:ascii="宋体" w:hAnsi="宋体"/>
          <w:bCs/>
          <w:color w:val="auto"/>
          <w:kern w:val="2"/>
          <w:sz w:val="24"/>
        </w:rPr>
        <w:t>15.当存在检测试样抽取、制作时，甲方应对检测试样真实性、唯一性及完整性负责。</w:t>
      </w:r>
    </w:p>
    <w:p>
      <w:pPr>
        <w:pStyle w:val="7"/>
        <w:adjustRightInd w:val="0"/>
        <w:rPr>
          <w:snapToGrid w:val="0"/>
          <w:color w:val="auto"/>
        </w:rPr>
      </w:pPr>
      <w:r>
        <w:rPr>
          <w:rFonts w:hint="eastAsia"/>
          <w:snapToGrid w:val="0"/>
          <w:color w:val="auto"/>
        </w:rPr>
        <w:t>（二）乙方的权利、义务和责任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乙方必须认真贯彻国家和上级主管部门颁发的有关安全生产法规、规定和条例，在服务期间必须严格遵守和执行甲方及监理工程师对安全生产、消防、治安管理的各项规定，接受甲方及有关行业主管部门的监督、检查和指导。</w:t>
      </w:r>
    </w:p>
    <w:p>
      <w:pPr>
        <w:spacing w:line="360" w:lineRule="auto"/>
        <w:ind w:firstLine="480" w:firstLineChars="200"/>
        <w:rPr>
          <w:rFonts w:ascii="宋体" w:hAnsi="宋体"/>
          <w:bCs/>
          <w:color w:val="auto"/>
          <w:sz w:val="24"/>
          <w:szCs w:val="24"/>
        </w:rPr>
      </w:pPr>
      <w:r>
        <w:rPr>
          <w:rFonts w:hint="eastAsia" w:ascii="宋体" w:hAnsi="宋体"/>
          <w:color w:val="auto"/>
          <w:sz w:val="24"/>
          <w:szCs w:val="24"/>
        </w:rPr>
        <w:t>2.合同生效后三天内，乙方应按服务内容提交本工程</w:t>
      </w:r>
      <w:r>
        <w:rPr>
          <w:rFonts w:hint="eastAsia" w:ascii="宋体" w:hAnsi="宋体"/>
          <w:bCs/>
          <w:color w:val="auto"/>
          <w:sz w:val="24"/>
          <w:szCs w:val="24"/>
        </w:rPr>
        <w:t>切实可行有效</w:t>
      </w:r>
      <w:r>
        <w:rPr>
          <w:rFonts w:hint="eastAsia" w:ascii="宋体" w:hAnsi="宋体"/>
          <w:color w:val="auto"/>
          <w:sz w:val="24"/>
          <w:szCs w:val="24"/>
        </w:rPr>
        <w:t>的《检(监)测实施方案》。</w:t>
      </w:r>
      <w:r>
        <w:rPr>
          <w:rFonts w:hint="eastAsia" w:ascii="宋体" w:hAnsi="宋体"/>
          <w:color w:val="auto"/>
          <w:sz w:val="24"/>
          <w:szCs w:val="24"/>
        </w:rPr>
        <w:t>该实施方案经甲方、监理单位批准后，方可实施。</w:t>
      </w:r>
      <w:r>
        <w:rPr>
          <w:rFonts w:hint="eastAsia" w:ascii="宋体" w:hAnsi="宋体"/>
          <w:bCs/>
          <w:color w:val="auto"/>
          <w:sz w:val="24"/>
          <w:szCs w:val="24"/>
        </w:rPr>
        <w:t>并于甲方和监理单位批准后3日内按照有关规定送质量监督部门备案，甲方以此具体考核乙方的服务工作。如甲方要求乙方对实施方案进行合理修改调整，乙方必须在收到甲方修改调整意见之日起3个工作日内，按甲方要求完成修改调整并报甲方审核。</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3.检(监)测技术标准按国家及相关政府的强制性规范执行。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4.乙方提供检(监)测的设备和仪器，</w:t>
      </w:r>
      <w:r>
        <w:rPr>
          <w:rFonts w:hint="eastAsia" w:ascii="宋体" w:hAnsi="宋体"/>
          <w:bCs/>
          <w:color w:val="auto"/>
          <w:sz w:val="24"/>
          <w:szCs w:val="24"/>
        </w:rPr>
        <w:t>负责仪器设备安装及场内中转、进退场。保证计量器具在计量检定有效周期内。</w:t>
      </w:r>
      <w:r>
        <w:rPr>
          <w:rFonts w:hint="eastAsia" w:ascii="宋体" w:hAnsi="宋体"/>
          <w:color w:val="auto"/>
          <w:sz w:val="24"/>
          <w:szCs w:val="24"/>
        </w:rPr>
        <w:t>派专人负责现场检(监)测工作。</w:t>
      </w:r>
      <w:r>
        <w:rPr>
          <w:rFonts w:hint="eastAsia" w:ascii="宋体" w:hAnsi="宋体"/>
          <w:bCs/>
          <w:color w:val="auto"/>
          <w:sz w:val="24"/>
          <w:szCs w:val="24"/>
        </w:rPr>
        <w:t>保证检(监)测人员具备检(监)测资格，保证持有的检(监)测资质满足地方管理要求。</w:t>
      </w:r>
      <w:r>
        <w:rPr>
          <w:rFonts w:hint="eastAsia" w:ascii="宋体" w:hAnsi="宋体"/>
          <w:color w:val="auto"/>
          <w:sz w:val="24"/>
          <w:szCs w:val="24"/>
        </w:rPr>
        <w:t>委派现场代表负责服务期间的全面管理。该现场代表须持有与本检(监)测项目相适应的资格证书，如变更现场代表应事先经甲方书面同意。检(监)测工作开始前三天内，乙方应将检(监)测工作的主要负责人报甲方确认、备案，如乙方更换检(监)测工作主要负责人，应事先征得甲方的书面同意。</w:t>
      </w:r>
      <w:r>
        <w:rPr>
          <w:rFonts w:hint="eastAsia" w:ascii="宋体" w:hAnsi="宋体"/>
          <w:bCs/>
          <w:color w:val="auto"/>
          <w:sz w:val="24"/>
          <w:szCs w:val="24"/>
        </w:rPr>
        <w:t>乙方必须保证后任人员的资质、资历、业绩、实际工作能力不低于前任人员的素质。人员更换后，后任继续行使合同文件约定的前任的职权，履行前任的义务。</w:t>
      </w:r>
      <w:r>
        <w:rPr>
          <w:rFonts w:hint="eastAsia" w:ascii="宋体" w:hAnsi="宋体"/>
          <w:bCs/>
          <w:color w:val="auto"/>
          <w:sz w:val="24"/>
          <w:szCs w:val="24"/>
        </w:rPr>
        <w:t>乙方未经甲方同意擅自更换项目负责人（技术负责人）或检(监)测项目主要人员的，或经甲方同意更换的人员工作能力不及被更换者的，因此给甲方造成损失的，除按照本合同条款第十一条的有关约定承担违约责任外，还应向甲方支付合同价的</w:t>
      </w:r>
      <w:r>
        <w:rPr>
          <w:rFonts w:ascii="宋体" w:hAnsi="宋体"/>
          <w:bCs/>
          <w:color w:val="auto"/>
          <w:sz w:val="24"/>
          <w:szCs w:val="24"/>
        </w:rPr>
        <w:t>10%</w:t>
      </w:r>
      <w:r>
        <w:rPr>
          <w:rFonts w:hint="eastAsia" w:ascii="宋体" w:hAnsi="宋体"/>
          <w:bCs/>
          <w:color w:val="auto"/>
          <w:sz w:val="24"/>
          <w:szCs w:val="24"/>
        </w:rPr>
        <w:t>作为的人员违约金。</w:t>
      </w:r>
      <w:r>
        <w:rPr>
          <w:rFonts w:hint="eastAsia" w:ascii="宋体" w:hAnsi="宋体"/>
          <w:color w:val="auto"/>
          <w:sz w:val="24"/>
          <w:szCs w:val="24"/>
        </w:rPr>
        <w:t>现场检(监)测人员、设备、仪器由乙方统一协调管理，安全责任由乙方承担。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5.乙方应当具备中华人民共和国政府认可的与本合同检(监)测项目相应的资质证书。如因资质证书问题造成甲方损失的，乙方应当据实赔偿损失。</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6.乙方应安全文明施工，合理安全使用水、电等设施，负责作好防止扰民的措施，遵守甲方施工现场管理的有关规定，否则引起的一切责任由乙方承担。</w:t>
      </w:r>
    </w:p>
    <w:p>
      <w:pPr>
        <w:spacing w:line="360" w:lineRule="auto"/>
        <w:ind w:firstLine="480" w:firstLineChars="200"/>
        <w:rPr>
          <w:rFonts w:ascii="宋体" w:hAnsi="宋体"/>
          <w:color w:val="auto"/>
          <w:sz w:val="24"/>
          <w:szCs w:val="24"/>
        </w:rPr>
      </w:pPr>
      <w:r>
        <w:rPr>
          <w:rFonts w:hint="eastAsia" w:ascii="宋体" w:hAnsi="宋体"/>
          <w:bCs/>
          <w:color w:val="auto"/>
          <w:sz w:val="24"/>
          <w:szCs w:val="24"/>
        </w:rPr>
        <w:t>7.乙方应按时提交各阶段的技术服务成果报告并对报告数据的真实性、可靠性负责。</w:t>
      </w:r>
      <w:r>
        <w:rPr>
          <w:rFonts w:hint="eastAsia" w:ascii="宋体" w:hAnsi="宋体"/>
          <w:color w:val="auto"/>
          <w:sz w:val="24"/>
          <w:szCs w:val="24"/>
        </w:rPr>
        <w:t>乙方对数据及提交报告的真实性、准确性、完整性和公正性负责；</w:t>
      </w:r>
      <w:r>
        <w:rPr>
          <w:rFonts w:hint="eastAsia" w:ascii="宋体" w:hAnsi="宋体"/>
          <w:bCs/>
          <w:color w:val="auto"/>
          <w:sz w:val="24"/>
          <w:szCs w:val="24"/>
        </w:rPr>
        <w:t>技术服务成果报告</w:t>
      </w:r>
      <w:r>
        <w:rPr>
          <w:rFonts w:hint="eastAsia" w:ascii="宋体" w:hAnsi="宋体"/>
          <w:color w:val="auto"/>
          <w:sz w:val="24"/>
          <w:szCs w:val="24"/>
        </w:rPr>
        <w:t>必须对整体工程质量进行评价，结论应明确；对存在的勘测、设计施工质量问题必须明确指出。</w:t>
      </w:r>
      <w:r>
        <w:rPr>
          <w:rFonts w:hint="eastAsia" w:ascii="宋体" w:hAnsi="宋体"/>
          <w:color w:val="auto"/>
          <w:sz w:val="24"/>
          <w:szCs w:val="24"/>
        </w:rPr>
        <w:t>乙方必须密切配合甲方进行工程验收。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8.乙方按照国家和省市有关规定及本合同要求进行检(监)测，对各项技术成果负责。</w:t>
      </w:r>
      <w:r>
        <w:rPr>
          <w:rFonts w:hint="eastAsia" w:ascii="宋体" w:hAnsi="宋体"/>
          <w:color w:val="auto"/>
          <w:sz w:val="24"/>
          <w:szCs w:val="24"/>
        </w:rPr>
        <w:t>负责通过政府主管部门审查并备案，负责为满足检(监)测而进行的一切之现场处理工作等。若检(监)测数据合格但不被政府主管部门认可，因此产生的直至被主管部门审核通过的所有费用（如加倍检测、重新检测等）由乙方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9.如因乙方工作失误引起返工、停工或造成工程损失，乙方应继续完善检（监）测工作，且甲方可视造成经济、工期和技术的损失大小，可以减少或不付检（监）测费，还有权要求乙方承担由此造成所有损失等额的赔偿金，且不免除乙方应承担的相应责任。</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10.乙方在检(监)测过程中若发现施工单位违反有关法律、法规、规范和工程建设强制性标准的行为，应及时向甲方报告。</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11.乙方应自行解决现场项目组的办公和生活用房、设施、配套水电，以及服务人员交通、通讯费等，由此发生的费用已包含在投标综合单价报价中。</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12.检(监)测过程中，如因场地条件、设计方案的变更，需增减检(监)测工程量或改变检(监)测手段的，乙方均应及时向甲方报告，并在甲方批准后方可实施。</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13.若因乙方的服务质量不合格或由于其他客观情况需要，甲方要求乙方进行复检时，乙方应无偿重新进行检测，由此发生的费由乙方承担。</w:t>
      </w:r>
    </w:p>
    <w:p>
      <w:pPr>
        <w:spacing w:line="360" w:lineRule="auto"/>
        <w:ind w:firstLine="480" w:firstLineChars="200"/>
        <w:rPr>
          <w:rFonts w:ascii="宋体" w:hAnsi="宋体"/>
          <w:b/>
          <w:color w:val="auto"/>
          <w:sz w:val="24"/>
          <w:szCs w:val="24"/>
        </w:rPr>
      </w:pPr>
      <w:r>
        <w:rPr>
          <w:rFonts w:hint="eastAsia" w:ascii="宋体" w:hAnsi="宋体"/>
          <w:bCs/>
          <w:color w:val="auto"/>
          <w:sz w:val="24"/>
          <w:szCs w:val="24"/>
        </w:rPr>
        <w:t>14.乙方需对现场设置的各类监测点做好明显的标识，设置完成后需对参建单位进行书面交底，并指派专人进行日常维护，如有损坏须及时恢复，确保监测成果连续、真实准确。</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15.对于甲方书面提交并要求作出决定的事宜，乙方应在收到之日起3个工作日内作出书面答复；对影响施工现场进度的事项应在24小时内作出具有明确处理意见的书面答复。</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16.乙方按时进行现场试验取样、提交技术服务成果报告，负责资料、报告的打印、复印、装订、装箱等工作。</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17.向甲方提供非驻场式的技术咨询、支持服务，包括参加本项目相关会议、安排技术人员到现场解决相关问题。</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18.应随时接受甲方、监理单位及质量安全监督部门的监督，为确保检(监)测结果的正确，任何人不得干预检(监)测结果。</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19.不向任何第三方泄露甲方的检(监)测结果。</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20.与工程所在行政区域的相关建设行政主管部门和监督部门进行检(监)测工作的协调，申报技术成果的审批。保证技术成果能够通过相关部门认可，确保不因检(监)测工作影响本工程项目的建设进度和竣工验收。</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21.保证检(监)测工作的客观、独立、公正，不得与施工单位串通将检(监)测不合格的工程出具合格检(监)测报告或修改检(监)测结论，损害甲方的利益，否则应按照本合同有关约定承担违约责任。</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22.对检(监)测过程中发现存在的质量问题，应当及时向甲方提出具体的处理意见和建议。</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23.监督部门对检(监)测结果提出异议时，</w:t>
      </w:r>
      <w:r>
        <w:rPr>
          <w:rFonts w:hint="eastAsia" w:ascii="宋体" w:hAnsi="宋体"/>
          <w:color w:val="auto"/>
          <w:sz w:val="24"/>
          <w:szCs w:val="24"/>
        </w:rPr>
        <w:t>乙方</w:t>
      </w:r>
      <w:r>
        <w:rPr>
          <w:rFonts w:hint="eastAsia" w:ascii="宋体" w:hAnsi="宋体"/>
          <w:bCs/>
          <w:color w:val="auto"/>
          <w:sz w:val="24"/>
          <w:szCs w:val="24"/>
        </w:rPr>
        <w:t>应无条件配合复检，由此产生的相关费用由乙方承担。</w:t>
      </w:r>
    </w:p>
    <w:p>
      <w:pPr>
        <w:spacing w:line="360" w:lineRule="auto"/>
        <w:ind w:firstLine="480" w:firstLineChars="200"/>
        <w:rPr>
          <w:rFonts w:ascii="宋体" w:hAnsi="宋体"/>
          <w:color w:val="auto"/>
          <w:sz w:val="24"/>
          <w:szCs w:val="24"/>
        </w:rPr>
      </w:pPr>
      <w:r>
        <w:rPr>
          <w:rFonts w:hint="eastAsia" w:ascii="宋体" w:hAnsi="宋体"/>
          <w:snapToGrid w:val="0"/>
          <w:color w:val="auto"/>
          <w:sz w:val="24"/>
          <w:szCs w:val="24"/>
        </w:rPr>
        <w:t>24.</w:t>
      </w:r>
      <w:r>
        <w:rPr>
          <w:rFonts w:hint="eastAsia" w:ascii="宋体" w:hAnsi="宋体"/>
          <w:color w:val="auto"/>
          <w:sz w:val="24"/>
          <w:szCs w:val="24"/>
        </w:rPr>
        <w:t>以上任何违约条款的执行并不免除乙方继续履约的义务和责任。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25.乙方应周密组织、精心测试，按甲方工期要求及时完成检(监)测工用、出具正式技术服务成果报告。</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26.乙方应提供进场进行检(监)测人员的名单（加盖公章）及身份证复印件给甲方备案，乙方的包括检(监)测人员在内的所有人员与甲方不存在任何形式的劳动关系，乙方须承担上述人员的工资、加班费、社保福利待遇及人身安全的全部责任。</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27.乙方应按照广州市新型冠状病毒肺炎疫情防控指挥部要求及施工现场的防疫要求，做好防疫和制定完善的工作方案和应急预案，配备足够的防疫设施和物资，乙方的人员须按甲方防疫要求提供核酸证明或疫苗接种记录，配合工地的防疫工作，做好自身的防疫工作并承担相应的费用。</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28.本合同有关条款规定</w:t>
      </w:r>
      <w:r>
        <w:rPr>
          <w:rFonts w:hint="eastAsia" w:ascii="宋体" w:hAnsi="宋体"/>
          <w:color w:val="auto"/>
          <w:sz w:val="24"/>
        </w:rPr>
        <w:t>、组成文件</w:t>
      </w:r>
      <w:r>
        <w:rPr>
          <w:rFonts w:hint="eastAsia" w:ascii="宋体" w:hAnsi="宋体"/>
          <w:bCs/>
          <w:color w:val="auto"/>
          <w:sz w:val="24"/>
          <w:szCs w:val="24"/>
        </w:rPr>
        <w:t>和补充协议中乙方应负的其它责任。</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rPr>
          <w:rFonts w:ascii="宋体" w:hAnsi="宋体"/>
          <w:b/>
          <w:color w:val="auto"/>
          <w:sz w:val="28"/>
          <w:szCs w:val="28"/>
        </w:rPr>
      </w:pPr>
      <w:r>
        <w:rPr>
          <w:rFonts w:hint="eastAsia" w:ascii="宋体" w:hAnsi="宋体"/>
          <w:b/>
          <w:color w:val="auto"/>
          <w:sz w:val="28"/>
          <w:szCs w:val="28"/>
        </w:rPr>
        <w:t>第十一条违约责任</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szCs w:val="22"/>
        </w:rPr>
        <w:t>甲方违反合同约定逾期办理支付当期服务费的，应从逾期之日起计向乙方支付按逾付款项的万分之二计算扣取违约金。但因乙方原因或本合同约定的其他原因，导致甲方延迟付款的，甲方不承担逾期付款的责任。</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乙方应严格按照设计要求及现场监理人员要求，在甲方约定时间内到场进行工作。若乙方在合同签订后，经甲方通知不按时进场开展工作或进场后未能按照甲方约定时间内提交满足合同约定标准的技术服务成果（经协商经甲方同意延长提交时间的除外），每发生一次，应当向甲方支付当次应提交报告对应服务价款</w:t>
      </w:r>
      <w:r>
        <w:rPr>
          <w:rFonts w:hint="eastAsia" w:ascii="宋体" w:hAnsi="宋体"/>
          <w:color w:val="auto"/>
          <w:sz w:val="24"/>
          <w:szCs w:val="22"/>
        </w:rPr>
        <w:t>万分之二</w:t>
      </w:r>
      <w:r>
        <w:rPr>
          <w:rFonts w:hint="eastAsia" w:ascii="宋体" w:hAnsi="宋体"/>
          <w:color w:val="auto"/>
          <w:sz w:val="24"/>
          <w:szCs w:val="22"/>
        </w:rPr>
        <w:t>的违</w:t>
      </w:r>
      <w:r>
        <w:rPr>
          <w:rFonts w:hint="eastAsia" w:ascii="宋体" w:hAnsi="宋体"/>
          <w:color w:val="auto"/>
          <w:sz w:val="24"/>
        </w:rPr>
        <w:t>约金；乙方超过</w:t>
      </w:r>
      <w:r>
        <w:rPr>
          <w:rFonts w:ascii="宋体" w:hAnsi="宋体"/>
          <w:color w:val="auto"/>
          <w:sz w:val="24"/>
        </w:rPr>
        <w:t>30</w:t>
      </w:r>
      <w:r>
        <w:rPr>
          <w:rFonts w:hint="eastAsia" w:ascii="宋体" w:hAnsi="宋体"/>
          <w:color w:val="auto"/>
          <w:sz w:val="24"/>
        </w:rPr>
        <w:t>天或超过三次未履行上述约定时，甲方有权解除合同且不支付合同款，乙方应全额返还受影响段甲方已付款项及赔偿甲方相关损失，并且乙方应向甲方支付合同总款项10%的违约金。</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3.如乙方提交的技术服务成果报告因乙方原因导致不能满足本项目工程建设需要的，乙方应在</w:t>
      </w:r>
      <w:r>
        <w:rPr>
          <w:rFonts w:ascii="宋体" w:hAnsi="宋体"/>
          <w:color w:val="auto"/>
          <w:sz w:val="24"/>
        </w:rPr>
        <w:t>甲方要求的时间内</w:t>
      </w:r>
      <w:r>
        <w:rPr>
          <w:rFonts w:hint="eastAsia" w:ascii="宋体" w:hAnsi="宋体"/>
          <w:color w:val="auto"/>
          <w:sz w:val="24"/>
        </w:rPr>
        <w:t>无偿继续完善，若仍不能满足工程建设需要，甲方有权单方解除合同且不支付合同款，乙方应赔偿因此造成甲方损失并按合同总价的30%向甲方支付违约金。</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4.因乙方检(监)测工作不及时或其提供的检(监)测资料不准确造成甲方损失的，甲方有权单方解除合同且不支付合同款，乙方应返还甲方的已付款，并赔偿因此造成甲方损失并按合同总价的30%向甲方支付违约金。</w:t>
      </w:r>
    </w:p>
    <w:p>
      <w:pPr>
        <w:adjustRightInd w:val="0"/>
        <w:snapToGrid w:val="0"/>
        <w:spacing w:line="360" w:lineRule="auto"/>
        <w:ind w:firstLine="480" w:firstLineChars="200"/>
        <w:rPr>
          <w:rFonts w:ascii="宋体" w:hAnsi="宋体"/>
          <w:color w:val="auto"/>
          <w:sz w:val="24"/>
          <w:szCs w:val="22"/>
        </w:rPr>
      </w:pPr>
      <w:r>
        <w:rPr>
          <w:rFonts w:hint="eastAsia" w:ascii="宋体" w:hAnsi="宋体"/>
          <w:color w:val="auto"/>
          <w:sz w:val="24"/>
          <w:szCs w:val="22"/>
        </w:rPr>
        <w:t>5．施工工地出现危险事故征兆的情况下，由于乙方的检(监)测工作及分析、报告不及时而导致事故发生的，甲方有权单方解除合同且不支付合同款，乙方应返还甲方的已付款，并赔偿因此造成甲方损失并按合同总价的30%向甲方支付违约金。</w:t>
      </w:r>
    </w:p>
    <w:p>
      <w:pPr>
        <w:adjustRightInd w:val="0"/>
        <w:snapToGrid w:val="0"/>
        <w:spacing w:line="360" w:lineRule="auto"/>
        <w:ind w:firstLine="480" w:firstLineChars="200"/>
        <w:rPr>
          <w:rFonts w:ascii="宋体" w:hAnsi="宋体"/>
          <w:color w:val="auto"/>
          <w:sz w:val="24"/>
          <w:szCs w:val="22"/>
        </w:rPr>
      </w:pPr>
      <w:r>
        <w:rPr>
          <w:rFonts w:hint="eastAsia" w:ascii="宋体" w:hAnsi="宋体"/>
          <w:color w:val="auto"/>
          <w:sz w:val="24"/>
          <w:szCs w:val="22"/>
        </w:rPr>
        <w:t>6.乙方如不按照第三条第12点的要求，擅自更换主要技术人员的，每发生一次，应向甲方支付违约金50000.00元人民币。</w:t>
      </w:r>
    </w:p>
    <w:p>
      <w:pPr>
        <w:adjustRightInd w:val="0"/>
        <w:snapToGrid w:val="0"/>
        <w:spacing w:line="360" w:lineRule="auto"/>
        <w:ind w:firstLine="480" w:firstLineChars="200"/>
        <w:rPr>
          <w:rFonts w:ascii="宋体" w:hAnsi="宋体"/>
          <w:color w:val="auto"/>
          <w:sz w:val="24"/>
          <w:szCs w:val="22"/>
        </w:rPr>
      </w:pPr>
      <w:r>
        <w:rPr>
          <w:rFonts w:hint="eastAsia" w:ascii="宋体" w:hAnsi="宋体"/>
          <w:color w:val="auto"/>
          <w:sz w:val="24"/>
          <w:szCs w:val="22"/>
        </w:rPr>
        <w:t>7.甲方委托现场监理单位在约定的期限内对乙方已经完成的工作量进行确认，若乙方超过约定期限5个工作日仍不回复或者确认的，视为对乙方完成工作无异议，乙方将相关情况书面通知甲方并征得甲方同意后，可据此结算。</w:t>
      </w:r>
    </w:p>
    <w:p>
      <w:pPr>
        <w:adjustRightInd w:val="0"/>
        <w:snapToGrid w:val="0"/>
        <w:spacing w:line="360" w:lineRule="auto"/>
        <w:ind w:firstLine="480" w:firstLineChars="200"/>
        <w:rPr>
          <w:rFonts w:ascii="宋体" w:hAnsi="宋体"/>
          <w:color w:val="auto"/>
          <w:sz w:val="24"/>
          <w:szCs w:val="22"/>
        </w:rPr>
      </w:pPr>
      <w:r>
        <w:rPr>
          <w:rFonts w:hint="eastAsia" w:ascii="宋体" w:hAnsi="宋体"/>
          <w:color w:val="auto"/>
          <w:sz w:val="24"/>
          <w:szCs w:val="22"/>
        </w:rPr>
        <w:t>8.因乙方不具备符合国家规定的相应检(监)测资质或乙方原因造成的检(监)测成果质量问题，甲方有权单方解除合同且不支付合同款，造成的损失由乙方自行承担并承担相关法律责任。</w:t>
      </w:r>
    </w:p>
    <w:p>
      <w:pPr>
        <w:adjustRightInd w:val="0"/>
        <w:snapToGrid w:val="0"/>
        <w:spacing w:line="360" w:lineRule="auto"/>
        <w:ind w:firstLine="480" w:firstLineChars="200"/>
        <w:rPr>
          <w:rFonts w:ascii="宋体" w:hAnsi="宋体"/>
          <w:color w:val="auto"/>
          <w:sz w:val="24"/>
          <w:szCs w:val="22"/>
        </w:rPr>
      </w:pPr>
      <w:r>
        <w:rPr>
          <w:rFonts w:hint="eastAsia" w:ascii="宋体" w:hAnsi="宋体"/>
          <w:color w:val="auto"/>
          <w:sz w:val="24"/>
          <w:szCs w:val="22"/>
        </w:rPr>
        <w:t>9.因乙方造成的工期延误，乙方按照10000元/天的标准向甲方支付违约金。逾期超过5天的，甲方有权解除合同且不支付合同款，乙方除向甲方支付上述违约金外，还应按暂定总价款的</w:t>
      </w:r>
      <w:r>
        <w:rPr>
          <w:rFonts w:ascii="宋体" w:hAnsi="宋体"/>
          <w:color w:val="auto"/>
          <w:sz w:val="24"/>
          <w:szCs w:val="22"/>
        </w:rPr>
        <w:t>30</w:t>
      </w:r>
      <w:r>
        <w:rPr>
          <w:rFonts w:hint="eastAsia" w:ascii="宋体" w:hAnsi="宋体"/>
          <w:color w:val="auto"/>
          <w:sz w:val="24"/>
          <w:szCs w:val="22"/>
        </w:rPr>
        <w:t>％向甲方支付违约金。</w:t>
      </w:r>
    </w:p>
    <w:p>
      <w:pPr>
        <w:adjustRightInd w:val="0"/>
        <w:snapToGrid w:val="0"/>
        <w:spacing w:line="360" w:lineRule="auto"/>
        <w:ind w:firstLine="480" w:firstLineChars="200"/>
        <w:rPr>
          <w:rFonts w:ascii="宋体" w:hAnsi="宋体"/>
          <w:color w:val="auto"/>
          <w:sz w:val="24"/>
          <w:szCs w:val="22"/>
        </w:rPr>
      </w:pPr>
      <w:r>
        <w:rPr>
          <w:rFonts w:hint="eastAsia" w:ascii="宋体" w:hAnsi="宋体"/>
          <w:color w:val="auto"/>
          <w:sz w:val="24"/>
          <w:szCs w:val="22"/>
        </w:rPr>
        <w:t>10.如因不可抗力造成的工期延误，以甲方确认签证单为准作为工期延误的依据。</w:t>
      </w:r>
    </w:p>
    <w:p>
      <w:pPr>
        <w:adjustRightInd w:val="0"/>
        <w:snapToGrid w:val="0"/>
        <w:spacing w:line="360" w:lineRule="auto"/>
        <w:ind w:firstLine="480" w:firstLineChars="200"/>
        <w:rPr>
          <w:rFonts w:ascii="宋体" w:hAnsi="宋体"/>
          <w:color w:val="auto"/>
          <w:sz w:val="24"/>
          <w:szCs w:val="22"/>
        </w:rPr>
      </w:pPr>
      <w:r>
        <w:rPr>
          <w:rFonts w:hint="eastAsia" w:ascii="宋体" w:hAnsi="宋体"/>
          <w:color w:val="auto"/>
          <w:sz w:val="24"/>
          <w:szCs w:val="22"/>
        </w:rPr>
        <w:t>11.如因乙方工作失误引起返工、停工或造成工程损失，乙方应继续完善检(监)测工作，且甲方可视造成经济、工期和技术的损失大小，可以减少或不付检(监)测费，超过</w:t>
      </w:r>
      <w:r>
        <w:rPr>
          <w:rFonts w:hint="eastAsia" w:ascii="宋体" w:hAnsi="宋体"/>
          <w:color w:val="auto"/>
          <w:sz w:val="24"/>
          <w:szCs w:val="24"/>
        </w:rPr>
        <w:t>【10】</w:t>
      </w:r>
      <w:r>
        <w:rPr>
          <w:rFonts w:hint="eastAsia" w:ascii="宋体" w:hAnsi="宋体"/>
          <w:color w:val="auto"/>
          <w:sz w:val="24"/>
          <w:szCs w:val="22"/>
        </w:rPr>
        <w:t>天乙方仍未完善监测工作的，甲方有权单方解除合同且不支付合同款，乙方应返还甲方的已付款，并赔偿因此造成甲方损失及按合同总价的30%向甲方支付违约金。</w:t>
      </w:r>
    </w:p>
    <w:p>
      <w:pPr>
        <w:adjustRightInd w:val="0"/>
        <w:snapToGrid w:val="0"/>
        <w:spacing w:line="360" w:lineRule="auto"/>
        <w:ind w:firstLine="480" w:firstLineChars="200"/>
        <w:rPr>
          <w:rFonts w:ascii="宋体" w:hAnsi="宋体"/>
          <w:color w:val="auto"/>
          <w:sz w:val="24"/>
          <w:szCs w:val="22"/>
        </w:rPr>
      </w:pPr>
      <w:r>
        <w:rPr>
          <w:rFonts w:hint="eastAsia" w:ascii="宋体" w:hAnsi="宋体"/>
          <w:color w:val="auto"/>
          <w:sz w:val="24"/>
          <w:szCs w:val="22"/>
        </w:rPr>
        <w:t>12.任何一方向对方提出经济赔偿要求的，都应在赔偿理由发生后三十天内以书面形式提出。</w:t>
      </w:r>
    </w:p>
    <w:p>
      <w:pPr>
        <w:adjustRightInd w:val="0"/>
        <w:snapToGrid w:val="0"/>
        <w:spacing w:line="360" w:lineRule="auto"/>
        <w:ind w:firstLine="480" w:firstLineChars="200"/>
        <w:rPr>
          <w:rFonts w:ascii="宋体" w:hAnsi="宋体"/>
          <w:color w:val="auto"/>
          <w:sz w:val="24"/>
          <w:szCs w:val="22"/>
        </w:rPr>
      </w:pPr>
      <w:r>
        <w:rPr>
          <w:rFonts w:hint="eastAsia" w:ascii="宋体" w:hAnsi="宋体"/>
          <w:color w:val="auto"/>
          <w:sz w:val="24"/>
          <w:szCs w:val="22"/>
        </w:rPr>
        <w:t>13.在施工中所有安全事故所产生费用均由乙方承担。</w:t>
      </w:r>
    </w:p>
    <w:p>
      <w:pPr>
        <w:pStyle w:val="8"/>
        <w:spacing w:line="360" w:lineRule="auto"/>
        <w:ind w:firstLine="480" w:firstLineChars="200"/>
        <w:rPr>
          <w:rFonts w:hAnsi="宋体"/>
          <w:color w:val="auto"/>
          <w:sz w:val="24"/>
          <w:szCs w:val="22"/>
        </w:rPr>
      </w:pPr>
      <w:r>
        <w:rPr>
          <w:rFonts w:hint="eastAsia" w:hAnsi="宋体"/>
          <w:color w:val="auto"/>
          <w:sz w:val="24"/>
          <w:szCs w:val="22"/>
        </w:rPr>
        <w:t>14.乙方的工作人员或另行委托的检(监)测单位违反本合同的约定泄露检(监)测结果的，甲方有权单方解除本合同且不支付合同款，乙方应按合同暂定总额的30%支付违约金，并承担因此造成甲方的全部经济损失。</w:t>
      </w:r>
    </w:p>
    <w:p>
      <w:pPr>
        <w:pStyle w:val="8"/>
        <w:spacing w:line="360" w:lineRule="auto"/>
        <w:ind w:firstLine="480" w:firstLineChars="200"/>
        <w:rPr>
          <w:rFonts w:hAnsi="宋体"/>
          <w:color w:val="auto"/>
          <w:sz w:val="24"/>
          <w:szCs w:val="22"/>
        </w:rPr>
      </w:pPr>
      <w:r>
        <w:rPr>
          <w:rFonts w:hint="eastAsia" w:hAnsi="宋体"/>
          <w:color w:val="auto"/>
          <w:sz w:val="24"/>
          <w:szCs w:val="22"/>
        </w:rPr>
        <w:t>15.本合同约定的全部经济损失包括但不限于律师费、诉讼费、保全费等直接及间接的经济损失</w:t>
      </w:r>
      <w:r>
        <w:rPr>
          <w:rFonts w:hint="eastAsia" w:hAnsi="宋体"/>
          <w:color w:val="auto"/>
          <w:sz w:val="24"/>
          <w:szCs w:val="22"/>
        </w:rPr>
        <w:t>等,但经济损失赔偿金额不得超过本合同金额</w:t>
      </w:r>
      <w:r>
        <w:rPr>
          <w:rFonts w:hint="eastAsia" w:hAnsi="宋体"/>
          <w:color w:val="auto"/>
          <w:sz w:val="24"/>
          <w:szCs w:val="22"/>
        </w:rPr>
        <w:t>。</w:t>
      </w:r>
    </w:p>
    <w:p>
      <w:pPr>
        <w:pStyle w:val="8"/>
        <w:rPr>
          <w:color w:val="auto"/>
        </w:rPr>
      </w:pPr>
    </w:p>
    <w:p>
      <w:pPr>
        <w:pStyle w:val="6"/>
        <w:spacing w:line="360" w:lineRule="auto"/>
        <w:rPr>
          <w:rFonts w:ascii="宋体" w:hAnsi="宋体"/>
          <w:b/>
          <w:color w:val="auto"/>
          <w:sz w:val="28"/>
          <w:szCs w:val="28"/>
        </w:rPr>
      </w:pPr>
      <w:r>
        <w:rPr>
          <w:rFonts w:hint="eastAsia" w:ascii="宋体" w:hAnsi="宋体"/>
          <w:b/>
          <w:color w:val="auto"/>
          <w:sz w:val="28"/>
          <w:szCs w:val="28"/>
        </w:rPr>
        <w:t>第十二条合同组成文件及解释顺序：</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1.补充协议（如有）；</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2.本技术服务合同；</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3.中标通知书；</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4.招标文件及其附件（含答疑纪要、招标文件澄清等）；</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5.图纸；</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6.标准、规范及有关技术文件；</w:t>
      </w:r>
    </w:p>
    <w:p>
      <w:pPr>
        <w:spacing w:line="360" w:lineRule="auto"/>
        <w:ind w:firstLine="568" w:firstLineChars="237"/>
        <w:rPr>
          <w:rFonts w:ascii="宋体" w:hAnsi="宋体"/>
          <w:bCs/>
          <w:color w:val="auto"/>
          <w:sz w:val="24"/>
          <w:szCs w:val="24"/>
        </w:rPr>
      </w:pPr>
      <w:r>
        <w:rPr>
          <w:rFonts w:hint="eastAsia" w:ascii="宋体" w:hAnsi="宋体"/>
          <w:bCs/>
          <w:color w:val="auto"/>
          <w:sz w:val="24"/>
          <w:szCs w:val="24"/>
        </w:rPr>
        <w:t>7.投标书及其附件。</w:t>
      </w:r>
    </w:p>
    <w:p>
      <w:pPr>
        <w:pStyle w:val="7"/>
        <w:spacing w:line="348" w:lineRule="auto"/>
        <w:rPr>
          <w:b/>
          <w:color w:val="auto"/>
          <w:sz w:val="28"/>
          <w:szCs w:val="28"/>
        </w:rPr>
      </w:pPr>
      <w:r>
        <w:rPr>
          <w:rFonts w:hint="eastAsia"/>
          <w:b/>
          <w:color w:val="auto"/>
          <w:sz w:val="28"/>
          <w:szCs w:val="28"/>
        </w:rPr>
        <w:t>第十三条合同的变更</w:t>
      </w:r>
    </w:p>
    <w:p>
      <w:pPr>
        <w:pStyle w:val="7"/>
        <w:spacing w:line="348" w:lineRule="auto"/>
        <w:ind w:firstLine="480" w:firstLineChars="200"/>
        <w:rPr>
          <w:b/>
          <w:color w:val="auto"/>
          <w:sz w:val="28"/>
          <w:szCs w:val="28"/>
          <w:u w:val="single"/>
        </w:rPr>
      </w:pPr>
      <w:r>
        <w:rPr>
          <w:color w:val="auto"/>
        </w:rPr>
        <w:t>经双方协商一致，可以变更本合同约定的内容或另行签订补充协议。变更后的内容或补充协议与本合同具有同等法律效力，如果变更后的内容或补充合同与本合同发生冲突，以变更后的内容或补充合同为准。</w:t>
      </w:r>
    </w:p>
    <w:p>
      <w:pPr>
        <w:pStyle w:val="7"/>
        <w:spacing w:line="348" w:lineRule="auto"/>
        <w:rPr>
          <w:b/>
          <w:color w:val="auto"/>
          <w:sz w:val="28"/>
          <w:szCs w:val="28"/>
        </w:rPr>
      </w:pPr>
      <w:r>
        <w:rPr>
          <w:rFonts w:hint="eastAsia"/>
          <w:b/>
          <w:color w:val="auto"/>
          <w:sz w:val="28"/>
          <w:szCs w:val="28"/>
        </w:rPr>
        <w:t>第十四条合同的终止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（一）因解除而终止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由于乙方违约造成本合同不能履行或不能完全履行，如果甲方认为本合同已无必要继续履行或乙方在收到甲方要求其纠正违约的通知后【10】日内/【3】次后仍不纠正其违约行为，则甲方有权向乙方发出解除本合同的书面通知，该通知自送达乙方时生效，乙方应按合同结算总额的30%支付违约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甲方依本合同约定解除合同的，乙方所有人员、设备必须在甲方解除合同书面通知送达之日起五个工作日内撤离工作现场并向甲方移交有关的所有检(监)测资料，并在此期限内与甲方共同签证已完成的工作量。未经甲乙双方共同签证的工作量不得再要求结算。甲方在上述期限过后有权安排新的检(监)测单位进场。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4.乙方擅自转让本合同项下主要权利义务的，甲方有权单方解除本合同且不支付合同款，乙方应按合同暂定总额的30%支付违约金，并赔偿因此造成甲方的全部损失。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5.合同一方依本合同其他条款约定行使解除权的，合同自解除通知送达之日起终止。违约方应当向另一方支付违约金或赔偿损失。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6.合同终止后，不妨碍守约方向违约方追究违约责任。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（二）有下列情形之一的，合同权利义务终止：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1.本合同因已按约定履行完毕而自然终止；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2.本合同经各方协商一致而终止；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3.发生不可抗力灾难造成毁灭性打击的情形致使本合同的履行成为不必要或不可能的；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4.法律法规规定终止的其他情形。</w:t>
      </w:r>
    </w:p>
    <w:p>
      <w:pPr>
        <w:pStyle w:val="6"/>
        <w:spacing w:line="420" w:lineRule="auto"/>
        <w:rPr>
          <w:rFonts w:ascii="宋体" w:hAnsi="宋体"/>
          <w:b/>
          <w:color w:val="auto"/>
          <w:sz w:val="28"/>
          <w:szCs w:val="28"/>
        </w:rPr>
      </w:pPr>
      <w:r>
        <w:rPr>
          <w:rFonts w:hint="eastAsia"/>
          <w:b/>
          <w:color w:val="auto"/>
          <w:sz w:val="28"/>
          <w:szCs w:val="28"/>
        </w:rPr>
        <w:t>第十五条</w:t>
      </w:r>
      <w:r>
        <w:rPr>
          <w:rFonts w:hint="eastAsia" w:ascii="宋体" w:hAnsi="宋体"/>
          <w:b/>
          <w:color w:val="auto"/>
          <w:sz w:val="28"/>
          <w:szCs w:val="28"/>
        </w:rPr>
        <w:t>保密责任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双方均应保护对方的知识产权及商业秘密，未经对方同意，任何一方均不得对对方的资料及文件擅自修改、复制或者向第三人转让或用于本合同项目外的项目。如发生以上情况，泄密方承担一切由此引起的后果并承担赔偿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本合同期满、终止、提前解除后，乙方应当向甲方移交所有与本合同项目有关的资料和报告，未经甲方书面许可，不可复制、转让、使用或允许他人使用上述资料和报告，亦不得将本合同内容告知本合同以外的第三方，否则，应赔偿因此造成甲方的全部损失。</w:t>
      </w:r>
    </w:p>
    <w:p>
      <w:pPr>
        <w:spacing w:line="500" w:lineRule="exact"/>
        <w:ind w:firstLine="560"/>
        <w:rPr>
          <w:rFonts w:ascii="宋体" w:hAnsi="宋体"/>
          <w:color w:val="auto"/>
          <w:sz w:val="24"/>
          <w:szCs w:val="24"/>
        </w:rPr>
      </w:pPr>
      <w:r>
        <w:rPr>
          <w:rFonts w:hint="eastAsia" w:ascii="宋体" w:hAnsi="宋体"/>
          <w:color w:val="auto"/>
          <w:sz w:val="24"/>
          <w:szCs w:val="24"/>
        </w:rPr>
        <w:t>3.本合同有效期内及期满或终止后，乙方均应为甲方之商业信息、技术信息、财务信息及乙方因履行本合同而接触到的一切甲方及（或）其关联公司的信息（包括但不限于收益信息等）等保守秘密。未经甲方事先书面许可，不得对该等信息进行修改、拷贝、散布、传播、展示、发行、授权、制作衍生品、移转或销售，不得以任何方式向第三方披露，亦不得自行或允许他人以任何方式予以使用。如违反本条，甲方有权单方面解除合同并且不支付合同款，乙方应按本合同约定含税总金额的30%支付违约金，如违约金不足以弥补无过错方的经济损失，过错方仍应按实际损失进行赔偿。</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本合同期满、解除或终止后，本条的保密义务以及知识产权的约定也将仍然持续有效。</w:t>
      </w:r>
    </w:p>
    <w:p>
      <w:pPr>
        <w:pStyle w:val="22"/>
        <w:rPr>
          <w:rFonts w:ascii="宋体" w:hAnsi="宋体"/>
          <w:color w:val="auto"/>
          <w:sz w:val="24"/>
          <w:szCs w:val="24"/>
        </w:rPr>
      </w:pPr>
    </w:p>
    <w:p>
      <w:pPr>
        <w:pStyle w:val="7"/>
        <w:spacing w:line="324" w:lineRule="auto"/>
        <w:rPr>
          <w:b/>
          <w:bCs/>
          <w:color w:val="auto"/>
          <w:sz w:val="28"/>
          <w:szCs w:val="28"/>
        </w:rPr>
      </w:pPr>
      <w:r>
        <w:rPr>
          <w:rFonts w:hint="eastAsia"/>
          <w:b/>
          <w:color w:val="auto"/>
          <w:sz w:val="28"/>
          <w:szCs w:val="28"/>
        </w:rPr>
        <w:t>第十六条</w:t>
      </w:r>
      <w:r>
        <w:rPr>
          <w:rFonts w:hint="eastAsia"/>
          <w:b/>
          <w:bCs/>
          <w:color w:val="auto"/>
          <w:sz w:val="28"/>
          <w:szCs w:val="28"/>
        </w:rPr>
        <w:t>不可抗力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 1.本合同所指不可抗力，是指由于地震、水灾、战争、政府行为以及其他不能预见并对其发生后果不能合理预防或避免并不能克服的各类事件。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如果本合同一方由于不可抗力而全部或部分不能履行本合同，则该方应在不可抗力发生后【3】个工作日内书面通知对方；并应在【10】个工作日内提供事件的详细情况及有关主管机关、职能部门或公证机构证明本合同全部或部分不能履行的证明文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3.因不可抗力而导致任何一方全部或部分不能履行本合同的，该方不承担违约责任，但该方应采取一切必要和适当的措施减轻可能给对方造成的损失。</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4.发生不可抗力，双方可以依据不可抗力对履行本合同的影响程度，协商决定变更或终止本合同。</w:t>
      </w:r>
    </w:p>
    <w:p>
      <w:pPr>
        <w:adjustRightInd w:val="0"/>
        <w:snapToGrid w:val="0"/>
        <w:spacing w:line="360" w:lineRule="auto"/>
        <w:ind w:firstLine="562" w:firstLineChars="200"/>
        <w:rPr>
          <w:rFonts w:ascii="宋体" w:hAnsi="宋体"/>
          <w:b/>
          <w:color w:val="auto"/>
          <w:sz w:val="28"/>
          <w:szCs w:val="28"/>
        </w:rPr>
      </w:pPr>
    </w:p>
    <w:p>
      <w:pPr>
        <w:adjustRightInd w:val="0"/>
        <w:snapToGrid w:val="0"/>
        <w:spacing w:line="360" w:lineRule="auto"/>
        <w:rPr>
          <w:rFonts w:ascii="宋体" w:hAnsi="宋体"/>
          <w:b/>
          <w:color w:val="auto"/>
          <w:sz w:val="28"/>
          <w:szCs w:val="28"/>
        </w:rPr>
      </w:pPr>
      <w:r>
        <w:rPr>
          <w:rFonts w:hint="eastAsia" w:ascii="宋体" w:hAnsi="宋体"/>
          <w:b/>
          <w:color w:val="auto"/>
          <w:sz w:val="28"/>
          <w:szCs w:val="28"/>
        </w:rPr>
        <w:t>第十七条合同争议解决方式：</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合同履行过程中出现分歧，双方应遵循平等互利和诚实信用原则，通过友好协商解决。若协商不成，任何一方可向广州市</w:t>
      </w:r>
      <w:r>
        <w:rPr>
          <w:rFonts w:hint="eastAsia" w:ascii="宋体" w:hAnsi="宋体"/>
          <w:b/>
          <w:bCs/>
          <w:color w:val="auto"/>
          <w:sz w:val="24"/>
          <w:szCs w:val="24"/>
        </w:rPr>
        <w:t>南沙区</w:t>
      </w:r>
      <w:r>
        <w:rPr>
          <w:rFonts w:hint="eastAsia" w:ascii="宋体" w:hAnsi="宋体"/>
          <w:color w:val="auto"/>
          <w:sz w:val="24"/>
          <w:szCs w:val="24"/>
        </w:rPr>
        <w:t>人民法院提起诉讼。</w:t>
      </w:r>
    </w:p>
    <w:p>
      <w:pPr>
        <w:spacing w:line="540" w:lineRule="exact"/>
        <w:ind w:left="476" w:leftChars="212" w:hanging="31" w:hangingChars="13"/>
        <w:rPr>
          <w:rFonts w:ascii="宋体" w:hAnsi="宋体"/>
          <w:color w:val="auto"/>
          <w:sz w:val="24"/>
          <w:szCs w:val="24"/>
        </w:rPr>
      </w:pPr>
    </w:p>
    <w:p>
      <w:pPr>
        <w:spacing w:line="540" w:lineRule="exact"/>
        <w:rPr>
          <w:rFonts w:ascii="宋体" w:hAnsi="宋体"/>
          <w:b/>
          <w:color w:val="auto"/>
          <w:sz w:val="28"/>
          <w:szCs w:val="28"/>
        </w:rPr>
      </w:pPr>
      <w:r>
        <w:rPr>
          <w:rFonts w:hint="eastAsia" w:ascii="宋体" w:hAnsi="宋体"/>
          <w:b/>
          <w:color w:val="auto"/>
          <w:sz w:val="28"/>
          <w:szCs w:val="28"/>
        </w:rPr>
        <w:t>第十</w:t>
      </w:r>
      <w:r>
        <w:rPr>
          <w:rFonts w:hint="eastAsia"/>
          <w:b/>
          <w:color w:val="auto"/>
          <w:sz w:val="28"/>
          <w:szCs w:val="28"/>
        </w:rPr>
        <w:t>八</w:t>
      </w:r>
      <w:r>
        <w:rPr>
          <w:rFonts w:hint="eastAsia" w:ascii="宋体" w:hAnsi="宋体"/>
          <w:b/>
          <w:color w:val="auto"/>
          <w:sz w:val="28"/>
          <w:szCs w:val="28"/>
        </w:rPr>
        <w:t>条通知和送达</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1.合同双方因履行本合同而相互发生或者提供的所有通知、文件、资料，均以合同第1页所列明的地址、法定代表人或联系人送达，一方如果迁址或者变更法定代表人、联系人和电话的，应当书面通知对方。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2.通知、文件、资料当面送达的，以签收为送达；以邮寄方式送达的，挂号寄出或者投邮次日视为送达。</w:t>
      </w:r>
    </w:p>
    <w:p>
      <w:pPr>
        <w:pStyle w:val="7"/>
        <w:spacing w:line="324" w:lineRule="auto"/>
        <w:rPr>
          <w:b/>
          <w:color w:val="auto"/>
          <w:sz w:val="28"/>
          <w:szCs w:val="28"/>
        </w:rPr>
      </w:pPr>
      <w:r>
        <w:rPr>
          <w:rFonts w:hint="eastAsia"/>
          <w:b/>
          <w:color w:val="auto"/>
          <w:sz w:val="28"/>
          <w:szCs w:val="28"/>
        </w:rPr>
        <w:t>第十九条其他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1.未经甲方的书面同意，乙方不得将合同约定的义务、责任和权利予以转让。</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2.为确保检(监)测结果的公正性，任何一方不得干预检(监)测结果。</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3.乙方的设备、材料、人员等的安全及社会保险由乙方自行承担。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4.乙方应在</w:t>
      </w:r>
      <w:r>
        <w:rPr>
          <w:rFonts w:hint="eastAsia" w:ascii="宋体" w:hAnsi="宋体"/>
          <w:color w:val="auto"/>
          <w:sz w:val="24"/>
        </w:rPr>
        <w:t>正常的检(监)测时间</w:t>
      </w:r>
      <w:r>
        <w:rPr>
          <w:rFonts w:hint="eastAsia" w:ascii="宋体" w:hAnsi="宋体"/>
          <w:color w:val="auto"/>
          <w:sz w:val="24"/>
          <w:szCs w:val="24"/>
        </w:rPr>
        <w:t>内完成本合同约定工作。</w:t>
      </w:r>
    </w:p>
    <w:p>
      <w:pPr>
        <w:spacing w:line="360" w:lineRule="auto"/>
        <w:ind w:firstLine="480" w:firstLineChars="200"/>
        <w:rPr>
          <w:rFonts w:ascii="宋体" w:hAnsi="宋体"/>
          <w:color w:val="auto"/>
          <w:sz w:val="24"/>
          <w:szCs w:val="24"/>
        </w:rPr>
      </w:pPr>
    </w:p>
    <w:p>
      <w:pPr>
        <w:adjustRightInd w:val="0"/>
        <w:snapToGrid w:val="0"/>
        <w:spacing w:line="360" w:lineRule="auto"/>
        <w:rPr>
          <w:rFonts w:ascii="宋体" w:hAnsi="宋体"/>
          <w:b/>
          <w:color w:val="auto"/>
          <w:sz w:val="28"/>
          <w:szCs w:val="28"/>
        </w:rPr>
      </w:pPr>
      <w:r>
        <w:rPr>
          <w:rFonts w:hint="eastAsia" w:ascii="宋体" w:hAnsi="宋体"/>
          <w:b/>
          <w:color w:val="auto"/>
          <w:sz w:val="28"/>
          <w:szCs w:val="28"/>
        </w:rPr>
        <w:t>第二十条合同效力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1.本合同经双方签字盖章后生效。如乙方在合同双方签字盖章前已按甲方要求进场作业的，则合同生效期为乙方进场作业之日。</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2.合同附件是合同不可分割的一部分，与合同具有同等法律效力。本合同及其附件中所包含的任何条款在被认为无效或不具有强制执行力的情况下，该条款的无效性或不可执行性不得影响其他条款的效力。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3.本合同未尽事宜，由甲乙双方友好协商，另签订补充协议。补充协议与本合同具有同等法律效力。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4.本合同的终止并不影响本合同第十一条、第十四条、第十五条和第十七条之效力。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5.本合同一式捌份；甲方执肆份，乙方执肆份，均具有同等法律效力。</w:t>
      </w:r>
    </w:p>
    <w:p>
      <w:pPr>
        <w:adjustRightInd w:val="0"/>
        <w:snapToGrid w:val="0"/>
        <w:spacing w:line="336" w:lineRule="auto"/>
        <w:ind w:firstLine="482" w:firstLineChars="200"/>
        <w:rPr>
          <w:rFonts w:ascii="宋体" w:hAnsi="宋体"/>
          <w:b/>
          <w:color w:val="auto"/>
          <w:sz w:val="24"/>
        </w:rPr>
      </w:pPr>
      <w:r>
        <w:rPr>
          <w:rFonts w:hint="eastAsia" w:ascii="宋体" w:hAnsi="宋体"/>
          <w:b/>
          <w:color w:val="auto"/>
          <w:sz w:val="24"/>
        </w:rPr>
        <w:t>（以下无正文）</w:t>
      </w:r>
    </w:p>
    <w:p>
      <w:pPr>
        <w:adjustRightInd w:val="0"/>
        <w:snapToGrid w:val="0"/>
        <w:spacing w:line="336" w:lineRule="auto"/>
        <w:rPr>
          <w:rFonts w:ascii="宋体" w:hAnsi="宋体"/>
          <w:b/>
          <w:color w:val="auto"/>
          <w:sz w:val="24"/>
        </w:rPr>
      </w:pPr>
    </w:p>
    <w:p>
      <w:pPr>
        <w:adjustRightInd w:val="0"/>
        <w:snapToGrid w:val="0"/>
        <w:spacing w:line="336" w:lineRule="auto"/>
        <w:rPr>
          <w:rFonts w:ascii="宋体" w:hAnsi="宋体"/>
          <w:b/>
          <w:color w:val="auto"/>
          <w:sz w:val="24"/>
        </w:rPr>
      </w:pPr>
      <w:r>
        <w:rPr>
          <w:rFonts w:hint="eastAsia" w:ascii="宋体" w:hAnsi="宋体"/>
          <w:b/>
          <w:color w:val="auto"/>
          <w:sz w:val="24"/>
        </w:rPr>
        <w:t>合同附件：</w:t>
      </w:r>
    </w:p>
    <w:p>
      <w:pPr>
        <w:numPr>
          <w:ilvl w:val="0"/>
          <w:numId w:val="1"/>
        </w:numPr>
        <w:adjustRightInd w:val="0"/>
        <w:snapToGrid w:val="0"/>
        <w:spacing w:line="360" w:lineRule="auto"/>
        <w:ind w:firstLine="480" w:firstLineChars="200"/>
        <w:rPr>
          <w:rFonts w:hAnsi="宋体"/>
          <w:color w:val="auto"/>
          <w:sz w:val="24"/>
          <w:szCs w:val="24"/>
        </w:rPr>
      </w:pPr>
      <w:r>
        <w:rPr>
          <w:rFonts w:hint="eastAsia" w:ascii="宋体" w:hAnsi="宋体"/>
          <w:color w:val="auto"/>
          <w:sz w:val="24"/>
          <w:szCs w:val="24"/>
        </w:rPr>
        <w:t>附件一廉政合同</w:t>
      </w:r>
    </w:p>
    <w:p>
      <w:pPr>
        <w:numPr>
          <w:ilvl w:val="0"/>
          <w:numId w:val="1"/>
        </w:numPr>
        <w:adjustRightInd w:val="0"/>
        <w:snapToGrid w:val="0"/>
        <w:spacing w:line="360" w:lineRule="auto"/>
        <w:ind w:firstLine="480" w:firstLineChars="200"/>
        <w:rPr>
          <w:rFonts w:hAnsi="宋体"/>
          <w:color w:val="auto"/>
          <w:sz w:val="24"/>
          <w:szCs w:val="24"/>
        </w:rPr>
      </w:pPr>
      <w:r>
        <w:rPr>
          <w:rFonts w:hint="eastAsia" w:ascii="宋体" w:hAnsi="宋体"/>
          <w:color w:val="auto"/>
          <w:sz w:val="24"/>
          <w:szCs w:val="24"/>
        </w:rPr>
        <w:t>附件二</w:t>
      </w:r>
      <w:r>
        <w:rPr>
          <w:rFonts w:hint="eastAsia" w:hAnsi="宋体"/>
          <w:color w:val="auto"/>
          <w:sz w:val="24"/>
          <w:szCs w:val="24"/>
        </w:rPr>
        <w:t>中标通知书</w:t>
      </w:r>
    </w:p>
    <w:p>
      <w:pPr>
        <w:numPr>
          <w:ilvl w:val="0"/>
          <w:numId w:val="1"/>
        </w:numPr>
        <w:adjustRightInd w:val="0"/>
        <w:snapToGrid w:val="0"/>
        <w:spacing w:line="360" w:lineRule="auto"/>
        <w:ind w:firstLine="480" w:firstLineChars="200"/>
        <w:rPr>
          <w:color w:val="auto"/>
        </w:rPr>
      </w:pPr>
      <w:r>
        <w:rPr>
          <w:rFonts w:hint="eastAsia" w:ascii="宋体" w:hAnsi="宋体"/>
          <w:color w:val="auto"/>
          <w:sz w:val="24"/>
          <w:szCs w:val="24"/>
        </w:rPr>
        <w:t>附件</w:t>
      </w:r>
      <w:r>
        <w:rPr>
          <w:rFonts w:hint="eastAsia" w:hAnsi="宋体"/>
          <w:color w:val="auto"/>
          <w:sz w:val="24"/>
          <w:szCs w:val="24"/>
        </w:rPr>
        <w:t>三《广州工控大湾区现代高端装备研发生产基地项目（二期）第三方检测及监测服务工程量清单及价格表》</w:t>
      </w:r>
    </w:p>
    <w:p>
      <w:pPr>
        <w:numPr>
          <w:ilvl w:val="0"/>
          <w:numId w:val="1"/>
        </w:numPr>
        <w:snapToGrid w:val="0"/>
        <w:spacing w:line="360" w:lineRule="auto"/>
        <w:ind w:firstLine="480" w:firstLineChars="200"/>
        <w:rPr>
          <w:rFonts w:hAnsi="宋体"/>
          <w:color w:val="auto"/>
          <w:sz w:val="24"/>
          <w:szCs w:val="24"/>
        </w:rPr>
      </w:pPr>
      <w:r>
        <w:rPr>
          <w:rFonts w:hint="eastAsia" w:hAnsi="宋体"/>
          <w:color w:val="auto"/>
          <w:sz w:val="24"/>
          <w:szCs w:val="24"/>
        </w:rPr>
        <w:t>附件四《检(监)测人员一览表》</w:t>
      </w:r>
    </w:p>
    <w:p>
      <w:pPr>
        <w:pStyle w:val="22"/>
        <w:ind w:firstLine="525" w:firstLineChars="250"/>
        <w:rPr>
          <w:color w:val="auto"/>
        </w:rPr>
      </w:pPr>
    </w:p>
    <w:p>
      <w:pPr>
        <w:numPr>
          <w:ilvl w:val="255"/>
          <w:numId w:val="0"/>
        </w:numPr>
        <w:adjustRightInd w:val="0"/>
        <w:snapToGrid w:val="0"/>
        <w:spacing w:line="360" w:lineRule="auto"/>
        <w:rPr>
          <w:rFonts w:ascii="宋体" w:hAnsi="宋体"/>
          <w:color w:val="auto"/>
          <w:sz w:val="24"/>
          <w:szCs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甲方：</w:t>
      </w:r>
      <w:r>
        <w:rPr>
          <w:rFonts w:hint="eastAsia" w:ascii="宋体" w:hAnsi="宋体"/>
          <w:color w:val="auto"/>
          <w:sz w:val="24"/>
          <w:szCs w:val="24"/>
          <w:u w:val="single"/>
        </w:rPr>
        <w:t>广州中船船用柴油机有限公司</w:t>
      </w:r>
      <w:r>
        <w:rPr>
          <w:rFonts w:hint="eastAsia" w:ascii="宋体" w:hAnsi="宋体"/>
          <w:color w:val="auto"/>
          <w:sz w:val="24"/>
          <w:szCs w:val="24"/>
        </w:rPr>
        <w:t>（盖章）</w:t>
      </w:r>
    </w:p>
    <w:p>
      <w:pPr>
        <w:adjustRightInd w:val="0"/>
        <w:snapToGrid w:val="0"/>
        <w:spacing w:line="360" w:lineRule="auto"/>
        <w:rPr>
          <w:rFonts w:ascii="宋体" w:hAnsi="宋体"/>
          <w:color w:val="auto"/>
          <w:sz w:val="24"/>
          <w:szCs w:val="24"/>
          <w:u w:val="single"/>
        </w:rPr>
      </w:pPr>
      <w:r>
        <w:rPr>
          <w:rFonts w:hint="eastAsia" w:ascii="宋体" w:hAnsi="宋体"/>
          <w:color w:val="auto"/>
          <w:sz w:val="24"/>
          <w:szCs w:val="24"/>
        </w:rPr>
        <w:t>法定代表人或授权代表人：</w:t>
      </w:r>
    </w:p>
    <w:p>
      <w:pPr>
        <w:spacing w:line="520" w:lineRule="exact"/>
        <w:rPr>
          <w:rFonts w:ascii="宋体" w:hAnsi="宋体"/>
          <w:color w:val="auto"/>
          <w:sz w:val="24"/>
          <w:szCs w:val="24"/>
        </w:rPr>
      </w:pPr>
      <w:r>
        <w:rPr>
          <w:rFonts w:hint="eastAsia" w:ascii="宋体" w:hAnsi="宋体"/>
          <w:color w:val="auto"/>
          <w:sz w:val="24"/>
          <w:szCs w:val="24"/>
        </w:rPr>
        <w:t>（签字或盖章）</w:t>
      </w:r>
    </w:p>
    <w:p>
      <w:pPr>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开户银行：</w:t>
      </w:r>
    </w:p>
    <w:p>
      <w:pPr>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银行帐户：</w:t>
      </w:r>
    </w:p>
    <w:p>
      <w:pPr>
        <w:pStyle w:val="22"/>
        <w:rPr>
          <w:color w:val="auto"/>
        </w:rPr>
      </w:pPr>
    </w:p>
    <w:p>
      <w:pPr>
        <w:pStyle w:val="22"/>
        <w:rPr>
          <w:color w:val="auto"/>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乙方（成</w:t>
      </w:r>
      <w:r>
        <w:rPr>
          <w:rFonts w:ascii="宋体" w:hAnsi="宋体"/>
          <w:color w:val="auto"/>
          <w:sz w:val="24"/>
          <w:szCs w:val="24"/>
        </w:rPr>
        <w:t>）</w:t>
      </w:r>
      <w:r>
        <w:rPr>
          <w:rFonts w:hint="eastAsia" w:ascii="宋体" w:hAnsi="宋体"/>
          <w:color w:val="auto"/>
          <w:sz w:val="24"/>
          <w:szCs w:val="24"/>
        </w:rPr>
        <w:t>：（盖章）</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法定代表人或授权代表人：</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（签字或盖章）</w:t>
      </w:r>
    </w:p>
    <w:p>
      <w:pPr>
        <w:pStyle w:val="2"/>
        <w:rPr>
          <w:color w:val="auto"/>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开户银行：</w:t>
      </w:r>
    </w:p>
    <w:p>
      <w:pPr>
        <w:pStyle w:val="2"/>
        <w:rPr>
          <w:color w:val="auto"/>
        </w:rPr>
      </w:pPr>
    </w:p>
    <w:p>
      <w:pPr>
        <w:adjustRightInd w:val="0"/>
        <w:snapToGrid w:val="0"/>
        <w:spacing w:line="360" w:lineRule="auto"/>
        <w:rPr>
          <w:rFonts w:ascii="仿宋_GB2312" w:eastAsia="仿宋_GB2312"/>
          <w:color w:val="auto"/>
          <w:sz w:val="24"/>
        </w:rPr>
      </w:pPr>
      <w:r>
        <w:rPr>
          <w:rFonts w:hint="eastAsia" w:ascii="宋体" w:hAnsi="宋体"/>
          <w:color w:val="auto"/>
          <w:sz w:val="24"/>
          <w:szCs w:val="24"/>
        </w:rPr>
        <w:t>银行帐户：</w:t>
      </w:r>
    </w:p>
    <w:p>
      <w:pPr>
        <w:pStyle w:val="22"/>
        <w:rPr>
          <w:color w:val="auto"/>
        </w:rPr>
      </w:pPr>
    </w:p>
    <w:p>
      <w:pPr>
        <w:pStyle w:val="8"/>
        <w:jc w:val="center"/>
        <w:rPr>
          <w:color w:val="auto"/>
        </w:rPr>
      </w:pPr>
      <w:r>
        <w:rPr>
          <w:rFonts w:hint="eastAsia"/>
          <w:color w:val="auto"/>
          <w:sz w:val="24"/>
          <w:szCs w:val="24"/>
        </w:rPr>
        <w:t>签约时间：2023年月日</w:t>
      </w:r>
    </w:p>
    <w:p>
      <w:pPr>
        <w:pStyle w:val="22"/>
        <w:rPr>
          <w:color w:val="auto"/>
        </w:rPr>
      </w:pPr>
    </w:p>
    <w:p>
      <w:pPr>
        <w:pStyle w:val="22"/>
        <w:rPr>
          <w:color w:val="auto"/>
        </w:rPr>
      </w:pPr>
    </w:p>
    <w:p>
      <w:pPr>
        <w:ind w:left="1" w:firstLine="2"/>
        <w:rPr>
          <w:rFonts w:ascii="宋体" w:hAnsi="宋体"/>
          <w:color w:val="auto"/>
          <w:sz w:val="28"/>
          <w:szCs w:val="28"/>
        </w:rPr>
      </w:pPr>
      <w:r>
        <w:rPr>
          <w:rFonts w:hint="eastAsia" w:ascii="宋体" w:hAnsi="宋体"/>
          <w:color w:val="auto"/>
          <w:sz w:val="28"/>
          <w:szCs w:val="28"/>
        </w:rPr>
        <w:t>附件一</w:t>
      </w:r>
    </w:p>
    <w:p>
      <w:pPr>
        <w:spacing w:line="520" w:lineRule="exact"/>
        <w:jc w:val="center"/>
        <w:rPr>
          <w:rFonts w:ascii="宋体" w:hAnsi="宋体"/>
          <w:b/>
          <w:bCs/>
          <w:color w:val="auto"/>
          <w:sz w:val="30"/>
          <w:szCs w:val="30"/>
        </w:rPr>
      </w:pPr>
      <w:r>
        <w:rPr>
          <w:rFonts w:hint="eastAsia" w:ascii="宋体" w:hAnsi="宋体"/>
          <w:b/>
          <w:bCs/>
          <w:color w:val="auto"/>
          <w:sz w:val="30"/>
          <w:szCs w:val="30"/>
        </w:rPr>
        <w:t>廉政合同</w:t>
      </w:r>
    </w:p>
    <w:p>
      <w:pPr>
        <w:spacing w:line="360" w:lineRule="auto"/>
        <w:ind w:right="1200"/>
        <w:rPr>
          <w:rFonts w:ascii="宋体" w:hAnsi="宋体"/>
          <w:color w:val="auto"/>
          <w:sz w:val="24"/>
          <w:szCs w:val="24"/>
          <w:u w:val="single"/>
        </w:rPr>
      </w:pPr>
      <w:r>
        <w:rPr>
          <w:rFonts w:hint="eastAsia" w:ascii="宋体" w:hAnsi="宋体"/>
          <w:color w:val="auto"/>
          <w:sz w:val="24"/>
          <w:szCs w:val="24"/>
        </w:rPr>
        <w:t>甲方（全称）：</w:t>
      </w:r>
      <w:r>
        <w:rPr>
          <w:rFonts w:hint="eastAsia" w:ascii="宋体" w:hAnsi="宋体"/>
          <w:color w:val="auto"/>
          <w:sz w:val="24"/>
          <w:szCs w:val="24"/>
          <w:u w:val="single"/>
        </w:rPr>
        <w:t>广州中船船用柴油机有限公司</w:t>
      </w:r>
    </w:p>
    <w:p>
      <w:pPr>
        <w:widowControl/>
        <w:spacing w:line="360" w:lineRule="auto"/>
        <w:jc w:val="left"/>
        <w:rPr>
          <w:color w:val="auto"/>
          <w:sz w:val="24"/>
          <w:szCs w:val="24"/>
        </w:rPr>
      </w:pPr>
      <w:r>
        <w:rPr>
          <w:rFonts w:hint="eastAsia" w:ascii="宋体" w:hAnsi="宋体"/>
          <w:color w:val="auto"/>
          <w:sz w:val="24"/>
          <w:szCs w:val="24"/>
        </w:rPr>
        <w:t>乙方（全称）：</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根据国家、省有关廉政建设的规定，为做好合同工程的廉政建设，保证工程质量与施工安全，提高建设资金的有效使用和投资效益，合同双方当事人就加强合同工程的廉政建设，订立本合同。</w:t>
      </w:r>
    </w:p>
    <w:p>
      <w:pPr>
        <w:spacing w:line="360" w:lineRule="auto"/>
        <w:ind w:firstLine="480" w:firstLineChars="200"/>
        <w:rPr>
          <w:rFonts w:ascii="宋体" w:hAnsi="宋体"/>
          <w:color w:val="auto"/>
          <w:sz w:val="24"/>
          <w:szCs w:val="24"/>
        </w:rPr>
      </w:pPr>
      <w:r>
        <w:rPr>
          <w:rFonts w:ascii="宋体" w:hAnsi="宋体"/>
          <w:color w:val="auto"/>
          <w:sz w:val="24"/>
          <w:szCs w:val="24"/>
        </w:rPr>
        <w:t xml:space="preserve">1 </w:t>
      </w:r>
      <w:r>
        <w:rPr>
          <w:rFonts w:hint="eastAsia" w:ascii="宋体" w:hAnsi="宋体"/>
          <w:color w:val="auto"/>
          <w:sz w:val="24"/>
          <w:szCs w:val="24"/>
        </w:rPr>
        <w:t>双方权利和义务</w:t>
      </w:r>
    </w:p>
    <w:p>
      <w:pPr>
        <w:spacing w:line="360" w:lineRule="auto"/>
        <w:ind w:firstLine="480" w:firstLineChars="200"/>
        <w:rPr>
          <w:rFonts w:ascii="宋体" w:hAnsi="宋体"/>
          <w:color w:val="auto"/>
          <w:sz w:val="24"/>
          <w:szCs w:val="24"/>
        </w:rPr>
      </w:pPr>
      <w:bookmarkStart w:id="0" w:name="_Toc343033031"/>
      <w:r>
        <w:rPr>
          <w:rFonts w:ascii="宋体" w:hAnsi="宋体"/>
          <w:color w:val="auto"/>
          <w:sz w:val="24"/>
          <w:szCs w:val="24"/>
        </w:rPr>
        <w:t xml:space="preserve">1.1 </w:t>
      </w:r>
      <w:r>
        <w:rPr>
          <w:rFonts w:hint="eastAsia" w:ascii="宋体" w:hAnsi="宋体"/>
          <w:color w:val="auto"/>
          <w:sz w:val="24"/>
          <w:szCs w:val="24"/>
        </w:rPr>
        <w:t>严格遵守国家、省有关法律法规的规定。</w:t>
      </w:r>
      <w:bookmarkEnd w:id="0"/>
    </w:p>
    <w:p>
      <w:pPr>
        <w:spacing w:line="360" w:lineRule="auto"/>
        <w:ind w:firstLine="480" w:firstLineChars="200"/>
        <w:rPr>
          <w:rFonts w:ascii="宋体" w:hAnsi="宋体"/>
          <w:color w:val="auto"/>
          <w:sz w:val="24"/>
          <w:szCs w:val="24"/>
        </w:rPr>
      </w:pPr>
      <w:bookmarkStart w:id="1" w:name="_Toc343033032"/>
      <w:r>
        <w:rPr>
          <w:rFonts w:ascii="宋体" w:hAnsi="宋体"/>
          <w:color w:val="auto"/>
          <w:sz w:val="24"/>
          <w:szCs w:val="24"/>
        </w:rPr>
        <w:t xml:space="preserve">1.2 </w:t>
      </w:r>
      <w:r>
        <w:rPr>
          <w:rFonts w:hint="eastAsia" w:ascii="宋体" w:hAnsi="宋体"/>
          <w:color w:val="auto"/>
          <w:sz w:val="24"/>
          <w:szCs w:val="24"/>
        </w:rPr>
        <w:t>严格执行合同工程一切合同文件，自觉按合同办事。</w:t>
      </w:r>
      <w:bookmarkEnd w:id="1"/>
    </w:p>
    <w:p>
      <w:pPr>
        <w:spacing w:line="360" w:lineRule="auto"/>
        <w:ind w:firstLine="480" w:firstLineChars="200"/>
        <w:rPr>
          <w:rFonts w:ascii="宋体" w:hAnsi="宋体"/>
          <w:color w:val="auto"/>
          <w:sz w:val="24"/>
          <w:szCs w:val="24"/>
        </w:rPr>
      </w:pPr>
      <w:bookmarkStart w:id="2" w:name="_Toc343033033"/>
      <w:r>
        <w:rPr>
          <w:rFonts w:ascii="宋体" w:hAnsi="宋体"/>
          <w:color w:val="auto"/>
          <w:sz w:val="24"/>
          <w:szCs w:val="24"/>
        </w:rPr>
        <w:t xml:space="preserve">1.3 </w:t>
      </w:r>
      <w:r>
        <w:rPr>
          <w:rFonts w:hint="eastAsia" w:ascii="宋体" w:hAnsi="宋体"/>
          <w:color w:val="auto"/>
          <w:sz w:val="24"/>
          <w:szCs w:val="24"/>
        </w:rPr>
        <w:t>合同双方当事人的业务活动应坚持公平、公开、公正和诚信的原则（法律认定的商业秘密和合同文件另有规定除外），不得损害国家和集体利益，不得违反工程建设管理规章制度。</w:t>
      </w:r>
      <w:bookmarkEnd w:id="2"/>
    </w:p>
    <w:p>
      <w:pPr>
        <w:spacing w:line="360" w:lineRule="auto"/>
        <w:ind w:firstLine="480" w:firstLineChars="200"/>
        <w:rPr>
          <w:rFonts w:ascii="宋体" w:hAnsi="宋体"/>
          <w:color w:val="auto"/>
          <w:sz w:val="24"/>
          <w:szCs w:val="24"/>
        </w:rPr>
      </w:pPr>
      <w:bookmarkStart w:id="3" w:name="_Toc343033034"/>
      <w:r>
        <w:rPr>
          <w:rFonts w:ascii="宋体" w:hAnsi="宋体"/>
          <w:color w:val="auto"/>
          <w:sz w:val="24"/>
          <w:szCs w:val="24"/>
        </w:rPr>
        <w:t xml:space="preserve">1.4 </w:t>
      </w:r>
      <w:r>
        <w:rPr>
          <w:rFonts w:hint="eastAsia" w:ascii="宋体" w:hAnsi="宋体"/>
          <w:color w:val="auto"/>
          <w:sz w:val="24"/>
          <w:szCs w:val="24"/>
        </w:rPr>
        <w:t>建立健全廉政制度，开展廉政教育，设立廉政告示牌，公布举报电话，监督并认真查处违法违纪行为。</w:t>
      </w:r>
      <w:bookmarkEnd w:id="3"/>
    </w:p>
    <w:p>
      <w:pPr>
        <w:spacing w:line="360" w:lineRule="auto"/>
        <w:ind w:firstLine="480" w:firstLineChars="200"/>
        <w:rPr>
          <w:rFonts w:ascii="宋体" w:hAnsi="宋体"/>
          <w:color w:val="auto"/>
          <w:sz w:val="24"/>
          <w:szCs w:val="24"/>
        </w:rPr>
      </w:pPr>
      <w:bookmarkStart w:id="4" w:name="_Toc343033035"/>
      <w:r>
        <w:rPr>
          <w:rFonts w:ascii="宋体" w:hAnsi="宋体"/>
          <w:color w:val="auto"/>
          <w:sz w:val="24"/>
          <w:szCs w:val="24"/>
        </w:rPr>
        <w:t xml:space="preserve">1.5 </w:t>
      </w:r>
      <w:r>
        <w:rPr>
          <w:rFonts w:hint="eastAsia" w:ascii="宋体" w:hAnsi="宋体"/>
          <w:color w:val="auto"/>
          <w:sz w:val="24"/>
          <w:szCs w:val="24"/>
        </w:rPr>
        <w:t>发现对方在业务活动中有违反廉政建设规定的行为，应及时给予提醒和纠正。</w:t>
      </w:r>
      <w:bookmarkEnd w:id="4"/>
    </w:p>
    <w:p>
      <w:pPr>
        <w:spacing w:line="360" w:lineRule="auto"/>
        <w:ind w:firstLine="480" w:firstLineChars="200"/>
        <w:rPr>
          <w:rFonts w:ascii="宋体" w:hAnsi="宋体"/>
          <w:color w:val="auto"/>
          <w:sz w:val="24"/>
          <w:szCs w:val="24"/>
        </w:rPr>
      </w:pPr>
      <w:bookmarkStart w:id="5" w:name="_Toc343033036"/>
      <w:r>
        <w:rPr>
          <w:rFonts w:ascii="宋体" w:hAnsi="宋体"/>
          <w:color w:val="auto"/>
          <w:sz w:val="24"/>
          <w:szCs w:val="24"/>
        </w:rPr>
        <w:t xml:space="preserve">1.6 </w:t>
      </w:r>
      <w:r>
        <w:rPr>
          <w:rFonts w:hint="eastAsia" w:ascii="宋体" w:hAnsi="宋体"/>
          <w:color w:val="auto"/>
          <w:sz w:val="24"/>
          <w:szCs w:val="24"/>
        </w:rPr>
        <w:t>发现对方严重违反合同的行为，有向其上级部门举报、建议给予处理并要求告知处理结果的权利。</w:t>
      </w:r>
      <w:bookmarkEnd w:id="5"/>
    </w:p>
    <w:p>
      <w:pPr>
        <w:spacing w:line="360" w:lineRule="auto"/>
        <w:ind w:firstLine="480" w:firstLineChars="200"/>
        <w:rPr>
          <w:rFonts w:ascii="宋体" w:hAnsi="宋体"/>
          <w:color w:val="auto"/>
          <w:sz w:val="24"/>
          <w:szCs w:val="24"/>
        </w:rPr>
      </w:pPr>
      <w:r>
        <w:rPr>
          <w:rFonts w:ascii="宋体" w:hAnsi="宋体"/>
          <w:color w:val="auto"/>
          <w:sz w:val="24"/>
          <w:szCs w:val="24"/>
        </w:rPr>
        <w:t xml:space="preserve">2 </w:t>
      </w:r>
      <w:r>
        <w:rPr>
          <w:rFonts w:hint="eastAsia" w:ascii="宋体" w:hAnsi="宋体"/>
          <w:color w:val="auto"/>
          <w:sz w:val="24"/>
          <w:szCs w:val="24"/>
        </w:rPr>
        <w:t>甲方义务</w:t>
      </w:r>
    </w:p>
    <w:p>
      <w:pPr>
        <w:spacing w:line="360" w:lineRule="auto"/>
        <w:ind w:firstLine="480" w:firstLineChars="200"/>
        <w:rPr>
          <w:rFonts w:ascii="宋体" w:hAnsi="宋体"/>
          <w:color w:val="auto"/>
          <w:sz w:val="24"/>
          <w:szCs w:val="24"/>
        </w:rPr>
      </w:pPr>
      <w:bookmarkStart w:id="6" w:name="_Toc343033037"/>
      <w:r>
        <w:rPr>
          <w:rFonts w:ascii="宋体" w:hAnsi="宋体"/>
          <w:color w:val="auto"/>
          <w:sz w:val="24"/>
          <w:szCs w:val="24"/>
        </w:rPr>
        <w:t xml:space="preserve">2 .1 </w:t>
      </w:r>
      <w:r>
        <w:rPr>
          <w:rFonts w:hint="eastAsia" w:ascii="宋体" w:hAnsi="宋体"/>
          <w:color w:val="auto"/>
          <w:sz w:val="24"/>
          <w:szCs w:val="24"/>
        </w:rPr>
        <w:t>甲方及其工作人员不得索取或接受乙方的礼金、有价证券和贵重物品，不得在乙方报销任何应由甲方或其工作人员个人支付的费用。</w:t>
      </w:r>
      <w:bookmarkEnd w:id="6"/>
    </w:p>
    <w:p>
      <w:pPr>
        <w:spacing w:line="360" w:lineRule="auto"/>
        <w:ind w:firstLine="480" w:firstLineChars="200"/>
        <w:rPr>
          <w:rFonts w:ascii="宋体" w:hAnsi="宋体"/>
          <w:color w:val="auto"/>
          <w:sz w:val="24"/>
          <w:szCs w:val="24"/>
        </w:rPr>
      </w:pPr>
      <w:bookmarkStart w:id="7" w:name="_Toc343033038"/>
      <w:r>
        <w:rPr>
          <w:rFonts w:ascii="宋体" w:hAnsi="宋体"/>
          <w:color w:val="auto"/>
          <w:sz w:val="24"/>
          <w:szCs w:val="24"/>
        </w:rPr>
        <w:t xml:space="preserve">2.2 </w:t>
      </w:r>
      <w:r>
        <w:rPr>
          <w:rFonts w:hint="eastAsia" w:ascii="宋体" w:hAnsi="宋体"/>
          <w:color w:val="auto"/>
          <w:sz w:val="24"/>
          <w:szCs w:val="24"/>
        </w:rPr>
        <w:t>甲方及其工作人员不得参加乙方安排的宴请（工作餐除外）和娱乐活动，不得接受乙方提供的通讯、交通工具和高档办公用品等物品。</w:t>
      </w:r>
      <w:bookmarkEnd w:id="7"/>
    </w:p>
    <w:p>
      <w:pPr>
        <w:spacing w:line="360" w:lineRule="auto"/>
        <w:ind w:firstLine="480" w:firstLineChars="200"/>
        <w:rPr>
          <w:rFonts w:ascii="宋体" w:hAnsi="宋体"/>
          <w:color w:val="auto"/>
          <w:sz w:val="24"/>
          <w:szCs w:val="24"/>
        </w:rPr>
      </w:pPr>
      <w:bookmarkStart w:id="8" w:name="_Toc343033039"/>
      <w:r>
        <w:rPr>
          <w:rFonts w:ascii="宋体" w:hAnsi="宋体"/>
          <w:color w:val="auto"/>
          <w:sz w:val="24"/>
          <w:szCs w:val="24"/>
        </w:rPr>
        <w:t xml:space="preserve">2.3 </w:t>
      </w:r>
      <w:r>
        <w:rPr>
          <w:rFonts w:hint="eastAsia" w:ascii="宋体" w:hAnsi="宋体"/>
          <w:color w:val="auto"/>
          <w:sz w:val="24"/>
          <w:szCs w:val="24"/>
        </w:rPr>
        <w:t>甲方及其工作人员不得要求或者接受乙方为其住房装修、婚丧嫁娶活动、配偶子女工作安排以及出国出境、旅游等提供方便。</w:t>
      </w:r>
      <w:bookmarkEnd w:id="8"/>
    </w:p>
    <w:p>
      <w:pPr>
        <w:spacing w:line="360" w:lineRule="auto"/>
        <w:ind w:firstLine="480" w:firstLineChars="200"/>
        <w:rPr>
          <w:rFonts w:ascii="宋体" w:hAnsi="宋体"/>
          <w:color w:val="auto"/>
          <w:sz w:val="24"/>
          <w:szCs w:val="24"/>
        </w:rPr>
      </w:pPr>
      <w:bookmarkStart w:id="9" w:name="_Toc343033040"/>
      <w:r>
        <w:rPr>
          <w:rFonts w:ascii="宋体" w:hAnsi="宋体"/>
          <w:color w:val="auto"/>
          <w:sz w:val="24"/>
          <w:szCs w:val="24"/>
        </w:rPr>
        <w:t xml:space="preserve">2.4 </w:t>
      </w:r>
      <w:r>
        <w:rPr>
          <w:rFonts w:hint="eastAsia" w:ascii="宋体" w:hAnsi="宋体"/>
          <w:color w:val="auto"/>
          <w:sz w:val="24"/>
          <w:szCs w:val="24"/>
        </w:rPr>
        <w:t>甲方及其工作人员不得以任何理由向乙方推荐分包人、推销材料和工程设备，不得要求乙方购买合同以外的材料和工程设备。</w:t>
      </w:r>
      <w:bookmarkEnd w:id="9"/>
    </w:p>
    <w:p>
      <w:pPr>
        <w:spacing w:line="360" w:lineRule="auto"/>
        <w:ind w:firstLine="480" w:firstLineChars="200"/>
        <w:rPr>
          <w:rFonts w:ascii="宋体" w:hAnsi="宋体"/>
          <w:color w:val="auto"/>
          <w:sz w:val="24"/>
          <w:szCs w:val="24"/>
        </w:rPr>
      </w:pPr>
      <w:bookmarkStart w:id="10" w:name="_Toc343033041"/>
      <w:r>
        <w:rPr>
          <w:rFonts w:ascii="宋体" w:hAnsi="宋体"/>
          <w:color w:val="auto"/>
          <w:sz w:val="24"/>
          <w:szCs w:val="24"/>
        </w:rPr>
        <w:t xml:space="preserve">2.5 </w:t>
      </w:r>
      <w:r>
        <w:rPr>
          <w:rFonts w:hint="eastAsia" w:ascii="宋体" w:hAnsi="宋体"/>
          <w:color w:val="auto"/>
          <w:sz w:val="24"/>
          <w:szCs w:val="24"/>
        </w:rPr>
        <w:t>甲方及其工作人员要秉公办事，不准营私舞弊，不准利用职权私自为合同工程安排施工队伍，也不得从事与合同工程有关的各种有偿中介活动。</w:t>
      </w:r>
      <w:bookmarkEnd w:id="10"/>
    </w:p>
    <w:p>
      <w:pPr>
        <w:spacing w:line="360" w:lineRule="auto"/>
        <w:ind w:firstLine="480" w:firstLineChars="200"/>
        <w:rPr>
          <w:rFonts w:ascii="宋体" w:hAnsi="宋体"/>
          <w:color w:val="auto"/>
          <w:sz w:val="24"/>
          <w:szCs w:val="24"/>
        </w:rPr>
      </w:pPr>
      <w:bookmarkStart w:id="11" w:name="_Toc343033042"/>
      <w:r>
        <w:rPr>
          <w:rFonts w:ascii="宋体" w:hAnsi="宋体"/>
          <w:color w:val="auto"/>
          <w:sz w:val="24"/>
          <w:szCs w:val="24"/>
        </w:rPr>
        <w:t xml:space="preserve">2.6 </w:t>
      </w:r>
      <w:r>
        <w:rPr>
          <w:rFonts w:hint="eastAsia" w:ascii="宋体" w:hAnsi="宋体"/>
          <w:color w:val="auto"/>
          <w:sz w:val="24"/>
          <w:szCs w:val="24"/>
        </w:rPr>
        <w:t>甲方及其工作人员（含其配偶、子女）不得从事与合同工程有关的材料和工程设备供应、工程分包、劳务等经济活动。</w:t>
      </w:r>
      <w:bookmarkEnd w:id="11"/>
    </w:p>
    <w:p>
      <w:pPr>
        <w:spacing w:line="360" w:lineRule="auto"/>
        <w:ind w:firstLine="480" w:firstLineChars="200"/>
        <w:rPr>
          <w:rFonts w:ascii="宋体" w:hAnsi="宋体"/>
          <w:color w:val="auto"/>
          <w:sz w:val="24"/>
          <w:szCs w:val="24"/>
        </w:rPr>
      </w:pPr>
      <w:r>
        <w:rPr>
          <w:rFonts w:ascii="宋体" w:hAnsi="宋体"/>
          <w:color w:val="auto"/>
          <w:sz w:val="24"/>
          <w:szCs w:val="24"/>
        </w:rPr>
        <w:t xml:space="preserve">3 </w:t>
      </w:r>
      <w:r>
        <w:rPr>
          <w:rFonts w:hint="eastAsia" w:ascii="宋体" w:hAnsi="宋体"/>
          <w:color w:val="auto"/>
          <w:sz w:val="24"/>
          <w:szCs w:val="24"/>
        </w:rPr>
        <w:t>乙方义务</w:t>
      </w:r>
    </w:p>
    <w:p>
      <w:pPr>
        <w:spacing w:line="360" w:lineRule="auto"/>
        <w:ind w:firstLine="480" w:firstLineChars="200"/>
        <w:rPr>
          <w:rFonts w:ascii="宋体" w:hAnsi="宋体"/>
          <w:color w:val="auto"/>
          <w:sz w:val="24"/>
          <w:szCs w:val="24"/>
        </w:rPr>
      </w:pPr>
      <w:bookmarkStart w:id="12" w:name="_Toc343033043"/>
      <w:r>
        <w:rPr>
          <w:rFonts w:ascii="宋体" w:hAnsi="宋体"/>
          <w:color w:val="auto"/>
          <w:sz w:val="24"/>
          <w:szCs w:val="24"/>
        </w:rPr>
        <w:t xml:space="preserve">3.1 </w:t>
      </w:r>
      <w:r>
        <w:rPr>
          <w:rFonts w:hint="eastAsia" w:ascii="宋体" w:hAnsi="宋体"/>
          <w:color w:val="auto"/>
          <w:sz w:val="24"/>
          <w:szCs w:val="24"/>
        </w:rPr>
        <w:t>乙方不得以任何理由向甲方及其工作人员行贿或馈赠礼金、有价证券、贵重礼品。</w:t>
      </w:r>
      <w:bookmarkEnd w:id="12"/>
    </w:p>
    <w:p>
      <w:pPr>
        <w:spacing w:line="360" w:lineRule="auto"/>
        <w:ind w:firstLine="480" w:firstLineChars="200"/>
        <w:rPr>
          <w:rFonts w:ascii="宋体" w:hAnsi="宋体"/>
          <w:color w:val="auto"/>
          <w:sz w:val="24"/>
          <w:szCs w:val="24"/>
        </w:rPr>
      </w:pPr>
      <w:bookmarkStart w:id="13" w:name="_Toc343033044"/>
      <w:r>
        <w:rPr>
          <w:rFonts w:ascii="宋体" w:hAnsi="宋体"/>
          <w:color w:val="auto"/>
          <w:sz w:val="24"/>
          <w:szCs w:val="24"/>
        </w:rPr>
        <w:t xml:space="preserve">3.2 </w:t>
      </w:r>
      <w:r>
        <w:rPr>
          <w:rFonts w:hint="eastAsia" w:ascii="宋体" w:hAnsi="宋体"/>
          <w:color w:val="auto"/>
          <w:sz w:val="24"/>
          <w:szCs w:val="24"/>
        </w:rPr>
        <w:t>乙方不得以任何名义为甲方及其工作人员报销应由甲方或其工作人员个人支付的任何费用。</w:t>
      </w:r>
      <w:bookmarkEnd w:id="13"/>
    </w:p>
    <w:p>
      <w:pPr>
        <w:spacing w:line="360" w:lineRule="auto"/>
        <w:ind w:firstLine="480" w:firstLineChars="200"/>
        <w:rPr>
          <w:rFonts w:ascii="宋体" w:hAnsi="宋体"/>
          <w:color w:val="auto"/>
          <w:sz w:val="24"/>
          <w:szCs w:val="24"/>
        </w:rPr>
      </w:pPr>
      <w:bookmarkStart w:id="14" w:name="_Toc343033045"/>
      <w:r>
        <w:rPr>
          <w:rFonts w:ascii="宋体" w:hAnsi="宋体"/>
          <w:color w:val="auto"/>
          <w:sz w:val="24"/>
          <w:szCs w:val="24"/>
        </w:rPr>
        <w:t xml:space="preserve">3.3 </w:t>
      </w:r>
      <w:r>
        <w:rPr>
          <w:rFonts w:hint="eastAsia" w:ascii="宋体" w:hAnsi="宋体"/>
          <w:color w:val="auto"/>
          <w:sz w:val="24"/>
          <w:szCs w:val="24"/>
        </w:rPr>
        <w:t>乙方不得以任何理由安排甲方及其工作人员参加宴请（工作餐除外）及娱乐活动。</w:t>
      </w:r>
      <w:bookmarkEnd w:id="14"/>
    </w:p>
    <w:p>
      <w:pPr>
        <w:spacing w:line="360" w:lineRule="auto"/>
        <w:ind w:firstLine="480" w:firstLineChars="200"/>
        <w:rPr>
          <w:rFonts w:ascii="宋体" w:hAnsi="宋体"/>
          <w:color w:val="auto"/>
          <w:sz w:val="24"/>
          <w:szCs w:val="24"/>
        </w:rPr>
      </w:pPr>
      <w:bookmarkStart w:id="15" w:name="_Toc343033046"/>
      <w:r>
        <w:rPr>
          <w:rFonts w:ascii="宋体" w:hAnsi="宋体"/>
          <w:color w:val="auto"/>
          <w:sz w:val="24"/>
          <w:szCs w:val="24"/>
        </w:rPr>
        <w:t xml:space="preserve">3.4 </w:t>
      </w:r>
      <w:r>
        <w:rPr>
          <w:rFonts w:hint="eastAsia" w:ascii="宋体" w:hAnsi="宋体"/>
          <w:color w:val="auto"/>
          <w:sz w:val="24"/>
          <w:szCs w:val="24"/>
        </w:rPr>
        <w:t>乙方不得为甲方和个人购置或提供通讯、交通工具和高档办公用品等物品。</w:t>
      </w:r>
      <w:bookmarkEnd w:id="15"/>
    </w:p>
    <w:p>
      <w:pPr>
        <w:spacing w:line="360" w:lineRule="auto"/>
        <w:ind w:firstLine="480" w:firstLineChars="200"/>
        <w:rPr>
          <w:rFonts w:ascii="宋体" w:hAnsi="宋体"/>
          <w:color w:val="auto"/>
          <w:sz w:val="24"/>
          <w:szCs w:val="24"/>
        </w:rPr>
      </w:pPr>
      <w:bookmarkStart w:id="16" w:name="_Toc343033047"/>
      <w:r>
        <w:rPr>
          <w:rFonts w:ascii="宋体" w:hAnsi="宋体"/>
          <w:color w:val="auto"/>
          <w:sz w:val="24"/>
          <w:szCs w:val="24"/>
        </w:rPr>
        <w:t xml:space="preserve">3.5 </w:t>
      </w:r>
      <w:r>
        <w:rPr>
          <w:rFonts w:hint="eastAsia" w:ascii="宋体" w:hAnsi="宋体"/>
          <w:color w:val="auto"/>
          <w:sz w:val="24"/>
          <w:szCs w:val="24"/>
        </w:rPr>
        <w:t>乙方不得为甲方及其工作人员的住房装修、婚丧嫁娶活动、配偶子女工作安排以及出国出境、旅游等提供方便。</w:t>
      </w:r>
      <w:bookmarkEnd w:id="16"/>
    </w:p>
    <w:p>
      <w:pPr>
        <w:spacing w:line="360" w:lineRule="auto"/>
        <w:ind w:firstLine="480" w:firstLineChars="200"/>
        <w:rPr>
          <w:rFonts w:ascii="宋体" w:hAnsi="宋体"/>
          <w:color w:val="auto"/>
          <w:sz w:val="24"/>
          <w:szCs w:val="24"/>
        </w:rPr>
      </w:pPr>
      <w:r>
        <w:rPr>
          <w:rFonts w:ascii="宋体" w:hAnsi="宋体"/>
          <w:color w:val="auto"/>
          <w:sz w:val="24"/>
          <w:szCs w:val="24"/>
        </w:rPr>
        <w:t xml:space="preserve">4 </w:t>
      </w:r>
      <w:r>
        <w:rPr>
          <w:rFonts w:hint="eastAsia" w:ascii="宋体" w:hAnsi="宋体"/>
          <w:color w:val="auto"/>
          <w:sz w:val="24"/>
          <w:szCs w:val="24"/>
        </w:rPr>
        <w:t>违约责任</w:t>
      </w:r>
    </w:p>
    <w:p>
      <w:pPr>
        <w:spacing w:line="360" w:lineRule="auto"/>
        <w:ind w:firstLine="480" w:firstLineChars="200"/>
        <w:rPr>
          <w:rFonts w:ascii="宋体" w:hAnsi="宋体"/>
          <w:color w:val="auto"/>
          <w:sz w:val="24"/>
          <w:szCs w:val="24"/>
        </w:rPr>
      </w:pPr>
      <w:bookmarkStart w:id="17" w:name="_Toc343033048"/>
      <w:r>
        <w:rPr>
          <w:rFonts w:ascii="宋体" w:hAnsi="宋体"/>
          <w:color w:val="auto"/>
          <w:sz w:val="24"/>
          <w:szCs w:val="24"/>
        </w:rPr>
        <w:t xml:space="preserve">4.1 </w:t>
      </w:r>
      <w:r>
        <w:rPr>
          <w:rFonts w:hint="eastAsia" w:ascii="宋体" w:hAnsi="宋体"/>
          <w:color w:val="auto"/>
          <w:sz w:val="24"/>
          <w:szCs w:val="24"/>
        </w:rPr>
        <w:t>甲方及其工作人员违反本合同第</w:t>
      </w:r>
      <w:r>
        <w:rPr>
          <w:rFonts w:ascii="宋体" w:hAnsi="宋体"/>
          <w:color w:val="auto"/>
          <w:sz w:val="24"/>
          <w:szCs w:val="24"/>
        </w:rPr>
        <w:t>1</w:t>
      </w:r>
      <w:r>
        <w:rPr>
          <w:rFonts w:hint="eastAsia" w:ascii="宋体" w:hAnsi="宋体"/>
          <w:color w:val="auto"/>
          <w:sz w:val="24"/>
          <w:szCs w:val="24"/>
        </w:rPr>
        <w:t>条和第</w:t>
      </w:r>
      <w:r>
        <w:rPr>
          <w:rFonts w:ascii="宋体" w:hAnsi="宋体"/>
          <w:color w:val="auto"/>
          <w:sz w:val="24"/>
          <w:szCs w:val="24"/>
        </w:rPr>
        <w:t>2</w:t>
      </w:r>
      <w:r>
        <w:rPr>
          <w:rFonts w:hint="eastAsia" w:ascii="宋体" w:hAnsi="宋体"/>
          <w:color w:val="auto"/>
          <w:sz w:val="24"/>
          <w:szCs w:val="24"/>
        </w:rPr>
        <w:t>条规定，应按照廉政建设的有关规定给予处分；涉嫌犯罪的，移交司法机关追究刑事责任；给乙方造成损失的，应予赔偿。</w:t>
      </w:r>
      <w:bookmarkEnd w:id="17"/>
    </w:p>
    <w:p>
      <w:pPr>
        <w:spacing w:line="360" w:lineRule="auto"/>
        <w:ind w:firstLine="480" w:firstLineChars="200"/>
        <w:rPr>
          <w:rFonts w:ascii="宋体" w:hAnsi="宋体"/>
          <w:color w:val="auto"/>
          <w:sz w:val="24"/>
          <w:szCs w:val="24"/>
        </w:rPr>
      </w:pPr>
      <w:bookmarkStart w:id="18" w:name="_Toc343033049"/>
      <w:r>
        <w:rPr>
          <w:rFonts w:ascii="宋体" w:hAnsi="宋体"/>
          <w:color w:val="auto"/>
          <w:sz w:val="24"/>
          <w:szCs w:val="24"/>
        </w:rPr>
        <w:t xml:space="preserve">4.2 </w:t>
      </w:r>
      <w:r>
        <w:rPr>
          <w:rFonts w:hint="eastAsia" w:ascii="宋体" w:hAnsi="宋体"/>
          <w:color w:val="auto"/>
          <w:sz w:val="24"/>
          <w:szCs w:val="24"/>
        </w:rPr>
        <w:t>乙方及其工作人员违反本合同第</w:t>
      </w:r>
      <w:r>
        <w:rPr>
          <w:rFonts w:ascii="宋体" w:hAnsi="宋体"/>
          <w:color w:val="auto"/>
          <w:sz w:val="24"/>
          <w:szCs w:val="24"/>
        </w:rPr>
        <w:t>1</w:t>
      </w:r>
      <w:r>
        <w:rPr>
          <w:rFonts w:hint="eastAsia" w:ascii="宋体" w:hAnsi="宋体"/>
          <w:color w:val="auto"/>
          <w:sz w:val="24"/>
          <w:szCs w:val="24"/>
        </w:rPr>
        <w:t>条和第</w:t>
      </w:r>
      <w:r>
        <w:rPr>
          <w:rFonts w:ascii="宋体" w:hAnsi="宋体"/>
          <w:color w:val="auto"/>
          <w:sz w:val="24"/>
          <w:szCs w:val="24"/>
        </w:rPr>
        <w:t>3</w:t>
      </w:r>
      <w:r>
        <w:rPr>
          <w:rFonts w:hint="eastAsia" w:ascii="宋体" w:hAnsi="宋体"/>
          <w:color w:val="auto"/>
          <w:sz w:val="24"/>
          <w:szCs w:val="24"/>
        </w:rPr>
        <w:t>条规定，应按照廉政建设的有关规定给予处分；情节严重的，给予乙方</w:t>
      </w:r>
      <w:r>
        <w:rPr>
          <w:rFonts w:ascii="宋体" w:hAnsi="宋体"/>
          <w:color w:val="auto"/>
          <w:sz w:val="24"/>
          <w:szCs w:val="24"/>
        </w:rPr>
        <w:t>1</w:t>
      </w: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年内不得进入工程建设市场的处罚；涉嫌犯罪的，移交司法机关追究刑事责任；给甲方造成损失的，应予赔偿；</w:t>
      </w:r>
      <w:bookmarkEnd w:id="18"/>
    </w:p>
    <w:p>
      <w:pPr>
        <w:spacing w:line="360" w:lineRule="auto"/>
        <w:ind w:firstLine="480" w:firstLineChars="200"/>
        <w:rPr>
          <w:rFonts w:ascii="宋体" w:hAnsi="宋体"/>
          <w:color w:val="auto"/>
          <w:sz w:val="24"/>
          <w:szCs w:val="24"/>
        </w:rPr>
      </w:pPr>
      <w:r>
        <w:rPr>
          <w:rFonts w:ascii="宋体" w:hAnsi="宋体"/>
          <w:color w:val="auto"/>
          <w:sz w:val="24"/>
          <w:szCs w:val="24"/>
        </w:rPr>
        <w:t xml:space="preserve">5 </w:t>
      </w:r>
      <w:r>
        <w:rPr>
          <w:rFonts w:hint="eastAsia" w:ascii="宋体" w:hAnsi="宋体"/>
          <w:color w:val="auto"/>
          <w:sz w:val="24"/>
          <w:szCs w:val="24"/>
        </w:rPr>
        <w:t>双方约定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本合同由合同双方当事人或其上级部门负责监督执行，并由合同双方当事人或其上级部门相互约请对本合同执行情况进行检查。</w:t>
      </w:r>
    </w:p>
    <w:p>
      <w:pPr>
        <w:spacing w:line="360" w:lineRule="auto"/>
        <w:ind w:firstLine="480" w:firstLineChars="200"/>
        <w:rPr>
          <w:rFonts w:ascii="宋体" w:hAnsi="宋体"/>
          <w:color w:val="auto"/>
          <w:sz w:val="24"/>
          <w:szCs w:val="24"/>
        </w:rPr>
      </w:pPr>
      <w:r>
        <w:rPr>
          <w:rFonts w:ascii="宋体" w:hAnsi="宋体"/>
          <w:color w:val="auto"/>
          <w:sz w:val="24"/>
          <w:szCs w:val="24"/>
        </w:rPr>
        <w:t xml:space="preserve">6 </w:t>
      </w:r>
      <w:r>
        <w:rPr>
          <w:rFonts w:hint="eastAsia" w:ascii="宋体" w:hAnsi="宋体"/>
          <w:color w:val="auto"/>
          <w:sz w:val="24"/>
          <w:szCs w:val="24"/>
        </w:rPr>
        <w:t>合同法律效力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本合同作为广州电缆转型升级产业基地项目第三方检测监测服务合同的附件具有同等的法律效力。</w:t>
      </w:r>
    </w:p>
    <w:p>
      <w:pPr>
        <w:spacing w:line="360" w:lineRule="auto"/>
        <w:ind w:firstLine="480" w:firstLineChars="200"/>
        <w:rPr>
          <w:rFonts w:ascii="宋体" w:hAnsi="宋体"/>
          <w:color w:val="auto"/>
          <w:sz w:val="24"/>
          <w:szCs w:val="24"/>
        </w:rPr>
      </w:pPr>
      <w:r>
        <w:rPr>
          <w:rFonts w:ascii="宋体" w:hAnsi="宋体"/>
          <w:color w:val="auto"/>
          <w:sz w:val="24"/>
          <w:szCs w:val="24"/>
        </w:rPr>
        <w:t xml:space="preserve">7 </w:t>
      </w:r>
      <w:r>
        <w:rPr>
          <w:rFonts w:hint="eastAsia" w:ascii="宋体" w:hAnsi="宋体"/>
          <w:color w:val="auto"/>
          <w:sz w:val="24"/>
          <w:szCs w:val="24"/>
        </w:rPr>
        <w:t>合同生效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本合同自合同双方当事人签署之日起生效，至合同工程竣工验收合格之日后失效。</w:t>
      </w:r>
    </w:p>
    <w:p>
      <w:pPr>
        <w:spacing w:line="360" w:lineRule="auto"/>
        <w:ind w:firstLine="480" w:firstLineChars="200"/>
        <w:rPr>
          <w:rFonts w:ascii="宋体" w:hAnsi="宋体"/>
          <w:color w:val="auto"/>
          <w:sz w:val="24"/>
          <w:szCs w:val="24"/>
        </w:rPr>
      </w:pPr>
      <w:r>
        <w:rPr>
          <w:rFonts w:ascii="宋体" w:hAnsi="宋体"/>
          <w:color w:val="auto"/>
          <w:sz w:val="24"/>
          <w:szCs w:val="24"/>
        </w:rPr>
        <w:t xml:space="preserve">8 </w:t>
      </w:r>
      <w:r>
        <w:rPr>
          <w:rFonts w:hint="eastAsia" w:ascii="宋体" w:hAnsi="宋体"/>
          <w:color w:val="auto"/>
          <w:sz w:val="24"/>
          <w:szCs w:val="24"/>
        </w:rPr>
        <w:t>合同份数</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本合同一式</w:t>
      </w:r>
      <w:r>
        <w:rPr>
          <w:rFonts w:hint="eastAsia" w:ascii="宋体" w:hAnsi="宋体"/>
          <w:color w:val="auto"/>
          <w:sz w:val="24"/>
          <w:szCs w:val="24"/>
          <w:u w:val="single"/>
        </w:rPr>
        <w:t>捌</w:t>
      </w:r>
      <w:r>
        <w:rPr>
          <w:rFonts w:hint="eastAsia" w:ascii="宋体" w:hAnsi="宋体"/>
          <w:color w:val="auto"/>
          <w:sz w:val="24"/>
          <w:szCs w:val="24"/>
        </w:rPr>
        <w:t>份，其中甲方</w:t>
      </w:r>
      <w:r>
        <w:rPr>
          <w:rFonts w:hint="eastAsia" w:ascii="宋体" w:hAnsi="宋体"/>
          <w:color w:val="auto"/>
          <w:sz w:val="24"/>
          <w:szCs w:val="24"/>
          <w:u w:val="single"/>
        </w:rPr>
        <w:t>肆</w:t>
      </w:r>
      <w:r>
        <w:rPr>
          <w:rFonts w:hint="eastAsia" w:ascii="宋体" w:hAnsi="宋体"/>
          <w:color w:val="auto"/>
          <w:sz w:val="24"/>
          <w:szCs w:val="24"/>
        </w:rPr>
        <w:t>份，乙方</w:t>
      </w:r>
      <w:r>
        <w:rPr>
          <w:rFonts w:hint="eastAsia" w:ascii="宋体" w:hAnsi="宋体"/>
          <w:color w:val="auto"/>
          <w:sz w:val="24"/>
          <w:szCs w:val="24"/>
          <w:u w:val="single"/>
        </w:rPr>
        <w:t>肆</w:t>
      </w:r>
      <w:r>
        <w:rPr>
          <w:rFonts w:hint="eastAsia" w:ascii="宋体" w:hAnsi="宋体"/>
          <w:color w:val="auto"/>
          <w:sz w:val="24"/>
          <w:szCs w:val="24"/>
        </w:rPr>
        <w:t>份。有上级部门的，合同双方当事人应各送交其上级部门一份。</w:t>
      </w:r>
    </w:p>
    <w:p>
      <w:pPr>
        <w:spacing w:line="520" w:lineRule="exact"/>
        <w:rPr>
          <w:rFonts w:ascii="宋体" w:hAnsi="宋体"/>
          <w:color w:val="auto"/>
          <w:sz w:val="28"/>
          <w:szCs w:val="28"/>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甲方：</w:t>
      </w:r>
      <w:r>
        <w:rPr>
          <w:rFonts w:hint="eastAsia" w:ascii="宋体" w:hAnsi="宋体"/>
          <w:color w:val="auto"/>
          <w:sz w:val="24"/>
          <w:szCs w:val="24"/>
          <w:u w:val="single"/>
        </w:rPr>
        <w:t>广州中船船用柴油机有限公司</w:t>
      </w:r>
      <w:r>
        <w:rPr>
          <w:rFonts w:hint="eastAsia" w:ascii="宋体" w:hAnsi="宋体"/>
          <w:color w:val="auto"/>
          <w:sz w:val="24"/>
          <w:szCs w:val="24"/>
        </w:rPr>
        <w:t>（盖章）</w:t>
      </w:r>
    </w:p>
    <w:p>
      <w:pPr>
        <w:adjustRightInd w:val="0"/>
        <w:snapToGrid w:val="0"/>
        <w:spacing w:line="360" w:lineRule="auto"/>
        <w:rPr>
          <w:rFonts w:ascii="宋体" w:hAnsi="宋体"/>
          <w:color w:val="auto"/>
          <w:sz w:val="24"/>
          <w:szCs w:val="24"/>
          <w:u w:val="single"/>
        </w:rPr>
      </w:pPr>
      <w:r>
        <w:rPr>
          <w:rFonts w:hint="eastAsia" w:ascii="宋体" w:hAnsi="宋体"/>
          <w:color w:val="auto"/>
          <w:sz w:val="24"/>
          <w:szCs w:val="24"/>
        </w:rPr>
        <w:t>法定代表人或授权代表人：</w:t>
      </w:r>
    </w:p>
    <w:p>
      <w:pPr>
        <w:spacing w:line="520" w:lineRule="exact"/>
        <w:rPr>
          <w:rFonts w:ascii="宋体" w:hAnsi="宋体"/>
          <w:color w:val="auto"/>
          <w:sz w:val="24"/>
          <w:szCs w:val="24"/>
        </w:rPr>
      </w:pPr>
      <w:r>
        <w:rPr>
          <w:rFonts w:hint="eastAsia" w:ascii="宋体" w:hAnsi="宋体"/>
          <w:color w:val="auto"/>
          <w:sz w:val="24"/>
          <w:szCs w:val="24"/>
        </w:rPr>
        <w:t>（签字或盖章）</w:t>
      </w:r>
    </w:p>
    <w:p>
      <w:pPr>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开户银行：</w:t>
      </w:r>
    </w:p>
    <w:p>
      <w:pPr>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银行帐户：</w:t>
      </w:r>
    </w:p>
    <w:p>
      <w:pPr>
        <w:pStyle w:val="22"/>
        <w:rPr>
          <w:color w:val="auto"/>
        </w:rPr>
      </w:pPr>
    </w:p>
    <w:p>
      <w:pPr>
        <w:pStyle w:val="22"/>
        <w:rPr>
          <w:color w:val="auto"/>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乙方（成</w:t>
      </w:r>
      <w:r>
        <w:rPr>
          <w:rFonts w:ascii="宋体" w:hAnsi="宋体"/>
          <w:color w:val="auto"/>
          <w:sz w:val="24"/>
          <w:szCs w:val="24"/>
        </w:rPr>
        <w:t>）</w:t>
      </w:r>
      <w:r>
        <w:rPr>
          <w:rFonts w:hint="eastAsia" w:ascii="宋体" w:hAnsi="宋体"/>
          <w:color w:val="auto"/>
          <w:sz w:val="24"/>
          <w:szCs w:val="24"/>
        </w:rPr>
        <w:t>：（盖章）</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法定代表人或授权代表人：</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（签字或盖章）</w:t>
      </w:r>
    </w:p>
    <w:p>
      <w:pPr>
        <w:pStyle w:val="2"/>
        <w:rPr>
          <w:color w:val="auto"/>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开户银行：</w:t>
      </w:r>
    </w:p>
    <w:p>
      <w:pPr>
        <w:pStyle w:val="2"/>
        <w:rPr>
          <w:color w:val="auto"/>
        </w:rPr>
      </w:pPr>
    </w:p>
    <w:p>
      <w:pPr>
        <w:adjustRightInd w:val="0"/>
        <w:snapToGrid w:val="0"/>
        <w:spacing w:line="360" w:lineRule="auto"/>
        <w:rPr>
          <w:rFonts w:ascii="仿宋_GB2312" w:eastAsia="仿宋_GB2312"/>
          <w:color w:val="auto"/>
          <w:sz w:val="24"/>
        </w:rPr>
      </w:pPr>
      <w:r>
        <w:rPr>
          <w:rFonts w:hint="eastAsia" w:ascii="宋体" w:hAnsi="宋体"/>
          <w:color w:val="auto"/>
          <w:sz w:val="24"/>
          <w:szCs w:val="24"/>
        </w:rPr>
        <w:t>银行帐户：</w:t>
      </w:r>
    </w:p>
    <w:p>
      <w:pPr>
        <w:pStyle w:val="22"/>
        <w:rPr>
          <w:color w:val="auto"/>
        </w:rPr>
      </w:pPr>
    </w:p>
    <w:p>
      <w:pPr>
        <w:pStyle w:val="22"/>
        <w:rPr>
          <w:color w:val="auto"/>
        </w:rPr>
      </w:pPr>
    </w:p>
    <w:p>
      <w:pPr>
        <w:pStyle w:val="22"/>
        <w:rPr>
          <w:color w:val="auto"/>
        </w:rPr>
      </w:pPr>
    </w:p>
    <w:p>
      <w:pPr>
        <w:pStyle w:val="22"/>
        <w:rPr>
          <w:color w:val="auto"/>
        </w:rPr>
      </w:pPr>
    </w:p>
    <w:p>
      <w:pPr>
        <w:spacing w:line="360" w:lineRule="auto"/>
        <w:jc w:val="center"/>
        <w:rPr>
          <w:rFonts w:ascii="宋体" w:hAnsi="宋体"/>
          <w:color w:val="auto"/>
          <w:sz w:val="24"/>
          <w:szCs w:val="24"/>
        </w:rPr>
      </w:pPr>
      <w:r>
        <w:rPr>
          <w:rFonts w:hint="eastAsia" w:ascii="宋体" w:hAnsi="宋体"/>
          <w:color w:val="auto"/>
          <w:sz w:val="24"/>
          <w:szCs w:val="24"/>
          <w:u w:val="single"/>
        </w:rPr>
        <w:t>签约时间：2023</w:t>
      </w:r>
      <w:r>
        <w:rPr>
          <w:rFonts w:hint="eastAsia" w:ascii="宋体" w:hAnsi="宋体"/>
          <w:color w:val="auto"/>
          <w:sz w:val="24"/>
          <w:szCs w:val="24"/>
        </w:rPr>
        <w:t>年月日</w:t>
      </w:r>
    </w:p>
    <w:p>
      <w:pPr>
        <w:pStyle w:val="8"/>
        <w:rPr>
          <w:rFonts w:hAnsi="宋体"/>
          <w:color w:val="auto"/>
          <w:sz w:val="24"/>
          <w:szCs w:val="24"/>
        </w:rPr>
      </w:pPr>
    </w:p>
    <w:p>
      <w:pPr>
        <w:rPr>
          <w:rFonts w:ascii="宋体" w:hAnsi="宋体"/>
          <w:color w:val="auto"/>
          <w:sz w:val="28"/>
          <w:szCs w:val="28"/>
        </w:rPr>
      </w:pPr>
    </w:p>
    <w:p>
      <w:pPr>
        <w:rPr>
          <w:rFonts w:ascii="宋体" w:hAnsi="宋体"/>
          <w:color w:val="auto"/>
          <w:sz w:val="28"/>
          <w:szCs w:val="28"/>
        </w:rPr>
      </w:pPr>
    </w:p>
    <w:p>
      <w:pPr>
        <w:pStyle w:val="16"/>
        <w:ind w:left="0" w:leftChars="0" w:firstLine="0" w:firstLineChars="0"/>
        <w:rPr>
          <w:color w:val="auto"/>
        </w:rPr>
      </w:pPr>
    </w:p>
    <w:p>
      <w:pPr>
        <w:rPr>
          <w:rFonts w:ascii="宋体" w:hAnsi="宋体"/>
          <w:color w:val="auto"/>
          <w:sz w:val="28"/>
          <w:szCs w:val="28"/>
        </w:rPr>
      </w:pPr>
      <w:r>
        <w:rPr>
          <w:rFonts w:hint="eastAsia" w:ascii="宋体" w:hAnsi="宋体"/>
          <w:color w:val="auto"/>
          <w:sz w:val="28"/>
          <w:szCs w:val="28"/>
        </w:rPr>
        <w:t>附件二中标通知书</w:t>
      </w:r>
    </w:p>
    <w:p>
      <w:pPr>
        <w:rPr>
          <w:rFonts w:ascii="宋体" w:hAnsi="宋体"/>
          <w:color w:val="auto"/>
          <w:sz w:val="28"/>
          <w:szCs w:val="28"/>
        </w:rPr>
      </w:pPr>
    </w:p>
    <w:p>
      <w:pPr>
        <w:spacing w:line="360" w:lineRule="auto"/>
        <w:rPr>
          <w:rFonts w:ascii="宋体" w:hAnsi="宋体"/>
          <w:bCs/>
          <w:color w:val="auto"/>
          <w:sz w:val="28"/>
          <w:szCs w:val="28"/>
        </w:rPr>
      </w:pPr>
      <w:r>
        <w:rPr>
          <w:rFonts w:ascii="宋体" w:hAnsi="宋体"/>
          <w:bCs/>
          <w:color w:val="auto"/>
          <w:sz w:val="28"/>
          <w:szCs w:val="28"/>
        </w:rPr>
        <w:br w:type="page"/>
      </w:r>
      <w:r>
        <w:rPr>
          <w:rFonts w:hint="eastAsia" w:ascii="宋体" w:hAnsi="宋体"/>
          <w:bCs/>
          <w:color w:val="auto"/>
          <w:sz w:val="28"/>
          <w:szCs w:val="28"/>
        </w:rPr>
        <w:t>附件三</w:t>
      </w:r>
    </w:p>
    <w:p>
      <w:pPr>
        <w:spacing w:line="360" w:lineRule="auto"/>
        <w:jc w:val="center"/>
        <w:rPr>
          <w:rFonts w:ascii="宋体" w:hAnsi="宋体" w:cs="宋体"/>
          <w:bCs/>
          <w:color w:val="auto"/>
          <w:sz w:val="24"/>
          <w:szCs w:val="24"/>
        </w:rPr>
      </w:pPr>
      <w:r>
        <w:rPr>
          <w:rFonts w:hint="eastAsia" w:ascii="宋体" w:hAnsi="宋体" w:cs="宋体"/>
          <w:bCs/>
          <w:color w:val="auto"/>
          <w:sz w:val="24"/>
          <w:szCs w:val="24"/>
        </w:rPr>
        <w:t>《</w:t>
      </w:r>
      <w:r>
        <w:rPr>
          <w:rFonts w:hint="eastAsia" w:ascii="宋体" w:hAnsi="宋体" w:cs="宋体"/>
          <w:color w:val="auto"/>
          <w:sz w:val="24"/>
          <w:szCs w:val="24"/>
        </w:rPr>
        <w:t>广州工控大湾区现代高端装备研发生产基地项目（二期）第三方检测及监测服务工程量清单及价格表</w:t>
      </w:r>
      <w:r>
        <w:rPr>
          <w:rFonts w:hint="eastAsia" w:ascii="宋体" w:hAnsi="宋体" w:cs="宋体"/>
          <w:bCs/>
          <w:color w:val="auto"/>
          <w:sz w:val="24"/>
          <w:szCs w:val="24"/>
        </w:rPr>
        <w:t>》</w:t>
      </w:r>
    </w:p>
    <w:p>
      <w:pPr>
        <w:rPr>
          <w:rFonts w:ascii="宋体" w:hAnsi="宋体"/>
          <w:bCs/>
          <w:color w:val="auto"/>
          <w:sz w:val="28"/>
          <w:szCs w:val="28"/>
        </w:rPr>
      </w:pPr>
      <w:bookmarkStart w:id="19" w:name="_Toc482188667"/>
      <w:bookmarkStart w:id="20" w:name="_Toc536042823"/>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rFonts w:hAnsi="宋体"/>
          <w:bCs/>
          <w:color w:val="auto"/>
          <w:sz w:val="28"/>
          <w:szCs w:val="28"/>
        </w:rPr>
      </w:pPr>
    </w:p>
    <w:p>
      <w:pPr>
        <w:pStyle w:val="8"/>
        <w:rPr>
          <w:rFonts w:hAnsi="宋体"/>
          <w:bCs/>
          <w:color w:val="auto"/>
          <w:sz w:val="28"/>
          <w:szCs w:val="28"/>
        </w:rPr>
      </w:pPr>
    </w:p>
    <w:p>
      <w:pPr>
        <w:pStyle w:val="3"/>
        <w:jc w:val="both"/>
        <w:rPr>
          <w:rFonts w:ascii="宋体" w:hAnsi="宋体"/>
          <w:b w:val="0"/>
          <w:color w:val="auto"/>
          <w:kern w:val="2"/>
          <w:sz w:val="28"/>
          <w:szCs w:val="28"/>
        </w:rPr>
      </w:pPr>
      <w:r>
        <w:rPr>
          <w:rFonts w:hint="eastAsia" w:ascii="宋体" w:hAnsi="宋体"/>
          <w:b w:val="0"/>
          <w:color w:val="auto"/>
          <w:kern w:val="2"/>
          <w:sz w:val="28"/>
          <w:szCs w:val="28"/>
        </w:rPr>
        <w:t>附件</w:t>
      </w:r>
      <w:bookmarkEnd w:id="19"/>
      <w:r>
        <w:rPr>
          <w:rFonts w:hint="eastAsia" w:ascii="宋体" w:hAnsi="宋体"/>
          <w:b w:val="0"/>
          <w:color w:val="auto"/>
          <w:kern w:val="2"/>
          <w:sz w:val="28"/>
          <w:szCs w:val="28"/>
        </w:rPr>
        <w:t>四　</w:t>
      </w:r>
    </w:p>
    <w:p>
      <w:pPr>
        <w:jc w:val="center"/>
        <w:rPr>
          <w:b/>
          <w:bCs/>
          <w:color w:val="auto"/>
          <w:sz w:val="36"/>
          <w:szCs w:val="36"/>
        </w:rPr>
      </w:pPr>
      <w:r>
        <w:rPr>
          <w:rFonts w:hint="eastAsia" w:ascii="宋体" w:hAnsi="宋体" w:cs="宋体"/>
          <w:b/>
          <w:bCs/>
          <w:color w:val="auto"/>
          <w:sz w:val="36"/>
          <w:szCs w:val="36"/>
        </w:rPr>
        <w:t>检(监)测</w:t>
      </w:r>
      <w:r>
        <w:rPr>
          <w:rFonts w:hint="eastAsia"/>
          <w:b/>
          <w:bCs/>
          <w:color w:val="auto"/>
          <w:sz w:val="36"/>
          <w:szCs w:val="36"/>
        </w:rPr>
        <w:t>人员一览表</w:t>
      </w:r>
    </w:p>
    <w:p>
      <w:pPr>
        <w:rPr>
          <w:color w:val="auto"/>
        </w:rPr>
      </w:pPr>
    </w:p>
    <w:tbl>
      <w:tblPr>
        <w:tblStyle w:val="17"/>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8"/>
        <w:gridCol w:w="963"/>
        <w:gridCol w:w="586"/>
        <w:gridCol w:w="586"/>
        <w:gridCol w:w="586"/>
        <w:gridCol w:w="474"/>
        <w:gridCol w:w="946"/>
        <w:gridCol w:w="1239"/>
        <w:gridCol w:w="1118"/>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92" w:type="dxa"/>
            <w:vAlign w:val="center"/>
          </w:tcPr>
          <w:p>
            <w:pPr>
              <w:spacing w:line="440" w:lineRule="exact"/>
              <w:jc w:val="center"/>
              <w:rPr>
                <w:color w:val="auto"/>
              </w:rPr>
            </w:pPr>
            <w:r>
              <w:rPr>
                <w:color w:val="auto"/>
              </w:rPr>
              <w:t>序号</w:t>
            </w:r>
          </w:p>
        </w:tc>
        <w:tc>
          <w:tcPr>
            <w:tcW w:w="1238" w:type="dxa"/>
            <w:vAlign w:val="center"/>
          </w:tcPr>
          <w:p>
            <w:pPr>
              <w:spacing w:line="440" w:lineRule="exact"/>
              <w:jc w:val="center"/>
              <w:rPr>
                <w:color w:val="auto"/>
              </w:rPr>
            </w:pPr>
            <w:r>
              <w:rPr>
                <w:color w:val="auto"/>
              </w:rPr>
              <w:t>本项目任职</w:t>
            </w:r>
          </w:p>
        </w:tc>
        <w:tc>
          <w:tcPr>
            <w:tcW w:w="963" w:type="dxa"/>
            <w:vAlign w:val="center"/>
          </w:tcPr>
          <w:p>
            <w:pPr>
              <w:spacing w:line="440" w:lineRule="exact"/>
              <w:jc w:val="center"/>
              <w:rPr>
                <w:color w:val="auto"/>
              </w:rPr>
            </w:pPr>
            <w:r>
              <w:rPr>
                <w:color w:val="auto"/>
              </w:rPr>
              <w:t>姓名</w:t>
            </w:r>
          </w:p>
        </w:tc>
        <w:tc>
          <w:tcPr>
            <w:tcW w:w="586" w:type="dxa"/>
          </w:tcPr>
          <w:p>
            <w:pPr>
              <w:spacing w:line="440" w:lineRule="exact"/>
              <w:jc w:val="center"/>
              <w:rPr>
                <w:color w:val="auto"/>
                <w:szCs w:val="22"/>
              </w:rPr>
            </w:pPr>
          </w:p>
          <w:p>
            <w:pPr>
              <w:spacing w:line="440" w:lineRule="exact"/>
              <w:jc w:val="center"/>
              <w:rPr>
                <w:color w:val="auto"/>
                <w:szCs w:val="22"/>
              </w:rPr>
            </w:pPr>
            <w:r>
              <w:rPr>
                <w:rFonts w:hint="eastAsia"/>
                <w:color w:val="auto"/>
                <w:szCs w:val="22"/>
              </w:rPr>
              <w:t>年龄</w:t>
            </w:r>
          </w:p>
        </w:tc>
        <w:tc>
          <w:tcPr>
            <w:tcW w:w="586" w:type="dxa"/>
          </w:tcPr>
          <w:p>
            <w:pPr>
              <w:spacing w:line="440" w:lineRule="exact"/>
              <w:jc w:val="center"/>
              <w:rPr>
                <w:color w:val="auto"/>
                <w:szCs w:val="22"/>
              </w:rPr>
            </w:pPr>
          </w:p>
          <w:p>
            <w:pPr>
              <w:spacing w:line="440" w:lineRule="exact"/>
              <w:jc w:val="center"/>
              <w:rPr>
                <w:color w:val="auto"/>
                <w:szCs w:val="22"/>
              </w:rPr>
            </w:pPr>
            <w:r>
              <w:rPr>
                <w:rFonts w:hint="eastAsia"/>
                <w:color w:val="auto"/>
                <w:szCs w:val="22"/>
              </w:rPr>
              <w:t>学历</w:t>
            </w:r>
          </w:p>
        </w:tc>
        <w:tc>
          <w:tcPr>
            <w:tcW w:w="586" w:type="dxa"/>
            <w:vAlign w:val="center"/>
          </w:tcPr>
          <w:p>
            <w:pPr>
              <w:spacing w:line="440" w:lineRule="exact"/>
              <w:jc w:val="center"/>
              <w:rPr>
                <w:color w:val="auto"/>
              </w:rPr>
            </w:pPr>
            <w:r>
              <w:rPr>
                <w:rFonts w:hint="eastAsia"/>
                <w:color w:val="auto"/>
              </w:rPr>
              <w:t>专业</w:t>
            </w:r>
          </w:p>
        </w:tc>
        <w:tc>
          <w:tcPr>
            <w:tcW w:w="474" w:type="dxa"/>
            <w:vAlign w:val="center"/>
          </w:tcPr>
          <w:p>
            <w:pPr>
              <w:spacing w:line="440" w:lineRule="exact"/>
              <w:jc w:val="center"/>
              <w:rPr>
                <w:color w:val="auto"/>
              </w:rPr>
            </w:pPr>
            <w:r>
              <w:rPr>
                <w:rFonts w:hint="eastAsia"/>
                <w:color w:val="auto"/>
              </w:rPr>
              <w:t>职称</w:t>
            </w:r>
          </w:p>
        </w:tc>
        <w:tc>
          <w:tcPr>
            <w:tcW w:w="946" w:type="dxa"/>
            <w:vAlign w:val="center"/>
          </w:tcPr>
          <w:p>
            <w:pPr>
              <w:jc w:val="center"/>
              <w:rPr>
                <w:color w:val="auto"/>
                <w:szCs w:val="21"/>
              </w:rPr>
            </w:pPr>
            <w:r>
              <w:rPr>
                <w:rFonts w:hint="eastAsia" w:ascii="宋体" w:hAnsi="宋体"/>
                <w:color w:val="auto"/>
                <w:szCs w:val="21"/>
              </w:rPr>
              <w:t>上岗证</w:t>
            </w:r>
          </w:p>
        </w:tc>
        <w:tc>
          <w:tcPr>
            <w:tcW w:w="1239" w:type="dxa"/>
          </w:tcPr>
          <w:p>
            <w:pPr>
              <w:jc w:val="center"/>
              <w:rPr>
                <w:rFonts w:ascii="宋体" w:hAnsi="宋体"/>
                <w:color w:val="auto"/>
                <w:position w:val="-30"/>
                <w:sz w:val="22"/>
              </w:rPr>
            </w:pPr>
            <w:r>
              <w:rPr>
                <w:rFonts w:hint="eastAsia" w:ascii="宋体" w:hAnsi="宋体"/>
                <w:color w:val="auto"/>
                <w:position w:val="-30"/>
                <w:sz w:val="22"/>
              </w:rPr>
              <w:t>参加</w:t>
            </w:r>
          </w:p>
          <w:p>
            <w:pPr>
              <w:jc w:val="center"/>
              <w:rPr>
                <w:rFonts w:ascii="宋体" w:hAnsi="宋体"/>
                <w:color w:val="auto"/>
                <w:position w:val="-30"/>
                <w:szCs w:val="21"/>
              </w:rPr>
            </w:pPr>
            <w:r>
              <w:rPr>
                <w:rFonts w:hint="eastAsia" w:ascii="宋体" w:hAnsi="宋体"/>
                <w:color w:val="auto"/>
                <w:position w:val="-30"/>
                <w:sz w:val="22"/>
              </w:rPr>
              <w:t>工作时间</w:t>
            </w:r>
          </w:p>
        </w:tc>
        <w:tc>
          <w:tcPr>
            <w:tcW w:w="1118" w:type="dxa"/>
            <w:vAlign w:val="center"/>
          </w:tcPr>
          <w:p>
            <w:pPr>
              <w:jc w:val="center"/>
              <w:rPr>
                <w:color w:val="auto"/>
                <w:szCs w:val="21"/>
              </w:rPr>
            </w:pPr>
            <w:r>
              <w:rPr>
                <w:rFonts w:hint="eastAsia" w:ascii="宋体" w:hAnsi="宋体"/>
                <w:color w:val="auto"/>
                <w:position w:val="-30"/>
                <w:szCs w:val="21"/>
              </w:rPr>
              <w:t>从事检(监)测工作年限</w:t>
            </w:r>
          </w:p>
        </w:tc>
        <w:tc>
          <w:tcPr>
            <w:tcW w:w="804" w:type="dxa"/>
            <w:vAlign w:val="center"/>
          </w:tcPr>
          <w:p>
            <w:pPr>
              <w:spacing w:line="440" w:lineRule="exact"/>
              <w:jc w:val="center"/>
              <w:rPr>
                <w:color w:val="auto"/>
              </w:rPr>
            </w:pPr>
            <w:r>
              <w:rPr>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spacing w:line="440" w:lineRule="exact"/>
              <w:jc w:val="center"/>
              <w:rPr>
                <w:color w:val="auto"/>
              </w:rPr>
            </w:pPr>
          </w:p>
        </w:tc>
        <w:tc>
          <w:tcPr>
            <w:tcW w:w="1238" w:type="dxa"/>
          </w:tcPr>
          <w:p>
            <w:pPr>
              <w:spacing w:line="440" w:lineRule="exact"/>
              <w:jc w:val="center"/>
              <w:rPr>
                <w:color w:val="auto"/>
              </w:rPr>
            </w:pPr>
          </w:p>
        </w:tc>
        <w:tc>
          <w:tcPr>
            <w:tcW w:w="963" w:type="dxa"/>
            <w:vAlign w:val="center"/>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586" w:type="dxa"/>
            <w:vAlign w:val="center"/>
          </w:tcPr>
          <w:p>
            <w:pPr>
              <w:spacing w:line="440" w:lineRule="exact"/>
              <w:jc w:val="center"/>
              <w:rPr>
                <w:color w:val="auto"/>
              </w:rPr>
            </w:pPr>
          </w:p>
        </w:tc>
        <w:tc>
          <w:tcPr>
            <w:tcW w:w="474" w:type="dxa"/>
            <w:vAlign w:val="center"/>
          </w:tcPr>
          <w:p>
            <w:pPr>
              <w:spacing w:line="440" w:lineRule="exact"/>
              <w:jc w:val="center"/>
              <w:rPr>
                <w:color w:val="auto"/>
              </w:rPr>
            </w:pPr>
          </w:p>
        </w:tc>
        <w:tc>
          <w:tcPr>
            <w:tcW w:w="946" w:type="dxa"/>
          </w:tcPr>
          <w:p>
            <w:pPr>
              <w:spacing w:line="440" w:lineRule="exact"/>
              <w:jc w:val="center"/>
              <w:rPr>
                <w:color w:val="auto"/>
              </w:rPr>
            </w:pPr>
          </w:p>
        </w:tc>
        <w:tc>
          <w:tcPr>
            <w:tcW w:w="1239" w:type="dxa"/>
          </w:tcPr>
          <w:p>
            <w:pPr>
              <w:spacing w:line="440" w:lineRule="exact"/>
              <w:jc w:val="center"/>
              <w:rPr>
                <w:color w:val="auto"/>
              </w:rPr>
            </w:pPr>
          </w:p>
        </w:tc>
        <w:tc>
          <w:tcPr>
            <w:tcW w:w="1118" w:type="dxa"/>
          </w:tcPr>
          <w:p>
            <w:pPr>
              <w:spacing w:line="440" w:lineRule="exact"/>
              <w:jc w:val="center"/>
              <w:rPr>
                <w:color w:val="auto"/>
              </w:rPr>
            </w:pPr>
          </w:p>
        </w:tc>
        <w:tc>
          <w:tcPr>
            <w:tcW w:w="804" w:type="dxa"/>
            <w:vAlign w:val="center"/>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spacing w:line="440" w:lineRule="exact"/>
              <w:jc w:val="center"/>
              <w:rPr>
                <w:color w:val="auto"/>
              </w:rPr>
            </w:pPr>
          </w:p>
        </w:tc>
        <w:tc>
          <w:tcPr>
            <w:tcW w:w="1238" w:type="dxa"/>
          </w:tcPr>
          <w:p>
            <w:pPr>
              <w:spacing w:line="440" w:lineRule="exact"/>
              <w:jc w:val="center"/>
              <w:rPr>
                <w:color w:val="auto"/>
              </w:rPr>
            </w:pPr>
          </w:p>
        </w:tc>
        <w:tc>
          <w:tcPr>
            <w:tcW w:w="963"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474" w:type="dxa"/>
          </w:tcPr>
          <w:p>
            <w:pPr>
              <w:spacing w:line="440" w:lineRule="exact"/>
              <w:jc w:val="center"/>
              <w:rPr>
                <w:color w:val="auto"/>
              </w:rPr>
            </w:pPr>
          </w:p>
        </w:tc>
        <w:tc>
          <w:tcPr>
            <w:tcW w:w="946" w:type="dxa"/>
          </w:tcPr>
          <w:p>
            <w:pPr>
              <w:spacing w:line="440" w:lineRule="exact"/>
              <w:jc w:val="center"/>
              <w:rPr>
                <w:color w:val="auto"/>
              </w:rPr>
            </w:pPr>
          </w:p>
        </w:tc>
        <w:tc>
          <w:tcPr>
            <w:tcW w:w="1239" w:type="dxa"/>
          </w:tcPr>
          <w:p>
            <w:pPr>
              <w:spacing w:line="440" w:lineRule="exact"/>
              <w:jc w:val="center"/>
              <w:rPr>
                <w:color w:val="auto"/>
              </w:rPr>
            </w:pPr>
          </w:p>
        </w:tc>
        <w:tc>
          <w:tcPr>
            <w:tcW w:w="1118" w:type="dxa"/>
          </w:tcPr>
          <w:p>
            <w:pPr>
              <w:spacing w:line="440" w:lineRule="exact"/>
              <w:jc w:val="center"/>
              <w:rPr>
                <w:color w:val="auto"/>
              </w:rPr>
            </w:pPr>
          </w:p>
        </w:tc>
        <w:tc>
          <w:tcPr>
            <w:tcW w:w="804" w:type="dxa"/>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spacing w:line="440" w:lineRule="exact"/>
              <w:jc w:val="center"/>
              <w:rPr>
                <w:color w:val="auto"/>
              </w:rPr>
            </w:pPr>
          </w:p>
        </w:tc>
        <w:tc>
          <w:tcPr>
            <w:tcW w:w="1238" w:type="dxa"/>
          </w:tcPr>
          <w:p>
            <w:pPr>
              <w:spacing w:line="440" w:lineRule="exact"/>
              <w:jc w:val="center"/>
              <w:rPr>
                <w:color w:val="auto"/>
              </w:rPr>
            </w:pPr>
          </w:p>
        </w:tc>
        <w:tc>
          <w:tcPr>
            <w:tcW w:w="963"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474" w:type="dxa"/>
          </w:tcPr>
          <w:p>
            <w:pPr>
              <w:spacing w:line="440" w:lineRule="exact"/>
              <w:jc w:val="center"/>
              <w:rPr>
                <w:color w:val="auto"/>
              </w:rPr>
            </w:pPr>
          </w:p>
        </w:tc>
        <w:tc>
          <w:tcPr>
            <w:tcW w:w="946" w:type="dxa"/>
          </w:tcPr>
          <w:p>
            <w:pPr>
              <w:spacing w:line="440" w:lineRule="exact"/>
              <w:jc w:val="center"/>
              <w:rPr>
                <w:color w:val="auto"/>
              </w:rPr>
            </w:pPr>
          </w:p>
        </w:tc>
        <w:tc>
          <w:tcPr>
            <w:tcW w:w="1239" w:type="dxa"/>
          </w:tcPr>
          <w:p>
            <w:pPr>
              <w:spacing w:line="440" w:lineRule="exact"/>
              <w:jc w:val="center"/>
              <w:rPr>
                <w:color w:val="auto"/>
              </w:rPr>
            </w:pPr>
          </w:p>
        </w:tc>
        <w:tc>
          <w:tcPr>
            <w:tcW w:w="1118" w:type="dxa"/>
          </w:tcPr>
          <w:p>
            <w:pPr>
              <w:spacing w:line="440" w:lineRule="exact"/>
              <w:jc w:val="center"/>
              <w:rPr>
                <w:color w:val="auto"/>
              </w:rPr>
            </w:pPr>
          </w:p>
        </w:tc>
        <w:tc>
          <w:tcPr>
            <w:tcW w:w="804" w:type="dxa"/>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spacing w:line="440" w:lineRule="exact"/>
              <w:jc w:val="center"/>
              <w:rPr>
                <w:color w:val="auto"/>
              </w:rPr>
            </w:pPr>
          </w:p>
        </w:tc>
        <w:tc>
          <w:tcPr>
            <w:tcW w:w="1238" w:type="dxa"/>
          </w:tcPr>
          <w:p>
            <w:pPr>
              <w:spacing w:line="440" w:lineRule="exact"/>
              <w:jc w:val="center"/>
              <w:rPr>
                <w:color w:val="auto"/>
              </w:rPr>
            </w:pPr>
          </w:p>
        </w:tc>
        <w:tc>
          <w:tcPr>
            <w:tcW w:w="963"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474" w:type="dxa"/>
          </w:tcPr>
          <w:p>
            <w:pPr>
              <w:spacing w:line="440" w:lineRule="exact"/>
              <w:jc w:val="center"/>
              <w:rPr>
                <w:color w:val="auto"/>
              </w:rPr>
            </w:pPr>
          </w:p>
        </w:tc>
        <w:tc>
          <w:tcPr>
            <w:tcW w:w="946" w:type="dxa"/>
          </w:tcPr>
          <w:p>
            <w:pPr>
              <w:spacing w:line="440" w:lineRule="exact"/>
              <w:jc w:val="center"/>
              <w:rPr>
                <w:color w:val="auto"/>
              </w:rPr>
            </w:pPr>
          </w:p>
        </w:tc>
        <w:tc>
          <w:tcPr>
            <w:tcW w:w="1239" w:type="dxa"/>
          </w:tcPr>
          <w:p>
            <w:pPr>
              <w:spacing w:line="440" w:lineRule="exact"/>
              <w:jc w:val="center"/>
              <w:rPr>
                <w:color w:val="auto"/>
              </w:rPr>
            </w:pPr>
          </w:p>
        </w:tc>
        <w:tc>
          <w:tcPr>
            <w:tcW w:w="1118" w:type="dxa"/>
          </w:tcPr>
          <w:p>
            <w:pPr>
              <w:spacing w:line="440" w:lineRule="exact"/>
              <w:jc w:val="center"/>
              <w:rPr>
                <w:color w:val="auto"/>
              </w:rPr>
            </w:pPr>
          </w:p>
        </w:tc>
        <w:tc>
          <w:tcPr>
            <w:tcW w:w="804" w:type="dxa"/>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spacing w:line="440" w:lineRule="exact"/>
              <w:jc w:val="center"/>
              <w:rPr>
                <w:color w:val="auto"/>
              </w:rPr>
            </w:pPr>
          </w:p>
        </w:tc>
        <w:tc>
          <w:tcPr>
            <w:tcW w:w="1238" w:type="dxa"/>
          </w:tcPr>
          <w:p>
            <w:pPr>
              <w:spacing w:line="440" w:lineRule="exact"/>
              <w:jc w:val="center"/>
              <w:rPr>
                <w:color w:val="auto"/>
              </w:rPr>
            </w:pPr>
          </w:p>
        </w:tc>
        <w:tc>
          <w:tcPr>
            <w:tcW w:w="963"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474" w:type="dxa"/>
          </w:tcPr>
          <w:p>
            <w:pPr>
              <w:spacing w:line="440" w:lineRule="exact"/>
              <w:jc w:val="center"/>
              <w:rPr>
                <w:color w:val="auto"/>
              </w:rPr>
            </w:pPr>
          </w:p>
        </w:tc>
        <w:tc>
          <w:tcPr>
            <w:tcW w:w="946" w:type="dxa"/>
          </w:tcPr>
          <w:p>
            <w:pPr>
              <w:spacing w:line="440" w:lineRule="exact"/>
              <w:jc w:val="center"/>
              <w:rPr>
                <w:color w:val="auto"/>
              </w:rPr>
            </w:pPr>
          </w:p>
        </w:tc>
        <w:tc>
          <w:tcPr>
            <w:tcW w:w="1239" w:type="dxa"/>
          </w:tcPr>
          <w:p>
            <w:pPr>
              <w:spacing w:line="440" w:lineRule="exact"/>
              <w:jc w:val="center"/>
              <w:rPr>
                <w:color w:val="auto"/>
              </w:rPr>
            </w:pPr>
          </w:p>
        </w:tc>
        <w:tc>
          <w:tcPr>
            <w:tcW w:w="1118" w:type="dxa"/>
          </w:tcPr>
          <w:p>
            <w:pPr>
              <w:spacing w:line="440" w:lineRule="exact"/>
              <w:jc w:val="center"/>
              <w:rPr>
                <w:color w:val="auto"/>
              </w:rPr>
            </w:pPr>
          </w:p>
        </w:tc>
        <w:tc>
          <w:tcPr>
            <w:tcW w:w="804" w:type="dxa"/>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spacing w:line="440" w:lineRule="exact"/>
              <w:jc w:val="center"/>
              <w:rPr>
                <w:color w:val="auto"/>
              </w:rPr>
            </w:pPr>
          </w:p>
        </w:tc>
        <w:tc>
          <w:tcPr>
            <w:tcW w:w="1238" w:type="dxa"/>
          </w:tcPr>
          <w:p>
            <w:pPr>
              <w:spacing w:line="440" w:lineRule="exact"/>
              <w:jc w:val="center"/>
              <w:rPr>
                <w:color w:val="auto"/>
              </w:rPr>
            </w:pPr>
          </w:p>
        </w:tc>
        <w:tc>
          <w:tcPr>
            <w:tcW w:w="963"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474" w:type="dxa"/>
          </w:tcPr>
          <w:p>
            <w:pPr>
              <w:spacing w:line="440" w:lineRule="exact"/>
              <w:jc w:val="center"/>
              <w:rPr>
                <w:color w:val="auto"/>
              </w:rPr>
            </w:pPr>
          </w:p>
        </w:tc>
        <w:tc>
          <w:tcPr>
            <w:tcW w:w="946" w:type="dxa"/>
          </w:tcPr>
          <w:p>
            <w:pPr>
              <w:spacing w:line="440" w:lineRule="exact"/>
              <w:jc w:val="center"/>
              <w:rPr>
                <w:color w:val="auto"/>
              </w:rPr>
            </w:pPr>
          </w:p>
        </w:tc>
        <w:tc>
          <w:tcPr>
            <w:tcW w:w="1239" w:type="dxa"/>
          </w:tcPr>
          <w:p>
            <w:pPr>
              <w:spacing w:line="440" w:lineRule="exact"/>
              <w:jc w:val="center"/>
              <w:rPr>
                <w:color w:val="auto"/>
              </w:rPr>
            </w:pPr>
          </w:p>
        </w:tc>
        <w:tc>
          <w:tcPr>
            <w:tcW w:w="1118" w:type="dxa"/>
          </w:tcPr>
          <w:p>
            <w:pPr>
              <w:spacing w:line="440" w:lineRule="exact"/>
              <w:jc w:val="center"/>
              <w:rPr>
                <w:color w:val="auto"/>
              </w:rPr>
            </w:pPr>
          </w:p>
        </w:tc>
        <w:tc>
          <w:tcPr>
            <w:tcW w:w="804" w:type="dxa"/>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spacing w:line="440" w:lineRule="exact"/>
              <w:jc w:val="center"/>
              <w:rPr>
                <w:color w:val="auto"/>
              </w:rPr>
            </w:pPr>
          </w:p>
        </w:tc>
        <w:tc>
          <w:tcPr>
            <w:tcW w:w="1238" w:type="dxa"/>
          </w:tcPr>
          <w:p>
            <w:pPr>
              <w:spacing w:line="440" w:lineRule="exact"/>
              <w:jc w:val="center"/>
              <w:rPr>
                <w:color w:val="auto"/>
              </w:rPr>
            </w:pPr>
          </w:p>
        </w:tc>
        <w:tc>
          <w:tcPr>
            <w:tcW w:w="963"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474" w:type="dxa"/>
          </w:tcPr>
          <w:p>
            <w:pPr>
              <w:spacing w:line="440" w:lineRule="exact"/>
              <w:jc w:val="center"/>
              <w:rPr>
                <w:color w:val="auto"/>
              </w:rPr>
            </w:pPr>
          </w:p>
        </w:tc>
        <w:tc>
          <w:tcPr>
            <w:tcW w:w="946" w:type="dxa"/>
          </w:tcPr>
          <w:p>
            <w:pPr>
              <w:spacing w:line="440" w:lineRule="exact"/>
              <w:jc w:val="center"/>
              <w:rPr>
                <w:color w:val="auto"/>
              </w:rPr>
            </w:pPr>
          </w:p>
        </w:tc>
        <w:tc>
          <w:tcPr>
            <w:tcW w:w="1239" w:type="dxa"/>
          </w:tcPr>
          <w:p>
            <w:pPr>
              <w:spacing w:line="440" w:lineRule="exact"/>
              <w:jc w:val="center"/>
              <w:rPr>
                <w:color w:val="auto"/>
              </w:rPr>
            </w:pPr>
          </w:p>
        </w:tc>
        <w:tc>
          <w:tcPr>
            <w:tcW w:w="1118" w:type="dxa"/>
          </w:tcPr>
          <w:p>
            <w:pPr>
              <w:spacing w:line="440" w:lineRule="exact"/>
              <w:jc w:val="center"/>
              <w:rPr>
                <w:color w:val="auto"/>
              </w:rPr>
            </w:pPr>
          </w:p>
        </w:tc>
        <w:tc>
          <w:tcPr>
            <w:tcW w:w="804" w:type="dxa"/>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spacing w:line="440" w:lineRule="exact"/>
              <w:jc w:val="center"/>
              <w:rPr>
                <w:color w:val="auto"/>
              </w:rPr>
            </w:pPr>
          </w:p>
        </w:tc>
        <w:tc>
          <w:tcPr>
            <w:tcW w:w="1238" w:type="dxa"/>
          </w:tcPr>
          <w:p>
            <w:pPr>
              <w:spacing w:line="440" w:lineRule="exact"/>
              <w:jc w:val="center"/>
              <w:rPr>
                <w:color w:val="auto"/>
              </w:rPr>
            </w:pPr>
          </w:p>
        </w:tc>
        <w:tc>
          <w:tcPr>
            <w:tcW w:w="963"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474" w:type="dxa"/>
          </w:tcPr>
          <w:p>
            <w:pPr>
              <w:spacing w:line="440" w:lineRule="exact"/>
              <w:jc w:val="center"/>
              <w:rPr>
                <w:color w:val="auto"/>
              </w:rPr>
            </w:pPr>
          </w:p>
        </w:tc>
        <w:tc>
          <w:tcPr>
            <w:tcW w:w="946" w:type="dxa"/>
          </w:tcPr>
          <w:p>
            <w:pPr>
              <w:spacing w:line="440" w:lineRule="exact"/>
              <w:jc w:val="center"/>
              <w:rPr>
                <w:color w:val="auto"/>
              </w:rPr>
            </w:pPr>
          </w:p>
        </w:tc>
        <w:tc>
          <w:tcPr>
            <w:tcW w:w="1239" w:type="dxa"/>
          </w:tcPr>
          <w:p>
            <w:pPr>
              <w:spacing w:line="440" w:lineRule="exact"/>
              <w:jc w:val="center"/>
              <w:rPr>
                <w:color w:val="auto"/>
              </w:rPr>
            </w:pPr>
          </w:p>
        </w:tc>
        <w:tc>
          <w:tcPr>
            <w:tcW w:w="1118" w:type="dxa"/>
          </w:tcPr>
          <w:p>
            <w:pPr>
              <w:spacing w:line="440" w:lineRule="exact"/>
              <w:jc w:val="center"/>
              <w:rPr>
                <w:color w:val="auto"/>
              </w:rPr>
            </w:pPr>
          </w:p>
        </w:tc>
        <w:tc>
          <w:tcPr>
            <w:tcW w:w="804" w:type="dxa"/>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spacing w:line="440" w:lineRule="exact"/>
              <w:jc w:val="center"/>
              <w:rPr>
                <w:color w:val="auto"/>
              </w:rPr>
            </w:pPr>
          </w:p>
        </w:tc>
        <w:tc>
          <w:tcPr>
            <w:tcW w:w="1238" w:type="dxa"/>
          </w:tcPr>
          <w:p>
            <w:pPr>
              <w:spacing w:line="440" w:lineRule="exact"/>
              <w:jc w:val="center"/>
              <w:rPr>
                <w:color w:val="auto"/>
              </w:rPr>
            </w:pPr>
          </w:p>
        </w:tc>
        <w:tc>
          <w:tcPr>
            <w:tcW w:w="963"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474" w:type="dxa"/>
          </w:tcPr>
          <w:p>
            <w:pPr>
              <w:spacing w:line="440" w:lineRule="exact"/>
              <w:jc w:val="center"/>
              <w:rPr>
                <w:color w:val="auto"/>
              </w:rPr>
            </w:pPr>
          </w:p>
        </w:tc>
        <w:tc>
          <w:tcPr>
            <w:tcW w:w="946" w:type="dxa"/>
          </w:tcPr>
          <w:p>
            <w:pPr>
              <w:spacing w:line="440" w:lineRule="exact"/>
              <w:jc w:val="center"/>
              <w:rPr>
                <w:color w:val="auto"/>
              </w:rPr>
            </w:pPr>
          </w:p>
        </w:tc>
        <w:tc>
          <w:tcPr>
            <w:tcW w:w="1239" w:type="dxa"/>
          </w:tcPr>
          <w:p>
            <w:pPr>
              <w:spacing w:line="440" w:lineRule="exact"/>
              <w:jc w:val="center"/>
              <w:rPr>
                <w:color w:val="auto"/>
              </w:rPr>
            </w:pPr>
          </w:p>
        </w:tc>
        <w:tc>
          <w:tcPr>
            <w:tcW w:w="1118" w:type="dxa"/>
          </w:tcPr>
          <w:p>
            <w:pPr>
              <w:spacing w:line="440" w:lineRule="exact"/>
              <w:jc w:val="center"/>
              <w:rPr>
                <w:color w:val="auto"/>
              </w:rPr>
            </w:pPr>
          </w:p>
        </w:tc>
        <w:tc>
          <w:tcPr>
            <w:tcW w:w="804" w:type="dxa"/>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spacing w:line="440" w:lineRule="exact"/>
              <w:jc w:val="center"/>
              <w:rPr>
                <w:color w:val="auto"/>
              </w:rPr>
            </w:pPr>
          </w:p>
        </w:tc>
        <w:tc>
          <w:tcPr>
            <w:tcW w:w="1238" w:type="dxa"/>
          </w:tcPr>
          <w:p>
            <w:pPr>
              <w:spacing w:line="440" w:lineRule="exact"/>
              <w:jc w:val="center"/>
              <w:rPr>
                <w:color w:val="auto"/>
              </w:rPr>
            </w:pPr>
          </w:p>
        </w:tc>
        <w:tc>
          <w:tcPr>
            <w:tcW w:w="963"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586" w:type="dxa"/>
          </w:tcPr>
          <w:p>
            <w:pPr>
              <w:spacing w:line="440" w:lineRule="exact"/>
              <w:jc w:val="center"/>
              <w:rPr>
                <w:color w:val="auto"/>
              </w:rPr>
            </w:pPr>
          </w:p>
        </w:tc>
        <w:tc>
          <w:tcPr>
            <w:tcW w:w="474" w:type="dxa"/>
          </w:tcPr>
          <w:p>
            <w:pPr>
              <w:spacing w:line="440" w:lineRule="exact"/>
              <w:jc w:val="center"/>
              <w:rPr>
                <w:color w:val="auto"/>
              </w:rPr>
            </w:pPr>
          </w:p>
        </w:tc>
        <w:tc>
          <w:tcPr>
            <w:tcW w:w="946" w:type="dxa"/>
          </w:tcPr>
          <w:p>
            <w:pPr>
              <w:spacing w:line="440" w:lineRule="exact"/>
              <w:jc w:val="center"/>
              <w:rPr>
                <w:color w:val="auto"/>
              </w:rPr>
            </w:pPr>
          </w:p>
        </w:tc>
        <w:tc>
          <w:tcPr>
            <w:tcW w:w="1239" w:type="dxa"/>
          </w:tcPr>
          <w:p>
            <w:pPr>
              <w:spacing w:line="440" w:lineRule="exact"/>
              <w:jc w:val="center"/>
              <w:rPr>
                <w:color w:val="auto"/>
              </w:rPr>
            </w:pPr>
          </w:p>
        </w:tc>
        <w:tc>
          <w:tcPr>
            <w:tcW w:w="1118" w:type="dxa"/>
          </w:tcPr>
          <w:p>
            <w:pPr>
              <w:spacing w:line="440" w:lineRule="exact"/>
              <w:jc w:val="center"/>
              <w:rPr>
                <w:color w:val="auto"/>
              </w:rPr>
            </w:pPr>
          </w:p>
        </w:tc>
        <w:tc>
          <w:tcPr>
            <w:tcW w:w="804" w:type="dxa"/>
          </w:tcPr>
          <w:p>
            <w:pPr>
              <w:spacing w:line="440" w:lineRule="exact"/>
              <w:jc w:val="center"/>
              <w:rPr>
                <w:color w:val="auto"/>
              </w:rPr>
            </w:pPr>
          </w:p>
        </w:tc>
      </w:tr>
      <w:bookmarkEnd w:id="20"/>
    </w:tbl>
    <w:p>
      <w:pPr>
        <w:rPr>
          <w:color w:val="auto"/>
        </w:rPr>
      </w:pPr>
    </w:p>
    <w:p>
      <w:pPr>
        <w:rPr>
          <w:color w:val="auto"/>
        </w:rPr>
      </w:pPr>
    </w:p>
    <w:p>
      <w:pPr>
        <w:rPr>
          <w:color w:val="auto"/>
        </w:rPr>
      </w:pPr>
    </w:p>
    <w:p>
      <w:pPr>
        <w:rPr>
          <w:color w:val="auto"/>
        </w:rPr>
      </w:pPr>
    </w:p>
    <w:p>
      <w:pPr>
        <w:pStyle w:val="8"/>
        <w:rPr>
          <w:rFonts w:hAnsi="宋体"/>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Sylfaen">
    <w:panose1 w:val="010A0502050306030303"/>
    <w:charset w:val="00"/>
    <w:family w:val="roman"/>
    <w:pitch w:val="default"/>
    <w:sig w:usb0="04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Cs w:val="21"/>
      </w:rPr>
      <w:fldChar w:fldCharType="begin"/>
    </w:r>
    <w:r>
      <w:rPr>
        <w:szCs w:val="21"/>
      </w:rPr>
      <w:instrText xml:space="preserve"> PAGE </w:instrText>
    </w:r>
    <w:r>
      <w:rPr>
        <w:szCs w:val="21"/>
      </w:rPr>
      <w:fldChar w:fldCharType="separate"/>
    </w:r>
    <w:r>
      <w:rPr>
        <w:szCs w:val="21"/>
      </w:rPr>
      <w:t>32</w:t>
    </w:r>
    <w:r>
      <w:rPr>
        <w:szCs w:val="21"/>
      </w:rPr>
      <w:fldChar w:fldCharType="end"/>
    </w:r>
    <w:r>
      <w:rPr>
        <w:szCs w:val="21"/>
        <w:lang w:val="zh-CN"/>
      </w:rPr>
      <w:t xml:space="preserve"> / </w:t>
    </w:r>
    <w:r>
      <w:rPr>
        <w:szCs w:val="21"/>
      </w:rPr>
      <w:fldChar w:fldCharType="begin"/>
    </w:r>
    <w:r>
      <w:rPr>
        <w:szCs w:val="21"/>
      </w:rPr>
      <w:instrText xml:space="preserve"> NUMPAGES  </w:instrText>
    </w:r>
    <w:r>
      <w:rPr>
        <w:szCs w:val="21"/>
      </w:rPr>
      <w:fldChar w:fldCharType="separate"/>
    </w:r>
    <w:r>
      <w:rPr>
        <w:szCs w:val="21"/>
      </w:rPr>
      <w:t>32</w:t>
    </w:r>
    <w:r>
      <w:rPr>
        <w:szCs w:val="21"/>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EB833"/>
    <w:multiLevelType w:val="singleLevel"/>
    <w:tmpl w:val="4A5EB83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2YzQ2MTM5MjNmNGZkZWRmOGYzNGQ4Y2Y5ZDEwZTEifQ=="/>
  </w:docVars>
  <w:rsids>
    <w:rsidRoot w:val="009B658E"/>
    <w:rsid w:val="000026C5"/>
    <w:rsid w:val="0001575A"/>
    <w:rsid w:val="0003641D"/>
    <w:rsid w:val="000534A5"/>
    <w:rsid w:val="00074EFC"/>
    <w:rsid w:val="00075068"/>
    <w:rsid w:val="000778AB"/>
    <w:rsid w:val="00085055"/>
    <w:rsid w:val="00085BF9"/>
    <w:rsid w:val="0009506C"/>
    <w:rsid w:val="000A3813"/>
    <w:rsid w:val="000A51B9"/>
    <w:rsid w:val="000A55C6"/>
    <w:rsid w:val="000B56FA"/>
    <w:rsid w:val="000C7F02"/>
    <w:rsid w:val="000D000A"/>
    <w:rsid w:val="000D112D"/>
    <w:rsid w:val="000D39B5"/>
    <w:rsid w:val="000E144B"/>
    <w:rsid w:val="000E5541"/>
    <w:rsid w:val="00101030"/>
    <w:rsid w:val="00113A6F"/>
    <w:rsid w:val="001338CE"/>
    <w:rsid w:val="0014665E"/>
    <w:rsid w:val="001504B6"/>
    <w:rsid w:val="00157B11"/>
    <w:rsid w:val="00162066"/>
    <w:rsid w:val="0016245F"/>
    <w:rsid w:val="001637E4"/>
    <w:rsid w:val="001707CE"/>
    <w:rsid w:val="001772BB"/>
    <w:rsid w:val="00182F16"/>
    <w:rsid w:val="001834B6"/>
    <w:rsid w:val="001A0007"/>
    <w:rsid w:val="001A59DD"/>
    <w:rsid w:val="001A7466"/>
    <w:rsid w:val="001B0537"/>
    <w:rsid w:val="001B1C0C"/>
    <w:rsid w:val="001C1C4F"/>
    <w:rsid w:val="001D02DE"/>
    <w:rsid w:val="001E225E"/>
    <w:rsid w:val="001E7040"/>
    <w:rsid w:val="001F0D0A"/>
    <w:rsid w:val="00212C9F"/>
    <w:rsid w:val="0022015A"/>
    <w:rsid w:val="002213A2"/>
    <w:rsid w:val="00227BE7"/>
    <w:rsid w:val="002551B0"/>
    <w:rsid w:val="00263AB8"/>
    <w:rsid w:val="00273616"/>
    <w:rsid w:val="00275347"/>
    <w:rsid w:val="0028125C"/>
    <w:rsid w:val="002911BF"/>
    <w:rsid w:val="002A7DFA"/>
    <w:rsid w:val="002B1EA9"/>
    <w:rsid w:val="002C1E66"/>
    <w:rsid w:val="002C7BB1"/>
    <w:rsid w:val="002D38C1"/>
    <w:rsid w:val="002D4D99"/>
    <w:rsid w:val="002E3D28"/>
    <w:rsid w:val="002E5DE0"/>
    <w:rsid w:val="002E78DA"/>
    <w:rsid w:val="002F5B57"/>
    <w:rsid w:val="002F6535"/>
    <w:rsid w:val="0030622E"/>
    <w:rsid w:val="00310F45"/>
    <w:rsid w:val="00316CDA"/>
    <w:rsid w:val="00321335"/>
    <w:rsid w:val="00324ABD"/>
    <w:rsid w:val="003255E6"/>
    <w:rsid w:val="003305F0"/>
    <w:rsid w:val="00332BBD"/>
    <w:rsid w:val="003332F2"/>
    <w:rsid w:val="003369E6"/>
    <w:rsid w:val="00336BBE"/>
    <w:rsid w:val="00340515"/>
    <w:rsid w:val="00347236"/>
    <w:rsid w:val="00347D2A"/>
    <w:rsid w:val="003535DF"/>
    <w:rsid w:val="003554CB"/>
    <w:rsid w:val="00360C9C"/>
    <w:rsid w:val="00367484"/>
    <w:rsid w:val="00373384"/>
    <w:rsid w:val="003747F5"/>
    <w:rsid w:val="00377BC5"/>
    <w:rsid w:val="00391807"/>
    <w:rsid w:val="00394552"/>
    <w:rsid w:val="00395A56"/>
    <w:rsid w:val="00397034"/>
    <w:rsid w:val="003A163E"/>
    <w:rsid w:val="003D3981"/>
    <w:rsid w:val="003E44CD"/>
    <w:rsid w:val="003E4D1D"/>
    <w:rsid w:val="003F1544"/>
    <w:rsid w:val="003F3888"/>
    <w:rsid w:val="003F6483"/>
    <w:rsid w:val="004012F7"/>
    <w:rsid w:val="00401715"/>
    <w:rsid w:val="0040405F"/>
    <w:rsid w:val="0040727F"/>
    <w:rsid w:val="00420B84"/>
    <w:rsid w:val="00423A4B"/>
    <w:rsid w:val="004312DC"/>
    <w:rsid w:val="0044057E"/>
    <w:rsid w:val="0044404A"/>
    <w:rsid w:val="00447126"/>
    <w:rsid w:val="00462D68"/>
    <w:rsid w:val="00471977"/>
    <w:rsid w:val="00474953"/>
    <w:rsid w:val="00484876"/>
    <w:rsid w:val="004A1B52"/>
    <w:rsid w:val="004C03BA"/>
    <w:rsid w:val="004C0CC0"/>
    <w:rsid w:val="004C348B"/>
    <w:rsid w:val="004D03EB"/>
    <w:rsid w:val="004D5B57"/>
    <w:rsid w:val="004D6ED4"/>
    <w:rsid w:val="004E621C"/>
    <w:rsid w:val="004F0EB1"/>
    <w:rsid w:val="004F58FC"/>
    <w:rsid w:val="00505102"/>
    <w:rsid w:val="00516E3E"/>
    <w:rsid w:val="00523C2D"/>
    <w:rsid w:val="00533E6E"/>
    <w:rsid w:val="00544E48"/>
    <w:rsid w:val="005570AA"/>
    <w:rsid w:val="00561684"/>
    <w:rsid w:val="00565577"/>
    <w:rsid w:val="00571AF9"/>
    <w:rsid w:val="00574BCB"/>
    <w:rsid w:val="00574CC0"/>
    <w:rsid w:val="005A35CE"/>
    <w:rsid w:val="005A7CAD"/>
    <w:rsid w:val="005C692F"/>
    <w:rsid w:val="005D1AE5"/>
    <w:rsid w:val="005D2221"/>
    <w:rsid w:val="005D3BF9"/>
    <w:rsid w:val="005F1894"/>
    <w:rsid w:val="005F3E45"/>
    <w:rsid w:val="006104DC"/>
    <w:rsid w:val="00612654"/>
    <w:rsid w:val="00613E4C"/>
    <w:rsid w:val="00617995"/>
    <w:rsid w:val="00624445"/>
    <w:rsid w:val="00630C40"/>
    <w:rsid w:val="00640298"/>
    <w:rsid w:val="006456BA"/>
    <w:rsid w:val="0064645C"/>
    <w:rsid w:val="006679F4"/>
    <w:rsid w:val="00673B1C"/>
    <w:rsid w:val="00677B95"/>
    <w:rsid w:val="006845E2"/>
    <w:rsid w:val="00696A58"/>
    <w:rsid w:val="006A356D"/>
    <w:rsid w:val="006A77BD"/>
    <w:rsid w:val="006B65EB"/>
    <w:rsid w:val="006C3335"/>
    <w:rsid w:val="006E6346"/>
    <w:rsid w:val="006F20E0"/>
    <w:rsid w:val="006F29C6"/>
    <w:rsid w:val="00705293"/>
    <w:rsid w:val="00706A5E"/>
    <w:rsid w:val="00716ACF"/>
    <w:rsid w:val="00716EBE"/>
    <w:rsid w:val="007309AB"/>
    <w:rsid w:val="007338AE"/>
    <w:rsid w:val="00735CBA"/>
    <w:rsid w:val="00743914"/>
    <w:rsid w:val="007457EC"/>
    <w:rsid w:val="007608FD"/>
    <w:rsid w:val="007618C0"/>
    <w:rsid w:val="007744E6"/>
    <w:rsid w:val="00780A08"/>
    <w:rsid w:val="007A31D7"/>
    <w:rsid w:val="007A3DAB"/>
    <w:rsid w:val="007A790A"/>
    <w:rsid w:val="007B36E7"/>
    <w:rsid w:val="007B3D1F"/>
    <w:rsid w:val="007C60B9"/>
    <w:rsid w:val="007E137B"/>
    <w:rsid w:val="007E33E7"/>
    <w:rsid w:val="007F09F0"/>
    <w:rsid w:val="007F2A5E"/>
    <w:rsid w:val="007F43C6"/>
    <w:rsid w:val="007F73B5"/>
    <w:rsid w:val="00801D83"/>
    <w:rsid w:val="00813A26"/>
    <w:rsid w:val="00815858"/>
    <w:rsid w:val="0083141D"/>
    <w:rsid w:val="00837304"/>
    <w:rsid w:val="00843389"/>
    <w:rsid w:val="0084661F"/>
    <w:rsid w:val="008514D8"/>
    <w:rsid w:val="0085317D"/>
    <w:rsid w:val="008616AC"/>
    <w:rsid w:val="00865E0E"/>
    <w:rsid w:val="00866C73"/>
    <w:rsid w:val="008870A3"/>
    <w:rsid w:val="008879C5"/>
    <w:rsid w:val="008B63CE"/>
    <w:rsid w:val="008C2A88"/>
    <w:rsid w:val="008D40A6"/>
    <w:rsid w:val="008D4B11"/>
    <w:rsid w:val="008E1351"/>
    <w:rsid w:val="0090021F"/>
    <w:rsid w:val="009014CB"/>
    <w:rsid w:val="00915B53"/>
    <w:rsid w:val="00933F2A"/>
    <w:rsid w:val="0094550C"/>
    <w:rsid w:val="00952FCE"/>
    <w:rsid w:val="00961F86"/>
    <w:rsid w:val="00981823"/>
    <w:rsid w:val="00993789"/>
    <w:rsid w:val="0099736A"/>
    <w:rsid w:val="009A6A5D"/>
    <w:rsid w:val="009A7CBF"/>
    <w:rsid w:val="009B658E"/>
    <w:rsid w:val="009B6854"/>
    <w:rsid w:val="009C4C39"/>
    <w:rsid w:val="009E6A07"/>
    <w:rsid w:val="009F41E2"/>
    <w:rsid w:val="009F6BE4"/>
    <w:rsid w:val="00A0311F"/>
    <w:rsid w:val="00A0783E"/>
    <w:rsid w:val="00A10B19"/>
    <w:rsid w:val="00A14062"/>
    <w:rsid w:val="00A206EA"/>
    <w:rsid w:val="00A24D43"/>
    <w:rsid w:val="00A27BF4"/>
    <w:rsid w:val="00A31C5F"/>
    <w:rsid w:val="00A32F51"/>
    <w:rsid w:val="00A401DF"/>
    <w:rsid w:val="00A42960"/>
    <w:rsid w:val="00A56D3C"/>
    <w:rsid w:val="00A5702C"/>
    <w:rsid w:val="00A615CF"/>
    <w:rsid w:val="00A6272A"/>
    <w:rsid w:val="00A65E29"/>
    <w:rsid w:val="00A850BA"/>
    <w:rsid w:val="00A865D4"/>
    <w:rsid w:val="00A86D55"/>
    <w:rsid w:val="00A87FEC"/>
    <w:rsid w:val="00A942E5"/>
    <w:rsid w:val="00A9584A"/>
    <w:rsid w:val="00A95AC5"/>
    <w:rsid w:val="00AA1291"/>
    <w:rsid w:val="00AA6533"/>
    <w:rsid w:val="00AA7434"/>
    <w:rsid w:val="00AB1ADA"/>
    <w:rsid w:val="00AC2FE8"/>
    <w:rsid w:val="00AC5579"/>
    <w:rsid w:val="00AD3F3B"/>
    <w:rsid w:val="00AE5605"/>
    <w:rsid w:val="00AF42E3"/>
    <w:rsid w:val="00B021BD"/>
    <w:rsid w:val="00B0491B"/>
    <w:rsid w:val="00B05358"/>
    <w:rsid w:val="00B102E7"/>
    <w:rsid w:val="00B11B76"/>
    <w:rsid w:val="00B24510"/>
    <w:rsid w:val="00B31AFA"/>
    <w:rsid w:val="00B324F6"/>
    <w:rsid w:val="00B513A2"/>
    <w:rsid w:val="00B51AD2"/>
    <w:rsid w:val="00B57FE4"/>
    <w:rsid w:val="00B66A42"/>
    <w:rsid w:val="00B67E49"/>
    <w:rsid w:val="00B70B39"/>
    <w:rsid w:val="00B71686"/>
    <w:rsid w:val="00B75F33"/>
    <w:rsid w:val="00B75FEC"/>
    <w:rsid w:val="00B82316"/>
    <w:rsid w:val="00B85E8E"/>
    <w:rsid w:val="00BB395B"/>
    <w:rsid w:val="00BC17BA"/>
    <w:rsid w:val="00BC4446"/>
    <w:rsid w:val="00BC5D02"/>
    <w:rsid w:val="00BD440A"/>
    <w:rsid w:val="00BE6D9D"/>
    <w:rsid w:val="00BE79C8"/>
    <w:rsid w:val="00BF01D6"/>
    <w:rsid w:val="00BF0A01"/>
    <w:rsid w:val="00BF57EB"/>
    <w:rsid w:val="00BF58C6"/>
    <w:rsid w:val="00C16445"/>
    <w:rsid w:val="00C2154E"/>
    <w:rsid w:val="00C21CCB"/>
    <w:rsid w:val="00C22FD9"/>
    <w:rsid w:val="00C3328A"/>
    <w:rsid w:val="00C334BD"/>
    <w:rsid w:val="00C35E70"/>
    <w:rsid w:val="00C37F3C"/>
    <w:rsid w:val="00C41427"/>
    <w:rsid w:val="00C42FE1"/>
    <w:rsid w:val="00C461AB"/>
    <w:rsid w:val="00C50470"/>
    <w:rsid w:val="00C5473E"/>
    <w:rsid w:val="00C63A9B"/>
    <w:rsid w:val="00C74175"/>
    <w:rsid w:val="00C74B1E"/>
    <w:rsid w:val="00C80CEC"/>
    <w:rsid w:val="00C82A70"/>
    <w:rsid w:val="00C919D8"/>
    <w:rsid w:val="00CB2C5E"/>
    <w:rsid w:val="00CB3432"/>
    <w:rsid w:val="00CB4389"/>
    <w:rsid w:val="00CC047D"/>
    <w:rsid w:val="00CC0EF7"/>
    <w:rsid w:val="00CC6CDB"/>
    <w:rsid w:val="00CD0658"/>
    <w:rsid w:val="00CD42C3"/>
    <w:rsid w:val="00CE30A6"/>
    <w:rsid w:val="00CE445A"/>
    <w:rsid w:val="00CF5405"/>
    <w:rsid w:val="00D01164"/>
    <w:rsid w:val="00D252E7"/>
    <w:rsid w:val="00D414D1"/>
    <w:rsid w:val="00D41B3C"/>
    <w:rsid w:val="00D613FF"/>
    <w:rsid w:val="00D7492D"/>
    <w:rsid w:val="00D7655E"/>
    <w:rsid w:val="00D836D8"/>
    <w:rsid w:val="00D90489"/>
    <w:rsid w:val="00D91B5F"/>
    <w:rsid w:val="00D9514D"/>
    <w:rsid w:val="00DA0B47"/>
    <w:rsid w:val="00DC0EE8"/>
    <w:rsid w:val="00DC5BB1"/>
    <w:rsid w:val="00DD5A20"/>
    <w:rsid w:val="00DE2DB4"/>
    <w:rsid w:val="00DE522F"/>
    <w:rsid w:val="00DF57ED"/>
    <w:rsid w:val="00E0559A"/>
    <w:rsid w:val="00E2313B"/>
    <w:rsid w:val="00E246A9"/>
    <w:rsid w:val="00E35776"/>
    <w:rsid w:val="00E440B4"/>
    <w:rsid w:val="00E4428E"/>
    <w:rsid w:val="00E4442C"/>
    <w:rsid w:val="00E70419"/>
    <w:rsid w:val="00E92030"/>
    <w:rsid w:val="00EA355C"/>
    <w:rsid w:val="00EA433D"/>
    <w:rsid w:val="00EA72AB"/>
    <w:rsid w:val="00EB209D"/>
    <w:rsid w:val="00EB3461"/>
    <w:rsid w:val="00EB3920"/>
    <w:rsid w:val="00EB7D3F"/>
    <w:rsid w:val="00EC7564"/>
    <w:rsid w:val="00ED2FCA"/>
    <w:rsid w:val="00ED69CE"/>
    <w:rsid w:val="00ED6C41"/>
    <w:rsid w:val="00EE718C"/>
    <w:rsid w:val="00EF01EC"/>
    <w:rsid w:val="00EF3925"/>
    <w:rsid w:val="00F13723"/>
    <w:rsid w:val="00F13A65"/>
    <w:rsid w:val="00F14C73"/>
    <w:rsid w:val="00F169D0"/>
    <w:rsid w:val="00F25303"/>
    <w:rsid w:val="00F26D40"/>
    <w:rsid w:val="00F32F1A"/>
    <w:rsid w:val="00F33A7B"/>
    <w:rsid w:val="00F33B9B"/>
    <w:rsid w:val="00F41879"/>
    <w:rsid w:val="00F45C17"/>
    <w:rsid w:val="00F469D5"/>
    <w:rsid w:val="00F625EC"/>
    <w:rsid w:val="00F62A57"/>
    <w:rsid w:val="00F645A2"/>
    <w:rsid w:val="00F7063B"/>
    <w:rsid w:val="00F7266A"/>
    <w:rsid w:val="00F806C8"/>
    <w:rsid w:val="00F86C75"/>
    <w:rsid w:val="00FA1FB8"/>
    <w:rsid w:val="00FB2A74"/>
    <w:rsid w:val="00FB6E46"/>
    <w:rsid w:val="00FB7045"/>
    <w:rsid w:val="00FC13A4"/>
    <w:rsid w:val="00FC3C2B"/>
    <w:rsid w:val="00FC590B"/>
    <w:rsid w:val="00FD20B3"/>
    <w:rsid w:val="00FD22AB"/>
    <w:rsid w:val="00FD426C"/>
    <w:rsid w:val="00FD570C"/>
    <w:rsid w:val="00FE1EFD"/>
    <w:rsid w:val="00FE230A"/>
    <w:rsid w:val="00FE59BA"/>
    <w:rsid w:val="00FF33D6"/>
    <w:rsid w:val="017E12EB"/>
    <w:rsid w:val="01985666"/>
    <w:rsid w:val="037E4697"/>
    <w:rsid w:val="039458E3"/>
    <w:rsid w:val="03D12621"/>
    <w:rsid w:val="03FF12DF"/>
    <w:rsid w:val="04407DC7"/>
    <w:rsid w:val="04AC349E"/>
    <w:rsid w:val="06532730"/>
    <w:rsid w:val="074C7140"/>
    <w:rsid w:val="07772E78"/>
    <w:rsid w:val="07812BA5"/>
    <w:rsid w:val="079F41B0"/>
    <w:rsid w:val="07C03557"/>
    <w:rsid w:val="08860724"/>
    <w:rsid w:val="09777A6D"/>
    <w:rsid w:val="09822942"/>
    <w:rsid w:val="09D51B75"/>
    <w:rsid w:val="0A140428"/>
    <w:rsid w:val="0A426B5C"/>
    <w:rsid w:val="0A790B78"/>
    <w:rsid w:val="0ABD1FB2"/>
    <w:rsid w:val="0B566275"/>
    <w:rsid w:val="0B761C55"/>
    <w:rsid w:val="0C26647A"/>
    <w:rsid w:val="0D415E9E"/>
    <w:rsid w:val="0F6D1D50"/>
    <w:rsid w:val="0FFD52C5"/>
    <w:rsid w:val="10017B89"/>
    <w:rsid w:val="11D216BB"/>
    <w:rsid w:val="11F1326E"/>
    <w:rsid w:val="12044DA1"/>
    <w:rsid w:val="12192F52"/>
    <w:rsid w:val="133730E2"/>
    <w:rsid w:val="133F4CAC"/>
    <w:rsid w:val="13F51C2A"/>
    <w:rsid w:val="1437710E"/>
    <w:rsid w:val="14E0451F"/>
    <w:rsid w:val="14F60F41"/>
    <w:rsid w:val="164B6F7F"/>
    <w:rsid w:val="16AF1F51"/>
    <w:rsid w:val="175B6307"/>
    <w:rsid w:val="18EF3C5D"/>
    <w:rsid w:val="1A214D1A"/>
    <w:rsid w:val="1B4126C7"/>
    <w:rsid w:val="1BCB76E7"/>
    <w:rsid w:val="1C4B401D"/>
    <w:rsid w:val="1C856F63"/>
    <w:rsid w:val="1C8B6DF0"/>
    <w:rsid w:val="1CB42609"/>
    <w:rsid w:val="1CD559FD"/>
    <w:rsid w:val="1DCA3A28"/>
    <w:rsid w:val="1DE72E63"/>
    <w:rsid w:val="1DF315A2"/>
    <w:rsid w:val="1EE62DC3"/>
    <w:rsid w:val="1FF0253A"/>
    <w:rsid w:val="205D395A"/>
    <w:rsid w:val="20D06010"/>
    <w:rsid w:val="213F4CB4"/>
    <w:rsid w:val="21AF6397"/>
    <w:rsid w:val="23DE7685"/>
    <w:rsid w:val="24C156A7"/>
    <w:rsid w:val="24C34ACD"/>
    <w:rsid w:val="24E11B93"/>
    <w:rsid w:val="252C15FA"/>
    <w:rsid w:val="2590282D"/>
    <w:rsid w:val="25C427F2"/>
    <w:rsid w:val="25D744E7"/>
    <w:rsid w:val="26374DC4"/>
    <w:rsid w:val="26E43BD4"/>
    <w:rsid w:val="26F62879"/>
    <w:rsid w:val="28C97F18"/>
    <w:rsid w:val="29564774"/>
    <w:rsid w:val="29F752CA"/>
    <w:rsid w:val="2A2C5604"/>
    <w:rsid w:val="2C136278"/>
    <w:rsid w:val="2D1A4B27"/>
    <w:rsid w:val="2D600BCA"/>
    <w:rsid w:val="30246E69"/>
    <w:rsid w:val="305F5154"/>
    <w:rsid w:val="30DC18D6"/>
    <w:rsid w:val="30E011F0"/>
    <w:rsid w:val="318222F3"/>
    <w:rsid w:val="324A4137"/>
    <w:rsid w:val="32B34B2E"/>
    <w:rsid w:val="332E55C8"/>
    <w:rsid w:val="335C14DB"/>
    <w:rsid w:val="33BB0CDA"/>
    <w:rsid w:val="342A1724"/>
    <w:rsid w:val="34302416"/>
    <w:rsid w:val="34D977CC"/>
    <w:rsid w:val="350B63C3"/>
    <w:rsid w:val="361F654B"/>
    <w:rsid w:val="370542DB"/>
    <w:rsid w:val="37147962"/>
    <w:rsid w:val="372C0EE7"/>
    <w:rsid w:val="37CC7C1C"/>
    <w:rsid w:val="382E6287"/>
    <w:rsid w:val="38326EB0"/>
    <w:rsid w:val="394B6EAA"/>
    <w:rsid w:val="39642491"/>
    <w:rsid w:val="3A0E25FC"/>
    <w:rsid w:val="3BBC707C"/>
    <w:rsid w:val="3BC62D21"/>
    <w:rsid w:val="3C0F33E3"/>
    <w:rsid w:val="3CF15EDA"/>
    <w:rsid w:val="3CF81EB9"/>
    <w:rsid w:val="3D5E799B"/>
    <w:rsid w:val="3D834FB6"/>
    <w:rsid w:val="3E061C48"/>
    <w:rsid w:val="3E3634F3"/>
    <w:rsid w:val="3E5724AE"/>
    <w:rsid w:val="3E817133"/>
    <w:rsid w:val="3E9A1FA2"/>
    <w:rsid w:val="3FD06E1F"/>
    <w:rsid w:val="3FD5004E"/>
    <w:rsid w:val="412B60C6"/>
    <w:rsid w:val="415A7C56"/>
    <w:rsid w:val="438C4E80"/>
    <w:rsid w:val="43942597"/>
    <w:rsid w:val="43AC5401"/>
    <w:rsid w:val="43B76818"/>
    <w:rsid w:val="442D3F8C"/>
    <w:rsid w:val="442E5D14"/>
    <w:rsid w:val="443538A5"/>
    <w:rsid w:val="452632F0"/>
    <w:rsid w:val="456D62B9"/>
    <w:rsid w:val="458B434D"/>
    <w:rsid w:val="46040CC0"/>
    <w:rsid w:val="460C0614"/>
    <w:rsid w:val="47A51658"/>
    <w:rsid w:val="496A3B18"/>
    <w:rsid w:val="4A3158CE"/>
    <w:rsid w:val="4A48231A"/>
    <w:rsid w:val="4B0D2B10"/>
    <w:rsid w:val="4D3C117E"/>
    <w:rsid w:val="4FDA7200"/>
    <w:rsid w:val="50086772"/>
    <w:rsid w:val="50836D3A"/>
    <w:rsid w:val="50852B00"/>
    <w:rsid w:val="50C576C3"/>
    <w:rsid w:val="51A960F9"/>
    <w:rsid w:val="5205349A"/>
    <w:rsid w:val="52290473"/>
    <w:rsid w:val="52E31BDA"/>
    <w:rsid w:val="53163C7D"/>
    <w:rsid w:val="550C3D7E"/>
    <w:rsid w:val="55676851"/>
    <w:rsid w:val="56D84772"/>
    <w:rsid w:val="56EE3EED"/>
    <w:rsid w:val="572F3778"/>
    <w:rsid w:val="576F07D3"/>
    <w:rsid w:val="57F56492"/>
    <w:rsid w:val="58F509F1"/>
    <w:rsid w:val="58F822CE"/>
    <w:rsid w:val="59887C0D"/>
    <w:rsid w:val="5A67147B"/>
    <w:rsid w:val="5B385648"/>
    <w:rsid w:val="5BC42462"/>
    <w:rsid w:val="5C337FCF"/>
    <w:rsid w:val="5C9A0365"/>
    <w:rsid w:val="5CCD4AC2"/>
    <w:rsid w:val="5CDE7B83"/>
    <w:rsid w:val="5CEC38C9"/>
    <w:rsid w:val="5E1D2F5F"/>
    <w:rsid w:val="5EAB7E70"/>
    <w:rsid w:val="5ECE6AC1"/>
    <w:rsid w:val="5F5D4DE9"/>
    <w:rsid w:val="5F68541B"/>
    <w:rsid w:val="5FFC7E11"/>
    <w:rsid w:val="603F4F46"/>
    <w:rsid w:val="614E2E79"/>
    <w:rsid w:val="616766A7"/>
    <w:rsid w:val="618E4624"/>
    <w:rsid w:val="6224116A"/>
    <w:rsid w:val="625C528F"/>
    <w:rsid w:val="642635FE"/>
    <w:rsid w:val="64AD3FF4"/>
    <w:rsid w:val="64C7089A"/>
    <w:rsid w:val="65A25496"/>
    <w:rsid w:val="65C3782A"/>
    <w:rsid w:val="65FE23FD"/>
    <w:rsid w:val="663B6852"/>
    <w:rsid w:val="67CA5D28"/>
    <w:rsid w:val="67DC37BF"/>
    <w:rsid w:val="68C97F77"/>
    <w:rsid w:val="69752C1C"/>
    <w:rsid w:val="69A70101"/>
    <w:rsid w:val="6A44535A"/>
    <w:rsid w:val="6A5F31A5"/>
    <w:rsid w:val="6A8F4699"/>
    <w:rsid w:val="6B4E0A98"/>
    <w:rsid w:val="6C2547BF"/>
    <w:rsid w:val="6CA8320F"/>
    <w:rsid w:val="6CE11E88"/>
    <w:rsid w:val="6D781A09"/>
    <w:rsid w:val="6D85310A"/>
    <w:rsid w:val="6D862CDC"/>
    <w:rsid w:val="6E183EFF"/>
    <w:rsid w:val="6E5710DC"/>
    <w:rsid w:val="6E713583"/>
    <w:rsid w:val="6EA77BD2"/>
    <w:rsid w:val="6F6E7FA9"/>
    <w:rsid w:val="6F9255FA"/>
    <w:rsid w:val="6FD10185"/>
    <w:rsid w:val="6FDC66E2"/>
    <w:rsid w:val="70094957"/>
    <w:rsid w:val="70456A12"/>
    <w:rsid w:val="70542908"/>
    <w:rsid w:val="7180303B"/>
    <w:rsid w:val="71BE270A"/>
    <w:rsid w:val="72415922"/>
    <w:rsid w:val="72B0562B"/>
    <w:rsid w:val="72CC4CB5"/>
    <w:rsid w:val="72D47139"/>
    <w:rsid w:val="74276A84"/>
    <w:rsid w:val="75770723"/>
    <w:rsid w:val="760D61FA"/>
    <w:rsid w:val="76580849"/>
    <w:rsid w:val="76D476FC"/>
    <w:rsid w:val="7701716F"/>
    <w:rsid w:val="796056EA"/>
    <w:rsid w:val="7C166A53"/>
    <w:rsid w:val="7DBF6D54"/>
    <w:rsid w:val="7EE300F7"/>
    <w:rsid w:val="7F354A94"/>
    <w:rsid w:val="7F7122D0"/>
    <w:rsid w:val="7F977F97"/>
    <w:rsid w:val="7F9E6DB8"/>
    <w:rsid w:val="7FA061E7"/>
    <w:rsid w:val="7FA22546"/>
    <w:rsid w:val="7FD257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qFormat/>
    <w:uiPriority w:val="9"/>
    <w:pPr>
      <w:keepNext/>
      <w:keepLines/>
      <w:spacing w:before="340" w:after="330"/>
      <w:jc w:val="center"/>
      <w:outlineLvl w:val="0"/>
    </w:pPr>
    <w:rPr>
      <w:b/>
      <w:bCs/>
      <w:kern w:val="44"/>
      <w:sz w:val="36"/>
      <w:szCs w:val="44"/>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spacing w:after="120" w:line="312" w:lineRule="auto"/>
      <w:ind w:firstLine="420"/>
      <w:jc w:val="both"/>
    </w:pPr>
    <w:rPr>
      <w:rFonts w:ascii="Times New Roman" w:hAnsi="Times New Roman" w:eastAsia="宋体" w:cs="Times New Roman"/>
      <w:szCs w:val="24"/>
      <w:lang w:val="en-US" w:eastAsia="zh-CN" w:bidi="ar-SA"/>
    </w:rPr>
  </w:style>
  <w:style w:type="paragraph" w:styleId="4">
    <w:name w:val="Normal Indent"/>
    <w:basedOn w:val="1"/>
    <w:qFormat/>
    <w:uiPriority w:val="0"/>
    <w:pPr>
      <w:ind w:firstLine="420" w:firstLineChars="200"/>
    </w:pPr>
    <w:rPr>
      <w:szCs w:val="24"/>
    </w:rPr>
  </w:style>
  <w:style w:type="paragraph" w:styleId="5">
    <w:name w:val="annotation text"/>
    <w:basedOn w:val="1"/>
    <w:link w:val="38"/>
    <w:semiHidden/>
    <w:unhideWhenUsed/>
    <w:qFormat/>
    <w:uiPriority w:val="99"/>
    <w:pPr>
      <w:jc w:val="left"/>
    </w:pPr>
  </w:style>
  <w:style w:type="paragraph" w:styleId="6">
    <w:name w:val="Body Text"/>
    <w:basedOn w:val="1"/>
    <w:next w:val="1"/>
    <w:qFormat/>
    <w:uiPriority w:val="0"/>
    <w:pPr>
      <w:spacing w:after="120"/>
    </w:pPr>
    <w:rPr>
      <w:kern w:val="0"/>
      <w:sz w:val="20"/>
    </w:rPr>
  </w:style>
  <w:style w:type="paragraph" w:styleId="7">
    <w:name w:val="Body Text Indent"/>
    <w:basedOn w:val="1"/>
    <w:link w:val="26"/>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Plain Text"/>
    <w:basedOn w:val="1"/>
    <w:link w:val="31"/>
    <w:qFormat/>
    <w:uiPriority w:val="0"/>
    <w:rPr>
      <w:rFonts w:ascii="宋体" w:hAnsi="Courier New"/>
    </w:rPr>
  </w:style>
  <w:style w:type="paragraph" w:styleId="9">
    <w:name w:val="Date"/>
    <w:basedOn w:val="1"/>
    <w:next w:val="1"/>
    <w:link w:val="30"/>
    <w:qFormat/>
    <w:uiPriority w:val="0"/>
    <w:pPr>
      <w:spacing w:line="360" w:lineRule="auto"/>
      <w:ind w:left="100" w:leftChars="2500"/>
    </w:pPr>
    <w:rPr>
      <w:sz w:val="24"/>
      <w:szCs w:val="24"/>
    </w:rPr>
  </w:style>
  <w:style w:type="paragraph" w:styleId="10">
    <w:name w:val="Balloon Text"/>
    <w:basedOn w:val="1"/>
    <w:link w:val="37"/>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480" w:lineRule="exact"/>
      <w:jc w:val="left"/>
    </w:pPr>
    <w:rPr>
      <w:bCs/>
      <w:caps/>
      <w:sz w:val="24"/>
    </w:rPr>
  </w:style>
  <w:style w:type="paragraph" w:styleId="14">
    <w:name w:val="Normal (Web)"/>
    <w:basedOn w:val="1"/>
    <w:qFormat/>
    <w:uiPriority w:val="99"/>
    <w:pPr>
      <w:widowControl/>
      <w:spacing w:before="100" w:beforeAutospacing="1" w:after="100" w:afterAutospacing="1"/>
      <w:jc w:val="left"/>
    </w:pPr>
    <w:rPr>
      <w:rFonts w:hint="eastAsia" w:ascii="宋体" w:hAnsi="宋体"/>
      <w:kern w:val="0"/>
      <w:sz w:val="24"/>
      <w:szCs w:val="24"/>
    </w:rPr>
  </w:style>
  <w:style w:type="paragraph" w:styleId="15">
    <w:name w:val="annotation subject"/>
    <w:basedOn w:val="5"/>
    <w:next w:val="5"/>
    <w:link w:val="39"/>
    <w:semiHidden/>
    <w:unhideWhenUsed/>
    <w:qFormat/>
    <w:uiPriority w:val="99"/>
    <w:rPr>
      <w:b/>
      <w:bCs/>
    </w:rPr>
  </w:style>
  <w:style w:type="paragraph" w:styleId="16">
    <w:name w:val="Body Text First Indent 2"/>
    <w:basedOn w:val="7"/>
    <w:qFormat/>
    <w:uiPriority w:val="0"/>
    <w:pPr>
      <w:adjustRightInd w:val="0"/>
      <w:spacing w:after="120"/>
      <w:ind w:left="420" w:leftChars="200" w:firstLine="420" w:firstLineChars="200"/>
      <w:textAlignment w:val="baseline"/>
    </w:pPr>
    <w:rPr>
      <w:rFonts w:ascii="MingLiU" w:eastAsia="MingLiU"/>
      <w:sz w:val="20"/>
      <w:lang w:eastAsia="zh-TW"/>
    </w:rPr>
  </w:style>
  <w:style w:type="character" w:styleId="19">
    <w:name w:val="Emphasis"/>
    <w:basedOn w:val="18"/>
    <w:qFormat/>
    <w:uiPriority w:val="20"/>
    <w:rPr>
      <w:i/>
    </w:rPr>
  </w:style>
  <w:style w:type="character" w:styleId="20">
    <w:name w:val="Hyperlink"/>
    <w:basedOn w:val="18"/>
    <w:unhideWhenUsed/>
    <w:qFormat/>
    <w:uiPriority w:val="99"/>
    <w:rPr>
      <w:color w:val="0000FF" w:themeColor="hyperlink"/>
      <w:u w:val="single"/>
    </w:rPr>
  </w:style>
  <w:style w:type="character" w:styleId="21">
    <w:name w:val="annotation reference"/>
    <w:basedOn w:val="18"/>
    <w:semiHidden/>
    <w:unhideWhenUsed/>
    <w:qFormat/>
    <w:uiPriority w:val="99"/>
    <w:rPr>
      <w:sz w:val="21"/>
      <w:szCs w:val="21"/>
    </w:rPr>
  </w:style>
  <w:style w:type="paragraph" w:customStyle="1" w:styleId="2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Heading2"/>
    <w:basedOn w:val="1"/>
    <w:next w:val="1"/>
    <w:qFormat/>
    <w:uiPriority w:val="0"/>
    <w:pPr>
      <w:keepNext/>
      <w:keepLines/>
      <w:spacing w:before="260" w:after="260" w:line="415" w:lineRule="auto"/>
    </w:pPr>
    <w:rPr>
      <w:rFonts w:ascii="Cambria" w:hAnsi="Cambria"/>
      <w:b/>
      <w:bCs/>
      <w:sz w:val="32"/>
      <w:szCs w:val="32"/>
    </w:rPr>
  </w:style>
  <w:style w:type="character" w:customStyle="1" w:styleId="24">
    <w:name w:val="正文文本缩进 Char"/>
    <w:basedOn w:val="18"/>
    <w:semiHidden/>
    <w:qFormat/>
    <w:uiPriority w:val="99"/>
    <w:rPr>
      <w:rFonts w:ascii="Times New Roman" w:hAnsi="Times New Roman" w:eastAsia="宋体" w:cs="Times New Roman"/>
      <w:szCs w:val="20"/>
    </w:rPr>
  </w:style>
  <w:style w:type="paragraph" w:customStyle="1" w:styleId="25">
    <w:name w:val="列出段落1"/>
    <w:basedOn w:val="1"/>
    <w:qFormat/>
    <w:uiPriority w:val="34"/>
    <w:pPr>
      <w:ind w:firstLine="420" w:firstLineChars="200"/>
    </w:pPr>
    <w:rPr>
      <w:rFonts w:ascii="Calibri" w:hAnsi="Calibri"/>
      <w:szCs w:val="22"/>
    </w:rPr>
  </w:style>
  <w:style w:type="character" w:customStyle="1" w:styleId="26">
    <w:name w:val="正文文本缩进 Char1"/>
    <w:basedOn w:val="18"/>
    <w:link w:val="7"/>
    <w:qFormat/>
    <w:locked/>
    <w:uiPriority w:val="99"/>
    <w:rPr>
      <w:rFonts w:ascii="宋体" w:hAnsi="宋体" w:eastAsia="宋体" w:cs="宋体"/>
      <w:kern w:val="0"/>
      <w:sz w:val="24"/>
      <w:szCs w:val="24"/>
    </w:rPr>
  </w:style>
  <w:style w:type="character" w:customStyle="1" w:styleId="27">
    <w:name w:val="标题 1 Char"/>
    <w:basedOn w:val="18"/>
    <w:link w:val="3"/>
    <w:qFormat/>
    <w:uiPriority w:val="9"/>
    <w:rPr>
      <w:rFonts w:ascii="Times New Roman" w:hAnsi="Times New Roman" w:eastAsia="宋体" w:cs="Times New Roman"/>
      <w:b/>
      <w:bCs/>
      <w:kern w:val="44"/>
      <w:sz w:val="36"/>
      <w:szCs w:val="44"/>
    </w:rPr>
  </w:style>
  <w:style w:type="character" w:customStyle="1" w:styleId="28">
    <w:name w:val="页眉 Char"/>
    <w:basedOn w:val="18"/>
    <w:link w:val="12"/>
    <w:qFormat/>
    <w:uiPriority w:val="99"/>
    <w:rPr>
      <w:rFonts w:ascii="Times New Roman" w:hAnsi="Times New Roman" w:eastAsia="宋体" w:cs="Times New Roman"/>
      <w:sz w:val="18"/>
      <w:szCs w:val="18"/>
    </w:rPr>
  </w:style>
  <w:style w:type="character" w:customStyle="1" w:styleId="29">
    <w:name w:val="页脚 Char"/>
    <w:basedOn w:val="18"/>
    <w:link w:val="11"/>
    <w:qFormat/>
    <w:uiPriority w:val="99"/>
    <w:rPr>
      <w:rFonts w:ascii="Times New Roman" w:hAnsi="Times New Roman" w:eastAsia="宋体" w:cs="Times New Roman"/>
      <w:sz w:val="18"/>
      <w:szCs w:val="18"/>
    </w:rPr>
  </w:style>
  <w:style w:type="character" w:customStyle="1" w:styleId="30">
    <w:name w:val="日期 Char"/>
    <w:basedOn w:val="18"/>
    <w:link w:val="9"/>
    <w:qFormat/>
    <w:uiPriority w:val="0"/>
    <w:rPr>
      <w:rFonts w:ascii="Times New Roman" w:hAnsi="Times New Roman" w:eastAsia="宋体" w:cs="Times New Roman"/>
      <w:sz w:val="24"/>
      <w:szCs w:val="24"/>
    </w:rPr>
  </w:style>
  <w:style w:type="character" w:customStyle="1" w:styleId="31">
    <w:name w:val="纯文本 Char"/>
    <w:basedOn w:val="18"/>
    <w:link w:val="8"/>
    <w:qFormat/>
    <w:uiPriority w:val="0"/>
    <w:rPr>
      <w:rFonts w:ascii="宋体" w:hAnsi="Courier New" w:eastAsia="宋体" w:cs="Times New Roman"/>
      <w:szCs w:val="20"/>
    </w:rPr>
  </w:style>
  <w:style w:type="character" w:customStyle="1" w:styleId="32">
    <w:name w:val="正文样式 Char"/>
    <w:link w:val="33"/>
    <w:qFormat/>
    <w:uiPriority w:val="0"/>
    <w:rPr>
      <w:sz w:val="24"/>
      <w:szCs w:val="24"/>
    </w:rPr>
  </w:style>
  <w:style w:type="paragraph" w:customStyle="1" w:styleId="33">
    <w:name w:val="正文样式"/>
    <w:basedOn w:val="1"/>
    <w:link w:val="32"/>
    <w:qFormat/>
    <w:uiPriority w:val="0"/>
    <w:pPr>
      <w:spacing w:line="480" w:lineRule="exact"/>
      <w:ind w:firstLine="480" w:firstLineChars="200"/>
    </w:pPr>
    <w:rPr>
      <w:rFonts w:asciiTheme="minorHAnsi" w:hAnsiTheme="minorHAnsi" w:eastAsiaTheme="minorEastAsia" w:cstheme="minorBidi"/>
      <w:sz w:val="24"/>
      <w:szCs w:val="24"/>
    </w:rPr>
  </w:style>
  <w:style w:type="paragraph" w:customStyle="1" w:styleId="3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5">
    <w:name w:val="封面一级标题文字"/>
    <w:basedOn w:val="33"/>
    <w:qFormat/>
    <w:uiPriority w:val="0"/>
    <w:pPr>
      <w:spacing w:line="640" w:lineRule="exact"/>
      <w:ind w:firstLine="0" w:firstLineChars="0"/>
      <w:jc w:val="center"/>
    </w:pPr>
    <w:rPr>
      <w:rFonts w:ascii="黑体" w:hAnsi="黑体" w:eastAsia="黑体"/>
      <w:b/>
      <w:bCs/>
      <w:sz w:val="52"/>
    </w:rPr>
  </w:style>
  <w:style w:type="paragraph" w:customStyle="1" w:styleId="36">
    <w:name w:val="“目录”"/>
    <w:basedOn w:val="33"/>
    <w:qFormat/>
    <w:uiPriority w:val="0"/>
    <w:pPr>
      <w:ind w:firstLine="0" w:firstLineChars="0"/>
      <w:jc w:val="center"/>
    </w:pPr>
    <w:rPr>
      <w:b/>
      <w:sz w:val="44"/>
    </w:rPr>
  </w:style>
  <w:style w:type="character" w:customStyle="1" w:styleId="37">
    <w:name w:val="批注框文本 Char"/>
    <w:basedOn w:val="18"/>
    <w:link w:val="10"/>
    <w:semiHidden/>
    <w:qFormat/>
    <w:uiPriority w:val="99"/>
    <w:rPr>
      <w:kern w:val="2"/>
      <w:sz w:val="18"/>
      <w:szCs w:val="18"/>
    </w:rPr>
  </w:style>
  <w:style w:type="character" w:customStyle="1" w:styleId="38">
    <w:name w:val="批注文字 Char"/>
    <w:basedOn w:val="18"/>
    <w:link w:val="5"/>
    <w:semiHidden/>
    <w:qFormat/>
    <w:uiPriority w:val="99"/>
    <w:rPr>
      <w:kern w:val="2"/>
      <w:sz w:val="21"/>
    </w:rPr>
  </w:style>
  <w:style w:type="character" w:customStyle="1" w:styleId="39">
    <w:name w:val="批注主题 Char"/>
    <w:basedOn w:val="38"/>
    <w:link w:val="15"/>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0C511-5EFA-46E5-A190-52076DC74F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3081</Words>
  <Characters>17567</Characters>
  <Lines>146</Lines>
  <Paragraphs>41</Paragraphs>
  <TotalTime>24</TotalTime>
  <ScaleCrop>false</ScaleCrop>
  <LinksUpToDate>false</LinksUpToDate>
  <CharactersWithSpaces>20607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2022-10-24T16:43:00Z</dcterms:created>
  <dc:creator>Administrator</dc:creator>
  <cp:lastModifiedBy>小胡子大人✨</cp:lastModifiedBy>
  <cp:lastPrinted>2021-05-18T09:20:00Z</cp:lastPrinted>
  <dcterms:modified xsi:type="dcterms:W3CDTF">2023-03-14T06:17:54Z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5C13AE771A9E43708EE6287103D48D86</vt:lpwstr>
  </property>
</Properties>
</file>