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color w:val="auto"/>
          <w:szCs w:val="21"/>
          <w:highlight w:val="none"/>
        </w:rPr>
      </w:pPr>
      <w:r>
        <w:rPr>
          <w:rFonts w:hint="eastAsia" w:ascii="华文细黑" w:hAnsi="华文细黑" w:eastAsia="华文细黑"/>
          <w:b/>
          <w:color w:val="auto"/>
          <w:szCs w:val="21"/>
          <w:highlight w:val="none"/>
        </w:rPr>
        <w:t>版本号：2015-1</w:t>
      </w:r>
    </w:p>
    <w:p>
      <w:pPr>
        <w:jc w:val="center"/>
        <w:rPr>
          <w:rFonts w:ascii="宋体" w:hAnsi="宋体"/>
          <w:b/>
          <w:color w:val="auto"/>
          <w:sz w:val="52"/>
          <w:szCs w:val="52"/>
          <w:highlight w:val="none"/>
        </w:rPr>
      </w:pPr>
    </w:p>
    <w:p>
      <w:pPr>
        <w:jc w:val="center"/>
        <w:rPr>
          <w:rFonts w:hint="eastAsia" w:ascii="宋体" w:hAnsi="宋体" w:cs="Times New Roman"/>
          <w:b/>
          <w:color w:val="auto"/>
          <w:sz w:val="52"/>
          <w:szCs w:val="52"/>
          <w:highlight w:val="none"/>
        </w:rPr>
      </w:pPr>
      <w:r>
        <w:rPr>
          <w:rFonts w:hint="eastAsia" w:ascii="宋体" w:hAnsi="宋体" w:cs="Times New Roman"/>
          <w:b/>
          <w:color w:val="auto"/>
          <w:sz w:val="52"/>
          <w:szCs w:val="52"/>
          <w:highlight w:val="none"/>
          <w:lang w:val="en-US" w:eastAsia="zh-CN"/>
        </w:rPr>
        <w:t>永宁街规划一横路（创业大道-新耀北路）道路建设工程</w:t>
      </w:r>
      <w:r>
        <w:rPr>
          <w:rFonts w:hint="eastAsia" w:ascii="宋体" w:hAnsi="宋体" w:cs="Times New Roman"/>
          <w:b/>
          <w:color w:val="auto"/>
          <w:sz w:val="52"/>
          <w:szCs w:val="52"/>
          <w:highlight w:val="none"/>
        </w:rPr>
        <w:t>勘察设计招标文件</w:t>
      </w:r>
    </w:p>
    <w:p>
      <w:pPr>
        <w:rPr>
          <w:rFonts w:ascii="宋体" w:hAnsi="宋体"/>
          <w:color w:val="auto"/>
          <w:highlight w:val="none"/>
        </w:rPr>
      </w:pPr>
    </w:p>
    <w:p>
      <w:pPr>
        <w:rPr>
          <w:rFonts w:ascii="宋体" w:hAnsi="宋体"/>
          <w:color w:val="auto"/>
          <w:highlight w:val="none"/>
        </w:rPr>
      </w:pPr>
    </w:p>
    <w:p>
      <w:pPr>
        <w:rPr>
          <w:rFonts w:ascii="宋体" w:hAnsi="宋体"/>
          <w:color w:val="auto"/>
          <w:sz w:val="24"/>
          <w:highlight w:val="none"/>
        </w:rPr>
      </w:pPr>
    </w:p>
    <w:p>
      <w:pPr>
        <w:rPr>
          <w:rFonts w:ascii="宋体" w:hAnsi="宋体"/>
          <w:color w:val="auto"/>
          <w:sz w:val="24"/>
          <w:highlight w:val="none"/>
        </w:rPr>
      </w:pPr>
      <w:bookmarkStart w:id="23" w:name="_GoBack"/>
      <w:bookmarkEnd w:id="23"/>
    </w:p>
    <w:p>
      <w:pPr>
        <w:rPr>
          <w:rFonts w:ascii="宋体" w:hAnsi="宋体"/>
          <w:color w:val="auto"/>
          <w:sz w:val="24"/>
          <w:highlight w:val="none"/>
        </w:rPr>
      </w:pPr>
    </w:p>
    <w:p>
      <w:pPr>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pStyle w:val="30"/>
        <w:rPr>
          <w:color w:val="auto"/>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sectPr>
          <w:headerReference r:id="rId3" w:type="default"/>
          <w:pgSz w:w="11906" w:h="16838"/>
          <w:pgMar w:top="1440" w:right="1440" w:bottom="1440" w:left="1440" w:header="851" w:footer="992" w:gutter="0"/>
          <w:cols w:space="425" w:num="1"/>
          <w:docGrid w:type="linesAndChars" w:linePitch="312" w:charSpace="0"/>
        </w:sectPr>
      </w:pPr>
      <w:r>
        <w:rPr>
          <w:rFonts w:hint="eastAsia" w:ascii="宋体" w:hAnsi="宋体"/>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招标人（章）：广州市增城区公共建设项目管理服务中心</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授权代表：</w:t>
      </w:r>
      <w:r>
        <w:rPr>
          <w:rFonts w:hint="eastAsia" w:ascii="宋体" w:hAnsi="宋体"/>
          <w:color w:val="auto"/>
          <w:sz w:val="24"/>
          <w:highlight w:val="none"/>
          <w:lang w:eastAsia="zh-CN"/>
        </w:rPr>
        <w:t>冯工</w:t>
      </w:r>
      <w:r>
        <w:rPr>
          <w:rFonts w:hint="eastAsia" w:ascii="宋体" w:hAnsi="宋体"/>
          <w:color w:val="auto"/>
          <w:sz w:val="24"/>
          <w:highlight w:val="none"/>
          <w:lang w:val="en-US" w:eastAsia="zh-CN"/>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地址：广州市增城区荔乡路81号13楼</w:t>
      </w:r>
    </w:p>
    <w:p>
      <w:pPr>
        <w:spacing w:line="360" w:lineRule="auto"/>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s="宋体"/>
          <w:color w:val="auto"/>
          <w:sz w:val="24"/>
          <w:highlight w:val="none"/>
        </w:rPr>
        <w:t>510000</w:t>
      </w:r>
    </w:p>
    <w:p>
      <w:pPr>
        <w:spacing w:line="360" w:lineRule="auto"/>
        <w:rPr>
          <w:rFonts w:ascii="宋体" w:hAnsi="宋体"/>
          <w:color w:val="auto"/>
          <w:sz w:val="24"/>
          <w:highlight w:val="none"/>
        </w:rPr>
      </w:pPr>
      <w:r>
        <w:rPr>
          <w:rFonts w:hint="eastAsia" w:ascii="宋体" w:hAnsi="宋体"/>
          <w:color w:val="auto"/>
          <w:sz w:val="24"/>
          <w:highlight w:val="none"/>
        </w:rPr>
        <w:t>电话：020-62701974</w:t>
      </w:r>
    </w:p>
    <w:p>
      <w:pPr>
        <w:spacing w:line="360" w:lineRule="auto"/>
        <w:rPr>
          <w:rFonts w:ascii="宋体" w:hAnsi="宋体"/>
          <w:color w:val="auto"/>
          <w:sz w:val="24"/>
          <w:highlight w:val="none"/>
        </w:rPr>
      </w:pPr>
      <w:r>
        <w:rPr>
          <w:rFonts w:hint="eastAsia" w:ascii="宋体" w:hAnsi="宋体"/>
          <w:color w:val="auto"/>
          <w:sz w:val="24"/>
          <w:highlight w:val="none"/>
        </w:rPr>
        <w:t>传真：020-62701974</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rPr>
        <w:t>/</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400" w:lineRule="exact"/>
        <w:rPr>
          <w:rFonts w:hint="eastAsia" w:ascii="宋体" w:hAnsi="宋体" w:eastAsia="宋体"/>
          <w:color w:val="auto"/>
          <w:sz w:val="24"/>
          <w:highlight w:val="none"/>
          <w:lang w:val="en-US" w:eastAsia="zh-CN"/>
        </w:rPr>
      </w:pPr>
      <w:r>
        <w:rPr>
          <w:rFonts w:hint="eastAsia" w:ascii="宋体" w:hAnsi="宋体"/>
          <w:color w:val="auto"/>
          <w:sz w:val="24"/>
          <w:highlight w:val="none"/>
        </w:rPr>
        <w:t>招标代理（章）：</w:t>
      </w:r>
      <w:r>
        <w:rPr>
          <w:rFonts w:hint="eastAsia" w:ascii="宋体" w:hAnsi="宋体"/>
          <w:color w:val="auto"/>
          <w:sz w:val="24"/>
          <w:highlight w:val="none"/>
          <w:lang w:eastAsia="zh-CN"/>
        </w:rPr>
        <w:t>广州建筑工程监理有限公司</w:t>
      </w:r>
      <w:r>
        <w:rPr>
          <w:rFonts w:hint="eastAsia" w:ascii="宋体" w:hAnsi="宋体"/>
          <w:color w:val="auto"/>
          <w:sz w:val="24"/>
          <w:highlight w:val="none"/>
          <w:lang w:val="en-US" w:eastAsia="zh-CN"/>
        </w:rPr>
        <w:t xml:space="preserve"> </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授权代表：</w:t>
      </w:r>
      <w:r>
        <w:rPr>
          <w:rFonts w:hint="eastAsia" w:ascii="宋体" w:hAnsi="宋体"/>
          <w:color w:val="auto"/>
          <w:sz w:val="24"/>
          <w:highlight w:val="none"/>
          <w:lang w:eastAsia="zh-CN"/>
        </w:rPr>
        <w:t>陆</w:t>
      </w:r>
      <w:r>
        <w:rPr>
          <w:rFonts w:hint="eastAsia" w:ascii="宋体" w:hAnsi="宋体"/>
          <w:color w:val="auto"/>
          <w:sz w:val="24"/>
          <w:highlight w:val="none"/>
        </w:rPr>
        <w:t>工</w:t>
      </w:r>
    </w:p>
    <w:p>
      <w:pPr>
        <w:spacing w:line="360" w:lineRule="auto"/>
        <w:ind w:left="720" w:hanging="720" w:hangingChars="300"/>
        <w:rPr>
          <w:rFonts w:hint="eastAsia" w:ascii="宋体" w:hAnsi="宋体" w:eastAsia="宋体"/>
          <w:color w:val="auto"/>
          <w:sz w:val="24"/>
          <w:highlight w:val="none"/>
          <w:lang w:val="en-US" w:eastAsia="zh-CN"/>
        </w:rPr>
      </w:pPr>
      <w:r>
        <w:rPr>
          <w:rFonts w:hint="eastAsia" w:ascii="宋体" w:hAnsi="宋体"/>
          <w:color w:val="auto"/>
          <w:sz w:val="24"/>
          <w:highlight w:val="none"/>
        </w:rPr>
        <w:t>地址：广州市越秀区</w:t>
      </w:r>
      <w:r>
        <w:rPr>
          <w:rFonts w:hint="eastAsia" w:ascii="宋体" w:hAnsi="宋体"/>
          <w:color w:val="auto"/>
          <w:sz w:val="24"/>
          <w:highlight w:val="none"/>
          <w:lang w:val="en-US" w:eastAsia="zh-CN"/>
        </w:rPr>
        <w:t xml:space="preserve">广卫路4号20楼 </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邮政编码：5100</w:t>
      </w:r>
      <w:r>
        <w:rPr>
          <w:rFonts w:ascii="宋体" w:hAnsi="宋体"/>
          <w:color w:val="auto"/>
          <w:sz w:val="24"/>
          <w:highlight w:val="none"/>
        </w:rPr>
        <w:t>3</w:t>
      </w:r>
      <w:r>
        <w:rPr>
          <w:rFonts w:hint="eastAsia" w:ascii="宋体" w:hAnsi="宋体"/>
          <w:color w:val="auto"/>
          <w:sz w:val="24"/>
          <w:highlight w:val="none"/>
          <w:lang w:val="en-US" w:eastAsia="zh-CN"/>
        </w:rPr>
        <w:t xml:space="preserve">0 </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ascii="宋体" w:hAnsi="宋体"/>
          <w:color w:val="auto"/>
          <w:sz w:val="24"/>
          <w:highlight w:val="none"/>
        </w:rPr>
        <w:t>020-</w:t>
      </w:r>
      <w:r>
        <w:rPr>
          <w:rFonts w:hint="eastAsia" w:ascii="宋体" w:hAnsi="宋体"/>
          <w:color w:val="auto"/>
          <w:sz w:val="24"/>
          <w:highlight w:val="none"/>
          <w:lang w:val="en-US" w:eastAsia="zh-CN"/>
        </w:rPr>
        <w:t>82627566</w:t>
      </w:r>
    </w:p>
    <w:p>
      <w:pPr>
        <w:spacing w:line="360" w:lineRule="auto"/>
        <w:rPr>
          <w:rFonts w:ascii="宋体" w:hAnsi="宋体"/>
          <w:color w:val="auto"/>
          <w:sz w:val="24"/>
          <w:highlight w:val="none"/>
        </w:rPr>
      </w:pPr>
      <w:r>
        <w:rPr>
          <w:rFonts w:hint="eastAsia" w:ascii="宋体" w:hAnsi="宋体"/>
          <w:color w:val="auto"/>
          <w:sz w:val="24"/>
          <w:highlight w:val="none"/>
        </w:rPr>
        <w:t>传真：</w:t>
      </w:r>
      <w:r>
        <w:rPr>
          <w:rFonts w:hint="eastAsia" w:ascii="宋体" w:hAnsi="宋体"/>
          <w:color w:val="auto"/>
          <w:sz w:val="24"/>
          <w:highlight w:val="none"/>
          <w:u w:val="single"/>
        </w:rPr>
        <w:t>/</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lang w:val="en-US" w:eastAsia="zh-CN"/>
        </w:rPr>
        <w:t>gjjlns@126.com</w:t>
      </w:r>
    </w:p>
    <w:p>
      <w:pPr>
        <w:rPr>
          <w:rFonts w:ascii="宋体" w:hAnsi="宋体"/>
          <w:color w:val="auto"/>
          <w:sz w:val="24"/>
          <w:highlight w:val="none"/>
        </w:rPr>
      </w:pPr>
    </w:p>
    <w:p>
      <w:pPr>
        <w:rPr>
          <w:rFonts w:ascii="宋体" w:hAnsi="宋体"/>
          <w:color w:val="auto"/>
          <w:highlight w:val="none"/>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color w:val="auto"/>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招标文件修改申报表</w:t>
      </w:r>
    </w:p>
    <w:p>
      <w:pPr>
        <w:spacing w:line="360" w:lineRule="auto"/>
        <w:ind w:firstLine="485"/>
        <w:rPr>
          <w:rFonts w:ascii="宋体" w:hAnsi="宋体"/>
          <w:color w:val="auto"/>
          <w:sz w:val="24"/>
          <w:highlight w:val="none"/>
        </w:rPr>
      </w:pPr>
      <w:r>
        <w:rPr>
          <w:rFonts w:hint="eastAsia" w:ascii="宋体" w:hAnsi="宋体"/>
          <w:color w:val="auto"/>
          <w:sz w:val="24"/>
          <w:highlight w:val="none"/>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Fonts w:ascii="宋体" w:hAnsi="宋体"/>
          <w:color w:val="auto"/>
          <w:sz w:val="24"/>
          <w:highlight w:val="none"/>
        </w:rPr>
        <w:t>http://www.gzzbb.gz.cn</w:t>
      </w:r>
      <w:r>
        <w:rPr>
          <w:rFonts w:hint="eastAsia" w:ascii="宋体" w:hAnsi="宋体"/>
          <w:color w:val="auto"/>
          <w:sz w:val="24"/>
          <w:highlight w:val="none"/>
        </w:rPr>
        <w:t>）下载查阅。</w:t>
      </w:r>
    </w:p>
    <w:tbl>
      <w:tblPr>
        <w:tblStyle w:val="24"/>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57"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434"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章节、条目</w:t>
            </w:r>
          </w:p>
        </w:tc>
        <w:tc>
          <w:tcPr>
            <w:tcW w:w="2583"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范本原文</w:t>
            </w:r>
          </w:p>
        </w:tc>
        <w:tc>
          <w:tcPr>
            <w:tcW w:w="4742"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招标公告</w:t>
            </w:r>
          </w:p>
        </w:tc>
        <w:tc>
          <w:tcPr>
            <w:tcW w:w="4742" w:type="dxa"/>
            <w:vAlign w:val="center"/>
          </w:tcPr>
          <w:p>
            <w:pPr>
              <w:tabs>
                <w:tab w:val="left" w:pos="0"/>
              </w:tabs>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.2.1</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招标文件在招标管理机构备案。</w:t>
            </w:r>
          </w:p>
        </w:tc>
        <w:tc>
          <w:tcPr>
            <w:tcW w:w="4742" w:type="dxa"/>
            <w:vAlign w:val="center"/>
          </w:tcPr>
          <w:p>
            <w:pPr>
              <w:tabs>
                <w:tab w:val="left" w:pos="0"/>
              </w:tabs>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4</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2.3.2~2.3.5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  每个投标人参加现场考察的人数不宜超过3人，外国投标人代表应自带中文翻译。</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2.3.3  现场考察期间招标人将召开一次会议，接受投标人代表的提问。</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2.3.4 现场考察集合时间：。</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2.3.5 现场考察集合地点：。</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潜在投标人或者其他利害关系人对招标文件有异议的，应当在投标截止时间18日前提出。招标人应当自收到异议之日起3日内作出答复；作出答复前，应当暂停招标投标活动。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6</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color w:val="auto"/>
                <w:highlight w:val="none"/>
              </w:rPr>
              <w:fldChar w:fldCharType="begin"/>
            </w:r>
            <w:r>
              <w:rPr>
                <w:color w:val="auto"/>
                <w:highlight w:val="none"/>
              </w:rPr>
              <w:instrText xml:space="preserve"> HYPERLINK "http://www.gzzb.gd.cn/t05wz/t0206zbdy/util/index_dyyz.jsp" </w:instrText>
            </w:r>
            <w:r>
              <w:rPr>
                <w:color w:val="auto"/>
                <w:highlight w:val="none"/>
              </w:rPr>
              <w:fldChar w:fldCharType="separate"/>
            </w:r>
            <w:r>
              <w:rPr>
                <w:rFonts w:hint="eastAsia" w:asciiTheme="minorEastAsia" w:hAnsiTheme="minorEastAsia" w:eastAsiaTheme="minorEastAsia" w:cstheme="minorEastAsia"/>
                <w:color w:val="auto"/>
                <w:szCs w:val="21"/>
                <w:highlight w:val="none"/>
              </w:rPr>
              <w:t>招标答疑</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8</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2.4.5</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ind w:left="210" w:hanging="210" w:hangingChars="1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新增：</w:t>
            </w:r>
            <w:r>
              <w:rPr>
                <w:rFonts w:hint="eastAsia" w:asciiTheme="minorEastAsia" w:hAnsiTheme="minorEastAsia" w:eastAsiaTheme="minorEastAsia" w:cstheme="minorEastAsia"/>
                <w:color w:val="auto"/>
                <w:szCs w:val="21"/>
                <w:highlight w:val="none"/>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2.6</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b/>
                <w:color w:val="auto"/>
                <w:szCs w:val="21"/>
                <w:highlight w:val="none"/>
              </w:rPr>
              <w:t>投标时间和地点</w:t>
            </w:r>
          </w:p>
        </w:tc>
        <w:tc>
          <w:tcPr>
            <w:tcW w:w="4742" w:type="dxa"/>
            <w:vAlign w:val="center"/>
          </w:tcPr>
          <w:p>
            <w:pPr>
              <w:ind w:left="210" w:leftChars="0" w:hanging="210" w:hangingChars="100"/>
              <w:jc w:val="left"/>
              <w:rPr>
                <w:rFonts w:hint="eastAsia" w:asciiTheme="minorEastAsia" w:hAnsiTheme="minorEastAsia" w:eastAsiaTheme="minorEastAsia" w:cstheme="minorEastAsia"/>
                <w:color w:val="auto"/>
                <w:szCs w:val="21"/>
                <w:highlight w:val="none"/>
              </w:rPr>
            </w:pPr>
            <w:r>
              <w:rPr>
                <w:rFonts w:hint="eastAsia" w:ascii="宋体" w:hAnsi="宋体" w:cs="宋体"/>
                <w:b/>
                <w:color w:val="auto"/>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投标截止时间为年月日时分，投标地点为。</w:t>
            </w:r>
          </w:p>
        </w:tc>
        <w:tc>
          <w:tcPr>
            <w:tcW w:w="4742" w:type="dxa"/>
            <w:vAlign w:val="center"/>
          </w:tcPr>
          <w:p>
            <w:pPr>
              <w:ind w:left="210" w:hanging="210" w:hangingChars="1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投标人应在投标截止时间前递交投标文件，逾期概不受理。</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12</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投标人递交投标文件后应自行离开投标地点，不得逗留及影响他人递交投标文件。</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2.6.4</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14</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2.6.5</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r>
              <w:rPr>
                <w:rFonts w:asciiTheme="minorEastAsia" w:hAnsiTheme="minorEastAsia" w:eastAsiaTheme="minorEastAsia" w:cstheme="minorEastAsia"/>
                <w:color w:val="auto"/>
                <w:szCs w:val="21"/>
                <w:highlight w:val="none"/>
              </w:rPr>
              <w:t>6</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spacing w:line="36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增加：</w:t>
            </w:r>
            <w:r>
              <w:rPr>
                <w:rFonts w:hint="eastAsia" w:asciiTheme="minorEastAsia" w:hAnsiTheme="minorEastAsia" w:eastAsiaTheme="minorEastAsia" w:cstheme="minorEastAsia"/>
                <w:color w:val="auto"/>
                <w:szCs w:val="21"/>
                <w:highlight w:val="none"/>
                <w:u w:val="single"/>
              </w:rPr>
              <w:t>投标截止时间自招标人（招标代理机构）从招标文件发布起始日计：备标时间不少于</w:t>
            </w:r>
            <w:r>
              <w:rPr>
                <w:rFonts w:hint="eastAsia" w:asciiTheme="minorEastAsia" w:hAnsiTheme="minorEastAsia" w:eastAsiaTheme="minorEastAsia" w:cstheme="minorEastAsia"/>
                <w:color w:val="auto"/>
                <w:szCs w:val="21"/>
                <w:highlight w:val="none"/>
                <w:u w:val="single"/>
                <w:lang w:val="en-US" w:eastAsia="zh-CN"/>
              </w:rPr>
              <w:t>2</w:t>
            </w:r>
            <w:r>
              <w:rPr>
                <w:rFonts w:hint="eastAsia" w:asciiTheme="minorEastAsia" w:hAnsiTheme="minorEastAsia" w:eastAsiaTheme="minorEastAsia" w:cstheme="minorEastAsia"/>
                <w:color w:val="auto"/>
                <w:szCs w:val="21"/>
                <w:highlight w:val="none"/>
                <w:u w:val="singl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16</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2.7</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b/>
                <w:bCs/>
                <w:color w:val="auto"/>
                <w:szCs w:val="21"/>
                <w:highlight w:val="none"/>
              </w:rPr>
              <w:t>投标文件编号</w:t>
            </w:r>
          </w:p>
        </w:tc>
        <w:tc>
          <w:tcPr>
            <w:tcW w:w="4742" w:type="dxa"/>
            <w:vAlign w:val="center"/>
          </w:tcPr>
          <w:p>
            <w:pPr>
              <w:spacing w:line="360" w:lineRule="exact"/>
              <w:jc w:val="left"/>
              <w:rPr>
                <w:rFonts w:hint="eastAsia" w:asciiTheme="minorEastAsia" w:hAnsiTheme="minorEastAsia" w:eastAsiaTheme="minorEastAsia" w:cstheme="minorEastAsia"/>
                <w:color w:val="auto"/>
                <w:szCs w:val="21"/>
                <w:highlight w:val="none"/>
              </w:rPr>
            </w:pPr>
            <w:r>
              <w:rPr>
                <w:rFonts w:hint="eastAsia" w:ascii="宋体" w:hAnsi="宋体" w:cs="宋体"/>
                <w:b/>
                <w:color w:val="auto"/>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17</w:t>
            </w: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2.7.1</w:t>
            </w:r>
          </w:p>
        </w:tc>
        <w:tc>
          <w:tcPr>
            <w:tcW w:w="2583" w:type="dxa"/>
            <w:vAlign w:val="center"/>
          </w:tcPr>
          <w:p>
            <w:pPr>
              <w:jc w:val="left"/>
              <w:rPr>
                <w:rFonts w:hint="eastAsia" w:ascii="宋体" w:hAnsi="宋体"/>
                <w:b/>
                <w:bCs/>
                <w:color w:val="auto"/>
                <w:szCs w:val="21"/>
                <w:highlight w:val="none"/>
              </w:rPr>
            </w:pPr>
            <w:r>
              <w:rPr>
                <w:rFonts w:hint="eastAsia" w:ascii="宋体" w:hAnsi="宋体"/>
                <w:color w:val="auto"/>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hint="eastAsia" w:ascii="宋体" w:hAnsi="宋体" w:cs="宋体"/>
                <w:b/>
                <w:color w:val="auto"/>
                <w:kern w:val="0"/>
                <w:szCs w:val="21"/>
                <w:highlight w:val="none"/>
                <w:u w:val="single"/>
              </w:rPr>
            </w:pPr>
            <w:r>
              <w:rPr>
                <w:rFonts w:ascii="宋体" w:hAnsi="宋体"/>
                <w:color w:val="auto"/>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8</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9</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20</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w:t>
            </w:r>
          </w:p>
        </w:tc>
        <w:tc>
          <w:tcPr>
            <w:tcW w:w="2583" w:type="dxa"/>
            <w:vAlign w:val="center"/>
          </w:tcPr>
          <w:p>
            <w:pPr>
              <w:jc w:val="left"/>
              <w:rPr>
                <w:rFonts w:hint="eastAsia" w:asciiTheme="minorEastAsia" w:hAnsiTheme="minorEastAsia" w:eastAsiaTheme="minorEastAsia" w:cstheme="minorEastAsia"/>
                <w:color w:val="auto"/>
                <w:szCs w:val="21"/>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宋体" w:hAnsi="宋体" w:cs="宋体"/>
                <w:color w:val="auto"/>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21</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.8.1</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r>
              <w:rPr>
                <w:rFonts w:asciiTheme="minorEastAsia" w:hAnsiTheme="minorEastAsia" w:eastAsiaTheme="minorEastAsia" w:cstheme="minorEastAsia"/>
                <w:color w:val="auto"/>
                <w:szCs w:val="21"/>
                <w:highlight w:val="none"/>
              </w:rPr>
              <w:t>1</w:t>
            </w:r>
            <w:r>
              <w:rPr>
                <w:rFonts w:hint="eastAsia" w:ascii="宋体" w:hAnsi="宋体"/>
                <w:color w:val="auto"/>
                <w:highlight w:val="none"/>
              </w:rPr>
              <w:t>按招标文件规定获得补偿的投标文件，评标后不予退回。</w:t>
            </w:r>
          </w:p>
        </w:tc>
        <w:tc>
          <w:tcPr>
            <w:tcW w:w="4742" w:type="dxa"/>
            <w:vAlign w:val="center"/>
          </w:tcPr>
          <w:p>
            <w:pPr>
              <w:rPr>
                <w:rFonts w:hint="eastAsia" w:ascii="宋体" w:hAnsi="宋体" w:cs="宋体"/>
                <w:color w:val="auto"/>
                <w:kern w:val="0"/>
                <w:szCs w:val="21"/>
                <w:highlight w:val="none"/>
                <w:u w:val="singl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.8.1</w:t>
            </w:r>
            <w:r>
              <w:rPr>
                <w:rFonts w:hint="eastAsia" w:ascii="宋体" w:hAnsi="宋体"/>
                <w:color w:val="auto"/>
                <w:highlight w:val="none"/>
              </w:rPr>
              <w:t>修改：</w:t>
            </w:r>
            <w:r>
              <w:rPr>
                <w:rFonts w:hint="eastAsia" w:ascii="宋体" w:hAnsi="宋体"/>
                <w:color w:val="auto"/>
                <w:highlight w:val="none"/>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22</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24</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2.10.1</w:t>
            </w:r>
          </w:p>
        </w:tc>
        <w:tc>
          <w:tcPr>
            <w:tcW w:w="2583" w:type="dxa"/>
            <w:vAlign w:val="top"/>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修改：</w:t>
            </w:r>
            <w:r>
              <w:rPr>
                <w:rFonts w:hint="eastAsia" w:ascii="宋体" w:hAnsi="宋体"/>
                <w:color w:val="auto"/>
                <w:highlight w:val="none"/>
                <w:u w:val="single"/>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25</w:t>
            </w:r>
          </w:p>
        </w:tc>
        <w:tc>
          <w:tcPr>
            <w:tcW w:w="1434" w:type="dxa"/>
            <w:vAlign w:val="center"/>
          </w:tcPr>
          <w:p>
            <w:pPr>
              <w:jc w:val="center"/>
              <w:rPr>
                <w:rFonts w:hint="eastAsia" w:ascii="宋体" w:hAnsi="宋体"/>
                <w:color w:val="auto"/>
                <w:highlight w:val="none"/>
              </w:rPr>
            </w:pPr>
            <w:r>
              <w:rPr>
                <w:rFonts w:hint="eastAsia" w:ascii="宋体" w:hAnsi="宋体"/>
                <w:color w:val="auto"/>
                <w:szCs w:val="21"/>
                <w:highlight w:val="none"/>
              </w:rPr>
              <w:t>2.11</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hint="eastAsia" w:ascii="宋体" w:hAnsi="宋体"/>
                <w:color w:val="auto"/>
                <w:highlight w:val="none"/>
              </w:rPr>
            </w:pPr>
            <w:r>
              <w:rPr>
                <w:rFonts w:hint="eastAsia" w:ascii="宋体" w:hAnsi="宋体"/>
                <w:b/>
                <w:bCs/>
                <w:color w:val="auto"/>
                <w:highlight w:val="non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26</w:t>
            </w: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2.11.1</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提交投标文件光盘备用</w:t>
            </w:r>
          </w:p>
          <w:p>
            <w:pPr>
              <w:jc w:val="left"/>
              <w:rPr>
                <w:rFonts w:hint="eastAsia" w:ascii="宋体" w:hAnsi="宋体"/>
                <w:b/>
                <w:bCs/>
                <w:color w:val="auto"/>
                <w:highlight w:val="none"/>
              </w:rPr>
            </w:pPr>
            <w:r>
              <w:rPr>
                <w:rFonts w:hint="eastAsia" w:asciiTheme="minorEastAsia" w:hAnsiTheme="minorEastAsia" w:eastAsiaTheme="minorEastAsia" w:cstheme="minorEastAsia"/>
                <w:color w:val="auto"/>
                <w:szCs w:val="21"/>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27</w:t>
            </w: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ascii="宋体" w:hAnsi="宋体"/>
                <w:b/>
                <w:color w:val="auto"/>
                <w:szCs w:val="21"/>
                <w:highlight w:val="none"/>
              </w:rPr>
            </w:pPr>
            <w:r>
              <w:rPr>
                <w:rFonts w:hint="eastAsia" w:ascii="宋体" w:hAnsi="宋体"/>
                <w:b/>
                <w:color w:val="auto"/>
                <w:szCs w:val="21"/>
                <w:highlight w:val="none"/>
              </w:rPr>
              <w:t>新增：</w:t>
            </w:r>
          </w:p>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28</w:t>
            </w: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2.11.2.1</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ascii="宋体" w:hAnsi="宋体"/>
                <w:b/>
                <w:color w:val="auto"/>
                <w:szCs w:val="21"/>
                <w:highlight w:val="none"/>
              </w:rPr>
            </w:pPr>
            <w:r>
              <w:rPr>
                <w:rFonts w:hint="eastAsia" w:ascii="宋体" w:hAnsi="宋体"/>
                <w:b/>
                <w:color w:val="auto"/>
                <w:szCs w:val="21"/>
                <w:highlight w:val="none"/>
              </w:rPr>
              <w:t>新增：</w:t>
            </w:r>
          </w:p>
          <w:p>
            <w:pPr>
              <w:jc w:val="left"/>
              <w:rPr>
                <w:rFonts w:hint="eastAsia" w:ascii="宋体" w:hAnsi="宋体"/>
                <w:color w:val="auto"/>
                <w:szCs w:val="21"/>
                <w:highlight w:val="none"/>
                <w:u w:val="single"/>
              </w:rPr>
            </w:pPr>
            <w:r>
              <w:rPr>
                <w:rFonts w:hint="eastAsia" w:ascii="宋体" w:hAnsi="宋体"/>
                <w:color w:val="auto"/>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29</w:t>
            </w: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2.11.2.2</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30</w:t>
            </w: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2.11.2.3</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31</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32</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3.1.6</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jc w:val="left"/>
              <w:rPr>
                <w:rFonts w:hint="eastAsia"/>
                <w:color w:val="auto"/>
                <w:highlight w:val="none"/>
              </w:rPr>
            </w:pPr>
            <w:r>
              <w:rPr>
                <w:rFonts w:hint="eastAsia"/>
                <w:color w:val="auto"/>
                <w:highlight w:val="non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jc w:val="left"/>
              <w:rPr>
                <w:color w:val="auto"/>
                <w:highlight w:val="none"/>
              </w:rPr>
            </w:pPr>
            <w:r>
              <w:rPr>
                <w:rFonts w:hint="eastAsia"/>
                <w:color w:val="auto"/>
                <w:highlight w:val="none"/>
                <w:lang w:val="en-US" w:eastAsia="zh-CN"/>
              </w:rPr>
              <w:t>联合体</w:t>
            </w:r>
            <w:r>
              <w:rPr>
                <w:rFonts w:hint="eastAsia"/>
                <w:color w:val="auto"/>
                <w:highlight w:val="none"/>
              </w:rPr>
              <w:t>投标时，法人证明及授权委托书由联合体主办方提供即可。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34</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asciiTheme="minorEastAsia" w:hAnsiTheme="minorEastAsia" w:eastAsiaTheme="minorEastAsia" w:cstheme="minorEastAsia"/>
                <w:color w:val="auto"/>
                <w:szCs w:val="21"/>
                <w:highlight w:val="none"/>
              </w:rPr>
              <w:t>.1.7</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35</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（3）投标书（格式见附录7）及联合体共同投标协议（如果有）（格式见附录8）； 勘察设计费报价表（格式见附录）</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（3）投标书（格式见附录5）及联合体共同投标协议（如果有）（格式见附录6）</w:t>
            </w:r>
            <w:r>
              <w:rPr>
                <w:rFonts w:hint="eastAsia" w:ascii="宋体" w:hAnsi="宋体" w:cs="宋体"/>
                <w:color w:val="auto"/>
                <w:szCs w:val="21"/>
                <w:highlight w:val="none"/>
              </w:rPr>
              <w:t>；勘察设计费报价表（格式见附录4）</w:t>
            </w:r>
            <w:r>
              <w:rPr>
                <w:rFonts w:hint="eastAsia" w:asciiTheme="minorEastAsia" w:hAnsiTheme="minorEastAsia" w:eastAsiaTheme="minorEastAsia" w:cstheme="minorEastAsia"/>
                <w:color w:val="auto"/>
                <w:szCs w:val="21"/>
                <w:highlight w:val="none"/>
              </w:rPr>
              <w:t>。注：本项资料要求投标人在“开标文件”和“商务文件”中同时提供，但评标委员会应根据“开标文件”中的“投标书”、联合体共同投标协议（如果有）、勘察察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36</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asciiTheme="minorEastAsia" w:hAnsiTheme="minorEastAsia" w:eastAsiaTheme="minorEastAsia" w:cstheme="minorEastAsia"/>
                <w:color w:val="auto"/>
                <w:szCs w:val="21"/>
                <w:highlight w:val="none"/>
              </w:rPr>
              <w:t>2.1</w:t>
            </w:r>
          </w:p>
        </w:tc>
        <w:tc>
          <w:tcPr>
            <w:tcW w:w="258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color w:val="auto"/>
                <w:szCs w:val="21"/>
                <w:highlight w:val="none"/>
              </w:rPr>
            </w:pPr>
            <w:r>
              <w:rPr>
                <w:rFonts w:hint="eastAsia" w:ascii="宋体" w:hAnsi="宋体" w:cs="宋体"/>
                <w:color w:val="auto"/>
                <w:szCs w:val="21"/>
                <w:highlight w:val="none"/>
              </w:rPr>
              <w:t>（13）满足第一章第1.2条（资格审查合格条件）评审要求的资料。</w:t>
            </w:r>
          </w:p>
        </w:tc>
        <w:tc>
          <w:tcPr>
            <w:tcW w:w="4742" w:type="dxa"/>
            <w:vAlign w:val="center"/>
          </w:tcPr>
          <w:p>
            <w:pPr>
              <w:ind w:left="718" w:hanging="718" w:hangingChars="342"/>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37</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w:t>
            </w:r>
          </w:p>
        </w:tc>
        <w:tc>
          <w:tcPr>
            <w:tcW w:w="2583" w:type="dxa"/>
            <w:vAlign w:val="center"/>
          </w:tcPr>
          <w:p>
            <w:pPr>
              <w:jc w:val="left"/>
              <w:rPr>
                <w:rFonts w:hint="eastAsia" w:ascii="宋体" w:hAnsi="宋体" w:cs="宋体"/>
                <w:color w:val="auto"/>
                <w:szCs w:val="21"/>
                <w:highlight w:val="none"/>
              </w:rPr>
            </w:pPr>
            <w:r>
              <w:rPr>
                <w:rFonts w:hint="eastAsia" w:hAnsi="宋体"/>
                <w:color w:val="auto"/>
                <w:szCs w:val="21"/>
                <w:highlight w:val="none"/>
              </w:rPr>
              <w:t>商务投标文件的密封要求：投标人应确保投标文件密闭封装，外包装材料不应留有可在包封后添加或抽取投标文件的空隙。外面标注“项目名称”及“商务文件”字样。</w:t>
            </w:r>
          </w:p>
        </w:tc>
        <w:tc>
          <w:tcPr>
            <w:tcW w:w="4742" w:type="dxa"/>
            <w:vAlign w:val="center"/>
          </w:tcPr>
          <w:p>
            <w:pPr>
              <w:jc w:val="left"/>
              <w:rPr>
                <w:rFonts w:hint="eastAsia" w:ascii="宋体" w:hAnsi="宋体" w:cs="宋体"/>
                <w:color w:val="auto"/>
                <w:szCs w:val="21"/>
                <w:highlight w:val="none"/>
              </w:rPr>
            </w:pPr>
            <w:r>
              <w:rPr>
                <w:rFonts w:hint="eastAsia" w:ascii="宋体"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38</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3.2.3</w:t>
            </w:r>
          </w:p>
        </w:tc>
        <w:tc>
          <w:tcPr>
            <w:tcW w:w="2583" w:type="dxa"/>
            <w:vAlign w:val="center"/>
          </w:tcPr>
          <w:p>
            <w:pPr>
              <w:jc w:val="left"/>
              <w:rPr>
                <w:rFonts w:hint="eastAsia" w:hAnsi="宋体"/>
                <w:color w:val="auto"/>
                <w:szCs w:val="21"/>
                <w:highlight w:val="none"/>
              </w:rPr>
            </w:pPr>
            <w:r>
              <w:rPr>
                <w:rFonts w:hint="eastAsia" w:ascii="宋体" w:hAnsi="宋体"/>
                <w:color w:val="auto"/>
                <w:szCs w:val="21"/>
                <w:highlight w:val="none"/>
              </w:rPr>
              <w:t>接收投标文件时，如果包封上没有按上述规定密封或加写标志，招标人予以拒绝，并退还给投标人。</w:t>
            </w:r>
          </w:p>
        </w:tc>
        <w:tc>
          <w:tcPr>
            <w:tcW w:w="4742" w:type="dxa"/>
            <w:vAlign w:val="center"/>
          </w:tcPr>
          <w:p>
            <w:pPr>
              <w:jc w:val="left"/>
              <w:rPr>
                <w:rFonts w:hint="eastAsia" w:ascii="宋体" w:hAnsi="宋体" w:cs="宋体"/>
                <w:color w:val="auto"/>
                <w:szCs w:val="21"/>
                <w:highlight w:val="none"/>
                <w:u w:val="single"/>
              </w:rPr>
            </w:pPr>
            <w:r>
              <w:rPr>
                <w:rFonts w:hint="eastAsia" w:ascii="宋体"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39</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258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b/>
                <w:color w:val="auto"/>
                <w:szCs w:val="21"/>
                <w:highlight w:val="none"/>
              </w:rPr>
              <w:t>技术文件由下列资料组成：</w:t>
            </w:r>
          </w:p>
          <w:p>
            <w:pPr>
              <w:jc w:val="left"/>
              <w:rPr>
                <w:rFonts w:ascii="宋体" w:hAnsi="宋体" w:cs="宋体"/>
                <w:color w:val="auto"/>
                <w:szCs w:val="21"/>
                <w:highlight w:val="none"/>
              </w:rPr>
            </w:pPr>
            <w:r>
              <w:rPr>
                <w:rFonts w:hint="eastAsia" w:ascii="宋体" w:hAnsi="宋体" w:cs="宋体"/>
                <w:color w:val="auto"/>
                <w:szCs w:val="21"/>
                <w:highlight w:val="none"/>
              </w:rPr>
              <w:t>(a) 保密信封。</w:t>
            </w:r>
          </w:p>
          <w:p>
            <w:pPr>
              <w:jc w:val="left"/>
              <w:rPr>
                <w:rFonts w:ascii="宋体" w:hAnsi="宋体" w:cs="宋体"/>
                <w:color w:val="auto"/>
                <w:szCs w:val="21"/>
                <w:highlight w:val="none"/>
              </w:rPr>
            </w:pPr>
            <w:r>
              <w:rPr>
                <w:rFonts w:hint="eastAsia" w:ascii="宋体" w:hAnsi="宋体" w:cs="宋体"/>
                <w:color w:val="auto"/>
                <w:szCs w:val="21"/>
                <w:highlight w:val="none"/>
              </w:rPr>
              <w:t>(b) 设计方案。</w:t>
            </w:r>
          </w:p>
          <w:p>
            <w:pPr>
              <w:jc w:val="left"/>
              <w:rPr>
                <w:rFonts w:ascii="宋体" w:hAnsi="宋体" w:cs="宋体"/>
                <w:color w:val="auto"/>
                <w:szCs w:val="21"/>
                <w:highlight w:val="none"/>
              </w:rPr>
            </w:pPr>
            <w:r>
              <w:rPr>
                <w:rFonts w:hint="eastAsia" w:ascii="宋体" w:hAnsi="宋体" w:cs="宋体"/>
                <w:color w:val="auto"/>
                <w:szCs w:val="21"/>
                <w:highlight w:val="none"/>
              </w:rPr>
              <w:t>(c) 计算机文件。</w:t>
            </w:r>
          </w:p>
          <w:p>
            <w:pPr>
              <w:jc w:val="left"/>
              <w:rPr>
                <w:rFonts w:ascii="宋体" w:hAnsi="宋体" w:cs="宋体"/>
                <w:color w:val="auto"/>
                <w:szCs w:val="21"/>
                <w:highlight w:val="none"/>
              </w:rPr>
            </w:pPr>
            <w:r>
              <w:rPr>
                <w:rFonts w:hint="eastAsia" w:ascii="宋体" w:hAnsi="宋体" w:cs="宋体"/>
                <w:color w:val="auto"/>
                <w:szCs w:val="21"/>
                <w:highlight w:val="none"/>
              </w:rPr>
              <w:t>(d) 展示图纸。</w:t>
            </w:r>
          </w:p>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(e)。</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b/>
                <w:color w:val="auto"/>
                <w:szCs w:val="21"/>
                <w:highlight w:val="none"/>
              </w:rPr>
              <w:t>技术文件由下列资料组成：</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(a) 设计方案。</w:t>
            </w:r>
          </w:p>
          <w:p>
            <w:pPr>
              <w:jc w:val="lef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40</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2583" w:type="dxa"/>
            <w:vAlign w:val="center"/>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3.3.2 </w:t>
            </w:r>
            <w:r>
              <w:rPr>
                <w:rFonts w:hint="eastAsia" w:asciiTheme="minorEastAsia" w:hAnsiTheme="minorEastAsia" w:eastAsiaTheme="minorEastAsia" w:cstheme="minorEastAsia"/>
                <w:b/>
                <w:bCs/>
                <w:color w:val="auto"/>
                <w:szCs w:val="21"/>
                <w:highlight w:val="none"/>
              </w:rPr>
              <w:t>保密要求</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3.3.2 </w:t>
            </w:r>
            <w:r>
              <w:rPr>
                <w:rFonts w:hint="eastAsia" w:asciiTheme="minorEastAsia" w:hAnsiTheme="minorEastAsia" w:eastAsiaTheme="minorEastAsia" w:cstheme="minorEastAsia"/>
                <w:b/>
                <w:bCs/>
                <w:color w:val="auto"/>
                <w:szCs w:val="21"/>
                <w:highlight w:val="none"/>
              </w:rPr>
              <w:t>保密要求</w:t>
            </w:r>
          </w:p>
          <w:p>
            <w:pPr>
              <w:jc w:val="left"/>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41</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3.3.3</w:t>
            </w:r>
          </w:p>
        </w:tc>
        <w:tc>
          <w:tcPr>
            <w:tcW w:w="2583" w:type="dxa"/>
            <w:vAlign w:val="center"/>
          </w:tcPr>
          <w:p>
            <w:pPr>
              <w:rPr>
                <w:rFonts w:ascii="宋体" w:hAnsi="宋体"/>
                <w:b/>
                <w:bCs/>
                <w:color w:val="auto"/>
                <w:szCs w:val="21"/>
                <w:highlight w:val="none"/>
              </w:rPr>
            </w:pPr>
            <w:r>
              <w:rPr>
                <w:rFonts w:hint="eastAsia" w:ascii="宋体" w:hAnsi="宋体"/>
                <w:b/>
                <w:bCs/>
                <w:color w:val="auto"/>
                <w:szCs w:val="21"/>
                <w:highlight w:val="none"/>
              </w:rPr>
              <w:t>保密信封</w:t>
            </w:r>
          </w:p>
          <w:p>
            <w:pPr>
              <w:rPr>
                <w:rFonts w:ascii="宋体" w:hAnsi="宋体"/>
                <w:bCs/>
                <w:color w:val="auto"/>
                <w:szCs w:val="21"/>
                <w:highlight w:val="none"/>
              </w:rPr>
            </w:pPr>
            <w:r>
              <w:rPr>
                <w:rFonts w:hint="eastAsia" w:ascii="宋体" w:hAnsi="宋体"/>
                <w:bCs/>
                <w:color w:val="auto"/>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hint="eastAsia" w:hAnsi="宋体" w:cs="宋体"/>
                <w:b/>
                <w:color w:val="auto"/>
                <w:sz w:val="21"/>
                <w:szCs w:val="21"/>
                <w:highlight w:val="none"/>
              </w:rPr>
            </w:pPr>
            <w:r>
              <w:rPr>
                <w:rFonts w:hint="eastAsia" w:ascii="宋体" w:hAnsi="宋体"/>
                <w:bCs/>
                <w:color w:val="auto"/>
                <w:szCs w:val="21"/>
                <w:highlight w:val="none"/>
              </w:rPr>
              <w:t>（2）保密信封用不透明信封独立密封，外面标注“项目名称”及“保密信封”字样。</w:t>
            </w:r>
          </w:p>
        </w:tc>
        <w:tc>
          <w:tcPr>
            <w:tcW w:w="4742" w:type="dxa"/>
            <w:vAlign w:val="center"/>
          </w:tcPr>
          <w:p>
            <w:pPr>
              <w:spacing w:line="360" w:lineRule="auto"/>
              <w:jc w:val="left"/>
              <w:rPr>
                <w:rFonts w:hint="eastAsia" w:hAnsi="宋体"/>
                <w:b/>
                <w:color w:val="auto"/>
                <w:sz w:val="21"/>
                <w:szCs w:val="21"/>
                <w:highlight w:val="none"/>
              </w:rPr>
            </w:pPr>
            <w:r>
              <w:rPr>
                <w:rFonts w:hint="eastAsia"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42</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3.3.4</w:t>
            </w:r>
          </w:p>
        </w:tc>
        <w:tc>
          <w:tcPr>
            <w:tcW w:w="2583" w:type="dxa"/>
            <w:vAlign w:val="center"/>
          </w:tcPr>
          <w:p>
            <w:pPr>
              <w:pStyle w:val="14"/>
              <w:ind w:firstLine="0" w:firstLineChars="0"/>
              <w:jc w:val="left"/>
              <w:rPr>
                <w:rFonts w:hAnsi="宋体" w:cs="宋体"/>
                <w:color w:val="auto"/>
                <w:kern w:val="2"/>
                <w:sz w:val="21"/>
                <w:szCs w:val="21"/>
                <w:highlight w:val="none"/>
              </w:rPr>
            </w:pPr>
            <w:r>
              <w:rPr>
                <w:rFonts w:hint="eastAsia" w:hAnsi="宋体" w:cs="宋体"/>
                <w:color w:val="auto"/>
                <w:kern w:val="2"/>
                <w:sz w:val="21"/>
                <w:szCs w:val="21"/>
                <w:highlight w:val="none"/>
              </w:rPr>
              <w:t>（1）设计方案以A3(297mm×420mm) 规格编排装订成册  （含封面及封底建议不超过  页）。</w:t>
            </w:r>
          </w:p>
          <w:p>
            <w:pPr>
              <w:pStyle w:val="14"/>
              <w:ind w:firstLine="0" w:firstLineChars="0"/>
              <w:jc w:val="left"/>
              <w:rPr>
                <w:rFonts w:hAnsi="宋体" w:cs="宋体"/>
                <w:color w:val="auto"/>
                <w:kern w:val="2"/>
                <w:sz w:val="21"/>
                <w:szCs w:val="21"/>
                <w:highlight w:val="none"/>
              </w:rPr>
            </w:pPr>
            <w:r>
              <w:rPr>
                <w:rFonts w:hint="eastAsia" w:hAnsi="宋体" w:cs="宋体"/>
                <w:color w:val="auto"/>
                <w:kern w:val="2"/>
                <w:sz w:val="21"/>
                <w:szCs w:val="21"/>
                <w:highlight w:val="none"/>
              </w:rPr>
              <w:t>…</w:t>
            </w:r>
          </w:p>
          <w:p>
            <w:pPr>
              <w:pStyle w:val="14"/>
              <w:ind w:firstLine="0" w:firstLineChars="0"/>
              <w:jc w:val="left"/>
              <w:rPr>
                <w:rFonts w:hint="eastAsia" w:hAnsi="宋体" w:cs="宋体"/>
                <w:b/>
                <w:color w:val="auto"/>
                <w:sz w:val="21"/>
                <w:szCs w:val="21"/>
                <w:highlight w:val="none"/>
              </w:rPr>
            </w:pPr>
            <w:r>
              <w:rPr>
                <w:rFonts w:hint="eastAsia" w:hAnsi="宋体" w:cs="宋体"/>
                <w:b/>
                <w:color w:val="auto"/>
                <w:sz w:val="21"/>
                <w:szCs w:val="21"/>
                <w:highlight w:val="none"/>
              </w:rPr>
              <w:t>如本项目含勘察，则需增加如下内容：</w:t>
            </w:r>
          </w:p>
        </w:tc>
        <w:tc>
          <w:tcPr>
            <w:tcW w:w="4742" w:type="dxa"/>
            <w:vAlign w:val="center"/>
          </w:tcPr>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（1）设计方案文本文件内容：</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(a) 封面：写明项目名称、编制年月；</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(b) 目录。</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(c) 设计说明书（含本项目的难点、建议和工程创新）。</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(d) 投标人认为有必要提供的其他资料。</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（2）勘察部分内容：</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(a) 针对项目场地及工程性质采用的勘察方案及建议，本次勘察的重点、难点及建议。</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(b) 勘察工作流程和相应的工期进度计划。</w:t>
            </w:r>
            <w:r>
              <w:rPr>
                <w:rFonts w:hint="eastAsia" w:hAnsi="宋体"/>
                <w:bCs/>
                <w:color w:val="auto"/>
                <w:sz w:val="21"/>
                <w:szCs w:val="21"/>
                <w:highlight w:val="none"/>
                <w:u w:val="single"/>
              </w:rPr>
              <w:tab/>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(c) 勘察报告综合评价深度，勘察成果文件内容目录。</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(d) 投标人掌握的勘察工作有关的法律法规、标准、规范一览表。</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(e) 需要建设单位配合的事项。</w:t>
            </w:r>
          </w:p>
          <w:p>
            <w:pPr>
              <w:pStyle w:val="14"/>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(f) 投标人参与施工验槽，解决工程设计和施工中与勘察工作有关问题的服务承诺、响应时间。</w:t>
            </w:r>
          </w:p>
          <w:p>
            <w:pPr>
              <w:pStyle w:val="14"/>
              <w:ind w:firstLine="420" w:firstLineChars="0"/>
              <w:rPr>
                <w:rFonts w:hint="eastAsia" w:hAnsi="宋体"/>
                <w:b/>
                <w:color w:val="auto"/>
                <w:sz w:val="21"/>
                <w:szCs w:val="21"/>
                <w:highlight w:val="none"/>
              </w:rPr>
            </w:pPr>
            <w:r>
              <w:rPr>
                <w:rFonts w:hint="eastAsia" w:hAnsi="宋体"/>
                <w:bCs/>
                <w:color w:val="auto"/>
                <w:sz w:val="21"/>
                <w:szCs w:val="21"/>
                <w:highlight w:val="none"/>
                <w:u w:val="single"/>
              </w:rPr>
              <w:t>注：技术文件文件大小不宜超过500M。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3.3.5</w:t>
            </w:r>
          </w:p>
        </w:tc>
        <w:tc>
          <w:tcPr>
            <w:tcW w:w="2583" w:type="dxa"/>
            <w:vAlign w:val="center"/>
          </w:tcPr>
          <w:p>
            <w:pPr>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 xml:space="preserve">3.3.5 </w:t>
            </w:r>
            <w:r>
              <w:rPr>
                <w:rFonts w:hint="eastAsia" w:asciiTheme="minorEastAsia" w:hAnsiTheme="minorEastAsia" w:eastAsiaTheme="minorEastAsia" w:cstheme="minorEastAsia"/>
                <w:b/>
                <w:color w:val="auto"/>
                <w:szCs w:val="21"/>
                <w:highlight w:val="none"/>
              </w:rPr>
              <w:t>计算机文件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（1）计算机文件包括内容：</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一张用于识别投标方案的JPG格式的图型文件。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一套PDF格式或PPT格式制作的电子版文本文件。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一套WORD格式的电子版文本文件。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 一套AutoCAD格式的设计图形文件。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3.3.5 投标文件光盘（备用）</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44</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3.3.6</w:t>
            </w:r>
          </w:p>
        </w:tc>
        <w:tc>
          <w:tcPr>
            <w:tcW w:w="2583" w:type="dxa"/>
            <w:vAlign w:val="center"/>
          </w:tcPr>
          <w:p>
            <w:pPr>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 xml:space="preserve">3.3.6 </w:t>
            </w:r>
            <w:r>
              <w:rPr>
                <w:rFonts w:hint="eastAsia" w:asciiTheme="minorEastAsia" w:hAnsiTheme="minorEastAsia" w:eastAsiaTheme="minorEastAsia" w:cstheme="minorEastAsia"/>
                <w:b/>
                <w:color w:val="auto"/>
                <w:szCs w:val="21"/>
                <w:highlight w:val="none"/>
              </w:rPr>
              <w:t>展示图纸</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color w:val="auto"/>
                <w:szCs w:val="21"/>
                <w:highlight w:val="none"/>
              </w:rPr>
            </w:pPr>
            <w:r>
              <w:rPr>
                <w:rFonts w:hint="eastAsia" w:asciiTheme="minorEastAsia" w:hAnsiTheme="minorEastAsia" w:eastAsiaTheme="minorEastAsia" w:cstheme="minorEastAsia"/>
                <w:color w:val="auto"/>
                <w:szCs w:val="21"/>
                <w:highlight w:val="none"/>
              </w:rPr>
              <w:t xml:space="preserve">3.3.6 </w:t>
            </w:r>
            <w:r>
              <w:rPr>
                <w:rFonts w:hint="eastAsia" w:asciiTheme="minorEastAsia" w:hAnsiTheme="minorEastAsia" w:eastAsiaTheme="minorEastAsia" w:cstheme="minorEastAsia"/>
                <w:b/>
                <w:color w:val="auto"/>
                <w:szCs w:val="21"/>
                <w:highlight w:val="none"/>
              </w:rPr>
              <w:t>展示图纸</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不单独提供展示图，所有展示图编入投标文件。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45</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46</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583" w:type="dxa"/>
            <w:vAlign w:val="center"/>
          </w:tcPr>
          <w:p>
            <w:pPr>
              <w:jc w:val="left"/>
              <w:rPr>
                <w:rFonts w:hint="eastAsia" w:asciiTheme="minorEastAsia" w:hAnsiTheme="minorEastAsia" w:eastAsiaTheme="minorEastAsia" w:cstheme="minorEastAsia"/>
                <w:color w:val="auto"/>
                <w:szCs w:val="21"/>
                <w:highlight w:val="none"/>
              </w:rPr>
            </w:pPr>
          </w:p>
        </w:tc>
        <w:tc>
          <w:tcPr>
            <w:tcW w:w="4742" w:type="dxa"/>
            <w:vAlign w:val="center"/>
          </w:tcPr>
          <w:p>
            <w:pPr>
              <w:jc w:val="left"/>
              <w:rPr>
                <w:rFonts w:asciiTheme="minorEastAsia" w:hAnsiTheme="minorEastAsia" w:eastAsiaTheme="minorEastAsia" w:cstheme="minorEastAsia"/>
                <w:b/>
                <w:bCs/>
                <w:color w:val="auto"/>
                <w:szCs w:val="21"/>
                <w:highlight w:val="none"/>
                <w:u w:val="single"/>
              </w:rPr>
            </w:pPr>
            <w:r>
              <w:rPr>
                <w:rFonts w:hint="eastAsia" w:asciiTheme="minorEastAsia" w:hAnsiTheme="minorEastAsia" w:eastAsiaTheme="minorEastAsia" w:cstheme="minorEastAsia"/>
                <w:b/>
                <w:bCs/>
                <w:color w:val="auto"/>
                <w:szCs w:val="21"/>
                <w:highlight w:val="none"/>
                <w:u w:val="single"/>
              </w:rPr>
              <w:t>3.5开标文件编制要求</w:t>
            </w:r>
          </w:p>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3.5.1开标文件由下列资料组成：</w:t>
            </w:r>
          </w:p>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（1）《投标书》（格式见附录7，填妥并签名盖章）。</w:t>
            </w:r>
          </w:p>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（2）《联合体共同投标协议》(如有）（格式见附录8，联合体投标时递交，填妥并由联合体各方共同签名盖章）。</w:t>
            </w:r>
          </w:p>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（3）勘察设计费报价表（格式见附录5）。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47</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投标人有下列情况之一的，招标人将拒绝接收投标人的投标文件：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在投标截止期后逾期或未在指定地点递交投标文件的。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投标文件未按招标文件要求密封的。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项目负责人未携本人身份证原件准时出席收标会或未按要求签到的。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投标人有下列情况之一的，招标人将拒绝接收投标人的投标文件或者投标文件光盘：</w:t>
            </w:r>
          </w:p>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(a) 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48</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w:t>
            </w:r>
            <w:r>
              <w:rPr>
                <w:rFonts w:hint="eastAsia" w:ascii="宋体" w:hAnsi="宋体"/>
                <w:color w:val="auto"/>
                <w:szCs w:val="21"/>
                <w:highlight w:val="none"/>
              </w:rPr>
              <w:t>商务文件封面未盖投标人公章</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49</w:t>
            </w: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（i）未按照招标文件要求提交投标保证金的。</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50</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w:t>
            </w:r>
            <w:r>
              <w:rPr>
                <w:rFonts w:hint="eastAsia" w:ascii="宋体" w:hAnsi="宋体"/>
                <w:color w:val="auto"/>
                <w:szCs w:val="21"/>
                <w:highlight w:val="none"/>
              </w:rPr>
              <w:t>投标人在设计方案内标注名称、印章、商标</w:t>
            </w:r>
            <w:r>
              <w:rPr>
                <w:rFonts w:hint="eastAsia" w:ascii="宋体" w:hAnsi="宋体" w:cs="宋体"/>
                <w:color w:val="auto"/>
                <w:szCs w:val="21"/>
                <w:highlight w:val="none"/>
                <w:u w:val="single"/>
              </w:rPr>
              <w:t>、图形</w:t>
            </w:r>
            <w:r>
              <w:rPr>
                <w:rFonts w:hint="eastAsia" w:ascii="宋体" w:hAnsi="宋体"/>
                <w:color w:val="auto"/>
                <w:szCs w:val="21"/>
                <w:highlight w:val="none"/>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51</w:t>
            </w:r>
          </w:p>
        </w:tc>
        <w:tc>
          <w:tcPr>
            <w:tcW w:w="14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5.1.1评标委员会由广州建设工程交易中心专家库随机抽取的专家名和业主代表名组成，共名。</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5.1.1评标委员会由招标人依法组建。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52</w:t>
            </w:r>
          </w:p>
        </w:tc>
        <w:tc>
          <w:tcPr>
            <w:tcW w:w="14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5.2.5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5.3评标办法 采用</w:t>
            </w:r>
          </w:p>
        </w:tc>
        <w:tc>
          <w:tcPr>
            <w:tcW w:w="4742" w:type="dxa"/>
            <w:vAlign w:val="center"/>
          </w:tcPr>
          <w:p>
            <w:pPr>
              <w:spacing w:line="400" w:lineRule="exact"/>
              <w:rPr>
                <w:rFonts w:ascii="宋体" w:hAnsi="宋体"/>
                <w:b/>
                <w:bCs/>
                <w:color w:val="auto"/>
                <w:szCs w:val="21"/>
                <w:highlight w:val="none"/>
              </w:rPr>
            </w:pPr>
            <w:r>
              <w:rPr>
                <w:rFonts w:hint="eastAsia" w:ascii="宋体" w:hAnsi="宋体"/>
                <w:b/>
                <w:bCs/>
                <w:color w:val="auto"/>
                <w:szCs w:val="21"/>
                <w:highlight w:val="none"/>
              </w:rPr>
              <w:t>评标办法 采用</w:t>
            </w:r>
            <w:r>
              <w:rPr>
                <w:rFonts w:hint="eastAsia" w:ascii="宋体" w:hAnsi="宋体" w:cs="宋体"/>
                <w:b/>
                <w:bCs/>
                <w:color w:val="auto"/>
                <w:szCs w:val="21"/>
                <w:highlight w:val="none"/>
                <w:u w:val="single"/>
              </w:rPr>
              <w:t>办法一</w:t>
            </w:r>
          </w:p>
          <w:p>
            <w:pPr>
              <w:pStyle w:val="30"/>
              <w:rPr>
                <w:rFonts w:ascii="宋体" w:hAnsi="宋体"/>
                <w:b/>
                <w:bCs/>
                <w:color w:val="auto"/>
                <w:szCs w:val="21"/>
                <w:highlight w:val="none"/>
              </w:rPr>
            </w:pPr>
            <w:r>
              <w:rPr>
                <w:rFonts w:hint="eastAsia" w:ascii="宋体" w:hAnsi="宋体"/>
                <w:b/>
                <w:bCs/>
                <w:color w:val="auto"/>
                <w:szCs w:val="21"/>
                <w:highlight w:val="none"/>
              </w:rPr>
              <w:t>办法一   采用综合评分法评标</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 xml:space="preserve">  开标评标程序</w:t>
            </w:r>
          </w:p>
          <w:p>
            <w:pPr>
              <w:pStyle w:val="23"/>
              <w:ind w:left="0" w:leftChars="0"/>
              <w:rPr>
                <w:color w:val="auto"/>
                <w:highlight w:val="none"/>
              </w:rPr>
            </w:pPr>
            <w:r>
              <w:rPr>
                <w:rFonts w:hint="eastAsia"/>
                <w:color w:val="auto"/>
                <w:highlight w:val="none"/>
              </w:rPr>
              <w:t>5</w:t>
            </w:r>
            <w:r>
              <w:rPr>
                <w:color w:val="auto"/>
                <w:highlight w:val="none"/>
              </w:rPr>
              <w:t>.3.1.1</w:t>
            </w:r>
            <w:r>
              <w:rPr>
                <w:rFonts w:hint="eastAsia"/>
                <w:color w:val="auto"/>
                <w:highlight w:val="none"/>
              </w:rPr>
              <w:t>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.2.截标后，开标开始时间因故推迟的，相关评标信息仍以原定的开标开始时间的信息为准。</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.3备用光盘的读取按2.11.2的规定执行。</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.6参加现场开标的投标人对开标结果有异议的，应当在开标现场提出，招标人应当当场作出答复，并制作记录。</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.8投标人未参加开标或在规定的时间内未提出异议的，视为对开标无异议。</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.9开标时，两个（含两个）以上的投标人加密打包投标文件电脑机器特征码一致的，由评标委员会确定其为废标。</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pStyle w:val="23"/>
              <w:ind w:left="0" w:leftChars="0"/>
              <w:rPr>
                <w:color w:val="auto"/>
                <w:highlight w:val="none"/>
              </w:rPr>
            </w:pPr>
            <w:r>
              <w:rPr>
                <w:rFonts w:hint="eastAsia"/>
                <w:color w:val="auto"/>
                <w:highlight w:val="none"/>
              </w:rPr>
              <w:t>5.3</w:t>
            </w:r>
            <w:r>
              <w:rPr>
                <w:color w:val="auto"/>
                <w:highlight w:val="none"/>
              </w:rPr>
              <w:t>.1</w:t>
            </w:r>
            <w:r>
              <w:rPr>
                <w:rFonts w:hint="eastAsia"/>
                <w:color w:val="auto"/>
                <w:highlight w:val="none"/>
              </w:rPr>
              <w:t>.11开标时，出现下列情形之一的投标人，不参与下一程序，其投标文件作无效处理：</w:t>
            </w:r>
          </w:p>
          <w:p>
            <w:pPr>
              <w:pStyle w:val="23"/>
              <w:ind w:left="0" w:leftChars="0"/>
              <w:rPr>
                <w:color w:val="auto"/>
                <w:highlight w:val="none"/>
              </w:rPr>
            </w:pPr>
            <w:r>
              <w:rPr>
                <w:rFonts w:hint="eastAsia"/>
                <w:color w:val="auto"/>
                <w:highlight w:val="none"/>
              </w:rPr>
              <w:t>（1）未成功递交或因投标人原因未成功导入投标文件的；</w:t>
            </w:r>
          </w:p>
          <w:p>
            <w:pPr>
              <w:pStyle w:val="23"/>
              <w:ind w:left="0" w:leftChars="0"/>
              <w:rPr>
                <w:color w:val="auto"/>
                <w:highlight w:val="none"/>
              </w:rPr>
            </w:pPr>
            <w:r>
              <w:rPr>
                <w:rFonts w:hint="eastAsia"/>
                <w:color w:val="auto"/>
                <w:highlight w:val="none"/>
              </w:rPr>
              <w:t>（2）因投标人原因造成投标文件未解密的。</w:t>
            </w:r>
          </w:p>
          <w:p>
            <w:pPr>
              <w:pStyle w:val="23"/>
              <w:ind w:left="0" w:leftChars="0"/>
              <w:rPr>
                <w:color w:val="auto"/>
                <w:highlight w:val="none"/>
              </w:rPr>
            </w:pPr>
            <w:r>
              <w:rPr>
                <w:rFonts w:hint="eastAsia"/>
                <w:color w:val="auto"/>
                <w:highlight w:val="none"/>
              </w:rPr>
              <w:t>5.</w:t>
            </w:r>
            <w:r>
              <w:rPr>
                <w:color w:val="auto"/>
                <w:highlight w:val="none"/>
              </w:rPr>
              <w:t>3</w:t>
            </w:r>
            <w:r>
              <w:rPr>
                <w:rFonts w:hint="eastAsia"/>
                <w:color w:val="auto"/>
                <w:highlight w:val="none"/>
              </w:rPr>
              <w:t>.</w:t>
            </w:r>
            <w:r>
              <w:rPr>
                <w:color w:val="auto"/>
                <w:highlight w:val="none"/>
              </w:rPr>
              <w:t>2</w:t>
            </w:r>
            <w:r>
              <w:rPr>
                <w:rFonts w:hint="eastAsia"/>
                <w:color w:val="auto"/>
                <w:highlight w:val="none"/>
              </w:rPr>
              <w:t xml:space="preserve">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w:t>
            </w:r>
            <w:r>
              <w:rPr>
                <w:rFonts w:hint="eastAsia"/>
                <w:color w:val="auto"/>
                <w:highlight w:val="none"/>
                <w:lang w:val="en-US" w:eastAsia="zh-CN"/>
              </w:rPr>
              <w:t>2</w:t>
            </w:r>
            <w:r>
              <w:rPr>
                <w:rFonts w:hint="eastAsia"/>
                <w:color w:val="auto"/>
                <w:highlight w:val="none"/>
              </w:rPr>
              <w:t>、1</w:t>
            </w:r>
            <w:r>
              <w:rPr>
                <w:rFonts w:hint="eastAsia"/>
                <w:color w:val="auto"/>
                <w:highlight w:val="none"/>
                <w:lang w:val="en-US" w:eastAsia="zh-CN"/>
              </w:rPr>
              <w:t>4</w:t>
            </w:r>
            <w:r>
              <w:rPr>
                <w:rFonts w:hint="eastAsia"/>
                <w:color w:val="auto"/>
                <w:highlight w:val="none"/>
              </w:rPr>
              <w:t>）。评委必须严格按照“综合评分表”对投标文件进行评议、打分。</w:t>
            </w:r>
          </w:p>
          <w:p>
            <w:pPr>
              <w:pStyle w:val="23"/>
              <w:ind w:left="0" w:leftChars="0"/>
              <w:rPr>
                <w:rFonts w:hint="eastAsia" w:hAnsi="Times New Roman" w:cs="Times New Roman"/>
                <w:color w:val="auto"/>
                <w:highlight w:val="none"/>
              </w:rPr>
            </w:pPr>
            <w:r>
              <w:rPr>
                <w:rFonts w:hint="eastAsia" w:hAnsi="Times New Roman" w:cs="Times New Roman"/>
                <w:color w:val="auto"/>
                <w:highlight w:val="none"/>
              </w:rPr>
              <w:t>(a) 评标委员会专家首先按附录1</w:t>
            </w:r>
            <w:r>
              <w:rPr>
                <w:rFonts w:hint="eastAsia" w:hAnsi="Times New Roman" w:cs="Times New Roman"/>
                <w:color w:val="auto"/>
                <w:highlight w:val="none"/>
                <w:lang w:val="en-US" w:eastAsia="zh-CN"/>
              </w:rPr>
              <w:t>0</w:t>
            </w:r>
            <w:r>
              <w:rPr>
                <w:rFonts w:hint="eastAsia" w:hAnsi="Times New Roman" w:cs="Times New Roman"/>
                <w:color w:val="auto"/>
                <w:highlight w:val="none"/>
              </w:rPr>
              <w:t>《资格审查表》对各投标文件进行评审，只有通过资格审查的投标文件方可进入下一阶段的评审。如果有废标提议，则评标委员会成员共同表决，按照少数服从多数的原则决定是否废标。</w:t>
            </w:r>
          </w:p>
          <w:p>
            <w:pPr>
              <w:pStyle w:val="23"/>
              <w:ind w:left="0" w:leftChars="0"/>
              <w:rPr>
                <w:rFonts w:hint="eastAsia" w:hAnsi="Times New Roman" w:cs="Times New Roman"/>
                <w:color w:val="auto"/>
                <w:highlight w:val="none"/>
              </w:rPr>
            </w:pPr>
            <w:r>
              <w:rPr>
                <w:rFonts w:hint="eastAsia" w:hAnsi="Times New Roman" w:cs="Times New Roman"/>
                <w:color w:val="auto"/>
                <w:highlight w:val="none"/>
              </w:rPr>
              <w:t>(b) 评标委员会专家首先按附录1</w:t>
            </w:r>
            <w:r>
              <w:rPr>
                <w:rFonts w:hint="eastAsia" w:hAnsi="Times New Roman" w:cs="Times New Roman"/>
                <w:color w:val="auto"/>
                <w:highlight w:val="none"/>
                <w:lang w:val="en-US" w:eastAsia="zh-CN"/>
              </w:rPr>
              <w:t>1</w:t>
            </w:r>
            <w:r>
              <w:rPr>
                <w:rFonts w:hint="eastAsia" w:hAnsi="Times New Roman" w:cs="Times New Roman"/>
                <w:color w:val="auto"/>
                <w:highlight w:val="none"/>
              </w:rPr>
              <w:t>《商务文件有效性审查表》对各投标文件进行评审，只有通过商务有效性审查的投标文件方可进入下一阶段的评审。如果有废标提议，则评标委员会成员共同表决，按照少数服从多数的原则决定是否废标。</w:t>
            </w:r>
          </w:p>
          <w:p>
            <w:pPr>
              <w:pStyle w:val="23"/>
              <w:ind w:left="0" w:leftChars="0"/>
              <w:rPr>
                <w:rFonts w:hint="eastAsia" w:hAnsi="Times New Roman" w:cs="Times New Roman"/>
                <w:color w:val="auto"/>
                <w:highlight w:val="none"/>
              </w:rPr>
            </w:pPr>
            <w:r>
              <w:rPr>
                <w:rFonts w:hint="eastAsia" w:hAnsi="Times New Roman" w:cs="Times New Roman"/>
                <w:color w:val="auto"/>
                <w:highlight w:val="none"/>
              </w:rPr>
              <w:t>(c) 评标委员会专家按附录1</w:t>
            </w:r>
            <w:r>
              <w:rPr>
                <w:rFonts w:hint="eastAsia" w:hAnsi="Times New Roman" w:cs="Times New Roman"/>
                <w:color w:val="auto"/>
                <w:highlight w:val="none"/>
                <w:lang w:val="en-US" w:eastAsia="zh-CN"/>
              </w:rPr>
              <w:t>2</w:t>
            </w:r>
            <w:r>
              <w:rPr>
                <w:rFonts w:hint="eastAsia" w:hAnsi="Times New Roman" w:cs="Times New Roman"/>
                <w:color w:val="auto"/>
                <w:highlight w:val="none"/>
              </w:rPr>
              <w:t>《商务文件综合评分表》对各投标单位的商务文件进行综合评分。</w:t>
            </w:r>
          </w:p>
          <w:p>
            <w:pPr>
              <w:pStyle w:val="23"/>
              <w:ind w:left="0" w:leftChars="0"/>
              <w:rPr>
                <w:rFonts w:hint="eastAsia" w:hAnsi="Times New Roman" w:cs="Times New Roman"/>
                <w:color w:val="auto"/>
                <w:highlight w:val="none"/>
              </w:rPr>
            </w:pPr>
            <w:r>
              <w:rPr>
                <w:rFonts w:hint="eastAsia" w:hAnsi="Times New Roman" w:cs="Times New Roman"/>
                <w:color w:val="auto"/>
                <w:highlight w:val="none"/>
              </w:rPr>
              <w:t>(d) 评标委员会专家按附录1</w:t>
            </w:r>
            <w:r>
              <w:rPr>
                <w:rFonts w:hint="eastAsia" w:hAnsi="Times New Roman" w:cs="Times New Roman"/>
                <w:color w:val="auto"/>
                <w:highlight w:val="none"/>
                <w:lang w:val="en-US" w:eastAsia="zh-CN"/>
              </w:rPr>
              <w:t>3</w:t>
            </w:r>
            <w:r>
              <w:rPr>
                <w:rFonts w:hint="eastAsia" w:hAnsi="Times New Roman" w:cs="Times New Roman"/>
                <w:color w:val="auto"/>
                <w:highlight w:val="none"/>
              </w:rPr>
              <w:t>《技术文件有效性审查表》对各投标文件进行评审，只有通过技术有效性审查的投标文件方可进入下一阶段的评审。如果有废标提议，则评标委员会成员共同表决，按照少数服从多数的原则决定是否废标。</w:t>
            </w:r>
          </w:p>
          <w:p>
            <w:pPr>
              <w:pStyle w:val="23"/>
              <w:ind w:left="0" w:leftChars="0"/>
              <w:rPr>
                <w:rFonts w:hint="eastAsia" w:hAnsi="Times New Roman" w:cs="Times New Roman"/>
                <w:color w:val="auto"/>
                <w:highlight w:val="none"/>
              </w:rPr>
            </w:pPr>
            <w:r>
              <w:rPr>
                <w:rFonts w:hint="eastAsia" w:hAnsi="Times New Roman" w:cs="Times New Roman"/>
                <w:color w:val="auto"/>
                <w:highlight w:val="none"/>
              </w:rPr>
              <w:t>(e) 评标委员会专家按附录1</w:t>
            </w:r>
            <w:r>
              <w:rPr>
                <w:rFonts w:hint="eastAsia" w:hAnsi="Times New Roman" w:cs="Times New Roman"/>
                <w:color w:val="auto"/>
                <w:highlight w:val="none"/>
                <w:lang w:val="en-US" w:eastAsia="zh-CN"/>
              </w:rPr>
              <w:t>4</w:t>
            </w:r>
            <w:r>
              <w:rPr>
                <w:rFonts w:hint="eastAsia" w:hAnsi="Times New Roman" w:cs="Times New Roman"/>
                <w:color w:val="auto"/>
                <w:highlight w:val="none"/>
              </w:rPr>
              <w:t>《技术文件综合评分表》对各投标单位的技术文件（设计方案）进行综合评分。</w:t>
            </w:r>
          </w:p>
          <w:p>
            <w:pPr>
              <w:pStyle w:val="23"/>
              <w:ind w:left="0" w:leftChars="0"/>
              <w:rPr>
                <w:color w:val="auto"/>
                <w:highlight w:val="none"/>
              </w:rPr>
            </w:pPr>
            <w:r>
              <w:rPr>
                <w:rFonts w:hint="eastAsia" w:hAnsi="Times New Roman" w:cs="Times New Roman"/>
                <w:color w:val="auto"/>
                <w:highlight w:val="none"/>
              </w:rPr>
              <w:t>(f) 评标委员会专家评出各投标人商务和技术文件的分数，去掉一个最高分和一个最低分后计取算术平均分，得出</w:t>
            </w:r>
            <w:r>
              <w:rPr>
                <w:rFonts w:hint="eastAsia"/>
                <w:color w:val="auto"/>
                <w:highlight w:val="none"/>
              </w:rPr>
              <w:t>每个投标人商务和技术文件的得分，分数出现小数点，保留小数点后二位，第三位小数四舍五入。</w:t>
            </w:r>
          </w:p>
          <w:p>
            <w:pPr>
              <w:pStyle w:val="23"/>
              <w:ind w:left="0" w:leftChars="0"/>
              <w:rPr>
                <w:color w:val="auto"/>
                <w:highlight w:val="none"/>
              </w:rPr>
            </w:pPr>
            <w:r>
              <w:rPr>
                <w:rFonts w:hint="eastAsia"/>
                <w:color w:val="auto"/>
                <w:highlight w:val="none"/>
              </w:rPr>
              <w:t>(g) 广州公共资源交易中心电子评标系统自动揭晓技术文件的暗标编码，列出各编码技术文件所对应的投标人。</w:t>
            </w:r>
          </w:p>
          <w:p>
            <w:pPr>
              <w:pStyle w:val="23"/>
              <w:ind w:left="0" w:leftChars="0"/>
              <w:rPr>
                <w:color w:val="auto"/>
                <w:highlight w:val="none"/>
              </w:rPr>
            </w:pPr>
            <w:r>
              <w:rPr>
                <w:rFonts w:hint="eastAsia"/>
                <w:color w:val="auto"/>
                <w:highlight w:val="none"/>
              </w:rPr>
              <w:t>(h) 计算各投标人的综合得分，投标人的综合得分（满分100分）＝商务文件得分×30％（招标人确定）+技术文件得分×70％</w:t>
            </w:r>
          </w:p>
          <w:p>
            <w:pPr>
              <w:pStyle w:val="23"/>
              <w:ind w:left="0" w:leftChars="0"/>
              <w:rPr>
                <w:color w:val="auto"/>
                <w:highlight w:val="none"/>
              </w:rPr>
            </w:pPr>
            <w:r>
              <w:rPr>
                <w:rFonts w:hint="eastAsia"/>
                <w:color w:val="auto"/>
                <w:highlight w:val="non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Theme="minorEastAsia" w:hAnsiTheme="minorEastAsia" w:eastAsiaTheme="minorEastAsia" w:cstheme="minorEastAsia"/>
                <w:color w:val="auto"/>
                <w:szCs w:val="21"/>
                <w:highlight w:val="none"/>
              </w:rPr>
            </w:pPr>
            <w:r>
              <w:rPr>
                <w:rFonts w:hint="eastAsia"/>
                <w:color w:val="auto"/>
                <w:highlight w:val="none"/>
              </w:rPr>
              <w:t>(k ) 评标委员会向招标人提交评标报告后即告解散，评标过程中使用的文件、表格以及其他资料应当即时归还招标人（或招标代理机构）。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54</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办法二 </w:t>
            </w:r>
            <w:r>
              <w:rPr>
                <w:rFonts w:hint="eastAsia" w:asciiTheme="minorEastAsia" w:hAnsiTheme="minorEastAsia" w:eastAsiaTheme="minorEastAsia" w:cstheme="minorEastAsia"/>
                <w:color w:val="auto"/>
                <w:szCs w:val="21"/>
                <w:highlight w:val="none"/>
                <w:u w:val="single"/>
              </w:rPr>
              <w:t>采用投票法评标</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55</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w:t>
            </w:r>
          </w:p>
        </w:tc>
        <w:tc>
          <w:tcPr>
            <w:tcW w:w="2583" w:type="dxa"/>
            <w:vAlign w:val="center"/>
          </w:tcPr>
          <w:p>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  招标人采用下面方法确定中标人：</w:t>
            </w:r>
          </w:p>
          <w:p>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□（a）招标人委托评标委员会直接确定中标人；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  招标人采用下面方法确定中标人：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□（a）招标人委托评标委员会直接确定中标人；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56</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5.5（a）</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递交投标文件或通过资格审查的投标人不足五人；</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递交投标文件或通过资格审查的投标人不足</w:t>
            </w:r>
            <w:r>
              <w:rPr>
                <w:rFonts w:hint="eastAsia" w:asciiTheme="minorEastAsia" w:hAnsiTheme="minorEastAsia" w:eastAsiaTheme="minorEastAsia" w:cstheme="minorEastAsia"/>
                <w:color w:val="auto"/>
                <w:szCs w:val="21"/>
                <w:highlight w:val="none"/>
                <w:u w:val="single"/>
              </w:rPr>
              <w:t>三</w:t>
            </w:r>
            <w:r>
              <w:rPr>
                <w:rFonts w:hint="eastAsia" w:asciiTheme="minorEastAsia" w:hAnsiTheme="minorEastAsia" w:eastAsiaTheme="minorEastAsia" w:cstheme="minorEastAsia"/>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57</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附录4</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勘察设计费报价表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58</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投标书</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59</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附录7</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投标人已完成项目情况</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60</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附录10</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61</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商务文件有效性审查表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62</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商务文件综合评分表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63</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技术文件有效性审查表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64</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技术文件综合评分表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65</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市政工程设计方案评审记录表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66</w:t>
            </w: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附录15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基础资料和设计任务书</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修改</w:t>
            </w:r>
          </w:p>
        </w:tc>
      </w:tr>
    </w:tbl>
    <w:p>
      <w:pPr>
        <w:rPr>
          <w:rFonts w:ascii="宋体" w:hAnsi="宋体"/>
          <w:color w:val="auto"/>
          <w:highlight w:val="none"/>
        </w:rPr>
      </w:pPr>
    </w:p>
    <w:p>
      <w:pPr>
        <w:jc w:val="center"/>
        <w:rPr>
          <w:rFonts w:ascii="宋体" w:hAnsi="宋体"/>
          <w:b/>
          <w:color w:val="auto"/>
          <w:sz w:val="32"/>
          <w:highlight w:val="none"/>
        </w:rPr>
      </w:pPr>
      <w:r>
        <w:rPr>
          <w:rFonts w:ascii="宋体" w:hAnsi="宋体"/>
          <w:color w:val="auto"/>
          <w:highlight w:val="none"/>
        </w:rPr>
        <w:br w:type="page"/>
      </w:r>
      <w:r>
        <w:rPr>
          <w:rFonts w:hint="eastAsia" w:ascii="宋体" w:hAnsi="宋体"/>
          <w:b/>
          <w:color w:val="auto"/>
          <w:sz w:val="32"/>
          <w:highlight w:val="none"/>
        </w:rPr>
        <w:t>目  录</w:t>
      </w:r>
    </w:p>
    <w:p>
      <w:pPr>
        <w:rPr>
          <w:rFonts w:ascii="宋体" w:hAnsi="宋体"/>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第一章  招标公告  ┈┈┈┈┈┈┈┈┈┈┈┈┈┈┈┈┈┈┈┈┈┈┈┈┈</w:t>
      </w:r>
    </w:p>
    <w:p>
      <w:pPr>
        <w:spacing w:line="360" w:lineRule="auto"/>
        <w:rPr>
          <w:rFonts w:ascii="宋体" w:hAnsi="宋体"/>
          <w:color w:val="auto"/>
          <w:sz w:val="24"/>
          <w:highlight w:val="none"/>
        </w:rPr>
      </w:pPr>
      <w:r>
        <w:rPr>
          <w:rFonts w:hint="eastAsia" w:ascii="宋体" w:hAnsi="宋体"/>
          <w:color w:val="auto"/>
          <w:sz w:val="24"/>
          <w:highlight w:val="none"/>
        </w:rPr>
        <w:t>第二章  招标说明  ┈┈┈┈┈┈┈┈┈┈┈┈┈┈┈┈┈┈┈┈┈┈┈┈┈</w:t>
      </w:r>
    </w:p>
    <w:p>
      <w:pPr>
        <w:spacing w:line="360" w:lineRule="auto"/>
        <w:rPr>
          <w:rFonts w:ascii="宋体" w:hAnsi="宋体"/>
          <w:color w:val="auto"/>
          <w:sz w:val="24"/>
          <w:highlight w:val="none"/>
        </w:rPr>
      </w:pPr>
      <w:r>
        <w:rPr>
          <w:rFonts w:hint="eastAsia" w:ascii="宋体" w:hAnsi="宋体"/>
          <w:color w:val="auto"/>
          <w:sz w:val="24"/>
          <w:highlight w:val="none"/>
        </w:rPr>
        <w:t>第三章  投标文件编制要求  ┈┈┈┈┈┈┈┈┈┈┈┈┈┈┈┈┈┈┈┈┈</w:t>
      </w:r>
    </w:p>
    <w:p>
      <w:pPr>
        <w:spacing w:line="360" w:lineRule="auto"/>
        <w:rPr>
          <w:rFonts w:ascii="宋体" w:hAnsi="宋体"/>
          <w:color w:val="auto"/>
          <w:sz w:val="24"/>
          <w:highlight w:val="none"/>
        </w:rPr>
      </w:pPr>
      <w:r>
        <w:rPr>
          <w:rFonts w:hint="eastAsia" w:ascii="宋体" w:hAnsi="宋体"/>
          <w:color w:val="auto"/>
          <w:sz w:val="24"/>
          <w:highlight w:val="none"/>
        </w:rPr>
        <w:t>第四章  废标条款  ┈┈┈┈┈┈┈┈┈┈┈┈┈┈┈┈┈┈┈┈┈┈┈┈┈</w:t>
      </w:r>
    </w:p>
    <w:p>
      <w:pPr>
        <w:spacing w:line="360" w:lineRule="auto"/>
        <w:rPr>
          <w:rFonts w:ascii="宋体" w:hAnsi="宋体"/>
          <w:color w:val="auto"/>
          <w:sz w:val="24"/>
          <w:highlight w:val="none"/>
        </w:rPr>
      </w:pPr>
      <w:r>
        <w:rPr>
          <w:rFonts w:hint="eastAsia" w:ascii="宋体" w:hAnsi="宋体"/>
          <w:color w:val="auto"/>
          <w:sz w:val="24"/>
          <w:highlight w:val="none"/>
        </w:rPr>
        <w:t xml:space="preserve">第五章  开标评标定标  ┈┈┈┈┈┈┈┈┈┈┈┈┈┈┈┈┈┈┈┈┈┈  </w:t>
      </w:r>
    </w:p>
    <w:p>
      <w:pPr>
        <w:spacing w:line="360" w:lineRule="auto"/>
        <w:rPr>
          <w:rFonts w:ascii="宋体" w:hAnsi="宋体"/>
          <w:color w:val="auto"/>
          <w:sz w:val="24"/>
          <w:highlight w:val="none"/>
        </w:rPr>
      </w:pPr>
      <w:r>
        <w:rPr>
          <w:rFonts w:hint="eastAsia" w:ascii="宋体" w:hAnsi="宋体"/>
          <w:color w:val="auto"/>
          <w:sz w:val="24"/>
          <w:highlight w:val="none"/>
        </w:rPr>
        <w:t>第六章  合同主要条款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附录1  投标申请表（申请人、资质、机构简介）  ┈┈┈┈┈┈┈┈┈┈┈</w:t>
      </w:r>
    </w:p>
    <w:p>
      <w:pPr>
        <w:spacing w:line="360" w:lineRule="auto"/>
        <w:rPr>
          <w:rFonts w:ascii="宋体" w:hAnsi="宋体"/>
          <w:color w:val="auto"/>
          <w:sz w:val="24"/>
          <w:highlight w:val="none"/>
        </w:rPr>
      </w:pPr>
      <w:r>
        <w:rPr>
          <w:rFonts w:hint="eastAsia" w:ascii="宋体" w:hAnsi="宋体"/>
          <w:color w:val="auto"/>
          <w:sz w:val="24"/>
          <w:highlight w:val="none"/>
        </w:rPr>
        <w:t>附录2  投标申请表（投标人的业绩）  ┈┈┈┈┈┈┈┈┈┈┈┈┈┈┈┈</w:t>
      </w:r>
    </w:p>
    <w:p>
      <w:pPr>
        <w:spacing w:line="360" w:lineRule="auto"/>
        <w:rPr>
          <w:rFonts w:ascii="宋体" w:hAnsi="宋体"/>
          <w:color w:val="auto"/>
          <w:sz w:val="24"/>
          <w:highlight w:val="none"/>
        </w:rPr>
      </w:pPr>
      <w:r>
        <w:rPr>
          <w:rFonts w:hint="eastAsia" w:ascii="宋体" w:hAnsi="宋体"/>
          <w:color w:val="auto"/>
          <w:sz w:val="24"/>
          <w:highlight w:val="none"/>
        </w:rPr>
        <w:t>附录3  投标申请表（关键人员配备）  ┈┈┈┈┈┈┈┈┈┈┈┈┈┈┈┈</w:t>
      </w:r>
    </w:p>
    <w:p>
      <w:pPr>
        <w:spacing w:line="360" w:lineRule="auto"/>
        <w:rPr>
          <w:rFonts w:ascii="宋体" w:hAnsi="宋体"/>
          <w:color w:val="auto"/>
          <w:sz w:val="24"/>
          <w:highlight w:val="none"/>
        </w:rPr>
      </w:pPr>
      <w:r>
        <w:rPr>
          <w:rFonts w:hint="eastAsia" w:ascii="宋体" w:hAnsi="宋体"/>
          <w:color w:val="auto"/>
          <w:sz w:val="24"/>
          <w:highlight w:val="none"/>
        </w:rPr>
        <w:t>附录4  勘察设计费报价表┈┈┈┈┈┈┈┈┈┈┈┈┈┈┈┈┈┈┈┈┈┈</w:t>
      </w:r>
    </w:p>
    <w:p>
      <w:pPr>
        <w:spacing w:line="360" w:lineRule="auto"/>
        <w:rPr>
          <w:rFonts w:ascii="宋体" w:hAnsi="宋体"/>
          <w:color w:val="auto"/>
          <w:sz w:val="24"/>
          <w:highlight w:val="none"/>
        </w:rPr>
      </w:pPr>
      <w:r>
        <w:rPr>
          <w:rFonts w:hint="eastAsia" w:ascii="宋体" w:hAnsi="宋体"/>
          <w:color w:val="auto"/>
          <w:sz w:val="24"/>
          <w:highlight w:val="none"/>
        </w:rPr>
        <w:t>附录5  投标书  ┈┈┈┈┈┈┈┈┈┈┈┈┈┈┈┈┈┈┈┈┈┈┈┈┈┈</w:t>
      </w:r>
    </w:p>
    <w:p>
      <w:pPr>
        <w:spacing w:line="360" w:lineRule="auto"/>
        <w:rPr>
          <w:rFonts w:ascii="宋体" w:hAnsi="宋体"/>
          <w:color w:val="auto"/>
          <w:sz w:val="24"/>
          <w:highlight w:val="none"/>
        </w:rPr>
      </w:pPr>
      <w:r>
        <w:rPr>
          <w:rFonts w:hint="eastAsia" w:ascii="宋体" w:hAnsi="宋体"/>
          <w:color w:val="auto"/>
          <w:sz w:val="24"/>
          <w:highlight w:val="none"/>
        </w:rPr>
        <w:t>附录6  联合体共同投标协议  ┈┈┈┈┈┈┈┈┈┈┈┈┈┈┈┈┈┈┈┈</w:t>
      </w:r>
    </w:p>
    <w:p>
      <w:pPr>
        <w:spacing w:line="360" w:lineRule="auto"/>
        <w:rPr>
          <w:rFonts w:ascii="宋体" w:hAnsi="宋体"/>
          <w:color w:val="auto"/>
          <w:sz w:val="24"/>
          <w:highlight w:val="none"/>
        </w:rPr>
      </w:pPr>
      <w:r>
        <w:rPr>
          <w:rFonts w:hint="eastAsia" w:ascii="宋体" w:hAnsi="宋体"/>
          <w:color w:val="auto"/>
          <w:sz w:val="24"/>
          <w:highlight w:val="none"/>
        </w:rPr>
        <w:t>附录7  投标人已完成项目情况  ┈┈┈┈┈┈┈┈┈┈┈┈┈┈┈┈┈┈┈</w:t>
      </w:r>
    </w:p>
    <w:p>
      <w:pPr>
        <w:spacing w:line="360" w:lineRule="auto"/>
        <w:rPr>
          <w:rFonts w:ascii="宋体" w:hAnsi="宋体"/>
          <w:color w:val="auto"/>
          <w:sz w:val="24"/>
          <w:highlight w:val="none"/>
        </w:rPr>
      </w:pPr>
      <w:r>
        <w:rPr>
          <w:rFonts w:hint="eastAsia" w:ascii="宋体" w:hAnsi="宋体"/>
          <w:color w:val="auto"/>
          <w:sz w:val="24"/>
          <w:highlight w:val="none"/>
        </w:rPr>
        <w:t>附录8 本项目拟投入的人员基本情况表  ┈┈┈┈┈┈┈┈┈┈┈┈┈┈┈</w:t>
      </w:r>
    </w:p>
    <w:p>
      <w:pPr>
        <w:spacing w:line="360" w:lineRule="auto"/>
        <w:rPr>
          <w:rFonts w:ascii="宋体" w:hAnsi="宋体"/>
          <w:color w:val="auto"/>
          <w:sz w:val="24"/>
          <w:highlight w:val="none"/>
        </w:rPr>
      </w:pPr>
      <w:r>
        <w:rPr>
          <w:rFonts w:hint="eastAsia" w:ascii="宋体" w:hAnsi="宋体"/>
          <w:color w:val="auto"/>
          <w:sz w:val="24"/>
          <w:highlight w:val="none"/>
        </w:rPr>
        <w:t>附录9 投标文件接收记录表格  ┈┈┈┈┈┈┈┈┈┈┈┈┈┈┈┈┈┈┈</w:t>
      </w:r>
    </w:p>
    <w:p>
      <w:pPr>
        <w:spacing w:line="360" w:lineRule="auto"/>
        <w:rPr>
          <w:rFonts w:ascii="宋体" w:hAnsi="宋体"/>
          <w:color w:val="auto"/>
          <w:sz w:val="24"/>
          <w:highlight w:val="none"/>
        </w:rPr>
      </w:pPr>
      <w:r>
        <w:rPr>
          <w:rFonts w:hint="eastAsia" w:ascii="宋体" w:hAnsi="宋体"/>
          <w:color w:val="auto"/>
          <w:sz w:val="24"/>
          <w:highlight w:val="none"/>
        </w:rPr>
        <w:t>附录10 资格审查表  ┈┈┈┈┈┈┈┈┈┈┈┈┈┈┈┈┈┈┈┈┈┈┈┈</w:t>
      </w:r>
    </w:p>
    <w:p>
      <w:pPr>
        <w:spacing w:line="360" w:lineRule="auto"/>
        <w:rPr>
          <w:rFonts w:ascii="宋体" w:hAnsi="宋体"/>
          <w:color w:val="auto"/>
          <w:sz w:val="24"/>
          <w:highlight w:val="none"/>
        </w:rPr>
      </w:pPr>
      <w:r>
        <w:rPr>
          <w:rFonts w:hint="eastAsia" w:ascii="宋体" w:hAnsi="宋体"/>
          <w:color w:val="auto"/>
          <w:sz w:val="24"/>
          <w:highlight w:val="none"/>
        </w:rPr>
        <w:t>附录11 商务文件有效性审查表  ┈┈┈┈┈┈┈┈┈┈┈┈┈┈┈┈┈┈┈</w:t>
      </w:r>
    </w:p>
    <w:p>
      <w:pPr>
        <w:spacing w:line="360" w:lineRule="auto"/>
        <w:rPr>
          <w:rFonts w:ascii="宋体" w:hAnsi="宋体"/>
          <w:color w:val="auto"/>
          <w:sz w:val="24"/>
          <w:highlight w:val="none"/>
        </w:rPr>
      </w:pPr>
      <w:r>
        <w:rPr>
          <w:rFonts w:hint="eastAsia" w:ascii="宋体" w:hAnsi="宋体"/>
          <w:color w:val="auto"/>
          <w:sz w:val="24"/>
          <w:highlight w:val="none"/>
        </w:rPr>
        <w:t>附录12 商务文件综合评分表  ┈┈┈┈┈┈┈┈┈┈┈┈┈┈┈┈┈┈┈┈</w:t>
      </w:r>
    </w:p>
    <w:p>
      <w:pPr>
        <w:spacing w:line="360" w:lineRule="auto"/>
        <w:rPr>
          <w:rFonts w:ascii="宋体" w:hAnsi="宋体"/>
          <w:color w:val="auto"/>
          <w:sz w:val="24"/>
          <w:highlight w:val="none"/>
        </w:rPr>
      </w:pPr>
      <w:r>
        <w:rPr>
          <w:rFonts w:hint="eastAsia" w:ascii="宋体" w:hAnsi="宋体"/>
          <w:color w:val="auto"/>
          <w:sz w:val="24"/>
          <w:highlight w:val="none"/>
        </w:rPr>
        <w:t>附录13 技术文件有效性审查表  ┈┈┈┈┈┈┈┈┈┈┈┈┈┈┈┈┈┈┈</w:t>
      </w:r>
    </w:p>
    <w:p>
      <w:pPr>
        <w:spacing w:line="360" w:lineRule="auto"/>
        <w:rPr>
          <w:rFonts w:ascii="宋体" w:hAnsi="宋体"/>
          <w:color w:val="auto"/>
          <w:sz w:val="24"/>
          <w:highlight w:val="none"/>
        </w:rPr>
      </w:pPr>
      <w:r>
        <w:rPr>
          <w:rFonts w:hint="eastAsia" w:ascii="宋体" w:hAnsi="宋体"/>
          <w:color w:val="auto"/>
          <w:sz w:val="24"/>
          <w:highlight w:val="none"/>
        </w:rPr>
        <w:t>附录14 技术文件综合评分表  ┈┈┈┈┈┈┈┈┈┈┈┈┈┈┈┈┈┈┈┈</w:t>
      </w:r>
    </w:p>
    <w:p>
      <w:pPr>
        <w:rPr>
          <w:rFonts w:ascii="宋体" w:hAnsi="宋体"/>
          <w:color w:val="auto"/>
          <w:sz w:val="24"/>
          <w:highlight w:val="none"/>
        </w:rPr>
      </w:pPr>
      <w:r>
        <w:rPr>
          <w:rFonts w:hint="eastAsia" w:ascii="宋体" w:hAnsi="宋体"/>
          <w:color w:val="auto"/>
          <w:sz w:val="24"/>
          <w:highlight w:val="none"/>
        </w:rPr>
        <w:t>附录15 基础资料和设计任务书  ┈┈┈┈┈┈┈┈┈┈┈┈┈┈┈┈┈┈┈</w:t>
      </w:r>
    </w:p>
    <w:p>
      <w:pPr>
        <w:jc w:val="center"/>
        <w:rPr>
          <w:rFonts w:ascii="宋体" w:hAnsi="宋体"/>
          <w:b/>
          <w:color w:val="auto"/>
          <w:sz w:val="36"/>
          <w:szCs w:val="36"/>
          <w:highlight w:val="none"/>
        </w:rPr>
      </w:pPr>
      <w:r>
        <w:rPr>
          <w:rFonts w:ascii="宋体" w:hAnsi="宋体"/>
          <w:color w:val="auto"/>
          <w:highlight w:val="none"/>
        </w:rPr>
        <w:br w:type="page"/>
      </w:r>
      <w:r>
        <w:rPr>
          <w:rFonts w:hint="eastAsia" w:ascii="宋体" w:hAnsi="宋体"/>
          <w:b/>
          <w:color w:val="auto"/>
          <w:sz w:val="36"/>
          <w:szCs w:val="36"/>
          <w:highlight w:val="none"/>
        </w:rPr>
        <w:t>第一章  招标公告</w:t>
      </w:r>
    </w:p>
    <w:p>
      <w:pPr>
        <w:spacing w:line="400" w:lineRule="exact"/>
        <w:jc w:val="center"/>
        <w:rPr>
          <w:rFonts w:ascii="宋体" w:hAnsi="宋体"/>
          <w:color w:val="auto"/>
          <w:sz w:val="24"/>
          <w:highlight w:val="none"/>
        </w:rPr>
      </w:pPr>
      <w:r>
        <w:rPr>
          <w:rFonts w:hint="eastAsia" w:ascii="宋体" w:hAnsi="宋体"/>
          <w:color w:val="auto"/>
          <w:sz w:val="24"/>
          <w:highlight w:val="none"/>
        </w:rPr>
        <w:t>详见招标公告。</w:t>
      </w:r>
    </w:p>
    <w:p>
      <w:pPr>
        <w:widowControl/>
        <w:jc w:val="left"/>
        <w:rPr>
          <w:rFonts w:ascii="宋体" w:hAnsi="宋体"/>
          <w:color w:val="auto"/>
          <w:sz w:val="24"/>
          <w:highlight w:val="none"/>
        </w:rPr>
      </w:pPr>
      <w:r>
        <w:rPr>
          <w:rFonts w:ascii="宋体" w:hAnsi="宋体"/>
          <w:color w:val="auto"/>
          <w:sz w:val="24"/>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第二章  招标说明</w:t>
      </w:r>
    </w:p>
    <w:p>
      <w:pPr>
        <w:spacing w:line="400" w:lineRule="exact"/>
        <w:ind w:left="824" w:hanging="820" w:hangingChars="342"/>
        <w:rPr>
          <w:rFonts w:ascii="宋体" w:hAnsi="宋体"/>
          <w:b/>
          <w:color w:val="auto"/>
          <w:sz w:val="24"/>
          <w:highlight w:val="none"/>
        </w:rPr>
      </w:pPr>
    </w:p>
    <w:p>
      <w:pPr>
        <w:spacing w:line="400" w:lineRule="exact"/>
        <w:jc w:val="left"/>
        <w:rPr>
          <w:rFonts w:ascii="宋体" w:hAnsi="宋体"/>
          <w:b/>
          <w:bCs/>
          <w:color w:val="auto"/>
          <w:sz w:val="24"/>
          <w:highlight w:val="none"/>
        </w:rPr>
      </w:pPr>
    </w:p>
    <w:p>
      <w:pPr>
        <w:spacing w:line="400" w:lineRule="exact"/>
        <w:jc w:val="left"/>
        <w:rPr>
          <w:rFonts w:ascii="宋体" w:hAnsi="宋体"/>
          <w:b/>
          <w:bCs/>
          <w:color w:val="auto"/>
          <w:sz w:val="24"/>
          <w:highlight w:val="none"/>
        </w:rPr>
      </w:pPr>
      <w:r>
        <w:rPr>
          <w:rFonts w:hint="eastAsia" w:ascii="宋体" w:hAnsi="宋体"/>
          <w:b/>
          <w:bCs/>
          <w:color w:val="auto"/>
          <w:sz w:val="24"/>
          <w:highlight w:val="none"/>
        </w:rPr>
        <w:t>2.1    免责条款</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2.1.3  招标人向投标人提供的资料和数据，是招标人现有的能使投标人利用的资料，招标人对投标人由此而作出的推论、理解和结论概不负责。</w:t>
      </w:r>
    </w:p>
    <w:p>
      <w:pPr>
        <w:pStyle w:val="15"/>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2.1.5  </w:t>
      </w:r>
      <w:r>
        <w:rPr>
          <w:rFonts w:hint="eastAsia" w:hAnsi="宋体"/>
          <w:color w:val="auto"/>
          <w:sz w:val="24"/>
          <w:highlight w:val="none"/>
        </w:rPr>
        <w:t>招标人（或招标代理机构）对投标人的失误不负任何责任，</w:t>
      </w:r>
      <w:r>
        <w:rPr>
          <w:rFonts w:hint="eastAsia" w:ascii="宋体" w:hAnsi="宋体"/>
          <w:color w:val="auto"/>
          <w:sz w:val="24"/>
          <w:highlight w:val="none"/>
        </w:rPr>
        <w:t>投标人应指定一名投标事务负责人，专门负责跟踪、接收、阅读和理解招标文件及随后收到的有关资料，向招标人</w:t>
      </w:r>
      <w:r>
        <w:rPr>
          <w:rFonts w:hint="eastAsia" w:hAnsi="宋体"/>
          <w:color w:val="auto"/>
          <w:sz w:val="24"/>
          <w:highlight w:val="none"/>
        </w:rPr>
        <w:t>（或招标代理机构）</w:t>
      </w:r>
      <w:r>
        <w:rPr>
          <w:rFonts w:hint="eastAsia" w:ascii="宋体" w:hAnsi="宋体"/>
          <w:color w:val="auto"/>
          <w:sz w:val="24"/>
          <w:highlight w:val="none"/>
        </w:rPr>
        <w:t>发出质疑，检查投标文件，协助有关人员尽力克服各种投标失误。</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2.1.6  评标委员会成员</w:t>
      </w:r>
      <w:r>
        <w:rPr>
          <w:rFonts w:hint="eastAsia" w:hAnsi="宋体"/>
          <w:color w:val="auto"/>
          <w:sz w:val="24"/>
          <w:highlight w:val="none"/>
        </w:rPr>
        <w:t>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2.2    招标文件效力</w:t>
      </w:r>
    </w:p>
    <w:p>
      <w:pPr>
        <w:spacing w:line="400" w:lineRule="exact"/>
        <w:rPr>
          <w:rFonts w:ascii="宋体" w:hAnsi="宋体"/>
          <w:dstrike/>
          <w:color w:val="auto"/>
          <w:sz w:val="24"/>
          <w:highlight w:val="none"/>
        </w:rPr>
      </w:pPr>
      <w:r>
        <w:rPr>
          <w:rFonts w:hint="eastAsia" w:ascii="宋体" w:hAnsi="宋体"/>
          <w:dstrike/>
          <w:color w:val="auto"/>
          <w:sz w:val="24"/>
          <w:highlight w:val="none"/>
        </w:rPr>
        <w:t>2.2.1  招标文件在招标管理机构备案。</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2.2.2  招标文件是招标人发出的</w:t>
      </w:r>
      <w:r>
        <w:rPr>
          <w:rFonts w:ascii="宋体" w:hAnsi="宋体"/>
          <w:color w:val="auto"/>
          <w:sz w:val="24"/>
          <w:highlight w:val="none"/>
        </w:rPr>
        <w:t>要约</w:t>
      </w:r>
      <w:r>
        <w:rPr>
          <w:rFonts w:hint="eastAsia" w:ascii="宋体" w:hAnsi="宋体"/>
          <w:color w:val="auto"/>
          <w:sz w:val="24"/>
          <w:highlight w:val="none"/>
        </w:rPr>
        <w:t>邀请，投标人参加投标均视为承认招标公告、招标文件及附件的所有条款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2.2.3  招标人</w:t>
      </w:r>
      <w:r>
        <w:rPr>
          <w:rFonts w:hint="eastAsia" w:hAnsi="宋体"/>
          <w:color w:val="auto"/>
          <w:sz w:val="24"/>
          <w:highlight w:val="none"/>
        </w:rPr>
        <w:t>（或招标代理机构）</w:t>
      </w:r>
      <w:r>
        <w:rPr>
          <w:rFonts w:hint="eastAsia" w:ascii="宋体" w:hAnsi="宋体"/>
          <w:color w:val="auto"/>
          <w:sz w:val="24"/>
          <w:highlight w:val="none"/>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2.2.4  招标人</w:t>
      </w:r>
      <w:r>
        <w:rPr>
          <w:rFonts w:hint="eastAsia" w:hAnsi="宋体"/>
          <w:color w:val="auto"/>
          <w:sz w:val="24"/>
          <w:highlight w:val="none"/>
        </w:rPr>
        <w:t>（或招标代理机构）</w:t>
      </w:r>
      <w:r>
        <w:rPr>
          <w:rFonts w:hint="eastAsia" w:ascii="宋体" w:hAnsi="宋体"/>
          <w:color w:val="auto"/>
          <w:sz w:val="24"/>
          <w:highlight w:val="none"/>
        </w:rPr>
        <w:t>通过交易服务机构公开登载的文件，与盖章发出的文件一样具有同等效力。</w:t>
      </w:r>
    </w:p>
    <w:p>
      <w:pPr>
        <w:spacing w:line="400" w:lineRule="exact"/>
        <w:jc w:val="left"/>
        <w:rPr>
          <w:rFonts w:ascii="宋体" w:hAnsi="宋体"/>
          <w:b/>
          <w:color w:val="auto"/>
          <w:sz w:val="24"/>
          <w:highlight w:val="none"/>
        </w:rPr>
      </w:pPr>
    </w:p>
    <w:p>
      <w:pPr>
        <w:spacing w:line="400" w:lineRule="exact"/>
        <w:jc w:val="left"/>
        <w:rPr>
          <w:rFonts w:ascii="宋体" w:hAnsi="宋体"/>
          <w:b/>
          <w:color w:val="auto"/>
          <w:sz w:val="24"/>
          <w:highlight w:val="none"/>
        </w:rPr>
      </w:pPr>
      <w:r>
        <w:rPr>
          <w:rFonts w:hint="eastAsia" w:ascii="宋体" w:hAnsi="宋体"/>
          <w:b/>
          <w:color w:val="auto"/>
          <w:sz w:val="24"/>
          <w:highlight w:val="none"/>
        </w:rPr>
        <w:t>2.3    现场考察</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2.3.1  </w:t>
      </w:r>
      <w:r>
        <w:rPr>
          <w:rFonts w:hint="eastAsia" w:ascii="宋体" w:hAnsi="宋体"/>
          <w:color w:val="auto"/>
          <w:sz w:val="24"/>
          <w:highlight w:val="none"/>
          <w:u w:val="single"/>
        </w:rPr>
        <w:t>投标人自行对工程现场进行考察，在考察前需提前通知招标人，招标人不另行组织投标人进行现场</w:t>
      </w:r>
      <w:r>
        <w:rPr>
          <w:rFonts w:hint="eastAsia" w:ascii="宋体" w:hAnsi="宋体" w:cs="Times New Roman"/>
          <w:color w:val="auto"/>
          <w:sz w:val="24"/>
          <w:highlight w:val="none"/>
          <w:u w:val="single"/>
        </w:rPr>
        <w:t>考察。</w:t>
      </w:r>
    </w:p>
    <w:p>
      <w:pPr>
        <w:spacing w:line="400" w:lineRule="exact"/>
        <w:ind w:left="840" w:hanging="840" w:hangingChars="350"/>
        <w:jc w:val="left"/>
        <w:rPr>
          <w:rFonts w:ascii="宋体" w:hAnsi="宋体"/>
          <w:dstrike/>
          <w:color w:val="auto"/>
          <w:sz w:val="24"/>
          <w:highlight w:val="none"/>
        </w:rPr>
      </w:pPr>
      <w:r>
        <w:rPr>
          <w:rFonts w:hint="eastAsia" w:ascii="宋体" w:hAnsi="宋体"/>
          <w:dstrike/>
          <w:color w:val="auto"/>
          <w:sz w:val="24"/>
          <w:highlight w:val="none"/>
        </w:rPr>
        <w:t>2.3.2  每个投标人参加现场考察的人数不宜超过3人，外国投标人代表应自带中文翻译。</w:t>
      </w:r>
    </w:p>
    <w:p>
      <w:pPr>
        <w:spacing w:line="400" w:lineRule="exact"/>
        <w:jc w:val="left"/>
        <w:rPr>
          <w:rFonts w:ascii="宋体" w:hAnsi="宋体"/>
          <w:dstrike/>
          <w:color w:val="auto"/>
          <w:sz w:val="24"/>
          <w:highlight w:val="none"/>
        </w:rPr>
      </w:pPr>
      <w:r>
        <w:rPr>
          <w:rFonts w:hint="eastAsia" w:ascii="宋体" w:hAnsi="宋体"/>
          <w:dstrike/>
          <w:color w:val="auto"/>
          <w:sz w:val="24"/>
          <w:highlight w:val="none"/>
        </w:rPr>
        <w:t>2.3.3  现场考察期间招标人将召开一次会议，接受投标人代表的提问。</w:t>
      </w:r>
    </w:p>
    <w:p>
      <w:pPr>
        <w:spacing w:line="400" w:lineRule="exact"/>
        <w:jc w:val="left"/>
        <w:rPr>
          <w:rFonts w:ascii="宋体" w:hAnsi="宋体"/>
          <w:dstrike/>
          <w:color w:val="auto"/>
          <w:sz w:val="24"/>
          <w:highlight w:val="none"/>
        </w:rPr>
      </w:pPr>
      <w:r>
        <w:rPr>
          <w:rFonts w:hint="eastAsia" w:ascii="宋体" w:hAnsi="宋体"/>
          <w:dstrike/>
          <w:color w:val="auto"/>
          <w:sz w:val="24"/>
          <w:highlight w:val="none"/>
        </w:rPr>
        <w:t>2.3.4  现场考察集合时间：。</w:t>
      </w:r>
    </w:p>
    <w:p>
      <w:pPr>
        <w:spacing w:line="400" w:lineRule="exact"/>
        <w:ind w:left="821" w:hanging="820" w:hangingChars="342"/>
        <w:jc w:val="left"/>
        <w:rPr>
          <w:rFonts w:ascii="宋体" w:hAnsi="宋体"/>
          <w:dstrike/>
          <w:color w:val="auto"/>
          <w:sz w:val="24"/>
          <w:highlight w:val="none"/>
        </w:rPr>
      </w:pPr>
      <w:r>
        <w:rPr>
          <w:rFonts w:hint="eastAsia" w:ascii="宋体" w:hAnsi="宋体"/>
          <w:dstrike/>
          <w:color w:val="auto"/>
          <w:sz w:val="24"/>
          <w:highlight w:val="none"/>
        </w:rPr>
        <w:t>2.3.5  现场考察集合地点：。</w:t>
      </w:r>
    </w:p>
    <w:p>
      <w:pPr>
        <w:spacing w:line="400" w:lineRule="exact"/>
        <w:jc w:val="lef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b/>
          <w:bCs/>
          <w:color w:val="auto"/>
          <w:sz w:val="24"/>
          <w:highlight w:val="none"/>
        </w:rPr>
        <w:t>2.4    质疑和澄清</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2.4.1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2.4.2  </w:t>
      </w:r>
      <w:r>
        <w:rPr>
          <w:rFonts w:hint="eastAsia" w:ascii="宋体" w:hAnsi="宋体" w:cs="宋体"/>
          <w:color w:val="auto"/>
          <w:sz w:val="24"/>
          <w:highlight w:val="none"/>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color w:val="auto"/>
          <w:sz w:val="24"/>
          <w:highlight w:val="none"/>
        </w:rPr>
        <w:t>。</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2.4.3  </w:t>
      </w:r>
      <w:r>
        <w:rPr>
          <w:rFonts w:hint="eastAsia" w:ascii="宋体" w:hAnsi="宋体" w:cs="宋体"/>
          <w:color w:val="auto"/>
          <w:sz w:val="24"/>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hint="eastAsia" w:ascii="宋体" w:hAnsi="宋体" w:cs="宋体"/>
          <w:color w:val="auto"/>
          <w:sz w:val="24"/>
          <w:highlight w:val="none"/>
          <w:u w:val="single"/>
        </w:rPr>
      </w:pPr>
      <w:r>
        <w:rPr>
          <w:rFonts w:hint="eastAsia" w:ascii="宋体" w:hAnsi="宋体"/>
          <w:color w:val="auto"/>
          <w:sz w:val="24"/>
          <w:highlight w:val="none"/>
        </w:rPr>
        <w:t xml:space="preserve">2.4.4  </w:t>
      </w:r>
      <w:r>
        <w:rPr>
          <w:rFonts w:hint="eastAsia" w:ascii="宋体" w:hAnsi="宋体" w:cs="宋体"/>
          <w:color w:val="auto"/>
          <w:sz w:val="24"/>
          <w:highlight w:val="none"/>
          <w:u w:val="single"/>
        </w:rPr>
        <w:t>澄清及补充材料一旦发出，视为各投标人已收到，请各投标人及时自行查询。投标人应及时在广州公共资源交易中心项目答疑纪要专区中查询。</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2.4.5  </w:t>
      </w:r>
      <w:r>
        <w:rPr>
          <w:rFonts w:hint="eastAsia" w:ascii="宋体" w:hAnsi="宋体" w:cs="宋体"/>
          <w:color w:val="auto"/>
          <w:sz w:val="24"/>
          <w:highlight w:val="none"/>
          <w:u w:val="single"/>
        </w:rPr>
        <w:t>网上答疑的操作指南为：投标人登录交易中心数字交易平台，进入“我是投标人（供应商）”-&gt;“我的投标”-&gt;“招标答疑提问”查询项目并提问。</w:t>
      </w:r>
    </w:p>
    <w:p>
      <w:pPr>
        <w:pStyle w:val="15"/>
        <w:spacing w:line="400" w:lineRule="exact"/>
        <w:rPr>
          <w:rFonts w:hint="eastAsia" w:hAnsi="宋体"/>
          <w:b/>
          <w:bCs/>
          <w:color w:val="auto"/>
          <w:sz w:val="24"/>
          <w:highlight w:val="none"/>
        </w:rPr>
      </w:pPr>
    </w:p>
    <w:p>
      <w:pPr>
        <w:pStyle w:val="15"/>
        <w:spacing w:line="400" w:lineRule="exact"/>
        <w:rPr>
          <w:rFonts w:hAnsi="宋体"/>
          <w:b/>
          <w:color w:val="auto"/>
          <w:sz w:val="24"/>
          <w:szCs w:val="24"/>
          <w:highlight w:val="none"/>
        </w:rPr>
      </w:pPr>
      <w:r>
        <w:rPr>
          <w:rFonts w:hint="eastAsia" w:hAnsi="宋体"/>
          <w:b/>
          <w:bCs/>
          <w:color w:val="auto"/>
          <w:sz w:val="24"/>
          <w:highlight w:val="none"/>
        </w:rPr>
        <w:t>2</w:t>
      </w:r>
      <w:r>
        <w:rPr>
          <w:rFonts w:hint="eastAsia" w:hAnsi="宋体"/>
          <w:b/>
          <w:color w:val="auto"/>
          <w:sz w:val="24"/>
          <w:szCs w:val="24"/>
          <w:highlight w:val="none"/>
        </w:rPr>
        <w:t>.5    延期</w:t>
      </w:r>
    </w:p>
    <w:p>
      <w:pPr>
        <w:pStyle w:val="15"/>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2.5.1  如果招标过程出现招标管理机构要求暂停、重新评标等意外情形，招标投标各项期限相应延长</w:t>
      </w:r>
      <w:r>
        <w:rPr>
          <w:rFonts w:hAnsi="宋体"/>
          <w:color w:val="auto"/>
          <w:sz w:val="24"/>
          <w:szCs w:val="24"/>
          <w:highlight w:val="none"/>
        </w:rPr>
        <w:t>。</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2.5.2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pPr>
        <w:spacing w:line="400" w:lineRule="exact"/>
        <w:rPr>
          <w:rFonts w:ascii="宋体" w:hAnsi="宋体"/>
          <w:b/>
          <w:color w:val="auto"/>
          <w:sz w:val="24"/>
          <w:highlight w:val="none"/>
        </w:rPr>
      </w:pPr>
    </w:p>
    <w:p>
      <w:pPr>
        <w:spacing w:line="400" w:lineRule="exact"/>
        <w:rPr>
          <w:rFonts w:hint="eastAsia" w:ascii="宋体" w:hAnsi="宋体" w:eastAsia="宋体" w:cs="Times New Roman"/>
          <w:b/>
          <w:color w:val="auto"/>
          <w:kern w:val="0"/>
          <w:sz w:val="24"/>
          <w:szCs w:val="24"/>
          <w:highlight w:val="none"/>
          <w:u w:val="single"/>
          <w:lang w:val="en-US" w:eastAsia="zh-CN" w:bidi="ar-SA"/>
        </w:rPr>
      </w:pPr>
      <w:r>
        <w:rPr>
          <w:rFonts w:hint="eastAsia" w:ascii="宋体" w:hAnsi="宋体"/>
          <w:b/>
          <w:color w:val="auto"/>
          <w:sz w:val="24"/>
          <w:highlight w:val="none"/>
        </w:rPr>
        <w:t xml:space="preserve">2.6    </w:t>
      </w:r>
      <w:r>
        <w:rPr>
          <w:rFonts w:hint="eastAsia" w:ascii="宋体" w:hAnsi="宋体" w:eastAsia="宋体" w:cs="Times New Roman"/>
          <w:b/>
          <w:color w:val="auto"/>
          <w:kern w:val="0"/>
          <w:sz w:val="24"/>
          <w:szCs w:val="24"/>
          <w:highlight w:val="none"/>
          <w:u w:val="single"/>
          <w:lang w:val="en-US" w:eastAsia="zh-CN" w:bidi="ar-SA"/>
        </w:rPr>
        <w:t>投标时间、投标文件的递交和接收</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rPr>
        <w:t xml:space="preserve">2.6.1  </w:t>
      </w:r>
      <w:r>
        <w:rPr>
          <w:rFonts w:hint="eastAsia" w:ascii="宋体" w:hAnsi="宋体" w:cs="宋体"/>
          <w:color w:val="auto"/>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2.6.2  </w:t>
      </w:r>
      <w:r>
        <w:rPr>
          <w:rFonts w:hint="eastAsia" w:ascii="宋体" w:hAnsi="宋体" w:cs="宋体"/>
          <w:color w:val="auto"/>
          <w:sz w:val="24"/>
          <w:highlight w:val="none"/>
          <w:u w:val="single"/>
        </w:rPr>
        <w:t>投标人通过下载招标文件的交易平台递交电子投标文件。。</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2.6.3  </w:t>
      </w:r>
      <w:r>
        <w:rPr>
          <w:rFonts w:hint="eastAsia" w:ascii="宋体" w:hAnsi="宋体" w:cs="宋体"/>
          <w:color w:val="auto"/>
          <w:sz w:val="24"/>
          <w:highlight w:val="none"/>
          <w:u w:val="single"/>
        </w:rPr>
        <w:t>投标人完成电子投标文件上传后，交易平台即时向投标人发出递交回执通知。递交时间以递交回执通知载明的传输完成时间为准</w:t>
      </w:r>
      <w:r>
        <w:rPr>
          <w:rFonts w:hint="eastAsia" w:ascii="宋体" w:hAnsi="宋体"/>
          <w:color w:val="auto"/>
          <w:sz w:val="24"/>
          <w:highlight w:val="none"/>
        </w:rPr>
        <w:t>。</w:t>
      </w:r>
    </w:p>
    <w:p>
      <w:pPr>
        <w:spacing w:line="400" w:lineRule="exact"/>
        <w:ind w:left="821" w:hanging="820" w:hangingChars="342"/>
        <w:rPr>
          <w:rFonts w:hint="eastAsia" w:ascii="宋体" w:hAnsi="宋体" w:cs="宋体"/>
          <w:color w:val="auto"/>
          <w:sz w:val="24"/>
          <w:highlight w:val="none"/>
          <w:u w:val="single"/>
        </w:rPr>
      </w:pPr>
      <w:r>
        <w:rPr>
          <w:rFonts w:hint="eastAsia" w:ascii="宋体" w:hAnsi="宋体" w:cs="宋体"/>
          <w:color w:val="auto"/>
          <w:sz w:val="24"/>
          <w:highlight w:val="none"/>
        </w:rPr>
        <w:t xml:space="preserve">2.6.4  </w:t>
      </w:r>
      <w:r>
        <w:rPr>
          <w:rFonts w:hint="eastAsia" w:ascii="宋体" w:hAnsi="宋体" w:cs="宋体"/>
          <w:color w:val="auto"/>
          <w:sz w:val="24"/>
          <w:highlight w:val="none"/>
          <w:u w:val="single"/>
        </w:rPr>
        <w:t>如按招标公告要求需要提交投标文件光盘（备用），备用光盘不得加密。如使用投标文件光盘（备用）时无法读取或导入的，则视为未提交投标文件。</w:t>
      </w:r>
    </w:p>
    <w:p>
      <w:pPr>
        <w:spacing w:line="400" w:lineRule="exact"/>
        <w:ind w:left="821" w:hanging="820" w:hangingChars="342"/>
        <w:jc w:val="left"/>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highlight w:val="none"/>
          <w:u w:val="single"/>
          <w:lang w:val="en-US" w:eastAsia="zh-CN"/>
        </w:rPr>
        <w:t xml:space="preserve">2.6.5  </w:t>
      </w:r>
      <w:r>
        <w:rPr>
          <w:rFonts w:hint="eastAsia" w:ascii="宋体" w:hAnsi="宋体" w:eastAsia="宋体" w:cs="宋体"/>
          <w:color w:val="auto"/>
          <w:kern w:val="2"/>
          <w:sz w:val="24"/>
          <w:szCs w:val="24"/>
          <w:highlight w:val="none"/>
          <w:u w:val="single"/>
          <w:lang w:val="en-US" w:eastAsia="zh-CN" w:bidi="ar-SA"/>
        </w:rPr>
        <w:t>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21" w:hanging="820" w:hangingChars="342"/>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2.6.6  </w:t>
      </w:r>
      <w:r>
        <w:rPr>
          <w:rFonts w:hint="eastAsia" w:ascii="宋体" w:hAnsi="宋体" w:cs="宋体"/>
          <w:color w:val="auto"/>
          <w:sz w:val="24"/>
          <w:highlight w:val="none"/>
          <w:u w:val="single"/>
        </w:rPr>
        <w:t>投标截止时间自招标人（招标代理机构）从招标文件发布起始日计：备标时间不少于</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0天。</w:t>
      </w:r>
    </w:p>
    <w:p>
      <w:pPr>
        <w:spacing w:line="400" w:lineRule="exact"/>
        <w:rPr>
          <w:rFonts w:ascii="宋体" w:hAnsi="宋体"/>
          <w:b/>
          <w:bCs/>
          <w:color w:val="auto"/>
          <w:sz w:val="24"/>
          <w:highlight w:val="none"/>
        </w:rPr>
      </w:pPr>
      <w:r>
        <w:rPr>
          <w:rFonts w:hint="eastAsia" w:ascii="宋体" w:hAnsi="宋体"/>
          <w:b/>
          <w:bCs/>
          <w:color w:val="auto"/>
          <w:sz w:val="24"/>
          <w:highlight w:val="none"/>
        </w:rPr>
        <w:t xml:space="preserve">2.7    </w:t>
      </w:r>
      <w:r>
        <w:rPr>
          <w:rFonts w:hint="eastAsia" w:ascii="宋体" w:hAnsi="宋体"/>
          <w:b/>
          <w:bCs/>
          <w:color w:val="auto"/>
          <w:sz w:val="24"/>
          <w:highlight w:val="none"/>
          <w:u w:val="single"/>
        </w:rPr>
        <w:t>投标文件的修改与撤回</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2.7.1  </w:t>
      </w:r>
      <w:r>
        <w:rPr>
          <w:rFonts w:hint="default" w:ascii="宋体" w:hAnsi="宋体" w:cs="宋体"/>
          <w:color w:val="auto"/>
          <w:sz w:val="24"/>
          <w:highlight w:val="none"/>
          <w:u w:val="single"/>
          <w:lang w:val="en-US" w:eastAsia="zh-CN"/>
        </w:rPr>
        <w:t>在规定的投标截止时间前，投标人可以修改或撤回已递交的投标文件</w:t>
      </w:r>
      <w:r>
        <w:rPr>
          <w:rFonts w:hint="eastAsia" w:ascii="宋体" w:hAnsi="宋体"/>
          <w:color w:val="auto"/>
          <w:sz w:val="24"/>
          <w:highlight w:val="none"/>
        </w:rPr>
        <w:t>。</w:t>
      </w:r>
    </w:p>
    <w:p>
      <w:pPr>
        <w:spacing w:line="400" w:lineRule="exact"/>
        <w:ind w:left="821" w:hanging="820" w:hangingChars="342"/>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2.7.2  投标人修改或撤回已递交的投标文件，需在交易平台发出撤回通知，并按要求加盖电子印章。电子招标投标交易平台收到通知后，即时向投标人发布确认回执通知。</w:t>
      </w:r>
    </w:p>
    <w:p>
      <w:pPr>
        <w:spacing w:line="400" w:lineRule="exact"/>
        <w:rPr>
          <w:rFonts w:hint="eastAsia" w:ascii="宋体" w:hAnsi="宋体" w:cs="宋体"/>
          <w:color w:val="auto"/>
          <w:sz w:val="24"/>
          <w:highlight w:val="none"/>
          <w:u w:val="single"/>
          <w:lang w:val="en-US" w:eastAsia="zh-CN"/>
        </w:rPr>
      </w:pPr>
      <w:r>
        <w:rPr>
          <w:rFonts w:hint="eastAsia" w:ascii="宋体" w:hAnsi="宋体"/>
          <w:color w:val="auto"/>
          <w:sz w:val="24"/>
          <w:highlight w:val="none"/>
        </w:rPr>
        <w:t xml:space="preserve">2.7.3  </w:t>
      </w:r>
      <w:r>
        <w:rPr>
          <w:rFonts w:hint="eastAsia" w:ascii="宋体" w:hAnsi="宋体" w:cs="宋体"/>
          <w:color w:val="auto"/>
          <w:sz w:val="24"/>
          <w:highlight w:val="none"/>
          <w:u w:val="single"/>
          <w:lang w:val="en-US" w:eastAsia="zh-CN"/>
        </w:rPr>
        <w:t>修改后再次递交的，按2.6的规定执行。</w:t>
      </w:r>
    </w:p>
    <w:p>
      <w:pPr>
        <w:spacing w:line="400" w:lineRule="exact"/>
        <w:ind w:left="821" w:hanging="820" w:hangingChars="342"/>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2.7.4  在投标截止时间后，投标人不得补充、修改或更换投标文件。</w:t>
      </w:r>
    </w:p>
    <w:p>
      <w:pPr>
        <w:pStyle w:val="15"/>
        <w:rPr>
          <w:rFonts w:hAnsi="宋体"/>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2.8    公开展示</w:t>
      </w:r>
    </w:p>
    <w:p>
      <w:pPr>
        <w:spacing w:line="400" w:lineRule="exact"/>
        <w:ind w:left="824" w:hanging="820" w:hangingChars="342"/>
        <w:rPr>
          <w:rFonts w:ascii="宋体" w:hAnsi="宋体"/>
          <w:color w:val="auto"/>
          <w:sz w:val="24"/>
          <w:highlight w:val="none"/>
        </w:rPr>
      </w:pPr>
      <w:r>
        <w:rPr>
          <w:rFonts w:hint="eastAsia" w:ascii="宋体" w:hAnsi="宋体"/>
          <w:b/>
          <w:bCs/>
          <w:color w:val="auto"/>
          <w:sz w:val="24"/>
          <w:highlight w:val="none"/>
        </w:rPr>
        <w:t>2.8</w:t>
      </w:r>
      <w:r>
        <w:rPr>
          <w:rFonts w:hint="eastAsia" w:ascii="宋体" w:hAnsi="宋体"/>
          <w:color w:val="auto"/>
          <w:sz w:val="24"/>
          <w:highlight w:val="none"/>
        </w:rPr>
        <w:t xml:space="preserve">.1  </w:t>
      </w:r>
      <w:r>
        <w:rPr>
          <w:rFonts w:hint="eastAsia" w:ascii="宋体" w:hAnsi="宋体" w:cs="宋体"/>
          <w:color w:val="auto"/>
          <w:sz w:val="24"/>
          <w:highlight w:val="none"/>
          <w:u w:val="single"/>
          <w:lang w:val="en-US" w:eastAsia="zh-CN"/>
        </w:rPr>
        <w:t>投标文件评标后不予退回。</w:t>
      </w:r>
    </w:p>
    <w:p>
      <w:pPr>
        <w:spacing w:line="400" w:lineRule="exact"/>
        <w:ind w:left="824" w:hanging="820" w:hangingChars="342"/>
        <w:jc w:val="left"/>
        <w:rPr>
          <w:rFonts w:ascii="宋体" w:hAnsi="宋体"/>
          <w:dstrike/>
          <w:color w:val="auto"/>
          <w:sz w:val="24"/>
          <w:highlight w:val="none"/>
        </w:rPr>
      </w:pPr>
      <w:r>
        <w:rPr>
          <w:rFonts w:hint="eastAsia" w:ascii="宋体" w:hAnsi="宋体"/>
          <w:b/>
          <w:bCs/>
          <w:dstrike/>
          <w:color w:val="auto"/>
          <w:sz w:val="24"/>
          <w:highlight w:val="none"/>
        </w:rPr>
        <w:t>2.8</w:t>
      </w:r>
      <w:r>
        <w:rPr>
          <w:rFonts w:hint="eastAsia" w:ascii="宋体" w:hAnsi="宋体"/>
          <w:dstrike/>
          <w:color w:val="auto"/>
          <w:sz w:val="24"/>
          <w:highlight w:val="none"/>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2.9   知识产权转移</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2.9.1  授予合同并支付定金后，中标方案的一次性使用权归招标人所有（署名权除外）。</w:t>
      </w:r>
    </w:p>
    <w:p>
      <w:pPr>
        <w:spacing w:line="400" w:lineRule="exact"/>
        <w:ind w:left="821" w:hanging="820" w:hangingChars="342"/>
        <w:rPr>
          <w:rFonts w:ascii="宋体" w:hAnsi="宋体"/>
          <w:dstrike/>
          <w:color w:val="auto"/>
          <w:sz w:val="24"/>
          <w:highlight w:val="none"/>
        </w:rPr>
      </w:pPr>
      <w:r>
        <w:rPr>
          <w:rFonts w:hint="eastAsia" w:ascii="宋体" w:hAnsi="宋体"/>
          <w:dstrike/>
          <w:color w:val="auto"/>
          <w:sz w:val="24"/>
          <w:highlight w:val="none"/>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2.10    其他</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2.10.1  除特殊情况外，招标人有权在工程建设中根据需要对选定的实施方案进行调整和修改。</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2.10.3  招标人有权无须事先征求中标人的同意而披露关于中标人的名称、地址、合同条款。</w:t>
      </w:r>
    </w:p>
    <w:p>
      <w:pPr>
        <w:spacing w:line="400" w:lineRule="exact"/>
        <w:ind w:left="821" w:hanging="820" w:hangingChars="342"/>
        <w:jc w:val="left"/>
        <w:rPr>
          <w:rFonts w:ascii="宋体" w:hAnsi="宋体"/>
          <w:color w:val="auto"/>
          <w:highlight w:val="none"/>
        </w:rPr>
      </w:pPr>
      <w:r>
        <w:rPr>
          <w:rFonts w:hint="eastAsia" w:ascii="宋体" w:hAnsi="宋体"/>
          <w:color w:val="auto"/>
          <w:sz w:val="24"/>
          <w:highlight w:val="none"/>
        </w:rPr>
        <w:t>2.10.4  本次招标由交易服务机构对各投标人提交的成果和评标过程、评标结果予以见证，若有纠纷，将按现行法律、法规通过友好协商或诉讼程序解决。</w:t>
      </w:r>
    </w:p>
    <w:p>
      <w:pPr>
        <w:spacing w:line="400" w:lineRule="exact"/>
        <w:rPr>
          <w:rFonts w:ascii="宋体" w:hAnsi="宋体"/>
          <w:b/>
          <w:bCs/>
          <w:color w:val="auto"/>
          <w:sz w:val="24"/>
          <w:highlight w:val="none"/>
          <w:u w:val="single"/>
        </w:rPr>
      </w:pPr>
      <w:r>
        <w:rPr>
          <w:rFonts w:hint="eastAsia" w:ascii="宋体" w:hAnsi="宋体"/>
          <w:b/>
          <w:bCs/>
          <w:color w:val="auto"/>
          <w:sz w:val="24"/>
          <w:highlight w:val="none"/>
          <w:u w:val="single"/>
        </w:rPr>
        <w:t>2.11    电子招标投标解密失败及突发状况的补救</w:t>
      </w:r>
    </w:p>
    <w:p>
      <w:pPr>
        <w:spacing w:line="400" w:lineRule="exact"/>
        <w:ind w:left="821" w:hanging="820" w:hangingChars="342"/>
        <w:jc w:val="left"/>
        <w:rPr>
          <w:rFonts w:hint="eastAsia" w:ascii="宋体" w:hAnsi="宋体" w:cs="宋体"/>
          <w:color w:val="auto"/>
          <w:sz w:val="24"/>
          <w:highlight w:val="none"/>
          <w:u w:val="single"/>
        </w:rPr>
      </w:pPr>
      <w:r>
        <w:rPr>
          <w:rFonts w:hint="eastAsia" w:ascii="宋体" w:hAnsi="宋体"/>
          <w:color w:val="auto"/>
          <w:sz w:val="24"/>
          <w:highlight w:val="none"/>
          <w:u w:val="single"/>
        </w:rPr>
        <w:t>2.11.1  提交投标文件光盘备用</w:t>
      </w:r>
    </w:p>
    <w:p>
      <w:pPr>
        <w:spacing w:line="400" w:lineRule="exact"/>
        <w:ind w:left="821" w:hanging="820" w:hangingChars="342"/>
        <w:jc w:val="left"/>
        <w:rPr>
          <w:rFonts w:ascii="宋体" w:hAnsi="宋体" w:cs="宋体"/>
          <w:color w:val="auto"/>
          <w:sz w:val="24"/>
          <w:highlight w:val="none"/>
          <w:u w:val="single"/>
        </w:rPr>
      </w:pPr>
      <w:r>
        <w:rPr>
          <w:rFonts w:hint="eastAsia" w:ascii="宋体" w:hAnsi="宋体"/>
          <w:color w:val="auto"/>
          <w:sz w:val="24"/>
          <w:highlight w:val="none"/>
        </w:rPr>
        <w:t xml:space="preserve">      　</w:t>
      </w:r>
      <w:r>
        <w:rPr>
          <w:rFonts w:hint="eastAsia" w:ascii="宋体" w:hAnsi="宋体" w:cs="宋体"/>
          <w:color w:val="auto"/>
          <w:sz w:val="24"/>
          <w:highlight w:val="none"/>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u w:val="single"/>
        </w:rPr>
        <w:t>2.11.2  补救方案</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u w:val="single"/>
        </w:rPr>
        <w:t>2.11.2.2</w:t>
      </w:r>
      <w:r>
        <w:rPr>
          <w:rFonts w:hint="eastAsia" w:ascii="宋体" w:hAnsi="宋体" w:cs="宋体"/>
          <w:color w:val="auto"/>
          <w:sz w:val="24"/>
          <w:highlight w:val="none"/>
          <w:u w:val="single"/>
        </w:rPr>
        <w:t>评标</w:t>
      </w:r>
      <w:r>
        <w:rPr>
          <w:rFonts w:hint="eastAsia" w:ascii="宋体" w:hAnsi="宋体"/>
          <w:color w:val="auto"/>
          <w:sz w:val="24"/>
          <w:highlight w:val="none"/>
          <w:u w:val="single"/>
        </w:rPr>
        <w:t>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821" w:hanging="820" w:hangingChars="342"/>
        <w:jc w:val="left"/>
        <w:rPr>
          <w:color w:val="auto"/>
          <w:highlight w:val="none"/>
        </w:rPr>
      </w:pPr>
      <w:r>
        <w:rPr>
          <w:rFonts w:hint="eastAsia" w:ascii="宋体" w:hAnsi="宋体"/>
          <w:color w:val="auto"/>
          <w:sz w:val="24"/>
          <w:highlight w:val="none"/>
          <w:u w:val="single"/>
        </w:rPr>
        <w:t>2.11.2.3除</w:t>
      </w:r>
      <w:r>
        <w:rPr>
          <w:rFonts w:hint="eastAsia" w:ascii="宋体" w:hAnsi="宋体" w:cs="宋体"/>
          <w:color w:val="auto"/>
          <w:sz w:val="24"/>
          <w:highlight w:val="none"/>
          <w:u w:val="single"/>
        </w:rPr>
        <w:t>发生</w:t>
      </w:r>
      <w:r>
        <w:rPr>
          <w:rFonts w:hint="eastAsia" w:ascii="宋体" w:hAnsi="宋体"/>
          <w:color w:val="auto"/>
          <w:sz w:val="24"/>
          <w:highlight w:val="none"/>
          <w:u w:val="single"/>
        </w:rPr>
        <w:t>上述情况外，开标评标均以投标人通过交易平台网上递交的电子投标文件为准。</w:t>
      </w:r>
    </w:p>
    <w:p>
      <w:pPr>
        <w:jc w:val="center"/>
        <w:rPr>
          <w:rFonts w:ascii="宋体" w:hAnsi="宋体"/>
          <w:b/>
          <w:color w:val="auto"/>
          <w:sz w:val="36"/>
          <w:szCs w:val="36"/>
          <w:highlight w:val="none"/>
        </w:rPr>
      </w:pPr>
      <w:r>
        <w:rPr>
          <w:rFonts w:hAnsi="宋体"/>
          <w:color w:val="auto"/>
          <w:highlight w:val="none"/>
        </w:rPr>
        <w:br w:type="page"/>
      </w:r>
      <w:r>
        <w:rPr>
          <w:rFonts w:hint="eastAsia" w:ascii="宋体" w:hAnsi="宋体"/>
          <w:b/>
          <w:color w:val="auto"/>
          <w:sz w:val="36"/>
          <w:szCs w:val="36"/>
          <w:highlight w:val="none"/>
        </w:rPr>
        <w:t>第三章  投标文件编制要求</w:t>
      </w:r>
    </w:p>
    <w:p>
      <w:pPr>
        <w:jc w:val="center"/>
        <w:rPr>
          <w:rFonts w:ascii="宋体" w:hAnsi="宋体"/>
          <w:color w:val="auto"/>
          <w:highlight w:val="none"/>
        </w:rPr>
      </w:pPr>
    </w:p>
    <w:p>
      <w:pPr>
        <w:spacing w:line="400" w:lineRule="exact"/>
        <w:jc w:val="left"/>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bCs/>
          <w:color w:val="auto"/>
          <w:sz w:val="24"/>
          <w:highlight w:val="none"/>
        </w:rPr>
        <w:t>3.1   投标文件</w:t>
      </w:r>
    </w:p>
    <w:p>
      <w:pPr>
        <w:pStyle w:val="14"/>
        <w:spacing w:line="360" w:lineRule="auto"/>
        <w:ind w:left="821" w:hanging="820" w:hangingChars="342"/>
        <w:rPr>
          <w:rFonts w:hAnsi="宋体"/>
          <w:strike/>
          <w:color w:val="auto"/>
          <w:sz w:val="24"/>
          <w:highlight w:val="none"/>
        </w:rPr>
      </w:pPr>
      <w:r>
        <w:rPr>
          <w:rFonts w:hint="eastAsia" w:hAnsi="宋体"/>
          <w:color w:val="auto"/>
          <w:sz w:val="24"/>
          <w:highlight w:val="none"/>
        </w:rPr>
        <w:t xml:space="preserve">3.1.1  </w:t>
      </w:r>
      <w:r>
        <w:rPr>
          <w:rFonts w:hint="eastAsia" w:hAnsi="宋体"/>
          <w:strike/>
          <w:dstrike w:val="0"/>
          <w:color w:val="auto"/>
          <w:sz w:val="24"/>
          <w:highlight w:val="none"/>
        </w:rPr>
        <w:t>投标文件由商务文件和技术文件两部分组成。各部分投标文件应分别编制，各自独立包装</w:t>
      </w:r>
      <w:r>
        <w:rPr>
          <w:rFonts w:hint="eastAsia" w:hAnsi="宋体"/>
          <w:strike/>
          <w:dstrike w:val="0"/>
          <w:color w:val="auto"/>
          <w:sz w:val="24"/>
          <w:highlight w:val="none"/>
          <w:lang w:eastAsia="zh-CN"/>
        </w:rPr>
        <w:t>。</w:t>
      </w:r>
    </w:p>
    <w:p>
      <w:pPr>
        <w:pStyle w:val="14"/>
        <w:spacing w:line="360" w:lineRule="auto"/>
        <w:ind w:left="821" w:hanging="820" w:hangingChars="342"/>
        <w:rPr>
          <w:rFonts w:hAnsi="宋体"/>
          <w:color w:val="auto"/>
          <w:sz w:val="24"/>
          <w:szCs w:val="24"/>
          <w:highlight w:val="none"/>
          <w:u w:val="single"/>
        </w:rPr>
      </w:pPr>
      <w:r>
        <w:rPr>
          <w:rFonts w:hint="eastAsia" w:hAnsi="宋体"/>
          <w:color w:val="auto"/>
          <w:sz w:val="24"/>
          <w:highlight w:val="none"/>
          <w:u w:val="single"/>
        </w:rPr>
        <w:t xml:space="preserve">3.1.2  </w:t>
      </w:r>
      <w:r>
        <w:rPr>
          <w:rFonts w:hint="eastAsia" w:hAnsi="宋体"/>
          <w:color w:val="auto"/>
          <w:sz w:val="24"/>
          <w:szCs w:val="24"/>
          <w:highlight w:val="none"/>
          <w:u w:val="single"/>
        </w:rPr>
        <w:t>投标文件由下列部分组成：（1）开标文件；（2）商务文件（含资审文件）；（3）技术文件；（4）投标文件光盘（备用）。注：投标人也可不提交投标文件光盘（备用）。</w:t>
      </w:r>
    </w:p>
    <w:p>
      <w:pPr>
        <w:pStyle w:val="14"/>
        <w:spacing w:line="360" w:lineRule="auto"/>
        <w:ind w:left="821" w:hanging="820" w:hangingChars="342"/>
        <w:rPr>
          <w:rFonts w:hAnsi="宋体"/>
          <w:color w:val="auto"/>
          <w:sz w:val="24"/>
          <w:szCs w:val="24"/>
          <w:highlight w:val="none"/>
        </w:rPr>
      </w:pPr>
      <w:r>
        <w:rPr>
          <w:rFonts w:hint="eastAsia" w:hAnsi="宋体"/>
          <w:color w:val="auto"/>
          <w:sz w:val="24"/>
          <w:highlight w:val="none"/>
          <w:u w:val="single"/>
        </w:rPr>
        <w:t>3.1.3</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投标文件全部采用电子文档，投标文件所附证书证件均为原件清晰扫描件或</w:t>
      </w:r>
      <w:r>
        <w:rPr>
          <w:rFonts w:hAnsi="宋体"/>
          <w:color w:val="auto"/>
          <w:sz w:val="24"/>
          <w:highlight w:val="none"/>
          <w:u w:val="single"/>
        </w:rPr>
        <w:t>电子证书</w:t>
      </w:r>
      <w:r>
        <w:rPr>
          <w:rFonts w:hint="eastAsia" w:hAnsi="宋体"/>
          <w:color w:val="auto"/>
          <w:sz w:val="24"/>
          <w:highlight w:val="none"/>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3.1.4  投标文件应做到清晰、完整，文本、图纸规格应当尽量统一。</w:t>
      </w:r>
      <w:r>
        <w:rPr>
          <w:rFonts w:hint="eastAsia" w:hAnsi="宋体"/>
          <w:color w:val="auto"/>
          <w:sz w:val="24"/>
          <w:highlight w:val="none"/>
        </w:rPr>
        <w:t>除非另有规定，否则投标文件的</w:t>
      </w:r>
      <w:r>
        <w:rPr>
          <w:rFonts w:hint="eastAsia" w:ascii="宋体" w:hAnsi="宋体"/>
          <w:color w:val="auto"/>
          <w:sz w:val="24"/>
          <w:highlight w:val="none"/>
        </w:rPr>
        <w:t>计量单位宜采用国际标准计量单位，尺寸齐全、准确，</w:t>
      </w:r>
      <w:r>
        <w:rPr>
          <w:rFonts w:hint="eastAsia" w:hAnsi="宋体"/>
          <w:color w:val="auto"/>
          <w:sz w:val="24"/>
          <w:highlight w:val="none"/>
        </w:rPr>
        <w:t>所有文字说明和文字标注以中文为准，报价均为人民币，时间均为北京时间。</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3.1.5  每个投标人报送一个投标方案，投标文件应达到招标文件规定的深度，满足评审需要。不响应招标文件要求的投标文件可能被拒绝，责任由投标人自负。</w:t>
      </w:r>
    </w:p>
    <w:p>
      <w:pPr>
        <w:pStyle w:val="14"/>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3</w:t>
      </w:r>
      <w:r>
        <w:rPr>
          <w:rFonts w:ascii="宋体" w:hAnsi="宋体"/>
          <w:color w:val="auto"/>
          <w:sz w:val="24"/>
          <w:highlight w:val="none"/>
          <w:u w:val="single"/>
        </w:rPr>
        <w:t xml:space="preserve">.1.6  </w:t>
      </w:r>
      <w:bookmarkStart w:id="0" w:name="_Hlk83750820"/>
      <w:r>
        <w:rPr>
          <w:rFonts w:hint="eastAsia" w:ascii="宋体" w:hAnsi="宋体"/>
          <w:color w:val="auto"/>
          <w:sz w:val="24"/>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bookmarkEnd w:id="0"/>
    </w:p>
    <w:p>
      <w:pPr>
        <w:pStyle w:val="14"/>
        <w:spacing w:line="360" w:lineRule="auto"/>
        <w:ind w:left="821" w:hanging="820" w:hangingChars="342"/>
        <w:rPr>
          <w:color w:val="auto"/>
          <w:highlight w:val="none"/>
        </w:rPr>
      </w:pPr>
      <w:r>
        <w:rPr>
          <w:rFonts w:ascii="宋体" w:hAnsi="宋体"/>
          <w:color w:val="auto"/>
          <w:sz w:val="24"/>
          <w:highlight w:val="none"/>
          <w:u w:val="single"/>
        </w:rPr>
        <w:t xml:space="preserve">3.1.7  </w:t>
      </w:r>
      <w:r>
        <w:rPr>
          <w:rFonts w:hint="eastAsia" w:ascii="宋体" w:hAnsi="宋体"/>
          <w:color w:val="auto"/>
          <w:sz w:val="24"/>
          <w:highlight w:val="none"/>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color w:val="auto"/>
          <w:sz w:val="24"/>
          <w:highlight w:val="none"/>
        </w:rPr>
        <w:t>3</w:t>
      </w:r>
      <w:r>
        <w:rPr>
          <w:rFonts w:hint="eastAsia" w:ascii="宋体" w:hAnsi="宋体"/>
          <w:b/>
          <w:bCs/>
          <w:color w:val="auto"/>
          <w:sz w:val="24"/>
          <w:highlight w:val="none"/>
        </w:rPr>
        <w:t>.2  商务文件（含资格审查文件）编制要求</w:t>
      </w:r>
    </w:p>
    <w:p>
      <w:pPr>
        <w:pStyle w:val="15"/>
        <w:spacing w:line="360" w:lineRule="auto"/>
        <w:rPr>
          <w:rFonts w:hAnsi="宋体"/>
          <w:color w:val="auto"/>
          <w:sz w:val="24"/>
          <w:highlight w:val="none"/>
        </w:rPr>
      </w:pPr>
      <w:r>
        <w:rPr>
          <w:rFonts w:hint="eastAsia" w:hAnsi="宋体"/>
          <w:color w:val="auto"/>
          <w:sz w:val="24"/>
          <w:highlight w:val="none"/>
        </w:rPr>
        <w:t xml:space="preserve">3.2.1 </w:t>
      </w:r>
      <w:r>
        <w:rPr>
          <w:rFonts w:hint="eastAsia" w:hAnsi="宋体"/>
          <w:color w:val="auto"/>
          <w:sz w:val="24"/>
          <w:szCs w:val="24"/>
          <w:highlight w:val="none"/>
        </w:rPr>
        <w:t>商务文件由下列资料组成：</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（1）封面：写明项目名称、商务文件、投标人单位及年月日；加盖投标人公章。</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（2）目录。</w:t>
      </w:r>
    </w:p>
    <w:p>
      <w:pPr>
        <w:spacing w:line="360" w:lineRule="auto"/>
        <w:jc w:val="left"/>
        <w:rPr>
          <w:rFonts w:hAnsi="宋体"/>
          <w:color w:val="auto"/>
          <w:sz w:val="24"/>
          <w:highlight w:val="none"/>
        </w:rPr>
      </w:pPr>
      <w:r>
        <w:rPr>
          <w:rFonts w:hint="eastAsia" w:ascii="宋体" w:hAnsi="宋体" w:cs="Times New Roman"/>
          <w:color w:val="auto"/>
          <w:sz w:val="24"/>
          <w:highlight w:val="none"/>
          <w:u w:val="single"/>
        </w:rPr>
        <w:t>（3）投标书（格式见附录5）及联合体共同投标协议（如果有）（格式见附录6）；勘察设计费报价表（格式见附录4）。注：本项资料要求投标人在“开标文件”和“商务文件”中同时提供，但评标委员会应根据“开标文件”中的“投标书”、联合体共同投标协议（如果有）、</w:t>
      </w:r>
      <w:r>
        <w:rPr>
          <w:rFonts w:hint="eastAsia" w:ascii="宋体" w:hAnsi="宋体"/>
          <w:color w:val="auto"/>
          <w:sz w:val="24"/>
          <w:highlight w:val="none"/>
          <w:u w:val="single"/>
        </w:rPr>
        <w:t>察设计费报价表进行评审。如两者不一致，以“开标文件”中的为准。）</w:t>
      </w:r>
    </w:p>
    <w:p>
      <w:pPr>
        <w:spacing w:line="360" w:lineRule="auto"/>
        <w:jc w:val="left"/>
        <w:rPr>
          <w:rFonts w:hAnsi="宋体"/>
          <w:color w:val="auto"/>
          <w:sz w:val="24"/>
          <w:highlight w:val="none"/>
        </w:rPr>
      </w:pPr>
      <w:r>
        <w:rPr>
          <w:rFonts w:hint="eastAsia" w:ascii="宋体" w:hAnsi="宋体"/>
          <w:color w:val="auto"/>
          <w:sz w:val="24"/>
          <w:highlight w:val="none"/>
        </w:rPr>
        <w:t>（4）填妥并盖章的《投标申请表》</w:t>
      </w:r>
      <w:r>
        <w:rPr>
          <w:rFonts w:hint="eastAsia" w:hAnsi="宋体"/>
          <w:color w:val="auto"/>
          <w:sz w:val="24"/>
          <w:highlight w:val="none"/>
        </w:rPr>
        <w:t>（格式见附录1、</w:t>
      </w:r>
      <w:r>
        <w:rPr>
          <w:rFonts w:hint="eastAsia" w:hAnsi="宋体"/>
          <w:strike/>
          <w:dstrike w:val="0"/>
          <w:color w:val="auto"/>
          <w:sz w:val="24"/>
          <w:highlight w:val="none"/>
        </w:rPr>
        <w:t>2、</w:t>
      </w:r>
      <w:r>
        <w:rPr>
          <w:rFonts w:hint="eastAsia" w:hAnsi="宋体"/>
          <w:color w:val="auto"/>
          <w:sz w:val="24"/>
          <w:highlight w:val="none"/>
        </w:rPr>
        <w:t>3）。</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（5）企业营业执照副本复印件。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（6）企业资质证书副本复印件。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（7）项目负责人注册证书或职称证书复印件。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（8）各专业负责人注册证书或职称证书复印件。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（9）企业类似工程业绩证明材料复印件。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（10）项目负责人类似工程业绩证明材料复印件。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11）为本项目拟投入的技术力量。主要包括项目负责人及各专业负责人的资格、设计经历及业务能力，主要设计人员的资格、设计经历及业务能力，工程勘察人员的资格、业务能力，参加本项目人员配置情况等，对资格等内容必须附上有关的证明材料，并能保证材料的真实性；（格式见附录8）。</w:t>
      </w:r>
    </w:p>
    <w:p>
      <w:pPr>
        <w:spacing w:line="360" w:lineRule="auto"/>
        <w:ind w:left="600" w:hanging="600" w:hangingChars="250"/>
        <w:jc w:val="left"/>
        <w:rPr>
          <w:rFonts w:ascii="宋体" w:hAnsi="宋体"/>
          <w:color w:val="auto"/>
          <w:sz w:val="24"/>
          <w:highlight w:val="none"/>
          <w:u w:val="single"/>
        </w:rPr>
      </w:pPr>
      <w:r>
        <w:rPr>
          <w:rFonts w:hint="eastAsia" w:ascii="宋体" w:hAnsi="宋体"/>
          <w:color w:val="auto"/>
          <w:sz w:val="24"/>
          <w:highlight w:val="none"/>
          <w:u w:val="single"/>
        </w:rPr>
        <w:t>（12）投标人认为有必要的其他资料。</w:t>
      </w:r>
    </w:p>
    <w:p>
      <w:pPr>
        <w:spacing w:line="360" w:lineRule="auto"/>
        <w:ind w:left="600" w:hanging="600" w:hangingChars="250"/>
        <w:rPr>
          <w:rFonts w:hint="eastAsia" w:ascii="宋体" w:hAnsi="宋体"/>
          <w:strike/>
          <w:dstrike w:val="0"/>
          <w:color w:val="auto"/>
          <w:sz w:val="24"/>
          <w:highlight w:val="none"/>
        </w:rPr>
      </w:pPr>
      <w:r>
        <w:rPr>
          <w:rFonts w:hint="eastAsia" w:ascii="宋体" w:hAnsi="宋体"/>
          <w:strike/>
          <w:dstrike w:val="0"/>
          <w:color w:val="auto"/>
          <w:sz w:val="24"/>
          <w:highlight w:val="none"/>
        </w:rPr>
        <w:t>3.2.2 商务投标文件的密封要求：投标人应确保投标文件密闭封装，外包装材料不应留有可在包封后添加或抽取投标文件的空隙。外面标注“项目名称”及“商务文件”字样。</w:t>
      </w:r>
    </w:p>
    <w:p>
      <w:pPr>
        <w:spacing w:line="360" w:lineRule="auto"/>
        <w:ind w:left="600" w:hanging="600" w:hangingChars="250"/>
        <w:rPr>
          <w:rFonts w:hint="eastAsia" w:ascii="宋体" w:hAnsi="宋体"/>
          <w:strike/>
          <w:dstrike w:val="0"/>
          <w:color w:val="auto"/>
          <w:sz w:val="24"/>
          <w:highlight w:val="none"/>
        </w:rPr>
      </w:pPr>
      <w:r>
        <w:rPr>
          <w:rFonts w:hint="eastAsia" w:ascii="宋体" w:hAnsi="宋体"/>
          <w:strike/>
          <w:dstrike w:val="0"/>
          <w:color w:val="auto"/>
          <w:sz w:val="24"/>
          <w:highlight w:val="none"/>
        </w:rPr>
        <w:t>3.2.3接收投标文件时，如果包封上没有按上述规定密封或加写标志，招标人予以拒绝，并退还给投标人。</w:t>
      </w: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3.3   技术文件编制要求</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 xml:space="preserve">3.3.1 </w:t>
      </w:r>
      <w:r>
        <w:rPr>
          <w:rFonts w:hint="eastAsia" w:ascii="宋体" w:hAnsi="宋体"/>
          <w:b/>
          <w:color w:val="auto"/>
          <w:sz w:val="24"/>
          <w:highlight w:val="none"/>
        </w:rPr>
        <w:t>技术文件由下列资料组成：</w:t>
      </w:r>
    </w:p>
    <w:p>
      <w:pPr>
        <w:spacing w:line="360" w:lineRule="auto"/>
        <w:ind w:firstLine="480" w:firstLineChars="200"/>
        <w:jc w:val="left"/>
        <w:rPr>
          <w:rFonts w:hAnsi="宋体"/>
          <w:dstrike/>
          <w:color w:val="auto"/>
          <w:sz w:val="24"/>
          <w:highlight w:val="none"/>
          <w:u w:val="single"/>
        </w:rPr>
      </w:pPr>
      <w:r>
        <w:rPr>
          <w:rFonts w:hint="eastAsia" w:ascii="宋体" w:hAnsi="宋体" w:cs="宋体"/>
          <w:color w:val="auto"/>
          <w:sz w:val="24"/>
          <w:highlight w:val="none"/>
          <w:u w:val="single"/>
        </w:rPr>
        <w:t>(a) 设计方案。</w:t>
      </w:r>
    </w:p>
    <w:p>
      <w:pPr>
        <w:spacing w:line="360" w:lineRule="auto"/>
        <w:rPr>
          <w:rFonts w:ascii="宋体" w:hAnsi="宋体"/>
          <w:color w:val="auto"/>
          <w:sz w:val="24"/>
          <w:highlight w:val="none"/>
        </w:rPr>
      </w:pPr>
      <w:r>
        <w:rPr>
          <w:rFonts w:hint="eastAsia" w:ascii="宋体" w:hAnsi="宋体"/>
          <w:color w:val="auto"/>
          <w:sz w:val="24"/>
          <w:highlight w:val="none"/>
        </w:rPr>
        <w:t xml:space="preserve">3.3.2 </w:t>
      </w:r>
      <w:r>
        <w:rPr>
          <w:rFonts w:hint="eastAsia" w:ascii="宋体" w:hAnsi="宋体"/>
          <w:b/>
          <w:bCs/>
          <w:color w:val="auto"/>
          <w:sz w:val="24"/>
          <w:highlight w:val="none"/>
        </w:rPr>
        <w:t>保密要求</w:t>
      </w:r>
    </w:p>
    <w:p>
      <w:pPr>
        <w:spacing w:line="360" w:lineRule="auto"/>
        <w:ind w:left="718" w:leftChars="342"/>
        <w:jc w:val="left"/>
        <w:rPr>
          <w:rFonts w:ascii="宋体" w:hAnsi="宋体"/>
          <w:color w:val="auto"/>
          <w:sz w:val="24"/>
          <w:highlight w:val="none"/>
        </w:rPr>
      </w:pPr>
      <w:r>
        <w:rPr>
          <w:rFonts w:hint="eastAsia" w:ascii="宋体" w:hAnsi="宋体" w:cs="宋体"/>
          <w:color w:val="auto"/>
          <w:sz w:val="24"/>
          <w:highlight w:val="none"/>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spacing w:line="360" w:lineRule="auto"/>
        <w:rPr>
          <w:rFonts w:ascii="宋体" w:hAnsi="宋体"/>
          <w:b/>
          <w:strike/>
          <w:dstrike w:val="0"/>
          <w:color w:val="auto"/>
          <w:sz w:val="24"/>
          <w:highlight w:val="none"/>
        </w:rPr>
      </w:pPr>
      <w:r>
        <w:rPr>
          <w:rFonts w:hint="eastAsia" w:ascii="宋体" w:hAnsi="宋体"/>
          <w:strike/>
          <w:dstrike w:val="0"/>
          <w:color w:val="auto"/>
          <w:sz w:val="24"/>
          <w:highlight w:val="none"/>
        </w:rPr>
        <w:t xml:space="preserve">3.3.3 </w:t>
      </w:r>
      <w:r>
        <w:rPr>
          <w:rFonts w:hint="eastAsia" w:ascii="宋体" w:hAnsi="宋体"/>
          <w:b/>
          <w:strike/>
          <w:dstrike w:val="0"/>
          <w:color w:val="auto"/>
          <w:sz w:val="24"/>
          <w:highlight w:val="none"/>
        </w:rPr>
        <w:t>保密信封</w:t>
      </w:r>
    </w:p>
    <w:p>
      <w:pPr>
        <w:spacing w:line="360" w:lineRule="auto"/>
        <w:ind w:left="719" w:leftChars="114" w:hanging="480" w:hangingChars="200"/>
        <w:jc w:val="left"/>
        <w:rPr>
          <w:rFonts w:ascii="宋体" w:hAnsi="宋体"/>
          <w:strike/>
          <w:dstrike w:val="0"/>
          <w:color w:val="auto"/>
          <w:sz w:val="24"/>
          <w:highlight w:val="none"/>
        </w:rPr>
      </w:pPr>
      <w:r>
        <w:rPr>
          <w:rFonts w:hint="eastAsia" w:ascii="宋体" w:hAnsi="宋体"/>
          <w:strike/>
          <w:dstrike w:val="0"/>
          <w:color w:val="auto"/>
          <w:sz w:val="24"/>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dstrike w:val="0"/>
          <w:color w:val="auto"/>
          <w:sz w:val="24"/>
          <w:highlight w:val="none"/>
        </w:rPr>
      </w:pPr>
      <w:r>
        <w:rPr>
          <w:rFonts w:hint="eastAsia" w:ascii="宋体" w:hAnsi="宋体"/>
          <w:strike/>
          <w:dstrike w:val="0"/>
          <w:color w:val="auto"/>
          <w:sz w:val="24"/>
          <w:highlight w:val="none"/>
        </w:rPr>
        <w:t>（2）保密信封用不透明信封独立密封，外面标注“项目名称”及“保密信封”字样。</w:t>
      </w:r>
    </w:p>
    <w:p>
      <w:pPr>
        <w:spacing w:line="360" w:lineRule="auto"/>
        <w:rPr>
          <w:rFonts w:ascii="宋体" w:hAnsi="宋体"/>
          <w:b/>
          <w:color w:val="auto"/>
          <w:sz w:val="24"/>
          <w:highlight w:val="none"/>
        </w:rPr>
      </w:pPr>
      <w:r>
        <w:rPr>
          <w:rFonts w:hint="eastAsia" w:ascii="宋体" w:hAnsi="宋体"/>
          <w:color w:val="auto"/>
          <w:sz w:val="24"/>
          <w:highlight w:val="none"/>
        </w:rPr>
        <w:t xml:space="preserve">3.3.4 </w:t>
      </w:r>
      <w:r>
        <w:rPr>
          <w:rFonts w:hint="eastAsia" w:ascii="宋体" w:hAnsi="宋体"/>
          <w:b/>
          <w:color w:val="auto"/>
          <w:sz w:val="24"/>
          <w:highlight w:val="none"/>
        </w:rPr>
        <w:t>设计方案</w:t>
      </w:r>
    </w:p>
    <w:p>
      <w:pPr>
        <w:spacing w:line="360" w:lineRule="auto"/>
        <w:ind w:left="1199" w:leftChars="114" w:hanging="960" w:hangingChars="400"/>
        <w:jc w:val="left"/>
        <w:rPr>
          <w:rFonts w:ascii="宋体" w:hAnsi="宋体"/>
          <w:color w:val="auto"/>
          <w:sz w:val="24"/>
          <w:highlight w:val="none"/>
          <w:u w:val="single"/>
        </w:rPr>
      </w:pPr>
      <w:r>
        <w:rPr>
          <w:rFonts w:hint="eastAsia" w:ascii="宋体" w:hAnsi="宋体"/>
          <w:color w:val="auto"/>
          <w:sz w:val="24"/>
          <w:highlight w:val="none"/>
          <w:u w:val="single"/>
        </w:rPr>
        <w:t>（1）设计方案文本文件内容：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(a) 封面：写明项目名称、编制年月；</w:t>
      </w:r>
    </w:p>
    <w:p>
      <w:pPr>
        <w:spacing w:line="360" w:lineRule="auto"/>
        <w:jc w:val="left"/>
        <w:rPr>
          <w:rFonts w:hAnsi="宋体"/>
          <w:color w:val="auto"/>
          <w:sz w:val="24"/>
          <w:highlight w:val="none"/>
          <w:u w:val="single"/>
        </w:rPr>
      </w:pPr>
      <w:r>
        <w:rPr>
          <w:rFonts w:hint="eastAsia" w:hAnsi="宋体"/>
          <w:color w:val="auto"/>
          <w:sz w:val="24"/>
          <w:highlight w:val="none"/>
          <w:u w:val="single"/>
        </w:rPr>
        <w:t xml:space="preserve">    (b) 目录。</w:t>
      </w:r>
    </w:p>
    <w:p>
      <w:pPr>
        <w:spacing w:line="360" w:lineRule="auto"/>
        <w:ind w:firstLine="120" w:firstLineChars="50"/>
        <w:jc w:val="left"/>
        <w:rPr>
          <w:rFonts w:hAnsi="宋体"/>
          <w:color w:val="auto"/>
          <w:sz w:val="24"/>
          <w:highlight w:val="none"/>
          <w:u w:val="single"/>
        </w:rPr>
      </w:pPr>
      <w:r>
        <w:rPr>
          <w:rFonts w:hint="eastAsia" w:hAnsi="宋体"/>
          <w:color w:val="auto"/>
          <w:sz w:val="24"/>
          <w:highlight w:val="none"/>
          <w:u w:val="single"/>
        </w:rPr>
        <w:t xml:space="preserve">   (c) 设计说明书（含本项目的难点、建议和</w:t>
      </w:r>
      <w:r>
        <w:rPr>
          <w:rFonts w:hAnsi="宋体"/>
          <w:color w:val="auto"/>
          <w:sz w:val="24"/>
          <w:highlight w:val="none"/>
          <w:u w:val="single"/>
        </w:rPr>
        <w:t>工程创新</w:t>
      </w:r>
      <w:r>
        <w:rPr>
          <w:rFonts w:hint="eastAsia" w:hAnsi="宋体"/>
          <w:color w:val="auto"/>
          <w:sz w:val="24"/>
          <w:highlight w:val="none"/>
          <w:u w:val="single"/>
        </w:rPr>
        <w:t>）。</w:t>
      </w:r>
    </w:p>
    <w:p>
      <w:pPr>
        <w:spacing w:line="360" w:lineRule="auto"/>
        <w:jc w:val="left"/>
        <w:rPr>
          <w:rFonts w:hAnsi="宋体"/>
          <w:color w:val="auto"/>
          <w:sz w:val="24"/>
          <w:highlight w:val="none"/>
          <w:u w:val="single"/>
        </w:rPr>
      </w:pPr>
      <w:r>
        <w:rPr>
          <w:rFonts w:hint="eastAsia" w:hAnsi="宋体"/>
          <w:color w:val="auto"/>
          <w:sz w:val="24"/>
          <w:highlight w:val="none"/>
          <w:u w:val="single"/>
        </w:rPr>
        <w:t xml:space="preserve">    (</w:t>
      </w:r>
      <w:r>
        <w:rPr>
          <w:rFonts w:hAnsi="宋体"/>
          <w:color w:val="auto"/>
          <w:sz w:val="24"/>
          <w:highlight w:val="none"/>
          <w:u w:val="single"/>
        </w:rPr>
        <w:t>d</w:t>
      </w:r>
      <w:r>
        <w:rPr>
          <w:rFonts w:hint="eastAsia" w:hAnsi="宋体"/>
          <w:color w:val="auto"/>
          <w:sz w:val="24"/>
          <w:highlight w:val="none"/>
          <w:u w:val="single"/>
        </w:rPr>
        <w:t>) 投标人认为有必要提供的其他资料。</w:t>
      </w:r>
    </w:p>
    <w:p>
      <w:pPr>
        <w:pStyle w:val="14"/>
        <w:spacing w:line="360" w:lineRule="auto"/>
        <w:ind w:firstLine="0" w:firstLineChars="0"/>
        <w:rPr>
          <w:rFonts w:hAnsi="宋体"/>
          <w:b/>
          <w:color w:val="auto"/>
          <w:sz w:val="24"/>
          <w:szCs w:val="24"/>
          <w:highlight w:val="none"/>
          <w:u w:val="single"/>
        </w:rPr>
      </w:pPr>
      <w:r>
        <w:rPr>
          <w:rFonts w:hint="eastAsia" w:hAnsi="宋体"/>
          <w:color w:val="auto"/>
          <w:sz w:val="24"/>
          <w:highlight w:val="none"/>
          <w:u w:val="single"/>
        </w:rPr>
        <w:t>（</w:t>
      </w:r>
      <w:r>
        <w:rPr>
          <w:rFonts w:hAnsi="宋体"/>
          <w:color w:val="auto"/>
          <w:sz w:val="24"/>
          <w:highlight w:val="none"/>
          <w:u w:val="single"/>
        </w:rPr>
        <w:t>2</w:t>
      </w:r>
      <w:r>
        <w:rPr>
          <w:rFonts w:hint="eastAsia" w:hAnsi="宋体"/>
          <w:color w:val="auto"/>
          <w:sz w:val="24"/>
          <w:highlight w:val="none"/>
          <w:u w:val="single"/>
        </w:rPr>
        <w:t>）</w:t>
      </w:r>
      <w:r>
        <w:rPr>
          <w:rFonts w:hint="eastAsia" w:hAnsi="宋体"/>
          <w:b/>
          <w:color w:val="auto"/>
          <w:sz w:val="24"/>
          <w:szCs w:val="24"/>
          <w:highlight w:val="none"/>
          <w:u w:val="single"/>
        </w:rPr>
        <w:t>勘察部分内容：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(a) 针对项目场地及工程性质采用的勘察方案及建议，本次勘察的重点、难点及建议。</w:t>
      </w:r>
    </w:p>
    <w:p>
      <w:pPr>
        <w:tabs>
          <w:tab w:val="right" w:pos="8350"/>
        </w:tabs>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(b) 勘察工作流程和相应的工期进度计划。</w:t>
      </w:r>
      <w:r>
        <w:rPr>
          <w:rFonts w:hint="eastAsia" w:hAnsi="宋体"/>
          <w:color w:val="auto"/>
          <w:sz w:val="24"/>
          <w:highlight w:val="none"/>
          <w:u w:val="single"/>
        </w:rPr>
        <w:tab/>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(c) 勘察报告综合评价深度，勘察成果文件内容目录。</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(d) 投标人掌握的勘察工作有关的法律法规、标准、规范一览表。</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(e) 需要建设单位配合的事项。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(f) 投标人参与施工验槽，解决工程设计和施工中与勘察工作有关问题的服务承诺、响应时间。</w:t>
      </w:r>
    </w:p>
    <w:p>
      <w:pPr>
        <w:spacing w:line="360" w:lineRule="auto"/>
        <w:ind w:left="719" w:leftChars="114" w:hanging="480" w:hangingChars="200"/>
        <w:jc w:val="left"/>
        <w:rPr>
          <w:rFonts w:ascii="宋体" w:hAnsi="宋体"/>
          <w:color w:val="auto"/>
          <w:sz w:val="24"/>
          <w:highlight w:val="none"/>
          <w:u w:val="single"/>
        </w:rPr>
      </w:pPr>
      <w:r>
        <w:rPr>
          <w:rFonts w:hint="eastAsia" w:ascii="宋体" w:hAnsi="宋体"/>
          <w:color w:val="auto"/>
          <w:sz w:val="24"/>
          <w:highlight w:val="none"/>
          <w:u w:val="single"/>
        </w:rPr>
        <w:t>注：技术文件文件大小不宜超过500M。</w:t>
      </w:r>
    </w:p>
    <w:p>
      <w:pPr>
        <w:spacing w:line="360" w:lineRule="auto"/>
        <w:rPr>
          <w:rFonts w:ascii="宋体" w:hAnsi="宋体"/>
          <w:b/>
          <w:color w:val="auto"/>
          <w:sz w:val="24"/>
          <w:highlight w:val="none"/>
          <w:u w:val="single"/>
        </w:rPr>
      </w:pPr>
      <w:r>
        <w:rPr>
          <w:rFonts w:hint="eastAsia" w:ascii="宋体" w:hAnsi="宋体"/>
          <w:color w:val="auto"/>
          <w:sz w:val="24"/>
          <w:highlight w:val="none"/>
          <w:u w:val="single"/>
        </w:rPr>
        <w:t xml:space="preserve">3.3.5 </w:t>
      </w:r>
      <w:r>
        <w:rPr>
          <w:rFonts w:hint="eastAsia" w:ascii="宋体" w:hAnsi="宋体"/>
          <w:b/>
          <w:color w:val="auto"/>
          <w:sz w:val="24"/>
          <w:highlight w:val="none"/>
          <w:u w:val="single"/>
        </w:rPr>
        <w:t>投标文件光盘（备用）</w:t>
      </w:r>
    </w:p>
    <w:p>
      <w:pPr>
        <w:spacing w:line="360" w:lineRule="auto"/>
        <w:ind w:left="630" w:leftChars="300"/>
        <w:jc w:val="left"/>
        <w:rPr>
          <w:rFonts w:hAnsi="宋体"/>
          <w:color w:val="auto"/>
          <w:sz w:val="24"/>
          <w:highlight w:val="none"/>
        </w:rPr>
      </w:pPr>
      <w:r>
        <w:rPr>
          <w:rFonts w:hint="eastAsia" w:hAnsi="宋体"/>
          <w:color w:val="auto"/>
          <w:sz w:val="24"/>
          <w:highlight w:val="none"/>
          <w:u w:val="single"/>
        </w:rPr>
        <w:t>投标文件光盘（备用）的封装要求详见招标文件第二章第2.11.1款的规定。投标人可自主选择是否递交投标文件光盘（备用）。</w:t>
      </w:r>
    </w:p>
    <w:p>
      <w:pPr>
        <w:spacing w:line="360" w:lineRule="auto"/>
        <w:rPr>
          <w:rFonts w:ascii="宋体" w:hAnsi="宋体"/>
          <w:b/>
          <w:color w:val="auto"/>
          <w:sz w:val="24"/>
          <w:highlight w:val="none"/>
        </w:rPr>
      </w:pPr>
      <w:r>
        <w:rPr>
          <w:rFonts w:hint="eastAsia" w:ascii="宋体" w:hAnsi="宋体"/>
          <w:color w:val="auto"/>
          <w:sz w:val="24"/>
          <w:highlight w:val="none"/>
        </w:rPr>
        <w:t xml:space="preserve">3.3.6 </w:t>
      </w:r>
      <w:r>
        <w:rPr>
          <w:rFonts w:hint="eastAsia" w:ascii="宋体" w:hAnsi="宋体"/>
          <w:b/>
          <w:color w:val="auto"/>
          <w:sz w:val="24"/>
          <w:highlight w:val="none"/>
        </w:rPr>
        <w:t>展示图纸</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u w:val="single"/>
        </w:rPr>
        <w:t>不单独提供展示图，所有展示图编入投标文件。</w:t>
      </w:r>
    </w:p>
    <w:p>
      <w:pPr>
        <w:spacing w:line="400" w:lineRule="exact"/>
        <w:rPr>
          <w:rFonts w:ascii="宋体" w:hAnsi="宋体"/>
          <w:b/>
          <w:color w:val="auto"/>
          <w:sz w:val="24"/>
          <w:highlight w:val="none"/>
        </w:rPr>
      </w:pPr>
      <w:r>
        <w:rPr>
          <w:rFonts w:hint="eastAsia" w:ascii="宋体" w:hAnsi="宋体"/>
          <w:b/>
          <w:color w:val="auto"/>
          <w:sz w:val="24"/>
          <w:highlight w:val="none"/>
        </w:rPr>
        <w:t>3.4    投标保证</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3.4.1  投标人□需要/</w:t>
      </w:r>
      <w:r>
        <w:rPr>
          <w:rFonts w:hint="eastAsia" w:ascii="宋体" w:hAnsi="宋体" w:cs="宋体"/>
          <w:color w:val="auto"/>
          <w:sz w:val="24"/>
          <w:highlight w:val="none"/>
        </w:rPr>
        <w:t>■</w:t>
      </w:r>
      <w:r>
        <w:rPr>
          <w:rFonts w:hint="eastAsia" w:ascii="宋体" w:hAnsi="宋体"/>
          <w:color w:val="auto"/>
          <w:sz w:val="24"/>
          <w:highlight w:val="none"/>
        </w:rPr>
        <w:t xml:space="preserve">不需要提交投标保证金。     </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3.4.2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rPr>
          <w:rFonts w:ascii="宋体" w:hAnsi="宋体"/>
          <w:color w:val="auto"/>
          <w:sz w:val="24"/>
          <w:highlight w:val="none"/>
          <w:u w:val="single"/>
        </w:rPr>
      </w:pPr>
      <w:r>
        <w:rPr>
          <w:rFonts w:hint="eastAsia" w:ascii="宋体" w:hAnsi="宋体"/>
          <w:b/>
          <w:color w:val="auto"/>
          <w:sz w:val="24"/>
          <w:highlight w:val="none"/>
          <w:u w:val="single"/>
        </w:rPr>
        <w:t>3.5</w:t>
      </w:r>
      <w:r>
        <w:rPr>
          <w:rFonts w:ascii="宋体" w:hAnsi="宋体"/>
          <w:b/>
          <w:color w:val="auto"/>
          <w:sz w:val="24"/>
          <w:highlight w:val="none"/>
          <w:u w:val="single"/>
        </w:rPr>
        <w:t xml:space="preserve">  </w:t>
      </w:r>
      <w:r>
        <w:rPr>
          <w:rFonts w:hint="eastAsia" w:ascii="宋体" w:hAnsi="宋体"/>
          <w:b/>
          <w:color w:val="auto"/>
          <w:sz w:val="24"/>
          <w:highlight w:val="none"/>
          <w:u w:val="single"/>
        </w:rPr>
        <w:t>开标文件编制要求</w:t>
      </w:r>
    </w:p>
    <w:p>
      <w:pPr>
        <w:pStyle w:val="14"/>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3.5.1开标文件由下列资料组成：</w:t>
      </w:r>
    </w:p>
    <w:p>
      <w:pPr>
        <w:pStyle w:val="14"/>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（1）《投标书》（格式见附录7，填妥并签名盖章）。</w:t>
      </w:r>
    </w:p>
    <w:p>
      <w:pPr>
        <w:pStyle w:val="14"/>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（2）《联合体共同投标协议》(如有）（格式见附录8，联合体投标时递交，填妥并由联合体各方共同签名盖章）。</w:t>
      </w:r>
    </w:p>
    <w:p>
      <w:pPr>
        <w:pStyle w:val="14"/>
        <w:spacing w:line="360" w:lineRule="auto"/>
        <w:ind w:left="821" w:hanging="820" w:hangingChars="342"/>
        <w:rPr>
          <w:rFonts w:hint="eastAsia" w:hAnsi="宋体"/>
          <w:color w:val="auto"/>
          <w:sz w:val="24"/>
          <w:highlight w:val="none"/>
          <w:u w:val="single"/>
          <w:lang w:val="en-US" w:eastAsia="zh-CN"/>
        </w:rPr>
      </w:pPr>
      <w:r>
        <w:rPr>
          <w:rFonts w:hint="eastAsia" w:hAnsi="宋体"/>
          <w:color w:val="auto"/>
          <w:sz w:val="24"/>
          <w:highlight w:val="none"/>
          <w:u w:val="single"/>
          <w:lang w:val="en-US" w:eastAsia="zh-CN"/>
        </w:rPr>
        <w:t>（3）勘察设计费报价表（格式见附录5）。</w:t>
      </w:r>
    </w:p>
    <w:p>
      <w:pPr>
        <w:spacing w:line="360" w:lineRule="auto"/>
        <w:ind w:left="600" w:hanging="600" w:hangingChars="250"/>
        <w:jc w:val="center"/>
        <w:rPr>
          <w:rFonts w:ascii="宋体" w:hAnsi="宋体"/>
          <w:b/>
          <w:color w:val="auto"/>
          <w:sz w:val="36"/>
          <w:szCs w:val="36"/>
          <w:highlight w:val="none"/>
        </w:rPr>
      </w:pPr>
      <w:r>
        <w:rPr>
          <w:color w:val="auto"/>
          <w:sz w:val="24"/>
          <w:highlight w:val="none"/>
        </w:rPr>
        <w:br w:type="page"/>
      </w:r>
      <w:r>
        <w:rPr>
          <w:rFonts w:hint="eastAsia" w:ascii="宋体" w:hAnsi="宋体"/>
          <w:b/>
          <w:color w:val="auto"/>
          <w:sz w:val="36"/>
          <w:szCs w:val="36"/>
          <w:highlight w:val="none"/>
        </w:rPr>
        <w:t>第四章  废标条款</w:t>
      </w:r>
    </w:p>
    <w:p>
      <w:pPr>
        <w:pStyle w:val="15"/>
        <w:rPr>
          <w:rFonts w:hAnsi="宋体"/>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4.1    废标</w:t>
      </w:r>
    </w:p>
    <w:p>
      <w:pPr>
        <w:spacing w:line="400" w:lineRule="exact"/>
        <w:ind w:left="960" w:hanging="960" w:hangingChars="400"/>
        <w:rPr>
          <w:rFonts w:ascii="宋体" w:hAnsi="宋体"/>
          <w:color w:val="auto"/>
          <w:sz w:val="24"/>
          <w:highlight w:val="none"/>
          <w:u w:val="single"/>
        </w:rPr>
      </w:pPr>
      <w:r>
        <w:rPr>
          <w:rFonts w:hint="eastAsia" w:ascii="宋体" w:hAnsi="宋体"/>
          <w:color w:val="auto"/>
          <w:sz w:val="24"/>
          <w:highlight w:val="none"/>
          <w:u w:val="single"/>
        </w:rPr>
        <w:t>4.1</w:t>
      </w:r>
      <w:r>
        <w:rPr>
          <w:rFonts w:ascii="宋体" w:hAnsi="宋体"/>
          <w:color w:val="auto"/>
          <w:sz w:val="24"/>
          <w:highlight w:val="none"/>
          <w:u w:val="single"/>
        </w:rPr>
        <w:t>.1</w:t>
      </w:r>
      <w:r>
        <w:rPr>
          <w:rFonts w:hint="eastAsia" w:ascii="宋体" w:hAnsi="宋体"/>
          <w:color w:val="auto"/>
          <w:sz w:val="24"/>
          <w:highlight w:val="none"/>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color w:val="auto"/>
          <w:sz w:val="24"/>
          <w:highlight w:val="none"/>
          <w:u w:val="single"/>
        </w:rPr>
      </w:pPr>
      <w:r>
        <w:rPr>
          <w:rFonts w:hint="eastAsia" w:ascii="宋体" w:hAnsi="宋体"/>
          <w:color w:val="auto"/>
          <w:sz w:val="24"/>
          <w:highlight w:val="none"/>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color w:val="auto"/>
          <w:sz w:val="24"/>
          <w:highlight w:val="none"/>
        </w:rPr>
      </w:pPr>
      <w:r>
        <w:rPr>
          <w:rFonts w:hint="eastAsia" w:ascii="宋体" w:hAnsi="宋体"/>
          <w:color w:val="auto"/>
          <w:sz w:val="24"/>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rPr>
          <w:rFonts w:ascii="宋体" w:hAnsi="宋体"/>
          <w:color w:val="auto"/>
          <w:sz w:val="24"/>
          <w:highlight w:val="none"/>
        </w:rPr>
      </w:pPr>
      <w:r>
        <w:rPr>
          <w:rFonts w:hint="eastAsia" w:ascii="宋体" w:hAnsi="宋体"/>
          <w:color w:val="auto"/>
          <w:sz w:val="24"/>
          <w:highlight w:val="none"/>
        </w:rPr>
        <w:t>4.1.2  商务投标文件有下列情况之一的，由评标委员会确定其为废标：</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（a）投标人与招标人、评标委员会成员或者其他投标人串通投标。</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u w:val="single"/>
        </w:rPr>
        <w:t>（b）投标人与其他投标人加密打包投标文件电脑机器特征码一致的</w:t>
      </w:r>
      <w:r>
        <w:rPr>
          <w:rFonts w:hint="eastAsia" w:ascii="宋体" w:hAnsi="宋体"/>
          <w:color w:val="auto"/>
          <w:sz w:val="24"/>
          <w:highlight w:val="none"/>
        </w:rPr>
        <w:t xml:space="preserve">。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 xml:space="preserve">（c）《投标书》未加盖投标人公章。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 xml:space="preserve">（d）《投标书》未经法定代表人或者其授权代表签名或盖章。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（e）《投标书》包含有招标人不能接受的偏差，并且投标人拒绝书面撤回偏差。</w:t>
      </w:r>
    </w:p>
    <w:p>
      <w:pPr>
        <w:spacing w:line="400" w:lineRule="exact"/>
        <w:ind w:left="719" w:leftChars="114" w:hanging="480" w:hangingChars="200"/>
        <w:rPr>
          <w:rFonts w:ascii="宋体" w:hAnsi="宋体"/>
          <w:color w:val="auto"/>
          <w:sz w:val="24"/>
          <w:highlight w:val="none"/>
        </w:rPr>
      </w:pPr>
      <w:r>
        <w:rPr>
          <w:rFonts w:hint="eastAsia" w:ascii="宋体" w:hAnsi="宋体"/>
          <w:color w:val="auto"/>
          <w:sz w:val="24"/>
          <w:highlight w:val="none"/>
        </w:rPr>
        <w:t>（f）《投标书》未按招标文件规定的格式填写，内容不全或者关键字迹模糊无法辨认的。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（g）证明材料有弄虚作假者。</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（h）不按第三章投标文件编制要求编制的投标文件。</w:t>
      </w:r>
    </w:p>
    <w:p>
      <w:pPr>
        <w:spacing w:line="400" w:lineRule="exact"/>
        <w:ind w:firstLine="240" w:firstLineChars="100"/>
        <w:rPr>
          <w:rFonts w:ascii="宋体" w:hAnsi="宋体"/>
          <w:dstrike/>
          <w:color w:val="auto"/>
          <w:sz w:val="24"/>
          <w:highlight w:val="none"/>
        </w:rPr>
      </w:pPr>
      <w:r>
        <w:rPr>
          <w:rFonts w:hint="eastAsia" w:ascii="宋体" w:hAnsi="宋体"/>
          <w:dstrike/>
          <w:color w:val="auto"/>
          <w:sz w:val="24"/>
          <w:highlight w:val="none"/>
        </w:rPr>
        <w:t>（i）未按照招标文件要求提交投标保证金的。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（j）不按照要求对投标文件进行澄清、说明或者补正的。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（k）未按照招标文件要求进行投标报价的。</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(l) 以联合体形式投标的，未向招标人提交联合体共同投标协议。</w:t>
      </w:r>
    </w:p>
    <w:p>
      <w:pPr>
        <w:spacing w:line="400" w:lineRule="exac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3  技术投标文件有下列情况之一的，由评标委员会确定其为废标：</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（a）投标人在设计方案内标注名称、印章、商标</w:t>
      </w:r>
      <w:r>
        <w:rPr>
          <w:rFonts w:hint="eastAsia" w:ascii="宋体" w:hAnsi="宋体" w:cs="宋体"/>
          <w:color w:val="auto"/>
          <w:sz w:val="24"/>
          <w:highlight w:val="none"/>
          <w:u w:val="single"/>
        </w:rPr>
        <w:t>、图形</w:t>
      </w:r>
      <w:r>
        <w:rPr>
          <w:rFonts w:hint="eastAsia" w:ascii="宋体" w:hAnsi="宋体"/>
          <w:color w:val="auto"/>
          <w:sz w:val="24"/>
          <w:highlight w:val="none"/>
        </w:rPr>
        <w:t xml:space="preserve">等记认符号，使人辨认出投标人或其专业技术人员的身份。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 xml:space="preserve">（b）有互相雷同或串通投标的。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 xml:space="preserve">（c）有明显抄袭行为。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（d）侵犯他人著作权和特许权。</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（e）不按第三章投标文件编制要求编制投标文件。</w:t>
      </w:r>
    </w:p>
    <w:p>
      <w:pPr>
        <w:spacing w:line="360" w:lineRule="auto"/>
        <w:rPr>
          <w:rFonts w:ascii="宋体" w:hAnsi="宋体"/>
          <w:color w:val="auto"/>
          <w:sz w:val="24"/>
          <w:highlight w:val="none"/>
        </w:rPr>
        <w:sectPr>
          <w:footerReference r:id="rId4" w:type="default"/>
          <w:type w:val="nextColumn"/>
          <w:pgSz w:w="11906" w:h="16838"/>
          <w:pgMar w:top="1418" w:right="1418" w:bottom="1418" w:left="1418" w:header="851" w:footer="992" w:gutter="0"/>
          <w:pgNumType w:start="1"/>
          <w:cols w:space="425" w:num="1"/>
          <w:docGrid w:type="linesAndChars" w:linePitch="312" w:charSpace="0"/>
        </w:sectPr>
      </w:pPr>
    </w:p>
    <w:p>
      <w:pPr>
        <w:spacing w:line="400" w:lineRule="exact"/>
        <w:ind w:firstLine="240" w:firstLineChars="100"/>
        <w:rPr>
          <w:rFonts w:ascii="宋体" w:hAnsi="宋体"/>
          <w:color w:val="auto"/>
          <w:sz w:val="24"/>
          <w:highlight w:val="none"/>
        </w:rPr>
      </w:pPr>
    </w:p>
    <w:p>
      <w:pPr>
        <w:spacing w:line="360" w:lineRule="auto"/>
        <w:ind w:left="904" w:hanging="900" w:hangingChars="250"/>
        <w:jc w:val="center"/>
        <w:rPr>
          <w:rFonts w:ascii="宋体" w:hAnsi="宋体"/>
          <w:b/>
          <w:color w:val="auto"/>
          <w:sz w:val="36"/>
          <w:szCs w:val="36"/>
          <w:highlight w:val="none"/>
        </w:rPr>
      </w:pPr>
      <w:r>
        <w:rPr>
          <w:rFonts w:hint="eastAsia" w:ascii="宋体" w:hAnsi="宋体"/>
          <w:b/>
          <w:color w:val="auto"/>
          <w:sz w:val="36"/>
          <w:szCs w:val="36"/>
          <w:highlight w:val="none"/>
        </w:rPr>
        <w:t>第五章  开标评标定标</w:t>
      </w:r>
    </w:p>
    <w:p>
      <w:pPr>
        <w:pStyle w:val="15"/>
        <w:spacing w:line="400" w:lineRule="exact"/>
        <w:rPr>
          <w:rFonts w:hAnsi="宋体"/>
          <w:b/>
          <w:bCs/>
          <w:color w:val="auto"/>
          <w:sz w:val="24"/>
          <w:szCs w:val="24"/>
          <w:highlight w:val="none"/>
        </w:rPr>
      </w:pPr>
    </w:p>
    <w:p>
      <w:pPr>
        <w:pStyle w:val="15"/>
        <w:spacing w:line="400" w:lineRule="exact"/>
        <w:rPr>
          <w:rFonts w:hAnsi="宋体"/>
          <w:b/>
          <w:bCs/>
          <w:color w:val="auto"/>
          <w:sz w:val="24"/>
          <w:szCs w:val="24"/>
          <w:highlight w:val="none"/>
        </w:rPr>
      </w:pPr>
      <w:r>
        <w:rPr>
          <w:rFonts w:hint="eastAsia" w:hAnsi="宋体"/>
          <w:b/>
          <w:bCs/>
          <w:color w:val="auto"/>
          <w:sz w:val="24"/>
          <w:szCs w:val="24"/>
          <w:highlight w:val="none"/>
        </w:rPr>
        <w:t>5.1    评标委员会</w:t>
      </w:r>
    </w:p>
    <w:p>
      <w:pPr>
        <w:pStyle w:val="15"/>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5.1</w:t>
      </w:r>
      <w:r>
        <w:rPr>
          <w:rFonts w:hAnsi="宋体"/>
          <w:color w:val="auto"/>
          <w:sz w:val="24"/>
          <w:szCs w:val="24"/>
          <w:highlight w:val="none"/>
        </w:rPr>
        <w:t>.</w:t>
      </w:r>
      <w:r>
        <w:rPr>
          <w:rFonts w:hint="eastAsia" w:hAnsi="宋体"/>
          <w:color w:val="auto"/>
          <w:sz w:val="24"/>
          <w:szCs w:val="24"/>
          <w:highlight w:val="none"/>
        </w:rPr>
        <w:t xml:space="preserve">1  </w:t>
      </w:r>
      <w:r>
        <w:rPr>
          <w:rFonts w:hint="eastAsia" w:hAnsi="宋体" w:cs="宋体"/>
          <w:color w:val="auto"/>
          <w:sz w:val="24"/>
          <w:szCs w:val="24"/>
          <w:highlight w:val="none"/>
        </w:rPr>
        <w:t>评标委员会由招标人依法组建</w:t>
      </w:r>
      <w:r>
        <w:rPr>
          <w:rFonts w:hint="eastAsia" w:hAnsi="宋体"/>
          <w:color w:val="auto"/>
          <w:sz w:val="24"/>
          <w:szCs w:val="24"/>
          <w:highlight w:val="none"/>
        </w:rPr>
        <w:t>。</w:t>
      </w:r>
    </w:p>
    <w:p>
      <w:pPr>
        <w:pStyle w:val="15"/>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5.1.2  评标委员会随机产生1名负责人，主持评审工作，负责人与其他成员有同等表决权。在评标分数统计结束后，</w:t>
      </w:r>
      <w:r>
        <w:rPr>
          <w:rFonts w:hint="eastAsia" w:hAnsi="宋体" w:cs="Arial"/>
          <w:color w:val="auto"/>
          <w:sz w:val="24"/>
          <w:szCs w:val="24"/>
          <w:highlight w:val="none"/>
        </w:rPr>
        <w:t>如果有得分相同的投标方案，则评标委员会对得分相同的投标方案进行投票表决。</w:t>
      </w:r>
    </w:p>
    <w:p>
      <w:pPr>
        <w:spacing w:line="400" w:lineRule="exact"/>
        <w:rPr>
          <w:rFonts w:ascii="宋体" w:hAnsi="宋体"/>
          <w:b/>
          <w:bCs/>
          <w:color w:val="auto"/>
          <w:sz w:val="24"/>
          <w:highlight w:val="none"/>
        </w:rPr>
      </w:pPr>
      <w:r>
        <w:rPr>
          <w:rFonts w:hint="eastAsia" w:ascii="宋体" w:hAnsi="宋体"/>
          <w:b/>
          <w:bCs/>
          <w:color w:val="auto"/>
          <w:sz w:val="24"/>
          <w:highlight w:val="none"/>
        </w:rPr>
        <w:t>5.2    评标原则</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5.2.2  在符合招标文件规定的前提下，评标委员会主要对投标方案</w:t>
      </w:r>
      <w:r>
        <w:rPr>
          <w:rFonts w:ascii="宋体" w:hAnsi="宋体"/>
          <w:color w:val="auto"/>
          <w:sz w:val="24"/>
          <w:highlight w:val="none"/>
        </w:rPr>
        <w:t>的</w:t>
      </w:r>
      <w:r>
        <w:rPr>
          <w:rFonts w:hint="eastAsia" w:ascii="宋体" w:hAnsi="宋体"/>
          <w:color w:val="auto"/>
          <w:sz w:val="24"/>
          <w:highlight w:val="none"/>
        </w:rPr>
        <w:t>总体设计、可行性、</w:t>
      </w:r>
      <w:r>
        <w:rPr>
          <w:rFonts w:ascii="宋体" w:hAnsi="宋体"/>
          <w:color w:val="auto"/>
          <w:sz w:val="24"/>
          <w:highlight w:val="none"/>
        </w:rPr>
        <w:t>经济性</w:t>
      </w:r>
      <w:r>
        <w:rPr>
          <w:rFonts w:hint="eastAsia" w:ascii="宋体" w:hAnsi="宋体"/>
          <w:color w:val="auto"/>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360" w:lineRule="auto"/>
        <w:rPr>
          <w:rFonts w:ascii="宋体" w:hAnsi="宋体"/>
          <w:color w:val="auto"/>
          <w:sz w:val="24"/>
          <w:highlight w:val="none"/>
        </w:rPr>
      </w:pPr>
      <w:r>
        <w:rPr>
          <w:rFonts w:hint="eastAsia" w:ascii="宋体" w:hAnsi="宋体"/>
          <w:color w:val="auto"/>
          <w:sz w:val="24"/>
          <w:highlight w:val="none"/>
        </w:rPr>
        <w:t>5.2.4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若在评标期间</w:t>
      </w:r>
      <w:r>
        <w:rPr>
          <w:rFonts w:hint="eastAsia" w:ascii="宋体" w:hAnsi="宋体"/>
          <w:b/>
          <w:color w:val="auto"/>
          <w:sz w:val="24"/>
          <w:highlight w:val="none"/>
        </w:rPr>
        <w:t>（设计</w:t>
      </w:r>
      <w:r>
        <w:rPr>
          <w:rFonts w:ascii="宋体" w:hAnsi="宋体"/>
          <w:b/>
          <w:color w:val="auto"/>
          <w:sz w:val="24"/>
          <w:highlight w:val="none"/>
        </w:rPr>
        <w:t>方案评审阶段除外</w:t>
      </w:r>
      <w:r>
        <w:rPr>
          <w:rFonts w:hint="eastAsia" w:ascii="宋体" w:hAnsi="宋体"/>
          <w:b/>
          <w:color w:val="auto"/>
          <w:sz w:val="24"/>
          <w:highlight w:val="none"/>
        </w:rPr>
        <w:t>）</w:t>
      </w:r>
      <w:r>
        <w:rPr>
          <w:rFonts w:hint="eastAsia" w:ascii="宋体" w:hAnsi="宋体"/>
          <w:color w:val="auto"/>
          <w:sz w:val="24"/>
          <w:highlight w:val="none"/>
        </w:rPr>
        <w:t>，经评标委员会两人以上（含两人）以书面形式提出动议，评标委员会应当书面发出澄清通知，要求投标人对投标文件含义不明确的内容作出澄清。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评标委员会均应当阅读投标人的澄清，但应独立参考澄清对投标文件进行评审。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u w:val="single"/>
        </w:rPr>
        <w:t>5.2</w:t>
      </w:r>
      <w:r>
        <w:rPr>
          <w:rFonts w:ascii="宋体" w:hAnsi="宋体"/>
          <w:color w:val="auto"/>
          <w:sz w:val="24"/>
          <w:highlight w:val="none"/>
          <w:u w:val="single"/>
        </w:rPr>
        <w:t>.</w:t>
      </w:r>
      <w:r>
        <w:rPr>
          <w:rFonts w:hint="eastAsia" w:ascii="宋体" w:hAnsi="宋体"/>
          <w:color w:val="auto"/>
          <w:sz w:val="24"/>
          <w:highlight w:val="none"/>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5.3    评标办法 采用</w:t>
      </w:r>
      <w:r>
        <w:rPr>
          <w:rFonts w:hint="eastAsia" w:ascii="宋体" w:hAnsi="宋体" w:cs="宋体"/>
          <w:b/>
          <w:bCs/>
          <w:color w:val="auto"/>
          <w:sz w:val="24"/>
          <w:highlight w:val="none"/>
          <w:u w:val="single"/>
        </w:rPr>
        <w:t>办法一</w:t>
      </w:r>
    </w:p>
    <w:p>
      <w:pPr>
        <w:spacing w:line="400" w:lineRule="exact"/>
        <w:rPr>
          <w:rFonts w:ascii="宋体" w:hAnsi="宋体"/>
          <w:b/>
          <w:bCs/>
          <w:color w:val="auto"/>
          <w:sz w:val="24"/>
          <w:highlight w:val="none"/>
        </w:rPr>
      </w:pPr>
      <w:r>
        <w:rPr>
          <w:rFonts w:hint="eastAsia" w:ascii="宋体" w:hAnsi="宋体"/>
          <w:b/>
          <w:bCs/>
          <w:color w:val="auto"/>
          <w:sz w:val="24"/>
          <w:highlight w:val="none"/>
        </w:rPr>
        <w:t>办法一   采用综合评分法评标</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5.3.1  开标评标程序</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.2.截标后，开标开始时间因故推迟的，相关评标信息仍以原定的开标开始时间的信息为准。</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.3备用光盘的读取按2.11.2的规定执行。</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color w:val="auto"/>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.8投标人未参加开标或在规定的时间内未提出异议的，视为对开标无异议。</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.9开标时，两个（含两个）以上的投标人加密打包投标文件电脑机器特征码一致的，由评标委员会确定其为废标。</w:t>
      </w:r>
    </w:p>
    <w:p>
      <w:pPr>
        <w:spacing w:line="400" w:lineRule="exact"/>
        <w:ind w:left="821" w:hanging="820" w:hangingChars="342"/>
        <w:rPr>
          <w:color w:val="auto"/>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5.3</w:t>
      </w:r>
      <w:r>
        <w:rPr>
          <w:rFonts w:ascii="宋体" w:hAnsi="宋体"/>
          <w:color w:val="auto"/>
          <w:sz w:val="24"/>
          <w:highlight w:val="none"/>
          <w:u w:val="single"/>
        </w:rPr>
        <w:t>.1</w:t>
      </w:r>
      <w:r>
        <w:rPr>
          <w:rFonts w:hint="eastAsia" w:ascii="宋体" w:hAnsi="宋体"/>
          <w:color w:val="auto"/>
          <w:sz w:val="24"/>
          <w:highlight w:val="none"/>
          <w:u w:val="single"/>
        </w:rPr>
        <w:t>.11开标时，出现下列情形之一的投标人，不参与下一程序，其投标文件作无效处理：</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（1）未成功递交或因投标人原因未成功导入投标文件的；</w:t>
      </w:r>
    </w:p>
    <w:p>
      <w:pPr>
        <w:spacing w:line="400" w:lineRule="exact"/>
        <w:ind w:left="821" w:hanging="820" w:hangingChars="342"/>
        <w:rPr>
          <w:color w:val="auto"/>
          <w:highlight w:val="none"/>
          <w:u w:val="single"/>
        </w:rPr>
      </w:pPr>
      <w:r>
        <w:rPr>
          <w:rFonts w:hint="eastAsia" w:ascii="宋体" w:hAnsi="宋体"/>
          <w:color w:val="auto"/>
          <w:sz w:val="24"/>
          <w:highlight w:val="none"/>
          <w:u w:val="single"/>
        </w:rPr>
        <w:t>（2）因投标人原因造成投标文件未解密的。</w:t>
      </w:r>
    </w:p>
    <w:p>
      <w:pPr>
        <w:spacing w:line="400" w:lineRule="exact"/>
        <w:ind w:left="821" w:hanging="820" w:hangingChars="342"/>
        <w:rPr>
          <w:color w:val="auto"/>
          <w:highlight w:val="none"/>
          <w:u w:val="single"/>
        </w:rPr>
      </w:pPr>
      <w:r>
        <w:rPr>
          <w:rFonts w:hint="eastAsia" w:ascii="宋体" w:hAnsi="宋体"/>
          <w:color w:val="auto"/>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、1</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）。评委必须严格按照“综合评分表”对投标文件进行评议、打分。</w:t>
      </w:r>
    </w:p>
    <w:p>
      <w:pPr>
        <w:spacing w:line="400" w:lineRule="exact"/>
        <w:ind w:left="839" w:leftChars="171" w:hanging="480" w:hangingChars="200"/>
        <w:jc w:val="left"/>
        <w:rPr>
          <w:rFonts w:ascii="宋体" w:hAnsi="宋体"/>
          <w:color w:val="auto"/>
          <w:sz w:val="24"/>
          <w:highlight w:val="none"/>
          <w:u w:val="single"/>
        </w:rPr>
      </w:pPr>
      <w:bookmarkStart w:id="1" w:name="_Toc36623011"/>
    </w:p>
    <w:bookmarkEnd w:id="1"/>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(a) 评标委员会专家首先按附录1</w:t>
      </w:r>
      <w:r>
        <w:rPr>
          <w:rFonts w:hint="eastAsia"/>
          <w:color w:val="auto"/>
          <w:sz w:val="24"/>
          <w:highlight w:val="none"/>
          <w:u w:val="single"/>
          <w:lang w:val="en-US" w:eastAsia="zh-CN"/>
        </w:rPr>
        <w:t>0</w:t>
      </w:r>
      <w:r>
        <w:rPr>
          <w:rFonts w:hint="eastAsia"/>
          <w:color w:val="auto"/>
          <w:sz w:val="24"/>
          <w:highlight w:val="none"/>
          <w:u w:val="single"/>
        </w:rPr>
        <w:t>《资格审查表》对各投标文件进行评审，只有通过资格审查的投标文件方可进入下一阶段的评审。如果有废标提议，则评标委员会成员共同表决，按照少数服从多数的原则决定是否废标。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(b) 评标委员会专家首先按附录1</w:t>
      </w:r>
      <w:r>
        <w:rPr>
          <w:rFonts w:hint="eastAsia"/>
          <w:color w:val="auto"/>
          <w:sz w:val="24"/>
          <w:highlight w:val="none"/>
          <w:u w:val="single"/>
          <w:lang w:val="en-US" w:eastAsia="zh-CN"/>
        </w:rPr>
        <w:t>1</w:t>
      </w:r>
      <w:r>
        <w:rPr>
          <w:rFonts w:hint="eastAsia"/>
          <w:color w:val="auto"/>
          <w:sz w:val="24"/>
          <w:highlight w:val="none"/>
          <w:u w:val="single"/>
        </w:rPr>
        <w:t>《商务文件有效性审查表》对各投标文件进行评审，只有通过商务有效性审查的投标文件方可进入下一阶段的评审。如果有废标提议，则评标委员会成员共同表决，按照少数服从多数的原则决定是否废标。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(c) 评标委员会专家按附录1</w:t>
      </w:r>
      <w:r>
        <w:rPr>
          <w:rFonts w:hint="eastAsia"/>
          <w:color w:val="auto"/>
          <w:sz w:val="24"/>
          <w:highlight w:val="none"/>
          <w:u w:val="single"/>
          <w:lang w:val="en-US" w:eastAsia="zh-CN"/>
        </w:rPr>
        <w:t>2</w:t>
      </w:r>
      <w:r>
        <w:rPr>
          <w:rFonts w:hint="eastAsia"/>
          <w:color w:val="auto"/>
          <w:sz w:val="24"/>
          <w:highlight w:val="none"/>
          <w:u w:val="single"/>
        </w:rPr>
        <w:t>《商务文件综合评分表》对各投标单位的商务文件进行综合评分。</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(d) 评标委员会专家按附录1</w:t>
      </w:r>
      <w:r>
        <w:rPr>
          <w:rFonts w:hint="eastAsia"/>
          <w:color w:val="auto"/>
          <w:sz w:val="24"/>
          <w:highlight w:val="none"/>
          <w:u w:val="single"/>
          <w:lang w:val="en-US" w:eastAsia="zh-CN"/>
        </w:rPr>
        <w:t>3</w:t>
      </w:r>
      <w:r>
        <w:rPr>
          <w:rFonts w:hint="eastAsia"/>
          <w:color w:val="auto"/>
          <w:sz w:val="24"/>
          <w:highlight w:val="none"/>
          <w:u w:val="single"/>
        </w:rPr>
        <w:t>《技术文件有效性审查表》对各投标文件进行评审，只有通过技术有效性审查的投标文件方可进入下一阶段的评审。如果有废标提议，则评标委员会成员共同表决，按照少数服从多数的原则决定是否废标。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(e) 评标委员会专家按附录1</w:t>
      </w:r>
      <w:r>
        <w:rPr>
          <w:rFonts w:hint="eastAsia"/>
          <w:color w:val="auto"/>
          <w:sz w:val="24"/>
          <w:highlight w:val="none"/>
          <w:u w:val="single"/>
          <w:lang w:val="en-US" w:eastAsia="zh-CN"/>
        </w:rPr>
        <w:t>4</w:t>
      </w:r>
      <w:r>
        <w:rPr>
          <w:rFonts w:hint="eastAsia"/>
          <w:color w:val="auto"/>
          <w:sz w:val="24"/>
          <w:highlight w:val="none"/>
          <w:u w:val="single"/>
        </w:rPr>
        <w:t>《技术文件综合评分表》对各投标单位的技术文件（设计方案）进行综合评分。</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(h) 计算各投标人的综合得分，投标人的综合得分（满分100分）＝商务文件得分×30％（招标人确定）+技术文件得分×70％</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color w:val="auto"/>
          <w:sz w:val="24"/>
          <w:highlight w:val="none"/>
          <w:u w:val="single"/>
        </w:rPr>
      </w:pPr>
      <w:r>
        <w:rPr>
          <w:rFonts w:hint="eastAsia"/>
          <w:color w:val="auto"/>
          <w:sz w:val="24"/>
          <w:highlight w:val="none"/>
          <w:u w:val="single"/>
        </w:rPr>
        <w:t>(k ) 评标委员会向招标人提交评标报告后即告解散，评标过程中使用的文件、表格以及其他资料应当即时归还招标人（或招标代理机构）。</w:t>
      </w:r>
    </w:p>
    <w:p>
      <w:pPr>
        <w:spacing w:line="400" w:lineRule="exact"/>
        <w:jc w:val="left"/>
        <w:rPr>
          <w:rFonts w:ascii="宋体" w:hAnsi="宋体"/>
          <w:b/>
          <w:color w:val="auto"/>
          <w:sz w:val="24"/>
          <w:highlight w:val="none"/>
        </w:rPr>
      </w:pPr>
      <w:r>
        <w:rPr>
          <w:rFonts w:hint="eastAsia" w:ascii="宋体" w:hAnsi="宋体"/>
          <w:b/>
          <w:color w:val="auto"/>
          <w:sz w:val="24"/>
          <w:highlight w:val="none"/>
        </w:rPr>
        <w:t>5.4   定标</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5.4.1  </w:t>
      </w:r>
      <w:r>
        <w:rPr>
          <w:rFonts w:hint="eastAsia"/>
          <w:color w:val="auto"/>
          <w:sz w:val="24"/>
          <w:highlight w:val="none"/>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5.4.2  </w:t>
      </w:r>
      <w:r>
        <w:rPr>
          <w:rFonts w:hint="eastAsia"/>
          <w:color w:val="auto"/>
          <w:sz w:val="24"/>
          <w:highlight w:val="none"/>
        </w:rPr>
        <w:t>招标人采用下面方法确定中标人：</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□（a）招标人委托评标委员会直接确定中标人；</w:t>
      </w:r>
    </w:p>
    <w:p>
      <w:pPr>
        <w:spacing w:line="400" w:lineRule="exact"/>
        <w:ind w:left="821" w:hanging="820" w:hangingChars="342"/>
        <w:jc w:val="left"/>
        <w:rPr>
          <w:rFonts w:ascii="宋体" w:hAnsi="宋体"/>
          <w:color w:val="auto"/>
          <w:sz w:val="24"/>
          <w:highlight w:val="none"/>
        </w:rPr>
      </w:pPr>
      <w:r>
        <w:rPr>
          <w:rFonts w:hint="eastAsia" w:ascii="宋体" w:hAnsi="宋体" w:cs="宋体"/>
          <w:color w:val="auto"/>
          <w:sz w:val="24"/>
          <w:highlight w:val="none"/>
        </w:rPr>
        <w:t>■</w:t>
      </w:r>
      <w:r>
        <w:rPr>
          <w:rFonts w:hint="eastAsia" w:ascii="宋体" w:hAnsi="宋体"/>
          <w:color w:val="auto"/>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5.5  发生下列情形之一的，招标人将重新组织招标：</w:t>
      </w:r>
    </w:p>
    <w:p>
      <w:pPr>
        <w:spacing w:line="400" w:lineRule="exact"/>
        <w:rPr>
          <w:rFonts w:ascii="宋体" w:hAnsi="宋体"/>
          <w:color w:val="auto"/>
          <w:sz w:val="24"/>
          <w:highlight w:val="none"/>
        </w:rPr>
      </w:pPr>
      <w:r>
        <w:rPr>
          <w:rFonts w:hint="eastAsia" w:ascii="宋体" w:hAnsi="宋体"/>
          <w:color w:val="auto"/>
          <w:sz w:val="24"/>
          <w:highlight w:val="none"/>
        </w:rPr>
        <w:t xml:space="preserve">     (a) 递交投标文件或通过资格审查的投标人不足</w:t>
      </w:r>
      <w:r>
        <w:rPr>
          <w:rFonts w:hint="eastAsia" w:ascii="宋体" w:hAnsi="宋体"/>
          <w:color w:val="auto"/>
          <w:sz w:val="24"/>
          <w:highlight w:val="none"/>
          <w:u w:val="single"/>
        </w:rPr>
        <w:t>三</w:t>
      </w:r>
      <w:r>
        <w:rPr>
          <w:rFonts w:hint="eastAsia" w:ascii="宋体" w:hAnsi="宋体"/>
          <w:color w:val="auto"/>
          <w:sz w:val="24"/>
          <w:highlight w:val="none"/>
        </w:rPr>
        <w:t>人；</w:t>
      </w:r>
    </w:p>
    <w:p>
      <w:pPr>
        <w:spacing w:line="400" w:lineRule="exact"/>
        <w:rPr>
          <w:rFonts w:ascii="宋体" w:hAnsi="宋体"/>
          <w:color w:val="auto"/>
          <w:sz w:val="24"/>
          <w:highlight w:val="none"/>
        </w:rPr>
      </w:pPr>
      <w:r>
        <w:rPr>
          <w:rFonts w:hint="eastAsia" w:ascii="宋体" w:hAnsi="宋体"/>
          <w:color w:val="auto"/>
          <w:sz w:val="24"/>
          <w:highlight w:val="none"/>
        </w:rPr>
        <w:t xml:space="preserve">     (b) 所有投标被否决，或者经评议有效投标的投标人不足三人；</w:t>
      </w:r>
    </w:p>
    <w:p>
      <w:pPr>
        <w:spacing w:line="400" w:lineRule="exact"/>
        <w:ind w:left="617" w:hanging="616" w:hangingChars="257"/>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5.6    授予合同</w:t>
      </w:r>
    </w:p>
    <w:p>
      <w:pPr>
        <w:pStyle w:val="15"/>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5.6.1  招标人一般将合同授予中标人，合同在投标有效期或投标人接受的延长期内授出。</w:t>
      </w:r>
    </w:p>
    <w:p>
      <w:pPr>
        <w:pStyle w:val="15"/>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5.6.2  联合体中标的，由所有联合体成员法定代表人签署授权委托书，指定牵头人或代表，授权其代表所有联合体成员与招标人签订合同，负责整个合同实施阶段的协调工作。</w:t>
      </w:r>
    </w:p>
    <w:p>
      <w:pPr>
        <w:pStyle w:val="15"/>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5.6.3  中标人必须签署并执行招标文件规定的合同条件，</w:t>
      </w:r>
      <w:r>
        <w:rPr>
          <w:rFonts w:hAnsi="宋体"/>
          <w:color w:val="auto"/>
          <w:sz w:val="24"/>
          <w:szCs w:val="24"/>
          <w:highlight w:val="none"/>
        </w:rPr>
        <w:t>如</w:t>
      </w:r>
      <w:r>
        <w:rPr>
          <w:rFonts w:hint="eastAsia" w:hAnsi="宋体"/>
          <w:color w:val="auto"/>
          <w:sz w:val="24"/>
          <w:szCs w:val="24"/>
          <w:highlight w:val="none"/>
        </w:rPr>
        <w:t>中标人</w:t>
      </w:r>
      <w:r>
        <w:rPr>
          <w:rFonts w:hAnsi="宋体"/>
          <w:color w:val="auto"/>
          <w:sz w:val="24"/>
          <w:szCs w:val="24"/>
          <w:highlight w:val="none"/>
        </w:rPr>
        <w:t>所提供的投标条件</w:t>
      </w:r>
      <w:r>
        <w:rPr>
          <w:rFonts w:hint="eastAsia" w:hAnsi="宋体"/>
          <w:color w:val="auto"/>
          <w:sz w:val="24"/>
          <w:szCs w:val="24"/>
          <w:highlight w:val="none"/>
        </w:rPr>
        <w:t>（报价、工期、估算工程造价）比其他投标</w:t>
      </w:r>
      <w:r>
        <w:rPr>
          <w:rFonts w:hAnsi="宋体"/>
          <w:color w:val="auto"/>
          <w:sz w:val="24"/>
          <w:szCs w:val="24"/>
          <w:highlight w:val="none"/>
        </w:rPr>
        <w:t>异常低，</w:t>
      </w:r>
      <w:r>
        <w:rPr>
          <w:rFonts w:hint="eastAsia" w:hAnsi="宋体"/>
          <w:color w:val="auto"/>
          <w:sz w:val="24"/>
          <w:szCs w:val="24"/>
          <w:highlight w:val="none"/>
        </w:rPr>
        <w:t>招标人</w:t>
      </w:r>
      <w:r>
        <w:rPr>
          <w:rFonts w:hAnsi="宋体"/>
          <w:color w:val="auto"/>
          <w:sz w:val="24"/>
          <w:szCs w:val="24"/>
          <w:highlight w:val="none"/>
        </w:rPr>
        <w:t>可要求</w:t>
      </w:r>
      <w:r>
        <w:rPr>
          <w:rFonts w:hint="eastAsia" w:hAnsi="宋体"/>
          <w:color w:val="auto"/>
          <w:sz w:val="24"/>
          <w:szCs w:val="24"/>
          <w:highlight w:val="none"/>
        </w:rPr>
        <w:t>中</w:t>
      </w:r>
      <w:r>
        <w:rPr>
          <w:rFonts w:hAnsi="宋体"/>
          <w:color w:val="auto"/>
          <w:sz w:val="24"/>
          <w:szCs w:val="24"/>
          <w:highlight w:val="none"/>
        </w:rPr>
        <w:t>标人对遵守参加投标的各项条件和履行合同的能力作出保证。</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5.6.4  招标人提供证据证明中标人有下列行为之一的，经有关行政监督部门确认，该中标无效，招标人可以不与中标人签订合同：</w:t>
      </w:r>
    </w:p>
    <w:p>
      <w:pPr>
        <w:spacing w:line="400" w:lineRule="exact"/>
        <w:rPr>
          <w:rFonts w:ascii="宋体" w:hAnsi="宋体"/>
          <w:color w:val="auto"/>
          <w:sz w:val="24"/>
          <w:highlight w:val="none"/>
        </w:rPr>
      </w:pPr>
      <w:r>
        <w:rPr>
          <w:rFonts w:hint="eastAsia" w:ascii="宋体" w:hAnsi="宋体"/>
          <w:color w:val="auto"/>
          <w:sz w:val="24"/>
          <w:highlight w:val="none"/>
        </w:rPr>
        <w:t xml:space="preserve">   (a) 不能兑现投标承诺。</w:t>
      </w:r>
    </w:p>
    <w:p>
      <w:pPr>
        <w:spacing w:line="400" w:lineRule="exact"/>
        <w:rPr>
          <w:rFonts w:ascii="宋体" w:hAnsi="宋体"/>
          <w:color w:val="auto"/>
          <w:sz w:val="24"/>
          <w:highlight w:val="none"/>
        </w:rPr>
      </w:pPr>
      <w:r>
        <w:rPr>
          <w:rFonts w:hint="eastAsia" w:ascii="宋体" w:hAnsi="宋体"/>
          <w:color w:val="auto"/>
          <w:sz w:val="24"/>
          <w:highlight w:val="none"/>
        </w:rPr>
        <w:t xml:space="preserve">   (b) 弄虚作假骗取中标。</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   (c) </w:t>
      </w:r>
      <w:r>
        <w:rPr>
          <w:rFonts w:hint="eastAsia" w:hAnsi="宋体"/>
          <w:color w:val="auto"/>
          <w:sz w:val="24"/>
          <w:highlight w:val="none"/>
        </w:rPr>
        <w:t>在招标、投标、评标、定标以及授予合同过程中，对招标人、代理机构、其他投标人、评标委员会成员、</w:t>
      </w:r>
      <w:r>
        <w:rPr>
          <w:rFonts w:hint="eastAsia" w:hAnsi="宋体"/>
          <w:color w:val="auto"/>
          <w:kern w:val="0"/>
          <w:sz w:val="24"/>
          <w:highlight w:val="none"/>
        </w:rPr>
        <w:t>交易服务机构的</w:t>
      </w:r>
      <w:r>
        <w:rPr>
          <w:rFonts w:hint="eastAsia" w:hAnsi="宋体"/>
          <w:color w:val="auto"/>
          <w:sz w:val="24"/>
          <w:highlight w:val="none"/>
        </w:rPr>
        <w:t>工作人员行贿、</w:t>
      </w:r>
      <w:r>
        <w:rPr>
          <w:rFonts w:hAnsi="宋体"/>
          <w:color w:val="auto"/>
          <w:kern w:val="0"/>
          <w:sz w:val="24"/>
          <w:highlight w:val="none"/>
        </w:rPr>
        <w:t>利诱</w:t>
      </w:r>
      <w:r>
        <w:rPr>
          <w:rFonts w:hint="eastAsia" w:hAnsi="宋体"/>
          <w:color w:val="auto"/>
          <w:kern w:val="0"/>
          <w:sz w:val="24"/>
          <w:highlight w:val="none"/>
        </w:rPr>
        <w:t>、</w:t>
      </w:r>
      <w:r>
        <w:rPr>
          <w:rFonts w:hint="eastAsia" w:hAnsi="宋体"/>
          <w:color w:val="auto"/>
          <w:sz w:val="24"/>
          <w:highlight w:val="none"/>
        </w:rPr>
        <w:t>欺诈或者施加影响。</w:t>
      </w:r>
    </w:p>
    <w:p>
      <w:pPr>
        <w:spacing w:line="400" w:lineRule="exact"/>
        <w:rPr>
          <w:rFonts w:ascii="宋体" w:hAnsi="宋体"/>
          <w:color w:val="auto"/>
          <w:sz w:val="24"/>
          <w:highlight w:val="none"/>
        </w:rPr>
      </w:pPr>
      <w:r>
        <w:rPr>
          <w:rFonts w:hint="eastAsia" w:ascii="宋体" w:hAnsi="宋体"/>
          <w:color w:val="auto"/>
          <w:sz w:val="24"/>
          <w:highlight w:val="none"/>
        </w:rPr>
        <w:t xml:space="preserve">   (d) 擅自将任务转包其他单位。</w:t>
      </w:r>
    </w:p>
    <w:p>
      <w:pPr>
        <w:spacing w:line="400" w:lineRule="exact"/>
        <w:rPr>
          <w:rFonts w:ascii="宋体" w:hAnsi="宋体"/>
          <w:color w:val="auto"/>
          <w:sz w:val="24"/>
          <w:highlight w:val="none"/>
        </w:rPr>
      </w:pPr>
      <w:r>
        <w:rPr>
          <w:rFonts w:hint="eastAsia" w:ascii="宋体" w:hAnsi="宋体"/>
          <w:color w:val="auto"/>
          <w:sz w:val="24"/>
          <w:highlight w:val="none"/>
        </w:rPr>
        <w:t xml:space="preserve">   (e) 中标人实质上不符合资格审查合格条件。</w:t>
      </w:r>
    </w:p>
    <w:p>
      <w:pPr>
        <w:spacing w:line="400" w:lineRule="exact"/>
        <w:rPr>
          <w:rFonts w:ascii="宋体" w:hAnsi="宋体"/>
          <w:color w:val="auto"/>
          <w:sz w:val="24"/>
          <w:highlight w:val="none"/>
        </w:rPr>
      </w:pPr>
      <w:r>
        <w:rPr>
          <w:rFonts w:hint="eastAsia" w:ascii="宋体" w:hAnsi="宋体"/>
          <w:color w:val="auto"/>
          <w:sz w:val="24"/>
          <w:highlight w:val="none"/>
        </w:rPr>
        <w:t xml:space="preserve">   (f) 法律、法规规定的其他损害招标人利益和社会公共利益的情形。</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5.6.5  中标人不得擅自更换投标文件中拟派的设计人员及项目负责人，否则每人次扣合同金额1%。</w:t>
      </w:r>
    </w:p>
    <w:p>
      <w:pPr>
        <w:spacing w:line="0" w:lineRule="atLeast"/>
        <w:rPr>
          <w:rFonts w:ascii="宋体" w:hAnsi="宋体"/>
          <w:color w:val="auto"/>
          <w:highlight w:val="none"/>
        </w:rPr>
      </w:pPr>
    </w:p>
    <w:p>
      <w:pPr>
        <w:spacing w:line="400" w:lineRule="exact"/>
        <w:ind w:left="1236" w:hanging="1231" w:hangingChars="342"/>
        <w:jc w:val="center"/>
        <w:rPr>
          <w:rFonts w:ascii="宋体" w:hAnsi="宋体"/>
          <w:b/>
          <w:bCs/>
          <w:color w:val="auto"/>
          <w:sz w:val="24"/>
          <w:highlight w:val="none"/>
        </w:rPr>
      </w:pPr>
      <w:r>
        <w:rPr>
          <w:rFonts w:ascii="宋体" w:hAnsi="宋体"/>
          <w:b/>
          <w:color w:val="auto"/>
          <w:sz w:val="36"/>
          <w:szCs w:val="36"/>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第六章  合同主要条款</w:t>
      </w:r>
    </w:p>
    <w:p>
      <w:pPr>
        <w:spacing w:line="0" w:lineRule="atLeast"/>
        <w:rPr>
          <w:rFonts w:ascii="宋体" w:hAnsi="宋体"/>
          <w:color w:val="auto"/>
          <w:highlight w:val="none"/>
        </w:rPr>
      </w:pPr>
    </w:p>
    <w:p>
      <w:pPr>
        <w:spacing w:line="0" w:lineRule="atLeast"/>
        <w:jc w:val="center"/>
        <w:rPr>
          <w:rFonts w:ascii="宋体" w:hAnsi="宋体"/>
          <w:color w:val="auto"/>
          <w:sz w:val="24"/>
          <w:highlight w:val="none"/>
        </w:rPr>
      </w:pPr>
      <w:r>
        <w:rPr>
          <w:rFonts w:hint="eastAsia" w:ascii="宋体" w:hAnsi="宋体"/>
          <w:color w:val="auto"/>
          <w:sz w:val="24"/>
          <w:highlight w:val="none"/>
        </w:rPr>
        <w:t>（另册）</w:t>
      </w:r>
    </w:p>
    <w:p>
      <w:pPr>
        <w:rPr>
          <w:rFonts w:ascii="宋体" w:hAnsi="宋体"/>
          <w:color w:val="auto"/>
          <w:szCs w:val="21"/>
          <w:highlight w:val="none"/>
        </w:rPr>
      </w:pPr>
    </w:p>
    <w:p>
      <w:pPr>
        <w:rPr>
          <w:rFonts w:ascii="宋体" w:hAnsi="宋体"/>
          <w:color w:val="auto"/>
          <w:szCs w:val="21"/>
          <w:highlight w:val="none"/>
        </w:rPr>
        <w:sectPr>
          <w:footerReference r:id="rId5" w:type="default"/>
          <w:pgSz w:w="11906" w:h="16838"/>
          <w:pgMar w:top="1418" w:right="1418" w:bottom="1418" w:left="1418" w:header="851" w:footer="992" w:gutter="0"/>
          <w:cols w:space="425" w:num="1"/>
          <w:docGrid w:type="linesAndChars" w:linePitch="312" w:charSpace="0"/>
        </w:sectPr>
      </w:pPr>
    </w:p>
    <w:p>
      <w:pPr>
        <w:rPr>
          <w:rFonts w:ascii="宋体" w:hAnsi="宋体"/>
          <w:color w:val="auto"/>
          <w:sz w:val="24"/>
          <w:highlight w:val="none"/>
        </w:rPr>
      </w:pPr>
      <w:r>
        <w:rPr>
          <w:rFonts w:hint="eastAsia" w:ascii="宋体" w:hAnsi="宋体"/>
          <w:b/>
          <w:bCs/>
          <w:color w:val="auto"/>
          <w:sz w:val="24"/>
          <w:highlight w:val="none"/>
        </w:rPr>
        <w:t>附录1</w:t>
      </w:r>
    </w:p>
    <w:p>
      <w:pPr>
        <w:jc w:val="center"/>
        <w:rPr>
          <w:rFonts w:ascii="宋体" w:hAnsi="宋体"/>
          <w:b/>
          <w:color w:val="auto"/>
          <w:sz w:val="36"/>
          <w:szCs w:val="36"/>
          <w:highlight w:val="none"/>
        </w:rPr>
      </w:pPr>
      <w:r>
        <w:rPr>
          <w:rFonts w:hint="eastAsia" w:ascii="宋体" w:hAnsi="宋体"/>
          <w:b/>
          <w:color w:val="auto"/>
          <w:sz w:val="36"/>
          <w:szCs w:val="36"/>
          <w:highlight w:val="none"/>
        </w:rPr>
        <w:t>投标申请表（申请人、资质、机构简介）</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3240" w:type="dxa"/>
            <w:vAlign w:val="center"/>
          </w:tcPr>
          <w:p>
            <w:pPr>
              <w:jc w:val="center"/>
              <w:rPr>
                <w:rFonts w:ascii="宋体" w:hAnsi="宋体"/>
                <w:color w:val="auto"/>
                <w:szCs w:val="21"/>
                <w:highlight w:val="none"/>
              </w:rPr>
            </w:pPr>
            <w:r>
              <w:rPr>
                <w:rFonts w:hint="eastAsia" w:ascii="宋体" w:hAnsi="宋体"/>
                <w:color w:val="auto"/>
                <w:szCs w:val="21"/>
                <w:highlight w:val="none"/>
              </w:rPr>
              <w:t>内容</w:t>
            </w:r>
          </w:p>
        </w:tc>
        <w:tc>
          <w:tcPr>
            <w:tcW w:w="4616" w:type="dxa"/>
            <w:vAlign w:val="center"/>
          </w:tcPr>
          <w:p>
            <w:pPr>
              <w:jc w:val="center"/>
              <w:rPr>
                <w:rFonts w:ascii="宋体" w:hAnsi="宋体"/>
                <w:color w:val="auto"/>
                <w:szCs w:val="21"/>
                <w:highlight w:val="none"/>
              </w:rPr>
            </w:pPr>
            <w:r>
              <w:rPr>
                <w:rFonts w:hint="eastAsia" w:ascii="宋体" w:hAnsi="宋体"/>
                <w:color w:val="auto"/>
                <w:highlight w:val="none"/>
              </w:rPr>
              <w:t>申请人（牵头人）</w:t>
            </w:r>
          </w:p>
        </w:tc>
        <w:tc>
          <w:tcPr>
            <w:tcW w:w="2835" w:type="dxa"/>
            <w:vAlign w:val="center"/>
          </w:tcPr>
          <w:p>
            <w:pPr>
              <w:jc w:val="center"/>
              <w:rPr>
                <w:rFonts w:ascii="宋体" w:hAnsi="宋体"/>
                <w:color w:val="auto"/>
                <w:szCs w:val="21"/>
                <w:highlight w:val="none"/>
              </w:rPr>
            </w:pPr>
            <w:r>
              <w:rPr>
                <w:rFonts w:hint="eastAsia" w:ascii="宋体" w:hAnsi="宋体"/>
                <w:color w:val="auto"/>
                <w:highlight w:val="none"/>
              </w:rPr>
              <w:t>联合体成员</w:t>
            </w:r>
          </w:p>
        </w:tc>
        <w:tc>
          <w:tcPr>
            <w:tcW w:w="2835" w:type="dxa"/>
            <w:vAlign w:val="center"/>
          </w:tcPr>
          <w:p>
            <w:pPr>
              <w:jc w:val="center"/>
              <w:rPr>
                <w:rFonts w:ascii="宋体" w:hAnsi="宋体"/>
                <w:color w:val="auto"/>
                <w:szCs w:val="21"/>
                <w:highlight w:val="none"/>
              </w:rPr>
            </w:pPr>
            <w:r>
              <w:rPr>
                <w:rFonts w:hint="eastAsia" w:ascii="宋体" w:hAnsi="宋体"/>
                <w:color w:val="auto"/>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3240" w:type="dxa"/>
          </w:tcPr>
          <w:p>
            <w:pPr>
              <w:rPr>
                <w:rFonts w:ascii="宋体" w:hAnsi="宋体"/>
                <w:color w:val="auto"/>
                <w:szCs w:val="21"/>
                <w:highlight w:val="none"/>
              </w:rPr>
            </w:pPr>
            <w:r>
              <w:rPr>
                <w:rFonts w:hint="eastAsia" w:ascii="宋体" w:hAnsi="宋体"/>
                <w:color w:val="auto"/>
                <w:highlight w:val="none"/>
              </w:rPr>
              <w:t>名称（盖章）</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3240" w:type="dxa"/>
          </w:tcPr>
          <w:p>
            <w:pPr>
              <w:rPr>
                <w:rFonts w:ascii="宋体" w:hAnsi="宋体"/>
                <w:color w:val="auto"/>
                <w:szCs w:val="21"/>
                <w:highlight w:val="none"/>
              </w:rPr>
            </w:pPr>
            <w:r>
              <w:rPr>
                <w:rFonts w:hint="eastAsia" w:ascii="宋体" w:hAnsi="宋体"/>
                <w:color w:val="auto"/>
                <w:highlight w:val="none"/>
              </w:rPr>
              <w:t>法定代表人</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3240" w:type="dxa"/>
          </w:tcPr>
          <w:p>
            <w:pPr>
              <w:rPr>
                <w:rFonts w:ascii="宋体" w:hAnsi="宋体"/>
                <w:color w:val="auto"/>
                <w:szCs w:val="21"/>
                <w:highlight w:val="none"/>
              </w:rPr>
            </w:pPr>
            <w:r>
              <w:rPr>
                <w:rFonts w:hint="eastAsia" w:ascii="宋体" w:hAnsi="宋体"/>
                <w:color w:val="auto"/>
                <w:highlight w:val="none"/>
              </w:rPr>
              <w:t>总部邮政编码、注册地址</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3240" w:type="dxa"/>
          </w:tcPr>
          <w:p>
            <w:pPr>
              <w:rPr>
                <w:rFonts w:ascii="宋体" w:hAnsi="宋体"/>
                <w:color w:val="auto"/>
                <w:szCs w:val="21"/>
                <w:highlight w:val="none"/>
              </w:rPr>
            </w:pPr>
            <w:r>
              <w:rPr>
                <w:rFonts w:hint="eastAsia" w:ascii="宋体" w:hAnsi="宋体"/>
                <w:color w:val="auto"/>
                <w:highlight w:val="none"/>
              </w:rPr>
              <w:t>总部电话号码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3240" w:type="dxa"/>
          </w:tcPr>
          <w:p>
            <w:pPr>
              <w:rPr>
                <w:rFonts w:ascii="宋体" w:hAnsi="宋体"/>
                <w:color w:val="auto"/>
                <w:highlight w:val="none"/>
              </w:rPr>
            </w:pPr>
            <w:r>
              <w:rPr>
                <w:rFonts w:hint="eastAsia" w:ascii="宋体" w:hAnsi="宋体"/>
                <w:color w:val="auto"/>
                <w:highlight w:val="none"/>
              </w:rPr>
              <w:t>总部传真号码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3240" w:type="dxa"/>
          </w:tcPr>
          <w:p>
            <w:pPr>
              <w:rPr>
                <w:rFonts w:ascii="宋体" w:hAnsi="宋体"/>
                <w:color w:val="auto"/>
                <w:highlight w:val="none"/>
              </w:rPr>
            </w:pPr>
            <w:r>
              <w:rPr>
                <w:rFonts w:hint="eastAsia" w:ascii="宋体" w:hAnsi="宋体"/>
                <w:color w:val="auto"/>
                <w:highlight w:val="none"/>
              </w:rPr>
              <w:t>总部联络人、手机号码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3240" w:type="dxa"/>
          </w:tcPr>
          <w:p>
            <w:pPr>
              <w:rPr>
                <w:rFonts w:ascii="宋体" w:hAnsi="宋体"/>
                <w:color w:val="auto"/>
                <w:highlight w:val="none"/>
              </w:rPr>
            </w:pPr>
            <w:r>
              <w:rPr>
                <w:rFonts w:hint="eastAsia" w:ascii="宋体" w:hAnsi="宋体"/>
                <w:color w:val="auto"/>
                <w:highlight w:val="none"/>
              </w:rPr>
              <w:t>本地邮政编码、注册地址</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3240" w:type="dxa"/>
          </w:tcPr>
          <w:p>
            <w:pPr>
              <w:rPr>
                <w:rFonts w:ascii="宋体" w:hAnsi="宋体"/>
                <w:color w:val="auto"/>
                <w:szCs w:val="21"/>
                <w:highlight w:val="none"/>
              </w:rPr>
            </w:pPr>
            <w:r>
              <w:rPr>
                <w:rFonts w:hint="eastAsia" w:ascii="宋体" w:hAnsi="宋体"/>
                <w:color w:val="auto"/>
                <w:highlight w:val="none"/>
              </w:rPr>
              <w:t>本地电话号码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3240" w:type="dxa"/>
          </w:tcPr>
          <w:p>
            <w:pPr>
              <w:rPr>
                <w:rFonts w:ascii="宋体" w:hAnsi="宋体"/>
                <w:color w:val="auto"/>
                <w:highlight w:val="none"/>
              </w:rPr>
            </w:pPr>
            <w:r>
              <w:rPr>
                <w:rFonts w:hint="eastAsia" w:ascii="宋体" w:hAnsi="宋体"/>
                <w:color w:val="auto"/>
                <w:highlight w:val="none"/>
              </w:rPr>
              <w:t>本地传真号码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3240" w:type="dxa"/>
          </w:tcPr>
          <w:p>
            <w:pPr>
              <w:rPr>
                <w:rFonts w:ascii="宋体" w:hAnsi="宋体"/>
                <w:color w:val="auto"/>
                <w:highlight w:val="none"/>
              </w:rPr>
            </w:pPr>
            <w:r>
              <w:rPr>
                <w:rFonts w:hint="eastAsia" w:ascii="宋体" w:hAnsi="宋体"/>
                <w:color w:val="auto"/>
                <w:highlight w:val="none"/>
              </w:rPr>
              <w:t>本地联络人、手机号码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3240" w:type="dxa"/>
          </w:tcPr>
          <w:p>
            <w:pPr>
              <w:rPr>
                <w:rFonts w:ascii="宋体" w:hAnsi="宋体"/>
                <w:color w:val="auto"/>
                <w:highlight w:val="none"/>
              </w:rPr>
            </w:pPr>
            <w:r>
              <w:rPr>
                <w:rFonts w:hint="eastAsia" w:ascii="宋体" w:hAnsi="宋体"/>
                <w:color w:val="auto"/>
                <w:highlight w:val="none"/>
              </w:rPr>
              <w:t>电子邮箱</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3240" w:type="dxa"/>
          </w:tcPr>
          <w:p>
            <w:pPr>
              <w:rPr>
                <w:rFonts w:ascii="宋体" w:hAnsi="宋体"/>
                <w:color w:val="auto"/>
                <w:highlight w:val="none"/>
              </w:rPr>
            </w:pPr>
            <w:r>
              <w:rPr>
                <w:rFonts w:hint="eastAsia" w:ascii="宋体" w:hAnsi="宋体"/>
                <w:color w:val="auto"/>
                <w:highlight w:val="none"/>
              </w:rPr>
              <w:t>法人营业执照号、营业范围</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3240" w:type="dxa"/>
          </w:tcPr>
          <w:p>
            <w:pPr>
              <w:rPr>
                <w:rFonts w:hAnsi="宋体"/>
                <w:color w:val="auto"/>
                <w:highlight w:val="none"/>
              </w:rPr>
            </w:pPr>
            <w:r>
              <w:rPr>
                <w:rFonts w:hint="eastAsia" w:hAnsi="宋体"/>
                <w:color w:val="auto"/>
                <w:highlight w:val="none"/>
              </w:rPr>
              <w:t>工程设计资质证号、范围和等级</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3240" w:type="dxa"/>
          </w:tcPr>
          <w:p>
            <w:pPr>
              <w:rPr>
                <w:rFonts w:ascii="宋体" w:hAnsi="宋体"/>
                <w:color w:val="auto"/>
                <w:highlight w:val="none"/>
              </w:rPr>
            </w:pPr>
            <w:r>
              <w:rPr>
                <w:rFonts w:hint="eastAsia" w:hAnsi="宋体"/>
                <w:color w:val="auto"/>
                <w:highlight w:val="none"/>
              </w:rPr>
              <w:t>工程勘察资质证号、范围和等级</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3240" w:type="dxa"/>
          </w:tcPr>
          <w:p>
            <w:pPr>
              <w:rPr>
                <w:rFonts w:ascii="宋体" w:hAnsi="宋体"/>
                <w:color w:val="auto"/>
                <w:highlight w:val="none"/>
              </w:rPr>
            </w:pPr>
            <w:r>
              <w:rPr>
                <w:rFonts w:hint="eastAsia" w:hAnsi="宋体"/>
                <w:color w:val="auto"/>
                <w:highlight w:val="none"/>
              </w:rPr>
              <w:t>ISO9000认证号、范围</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3240" w:type="dxa"/>
          </w:tcPr>
          <w:p>
            <w:pPr>
              <w:rPr>
                <w:rFonts w:ascii="宋体" w:hAnsi="宋体"/>
                <w:color w:val="auto"/>
                <w:highlight w:val="none"/>
              </w:rPr>
            </w:pPr>
            <w:r>
              <w:rPr>
                <w:rFonts w:hint="eastAsia" w:ascii="宋体" w:hAnsi="宋体"/>
                <w:color w:val="auto"/>
                <w:highlight w:val="none"/>
              </w:rPr>
              <w:t>简介（宜300字以内）</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3240" w:type="dxa"/>
          </w:tcPr>
          <w:p>
            <w:pPr>
              <w:rPr>
                <w:rFonts w:ascii="宋体" w:hAnsi="宋体"/>
                <w:color w:val="auto"/>
                <w:highlight w:val="none"/>
              </w:rPr>
            </w:pPr>
            <w:r>
              <w:rPr>
                <w:rFonts w:ascii="宋体" w:hAnsi="宋体"/>
                <w:color w:val="auto"/>
                <w:highlight w:val="none"/>
              </w:rPr>
              <w:t>完成</w:t>
            </w:r>
            <w:r>
              <w:rPr>
                <w:rFonts w:hint="eastAsia" w:ascii="宋体" w:hAnsi="宋体"/>
                <w:color w:val="auto"/>
                <w:highlight w:val="none"/>
              </w:rPr>
              <w:t>本项目</w:t>
            </w:r>
            <w:r>
              <w:rPr>
                <w:rFonts w:ascii="宋体" w:hAnsi="宋体"/>
                <w:color w:val="auto"/>
                <w:highlight w:val="none"/>
              </w:rPr>
              <w:t>所独有的有利条件</w:t>
            </w:r>
          </w:p>
          <w:p>
            <w:pPr>
              <w:rPr>
                <w:rFonts w:ascii="宋体" w:hAnsi="宋体"/>
                <w:color w:val="auto"/>
                <w:highlight w:val="none"/>
              </w:rPr>
            </w:pPr>
            <w:r>
              <w:rPr>
                <w:rFonts w:hint="eastAsia" w:ascii="宋体" w:hAnsi="宋体"/>
                <w:color w:val="auto"/>
                <w:highlight w:val="none"/>
              </w:rPr>
              <w:t>（宜200字以内）</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3240" w:type="dxa"/>
          </w:tcPr>
          <w:p>
            <w:pPr>
              <w:rPr>
                <w:rFonts w:ascii="宋体" w:hAnsi="宋体"/>
                <w:color w:val="auto"/>
                <w:highlight w:val="none"/>
              </w:rPr>
            </w:pP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bl>
    <w:p>
      <w:pPr>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strike/>
          <w:dstrike w:val="0"/>
          <w:color w:val="auto"/>
          <w:sz w:val="24"/>
          <w:highlight w:val="none"/>
        </w:rPr>
      </w:pPr>
      <w:r>
        <w:rPr>
          <w:rFonts w:ascii="宋体" w:hAnsi="宋体"/>
          <w:color w:val="auto"/>
          <w:szCs w:val="21"/>
          <w:highlight w:val="none"/>
        </w:rPr>
        <w:br w:type="page"/>
      </w:r>
      <w:r>
        <w:rPr>
          <w:rFonts w:hint="eastAsia" w:ascii="宋体" w:hAnsi="宋体"/>
          <w:b/>
          <w:bCs/>
          <w:strike/>
          <w:dstrike w:val="0"/>
          <w:color w:val="auto"/>
          <w:sz w:val="24"/>
          <w:highlight w:val="none"/>
        </w:rPr>
        <w:t>附录2</w:t>
      </w:r>
    </w:p>
    <w:p>
      <w:pPr>
        <w:jc w:val="center"/>
        <w:rPr>
          <w:rFonts w:ascii="宋体" w:hAnsi="宋体"/>
          <w:b/>
          <w:strike/>
          <w:dstrike w:val="0"/>
          <w:color w:val="auto"/>
          <w:sz w:val="36"/>
          <w:szCs w:val="36"/>
          <w:highlight w:val="none"/>
        </w:rPr>
      </w:pPr>
      <w:r>
        <w:rPr>
          <w:rFonts w:hint="eastAsia" w:ascii="宋体" w:hAnsi="宋体"/>
          <w:b/>
          <w:strike/>
          <w:dstrike w:val="0"/>
          <w:color w:val="auto"/>
          <w:sz w:val="36"/>
          <w:szCs w:val="36"/>
          <w:highlight w:val="none"/>
        </w:rPr>
        <w:t>投标申请表</w:t>
      </w:r>
      <w:r>
        <w:rPr>
          <w:rFonts w:hint="eastAsia" w:ascii="宋体" w:hAnsi="宋体"/>
          <w:b/>
          <w:bCs/>
          <w:strike/>
          <w:dstrike w:val="0"/>
          <w:color w:val="auto"/>
          <w:sz w:val="36"/>
          <w:szCs w:val="36"/>
          <w:highlight w:val="none"/>
        </w:rPr>
        <w:t>（投标人的业绩）</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dstrike w:val="0"/>
                <w:color w:val="auto"/>
                <w:szCs w:val="21"/>
                <w:highlight w:val="none"/>
              </w:rPr>
            </w:pPr>
            <w:r>
              <w:rPr>
                <w:rFonts w:hint="eastAsia" w:ascii="宋体" w:hAnsi="宋体"/>
                <w:strike/>
                <w:dstrike w:val="0"/>
                <w:color w:val="auto"/>
                <w:szCs w:val="21"/>
                <w:highlight w:val="none"/>
              </w:rPr>
              <w:t>序号</w:t>
            </w:r>
          </w:p>
        </w:tc>
        <w:tc>
          <w:tcPr>
            <w:tcW w:w="2700" w:type="dxa"/>
            <w:vAlign w:val="center"/>
          </w:tcPr>
          <w:p>
            <w:pPr>
              <w:jc w:val="center"/>
              <w:rPr>
                <w:rFonts w:ascii="宋体" w:hAnsi="宋体"/>
                <w:strike/>
                <w:dstrike w:val="0"/>
                <w:color w:val="auto"/>
                <w:highlight w:val="none"/>
              </w:rPr>
            </w:pPr>
            <w:r>
              <w:rPr>
                <w:rFonts w:hint="eastAsia" w:ascii="宋体" w:hAnsi="宋体"/>
                <w:strike/>
                <w:dstrike w:val="0"/>
                <w:color w:val="auto"/>
                <w:highlight w:val="none"/>
              </w:rPr>
              <w:t>投标人</w:t>
            </w:r>
          </w:p>
          <w:p>
            <w:pPr>
              <w:jc w:val="center"/>
              <w:rPr>
                <w:rFonts w:ascii="宋体" w:hAnsi="宋体"/>
                <w:strike/>
                <w:dstrike w:val="0"/>
                <w:color w:val="auto"/>
                <w:szCs w:val="21"/>
                <w:highlight w:val="none"/>
              </w:rPr>
            </w:pPr>
            <w:r>
              <w:rPr>
                <w:rFonts w:hint="eastAsia" w:ascii="宋体" w:hAnsi="宋体"/>
                <w:strike/>
                <w:dstrike w:val="0"/>
                <w:color w:val="auto"/>
                <w:highlight w:val="none"/>
              </w:rPr>
              <w:t>（联合体成员）</w:t>
            </w:r>
          </w:p>
        </w:tc>
        <w:tc>
          <w:tcPr>
            <w:tcW w:w="3780" w:type="dxa"/>
            <w:shd w:val="clear" w:color="auto" w:fill="auto"/>
            <w:vAlign w:val="center"/>
          </w:tcPr>
          <w:p>
            <w:pPr>
              <w:jc w:val="center"/>
              <w:rPr>
                <w:rFonts w:ascii="宋体" w:hAnsi="宋体"/>
                <w:strike/>
                <w:dstrike w:val="0"/>
                <w:color w:val="auto"/>
                <w:szCs w:val="21"/>
                <w:highlight w:val="none"/>
              </w:rPr>
            </w:pPr>
            <w:r>
              <w:rPr>
                <w:rFonts w:hint="eastAsia" w:hAnsi="宋体"/>
                <w:strike/>
                <w:dstrike w:val="0"/>
                <w:color w:val="auto"/>
                <w:highlight w:val="none"/>
              </w:rPr>
              <w:t>作品、业绩、著作名称</w:t>
            </w:r>
          </w:p>
        </w:tc>
        <w:tc>
          <w:tcPr>
            <w:tcW w:w="4500" w:type="dxa"/>
            <w:shd w:val="clear" w:color="auto" w:fill="auto"/>
            <w:vAlign w:val="center"/>
          </w:tcPr>
          <w:p>
            <w:pPr>
              <w:jc w:val="center"/>
              <w:rPr>
                <w:rFonts w:ascii="宋体" w:hAnsi="宋体"/>
                <w:strike/>
                <w:dstrike w:val="0"/>
                <w:color w:val="auto"/>
                <w:szCs w:val="21"/>
                <w:highlight w:val="none"/>
              </w:rPr>
            </w:pPr>
            <w:r>
              <w:rPr>
                <w:rFonts w:hint="eastAsia" w:ascii="宋体" w:hAnsi="宋体"/>
                <w:strike/>
                <w:dstrike w:val="0"/>
                <w:color w:val="auto"/>
                <w:highlight w:val="none"/>
              </w:rPr>
              <w:t>简介</w:t>
            </w:r>
          </w:p>
        </w:tc>
        <w:tc>
          <w:tcPr>
            <w:tcW w:w="1128" w:type="dxa"/>
            <w:shd w:val="clear" w:color="auto" w:fill="auto"/>
            <w:vAlign w:val="center"/>
          </w:tcPr>
          <w:p>
            <w:pPr>
              <w:jc w:val="center"/>
              <w:rPr>
                <w:rFonts w:ascii="宋体" w:hAnsi="宋体"/>
                <w:strike/>
                <w:dstrike w:val="0"/>
                <w:color w:val="auto"/>
                <w:highlight w:val="none"/>
              </w:rPr>
            </w:pPr>
            <w:r>
              <w:rPr>
                <w:rFonts w:hint="eastAsia" w:ascii="宋体" w:hAnsi="宋体"/>
                <w:strike/>
                <w:dstrike w:val="0"/>
                <w:color w:val="auto"/>
                <w:highlight w:val="none"/>
              </w:rPr>
              <w:t>投资金额</w:t>
            </w:r>
          </w:p>
          <w:p>
            <w:pPr>
              <w:jc w:val="center"/>
              <w:rPr>
                <w:rFonts w:ascii="宋体" w:hAnsi="宋体"/>
                <w:strike/>
                <w:dstrike w:val="0"/>
                <w:color w:val="auto"/>
                <w:szCs w:val="21"/>
                <w:highlight w:val="none"/>
              </w:rPr>
            </w:pPr>
            <w:r>
              <w:rPr>
                <w:rFonts w:hint="eastAsia" w:ascii="宋体" w:hAnsi="宋体"/>
                <w:strike/>
                <w:dstrike w:val="0"/>
                <w:color w:val="auto"/>
                <w:highlight w:val="none"/>
              </w:rPr>
              <w:t>（万元）</w:t>
            </w:r>
          </w:p>
        </w:tc>
        <w:tc>
          <w:tcPr>
            <w:tcW w:w="1418" w:type="dxa"/>
            <w:shd w:val="clear" w:color="auto" w:fill="auto"/>
            <w:vAlign w:val="center"/>
          </w:tcPr>
          <w:p>
            <w:pPr>
              <w:jc w:val="center"/>
              <w:rPr>
                <w:rFonts w:ascii="宋体" w:hAnsi="宋体"/>
                <w:strike/>
                <w:dstrike w:val="0"/>
                <w:color w:val="auto"/>
                <w:szCs w:val="21"/>
                <w:highlight w:val="none"/>
              </w:rPr>
            </w:pPr>
            <w:r>
              <w:rPr>
                <w:rFonts w:hint="eastAsia" w:ascii="宋体" w:hAnsi="宋体"/>
                <w:strike/>
                <w:dstrike w:val="0"/>
                <w:color w:val="auto"/>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auto"/>
                <w:szCs w:val="21"/>
                <w:highlight w:val="none"/>
              </w:rPr>
            </w:pPr>
          </w:p>
        </w:tc>
        <w:tc>
          <w:tcPr>
            <w:tcW w:w="2700" w:type="dxa"/>
          </w:tcPr>
          <w:p>
            <w:pPr>
              <w:rPr>
                <w:rFonts w:ascii="宋体" w:hAnsi="宋体"/>
                <w:strike/>
                <w:dstrike w:val="0"/>
                <w:color w:val="auto"/>
                <w:szCs w:val="21"/>
                <w:highlight w:val="none"/>
              </w:rPr>
            </w:pPr>
          </w:p>
        </w:tc>
        <w:tc>
          <w:tcPr>
            <w:tcW w:w="3780" w:type="dxa"/>
            <w:shd w:val="clear" w:color="auto" w:fill="auto"/>
          </w:tcPr>
          <w:p>
            <w:pPr>
              <w:rPr>
                <w:rFonts w:ascii="宋体" w:hAnsi="宋体"/>
                <w:strike/>
                <w:dstrike w:val="0"/>
                <w:color w:val="auto"/>
                <w:szCs w:val="21"/>
                <w:highlight w:val="none"/>
              </w:rPr>
            </w:pPr>
          </w:p>
        </w:tc>
        <w:tc>
          <w:tcPr>
            <w:tcW w:w="4500" w:type="dxa"/>
            <w:shd w:val="clear" w:color="auto" w:fill="auto"/>
          </w:tcPr>
          <w:p>
            <w:pPr>
              <w:rPr>
                <w:rFonts w:ascii="宋体" w:hAnsi="宋体"/>
                <w:strike/>
                <w:dstrike w:val="0"/>
                <w:color w:val="auto"/>
                <w:szCs w:val="21"/>
                <w:highlight w:val="none"/>
              </w:rPr>
            </w:pPr>
          </w:p>
        </w:tc>
        <w:tc>
          <w:tcPr>
            <w:tcW w:w="1128" w:type="dxa"/>
            <w:shd w:val="clear" w:color="auto" w:fill="auto"/>
          </w:tcPr>
          <w:p>
            <w:pPr>
              <w:rPr>
                <w:rFonts w:ascii="宋体" w:hAnsi="宋体"/>
                <w:strike/>
                <w:dstrike w:val="0"/>
                <w:color w:val="auto"/>
                <w:szCs w:val="21"/>
                <w:highlight w:val="none"/>
              </w:rPr>
            </w:pPr>
          </w:p>
        </w:tc>
        <w:tc>
          <w:tcPr>
            <w:tcW w:w="1418" w:type="dxa"/>
            <w:shd w:val="clear" w:color="auto" w:fill="auto"/>
          </w:tcPr>
          <w:p>
            <w:pPr>
              <w:rPr>
                <w:rFonts w:ascii="宋体" w:hAnsi="宋体"/>
                <w:strike/>
                <w:dstrike w:val="0"/>
                <w:color w:val="auto"/>
                <w:szCs w:val="21"/>
                <w:highlight w:val="none"/>
              </w:rPr>
            </w:pPr>
          </w:p>
        </w:tc>
      </w:tr>
    </w:tbl>
    <w:p>
      <w:pPr>
        <w:rPr>
          <w:rFonts w:ascii="宋体" w:hAnsi="宋体"/>
          <w:strike/>
          <w:dstrike w:val="0"/>
          <w:color w:val="auto"/>
          <w:highlight w:val="none"/>
        </w:rPr>
      </w:pPr>
      <w:r>
        <w:rPr>
          <w:rFonts w:hint="eastAsia" w:ascii="宋体" w:hAnsi="宋体"/>
          <w:strike/>
          <w:dstrike w:val="0"/>
          <w:color w:val="auto"/>
          <w:highlight w:val="none"/>
        </w:rPr>
        <w:t>申请人（盖章）：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附录3</w:t>
      </w:r>
    </w:p>
    <w:p>
      <w:pPr>
        <w:jc w:val="center"/>
        <w:rPr>
          <w:rFonts w:ascii="宋体" w:hAnsi="宋体"/>
          <w:b/>
          <w:color w:val="auto"/>
          <w:sz w:val="36"/>
          <w:szCs w:val="36"/>
          <w:highlight w:val="none"/>
        </w:rPr>
      </w:pPr>
      <w:r>
        <w:rPr>
          <w:rFonts w:hint="eastAsia" w:ascii="宋体" w:hAnsi="宋体"/>
          <w:b/>
          <w:color w:val="auto"/>
          <w:sz w:val="36"/>
          <w:szCs w:val="36"/>
          <w:highlight w:val="none"/>
        </w:rPr>
        <w:t>投标申请表（关键人员配备）</w:t>
      </w:r>
    </w:p>
    <w:tbl>
      <w:tblPr>
        <w:tblStyle w:val="24"/>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080" w:type="dxa"/>
            <w:vAlign w:val="center"/>
          </w:tcPr>
          <w:p>
            <w:pPr>
              <w:jc w:val="center"/>
              <w:rPr>
                <w:rFonts w:ascii="宋体" w:hAnsi="宋体"/>
                <w:color w:val="auto"/>
                <w:highlight w:val="none"/>
              </w:rPr>
            </w:pPr>
            <w:r>
              <w:rPr>
                <w:rFonts w:hint="eastAsia" w:ascii="宋体" w:hAnsi="宋体"/>
                <w:color w:val="auto"/>
                <w:highlight w:val="none"/>
              </w:rPr>
              <w:t>姓名</w:t>
            </w: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专业分工</w:t>
            </w: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职务</w:t>
            </w:r>
          </w:p>
        </w:tc>
        <w:tc>
          <w:tcPr>
            <w:tcW w:w="2160" w:type="dxa"/>
            <w:shd w:val="clear" w:color="auto" w:fill="auto"/>
            <w:vAlign w:val="center"/>
          </w:tcPr>
          <w:p>
            <w:pPr>
              <w:jc w:val="center"/>
              <w:rPr>
                <w:rFonts w:ascii="宋体" w:hAnsi="宋体"/>
                <w:color w:val="auto"/>
                <w:highlight w:val="none"/>
              </w:rPr>
            </w:pPr>
            <w:r>
              <w:rPr>
                <w:rFonts w:hint="eastAsia" w:ascii="宋体" w:hAnsi="宋体"/>
                <w:color w:val="auto"/>
                <w:highlight w:val="none"/>
              </w:rPr>
              <w:t>专业职称</w:t>
            </w:r>
          </w:p>
        </w:tc>
        <w:tc>
          <w:tcPr>
            <w:tcW w:w="1800" w:type="dxa"/>
            <w:vAlign w:val="center"/>
          </w:tcPr>
          <w:p>
            <w:pPr>
              <w:jc w:val="center"/>
              <w:rPr>
                <w:rFonts w:hAnsi="宋体"/>
                <w:color w:val="auto"/>
                <w:highlight w:val="none"/>
              </w:rPr>
            </w:pPr>
            <w:r>
              <w:rPr>
                <w:rFonts w:hint="eastAsia" w:ascii="宋体" w:hAnsi="宋体"/>
                <w:color w:val="auto"/>
                <w:highlight w:val="none"/>
              </w:rPr>
              <w:t>工龄（年）</w:t>
            </w:r>
          </w:p>
        </w:tc>
        <w:tc>
          <w:tcPr>
            <w:tcW w:w="4320" w:type="dxa"/>
            <w:shd w:val="clear" w:color="auto" w:fill="auto"/>
            <w:vAlign w:val="center"/>
          </w:tcPr>
          <w:p>
            <w:pPr>
              <w:jc w:val="center"/>
              <w:rPr>
                <w:rFonts w:ascii="宋体" w:hAnsi="宋体"/>
                <w:color w:val="auto"/>
                <w:highlight w:val="none"/>
              </w:rPr>
            </w:pPr>
            <w:r>
              <w:rPr>
                <w:rFonts w:hint="eastAsia" w:hAnsi="宋体"/>
                <w:color w:val="auto"/>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auto"/>
                <w:szCs w:val="21"/>
                <w:highlight w:val="none"/>
              </w:rPr>
            </w:pPr>
          </w:p>
        </w:tc>
        <w:tc>
          <w:tcPr>
            <w:tcW w:w="1080" w:type="dxa"/>
            <w:vAlign w:val="center"/>
          </w:tcPr>
          <w:p>
            <w:pPr>
              <w:jc w:val="center"/>
              <w:rPr>
                <w:rFonts w:ascii="宋体" w:hAnsi="宋体"/>
                <w:color w:val="auto"/>
                <w:szCs w:val="21"/>
                <w:highlight w:val="none"/>
              </w:rPr>
            </w:pP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项目负责人</w:t>
            </w:r>
          </w:p>
        </w:tc>
        <w:tc>
          <w:tcPr>
            <w:tcW w:w="1800" w:type="dxa"/>
            <w:shd w:val="clear" w:color="auto" w:fill="auto"/>
            <w:vAlign w:val="center"/>
          </w:tcPr>
          <w:p>
            <w:pPr>
              <w:jc w:val="center"/>
              <w:rPr>
                <w:rFonts w:ascii="宋体" w:hAnsi="宋体"/>
                <w:color w:val="auto"/>
                <w:szCs w:val="21"/>
                <w:highlight w:val="none"/>
              </w:rPr>
            </w:pPr>
          </w:p>
        </w:tc>
        <w:tc>
          <w:tcPr>
            <w:tcW w:w="2160" w:type="dxa"/>
            <w:shd w:val="clear" w:color="auto" w:fill="auto"/>
            <w:vAlign w:val="center"/>
          </w:tcPr>
          <w:p>
            <w:pPr>
              <w:jc w:val="center"/>
              <w:rPr>
                <w:rFonts w:ascii="宋体" w:hAnsi="宋体"/>
                <w:color w:val="auto"/>
                <w:szCs w:val="21"/>
                <w:highlight w:val="none"/>
              </w:rPr>
            </w:pPr>
          </w:p>
        </w:tc>
        <w:tc>
          <w:tcPr>
            <w:tcW w:w="1800" w:type="dxa"/>
          </w:tcPr>
          <w:p>
            <w:pPr>
              <w:jc w:val="center"/>
              <w:rPr>
                <w:rFonts w:ascii="宋体" w:hAnsi="宋体"/>
                <w:color w:val="auto"/>
                <w:szCs w:val="21"/>
                <w:highlight w:val="none"/>
              </w:rPr>
            </w:pPr>
          </w:p>
        </w:tc>
        <w:tc>
          <w:tcPr>
            <w:tcW w:w="4320" w:type="dxa"/>
            <w:shd w:val="clear" w:color="auto" w:fill="auto"/>
            <w:vAlign w:val="center"/>
          </w:tcPr>
          <w:p>
            <w:pPr>
              <w:jc w:val="center"/>
              <w:rPr>
                <w:rFonts w:ascii="宋体" w:hAnsi="宋体"/>
                <w:color w:val="auto"/>
                <w:szCs w:val="21"/>
                <w:highlight w:val="none"/>
              </w:rPr>
            </w:pPr>
          </w:p>
        </w:tc>
      </w:tr>
    </w:tbl>
    <w:p>
      <w:pPr>
        <w:spacing w:line="360" w:lineRule="auto"/>
        <w:rPr>
          <w:rFonts w:hAnsi="宋体"/>
          <w:color w:val="auto"/>
          <w:highlight w:val="none"/>
        </w:rPr>
      </w:pPr>
      <w:r>
        <w:rPr>
          <w:rFonts w:hint="eastAsia" w:hAnsi="宋体"/>
          <w:color w:val="auto"/>
          <w:highlight w:val="none"/>
        </w:rPr>
        <w:t>注：总负责人和负责人按本工程的实际需求填写。</w:t>
      </w:r>
    </w:p>
    <w:p>
      <w:pPr>
        <w:spacing w:line="360" w:lineRule="auto"/>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color w:val="auto"/>
          <w:sz w:val="24"/>
          <w:highlight w:val="none"/>
        </w:rPr>
      </w:pPr>
      <w:r>
        <w:rPr>
          <w:rFonts w:hint="eastAsia" w:ascii="宋体" w:hAnsi="宋体"/>
          <w:b/>
          <w:bCs/>
          <w:color w:val="auto"/>
          <w:sz w:val="24"/>
          <w:highlight w:val="none"/>
        </w:rPr>
        <w:t>附录4</w:t>
      </w:r>
    </w:p>
    <w:p>
      <w:pPr>
        <w:ind w:left="178" w:leftChars="85"/>
        <w:jc w:val="center"/>
        <w:rPr>
          <w:rFonts w:ascii="宋体"/>
          <w:b/>
          <w:color w:val="auto"/>
          <w:sz w:val="32"/>
          <w:highlight w:val="none"/>
        </w:rPr>
      </w:pPr>
      <w:r>
        <w:rPr>
          <w:rFonts w:hint="eastAsia" w:ascii="宋体" w:hAnsi="宋体"/>
          <w:b/>
          <w:color w:val="auto"/>
          <w:sz w:val="32"/>
          <w:highlight w:val="none"/>
        </w:rPr>
        <w:t>勘察设计费报价表</w:t>
      </w:r>
    </w:p>
    <w:tbl>
      <w:tblPr>
        <w:tblStyle w:val="24"/>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33"/>
        <w:gridCol w:w="1485"/>
        <w:gridCol w:w="1267"/>
        <w:gridCol w:w="1457"/>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trPr>
        <w:tc>
          <w:tcPr>
            <w:tcW w:w="697" w:type="dxa"/>
            <w:vAlign w:val="center"/>
          </w:tcPr>
          <w:p>
            <w:pPr>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序号</w:t>
            </w:r>
          </w:p>
        </w:tc>
        <w:tc>
          <w:tcPr>
            <w:tcW w:w="1733" w:type="dxa"/>
            <w:vAlign w:val="center"/>
          </w:tcPr>
          <w:p>
            <w:pPr>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分项名称</w:t>
            </w:r>
          </w:p>
        </w:tc>
        <w:tc>
          <w:tcPr>
            <w:tcW w:w="1485" w:type="dxa"/>
            <w:vAlign w:val="center"/>
          </w:tcPr>
          <w:p>
            <w:pPr>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最高投标限价</w:t>
            </w:r>
          </w:p>
        </w:tc>
        <w:tc>
          <w:tcPr>
            <w:tcW w:w="1267" w:type="dxa"/>
            <w:vAlign w:val="center"/>
          </w:tcPr>
          <w:p>
            <w:pPr>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下浮率</w:t>
            </w:r>
          </w:p>
        </w:tc>
        <w:tc>
          <w:tcPr>
            <w:tcW w:w="1457" w:type="dxa"/>
            <w:vAlign w:val="center"/>
          </w:tcPr>
          <w:p>
            <w:pPr>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勘察设计费报价</w:t>
            </w:r>
          </w:p>
        </w:tc>
        <w:tc>
          <w:tcPr>
            <w:tcW w:w="2608" w:type="dxa"/>
            <w:vAlign w:val="center"/>
          </w:tcPr>
          <w:p>
            <w:pPr>
              <w:spacing w:line="360" w:lineRule="auto"/>
              <w:jc w:val="center"/>
              <w:rPr>
                <w:rFonts w:ascii="宋体" w:hAnsi="宋体" w:cs="宋体"/>
                <w:b/>
                <w:color w:val="auto"/>
                <w:kern w:val="0"/>
                <w:highlight w:val="none"/>
              </w:rPr>
            </w:pPr>
            <w:r>
              <w:rPr>
                <w:rFonts w:hint="eastAsia" w:ascii="宋体" w:hAnsi="宋体" w:cs="宋体"/>
                <w:b/>
                <w:color w:val="auto"/>
                <w:kern w:val="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cs="仿宋_GB2312"/>
                <w:color w:val="auto"/>
                <w:highlight w:val="none"/>
              </w:rPr>
            </w:pPr>
            <w:r>
              <w:rPr>
                <w:rFonts w:ascii="宋体" w:hAnsi="宋体" w:cs="仿宋_GB2312"/>
                <w:color w:val="auto"/>
                <w:highlight w:val="none"/>
              </w:rPr>
              <w:t>1</w:t>
            </w:r>
          </w:p>
        </w:tc>
        <w:tc>
          <w:tcPr>
            <w:tcW w:w="1733" w:type="dxa"/>
            <w:vAlign w:val="center"/>
          </w:tcPr>
          <w:p>
            <w:pPr>
              <w:spacing w:line="360" w:lineRule="auto"/>
              <w:jc w:val="center"/>
              <w:rPr>
                <w:rFonts w:ascii="宋体" w:cs="仿宋_GB2312"/>
                <w:color w:val="auto"/>
                <w:highlight w:val="none"/>
              </w:rPr>
            </w:pPr>
            <w:r>
              <w:rPr>
                <w:rFonts w:hint="eastAsia" w:ascii="宋体" w:hAnsi="宋体" w:cs="仿宋_GB2312"/>
                <w:color w:val="auto"/>
                <w:highlight w:val="none"/>
              </w:rPr>
              <w:t>勘察费</w:t>
            </w:r>
          </w:p>
        </w:tc>
        <w:tc>
          <w:tcPr>
            <w:tcW w:w="1485" w:type="dxa"/>
            <w:vAlign w:val="center"/>
          </w:tcPr>
          <w:p>
            <w:pPr>
              <w:spacing w:line="360" w:lineRule="auto"/>
              <w:jc w:val="center"/>
              <w:rPr>
                <w:rFonts w:ascii="宋体" w:hAnsi="宋体" w:cs="仿宋_GB2312"/>
                <w:color w:val="auto"/>
                <w:highlight w:val="none"/>
              </w:rPr>
            </w:pPr>
          </w:p>
        </w:tc>
        <w:tc>
          <w:tcPr>
            <w:tcW w:w="1267" w:type="dxa"/>
            <w:vAlign w:val="center"/>
          </w:tcPr>
          <w:p>
            <w:pPr>
              <w:spacing w:line="360" w:lineRule="auto"/>
              <w:jc w:val="center"/>
              <w:rPr>
                <w:rFonts w:ascii="宋体" w:hAnsi="宋体" w:cs="仿宋_GB2312"/>
                <w:color w:val="auto"/>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w:t>
            </w:r>
          </w:p>
        </w:tc>
        <w:tc>
          <w:tcPr>
            <w:tcW w:w="1457" w:type="dxa"/>
            <w:vAlign w:val="center"/>
          </w:tcPr>
          <w:p>
            <w:pPr>
              <w:spacing w:line="360" w:lineRule="auto"/>
              <w:jc w:val="center"/>
              <w:rPr>
                <w:rFonts w:ascii="宋体" w:hAnsi="宋体" w:cs="仿宋_GB2312"/>
                <w:color w:val="auto"/>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608" w:type="dxa"/>
            <w:vAlign w:val="center"/>
          </w:tcPr>
          <w:p>
            <w:pPr>
              <w:jc w:val="center"/>
              <w:rPr>
                <w:rFonts w:ascii="宋体" w:hAnsi="宋体" w:cs="仿宋_GB2312"/>
                <w:color w:val="auto"/>
                <w:highlight w:val="none"/>
              </w:rPr>
            </w:pPr>
            <w:r>
              <w:rPr>
                <w:rFonts w:hint="eastAsia" w:ascii="宋体" w:hAnsi="宋体" w:cs="仿宋_GB2312"/>
                <w:color w:val="auto"/>
                <w:highlight w:val="none"/>
              </w:rPr>
              <w:t>勘察费下浮率=（勘察费限价-勘察费）/勘察费限价*100%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trPr>
        <w:tc>
          <w:tcPr>
            <w:tcW w:w="697" w:type="dxa"/>
            <w:vAlign w:val="center"/>
          </w:tcPr>
          <w:p>
            <w:pPr>
              <w:spacing w:line="360" w:lineRule="auto"/>
              <w:jc w:val="center"/>
              <w:rPr>
                <w:rFonts w:ascii="宋体" w:cs="仿宋_GB2312"/>
                <w:color w:val="auto"/>
                <w:highlight w:val="none"/>
              </w:rPr>
            </w:pPr>
            <w:r>
              <w:rPr>
                <w:rFonts w:hint="eastAsia" w:ascii="宋体" w:hAnsi="宋体" w:cs="仿宋_GB2312"/>
                <w:color w:val="auto"/>
                <w:highlight w:val="none"/>
              </w:rPr>
              <w:t>2</w:t>
            </w:r>
          </w:p>
        </w:tc>
        <w:tc>
          <w:tcPr>
            <w:tcW w:w="1733" w:type="dxa"/>
            <w:vAlign w:val="center"/>
          </w:tcPr>
          <w:p>
            <w:pPr>
              <w:spacing w:line="360" w:lineRule="auto"/>
              <w:jc w:val="center"/>
              <w:rPr>
                <w:rFonts w:ascii="宋体" w:cs="仿宋_GB2312"/>
                <w:color w:val="auto"/>
                <w:highlight w:val="none"/>
              </w:rPr>
            </w:pPr>
            <w:r>
              <w:rPr>
                <w:rFonts w:hint="eastAsia" w:ascii="宋体" w:hAnsi="宋体" w:cs="仿宋_GB2312"/>
                <w:color w:val="auto"/>
                <w:highlight w:val="none"/>
              </w:rPr>
              <w:t>设计费</w:t>
            </w:r>
          </w:p>
        </w:tc>
        <w:tc>
          <w:tcPr>
            <w:tcW w:w="1485" w:type="dxa"/>
            <w:vAlign w:val="center"/>
          </w:tcPr>
          <w:p>
            <w:pPr>
              <w:spacing w:line="360" w:lineRule="auto"/>
              <w:jc w:val="center"/>
              <w:rPr>
                <w:rFonts w:ascii="宋体" w:hAnsi="宋体" w:cs="仿宋_GB2312"/>
                <w:color w:val="auto"/>
                <w:highlight w:val="none"/>
              </w:rPr>
            </w:pPr>
          </w:p>
        </w:tc>
        <w:tc>
          <w:tcPr>
            <w:tcW w:w="1267" w:type="dxa"/>
            <w:vAlign w:val="center"/>
          </w:tcPr>
          <w:p>
            <w:pPr>
              <w:spacing w:line="360" w:lineRule="auto"/>
              <w:jc w:val="center"/>
              <w:rPr>
                <w:rFonts w:ascii="宋体" w:hAnsi="宋体" w:cs="仿宋_GB2312"/>
                <w:color w:val="auto"/>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w:t>
            </w:r>
          </w:p>
        </w:tc>
        <w:tc>
          <w:tcPr>
            <w:tcW w:w="1457" w:type="dxa"/>
            <w:vAlign w:val="center"/>
          </w:tcPr>
          <w:p>
            <w:pPr>
              <w:spacing w:line="360" w:lineRule="auto"/>
              <w:jc w:val="center"/>
              <w:rPr>
                <w:rFonts w:ascii="宋体" w:hAnsi="宋体" w:cs="仿宋_GB2312"/>
                <w:color w:val="auto"/>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608" w:type="dxa"/>
            <w:vAlign w:val="center"/>
          </w:tcPr>
          <w:p>
            <w:pPr>
              <w:jc w:val="center"/>
              <w:rPr>
                <w:rFonts w:ascii="宋体" w:hAnsi="宋体" w:cs="仿宋_GB2312"/>
                <w:color w:val="auto"/>
                <w:highlight w:val="none"/>
              </w:rPr>
            </w:pPr>
            <w:r>
              <w:rPr>
                <w:rFonts w:hint="eastAsia" w:ascii="宋体" w:hAnsi="宋体" w:cs="仿宋_GB2312"/>
                <w:color w:val="auto"/>
                <w:highlight w:val="none"/>
              </w:rPr>
              <w:t>设计费下浮率=（设计费限价-设计费）/设计费限价*100%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697" w:type="dxa"/>
            <w:vAlign w:val="center"/>
          </w:tcPr>
          <w:p>
            <w:pPr>
              <w:spacing w:line="360" w:lineRule="auto"/>
              <w:jc w:val="center"/>
              <w:rPr>
                <w:rFonts w:ascii="宋体" w:cs="仿宋_GB2312"/>
                <w:color w:val="auto"/>
                <w:highlight w:val="none"/>
              </w:rPr>
            </w:pPr>
            <w:r>
              <w:rPr>
                <w:rFonts w:hint="eastAsia" w:ascii="宋体" w:cs="仿宋_GB2312"/>
                <w:color w:val="auto"/>
                <w:highlight w:val="none"/>
              </w:rPr>
              <w:t>3</w:t>
            </w:r>
          </w:p>
        </w:tc>
        <w:tc>
          <w:tcPr>
            <w:tcW w:w="1733" w:type="dxa"/>
            <w:vAlign w:val="center"/>
          </w:tcPr>
          <w:p>
            <w:pPr>
              <w:spacing w:line="360" w:lineRule="auto"/>
              <w:jc w:val="center"/>
              <w:rPr>
                <w:rFonts w:ascii="宋体" w:cs="仿宋_GB2312"/>
                <w:color w:val="auto"/>
                <w:highlight w:val="none"/>
              </w:rPr>
            </w:pPr>
            <w:r>
              <w:rPr>
                <w:rFonts w:hint="eastAsia" w:ascii="宋体" w:hAnsi="宋体" w:cs="仿宋_GB2312"/>
                <w:color w:val="auto"/>
                <w:highlight w:val="none"/>
              </w:rPr>
              <w:t>勘察设计费合计</w:t>
            </w:r>
          </w:p>
        </w:tc>
        <w:tc>
          <w:tcPr>
            <w:tcW w:w="1485" w:type="dxa"/>
            <w:vAlign w:val="center"/>
          </w:tcPr>
          <w:p>
            <w:pPr>
              <w:spacing w:line="360" w:lineRule="auto"/>
              <w:jc w:val="center"/>
              <w:rPr>
                <w:rFonts w:ascii="宋体" w:hAnsi="宋体" w:cs="仿宋_GB2312"/>
                <w:color w:val="auto"/>
                <w:highlight w:val="none"/>
              </w:rPr>
            </w:pPr>
          </w:p>
        </w:tc>
        <w:tc>
          <w:tcPr>
            <w:tcW w:w="1267" w:type="dxa"/>
            <w:vAlign w:val="center"/>
          </w:tcPr>
          <w:p>
            <w:pPr>
              <w:spacing w:line="360" w:lineRule="auto"/>
              <w:jc w:val="center"/>
              <w:rPr>
                <w:rFonts w:ascii="宋体" w:hAnsi="宋体" w:cs="仿宋_GB2312"/>
                <w:color w:val="auto"/>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w:t>
            </w:r>
          </w:p>
        </w:tc>
        <w:tc>
          <w:tcPr>
            <w:tcW w:w="1457" w:type="dxa"/>
            <w:vAlign w:val="center"/>
          </w:tcPr>
          <w:p>
            <w:pPr>
              <w:spacing w:line="360" w:lineRule="auto"/>
              <w:jc w:val="center"/>
              <w:rPr>
                <w:rFonts w:ascii="宋体" w:hAnsi="宋体" w:cs="仿宋_GB2312"/>
                <w:color w:val="auto"/>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608" w:type="dxa"/>
            <w:vAlign w:val="center"/>
          </w:tcPr>
          <w:p>
            <w:pPr>
              <w:jc w:val="center"/>
              <w:rPr>
                <w:rFonts w:ascii="宋体" w:hAnsi="宋体" w:cs="仿宋_GB2312"/>
                <w:color w:val="auto"/>
                <w:highlight w:val="none"/>
              </w:rPr>
            </w:pPr>
            <w:r>
              <w:rPr>
                <w:rFonts w:hint="eastAsia" w:ascii="宋体" w:hAnsi="宋体" w:cs="仿宋_GB2312"/>
                <w:color w:val="auto"/>
                <w:highlight w:val="none"/>
              </w:rPr>
              <w:t>勘察设计费下浮率=（勘察设计费限价-勘察设计费）/勘察设计费限价*100%</w:t>
            </w:r>
          </w:p>
        </w:tc>
      </w:tr>
    </w:tbl>
    <w:p>
      <w:pPr>
        <w:spacing w:line="360" w:lineRule="auto"/>
        <w:ind w:firstLine="420" w:firstLineChars="200"/>
        <w:rPr>
          <w:color w:val="auto"/>
          <w:highlight w:val="none"/>
          <w:u w:val="single"/>
        </w:rPr>
      </w:pPr>
      <w:r>
        <w:rPr>
          <w:rFonts w:hint="eastAsia" w:ascii="宋体" w:hAnsi="宋体" w:cs="仿宋_GB2312"/>
          <w:color w:val="auto"/>
          <w:highlight w:val="none"/>
        </w:rPr>
        <w:t>注释：投标人根据《勘察设计费报价表》、《工程勘察费用报价表（表2）》、《工程设计费用报价表（表3）》和本招标文件的要求对勘察设计费进行报价</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下浮率范围为0%-20%</w:t>
      </w:r>
      <w:r>
        <w:rPr>
          <w:rFonts w:hint="eastAsia" w:ascii="宋体" w:hAnsi="宋体" w:cs="仿宋_GB2312"/>
          <w:color w:val="auto"/>
          <w:highlight w:val="none"/>
        </w:rPr>
        <w:t>，投标人报价应不高于限价</w:t>
      </w:r>
      <w:r>
        <w:rPr>
          <w:rFonts w:hint="eastAsia"/>
          <w:color w:val="auto"/>
          <w:highlight w:val="none"/>
        </w:rPr>
        <w:t>。</w:t>
      </w: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p>
    <w:p>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工程勘察费用报价表（表2）</w:t>
      </w:r>
    </w:p>
    <w:tbl>
      <w:tblPr>
        <w:tblStyle w:val="24"/>
        <w:tblW w:w="8581" w:type="dxa"/>
        <w:jc w:val="center"/>
        <w:tblLayout w:type="fixed"/>
        <w:tblCellMar>
          <w:top w:w="0" w:type="dxa"/>
          <w:left w:w="108" w:type="dxa"/>
          <w:bottom w:w="0" w:type="dxa"/>
          <w:right w:w="108" w:type="dxa"/>
        </w:tblCellMar>
      </w:tblPr>
      <w:tblGrid>
        <w:gridCol w:w="723"/>
        <w:gridCol w:w="2996"/>
        <w:gridCol w:w="2476"/>
        <w:gridCol w:w="2386"/>
      </w:tblGrid>
      <w:tr>
        <w:tblPrEx>
          <w:tblCellMar>
            <w:top w:w="0" w:type="dxa"/>
            <w:left w:w="108" w:type="dxa"/>
            <w:bottom w:w="0" w:type="dxa"/>
            <w:right w:w="108" w:type="dxa"/>
          </w:tblCellMar>
        </w:tblPrEx>
        <w:trPr>
          <w:trHeight w:val="615"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分项名称</w:t>
            </w:r>
          </w:p>
        </w:tc>
        <w:tc>
          <w:tcPr>
            <w:tcW w:w="2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工程勘察费报价</w:t>
            </w:r>
          </w:p>
        </w:tc>
        <w:tc>
          <w:tcPr>
            <w:tcW w:w="238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岩土工程勘探费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auto"/>
                <w:szCs w:val="21"/>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工程测量费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auto"/>
                <w:szCs w:val="21"/>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工程物探费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auto"/>
                <w:szCs w:val="21"/>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476" w:type="dxa"/>
            <w:tcBorders>
              <w:top w:val="nil"/>
              <w:left w:val="nil"/>
              <w:bottom w:val="single" w:color="auto" w:sz="4" w:space="0"/>
              <w:right w:val="single" w:color="auto" w:sz="4" w:space="0"/>
            </w:tcBorders>
            <w:vAlign w:val="center"/>
          </w:tcPr>
          <w:p>
            <w:pPr>
              <w:spacing w:line="360" w:lineRule="auto"/>
              <w:rPr>
                <w:rFonts w:ascii="宋体" w:hAnsi="宋体" w:cs="宋体"/>
                <w:color w:val="auto"/>
                <w:szCs w:val="21"/>
                <w:highlight w:val="none"/>
              </w:rPr>
            </w:pP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勘察费小计</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auto"/>
                <w:szCs w:val="21"/>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auto"/>
                <w:szCs w:val="21"/>
                <w:highlight w:val="none"/>
              </w:rPr>
            </w:pPr>
          </w:p>
        </w:tc>
      </w:tr>
    </w:tbl>
    <w:p>
      <w:pPr>
        <w:rPr>
          <w:color w:val="auto"/>
          <w:highlight w:val="none"/>
          <w:u w:val="single"/>
        </w:rPr>
      </w:pPr>
      <w:r>
        <w:rPr>
          <w:rFonts w:hint="eastAsia" w:ascii="宋体" w:hAnsi="宋体" w:cs="仿宋_GB2312"/>
          <w:color w:val="auto"/>
          <w:highlight w:val="none"/>
        </w:rPr>
        <w:t>注：投标人根据《工程勘察费用报价表》和本招标文件的要求对勘察费进行报价，投标人报价应不高于限价</w:t>
      </w:r>
      <w:r>
        <w:rPr>
          <w:rFonts w:hint="eastAsia"/>
          <w:color w:val="auto"/>
          <w:highlight w:val="none"/>
        </w:rPr>
        <w:t>。</w:t>
      </w:r>
    </w:p>
    <w:p>
      <w:pPr>
        <w:rPr>
          <w:rFonts w:ascii="宋体" w:hAnsi="宋体"/>
          <w:b/>
          <w:bCs/>
          <w:color w:val="auto"/>
          <w:sz w:val="24"/>
          <w:highlight w:val="none"/>
        </w:rPr>
        <w:sectPr>
          <w:type w:val="nextColumn"/>
          <w:pgSz w:w="11906" w:h="16838"/>
          <w:pgMar w:top="1418" w:right="1588" w:bottom="1418" w:left="1588" w:header="851" w:footer="992" w:gutter="0"/>
          <w:cols w:space="720" w:num="1"/>
          <w:docGrid w:type="lines" w:linePitch="312" w:charSpace="0"/>
        </w:sectPr>
      </w:pPr>
    </w:p>
    <w:p>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工程设计费用报价表（表3）</w:t>
      </w:r>
    </w:p>
    <w:tbl>
      <w:tblPr>
        <w:tblStyle w:val="24"/>
        <w:tblW w:w="9796" w:type="dxa"/>
        <w:jc w:val="center"/>
        <w:tblLayout w:type="fixed"/>
        <w:tblCellMar>
          <w:top w:w="0" w:type="dxa"/>
          <w:left w:w="108" w:type="dxa"/>
          <w:bottom w:w="0" w:type="dxa"/>
          <w:right w:w="108" w:type="dxa"/>
        </w:tblCellMar>
      </w:tblPr>
      <w:tblGrid>
        <w:gridCol w:w="523"/>
        <w:gridCol w:w="2700"/>
        <w:gridCol w:w="1530"/>
        <w:gridCol w:w="2024"/>
        <w:gridCol w:w="3019"/>
      </w:tblGrid>
      <w:tr>
        <w:tblPrEx>
          <w:tblCellMar>
            <w:top w:w="0" w:type="dxa"/>
            <w:left w:w="108" w:type="dxa"/>
            <w:bottom w:w="0" w:type="dxa"/>
            <w:right w:w="108" w:type="dxa"/>
          </w:tblCellMar>
        </w:tblPrEx>
        <w:trPr>
          <w:trHeight w:val="615"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highlight w:val="none"/>
              </w:rPr>
            </w:pPr>
            <w:r>
              <w:rPr>
                <w:rFonts w:hint="eastAsia" w:ascii="宋体" w:hAnsi="宋体" w:cs="宋体"/>
                <w:b/>
                <w:color w:val="auto"/>
                <w:kern w:val="0"/>
                <w:highlight w:val="none"/>
              </w:rPr>
              <w:t>序号</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highlight w:val="none"/>
              </w:rPr>
            </w:pPr>
            <w:r>
              <w:rPr>
                <w:rFonts w:hint="eastAsia" w:ascii="宋体" w:hAnsi="宋体" w:cs="宋体"/>
                <w:b/>
                <w:color w:val="auto"/>
                <w:kern w:val="0"/>
                <w:highlight w:val="none"/>
              </w:rPr>
              <w:t>分项名称</w:t>
            </w:r>
          </w:p>
        </w:tc>
        <w:tc>
          <w:tcPr>
            <w:tcW w:w="1530" w:type="dxa"/>
            <w:tcBorders>
              <w:top w:val="single" w:color="auto" w:sz="4" w:space="0"/>
              <w:left w:val="nil"/>
              <w:bottom w:val="nil"/>
              <w:right w:val="single" w:color="auto" w:sz="4" w:space="0"/>
            </w:tcBorders>
            <w:vAlign w:val="center"/>
          </w:tcPr>
          <w:p>
            <w:pPr>
              <w:widowControl/>
              <w:jc w:val="center"/>
              <w:rPr>
                <w:rFonts w:ascii="宋体" w:hAnsi="宋体" w:cs="宋体"/>
                <w:b/>
                <w:color w:val="auto"/>
                <w:kern w:val="0"/>
                <w:highlight w:val="none"/>
              </w:rPr>
            </w:pPr>
            <w:r>
              <w:rPr>
                <w:rFonts w:hint="eastAsia" w:ascii="宋体" w:hAnsi="宋体" w:cs="宋体"/>
                <w:b/>
                <w:color w:val="auto"/>
                <w:kern w:val="0"/>
                <w:highlight w:val="none"/>
              </w:rPr>
              <w:t>估算建安费</w:t>
            </w:r>
          </w:p>
        </w:tc>
        <w:tc>
          <w:tcPr>
            <w:tcW w:w="20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highlight w:val="none"/>
              </w:rPr>
            </w:pPr>
            <w:r>
              <w:rPr>
                <w:rFonts w:hint="eastAsia" w:ascii="宋体" w:hAnsi="宋体" w:cs="宋体"/>
                <w:b/>
                <w:color w:val="auto"/>
                <w:kern w:val="0"/>
                <w:highlight w:val="none"/>
              </w:rPr>
              <w:t>工程设计费报价</w:t>
            </w:r>
          </w:p>
        </w:tc>
        <w:tc>
          <w:tcPr>
            <w:tcW w:w="30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kern w:val="0"/>
                <w:highlight w:val="none"/>
              </w:rPr>
            </w:pPr>
            <w:r>
              <w:rPr>
                <w:rFonts w:hint="eastAsia" w:ascii="宋体" w:hAnsi="宋体" w:cs="宋体"/>
                <w:b/>
                <w:color w:val="auto"/>
                <w:kern w:val="0"/>
                <w:highlight w:val="none"/>
              </w:rPr>
              <w:t>备注</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1</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道路工程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auto"/>
                <w:kern w:val="0"/>
                <w:highlight w:val="none"/>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rPr>
                <w:rFonts w:ascii="宋体" w:hAnsi="宋体" w:cs="宋体"/>
                <w:bCs/>
                <w:color w:val="auto"/>
                <w:kern w:val="0"/>
                <w:highlight w:val="none"/>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2</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交通工程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auto"/>
                <w:kern w:val="0"/>
                <w:highlight w:val="none"/>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3</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电力</w:t>
            </w:r>
            <w:r>
              <w:rPr>
                <w:rFonts w:hint="eastAsia" w:ascii="宋体" w:hAnsi="宋体" w:cs="宋体"/>
                <w:bCs/>
                <w:color w:val="auto"/>
                <w:kern w:val="0"/>
                <w:highlight w:val="none"/>
                <w:lang w:eastAsia="zh-CN"/>
              </w:rPr>
              <w:t>管沟</w:t>
            </w:r>
            <w:r>
              <w:rPr>
                <w:rFonts w:hint="eastAsia" w:ascii="宋体" w:hAnsi="宋体" w:cs="宋体"/>
                <w:bCs/>
                <w:color w:val="auto"/>
                <w:kern w:val="0"/>
                <w:highlight w:val="none"/>
              </w:rPr>
              <w:t>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auto"/>
                <w:kern w:val="0"/>
                <w:highlight w:val="none"/>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rPr>
                <w:rFonts w:ascii="宋体" w:hAnsi="宋体" w:cs="宋体"/>
                <w:bCs/>
                <w:color w:val="auto"/>
                <w:kern w:val="0"/>
                <w:highlight w:val="none"/>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4</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照明工程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jc w:val="left"/>
              <w:rPr>
                <w:rFonts w:hint="eastAsia" w:ascii="宋体" w:hAnsi="宋体" w:cs="仿宋_GB2312"/>
                <w:color w:val="auto"/>
                <w:highlight w:val="none"/>
                <w:u w:val="single"/>
                <w:lang w:val="en-US" w:eastAsia="zh-CN"/>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rPr>
                <w:rFonts w:ascii="宋体" w:hAnsi="宋体" w:cs="宋体"/>
                <w:bCs/>
                <w:color w:val="auto"/>
                <w:kern w:val="0"/>
                <w:highlight w:val="none"/>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5</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给水工程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auto"/>
                <w:kern w:val="0"/>
                <w:highlight w:val="none"/>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rPr>
                <w:rFonts w:ascii="宋体" w:hAnsi="宋体" w:cs="宋体"/>
                <w:bCs/>
                <w:color w:val="auto"/>
                <w:kern w:val="0"/>
                <w:highlight w:val="none"/>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1"/>
                <w:szCs w:val="24"/>
                <w:highlight w:val="none"/>
                <w:lang w:val="en-US" w:eastAsia="zh-CN" w:bidi="ar-SA"/>
              </w:rPr>
            </w:pPr>
            <w:r>
              <w:rPr>
                <w:rFonts w:hint="eastAsia" w:ascii="宋体" w:hAnsi="宋体" w:cs="宋体"/>
                <w:bCs/>
                <w:color w:val="auto"/>
                <w:kern w:val="0"/>
                <w:highlight w:val="none"/>
                <w:lang w:val="en-US" w:eastAsia="zh-CN"/>
              </w:rPr>
              <w:t>6</w:t>
            </w:r>
          </w:p>
        </w:tc>
        <w:tc>
          <w:tcPr>
            <w:tcW w:w="27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1"/>
                <w:szCs w:val="24"/>
                <w:highlight w:val="none"/>
                <w:lang w:val="en-US" w:eastAsia="zh-CN" w:bidi="ar-SA"/>
              </w:rPr>
            </w:pPr>
            <w:r>
              <w:rPr>
                <w:rFonts w:hint="eastAsia" w:ascii="宋体" w:hAnsi="宋体" w:cs="宋体"/>
                <w:bCs/>
                <w:color w:val="auto"/>
                <w:kern w:val="0"/>
                <w:highlight w:val="none"/>
              </w:rPr>
              <w:t>排水工程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eastAsia="宋体" w:cs="宋体"/>
                <w:bCs/>
                <w:color w:val="auto"/>
                <w:kern w:val="0"/>
                <w:sz w:val="21"/>
                <w:szCs w:val="24"/>
                <w:highlight w:val="none"/>
                <w:lang w:val="en-US" w:eastAsia="zh-CN" w:bidi="ar-SA"/>
              </w:rPr>
            </w:pPr>
          </w:p>
        </w:tc>
        <w:tc>
          <w:tcPr>
            <w:tcW w:w="20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1"/>
                <w:szCs w:val="24"/>
                <w:highlight w:val="none"/>
                <w:lang w:val="en-US" w:eastAsia="zh-CN" w:bidi="ar-SA"/>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auto"/>
                <w:kern w:val="0"/>
                <w:highlight w:val="none"/>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rPr>
                <w:rFonts w:hint="eastAsia" w:ascii="宋体" w:hAnsi="宋体" w:eastAsia="宋体" w:cs="宋体"/>
                <w:bCs/>
                <w:color w:val="auto"/>
                <w:kern w:val="0"/>
                <w:sz w:val="21"/>
                <w:szCs w:val="24"/>
                <w:highlight w:val="none"/>
                <w:lang w:val="en-US" w:eastAsia="zh-CN" w:bidi="ar-SA"/>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highlight w:val="none"/>
                <w:lang w:eastAsia="zh-CN"/>
              </w:rPr>
            </w:pPr>
            <w:r>
              <w:rPr>
                <w:rFonts w:hint="eastAsia" w:ascii="宋体" w:hAnsi="宋体" w:cs="宋体"/>
                <w:bCs/>
                <w:color w:val="auto"/>
                <w:kern w:val="0"/>
                <w:highlight w:val="none"/>
                <w:lang w:val="en-US" w:eastAsia="zh-CN"/>
              </w:rPr>
              <w:t>7</w:t>
            </w: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绿化工程</w:t>
            </w:r>
          </w:p>
        </w:tc>
        <w:tc>
          <w:tcPr>
            <w:tcW w:w="1530" w:type="dxa"/>
            <w:tcBorders>
              <w:top w:val="nil"/>
              <w:left w:val="nil"/>
              <w:bottom w:val="single" w:color="auto" w:sz="4" w:space="0"/>
              <w:right w:val="single" w:color="auto" w:sz="4" w:space="0"/>
            </w:tcBorders>
            <w:vAlign w:val="center"/>
          </w:tcPr>
          <w:p>
            <w:pPr>
              <w:widowControl/>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auto"/>
                <w:kern w:val="0"/>
                <w:highlight w:val="none"/>
              </w:rPr>
            </w:pPr>
            <w:r>
              <w:rPr>
                <w:rFonts w:hint="eastAsia" w:ascii="宋体" w:hAnsi="宋体" w:cs="宋体"/>
                <w:bCs/>
                <w:color w:val="auto"/>
                <w:kern w:val="0"/>
                <w:highlight w:val="none"/>
              </w:rPr>
              <w:t>专业调整系数</w:t>
            </w:r>
            <w:r>
              <w:rPr>
                <w:rFonts w:hint="eastAsia" w:ascii="宋体" w:hAnsi="宋体" w:cs="仿宋_GB2312"/>
                <w:color w:val="auto"/>
                <w:highlight w:val="none"/>
                <w:u w:val="single"/>
                <w:lang w:val="en-US" w:eastAsia="zh-CN"/>
              </w:rPr>
              <w:t xml:space="preserve">     </w:t>
            </w:r>
          </w:p>
          <w:p>
            <w:pPr>
              <w:widowControl/>
              <w:jc w:val="left"/>
              <w:rPr>
                <w:rFonts w:ascii="宋体" w:hAnsi="宋体" w:cs="宋体"/>
                <w:bCs/>
                <w:color w:val="auto"/>
                <w:kern w:val="0"/>
                <w:highlight w:val="none"/>
              </w:rPr>
            </w:pPr>
            <w:r>
              <w:rPr>
                <w:rFonts w:hint="eastAsia" w:ascii="宋体" w:hAnsi="宋体" w:cs="宋体"/>
                <w:bCs/>
                <w:color w:val="auto"/>
                <w:kern w:val="0"/>
                <w:highlight w:val="none"/>
              </w:rPr>
              <w:t>工程复杂程度调整系数</w:t>
            </w:r>
            <w:r>
              <w:rPr>
                <w:rFonts w:hint="eastAsia" w:ascii="宋体" w:hAnsi="宋体" w:cs="仿宋_GB2312"/>
                <w:color w:val="auto"/>
                <w:highlight w:val="none"/>
                <w:u w:val="single"/>
                <w:lang w:val="en-US" w:eastAsia="zh-CN"/>
              </w:rPr>
              <w:t xml:space="preserve">     </w:t>
            </w:r>
          </w:p>
          <w:p>
            <w:pPr>
              <w:widowControl/>
              <w:rPr>
                <w:rFonts w:ascii="宋体" w:hAnsi="宋体" w:cs="宋体"/>
                <w:bCs/>
                <w:color w:val="auto"/>
                <w:kern w:val="0"/>
                <w:highlight w:val="none"/>
              </w:rPr>
            </w:pPr>
            <w:r>
              <w:rPr>
                <w:rFonts w:hint="eastAsia" w:ascii="宋体" w:hAnsi="宋体" w:cs="宋体"/>
                <w:bCs/>
                <w:color w:val="auto"/>
                <w:kern w:val="0"/>
                <w:highlight w:val="none"/>
              </w:rPr>
              <w:t>附加调整系数</w:t>
            </w:r>
            <w:r>
              <w:rPr>
                <w:rFonts w:hint="eastAsia" w:ascii="宋体" w:hAnsi="宋体" w:cs="仿宋_GB2312"/>
                <w:color w:val="auto"/>
                <w:highlight w:val="none"/>
                <w:u w:val="single"/>
                <w:lang w:val="en-US" w:eastAsia="zh-CN"/>
              </w:rPr>
              <w:t xml:space="preserve">     </w:t>
            </w:r>
          </w:p>
        </w:tc>
      </w:tr>
      <w:tr>
        <w:tblPrEx>
          <w:tblCellMar>
            <w:top w:w="0" w:type="dxa"/>
            <w:left w:w="108" w:type="dxa"/>
            <w:bottom w:w="0" w:type="dxa"/>
            <w:right w:w="108" w:type="dxa"/>
          </w:tblCellMar>
        </w:tblPrEx>
        <w:trPr>
          <w:trHeight w:val="480"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p>
        </w:tc>
        <w:tc>
          <w:tcPr>
            <w:tcW w:w="270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color w:val="auto"/>
                <w:szCs w:val="21"/>
                <w:highlight w:val="none"/>
              </w:rPr>
              <w:t>……</w:t>
            </w:r>
          </w:p>
        </w:tc>
        <w:tc>
          <w:tcPr>
            <w:tcW w:w="1530"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p>
        </w:tc>
        <w:tc>
          <w:tcPr>
            <w:tcW w:w="3019"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highlight w:val="none"/>
              </w:rPr>
            </w:pPr>
          </w:p>
        </w:tc>
      </w:tr>
      <w:tr>
        <w:tblPrEx>
          <w:tblCellMar>
            <w:top w:w="0" w:type="dxa"/>
            <w:left w:w="108" w:type="dxa"/>
            <w:bottom w:w="0" w:type="dxa"/>
            <w:right w:w="108" w:type="dxa"/>
          </w:tblCellMar>
        </w:tblPrEx>
        <w:trPr>
          <w:trHeight w:val="480"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宋体"/>
                <w:bCs/>
                <w:color w:val="auto"/>
                <w:kern w:val="0"/>
                <w:highlight w:val="none"/>
              </w:rPr>
              <w:t>设计费</w:t>
            </w:r>
            <w:r>
              <w:rPr>
                <w:rFonts w:hint="eastAsia" w:ascii="宋体" w:hAnsi="宋体" w:cs="宋体"/>
                <w:color w:val="auto"/>
                <w:szCs w:val="21"/>
                <w:highlight w:val="none"/>
              </w:rPr>
              <w:t>小计</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kern w:val="0"/>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r>
              <w:rPr>
                <w:rFonts w:hint="eastAsia" w:ascii="宋体" w:hAnsi="宋体" w:cs="仿宋_GB2312"/>
                <w:color w:val="auto"/>
                <w:highlight w:val="none"/>
                <w:u w:val="single"/>
                <w:lang w:val="en-US" w:eastAsia="zh-CN"/>
              </w:rPr>
              <w:t xml:space="preserve">     </w:t>
            </w:r>
            <w:r>
              <w:rPr>
                <w:rFonts w:hint="eastAsia" w:ascii="宋体" w:hAnsi="宋体" w:cs="仿宋_GB2312"/>
                <w:color w:val="auto"/>
                <w:highlight w:val="none"/>
              </w:rPr>
              <w:t>万元</w:t>
            </w:r>
          </w:p>
        </w:tc>
        <w:tc>
          <w:tcPr>
            <w:tcW w:w="30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highlight w:val="none"/>
              </w:rPr>
            </w:pPr>
          </w:p>
        </w:tc>
      </w:tr>
    </w:tbl>
    <w:p>
      <w:pPr>
        <w:rPr>
          <w:color w:val="auto"/>
          <w:highlight w:val="none"/>
        </w:rPr>
      </w:pPr>
      <w:r>
        <w:rPr>
          <w:rFonts w:hint="eastAsia" w:ascii="宋体" w:hAnsi="宋体" w:cs="仿宋_GB2312"/>
          <w:color w:val="auto"/>
          <w:highlight w:val="none"/>
        </w:rPr>
        <w:t>注：投标人根据《工程设计费用报价表》和本招标文件的要求对设计费进行报价,并对各专业工程分别填报对应的专业调整系数、工程复杂程度调整系数、附加调整系数，投标人报价应不高于限价</w:t>
      </w:r>
      <w:r>
        <w:rPr>
          <w:rFonts w:hint="eastAsia"/>
          <w:color w:val="auto"/>
          <w:highlight w:val="none"/>
        </w:rPr>
        <w:t>。</w:t>
      </w: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pStyle w:val="30"/>
        <w:rPr>
          <w:color w:val="auto"/>
          <w:highlight w:val="none"/>
        </w:rPr>
      </w:pPr>
    </w:p>
    <w:p>
      <w:pPr>
        <w:rPr>
          <w:rFonts w:ascii="宋体" w:hAnsi="宋体"/>
          <w:b/>
          <w:bCs/>
          <w:color w:val="auto"/>
          <w:sz w:val="24"/>
          <w:highlight w:val="none"/>
        </w:rPr>
      </w:pPr>
      <w:r>
        <w:rPr>
          <w:rFonts w:hint="eastAsia" w:ascii="宋体" w:hAnsi="宋体"/>
          <w:b/>
          <w:bCs/>
          <w:color w:val="auto"/>
          <w:sz w:val="24"/>
          <w:highlight w:val="none"/>
        </w:rPr>
        <w:t>附录5</w:t>
      </w:r>
    </w:p>
    <w:p>
      <w:pPr>
        <w:jc w:val="center"/>
        <w:rPr>
          <w:rFonts w:ascii="宋体" w:hAnsi="宋体"/>
          <w:b/>
          <w:bCs/>
          <w:color w:val="auto"/>
          <w:sz w:val="32"/>
          <w:highlight w:val="none"/>
        </w:rPr>
      </w:pPr>
      <w:r>
        <w:rPr>
          <w:rFonts w:hint="eastAsia" w:ascii="宋体" w:hAnsi="宋体"/>
          <w:b/>
          <w:bCs/>
          <w:color w:val="auto"/>
          <w:sz w:val="32"/>
          <w:highlight w:val="none"/>
        </w:rPr>
        <w:t>投标书</w:t>
      </w:r>
    </w:p>
    <w:p>
      <w:pPr>
        <w:rPr>
          <w:rFonts w:ascii="宋体" w:hAnsi="宋体"/>
          <w:color w:val="auto"/>
          <w:highlight w:val="none"/>
        </w:rPr>
      </w:pPr>
    </w:p>
    <w:p>
      <w:pPr>
        <w:jc w:val="left"/>
        <w:rPr>
          <w:rFonts w:ascii="宋体" w:hAnsi="宋体"/>
          <w:color w:val="auto"/>
          <w:highlight w:val="none"/>
        </w:rPr>
      </w:pPr>
      <w:r>
        <w:rPr>
          <w:rFonts w:hint="eastAsia" w:ascii="宋体" w:hAnsi="宋体"/>
          <w:color w:val="auto"/>
          <w:highlight w:val="none"/>
        </w:rPr>
        <w:t>项目名称：</w:t>
      </w:r>
    </w:p>
    <w:p>
      <w:pPr>
        <w:pStyle w:val="15"/>
        <w:rPr>
          <w:rFonts w:hAnsi="宋体"/>
          <w:color w:val="auto"/>
          <w:highlight w:val="none"/>
        </w:rPr>
      </w:pPr>
    </w:p>
    <w:p>
      <w:pPr>
        <w:pStyle w:val="15"/>
        <w:rPr>
          <w:rFonts w:hAnsi="宋体"/>
          <w:color w:val="auto"/>
          <w:highlight w:val="none"/>
        </w:rPr>
      </w:pPr>
      <w:r>
        <w:rPr>
          <w:rFonts w:hint="eastAsia" w:hAnsi="宋体"/>
          <w:color w:val="auto"/>
          <w:highlight w:val="none"/>
        </w:rPr>
        <w:t>致：（招标人、招标代理机构名称）</w:t>
      </w:r>
    </w:p>
    <w:p>
      <w:pPr>
        <w:jc w:val="left"/>
        <w:rPr>
          <w:rFonts w:ascii="宋体" w:hAnsi="宋体"/>
          <w:color w:val="auto"/>
          <w:highlight w:val="none"/>
        </w:rPr>
      </w:pPr>
    </w:p>
    <w:p>
      <w:pPr>
        <w:pStyle w:val="15"/>
        <w:ind w:firstLine="420"/>
        <w:rPr>
          <w:rFonts w:hAnsi="宋体"/>
          <w:color w:val="auto"/>
          <w:highlight w:val="none"/>
        </w:rPr>
      </w:pPr>
      <w:r>
        <w:rPr>
          <w:rFonts w:hint="eastAsia" w:hAnsi="宋体"/>
          <w:color w:val="auto"/>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5"/>
        <w:ind w:firstLine="420"/>
        <w:rPr>
          <w:rFonts w:hAnsi="宋体"/>
          <w:color w:val="auto"/>
          <w:highlight w:val="none"/>
        </w:rPr>
      </w:pPr>
      <w:r>
        <w:rPr>
          <w:rFonts w:hint="eastAsia" w:hAnsi="宋体"/>
          <w:color w:val="auto"/>
          <w:highlight w:val="none"/>
        </w:rPr>
        <w:t>我方愿以人民币</w:t>
      </w:r>
      <w:r>
        <w:rPr>
          <w:rFonts w:hint="eastAsia" w:hAnsi="宋体"/>
          <w:color w:val="auto"/>
          <w:highlight w:val="none"/>
          <w:u w:val="single"/>
          <w:lang w:val="en-US" w:eastAsia="zh-CN"/>
        </w:rPr>
        <w:t xml:space="preserve">     </w:t>
      </w:r>
      <w:r>
        <w:rPr>
          <w:rFonts w:hint="eastAsia" w:hAnsi="宋体"/>
          <w:color w:val="auto"/>
          <w:highlight w:val="none"/>
        </w:rPr>
        <w:t>元（大写：</w:t>
      </w:r>
      <w:r>
        <w:rPr>
          <w:rFonts w:hint="eastAsia" w:hAnsi="宋体"/>
          <w:color w:val="auto"/>
          <w:highlight w:val="none"/>
          <w:u w:val="single"/>
          <w:lang w:val="en-US" w:eastAsia="zh-CN"/>
        </w:rPr>
        <w:t xml:space="preserve">    </w:t>
      </w:r>
      <w:r>
        <w:rPr>
          <w:rFonts w:hint="eastAsia" w:hAnsi="宋体"/>
          <w:color w:val="auto"/>
          <w:highlight w:val="none"/>
        </w:rPr>
        <w:t>元）</w:t>
      </w:r>
      <w:r>
        <w:rPr>
          <w:rFonts w:hAnsi="宋体"/>
          <w:color w:val="auto"/>
          <w:highlight w:val="none"/>
        </w:rPr>
        <w:t>[（其中：勘察费</w:t>
      </w:r>
      <w:r>
        <w:rPr>
          <w:rFonts w:hint="eastAsia" w:hAnsi="宋体"/>
          <w:color w:val="auto"/>
          <w:highlight w:val="none"/>
          <w:u w:val="single"/>
          <w:lang w:val="en-US" w:eastAsia="zh-CN"/>
        </w:rPr>
        <w:t xml:space="preserve">    </w:t>
      </w:r>
      <w:r>
        <w:rPr>
          <w:rFonts w:hint="eastAsia" w:hAnsi="宋体"/>
          <w:color w:val="auto"/>
          <w:highlight w:val="none"/>
        </w:rPr>
        <w:t>元；设计费</w:t>
      </w:r>
      <w:r>
        <w:rPr>
          <w:rFonts w:hint="eastAsia" w:hAnsi="宋体"/>
          <w:color w:val="auto"/>
          <w:highlight w:val="none"/>
          <w:u w:val="single"/>
          <w:lang w:val="en-US" w:eastAsia="zh-CN"/>
        </w:rPr>
        <w:t xml:space="preserve">    </w:t>
      </w:r>
      <w:r>
        <w:rPr>
          <w:rFonts w:hint="eastAsia" w:hAnsi="宋体"/>
          <w:color w:val="auto"/>
          <w:highlight w:val="none"/>
        </w:rPr>
        <w:t>元）]的投标总报价</w:t>
      </w:r>
      <w:r>
        <w:rPr>
          <w:rFonts w:hint="eastAsia" w:hAnsi="宋体"/>
          <w:color w:val="auto"/>
          <w:highlight w:val="none"/>
          <w:u w:val="single"/>
        </w:rPr>
        <w:t>（均填写已经下浮后的报价）</w:t>
      </w:r>
      <w:r>
        <w:rPr>
          <w:rFonts w:hint="eastAsia" w:hAnsi="宋体"/>
          <w:color w:val="auto"/>
          <w:highlight w:val="none"/>
        </w:rPr>
        <w:t>，承包本次招标所包含的工作，并承担任何质量缺陷责任。我方项目负责人为网上投标登记时选择的项目负责人。</w:t>
      </w:r>
    </w:p>
    <w:p>
      <w:pPr>
        <w:pStyle w:val="15"/>
        <w:rPr>
          <w:rFonts w:hAnsi="宋体"/>
          <w:color w:val="auto"/>
          <w:highlight w:val="none"/>
        </w:rPr>
      </w:pPr>
      <w:r>
        <w:rPr>
          <w:rFonts w:hint="eastAsia" w:hAnsi="宋体"/>
          <w:color w:val="auto"/>
          <w:highlight w:val="none"/>
        </w:rPr>
        <w:t xml:space="preserve">    我方遵守本投标书直至投标有效期满，在投标有效期满前，本投标书对我方一直具有约束力，随时可接受中标。我方承认所附投标文件资料为本投标书的一部分。</w:t>
      </w:r>
    </w:p>
    <w:p>
      <w:pPr>
        <w:pStyle w:val="15"/>
        <w:rPr>
          <w:rFonts w:hAnsi="宋体"/>
          <w:color w:val="auto"/>
          <w:highlight w:val="none"/>
        </w:rPr>
      </w:pPr>
      <w:r>
        <w:rPr>
          <w:rFonts w:hint="eastAsia" w:hAnsi="宋体"/>
          <w:color w:val="auto"/>
          <w:highlight w:val="none"/>
        </w:rPr>
        <w:t xml:space="preserve">    我方认同招标文件规定的评审规则，遵守评标委员会的裁决结果，并且不会采取妨碍项目进展的行为。</w:t>
      </w:r>
    </w:p>
    <w:p>
      <w:pPr>
        <w:pStyle w:val="15"/>
        <w:rPr>
          <w:rFonts w:hAnsi="宋体"/>
          <w:color w:val="auto"/>
          <w:highlight w:val="none"/>
        </w:rPr>
      </w:pPr>
      <w:r>
        <w:rPr>
          <w:rFonts w:hint="eastAsia" w:hAnsi="宋体"/>
          <w:color w:val="auto"/>
          <w:highlight w:val="none"/>
        </w:rPr>
        <w:t xml:space="preserve">    如果我方中标，我方将提供规定的履约担保，将在合同规定的日期开工，并在竣工时间内，按照上述文件完成项目。</w:t>
      </w:r>
    </w:p>
    <w:p>
      <w:pPr>
        <w:pStyle w:val="15"/>
        <w:ind w:firstLine="420"/>
        <w:rPr>
          <w:rFonts w:hAnsi="宋体"/>
          <w:color w:val="auto"/>
          <w:highlight w:val="none"/>
        </w:rPr>
      </w:pPr>
      <w:r>
        <w:rPr>
          <w:rFonts w:hint="eastAsia" w:hAnsi="宋体"/>
          <w:color w:val="auto"/>
          <w:highlight w:val="none"/>
        </w:rPr>
        <w:t>除非制定正式合同协议书并生效，本投标书以及你方中标通知书，应构成你我双方间具有约束力的合同。</w:t>
      </w:r>
    </w:p>
    <w:p>
      <w:pPr>
        <w:pStyle w:val="15"/>
        <w:ind w:firstLine="420"/>
        <w:rPr>
          <w:rFonts w:hAnsi="宋体"/>
          <w:color w:val="auto"/>
          <w:highlight w:val="none"/>
        </w:rPr>
      </w:pPr>
      <w:r>
        <w:rPr>
          <w:rFonts w:hint="eastAsia" w:hAnsi="宋体"/>
          <w:color w:val="auto"/>
          <w:highlight w:val="none"/>
        </w:rPr>
        <w:t>我方保证投标材料及其后提供的一切材料都是真实的；在</w:t>
      </w:r>
      <w:r>
        <w:rPr>
          <w:rFonts w:hint="eastAsia" w:hAnsi="宋体" w:cs="Times New Roman"/>
          <w:color w:val="auto"/>
          <w:highlight w:val="none"/>
          <w:u w:val="single"/>
        </w:rPr>
        <w:t>广州公共资源交易中心</w:t>
      </w:r>
      <w:r>
        <w:rPr>
          <w:rFonts w:hint="eastAsia" w:hAnsi="宋体"/>
          <w:color w:val="auto"/>
          <w:highlight w:val="none"/>
        </w:rPr>
        <w:t>企业库登记的一切信息都是真实的、在有效期内的。若与事实不符，经查实，我方愿意接受公开通报，承担由此带来的法律后果，并自愿停止参加广州市行政辖区内的招标投标活动三个月。</w:t>
      </w:r>
    </w:p>
    <w:p>
      <w:pPr>
        <w:pStyle w:val="15"/>
        <w:spacing w:line="360" w:lineRule="auto"/>
        <w:rPr>
          <w:rFonts w:hAnsi="宋体"/>
          <w:color w:val="auto"/>
          <w:highlight w:val="none"/>
        </w:rPr>
      </w:pPr>
      <w:r>
        <w:rPr>
          <w:rFonts w:hint="eastAsia" w:hAnsi="宋体"/>
          <w:color w:val="auto"/>
          <w:highlight w:val="none"/>
        </w:rPr>
        <w:t xml:space="preserve">    投标人：（盖章）</w:t>
      </w:r>
    </w:p>
    <w:p>
      <w:pPr>
        <w:pStyle w:val="15"/>
        <w:spacing w:line="360" w:lineRule="auto"/>
        <w:rPr>
          <w:rFonts w:hAnsi="宋体"/>
          <w:color w:val="auto"/>
          <w:highlight w:val="none"/>
        </w:rPr>
      </w:pPr>
      <w:r>
        <w:rPr>
          <w:rFonts w:hint="eastAsia" w:hAnsi="宋体"/>
          <w:color w:val="auto"/>
          <w:highlight w:val="none"/>
        </w:rPr>
        <w:t xml:space="preserve">    法定代表人：（签名或盖章）</w:t>
      </w:r>
    </w:p>
    <w:p>
      <w:pPr>
        <w:pStyle w:val="15"/>
        <w:spacing w:line="360" w:lineRule="auto"/>
        <w:rPr>
          <w:rFonts w:hAnsi="宋体"/>
          <w:color w:val="auto"/>
          <w:highlight w:val="none"/>
        </w:rPr>
      </w:pPr>
      <w:r>
        <w:rPr>
          <w:rFonts w:hint="eastAsia" w:hAnsi="宋体"/>
          <w:color w:val="auto"/>
          <w:highlight w:val="none"/>
        </w:rPr>
        <w:t xml:space="preserve">    委托代理人：（签名或盖章）</w:t>
      </w:r>
    </w:p>
    <w:p>
      <w:pPr>
        <w:pStyle w:val="15"/>
        <w:spacing w:line="360" w:lineRule="auto"/>
        <w:rPr>
          <w:rFonts w:hAnsi="宋体"/>
          <w:color w:val="auto"/>
          <w:highlight w:val="none"/>
        </w:rPr>
      </w:pPr>
      <w:r>
        <w:rPr>
          <w:rFonts w:hint="eastAsia" w:hAnsi="宋体"/>
          <w:color w:val="auto"/>
          <w:highlight w:val="none"/>
        </w:rPr>
        <w:t xml:space="preserve">    项目负责人：（签名或盖章）</w:t>
      </w:r>
    </w:p>
    <w:p>
      <w:pPr>
        <w:pStyle w:val="15"/>
        <w:spacing w:line="360" w:lineRule="auto"/>
        <w:rPr>
          <w:rFonts w:hAnsi="宋体"/>
          <w:color w:val="auto"/>
          <w:highlight w:val="none"/>
        </w:rPr>
      </w:pPr>
      <w:r>
        <w:rPr>
          <w:rFonts w:hint="eastAsia" w:hAnsi="宋体"/>
          <w:color w:val="auto"/>
          <w:highlight w:val="none"/>
        </w:rPr>
        <w:t xml:space="preserve">    地址：</w:t>
      </w:r>
    </w:p>
    <w:p>
      <w:pPr>
        <w:pStyle w:val="15"/>
        <w:spacing w:line="360" w:lineRule="auto"/>
        <w:rPr>
          <w:rFonts w:hAnsi="宋体"/>
          <w:color w:val="auto"/>
          <w:highlight w:val="none"/>
        </w:rPr>
      </w:pPr>
      <w:r>
        <w:rPr>
          <w:rFonts w:hint="eastAsia" w:hAnsi="宋体"/>
          <w:color w:val="auto"/>
          <w:highlight w:val="none"/>
        </w:rPr>
        <w:t xml:space="preserve">    邮政编码：</w:t>
      </w:r>
    </w:p>
    <w:p>
      <w:pPr>
        <w:pStyle w:val="15"/>
        <w:spacing w:line="360" w:lineRule="auto"/>
        <w:rPr>
          <w:rFonts w:hAnsi="宋体"/>
          <w:color w:val="auto"/>
          <w:highlight w:val="none"/>
        </w:rPr>
      </w:pPr>
      <w:r>
        <w:rPr>
          <w:rFonts w:hint="eastAsia" w:hAnsi="宋体"/>
          <w:color w:val="auto"/>
          <w:highlight w:val="none"/>
        </w:rPr>
        <w:t xml:space="preserve">    电话/传真：</w:t>
      </w:r>
      <w:r>
        <w:rPr>
          <w:rFonts w:hint="eastAsia" w:hAnsi="宋体"/>
          <w:color w:val="auto"/>
          <w:highlight w:val="none"/>
          <w:u w:val="single"/>
        </w:rPr>
        <w:t xml:space="preserve">                    /FAX              </w:t>
      </w:r>
    </w:p>
    <w:p>
      <w:pPr>
        <w:pStyle w:val="15"/>
        <w:spacing w:line="360" w:lineRule="auto"/>
        <w:rPr>
          <w:rFonts w:hAnsi="宋体"/>
          <w:color w:val="auto"/>
          <w:highlight w:val="none"/>
        </w:rPr>
      </w:pPr>
      <w:r>
        <w:rPr>
          <w:rFonts w:hint="eastAsia" w:hAnsi="宋体"/>
          <w:color w:val="auto"/>
          <w:highlight w:val="none"/>
        </w:rPr>
        <w:t xml:space="preserve">    电子邮箱：</w:t>
      </w:r>
    </w:p>
    <w:p>
      <w:pPr>
        <w:pStyle w:val="15"/>
        <w:spacing w:line="360" w:lineRule="auto"/>
        <w:rPr>
          <w:rFonts w:hAnsi="宋体"/>
          <w:color w:val="auto"/>
          <w:highlight w:val="none"/>
        </w:rPr>
      </w:pPr>
      <w:r>
        <w:rPr>
          <w:rFonts w:hint="eastAsia" w:hAnsi="宋体"/>
          <w:color w:val="auto"/>
          <w:highlight w:val="none"/>
        </w:rPr>
        <w:t xml:space="preserve">    开户银行名称、帐号：</w:t>
      </w:r>
    </w:p>
    <w:p>
      <w:pPr>
        <w:pStyle w:val="15"/>
        <w:spacing w:line="360" w:lineRule="auto"/>
        <w:rPr>
          <w:rFonts w:hAnsi="宋体"/>
          <w:color w:val="auto"/>
          <w:highlight w:val="none"/>
        </w:rPr>
      </w:pPr>
      <w:r>
        <w:rPr>
          <w:rFonts w:hint="eastAsia" w:hAnsi="宋体"/>
          <w:color w:val="auto"/>
          <w:highlight w:val="none"/>
        </w:rPr>
        <w:t xml:space="preserve">    开户行地址/电话：</w:t>
      </w:r>
    </w:p>
    <w:p>
      <w:pPr>
        <w:pStyle w:val="15"/>
        <w:rPr>
          <w:rFonts w:hAnsi="宋体"/>
          <w:color w:val="auto"/>
          <w:highlight w:val="none"/>
        </w:rPr>
      </w:pPr>
    </w:p>
    <w:p>
      <w:pPr>
        <w:pStyle w:val="15"/>
        <w:rPr>
          <w:rFonts w:hAnsi="宋体"/>
          <w:color w:val="auto"/>
          <w:highlight w:val="none"/>
        </w:rPr>
      </w:pPr>
      <w:r>
        <w:rPr>
          <w:rFonts w:hint="eastAsia" w:hAnsi="宋体"/>
          <w:color w:val="auto"/>
          <w:highlight w:val="none"/>
        </w:rPr>
        <w:t xml:space="preserve">                                     日期：       年    月    日</w:t>
      </w:r>
    </w:p>
    <w:p>
      <w:pPr>
        <w:rPr>
          <w:rFonts w:ascii="宋体" w:hAnsi="宋体"/>
          <w:b/>
          <w:bCs/>
          <w:color w:val="auto"/>
          <w:highlight w:val="none"/>
        </w:rPr>
      </w:pPr>
      <w:r>
        <w:rPr>
          <w:rFonts w:ascii="宋体" w:hAnsi="宋体"/>
          <w:color w:val="auto"/>
          <w:sz w:val="24"/>
          <w:highlight w:val="none"/>
        </w:rPr>
        <w:br w:type="page"/>
      </w:r>
      <w:r>
        <w:rPr>
          <w:rFonts w:hint="eastAsia" w:ascii="宋体" w:hAnsi="宋体"/>
          <w:b/>
          <w:bCs/>
          <w:color w:val="auto"/>
          <w:highlight w:val="none"/>
        </w:rPr>
        <w:t>附录6</w:t>
      </w:r>
      <w:r>
        <w:rPr>
          <w:rFonts w:hint="eastAsia" w:ascii="宋体" w:hAnsi="宋体"/>
          <w:color w:val="auto"/>
          <w:highlight w:val="none"/>
        </w:rPr>
        <w:t>（如果招标人接受联合体，则与投标书一起递交）</w:t>
      </w:r>
    </w:p>
    <w:p>
      <w:pPr>
        <w:jc w:val="center"/>
        <w:rPr>
          <w:rFonts w:ascii="宋体" w:hAnsi="宋体"/>
          <w:color w:val="auto"/>
          <w:sz w:val="24"/>
          <w:highlight w:val="none"/>
        </w:rPr>
      </w:pPr>
      <w:r>
        <w:rPr>
          <w:rFonts w:hint="eastAsia" w:ascii="宋体" w:hAnsi="宋体"/>
          <w:b/>
          <w:bCs/>
          <w:color w:val="auto"/>
          <w:sz w:val="32"/>
          <w:highlight w:val="none"/>
        </w:rPr>
        <w:t>联合体共同投标协议</w:t>
      </w:r>
    </w:p>
    <w:p>
      <w:pPr>
        <w:rPr>
          <w:rFonts w:ascii="宋体" w:hAnsi="宋体"/>
          <w:color w:val="auto"/>
          <w:sz w:val="24"/>
          <w:highlight w:val="none"/>
        </w:rPr>
      </w:pPr>
    </w:p>
    <w:p>
      <w:pPr>
        <w:jc w:val="left"/>
        <w:rPr>
          <w:rFonts w:ascii="宋体" w:hAnsi="宋体"/>
          <w:color w:val="auto"/>
          <w:highlight w:val="none"/>
        </w:rPr>
      </w:pPr>
      <w:r>
        <w:rPr>
          <w:rFonts w:hint="eastAsia" w:ascii="宋体" w:hAnsi="宋体"/>
          <w:color w:val="auto"/>
          <w:highlight w:val="none"/>
        </w:rPr>
        <w:t>投标项目名称：</w:t>
      </w:r>
    </w:p>
    <w:p>
      <w:pPr>
        <w:pStyle w:val="15"/>
        <w:rPr>
          <w:rFonts w:hAnsi="宋体"/>
          <w:color w:val="auto"/>
          <w:highlight w:val="none"/>
        </w:rPr>
      </w:pPr>
    </w:p>
    <w:p>
      <w:pPr>
        <w:pStyle w:val="15"/>
        <w:rPr>
          <w:rFonts w:hAnsi="宋体"/>
          <w:color w:val="auto"/>
          <w:highlight w:val="none"/>
        </w:rPr>
      </w:pPr>
      <w:r>
        <w:rPr>
          <w:rFonts w:hint="eastAsia" w:hAnsi="宋体"/>
          <w:color w:val="auto"/>
          <w:highlight w:val="none"/>
        </w:rPr>
        <w:t>致：（招标人、招标代理机构名称）</w:t>
      </w:r>
    </w:p>
    <w:p>
      <w:pPr>
        <w:jc w:val="left"/>
        <w:rPr>
          <w:rFonts w:ascii="宋体" w:hAnsi="宋体"/>
          <w:color w:val="auto"/>
          <w:sz w:val="24"/>
          <w:highlight w:val="none"/>
        </w:rPr>
      </w:pPr>
    </w:p>
    <w:p>
      <w:pPr>
        <w:pStyle w:val="15"/>
        <w:rPr>
          <w:rFonts w:hAnsi="宋体"/>
          <w:color w:val="auto"/>
          <w:highlight w:val="none"/>
        </w:rPr>
      </w:pPr>
      <w:r>
        <w:rPr>
          <w:rFonts w:hint="eastAsia" w:hAnsi="宋体"/>
          <w:color w:val="auto"/>
          <w:highlight w:val="none"/>
        </w:rPr>
        <w:t xml:space="preserve">    我方决定组成联合体共同参加以上项目的投标，若中标，联合体各成员向招标人承担连带责任</w:t>
      </w:r>
      <w:r>
        <w:rPr>
          <w:rFonts w:hint="eastAsia" w:hAnsi="宋体"/>
          <w:color w:val="auto"/>
          <w:szCs w:val="21"/>
          <w:highlight w:val="none"/>
        </w:rPr>
        <w:t>。</w:t>
      </w:r>
      <w:r>
        <w:rPr>
          <w:rFonts w:hint="eastAsia" w:hAnsi="宋体"/>
          <w:color w:val="auto"/>
          <w:highlight w:val="none"/>
        </w:rPr>
        <w:t>我方</w:t>
      </w:r>
      <w:r>
        <w:rPr>
          <w:rFonts w:hint="eastAsia" w:hAnsi="宋体"/>
          <w:color w:val="auto"/>
          <w:szCs w:val="21"/>
          <w:highlight w:val="none"/>
        </w:rPr>
        <w:t>授权委托本协议牵头人，代表所有联合体成员参加投标、提交投标文件，以及与招标人签订合同，负责整个合同实施阶段的协调工作。</w:t>
      </w:r>
    </w:p>
    <w:p>
      <w:pPr>
        <w:rPr>
          <w:rFonts w:ascii="宋体" w:hAnsi="宋体"/>
          <w:color w:val="auto"/>
          <w:highlight w:val="none"/>
        </w:rPr>
      </w:pPr>
    </w:p>
    <w:p>
      <w:pPr>
        <w:pStyle w:val="15"/>
        <w:rPr>
          <w:rFonts w:hAnsi="宋体"/>
          <w:color w:val="auto"/>
          <w:highlight w:val="none"/>
        </w:rPr>
      </w:pPr>
    </w:p>
    <w:p>
      <w:pPr>
        <w:pStyle w:val="15"/>
        <w:spacing w:line="360" w:lineRule="auto"/>
        <w:rPr>
          <w:rFonts w:hAnsi="宋体"/>
          <w:color w:val="auto"/>
          <w:highlight w:val="none"/>
        </w:rPr>
      </w:pPr>
      <w:r>
        <w:rPr>
          <w:rFonts w:hint="eastAsia" w:hAnsi="宋体"/>
          <w:color w:val="auto"/>
          <w:highlight w:val="none"/>
        </w:rPr>
        <w:t xml:space="preserve">    投标</w:t>
      </w:r>
      <w:r>
        <w:rPr>
          <w:rFonts w:hint="eastAsia" w:hAnsi="宋体"/>
          <w:color w:val="auto"/>
          <w:szCs w:val="21"/>
          <w:highlight w:val="none"/>
        </w:rPr>
        <w:t>牵头人</w:t>
      </w:r>
      <w:r>
        <w:rPr>
          <w:rFonts w:hint="eastAsia" w:hAnsi="宋体"/>
          <w:color w:val="auto"/>
          <w:highlight w:val="none"/>
        </w:rPr>
        <w:t>：（盖章）</w:t>
      </w:r>
    </w:p>
    <w:p>
      <w:pPr>
        <w:pStyle w:val="15"/>
        <w:spacing w:line="360" w:lineRule="auto"/>
        <w:rPr>
          <w:rFonts w:hAnsi="宋体"/>
          <w:color w:val="auto"/>
          <w:highlight w:val="none"/>
        </w:rPr>
      </w:pPr>
      <w:r>
        <w:rPr>
          <w:rFonts w:hint="eastAsia" w:hAnsi="宋体"/>
          <w:color w:val="auto"/>
          <w:highlight w:val="none"/>
        </w:rPr>
        <w:t xml:space="preserve">    法定代表人：（签名或盖章）</w:t>
      </w:r>
    </w:p>
    <w:p>
      <w:pPr>
        <w:pStyle w:val="15"/>
        <w:spacing w:line="360" w:lineRule="auto"/>
        <w:rPr>
          <w:rFonts w:hAnsi="宋体"/>
          <w:color w:val="auto"/>
          <w:highlight w:val="none"/>
        </w:rPr>
      </w:pPr>
      <w:r>
        <w:rPr>
          <w:rFonts w:hint="eastAsia" w:hAnsi="宋体"/>
          <w:color w:val="auto"/>
          <w:highlight w:val="none"/>
        </w:rPr>
        <w:t xml:space="preserve">    委托代理人：（签名或盖章）</w:t>
      </w:r>
    </w:p>
    <w:p>
      <w:pPr>
        <w:pStyle w:val="15"/>
        <w:spacing w:line="360" w:lineRule="auto"/>
        <w:rPr>
          <w:rFonts w:hAnsi="宋体"/>
          <w:color w:val="auto"/>
          <w:highlight w:val="none"/>
        </w:rPr>
      </w:pPr>
      <w:r>
        <w:rPr>
          <w:rFonts w:hint="eastAsia" w:hAnsi="宋体"/>
          <w:color w:val="auto"/>
          <w:highlight w:val="none"/>
        </w:rPr>
        <w:t xml:space="preserve">    地址：</w:t>
      </w:r>
    </w:p>
    <w:p>
      <w:pPr>
        <w:pStyle w:val="15"/>
        <w:spacing w:line="360" w:lineRule="auto"/>
        <w:rPr>
          <w:rFonts w:hAnsi="宋体"/>
          <w:color w:val="auto"/>
          <w:highlight w:val="none"/>
        </w:rPr>
      </w:pPr>
      <w:r>
        <w:rPr>
          <w:rFonts w:hint="eastAsia" w:hAnsi="宋体"/>
          <w:color w:val="auto"/>
          <w:highlight w:val="none"/>
        </w:rPr>
        <w:t xml:space="preserve">    邮政编码：电话/传真：</w:t>
      </w:r>
    </w:p>
    <w:p>
      <w:pPr>
        <w:pStyle w:val="15"/>
        <w:spacing w:line="360" w:lineRule="auto"/>
        <w:rPr>
          <w:rFonts w:hAnsi="宋体"/>
          <w:color w:val="auto"/>
          <w:highlight w:val="none"/>
        </w:rPr>
      </w:pPr>
      <w:r>
        <w:rPr>
          <w:rFonts w:hint="eastAsia" w:hAnsi="宋体"/>
          <w:color w:val="auto"/>
          <w:highlight w:val="none"/>
        </w:rPr>
        <w:t xml:space="preserve">    分工内容：</w:t>
      </w:r>
    </w:p>
    <w:p>
      <w:pPr>
        <w:pStyle w:val="15"/>
        <w:spacing w:line="360" w:lineRule="auto"/>
        <w:rPr>
          <w:rFonts w:hAnsi="宋体"/>
          <w:color w:val="auto"/>
          <w:highlight w:val="none"/>
        </w:rPr>
      </w:pPr>
    </w:p>
    <w:p>
      <w:pPr>
        <w:pStyle w:val="15"/>
        <w:spacing w:line="360" w:lineRule="auto"/>
        <w:rPr>
          <w:rFonts w:hAnsi="宋体"/>
          <w:color w:val="auto"/>
          <w:highlight w:val="none"/>
        </w:rPr>
      </w:pPr>
      <w:r>
        <w:rPr>
          <w:rFonts w:hint="eastAsia" w:hAnsi="宋体"/>
          <w:color w:val="auto"/>
          <w:highlight w:val="none"/>
        </w:rPr>
        <w:t xml:space="preserve">    联合体成员：（盖章）</w:t>
      </w:r>
    </w:p>
    <w:p>
      <w:pPr>
        <w:pStyle w:val="15"/>
        <w:spacing w:line="360" w:lineRule="auto"/>
        <w:rPr>
          <w:rFonts w:hAnsi="宋体"/>
          <w:color w:val="auto"/>
          <w:highlight w:val="none"/>
        </w:rPr>
      </w:pPr>
      <w:r>
        <w:rPr>
          <w:rFonts w:hint="eastAsia" w:hAnsi="宋体"/>
          <w:color w:val="auto"/>
          <w:highlight w:val="none"/>
        </w:rPr>
        <w:t xml:space="preserve">    法定代表人：（签名或盖章）</w:t>
      </w:r>
    </w:p>
    <w:p>
      <w:pPr>
        <w:pStyle w:val="15"/>
        <w:spacing w:line="360" w:lineRule="auto"/>
        <w:rPr>
          <w:rFonts w:hAnsi="宋体"/>
          <w:color w:val="auto"/>
          <w:highlight w:val="none"/>
        </w:rPr>
      </w:pPr>
      <w:r>
        <w:rPr>
          <w:rFonts w:hint="eastAsia" w:hAnsi="宋体"/>
          <w:color w:val="auto"/>
          <w:highlight w:val="none"/>
        </w:rPr>
        <w:t xml:space="preserve">    委托代理人：（签名或盖章）</w:t>
      </w:r>
    </w:p>
    <w:p>
      <w:pPr>
        <w:pStyle w:val="15"/>
        <w:spacing w:line="360" w:lineRule="auto"/>
        <w:rPr>
          <w:rFonts w:hAnsi="宋体"/>
          <w:color w:val="auto"/>
          <w:highlight w:val="none"/>
        </w:rPr>
      </w:pPr>
      <w:r>
        <w:rPr>
          <w:rFonts w:hint="eastAsia" w:hAnsi="宋体"/>
          <w:color w:val="auto"/>
          <w:highlight w:val="none"/>
        </w:rPr>
        <w:t xml:space="preserve">    地址：</w:t>
      </w:r>
    </w:p>
    <w:p>
      <w:pPr>
        <w:pStyle w:val="15"/>
        <w:spacing w:line="360" w:lineRule="auto"/>
        <w:rPr>
          <w:rFonts w:hAnsi="宋体"/>
          <w:color w:val="auto"/>
          <w:highlight w:val="none"/>
        </w:rPr>
      </w:pPr>
      <w:r>
        <w:rPr>
          <w:rFonts w:hint="eastAsia" w:hAnsi="宋体"/>
          <w:color w:val="auto"/>
          <w:highlight w:val="none"/>
        </w:rPr>
        <w:t xml:space="preserve">    邮政编码：电话/传真：</w:t>
      </w:r>
    </w:p>
    <w:p>
      <w:pPr>
        <w:pStyle w:val="15"/>
        <w:spacing w:line="360" w:lineRule="auto"/>
        <w:rPr>
          <w:rFonts w:hAnsi="宋体"/>
          <w:color w:val="auto"/>
          <w:highlight w:val="none"/>
        </w:rPr>
      </w:pPr>
      <w:r>
        <w:rPr>
          <w:rFonts w:hint="eastAsia" w:hAnsi="宋体"/>
          <w:color w:val="auto"/>
          <w:highlight w:val="none"/>
        </w:rPr>
        <w:t xml:space="preserve">    分工内容：</w:t>
      </w:r>
    </w:p>
    <w:p>
      <w:pPr>
        <w:pStyle w:val="15"/>
        <w:spacing w:line="360" w:lineRule="auto"/>
        <w:rPr>
          <w:rFonts w:hAnsi="宋体"/>
          <w:color w:val="auto"/>
          <w:highlight w:val="none"/>
        </w:rPr>
      </w:pPr>
    </w:p>
    <w:p>
      <w:pPr>
        <w:pStyle w:val="15"/>
        <w:spacing w:line="360" w:lineRule="auto"/>
        <w:rPr>
          <w:rFonts w:hAnsi="宋体"/>
          <w:color w:val="auto"/>
          <w:highlight w:val="none"/>
        </w:rPr>
      </w:pPr>
    </w:p>
    <w:p>
      <w:pPr>
        <w:pStyle w:val="15"/>
        <w:spacing w:line="360" w:lineRule="auto"/>
        <w:rPr>
          <w:rFonts w:hAnsi="宋体"/>
          <w:color w:val="auto"/>
          <w:highlight w:val="none"/>
        </w:rPr>
      </w:pPr>
    </w:p>
    <w:p>
      <w:pPr>
        <w:pStyle w:val="15"/>
        <w:spacing w:line="360" w:lineRule="auto"/>
        <w:rPr>
          <w:rFonts w:hAnsi="宋体"/>
          <w:color w:val="auto"/>
          <w:highlight w:val="none"/>
        </w:rPr>
      </w:pPr>
    </w:p>
    <w:p>
      <w:pPr>
        <w:pStyle w:val="15"/>
        <w:spacing w:line="360" w:lineRule="auto"/>
        <w:rPr>
          <w:rFonts w:hAnsi="宋体"/>
          <w:color w:val="auto"/>
          <w:highlight w:val="none"/>
        </w:rPr>
      </w:pPr>
    </w:p>
    <w:p>
      <w:pPr>
        <w:rPr>
          <w:rFonts w:ascii="宋体" w:hAnsi="宋体"/>
          <w:color w:val="auto"/>
          <w:highlight w:val="none"/>
        </w:rPr>
      </w:pPr>
      <w:r>
        <w:rPr>
          <w:rFonts w:hint="eastAsia" w:ascii="宋体" w:hAnsi="宋体"/>
          <w:color w:val="auto"/>
          <w:highlight w:val="none"/>
        </w:rPr>
        <w:t xml:space="preserve">                                 签订日期：       年    月    日</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法人证明书或法人授权委托书格式</w:t>
      </w:r>
      <w:r>
        <w:rPr>
          <w:rFonts w:ascii="宋体" w:hAnsi="宋体"/>
          <w:color w:val="auto"/>
          <w:sz w:val="24"/>
          <w:highlight w:val="none"/>
        </w:rPr>
        <w:t>：</w:t>
      </w:r>
      <w:r>
        <w:rPr>
          <w:rFonts w:hint="eastAsia" w:ascii="宋体" w:hAnsi="宋体"/>
          <w:color w:val="auto"/>
          <w:sz w:val="24"/>
          <w:highlight w:val="none"/>
        </w:rPr>
        <w:t>（原件放在正本上，副本可用复印件）</w:t>
      </w:r>
    </w:p>
    <w:p>
      <w:pPr>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4"/>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现任我单位</w:t>
            </w:r>
            <w:r>
              <w:rPr>
                <w:rFonts w:hint="eastAsia" w:ascii="宋体" w:hAnsi="宋体"/>
                <w:color w:val="auto"/>
                <w:sz w:val="24"/>
                <w:highlight w:val="none"/>
                <w:u w:val="single"/>
              </w:rPr>
              <w:t>　　　　　</w:t>
            </w:r>
            <w:r>
              <w:rPr>
                <w:rFonts w:hint="eastAsia" w:ascii="宋体" w:hAnsi="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附：法定代表人（负责人）性别：</w:t>
            </w:r>
            <w:r>
              <w:rPr>
                <w:rFonts w:hint="eastAsia" w:ascii="宋体" w:hAnsi="宋体"/>
                <w:color w:val="auto"/>
                <w:sz w:val="24"/>
                <w:highlight w:val="none"/>
                <w:u w:val="single"/>
              </w:rPr>
              <w:t>　　</w:t>
            </w:r>
            <w:r>
              <w:rPr>
                <w:rFonts w:hint="eastAsia" w:ascii="宋体" w:hAnsi="宋体"/>
                <w:color w:val="auto"/>
                <w:sz w:val="24"/>
                <w:highlight w:val="none"/>
              </w:rPr>
              <w:t>年龄：</w:t>
            </w:r>
            <w:r>
              <w:rPr>
                <w:rFonts w:hint="eastAsia" w:ascii="宋体" w:hAnsi="宋体"/>
                <w:color w:val="auto"/>
                <w:sz w:val="24"/>
                <w:highlight w:val="none"/>
                <w:u w:val="single"/>
              </w:rPr>
              <w:t>　　</w:t>
            </w:r>
            <w:r>
              <w:rPr>
                <w:rFonts w:hint="eastAsia" w:ascii="宋体" w:hAnsi="宋体"/>
                <w:color w:val="auto"/>
                <w:sz w:val="24"/>
                <w:highlight w:val="none"/>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hint="eastAsia" w:ascii="宋体" w:hAnsi="宋体"/>
                <w:color w:val="auto"/>
                <w:sz w:val="24"/>
                <w:highlight w:val="none"/>
                <w:u w:val="single"/>
              </w:rPr>
              <w:t>　　　　　　　　　　</w:t>
            </w:r>
            <w:r>
              <w:rPr>
                <w:rFonts w:hint="eastAsia" w:ascii="宋体" w:hAnsi="宋体"/>
                <w:color w:val="auto"/>
                <w:sz w:val="24"/>
                <w:highlight w:val="none"/>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　　　　　    年　  月　　日</w:t>
            </w:r>
          </w:p>
        </w:tc>
      </w:tr>
    </w:tbl>
    <w:p>
      <w:pPr>
        <w:spacing w:line="360" w:lineRule="auto"/>
        <w:rPr>
          <w:rFonts w:ascii="宋体" w:hAnsi="宋体"/>
          <w:color w:val="auto"/>
          <w:sz w:val="24"/>
          <w:highlight w:val="none"/>
        </w:rPr>
      </w:pPr>
      <w:r>
        <w:rPr>
          <w:rFonts w:hint="eastAsia" w:ascii="宋体" w:hAnsi="宋体"/>
          <w:color w:val="auto"/>
          <w:sz w:val="24"/>
          <w:highlight w:val="none"/>
        </w:rPr>
        <w:t>注：法定代表人证明书也可以采用工商行政管理局统一印制的格式。</w:t>
      </w: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法定代表人授权委托</w:t>
      </w:r>
      <w:r>
        <w:rPr>
          <w:rFonts w:ascii="宋体" w:hAnsi="宋体"/>
          <w:b/>
          <w:color w:val="auto"/>
          <w:sz w:val="24"/>
          <w:highlight w:val="none"/>
        </w:rPr>
        <w:t>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4"/>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兹授权为我方委托代理人，其权限是：</w:t>
            </w:r>
          </w:p>
          <w:p>
            <w:pPr>
              <w:spacing w:line="360" w:lineRule="auto"/>
              <w:rPr>
                <w:rFonts w:ascii="宋体" w:hAnsi="宋体"/>
                <w:color w:val="auto"/>
                <w:sz w:val="24"/>
                <w:highlight w:val="none"/>
                <w:u w:val="single"/>
              </w:rPr>
            </w:pPr>
          </w:p>
          <w:p>
            <w:pPr>
              <w:spacing w:line="360" w:lineRule="auto"/>
              <w:rPr>
                <w:rFonts w:ascii="宋体" w:hAnsi="宋体"/>
                <w:color w:val="auto"/>
                <w:sz w:val="24"/>
                <w:highlight w:val="none"/>
                <w:u w:val="single"/>
              </w:rPr>
            </w:pPr>
            <w:r>
              <w:rPr>
                <w:rFonts w:hint="eastAsia" w:ascii="宋体" w:hAnsi="宋体"/>
                <w:color w:val="auto"/>
                <w:sz w:val="24"/>
                <w:highlight w:val="none"/>
              </w:rPr>
              <w:t>有效期限：</w:t>
            </w:r>
          </w:p>
          <w:p>
            <w:pPr>
              <w:spacing w:line="360" w:lineRule="auto"/>
              <w:rPr>
                <w:rFonts w:ascii="宋体" w:hAnsi="宋体"/>
                <w:color w:val="auto"/>
                <w:sz w:val="24"/>
                <w:highlight w:val="none"/>
              </w:rPr>
            </w:pPr>
            <w:r>
              <w:rPr>
                <w:rFonts w:hint="eastAsia" w:ascii="宋体" w:hAnsi="宋体"/>
                <w:color w:val="auto"/>
                <w:sz w:val="24"/>
                <w:highlight w:val="none"/>
              </w:rPr>
              <w:t>附：代理人性别：年龄：身份证号码：</w:t>
            </w:r>
          </w:p>
          <w:p>
            <w:pPr>
              <w:spacing w:line="360" w:lineRule="auto"/>
              <w:rPr>
                <w:rFonts w:ascii="宋体" w:hAnsi="宋体"/>
                <w:color w:val="auto"/>
                <w:sz w:val="24"/>
                <w:highlight w:val="none"/>
                <w:u w:val="single"/>
              </w:rPr>
            </w:pPr>
            <w:r>
              <w:rPr>
                <w:rFonts w:hint="eastAsia" w:ascii="宋体" w:hAnsi="宋体"/>
                <w:color w:val="auto"/>
                <w:sz w:val="24"/>
                <w:highlight w:val="none"/>
              </w:rPr>
              <w:t>注册号码：企业类型：</w:t>
            </w:r>
          </w:p>
          <w:p>
            <w:pPr>
              <w:spacing w:line="360" w:lineRule="auto"/>
              <w:rPr>
                <w:rFonts w:ascii="宋体" w:hAnsi="宋体"/>
                <w:color w:val="auto"/>
                <w:sz w:val="24"/>
                <w:highlight w:val="none"/>
                <w:u w:val="single"/>
              </w:rPr>
            </w:pPr>
            <w:r>
              <w:rPr>
                <w:rFonts w:hint="eastAsia" w:ascii="宋体" w:hAnsi="宋体"/>
                <w:color w:val="auto"/>
                <w:sz w:val="24"/>
                <w:highlight w:val="none"/>
              </w:rPr>
              <w:t>经营范围：</w:t>
            </w:r>
          </w:p>
          <w:p>
            <w:pPr>
              <w:spacing w:line="360" w:lineRule="auto"/>
              <w:rPr>
                <w:rFonts w:ascii="宋体" w:hAnsi="宋体"/>
                <w:color w:val="auto"/>
                <w:sz w:val="24"/>
                <w:highlight w:val="none"/>
              </w:rPr>
            </w:pPr>
            <w:r>
              <w:rPr>
                <w:rFonts w:hint="eastAsia" w:ascii="宋体" w:hAnsi="宋体"/>
                <w:color w:val="auto"/>
                <w:sz w:val="24"/>
                <w:highlight w:val="none"/>
              </w:rPr>
              <w:t>法定代表人（负责人）：（签名或盖章）</w:t>
            </w:r>
          </w:p>
          <w:p>
            <w:pPr>
              <w:spacing w:line="360" w:lineRule="auto"/>
              <w:rPr>
                <w:rFonts w:ascii="宋体" w:hAnsi="宋体"/>
                <w:color w:val="auto"/>
                <w:sz w:val="24"/>
                <w:highlight w:val="none"/>
              </w:rPr>
            </w:pPr>
            <w:r>
              <w:rPr>
                <w:rFonts w:hint="eastAsia" w:ascii="宋体" w:hAnsi="宋体"/>
                <w:color w:val="auto"/>
                <w:sz w:val="24"/>
                <w:highlight w:val="none"/>
              </w:rPr>
              <w:t>授权单位：（盖章）</w:t>
            </w:r>
          </w:p>
          <w:p>
            <w:pPr>
              <w:spacing w:line="360" w:lineRule="auto"/>
              <w:ind w:firstLine="5880" w:firstLineChars="2450"/>
              <w:rPr>
                <w:rFonts w:ascii="宋体" w:hAnsi="宋体"/>
                <w:color w:val="auto"/>
                <w:sz w:val="24"/>
                <w:highlight w:val="none"/>
              </w:rPr>
            </w:pPr>
            <w:r>
              <w:rPr>
                <w:rFonts w:hint="eastAsia" w:ascii="宋体" w:hAnsi="宋体"/>
                <w:color w:val="auto"/>
                <w:sz w:val="24"/>
                <w:highlight w:val="none"/>
              </w:rPr>
              <w:t>年   月   日</w:t>
            </w:r>
          </w:p>
        </w:tc>
      </w:tr>
    </w:tbl>
    <w:p>
      <w:pPr>
        <w:rPr>
          <w:rFonts w:ascii="宋体" w:hAnsi="宋体"/>
          <w:color w:val="auto"/>
          <w:highlight w:val="none"/>
        </w:rPr>
      </w:pPr>
      <w:r>
        <w:rPr>
          <w:rFonts w:hint="eastAsia" w:ascii="宋体" w:hAnsi="宋体"/>
          <w:color w:val="auto"/>
          <w:sz w:val="24"/>
          <w:highlight w:val="none"/>
        </w:rPr>
        <w:t>注：法定代表人授权委托书也可以采用工商行政管理局统一印制的格式。</w:t>
      </w:r>
    </w:p>
    <w:p>
      <w:pPr>
        <w:rPr>
          <w:rFonts w:ascii="宋体" w:hAnsi="宋体"/>
          <w:color w:val="auto"/>
          <w:highlight w:val="none"/>
        </w:rPr>
      </w:pPr>
    </w:p>
    <w:p>
      <w:pPr>
        <w:spacing w:line="360" w:lineRule="auto"/>
        <w:rPr>
          <w:b/>
          <w:color w:val="auto"/>
          <w:sz w:val="24"/>
          <w:highlight w:val="none"/>
        </w:rPr>
      </w:pPr>
      <w:r>
        <w:rPr>
          <w:color w:val="auto"/>
          <w:sz w:val="32"/>
          <w:highlight w:val="none"/>
        </w:rPr>
        <w:br w:type="page"/>
      </w:r>
      <w:r>
        <w:rPr>
          <w:rFonts w:hint="eastAsia"/>
          <w:b/>
          <w:color w:val="auto"/>
          <w:sz w:val="24"/>
          <w:highlight w:val="none"/>
        </w:rPr>
        <w:t>附录7</w:t>
      </w:r>
    </w:p>
    <w:p>
      <w:pPr>
        <w:pStyle w:val="46"/>
        <w:rPr>
          <w:color w:val="auto"/>
          <w:highlight w:val="none"/>
        </w:rPr>
      </w:pPr>
      <w:bookmarkStart w:id="2" w:name="_Toc298486613"/>
      <w:bookmarkStart w:id="3" w:name="_Toc298486574"/>
      <w:r>
        <w:rPr>
          <w:rFonts w:hint="eastAsia"/>
          <w:color w:val="auto"/>
          <w:highlight w:val="none"/>
        </w:rPr>
        <w:t>投标人已完成项目情况</w:t>
      </w:r>
      <w:bookmarkEnd w:id="2"/>
      <w:bookmarkEnd w:id="3"/>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color w:val="auto"/>
                <w:highlight w:val="none"/>
              </w:rPr>
            </w:pPr>
            <w:r>
              <w:rPr>
                <w:rFonts w:hint="eastAsia" w:ascii="宋体" w:hAnsi="宋体"/>
                <w:color w:val="auto"/>
                <w:highlight w:val="none"/>
              </w:rPr>
              <w:t>合同签订时间</w:t>
            </w:r>
          </w:p>
        </w:tc>
        <w:tc>
          <w:tcPr>
            <w:tcW w:w="1790" w:type="dxa"/>
            <w:vAlign w:val="center"/>
          </w:tcPr>
          <w:p>
            <w:pPr>
              <w:jc w:val="center"/>
              <w:rPr>
                <w:rFonts w:ascii="宋体" w:hAnsi="宋体"/>
                <w:color w:val="auto"/>
                <w:highlight w:val="none"/>
              </w:rPr>
            </w:pPr>
            <w:r>
              <w:rPr>
                <w:rFonts w:hint="eastAsia" w:ascii="宋体" w:hAnsi="宋体"/>
                <w:color w:val="auto"/>
                <w:highlight w:val="none"/>
              </w:rPr>
              <w:t>项目概况</w:t>
            </w:r>
          </w:p>
        </w:tc>
        <w:tc>
          <w:tcPr>
            <w:tcW w:w="1789" w:type="dxa"/>
            <w:vAlign w:val="center"/>
          </w:tcPr>
          <w:p>
            <w:pPr>
              <w:jc w:val="center"/>
              <w:rPr>
                <w:rFonts w:ascii="宋体" w:hAnsi="宋体"/>
                <w:color w:val="auto"/>
                <w:highlight w:val="none"/>
              </w:rPr>
            </w:pPr>
            <w:r>
              <w:rPr>
                <w:rFonts w:hint="eastAsia" w:ascii="宋体" w:hAnsi="宋体"/>
                <w:color w:val="auto"/>
                <w:highlight w:val="none"/>
              </w:rPr>
              <w:t>业主单位</w:t>
            </w:r>
          </w:p>
        </w:tc>
        <w:tc>
          <w:tcPr>
            <w:tcW w:w="1789" w:type="dxa"/>
            <w:vAlign w:val="center"/>
          </w:tcPr>
          <w:p>
            <w:pPr>
              <w:jc w:val="center"/>
              <w:rPr>
                <w:rFonts w:ascii="宋体" w:hAnsi="宋体"/>
                <w:color w:val="auto"/>
                <w:highlight w:val="none"/>
              </w:rPr>
            </w:pPr>
            <w:r>
              <w:rPr>
                <w:rFonts w:hint="eastAsia" w:ascii="宋体" w:hAnsi="宋体"/>
                <w:color w:val="auto"/>
                <w:highlight w:val="none"/>
              </w:rPr>
              <w:t>完成情况</w:t>
            </w:r>
          </w:p>
        </w:tc>
        <w:tc>
          <w:tcPr>
            <w:tcW w:w="1789" w:type="dxa"/>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color w:val="auto"/>
                <w:highlight w:val="none"/>
              </w:rPr>
            </w:pPr>
          </w:p>
        </w:tc>
        <w:tc>
          <w:tcPr>
            <w:tcW w:w="1790"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color w:val="auto"/>
                <w:highlight w:val="none"/>
              </w:rPr>
            </w:pPr>
          </w:p>
        </w:tc>
        <w:tc>
          <w:tcPr>
            <w:tcW w:w="1790"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color w:val="auto"/>
                <w:highlight w:val="none"/>
              </w:rPr>
            </w:pPr>
          </w:p>
        </w:tc>
        <w:tc>
          <w:tcPr>
            <w:tcW w:w="1790"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color w:val="auto"/>
                <w:highlight w:val="none"/>
              </w:rPr>
            </w:pPr>
          </w:p>
        </w:tc>
        <w:tc>
          <w:tcPr>
            <w:tcW w:w="1790"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jc w:val="center"/>
              <w:rPr>
                <w:rFonts w:ascii="宋体" w:hAnsi="宋体"/>
                <w:color w:val="auto"/>
                <w:highlight w:val="none"/>
              </w:rPr>
            </w:pPr>
          </w:p>
        </w:tc>
        <w:tc>
          <w:tcPr>
            <w:tcW w:w="1790"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color w:val="auto"/>
                <w:highlight w:val="none"/>
              </w:rPr>
            </w:pPr>
          </w:p>
        </w:tc>
        <w:tc>
          <w:tcPr>
            <w:tcW w:w="1790"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c>
          <w:tcPr>
            <w:tcW w:w="1789" w:type="dxa"/>
            <w:vAlign w:val="center"/>
          </w:tcPr>
          <w:p>
            <w:pPr>
              <w:jc w:val="center"/>
              <w:rPr>
                <w:rFonts w:ascii="宋体" w:hAnsi="宋体"/>
                <w:color w:val="auto"/>
                <w:highlight w:val="none"/>
              </w:rPr>
            </w:pPr>
          </w:p>
        </w:tc>
      </w:tr>
    </w:tbl>
    <w:p>
      <w:pPr>
        <w:spacing w:line="360" w:lineRule="auto"/>
        <w:jc w:val="left"/>
        <w:rPr>
          <w:rFonts w:ascii="宋体" w:hAnsi="宋体"/>
          <w:color w:val="auto"/>
          <w:highlight w:val="none"/>
        </w:rPr>
      </w:pPr>
      <w:r>
        <w:rPr>
          <w:rFonts w:hint="eastAsia" w:ascii="宋体" w:hAnsi="宋体"/>
          <w:color w:val="auto"/>
          <w:highlight w:val="none"/>
        </w:rPr>
        <w:t>注：①投标人应将近</w:t>
      </w:r>
      <w:r>
        <w:rPr>
          <w:rFonts w:hint="eastAsia" w:ascii="宋体" w:hAnsi="宋体"/>
          <w:color w:val="auto"/>
          <w:szCs w:val="21"/>
          <w:highlight w:val="none"/>
        </w:rPr>
        <w:t>年</w:t>
      </w:r>
      <w:r>
        <w:rPr>
          <w:rFonts w:hint="eastAsia" w:ascii="宋体" w:hAnsi="宋体"/>
          <w:color w:val="auto"/>
          <w:highlight w:val="none"/>
        </w:rPr>
        <w:t>内</w:t>
      </w:r>
      <w:r>
        <w:rPr>
          <w:rFonts w:hint="eastAsia" w:ascii="宋体" w:hAnsi="宋体"/>
          <w:color w:val="auto"/>
          <w:highlight w:val="none"/>
          <w:u w:val="single"/>
        </w:rPr>
        <w:t>（201</w:t>
      </w:r>
      <w:r>
        <w:rPr>
          <w:rFonts w:hint="eastAsia" w:ascii="宋体" w:hAnsi="宋体"/>
          <w:color w:val="auto"/>
          <w:highlight w:val="none"/>
          <w:u w:val="single"/>
          <w:lang w:val="en-US" w:eastAsia="zh-CN"/>
        </w:rPr>
        <w:t>8</w:t>
      </w:r>
      <w:r>
        <w:rPr>
          <w:rFonts w:hint="eastAsia" w:ascii="宋体" w:hAnsi="宋体"/>
          <w:color w:val="auto"/>
          <w:highlight w:val="none"/>
          <w:u w:val="single"/>
        </w:rPr>
        <w:t>年1月1日至今）</w:t>
      </w:r>
      <w:r>
        <w:rPr>
          <w:rFonts w:hint="eastAsia" w:ascii="宋体" w:hAnsi="宋体"/>
          <w:color w:val="auto"/>
          <w:highlight w:val="none"/>
        </w:rPr>
        <w:t>已完成的类似勘察设计项目情况填入本表中，以</w:t>
      </w:r>
      <w:r>
        <w:rPr>
          <w:rFonts w:hint="eastAsia" w:asciiTheme="minorEastAsia" w:hAnsiTheme="minorEastAsia" w:eastAsiaTheme="minorEastAsia"/>
          <w:color w:val="auto"/>
          <w:szCs w:val="21"/>
          <w:highlight w:val="none"/>
        </w:rPr>
        <w:t>项目初步设计</w:t>
      </w:r>
      <w:r>
        <w:rPr>
          <w:rFonts w:hint="eastAsia" w:asciiTheme="minorEastAsia" w:hAnsiTheme="minorEastAsia" w:eastAsiaTheme="minorEastAsia"/>
          <w:color w:val="auto"/>
          <w:szCs w:val="21"/>
          <w:highlight w:val="none"/>
          <w:lang w:val="en-US" w:eastAsia="zh-CN"/>
        </w:rPr>
        <w:t>批复</w:t>
      </w:r>
      <w:r>
        <w:rPr>
          <w:rFonts w:hint="eastAsia" w:asciiTheme="minorEastAsia" w:hAnsiTheme="minorEastAsia" w:eastAsiaTheme="minorEastAsia"/>
          <w:color w:val="auto"/>
          <w:szCs w:val="21"/>
          <w:highlight w:val="none"/>
        </w:rPr>
        <w:t>（或初步设计会议评审纪要）或项目主体施工图审查</w:t>
      </w:r>
      <w:r>
        <w:rPr>
          <w:rFonts w:hint="eastAsia" w:asciiTheme="minorEastAsia" w:hAnsiTheme="minorEastAsia" w:eastAsiaTheme="minorEastAsia"/>
          <w:color w:val="auto"/>
          <w:szCs w:val="21"/>
          <w:highlight w:val="none"/>
          <w:lang w:val="en-US" w:eastAsia="zh-CN"/>
        </w:rPr>
        <w:t>合格</w:t>
      </w:r>
      <w:r>
        <w:rPr>
          <w:rFonts w:hint="eastAsia" w:asciiTheme="minorEastAsia" w:hAnsiTheme="minorEastAsia" w:eastAsiaTheme="minorEastAsia"/>
          <w:color w:val="auto"/>
          <w:szCs w:val="21"/>
          <w:highlight w:val="none"/>
        </w:rPr>
        <w:t>证明</w:t>
      </w:r>
      <w:r>
        <w:rPr>
          <w:rFonts w:hint="eastAsia" w:ascii="宋体" w:hAnsi="宋体"/>
          <w:color w:val="auto"/>
          <w:highlight w:val="none"/>
        </w:rPr>
        <w:t>时间为准。</w:t>
      </w:r>
      <w:r>
        <w:rPr>
          <w:rFonts w:hint="eastAsia" w:ascii="宋体" w:hAnsi="宋体"/>
          <w:color w:val="auto"/>
          <w:szCs w:val="21"/>
          <w:highlight w:val="none"/>
        </w:rPr>
        <w:t>设计类似业绩是指201</w:t>
      </w:r>
      <w:r>
        <w:rPr>
          <w:rFonts w:hint="eastAsia" w:ascii="宋体" w:hAnsi="宋体"/>
          <w:color w:val="auto"/>
          <w:szCs w:val="21"/>
          <w:highlight w:val="none"/>
          <w:lang w:val="en-US" w:eastAsia="zh-CN"/>
        </w:rPr>
        <w:t>8</w:t>
      </w:r>
      <w:r>
        <w:rPr>
          <w:rFonts w:hint="eastAsia" w:ascii="宋体" w:hAnsi="宋体"/>
          <w:color w:val="auto"/>
          <w:szCs w:val="21"/>
          <w:highlight w:val="none"/>
        </w:rPr>
        <w:t>年1月1日至今所承接的工程</w:t>
      </w:r>
      <w:r>
        <w:rPr>
          <w:rFonts w:hint="eastAsia" w:ascii="宋体" w:hAnsi="宋体"/>
          <w:color w:val="auto"/>
          <w:szCs w:val="21"/>
          <w:highlight w:val="none"/>
          <w:lang w:eastAsia="zh-CN"/>
        </w:rPr>
        <w:t>建安费</w:t>
      </w:r>
      <w:r>
        <w:rPr>
          <w:rFonts w:hint="eastAsia" w:ascii="宋体" w:hAnsi="宋体"/>
          <w:color w:val="auto"/>
          <w:szCs w:val="21"/>
          <w:highlight w:val="none"/>
          <w:lang w:val="en-US" w:eastAsia="zh-CN"/>
        </w:rPr>
        <w:t>5500</w:t>
      </w:r>
      <w:r>
        <w:rPr>
          <w:rFonts w:hint="eastAsia" w:ascii="宋体" w:hAnsi="宋体"/>
          <w:color w:val="auto"/>
          <w:szCs w:val="21"/>
          <w:highlight w:val="none"/>
        </w:rPr>
        <w:t>万元或以上市政</w:t>
      </w:r>
      <w:r>
        <w:rPr>
          <w:rFonts w:hint="eastAsia" w:ascii="宋体" w:hAnsi="宋体"/>
          <w:color w:val="auto"/>
          <w:szCs w:val="21"/>
          <w:highlight w:val="none"/>
          <w:lang w:val="en-US" w:eastAsia="zh-CN"/>
        </w:rPr>
        <w:t>路桥</w:t>
      </w:r>
      <w:r>
        <w:rPr>
          <w:rFonts w:hint="eastAsia" w:ascii="宋体" w:hAnsi="宋体"/>
          <w:color w:val="auto"/>
          <w:szCs w:val="21"/>
          <w:highlight w:val="none"/>
        </w:rPr>
        <w:t>项目的设计业绩；勘察类似业绩是指201</w:t>
      </w:r>
      <w:r>
        <w:rPr>
          <w:rFonts w:hint="eastAsia" w:ascii="宋体" w:hAnsi="宋体"/>
          <w:color w:val="auto"/>
          <w:szCs w:val="21"/>
          <w:highlight w:val="none"/>
          <w:lang w:val="en-US" w:eastAsia="zh-CN"/>
        </w:rPr>
        <w:t>8</w:t>
      </w:r>
      <w:r>
        <w:rPr>
          <w:rFonts w:hint="eastAsia" w:ascii="宋体" w:hAnsi="宋体"/>
          <w:color w:val="auto"/>
          <w:szCs w:val="21"/>
          <w:highlight w:val="none"/>
        </w:rPr>
        <w:t>年1月1日至今所承接的工程</w:t>
      </w:r>
      <w:r>
        <w:rPr>
          <w:rFonts w:hint="eastAsia" w:ascii="宋体" w:hAnsi="宋体"/>
          <w:color w:val="auto"/>
          <w:szCs w:val="21"/>
          <w:highlight w:val="none"/>
          <w:lang w:eastAsia="zh-CN"/>
        </w:rPr>
        <w:t>建安费</w:t>
      </w:r>
      <w:r>
        <w:rPr>
          <w:rFonts w:hint="eastAsia" w:ascii="宋体" w:hAnsi="宋体"/>
          <w:color w:val="auto"/>
          <w:szCs w:val="21"/>
          <w:highlight w:val="none"/>
          <w:lang w:val="en-US" w:eastAsia="zh-CN"/>
        </w:rPr>
        <w:t>5500</w:t>
      </w:r>
      <w:r>
        <w:rPr>
          <w:rFonts w:hint="eastAsia" w:ascii="宋体" w:hAnsi="宋体"/>
          <w:color w:val="auto"/>
          <w:szCs w:val="21"/>
          <w:highlight w:val="none"/>
        </w:rPr>
        <w:t>万元或以上市政</w:t>
      </w:r>
      <w:r>
        <w:rPr>
          <w:rFonts w:hint="eastAsia" w:ascii="宋体" w:hAnsi="宋体"/>
          <w:color w:val="auto"/>
          <w:szCs w:val="21"/>
          <w:highlight w:val="none"/>
          <w:lang w:val="en-US" w:eastAsia="zh-CN"/>
        </w:rPr>
        <w:t>路桥</w:t>
      </w:r>
      <w:r>
        <w:rPr>
          <w:rFonts w:hint="eastAsia" w:ascii="宋体" w:hAnsi="宋体"/>
          <w:color w:val="auto"/>
          <w:szCs w:val="21"/>
          <w:highlight w:val="none"/>
        </w:rPr>
        <w:t>项目</w:t>
      </w:r>
      <w:r>
        <w:rPr>
          <w:rFonts w:hint="eastAsia" w:ascii="宋体" w:hAnsi="宋体"/>
          <w:color w:val="auto"/>
          <w:szCs w:val="21"/>
          <w:highlight w:val="none"/>
          <w:lang w:val="en-US" w:eastAsia="zh-CN"/>
        </w:rPr>
        <w:t>的</w:t>
      </w:r>
      <w:r>
        <w:rPr>
          <w:rFonts w:hint="eastAsia" w:ascii="宋体" w:hAnsi="宋体"/>
          <w:color w:val="auto"/>
          <w:szCs w:val="21"/>
          <w:highlight w:val="none"/>
        </w:rPr>
        <w:t>勘察业绩</w:t>
      </w:r>
      <w:r>
        <w:rPr>
          <w:rFonts w:hint="eastAsia"/>
          <w:color w:val="auto"/>
          <w:szCs w:val="21"/>
          <w:highlight w:val="none"/>
          <w:lang w:val="zh-CN"/>
        </w:rPr>
        <w:t>。</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②项目概况包括：项目名称、项目等级、规模、建安费或总投资。</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③完成情况：已完成施工图设计或已竣工。</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④投标人应随本表出具所填项目的</w:t>
      </w:r>
      <w:r>
        <w:rPr>
          <w:rFonts w:hint="eastAsia" w:ascii="宋体" w:hAnsi="宋体"/>
          <w:color w:val="auto"/>
          <w:szCs w:val="21"/>
          <w:highlight w:val="none"/>
          <w:u w:val="single"/>
        </w:rPr>
        <w:t>合同文本</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关键页）</w:t>
      </w:r>
      <w:r>
        <w:rPr>
          <w:rFonts w:hint="eastAsia" w:ascii="宋体" w:hAnsi="宋体"/>
          <w:color w:val="auto"/>
          <w:szCs w:val="21"/>
          <w:highlight w:val="none"/>
          <w:u w:val="single"/>
        </w:rPr>
        <w:t>、中标通知书（或</w:t>
      </w:r>
      <w:r>
        <w:rPr>
          <w:rFonts w:hint="eastAsia" w:ascii="宋体" w:hAnsi="宋体"/>
          <w:color w:val="auto"/>
          <w:szCs w:val="21"/>
          <w:highlight w:val="none"/>
          <w:u w:val="single"/>
          <w:lang w:eastAsia="zh-CN"/>
        </w:rPr>
        <w:t>委托书或</w:t>
      </w:r>
      <w:r>
        <w:rPr>
          <w:rFonts w:hint="eastAsia" w:ascii="宋体" w:hAnsi="宋体"/>
          <w:color w:val="auto"/>
          <w:szCs w:val="21"/>
          <w:highlight w:val="none"/>
          <w:u w:val="single"/>
        </w:rPr>
        <w:t>免招标证</w:t>
      </w:r>
      <w:r>
        <w:rPr>
          <w:rFonts w:hint="eastAsia" w:ascii="宋体" w:hAnsi="宋体" w:cs="Times New Roman"/>
          <w:color w:val="auto"/>
          <w:szCs w:val="21"/>
          <w:highlight w:val="none"/>
          <w:u w:val="single"/>
        </w:rPr>
        <w:t>明文件）</w:t>
      </w:r>
      <w:r>
        <w:rPr>
          <w:rFonts w:hint="eastAsia" w:ascii="宋体" w:hAnsi="宋体" w:cs="Times New Roman"/>
          <w:color w:val="auto"/>
          <w:szCs w:val="21"/>
          <w:highlight w:val="none"/>
          <w:u w:val="single"/>
          <w:lang w:val="en-US" w:eastAsia="zh-CN"/>
        </w:rPr>
        <w:t>及</w:t>
      </w:r>
      <w:r>
        <w:rPr>
          <w:rFonts w:hint="eastAsia" w:ascii="宋体" w:hAnsi="宋体" w:cs="Times New Roman"/>
          <w:color w:val="auto"/>
          <w:szCs w:val="21"/>
          <w:highlight w:val="none"/>
          <w:u w:val="single"/>
        </w:rPr>
        <w:t>项目初步设计</w:t>
      </w:r>
      <w:r>
        <w:rPr>
          <w:rFonts w:hint="eastAsia" w:ascii="宋体" w:hAnsi="宋体" w:cs="Times New Roman"/>
          <w:color w:val="auto"/>
          <w:szCs w:val="21"/>
          <w:highlight w:val="none"/>
          <w:u w:val="single"/>
          <w:lang w:val="en-US" w:eastAsia="zh-CN"/>
        </w:rPr>
        <w:t>批复</w:t>
      </w:r>
      <w:r>
        <w:rPr>
          <w:rFonts w:hint="eastAsia" w:ascii="宋体" w:hAnsi="宋体" w:cs="Times New Roman"/>
          <w:color w:val="auto"/>
          <w:szCs w:val="21"/>
          <w:highlight w:val="none"/>
          <w:u w:val="single"/>
        </w:rPr>
        <w:t>（或初步设计会议评审纪要）或项目主体施工图审查</w:t>
      </w:r>
      <w:r>
        <w:rPr>
          <w:rFonts w:hint="eastAsia" w:ascii="宋体" w:hAnsi="宋体" w:cs="Times New Roman"/>
          <w:color w:val="auto"/>
          <w:szCs w:val="21"/>
          <w:highlight w:val="none"/>
          <w:u w:val="single"/>
          <w:lang w:val="en-US" w:eastAsia="zh-CN"/>
        </w:rPr>
        <w:t>合格</w:t>
      </w:r>
      <w:r>
        <w:rPr>
          <w:rFonts w:hint="eastAsia" w:ascii="宋体" w:hAnsi="宋体" w:cs="Times New Roman"/>
          <w:color w:val="auto"/>
          <w:szCs w:val="21"/>
          <w:highlight w:val="none"/>
          <w:u w:val="single"/>
        </w:rPr>
        <w:t>证明（原件</w:t>
      </w:r>
      <w:r>
        <w:rPr>
          <w:rFonts w:hint="eastAsia" w:ascii="宋体" w:hAnsi="宋体"/>
          <w:color w:val="auto"/>
          <w:szCs w:val="21"/>
          <w:highlight w:val="none"/>
          <w:u w:val="single"/>
        </w:rPr>
        <w:t>清晰扫描件）</w:t>
      </w:r>
      <w:r>
        <w:rPr>
          <w:rFonts w:hint="eastAsia" w:ascii="宋体" w:hAnsi="宋体"/>
          <w:color w:val="auto"/>
          <w:highlight w:val="non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color w:val="auto"/>
          <w:sz w:val="24"/>
          <w:highlight w:val="none"/>
        </w:rPr>
      </w:pPr>
      <w:r>
        <w:rPr>
          <w:rFonts w:hint="eastAsia" w:ascii="宋体" w:hAnsi="宋体"/>
          <w:color w:val="auto"/>
          <w:highlight w:val="none"/>
        </w:rPr>
        <w:t>⑤投标人所提供的证明材料，应如实反映出各勘察设计项目的建设规模，如里程、等级、桥梁跨径、长度等相关数据及履约评价。</w:t>
      </w:r>
      <w:r>
        <w:rPr>
          <w:color w:val="auto"/>
          <w:highlight w:val="none"/>
        </w:rPr>
        <w:br w:type="page"/>
      </w:r>
      <w:r>
        <w:rPr>
          <w:rFonts w:hint="eastAsia"/>
          <w:b/>
          <w:color w:val="auto"/>
          <w:sz w:val="24"/>
          <w:highlight w:val="none"/>
        </w:rPr>
        <w:t>附录8</w:t>
      </w:r>
    </w:p>
    <w:p>
      <w:pPr>
        <w:jc w:val="center"/>
        <w:rPr>
          <w:b/>
          <w:color w:val="auto"/>
          <w:sz w:val="32"/>
          <w:szCs w:val="32"/>
          <w:highlight w:val="none"/>
        </w:rPr>
      </w:pPr>
      <w:r>
        <w:rPr>
          <w:rFonts w:hint="eastAsia"/>
          <w:b/>
          <w:color w:val="auto"/>
          <w:sz w:val="32"/>
          <w:szCs w:val="32"/>
          <w:highlight w:val="none"/>
        </w:rPr>
        <w:t>本项目拟投入的人员基本情况表</w:t>
      </w:r>
    </w:p>
    <w:tbl>
      <w:tblPr>
        <w:tblStyle w:val="24"/>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092"/>
        <w:gridCol w:w="1166"/>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82" w:type="dxa"/>
            <w:vAlign w:val="center"/>
          </w:tcPr>
          <w:p>
            <w:pPr>
              <w:jc w:val="center"/>
              <w:rPr>
                <w:rFonts w:ascii="宋体" w:hAnsi="宋体"/>
                <w:color w:val="auto"/>
                <w:highlight w:val="none"/>
              </w:rPr>
            </w:pPr>
            <w:r>
              <w:rPr>
                <w:rFonts w:hint="eastAsia" w:ascii="宋体" w:hAnsi="宋体"/>
                <w:color w:val="auto"/>
                <w:highlight w:val="none"/>
              </w:rPr>
              <w:t>人员安排</w:t>
            </w:r>
          </w:p>
        </w:tc>
        <w:tc>
          <w:tcPr>
            <w:tcW w:w="1092" w:type="dxa"/>
            <w:vAlign w:val="center"/>
          </w:tcPr>
          <w:p>
            <w:pPr>
              <w:jc w:val="center"/>
              <w:rPr>
                <w:rFonts w:ascii="宋体" w:hAnsi="宋体"/>
                <w:color w:val="auto"/>
                <w:highlight w:val="none"/>
              </w:rPr>
            </w:pPr>
            <w:r>
              <w:rPr>
                <w:rFonts w:hint="eastAsia" w:ascii="宋体" w:hAnsi="宋体"/>
                <w:color w:val="auto"/>
                <w:highlight w:val="none"/>
              </w:rPr>
              <w:t>姓 名</w:t>
            </w:r>
          </w:p>
        </w:tc>
        <w:tc>
          <w:tcPr>
            <w:tcW w:w="1166" w:type="dxa"/>
            <w:vAlign w:val="center"/>
          </w:tcPr>
          <w:p>
            <w:pPr>
              <w:jc w:val="center"/>
              <w:rPr>
                <w:rFonts w:ascii="宋体" w:hAnsi="宋体"/>
                <w:color w:val="auto"/>
                <w:highlight w:val="none"/>
              </w:rPr>
            </w:pPr>
            <w:r>
              <w:rPr>
                <w:rFonts w:hint="eastAsia" w:ascii="宋体" w:hAnsi="宋体"/>
                <w:color w:val="auto"/>
                <w:highlight w:val="none"/>
              </w:rPr>
              <w:t>年龄</w:t>
            </w:r>
          </w:p>
        </w:tc>
        <w:tc>
          <w:tcPr>
            <w:tcW w:w="1203" w:type="dxa"/>
            <w:vAlign w:val="center"/>
          </w:tcPr>
          <w:p>
            <w:pPr>
              <w:jc w:val="center"/>
              <w:rPr>
                <w:rFonts w:ascii="宋体" w:hAnsi="宋体"/>
                <w:color w:val="auto"/>
                <w:highlight w:val="none"/>
              </w:rPr>
            </w:pPr>
            <w:r>
              <w:rPr>
                <w:rFonts w:hint="eastAsia" w:ascii="宋体" w:hAnsi="宋体"/>
                <w:color w:val="auto"/>
                <w:highlight w:val="none"/>
              </w:rPr>
              <w:t>所学专业</w:t>
            </w:r>
          </w:p>
        </w:tc>
        <w:tc>
          <w:tcPr>
            <w:tcW w:w="2001" w:type="dxa"/>
            <w:vAlign w:val="center"/>
          </w:tcPr>
          <w:p>
            <w:pPr>
              <w:jc w:val="center"/>
              <w:rPr>
                <w:rFonts w:ascii="宋体" w:hAnsi="宋体"/>
                <w:color w:val="auto"/>
                <w:highlight w:val="none"/>
              </w:rPr>
            </w:pPr>
            <w:r>
              <w:rPr>
                <w:rFonts w:hint="eastAsia" w:ascii="宋体" w:hAnsi="宋体"/>
                <w:color w:val="auto"/>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auto"/>
                <w:highlight w:val="none"/>
              </w:rPr>
            </w:pPr>
            <w:r>
              <w:rPr>
                <w:rFonts w:hint="eastAsia" w:ascii="宋体" w:hAnsi="宋体"/>
                <w:b/>
                <w:color w:val="auto"/>
                <w:highlight w:val="none"/>
              </w:rPr>
              <w:t>项目负责人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auto"/>
                <w:highlight w:val="none"/>
              </w:rPr>
            </w:pPr>
            <w:r>
              <w:rPr>
                <w:rFonts w:hint="eastAsia" w:ascii="宋体" w:hAnsi="宋体"/>
                <w:b/>
                <w:color w:val="auto"/>
                <w:highlight w:val="none"/>
              </w:rPr>
              <w:t>道路专业负责人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color w:val="auto"/>
                <w:highlight w:val="none"/>
              </w:rPr>
            </w:pPr>
            <w:r>
              <w:rPr>
                <w:rFonts w:hint="eastAsia" w:ascii="宋体" w:hAnsi="宋体"/>
                <w:b/>
                <w:color w:val="auto"/>
                <w:highlight w:val="none"/>
                <w:lang w:eastAsia="zh-CN"/>
              </w:rPr>
              <w:t>给</w:t>
            </w:r>
            <w:r>
              <w:rPr>
                <w:rFonts w:hint="eastAsia" w:ascii="宋体" w:hAnsi="宋体"/>
                <w:b/>
                <w:color w:val="auto"/>
                <w:highlight w:val="none"/>
                <w:lang w:val="en-US" w:eastAsia="zh-CN"/>
              </w:rPr>
              <w:t>排</w:t>
            </w:r>
            <w:r>
              <w:rPr>
                <w:rFonts w:hint="eastAsia" w:ascii="宋体" w:hAnsi="宋体"/>
                <w:b/>
                <w:color w:val="auto"/>
                <w:highlight w:val="none"/>
              </w:rPr>
              <w:t>水专业负责人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auto"/>
                <w:highlight w:val="none"/>
              </w:rPr>
            </w:pPr>
            <w:r>
              <w:rPr>
                <w:rFonts w:hint="eastAsia" w:ascii="宋体" w:hAnsi="宋体"/>
                <w:b/>
                <w:color w:val="auto"/>
                <w:highlight w:val="none"/>
              </w:rPr>
              <w:t>交通专业负责人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auto"/>
                <w:highlight w:val="none"/>
              </w:rPr>
            </w:pPr>
            <w:r>
              <w:rPr>
                <w:rFonts w:hint="eastAsia" w:ascii="宋体" w:hAnsi="宋体"/>
                <w:b/>
                <w:color w:val="auto"/>
                <w:highlight w:val="none"/>
              </w:rPr>
              <w:t>照明专业负责人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982" w:type="dxa"/>
            <w:vAlign w:val="center"/>
          </w:tcPr>
          <w:p>
            <w:pPr>
              <w:rPr>
                <w:rFonts w:ascii="宋体" w:hAnsi="宋体"/>
                <w:b/>
                <w:color w:val="auto"/>
                <w:highlight w:val="none"/>
              </w:rPr>
            </w:pPr>
            <w:r>
              <w:rPr>
                <w:rFonts w:hint="eastAsia" w:ascii="宋体" w:hAnsi="宋体"/>
                <w:b/>
                <w:color w:val="auto"/>
                <w:highlight w:val="none"/>
              </w:rPr>
              <w:t>电力管沟专业负责人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982" w:type="dxa"/>
            <w:vAlign w:val="center"/>
          </w:tcPr>
          <w:p>
            <w:pPr>
              <w:rPr>
                <w:rFonts w:ascii="宋体" w:hAnsi="宋体"/>
                <w:b/>
                <w:color w:val="auto"/>
                <w:highlight w:val="none"/>
              </w:rPr>
            </w:pPr>
            <w:r>
              <w:rPr>
                <w:rFonts w:hint="eastAsia" w:ascii="宋体" w:hAnsi="宋体"/>
                <w:b/>
                <w:color w:val="auto"/>
                <w:highlight w:val="none"/>
              </w:rPr>
              <w:t>绿化专业负责人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982" w:type="dxa"/>
            <w:vAlign w:val="center"/>
          </w:tcPr>
          <w:p>
            <w:pPr>
              <w:rPr>
                <w:rFonts w:ascii="宋体" w:hAnsi="宋体" w:eastAsia="宋体" w:cs="Times New Roman"/>
                <w:color w:val="auto"/>
                <w:kern w:val="2"/>
                <w:sz w:val="21"/>
                <w:szCs w:val="24"/>
                <w:highlight w:val="none"/>
                <w:lang w:val="en-US" w:eastAsia="zh-CN" w:bidi="ar-SA"/>
              </w:rPr>
            </w:pPr>
            <w:r>
              <w:rPr>
                <w:rFonts w:hint="eastAsia" w:ascii="宋体" w:hAnsi="宋体"/>
                <w:b/>
                <w:color w:val="auto"/>
                <w:highlight w:val="none"/>
              </w:rPr>
              <w:t>工程造价专业负责人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eastAsia="宋体" w:cs="Times New Roman"/>
                <w:color w:val="auto"/>
                <w:kern w:val="2"/>
                <w:sz w:val="21"/>
                <w:szCs w:val="24"/>
                <w:highlight w:val="none"/>
                <w:lang w:val="en-US" w:eastAsia="zh-CN" w:bidi="ar-SA"/>
              </w:rPr>
            </w:pPr>
            <w:r>
              <w:rPr>
                <w:rFonts w:hint="eastAsia" w:ascii="宋体" w:hAnsi="宋体"/>
                <w:b/>
                <w:color w:val="auto"/>
                <w:highlight w:val="none"/>
              </w:rPr>
              <w:t>勘察专业负责人</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color w:val="auto"/>
                <w:highlight w:val="none"/>
              </w:rPr>
            </w:pPr>
            <w:r>
              <w:rPr>
                <w:rFonts w:hint="eastAsia" w:ascii="宋体" w:hAnsi="宋体"/>
                <w:color w:val="auto"/>
                <w:highlight w:val="none"/>
              </w:rPr>
              <w:t>......</w:t>
            </w:r>
          </w:p>
        </w:tc>
        <w:tc>
          <w:tcPr>
            <w:tcW w:w="1092"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bl>
    <w:p>
      <w:pPr>
        <w:rPr>
          <w:rFonts w:ascii="宋体" w:hAnsi="宋体"/>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注：①投标人应根据招标文件要求和招标项目的实际需要，列出项目负责人及各专业负责人，如道路专业、</w:t>
      </w:r>
      <w:r>
        <w:rPr>
          <w:rFonts w:hint="eastAsia" w:ascii="宋体" w:hAnsi="宋体"/>
          <w:color w:val="auto"/>
          <w:sz w:val="24"/>
          <w:highlight w:val="none"/>
          <w:lang w:eastAsia="zh-CN"/>
        </w:rPr>
        <w:t>给</w:t>
      </w:r>
      <w:r>
        <w:rPr>
          <w:rFonts w:hint="eastAsia" w:ascii="宋体" w:hAnsi="宋体"/>
          <w:color w:val="auto"/>
          <w:sz w:val="24"/>
          <w:highlight w:val="none"/>
        </w:rPr>
        <w:t>排</w:t>
      </w:r>
      <w:r>
        <w:rPr>
          <w:rFonts w:hint="eastAsia" w:ascii="宋体" w:hAnsi="宋体"/>
          <w:color w:val="auto"/>
          <w:sz w:val="24"/>
          <w:highlight w:val="none"/>
          <w:lang w:eastAsia="zh-CN"/>
        </w:rPr>
        <w:t>水专业、</w:t>
      </w:r>
      <w:r>
        <w:rPr>
          <w:rFonts w:hint="eastAsia" w:ascii="宋体" w:hAnsi="宋体"/>
          <w:color w:val="auto"/>
          <w:sz w:val="24"/>
          <w:highlight w:val="none"/>
        </w:rPr>
        <w:t>照明专业、电力管沟专业、交通专业、绿化专业、勘察专业、工程造价专业等设计专业负责人。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②投标人应按本表所列的项目负责人和专业负责人填写资历表。</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③所提供的本项目投入人员必须为投标单位人员，并提供近</w:t>
      </w:r>
      <w:r>
        <w:rPr>
          <w:rFonts w:hint="eastAsia" w:ascii="宋体" w:hAnsi="宋体"/>
          <w:color w:val="auto"/>
          <w:sz w:val="24"/>
          <w:highlight w:val="none"/>
          <w:lang w:eastAsia="zh-CN"/>
        </w:rPr>
        <w:t>一</w:t>
      </w:r>
      <w:r>
        <w:rPr>
          <w:rFonts w:hint="eastAsia" w:ascii="宋体" w:hAnsi="宋体"/>
          <w:color w:val="auto"/>
          <w:sz w:val="24"/>
          <w:highlight w:val="none"/>
        </w:rPr>
        <w:t>个月（202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月）有效参保的社保证明。</w:t>
      </w:r>
    </w:p>
    <w:p>
      <w:pPr>
        <w:spacing w:line="360" w:lineRule="auto"/>
        <w:rPr>
          <w:rFonts w:ascii="宋体" w:hAnsi="宋体"/>
          <w:b/>
          <w:bCs/>
          <w:color w:val="auto"/>
          <w:sz w:val="24"/>
          <w:highlight w:val="none"/>
        </w:rPr>
      </w:pPr>
      <w:r>
        <w:rPr>
          <w:rFonts w:ascii="宋体" w:hAnsi="宋体"/>
          <w:b/>
          <w:color w:val="auto"/>
          <w:sz w:val="32"/>
          <w:highlight w:val="none"/>
        </w:rPr>
        <w:br w:type="page"/>
      </w:r>
      <w:r>
        <w:rPr>
          <w:rFonts w:hint="eastAsia" w:ascii="宋体" w:hAnsi="宋体"/>
          <w:b/>
          <w:bCs/>
          <w:color w:val="auto"/>
          <w:sz w:val="24"/>
          <w:highlight w:val="none"/>
        </w:rPr>
        <w:t>附录9</w:t>
      </w:r>
      <w:r>
        <w:rPr>
          <w:rFonts w:hint="eastAsia" w:ascii="宋体" w:hAnsi="宋体"/>
          <w:color w:val="auto"/>
          <w:sz w:val="24"/>
          <w:highlight w:val="none"/>
        </w:rPr>
        <w:t>（本页接收投标文件时使用，结束时收回存档备查）</w:t>
      </w:r>
    </w:p>
    <w:p>
      <w:pPr>
        <w:jc w:val="center"/>
        <w:rPr>
          <w:rFonts w:ascii="宋体" w:hAnsi="宋体"/>
          <w:b/>
          <w:bCs/>
          <w:color w:val="auto"/>
          <w:sz w:val="32"/>
          <w:highlight w:val="none"/>
        </w:rPr>
      </w:pPr>
      <w:r>
        <w:rPr>
          <w:rFonts w:hint="eastAsia" w:ascii="宋体" w:hAnsi="宋体"/>
          <w:b/>
          <w:bCs/>
          <w:color w:val="auto"/>
          <w:sz w:val="32"/>
          <w:highlight w:val="none"/>
        </w:rPr>
        <w:t>投标文件接收记录表格</w:t>
      </w:r>
    </w:p>
    <w:tbl>
      <w:tblPr>
        <w:tblStyle w:val="2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color w:val="auto"/>
                <w:sz w:val="24"/>
                <w:highlight w:val="none"/>
              </w:rPr>
            </w:pPr>
            <w:r>
              <w:rPr>
                <w:rFonts w:hint="eastAsia" w:ascii="宋体" w:hAnsi="宋体"/>
                <w:bCs/>
                <w:color w:val="auto"/>
                <w:sz w:val="24"/>
                <w:highlight w:val="none"/>
              </w:rPr>
              <w:t>序号</w:t>
            </w:r>
          </w:p>
        </w:tc>
        <w:tc>
          <w:tcPr>
            <w:tcW w:w="2942"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投标人名称</w:t>
            </w:r>
          </w:p>
        </w:tc>
        <w:tc>
          <w:tcPr>
            <w:tcW w:w="1558"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投标文件</w:t>
            </w:r>
          </w:p>
          <w:p>
            <w:pPr>
              <w:jc w:val="center"/>
              <w:rPr>
                <w:rFonts w:ascii="宋体" w:hAnsi="宋体"/>
                <w:bCs/>
                <w:color w:val="auto"/>
                <w:sz w:val="24"/>
                <w:highlight w:val="none"/>
              </w:rPr>
            </w:pPr>
            <w:r>
              <w:rPr>
                <w:rFonts w:hint="eastAsia" w:ascii="宋体" w:hAnsi="宋体"/>
                <w:bCs/>
                <w:color w:val="auto"/>
                <w:sz w:val="24"/>
                <w:highlight w:val="none"/>
              </w:rPr>
              <w:t>接收情况</w:t>
            </w:r>
          </w:p>
        </w:tc>
        <w:tc>
          <w:tcPr>
            <w:tcW w:w="1620"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投标人代表</w:t>
            </w:r>
          </w:p>
          <w:p>
            <w:pPr>
              <w:jc w:val="center"/>
              <w:rPr>
                <w:rFonts w:ascii="宋体" w:hAnsi="宋体"/>
                <w:bCs/>
                <w:color w:val="auto"/>
                <w:sz w:val="24"/>
                <w:highlight w:val="none"/>
              </w:rPr>
            </w:pPr>
            <w:r>
              <w:rPr>
                <w:rFonts w:hint="eastAsia" w:ascii="宋体" w:hAnsi="宋体"/>
                <w:bCs/>
                <w:color w:val="auto"/>
                <w:sz w:val="24"/>
                <w:highlight w:val="none"/>
              </w:rPr>
              <w:t>签名</w:t>
            </w:r>
          </w:p>
        </w:tc>
        <w:tc>
          <w:tcPr>
            <w:tcW w:w="1940" w:type="dxa"/>
            <w:vAlign w:val="center"/>
          </w:tcPr>
          <w:p>
            <w:pPr>
              <w:jc w:val="center"/>
              <w:rPr>
                <w:rFonts w:ascii="宋体" w:hAnsi="宋体"/>
                <w:bCs/>
                <w:color w:val="auto"/>
                <w:sz w:val="24"/>
                <w:highlight w:val="none"/>
              </w:rPr>
            </w:pPr>
            <w:r>
              <w:rPr>
                <w:rFonts w:hint="eastAsia" w:ascii="宋体" w:hAnsi="宋体"/>
                <w:bCs/>
                <w:color w:val="auto"/>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为方便联络，请</w:t>
      </w:r>
      <w:r>
        <w:rPr>
          <w:rFonts w:hint="eastAsia" w:ascii="宋体" w:hAnsi="宋体"/>
          <w:bCs/>
          <w:color w:val="auto"/>
          <w:sz w:val="24"/>
          <w:highlight w:val="none"/>
        </w:rPr>
        <w:t>投标人代表的手机保持开启状态。</w:t>
      </w:r>
    </w:p>
    <w:p>
      <w:pPr>
        <w:spacing w:line="360" w:lineRule="auto"/>
        <w:rPr>
          <w:rFonts w:ascii="宋体" w:hAnsi="宋体"/>
          <w:color w:val="auto"/>
          <w:sz w:val="24"/>
          <w:highlight w:val="none"/>
        </w:rPr>
      </w:pPr>
      <w:r>
        <w:rPr>
          <w:rFonts w:hint="eastAsia" w:ascii="宋体" w:hAnsi="宋体"/>
          <w:color w:val="auto"/>
          <w:sz w:val="24"/>
          <w:highlight w:val="none"/>
        </w:rPr>
        <w:t>代理机构代表：            见证人：           日期：      年    月    日</w:t>
      </w:r>
    </w:p>
    <w:p>
      <w:pPr>
        <w:pStyle w:val="15"/>
        <w:jc w:val="center"/>
        <w:rPr>
          <w:rFonts w:hAnsi="宋体"/>
          <w:b/>
          <w:color w:val="auto"/>
          <w:sz w:val="32"/>
          <w:highlight w:val="none"/>
        </w:rPr>
      </w:pPr>
    </w:p>
    <w:p>
      <w:pPr>
        <w:pStyle w:val="15"/>
        <w:jc w:val="center"/>
        <w:rPr>
          <w:rFonts w:hAnsi="宋体"/>
          <w:b/>
          <w:color w:val="auto"/>
          <w:sz w:val="32"/>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附录10</w:t>
      </w:r>
    </w:p>
    <w:p>
      <w:pPr>
        <w:pStyle w:val="15"/>
        <w:jc w:val="center"/>
        <w:rPr>
          <w:rFonts w:hAnsi="宋体"/>
          <w:b/>
          <w:color w:val="auto"/>
          <w:sz w:val="32"/>
          <w:highlight w:val="none"/>
        </w:rPr>
      </w:pPr>
      <w:r>
        <w:rPr>
          <w:rFonts w:hint="eastAsia" w:hAnsi="宋体"/>
          <w:b/>
          <w:color w:val="auto"/>
          <w:sz w:val="32"/>
          <w:highlight w:val="none"/>
        </w:rPr>
        <w:t>资格审查表</w:t>
      </w:r>
    </w:p>
    <w:p>
      <w:pPr>
        <w:pStyle w:val="15"/>
        <w:rPr>
          <w:rFonts w:hAnsi="宋体"/>
          <w:b/>
          <w:color w:val="auto"/>
          <w:sz w:val="32"/>
          <w:highlight w:val="none"/>
        </w:rPr>
      </w:pPr>
      <w:r>
        <w:rPr>
          <w:rFonts w:hint="eastAsia" w:hAnsi="宋体"/>
          <w:color w:val="auto"/>
          <w:highlight w:val="none"/>
        </w:rPr>
        <w:t>项目名称：</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16"/>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5516" w:type="dxa"/>
            <w:tcBorders>
              <w:tl2br w:val="single" w:color="auto" w:sz="4" w:space="0"/>
            </w:tcBorders>
          </w:tcPr>
          <w:p>
            <w:pPr>
              <w:pStyle w:val="15"/>
              <w:jc w:val="center"/>
              <w:rPr>
                <w:color w:val="auto"/>
                <w:kern w:val="2"/>
                <w:sz w:val="21"/>
                <w:szCs w:val="21"/>
                <w:highlight w:val="none"/>
              </w:rPr>
            </w:pPr>
            <w:r>
              <w:rPr>
                <w:rFonts w:hint="eastAsia"/>
                <w:color w:val="auto"/>
                <w:kern w:val="2"/>
                <w:sz w:val="21"/>
                <w:szCs w:val="21"/>
                <w:highlight w:val="none"/>
              </w:rPr>
              <w:t xml:space="preserve">                      投标人名称</w:t>
            </w:r>
          </w:p>
          <w:p>
            <w:pPr>
              <w:pStyle w:val="15"/>
              <w:rPr>
                <w:rFonts w:hAnsi="宋体"/>
                <w:b/>
                <w:color w:val="auto"/>
                <w:kern w:val="2"/>
                <w:sz w:val="21"/>
                <w:szCs w:val="21"/>
                <w:highlight w:val="none"/>
              </w:rPr>
            </w:pPr>
            <w:r>
              <w:rPr>
                <w:rFonts w:hint="eastAsia"/>
                <w:color w:val="auto"/>
                <w:kern w:val="2"/>
                <w:sz w:val="21"/>
                <w:szCs w:val="21"/>
                <w:highlight w:val="none"/>
              </w:rPr>
              <w:t>审查项目</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1</w:t>
            </w:r>
          </w:p>
        </w:tc>
        <w:tc>
          <w:tcPr>
            <w:tcW w:w="5516" w:type="dxa"/>
            <w:vAlign w:val="center"/>
          </w:tcPr>
          <w:p>
            <w:pPr>
              <w:pStyle w:val="15"/>
              <w:rPr>
                <w:rFonts w:hAnsi="宋体"/>
                <w:color w:val="auto"/>
                <w:kern w:val="2"/>
                <w:sz w:val="21"/>
                <w:szCs w:val="21"/>
                <w:highlight w:val="none"/>
              </w:rPr>
            </w:pPr>
            <w:r>
              <w:rPr>
                <w:rFonts w:hint="eastAsia" w:hAnsi="宋体"/>
                <w:color w:val="auto"/>
                <w:kern w:val="2"/>
                <w:sz w:val="21"/>
                <w:szCs w:val="21"/>
                <w:highlight w:val="none"/>
              </w:rPr>
              <w:t>申请人参加投标的意思表达清楚，投标人代表被授权有效</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2</w:t>
            </w:r>
          </w:p>
        </w:tc>
        <w:tc>
          <w:tcPr>
            <w:tcW w:w="5516" w:type="dxa"/>
            <w:vAlign w:val="center"/>
          </w:tcPr>
          <w:p>
            <w:pPr>
              <w:pStyle w:val="15"/>
              <w:rPr>
                <w:rFonts w:hAnsi="宋体"/>
                <w:color w:val="auto"/>
                <w:kern w:val="2"/>
                <w:sz w:val="21"/>
                <w:szCs w:val="21"/>
                <w:highlight w:val="none"/>
              </w:rPr>
            </w:pPr>
            <w:r>
              <w:rPr>
                <w:rFonts w:hint="eastAsia" w:hAnsi="宋体"/>
                <w:color w:val="auto"/>
                <w:kern w:val="2"/>
                <w:sz w:val="21"/>
                <w:szCs w:val="21"/>
                <w:highlight w:val="none"/>
              </w:rPr>
              <w:t>申请人具有独立法人资格，持有工商行政管理部门（或市场监督管理部门）核发的法人营业执照，按国家法律经营。</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3</w:t>
            </w:r>
          </w:p>
        </w:tc>
        <w:tc>
          <w:tcPr>
            <w:tcW w:w="5516" w:type="dxa"/>
            <w:vAlign w:val="center"/>
          </w:tcPr>
          <w:p>
            <w:pPr>
              <w:pStyle w:val="15"/>
              <w:rPr>
                <w:rFonts w:hAnsi="宋体"/>
                <w:b/>
                <w:color w:val="auto"/>
                <w:kern w:val="2"/>
                <w:sz w:val="21"/>
                <w:szCs w:val="21"/>
                <w:highlight w:val="none"/>
              </w:rPr>
            </w:pPr>
            <w:r>
              <w:rPr>
                <w:rFonts w:hint="eastAsia" w:hAnsi="宋体"/>
                <w:color w:val="auto"/>
                <w:kern w:val="2"/>
                <w:sz w:val="21"/>
                <w:szCs w:val="21"/>
                <w:highlight w:val="none"/>
              </w:rPr>
              <w:t>投标人的资质满足招标公告规定</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4</w:t>
            </w:r>
          </w:p>
        </w:tc>
        <w:tc>
          <w:tcPr>
            <w:tcW w:w="5516" w:type="dxa"/>
            <w:vAlign w:val="center"/>
          </w:tcPr>
          <w:p>
            <w:pPr>
              <w:pStyle w:val="15"/>
              <w:rPr>
                <w:rFonts w:hAnsi="宋体"/>
                <w:b/>
                <w:color w:val="auto"/>
                <w:kern w:val="2"/>
                <w:sz w:val="21"/>
                <w:szCs w:val="21"/>
                <w:highlight w:val="none"/>
              </w:rPr>
            </w:pPr>
            <w:r>
              <w:rPr>
                <w:rFonts w:hint="eastAsia" w:hAnsi="宋体"/>
                <w:color w:val="auto"/>
                <w:kern w:val="2"/>
                <w:sz w:val="21"/>
                <w:szCs w:val="21"/>
                <w:highlight w:val="none"/>
              </w:rPr>
              <w:t>投标人拟派项目负责人资格满足招标公告规定</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5</w:t>
            </w:r>
          </w:p>
        </w:tc>
        <w:tc>
          <w:tcPr>
            <w:tcW w:w="5516" w:type="dxa"/>
            <w:vAlign w:val="center"/>
          </w:tcPr>
          <w:p>
            <w:pPr>
              <w:pStyle w:val="15"/>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投标人拟派的各专业负责人满足招标公告规定</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6</w:t>
            </w:r>
          </w:p>
        </w:tc>
        <w:tc>
          <w:tcPr>
            <w:tcW w:w="5516" w:type="dxa"/>
            <w:vAlign w:val="center"/>
          </w:tcPr>
          <w:p>
            <w:pPr>
              <w:pStyle w:val="15"/>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申请人已在广州公共资源交易中心企业库办理企业信息登记，拟委派的项目负责人须是本企业信息登记中的在册人员。</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7</w:t>
            </w:r>
          </w:p>
        </w:tc>
        <w:tc>
          <w:tcPr>
            <w:tcW w:w="5516" w:type="dxa"/>
            <w:vAlign w:val="center"/>
          </w:tcPr>
          <w:p>
            <w:pPr>
              <w:pStyle w:val="15"/>
              <w:rPr>
                <w:rFonts w:hAnsi="宋体"/>
                <w:color w:val="auto"/>
                <w:kern w:val="2"/>
                <w:sz w:val="21"/>
                <w:szCs w:val="21"/>
                <w:highlight w:val="none"/>
              </w:rPr>
            </w:pPr>
            <w:r>
              <w:rPr>
                <w:rFonts w:hint="eastAsia" w:hAnsi="宋体"/>
                <w:color w:val="auto"/>
                <w:kern w:val="2"/>
                <w:sz w:val="21"/>
                <w:szCs w:val="21"/>
                <w:highlight w:val="none"/>
              </w:rPr>
              <w:t>投标人没有处于被广州建设行政主管部门取消投标资格的处罚期内；</w:t>
            </w:r>
            <w:r>
              <w:rPr>
                <w:rFonts w:hAnsi="宋体"/>
                <w:color w:val="auto"/>
                <w:kern w:val="2"/>
                <w:sz w:val="21"/>
                <w:szCs w:val="21"/>
                <w:highlight w:val="none"/>
              </w:rPr>
              <w:t>未被纳入国家、市、区的失信联合惩戒名单且被限制参加财政投资工程或政府投资工程或建设工程投标的（具体名单以递交</w:t>
            </w:r>
            <w:r>
              <w:rPr>
                <w:rFonts w:hint="eastAsia" w:hAnsi="宋体"/>
                <w:color w:val="auto"/>
                <w:kern w:val="2"/>
                <w:sz w:val="21"/>
                <w:szCs w:val="21"/>
                <w:highlight w:val="none"/>
              </w:rPr>
              <w:t>投标</w:t>
            </w:r>
            <w:r>
              <w:rPr>
                <w:rFonts w:hAnsi="宋体"/>
                <w:color w:val="auto"/>
                <w:kern w:val="2"/>
                <w:sz w:val="21"/>
                <w:szCs w:val="21"/>
                <w:highlight w:val="none"/>
              </w:rPr>
              <w:t>文件截止时间“信用广州”</w:t>
            </w:r>
            <w:r>
              <w:rPr>
                <w:rFonts w:hAnsi="宋体"/>
                <w:color w:val="auto"/>
                <w:kern w:val="2"/>
                <w:sz w:val="21"/>
                <w:szCs w:val="21"/>
                <w:highlight w:val="none"/>
              </w:rPr>
              <w:drawing>
                <wp:inline distT="0" distB="0" distL="114300" distR="114300">
                  <wp:extent cx="190500" cy="1428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Ansi="宋体"/>
                <w:color w:val="auto"/>
                <w:kern w:val="2"/>
                <w:sz w:val="21"/>
                <w:szCs w:val="21"/>
                <w:highlight w:val="none"/>
              </w:rPr>
              <w:t>https://credit1.gz.gov.cn/sgs/sgsXkNew公布的“失信黑名单”为准）；</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8</w:t>
            </w:r>
          </w:p>
        </w:tc>
        <w:tc>
          <w:tcPr>
            <w:tcW w:w="5516" w:type="dxa"/>
            <w:vAlign w:val="center"/>
          </w:tcPr>
          <w:p>
            <w:pPr>
              <w:pStyle w:val="15"/>
              <w:rPr>
                <w:color w:val="auto"/>
                <w:kern w:val="2"/>
                <w:sz w:val="21"/>
                <w:szCs w:val="21"/>
                <w:highlight w:val="none"/>
                <w:u w:val="single"/>
              </w:rPr>
            </w:pPr>
            <w:r>
              <w:rPr>
                <w:rFonts w:hint="eastAsia" w:hAnsi="宋体"/>
                <w:color w:val="auto"/>
                <w:kern w:val="2"/>
                <w:sz w:val="21"/>
                <w:szCs w:val="21"/>
                <w:highlight w:val="none"/>
                <w:u w:val="single"/>
              </w:rPr>
              <w:t>以联合体形式投标的，联合体组成符合要求，并已按要求向招标人提交共同投标协议</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color w:val="auto"/>
                <w:kern w:val="2"/>
                <w:sz w:val="21"/>
                <w:szCs w:val="21"/>
                <w:highlight w:val="none"/>
              </w:rPr>
            </w:pPr>
            <w:r>
              <w:rPr>
                <w:rFonts w:hint="eastAsia" w:hAnsi="宋体"/>
                <w:color w:val="auto"/>
                <w:kern w:val="2"/>
                <w:sz w:val="21"/>
                <w:szCs w:val="21"/>
                <w:highlight w:val="none"/>
              </w:rPr>
              <w:t>结论</w:t>
            </w:r>
          </w:p>
        </w:tc>
        <w:tc>
          <w:tcPr>
            <w:tcW w:w="5516" w:type="dxa"/>
            <w:vAlign w:val="center"/>
          </w:tcPr>
          <w:p>
            <w:pPr>
              <w:pStyle w:val="15"/>
              <w:rPr>
                <w:rFonts w:hAnsi="宋体"/>
                <w:b/>
                <w:color w:val="auto"/>
                <w:kern w:val="2"/>
                <w:sz w:val="21"/>
                <w:szCs w:val="21"/>
                <w:highlight w:val="none"/>
              </w:rPr>
            </w:pPr>
            <w:r>
              <w:rPr>
                <w:rFonts w:hint="eastAsia"/>
                <w:color w:val="auto"/>
                <w:kern w:val="2"/>
                <w:sz w:val="21"/>
                <w:szCs w:val="21"/>
                <w:highlight w:val="none"/>
              </w:rPr>
              <w:t>是否通过并进入下一阶段评审</w:t>
            </w:r>
          </w:p>
        </w:tc>
        <w:tc>
          <w:tcPr>
            <w:tcW w:w="875" w:type="dxa"/>
          </w:tcPr>
          <w:p>
            <w:pPr>
              <w:pStyle w:val="15"/>
              <w:jc w:val="center"/>
              <w:rPr>
                <w:rFonts w:hAnsi="宋体"/>
                <w:b/>
                <w:color w:val="auto"/>
                <w:kern w:val="2"/>
                <w:sz w:val="32"/>
                <w:highlight w:val="none"/>
              </w:rPr>
            </w:pPr>
          </w:p>
        </w:tc>
        <w:tc>
          <w:tcPr>
            <w:tcW w:w="900" w:type="dxa"/>
          </w:tcPr>
          <w:p>
            <w:pPr>
              <w:pStyle w:val="15"/>
              <w:jc w:val="center"/>
              <w:rPr>
                <w:rFonts w:hAnsi="宋体"/>
                <w:b/>
                <w:color w:val="auto"/>
                <w:kern w:val="2"/>
                <w:sz w:val="32"/>
                <w:highlight w:val="none"/>
              </w:rPr>
            </w:pPr>
          </w:p>
        </w:tc>
        <w:tc>
          <w:tcPr>
            <w:tcW w:w="918" w:type="dxa"/>
          </w:tcPr>
          <w:p>
            <w:pPr>
              <w:pStyle w:val="15"/>
              <w:jc w:val="center"/>
              <w:rPr>
                <w:rFonts w:hAnsi="宋体"/>
                <w:b/>
                <w:color w:val="auto"/>
                <w:kern w:val="2"/>
                <w:sz w:val="32"/>
                <w:highlight w:val="none"/>
              </w:rPr>
            </w:pPr>
          </w:p>
        </w:tc>
      </w:tr>
    </w:tbl>
    <w:p>
      <w:pPr>
        <w:tabs>
          <w:tab w:val="left" w:pos="720"/>
        </w:tabs>
        <w:snapToGrid w:val="0"/>
        <w:spacing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Lines="50"/>
        <w:ind w:left="840" w:leftChars="300" w:hanging="210" w:hangingChars="1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pStyle w:val="15"/>
        <w:rPr>
          <w:rFonts w:hAnsi="宋体"/>
          <w:b/>
          <w:color w:val="auto"/>
          <w:sz w:val="32"/>
          <w:highlight w:val="none"/>
        </w:rPr>
      </w:pPr>
      <w:r>
        <w:rPr>
          <w:rFonts w:hint="eastAsia"/>
          <w:color w:val="auto"/>
          <w:szCs w:val="21"/>
          <w:highlight w:val="none"/>
        </w:rPr>
        <w:t>评委签名：                     日期：</w:t>
      </w:r>
    </w:p>
    <w:p>
      <w:pPr>
        <w:rPr>
          <w:rFonts w:ascii="宋体" w:hAnsi="宋体"/>
          <w:color w:val="auto"/>
          <w:highlight w:val="none"/>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5"/>
        <w:rPr>
          <w:rFonts w:hAnsi="宋体"/>
          <w:b/>
          <w:color w:val="auto"/>
          <w:sz w:val="32"/>
          <w:highlight w:val="none"/>
        </w:rPr>
      </w:pPr>
      <w:r>
        <w:rPr>
          <w:rFonts w:hint="eastAsia" w:hAnsi="宋体"/>
          <w:b/>
          <w:bCs/>
          <w:color w:val="auto"/>
          <w:sz w:val="24"/>
          <w:highlight w:val="none"/>
        </w:rPr>
        <w:t>附录11</w:t>
      </w:r>
    </w:p>
    <w:p>
      <w:pPr>
        <w:pStyle w:val="15"/>
        <w:jc w:val="center"/>
        <w:rPr>
          <w:rFonts w:hAnsi="宋体"/>
          <w:b/>
          <w:color w:val="auto"/>
          <w:sz w:val="32"/>
          <w:highlight w:val="none"/>
        </w:rPr>
      </w:pPr>
      <w:r>
        <w:rPr>
          <w:rFonts w:hint="eastAsia" w:hAnsi="宋体"/>
          <w:b/>
          <w:color w:val="auto"/>
          <w:sz w:val="32"/>
          <w:highlight w:val="none"/>
        </w:rPr>
        <w:t>商务文件有效性审查表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4"/>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投标单位</w:t>
            </w:r>
          </w:p>
          <w:p>
            <w:pPr>
              <w:rPr>
                <w:rFonts w:ascii="宋体" w:hAnsi="宋体"/>
                <w:color w:val="auto"/>
                <w:szCs w:val="21"/>
                <w:highlight w:val="none"/>
              </w:rPr>
            </w:pPr>
            <w:r>
              <w:rPr>
                <w:rFonts w:hint="eastAsia" w:ascii="宋体" w:hAnsi="宋体"/>
                <w:color w:val="auto"/>
                <w:szCs w:val="21"/>
                <w:highlight w:val="none"/>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p>
            <w:pPr>
              <w:jc w:val="cente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《投标书》已有法定代表人或者其授权代表签名</w:t>
            </w:r>
            <w:r>
              <w:rPr>
                <w:rFonts w:hint="eastAsia" w:ascii="宋体" w:hAnsi="宋体" w:cs="宋体"/>
                <w:color w:val="auto"/>
                <w:szCs w:val="21"/>
                <w:highlight w:val="none"/>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tabs>
          <w:tab w:val="left" w:pos="720"/>
        </w:tabs>
        <w:snapToGrid w:val="0"/>
        <w:spacing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spacing w:line="360" w:lineRule="auto"/>
        <w:rPr>
          <w:rFonts w:ascii="宋体" w:hAnsi="宋体"/>
          <w:b/>
          <w:bCs/>
          <w:color w:val="auto"/>
          <w:highlight w:val="none"/>
        </w:rPr>
      </w:pPr>
      <w:r>
        <w:rPr>
          <w:rFonts w:hint="eastAsia"/>
          <w:color w:val="auto"/>
          <w:szCs w:val="21"/>
          <w:highlight w:val="none"/>
        </w:rPr>
        <w:t>评委签名：日期：</w:t>
      </w:r>
    </w:p>
    <w:p>
      <w:pPr>
        <w:widowControl/>
        <w:jc w:val="left"/>
        <w:rPr>
          <w:rFonts w:ascii="宋体" w:hAnsi="宋体"/>
          <w:b/>
          <w:bCs/>
          <w:color w:val="auto"/>
          <w:highlight w:val="none"/>
        </w:rPr>
      </w:pPr>
      <w:r>
        <w:rPr>
          <w:rFonts w:hint="eastAsia" w:ascii="宋体" w:hAnsi="宋体"/>
          <w:b/>
          <w:bCs/>
          <w:color w:val="auto"/>
          <w:highlight w:val="none"/>
        </w:rPr>
        <w:t>附录12（</w:t>
      </w:r>
      <w:r>
        <w:rPr>
          <w:rFonts w:hint="eastAsia" w:ascii="宋体" w:hAnsi="宋体"/>
          <w:color w:val="auto"/>
          <w:sz w:val="24"/>
          <w:highlight w:val="none"/>
        </w:rPr>
        <w:t>适用于综合评分法</w:t>
      </w:r>
      <w:r>
        <w:rPr>
          <w:rFonts w:hint="eastAsia" w:ascii="宋体" w:hAnsi="宋体"/>
          <w:b/>
          <w:bCs/>
          <w:color w:val="auto"/>
          <w:highlight w:val="none"/>
        </w:rPr>
        <w:t>）</w:t>
      </w: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商务文件综合评分表</w:t>
      </w:r>
    </w:p>
    <w:p>
      <w:pPr>
        <w:spacing w:line="360" w:lineRule="auto"/>
        <w:rPr>
          <w:rFonts w:ascii="宋体" w:hAnsi="宋体"/>
          <w:color w:val="auto"/>
          <w:highlight w:val="none"/>
        </w:rPr>
      </w:pPr>
      <w:r>
        <w:rPr>
          <w:rFonts w:hint="eastAsia" w:ascii="宋体" w:hAnsi="宋体"/>
          <w:color w:val="auto"/>
          <w:highlight w:val="none"/>
        </w:rPr>
        <w:t>项目名称：</w:t>
      </w:r>
      <w:r>
        <w:rPr>
          <w:rFonts w:hint="eastAsia" w:ascii="宋体" w:cs="宋体"/>
          <w:color w:val="auto"/>
          <w:szCs w:val="21"/>
          <w:highlight w:val="none"/>
          <w:lang w:val="zh-CN"/>
        </w:rPr>
        <w:t>投标单位名称：</w:t>
      </w:r>
    </w:p>
    <w:tbl>
      <w:tblPr>
        <w:tblStyle w:val="24"/>
        <w:tblW w:w="13687" w:type="dxa"/>
        <w:tblInd w:w="108" w:type="dxa"/>
        <w:tblLayout w:type="fixed"/>
        <w:tblCellMar>
          <w:top w:w="0" w:type="dxa"/>
          <w:left w:w="108" w:type="dxa"/>
          <w:bottom w:w="0" w:type="dxa"/>
          <w:right w:w="108" w:type="dxa"/>
        </w:tblCellMar>
      </w:tblPr>
      <w:tblGrid>
        <w:gridCol w:w="540"/>
        <w:gridCol w:w="795"/>
        <w:gridCol w:w="1496"/>
        <w:gridCol w:w="9776"/>
        <w:gridCol w:w="1080"/>
      </w:tblGrid>
      <w:tr>
        <w:trPr>
          <w:trHeight w:val="44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rFonts w:hint="eastAsia" w:ascii="宋体" w:cs="宋体"/>
                <w:color w:val="auto"/>
                <w:szCs w:val="21"/>
                <w:highlight w:val="none"/>
                <w:lang w:val="zh-CN"/>
              </w:rPr>
              <w:t>序号</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rFonts w:hint="eastAsia" w:ascii="宋体" w:cs="宋体"/>
                <w:color w:val="auto"/>
                <w:szCs w:val="21"/>
                <w:highlight w:val="none"/>
                <w:lang w:val="zh-CN"/>
              </w:rPr>
              <w:t>项目</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color w:val="auto"/>
                <w:szCs w:val="21"/>
                <w:highlight w:val="none"/>
              </w:rPr>
            </w:pPr>
            <w:r>
              <w:rPr>
                <w:rFonts w:hint="eastAsia" w:ascii="宋体" w:cs="宋体"/>
                <w:color w:val="auto"/>
                <w:szCs w:val="21"/>
                <w:highlight w:val="none"/>
                <w:lang w:val="zh-CN"/>
              </w:rPr>
              <w:t>分值分配</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rFonts w:hint="eastAsia" w:ascii="宋体" w:cs="宋体"/>
                <w:color w:val="auto"/>
                <w:szCs w:val="21"/>
                <w:highlight w:val="none"/>
                <w:lang w:val="zh-CN"/>
              </w:rPr>
              <w:t>内容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lang w:val="zh-CN"/>
              </w:rPr>
              <w:t>得分</w:t>
            </w:r>
          </w:p>
        </w:tc>
      </w:tr>
      <w:tr>
        <w:tblPrEx>
          <w:tblCellMar>
            <w:top w:w="0" w:type="dxa"/>
            <w:left w:w="108" w:type="dxa"/>
            <w:bottom w:w="0" w:type="dxa"/>
            <w:right w:w="108" w:type="dxa"/>
          </w:tblCellMar>
        </w:tblPrEx>
        <w:trPr>
          <w:trHeight w:val="766" w:hRule="atLeast"/>
        </w:trPr>
        <w:tc>
          <w:tcPr>
            <w:tcW w:w="540"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一</w:t>
            </w:r>
          </w:p>
        </w:tc>
        <w:tc>
          <w:tcPr>
            <w:tcW w:w="795"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240" w:lineRule="exact"/>
              <w:jc w:val="center"/>
              <w:rPr>
                <w:color w:val="auto"/>
                <w:szCs w:val="21"/>
                <w:highlight w:val="none"/>
              </w:rPr>
            </w:pPr>
            <w:r>
              <w:rPr>
                <w:rFonts w:hint="eastAsia"/>
                <w:color w:val="auto"/>
                <w:szCs w:val="21"/>
                <w:highlight w:val="none"/>
              </w:rPr>
              <w:t>投标</w:t>
            </w:r>
          </w:p>
          <w:p>
            <w:pPr>
              <w:autoSpaceDE w:val="0"/>
              <w:autoSpaceDN w:val="0"/>
              <w:adjustRightInd w:val="0"/>
              <w:spacing w:line="240" w:lineRule="exact"/>
              <w:jc w:val="center"/>
              <w:rPr>
                <w:rFonts w:ascii="宋体" w:cs="宋体"/>
                <w:color w:val="auto"/>
                <w:szCs w:val="21"/>
                <w:highlight w:val="none"/>
                <w:lang w:val="zh-CN"/>
              </w:rPr>
            </w:pPr>
            <w:r>
              <w:rPr>
                <w:rFonts w:hint="eastAsia"/>
                <w:color w:val="auto"/>
                <w:szCs w:val="21"/>
                <w:highlight w:val="none"/>
              </w:rPr>
              <w:t>形式</w:t>
            </w:r>
          </w:p>
        </w:tc>
        <w:tc>
          <w:tcPr>
            <w:tcW w:w="1496"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260" w:lineRule="exact"/>
              <w:jc w:val="center"/>
              <w:rPr>
                <w:rFonts w:ascii="宋体" w:hAnsi="宋体"/>
                <w:color w:val="auto"/>
                <w:szCs w:val="21"/>
                <w:highlight w:val="none"/>
              </w:rPr>
            </w:pPr>
            <w:r>
              <w:rPr>
                <w:rFonts w:hint="eastAsia" w:ascii="宋体" w:hAnsi="宋体" w:cs="宋体"/>
                <w:color w:val="auto"/>
                <w:szCs w:val="21"/>
                <w:highlight w:val="none"/>
                <w:lang w:val="zh-CN"/>
              </w:rPr>
              <w:t>[5]</w:t>
            </w:r>
          </w:p>
        </w:tc>
        <w:tc>
          <w:tcPr>
            <w:tcW w:w="977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ascii="宋体" w:cs="宋体"/>
                <w:color w:val="auto"/>
                <w:szCs w:val="21"/>
                <w:highlight w:val="none"/>
                <w:lang w:val="zh-CN"/>
              </w:rPr>
            </w:pPr>
            <w:r>
              <w:rPr>
                <w:rFonts w:hint="eastAsia" w:ascii="宋体" w:cs="宋体"/>
                <w:color w:val="auto"/>
                <w:szCs w:val="21"/>
                <w:highlight w:val="none"/>
                <w:lang w:val="zh-CN"/>
              </w:rPr>
              <w:t>投标人为独立投标的得</w:t>
            </w:r>
            <w:r>
              <w:rPr>
                <w:rFonts w:hint="eastAsia"/>
                <w:color w:val="auto"/>
                <w:szCs w:val="21"/>
                <w:highlight w:val="none"/>
                <w:lang w:val="zh-CN"/>
              </w:rPr>
              <w:t>5</w:t>
            </w:r>
            <w:r>
              <w:rPr>
                <w:rFonts w:hint="eastAsia" w:ascii="宋体" w:cs="宋体"/>
                <w:color w:val="auto"/>
                <w:szCs w:val="21"/>
                <w:highlight w:val="none"/>
                <w:lang w:val="zh-CN"/>
              </w:rPr>
              <w:t>分，联合体投标的得4分。</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100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r>
              <w:rPr>
                <w:rFonts w:hint="eastAsia" w:ascii="宋体" w:cs="宋体"/>
                <w:color w:val="auto"/>
                <w:szCs w:val="21"/>
                <w:highlight w:val="none"/>
                <w:lang w:val="zh-CN"/>
              </w:rPr>
              <w:t>二</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类似</w:t>
            </w:r>
          </w:p>
          <w:p>
            <w:pPr>
              <w:autoSpaceDE w:val="0"/>
              <w:autoSpaceDN w:val="0"/>
              <w:adjustRightInd w:val="0"/>
              <w:spacing w:line="240" w:lineRule="exact"/>
              <w:jc w:val="center"/>
              <w:rPr>
                <w:color w:val="auto"/>
                <w:szCs w:val="21"/>
                <w:highlight w:val="none"/>
              </w:rPr>
            </w:pPr>
            <w:r>
              <w:rPr>
                <w:rFonts w:hint="eastAsia" w:ascii="宋体" w:cs="宋体"/>
                <w:color w:val="auto"/>
                <w:szCs w:val="21"/>
                <w:highlight w:val="none"/>
                <w:lang w:val="zh-CN"/>
              </w:rPr>
              <w:t>业绩</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[25]</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76" w:lineRule="auto"/>
              <w:rPr>
                <w:rFonts w:cs="宋体" w:asciiTheme="minorEastAsia" w:hAnsiTheme="minorEastAsia" w:eastAsiaTheme="minorEastAsia"/>
                <w:color w:val="auto"/>
                <w:szCs w:val="21"/>
                <w:highlight w:val="none"/>
                <w:lang w:val="zh-CN"/>
              </w:rPr>
            </w:pP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年1月1日至今勘察对应类似业绩，每项得1分，最多得5分；</w:t>
            </w:r>
          </w:p>
          <w:p>
            <w:pPr>
              <w:autoSpaceDE w:val="0"/>
              <w:autoSpaceDN w:val="0"/>
              <w:adjustRightInd w:val="0"/>
              <w:spacing w:line="276" w:lineRule="auto"/>
              <w:rPr>
                <w:rFonts w:cs="宋体" w:asciiTheme="minorEastAsia" w:hAnsiTheme="minorEastAsia" w:eastAsiaTheme="minorEastAsia"/>
                <w:color w:val="auto"/>
                <w:kern w:val="2"/>
                <w:sz w:val="21"/>
                <w:szCs w:val="21"/>
                <w:highlight w:val="none"/>
                <w:lang w:val="zh-CN" w:eastAsia="zh-CN" w:bidi="ar-SA"/>
              </w:rPr>
            </w:pP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年1月1日至今设计对应类似业绩，每项得4分，最多得20分；</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761"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三</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业绩</w:t>
            </w:r>
          </w:p>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获奖</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76" w:lineRule="auto"/>
              <w:ind w:firstLine="0" w:firstLineChars="0"/>
              <w:rPr>
                <w:color w:val="auto"/>
                <w:highlight w:val="none"/>
              </w:rPr>
            </w:pP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年1月1日至今类似</w:t>
            </w:r>
            <w:r>
              <w:rPr>
                <w:rFonts w:hint="eastAsia" w:cs="宋体" w:asciiTheme="minorEastAsia" w:hAnsiTheme="minorEastAsia" w:eastAsiaTheme="minorEastAsia"/>
                <w:color w:val="auto"/>
                <w:szCs w:val="21"/>
                <w:highlight w:val="none"/>
                <w:lang w:val="zh-CN" w:eastAsia="zh-CN"/>
              </w:rPr>
              <w:t>勘察或</w:t>
            </w:r>
            <w:r>
              <w:rPr>
                <w:rFonts w:hint="eastAsia" w:cs="宋体" w:asciiTheme="minorEastAsia" w:hAnsiTheme="minorEastAsia" w:eastAsiaTheme="minorEastAsia"/>
                <w:color w:val="auto"/>
                <w:szCs w:val="21"/>
                <w:highlight w:val="none"/>
                <w:lang w:val="zh-CN"/>
              </w:rPr>
              <w:t>设计业绩获得国家级奖项，每项得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val="zh-CN"/>
              </w:rPr>
              <w:t>分；获得行业级奖项，每项得</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lang w:val="zh-CN"/>
              </w:rPr>
              <w:t>分；获得省级奖项，每项得1分；获得市（副省级）奖项，每项得0.5分。</w:t>
            </w:r>
          </w:p>
          <w:p>
            <w:pPr>
              <w:autoSpaceDE w:val="0"/>
              <w:autoSpaceDN w:val="0"/>
              <w:adjustRightInd w:val="0"/>
              <w:spacing w:line="276" w:lineRule="auto"/>
              <w:ind w:firstLine="0" w:firstLineChars="0"/>
              <w:rPr>
                <w:rFonts w:hint="default" w:eastAsia="宋体"/>
                <w:color w:val="auto"/>
                <w:highlight w:val="none"/>
                <w:lang w:val="en-US" w:eastAsia="zh-CN"/>
              </w:rPr>
            </w:pPr>
            <w:r>
              <w:rPr>
                <w:rFonts w:hint="eastAsia"/>
                <w:color w:val="auto"/>
                <w:highlight w:val="none"/>
                <w:lang w:eastAsia="zh-CN"/>
              </w:rPr>
              <w:t>以上奖项合计最多得</w:t>
            </w:r>
            <w:r>
              <w:rPr>
                <w:rFonts w:hint="eastAsia"/>
                <w:color w:val="auto"/>
                <w:highlight w:val="none"/>
                <w:lang w:val="en-US" w:eastAsia="zh-CN"/>
              </w:rPr>
              <w:t>25分。</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rPr>
          <w:trHeight w:val="1363"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四</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人员配备及技术水平</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1、项目负责人设计经历及业务能力：</w:t>
            </w:r>
          </w:p>
          <w:p>
            <w:pPr>
              <w:autoSpaceDE w:val="0"/>
              <w:autoSpaceDN w:val="0"/>
              <w:adjustRightInd w:val="0"/>
              <w:spacing w:line="276" w:lineRule="auto"/>
              <w:ind w:firstLine="0" w:firstLineChars="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（1）设计经历在20年以上（以毕业证书为准），</w:t>
            </w:r>
            <w:r>
              <w:rPr>
                <w:rFonts w:hint="eastAsia" w:ascii="宋体" w:hAnsi="宋体"/>
                <w:color w:val="auto"/>
                <w:szCs w:val="21"/>
                <w:highlight w:val="none"/>
                <w:lang w:val="zh-CN"/>
              </w:rPr>
              <w:t>且具有高级工程师或以上职称</w:t>
            </w:r>
            <w:r>
              <w:rPr>
                <w:rFonts w:ascii="宋体" w:hAnsi="宋体"/>
                <w:color w:val="auto"/>
                <w:szCs w:val="21"/>
                <w:highlight w:val="none"/>
                <w:lang w:val="zh-CN"/>
              </w:rPr>
              <w:t>得</w:t>
            </w:r>
            <w:r>
              <w:rPr>
                <w:rFonts w:hint="eastAsia" w:ascii="宋体" w:hAnsi="宋体"/>
                <w:color w:val="auto"/>
                <w:szCs w:val="21"/>
                <w:highlight w:val="none"/>
                <w:u w:val="single"/>
                <w:lang w:val="en-US" w:eastAsia="zh-CN"/>
              </w:rPr>
              <w:t>5</w:t>
            </w:r>
            <w:r>
              <w:rPr>
                <w:rFonts w:ascii="宋体" w:hAnsi="宋体"/>
                <w:color w:val="auto"/>
                <w:szCs w:val="21"/>
                <w:highlight w:val="none"/>
                <w:lang w:val="zh-CN"/>
              </w:rPr>
              <w:t>分，其它</w:t>
            </w:r>
            <w:r>
              <w:rPr>
                <w:rFonts w:hint="eastAsia" w:ascii="宋体" w:hAnsi="宋体"/>
                <w:color w:val="auto"/>
                <w:szCs w:val="21"/>
                <w:highlight w:val="none"/>
                <w:u w:val="single"/>
                <w:lang w:val="zh-CN"/>
              </w:rPr>
              <w:t>0</w:t>
            </w:r>
            <w:r>
              <w:rPr>
                <w:rFonts w:ascii="宋体" w:hAnsi="宋体"/>
                <w:color w:val="auto"/>
                <w:szCs w:val="21"/>
                <w:highlight w:val="none"/>
                <w:lang w:val="zh-CN"/>
              </w:rPr>
              <w:t>分</w:t>
            </w:r>
            <w:r>
              <w:rPr>
                <w:rFonts w:hint="eastAsia" w:cs="宋体" w:asciiTheme="minorEastAsia" w:hAnsiTheme="minorEastAsia" w:eastAsiaTheme="minorEastAsia"/>
                <w:color w:val="auto"/>
                <w:szCs w:val="21"/>
                <w:highlight w:val="none"/>
              </w:rPr>
              <w:t>。</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年1月1日至今曾主持过设计类似业绩的，每项得1分，最多得</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 xml:space="preserve">年1月1日至今参与设计的类似业绩项目获行业级或以上奖项，每项得 </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 xml:space="preserve"> 分；获得省部级奖项的，每项得</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 xml:space="preserve">分；获市奖项，每项得 </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rPr>
              <w:t>分；最多得</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以上各项合计最多得 1</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 xml:space="preserve"> 分。</w:t>
            </w:r>
          </w:p>
          <w:p>
            <w:pPr>
              <w:autoSpaceDE w:val="0"/>
              <w:autoSpaceDN w:val="0"/>
              <w:adjustRightInd w:val="0"/>
              <w:spacing w:line="280" w:lineRule="exact"/>
              <w:rPr>
                <w:color w:val="auto"/>
                <w:szCs w:val="21"/>
                <w:highlight w:val="none"/>
                <w:lang w:val="zh-CN"/>
              </w:rPr>
            </w:pPr>
            <w:r>
              <w:rPr>
                <w:rFonts w:hint="eastAsia" w:cs="宋体" w:asciiTheme="minorEastAsia" w:hAnsiTheme="minorEastAsia" w:eastAsiaTheme="minorEastAsia"/>
                <w:color w:val="auto"/>
                <w:szCs w:val="21"/>
                <w:highlight w:val="none"/>
              </w:rPr>
              <w:t>（所提供的投入人员必须为投标单位人员，以提供的社保证明为准，职称、业绩需提供证明材料）。</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rPr>
          <w:trHeight w:val="634" w:hRule="atLeast"/>
        </w:trPr>
        <w:tc>
          <w:tcPr>
            <w:tcW w:w="54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p>
        </w:tc>
        <w:tc>
          <w:tcPr>
            <w:tcW w:w="7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p>
        </w:tc>
        <w:tc>
          <w:tcPr>
            <w:tcW w:w="149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2、各专业负责人设计经历及业务能力：</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color w:val="auto"/>
                <w:szCs w:val="21"/>
                <w:highlight w:val="none"/>
                <w:lang w:val="zh-CN"/>
              </w:rPr>
              <w:t>各</w:t>
            </w:r>
            <w:r>
              <w:rPr>
                <w:color w:val="auto"/>
                <w:szCs w:val="21"/>
                <w:highlight w:val="none"/>
                <w:lang w:val="zh-CN"/>
              </w:rPr>
              <w:t>专业负责人</w:t>
            </w:r>
            <w:r>
              <w:rPr>
                <w:rFonts w:hint="eastAsia"/>
                <w:color w:val="auto"/>
                <w:szCs w:val="21"/>
                <w:highlight w:val="none"/>
                <w:lang w:val="zh-CN"/>
              </w:rPr>
              <w:t>每1名为注册建筑师或注册结构工程师或注册公用设备工程师或高级职称得</w:t>
            </w:r>
            <w:r>
              <w:rPr>
                <w:rFonts w:hint="eastAsia"/>
                <w:color w:val="auto"/>
                <w:szCs w:val="21"/>
                <w:highlight w:val="none"/>
                <w:u w:val="single"/>
                <w:lang w:val="en-US" w:eastAsia="zh-CN"/>
              </w:rPr>
              <w:t>1</w:t>
            </w:r>
            <w:r>
              <w:rPr>
                <w:rFonts w:hint="eastAsia"/>
                <w:color w:val="auto"/>
                <w:szCs w:val="21"/>
                <w:highlight w:val="none"/>
                <w:lang w:val="zh-CN"/>
              </w:rPr>
              <w:t>分，每1名为中级职称得</w:t>
            </w:r>
            <w:r>
              <w:rPr>
                <w:rFonts w:hint="eastAsia"/>
                <w:color w:val="auto"/>
                <w:szCs w:val="21"/>
                <w:highlight w:val="none"/>
                <w:u w:val="single"/>
                <w:lang w:val="en-US" w:eastAsia="zh-CN"/>
              </w:rPr>
              <w:t>0.5</w:t>
            </w:r>
            <w:r>
              <w:rPr>
                <w:rFonts w:hint="eastAsia"/>
                <w:color w:val="auto"/>
                <w:szCs w:val="21"/>
                <w:highlight w:val="none"/>
                <w:lang w:val="zh-CN"/>
              </w:rPr>
              <w:t>分</w:t>
            </w:r>
            <w:r>
              <w:rPr>
                <w:rFonts w:hint="eastAsia" w:cs="宋体" w:asciiTheme="minorEastAsia" w:hAnsiTheme="minorEastAsia" w:eastAsiaTheme="minorEastAsia"/>
                <w:color w:val="auto"/>
                <w:szCs w:val="21"/>
                <w:highlight w:val="none"/>
              </w:rPr>
              <w:t>。</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年1月1日至今各专业负责人，每1名参与过的</w:t>
            </w:r>
            <w:r>
              <w:rPr>
                <w:rFonts w:hint="eastAsia" w:cs="宋体" w:asciiTheme="minorEastAsia" w:hAnsiTheme="minorEastAsia" w:eastAsiaTheme="minorEastAsia"/>
                <w:color w:val="auto"/>
                <w:szCs w:val="21"/>
                <w:highlight w:val="none"/>
                <w:lang w:val="en-US" w:eastAsia="zh-CN"/>
              </w:rPr>
              <w:t>市政</w:t>
            </w:r>
            <w:r>
              <w:rPr>
                <w:rFonts w:hint="eastAsia" w:cs="宋体" w:asciiTheme="minorEastAsia" w:hAnsiTheme="minorEastAsia" w:eastAsiaTheme="minorEastAsia"/>
                <w:color w:val="auto"/>
                <w:szCs w:val="21"/>
                <w:highlight w:val="none"/>
              </w:rPr>
              <w:t>项目获行业级或以上奖项，每项得2 分；获得省部级奖项的，每项得 1 分；获市奖项，每项得 0.5 分。（每人最多计两个业绩获奖）</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年1月1日至今各专业负责人，每一名参与过设计类似业绩者得1分。</w:t>
            </w:r>
          </w:p>
          <w:p>
            <w:pPr>
              <w:autoSpaceDE w:val="0"/>
              <w:autoSpaceDN w:val="0"/>
              <w:adjustRightInd w:val="0"/>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以上各项合计最多得 </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 xml:space="preserve"> 分。</w:t>
            </w:r>
          </w:p>
          <w:p>
            <w:pPr>
              <w:autoSpaceDE w:val="0"/>
              <w:autoSpaceDN w:val="0"/>
              <w:adjustRightInd w:val="0"/>
              <w:spacing w:line="276" w:lineRule="auto"/>
              <w:rPr>
                <w:color w:val="auto"/>
                <w:szCs w:val="21"/>
                <w:highlight w:val="none"/>
                <w:lang w:val="zh-CN"/>
              </w:rPr>
            </w:pPr>
            <w:r>
              <w:rPr>
                <w:rFonts w:hint="eastAsia" w:cs="宋体" w:asciiTheme="minorEastAsia" w:hAnsiTheme="minorEastAsia" w:eastAsiaTheme="minorEastAsia"/>
                <w:color w:val="auto"/>
                <w:szCs w:val="21"/>
                <w:highlight w:val="none"/>
              </w:rPr>
              <w:t>（所提供的投入人员必须为投标单位人员，以提供的社保证明为准，职称</w:t>
            </w:r>
            <w:r>
              <w:rPr>
                <w:rFonts w:hint="eastAsia" w:cs="宋体" w:asciiTheme="minorEastAsia" w:hAnsiTheme="minorEastAsia" w:eastAsiaTheme="minorEastAsia"/>
                <w:color w:val="auto"/>
                <w:szCs w:val="21"/>
                <w:highlight w:val="none"/>
                <w:lang w:eastAsia="zh-CN"/>
              </w:rPr>
              <w:t>或资格</w:t>
            </w:r>
            <w:r>
              <w:rPr>
                <w:rFonts w:hint="eastAsia" w:cs="宋体" w:asciiTheme="minorEastAsia" w:hAnsiTheme="minorEastAsia" w:eastAsiaTheme="minorEastAsia"/>
                <w:color w:val="auto"/>
                <w:szCs w:val="21"/>
                <w:highlight w:val="none"/>
              </w:rPr>
              <w:t>、业绩需提供证明材料）。</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rPr>
          <w:trHeight w:val="107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r>
              <w:rPr>
                <w:rFonts w:hint="eastAsia"/>
                <w:color w:val="auto"/>
                <w:szCs w:val="21"/>
                <w:highlight w:val="none"/>
              </w:rPr>
              <w:t>五</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color w:val="auto"/>
                <w:szCs w:val="21"/>
                <w:highlight w:val="none"/>
                <w:lang w:val="zh-CN"/>
              </w:rPr>
            </w:pPr>
            <w:r>
              <w:rPr>
                <w:rFonts w:hint="eastAsia" w:ascii="宋体" w:cs="宋体"/>
                <w:color w:val="auto"/>
                <w:szCs w:val="21"/>
                <w:highlight w:val="none"/>
                <w:lang w:val="zh-CN"/>
              </w:rPr>
              <w:t>服务及措施</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spacing w:line="276" w:lineRule="auto"/>
              <w:rPr>
                <w:color w:val="auto"/>
                <w:szCs w:val="21"/>
                <w:highlight w:val="none"/>
              </w:rPr>
            </w:pPr>
            <w:r>
              <w:rPr>
                <w:rFonts w:hint="eastAsia" w:cs="宋体" w:asciiTheme="minorEastAsia" w:hAnsiTheme="minorEastAsia" w:eastAsiaTheme="minorEastAsia"/>
                <w:color w:val="auto"/>
                <w:szCs w:val="21"/>
                <w:highlight w:val="none"/>
              </w:rPr>
              <w:t xml:space="preserve">有针对本项目所制定的设计进度安排、质量保证措施、协助业主确保工程质量、控制工程规模、降低工程造价、减少设计变更等措施的得 </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 xml:space="preserve"> 分</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 xml:space="preserve"> 无得0分</w:t>
            </w:r>
            <w:r>
              <w:rPr>
                <w:rFonts w:hint="eastAsia" w:cs="宋体" w:asciiTheme="minorEastAsia" w:hAnsiTheme="minorEastAsia" w:eastAsiaTheme="minorEastAsia"/>
                <w:color w:val="auto"/>
                <w:szCs w:val="21"/>
                <w:highlight w:val="none"/>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rPr>
          <w:trHeight w:val="615"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六</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信誉</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投标人（若为联合体，指牵头人）自投标截止时间往前计算,连续获得“纳税信用A级”称号的：连续</w:t>
            </w:r>
            <w:r>
              <w:rPr>
                <w:rFonts w:hint="eastAsia" w:ascii="宋体" w:hAnsi="宋体"/>
                <w:color w:val="auto"/>
                <w:szCs w:val="21"/>
                <w:highlight w:val="none"/>
                <w:lang w:val="en-US" w:eastAsia="zh-CN"/>
              </w:rPr>
              <w:t>7</w:t>
            </w:r>
            <w:r>
              <w:rPr>
                <w:rFonts w:hint="eastAsia" w:ascii="宋体" w:hAnsi="宋体"/>
                <w:color w:val="auto"/>
                <w:szCs w:val="21"/>
                <w:highlight w:val="none"/>
              </w:rPr>
              <w:t>年或以上的，得</w:t>
            </w:r>
            <w:r>
              <w:rPr>
                <w:rFonts w:hint="eastAsia" w:ascii="宋体" w:hAnsi="宋体"/>
                <w:color w:val="auto"/>
                <w:szCs w:val="21"/>
                <w:highlight w:val="none"/>
                <w:lang w:val="en-US" w:eastAsia="zh-CN"/>
              </w:rPr>
              <w:t>2</w:t>
            </w:r>
            <w:r>
              <w:rPr>
                <w:rFonts w:hint="eastAsia" w:ascii="宋体" w:hAnsi="宋体"/>
                <w:color w:val="auto"/>
                <w:szCs w:val="21"/>
                <w:highlight w:val="none"/>
              </w:rPr>
              <w:t>0分；连续</w:t>
            </w:r>
            <w:r>
              <w:rPr>
                <w:rFonts w:hint="eastAsia" w:ascii="宋体" w:hAnsi="宋体"/>
                <w:color w:val="auto"/>
                <w:szCs w:val="21"/>
                <w:highlight w:val="none"/>
                <w:lang w:val="en-US" w:eastAsia="zh-CN"/>
              </w:rPr>
              <w:t>6</w:t>
            </w:r>
            <w:r>
              <w:rPr>
                <w:rFonts w:hint="eastAsia" w:ascii="宋体" w:hAnsi="宋体"/>
                <w:color w:val="auto"/>
                <w:szCs w:val="21"/>
                <w:highlight w:val="none"/>
              </w:rPr>
              <w:t>年的，得</w:t>
            </w:r>
            <w:r>
              <w:rPr>
                <w:rFonts w:hint="eastAsia" w:ascii="宋体" w:hAnsi="宋体"/>
                <w:color w:val="auto"/>
                <w:szCs w:val="21"/>
                <w:highlight w:val="none"/>
                <w:lang w:val="en-US" w:eastAsia="zh-CN"/>
              </w:rPr>
              <w:t>16</w:t>
            </w:r>
            <w:r>
              <w:rPr>
                <w:rFonts w:hint="eastAsia" w:ascii="宋体" w:hAnsi="宋体"/>
                <w:color w:val="auto"/>
                <w:szCs w:val="21"/>
                <w:highlight w:val="none"/>
              </w:rPr>
              <w:t>分；连续</w:t>
            </w:r>
            <w:r>
              <w:rPr>
                <w:rFonts w:hint="eastAsia" w:ascii="宋体" w:hAnsi="宋体"/>
                <w:color w:val="auto"/>
                <w:szCs w:val="21"/>
                <w:highlight w:val="none"/>
                <w:lang w:val="en-US" w:eastAsia="zh-CN"/>
              </w:rPr>
              <w:t>5</w:t>
            </w:r>
            <w:r>
              <w:rPr>
                <w:rFonts w:hint="eastAsia" w:ascii="宋体" w:hAnsi="宋体"/>
                <w:color w:val="auto"/>
                <w:szCs w:val="21"/>
                <w:highlight w:val="none"/>
              </w:rPr>
              <w:t>年的，得</w:t>
            </w:r>
            <w:r>
              <w:rPr>
                <w:rFonts w:hint="eastAsia" w:ascii="宋体" w:hAnsi="宋体"/>
                <w:color w:val="auto"/>
                <w:szCs w:val="21"/>
                <w:highlight w:val="none"/>
                <w:lang w:val="en-US" w:eastAsia="zh-CN"/>
              </w:rPr>
              <w:t>12</w:t>
            </w:r>
            <w:r>
              <w:rPr>
                <w:rFonts w:hint="eastAsia" w:ascii="宋体" w:hAnsi="宋体"/>
                <w:color w:val="auto"/>
                <w:szCs w:val="21"/>
                <w:highlight w:val="none"/>
              </w:rPr>
              <w:t>分；连续</w:t>
            </w:r>
            <w:r>
              <w:rPr>
                <w:rFonts w:hint="eastAsia" w:ascii="宋体" w:hAnsi="宋体"/>
                <w:color w:val="auto"/>
                <w:szCs w:val="21"/>
                <w:highlight w:val="none"/>
                <w:lang w:val="en-US" w:eastAsia="zh-CN"/>
              </w:rPr>
              <w:t>4</w:t>
            </w:r>
            <w:r>
              <w:rPr>
                <w:rFonts w:hint="eastAsia" w:ascii="宋体" w:hAnsi="宋体"/>
                <w:color w:val="auto"/>
                <w:szCs w:val="21"/>
                <w:highlight w:val="none"/>
              </w:rPr>
              <w:t>年的，得</w:t>
            </w:r>
            <w:r>
              <w:rPr>
                <w:rFonts w:hint="eastAsia" w:ascii="宋体" w:hAnsi="宋体"/>
                <w:color w:val="auto"/>
                <w:szCs w:val="21"/>
                <w:highlight w:val="none"/>
                <w:lang w:val="en-US" w:eastAsia="zh-CN"/>
              </w:rPr>
              <w:t>8</w:t>
            </w:r>
            <w:r>
              <w:rPr>
                <w:rFonts w:hint="eastAsia" w:ascii="宋体" w:hAnsi="宋体"/>
                <w:color w:val="auto"/>
                <w:szCs w:val="21"/>
                <w:highlight w:val="none"/>
              </w:rPr>
              <w:t>分；</w:t>
            </w:r>
            <w:r>
              <w:rPr>
                <w:rFonts w:hint="eastAsia" w:ascii="宋体" w:hAnsi="宋体"/>
                <w:color w:val="auto"/>
                <w:szCs w:val="21"/>
                <w:highlight w:val="none"/>
                <w:lang w:val="en-US" w:eastAsia="zh-CN"/>
              </w:rPr>
              <w:t>连续3年或以下</w:t>
            </w:r>
            <w:r>
              <w:rPr>
                <w:rFonts w:hint="eastAsia" w:ascii="宋体" w:hAnsi="宋体"/>
                <w:color w:val="auto"/>
                <w:szCs w:val="21"/>
                <w:highlight w:val="none"/>
              </w:rPr>
              <w:t>的，得</w:t>
            </w:r>
            <w:r>
              <w:rPr>
                <w:rFonts w:hint="eastAsia" w:ascii="宋体" w:hAnsi="宋体"/>
                <w:color w:val="auto"/>
                <w:szCs w:val="21"/>
                <w:highlight w:val="none"/>
                <w:lang w:val="en-US" w:eastAsia="zh-CN"/>
              </w:rPr>
              <w:t>4</w:t>
            </w:r>
            <w:r>
              <w:rPr>
                <w:rFonts w:hint="eastAsia" w:ascii="宋体" w:hAnsi="宋体"/>
                <w:color w:val="auto"/>
                <w:szCs w:val="21"/>
                <w:highlight w:val="none"/>
              </w:rPr>
              <w:t>分。前述评审均须包含最新评价（评定）年度即2021年度。不满足前述要求者，得0分。</w:t>
            </w:r>
          </w:p>
          <w:p>
            <w:pPr>
              <w:autoSpaceDE w:val="0"/>
              <w:autoSpaceDN w:val="0"/>
              <w:adjustRightInd w:val="0"/>
              <w:spacing w:line="276" w:lineRule="auto"/>
              <w:rPr>
                <w:rFonts w:ascii="宋体" w:cs="宋体"/>
                <w:color w:val="auto"/>
                <w:szCs w:val="21"/>
                <w:highlight w:val="none"/>
                <w:lang w:val="zh-CN"/>
              </w:rPr>
            </w:pPr>
            <w:r>
              <w:rPr>
                <w:rFonts w:hint="eastAsia" w:ascii="宋体" w:hAnsi="宋体"/>
                <w:color w:val="auto"/>
                <w:szCs w:val="21"/>
                <w:highlight w:val="none"/>
              </w:rPr>
              <w:t>注：时间以评价年度为准，按最高连续年数计算。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r>
      <w:tr>
        <w:trPr>
          <w:trHeight w:val="58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auto"/>
                <w:szCs w:val="21"/>
                <w:highlight w:val="none"/>
              </w:rPr>
            </w:pPr>
            <w:r>
              <w:rPr>
                <w:rFonts w:hint="eastAsia" w:ascii="宋体" w:cs="宋体"/>
                <w:color w:val="auto"/>
                <w:szCs w:val="21"/>
                <w:highlight w:val="none"/>
                <w:lang w:val="zh-CN"/>
              </w:rPr>
              <w:t>总计</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r>
      <w:tr>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color w:val="auto"/>
                <w:szCs w:val="21"/>
                <w:highlight w:val="none"/>
                <w:lang w:val="zh-CN"/>
              </w:rPr>
            </w:pPr>
            <w:r>
              <w:rPr>
                <w:rFonts w:hint="eastAsia" w:ascii="宋体" w:cs="宋体"/>
                <w:color w:val="auto"/>
                <w:szCs w:val="21"/>
                <w:highlight w:val="none"/>
                <w:lang w:val="zh-CN"/>
              </w:rPr>
              <w:t>评审人员</w:t>
            </w:r>
          </w:p>
        </w:tc>
        <w:tc>
          <w:tcPr>
            <w:tcW w:w="123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p>
        </w:tc>
      </w:tr>
    </w:tbl>
    <w:p>
      <w:pPr>
        <w:spacing w:line="276"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spacing w:line="276" w:lineRule="auto"/>
        <w:ind w:firstLine="329" w:firstLineChars="157"/>
        <w:jc w:val="left"/>
        <w:rPr>
          <w:rFonts w:asciiTheme="minorEastAsia" w:hAnsiTheme="minorEastAsia" w:eastAsiaTheme="minorEastAsia"/>
          <w:b w:val="0"/>
          <w:bCs w:val="0"/>
          <w:color w:val="auto"/>
          <w:szCs w:val="21"/>
          <w:highlight w:val="none"/>
          <w:u w:val="single"/>
        </w:rPr>
      </w:pPr>
      <w:r>
        <w:rPr>
          <w:rFonts w:hint="eastAsia" w:asciiTheme="minorEastAsia" w:hAnsiTheme="minorEastAsia" w:eastAsiaTheme="minorEastAsia"/>
          <w:color w:val="auto"/>
          <w:szCs w:val="21"/>
          <w:highlight w:val="none"/>
        </w:rPr>
        <w:t>1、设计类似业绩是指达到招标公告所述设计资</w:t>
      </w:r>
      <w:r>
        <w:rPr>
          <w:rFonts w:hint="eastAsia" w:asciiTheme="minorEastAsia" w:hAnsiTheme="minorEastAsia" w:eastAsiaTheme="minorEastAsia"/>
          <w:b w:val="0"/>
          <w:bCs w:val="0"/>
          <w:color w:val="auto"/>
          <w:szCs w:val="21"/>
          <w:highlight w:val="none"/>
          <w:u w:val="single"/>
        </w:rPr>
        <w:t>质方能承接的</w:t>
      </w:r>
      <w:r>
        <w:rPr>
          <w:rFonts w:hint="eastAsia" w:ascii="宋体" w:hAnsi="宋体"/>
          <w:b w:val="0"/>
          <w:bCs w:val="0"/>
          <w:color w:val="auto"/>
          <w:szCs w:val="21"/>
          <w:highlight w:val="none"/>
          <w:u w:val="single"/>
        </w:rPr>
        <w:t>工程</w:t>
      </w:r>
      <w:r>
        <w:rPr>
          <w:rFonts w:hint="eastAsia" w:ascii="宋体" w:hAnsi="宋体"/>
          <w:b w:val="0"/>
          <w:bCs w:val="0"/>
          <w:color w:val="auto"/>
          <w:szCs w:val="21"/>
          <w:highlight w:val="none"/>
          <w:u w:val="single"/>
          <w:lang w:eastAsia="zh-CN"/>
        </w:rPr>
        <w:t>建安费</w:t>
      </w:r>
      <w:r>
        <w:rPr>
          <w:rFonts w:hint="eastAsia" w:ascii="宋体" w:hAnsi="宋体"/>
          <w:b w:val="0"/>
          <w:bCs w:val="0"/>
          <w:color w:val="auto"/>
          <w:szCs w:val="21"/>
          <w:highlight w:val="none"/>
          <w:u w:val="single"/>
          <w:lang w:val="en-US" w:eastAsia="zh-CN"/>
        </w:rPr>
        <w:t>5500</w:t>
      </w:r>
      <w:r>
        <w:rPr>
          <w:rFonts w:hint="eastAsia" w:ascii="宋体" w:hAnsi="宋体"/>
          <w:b w:val="0"/>
          <w:bCs w:val="0"/>
          <w:color w:val="auto"/>
          <w:szCs w:val="21"/>
          <w:highlight w:val="none"/>
          <w:u w:val="single"/>
        </w:rPr>
        <w:t>万元或以上市政</w:t>
      </w:r>
      <w:r>
        <w:rPr>
          <w:rFonts w:hint="eastAsia" w:ascii="宋体" w:hAnsi="宋体"/>
          <w:b w:val="0"/>
          <w:bCs w:val="0"/>
          <w:color w:val="auto"/>
          <w:szCs w:val="21"/>
          <w:highlight w:val="none"/>
          <w:u w:val="single"/>
          <w:lang w:val="en-US" w:eastAsia="zh-CN"/>
        </w:rPr>
        <w:t>路桥</w:t>
      </w:r>
      <w:r>
        <w:rPr>
          <w:rFonts w:hint="eastAsia" w:asciiTheme="minorEastAsia" w:hAnsiTheme="minorEastAsia" w:eastAsiaTheme="minorEastAsia"/>
          <w:b w:val="0"/>
          <w:bCs w:val="0"/>
          <w:color w:val="auto"/>
          <w:szCs w:val="21"/>
          <w:highlight w:val="none"/>
          <w:u w:val="single"/>
        </w:rPr>
        <w:t>工程设计项目，需同时提供中标通知书或项目审批部门出具的免招标的相关证明、设计合同及项目初步设计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证明，时间以项目初步设计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证明日期为准。勘察类似业绩是指达到招标公告所述勘察资质方能承接的</w:t>
      </w:r>
      <w:r>
        <w:rPr>
          <w:rFonts w:hint="eastAsia" w:ascii="宋体" w:hAnsi="宋体"/>
          <w:b w:val="0"/>
          <w:bCs w:val="0"/>
          <w:color w:val="auto"/>
          <w:szCs w:val="21"/>
          <w:highlight w:val="none"/>
          <w:u w:val="single"/>
        </w:rPr>
        <w:t>工程</w:t>
      </w:r>
      <w:r>
        <w:rPr>
          <w:rFonts w:hint="eastAsia" w:ascii="宋体" w:hAnsi="宋体"/>
          <w:b w:val="0"/>
          <w:bCs w:val="0"/>
          <w:color w:val="auto"/>
          <w:szCs w:val="21"/>
          <w:highlight w:val="none"/>
          <w:u w:val="single"/>
          <w:lang w:eastAsia="zh-CN"/>
        </w:rPr>
        <w:t>建安费</w:t>
      </w:r>
      <w:r>
        <w:rPr>
          <w:rFonts w:hint="eastAsia" w:ascii="宋体" w:hAnsi="宋体"/>
          <w:b w:val="0"/>
          <w:bCs w:val="0"/>
          <w:color w:val="auto"/>
          <w:szCs w:val="21"/>
          <w:highlight w:val="none"/>
          <w:u w:val="single"/>
          <w:lang w:val="en-US" w:eastAsia="zh-CN"/>
        </w:rPr>
        <w:t>5500</w:t>
      </w:r>
      <w:r>
        <w:rPr>
          <w:rFonts w:hint="eastAsia" w:ascii="宋体" w:hAnsi="宋体"/>
          <w:b w:val="0"/>
          <w:bCs w:val="0"/>
          <w:color w:val="auto"/>
          <w:szCs w:val="21"/>
          <w:highlight w:val="none"/>
          <w:u w:val="single"/>
        </w:rPr>
        <w:t>万元或以上市政</w:t>
      </w:r>
      <w:r>
        <w:rPr>
          <w:rFonts w:hint="eastAsia" w:ascii="宋体" w:hAnsi="宋体"/>
          <w:b w:val="0"/>
          <w:bCs w:val="0"/>
          <w:color w:val="auto"/>
          <w:szCs w:val="21"/>
          <w:highlight w:val="none"/>
          <w:u w:val="single"/>
          <w:lang w:val="en-US" w:eastAsia="zh-CN"/>
        </w:rPr>
        <w:t>路桥</w:t>
      </w:r>
      <w:r>
        <w:rPr>
          <w:rFonts w:hint="eastAsia" w:asciiTheme="minorEastAsia" w:hAnsiTheme="minorEastAsia" w:eastAsiaTheme="minorEastAsia"/>
          <w:b w:val="0"/>
          <w:bCs w:val="0"/>
          <w:color w:val="auto"/>
          <w:szCs w:val="21"/>
          <w:highlight w:val="none"/>
          <w:u w:val="single"/>
        </w:rPr>
        <w:t>工程勘察项目，需同时提供中标通知书或项目审批部门出具的免招标的相关证明、勘察合同及项目初步设计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证明，时间以项目初步设计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证明日期为准，提供不全者不得分。（同一项目含设计和勘察的按分别满足上述要求各计算一次类似设计业绩和类似勘察业绩）。</w:t>
      </w:r>
    </w:p>
    <w:p>
      <w:pPr>
        <w:spacing w:line="276" w:lineRule="auto"/>
        <w:ind w:firstLine="329" w:firstLineChars="157"/>
        <w:jc w:val="left"/>
        <w:rPr>
          <w:rFonts w:asciiTheme="minorEastAsia" w:hAnsiTheme="minorEastAsia" w:eastAsiaTheme="minorEastAsia"/>
          <w:b w:val="0"/>
          <w:bCs w:val="0"/>
          <w:color w:val="auto"/>
          <w:szCs w:val="21"/>
          <w:highlight w:val="none"/>
          <w:u w:val="single"/>
        </w:rPr>
      </w:pPr>
      <w:r>
        <w:rPr>
          <w:rFonts w:hint="eastAsia" w:asciiTheme="minorEastAsia" w:hAnsiTheme="minorEastAsia" w:eastAsiaTheme="minorEastAsia"/>
          <w:b w:val="0"/>
          <w:bCs w:val="0"/>
          <w:color w:val="auto"/>
          <w:szCs w:val="21"/>
          <w:highlight w:val="none"/>
          <w:u w:val="single"/>
        </w:rPr>
        <w:t>2、获奖奖项是指与本次招标专业内容相对应的</w:t>
      </w:r>
      <w:r>
        <w:rPr>
          <w:rFonts w:hint="eastAsia" w:ascii="宋体" w:hAnsi="宋体"/>
          <w:b w:val="0"/>
          <w:bCs w:val="0"/>
          <w:color w:val="auto"/>
          <w:szCs w:val="21"/>
          <w:highlight w:val="none"/>
          <w:u w:val="single"/>
        </w:rPr>
        <w:t>市政</w:t>
      </w:r>
      <w:r>
        <w:rPr>
          <w:rFonts w:hint="eastAsia" w:ascii="宋体" w:hAnsi="宋体"/>
          <w:b w:val="0"/>
          <w:bCs w:val="0"/>
          <w:color w:val="auto"/>
          <w:szCs w:val="21"/>
          <w:highlight w:val="none"/>
          <w:u w:val="single"/>
          <w:lang w:val="en-US" w:eastAsia="zh-CN"/>
        </w:rPr>
        <w:t>路桥</w:t>
      </w:r>
      <w:r>
        <w:rPr>
          <w:rFonts w:hint="eastAsia" w:asciiTheme="minorEastAsia" w:hAnsiTheme="minorEastAsia" w:eastAsiaTheme="minorEastAsia"/>
          <w:b w:val="0"/>
          <w:bCs w:val="0"/>
          <w:color w:val="auto"/>
          <w:szCs w:val="21"/>
          <w:highlight w:val="none"/>
          <w:u w:val="single"/>
        </w:rPr>
        <w:t>工程</w:t>
      </w:r>
      <w:r>
        <w:rPr>
          <w:rFonts w:hint="eastAsia" w:asciiTheme="minorEastAsia" w:hAnsiTheme="minorEastAsia" w:eastAsiaTheme="minorEastAsia"/>
          <w:b w:val="0"/>
          <w:bCs w:val="0"/>
          <w:color w:val="auto"/>
          <w:szCs w:val="21"/>
          <w:highlight w:val="none"/>
          <w:u w:val="single"/>
          <w:lang w:eastAsia="zh-CN"/>
        </w:rPr>
        <w:t>获</w:t>
      </w:r>
      <w:r>
        <w:rPr>
          <w:rFonts w:hint="eastAsia" w:asciiTheme="minorEastAsia" w:hAnsiTheme="minorEastAsia" w:eastAsiaTheme="minorEastAsia"/>
          <w:b w:val="0"/>
          <w:bCs w:val="0"/>
          <w:color w:val="auto"/>
          <w:szCs w:val="21"/>
          <w:highlight w:val="none"/>
          <w:u w:val="single"/>
        </w:rPr>
        <w:t>中国勘察设计协会颁发的全国优秀工程勘察设计行业奖、省（部）级（含副省级）行业协会颁发的省（部）级（含副省级）优秀勘察设计奖；由国务院颁发的国家科学技术奖、住建部的华夏建设科学技术奖励委员会颁发的华夏建设科学技术奖、省（部）级（含副省级）人民政府颁发的省（部）（含副省级）科学技术奖。国家级（国家科学技术奖、华夏建设科学技术奖）分值＞行业级（全国优秀工程勘察设计行业奖）分值＞省（部）级【省（部）级科学技术奖、省（部）级优秀工程勘察设计奖】分值＞市级（含副省级）（市科学技术奖、市工程勘察设计奖）分值，各级奖项的一等（金）奖、二等（银）奖、三等（铜）奖具体分值不再细分。</w:t>
      </w:r>
    </w:p>
    <w:p>
      <w:pPr>
        <w:spacing w:line="276" w:lineRule="auto"/>
        <w:ind w:firstLine="329" w:firstLineChars="157"/>
        <w:jc w:val="left"/>
        <w:rPr>
          <w:rFonts w:asciiTheme="minorEastAsia" w:hAnsiTheme="minorEastAsia" w:eastAsiaTheme="minorEastAsia"/>
          <w:b w:val="0"/>
          <w:bCs w:val="0"/>
          <w:color w:val="auto"/>
          <w:szCs w:val="21"/>
          <w:highlight w:val="none"/>
          <w:u w:val="single"/>
        </w:rPr>
      </w:pPr>
      <w:r>
        <w:rPr>
          <w:rFonts w:hint="eastAsia" w:asciiTheme="minorEastAsia" w:hAnsiTheme="minorEastAsia" w:eastAsiaTheme="minorEastAsia"/>
          <w:b w:val="0"/>
          <w:bCs w:val="0"/>
          <w:color w:val="auto"/>
          <w:szCs w:val="21"/>
          <w:highlight w:val="none"/>
          <w:u w:val="single"/>
        </w:rPr>
        <w:t>3、企业业绩获奖以颁发奖状时间为准，按最高奖项只计算一次，不重复计算。获奖证书上不能体现类似业绩的应提供获奖项目的合同和项目初步设计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证明（复印件），否则不得分；同一项目设计和勘察分别获奖的各计算一次类似设计获奖和类似勘察获奖，未提供者不得分。</w:t>
      </w:r>
    </w:p>
    <w:p>
      <w:pPr>
        <w:spacing w:line="276" w:lineRule="auto"/>
        <w:ind w:firstLine="329" w:firstLineChars="157"/>
        <w:jc w:val="left"/>
        <w:rPr>
          <w:rFonts w:asciiTheme="minorEastAsia" w:hAnsiTheme="minorEastAsia" w:eastAsiaTheme="minorEastAsia"/>
          <w:b w:val="0"/>
          <w:bCs w:val="0"/>
          <w:color w:val="auto"/>
          <w:szCs w:val="21"/>
          <w:highlight w:val="none"/>
          <w:u w:val="single"/>
        </w:rPr>
      </w:pPr>
      <w:r>
        <w:rPr>
          <w:rFonts w:hint="eastAsia" w:asciiTheme="minorEastAsia" w:hAnsiTheme="minorEastAsia" w:eastAsiaTheme="minorEastAsia"/>
          <w:b w:val="0"/>
          <w:bCs w:val="0"/>
          <w:color w:val="auto"/>
          <w:szCs w:val="21"/>
          <w:highlight w:val="none"/>
          <w:u w:val="single"/>
        </w:rPr>
        <w:t>4、项目负责人、各专业负责人业绩需同时提供中标通知书或项目审批部门出具的免招标的相关证明、设计合同及项目初步设计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证明，时间以项目初步设计</w:t>
      </w:r>
      <w:r>
        <w:rPr>
          <w:rFonts w:hint="eastAsia" w:asciiTheme="minorEastAsia" w:hAnsiTheme="minorEastAsia" w:eastAsiaTheme="minorEastAsia"/>
          <w:b w:val="0"/>
          <w:bCs w:val="0"/>
          <w:color w:val="auto"/>
          <w:szCs w:val="21"/>
          <w:highlight w:val="none"/>
          <w:u w:val="single"/>
          <w:lang w:val="en-US" w:eastAsia="zh-CN"/>
        </w:rPr>
        <w:t>批复</w:t>
      </w:r>
      <w:r>
        <w:rPr>
          <w:rFonts w:hint="eastAsia" w:asciiTheme="minorEastAsia" w:hAnsiTheme="minorEastAsia" w:eastAsiaTheme="minorEastAsia"/>
          <w:b w:val="0"/>
          <w:bCs w:val="0"/>
          <w:color w:val="auto"/>
          <w:szCs w:val="21"/>
          <w:highlight w:val="none"/>
          <w:u w:val="single"/>
        </w:rPr>
        <w:t>（或初步设计会议评审纪要）或项目主体施工图审查</w:t>
      </w:r>
      <w:r>
        <w:rPr>
          <w:rFonts w:hint="eastAsia" w:asciiTheme="minorEastAsia" w:hAnsiTheme="minorEastAsia" w:eastAsiaTheme="minorEastAsia"/>
          <w:b w:val="0"/>
          <w:bCs w:val="0"/>
          <w:color w:val="auto"/>
          <w:szCs w:val="21"/>
          <w:highlight w:val="none"/>
          <w:u w:val="single"/>
          <w:lang w:val="en-US" w:eastAsia="zh-CN"/>
        </w:rPr>
        <w:t>合格</w:t>
      </w:r>
      <w:r>
        <w:rPr>
          <w:rFonts w:hint="eastAsia" w:asciiTheme="minorEastAsia" w:hAnsiTheme="minorEastAsia" w:eastAsiaTheme="minorEastAsia"/>
          <w:b w:val="0"/>
          <w:bCs w:val="0"/>
          <w:color w:val="auto"/>
          <w:szCs w:val="21"/>
          <w:highlight w:val="none"/>
          <w:u w:val="single"/>
        </w:rPr>
        <w:t>证明日期为准。</w:t>
      </w:r>
    </w:p>
    <w:p>
      <w:pPr>
        <w:spacing w:line="276" w:lineRule="auto"/>
        <w:ind w:firstLine="329" w:firstLineChars="157"/>
        <w:jc w:val="left"/>
        <w:rPr>
          <w:rFonts w:asciiTheme="minorEastAsia" w:hAnsiTheme="minorEastAsia" w:eastAsiaTheme="minorEastAsia"/>
          <w:b w:val="0"/>
          <w:bCs w:val="0"/>
          <w:color w:val="auto"/>
          <w:szCs w:val="21"/>
          <w:highlight w:val="none"/>
          <w:u w:val="single"/>
        </w:rPr>
      </w:pPr>
      <w:r>
        <w:rPr>
          <w:rFonts w:hint="eastAsia" w:asciiTheme="minorEastAsia" w:hAnsiTheme="minorEastAsia" w:eastAsiaTheme="minorEastAsia"/>
          <w:b w:val="0"/>
          <w:bCs w:val="0"/>
          <w:color w:val="auto"/>
          <w:szCs w:val="21"/>
          <w:highlight w:val="none"/>
          <w:u w:val="single"/>
        </w:rPr>
        <w:t>5、项目负责人、各专业负责人获奖业绩需提供获奖证明，时间以颁发奖状时间为准，同一奖项以最高奖项只计算一次，不重复计算。</w:t>
      </w:r>
    </w:p>
    <w:p>
      <w:pPr>
        <w:spacing w:line="276" w:lineRule="auto"/>
        <w:ind w:firstLine="329" w:firstLineChars="157"/>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、纳税信用等级情况：须提供纳税信用A级证书</w:t>
      </w:r>
      <w:r>
        <w:rPr>
          <w:rFonts w:hint="eastAsia" w:ascii="宋体" w:hAnsi="宋体" w:cs="宋体"/>
          <w:color w:val="auto"/>
          <w:szCs w:val="21"/>
          <w:highlight w:val="none"/>
          <w:lang w:eastAsia="zh-CN"/>
        </w:rPr>
        <w:t>复印件或</w:t>
      </w:r>
      <w:r>
        <w:rPr>
          <w:rFonts w:hint="eastAsia" w:ascii="宋体" w:hAnsi="宋体" w:cs="宋体"/>
          <w:color w:val="auto"/>
          <w:szCs w:val="21"/>
          <w:highlight w:val="none"/>
        </w:rPr>
        <w:t>国家税务总局官网（http://www.chinatax.gov.cn/index.html）或省级税务局网站纳税信用信息查询结果网页截图加盖投标人电子印章；纳税等级只计算投标人自身，不计算投标人的子公司、分公司及分支机构。时间以证书上注明的公示评价（评定）年度为准；未提供上述资料或不符合要求的不得分。</w:t>
      </w:r>
    </w:p>
    <w:p>
      <w:pPr>
        <w:spacing w:line="276" w:lineRule="auto"/>
        <w:ind w:firstLine="329" w:firstLineChars="157"/>
        <w:jc w:val="left"/>
        <w:rPr>
          <w:rFonts w:asciiTheme="minorEastAsia" w:hAnsiTheme="minorEastAsia" w:eastAsiaTheme="minorEastAsia"/>
          <w:b w:val="0"/>
          <w:bCs w:val="0"/>
          <w:color w:val="auto"/>
          <w:szCs w:val="21"/>
          <w:highlight w:val="none"/>
          <w:u w:val="single"/>
        </w:rPr>
      </w:pPr>
      <w:r>
        <w:rPr>
          <w:rFonts w:hint="eastAsia" w:asciiTheme="minorEastAsia" w:hAnsiTheme="minorEastAsia" w:eastAsiaTheme="minorEastAsia"/>
          <w:b w:val="0"/>
          <w:bCs w:val="0"/>
          <w:color w:val="auto"/>
          <w:szCs w:val="21"/>
          <w:highlight w:val="none"/>
          <w:u w:val="single"/>
          <w:lang w:val="en-US" w:eastAsia="zh-CN"/>
        </w:rPr>
        <w:t>7</w:t>
      </w:r>
      <w:r>
        <w:rPr>
          <w:rFonts w:hint="eastAsia" w:asciiTheme="minorEastAsia" w:hAnsiTheme="minorEastAsia" w:eastAsiaTheme="minorEastAsia"/>
          <w:b w:val="0"/>
          <w:bCs w:val="0"/>
          <w:color w:val="auto"/>
          <w:szCs w:val="21"/>
          <w:highlight w:val="none"/>
          <w:u w:val="single"/>
        </w:rPr>
        <w:t>、如联合体投标的，勘察业绩、勘察获奖及勘察专业负责人以联合体共同投标协议中承担勘察工作的联合体成员的资料为准,如有两家或以上单位负责勘察工作，以提供勘察专业负责人的一方的评分资料为准；其余评审内容均以联合体主办方（或牵头</w:t>
      </w:r>
      <w:r>
        <w:rPr>
          <w:rFonts w:hint="eastAsia" w:asciiTheme="minorEastAsia" w:hAnsiTheme="minorEastAsia" w:eastAsiaTheme="minorEastAsia"/>
          <w:b w:val="0"/>
          <w:bCs w:val="0"/>
          <w:color w:val="auto"/>
          <w:szCs w:val="21"/>
          <w:highlight w:val="none"/>
          <w:u w:val="single"/>
          <w:lang w:val="en-US" w:eastAsia="zh-CN"/>
        </w:rPr>
        <w:t>人</w:t>
      </w:r>
      <w:r>
        <w:rPr>
          <w:rFonts w:hint="eastAsia" w:asciiTheme="minorEastAsia" w:hAnsiTheme="minorEastAsia" w:eastAsiaTheme="minorEastAsia"/>
          <w:b w:val="0"/>
          <w:bCs w:val="0"/>
          <w:color w:val="auto"/>
          <w:szCs w:val="21"/>
          <w:highlight w:val="none"/>
          <w:u w:val="single"/>
        </w:rPr>
        <w:t>）的资料为准。</w:t>
      </w:r>
    </w:p>
    <w:p>
      <w:pPr>
        <w:spacing w:line="276" w:lineRule="auto"/>
        <w:ind w:firstLine="329" w:firstLineChars="157"/>
        <w:jc w:val="left"/>
        <w:rPr>
          <w:rFonts w:asciiTheme="minorEastAsia" w:hAnsiTheme="minorEastAsia" w:eastAsiaTheme="minorEastAsia"/>
          <w:b w:val="0"/>
          <w:bCs w:val="0"/>
          <w:color w:val="auto"/>
          <w:sz w:val="18"/>
          <w:szCs w:val="18"/>
          <w:highlight w:val="none"/>
          <w:u w:val="single"/>
        </w:rPr>
      </w:pPr>
      <w:r>
        <w:rPr>
          <w:rFonts w:hint="eastAsia" w:asciiTheme="minorEastAsia" w:hAnsiTheme="minorEastAsia" w:eastAsiaTheme="minorEastAsia"/>
          <w:b w:val="0"/>
          <w:bCs w:val="0"/>
          <w:color w:val="auto"/>
          <w:szCs w:val="21"/>
          <w:highlight w:val="none"/>
          <w:u w:val="single"/>
        </w:rPr>
        <w:t>8、社保证明：提供近一个月（202</w:t>
      </w:r>
      <w:r>
        <w:rPr>
          <w:rFonts w:hint="eastAsia" w:asciiTheme="minorEastAsia" w:hAnsiTheme="minorEastAsia" w:eastAsiaTheme="minorEastAsia"/>
          <w:b w:val="0"/>
          <w:bCs w:val="0"/>
          <w:color w:val="auto"/>
          <w:szCs w:val="21"/>
          <w:highlight w:val="none"/>
          <w:u w:val="single"/>
          <w:lang w:val="en-US" w:eastAsia="zh-CN"/>
        </w:rPr>
        <w:t>3</w:t>
      </w:r>
      <w:r>
        <w:rPr>
          <w:rFonts w:hint="eastAsia" w:asciiTheme="minorEastAsia" w:hAnsiTheme="minorEastAsia" w:eastAsiaTheme="minorEastAsia"/>
          <w:b w:val="0"/>
          <w:bCs w:val="0"/>
          <w:color w:val="auto"/>
          <w:szCs w:val="21"/>
          <w:highlight w:val="none"/>
          <w:u w:val="single"/>
        </w:rPr>
        <w:t>年</w:t>
      </w:r>
      <w:r>
        <w:rPr>
          <w:rFonts w:hint="eastAsia" w:asciiTheme="minorEastAsia" w:hAnsiTheme="minorEastAsia" w:eastAsiaTheme="minorEastAsia"/>
          <w:b w:val="0"/>
          <w:bCs w:val="0"/>
          <w:color w:val="auto"/>
          <w:szCs w:val="21"/>
          <w:highlight w:val="none"/>
          <w:u w:val="single"/>
          <w:lang w:val="en-US" w:eastAsia="zh-CN"/>
        </w:rPr>
        <w:t>2</w:t>
      </w:r>
      <w:r>
        <w:rPr>
          <w:rFonts w:hint="eastAsia" w:asciiTheme="minorEastAsia" w:hAnsiTheme="minorEastAsia" w:eastAsiaTheme="minorEastAsia"/>
          <w:b w:val="0"/>
          <w:bCs w:val="0"/>
          <w:color w:val="auto"/>
          <w:szCs w:val="21"/>
          <w:highlight w:val="none"/>
          <w:u w:val="single"/>
        </w:rPr>
        <w:t>月）的</w:t>
      </w:r>
      <w:r>
        <w:rPr>
          <w:rFonts w:hint="eastAsia" w:asciiTheme="minorEastAsia" w:hAnsiTheme="minorEastAsia" w:eastAsiaTheme="minorEastAsia"/>
          <w:color w:val="auto"/>
          <w:sz w:val="21"/>
          <w:szCs w:val="21"/>
          <w:highlight w:val="none"/>
          <w:u w:val="single"/>
        </w:rPr>
        <w:t>有效参保的社保证明</w:t>
      </w:r>
      <w:r>
        <w:rPr>
          <w:rFonts w:hint="eastAsia" w:asciiTheme="minorEastAsia" w:hAnsiTheme="minorEastAsia" w:eastAsiaTheme="minorEastAsia"/>
          <w:b w:val="0"/>
          <w:bCs w:val="0"/>
          <w:color w:val="auto"/>
          <w:szCs w:val="21"/>
          <w:highlight w:val="none"/>
          <w:u w:val="single"/>
        </w:rPr>
        <w:t>。</w:t>
      </w: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30"/>
        <w:rPr>
          <w:color w:val="auto"/>
          <w:sz w:val="24"/>
          <w:highlight w:val="none"/>
        </w:rPr>
      </w:pPr>
    </w:p>
    <w:p>
      <w:pPr>
        <w:pStyle w:val="15"/>
        <w:rPr>
          <w:rFonts w:hAnsi="宋体"/>
          <w:b/>
          <w:color w:val="auto"/>
          <w:sz w:val="32"/>
          <w:highlight w:val="none"/>
        </w:rPr>
      </w:pPr>
      <w:r>
        <w:rPr>
          <w:rFonts w:hint="eastAsia" w:hAnsi="宋体"/>
          <w:b/>
          <w:bCs/>
          <w:color w:val="auto"/>
          <w:sz w:val="24"/>
          <w:highlight w:val="none"/>
        </w:rPr>
        <w:t>附录13</w:t>
      </w:r>
    </w:p>
    <w:p>
      <w:pPr>
        <w:pStyle w:val="15"/>
        <w:jc w:val="center"/>
        <w:rPr>
          <w:rFonts w:hAnsi="宋体"/>
          <w:b/>
          <w:color w:val="auto"/>
          <w:sz w:val="32"/>
          <w:highlight w:val="none"/>
        </w:rPr>
      </w:pPr>
      <w:r>
        <w:rPr>
          <w:rFonts w:hint="eastAsia" w:hAnsi="宋体"/>
          <w:b/>
          <w:color w:val="auto"/>
          <w:sz w:val="32"/>
          <w:highlight w:val="none"/>
        </w:rPr>
        <w:t>技术文件有效性审查表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4"/>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设计方案编号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color w:val="auto"/>
                <w:szCs w:val="21"/>
                <w:highlight w:val="none"/>
              </w:rPr>
            </w:pPr>
            <w:r>
              <w:rPr>
                <w:rFonts w:hint="eastAsia" w:ascii="宋体" w:hAnsi="宋体"/>
                <w:color w:val="auto"/>
                <w:szCs w:val="21"/>
                <w:highlight w:val="none"/>
              </w:rPr>
              <w:t>未发现投标人在设计方案内标注名称、印章、商标</w:t>
            </w:r>
            <w:r>
              <w:rPr>
                <w:rFonts w:hint="eastAsia" w:ascii="宋体" w:hAnsi="宋体" w:cs="宋体"/>
                <w:color w:val="auto"/>
                <w:szCs w:val="21"/>
                <w:highlight w:val="none"/>
                <w:u w:val="single"/>
              </w:rPr>
              <w:t>、图形</w:t>
            </w:r>
            <w:r>
              <w:rPr>
                <w:rFonts w:hint="eastAsia" w:ascii="宋体" w:hAnsi="宋体"/>
                <w:color w:val="auto"/>
                <w:szCs w:val="21"/>
                <w:highlight w:val="none"/>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color w:val="auto"/>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r>
    </w:tbl>
    <w:p>
      <w:pPr>
        <w:tabs>
          <w:tab w:val="left" w:pos="720"/>
        </w:tabs>
        <w:snapToGrid w:val="0"/>
        <w:spacing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pStyle w:val="15"/>
        <w:rPr>
          <w:rFonts w:hAnsi="宋体"/>
          <w:b/>
          <w:color w:val="auto"/>
          <w:sz w:val="32"/>
          <w:highlight w:val="none"/>
        </w:rPr>
      </w:pPr>
      <w:r>
        <w:rPr>
          <w:rFonts w:hint="eastAsia"/>
          <w:color w:val="auto"/>
          <w:szCs w:val="21"/>
          <w:highlight w:val="none"/>
        </w:rPr>
        <w:t>评委签名：                     日期：</w:t>
      </w:r>
    </w:p>
    <w:p>
      <w:pPr>
        <w:spacing w:line="360" w:lineRule="auto"/>
        <w:rPr>
          <w:rFonts w:ascii="宋体" w:hAnsi="宋体"/>
          <w:b/>
          <w:bCs/>
          <w:color w:val="auto"/>
          <w:szCs w:val="21"/>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r>
        <w:rPr>
          <w:rFonts w:hint="eastAsia" w:hAnsi="宋体" w:cs="宋体"/>
          <w:b/>
          <w:bCs/>
          <w:color w:val="auto"/>
          <w:sz w:val="24"/>
          <w:highlight w:val="none"/>
        </w:rPr>
        <w:t>附录14（适用于综合评分法）</w:t>
      </w: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技术文件综合评分表</w:t>
      </w:r>
    </w:p>
    <w:p>
      <w:pPr>
        <w:spacing w:line="360" w:lineRule="auto"/>
        <w:rPr>
          <w:rFonts w:ascii="宋体" w:hAnsi="宋体"/>
          <w:color w:val="auto"/>
          <w:highlight w:val="none"/>
        </w:rPr>
      </w:pPr>
      <w:r>
        <w:rPr>
          <w:rFonts w:hint="eastAsia" w:ascii="宋体" w:hAnsi="宋体"/>
          <w:color w:val="auto"/>
          <w:highlight w:val="none"/>
        </w:rPr>
        <w:t>项目名称：</w:t>
      </w:r>
      <w:r>
        <w:rPr>
          <w:rFonts w:hint="eastAsia" w:ascii="宋体" w:hAnsi="宋体" w:cs="宋体"/>
          <w:color w:val="auto"/>
          <w:szCs w:val="21"/>
          <w:highlight w:val="none"/>
          <w:lang w:val="zh-CN"/>
        </w:rPr>
        <w:t>投标单位名称：</w:t>
      </w:r>
    </w:p>
    <w:tbl>
      <w:tblPr>
        <w:tblStyle w:val="24"/>
        <w:tblW w:w="1494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720"/>
        <w:gridCol w:w="2452"/>
        <w:gridCol w:w="1816"/>
        <w:gridCol w:w="7252"/>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2520" w:type="dxa"/>
            <w:gridSpan w:val="3"/>
            <w:vAlign w:val="center"/>
          </w:tcPr>
          <w:p>
            <w:pPr>
              <w:wordWrap w:val="0"/>
              <w:topLinePunct/>
              <w:spacing w:line="400" w:lineRule="exact"/>
              <w:jc w:val="center"/>
              <w:rPr>
                <w:color w:val="auto"/>
                <w:szCs w:val="21"/>
                <w:highlight w:val="none"/>
              </w:rPr>
            </w:pPr>
            <w:r>
              <w:rPr>
                <w:color w:val="auto"/>
                <w:szCs w:val="21"/>
                <w:highlight w:val="none"/>
                <w:lang w:val="zh-CN"/>
              </w:rPr>
              <w:t>投标方案编号</w:t>
            </w:r>
          </w:p>
        </w:tc>
        <w:tc>
          <w:tcPr>
            <w:tcW w:w="2452" w:type="dxa"/>
            <w:vAlign w:val="center"/>
          </w:tcPr>
          <w:p>
            <w:pPr>
              <w:wordWrap w:val="0"/>
              <w:topLinePunct/>
              <w:spacing w:line="400" w:lineRule="exact"/>
              <w:jc w:val="center"/>
              <w:rPr>
                <w:color w:val="auto"/>
                <w:szCs w:val="21"/>
                <w:highlight w:val="none"/>
              </w:rPr>
            </w:pPr>
          </w:p>
        </w:tc>
        <w:tc>
          <w:tcPr>
            <w:tcW w:w="1816" w:type="dxa"/>
            <w:tcBorders>
              <w:right w:val="single" w:color="auto" w:sz="4" w:space="0"/>
            </w:tcBorders>
            <w:vAlign w:val="center"/>
          </w:tcPr>
          <w:p>
            <w:pPr>
              <w:wordWrap w:val="0"/>
              <w:topLinePunct/>
              <w:spacing w:line="400" w:lineRule="exact"/>
              <w:jc w:val="center"/>
              <w:rPr>
                <w:color w:val="auto"/>
                <w:szCs w:val="21"/>
                <w:highlight w:val="none"/>
              </w:rPr>
            </w:pPr>
            <w:r>
              <w:rPr>
                <w:color w:val="auto"/>
                <w:szCs w:val="21"/>
                <w:highlight w:val="none"/>
                <w:lang w:val="zh-CN"/>
              </w:rPr>
              <w:t>评标专家（签</w:t>
            </w:r>
            <w:r>
              <w:rPr>
                <w:rFonts w:hint="eastAsia"/>
                <w:color w:val="auto"/>
                <w:szCs w:val="21"/>
                <w:highlight w:val="none"/>
                <w:lang w:val="zh-CN"/>
              </w:rPr>
              <w:t>名</w:t>
            </w:r>
            <w:r>
              <w:rPr>
                <w:color w:val="auto"/>
                <w:szCs w:val="21"/>
                <w:highlight w:val="none"/>
                <w:lang w:val="zh-CN"/>
              </w:rPr>
              <w:t>）</w:t>
            </w:r>
          </w:p>
        </w:tc>
        <w:tc>
          <w:tcPr>
            <w:tcW w:w="8152" w:type="dxa"/>
            <w:gridSpan w:val="2"/>
            <w:tcBorders>
              <w:left w:val="single" w:color="auto" w:sz="4" w:space="0"/>
            </w:tcBorders>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20" w:type="dxa"/>
            <w:textDirection w:val="tbRlV"/>
            <w:vAlign w:val="center"/>
          </w:tcPr>
          <w:p>
            <w:pPr>
              <w:wordWrap w:val="0"/>
              <w:topLinePunct/>
              <w:spacing w:line="400" w:lineRule="exact"/>
              <w:ind w:left="113" w:right="113"/>
              <w:jc w:val="center"/>
              <w:rPr>
                <w:color w:val="auto"/>
                <w:szCs w:val="21"/>
                <w:highlight w:val="none"/>
              </w:rPr>
            </w:pPr>
            <w:r>
              <w:rPr>
                <w:color w:val="auto"/>
                <w:szCs w:val="21"/>
                <w:highlight w:val="none"/>
                <w:lang w:val="zh-CN"/>
              </w:rPr>
              <w:t>序号</w:t>
            </w:r>
          </w:p>
        </w:tc>
        <w:tc>
          <w:tcPr>
            <w:tcW w:w="1080" w:type="dxa"/>
            <w:vAlign w:val="center"/>
          </w:tcPr>
          <w:p>
            <w:pPr>
              <w:wordWrap w:val="0"/>
              <w:topLinePunct/>
              <w:spacing w:line="400" w:lineRule="exact"/>
              <w:jc w:val="center"/>
              <w:rPr>
                <w:color w:val="auto"/>
                <w:szCs w:val="21"/>
                <w:highlight w:val="none"/>
              </w:rPr>
            </w:pPr>
            <w:r>
              <w:rPr>
                <w:color w:val="auto"/>
                <w:szCs w:val="21"/>
                <w:highlight w:val="none"/>
                <w:lang w:val="zh-CN"/>
              </w:rPr>
              <w:t>项目</w:t>
            </w:r>
          </w:p>
        </w:tc>
        <w:tc>
          <w:tcPr>
            <w:tcW w:w="720" w:type="dxa"/>
            <w:vAlign w:val="center"/>
          </w:tcPr>
          <w:p>
            <w:pPr>
              <w:wordWrap w:val="0"/>
              <w:topLinePunct/>
              <w:spacing w:line="400" w:lineRule="exact"/>
              <w:jc w:val="center"/>
              <w:rPr>
                <w:color w:val="auto"/>
                <w:szCs w:val="21"/>
                <w:highlight w:val="none"/>
              </w:rPr>
            </w:pPr>
            <w:r>
              <w:rPr>
                <w:color w:val="auto"/>
                <w:szCs w:val="21"/>
                <w:highlight w:val="none"/>
                <w:lang w:val="zh-CN"/>
              </w:rPr>
              <w:t>分值分配</w:t>
            </w:r>
          </w:p>
        </w:tc>
        <w:tc>
          <w:tcPr>
            <w:tcW w:w="11520" w:type="dxa"/>
            <w:gridSpan w:val="3"/>
            <w:vAlign w:val="center"/>
          </w:tcPr>
          <w:p>
            <w:pPr>
              <w:wordWrap w:val="0"/>
              <w:topLinePunct/>
              <w:spacing w:line="400" w:lineRule="exact"/>
              <w:jc w:val="center"/>
              <w:rPr>
                <w:color w:val="auto"/>
                <w:szCs w:val="21"/>
                <w:highlight w:val="none"/>
              </w:rPr>
            </w:pPr>
            <w:r>
              <w:rPr>
                <w:color w:val="auto"/>
                <w:szCs w:val="21"/>
                <w:highlight w:val="none"/>
                <w:lang w:val="zh-CN"/>
              </w:rPr>
              <w:t>内容</w:t>
            </w:r>
          </w:p>
        </w:tc>
        <w:tc>
          <w:tcPr>
            <w:tcW w:w="900" w:type="dxa"/>
            <w:vAlign w:val="center"/>
          </w:tcPr>
          <w:p>
            <w:pPr>
              <w:wordWrap w:val="0"/>
              <w:topLinePunct/>
              <w:spacing w:line="400" w:lineRule="exact"/>
              <w:jc w:val="center"/>
              <w:rPr>
                <w:color w:val="auto"/>
                <w:szCs w:val="21"/>
                <w:highlight w:val="none"/>
              </w:rPr>
            </w:pPr>
            <w:r>
              <w:rPr>
                <w:color w:val="auto"/>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720" w:type="dxa"/>
            <w:vAlign w:val="center"/>
          </w:tcPr>
          <w:p>
            <w:pPr>
              <w:wordWrap w:val="0"/>
              <w:topLinePunct/>
              <w:spacing w:line="400" w:lineRule="exact"/>
              <w:jc w:val="center"/>
              <w:rPr>
                <w:color w:val="auto"/>
                <w:szCs w:val="21"/>
                <w:highlight w:val="none"/>
              </w:rPr>
            </w:pPr>
            <w:r>
              <w:rPr>
                <w:color w:val="auto"/>
                <w:szCs w:val="21"/>
                <w:highlight w:val="none"/>
                <w:lang w:val="zh-CN"/>
              </w:rPr>
              <w:t>一</w:t>
            </w:r>
          </w:p>
        </w:tc>
        <w:tc>
          <w:tcPr>
            <w:tcW w:w="1080" w:type="dxa"/>
            <w:vAlign w:val="center"/>
          </w:tcPr>
          <w:p>
            <w:pPr>
              <w:wordWrap w:val="0"/>
              <w:topLinePunct/>
              <w:spacing w:line="260" w:lineRule="exact"/>
              <w:jc w:val="center"/>
              <w:rPr>
                <w:rFonts w:ascii="宋体" w:hAnsi="宋体"/>
                <w:color w:val="auto"/>
                <w:szCs w:val="21"/>
                <w:highlight w:val="none"/>
              </w:rPr>
            </w:pPr>
            <w:r>
              <w:rPr>
                <w:rFonts w:ascii="宋体" w:hAnsi="宋体"/>
                <w:color w:val="auto"/>
                <w:szCs w:val="21"/>
                <w:highlight w:val="none"/>
                <w:lang w:val="zh-CN"/>
              </w:rPr>
              <w:t>投标文件的符合性</w:t>
            </w:r>
          </w:p>
        </w:tc>
        <w:tc>
          <w:tcPr>
            <w:tcW w:w="720" w:type="dxa"/>
            <w:vAlign w:val="center"/>
          </w:tcPr>
          <w:p>
            <w:pPr>
              <w:wordWrap w:val="0"/>
              <w:topLinePunct/>
              <w:spacing w:line="260" w:lineRule="exact"/>
              <w:jc w:val="center"/>
              <w:rPr>
                <w:rFonts w:ascii="宋体" w:hAnsi="宋体"/>
                <w:color w:val="auto"/>
                <w:szCs w:val="21"/>
                <w:highlight w:val="none"/>
              </w:rPr>
            </w:pPr>
            <w:r>
              <w:rPr>
                <w:rFonts w:hint="eastAsia" w:ascii="宋体" w:hAnsi="宋体" w:cs="宋体"/>
                <w:color w:val="auto"/>
                <w:szCs w:val="21"/>
                <w:highlight w:val="none"/>
                <w:lang w:val="zh-CN"/>
              </w:rPr>
              <w:t>[10]</w:t>
            </w:r>
          </w:p>
        </w:tc>
        <w:tc>
          <w:tcPr>
            <w:tcW w:w="11520" w:type="dxa"/>
            <w:gridSpan w:val="3"/>
            <w:vAlign w:val="center"/>
          </w:tcPr>
          <w:p>
            <w:pPr>
              <w:pStyle w:val="54"/>
              <w:spacing w:line="276" w:lineRule="auto"/>
              <w:rPr>
                <w:rFonts w:hAnsi="宋体" w:cs="宋体"/>
                <w:color w:val="auto"/>
                <w:sz w:val="21"/>
                <w:szCs w:val="21"/>
                <w:highlight w:val="none"/>
                <w:lang w:val="zh-CN"/>
              </w:rPr>
            </w:pPr>
            <w:r>
              <w:rPr>
                <w:rFonts w:hint="eastAsia" w:hAnsi="宋体" w:cs="宋体"/>
                <w:color w:val="auto"/>
                <w:sz w:val="21"/>
                <w:szCs w:val="21"/>
                <w:highlight w:val="none"/>
                <w:lang w:val="zh-CN"/>
              </w:rPr>
              <w:t>整个设计内容符合招标文件要求，内容全面，设计总说明书文字表达清楚、思路清晰、重点和难点突出、图纸及文卷质量高。</w:t>
            </w:r>
          </w:p>
          <w:p>
            <w:pPr>
              <w:wordWrap w:val="0"/>
              <w:topLinePunct/>
              <w:spacing w:line="240" w:lineRule="exact"/>
              <w:rPr>
                <w:color w:val="auto"/>
                <w:szCs w:val="21"/>
                <w:highlight w:val="none"/>
                <w:lang w:val="zh-CN"/>
              </w:rPr>
            </w:pPr>
            <w:r>
              <w:rPr>
                <w:rFonts w:hint="eastAsia" w:ascii="宋体" w:hAnsi="宋体" w:cs="宋体"/>
                <w:color w:val="auto"/>
                <w:szCs w:val="21"/>
                <w:highlight w:val="none"/>
                <w:lang w:val="en-US" w:eastAsia="zh-CN"/>
              </w:rPr>
              <w:t>优得[10-9)分，良得[9-8)分，中得[8-7)分，一般得[7-6]分，无得0分。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wordWrap w:val="0"/>
              <w:topLinePunct/>
              <w:spacing w:line="400" w:lineRule="exact"/>
              <w:jc w:val="center"/>
              <w:rPr>
                <w:color w:val="auto"/>
                <w:szCs w:val="21"/>
                <w:highlight w:val="none"/>
                <w:lang w:val="zh-CN"/>
              </w:rPr>
            </w:pPr>
            <w:r>
              <w:rPr>
                <w:color w:val="auto"/>
                <w:szCs w:val="21"/>
                <w:highlight w:val="none"/>
                <w:lang w:val="zh-CN"/>
              </w:rPr>
              <w:t>二</w:t>
            </w:r>
          </w:p>
        </w:tc>
        <w:tc>
          <w:tcPr>
            <w:tcW w:w="1080" w:type="dxa"/>
            <w:vMerge w:val="restart"/>
            <w:vAlign w:val="center"/>
          </w:tcPr>
          <w:p>
            <w:pPr>
              <w:wordWrap w:val="0"/>
              <w:topLinePunct/>
              <w:spacing w:line="260" w:lineRule="exact"/>
              <w:jc w:val="center"/>
              <w:rPr>
                <w:rFonts w:ascii="宋体" w:hAnsi="宋体"/>
                <w:color w:val="auto"/>
                <w:szCs w:val="21"/>
                <w:highlight w:val="none"/>
                <w:lang w:val="zh-CN"/>
              </w:rPr>
            </w:pPr>
            <w:r>
              <w:rPr>
                <w:rFonts w:ascii="宋体" w:hAnsi="宋体"/>
                <w:color w:val="auto"/>
                <w:szCs w:val="21"/>
                <w:highlight w:val="none"/>
                <w:lang w:val="zh-CN"/>
              </w:rPr>
              <w:t>设计方案及勘察</w:t>
            </w:r>
          </w:p>
          <w:p>
            <w:pPr>
              <w:wordWrap w:val="0"/>
              <w:topLinePunct/>
              <w:spacing w:line="260" w:lineRule="exact"/>
              <w:jc w:val="center"/>
              <w:rPr>
                <w:color w:val="auto"/>
                <w:szCs w:val="21"/>
                <w:highlight w:val="none"/>
                <w:lang w:val="zh-CN"/>
              </w:rPr>
            </w:pPr>
            <w:r>
              <w:rPr>
                <w:rFonts w:ascii="宋体" w:hAnsi="宋体"/>
                <w:color w:val="auto"/>
                <w:szCs w:val="21"/>
                <w:highlight w:val="none"/>
                <w:lang w:val="zh-CN"/>
              </w:rPr>
              <w:t>大纲</w:t>
            </w:r>
          </w:p>
        </w:tc>
        <w:tc>
          <w:tcPr>
            <w:tcW w:w="720" w:type="dxa"/>
            <w:vMerge w:val="restart"/>
            <w:vAlign w:val="center"/>
          </w:tcPr>
          <w:p>
            <w:pPr>
              <w:wordWrap w:val="0"/>
              <w:topLinePunct/>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80</w:t>
            </w:r>
            <w:r>
              <w:rPr>
                <w:rFonts w:hint="eastAsia" w:ascii="宋体" w:hAnsi="宋体" w:cs="宋体"/>
                <w:color w:val="auto"/>
                <w:szCs w:val="21"/>
                <w:highlight w:val="none"/>
                <w:lang w:val="zh-CN"/>
              </w:rPr>
              <w:t>]</w:t>
            </w:r>
          </w:p>
        </w:tc>
        <w:tc>
          <w:tcPr>
            <w:tcW w:w="11520" w:type="dxa"/>
            <w:gridSpan w:val="3"/>
            <w:vAlign w:val="center"/>
          </w:tcPr>
          <w:p>
            <w:pPr>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lang w:val="zh-CN"/>
              </w:rPr>
              <w:t>1、正确理解并执行规划建设意图，与周边路网、管网规划协调一致；对区域内路网的交通组织完善合理，总体思路清晰；路线平、纵、横等设计科学合理；道路、排水之间的关系处理得当。</w:t>
            </w:r>
          </w:p>
          <w:p>
            <w:pPr>
              <w:adjustRightInd w:val="0"/>
              <w:spacing w:line="276" w:lineRule="auto"/>
              <w:rPr>
                <w:color w:val="auto"/>
                <w:szCs w:val="21"/>
                <w:highlight w:val="none"/>
                <w:lang w:val="zh-CN"/>
              </w:rPr>
            </w:pPr>
            <w:r>
              <w:rPr>
                <w:rFonts w:hint="eastAsia" w:ascii="宋体" w:hAnsi="宋体" w:cs="宋体"/>
                <w:color w:val="auto"/>
                <w:szCs w:val="21"/>
                <w:highlight w:val="none"/>
                <w:lang w:val="en-US" w:eastAsia="zh-CN"/>
              </w:rPr>
              <w:t>优得[10-9)分，良得[9-8)分，中得[8-7)分，一般得[7-6]分，无得0分。</w:t>
            </w:r>
            <w:r>
              <w:rPr>
                <w:rFonts w:hint="eastAsia" w:ascii="宋体" w:hAnsi="宋体" w:cs="宋体"/>
                <w:color w:val="auto"/>
                <w:szCs w:val="21"/>
                <w:highlight w:val="none"/>
                <w:lang w:val="zh-CN"/>
              </w:rPr>
              <w:t xml:space="preserve">                                                                       </w:t>
            </w:r>
          </w:p>
        </w:tc>
        <w:tc>
          <w:tcPr>
            <w:tcW w:w="900" w:type="dxa"/>
            <w:vAlign w:val="center"/>
          </w:tcPr>
          <w:p>
            <w:pPr>
              <w:wordWrap w:val="0"/>
              <w:topLinePunct/>
              <w:spacing w:line="400" w:lineRule="exact"/>
              <w:jc w:val="center"/>
              <w:rPr>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wordWrap w:val="0"/>
              <w:topLinePunct/>
              <w:spacing w:line="400" w:lineRule="exact"/>
              <w:jc w:val="center"/>
              <w:rPr>
                <w:color w:val="auto"/>
                <w:szCs w:val="21"/>
                <w:highlight w:val="none"/>
                <w:lang w:val="zh-CN"/>
              </w:rPr>
            </w:pPr>
          </w:p>
        </w:tc>
        <w:tc>
          <w:tcPr>
            <w:tcW w:w="1080" w:type="dxa"/>
            <w:vMerge w:val="continue"/>
            <w:textDirection w:val="tbRlV"/>
            <w:vAlign w:val="center"/>
          </w:tcPr>
          <w:p>
            <w:pPr>
              <w:wordWrap w:val="0"/>
              <w:topLinePunct/>
              <w:spacing w:line="400" w:lineRule="exact"/>
              <w:ind w:left="113" w:right="113"/>
              <w:jc w:val="center"/>
              <w:rPr>
                <w:color w:val="auto"/>
                <w:szCs w:val="21"/>
                <w:highlight w:val="none"/>
                <w:lang w:val="zh-CN"/>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lang w:val="zh-CN"/>
              </w:rPr>
              <w:t>2、交叉节点功能定位合理；平、纵、横等设计指标符合规范且标准较高，技术措施优良。</w:t>
            </w:r>
          </w:p>
          <w:p>
            <w:pPr>
              <w:adjustRightInd w:val="0"/>
              <w:spacing w:line="276" w:lineRule="auto"/>
              <w:rPr>
                <w:rFonts w:hAnsi="宋体"/>
                <w:color w:val="auto"/>
                <w:szCs w:val="21"/>
                <w:highlight w:val="none"/>
                <w:lang w:val="zh-CN"/>
              </w:rPr>
            </w:pPr>
            <w:r>
              <w:rPr>
                <w:rFonts w:hint="eastAsia" w:ascii="宋体" w:hAnsi="宋体" w:cs="宋体"/>
                <w:color w:val="auto"/>
                <w:szCs w:val="21"/>
                <w:highlight w:val="none"/>
                <w:lang w:val="en-US" w:eastAsia="zh-CN"/>
              </w:rPr>
              <w:t>优得[10-9)分，良得[9-8)分，中得[8-7)分，一般得[7-6]分，无得0分。</w:t>
            </w:r>
            <w:r>
              <w:rPr>
                <w:rFonts w:hint="eastAsia" w:ascii="宋体" w:hAnsi="宋体" w:cs="宋体"/>
                <w:color w:val="auto"/>
                <w:szCs w:val="21"/>
                <w:highlight w:val="none"/>
                <w:lang w:val="zh-CN"/>
              </w:rPr>
              <w:t xml:space="preserve">                                                                   </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textDirection w:val="tbRlV"/>
            <w:vAlign w:val="center"/>
          </w:tcPr>
          <w:p>
            <w:pPr>
              <w:wordWrap w:val="0"/>
              <w:topLinePunct/>
              <w:spacing w:line="400" w:lineRule="exact"/>
              <w:ind w:left="113" w:right="113"/>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、路基路面、不良地基处理、护坡及挡土墙等基础工程的设计安全、合理、经济且能满足工期的要求；土方平衡合理。</w:t>
            </w:r>
          </w:p>
          <w:p>
            <w:pPr>
              <w:adjustRightInd w:val="0"/>
              <w:spacing w:line="276" w:lineRule="auto"/>
              <w:rPr>
                <w:color w:val="auto"/>
                <w:szCs w:val="21"/>
                <w:highlight w:val="none"/>
              </w:rPr>
            </w:pPr>
            <w:r>
              <w:rPr>
                <w:rFonts w:hint="eastAsia" w:ascii="宋体" w:hAnsi="宋体" w:cs="宋体"/>
                <w:color w:val="auto"/>
                <w:szCs w:val="21"/>
                <w:highlight w:val="none"/>
                <w:lang w:val="en-US" w:eastAsia="zh-CN"/>
              </w:rPr>
              <w:t>优得[10-9)分，良得[9-8)分，中得[8-7)分，一般得[7-6]分，无得0分。</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 xml:space="preserve"> </w:t>
            </w:r>
            <w:r>
              <w:rPr>
                <w:rFonts w:hint="eastAsia" w:ascii="宋体" w:hAnsi="宋体" w:cs="宋体"/>
                <w:color w:val="auto"/>
                <w:szCs w:val="21"/>
                <w:highlight w:val="none"/>
              </w:rPr>
              <w:t xml:space="preserve">  </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vAlign w:val="center"/>
          </w:tcPr>
          <w:p>
            <w:pPr>
              <w:wordWrap w:val="0"/>
              <w:topLinePunct/>
              <w:spacing w:line="400" w:lineRule="exact"/>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、道路公用设施（公共交通站点布置、绿化照明、行人设施、道路元素等）设计科学合理、处理得当、特点鲜明。</w:t>
            </w:r>
          </w:p>
          <w:p>
            <w:pPr>
              <w:adjustRightInd w:val="0"/>
              <w:spacing w:line="276" w:lineRule="auto"/>
              <w:rPr>
                <w:color w:val="auto"/>
                <w:szCs w:val="21"/>
                <w:highlight w:val="none"/>
              </w:rPr>
            </w:pPr>
            <w:r>
              <w:rPr>
                <w:rFonts w:hint="eastAsia" w:ascii="宋体" w:hAnsi="宋体" w:cs="宋体"/>
                <w:color w:val="auto"/>
                <w:szCs w:val="21"/>
                <w:highlight w:val="none"/>
                <w:lang w:val="en-US" w:eastAsia="zh-CN"/>
              </w:rPr>
              <w:t>优得[10-9)分，良得[9-8)分，中得[8-7)分，一般得[7-6]分，无得0分。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vAlign w:val="center"/>
          </w:tcPr>
          <w:p>
            <w:pPr>
              <w:wordWrap w:val="0"/>
              <w:topLinePunct/>
              <w:spacing w:line="400" w:lineRule="exact"/>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综合管线的布置形式系统、合理、经济、实用；管理模式先进合理；能充分考虑与市政道路的衔接与协调。</w:t>
            </w:r>
          </w:p>
          <w:p>
            <w:pPr>
              <w:adjustRightInd w:val="0"/>
              <w:spacing w:line="276" w:lineRule="auto"/>
              <w:rPr>
                <w:color w:val="auto"/>
                <w:szCs w:val="21"/>
                <w:highlight w:val="none"/>
              </w:rPr>
            </w:pPr>
            <w:r>
              <w:rPr>
                <w:rFonts w:hint="eastAsia" w:ascii="宋体" w:hAnsi="宋体" w:cs="宋体"/>
                <w:color w:val="auto"/>
                <w:szCs w:val="21"/>
                <w:highlight w:val="none"/>
                <w:lang w:val="en-US" w:eastAsia="zh-CN"/>
              </w:rPr>
              <w:t>优得[10-9)分，良得[9-8)分，中得[8-7)分，一般得[7-6]分，无得0分。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vAlign w:val="center"/>
          </w:tcPr>
          <w:p>
            <w:pPr>
              <w:wordWrap w:val="0"/>
              <w:topLinePunct/>
              <w:spacing w:line="400" w:lineRule="exact"/>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jc w:val="left"/>
              <w:rPr>
                <w:rFonts w:ascii="宋体" w:hAnsi="宋体"/>
                <w:b/>
                <w:color w:val="auto"/>
                <w:kern w:val="0"/>
                <w:szCs w:val="21"/>
                <w:highlight w:val="none"/>
                <w:u w:val="single"/>
                <w:lang w:val="zh-CN"/>
              </w:rPr>
            </w:pPr>
            <w:r>
              <w:rPr>
                <w:rFonts w:hint="eastAsia" w:ascii="宋体" w:hAnsi="宋体" w:cs="宋体"/>
                <w:color w:val="auto"/>
                <w:szCs w:val="21"/>
                <w:highlight w:val="none"/>
              </w:rPr>
              <w:t>6、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p>
          <w:p>
            <w:pPr>
              <w:adjustRightInd w:val="0"/>
              <w:spacing w:line="276" w:lineRule="auto"/>
              <w:jc w:val="left"/>
              <w:rPr>
                <w:color w:val="auto"/>
                <w:szCs w:val="21"/>
                <w:highlight w:val="none"/>
              </w:rPr>
            </w:pPr>
            <w:r>
              <w:rPr>
                <w:rFonts w:hint="eastAsia" w:ascii="宋体" w:hAnsi="宋体" w:cs="宋体"/>
                <w:color w:val="auto"/>
                <w:szCs w:val="21"/>
                <w:highlight w:val="none"/>
                <w:lang w:val="en-US" w:eastAsia="zh-CN"/>
              </w:rPr>
              <w:t>优得[10-9)分，良得[9-8)分，中得[8-7)分，一般得[7-6]分，无得0分。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vAlign w:val="center"/>
          </w:tcPr>
          <w:p>
            <w:pPr>
              <w:wordWrap w:val="0"/>
              <w:topLinePunct/>
              <w:spacing w:line="400" w:lineRule="exact"/>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jc w:val="left"/>
              <w:rPr>
                <w:rFonts w:ascii="宋体" w:hAnsi="宋体" w:cs="宋体"/>
                <w:color w:val="auto"/>
                <w:szCs w:val="21"/>
                <w:highlight w:val="none"/>
                <w:lang w:val="zh-CN"/>
              </w:rPr>
            </w:pPr>
            <w:r>
              <w:rPr>
                <w:rFonts w:hint="eastAsia" w:ascii="宋体" w:hAnsi="宋体" w:cs="宋体"/>
                <w:color w:val="auto"/>
                <w:szCs w:val="21"/>
                <w:highlight w:val="none"/>
              </w:rPr>
              <w:t>7</w:t>
            </w:r>
            <w:r>
              <w:rPr>
                <w:rFonts w:hint="eastAsia" w:ascii="宋体" w:hAnsi="宋体" w:cs="宋体"/>
                <w:color w:val="auto"/>
                <w:szCs w:val="21"/>
                <w:highlight w:val="none"/>
                <w:lang w:val="zh-CN"/>
              </w:rPr>
              <w:t>、施工期间交通组织、施工实施方案切合实际。</w:t>
            </w:r>
          </w:p>
          <w:p>
            <w:pPr>
              <w:adjustRightInd w:val="0"/>
              <w:spacing w:line="276" w:lineRule="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cs="宋体"/>
                <w:color w:val="auto"/>
                <w:szCs w:val="21"/>
                <w:highlight w:val="none"/>
                <w:lang w:val="en-US" w:eastAsia="zh-CN"/>
              </w:rPr>
              <w:t>优得[5-4.5)分，良得[4.5-4)分，中得[4-3.5)分，一般得[3.5-3]分，无得0分。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vAlign w:val="center"/>
          </w:tcPr>
          <w:p>
            <w:pPr>
              <w:wordWrap w:val="0"/>
              <w:topLinePunct/>
              <w:spacing w:line="400" w:lineRule="exact"/>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djustRightInd w:val="0"/>
              <w:spacing w:line="276" w:lineRule="auto"/>
              <w:jc w:val="left"/>
              <w:rPr>
                <w:rFonts w:ascii="宋体" w:hAnsi="宋体" w:cs="宋体"/>
                <w:color w:val="auto"/>
                <w:szCs w:val="21"/>
                <w:highlight w:val="none"/>
                <w:lang w:val="zh-CN"/>
              </w:rPr>
            </w:pPr>
            <w:r>
              <w:rPr>
                <w:rFonts w:hint="eastAsia" w:ascii="宋体" w:hAnsi="宋体" w:cs="宋体"/>
                <w:color w:val="auto"/>
                <w:szCs w:val="21"/>
                <w:highlight w:val="none"/>
              </w:rPr>
              <w:t>8</w:t>
            </w:r>
            <w:r>
              <w:rPr>
                <w:rFonts w:hint="eastAsia" w:ascii="宋体" w:hAnsi="宋体" w:cs="宋体"/>
                <w:color w:val="auto"/>
                <w:szCs w:val="21"/>
                <w:highlight w:val="none"/>
                <w:lang w:val="zh-CN"/>
              </w:rPr>
              <w:t>、工程建设和使用的重点、难点分析透彻，解决措施合理。有树木迁移保护专项措施。</w:t>
            </w:r>
          </w:p>
          <w:p>
            <w:pPr>
              <w:adjustRightInd w:val="0"/>
              <w:spacing w:line="276" w:lineRule="auto"/>
              <w:jc w:val="left"/>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优得[10-9)分，良得[9-8)分，中得[8-7)分，一般得[7-6]分，无得0分。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continue"/>
            <w:vAlign w:val="center"/>
          </w:tcPr>
          <w:p>
            <w:pPr>
              <w:wordWrap w:val="0"/>
              <w:topLinePunct/>
              <w:spacing w:line="400" w:lineRule="exact"/>
              <w:jc w:val="center"/>
              <w:rPr>
                <w:color w:val="auto"/>
                <w:szCs w:val="21"/>
                <w:highlight w:val="none"/>
              </w:rPr>
            </w:pPr>
          </w:p>
        </w:tc>
        <w:tc>
          <w:tcPr>
            <w:tcW w:w="1080" w:type="dxa"/>
            <w:vMerge w:val="continue"/>
            <w:vAlign w:val="center"/>
          </w:tcPr>
          <w:p>
            <w:pPr>
              <w:wordWrap w:val="0"/>
              <w:topLinePunct/>
              <w:spacing w:line="400" w:lineRule="exact"/>
              <w:jc w:val="center"/>
              <w:rPr>
                <w:color w:val="auto"/>
                <w:szCs w:val="21"/>
                <w:highlight w:val="none"/>
              </w:rPr>
            </w:pPr>
          </w:p>
        </w:tc>
        <w:tc>
          <w:tcPr>
            <w:tcW w:w="720" w:type="dxa"/>
            <w:vMerge w:val="continue"/>
            <w:vAlign w:val="center"/>
          </w:tcPr>
          <w:p>
            <w:pPr>
              <w:wordWrap w:val="0"/>
              <w:topLinePunct/>
              <w:spacing w:line="400" w:lineRule="exact"/>
              <w:jc w:val="center"/>
              <w:rPr>
                <w:color w:val="auto"/>
                <w:szCs w:val="21"/>
                <w:highlight w:val="none"/>
              </w:rPr>
            </w:pPr>
          </w:p>
        </w:tc>
        <w:tc>
          <w:tcPr>
            <w:tcW w:w="11520" w:type="dxa"/>
            <w:gridSpan w:val="3"/>
            <w:vAlign w:val="center"/>
          </w:tcPr>
          <w:p>
            <w:pPr>
              <w:autoSpaceDE w:val="0"/>
              <w:autoSpaceDN w:val="0"/>
              <w:adjustRightInd w:val="0"/>
              <w:spacing w:line="276" w:lineRule="auto"/>
              <w:jc w:val="left"/>
              <w:rPr>
                <w:rFonts w:ascii="宋体" w:hAnsi="宋体"/>
                <w:color w:val="auto"/>
                <w:szCs w:val="21"/>
                <w:highlight w:val="none"/>
              </w:rPr>
            </w:pPr>
            <w:r>
              <w:rPr>
                <w:rFonts w:hint="eastAsia" w:ascii="宋体" w:hAnsi="宋体"/>
                <w:color w:val="auto"/>
                <w:szCs w:val="21"/>
                <w:highlight w:val="none"/>
              </w:rPr>
              <w:t>9、勘察方案合理可行，勘察的重点、难点理解准确，建议合理可行；勘察工作流程规范，工期进度计划合理可行。</w:t>
            </w:r>
          </w:p>
          <w:p>
            <w:pPr>
              <w:adjustRightInd w:val="0"/>
              <w:spacing w:line="276"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val="en-US" w:eastAsia="zh-CN"/>
              </w:rPr>
              <w:t>优得[5-4.5)分，良得[4.5-4)分，中得[4-3.5)分，一般得[3.5-3]分，无得0分。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restart"/>
            <w:vAlign w:val="center"/>
          </w:tcPr>
          <w:p>
            <w:pPr>
              <w:wordWrap w:val="0"/>
              <w:topLinePunct/>
              <w:spacing w:line="400" w:lineRule="exact"/>
              <w:jc w:val="center"/>
              <w:rPr>
                <w:color w:val="auto"/>
                <w:szCs w:val="21"/>
                <w:highlight w:val="none"/>
              </w:rPr>
            </w:pPr>
            <w:r>
              <w:rPr>
                <w:color w:val="auto"/>
                <w:szCs w:val="21"/>
                <w:highlight w:val="none"/>
                <w:lang w:val="zh-CN"/>
              </w:rPr>
              <w:t>三</w:t>
            </w:r>
          </w:p>
        </w:tc>
        <w:tc>
          <w:tcPr>
            <w:tcW w:w="1080" w:type="dxa"/>
            <w:vMerge w:val="restart"/>
            <w:vAlign w:val="center"/>
          </w:tcPr>
          <w:p>
            <w:pPr>
              <w:wordWrap w:val="0"/>
              <w:topLinePunct/>
              <w:spacing w:line="400" w:lineRule="exact"/>
              <w:jc w:val="center"/>
              <w:rPr>
                <w:color w:val="auto"/>
                <w:szCs w:val="21"/>
                <w:highlight w:val="none"/>
              </w:rPr>
            </w:pPr>
            <w:r>
              <w:rPr>
                <w:color w:val="auto"/>
                <w:szCs w:val="21"/>
                <w:highlight w:val="none"/>
                <w:lang w:val="zh-CN"/>
              </w:rPr>
              <w:t>投资控制</w:t>
            </w:r>
          </w:p>
        </w:tc>
        <w:tc>
          <w:tcPr>
            <w:tcW w:w="720" w:type="dxa"/>
            <w:vMerge w:val="restart"/>
            <w:vAlign w:val="center"/>
          </w:tcPr>
          <w:p>
            <w:pPr>
              <w:wordWrap w:val="0"/>
              <w:topLinePunct/>
              <w:spacing w:line="260" w:lineRule="exact"/>
              <w:jc w:val="center"/>
              <w:rPr>
                <w:color w:val="auto"/>
                <w:szCs w:val="21"/>
                <w:highlight w:val="none"/>
              </w:rPr>
            </w:pPr>
            <w:r>
              <w:rPr>
                <w:rFonts w:hint="eastAsia" w:ascii="宋体" w:hAnsi="宋体" w:cs="宋体"/>
                <w:color w:val="auto"/>
                <w:szCs w:val="21"/>
                <w:highlight w:val="none"/>
                <w:lang w:val="zh-CN"/>
              </w:rPr>
              <w:t>[10]</w:t>
            </w:r>
          </w:p>
        </w:tc>
        <w:tc>
          <w:tcPr>
            <w:tcW w:w="11520" w:type="dxa"/>
            <w:gridSpan w:val="3"/>
            <w:vAlign w:val="center"/>
          </w:tcPr>
          <w:p>
            <w:pPr>
              <w:tabs>
                <w:tab w:val="left" w:pos="315"/>
              </w:tabs>
              <w:wordWrap w:val="0"/>
              <w:topLinePunct/>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lang w:val="zh-CN"/>
              </w:rPr>
              <w:t>1、工程总投资合理，节约工程总投资的措施及理由合理、可信、可行。</w:t>
            </w:r>
          </w:p>
          <w:p>
            <w:pPr>
              <w:autoSpaceDE w:val="0"/>
              <w:autoSpaceDN w:val="0"/>
              <w:adjustRightInd w:val="0"/>
              <w:spacing w:line="276" w:lineRule="auto"/>
              <w:jc w:val="left"/>
              <w:rPr>
                <w:color w:val="auto"/>
                <w:szCs w:val="21"/>
                <w:highlight w:val="none"/>
              </w:rPr>
            </w:pPr>
            <w:r>
              <w:rPr>
                <w:rFonts w:hint="eastAsia" w:ascii="宋体" w:hAnsi="宋体" w:cs="宋体"/>
                <w:color w:val="auto"/>
                <w:szCs w:val="21"/>
                <w:highlight w:val="none"/>
                <w:lang w:val="en-US" w:eastAsia="zh-CN"/>
              </w:rPr>
              <w:t>优得[5-4.5)分，良得[4.5-4)分，中得[4-3.5)分，一般得[3.5-3]分，无得0分。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continue"/>
            <w:vAlign w:val="center"/>
          </w:tcPr>
          <w:p>
            <w:pPr>
              <w:wordWrap w:val="0"/>
              <w:topLinePunct/>
              <w:spacing w:line="400" w:lineRule="exact"/>
              <w:jc w:val="center"/>
              <w:rPr>
                <w:color w:val="auto"/>
                <w:szCs w:val="21"/>
                <w:highlight w:val="none"/>
                <w:lang w:val="zh-CN"/>
              </w:rPr>
            </w:pPr>
          </w:p>
        </w:tc>
        <w:tc>
          <w:tcPr>
            <w:tcW w:w="1080" w:type="dxa"/>
            <w:vMerge w:val="continue"/>
            <w:vAlign w:val="center"/>
          </w:tcPr>
          <w:p>
            <w:pPr>
              <w:wordWrap w:val="0"/>
              <w:topLinePunct/>
              <w:spacing w:line="400" w:lineRule="exact"/>
              <w:jc w:val="center"/>
              <w:rPr>
                <w:color w:val="auto"/>
                <w:szCs w:val="21"/>
                <w:highlight w:val="none"/>
                <w:lang w:val="zh-CN"/>
              </w:rPr>
            </w:pPr>
          </w:p>
        </w:tc>
        <w:tc>
          <w:tcPr>
            <w:tcW w:w="720" w:type="dxa"/>
            <w:vMerge w:val="continue"/>
            <w:vAlign w:val="center"/>
          </w:tcPr>
          <w:p>
            <w:pPr>
              <w:wordWrap w:val="0"/>
              <w:topLinePunct/>
              <w:spacing w:line="260" w:lineRule="exact"/>
              <w:jc w:val="center"/>
              <w:rPr>
                <w:rFonts w:hint="eastAsia" w:ascii="宋体" w:hAnsi="宋体" w:cs="宋体"/>
                <w:color w:val="auto"/>
                <w:szCs w:val="21"/>
                <w:highlight w:val="none"/>
                <w:lang w:val="zh-CN"/>
              </w:rPr>
            </w:pPr>
          </w:p>
        </w:tc>
        <w:tc>
          <w:tcPr>
            <w:tcW w:w="11520" w:type="dxa"/>
            <w:gridSpan w:val="3"/>
            <w:vAlign w:val="center"/>
          </w:tcPr>
          <w:p>
            <w:pPr>
              <w:wordWrap w:val="0"/>
              <w:topLinePunct/>
              <w:adjustRightInd w:val="0"/>
              <w:spacing w:line="276" w:lineRule="auto"/>
              <w:rPr>
                <w:rFonts w:ascii="宋体" w:hAnsi="宋体" w:cs="宋体"/>
                <w:color w:val="auto"/>
                <w:szCs w:val="21"/>
                <w:highlight w:val="none"/>
              </w:rPr>
            </w:pPr>
            <w:r>
              <w:rPr>
                <w:rFonts w:hint="eastAsia" w:ascii="宋体" w:hAnsi="宋体" w:cs="宋体"/>
                <w:color w:val="auto"/>
                <w:szCs w:val="21"/>
                <w:highlight w:val="none"/>
              </w:rPr>
              <w:t>2、投资估算编制依据正确，达到相应的深度要求，编制质量高。</w:t>
            </w:r>
          </w:p>
          <w:p>
            <w:pPr>
              <w:autoSpaceDE w:val="0"/>
              <w:autoSpaceDN w:val="0"/>
              <w:adjustRightInd w:val="0"/>
              <w:spacing w:line="276" w:lineRule="auto"/>
              <w:jc w:val="left"/>
              <w:rPr>
                <w:rFonts w:ascii="宋体" w:hAnsi="宋体" w:cs="宋体"/>
                <w:color w:val="auto"/>
                <w:szCs w:val="21"/>
                <w:highlight w:val="none"/>
                <w:u w:val="single"/>
              </w:rPr>
            </w:pPr>
            <w:r>
              <w:rPr>
                <w:rFonts w:hint="eastAsia" w:ascii="宋体" w:hAnsi="宋体" w:cs="宋体"/>
                <w:color w:val="auto"/>
                <w:szCs w:val="21"/>
                <w:highlight w:val="none"/>
                <w:lang w:val="en-US" w:eastAsia="zh-CN"/>
              </w:rPr>
              <w:t>优得[5-4.5)分，良得[4.5-4)分，中得[4-3.5)分，一般得[3.5-3]分，无得0分。</w:t>
            </w:r>
          </w:p>
        </w:tc>
        <w:tc>
          <w:tcPr>
            <w:tcW w:w="900" w:type="dxa"/>
            <w:vAlign w:val="center"/>
          </w:tcPr>
          <w:p>
            <w:pPr>
              <w:wordWrap w:val="0"/>
              <w:topLinePunct/>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800" w:type="dxa"/>
            <w:gridSpan w:val="2"/>
            <w:vAlign w:val="center"/>
          </w:tcPr>
          <w:p>
            <w:pPr>
              <w:wordWrap w:val="0"/>
              <w:topLinePunct/>
              <w:spacing w:line="400" w:lineRule="exact"/>
              <w:jc w:val="center"/>
              <w:rPr>
                <w:color w:val="auto"/>
                <w:szCs w:val="21"/>
                <w:highlight w:val="none"/>
              </w:rPr>
            </w:pPr>
            <w:r>
              <w:rPr>
                <w:color w:val="auto"/>
                <w:szCs w:val="21"/>
                <w:highlight w:val="none"/>
                <w:lang w:val="zh-CN"/>
              </w:rPr>
              <w:t>总计</w:t>
            </w:r>
          </w:p>
        </w:tc>
        <w:tc>
          <w:tcPr>
            <w:tcW w:w="720" w:type="dxa"/>
            <w:vAlign w:val="center"/>
          </w:tcPr>
          <w:p>
            <w:pPr>
              <w:wordWrap w:val="0"/>
              <w:topLinePunct/>
              <w:spacing w:line="400" w:lineRule="exact"/>
              <w:jc w:val="center"/>
              <w:rPr>
                <w:color w:val="auto"/>
                <w:szCs w:val="21"/>
                <w:highlight w:val="none"/>
              </w:rPr>
            </w:pPr>
            <w:r>
              <w:rPr>
                <w:color w:val="auto"/>
                <w:szCs w:val="21"/>
                <w:highlight w:val="none"/>
              </w:rPr>
              <w:t>100</w:t>
            </w:r>
          </w:p>
        </w:tc>
        <w:tc>
          <w:tcPr>
            <w:tcW w:w="11520" w:type="dxa"/>
            <w:gridSpan w:val="3"/>
            <w:vAlign w:val="center"/>
          </w:tcPr>
          <w:p>
            <w:pPr>
              <w:wordWrap w:val="0"/>
              <w:topLinePunct/>
              <w:spacing w:line="400" w:lineRule="exact"/>
              <w:jc w:val="center"/>
              <w:rPr>
                <w:color w:val="auto"/>
                <w:szCs w:val="21"/>
                <w:highlight w:val="none"/>
              </w:rPr>
            </w:pPr>
          </w:p>
        </w:tc>
        <w:tc>
          <w:tcPr>
            <w:tcW w:w="900" w:type="dxa"/>
            <w:vAlign w:val="center"/>
          </w:tcPr>
          <w:p>
            <w:pPr>
              <w:wordWrap w:val="0"/>
              <w:topLinePunct/>
              <w:spacing w:line="400" w:lineRule="exact"/>
              <w:jc w:val="center"/>
              <w:rPr>
                <w:color w:val="auto"/>
                <w:szCs w:val="21"/>
                <w:highlight w:val="none"/>
              </w:rPr>
            </w:pPr>
          </w:p>
        </w:tc>
      </w:tr>
    </w:tbl>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本表按百分制评分，评标委员会专家评出各投标人技术文件的分数，去掉一个最高分和一个最低分后计取算术平均分，得出每个投标人技术文件的得分，分数出现小数点，保留小数点后二位，第三位小数四舍五入。</w:t>
      </w:r>
    </w:p>
    <w:p>
      <w:pPr>
        <w:wordWrap w:val="0"/>
        <w:topLinePunct/>
        <w:spacing w:line="360" w:lineRule="auto"/>
        <w:rPr>
          <w:rFonts w:ascii="宋体" w:hAnsi="宋体" w:cs="宋体"/>
          <w:color w:val="auto"/>
          <w:highlight w:val="none"/>
        </w:rPr>
        <w:sectPr>
          <w:footerReference r:id="rId8" w:type="default"/>
          <w:pgSz w:w="16838" w:h="11905" w:orient="landscape"/>
          <w:pgMar w:top="1134" w:right="1440" w:bottom="1134" w:left="1440" w:header="851" w:footer="992" w:gutter="0"/>
          <w:cols w:space="0" w:num="1"/>
          <w:docGrid w:type="lines" w:linePitch="321" w:charSpace="0"/>
        </w:sectPr>
      </w:pPr>
    </w:p>
    <w:p>
      <w:pPr>
        <w:rPr>
          <w:rFonts w:ascii="宋体" w:hAnsi="宋体"/>
          <w:color w:val="auto"/>
          <w:highlight w:val="none"/>
        </w:rPr>
      </w:pPr>
      <w:r>
        <w:rPr>
          <w:rFonts w:hint="eastAsia" w:ascii="宋体" w:hAnsi="宋体"/>
          <w:b/>
          <w:bCs/>
          <w:color w:val="auto"/>
          <w:highlight w:val="none"/>
        </w:rPr>
        <w:t>附录15</w:t>
      </w:r>
    </w:p>
    <w:p>
      <w:pPr>
        <w:jc w:val="center"/>
        <w:rPr>
          <w:rFonts w:ascii="宋体" w:hAnsi="宋体"/>
          <w:b/>
          <w:color w:val="auto"/>
          <w:sz w:val="32"/>
          <w:highlight w:val="none"/>
        </w:rPr>
      </w:pPr>
      <w:r>
        <w:rPr>
          <w:rFonts w:hint="eastAsia" w:ascii="宋体" w:hAnsi="宋体"/>
          <w:b/>
          <w:color w:val="auto"/>
          <w:sz w:val="32"/>
          <w:highlight w:val="none"/>
        </w:rPr>
        <w:t>基础资料和设计任务书</w:t>
      </w:r>
    </w:p>
    <w:p>
      <w:pPr>
        <w:spacing w:line="360" w:lineRule="auto"/>
        <w:ind w:left="210" w:leftChars="100"/>
        <w:rPr>
          <w:rFonts w:ascii="宋体" w:hAnsi="宋体"/>
          <w:color w:val="auto"/>
          <w:szCs w:val="21"/>
          <w:highlight w:val="none"/>
        </w:rPr>
      </w:pPr>
      <w:bookmarkStart w:id="4" w:name="_Toc354480984"/>
      <w:bookmarkStart w:id="5" w:name="_Toc372241590"/>
      <w:bookmarkStart w:id="6" w:name="_Toc430950315"/>
      <w:r>
        <w:rPr>
          <w:rFonts w:hint="eastAsia" w:ascii="宋体" w:hAnsi="宋体"/>
          <w:color w:val="auto"/>
          <w:szCs w:val="21"/>
          <w:highlight w:val="none"/>
        </w:rPr>
        <w:t>一、项目概况</w:t>
      </w:r>
      <w:bookmarkEnd w:id="4"/>
      <w:bookmarkEnd w:id="5"/>
      <w:bookmarkEnd w:id="6"/>
    </w:p>
    <w:p>
      <w:pPr>
        <w:spacing w:line="360" w:lineRule="auto"/>
        <w:ind w:left="210" w:leftChars="100" w:firstLine="420" w:firstLineChars="200"/>
        <w:rPr>
          <w:rFonts w:hint="eastAsia" w:ascii="宋体" w:hAnsi="宋体"/>
          <w:color w:val="auto"/>
          <w:szCs w:val="21"/>
          <w:highlight w:val="none"/>
          <w:lang w:eastAsia="zh-CN"/>
        </w:rPr>
      </w:pPr>
      <w:bookmarkStart w:id="7" w:name="_Toc238270223"/>
      <w:r>
        <w:rPr>
          <w:rFonts w:ascii="宋体" w:hAnsi="宋体"/>
          <w:color w:val="auto"/>
          <w:szCs w:val="21"/>
          <w:highlight w:val="none"/>
        </w:rPr>
        <w:t>1、项目名称</w:t>
      </w:r>
      <w:r>
        <w:rPr>
          <w:rFonts w:hint="eastAsia" w:ascii="宋体" w:hAnsi="宋体"/>
          <w:color w:val="auto"/>
          <w:szCs w:val="21"/>
          <w:highlight w:val="none"/>
        </w:rPr>
        <w:t>：</w:t>
      </w:r>
      <w:r>
        <w:rPr>
          <w:rFonts w:hint="eastAsia" w:ascii="宋体" w:hAnsi="宋体"/>
          <w:color w:val="auto"/>
          <w:szCs w:val="21"/>
          <w:highlight w:val="none"/>
          <w:lang w:val="en-US" w:eastAsia="zh-CN"/>
        </w:rPr>
        <w:t>永宁街规划一横路（创业大道—新耀北路）道路建设工程</w:t>
      </w:r>
      <w:r>
        <w:rPr>
          <w:rFonts w:hint="eastAsia" w:ascii="宋体" w:hAnsi="宋体"/>
          <w:color w:val="auto"/>
          <w:szCs w:val="21"/>
          <w:highlight w:val="none"/>
          <w:lang w:eastAsia="zh-CN"/>
        </w:rPr>
        <w:t>勘察设计</w:t>
      </w:r>
    </w:p>
    <w:p>
      <w:pPr>
        <w:spacing w:line="360" w:lineRule="auto"/>
        <w:ind w:left="210" w:leftChars="100" w:firstLine="420" w:firstLineChars="200"/>
        <w:rPr>
          <w:rFonts w:ascii="宋体" w:hAnsi="宋体"/>
          <w:color w:val="auto"/>
          <w:szCs w:val="21"/>
          <w:highlight w:val="none"/>
        </w:rPr>
      </w:pPr>
      <w:r>
        <w:rPr>
          <w:rFonts w:hint="eastAsia" w:ascii="宋体" w:hAnsi="宋体"/>
          <w:color w:val="auto"/>
          <w:szCs w:val="21"/>
          <w:highlight w:val="none"/>
        </w:rPr>
        <w:t>2、项目位置：</w:t>
      </w:r>
      <w:r>
        <w:rPr>
          <w:rFonts w:hint="eastAsia" w:ascii="宋体" w:hAnsi="宋体"/>
          <w:color w:val="auto"/>
          <w:szCs w:val="21"/>
          <w:highlight w:val="none"/>
          <w:lang w:val="en-US" w:eastAsia="zh-CN"/>
        </w:rPr>
        <w:t>本项目位于增城区永宁街</w:t>
      </w:r>
    </w:p>
    <w:p>
      <w:pPr>
        <w:spacing w:line="360" w:lineRule="auto"/>
        <w:ind w:left="210" w:leftChars="100" w:firstLine="420" w:firstLineChars="200"/>
        <w:rPr>
          <w:rFonts w:ascii="宋体" w:hAnsi="宋体"/>
          <w:color w:val="auto"/>
          <w:szCs w:val="21"/>
          <w:highlight w:val="none"/>
        </w:rPr>
      </w:pPr>
      <w:r>
        <w:rPr>
          <w:rFonts w:hint="eastAsia" w:ascii="宋体" w:hAnsi="宋体"/>
          <w:color w:val="auto"/>
          <w:szCs w:val="21"/>
          <w:highlight w:val="none"/>
        </w:rPr>
        <w:t>3、项目概况：</w:t>
      </w:r>
      <w:r>
        <w:rPr>
          <w:rFonts w:hint="eastAsia" w:ascii="宋体" w:hAnsi="宋体"/>
          <w:color w:val="auto"/>
          <w:szCs w:val="21"/>
          <w:highlight w:val="none"/>
          <w:lang w:val="en-US" w:eastAsia="zh-CN"/>
        </w:rPr>
        <w:t>本项目线位整体呈西北-东南走向，西北侧起于创业大道，往东南侧延伸依次经过永宁中学和誉山国际五区东侧、中汽研北侧，终点接新耀北路，全长约1.45公里。道路等级为城市支路，设计速度为30km/h，规划红线宽度为20m，双向4车道布置。起点段长约240米范围考虑利用现状沥青路面作为改造后的半幅行车道，其余范围均为新建道路。涉及的相关专业主要有道路工程、交通工程、排水工程、给水工程、电力管沟工程、照明工程、绿化工程、管线迁改等</w:t>
      </w:r>
      <w:r>
        <w:rPr>
          <w:rFonts w:hint="eastAsia" w:ascii="宋体" w:hAnsi="宋体"/>
          <w:color w:val="auto"/>
          <w:szCs w:val="21"/>
          <w:highlight w:val="none"/>
        </w:rPr>
        <w:t>。</w:t>
      </w:r>
    </w:p>
    <w:p>
      <w:pPr>
        <w:spacing w:line="360" w:lineRule="auto"/>
        <w:ind w:left="210" w:leftChars="100" w:firstLine="420" w:firstLineChars="200"/>
        <w:rPr>
          <w:rFonts w:ascii="宋体" w:hAnsi="宋体"/>
          <w:color w:val="auto"/>
          <w:szCs w:val="21"/>
          <w:highlight w:val="none"/>
        </w:rPr>
      </w:pPr>
      <w:r>
        <w:rPr>
          <w:rFonts w:hint="eastAsia" w:ascii="宋体" w:hAnsi="宋体"/>
          <w:color w:val="auto"/>
          <w:szCs w:val="21"/>
          <w:highlight w:val="none"/>
          <w:lang w:val="en-US" w:eastAsia="zh-CN"/>
        </w:rPr>
        <w:t>4、总投资约11059.89万元，建安费约8569.99万元。</w:t>
      </w:r>
    </w:p>
    <w:p>
      <w:pPr>
        <w:spacing w:line="360" w:lineRule="auto"/>
        <w:ind w:left="210" w:leftChars="100"/>
        <w:rPr>
          <w:rFonts w:ascii="宋体" w:hAnsi="宋体"/>
          <w:color w:val="auto"/>
          <w:szCs w:val="21"/>
          <w:highlight w:val="none"/>
        </w:rPr>
      </w:pPr>
      <w:bookmarkStart w:id="8" w:name="_Toc310950801"/>
      <w:bookmarkStart w:id="9" w:name="_Toc317452086"/>
      <w:bookmarkStart w:id="10" w:name="_Toc372241593"/>
      <w:bookmarkStart w:id="11" w:name="_Toc309898035"/>
      <w:bookmarkStart w:id="12" w:name="_Toc309897959"/>
      <w:bookmarkStart w:id="13" w:name="_Toc238270225"/>
      <w:bookmarkStart w:id="14" w:name="_Toc354480987"/>
      <w:bookmarkStart w:id="15" w:name="_Toc351107060"/>
      <w:bookmarkStart w:id="16" w:name="_Toc430950318"/>
      <w:r>
        <w:rPr>
          <w:rFonts w:hint="eastAsia" w:ascii="宋体" w:hAnsi="宋体"/>
          <w:color w:val="auto"/>
          <w:szCs w:val="21"/>
          <w:highlight w:val="none"/>
        </w:rPr>
        <w:t>二、技术经济指标</w:t>
      </w:r>
      <w:bookmarkEnd w:id="8"/>
      <w:bookmarkEnd w:id="9"/>
      <w:bookmarkEnd w:id="10"/>
      <w:bookmarkEnd w:id="11"/>
      <w:bookmarkEnd w:id="12"/>
      <w:bookmarkEnd w:id="13"/>
      <w:bookmarkEnd w:id="14"/>
      <w:bookmarkEnd w:id="15"/>
      <w:bookmarkEnd w:id="16"/>
    </w:p>
    <w:p>
      <w:pPr>
        <w:spacing w:line="360" w:lineRule="auto"/>
        <w:ind w:left="210" w:leftChars="100" w:firstLine="359" w:firstLineChars="171"/>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、设计道路等级：</w:t>
      </w:r>
      <w:r>
        <w:rPr>
          <w:rFonts w:hint="eastAsia" w:ascii="宋体" w:hAnsi="宋体"/>
          <w:color w:val="auto"/>
          <w:szCs w:val="21"/>
          <w:highlight w:val="none"/>
          <w:lang w:val="en-US" w:eastAsia="zh-CN"/>
        </w:rPr>
        <w:t>城市支路</w:t>
      </w:r>
      <w:r>
        <w:rPr>
          <w:rFonts w:hint="eastAsia" w:ascii="宋体" w:hAnsi="宋体"/>
          <w:color w:val="auto"/>
          <w:szCs w:val="21"/>
          <w:highlight w:val="none"/>
        </w:rPr>
        <w:t xml:space="preserve">； </w:t>
      </w:r>
    </w:p>
    <w:p>
      <w:pPr>
        <w:spacing w:line="360" w:lineRule="auto"/>
        <w:ind w:left="210" w:leftChars="100" w:firstLine="359" w:firstLineChars="171"/>
        <w:rPr>
          <w:rFonts w:hint="eastAsia" w:ascii="宋体" w:hAnsi="宋体"/>
          <w:color w:val="auto"/>
          <w:szCs w:val="21"/>
          <w:highlight w:val="none"/>
        </w:rPr>
      </w:pPr>
      <w:r>
        <w:rPr>
          <w:rFonts w:hint="eastAsia" w:ascii="宋体" w:hAnsi="宋体"/>
          <w:color w:val="auto"/>
          <w:szCs w:val="21"/>
          <w:highlight w:val="none"/>
        </w:rPr>
        <w:t>2、道路标准红线宽：</w:t>
      </w:r>
      <w:r>
        <w:rPr>
          <w:rFonts w:hint="eastAsia" w:ascii="宋体" w:hAnsi="宋体"/>
          <w:color w:val="auto"/>
          <w:szCs w:val="21"/>
          <w:highlight w:val="none"/>
          <w:lang w:val="en-US" w:eastAsia="zh-CN"/>
        </w:rPr>
        <w:t>2</w:t>
      </w:r>
      <w:r>
        <w:rPr>
          <w:rFonts w:hint="eastAsia" w:ascii="宋体" w:hAnsi="宋体"/>
          <w:color w:val="auto"/>
          <w:szCs w:val="21"/>
          <w:highlight w:val="none"/>
        </w:rPr>
        <w:t>0米；</w:t>
      </w:r>
    </w:p>
    <w:p>
      <w:pPr>
        <w:spacing w:line="360" w:lineRule="auto"/>
        <w:ind w:left="210" w:leftChars="100" w:firstLine="359" w:firstLineChars="171"/>
        <w:rPr>
          <w:rFonts w:hint="eastAsia" w:ascii="宋体" w:hAnsi="宋体"/>
          <w:color w:val="auto"/>
          <w:szCs w:val="21"/>
          <w:highlight w:val="none"/>
        </w:rPr>
      </w:pPr>
      <w:r>
        <w:rPr>
          <w:rFonts w:hint="eastAsia" w:ascii="宋体" w:hAnsi="宋体"/>
          <w:color w:val="auto"/>
          <w:szCs w:val="21"/>
          <w:highlight w:val="none"/>
        </w:rPr>
        <w:t>3、设计道路长度：</w:t>
      </w:r>
      <w:r>
        <w:rPr>
          <w:rFonts w:hint="eastAsia" w:ascii="宋体" w:hAnsi="宋体"/>
          <w:color w:val="auto"/>
          <w:szCs w:val="21"/>
          <w:highlight w:val="none"/>
          <w:lang w:val="en-US" w:eastAsia="zh-CN"/>
        </w:rPr>
        <w:t>1.45公里</w:t>
      </w:r>
      <w:r>
        <w:rPr>
          <w:rFonts w:hint="eastAsia" w:ascii="宋体" w:hAnsi="宋体"/>
          <w:color w:val="auto"/>
          <w:szCs w:val="21"/>
          <w:highlight w:val="none"/>
        </w:rPr>
        <w:t>；</w:t>
      </w:r>
    </w:p>
    <w:p>
      <w:pPr>
        <w:spacing w:line="360" w:lineRule="auto"/>
        <w:ind w:left="210" w:leftChars="100" w:firstLine="359" w:firstLineChars="171"/>
        <w:rPr>
          <w:rFonts w:hint="eastAsia" w:ascii="宋体" w:hAnsi="宋体"/>
          <w:color w:val="auto"/>
          <w:szCs w:val="21"/>
          <w:highlight w:val="none"/>
        </w:rPr>
      </w:pPr>
      <w:r>
        <w:rPr>
          <w:rFonts w:hint="eastAsia" w:ascii="宋体" w:hAnsi="宋体"/>
          <w:color w:val="auto"/>
          <w:szCs w:val="21"/>
          <w:highlight w:val="none"/>
        </w:rPr>
        <w:t>4、设计计算行车速度：</w:t>
      </w:r>
      <w:r>
        <w:rPr>
          <w:rFonts w:hint="eastAsia" w:ascii="宋体" w:hAnsi="宋体"/>
          <w:color w:val="auto"/>
          <w:szCs w:val="21"/>
          <w:highlight w:val="none"/>
          <w:lang w:val="en-US" w:eastAsia="zh-CN"/>
        </w:rPr>
        <w:t>30km/h</w:t>
      </w:r>
      <w:r>
        <w:rPr>
          <w:rFonts w:hint="eastAsia" w:ascii="宋体" w:hAnsi="宋体"/>
          <w:color w:val="auto"/>
          <w:szCs w:val="21"/>
          <w:highlight w:val="none"/>
        </w:rPr>
        <w:t>。</w:t>
      </w:r>
    </w:p>
    <w:p>
      <w:pPr>
        <w:spacing w:line="360" w:lineRule="auto"/>
        <w:ind w:left="210" w:leftChars="100"/>
        <w:rPr>
          <w:rFonts w:ascii="宋体" w:hAnsi="宋体"/>
          <w:color w:val="auto"/>
          <w:szCs w:val="21"/>
          <w:highlight w:val="none"/>
        </w:rPr>
      </w:pPr>
      <w:bookmarkStart w:id="17" w:name="_Toc430950316"/>
      <w:bookmarkStart w:id="18" w:name="_Toc354480985"/>
      <w:bookmarkStart w:id="19" w:name="_Toc372241591"/>
      <w:r>
        <w:rPr>
          <w:rFonts w:hint="eastAsia" w:ascii="宋体" w:hAnsi="宋体"/>
          <w:color w:val="auto"/>
          <w:szCs w:val="21"/>
          <w:highlight w:val="none"/>
        </w:rPr>
        <w:t>三、</w:t>
      </w:r>
      <w:bookmarkEnd w:id="17"/>
      <w:bookmarkEnd w:id="18"/>
      <w:bookmarkEnd w:id="19"/>
      <w:bookmarkStart w:id="20" w:name="_Toc354480986"/>
      <w:bookmarkStart w:id="21" w:name="_Toc372241592"/>
      <w:bookmarkStart w:id="22" w:name="_Toc430950317"/>
      <w:r>
        <w:rPr>
          <w:rFonts w:hint="eastAsia" w:ascii="宋体" w:hAnsi="宋体"/>
          <w:color w:val="auto"/>
          <w:szCs w:val="21"/>
          <w:highlight w:val="none"/>
        </w:rPr>
        <w:t>设计依据和标准</w:t>
      </w:r>
      <w:bookmarkEnd w:id="7"/>
      <w:bookmarkEnd w:id="20"/>
      <w:bookmarkEnd w:id="21"/>
      <w:bookmarkEnd w:id="22"/>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本项设计项目各阶段的设计文件必须符合现行中华人民共和国以及行业的一切法规、规范要求，包括但不限于：</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1、本工程设计依据</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1）本工程的设计任务书；</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2）规划及国土提供的用地红线图；</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2、本工程的设计标准及主要设计规范：</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本工程设计的各阶段设计文件必须符合现行中华人民共和国以及行业的相关法规、规范要求，包括但不限于：</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 《城市道路工程设计规范》</w:t>
      </w:r>
      <w:r>
        <w:rPr>
          <w:rFonts w:ascii="宋体" w:hAnsi="宋体"/>
          <w:color w:val="auto"/>
          <w:szCs w:val="21"/>
          <w:highlight w:val="none"/>
        </w:rPr>
        <w:t>CJJ37-2012</w:t>
      </w:r>
      <w:r>
        <w:rPr>
          <w:rFonts w:hint="eastAsia" w:ascii="宋体" w:hAnsi="宋体"/>
          <w:color w:val="auto"/>
          <w:szCs w:val="21"/>
          <w:highlight w:val="none"/>
        </w:rPr>
        <w:t>（</w:t>
      </w:r>
      <w:r>
        <w:rPr>
          <w:rFonts w:ascii="宋体" w:hAnsi="宋体"/>
          <w:color w:val="auto"/>
          <w:szCs w:val="21"/>
          <w:highlight w:val="none"/>
        </w:rPr>
        <w:t xml:space="preserve">2016 </w:t>
      </w:r>
      <w:r>
        <w:rPr>
          <w:rFonts w:hint="eastAsia" w:ascii="宋体" w:hAnsi="宋体"/>
          <w:color w:val="auto"/>
          <w:szCs w:val="21"/>
          <w:highlight w:val="none"/>
        </w:rPr>
        <w:t xml:space="preserve">年版）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 《城市道路路线设计规范》</w:t>
      </w:r>
      <w:r>
        <w:rPr>
          <w:rFonts w:ascii="宋体" w:hAnsi="宋体"/>
          <w:color w:val="auto"/>
          <w:szCs w:val="21"/>
          <w:highlight w:val="none"/>
        </w:rPr>
        <w:t xml:space="preserve">CJJ193-2012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《城市道路路基设计规范》</w:t>
      </w:r>
      <w:r>
        <w:rPr>
          <w:rFonts w:ascii="宋体" w:hAnsi="宋体"/>
          <w:color w:val="auto"/>
          <w:szCs w:val="21"/>
          <w:highlight w:val="none"/>
        </w:rPr>
        <w:t xml:space="preserve">CJJ194-2013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《城镇道路路面设计规范》</w:t>
      </w:r>
      <w:r>
        <w:rPr>
          <w:rFonts w:ascii="宋体" w:hAnsi="宋体"/>
          <w:color w:val="auto"/>
          <w:szCs w:val="21"/>
          <w:highlight w:val="none"/>
        </w:rPr>
        <w:t xml:space="preserve">CJJ169-2012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《城市道路交叉口设计规程》</w:t>
      </w:r>
      <w:r>
        <w:rPr>
          <w:rFonts w:ascii="宋体" w:hAnsi="宋体"/>
          <w:color w:val="auto"/>
          <w:szCs w:val="21"/>
          <w:highlight w:val="none"/>
        </w:rPr>
        <w:t xml:space="preserve">CJJ152-2010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 《无障碍设计规范》</w:t>
      </w:r>
      <w:r>
        <w:rPr>
          <w:rFonts w:ascii="宋体" w:hAnsi="宋体"/>
          <w:color w:val="auto"/>
          <w:szCs w:val="21"/>
          <w:highlight w:val="none"/>
        </w:rPr>
        <w:t xml:space="preserve">GB50763-2012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 《城镇道路工程施工与质量验收规范》</w:t>
      </w:r>
      <w:r>
        <w:rPr>
          <w:rFonts w:ascii="宋体" w:hAnsi="宋体"/>
          <w:color w:val="auto"/>
          <w:szCs w:val="21"/>
          <w:highlight w:val="none"/>
        </w:rPr>
        <w:t xml:space="preserve">CJJ1-2008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 《城市道路交通设施设计规范》（</w:t>
      </w:r>
      <w:r>
        <w:rPr>
          <w:rFonts w:ascii="宋体" w:hAnsi="宋体"/>
          <w:color w:val="auto"/>
          <w:szCs w:val="21"/>
          <w:highlight w:val="none"/>
        </w:rPr>
        <w:t>GB50688-2011</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 xml:space="preserve">） 《广州市城市规划管理技术标准与准则》（试行）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 xml:space="preserve">） 《广州市道路交通指路标志系统实施技术指引》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）《道路交通标志和标线》</w:t>
      </w:r>
      <w:r>
        <w:rPr>
          <w:rFonts w:ascii="宋体" w:hAnsi="宋体"/>
          <w:color w:val="auto"/>
          <w:szCs w:val="21"/>
          <w:highlight w:val="none"/>
        </w:rPr>
        <w:t>(</w:t>
      </w:r>
      <w:r>
        <w:rPr>
          <w:rFonts w:hint="eastAsia" w:ascii="宋体" w:hAnsi="宋体"/>
          <w:color w:val="auto"/>
          <w:szCs w:val="21"/>
          <w:highlight w:val="none"/>
        </w:rPr>
        <w:t>第一部分～第三部分</w:t>
      </w:r>
      <w:r>
        <w:rPr>
          <w:rFonts w:ascii="宋体" w:hAnsi="宋体"/>
          <w:color w:val="auto"/>
          <w:szCs w:val="21"/>
          <w:highlight w:val="none"/>
        </w:rPr>
        <w:t xml:space="preserve">)GB5768-2009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w:t>
      </w:r>
      <w:r>
        <w:rPr>
          <w:rFonts w:hint="eastAsia" w:ascii="宋体" w:hAnsi="宋体"/>
          <w:color w:val="auto"/>
          <w:szCs w:val="21"/>
          <w:highlight w:val="none"/>
        </w:rPr>
        <w:t>） 《城镇给水排水技术规范》</w:t>
      </w:r>
      <w:r>
        <w:rPr>
          <w:rFonts w:ascii="宋体" w:hAnsi="宋体"/>
          <w:color w:val="auto"/>
          <w:szCs w:val="21"/>
          <w:highlight w:val="none"/>
        </w:rPr>
        <w:t xml:space="preserve">(GB50788-2012)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w:t>
      </w:r>
      <w:r>
        <w:rPr>
          <w:rFonts w:hint="eastAsia" w:ascii="宋体" w:hAnsi="宋体"/>
          <w:color w:val="auto"/>
          <w:szCs w:val="21"/>
          <w:highlight w:val="none"/>
        </w:rPr>
        <w:t>） 《室外排水设计规范》</w:t>
      </w:r>
      <w:r>
        <w:rPr>
          <w:rFonts w:ascii="宋体" w:hAnsi="宋体"/>
          <w:color w:val="auto"/>
          <w:szCs w:val="21"/>
          <w:highlight w:val="none"/>
        </w:rPr>
        <w:t xml:space="preserve">(GB50014-2006)2016 </w:t>
      </w:r>
      <w:r>
        <w:rPr>
          <w:rFonts w:hint="eastAsia" w:ascii="宋体" w:hAnsi="宋体"/>
          <w:color w:val="auto"/>
          <w:szCs w:val="21"/>
          <w:highlight w:val="none"/>
        </w:rPr>
        <w:t xml:space="preserve">版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 《给排水管道工程施工及验收规范》</w:t>
      </w:r>
      <w:r>
        <w:rPr>
          <w:rFonts w:ascii="宋体" w:hAnsi="宋体"/>
          <w:color w:val="auto"/>
          <w:szCs w:val="21"/>
          <w:highlight w:val="none"/>
        </w:rPr>
        <w:t xml:space="preserve">(GB50268-2008)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15</w:t>
      </w:r>
      <w:r>
        <w:rPr>
          <w:rFonts w:hint="eastAsia" w:ascii="宋体" w:hAnsi="宋体"/>
          <w:color w:val="auto"/>
          <w:szCs w:val="21"/>
          <w:highlight w:val="none"/>
        </w:rPr>
        <w:t>） 《印发〈广州市排水管理办法实施细则〉的通知》</w:t>
      </w:r>
      <w:r>
        <w:rPr>
          <w:rFonts w:ascii="宋体" w:hAnsi="宋体"/>
          <w:color w:val="auto"/>
          <w:szCs w:val="21"/>
          <w:highlight w:val="none"/>
        </w:rPr>
        <w:t>(</w:t>
      </w:r>
      <w:r>
        <w:rPr>
          <w:rFonts w:hint="eastAsia" w:ascii="宋体" w:hAnsi="宋体"/>
          <w:color w:val="auto"/>
          <w:szCs w:val="21"/>
          <w:highlight w:val="none"/>
        </w:rPr>
        <w:t>穗水〔</w:t>
      </w:r>
      <w:r>
        <w:rPr>
          <w:rFonts w:ascii="宋体" w:hAnsi="宋体"/>
          <w:color w:val="auto"/>
          <w:szCs w:val="21"/>
          <w:highlight w:val="none"/>
        </w:rPr>
        <w:t>2013</w:t>
      </w:r>
      <w:r>
        <w:rPr>
          <w:rFonts w:hint="eastAsia" w:ascii="宋体" w:hAnsi="宋体"/>
          <w:color w:val="auto"/>
          <w:szCs w:val="21"/>
          <w:highlight w:val="none"/>
        </w:rPr>
        <w:t>〕</w:t>
      </w:r>
      <w:r>
        <w:rPr>
          <w:rFonts w:ascii="宋体" w:hAnsi="宋体"/>
          <w:color w:val="auto"/>
          <w:szCs w:val="21"/>
          <w:highlight w:val="none"/>
        </w:rPr>
        <w:t xml:space="preserve">10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 xml:space="preserve">号）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 《井盖设施建设技术规范》</w:t>
      </w:r>
      <w:r>
        <w:rPr>
          <w:rFonts w:ascii="宋体" w:hAnsi="宋体"/>
          <w:color w:val="auto"/>
          <w:szCs w:val="21"/>
          <w:highlight w:val="none"/>
        </w:rPr>
        <w:t xml:space="preserve">(DBJ440100/T160-2013)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17</w:t>
      </w:r>
      <w:r>
        <w:rPr>
          <w:rFonts w:hint="eastAsia" w:ascii="宋体" w:hAnsi="宋体"/>
          <w:color w:val="auto"/>
          <w:szCs w:val="21"/>
          <w:highlight w:val="none"/>
        </w:rPr>
        <w:t>） 《广州市海绵城市建设技术指引及标准图集（试行）》（</w:t>
      </w:r>
      <w:r>
        <w:rPr>
          <w:rFonts w:ascii="宋体" w:hAnsi="宋体"/>
          <w:color w:val="auto"/>
          <w:szCs w:val="21"/>
          <w:highlight w:val="none"/>
        </w:rPr>
        <w:t>2017.01</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18</w:t>
      </w:r>
      <w:r>
        <w:rPr>
          <w:rFonts w:hint="eastAsia" w:ascii="宋体" w:hAnsi="宋体"/>
          <w:color w:val="auto"/>
          <w:szCs w:val="21"/>
          <w:highlight w:val="none"/>
        </w:rPr>
        <w:t>） 《海绵城市建设技术指南》（</w:t>
      </w:r>
      <w:r>
        <w:rPr>
          <w:rFonts w:ascii="宋体" w:hAnsi="宋体"/>
          <w:color w:val="auto"/>
          <w:szCs w:val="21"/>
          <w:highlight w:val="none"/>
        </w:rPr>
        <w:t>2014.10</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 《城市工程管线综合规划规范》</w:t>
      </w:r>
      <w:r>
        <w:rPr>
          <w:rFonts w:ascii="宋体" w:hAnsi="宋体"/>
          <w:color w:val="auto"/>
          <w:szCs w:val="21"/>
          <w:highlight w:val="none"/>
        </w:rPr>
        <w:t xml:space="preserve">GB50289-2016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 《室外给水排水和燃气热力工程抗震设计规范》</w:t>
      </w:r>
      <w:r>
        <w:rPr>
          <w:rFonts w:ascii="宋体" w:hAnsi="宋体"/>
          <w:color w:val="auto"/>
          <w:szCs w:val="21"/>
          <w:highlight w:val="none"/>
        </w:rPr>
        <w:t xml:space="preserve">GB50032—2003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21</w:t>
      </w:r>
      <w:r>
        <w:rPr>
          <w:rFonts w:hint="eastAsia" w:ascii="宋体" w:hAnsi="宋体"/>
          <w:color w:val="auto"/>
          <w:szCs w:val="21"/>
          <w:highlight w:val="none"/>
        </w:rPr>
        <w:t>） 《消防给水及消火栓系统技术规划》</w:t>
      </w:r>
      <w:r>
        <w:rPr>
          <w:rFonts w:ascii="宋体" w:hAnsi="宋体"/>
          <w:color w:val="auto"/>
          <w:szCs w:val="21"/>
          <w:highlight w:val="none"/>
        </w:rPr>
        <w:t xml:space="preserve">GB50947-2014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22</w:t>
      </w:r>
      <w:r>
        <w:rPr>
          <w:rFonts w:hint="eastAsia" w:ascii="宋体" w:hAnsi="宋体"/>
          <w:color w:val="auto"/>
          <w:szCs w:val="21"/>
          <w:highlight w:val="none"/>
        </w:rPr>
        <w:t>） 《城市用地竖向规划教程》（</w:t>
      </w:r>
      <w:r>
        <w:rPr>
          <w:rFonts w:ascii="宋体" w:hAnsi="宋体"/>
          <w:color w:val="auto"/>
          <w:szCs w:val="21"/>
          <w:highlight w:val="none"/>
        </w:rPr>
        <w:t>CJJ83-99</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23</w:t>
      </w:r>
      <w:r>
        <w:rPr>
          <w:rFonts w:hint="eastAsia" w:ascii="宋体" w:hAnsi="宋体"/>
          <w:color w:val="auto"/>
          <w:szCs w:val="21"/>
          <w:highlight w:val="none"/>
        </w:rPr>
        <w:t>） 《岩土锚杆（索）技术规程》（</w:t>
      </w:r>
      <w:r>
        <w:rPr>
          <w:rFonts w:ascii="宋体" w:hAnsi="宋体"/>
          <w:color w:val="auto"/>
          <w:szCs w:val="21"/>
          <w:highlight w:val="none"/>
        </w:rPr>
        <w:t>CECS22</w:t>
      </w:r>
      <w:r>
        <w:rPr>
          <w:rFonts w:hint="eastAsia" w:ascii="宋体" w:hAnsi="宋体"/>
          <w:color w:val="auto"/>
          <w:szCs w:val="21"/>
          <w:highlight w:val="none"/>
        </w:rPr>
        <w:t>：</w:t>
      </w:r>
      <w:r>
        <w:rPr>
          <w:rFonts w:ascii="宋体" w:hAnsi="宋体"/>
          <w:color w:val="auto"/>
          <w:szCs w:val="21"/>
          <w:highlight w:val="none"/>
        </w:rPr>
        <w:t>2005</w:t>
      </w:r>
      <w:r>
        <w:rPr>
          <w:rFonts w:hint="eastAsia" w:ascii="宋体" w:hAnsi="宋体"/>
          <w:color w:val="auto"/>
          <w:szCs w:val="21"/>
          <w:highlight w:val="none"/>
        </w:rPr>
        <w:t xml:space="preserve">） </w:t>
      </w:r>
    </w:p>
    <w:p>
      <w:pPr>
        <w:tabs>
          <w:tab w:val="left" w:pos="1080"/>
        </w:tabs>
        <w:spacing w:line="360" w:lineRule="auto"/>
        <w:ind w:left="84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24</w:t>
      </w:r>
      <w:r>
        <w:rPr>
          <w:rFonts w:hint="eastAsia" w:ascii="宋体" w:hAnsi="宋体"/>
          <w:color w:val="auto"/>
          <w:szCs w:val="21"/>
          <w:highlight w:val="none"/>
        </w:rPr>
        <w:t>） 《岩土锚杆与喷射混凝土支护工程技术规范》（</w:t>
      </w:r>
      <w:r>
        <w:rPr>
          <w:rFonts w:ascii="宋体" w:hAnsi="宋体"/>
          <w:color w:val="auto"/>
          <w:szCs w:val="21"/>
          <w:highlight w:val="none"/>
        </w:rPr>
        <w:t>GB50086-2015</w:t>
      </w:r>
      <w:r>
        <w:rPr>
          <w:rFonts w:hint="eastAsia" w:ascii="宋体" w:hAnsi="宋体"/>
          <w:color w:val="auto"/>
          <w:szCs w:val="21"/>
          <w:highlight w:val="none"/>
        </w:rPr>
        <w:t>）</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25</w:t>
      </w:r>
      <w:r>
        <w:rPr>
          <w:rFonts w:hint="eastAsia" w:ascii="宋体" w:hAnsi="宋体"/>
          <w:color w:val="auto"/>
          <w:szCs w:val="21"/>
          <w:highlight w:val="none"/>
        </w:rPr>
        <w:t>） 《混凝土结构设计规范》（</w:t>
      </w:r>
      <w:r>
        <w:rPr>
          <w:rFonts w:ascii="宋体" w:hAnsi="宋体"/>
          <w:color w:val="auto"/>
          <w:szCs w:val="21"/>
          <w:highlight w:val="none"/>
        </w:rPr>
        <w:t>GB50010-2010</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26</w:t>
      </w:r>
      <w:r>
        <w:rPr>
          <w:rFonts w:hint="eastAsia" w:ascii="宋体" w:hAnsi="宋体"/>
          <w:color w:val="auto"/>
          <w:szCs w:val="21"/>
          <w:highlight w:val="none"/>
        </w:rPr>
        <w:t>） 《砌体结构设计规范》（</w:t>
      </w:r>
      <w:r>
        <w:rPr>
          <w:rFonts w:ascii="宋体" w:hAnsi="宋体"/>
          <w:color w:val="auto"/>
          <w:szCs w:val="21"/>
          <w:highlight w:val="none"/>
        </w:rPr>
        <w:t>GB50003-2011</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27</w:t>
      </w:r>
      <w:r>
        <w:rPr>
          <w:rFonts w:hint="eastAsia" w:ascii="宋体" w:hAnsi="宋体"/>
          <w:color w:val="auto"/>
          <w:szCs w:val="21"/>
          <w:highlight w:val="none"/>
        </w:rPr>
        <w:t>） 《钢筋焊接及验收规程》（</w:t>
      </w:r>
      <w:r>
        <w:rPr>
          <w:rFonts w:ascii="宋体" w:hAnsi="宋体"/>
          <w:color w:val="auto"/>
          <w:szCs w:val="21"/>
          <w:highlight w:val="none"/>
        </w:rPr>
        <w:t>JGJ18-2012</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28</w:t>
      </w:r>
      <w:r>
        <w:rPr>
          <w:rFonts w:hint="eastAsia" w:ascii="宋体" w:hAnsi="宋体"/>
          <w:color w:val="auto"/>
          <w:szCs w:val="21"/>
          <w:highlight w:val="none"/>
        </w:rPr>
        <w:t>） 《混凝土和钢筋混凝土排水管》（</w:t>
      </w:r>
      <w:r>
        <w:rPr>
          <w:rFonts w:ascii="宋体" w:hAnsi="宋体"/>
          <w:color w:val="auto"/>
          <w:szCs w:val="21"/>
          <w:highlight w:val="none"/>
        </w:rPr>
        <w:t>GB/T11836-1999</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29</w:t>
      </w:r>
      <w:r>
        <w:rPr>
          <w:rFonts w:hint="eastAsia" w:ascii="宋体" w:hAnsi="宋体"/>
          <w:color w:val="auto"/>
          <w:szCs w:val="21"/>
          <w:highlight w:val="none"/>
        </w:rPr>
        <w:t>） 《广州市城市规划管理技术标准与准则》（市政规划篇）（</w:t>
      </w:r>
      <w:r>
        <w:rPr>
          <w:rFonts w:ascii="宋体" w:hAnsi="宋体"/>
          <w:color w:val="auto"/>
          <w:szCs w:val="21"/>
          <w:highlight w:val="none"/>
        </w:rPr>
        <w:t xml:space="preserve">2005.12.15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 xml:space="preserve">实施）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30</w:t>
      </w:r>
      <w:r>
        <w:rPr>
          <w:rFonts w:hint="eastAsia" w:ascii="宋体" w:hAnsi="宋体"/>
          <w:color w:val="auto"/>
          <w:szCs w:val="21"/>
          <w:highlight w:val="none"/>
        </w:rPr>
        <w:t>） 《城市排水工程规范规范》（</w:t>
      </w:r>
      <w:r>
        <w:rPr>
          <w:rFonts w:ascii="宋体" w:hAnsi="宋体"/>
          <w:color w:val="auto"/>
          <w:szCs w:val="21"/>
          <w:highlight w:val="none"/>
        </w:rPr>
        <w:t>GB50318-2000</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31</w:t>
      </w:r>
      <w:r>
        <w:rPr>
          <w:rFonts w:hint="eastAsia" w:ascii="宋体" w:hAnsi="宋体"/>
          <w:color w:val="auto"/>
          <w:szCs w:val="21"/>
          <w:highlight w:val="none"/>
        </w:rPr>
        <w:t>） 《给水排水工程构筑物结构设计规范》（</w:t>
      </w:r>
      <w:r>
        <w:rPr>
          <w:rFonts w:ascii="宋体" w:hAnsi="宋体"/>
          <w:color w:val="auto"/>
          <w:szCs w:val="21"/>
          <w:highlight w:val="none"/>
        </w:rPr>
        <w:t>GB50068-2002</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32</w:t>
      </w:r>
      <w:r>
        <w:rPr>
          <w:rFonts w:hint="eastAsia" w:ascii="宋体" w:hAnsi="宋体"/>
          <w:color w:val="auto"/>
          <w:szCs w:val="21"/>
          <w:highlight w:val="none"/>
        </w:rPr>
        <w:t>） 《给水排水管道工程施工及验收规范》（</w:t>
      </w:r>
      <w:r>
        <w:rPr>
          <w:rFonts w:ascii="宋体" w:hAnsi="宋体"/>
          <w:color w:val="auto"/>
          <w:szCs w:val="21"/>
          <w:highlight w:val="none"/>
        </w:rPr>
        <w:t>GB50268-2008</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33</w:t>
      </w:r>
      <w:r>
        <w:rPr>
          <w:rFonts w:hint="eastAsia" w:ascii="宋体" w:hAnsi="宋体"/>
          <w:color w:val="auto"/>
          <w:szCs w:val="21"/>
          <w:highlight w:val="none"/>
        </w:rPr>
        <w:t>） 《埋地给水钢管道水泥砂浆衬里技术标准》（</w:t>
      </w:r>
      <w:r>
        <w:rPr>
          <w:rFonts w:ascii="宋体" w:hAnsi="宋体"/>
          <w:color w:val="auto"/>
          <w:szCs w:val="21"/>
          <w:highlight w:val="none"/>
        </w:rPr>
        <w:t>CECS10</w:t>
      </w:r>
      <w:r>
        <w:rPr>
          <w:rFonts w:hint="eastAsia" w:ascii="宋体" w:hAnsi="宋体"/>
          <w:color w:val="auto"/>
          <w:szCs w:val="21"/>
          <w:highlight w:val="none"/>
        </w:rPr>
        <w:t>：</w:t>
      </w:r>
      <w:r>
        <w:rPr>
          <w:rFonts w:ascii="宋体" w:hAnsi="宋体"/>
          <w:color w:val="auto"/>
          <w:szCs w:val="21"/>
          <w:highlight w:val="none"/>
        </w:rPr>
        <w:t>89</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34</w:t>
      </w:r>
      <w:r>
        <w:rPr>
          <w:rFonts w:hint="eastAsia" w:ascii="宋体" w:hAnsi="宋体"/>
          <w:color w:val="auto"/>
          <w:szCs w:val="21"/>
          <w:highlight w:val="none"/>
        </w:rPr>
        <w:t>） 《工业金属管道工程施工及验收规范》（</w:t>
      </w:r>
      <w:r>
        <w:rPr>
          <w:rFonts w:ascii="宋体" w:hAnsi="宋体"/>
          <w:color w:val="auto"/>
          <w:szCs w:val="21"/>
          <w:highlight w:val="none"/>
        </w:rPr>
        <w:t>GB50235-97</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35</w:t>
      </w:r>
      <w:r>
        <w:rPr>
          <w:rFonts w:hint="eastAsia" w:ascii="宋体" w:hAnsi="宋体"/>
          <w:color w:val="auto"/>
          <w:szCs w:val="21"/>
          <w:highlight w:val="none"/>
        </w:rPr>
        <w:t>） 《混凝土和钢筋混凝土排水管》（</w:t>
      </w:r>
      <w:r>
        <w:rPr>
          <w:rFonts w:ascii="宋体" w:hAnsi="宋体"/>
          <w:color w:val="auto"/>
          <w:szCs w:val="21"/>
          <w:highlight w:val="none"/>
        </w:rPr>
        <w:t>GB/T11836-2009</w:t>
      </w:r>
      <w:r>
        <w:rPr>
          <w:rFonts w:hint="eastAsia" w:ascii="宋体" w:hAnsi="宋体"/>
          <w:color w:val="auto"/>
          <w:szCs w:val="21"/>
          <w:highlight w:val="none"/>
        </w:rPr>
        <w:t xml:space="preserve">）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36</w:t>
      </w:r>
      <w:r>
        <w:rPr>
          <w:rFonts w:hint="eastAsia" w:ascii="宋体" w:hAnsi="宋体"/>
          <w:color w:val="auto"/>
          <w:szCs w:val="21"/>
          <w:highlight w:val="none"/>
        </w:rPr>
        <w:t>） 《混凝土结构设计规范》</w:t>
      </w:r>
      <w:r>
        <w:rPr>
          <w:rFonts w:ascii="宋体" w:hAnsi="宋体"/>
          <w:color w:val="auto"/>
          <w:szCs w:val="21"/>
          <w:highlight w:val="none"/>
        </w:rPr>
        <w:t xml:space="preserve">GB50010-2010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37</w:t>
      </w:r>
      <w:r>
        <w:rPr>
          <w:rFonts w:hint="eastAsia" w:ascii="宋体" w:hAnsi="宋体"/>
          <w:color w:val="auto"/>
          <w:szCs w:val="21"/>
          <w:highlight w:val="none"/>
        </w:rPr>
        <w:t>） 《电力设施抗震设计规范》</w:t>
      </w:r>
      <w:r>
        <w:rPr>
          <w:rFonts w:ascii="宋体" w:hAnsi="宋体"/>
          <w:color w:val="auto"/>
          <w:szCs w:val="21"/>
          <w:highlight w:val="none"/>
        </w:rPr>
        <w:t xml:space="preserve">GB50260-2013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38</w:t>
      </w:r>
      <w:r>
        <w:rPr>
          <w:rFonts w:hint="eastAsia" w:ascii="宋体" w:hAnsi="宋体"/>
          <w:color w:val="auto"/>
          <w:szCs w:val="21"/>
          <w:highlight w:val="none"/>
        </w:rPr>
        <w:t>） 《电力系统安全稳定导则》</w:t>
      </w:r>
      <w:r>
        <w:rPr>
          <w:rFonts w:ascii="宋体" w:hAnsi="宋体"/>
          <w:color w:val="auto"/>
          <w:szCs w:val="21"/>
          <w:highlight w:val="none"/>
        </w:rPr>
        <w:t xml:space="preserve">DL755-2001 </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39</w:t>
      </w:r>
      <w:r>
        <w:rPr>
          <w:rFonts w:hint="eastAsia" w:ascii="宋体" w:hAnsi="宋体"/>
          <w:color w:val="auto"/>
          <w:szCs w:val="21"/>
          <w:highlight w:val="none"/>
        </w:rPr>
        <w:t>） 以及其他有关的国家及地方强制性规程、标准</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（40）其他符合国家、建设部及广东省现行有关设计标准的规定；</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left="840"/>
        <w:rPr>
          <w:rFonts w:ascii="宋体" w:hAnsi="宋体"/>
          <w:color w:val="auto"/>
          <w:szCs w:val="21"/>
          <w:highlight w:val="none"/>
        </w:rPr>
      </w:pPr>
      <w:r>
        <w:rPr>
          <w:rFonts w:hint="eastAsia" w:ascii="宋体" w:hAnsi="宋体"/>
          <w:color w:val="auto"/>
          <w:szCs w:val="21"/>
          <w:highlight w:val="none"/>
        </w:rPr>
        <w:t>（42）施工图设计符合建设部建质[2003号]《建筑工程施工图设计审查要点》（实行）以及各种国家现行设计规范的技术要求。</w:t>
      </w:r>
    </w:p>
    <w:p>
      <w:pPr>
        <w:tabs>
          <w:tab w:val="left" w:pos="1080"/>
        </w:tabs>
        <w:spacing w:line="360" w:lineRule="auto"/>
        <w:ind w:left="210" w:leftChars="100"/>
        <w:rPr>
          <w:rFonts w:ascii="宋体" w:hAnsi="宋体"/>
          <w:b/>
          <w:color w:val="auto"/>
          <w:szCs w:val="21"/>
          <w:highlight w:val="none"/>
        </w:rPr>
      </w:pPr>
      <w:r>
        <w:rPr>
          <w:rFonts w:hint="eastAsia" w:ascii="宋体" w:hAnsi="宋体"/>
          <w:b/>
          <w:color w:val="auto"/>
          <w:szCs w:val="21"/>
          <w:highlight w:val="none"/>
        </w:rPr>
        <w:t>备注：若有相关主管部门颁发的新规范则按新规范执行。</w:t>
      </w:r>
    </w:p>
    <w:p>
      <w:pPr>
        <w:rPr>
          <w:color w:val="auto"/>
          <w:sz w:val="24"/>
          <w:highlight w:val="none"/>
        </w:rPr>
      </w:pPr>
    </w:p>
    <w:sectPr>
      <w:footerReference r:id="rId9" w:type="default"/>
      <w:footerReference r:id="rId10"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posOffset>2821940</wp:posOffset>
              </wp:positionH>
              <wp:positionV relativeFrom="paragraph">
                <wp:posOffset>-9525</wp:posOffset>
              </wp:positionV>
              <wp:extent cx="240030" cy="264795"/>
              <wp:effectExtent l="0" t="0" r="0" b="0"/>
              <wp:wrapNone/>
              <wp:docPr id="3" name="文本框 2"/>
              <wp:cNvGraphicFramePr/>
              <a:graphic xmlns:a="http://schemas.openxmlformats.org/drawingml/2006/main">
                <a:graphicData uri="http://schemas.microsoft.com/office/word/2010/wordprocessingShape">
                  <wps:wsp>
                    <wps:cNvSpPr txBox="1"/>
                    <wps:spPr>
                      <a:xfrm>
                        <a:off x="0" y="0"/>
                        <a:ext cx="240030" cy="264795"/>
                      </a:xfrm>
                      <a:prstGeom prst="rect">
                        <a:avLst/>
                      </a:prstGeom>
                      <a:noFill/>
                      <a:ln w="6350">
                        <a:noFill/>
                      </a:ln>
                      <a:effectLst/>
                    </wps:spPr>
                    <wps:txbx>
                      <w:txbxContent>
                        <w:p>
                          <w:pPr>
                            <w:pStyle w:val="18"/>
                          </w:pPr>
                          <w:r>
                            <w:fldChar w:fldCharType="begin"/>
                          </w:r>
                          <w:r>
                            <w:instrText xml:space="preserve"> PAGE  \* MERGEFORMAT </w:instrText>
                          </w:r>
                          <w:r>
                            <w:fldChar w:fldCharType="separate"/>
                          </w:r>
                          <w:r>
                            <w:t>47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J74nXAAAACQEAAA8AAAAAAAAAAQAgAAAAIgAAAGRycy9kb3du&#10;cmV2LnhtbFBLAQIUABQAAAAIAIdO4kByns3sxwEAAIgDAAAOAAAAAAAAAAEAIAAAACYBAABkcnMv&#10;ZTJvRG9jLnhtbFBLBQYAAAAABgAGAFkBAABfBQAAAAA=&#10;">
              <v:fill on="f" focussize="0,0"/>
              <v:stroke on="f" weight="0.5pt"/>
              <v:imagedata o:title=""/>
              <o:lock v:ext="edit" aspectratio="f"/>
              <v:textbox inset="0mm,0mm,0mm,0mm">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37</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37</w:t>
                    </w:r>
                    <w:r>
                      <w:rPr>
                        <w:rStyle w:val="27"/>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40</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KRGgx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ykRoMQIAAGMEAAAOAAAAAAAAAAEAIAAAAB8BAABkcnMvZTJvRG9jLnhtbFBLBQYA&#10;AAAABgAGAFkBAADCBQAAAAA=&#10;">
              <v:fill on="f" focussize="0,0"/>
              <v:stroke on="f" weight="0.5pt"/>
              <v:imagedata o:title=""/>
              <o:lock v:ext="edit" aspectratio="f"/>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40</w:t>
                    </w:r>
                    <w:r>
                      <w:rPr>
                        <w:rStyle w:val="27"/>
                      </w:rP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2WgyAgAAY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UvZaDICAABjBAAADgAAAAAAAAABACAAAAAfAQAAZHJzL2Uyb0RvYy54bWxQSwUG&#10;AAAAAAYABgBZAQAAwwUAAAAA&#10;">
              <v:fill on="f" focussize="0,0"/>
              <v:stroke on="f" weight="0.5pt"/>
              <v:imagedata o:title=""/>
              <o:lock v:ext="edit" aspectratio="f"/>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g4NzIzNTAyMjFkOGEyMjA2YTMwMDE0OGVmZjAifQ=="/>
  </w:docVars>
  <w:rsids>
    <w:rsidRoot w:val="00020C4A"/>
    <w:rsid w:val="0000496D"/>
    <w:rsid w:val="0001148C"/>
    <w:rsid w:val="00020C4A"/>
    <w:rsid w:val="000552D2"/>
    <w:rsid w:val="00055406"/>
    <w:rsid w:val="000557FF"/>
    <w:rsid w:val="0006544E"/>
    <w:rsid w:val="000732ED"/>
    <w:rsid w:val="000762C5"/>
    <w:rsid w:val="000C1D50"/>
    <w:rsid w:val="000E4E89"/>
    <w:rsid w:val="000E5720"/>
    <w:rsid w:val="0010540F"/>
    <w:rsid w:val="00110E7C"/>
    <w:rsid w:val="001117AD"/>
    <w:rsid w:val="0014232A"/>
    <w:rsid w:val="00143989"/>
    <w:rsid w:val="00146546"/>
    <w:rsid w:val="00171A70"/>
    <w:rsid w:val="00184B14"/>
    <w:rsid w:val="001A508E"/>
    <w:rsid w:val="001B0B86"/>
    <w:rsid w:val="001C4A34"/>
    <w:rsid w:val="001C5F6B"/>
    <w:rsid w:val="001E15B3"/>
    <w:rsid w:val="001F435D"/>
    <w:rsid w:val="001F49A5"/>
    <w:rsid w:val="001F7E0E"/>
    <w:rsid w:val="00210DA9"/>
    <w:rsid w:val="002121F2"/>
    <w:rsid w:val="0022157D"/>
    <w:rsid w:val="002316B2"/>
    <w:rsid w:val="0025606A"/>
    <w:rsid w:val="00272018"/>
    <w:rsid w:val="00275562"/>
    <w:rsid w:val="00285ED7"/>
    <w:rsid w:val="00295B83"/>
    <w:rsid w:val="002C3869"/>
    <w:rsid w:val="00304A0F"/>
    <w:rsid w:val="00316E56"/>
    <w:rsid w:val="003235C4"/>
    <w:rsid w:val="00332127"/>
    <w:rsid w:val="00332F01"/>
    <w:rsid w:val="00336E20"/>
    <w:rsid w:val="0033737B"/>
    <w:rsid w:val="00337496"/>
    <w:rsid w:val="0038563F"/>
    <w:rsid w:val="00385820"/>
    <w:rsid w:val="00393288"/>
    <w:rsid w:val="003C00FD"/>
    <w:rsid w:val="003C7A21"/>
    <w:rsid w:val="003D4C9A"/>
    <w:rsid w:val="003E06B0"/>
    <w:rsid w:val="003F13BC"/>
    <w:rsid w:val="00420C87"/>
    <w:rsid w:val="00451F3A"/>
    <w:rsid w:val="00477710"/>
    <w:rsid w:val="004831DF"/>
    <w:rsid w:val="004926B6"/>
    <w:rsid w:val="00494087"/>
    <w:rsid w:val="00494527"/>
    <w:rsid w:val="004963E2"/>
    <w:rsid w:val="004E40EA"/>
    <w:rsid w:val="005026FE"/>
    <w:rsid w:val="00502989"/>
    <w:rsid w:val="00515743"/>
    <w:rsid w:val="00537723"/>
    <w:rsid w:val="00551DAB"/>
    <w:rsid w:val="00571698"/>
    <w:rsid w:val="00572BAE"/>
    <w:rsid w:val="00585A36"/>
    <w:rsid w:val="005A07D9"/>
    <w:rsid w:val="005A0878"/>
    <w:rsid w:val="005A7785"/>
    <w:rsid w:val="005B19E9"/>
    <w:rsid w:val="005B5804"/>
    <w:rsid w:val="005B6A50"/>
    <w:rsid w:val="005E31BC"/>
    <w:rsid w:val="005F0D0C"/>
    <w:rsid w:val="00621C1D"/>
    <w:rsid w:val="00627CCC"/>
    <w:rsid w:val="00632CFC"/>
    <w:rsid w:val="00643307"/>
    <w:rsid w:val="0064364B"/>
    <w:rsid w:val="00662ACC"/>
    <w:rsid w:val="006720A2"/>
    <w:rsid w:val="006840C9"/>
    <w:rsid w:val="006E0063"/>
    <w:rsid w:val="006E786F"/>
    <w:rsid w:val="0071199D"/>
    <w:rsid w:val="0072454C"/>
    <w:rsid w:val="00727B83"/>
    <w:rsid w:val="00777335"/>
    <w:rsid w:val="007B392C"/>
    <w:rsid w:val="007B6C57"/>
    <w:rsid w:val="007E514E"/>
    <w:rsid w:val="00816430"/>
    <w:rsid w:val="0082495B"/>
    <w:rsid w:val="00833203"/>
    <w:rsid w:val="008443BB"/>
    <w:rsid w:val="008456C4"/>
    <w:rsid w:val="008479BB"/>
    <w:rsid w:val="0085242B"/>
    <w:rsid w:val="008536EC"/>
    <w:rsid w:val="008564C7"/>
    <w:rsid w:val="00881640"/>
    <w:rsid w:val="00891A63"/>
    <w:rsid w:val="008A1387"/>
    <w:rsid w:val="008B4757"/>
    <w:rsid w:val="008B5716"/>
    <w:rsid w:val="008F3708"/>
    <w:rsid w:val="00942FFA"/>
    <w:rsid w:val="00947C5F"/>
    <w:rsid w:val="00967DDC"/>
    <w:rsid w:val="00992D1D"/>
    <w:rsid w:val="009A09B8"/>
    <w:rsid w:val="009B4FD1"/>
    <w:rsid w:val="009C5545"/>
    <w:rsid w:val="009D10D4"/>
    <w:rsid w:val="009D16B6"/>
    <w:rsid w:val="009F7F1E"/>
    <w:rsid w:val="00A25D51"/>
    <w:rsid w:val="00A26B70"/>
    <w:rsid w:val="00A721CB"/>
    <w:rsid w:val="00A75033"/>
    <w:rsid w:val="00A86743"/>
    <w:rsid w:val="00A9464B"/>
    <w:rsid w:val="00AA5490"/>
    <w:rsid w:val="00AA7973"/>
    <w:rsid w:val="00AC5804"/>
    <w:rsid w:val="00AD6C0E"/>
    <w:rsid w:val="00AE3BF6"/>
    <w:rsid w:val="00B065B2"/>
    <w:rsid w:val="00B15D63"/>
    <w:rsid w:val="00B760C4"/>
    <w:rsid w:val="00B77A11"/>
    <w:rsid w:val="00B90DF3"/>
    <w:rsid w:val="00BA5009"/>
    <w:rsid w:val="00C076CC"/>
    <w:rsid w:val="00C1029D"/>
    <w:rsid w:val="00C21375"/>
    <w:rsid w:val="00C57763"/>
    <w:rsid w:val="00C703F9"/>
    <w:rsid w:val="00C8347A"/>
    <w:rsid w:val="00CB656B"/>
    <w:rsid w:val="00CD04A1"/>
    <w:rsid w:val="00D02A28"/>
    <w:rsid w:val="00D10A1C"/>
    <w:rsid w:val="00D16C48"/>
    <w:rsid w:val="00D242B3"/>
    <w:rsid w:val="00D325CF"/>
    <w:rsid w:val="00D75018"/>
    <w:rsid w:val="00D94271"/>
    <w:rsid w:val="00D96E0A"/>
    <w:rsid w:val="00D97829"/>
    <w:rsid w:val="00DA60BA"/>
    <w:rsid w:val="00DA6FFA"/>
    <w:rsid w:val="00DB0935"/>
    <w:rsid w:val="00DC7191"/>
    <w:rsid w:val="00DD216D"/>
    <w:rsid w:val="00DD7177"/>
    <w:rsid w:val="00DF11FA"/>
    <w:rsid w:val="00E032D1"/>
    <w:rsid w:val="00E137DB"/>
    <w:rsid w:val="00E16902"/>
    <w:rsid w:val="00E20F0B"/>
    <w:rsid w:val="00E31B89"/>
    <w:rsid w:val="00E71A1B"/>
    <w:rsid w:val="00E72C45"/>
    <w:rsid w:val="00E80AD1"/>
    <w:rsid w:val="00EB395C"/>
    <w:rsid w:val="00EC1B60"/>
    <w:rsid w:val="00EC6B13"/>
    <w:rsid w:val="00EE4559"/>
    <w:rsid w:val="00EE7E6A"/>
    <w:rsid w:val="00EF3425"/>
    <w:rsid w:val="00F1089A"/>
    <w:rsid w:val="00F270FE"/>
    <w:rsid w:val="00F45FF6"/>
    <w:rsid w:val="00F5419E"/>
    <w:rsid w:val="00F67CCA"/>
    <w:rsid w:val="00F72120"/>
    <w:rsid w:val="00F85F8B"/>
    <w:rsid w:val="00F95697"/>
    <w:rsid w:val="00FB5BAD"/>
    <w:rsid w:val="00FC28A0"/>
    <w:rsid w:val="00FF49CF"/>
    <w:rsid w:val="01C5428D"/>
    <w:rsid w:val="02BF3D58"/>
    <w:rsid w:val="04167226"/>
    <w:rsid w:val="04757A59"/>
    <w:rsid w:val="04F16AE3"/>
    <w:rsid w:val="055661F0"/>
    <w:rsid w:val="055C7445"/>
    <w:rsid w:val="05666251"/>
    <w:rsid w:val="06554DE5"/>
    <w:rsid w:val="069A384B"/>
    <w:rsid w:val="06E15DF7"/>
    <w:rsid w:val="06F614BF"/>
    <w:rsid w:val="078A5361"/>
    <w:rsid w:val="087D263E"/>
    <w:rsid w:val="0981405F"/>
    <w:rsid w:val="098232DA"/>
    <w:rsid w:val="09BA7E24"/>
    <w:rsid w:val="0BC11EE1"/>
    <w:rsid w:val="0CC6580B"/>
    <w:rsid w:val="0D822807"/>
    <w:rsid w:val="0D912587"/>
    <w:rsid w:val="0DAD3E22"/>
    <w:rsid w:val="116C307D"/>
    <w:rsid w:val="128E014E"/>
    <w:rsid w:val="132565C9"/>
    <w:rsid w:val="146821C0"/>
    <w:rsid w:val="14A5507A"/>
    <w:rsid w:val="15382F2D"/>
    <w:rsid w:val="157D5C76"/>
    <w:rsid w:val="15F87753"/>
    <w:rsid w:val="162641DF"/>
    <w:rsid w:val="164809E5"/>
    <w:rsid w:val="164C64AC"/>
    <w:rsid w:val="17141A70"/>
    <w:rsid w:val="181C70C0"/>
    <w:rsid w:val="18BF3681"/>
    <w:rsid w:val="18C55045"/>
    <w:rsid w:val="196F11D7"/>
    <w:rsid w:val="1B02359E"/>
    <w:rsid w:val="1BE85270"/>
    <w:rsid w:val="1C7B124F"/>
    <w:rsid w:val="1CA7488E"/>
    <w:rsid w:val="1CB76084"/>
    <w:rsid w:val="1D7C5331"/>
    <w:rsid w:val="1E6741BB"/>
    <w:rsid w:val="1EDA1B4B"/>
    <w:rsid w:val="1F341C78"/>
    <w:rsid w:val="20001606"/>
    <w:rsid w:val="20715A75"/>
    <w:rsid w:val="20A24C20"/>
    <w:rsid w:val="210B2262"/>
    <w:rsid w:val="210D1C98"/>
    <w:rsid w:val="212916F7"/>
    <w:rsid w:val="21442B42"/>
    <w:rsid w:val="21EE07BA"/>
    <w:rsid w:val="222C26C2"/>
    <w:rsid w:val="22E5665F"/>
    <w:rsid w:val="22F109D7"/>
    <w:rsid w:val="23240398"/>
    <w:rsid w:val="23407DB1"/>
    <w:rsid w:val="23A64E72"/>
    <w:rsid w:val="24116544"/>
    <w:rsid w:val="243423E6"/>
    <w:rsid w:val="248A412D"/>
    <w:rsid w:val="25360C0D"/>
    <w:rsid w:val="25825046"/>
    <w:rsid w:val="25B05FB0"/>
    <w:rsid w:val="26E01966"/>
    <w:rsid w:val="26EE318D"/>
    <w:rsid w:val="27B60C21"/>
    <w:rsid w:val="29870ACC"/>
    <w:rsid w:val="299E4ED6"/>
    <w:rsid w:val="2A1B14A7"/>
    <w:rsid w:val="2A2506D2"/>
    <w:rsid w:val="2A4C1117"/>
    <w:rsid w:val="2AAD6003"/>
    <w:rsid w:val="2AF10207"/>
    <w:rsid w:val="2B8D5A73"/>
    <w:rsid w:val="2D60110A"/>
    <w:rsid w:val="2D9F121C"/>
    <w:rsid w:val="2DE2142E"/>
    <w:rsid w:val="2E016A0F"/>
    <w:rsid w:val="2E504F26"/>
    <w:rsid w:val="2E7E2B3D"/>
    <w:rsid w:val="2F1A71FF"/>
    <w:rsid w:val="300F1584"/>
    <w:rsid w:val="30B434EC"/>
    <w:rsid w:val="323B1304"/>
    <w:rsid w:val="326C0F6C"/>
    <w:rsid w:val="33C277DB"/>
    <w:rsid w:val="33DA5DAF"/>
    <w:rsid w:val="33F70AA8"/>
    <w:rsid w:val="353F3C66"/>
    <w:rsid w:val="368D1C4D"/>
    <w:rsid w:val="370809F0"/>
    <w:rsid w:val="391657C3"/>
    <w:rsid w:val="395954C0"/>
    <w:rsid w:val="39F635F6"/>
    <w:rsid w:val="3A6D044D"/>
    <w:rsid w:val="3A900F49"/>
    <w:rsid w:val="3AAF1FC5"/>
    <w:rsid w:val="3AD7016A"/>
    <w:rsid w:val="3B05727D"/>
    <w:rsid w:val="3B601740"/>
    <w:rsid w:val="3B9A7024"/>
    <w:rsid w:val="3C1B6D0D"/>
    <w:rsid w:val="3C5747B6"/>
    <w:rsid w:val="3C91263C"/>
    <w:rsid w:val="3D3F4B62"/>
    <w:rsid w:val="3D750B7E"/>
    <w:rsid w:val="3D8F7403"/>
    <w:rsid w:val="3DCB308E"/>
    <w:rsid w:val="3E41473A"/>
    <w:rsid w:val="3F3E681D"/>
    <w:rsid w:val="3F402F1A"/>
    <w:rsid w:val="3F710742"/>
    <w:rsid w:val="3F9C5367"/>
    <w:rsid w:val="3FDE48BE"/>
    <w:rsid w:val="417A44B7"/>
    <w:rsid w:val="42104450"/>
    <w:rsid w:val="429351C2"/>
    <w:rsid w:val="432E6BB3"/>
    <w:rsid w:val="44376875"/>
    <w:rsid w:val="45644AEA"/>
    <w:rsid w:val="45827B97"/>
    <w:rsid w:val="46A01AF1"/>
    <w:rsid w:val="46AE787C"/>
    <w:rsid w:val="4A45358B"/>
    <w:rsid w:val="4B174746"/>
    <w:rsid w:val="4B5272B0"/>
    <w:rsid w:val="4B7C53CB"/>
    <w:rsid w:val="4BF9132F"/>
    <w:rsid w:val="4C274DCA"/>
    <w:rsid w:val="4D7F140F"/>
    <w:rsid w:val="4E3E7BC0"/>
    <w:rsid w:val="4EB268B6"/>
    <w:rsid w:val="4FCE41A2"/>
    <w:rsid w:val="510179A2"/>
    <w:rsid w:val="512579AE"/>
    <w:rsid w:val="51B64914"/>
    <w:rsid w:val="51F5455F"/>
    <w:rsid w:val="520E4D2A"/>
    <w:rsid w:val="52927709"/>
    <w:rsid w:val="53226CDE"/>
    <w:rsid w:val="535915FA"/>
    <w:rsid w:val="53F14283"/>
    <w:rsid w:val="5483555B"/>
    <w:rsid w:val="54B73F4D"/>
    <w:rsid w:val="5568630F"/>
    <w:rsid w:val="574E75BE"/>
    <w:rsid w:val="575D23A0"/>
    <w:rsid w:val="58766827"/>
    <w:rsid w:val="58984900"/>
    <w:rsid w:val="58F74365"/>
    <w:rsid w:val="59BB1A82"/>
    <w:rsid w:val="5AAD1584"/>
    <w:rsid w:val="5C4D41B6"/>
    <w:rsid w:val="5D215199"/>
    <w:rsid w:val="5DA36519"/>
    <w:rsid w:val="5E3E5D43"/>
    <w:rsid w:val="5E3F58C9"/>
    <w:rsid w:val="5E8F4270"/>
    <w:rsid w:val="5F406DC4"/>
    <w:rsid w:val="60103816"/>
    <w:rsid w:val="61655B8D"/>
    <w:rsid w:val="62834F12"/>
    <w:rsid w:val="63305264"/>
    <w:rsid w:val="63395513"/>
    <w:rsid w:val="63E50F2E"/>
    <w:rsid w:val="641B1A28"/>
    <w:rsid w:val="643847A7"/>
    <w:rsid w:val="646850D1"/>
    <w:rsid w:val="656B1AFE"/>
    <w:rsid w:val="65B9075D"/>
    <w:rsid w:val="65CD18E1"/>
    <w:rsid w:val="65F04B2B"/>
    <w:rsid w:val="67AC4D96"/>
    <w:rsid w:val="6A3E2DD0"/>
    <w:rsid w:val="6C49746F"/>
    <w:rsid w:val="6CAB169B"/>
    <w:rsid w:val="6CEE5341"/>
    <w:rsid w:val="6E60137A"/>
    <w:rsid w:val="6F951527"/>
    <w:rsid w:val="702502A7"/>
    <w:rsid w:val="70405E25"/>
    <w:rsid w:val="705067E1"/>
    <w:rsid w:val="706B361B"/>
    <w:rsid w:val="707B34B7"/>
    <w:rsid w:val="70FC1342"/>
    <w:rsid w:val="71B65C45"/>
    <w:rsid w:val="7272487F"/>
    <w:rsid w:val="729A5AB1"/>
    <w:rsid w:val="73B953C9"/>
    <w:rsid w:val="74047C0A"/>
    <w:rsid w:val="741527AA"/>
    <w:rsid w:val="74960A38"/>
    <w:rsid w:val="74C40D97"/>
    <w:rsid w:val="75417E42"/>
    <w:rsid w:val="754B1461"/>
    <w:rsid w:val="7673393E"/>
    <w:rsid w:val="76841A28"/>
    <w:rsid w:val="771534DA"/>
    <w:rsid w:val="778E659F"/>
    <w:rsid w:val="78420591"/>
    <w:rsid w:val="78B665A5"/>
    <w:rsid w:val="78BA6032"/>
    <w:rsid w:val="794A7BF0"/>
    <w:rsid w:val="7A5F10F5"/>
    <w:rsid w:val="7ABC432D"/>
    <w:rsid w:val="7B665E87"/>
    <w:rsid w:val="7B8A2158"/>
    <w:rsid w:val="7BC136AD"/>
    <w:rsid w:val="7C2526C0"/>
    <w:rsid w:val="7CA11787"/>
    <w:rsid w:val="7CB65982"/>
    <w:rsid w:val="7CFC339A"/>
    <w:rsid w:val="7E7219C6"/>
    <w:rsid w:val="7E745105"/>
    <w:rsid w:val="7FBE2972"/>
    <w:rsid w:val="7FF87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31"/>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32"/>
    <w:qFormat/>
    <w:uiPriority w:val="0"/>
    <w:pPr>
      <w:keepNext/>
      <w:keepLines/>
      <w:spacing w:before="260" w:after="260" w:line="416" w:lineRule="auto"/>
      <w:outlineLvl w:val="2"/>
    </w:pPr>
    <w:rPr>
      <w:b/>
      <w:bCs/>
      <w:kern w:val="0"/>
      <w:sz w:val="32"/>
      <w:szCs w:val="32"/>
    </w:rPr>
  </w:style>
  <w:style w:type="paragraph" w:styleId="6">
    <w:name w:val="heading 4"/>
    <w:basedOn w:val="5"/>
    <w:next w:val="4"/>
    <w:link w:val="33"/>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4"/>
    <w:link w:val="34"/>
    <w:qFormat/>
    <w:uiPriority w:val="0"/>
    <w:pPr>
      <w:numPr>
        <w:ilvl w:val="4"/>
      </w:numPr>
      <w:spacing w:line="240" w:lineRule="exact"/>
      <w:outlineLvl w:val="4"/>
    </w:pPr>
  </w:style>
  <w:style w:type="paragraph" w:styleId="8">
    <w:name w:val="heading 7"/>
    <w:basedOn w:val="1"/>
    <w:next w:val="4"/>
    <w:link w:val="35"/>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4"/>
    <w:link w:val="3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4"/>
    <w:link w:val="3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Normal Indent"/>
    <w:basedOn w:val="1"/>
    <w:qFormat/>
    <w:uiPriority w:val="0"/>
    <w:pPr>
      <w:ind w:firstLine="420" w:firstLineChars="200"/>
    </w:pPr>
  </w:style>
  <w:style w:type="paragraph" w:styleId="11">
    <w:name w:val="Document Map"/>
    <w:basedOn w:val="1"/>
    <w:link w:val="49"/>
    <w:semiHidden/>
    <w:qFormat/>
    <w:uiPriority w:val="0"/>
    <w:pPr>
      <w:shd w:val="clear" w:color="auto" w:fill="000080"/>
    </w:pPr>
    <w:rPr>
      <w:kern w:val="0"/>
      <w:sz w:val="20"/>
    </w:rPr>
  </w:style>
  <w:style w:type="paragraph" w:styleId="12">
    <w:name w:val="annotation text"/>
    <w:basedOn w:val="1"/>
    <w:link w:val="43"/>
    <w:semiHidden/>
    <w:qFormat/>
    <w:uiPriority w:val="0"/>
    <w:pPr>
      <w:jc w:val="left"/>
    </w:pPr>
    <w:rPr>
      <w:kern w:val="0"/>
      <w:sz w:val="20"/>
    </w:rPr>
  </w:style>
  <w:style w:type="paragraph" w:styleId="13">
    <w:name w:val="Body Text"/>
    <w:basedOn w:val="1"/>
    <w:link w:val="41"/>
    <w:qFormat/>
    <w:uiPriority w:val="0"/>
    <w:pPr>
      <w:pBdr>
        <w:top w:val="single" w:color="auto" w:sz="4" w:space="1"/>
      </w:pBdr>
    </w:pPr>
    <w:rPr>
      <w:b/>
      <w:bCs/>
      <w:kern w:val="0"/>
      <w:sz w:val="20"/>
    </w:rPr>
  </w:style>
  <w:style w:type="paragraph" w:styleId="14">
    <w:name w:val="Body Text Indent"/>
    <w:basedOn w:val="1"/>
    <w:link w:val="42"/>
    <w:qFormat/>
    <w:uiPriority w:val="0"/>
    <w:pPr>
      <w:ind w:firstLine="600" w:firstLineChars="200"/>
    </w:pPr>
    <w:rPr>
      <w:rFonts w:ascii="宋体"/>
      <w:kern w:val="0"/>
      <w:sz w:val="30"/>
      <w:szCs w:val="20"/>
    </w:rPr>
  </w:style>
  <w:style w:type="paragraph" w:styleId="15">
    <w:name w:val="Plain Text"/>
    <w:basedOn w:val="1"/>
    <w:link w:val="38"/>
    <w:qFormat/>
    <w:uiPriority w:val="0"/>
    <w:rPr>
      <w:rFonts w:ascii="宋体" w:hAnsi="Courier New"/>
      <w:kern w:val="0"/>
      <w:sz w:val="20"/>
      <w:szCs w:val="20"/>
    </w:rPr>
  </w:style>
  <w:style w:type="paragraph" w:styleId="16">
    <w:name w:val="Date"/>
    <w:basedOn w:val="1"/>
    <w:next w:val="1"/>
    <w:link w:val="44"/>
    <w:qFormat/>
    <w:uiPriority w:val="0"/>
    <w:pPr>
      <w:ind w:left="100" w:leftChars="2500"/>
    </w:pPr>
    <w:rPr>
      <w:kern w:val="0"/>
      <w:sz w:val="20"/>
    </w:rPr>
  </w:style>
  <w:style w:type="paragraph" w:styleId="17">
    <w:name w:val="Balloon Text"/>
    <w:basedOn w:val="1"/>
    <w:link w:val="45"/>
    <w:semiHidden/>
    <w:qFormat/>
    <w:uiPriority w:val="0"/>
    <w:rPr>
      <w:kern w:val="0"/>
      <w:sz w:val="18"/>
      <w:szCs w:val="18"/>
    </w:rPr>
  </w:style>
  <w:style w:type="paragraph" w:styleId="18">
    <w:name w:val="footer"/>
    <w:basedOn w:val="1"/>
    <w:link w:val="39"/>
    <w:qFormat/>
    <w:uiPriority w:val="0"/>
    <w:pPr>
      <w:tabs>
        <w:tab w:val="center" w:pos="4153"/>
        <w:tab w:val="right" w:pos="8306"/>
      </w:tabs>
      <w:snapToGrid w:val="0"/>
      <w:jc w:val="left"/>
    </w:pPr>
    <w:rPr>
      <w:kern w:val="0"/>
      <w:sz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kern w:val="0"/>
      <w:sz w:val="18"/>
    </w:rPr>
  </w:style>
  <w:style w:type="paragraph" w:styleId="20">
    <w:name w:val="Title"/>
    <w:basedOn w:val="1"/>
    <w:link w:val="48"/>
    <w:qFormat/>
    <w:uiPriority w:val="0"/>
    <w:pPr>
      <w:spacing w:before="240" w:after="60"/>
      <w:jc w:val="center"/>
      <w:outlineLvl w:val="0"/>
    </w:pPr>
    <w:rPr>
      <w:rFonts w:ascii="Arial" w:hAnsi="Arial"/>
      <w:b/>
      <w:bCs/>
      <w:kern w:val="0"/>
      <w:sz w:val="32"/>
      <w:szCs w:val="32"/>
    </w:rPr>
  </w:style>
  <w:style w:type="paragraph" w:styleId="21">
    <w:name w:val="annotation subject"/>
    <w:basedOn w:val="12"/>
    <w:next w:val="12"/>
    <w:link w:val="47"/>
    <w:semiHidden/>
    <w:qFormat/>
    <w:uiPriority w:val="0"/>
    <w:rPr>
      <w:b/>
      <w:bCs/>
    </w:rPr>
  </w:style>
  <w:style w:type="paragraph" w:styleId="22">
    <w:name w:val="Body Text First Indent"/>
    <w:basedOn w:val="13"/>
    <w:qFormat/>
    <w:uiPriority w:val="99"/>
    <w:pPr>
      <w:ind w:firstLine="420" w:firstLineChars="100"/>
    </w:pPr>
  </w:style>
  <w:style w:type="paragraph" w:styleId="23">
    <w:name w:val="Body Text First Indent 2"/>
    <w:basedOn w:val="14"/>
    <w:semiHidden/>
    <w:unhideWhenUsed/>
    <w:qFormat/>
    <w:uiPriority w:val="99"/>
    <w:pPr>
      <w:spacing w:after="120"/>
      <w:ind w:left="420" w:leftChars="200" w:firstLine="420"/>
    </w:pPr>
    <w:rPr>
      <w:rFonts w:ascii="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unhideWhenUsed/>
    <w:qFormat/>
    <w:uiPriority w:val="0"/>
    <w:rPr>
      <w:sz w:val="21"/>
      <w:szCs w:val="21"/>
    </w:rPr>
  </w:style>
  <w:style w:type="paragraph" w:customStyle="1" w:styleId="3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1">
    <w:name w:val="标题 2 Char"/>
    <w:link w:val="3"/>
    <w:qFormat/>
    <w:uiPriority w:val="0"/>
    <w:rPr>
      <w:rFonts w:ascii="Arial" w:hAnsi="Arial" w:eastAsia="宋体" w:cs="Times New Roman"/>
      <w:b/>
      <w:color w:val="000000"/>
      <w:sz w:val="24"/>
      <w:szCs w:val="24"/>
    </w:rPr>
  </w:style>
  <w:style w:type="character" w:customStyle="1" w:styleId="32">
    <w:name w:val="标题 3 Char"/>
    <w:link w:val="5"/>
    <w:qFormat/>
    <w:uiPriority w:val="0"/>
    <w:rPr>
      <w:rFonts w:ascii="Times New Roman" w:hAnsi="Times New Roman" w:eastAsia="宋体" w:cs="Times New Roman"/>
      <w:b/>
      <w:bCs/>
      <w:sz w:val="32"/>
      <w:szCs w:val="32"/>
    </w:rPr>
  </w:style>
  <w:style w:type="character" w:customStyle="1" w:styleId="33">
    <w:name w:val="标题 4 Char"/>
    <w:link w:val="6"/>
    <w:qFormat/>
    <w:uiPriority w:val="0"/>
    <w:rPr>
      <w:rFonts w:ascii="Arial" w:hAnsi="Arial" w:eastAsia="宋体" w:cs="Times New Roman"/>
      <w:color w:val="000000"/>
      <w:sz w:val="24"/>
      <w:szCs w:val="24"/>
    </w:rPr>
  </w:style>
  <w:style w:type="character" w:customStyle="1" w:styleId="34">
    <w:name w:val="标题 5 Char"/>
    <w:link w:val="7"/>
    <w:qFormat/>
    <w:uiPriority w:val="0"/>
    <w:rPr>
      <w:rFonts w:ascii="Arial" w:hAnsi="Arial" w:eastAsia="宋体" w:cs="Times New Roman"/>
      <w:color w:val="000000"/>
      <w:sz w:val="24"/>
      <w:szCs w:val="24"/>
    </w:rPr>
  </w:style>
  <w:style w:type="character" w:customStyle="1" w:styleId="35">
    <w:name w:val="标题 7 Char"/>
    <w:link w:val="8"/>
    <w:qFormat/>
    <w:uiPriority w:val="0"/>
    <w:rPr>
      <w:rFonts w:ascii="Times New Roman" w:hAnsi="Times New Roman" w:eastAsia="宋体" w:cs="Times New Roman"/>
      <w:b/>
      <w:sz w:val="24"/>
      <w:szCs w:val="20"/>
    </w:rPr>
  </w:style>
  <w:style w:type="character" w:customStyle="1" w:styleId="36">
    <w:name w:val="标题 8 Char"/>
    <w:link w:val="9"/>
    <w:qFormat/>
    <w:uiPriority w:val="0"/>
    <w:rPr>
      <w:rFonts w:ascii="Arial" w:hAnsi="Arial" w:eastAsia="黑体" w:cs="Times New Roman"/>
      <w:sz w:val="24"/>
      <w:szCs w:val="20"/>
    </w:rPr>
  </w:style>
  <w:style w:type="character" w:customStyle="1" w:styleId="37">
    <w:name w:val="标题 9 Char"/>
    <w:link w:val="10"/>
    <w:qFormat/>
    <w:uiPriority w:val="0"/>
    <w:rPr>
      <w:rFonts w:ascii="Arial" w:hAnsi="Arial" w:eastAsia="黑体" w:cs="Times New Roman"/>
      <w:szCs w:val="20"/>
    </w:rPr>
  </w:style>
  <w:style w:type="character" w:customStyle="1" w:styleId="38">
    <w:name w:val="纯文本 Char"/>
    <w:link w:val="15"/>
    <w:qFormat/>
    <w:uiPriority w:val="0"/>
    <w:rPr>
      <w:rFonts w:ascii="宋体" w:hAnsi="Courier New" w:eastAsia="宋体" w:cs="Times New Roman"/>
      <w:szCs w:val="20"/>
    </w:rPr>
  </w:style>
  <w:style w:type="character" w:customStyle="1" w:styleId="39">
    <w:name w:val="页脚 Char"/>
    <w:link w:val="18"/>
    <w:qFormat/>
    <w:uiPriority w:val="0"/>
    <w:rPr>
      <w:rFonts w:ascii="Times New Roman" w:hAnsi="Times New Roman" w:eastAsia="宋体" w:cs="Times New Roman"/>
      <w:sz w:val="18"/>
      <w:szCs w:val="24"/>
    </w:rPr>
  </w:style>
  <w:style w:type="character" w:customStyle="1" w:styleId="40">
    <w:name w:val="页眉 Char"/>
    <w:link w:val="19"/>
    <w:qFormat/>
    <w:uiPriority w:val="0"/>
    <w:rPr>
      <w:rFonts w:ascii="Times New Roman" w:hAnsi="Times New Roman" w:eastAsia="宋体" w:cs="Times New Roman"/>
      <w:sz w:val="18"/>
      <w:szCs w:val="24"/>
    </w:rPr>
  </w:style>
  <w:style w:type="character" w:customStyle="1" w:styleId="41">
    <w:name w:val="正文文本 Char"/>
    <w:link w:val="13"/>
    <w:qFormat/>
    <w:uiPriority w:val="0"/>
    <w:rPr>
      <w:rFonts w:ascii="Times New Roman" w:hAnsi="Times New Roman" w:eastAsia="宋体" w:cs="Times New Roman"/>
      <w:b/>
      <w:bCs/>
      <w:szCs w:val="24"/>
    </w:rPr>
  </w:style>
  <w:style w:type="character" w:customStyle="1" w:styleId="42">
    <w:name w:val="正文文本缩进 Char"/>
    <w:link w:val="14"/>
    <w:qFormat/>
    <w:uiPriority w:val="0"/>
    <w:rPr>
      <w:rFonts w:ascii="宋体" w:hAnsi="Times New Roman" w:eastAsia="宋体" w:cs="Times New Roman"/>
      <w:sz w:val="30"/>
      <w:szCs w:val="20"/>
    </w:rPr>
  </w:style>
  <w:style w:type="character" w:customStyle="1" w:styleId="43">
    <w:name w:val="批注文字 Char"/>
    <w:link w:val="12"/>
    <w:semiHidden/>
    <w:qFormat/>
    <w:uiPriority w:val="0"/>
    <w:rPr>
      <w:rFonts w:ascii="Times New Roman" w:hAnsi="Times New Roman" w:eastAsia="宋体" w:cs="Times New Roman"/>
      <w:szCs w:val="24"/>
    </w:rPr>
  </w:style>
  <w:style w:type="character" w:customStyle="1" w:styleId="44">
    <w:name w:val="日期 Char"/>
    <w:link w:val="16"/>
    <w:qFormat/>
    <w:uiPriority w:val="0"/>
    <w:rPr>
      <w:rFonts w:ascii="Times New Roman" w:hAnsi="Times New Roman" w:eastAsia="宋体" w:cs="Times New Roman"/>
      <w:szCs w:val="24"/>
    </w:rPr>
  </w:style>
  <w:style w:type="character" w:customStyle="1" w:styleId="45">
    <w:name w:val="批注框文本 Char"/>
    <w:link w:val="17"/>
    <w:semiHidden/>
    <w:qFormat/>
    <w:uiPriority w:val="0"/>
    <w:rPr>
      <w:rFonts w:ascii="Times New Roman" w:hAnsi="Times New Roman" w:eastAsia="宋体" w:cs="Times New Roman"/>
      <w:sz w:val="18"/>
      <w:szCs w:val="18"/>
    </w:rPr>
  </w:style>
  <w:style w:type="paragraph" w:customStyle="1" w:styleId="46">
    <w:name w:val="样式 标题 3 + 首行缩进:  1.06 厘米"/>
    <w:basedOn w:val="5"/>
    <w:qFormat/>
    <w:uiPriority w:val="0"/>
    <w:pPr>
      <w:spacing w:before="120" w:after="0" w:line="240" w:lineRule="auto"/>
      <w:jc w:val="center"/>
    </w:pPr>
    <w:rPr>
      <w:rFonts w:ascii="宋体" w:hAnsi="宋体" w:cs="宋体"/>
      <w:bCs w:val="0"/>
      <w:color w:val="000000"/>
    </w:rPr>
  </w:style>
  <w:style w:type="character" w:customStyle="1" w:styleId="47">
    <w:name w:val="批注主题 Char"/>
    <w:link w:val="21"/>
    <w:semiHidden/>
    <w:qFormat/>
    <w:uiPriority w:val="0"/>
    <w:rPr>
      <w:rFonts w:ascii="Times New Roman" w:hAnsi="Times New Roman" w:eastAsia="宋体" w:cs="Times New Roman"/>
      <w:b/>
      <w:bCs/>
      <w:szCs w:val="24"/>
    </w:rPr>
  </w:style>
  <w:style w:type="character" w:customStyle="1" w:styleId="48">
    <w:name w:val="标题 Char"/>
    <w:link w:val="20"/>
    <w:qFormat/>
    <w:uiPriority w:val="0"/>
    <w:rPr>
      <w:rFonts w:ascii="Arial" w:hAnsi="Arial" w:eastAsia="宋体" w:cs="Arial"/>
      <w:b/>
      <w:bCs/>
      <w:sz w:val="32"/>
      <w:szCs w:val="32"/>
    </w:rPr>
  </w:style>
  <w:style w:type="character" w:customStyle="1" w:styleId="49">
    <w:name w:val="文档结构图 Char"/>
    <w:link w:val="11"/>
    <w:semiHidden/>
    <w:qFormat/>
    <w:uiPriority w:val="0"/>
    <w:rPr>
      <w:rFonts w:ascii="Times New Roman" w:hAnsi="Times New Roman" w:eastAsia="宋体" w:cs="Times New Roman"/>
      <w:szCs w:val="24"/>
      <w:shd w:val="clear" w:color="auto" w:fill="000080"/>
    </w:rPr>
  </w:style>
  <w:style w:type="paragraph" w:customStyle="1" w:styleId="50">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1">
    <w:name w:val="font21"/>
    <w:basedOn w:val="26"/>
    <w:qFormat/>
    <w:uiPriority w:val="0"/>
    <w:rPr>
      <w:rFonts w:hint="eastAsia" w:ascii="宋体" w:hAnsi="宋体" w:eastAsia="宋体" w:cs="宋体"/>
      <w:color w:val="0066CC"/>
      <w:sz w:val="20"/>
      <w:szCs w:val="20"/>
      <w:u w:val="none"/>
    </w:rPr>
  </w:style>
  <w:style w:type="paragraph" w:customStyle="1" w:styleId="52">
    <w:name w:val="文二"/>
    <w:basedOn w:val="1"/>
    <w:qFormat/>
    <w:uiPriority w:val="0"/>
    <w:rPr>
      <w:rFonts w:ascii="宋体" w:hAnsi="宋体"/>
      <w:szCs w:val="21"/>
    </w:rPr>
  </w:style>
  <w:style w:type="paragraph" w:customStyle="1" w:styleId="5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4">
    <w:name w:val="Plain Text1"/>
    <w:basedOn w:val="1"/>
    <w:qFormat/>
    <w:uiPriority w:val="99"/>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55C5D-58F7-4560-9A10-AFB48FEE01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28186</Words>
  <Characters>30464</Characters>
  <Lines>189</Lines>
  <Paragraphs>53</Paragraphs>
  <TotalTime>10</TotalTime>
  <ScaleCrop>false</ScaleCrop>
  <LinksUpToDate>false</LinksUpToDate>
  <CharactersWithSpaces>32348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2020-11-27T04:38:00Z</dcterms:created>
  <dc:creator>微软用户</dc:creator>
  <cp:lastModifiedBy>迪迪</cp:lastModifiedBy>
  <cp:lastPrinted>2020-08-26T02:49:00Z</cp:lastPrinted>
  <dcterms:modified xsi:type="dcterms:W3CDTF">2023-03-14T02:20:20Z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0429B5568111463D84D4EC3D99BF64A3</vt:lpwstr>
  </property>
</Properties>
</file>