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96FF9">
      <w:pPr>
        <w:pStyle w:val="8"/>
        <w:spacing w:line="440" w:lineRule="exact"/>
        <w:rPr>
          <w:rFonts w:hint="eastAsia" w:asciiTheme="minorEastAsia" w:hAnsiTheme="minorEastAsia" w:eastAsiaTheme="minorEastAsia"/>
          <w:b/>
          <w:bCs/>
          <w:color w:val="auto"/>
          <w:sz w:val="28"/>
          <w:szCs w:val="28"/>
          <w:highlight w:val="none"/>
          <w:u w:val="single"/>
        </w:rPr>
      </w:pPr>
      <w:r>
        <w:rPr>
          <w:rFonts w:hint="eastAsia" w:asciiTheme="minorEastAsia" w:hAnsiTheme="minorEastAsia" w:eastAsiaTheme="minorEastAsia"/>
          <w:b/>
          <w:bCs/>
          <w:color w:val="auto"/>
          <w:sz w:val="36"/>
          <w:szCs w:val="36"/>
          <w:highlight w:val="none"/>
          <w:u w:val="single"/>
          <w:lang w:eastAsia="zh-CN"/>
        </w:rPr>
        <w:t>中央储备粮江门直属库粮库升级改造项目-仓房外墙改造（第二次）</w:t>
      </w:r>
      <w:r>
        <w:rPr>
          <w:rFonts w:hint="eastAsia" w:asciiTheme="minorEastAsia" w:hAnsiTheme="minorEastAsia" w:eastAsiaTheme="minorEastAsia"/>
          <w:b/>
          <w:bCs/>
          <w:color w:val="auto"/>
          <w:sz w:val="36"/>
          <w:szCs w:val="36"/>
          <w:highlight w:val="none"/>
        </w:rPr>
        <w:t>招标公告</w:t>
      </w:r>
    </w:p>
    <w:p w14:paraId="6901F917">
      <w:pPr>
        <w:pStyle w:val="3"/>
        <w:rPr>
          <w:rFonts w:ascii="Times New Roman" w:hAnsi="Times New Roman" w:eastAsia="宋体"/>
          <w:color w:val="auto"/>
          <w:sz w:val="30"/>
          <w:szCs w:val="30"/>
          <w:highlight w:val="none"/>
        </w:rPr>
      </w:pPr>
      <w:bookmarkStart w:id="0" w:name="_Toc113285965"/>
      <w:bookmarkStart w:id="1" w:name="_Toc179632528"/>
      <w:bookmarkStart w:id="2" w:name="_Toc187678970"/>
      <w:bookmarkStart w:id="3" w:name="_Toc152042288"/>
      <w:bookmarkStart w:id="4" w:name="_Toc152045512"/>
      <w:bookmarkStart w:id="5" w:name="_Toc246996901"/>
      <w:bookmarkStart w:id="6" w:name="_Toc144974480"/>
      <w:bookmarkStart w:id="7" w:name="_Toc247085672"/>
      <w:bookmarkStart w:id="8" w:name="_Toc246996158"/>
      <w:r>
        <w:rPr>
          <w:rFonts w:ascii="Times New Roman" w:hAnsi="Times New Roman" w:eastAsia="宋体"/>
          <w:color w:val="auto"/>
          <w:sz w:val="30"/>
          <w:szCs w:val="30"/>
          <w:highlight w:val="none"/>
        </w:rPr>
        <w:t>1. 招标条件</w:t>
      </w:r>
      <w:bookmarkEnd w:id="0"/>
      <w:bookmarkEnd w:id="1"/>
      <w:bookmarkEnd w:id="2"/>
      <w:bookmarkEnd w:id="3"/>
      <w:bookmarkEnd w:id="4"/>
      <w:bookmarkEnd w:id="5"/>
      <w:bookmarkEnd w:id="6"/>
      <w:bookmarkEnd w:id="7"/>
      <w:bookmarkEnd w:id="8"/>
    </w:p>
    <w:p w14:paraId="04CDCF54">
      <w:pPr>
        <w:spacing w:line="400" w:lineRule="exact"/>
        <w:ind w:firstLine="420" w:firstLineChars="200"/>
        <w:rPr>
          <w:color w:val="auto"/>
          <w:szCs w:val="21"/>
          <w:highlight w:val="none"/>
        </w:rPr>
      </w:pPr>
      <w:r>
        <w:rPr>
          <w:color w:val="auto"/>
          <w:szCs w:val="21"/>
          <w:highlight w:val="none"/>
        </w:rPr>
        <w:t>本招标项目</w:t>
      </w:r>
      <w:r>
        <w:rPr>
          <w:rFonts w:hint="eastAsia"/>
          <w:color w:val="auto"/>
          <w:highlight w:val="none"/>
          <w:u w:val="single"/>
          <w:lang w:eastAsia="zh-CN"/>
        </w:rPr>
        <w:t>中央储备粮江门直属库粮库升级改造项目-仓房外墙改造（第二次）</w:t>
      </w:r>
      <w:r>
        <w:rPr>
          <w:color w:val="auto"/>
          <w:highlight w:val="none"/>
        </w:rPr>
        <w:t>已由</w:t>
      </w:r>
      <w:r>
        <w:rPr>
          <w:rFonts w:hint="eastAsia"/>
          <w:color w:val="auto"/>
          <w:szCs w:val="21"/>
          <w:highlight w:val="none"/>
          <w:u w:val="single"/>
        </w:rPr>
        <w:t>中国储备粮管理集团有限公司</w:t>
      </w:r>
      <w:r>
        <w:rPr>
          <w:color w:val="auto"/>
          <w:highlight w:val="none"/>
        </w:rPr>
        <w:t>批准建设。项目业主为</w:t>
      </w:r>
      <w:r>
        <w:rPr>
          <w:color w:val="auto"/>
          <w:highlight w:val="none"/>
          <w:u w:val="single"/>
        </w:rPr>
        <w:t>中央储备粮江门直属库有限公司</w:t>
      </w:r>
      <w:r>
        <w:rPr>
          <w:color w:val="auto"/>
          <w:highlight w:val="none"/>
        </w:rPr>
        <w:t>，建设资金来自</w:t>
      </w:r>
      <w:r>
        <w:rPr>
          <w:rFonts w:hint="eastAsia"/>
          <w:color w:val="auto"/>
          <w:highlight w:val="none"/>
          <w:u w:val="single"/>
        </w:rPr>
        <w:t>超长期特别国债及企业自筹资金</w:t>
      </w:r>
      <w:r>
        <w:rPr>
          <w:color w:val="auto"/>
          <w:highlight w:val="none"/>
        </w:rPr>
        <w:t>，出资比例为</w:t>
      </w:r>
      <w:r>
        <w:rPr>
          <w:color w:val="auto"/>
          <w:highlight w:val="none"/>
          <w:u w:val="single"/>
        </w:rPr>
        <w:t>100%</w:t>
      </w:r>
      <w:r>
        <w:rPr>
          <w:color w:val="auto"/>
          <w:highlight w:val="none"/>
        </w:rPr>
        <w:t>，招标人为</w:t>
      </w:r>
      <w:r>
        <w:rPr>
          <w:rFonts w:hint="eastAsia"/>
          <w:color w:val="auto"/>
          <w:highlight w:val="none"/>
          <w:u w:val="single"/>
        </w:rPr>
        <w:t>中央储备粮江门直属库有限公司</w:t>
      </w:r>
      <w:r>
        <w:rPr>
          <w:color w:val="auto"/>
          <w:highlight w:val="none"/>
        </w:rPr>
        <w:t>。项目已具备招标条件，</w:t>
      </w:r>
      <w:r>
        <w:rPr>
          <w:rFonts w:hint="eastAsia"/>
          <w:color w:val="auto"/>
          <w:highlight w:val="none"/>
        </w:rPr>
        <w:t>现对该项目的</w:t>
      </w:r>
      <w:r>
        <w:rPr>
          <w:rFonts w:hint="eastAsia" w:ascii="Calibri" w:hAnsi="Calibri"/>
          <w:color w:val="auto"/>
          <w:szCs w:val="22"/>
          <w:highlight w:val="none"/>
          <w:u w:val="single"/>
        </w:rPr>
        <w:t>仓房外墙改造工程</w:t>
      </w:r>
      <w:r>
        <w:rPr>
          <w:rFonts w:hint="eastAsia"/>
          <w:color w:val="auto"/>
          <w:highlight w:val="none"/>
          <w:u w:val="single"/>
        </w:rPr>
        <w:t>施工专业承包</w:t>
      </w:r>
      <w:r>
        <w:rPr>
          <w:rFonts w:hint="eastAsia"/>
          <w:color w:val="auto"/>
          <w:highlight w:val="none"/>
        </w:rPr>
        <w:t>进行公开招标。</w:t>
      </w:r>
    </w:p>
    <w:p w14:paraId="1752EDBA">
      <w:pPr>
        <w:pStyle w:val="3"/>
        <w:rPr>
          <w:rFonts w:ascii="Times New Roman" w:hAnsi="Times New Roman" w:eastAsia="宋体"/>
          <w:color w:val="auto"/>
          <w:sz w:val="30"/>
          <w:szCs w:val="30"/>
          <w:highlight w:val="none"/>
        </w:rPr>
      </w:pPr>
      <w:bookmarkStart w:id="9" w:name="_Toc152045513"/>
      <w:bookmarkStart w:id="10" w:name="_Toc144974481"/>
      <w:bookmarkStart w:id="11" w:name="_Toc246996159"/>
      <w:bookmarkStart w:id="12" w:name="_Toc187678971"/>
      <w:bookmarkStart w:id="13" w:name="_Toc179632529"/>
      <w:bookmarkStart w:id="14" w:name="_Toc152042289"/>
      <w:bookmarkStart w:id="15" w:name="_Toc247085673"/>
      <w:bookmarkStart w:id="16" w:name="_Toc113285966"/>
      <w:bookmarkStart w:id="17" w:name="_Toc246996902"/>
      <w:r>
        <w:rPr>
          <w:rFonts w:ascii="Times New Roman" w:hAnsi="Times New Roman" w:eastAsia="宋体"/>
          <w:color w:val="auto"/>
          <w:sz w:val="30"/>
          <w:szCs w:val="30"/>
          <w:highlight w:val="none"/>
        </w:rPr>
        <w:t>2. 项目概况与招标范围</w:t>
      </w:r>
      <w:bookmarkEnd w:id="9"/>
      <w:bookmarkEnd w:id="10"/>
      <w:bookmarkEnd w:id="11"/>
      <w:bookmarkEnd w:id="12"/>
      <w:bookmarkEnd w:id="13"/>
      <w:bookmarkEnd w:id="14"/>
      <w:bookmarkEnd w:id="15"/>
      <w:bookmarkEnd w:id="16"/>
      <w:bookmarkEnd w:id="17"/>
    </w:p>
    <w:p w14:paraId="6E2868F9">
      <w:pPr>
        <w:spacing w:line="400" w:lineRule="exact"/>
        <w:ind w:firstLine="420" w:firstLineChars="200"/>
        <w:rPr>
          <w:color w:val="auto"/>
          <w:highlight w:val="none"/>
        </w:rPr>
      </w:pPr>
      <w:r>
        <w:rPr>
          <w:color w:val="auto"/>
          <w:szCs w:val="21"/>
          <w:highlight w:val="none"/>
        </w:rPr>
        <w:t>2.1项目建设地点：</w:t>
      </w:r>
      <w:r>
        <w:rPr>
          <w:rFonts w:hint="eastAsia"/>
          <w:color w:val="auto"/>
          <w:highlight w:val="none"/>
        </w:rPr>
        <w:t>广东省江门市江海区</w:t>
      </w:r>
      <w:r>
        <w:rPr>
          <w:color w:val="auto"/>
          <w:highlight w:val="none"/>
        </w:rPr>
        <w:t>。</w:t>
      </w:r>
    </w:p>
    <w:p w14:paraId="4EB6EE80">
      <w:pPr>
        <w:spacing w:line="400" w:lineRule="exact"/>
        <w:ind w:firstLine="420" w:firstLineChars="200"/>
        <w:rPr>
          <w:color w:val="auto"/>
          <w:szCs w:val="21"/>
          <w:highlight w:val="none"/>
        </w:rPr>
      </w:pPr>
      <w:bookmarkStart w:id="18" w:name="_Toc187678972"/>
      <w:bookmarkStart w:id="19" w:name="_Toc113285967"/>
      <w:bookmarkStart w:id="20" w:name="_Toc246996903"/>
      <w:bookmarkStart w:id="21" w:name="_Toc246996160"/>
      <w:bookmarkStart w:id="22" w:name="_Toc152045514"/>
      <w:bookmarkStart w:id="23" w:name="_Toc152042290"/>
      <w:bookmarkStart w:id="24" w:name="_Toc144974482"/>
      <w:bookmarkStart w:id="25" w:name="_Toc179632530"/>
      <w:bookmarkStart w:id="26" w:name="_Toc247085674"/>
      <w:r>
        <w:rPr>
          <w:color w:val="auto"/>
          <w:szCs w:val="21"/>
          <w:highlight w:val="none"/>
        </w:rPr>
        <w:t>2.2 项目规模及建设内容：</w:t>
      </w:r>
    </w:p>
    <w:p w14:paraId="55DDC234">
      <w:pPr>
        <w:spacing w:line="400" w:lineRule="exact"/>
        <w:ind w:firstLine="420" w:firstLineChars="200"/>
        <w:rPr>
          <w:color w:val="auto"/>
          <w:szCs w:val="21"/>
          <w:highlight w:val="none"/>
        </w:rPr>
      </w:pPr>
      <w:r>
        <w:rPr>
          <w:rStyle w:val="7"/>
          <w:rFonts w:hint="eastAsia"/>
          <w:color w:val="auto"/>
          <w:highlight w:val="none"/>
        </w:rPr>
        <w:t>江门中心库</w:t>
      </w:r>
      <w:r>
        <w:rPr>
          <w:rStyle w:val="7"/>
          <w:color w:val="auto"/>
          <w:highlight w:val="none"/>
        </w:rPr>
        <w:t>JM01 仓-JM19 仓的马赛克瓷砖外墙、涂料外墙铲掉，打磨平整后，喷涂</w:t>
      </w:r>
      <w:r>
        <w:rPr>
          <w:rStyle w:val="7"/>
          <w:rFonts w:hint="eastAsia"/>
          <w:color w:val="auto"/>
          <w:highlight w:val="none"/>
        </w:rPr>
        <w:t>疏水辐射制冷</w:t>
      </w:r>
      <w:r>
        <w:rPr>
          <w:rStyle w:val="7"/>
          <w:color w:val="auto"/>
          <w:highlight w:val="none"/>
        </w:rPr>
        <w:t>涂料</w:t>
      </w:r>
      <w:r>
        <w:rPr>
          <w:rStyle w:val="7"/>
          <w:rFonts w:hint="eastAsia"/>
          <w:color w:val="auto"/>
          <w:highlight w:val="none"/>
        </w:rPr>
        <w:t>。</w:t>
      </w:r>
    </w:p>
    <w:p w14:paraId="5D4A30B3">
      <w:pPr>
        <w:spacing w:line="400" w:lineRule="exact"/>
        <w:ind w:firstLine="420" w:firstLineChars="200"/>
        <w:rPr>
          <w:color w:val="auto"/>
          <w:szCs w:val="21"/>
          <w:highlight w:val="none"/>
        </w:rPr>
      </w:pPr>
      <w:r>
        <w:rPr>
          <w:color w:val="auto"/>
          <w:szCs w:val="21"/>
          <w:highlight w:val="none"/>
        </w:rPr>
        <w:t>2.3 项目招标范围：</w:t>
      </w:r>
    </w:p>
    <w:p w14:paraId="26300BB7">
      <w:pPr>
        <w:spacing w:line="400" w:lineRule="exact"/>
        <w:ind w:firstLine="420" w:firstLineChars="200"/>
        <w:rPr>
          <w:color w:val="auto"/>
          <w:szCs w:val="21"/>
          <w:highlight w:val="none"/>
        </w:rPr>
      </w:pPr>
      <w:r>
        <w:rPr>
          <w:color w:val="auto"/>
          <w:szCs w:val="21"/>
          <w:highlight w:val="none"/>
        </w:rPr>
        <w:t>依据招标文件、招标图纸、工程量清单及有关资料及说明，</w:t>
      </w:r>
      <w:r>
        <w:rPr>
          <w:rFonts w:hint="eastAsia"/>
          <w:color w:val="auto"/>
          <w:szCs w:val="21"/>
          <w:highlight w:val="none"/>
        </w:rPr>
        <w:t>外墙面积约21000m</w:t>
      </w:r>
      <w:r>
        <w:rPr>
          <w:rFonts w:hint="eastAsia"/>
          <w:color w:val="auto"/>
          <w:szCs w:val="21"/>
          <w:highlight w:val="none"/>
          <w:vertAlign w:val="superscript"/>
        </w:rPr>
        <w:t>2</w:t>
      </w:r>
      <w:r>
        <w:rPr>
          <w:rFonts w:hint="eastAsia"/>
          <w:color w:val="auto"/>
          <w:szCs w:val="21"/>
          <w:highlight w:val="none"/>
        </w:rPr>
        <w:t>，</w:t>
      </w:r>
      <w:r>
        <w:rPr>
          <w:color w:val="auto"/>
          <w:szCs w:val="21"/>
          <w:highlight w:val="none"/>
        </w:rPr>
        <w:t>具体内容以招标文件及工程量清单、招标图纸为准，主要包括（但不限于）如下内容：</w:t>
      </w:r>
    </w:p>
    <w:p w14:paraId="70170E1C">
      <w:pPr>
        <w:numPr>
          <w:ilvl w:val="0"/>
          <w:numId w:val="1"/>
        </w:numPr>
        <w:spacing w:line="400" w:lineRule="exact"/>
        <w:ind w:firstLine="420" w:firstLineChars="200"/>
        <w:rPr>
          <w:rStyle w:val="7"/>
          <w:rFonts w:hint="eastAsia"/>
          <w:color w:val="auto"/>
          <w:highlight w:val="none"/>
        </w:rPr>
      </w:pPr>
      <w:r>
        <w:rPr>
          <w:rStyle w:val="7"/>
          <w:rFonts w:hint="eastAsia"/>
          <w:color w:val="auto"/>
          <w:highlight w:val="none"/>
        </w:rPr>
        <w:t>施工方案</w:t>
      </w:r>
    </w:p>
    <w:p w14:paraId="22AC19EF">
      <w:pPr>
        <w:numPr>
          <w:ilvl w:val="-1"/>
          <w:numId w:val="0"/>
        </w:numPr>
        <w:spacing w:line="400" w:lineRule="exact"/>
        <w:ind w:firstLine="420" w:firstLineChars="200"/>
        <w:rPr>
          <w:rStyle w:val="7"/>
          <w:rFonts w:hint="eastAsia"/>
          <w:color w:val="auto"/>
          <w:highlight w:val="none"/>
        </w:rPr>
      </w:pPr>
      <w:r>
        <w:rPr>
          <w:rStyle w:val="7"/>
          <w:rFonts w:hint="eastAsia"/>
          <w:color w:val="auto"/>
          <w:highlight w:val="none"/>
        </w:rPr>
        <w:t>工艺流程：基面处理→制冷涂料涂装→超双疏自清洁罩面材料涂装</w:t>
      </w:r>
    </w:p>
    <w:p w14:paraId="00EB68BC">
      <w:pPr>
        <w:spacing w:line="400" w:lineRule="exact"/>
        <w:ind w:firstLine="420" w:firstLineChars="200"/>
        <w:rPr>
          <w:rStyle w:val="7"/>
          <w:color w:val="auto"/>
          <w:highlight w:val="none"/>
        </w:rPr>
      </w:pPr>
      <w:r>
        <w:rPr>
          <w:rStyle w:val="7"/>
          <w:color w:val="auto"/>
          <w:highlight w:val="none"/>
        </w:rPr>
        <w:t>1、基面处理</w:t>
      </w:r>
    </w:p>
    <w:p w14:paraId="4BF4806C">
      <w:pPr>
        <w:spacing w:line="400" w:lineRule="exact"/>
        <w:ind w:firstLine="420" w:firstLineChars="200"/>
        <w:rPr>
          <w:rStyle w:val="7"/>
          <w:color w:val="auto"/>
          <w:highlight w:val="none"/>
        </w:rPr>
      </w:pPr>
      <w:r>
        <w:rPr>
          <w:rStyle w:val="7"/>
          <w:rFonts w:hint="eastAsia"/>
          <w:color w:val="auto"/>
          <w:highlight w:val="none"/>
        </w:rPr>
        <w:t>①</w:t>
      </w:r>
      <w:r>
        <w:rPr>
          <w:rStyle w:val="7"/>
          <w:color w:val="auto"/>
          <w:highlight w:val="none"/>
        </w:rPr>
        <w:t>旧基面处理：采用手工、机械相结合的方式，清除基层表面的盐碱物质、污垢、灰尘等附着物；</w:t>
      </w:r>
    </w:p>
    <w:p w14:paraId="22381A30">
      <w:pPr>
        <w:spacing w:line="400" w:lineRule="exact"/>
        <w:ind w:firstLine="420" w:firstLineChars="200"/>
        <w:rPr>
          <w:rStyle w:val="7"/>
          <w:color w:val="auto"/>
          <w:highlight w:val="none"/>
        </w:rPr>
      </w:pPr>
      <w:r>
        <w:rPr>
          <w:rStyle w:val="7"/>
          <w:rFonts w:hint="eastAsia"/>
          <w:color w:val="auto"/>
          <w:highlight w:val="none"/>
        </w:rPr>
        <w:t>②</w:t>
      </w:r>
      <w:r>
        <w:rPr>
          <w:rStyle w:val="7"/>
          <w:color w:val="auto"/>
          <w:highlight w:val="none"/>
        </w:rPr>
        <w:t>新基面处理：清洗，除尘</w:t>
      </w:r>
      <w:r>
        <w:rPr>
          <w:rStyle w:val="7"/>
          <w:rFonts w:hint="eastAsia"/>
          <w:color w:val="auto"/>
          <w:highlight w:val="none"/>
          <w:lang w:eastAsia="zh-CN"/>
        </w:rPr>
        <w:t>；</w:t>
      </w:r>
    </w:p>
    <w:p w14:paraId="204FB229">
      <w:pPr>
        <w:spacing w:line="400" w:lineRule="exact"/>
        <w:ind w:firstLine="420" w:firstLineChars="200"/>
        <w:rPr>
          <w:rStyle w:val="7"/>
          <w:color w:val="auto"/>
          <w:highlight w:val="none"/>
        </w:rPr>
      </w:pPr>
      <w:r>
        <w:rPr>
          <w:rStyle w:val="7"/>
          <w:rFonts w:hint="eastAsia"/>
          <w:color w:val="auto"/>
          <w:highlight w:val="none"/>
        </w:rPr>
        <w:t>③</w:t>
      </w:r>
      <w:r>
        <w:rPr>
          <w:rStyle w:val="7"/>
          <w:color w:val="auto"/>
          <w:highlight w:val="none"/>
        </w:rPr>
        <w:t>基面修补及找平</w:t>
      </w:r>
      <w:r>
        <w:rPr>
          <w:rStyle w:val="7"/>
          <w:rFonts w:hint="eastAsia"/>
          <w:color w:val="auto"/>
          <w:highlight w:val="none"/>
          <w:lang w:eastAsia="zh-CN"/>
        </w:rPr>
        <w:t>，</w:t>
      </w:r>
      <w:r>
        <w:rPr>
          <w:rStyle w:val="7"/>
          <w:color w:val="auto"/>
          <w:highlight w:val="none"/>
        </w:rPr>
        <w:t>对清理后的基层表面存在缺陷的区域，须做好抹灰找平工作</w:t>
      </w:r>
      <w:r>
        <w:rPr>
          <w:rStyle w:val="7"/>
          <w:rFonts w:hint="eastAsia"/>
          <w:color w:val="auto"/>
          <w:highlight w:val="none"/>
          <w:lang w:eastAsia="zh-CN"/>
        </w:rPr>
        <w:t>，</w:t>
      </w:r>
      <w:r>
        <w:rPr>
          <w:rStyle w:val="7"/>
          <w:color w:val="auto"/>
          <w:highlight w:val="none"/>
        </w:rPr>
        <w:t>涂刷墙</w:t>
      </w:r>
      <w:r>
        <w:rPr>
          <w:rStyle w:val="7"/>
          <w:rFonts w:hint="eastAsia"/>
          <w:color w:val="auto"/>
          <w:highlight w:val="none"/>
          <w:lang w:eastAsia="zh-CN"/>
        </w:rPr>
        <w:t>灰</w:t>
      </w:r>
      <w:r>
        <w:rPr>
          <w:rStyle w:val="7"/>
          <w:color w:val="auto"/>
          <w:highlight w:val="none"/>
        </w:rPr>
        <w:t>加固剂(套胶型)1 遍；对于缺陷处，采用1：3的水泥砂浆（或聚合物水泥砂浆）修补，表面麻面及缝隙应用腻子填补</w:t>
      </w:r>
      <w:r>
        <w:rPr>
          <w:rStyle w:val="7"/>
          <w:rFonts w:hint="eastAsia"/>
          <w:color w:val="auto"/>
          <w:highlight w:val="none"/>
        </w:rPr>
        <w:t>平整；</w:t>
      </w:r>
    </w:p>
    <w:p w14:paraId="00D89403">
      <w:pPr>
        <w:spacing w:line="400" w:lineRule="exact"/>
        <w:ind w:firstLine="420" w:firstLineChars="200"/>
        <w:rPr>
          <w:rStyle w:val="7"/>
          <w:rFonts w:hint="eastAsia"/>
          <w:color w:val="auto"/>
          <w:highlight w:val="none"/>
          <w:lang w:eastAsia="zh-CN"/>
        </w:rPr>
      </w:pPr>
      <w:r>
        <w:rPr>
          <w:rStyle w:val="7"/>
          <w:rFonts w:hint="eastAsia"/>
          <w:color w:val="auto"/>
          <w:highlight w:val="none"/>
        </w:rPr>
        <w:t>④外墙腻子施工前</w:t>
      </w:r>
      <w:r>
        <w:rPr>
          <w:rStyle w:val="7"/>
          <w:color w:val="auto"/>
          <w:highlight w:val="none"/>
        </w:rPr>
        <w:t>300mm</w:t>
      </w:r>
      <w:r>
        <w:rPr>
          <w:rStyle w:val="7"/>
          <w:rFonts w:hint="eastAsia"/>
          <w:color w:val="auto"/>
          <w:highlight w:val="none"/>
        </w:rPr>
        <w:t>以下外墙做防潮处理：均匀涂刷</w:t>
      </w:r>
      <w:r>
        <w:rPr>
          <w:rStyle w:val="7"/>
          <w:color w:val="auto"/>
          <w:highlight w:val="none"/>
        </w:rPr>
        <w:t>1.2mm</w:t>
      </w:r>
      <w:r>
        <w:rPr>
          <w:rStyle w:val="7"/>
          <w:rFonts w:hint="eastAsia"/>
          <w:color w:val="auto"/>
          <w:highlight w:val="none"/>
        </w:rPr>
        <w:t>厚白色</w:t>
      </w:r>
      <w:r>
        <w:rPr>
          <w:rStyle w:val="7"/>
          <w:color w:val="auto"/>
          <w:highlight w:val="none"/>
        </w:rPr>
        <w:t>JS</w:t>
      </w:r>
      <w:r>
        <w:rPr>
          <w:rStyle w:val="7"/>
          <w:rFonts w:hint="eastAsia"/>
          <w:color w:val="auto"/>
          <w:highlight w:val="none"/>
        </w:rPr>
        <w:t>防水涂料（其中地面散水</w:t>
      </w:r>
      <w:r>
        <w:rPr>
          <w:rStyle w:val="7"/>
          <w:color w:val="auto"/>
          <w:highlight w:val="none"/>
        </w:rPr>
        <w:t>100mm</w:t>
      </w:r>
      <w:r>
        <w:rPr>
          <w:rStyle w:val="7"/>
          <w:rFonts w:hint="eastAsia"/>
          <w:color w:val="auto"/>
          <w:highlight w:val="none"/>
        </w:rPr>
        <w:t>宽清理干净，均匀涂刷</w:t>
      </w:r>
      <w:r>
        <w:rPr>
          <w:rStyle w:val="7"/>
          <w:color w:val="auto"/>
          <w:highlight w:val="none"/>
        </w:rPr>
        <w:t>1.2mm</w:t>
      </w:r>
      <w:r>
        <w:rPr>
          <w:rStyle w:val="7"/>
          <w:rFonts w:hint="eastAsia"/>
          <w:color w:val="auto"/>
          <w:highlight w:val="none"/>
        </w:rPr>
        <w:t>厚白色</w:t>
      </w:r>
      <w:r>
        <w:rPr>
          <w:rStyle w:val="7"/>
          <w:color w:val="auto"/>
          <w:highlight w:val="none"/>
        </w:rPr>
        <w:t>JS</w:t>
      </w:r>
      <w:r>
        <w:rPr>
          <w:rStyle w:val="7"/>
          <w:rFonts w:hint="eastAsia"/>
          <w:color w:val="auto"/>
          <w:highlight w:val="none"/>
        </w:rPr>
        <w:t>防水涂料）</w:t>
      </w:r>
      <w:r>
        <w:rPr>
          <w:rStyle w:val="7"/>
          <w:rFonts w:hint="eastAsia"/>
          <w:color w:val="auto"/>
          <w:highlight w:val="none"/>
          <w:lang w:eastAsia="zh-CN"/>
        </w:rPr>
        <w:t>；</w:t>
      </w:r>
    </w:p>
    <w:p w14:paraId="5884D026">
      <w:pPr>
        <w:spacing w:line="400" w:lineRule="exact"/>
        <w:ind w:firstLine="420" w:firstLineChars="200"/>
        <w:rPr>
          <w:rStyle w:val="7"/>
          <w:color w:val="auto"/>
          <w:highlight w:val="none"/>
        </w:rPr>
      </w:pPr>
      <w:r>
        <w:rPr>
          <w:rStyle w:val="7"/>
          <w:rFonts w:hint="eastAsia"/>
          <w:color w:val="auto"/>
          <w:highlight w:val="none"/>
        </w:rPr>
        <w:fldChar w:fldCharType="begin"/>
      </w:r>
      <w:r>
        <w:rPr>
          <w:rStyle w:val="7"/>
          <w:rFonts w:hint="eastAsia"/>
          <w:color w:val="auto"/>
          <w:highlight w:val="none"/>
        </w:rPr>
        <w:instrText xml:space="preserve"> = 5 \* GB3 \* MERGEFORMAT </w:instrText>
      </w:r>
      <w:r>
        <w:rPr>
          <w:rStyle w:val="7"/>
          <w:rFonts w:hint="eastAsia"/>
          <w:color w:val="auto"/>
          <w:highlight w:val="none"/>
        </w:rPr>
        <w:fldChar w:fldCharType="separate"/>
      </w:r>
      <w:r>
        <w:rPr>
          <w:rStyle w:val="7"/>
          <w:rFonts w:hint="eastAsia" w:ascii="Times New Roman" w:hAnsi="Times New Roman" w:eastAsia="宋体" w:cs="Times New Roman"/>
          <w:color w:val="auto"/>
          <w:highlight w:val="none"/>
        </w:rPr>
        <w:t>⑤</w:t>
      </w:r>
      <w:r>
        <w:rPr>
          <w:rStyle w:val="7"/>
          <w:rFonts w:hint="eastAsia"/>
          <w:color w:val="auto"/>
          <w:highlight w:val="none"/>
        </w:rPr>
        <w:fldChar w:fldCharType="end"/>
      </w:r>
      <w:r>
        <w:rPr>
          <w:rStyle w:val="7"/>
          <w:color w:val="auto"/>
          <w:highlight w:val="none"/>
        </w:rPr>
        <w:t>2mm 厚外墙柔性耐水腻子两遍，内部满挂耐碱玻纤网格布，找平并打磨；</w:t>
      </w:r>
    </w:p>
    <w:p w14:paraId="7E624B7E">
      <w:pPr>
        <w:spacing w:line="400" w:lineRule="exact"/>
        <w:ind w:firstLine="420" w:firstLineChars="200"/>
        <w:rPr>
          <w:rStyle w:val="7"/>
          <w:rFonts w:hint="eastAsia" w:eastAsia="宋体"/>
          <w:color w:val="auto"/>
          <w:highlight w:val="none"/>
          <w:lang w:eastAsia="zh-CN"/>
        </w:rPr>
      </w:pPr>
      <w:r>
        <w:rPr>
          <w:rStyle w:val="7"/>
          <w:rFonts w:hint="eastAsia"/>
          <w:color w:val="auto"/>
          <w:highlight w:val="none"/>
          <w:lang w:eastAsia="zh-CN"/>
        </w:rPr>
        <w:t>⑥</w:t>
      </w:r>
      <w:r>
        <w:rPr>
          <w:rStyle w:val="7"/>
          <w:color w:val="auto"/>
          <w:highlight w:val="none"/>
        </w:rPr>
        <w:t>抗碱封闭底漆 1 遍</w:t>
      </w:r>
      <w:r>
        <w:rPr>
          <w:rStyle w:val="7"/>
          <w:rFonts w:hint="eastAsia"/>
          <w:color w:val="auto"/>
          <w:highlight w:val="none"/>
          <w:lang w:eastAsia="zh-CN"/>
        </w:rPr>
        <w:t>。</w:t>
      </w:r>
    </w:p>
    <w:p w14:paraId="30ECD96C">
      <w:pPr>
        <w:numPr>
          <w:ilvl w:val="0"/>
          <w:numId w:val="2"/>
        </w:num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制冷材料涂装</w:t>
      </w:r>
    </w:p>
    <w:p w14:paraId="52E3B8EF">
      <w:pPr>
        <w:numPr>
          <w:ilvl w:val="-1"/>
          <w:numId w:val="0"/>
        </w:num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①基面处理满足以下要求方可进行制冷材料施工：</w:t>
      </w:r>
    </w:p>
    <w:p w14:paraId="4B1716F6">
      <w:p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基面处理、修补及找平后应牢固不开裂、不掉粉、不起砂、不空鼓、无剥离、无石灰爆裂点和无附着力不良的旧涂层等；</w:t>
      </w:r>
    </w:p>
    <w:p w14:paraId="08068EF7">
      <w:p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基面无灰尘、无浮浆、无油迹、无锈斑、无霉点、无盐类析出物等；</w:t>
      </w:r>
    </w:p>
    <w:p w14:paraId="4807FF22">
      <w:p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基层应干燥：基面含水率不得大于10％，基面pH值不得大于10。</w:t>
      </w:r>
    </w:p>
    <w:p w14:paraId="7C1AA4AF">
      <w:p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②喷涂准备：开盖检查，检查产品合格文件、中文标识等，检查无误后，严格按照现场技术人员或说明书要求，用手持搅拌机搅拌材料，使其均匀；</w:t>
      </w:r>
    </w:p>
    <w:p w14:paraId="39E003D7">
      <w:p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③第一遍白色制冷材料涂装： 均匀喷涂，涂布率0.45kg/㎡；</w:t>
      </w:r>
    </w:p>
    <w:p w14:paraId="4CF5E9FA">
      <w:p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④第二遍白色制冷材料涂装： 第一遍白色制冷材料实干后（不低于6h）方可进行第二遍白色制冷材料涂装：两遍制冷材料涂装完成涂布率达到</w:t>
      </w:r>
      <w:r>
        <w:rPr>
          <w:rStyle w:val="7"/>
          <w:rFonts w:hint="eastAsia"/>
          <w:color w:val="auto"/>
          <w:highlight w:val="none"/>
          <w:lang w:val="en-US" w:eastAsia="zh-CN"/>
        </w:rPr>
        <w:t>1.05</w:t>
      </w:r>
      <w:r>
        <w:rPr>
          <w:rStyle w:val="7"/>
          <w:rFonts w:hint="eastAsia"/>
          <w:color w:val="auto"/>
          <w:highlight w:val="none"/>
          <w:lang w:eastAsia="zh-CN"/>
        </w:rPr>
        <w:t>kg/㎡漆膜厚度达到360±40μm；</w:t>
      </w:r>
    </w:p>
    <w:p w14:paraId="03D43ED5">
      <w:p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⑤为防止开裂，制冷材料绝干后的漆膜总厚度不得大于600μm。</w:t>
      </w:r>
    </w:p>
    <w:p w14:paraId="080504C5">
      <w:pPr>
        <w:spacing w:line="400" w:lineRule="exact"/>
        <w:ind w:firstLine="420" w:firstLineChars="200"/>
        <w:rPr>
          <w:rStyle w:val="7"/>
          <w:rFonts w:hint="eastAsia"/>
          <w:color w:val="auto"/>
          <w:highlight w:val="none"/>
          <w:lang w:eastAsia="zh-CN"/>
        </w:rPr>
      </w:pPr>
      <w:r>
        <w:rPr>
          <w:rStyle w:val="7"/>
          <w:rFonts w:hint="eastAsia"/>
          <w:color w:val="auto"/>
          <w:highlight w:val="none"/>
          <w:lang w:eastAsia="zh-CN"/>
        </w:rPr>
        <w:t>3、超双疏自清洁罩面材料涂装</w:t>
      </w:r>
    </w:p>
    <w:p w14:paraId="01991BCC">
      <w:pPr>
        <w:spacing w:line="400" w:lineRule="exact"/>
        <w:ind w:left="0" w:firstLine="420" w:firstLineChars="200"/>
        <w:rPr>
          <w:rStyle w:val="7"/>
          <w:rFonts w:hint="eastAsia" w:ascii="Times New Roman" w:hAnsi="Times New Roman" w:eastAsia="宋体" w:cs="Times New Roman"/>
          <w:color w:val="auto"/>
          <w:sz w:val="21"/>
          <w:szCs w:val="21"/>
          <w:highlight w:val="none"/>
        </w:rPr>
      </w:pPr>
      <w:r>
        <w:rPr>
          <w:rStyle w:val="7"/>
          <w:rFonts w:hint="eastAsia" w:ascii="Times New Roman" w:hAnsi="Times New Roman" w:eastAsia="宋体" w:cs="Times New Roman"/>
          <w:color w:val="auto"/>
          <w:sz w:val="21"/>
          <w:szCs w:val="21"/>
          <w:highlight w:val="none"/>
        </w:rPr>
        <w:t>（1）涂装表面温度应高于露点温度3℃；</w:t>
      </w:r>
    </w:p>
    <w:p w14:paraId="69CC2465">
      <w:pPr>
        <w:spacing w:line="400" w:lineRule="exact"/>
        <w:ind w:left="0" w:firstLine="420" w:firstLineChars="200"/>
        <w:rPr>
          <w:rStyle w:val="7"/>
          <w:rFonts w:hint="eastAsia" w:ascii="Times New Roman" w:hAnsi="Times New Roman" w:eastAsia="宋体" w:cs="Times New Roman"/>
          <w:color w:val="auto"/>
          <w:spacing w:val="0"/>
          <w:sz w:val="21"/>
          <w:szCs w:val="21"/>
          <w:highlight w:val="none"/>
        </w:rPr>
      </w:pPr>
      <w:r>
        <w:rPr>
          <w:rStyle w:val="7"/>
          <w:rFonts w:hint="eastAsia" w:ascii="Times New Roman" w:hAnsi="Times New Roman" w:eastAsia="宋体" w:cs="Times New Roman"/>
          <w:color w:val="auto"/>
          <w:sz w:val="21"/>
          <w:szCs w:val="21"/>
          <w:highlight w:val="none"/>
        </w:rPr>
        <w:t>（2）第一遍超双疏自清洁罩面材料涂装必须要在制冷材料绝干后涂装，时间间隔要求如下：</w:t>
      </w:r>
      <w:r>
        <w:rPr>
          <w:rStyle w:val="7"/>
          <w:rFonts w:hint="eastAsia" w:ascii="Times New Roman" w:hAnsi="Times New Roman" w:eastAsia="宋体" w:cs="Times New Roman"/>
          <w:color w:val="auto"/>
          <w:spacing w:val="0"/>
          <w:sz w:val="21"/>
          <w:szCs w:val="21"/>
          <w:highlight w:val="none"/>
        </w:rPr>
        <w:t xml:space="preserve"> </w:t>
      </w:r>
    </w:p>
    <w:p w14:paraId="579D14E0">
      <w:pPr>
        <w:spacing w:line="400" w:lineRule="exact"/>
        <w:ind w:left="0" w:firstLine="420" w:firstLineChars="200"/>
        <w:rPr>
          <w:rStyle w:val="7"/>
          <w:rFonts w:hint="eastAsia" w:ascii="Times New Roman" w:hAnsi="Times New Roman" w:eastAsia="宋体" w:cs="Times New Roman"/>
          <w:color w:val="auto"/>
          <w:sz w:val="21"/>
          <w:szCs w:val="21"/>
          <w:highlight w:val="none"/>
        </w:rPr>
      </w:pPr>
      <w:r>
        <w:rPr>
          <w:rStyle w:val="7"/>
          <w:rFonts w:hint="eastAsia" w:ascii="Times New Roman" w:hAnsi="Times New Roman" w:eastAsia="宋体" w:cs="Times New Roman"/>
          <w:color w:val="auto"/>
          <w:sz w:val="21"/>
          <w:szCs w:val="21"/>
          <w:highlight w:val="none"/>
        </w:rPr>
        <w:t>①环境温度30℃及以下，不低于48h；</w:t>
      </w:r>
    </w:p>
    <w:p w14:paraId="4036C70B">
      <w:pPr>
        <w:spacing w:line="400" w:lineRule="exact"/>
        <w:ind w:left="0" w:firstLine="420" w:firstLineChars="200"/>
        <w:rPr>
          <w:rStyle w:val="7"/>
          <w:rFonts w:hint="eastAsia" w:ascii="Times New Roman" w:hAnsi="Times New Roman" w:eastAsia="宋体" w:cs="Times New Roman"/>
          <w:color w:val="auto"/>
          <w:sz w:val="21"/>
          <w:szCs w:val="21"/>
          <w:highlight w:val="none"/>
        </w:rPr>
      </w:pPr>
      <w:r>
        <w:rPr>
          <w:rStyle w:val="7"/>
          <w:rFonts w:hint="eastAsia" w:ascii="Times New Roman" w:hAnsi="Times New Roman" w:eastAsia="宋体" w:cs="Times New Roman"/>
          <w:color w:val="auto"/>
          <w:sz w:val="21"/>
          <w:szCs w:val="21"/>
          <w:highlight w:val="none"/>
        </w:rPr>
        <w:t>②环境温度30℃以上，不低于24h；</w:t>
      </w:r>
    </w:p>
    <w:p w14:paraId="45BBF082">
      <w:pPr>
        <w:spacing w:line="400" w:lineRule="exact"/>
        <w:ind w:left="0" w:firstLine="420" w:firstLineChars="200"/>
        <w:rPr>
          <w:rStyle w:val="7"/>
          <w:rFonts w:hint="eastAsia" w:ascii="Times New Roman" w:hAnsi="Times New Roman" w:eastAsia="宋体" w:cs="Times New Roman"/>
          <w:color w:val="auto"/>
          <w:sz w:val="21"/>
          <w:szCs w:val="21"/>
          <w:highlight w:val="none"/>
        </w:rPr>
      </w:pPr>
      <w:r>
        <w:rPr>
          <w:rStyle w:val="7"/>
          <w:rFonts w:hint="eastAsia" w:ascii="Times New Roman" w:hAnsi="Times New Roman" w:eastAsia="宋体" w:cs="Times New Roman"/>
          <w:color w:val="auto"/>
          <w:sz w:val="21"/>
          <w:szCs w:val="21"/>
          <w:highlight w:val="none"/>
        </w:rPr>
        <w:t>春季、秋季因结露现象易发，推荐在下午14:00~17:00时间段内涂装；</w:t>
      </w:r>
    </w:p>
    <w:p w14:paraId="70C3A6A4">
      <w:pPr>
        <w:spacing w:line="400" w:lineRule="exact"/>
        <w:ind w:left="0" w:firstLine="420" w:firstLineChars="200"/>
        <w:rPr>
          <w:rStyle w:val="7"/>
          <w:rFonts w:hint="eastAsia" w:ascii="Times New Roman" w:hAnsi="Times New Roman" w:eastAsia="宋体" w:cs="Times New Roman"/>
          <w:color w:val="auto"/>
          <w:sz w:val="21"/>
          <w:szCs w:val="21"/>
          <w:highlight w:val="none"/>
        </w:rPr>
      </w:pPr>
      <w:r>
        <w:rPr>
          <w:rStyle w:val="7"/>
          <w:rFonts w:hint="eastAsia" w:ascii="Times New Roman" w:hAnsi="Times New Roman" w:eastAsia="宋体" w:cs="Times New Roman"/>
          <w:color w:val="auto"/>
          <w:sz w:val="21"/>
          <w:szCs w:val="21"/>
          <w:highlight w:val="none"/>
        </w:rPr>
        <w:t>第一遍超双疏自清洁罩面材料涂布率达到0.10kg/㎡；</w:t>
      </w:r>
    </w:p>
    <w:p w14:paraId="55A368C5">
      <w:pPr>
        <w:spacing w:line="400" w:lineRule="exact"/>
        <w:ind w:left="0" w:firstLine="420" w:firstLineChars="200"/>
        <w:rPr>
          <w:rStyle w:val="7"/>
          <w:rFonts w:hint="eastAsia" w:ascii="Times New Roman" w:hAnsi="Times New Roman" w:eastAsia="宋体" w:cs="Times New Roman"/>
          <w:color w:val="auto"/>
          <w:sz w:val="21"/>
          <w:szCs w:val="21"/>
          <w:highlight w:val="none"/>
        </w:rPr>
      </w:pPr>
      <w:r>
        <w:rPr>
          <w:rStyle w:val="7"/>
          <w:rFonts w:hint="eastAsia" w:ascii="Times New Roman" w:hAnsi="Times New Roman" w:eastAsia="宋体" w:cs="Times New Roman"/>
          <w:color w:val="auto"/>
          <w:sz w:val="21"/>
          <w:szCs w:val="21"/>
          <w:highlight w:val="none"/>
        </w:rPr>
        <w:t>（3）第二遍超双疏自清洁罩面材料在第一遍超双疏自清洁罩面材料表干后方可涂装，两遍超双疏自清洁罩面材料涂装完成后总的涂布率达到0.20kg/㎡；</w:t>
      </w:r>
    </w:p>
    <w:p w14:paraId="65B08F7F">
      <w:pPr>
        <w:spacing w:line="400" w:lineRule="exact"/>
        <w:ind w:firstLine="420" w:firstLineChars="200"/>
        <w:rPr>
          <w:rStyle w:val="7"/>
          <w:rFonts w:hint="eastAsia" w:eastAsia="宋体"/>
          <w:color w:val="auto"/>
          <w:highlight w:val="none"/>
        </w:rPr>
      </w:pPr>
      <w:r>
        <w:rPr>
          <w:rStyle w:val="7"/>
          <w:rFonts w:hint="eastAsia" w:ascii="Times New Roman" w:hAnsi="Times New Roman" w:eastAsia="宋体" w:cs="Times New Roman"/>
          <w:color w:val="auto"/>
          <w:sz w:val="21"/>
          <w:szCs w:val="21"/>
          <w:highlight w:val="none"/>
        </w:rPr>
        <w:t>（4）超双疏自清洁罩面材料应在每次使用前进行人工充分摇晃均匀（摇晃均匀后不得有沉淀、结块等，推荐摇晃时间不少于5min），摇晃均匀后超30分钟未使用完毕须进行再次摇匀；严禁使用任何机具对超双疏自清洁罩面材料进</w:t>
      </w:r>
      <w:r>
        <w:rPr>
          <w:rStyle w:val="7"/>
          <w:rFonts w:hint="eastAsia" w:eastAsia="宋体"/>
          <w:color w:val="auto"/>
          <w:highlight w:val="none"/>
        </w:rPr>
        <w:t>行人工或机械搅拌；</w:t>
      </w:r>
    </w:p>
    <w:p w14:paraId="6DF12094">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（5）超双疏自清洁罩面材料从涂装至彻底干燥（干燥时间24h）期间不得沾水及进行相关测试。</w:t>
      </w:r>
    </w:p>
    <w:p w14:paraId="18B6B214">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二、工程质量控制及成品保护</w:t>
      </w:r>
    </w:p>
    <w:p w14:paraId="2ADBE09B">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 xml:space="preserve"> 1、工程质量控制</w:t>
      </w:r>
    </w:p>
    <w:p w14:paraId="52D3BBDC">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①制冷材料及超双疏自清洁罩面材料须在常温下保存，建议适宜保存温度为5~35℃，避免涂料长时间暴露在室外空间，严禁长时间暴晒；</w:t>
      </w:r>
    </w:p>
    <w:p w14:paraId="3D4DACB9">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②单次未用完的材料要及时封口回收，以免出现干结或污染造成损失；</w:t>
      </w:r>
    </w:p>
    <w:p w14:paraId="2E13CFBB">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③施工严格按照交底要求进行，每层之间要达到规定的干燥时间，涂层均匀、厚薄一致，避免露底漏涂、多涂，控制单位耗量；</w:t>
      </w:r>
    </w:p>
    <w:p w14:paraId="3BC60443">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④使用高压无气喷涂机涂装喷射距离基面为30cm左右，喷枪与中喷嘴中心线必须与基面垂直，喷枪与被涂装涂料基面平行移动，适行速度保持一致。涂装施工宜连续作业，一气呵成，争取在分隔缝处停歇，如需停歇，材料的接搓留在分隔缝处，每次涂装时应在喷枪移动时开启喷枪扳机,同样也应在喷枪移动时关闭喷枪扳机；</w:t>
      </w:r>
    </w:p>
    <w:p w14:paraId="66A2CC38">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⑤使用滚筒刷滚涂时蘸适量制冷材料料后再在被滚面上轻缓平稳地来回滚动，直上直下，避免歪扭蛇行,以保证涂层厚度一致，无翘边，色泽一致，质量一致；</w:t>
      </w:r>
    </w:p>
    <w:p w14:paraId="118FF8E4">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⑥涂层表干后，可使用工业风扇向涂层表面送风，加速空气流通，缩短涂层绝干时间；</w:t>
      </w:r>
    </w:p>
    <w:p w14:paraId="5535542B">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⑦表观验收：检查是否存在闪锈、起泡、起皮、裂纹、漏涂、透底、流坠、返碱；</w:t>
      </w:r>
    </w:p>
    <w:p w14:paraId="4AD5B0CF">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⑧功能验收：待涂层完全干燥后，用数显游标卡尺测金属基材涂层厚度；用自来水或瓶装水检测涂层疏水性能；按单位工程使用便携式太阳反射率测定仪和红外发射率测定仪检测涂层的太阳反射率和红外发射率；</w:t>
      </w:r>
    </w:p>
    <w:p w14:paraId="56A167F7">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2、成品保护</w:t>
      </w:r>
    </w:p>
    <w:p w14:paraId="2F0506FF">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①施工时应对与涂层衔接的其他装修材料、邻近的设备、地面等采取保护膜等有效的保护措施，避免污染；</w:t>
      </w:r>
    </w:p>
    <w:p w14:paraId="199A80E9">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②不得在成品上敲击、涂写、划痕等；</w:t>
      </w:r>
    </w:p>
    <w:p w14:paraId="5E32C878">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③作业时避免碰撞涂层；</w:t>
      </w:r>
    </w:p>
    <w:p w14:paraId="153A344C">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④严禁在施工现场生火、泼水以防涂层脱皮和霉变；</w:t>
      </w:r>
    </w:p>
    <w:p w14:paraId="6D7D4282">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⑤涂层未绝干遇雨时需将涂层整体使用防雨布遮盖，避免涂层被雨水淋湿。</w:t>
      </w:r>
    </w:p>
    <w:p w14:paraId="4315C7F5">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三、安全文明施工</w:t>
      </w:r>
    </w:p>
    <w:p w14:paraId="73D9B104">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1、超双疏罩面涂层有刺激性气味（氨水味），施工时期现场作业人员必须严格规范佩戴具有防氨气功能面罩(推荐使用3M面具-6200)，并佩戴护目镜，如不慎进入眼睛或与皮肤接触需立即用大量清水冲洗，情况严重者需就医处理；</w:t>
      </w:r>
    </w:p>
    <w:p w14:paraId="4218D4C9">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 xml:space="preserve"> 2、任何时候都不可以将枪口面对任何人；</w:t>
      </w:r>
    </w:p>
    <w:p w14:paraId="6FA60BDC">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 xml:space="preserve"> 3、根据环境保护要求及化工产品的行业规定，现场施工操作剩余的材料及包装物，应集中堆放，由专业机构负责回收处理或联系厂家统一回收。剩余材料禁止倒入下水道，以免对环境造成污染；</w:t>
      </w:r>
    </w:p>
    <w:p w14:paraId="71D633DE">
      <w:pPr>
        <w:spacing w:line="400" w:lineRule="exact"/>
        <w:ind w:firstLine="420" w:firstLineChars="200"/>
        <w:rPr>
          <w:rStyle w:val="7"/>
          <w:rFonts w:hint="eastAsia" w:eastAsia="宋体"/>
          <w:color w:val="auto"/>
          <w:highlight w:val="none"/>
          <w:lang w:eastAsia="zh-CN"/>
        </w:rPr>
      </w:pPr>
      <w:r>
        <w:rPr>
          <w:rStyle w:val="7"/>
          <w:rFonts w:hint="eastAsia" w:eastAsia="宋体"/>
          <w:color w:val="auto"/>
          <w:highlight w:val="none"/>
          <w:lang w:eastAsia="zh-CN"/>
        </w:rPr>
        <w:t>4、施工现场禁止抽烟或有明火；</w:t>
      </w:r>
    </w:p>
    <w:p w14:paraId="64E07993">
      <w:pPr>
        <w:spacing w:line="400" w:lineRule="exact"/>
        <w:ind w:firstLine="420" w:firstLineChars="200"/>
        <w:rPr>
          <w:rStyle w:val="7"/>
          <w:rFonts w:hint="eastAsia" w:eastAsia="宋体"/>
          <w:color w:val="auto"/>
          <w:highlight w:val="none"/>
          <w:lang w:val="en-US" w:eastAsia="zh-CN"/>
        </w:rPr>
      </w:pPr>
      <w:r>
        <w:rPr>
          <w:rStyle w:val="7"/>
          <w:rFonts w:hint="eastAsia" w:eastAsia="宋体"/>
          <w:color w:val="auto"/>
          <w:highlight w:val="none"/>
          <w:lang w:val="en-US" w:eastAsia="zh-CN"/>
        </w:rPr>
        <w:t>5、在施工期间，施工人员应采取必要的安全防护措施，以确保人员的人身和设备的安全，如发生安全事故，施工方自行承担安全责任；</w:t>
      </w:r>
    </w:p>
    <w:p w14:paraId="3B9A51FD">
      <w:pPr>
        <w:spacing w:line="400" w:lineRule="exact"/>
        <w:ind w:firstLine="420" w:firstLineChars="200"/>
        <w:rPr>
          <w:rStyle w:val="7"/>
          <w:rFonts w:hint="eastAsia" w:eastAsia="宋体"/>
          <w:color w:val="auto"/>
          <w:highlight w:val="none"/>
          <w:lang w:val="en-US" w:eastAsia="zh-CN"/>
        </w:rPr>
      </w:pPr>
      <w:r>
        <w:rPr>
          <w:rStyle w:val="7"/>
          <w:rFonts w:hint="eastAsia" w:eastAsia="宋体"/>
          <w:color w:val="auto"/>
          <w:highlight w:val="none"/>
          <w:lang w:val="en-US" w:eastAsia="zh-CN"/>
        </w:rPr>
        <w:t>6、施工单位需为施工人员购买赔偿额度不低于100万元的意外保险；</w:t>
      </w:r>
    </w:p>
    <w:p w14:paraId="4E5059D1">
      <w:pPr>
        <w:spacing w:line="400" w:lineRule="exact"/>
        <w:ind w:firstLine="420" w:firstLineChars="200"/>
        <w:rPr>
          <w:rStyle w:val="7"/>
          <w:rFonts w:hint="eastAsia"/>
          <w:color w:val="auto"/>
          <w:highlight w:val="none"/>
          <w:lang w:eastAsia="zh-CN"/>
        </w:rPr>
      </w:pPr>
      <w:r>
        <w:rPr>
          <w:rStyle w:val="7"/>
          <w:rFonts w:hint="eastAsia" w:eastAsia="宋体"/>
          <w:lang w:val="en-US" w:eastAsia="zh-CN"/>
        </w:rPr>
        <w:t>7、施工单位在施工期间要严格遵守建设单位的规章制度和安全生产相关要求，严禁擅自作业。</w:t>
      </w:r>
    </w:p>
    <w:p w14:paraId="37FFF9F7">
      <w:pPr>
        <w:spacing w:line="400" w:lineRule="exact"/>
        <w:ind w:firstLine="420" w:firstLineChars="200"/>
        <w:rPr>
          <w:rStyle w:val="7"/>
          <w:color w:val="auto"/>
          <w:highlight w:val="none"/>
        </w:rPr>
      </w:pPr>
      <w:r>
        <w:rPr>
          <w:rStyle w:val="7"/>
          <w:rFonts w:hint="eastAsia"/>
          <w:color w:val="auto"/>
          <w:highlight w:val="none"/>
          <w:lang w:eastAsia="zh-CN"/>
        </w:rPr>
        <w:t>四、</w:t>
      </w:r>
      <w:r>
        <w:rPr>
          <w:rStyle w:val="7"/>
          <w:color w:val="auto"/>
          <w:highlight w:val="none"/>
        </w:rPr>
        <w:t xml:space="preserve">水性辐射制冷面漆技术指标： </w:t>
      </w:r>
    </w:p>
    <w:p w14:paraId="18264D9F">
      <w:pPr>
        <w:spacing w:line="400" w:lineRule="exact"/>
        <w:ind w:firstLine="420" w:firstLineChars="200"/>
        <w:rPr>
          <w:rStyle w:val="7"/>
          <w:color w:val="auto"/>
          <w:highlight w:val="none"/>
        </w:rPr>
      </w:pPr>
      <w:r>
        <w:rPr>
          <w:rStyle w:val="7"/>
          <w:rFonts w:hint="eastAsia" w:asciiTheme="minorEastAsia" w:hAnsiTheme="minorEastAsia" w:eastAsiaTheme="minorEastAsia" w:cstheme="minorEastAsia"/>
          <w:color w:val="auto"/>
          <w:highlight w:val="none"/>
        </w:rPr>
        <w:t>①</w:t>
      </w:r>
      <w:r>
        <w:rPr>
          <w:rStyle w:val="7"/>
          <w:color w:val="auto"/>
          <w:highlight w:val="none"/>
        </w:rPr>
        <w:t xml:space="preserve">材料应具备被动辐射制冷性能，即：太阳光反射比≥96%（白色），近红外反射比≥0.96，发射率≥0.92 </w:t>
      </w:r>
    </w:p>
    <w:p w14:paraId="00AB6BB8">
      <w:pPr>
        <w:spacing w:line="400" w:lineRule="exact"/>
        <w:ind w:firstLine="420" w:firstLineChars="200"/>
        <w:rPr>
          <w:rStyle w:val="7"/>
          <w:color w:val="auto"/>
          <w:highlight w:val="none"/>
        </w:rPr>
      </w:pPr>
      <w:r>
        <w:rPr>
          <w:rStyle w:val="7"/>
          <w:rFonts w:hint="eastAsia"/>
          <w:color w:val="auto"/>
          <w:highlight w:val="none"/>
        </w:rPr>
        <w:t>②材料燃烧性能需满足相关规范及设计要求，且不低于 B1 级；</w:t>
      </w:r>
      <w:r>
        <w:rPr>
          <w:rStyle w:val="7"/>
          <w:color w:val="auto"/>
          <w:highlight w:val="none"/>
        </w:rPr>
        <w:t xml:space="preserve"> </w:t>
      </w:r>
    </w:p>
    <w:p w14:paraId="4D0EE523">
      <w:pPr>
        <w:spacing w:line="400" w:lineRule="exact"/>
        <w:ind w:firstLine="420" w:firstLineChars="200"/>
        <w:rPr>
          <w:rStyle w:val="7"/>
          <w:color w:val="auto"/>
          <w:highlight w:val="none"/>
        </w:rPr>
      </w:pPr>
      <w:r>
        <w:rPr>
          <w:rStyle w:val="7"/>
          <w:rFonts w:hint="eastAsia"/>
          <w:color w:val="auto"/>
          <w:highlight w:val="none"/>
        </w:rPr>
        <w:t>③材料耐候性能需满足GB/T 9</w:t>
      </w:r>
      <w:r>
        <w:rPr>
          <w:rStyle w:val="7"/>
          <w:color w:val="auto"/>
          <w:highlight w:val="none"/>
        </w:rPr>
        <w:t xml:space="preserve">755-2024中耐人工气候老化性≥1000h（白色和浅色）； </w:t>
      </w:r>
    </w:p>
    <w:p w14:paraId="6B9CF169">
      <w:pPr>
        <w:spacing w:line="400" w:lineRule="exact"/>
        <w:ind w:firstLine="420" w:firstLineChars="200"/>
        <w:rPr>
          <w:rStyle w:val="7"/>
          <w:color w:val="auto"/>
          <w:highlight w:val="none"/>
        </w:rPr>
      </w:pPr>
      <w:r>
        <w:rPr>
          <w:rStyle w:val="7"/>
          <w:rFonts w:hint="eastAsia"/>
          <w:color w:val="auto"/>
          <w:highlight w:val="none"/>
        </w:rPr>
        <w:t>④为保障长期的被</w:t>
      </w:r>
      <w:r>
        <w:rPr>
          <w:rStyle w:val="7"/>
          <w:color w:val="auto"/>
          <w:highlight w:val="none"/>
        </w:rPr>
        <w:t xml:space="preserve">动辐射制冷效果，材料应具备优异的耐沾污性，需满足 GB/T 9755-2024 中耐沾污性≤4%（白色和浅色）；（以脏污后的样板太阳光反射比仍不低于 94%为判断依据） </w:t>
      </w:r>
    </w:p>
    <w:p w14:paraId="68FDEB0C">
      <w:pPr>
        <w:spacing w:line="400" w:lineRule="exact"/>
        <w:ind w:firstLine="420" w:firstLineChars="200"/>
        <w:rPr>
          <w:rStyle w:val="7"/>
          <w:color w:val="auto"/>
          <w:highlight w:val="none"/>
        </w:rPr>
      </w:pPr>
      <w:r>
        <w:rPr>
          <w:rStyle w:val="7"/>
          <w:rFonts w:hint="eastAsia"/>
          <w:color w:val="auto"/>
          <w:highlight w:val="none"/>
        </w:rPr>
        <w:t>⑤材料应具备防止渗水</w:t>
      </w:r>
      <w:r>
        <w:rPr>
          <w:rStyle w:val="7"/>
          <w:color w:val="auto"/>
          <w:highlight w:val="none"/>
        </w:rPr>
        <w:t xml:space="preserve">和灰尘粘附的疏水自清洁作用，即与水接触角≥150°； </w:t>
      </w:r>
    </w:p>
    <w:p w14:paraId="2D29A5FA">
      <w:pPr>
        <w:spacing w:line="400" w:lineRule="exact"/>
        <w:ind w:firstLine="420" w:firstLineChars="200"/>
        <w:rPr>
          <w:rStyle w:val="7"/>
          <w:color w:val="auto"/>
          <w:highlight w:val="none"/>
        </w:rPr>
      </w:pPr>
      <w:r>
        <w:rPr>
          <w:rStyle w:val="7"/>
          <w:rFonts w:hint="eastAsia"/>
          <w:color w:val="auto"/>
          <w:highlight w:val="none"/>
        </w:rPr>
        <w:t>⑥材料应为绿色环</w:t>
      </w:r>
      <w:r>
        <w:rPr>
          <w:rStyle w:val="7"/>
          <w:color w:val="auto"/>
          <w:highlight w:val="none"/>
        </w:rPr>
        <w:t xml:space="preserve">保，除符合行业标准外，还需满足国家规定的环保卫生要求。 </w:t>
      </w:r>
    </w:p>
    <w:p w14:paraId="13BA4B8C">
      <w:pPr>
        <w:spacing w:line="400" w:lineRule="exact"/>
        <w:ind w:firstLine="420" w:firstLineChars="200"/>
        <w:rPr>
          <w:color w:val="auto"/>
          <w:szCs w:val="21"/>
          <w:highlight w:val="none"/>
        </w:rPr>
      </w:pPr>
      <w:r>
        <w:rPr>
          <w:rFonts w:hint="eastAsia"/>
          <w:color w:val="auto"/>
          <w:szCs w:val="21"/>
          <w:highlight w:val="none"/>
        </w:rPr>
        <w:t>本项目划分为1个标段</w:t>
      </w:r>
      <w:r>
        <w:rPr>
          <w:color w:val="auto"/>
          <w:szCs w:val="21"/>
          <w:highlight w:val="none"/>
        </w:rPr>
        <w:t>。</w:t>
      </w:r>
    </w:p>
    <w:p w14:paraId="013D92FC">
      <w:pPr>
        <w:spacing w:line="400" w:lineRule="exact"/>
        <w:ind w:left="199" w:leftChars="95" w:firstLine="210" w:firstLineChars="100"/>
        <w:rPr>
          <w:color w:val="auto"/>
          <w:szCs w:val="21"/>
          <w:highlight w:val="none"/>
        </w:rPr>
      </w:pPr>
      <w:r>
        <w:rPr>
          <w:color w:val="auto"/>
          <w:szCs w:val="21"/>
          <w:highlight w:val="none"/>
        </w:rPr>
        <w:t>2.4</w:t>
      </w:r>
      <w:r>
        <w:rPr>
          <w:rFonts w:hint="eastAsia"/>
          <w:color w:val="auto"/>
          <w:szCs w:val="21"/>
          <w:highlight w:val="none"/>
        </w:rPr>
        <w:t>项目计划工期：</w:t>
      </w:r>
      <w:r>
        <w:rPr>
          <w:color w:val="auto"/>
          <w:szCs w:val="21"/>
          <w:highlight w:val="none"/>
        </w:rPr>
        <w:t>1</w:t>
      </w:r>
      <w:r>
        <w:rPr>
          <w:rFonts w:hint="eastAsia"/>
          <w:color w:val="auto"/>
          <w:szCs w:val="21"/>
          <w:highlight w:val="none"/>
        </w:rPr>
        <w:t>0</w:t>
      </w:r>
      <w:r>
        <w:rPr>
          <w:color w:val="auto"/>
          <w:szCs w:val="21"/>
          <w:highlight w:val="none"/>
        </w:rPr>
        <w:t>0</w:t>
      </w:r>
      <w:r>
        <w:rPr>
          <w:rFonts w:hint="eastAsia"/>
          <w:color w:val="auto"/>
          <w:szCs w:val="21"/>
          <w:highlight w:val="none"/>
        </w:rPr>
        <w:t>日历天。计划开工日期：</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2</w:t>
      </w:r>
      <w:r>
        <w:rPr>
          <w:rFonts w:hint="eastAsia"/>
          <w:color w:val="auto"/>
          <w:szCs w:val="21"/>
          <w:highlight w:val="none"/>
        </w:rPr>
        <w:t>月</w:t>
      </w:r>
      <w:r>
        <w:rPr>
          <w:rFonts w:hint="eastAsia"/>
          <w:color w:val="auto"/>
          <w:szCs w:val="21"/>
          <w:highlight w:val="none"/>
          <w:lang w:val="en-US" w:eastAsia="zh-CN"/>
        </w:rPr>
        <w:t>2</w:t>
      </w:r>
      <w:r>
        <w:rPr>
          <w:rFonts w:hint="eastAsia"/>
          <w:color w:val="auto"/>
          <w:szCs w:val="21"/>
          <w:highlight w:val="none"/>
        </w:rPr>
        <w:t>日，计划竣工日期：</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13</w:t>
      </w:r>
      <w:r>
        <w:rPr>
          <w:rFonts w:hint="eastAsia"/>
          <w:color w:val="auto"/>
          <w:szCs w:val="21"/>
          <w:highlight w:val="none"/>
        </w:rPr>
        <w:t>日。，具体开工日期以招标人或监理签发的开工令/通知为准。</w:t>
      </w:r>
    </w:p>
    <w:p w14:paraId="51A861D2">
      <w:pPr>
        <w:spacing w:line="400" w:lineRule="exact"/>
        <w:ind w:firstLine="420" w:firstLineChars="200"/>
        <w:rPr>
          <w:b/>
          <w:bCs/>
          <w:color w:val="auto"/>
          <w:szCs w:val="21"/>
          <w:highlight w:val="none"/>
          <w:u w:val="single"/>
        </w:rPr>
      </w:pPr>
      <w:r>
        <w:rPr>
          <w:color w:val="auto"/>
          <w:szCs w:val="21"/>
          <w:highlight w:val="none"/>
        </w:rPr>
        <w:t>2.</w:t>
      </w:r>
      <w:r>
        <w:rPr>
          <w:rFonts w:hint="eastAsia"/>
          <w:color w:val="auto"/>
          <w:szCs w:val="21"/>
          <w:highlight w:val="none"/>
        </w:rPr>
        <w:t>5</w:t>
      </w:r>
      <w:r>
        <w:rPr>
          <w:color w:val="auto"/>
          <w:szCs w:val="21"/>
          <w:highlight w:val="none"/>
        </w:rPr>
        <w:t>本项目最高投标限价：</w:t>
      </w:r>
      <w:r>
        <w:rPr>
          <w:b/>
          <w:bCs/>
          <w:color w:val="auto"/>
          <w:highlight w:val="none"/>
          <w:u w:val="single"/>
        </w:rPr>
        <w:t>人民</w:t>
      </w:r>
      <w:r>
        <w:rPr>
          <w:b/>
          <w:bCs/>
          <w:color w:val="auto"/>
          <w:szCs w:val="21"/>
          <w:highlight w:val="none"/>
          <w:u w:val="single"/>
        </w:rPr>
        <w:t>币3977553.88元。</w:t>
      </w:r>
    </w:p>
    <w:p w14:paraId="7A710094">
      <w:pPr>
        <w:spacing w:line="400" w:lineRule="exact"/>
        <w:ind w:firstLine="420" w:firstLineChars="200"/>
        <w:rPr>
          <w:color w:val="auto"/>
          <w:szCs w:val="21"/>
          <w:highlight w:val="none"/>
        </w:rPr>
      </w:pPr>
      <w:r>
        <w:rPr>
          <w:color w:val="auto"/>
          <w:szCs w:val="21"/>
          <w:highlight w:val="none"/>
        </w:rPr>
        <w:t>2.</w:t>
      </w:r>
      <w:r>
        <w:rPr>
          <w:rFonts w:hint="eastAsia"/>
          <w:color w:val="auto"/>
          <w:szCs w:val="21"/>
          <w:highlight w:val="none"/>
        </w:rPr>
        <w:t>6</w:t>
      </w:r>
      <w:r>
        <w:rPr>
          <w:color w:val="auto"/>
          <w:szCs w:val="21"/>
          <w:highlight w:val="none"/>
        </w:rPr>
        <w:t>项目资格审查方式：资格后审。</w:t>
      </w:r>
    </w:p>
    <w:p w14:paraId="708B1EDE">
      <w:pPr>
        <w:spacing w:line="400" w:lineRule="exact"/>
        <w:ind w:firstLine="420" w:firstLineChars="200"/>
        <w:rPr>
          <w:color w:val="auto"/>
          <w:szCs w:val="21"/>
          <w:highlight w:val="none"/>
        </w:rPr>
      </w:pPr>
      <w:r>
        <w:rPr>
          <w:color w:val="auto"/>
          <w:szCs w:val="21"/>
          <w:highlight w:val="none"/>
        </w:rPr>
        <w:t>2.</w:t>
      </w:r>
      <w:r>
        <w:rPr>
          <w:rFonts w:hint="eastAsia"/>
          <w:color w:val="auto"/>
          <w:szCs w:val="21"/>
          <w:highlight w:val="none"/>
        </w:rPr>
        <w:t>7</w:t>
      </w:r>
      <w:r>
        <w:rPr>
          <w:color w:val="auto"/>
          <w:szCs w:val="21"/>
          <w:highlight w:val="none"/>
        </w:rPr>
        <w:t>投标人须自行了解并办理进入项目所在地开展施工工作的备案登记手续。投标人如中标，则必须自行完成本次招标工程的主体及关键部分，不得转包。</w:t>
      </w:r>
    </w:p>
    <w:p w14:paraId="54C3A96A">
      <w:pPr>
        <w:pStyle w:val="3"/>
        <w:rPr>
          <w:rFonts w:ascii="Times New Roman" w:hAnsi="Times New Roman" w:eastAsia="宋体"/>
          <w:color w:val="auto"/>
          <w:sz w:val="30"/>
          <w:szCs w:val="30"/>
          <w:highlight w:val="none"/>
        </w:rPr>
      </w:pPr>
      <w:r>
        <w:rPr>
          <w:rFonts w:ascii="Times New Roman" w:hAnsi="Times New Roman" w:eastAsia="宋体"/>
          <w:color w:val="auto"/>
          <w:sz w:val="30"/>
          <w:szCs w:val="30"/>
          <w:highlight w:val="none"/>
        </w:rPr>
        <w:t>3. 投标人资格要求</w:t>
      </w:r>
      <w:bookmarkEnd w:id="18"/>
      <w:bookmarkEnd w:id="19"/>
      <w:bookmarkEnd w:id="20"/>
      <w:bookmarkEnd w:id="21"/>
      <w:bookmarkEnd w:id="22"/>
      <w:bookmarkEnd w:id="23"/>
      <w:bookmarkEnd w:id="24"/>
      <w:bookmarkEnd w:id="25"/>
      <w:bookmarkEnd w:id="26"/>
    </w:p>
    <w:p w14:paraId="15F347B0">
      <w:pPr>
        <w:spacing w:line="400" w:lineRule="exact"/>
        <w:ind w:firstLine="420" w:firstLineChars="200"/>
        <w:rPr>
          <w:color w:val="auto"/>
          <w:szCs w:val="21"/>
          <w:highlight w:val="none"/>
        </w:rPr>
      </w:pPr>
      <w:bookmarkStart w:id="27" w:name="_Toc246996161"/>
      <w:bookmarkStart w:id="28" w:name="_Toc152042291"/>
      <w:bookmarkStart w:id="29" w:name="_Toc179632531"/>
      <w:bookmarkStart w:id="30" w:name="_Toc247085675"/>
      <w:bookmarkStart w:id="31" w:name="_Toc246996904"/>
      <w:bookmarkStart w:id="32" w:name="_Toc144974483"/>
      <w:bookmarkStart w:id="33" w:name="_Toc152045515"/>
      <w:r>
        <w:rPr>
          <w:color w:val="auto"/>
          <w:szCs w:val="21"/>
          <w:highlight w:val="none"/>
        </w:rPr>
        <w:t>3.1投标人为中华人民共和国国内注册的独立法人，持有工商行政管理部门核发的营业执照；</w:t>
      </w:r>
    </w:p>
    <w:p w14:paraId="6A858BD4">
      <w:pPr>
        <w:spacing w:line="400" w:lineRule="exact"/>
        <w:ind w:firstLine="420" w:firstLineChars="200"/>
        <w:rPr>
          <w:color w:val="auto"/>
          <w:szCs w:val="21"/>
          <w:highlight w:val="none"/>
        </w:rPr>
      </w:pPr>
      <w:r>
        <w:rPr>
          <w:color w:val="auto"/>
          <w:szCs w:val="21"/>
          <w:highlight w:val="none"/>
        </w:rPr>
        <w:t>3.2投标人</w:t>
      </w:r>
      <w:r>
        <w:rPr>
          <w:rFonts w:hint="eastAsia"/>
          <w:color w:val="auto"/>
          <w:szCs w:val="21"/>
          <w:highlight w:val="none"/>
        </w:rPr>
        <w:t>具备建设行政主管部门核发的</w:t>
      </w:r>
      <w:r>
        <w:rPr>
          <w:color w:val="auto"/>
          <w:szCs w:val="21"/>
          <w:highlight w:val="none"/>
        </w:rPr>
        <w:t>建筑</w:t>
      </w:r>
      <w:r>
        <w:rPr>
          <w:rFonts w:hint="eastAsia"/>
          <w:color w:val="auto"/>
          <w:szCs w:val="21"/>
          <w:highlight w:val="none"/>
        </w:rPr>
        <w:t>装修装饰</w:t>
      </w:r>
      <w:r>
        <w:rPr>
          <w:color w:val="auto"/>
          <w:szCs w:val="21"/>
          <w:highlight w:val="none"/>
        </w:rPr>
        <w:t>工程专业承包</w:t>
      </w:r>
      <w:r>
        <w:rPr>
          <w:rFonts w:hint="eastAsia"/>
          <w:color w:val="auto"/>
          <w:szCs w:val="21"/>
          <w:highlight w:val="none"/>
        </w:rPr>
        <w:t>贰</w:t>
      </w:r>
      <w:r>
        <w:rPr>
          <w:color w:val="auto"/>
          <w:szCs w:val="21"/>
          <w:highlight w:val="none"/>
        </w:rPr>
        <w:t>级或以上资质</w:t>
      </w:r>
      <w:r>
        <w:rPr>
          <w:rFonts w:hint="eastAsia"/>
          <w:color w:val="auto"/>
          <w:szCs w:val="21"/>
          <w:highlight w:val="none"/>
        </w:rPr>
        <w:t>或相应的建筑装饰装修工程设计与施工资质（以资质证书许可范围为准，在有效期内）</w:t>
      </w:r>
      <w:r>
        <w:rPr>
          <w:color w:val="auto"/>
          <w:szCs w:val="21"/>
          <w:highlight w:val="none"/>
        </w:rPr>
        <w:t>；</w:t>
      </w:r>
    </w:p>
    <w:p w14:paraId="707DDEC8">
      <w:pPr>
        <w:spacing w:line="400" w:lineRule="exact"/>
        <w:ind w:firstLine="420" w:firstLineChars="200"/>
        <w:rPr>
          <w:color w:val="auto"/>
          <w:highlight w:val="none"/>
        </w:rPr>
      </w:pPr>
      <w:r>
        <w:rPr>
          <w:color w:val="auto"/>
          <w:highlight w:val="none"/>
        </w:rPr>
        <w:t>注：</w:t>
      </w:r>
      <w:r>
        <w:rPr>
          <w:rFonts w:hint="eastAsia"/>
          <w:color w:val="auto"/>
          <w:highlight w:val="none"/>
        </w:rPr>
        <w:t>投标人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13ABBEC6">
      <w:pPr>
        <w:spacing w:line="400" w:lineRule="exact"/>
        <w:ind w:firstLine="420" w:firstLineChars="200"/>
        <w:rPr>
          <w:color w:val="auto"/>
          <w:szCs w:val="21"/>
          <w:highlight w:val="none"/>
        </w:rPr>
      </w:pPr>
      <w:r>
        <w:rPr>
          <w:color w:val="auto"/>
          <w:szCs w:val="21"/>
          <w:highlight w:val="none"/>
        </w:rPr>
        <w:t>3.3投标人具有</w:t>
      </w:r>
      <w:r>
        <w:rPr>
          <w:rFonts w:hint="eastAsia"/>
          <w:color w:val="auto"/>
          <w:szCs w:val="21"/>
          <w:highlight w:val="none"/>
        </w:rPr>
        <w:t>建设行政主管部门核发的在有效期内</w:t>
      </w:r>
      <w:r>
        <w:rPr>
          <w:color w:val="auto"/>
          <w:szCs w:val="21"/>
          <w:highlight w:val="none"/>
        </w:rPr>
        <w:t>的安全生产许可证；</w:t>
      </w:r>
    </w:p>
    <w:p w14:paraId="0882BA0C">
      <w:pPr>
        <w:spacing w:line="400" w:lineRule="exact"/>
        <w:ind w:firstLine="420" w:firstLineChars="200"/>
        <w:rPr>
          <w:color w:val="auto"/>
          <w:szCs w:val="21"/>
          <w:highlight w:val="none"/>
        </w:rPr>
      </w:pPr>
      <w:r>
        <w:rPr>
          <w:color w:val="auto"/>
          <w:szCs w:val="21"/>
          <w:highlight w:val="none"/>
        </w:rPr>
        <w:t>3.4</w:t>
      </w:r>
      <w:r>
        <w:rPr>
          <w:rFonts w:hint="eastAsia"/>
          <w:color w:val="auto"/>
          <w:szCs w:val="21"/>
          <w:highlight w:val="none"/>
        </w:rPr>
        <w:t>投标人拟派本工程的项目负责人须具有建筑工程专业贰级或以上注册建造师资格，且持有安全培训考核合格证（B类）或建筑施工企业项目负责人安全生产考核合格证书，且未担任其他在建工程项目的项目负责人；</w:t>
      </w:r>
    </w:p>
    <w:p w14:paraId="143B2D08">
      <w:pPr>
        <w:spacing w:line="400" w:lineRule="exact"/>
        <w:ind w:firstLine="420" w:firstLineChars="200"/>
        <w:rPr>
          <w:color w:val="auto"/>
          <w:szCs w:val="21"/>
          <w:highlight w:val="none"/>
        </w:rPr>
      </w:pPr>
      <w:r>
        <w:rPr>
          <w:rFonts w:hint="eastAsia"/>
          <w:color w:val="auto"/>
          <w:szCs w:val="21"/>
          <w:highlight w:val="none"/>
        </w:rPr>
        <w:t>注：（1）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F5F82C6">
      <w:pPr>
        <w:spacing w:line="400" w:lineRule="exact"/>
        <w:ind w:firstLine="420" w:firstLineChars="200"/>
        <w:rPr>
          <w:color w:val="auto"/>
          <w:szCs w:val="21"/>
          <w:highlight w:val="none"/>
        </w:rPr>
      </w:pPr>
      <w:r>
        <w:rPr>
          <w:rFonts w:hint="eastAsia"/>
          <w:color w:val="auto"/>
          <w:szCs w:val="21"/>
          <w:highlight w:val="none"/>
        </w:rPr>
        <w:t xml:space="preserve">（2）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 </w:t>
      </w:r>
    </w:p>
    <w:p w14:paraId="58B976C2">
      <w:pPr>
        <w:spacing w:line="400" w:lineRule="exact"/>
        <w:ind w:firstLine="420" w:firstLineChars="200"/>
        <w:rPr>
          <w:color w:val="auto"/>
          <w:szCs w:val="21"/>
          <w:highlight w:val="none"/>
        </w:rPr>
      </w:pPr>
      <w:r>
        <w:rPr>
          <w:rFonts w:hint="eastAsia"/>
          <w:color w:val="auto"/>
          <w:szCs w:val="21"/>
          <w:highlight w:val="none"/>
        </w:rPr>
        <w:t>（3）根据广东省住建厅《关于明确二级建造师注册执业有关问题的通知》（粤建市函〔2023〕469号），二级建造师应在考试取得执业资格的省、自治区、直辖市申请注册，二级注册建造师可随注册企业在全国范围内执业。</w:t>
      </w:r>
    </w:p>
    <w:p w14:paraId="69AED998">
      <w:pPr>
        <w:spacing w:line="400" w:lineRule="exact"/>
        <w:ind w:firstLine="420" w:firstLineChars="200"/>
        <w:rPr>
          <w:color w:val="auto"/>
          <w:szCs w:val="21"/>
          <w:highlight w:val="none"/>
        </w:rPr>
      </w:pPr>
      <w:r>
        <w:rPr>
          <w:color w:val="auto"/>
          <w:szCs w:val="21"/>
          <w:highlight w:val="none"/>
        </w:rPr>
        <w:t>3.5拟派专职安全人员须具有</w:t>
      </w:r>
      <w:r>
        <w:rPr>
          <w:rFonts w:hint="eastAsia"/>
          <w:color w:val="auto"/>
          <w:szCs w:val="21"/>
          <w:highlight w:val="none"/>
        </w:rPr>
        <w:t>安全生产考核合格证（C类）或建筑施工企业专职安全生产管理人员安全生产考核合格证书（C2或C3）</w:t>
      </w:r>
      <w:r>
        <w:rPr>
          <w:color w:val="auto"/>
          <w:szCs w:val="21"/>
          <w:highlight w:val="none"/>
        </w:rPr>
        <w:t>；</w:t>
      </w:r>
    </w:p>
    <w:p w14:paraId="5BF0347E">
      <w:pPr>
        <w:spacing w:line="400" w:lineRule="exact"/>
        <w:ind w:firstLine="420" w:firstLineChars="200"/>
        <w:rPr>
          <w:color w:val="auto"/>
          <w:szCs w:val="21"/>
          <w:highlight w:val="none"/>
        </w:rPr>
      </w:pPr>
      <w:r>
        <w:rPr>
          <w:color w:val="auto"/>
          <w:szCs w:val="21"/>
          <w:highlight w:val="none"/>
        </w:rPr>
        <w:t>注：</w:t>
      </w:r>
      <w:r>
        <w:rPr>
          <w:rFonts w:hint="eastAsia"/>
          <w:color w:val="auto"/>
          <w:szCs w:val="21"/>
          <w:highlight w:val="none"/>
        </w:rPr>
        <w:t>项目负责人在任职期间不得担任专职安全员，项目专职安全员在任职期间也不得担任项目负责人，项目负责人和专职安全员不为同一人。</w:t>
      </w:r>
    </w:p>
    <w:p w14:paraId="696BACA7">
      <w:pPr>
        <w:spacing w:line="400" w:lineRule="exact"/>
        <w:ind w:firstLine="420" w:firstLineChars="200"/>
        <w:rPr>
          <w:color w:val="auto"/>
          <w:szCs w:val="21"/>
          <w:highlight w:val="none"/>
        </w:rPr>
      </w:pPr>
      <w:r>
        <w:rPr>
          <w:color w:val="auto"/>
          <w:szCs w:val="21"/>
          <w:highlight w:val="none"/>
        </w:rPr>
        <w:t>3.6</w:t>
      </w:r>
      <w:r>
        <w:rPr>
          <w:rFonts w:hint="eastAsia"/>
          <w:color w:val="auto"/>
          <w:szCs w:val="21"/>
          <w:highlight w:val="none"/>
        </w:rPr>
        <w:t>投标人自2021年1月1日起至投标截止时间前完成过至少1项质量合格的单项合同金额不少于200万元的外墙辐射制冷或隔热反射涂料工程施工业绩</w:t>
      </w:r>
      <w:r>
        <w:rPr>
          <w:rFonts w:hint="eastAsia"/>
          <w:color w:val="auto"/>
          <w:highlight w:val="none"/>
        </w:rPr>
        <w:t>；</w:t>
      </w:r>
    </w:p>
    <w:p w14:paraId="3532CAFF">
      <w:pPr>
        <w:spacing w:line="400" w:lineRule="exact"/>
        <w:ind w:firstLine="420" w:firstLineChars="200"/>
        <w:rPr>
          <w:color w:val="auto"/>
          <w:highlight w:val="none"/>
        </w:rPr>
      </w:pPr>
      <w:r>
        <w:rPr>
          <w:color w:val="auto"/>
          <w:highlight w:val="none"/>
        </w:rPr>
        <w:t>注：</w:t>
      </w:r>
      <w:r>
        <w:rPr>
          <w:rFonts w:hint="eastAsia"/>
          <w:color w:val="auto"/>
          <w:highlight w:val="none"/>
        </w:rPr>
        <w:t>（1）业绩需同时提供施工合同关键页、竣工验收资料（业主出具的施工总承包或本专业工程分项验收证明）或业主完工证明扫描件；</w:t>
      </w:r>
    </w:p>
    <w:p w14:paraId="4FCC585E">
      <w:pPr>
        <w:spacing w:line="400" w:lineRule="exact"/>
        <w:ind w:firstLine="420" w:firstLineChars="200"/>
        <w:rPr>
          <w:color w:val="auto"/>
          <w:highlight w:val="none"/>
        </w:rPr>
      </w:pPr>
      <w:r>
        <w:rPr>
          <w:rFonts w:hint="eastAsia"/>
          <w:color w:val="auto"/>
          <w:highlight w:val="none"/>
        </w:rPr>
        <w:t>（2）完成时间以竣工验收资料记录时间或业主完工证明时间为准；</w:t>
      </w:r>
    </w:p>
    <w:p w14:paraId="4DA3087D">
      <w:pPr>
        <w:spacing w:line="400" w:lineRule="exact"/>
        <w:ind w:firstLine="420" w:firstLineChars="200"/>
        <w:rPr>
          <w:color w:val="auto"/>
          <w:highlight w:val="none"/>
        </w:rPr>
      </w:pPr>
      <w:r>
        <w:rPr>
          <w:rFonts w:hint="eastAsia"/>
          <w:color w:val="auto"/>
          <w:highlight w:val="none"/>
        </w:rPr>
        <w:t>（3）单独发包的</w:t>
      </w:r>
      <w:r>
        <w:rPr>
          <w:rFonts w:hint="eastAsia"/>
          <w:color w:val="auto"/>
          <w:highlight w:val="none"/>
          <w:lang w:eastAsia="zh-CN"/>
        </w:rPr>
        <w:t>外墙辐射制冷或隔热反射涂料</w:t>
      </w:r>
      <w:r>
        <w:rPr>
          <w:rFonts w:hint="eastAsia"/>
          <w:color w:val="auto"/>
          <w:highlight w:val="none"/>
        </w:rPr>
        <w:t>工程：以施工合同（不含补充合同）为准。如施工合同均不能单独体现本专项工程金额，投标人须提供载明</w:t>
      </w:r>
      <w:r>
        <w:rPr>
          <w:rFonts w:hint="eastAsia"/>
          <w:color w:val="auto"/>
          <w:highlight w:val="none"/>
          <w:lang w:eastAsia="zh-CN"/>
        </w:rPr>
        <w:t>外墙辐射制冷或隔热反射涂料</w:t>
      </w:r>
      <w:r>
        <w:rPr>
          <w:rFonts w:hint="eastAsia"/>
          <w:color w:val="auto"/>
          <w:highlight w:val="none"/>
        </w:rPr>
        <w:t>工程业绩金额的相关证明材料；</w:t>
      </w:r>
    </w:p>
    <w:p w14:paraId="7D237FC7">
      <w:pPr>
        <w:spacing w:line="400" w:lineRule="exact"/>
        <w:ind w:firstLine="420" w:firstLineChars="200"/>
        <w:rPr>
          <w:color w:val="auto"/>
          <w:highlight w:val="none"/>
        </w:rPr>
      </w:pPr>
      <w:r>
        <w:rPr>
          <w:rFonts w:hint="eastAsia"/>
          <w:color w:val="auto"/>
          <w:highlight w:val="none"/>
        </w:rPr>
        <w:t>（4）总承包依法分包的</w:t>
      </w:r>
      <w:r>
        <w:rPr>
          <w:rFonts w:hint="eastAsia"/>
          <w:color w:val="auto"/>
          <w:highlight w:val="none"/>
          <w:lang w:eastAsia="zh-CN"/>
        </w:rPr>
        <w:t>外墙辐射制冷或隔热反射涂料</w:t>
      </w:r>
      <w:r>
        <w:rPr>
          <w:rFonts w:hint="eastAsia"/>
          <w:color w:val="auto"/>
          <w:highlight w:val="none"/>
        </w:rPr>
        <w:t>工程：业绩金额以分包合同中约定的合同金额为准；</w:t>
      </w:r>
    </w:p>
    <w:p w14:paraId="0F1D4DAD">
      <w:pPr>
        <w:spacing w:line="400" w:lineRule="exact"/>
        <w:ind w:firstLine="420" w:firstLineChars="200"/>
        <w:rPr>
          <w:color w:val="auto"/>
          <w:highlight w:val="none"/>
        </w:rPr>
      </w:pPr>
      <w:r>
        <w:rPr>
          <w:rFonts w:hint="eastAsia"/>
          <w:color w:val="auto"/>
          <w:highlight w:val="none"/>
        </w:rPr>
        <w:t>（5）施工总承包（含</w:t>
      </w:r>
      <w:r>
        <w:rPr>
          <w:rFonts w:hint="eastAsia"/>
          <w:color w:val="auto"/>
          <w:highlight w:val="none"/>
          <w:lang w:eastAsia="zh-CN"/>
        </w:rPr>
        <w:t>外墙辐射制冷或隔热反射涂料</w:t>
      </w:r>
      <w:r>
        <w:rPr>
          <w:rFonts w:hint="eastAsia"/>
          <w:color w:val="auto"/>
          <w:highlight w:val="none"/>
        </w:rPr>
        <w:t>工程）或工程总承包（含</w:t>
      </w:r>
      <w:r>
        <w:rPr>
          <w:rFonts w:hint="eastAsia"/>
          <w:color w:val="auto"/>
          <w:highlight w:val="none"/>
          <w:lang w:eastAsia="zh-CN"/>
        </w:rPr>
        <w:t>外墙辐射制冷或隔热反射涂料</w:t>
      </w:r>
      <w:r>
        <w:rPr>
          <w:rFonts w:hint="eastAsia"/>
          <w:color w:val="auto"/>
          <w:highlight w:val="none"/>
        </w:rPr>
        <w:t>工程）工程：投标人需提供本专业工程分项验收证明或业主完工证明扫描件证明该总承包工程业绩中</w:t>
      </w:r>
      <w:r>
        <w:rPr>
          <w:rFonts w:hint="eastAsia"/>
          <w:color w:val="auto"/>
          <w:highlight w:val="none"/>
          <w:lang w:eastAsia="zh-CN"/>
        </w:rPr>
        <w:t>外墙辐射制冷或隔热反射涂料</w:t>
      </w:r>
      <w:r>
        <w:rPr>
          <w:rFonts w:hint="eastAsia"/>
          <w:color w:val="auto"/>
          <w:highlight w:val="none"/>
        </w:rPr>
        <w:t>工程为投标人完成，业绩金额以总承包合同载明的</w:t>
      </w:r>
      <w:r>
        <w:rPr>
          <w:rFonts w:hint="eastAsia"/>
          <w:color w:val="auto"/>
          <w:highlight w:val="none"/>
          <w:lang w:eastAsia="zh-CN"/>
        </w:rPr>
        <w:t>外墙辐射制冷或隔热反射涂料</w:t>
      </w:r>
      <w:r>
        <w:rPr>
          <w:rFonts w:hint="eastAsia"/>
          <w:color w:val="auto"/>
          <w:highlight w:val="none"/>
        </w:rPr>
        <w:t>工程金额为准，如总承包合同不能单独体现</w:t>
      </w:r>
      <w:r>
        <w:rPr>
          <w:rFonts w:hint="eastAsia"/>
          <w:color w:val="auto"/>
          <w:highlight w:val="none"/>
          <w:lang w:eastAsia="zh-CN"/>
        </w:rPr>
        <w:t>外墙辐射制冷或隔热反射涂料</w:t>
      </w:r>
      <w:r>
        <w:rPr>
          <w:rFonts w:hint="eastAsia"/>
          <w:color w:val="auto"/>
          <w:highlight w:val="none"/>
        </w:rPr>
        <w:t>工程金额，投标人需提供载明</w:t>
      </w:r>
      <w:r>
        <w:rPr>
          <w:rFonts w:hint="eastAsia"/>
          <w:color w:val="auto"/>
          <w:highlight w:val="none"/>
          <w:lang w:eastAsia="zh-CN"/>
        </w:rPr>
        <w:t>外墙辐射制冷或隔热反射涂料</w:t>
      </w:r>
      <w:r>
        <w:rPr>
          <w:rFonts w:hint="eastAsia"/>
          <w:color w:val="auto"/>
          <w:highlight w:val="none"/>
        </w:rPr>
        <w:t>工程金额的相关证明材料；</w:t>
      </w:r>
    </w:p>
    <w:p w14:paraId="29E3350A">
      <w:pPr>
        <w:spacing w:line="400" w:lineRule="exact"/>
        <w:ind w:firstLine="420" w:firstLineChars="200"/>
        <w:rPr>
          <w:color w:val="auto"/>
          <w:highlight w:val="none"/>
        </w:rPr>
      </w:pPr>
      <w:r>
        <w:rPr>
          <w:rFonts w:hint="eastAsia"/>
          <w:color w:val="auto"/>
          <w:highlight w:val="none"/>
        </w:rPr>
        <w:t>（6）以联合体形式完成的</w:t>
      </w:r>
      <w:r>
        <w:rPr>
          <w:rFonts w:hint="eastAsia"/>
          <w:color w:val="auto"/>
          <w:highlight w:val="none"/>
          <w:lang w:eastAsia="zh-CN"/>
        </w:rPr>
        <w:t>外墙辐射制冷或隔热反射涂料</w:t>
      </w:r>
      <w:r>
        <w:rPr>
          <w:rFonts w:hint="eastAsia"/>
          <w:color w:val="auto"/>
          <w:highlight w:val="none"/>
        </w:rPr>
        <w:t>工程业绩：投标人需提供联合体协议书或本专业工程分项验收证明或业主完工证明扫描件证明该联合体业绩中的</w:t>
      </w:r>
      <w:r>
        <w:rPr>
          <w:rFonts w:hint="eastAsia"/>
          <w:color w:val="auto"/>
          <w:highlight w:val="none"/>
          <w:lang w:eastAsia="zh-CN"/>
        </w:rPr>
        <w:t>外墙辐射制冷或隔热反射涂料</w:t>
      </w:r>
      <w:r>
        <w:rPr>
          <w:rFonts w:hint="eastAsia"/>
          <w:color w:val="auto"/>
          <w:highlight w:val="none"/>
        </w:rPr>
        <w:t>工程为投标人完成；业绩金额以合同载明的</w:t>
      </w:r>
      <w:r>
        <w:rPr>
          <w:rFonts w:hint="eastAsia"/>
          <w:color w:val="auto"/>
          <w:highlight w:val="none"/>
          <w:lang w:eastAsia="zh-CN"/>
        </w:rPr>
        <w:t>外墙辐射制冷或隔热反射涂料</w:t>
      </w:r>
      <w:r>
        <w:rPr>
          <w:rFonts w:hint="eastAsia"/>
          <w:color w:val="auto"/>
          <w:highlight w:val="none"/>
        </w:rPr>
        <w:t>工程金额为准，如合同不能单独体现</w:t>
      </w:r>
      <w:r>
        <w:rPr>
          <w:rFonts w:hint="eastAsia"/>
          <w:color w:val="auto"/>
          <w:highlight w:val="none"/>
          <w:lang w:eastAsia="zh-CN"/>
        </w:rPr>
        <w:t>外墙辐射制冷或隔热反射涂料</w:t>
      </w:r>
      <w:r>
        <w:rPr>
          <w:rFonts w:hint="eastAsia"/>
          <w:color w:val="auto"/>
          <w:highlight w:val="none"/>
        </w:rPr>
        <w:t>工程金额，投标人需提供载明</w:t>
      </w:r>
      <w:r>
        <w:rPr>
          <w:rFonts w:hint="eastAsia"/>
          <w:color w:val="auto"/>
          <w:highlight w:val="none"/>
          <w:lang w:eastAsia="zh-CN"/>
        </w:rPr>
        <w:t>外墙辐射制冷或隔热反射涂料</w:t>
      </w:r>
      <w:r>
        <w:rPr>
          <w:rFonts w:hint="eastAsia"/>
          <w:color w:val="auto"/>
          <w:highlight w:val="none"/>
        </w:rPr>
        <w:t>工程金额的相关证明材料。</w:t>
      </w:r>
    </w:p>
    <w:p w14:paraId="19804A81">
      <w:pPr>
        <w:spacing w:line="400" w:lineRule="exact"/>
        <w:ind w:firstLine="420" w:firstLineChars="200"/>
        <w:rPr>
          <w:color w:val="auto"/>
          <w:szCs w:val="21"/>
          <w:highlight w:val="none"/>
        </w:rPr>
      </w:pPr>
      <w:r>
        <w:rPr>
          <w:color w:val="auto"/>
          <w:szCs w:val="21"/>
          <w:highlight w:val="none"/>
        </w:rPr>
        <w:t>3.</w:t>
      </w:r>
      <w:r>
        <w:rPr>
          <w:rFonts w:hint="eastAsia"/>
          <w:color w:val="auto"/>
          <w:szCs w:val="21"/>
          <w:highlight w:val="none"/>
        </w:rPr>
        <w:t>7</w:t>
      </w:r>
      <w:r>
        <w:rPr>
          <w:color w:val="auto"/>
          <w:szCs w:val="21"/>
          <w:highlight w:val="none"/>
        </w:rPr>
        <w:t>其他要求</w:t>
      </w:r>
      <w:r>
        <w:rPr>
          <w:rFonts w:hint="eastAsia"/>
          <w:color w:val="auto"/>
          <w:szCs w:val="21"/>
          <w:highlight w:val="none"/>
        </w:rPr>
        <w:t>：</w:t>
      </w:r>
    </w:p>
    <w:p w14:paraId="030A2762">
      <w:pPr>
        <w:spacing w:line="400" w:lineRule="exact"/>
        <w:ind w:firstLine="420" w:firstLineChars="200"/>
        <w:rPr>
          <w:color w:val="auto"/>
          <w:szCs w:val="21"/>
          <w:highlight w:val="none"/>
        </w:rPr>
      </w:pPr>
      <w:r>
        <w:rPr>
          <w:rFonts w:hint="eastAsia"/>
          <w:color w:val="auto"/>
          <w:szCs w:val="21"/>
          <w:highlight w:val="none"/>
        </w:rPr>
        <w:t>（1）</w:t>
      </w:r>
      <w:r>
        <w:rPr>
          <w:color w:val="auto"/>
          <w:szCs w:val="21"/>
          <w:highlight w:val="none"/>
        </w:rPr>
        <w:t>投标人已按照招标公告附件一的内容签署盖章的投标人声明；</w:t>
      </w:r>
    </w:p>
    <w:p w14:paraId="2ED5E000">
      <w:pPr>
        <w:spacing w:line="400" w:lineRule="exact"/>
        <w:ind w:firstLine="420" w:firstLineChars="200"/>
        <w:rPr>
          <w:color w:val="auto"/>
          <w:szCs w:val="21"/>
          <w:highlight w:val="none"/>
        </w:rPr>
      </w:pPr>
      <w:r>
        <w:rPr>
          <w:rFonts w:hint="eastAsia"/>
          <w:color w:val="auto"/>
          <w:szCs w:val="21"/>
          <w:highlight w:val="none"/>
        </w:rPr>
        <w:t>（2）投标人未被中储粮系统列为不良信用企业名单（详见招标公告附件二）；</w:t>
      </w:r>
    </w:p>
    <w:p w14:paraId="3410AEC9">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投标人在“全国建筑市场监管公共服务平台”网（http://jzsc.mohurd.gov.cn）及“广东省建设行业数据开放平台”（https://skypt.gdcic.net/openplatform/#/web/home）的企业信用信息查询中没有黑名单记录（由投标人在《投标函》中承诺并按要求签署盖章）；</w:t>
      </w:r>
    </w:p>
    <w:p w14:paraId="561EFA5C">
      <w:pPr>
        <w:spacing w:line="400" w:lineRule="exac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w:t>
      </w:r>
      <w:bookmarkStart w:id="34" w:name="_Hlk191973212"/>
      <w:r>
        <w:rPr>
          <w:color w:val="auto"/>
          <w:szCs w:val="21"/>
          <w:highlight w:val="none"/>
        </w:rPr>
        <w:t>投标人在“进粤企业和人员诚信信息登记平台”已录入相关信息并通过数据规范检查（广东省外进粤建筑企业提供网页查询结果截图或进粤企业和人员诚信信息表，广东省内注册企业不需要提供）。</w:t>
      </w:r>
      <w:bookmarkEnd w:id="34"/>
    </w:p>
    <w:p w14:paraId="465E2BD1">
      <w:pPr>
        <w:spacing w:line="400" w:lineRule="exact"/>
        <w:ind w:firstLine="420" w:firstLineChars="200"/>
        <w:rPr>
          <w:color w:val="auto"/>
          <w:szCs w:val="21"/>
          <w:highlight w:val="none"/>
        </w:rPr>
      </w:pPr>
      <w:r>
        <w:rPr>
          <w:rFonts w:hint="eastAsia"/>
          <w:color w:val="auto"/>
          <w:szCs w:val="21"/>
          <w:highlight w:val="none"/>
        </w:rPr>
        <w:t>（5）投标人须承诺近三年（</w:t>
      </w:r>
      <w:r>
        <w:rPr>
          <w:color w:val="auto"/>
          <w:szCs w:val="21"/>
          <w:highlight w:val="none"/>
        </w:rPr>
        <w:t>202</w:t>
      </w:r>
      <w:r>
        <w:rPr>
          <w:rFonts w:hint="eastAsia"/>
          <w:color w:val="auto"/>
          <w:szCs w:val="21"/>
          <w:highlight w:val="none"/>
        </w:rPr>
        <w:t>2年</w:t>
      </w:r>
      <w:r>
        <w:rPr>
          <w:color w:val="auto"/>
          <w:szCs w:val="21"/>
          <w:highlight w:val="none"/>
        </w:rPr>
        <w:t>1</w:t>
      </w:r>
      <w:r>
        <w:rPr>
          <w:rFonts w:hint="eastAsia"/>
          <w:color w:val="auto"/>
          <w:szCs w:val="21"/>
          <w:highlight w:val="none"/>
        </w:rPr>
        <w:t>月</w:t>
      </w:r>
      <w:r>
        <w:rPr>
          <w:color w:val="auto"/>
          <w:szCs w:val="21"/>
          <w:highlight w:val="none"/>
        </w:rPr>
        <w:t>1</w:t>
      </w:r>
      <w:r>
        <w:rPr>
          <w:rFonts w:hint="eastAsia"/>
          <w:color w:val="auto"/>
          <w:szCs w:val="21"/>
          <w:highlight w:val="none"/>
        </w:rPr>
        <w:t>日至投标截止时间止）未出现过拖欠农民工工资及供货商材料款的舆情事件，承诺如发生承建项目账户资金被冻结问题，必须限期解决，并确保中央资金安全（由投标人在《投标函》中承诺并按要求签署盖章）。</w:t>
      </w:r>
    </w:p>
    <w:p w14:paraId="759C8AF5">
      <w:pPr>
        <w:spacing w:line="400" w:lineRule="exact"/>
        <w:ind w:firstLine="420" w:firstLineChars="200"/>
        <w:rPr>
          <w:color w:val="auto"/>
          <w:szCs w:val="21"/>
          <w:highlight w:val="none"/>
        </w:rPr>
      </w:pPr>
      <w:r>
        <w:rPr>
          <w:color w:val="auto"/>
          <w:szCs w:val="21"/>
          <w:highlight w:val="none"/>
        </w:rPr>
        <w:t>3.8本项目不接受联合体投标。</w:t>
      </w:r>
    </w:p>
    <w:p w14:paraId="3698FFFB">
      <w:pPr>
        <w:pStyle w:val="3"/>
        <w:tabs>
          <w:tab w:val="left" w:pos="360"/>
          <w:tab w:val="left" w:pos="800"/>
        </w:tabs>
        <w:rPr>
          <w:rFonts w:ascii="Times New Roman" w:hAnsi="Times New Roman" w:eastAsia="宋体"/>
          <w:color w:val="auto"/>
          <w:sz w:val="30"/>
          <w:szCs w:val="30"/>
          <w:highlight w:val="none"/>
        </w:rPr>
      </w:pPr>
      <w:bookmarkStart w:id="35" w:name="_Toc113285968"/>
      <w:bookmarkStart w:id="36" w:name="_Toc187678973"/>
      <w:r>
        <w:rPr>
          <w:rFonts w:ascii="Times New Roman" w:hAnsi="Times New Roman" w:eastAsia="宋体"/>
          <w:color w:val="auto"/>
          <w:sz w:val="30"/>
          <w:szCs w:val="30"/>
          <w:highlight w:val="none"/>
        </w:rPr>
        <w:t>4. 招标文件的获取</w:t>
      </w:r>
      <w:bookmarkEnd w:id="27"/>
      <w:bookmarkEnd w:id="28"/>
      <w:bookmarkEnd w:id="29"/>
      <w:bookmarkEnd w:id="30"/>
      <w:bookmarkEnd w:id="31"/>
      <w:bookmarkEnd w:id="32"/>
      <w:bookmarkEnd w:id="33"/>
      <w:bookmarkEnd w:id="35"/>
      <w:bookmarkEnd w:id="36"/>
    </w:p>
    <w:p w14:paraId="64F9830C">
      <w:pPr>
        <w:spacing w:line="400" w:lineRule="exact"/>
        <w:ind w:firstLine="420" w:firstLineChars="200"/>
        <w:rPr>
          <w:rFonts w:ascii="Times New Roman" w:hAnsi="Times New Roman"/>
        </w:rPr>
      </w:pPr>
      <w:bookmarkStart w:id="37" w:name="_Toc246996162"/>
      <w:bookmarkStart w:id="38" w:name="_Toc152042292"/>
      <w:bookmarkStart w:id="39" w:name="_Toc247085676"/>
      <w:bookmarkStart w:id="40" w:name="_Toc246996905"/>
      <w:bookmarkStart w:id="41" w:name="_Toc179632532"/>
      <w:bookmarkStart w:id="42" w:name="_Toc152045516"/>
      <w:bookmarkStart w:id="43" w:name="_Toc144974484"/>
      <w:r>
        <w:rPr>
          <w:rFonts w:ascii="Times New Roman" w:hAnsi="Times New Roman"/>
          <w:szCs w:val="21"/>
        </w:rPr>
        <w:t>4.1</w:t>
      </w:r>
      <w:r>
        <w:rPr>
          <w:rFonts w:ascii="Times New Roman" w:hAnsi="Times New Roman"/>
          <w:szCs w:val="24"/>
        </w:rPr>
        <w:t>凡有意参加投标者，请于</w:t>
      </w:r>
      <w:r>
        <w:rPr>
          <w:rFonts w:hint="eastAsia"/>
          <w:szCs w:val="24"/>
          <w:u w:val="single"/>
          <w:lang w:val="en-US" w:eastAsia="zh-CN"/>
        </w:rPr>
        <w:t xml:space="preserve">    </w:t>
      </w:r>
      <w:r>
        <w:rPr>
          <w:rFonts w:ascii="Times New Roman" w:hAnsi="Times New Roman"/>
          <w:szCs w:val="24"/>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ascii="Times New Roman" w:hAnsi="Times New Roman"/>
          <w:szCs w:val="24"/>
          <w:u w:val="single"/>
        </w:rPr>
        <w:t>00</w:t>
      </w:r>
      <w:r>
        <w:rPr>
          <w:rFonts w:ascii="Times New Roman" w:hAnsi="Times New Roman"/>
          <w:szCs w:val="24"/>
        </w:rPr>
        <w:t>时</w:t>
      </w:r>
      <w:r>
        <w:rPr>
          <w:rFonts w:ascii="Times New Roman" w:hAnsi="Times New Roman"/>
          <w:szCs w:val="24"/>
          <w:u w:val="single"/>
        </w:rPr>
        <w:t>00</w:t>
      </w:r>
      <w:r>
        <w:rPr>
          <w:rFonts w:ascii="Times New Roman" w:hAnsi="Times New Roman"/>
          <w:szCs w:val="24"/>
        </w:rPr>
        <w:t>分至</w:t>
      </w:r>
      <w:r>
        <w:rPr>
          <w:rFonts w:hint="eastAsia"/>
          <w:szCs w:val="24"/>
          <w:u w:val="single"/>
          <w:lang w:val="en-US" w:eastAsia="zh-CN"/>
        </w:rPr>
        <w:t xml:space="preserve">    </w:t>
      </w:r>
      <w:r>
        <w:rPr>
          <w:rFonts w:ascii="Times New Roman" w:hAnsi="Times New Roman"/>
          <w:szCs w:val="24"/>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ascii="Times New Roman" w:hAnsi="Times New Roman"/>
          <w:szCs w:val="24"/>
          <w:u w:val="single"/>
        </w:rPr>
        <w:t>23</w:t>
      </w:r>
      <w:r>
        <w:rPr>
          <w:rFonts w:ascii="Times New Roman" w:hAnsi="Times New Roman"/>
          <w:szCs w:val="24"/>
        </w:rPr>
        <w:t>时</w:t>
      </w:r>
      <w:r>
        <w:rPr>
          <w:rFonts w:ascii="Times New Roman" w:hAnsi="Times New Roman"/>
          <w:szCs w:val="24"/>
          <w:u w:val="single"/>
        </w:rPr>
        <w:t>59</w:t>
      </w:r>
      <w:r>
        <w:rPr>
          <w:rFonts w:ascii="Times New Roman" w:hAnsi="Times New Roman"/>
          <w:szCs w:val="24"/>
        </w:rPr>
        <w:t>分（北京时间，下同)，登录</w:t>
      </w:r>
      <w:r>
        <w:rPr>
          <w:rFonts w:ascii="Times New Roman" w:hAnsi="Times New Roman"/>
          <w:u w:val="single"/>
        </w:rPr>
        <w:t>广州公共资源交易中心数字交易平台</w:t>
      </w:r>
      <w:r>
        <w:rPr>
          <w:rFonts w:hint="eastAsia" w:ascii="Times New Roman" w:hAnsi="Times New Roman"/>
          <w:u w:val="single"/>
        </w:rPr>
        <w:t>（</w:t>
      </w:r>
      <w:r>
        <w:rPr>
          <w:rFonts w:ascii="Times New Roman" w:hAnsi="Times New Roman"/>
          <w:u w:val="single"/>
        </w:rPr>
        <w:t>http://www.gzggzy.cn/</w:t>
      </w:r>
      <w:r>
        <w:rPr>
          <w:rFonts w:hint="eastAsia" w:ascii="Times New Roman" w:hAnsi="Times New Roman"/>
          <w:u w:val="single"/>
        </w:rPr>
        <w:t>）</w:t>
      </w:r>
      <w:r>
        <w:rPr>
          <w:rFonts w:ascii="Times New Roman" w:hAnsi="Times New Roman"/>
        </w:rPr>
        <w:t>办理网上投标登记手续并下载电子招标文件</w:t>
      </w:r>
      <w:r>
        <w:rPr>
          <w:rFonts w:ascii="Times New Roman" w:hAnsi="Times New Roman"/>
          <w:szCs w:val="24"/>
        </w:rPr>
        <w:t>。</w:t>
      </w:r>
    </w:p>
    <w:p w14:paraId="10F8B844">
      <w:pPr>
        <w:spacing w:line="400" w:lineRule="exact"/>
        <w:ind w:firstLine="420" w:firstLineChars="200"/>
        <w:rPr>
          <w:rFonts w:ascii="Times New Roman" w:hAnsi="Times New Roman"/>
        </w:rPr>
      </w:pPr>
      <w:r>
        <w:rPr>
          <w:rFonts w:hint="eastAsia" w:ascii="Times New Roman" w:hAnsi="Times New Roman"/>
        </w:rPr>
        <w:t>4</w:t>
      </w:r>
      <w:r>
        <w:rPr>
          <w:rFonts w:ascii="Times New Roman" w:hAnsi="Times New Roman"/>
        </w:rPr>
        <w:t>.2</w:t>
      </w:r>
      <w:r>
        <w:rPr>
          <w:rFonts w:hint="eastAsia" w:ascii="Times New Roman" w:hAnsi="Times New Roman"/>
        </w:rPr>
        <w:t>投标人应在投标登记截止时间前登录广州公共资源交易中心数字交易平台（http//www.gzggzy.cn</w:t>
      </w:r>
      <w:r>
        <w:rPr>
          <w:rFonts w:ascii="Times New Roman" w:hAnsi="Times New Roman"/>
        </w:rPr>
        <w:t>/</w:t>
      </w:r>
      <w:r>
        <w:rPr>
          <w:rFonts w:hint="eastAsia" w:ascii="Times New Roman" w:hAnsi="Times New Roman"/>
        </w:rPr>
        <w:t>）办理网上投标登记手续，并按照交易平台关于全流程电子化项目的相关指南进行。详见：广州交易集团有限公司（广州公共资源交易中心）官网指引。</w:t>
      </w:r>
    </w:p>
    <w:p w14:paraId="23B9EC2B">
      <w:pPr>
        <w:spacing w:line="400" w:lineRule="exact"/>
        <w:ind w:firstLine="420" w:firstLineChars="200"/>
        <w:rPr>
          <w:rFonts w:ascii="Times New Roman" w:hAnsi="Times New Roman"/>
        </w:rPr>
      </w:pPr>
      <w:r>
        <w:rPr>
          <w:rFonts w:hint="eastAsia" w:ascii="Times New Roman" w:hAnsi="Times New Roman"/>
        </w:rPr>
        <w:t>4</w:t>
      </w:r>
      <w:r>
        <w:rPr>
          <w:rFonts w:ascii="Times New Roman" w:hAnsi="Times New Roman"/>
        </w:rPr>
        <w:t>.3</w:t>
      </w:r>
      <w:r>
        <w:rPr>
          <w:rFonts w:hint="eastAsia" w:ascii="Times New Roman" w:hAnsi="Times New Roman"/>
        </w:rPr>
        <w:t>投标人完成广州公共资源交易中心数字交易平台网上投标登记手续后，</w:t>
      </w:r>
      <w:r>
        <w:rPr>
          <w:rFonts w:hint="eastAsia"/>
        </w:rPr>
        <w:t>应在投标登记截止时间前</w:t>
      </w:r>
      <w:r>
        <w:rPr>
          <w:rFonts w:hint="eastAsia" w:ascii="Times New Roman" w:hAnsi="Times New Roman"/>
        </w:rPr>
        <w:t>联系本项目招标代理机构：</w:t>
      </w:r>
      <w:r>
        <w:rPr>
          <w:rFonts w:hint="eastAsia"/>
          <w:lang w:val="en-US" w:eastAsia="zh-CN"/>
        </w:rPr>
        <w:t>陈</w:t>
      </w:r>
      <w:r>
        <w:rPr>
          <w:rFonts w:hint="eastAsia" w:ascii="Times New Roman" w:hAnsi="Times New Roman"/>
        </w:rPr>
        <w:t>工</w:t>
      </w:r>
      <w:r>
        <w:rPr>
          <w:rFonts w:hint="eastAsia"/>
          <w:lang w:val="en-US" w:eastAsia="zh-CN"/>
        </w:rPr>
        <w:t>19587491159</w:t>
      </w:r>
      <w:r>
        <w:rPr>
          <w:rFonts w:hint="eastAsia" w:ascii="Times New Roman" w:hAnsi="Times New Roman"/>
        </w:rPr>
        <w:t>（电子邮箱：</w:t>
      </w:r>
      <w:r>
        <w:rPr>
          <w:rFonts w:hint="eastAsia"/>
          <w:lang w:val="en-US" w:eastAsia="zh-CN"/>
        </w:rPr>
        <w:t>1506754417</w:t>
      </w:r>
      <w:r>
        <w:rPr>
          <w:rFonts w:hint="eastAsia" w:ascii="Times New Roman" w:hAnsi="Times New Roman"/>
        </w:rPr>
        <w:t>@qq.com）、冯工13570109163获取招标文件</w:t>
      </w:r>
      <w:r>
        <w:rPr>
          <w:rFonts w:hint="eastAsia"/>
        </w:rPr>
        <w:t>（含图纸及技术资料）</w:t>
      </w:r>
      <w:r>
        <w:rPr>
          <w:rFonts w:hint="eastAsia" w:ascii="Times New Roman" w:hAnsi="Times New Roman"/>
        </w:rPr>
        <w:t>。投标人获取</w:t>
      </w:r>
      <w:r>
        <w:rPr>
          <w:rFonts w:ascii="Times New Roman" w:hAnsi="Times New Roman"/>
        </w:rPr>
        <w:t>时需提交«投标</w:t>
      </w:r>
      <w:r>
        <w:rPr>
          <w:rFonts w:hint="eastAsia" w:ascii="Times New Roman" w:hAnsi="Times New Roman"/>
        </w:rPr>
        <w:t>登记</w:t>
      </w:r>
      <w:r>
        <w:rPr>
          <w:rFonts w:ascii="Times New Roman" w:hAnsi="Times New Roman"/>
        </w:rPr>
        <w:t>申请表»（签章齐全</w:t>
      </w:r>
      <w:r>
        <w:rPr>
          <w:rFonts w:hint="eastAsia" w:ascii="Times New Roman" w:hAnsi="Times New Roman"/>
        </w:rPr>
        <w:t>，</w:t>
      </w:r>
      <w:r>
        <w:rPr>
          <w:rFonts w:ascii="Times New Roman" w:hAnsi="Times New Roman"/>
        </w:rPr>
        <w:t>格式可在</w:t>
      </w:r>
      <w:r>
        <w:rPr>
          <w:rFonts w:hint="eastAsia" w:ascii="Times New Roman" w:hAnsi="Times New Roman"/>
        </w:rPr>
        <w:t>广州交易集团有限公司（广州公共资源交易中心）官网</w:t>
      </w:r>
      <w:r>
        <w:rPr>
          <w:rFonts w:ascii="Times New Roman" w:hAnsi="Times New Roman"/>
        </w:rPr>
        <w:t>（http:// www.gzggzy.cn）下载）。</w:t>
      </w:r>
    </w:p>
    <w:p w14:paraId="4679381B">
      <w:pPr>
        <w:spacing w:line="400" w:lineRule="exact"/>
        <w:ind w:firstLine="420" w:firstLineChars="200"/>
        <w:rPr>
          <w:rFonts w:ascii="Times New Roman" w:hAnsi="Times New Roman"/>
        </w:rPr>
      </w:pPr>
      <w:r>
        <w:rPr>
          <w:rFonts w:hint="eastAsia" w:ascii="Times New Roman" w:hAnsi="Times New Roman"/>
        </w:rPr>
        <w:t>4.4潜在投标人或利害关系人对本招标公告及招标内容异议的，应当在投标截止时间10日前向招标人书面提出：</w:t>
      </w:r>
    </w:p>
    <w:p w14:paraId="443711BF">
      <w:pPr>
        <w:spacing w:line="400" w:lineRule="exact"/>
        <w:ind w:firstLine="420" w:firstLineChars="200"/>
        <w:rPr>
          <w:rFonts w:ascii="Times New Roman" w:hAnsi="Times New Roman"/>
        </w:rPr>
      </w:pPr>
      <w:r>
        <w:rPr>
          <w:rFonts w:hint="eastAsia" w:ascii="Times New Roman" w:hAnsi="Times New Roman"/>
        </w:rPr>
        <w:t>异议受理单位：国信招标集团股份有限公司</w:t>
      </w:r>
    </w:p>
    <w:p w14:paraId="11901E0F">
      <w:pPr>
        <w:spacing w:line="400" w:lineRule="exact"/>
        <w:ind w:firstLine="420" w:firstLineChars="200"/>
        <w:rPr>
          <w:rFonts w:ascii="Times New Roman" w:hAnsi="Times New Roman"/>
        </w:rPr>
      </w:pPr>
      <w:r>
        <w:rPr>
          <w:rFonts w:hint="eastAsia" w:ascii="Times New Roman" w:hAnsi="Times New Roman"/>
        </w:rPr>
        <w:t>异议受理电话：</w:t>
      </w:r>
      <w:r>
        <w:rPr>
          <w:rFonts w:hint="eastAsia"/>
          <w:lang w:val="en-US" w:eastAsia="zh-CN"/>
        </w:rPr>
        <w:t>19587491159</w:t>
      </w:r>
      <w:r>
        <w:rPr>
          <w:rFonts w:hint="eastAsia" w:ascii="Times New Roman" w:hAnsi="Times New Roman"/>
        </w:rPr>
        <w:t>、1</w:t>
      </w:r>
      <w:r>
        <w:rPr>
          <w:rFonts w:ascii="Times New Roman" w:hAnsi="Times New Roman"/>
        </w:rPr>
        <w:t>3570109163</w:t>
      </w:r>
      <w:r>
        <w:rPr>
          <w:rFonts w:hint="eastAsia" w:ascii="Times New Roman" w:hAnsi="Times New Roman"/>
        </w:rPr>
        <w:t>、</w:t>
      </w:r>
      <w:r>
        <w:rPr>
          <w:rFonts w:ascii="Times New Roman" w:hAnsi="Times New Roman"/>
        </w:rPr>
        <w:t>020-83180883</w:t>
      </w:r>
    </w:p>
    <w:p w14:paraId="5631CD0A">
      <w:pPr>
        <w:spacing w:line="400" w:lineRule="exact"/>
        <w:ind w:firstLine="420" w:firstLineChars="200"/>
        <w:rPr>
          <w:rFonts w:ascii="Times New Roman" w:hAnsi="Times New Roman"/>
        </w:rPr>
      </w:pPr>
      <w:r>
        <w:rPr>
          <w:rFonts w:hint="eastAsia" w:ascii="Times New Roman" w:hAnsi="Times New Roman"/>
        </w:rPr>
        <w:t>地址：广州市越秀区广州大道中289号南方同创汇4号楼705室</w:t>
      </w:r>
    </w:p>
    <w:p w14:paraId="296569FF">
      <w:pPr>
        <w:spacing w:line="400" w:lineRule="exact"/>
        <w:ind w:firstLine="420" w:firstLineChars="200"/>
        <w:rPr>
          <w:color w:val="auto"/>
          <w:szCs w:val="22"/>
          <w:highlight w:val="none"/>
        </w:rPr>
      </w:pPr>
      <w:r>
        <w:rPr>
          <w:rFonts w:hint="eastAsia" w:ascii="宋体" w:hAnsi="宋体" w:cs="Arial"/>
          <w:szCs w:val="21"/>
        </w:rPr>
        <w:t>注：①潜在投标人</w:t>
      </w:r>
      <w:r>
        <w:rPr>
          <w:rFonts w:hint="eastAsia" w:ascii="Times New Roman" w:hAnsi="Times New Roman"/>
        </w:rPr>
        <w:t>或利害关系人</w:t>
      </w:r>
      <w:r>
        <w:rPr>
          <w:rFonts w:hint="eastAsia" w:ascii="宋体" w:hAnsi="宋体" w:cs="Arial"/>
          <w:szCs w:val="21"/>
        </w:rPr>
        <w:t>在提出异议时，必须同时提供证据，并说明所提供证据的合法来源；②书面异议材料应加盖单位公章并由法定代表人或其授权委托人签字；③由授权委托人签署的，还应附法定代表人签署的授权委托书（附法定代表人及授权委托人身份证复印件）；潜在</w:t>
      </w:r>
      <w:r>
        <w:rPr>
          <w:rFonts w:hint="eastAsia"/>
        </w:rPr>
        <w:t>投标人或利害关系人可以通过线下或线上的形式提出异议。线上提出异议的，应通过交易平台提交，招标人也应通过交易平台答复线上提出的异议。具体按照交易平台相关指南进行操作。</w:t>
      </w:r>
      <w:bookmarkStart w:id="44" w:name="_Toc187678974"/>
      <w:bookmarkStart w:id="45" w:name="_Toc113285969"/>
    </w:p>
    <w:p w14:paraId="7359F573">
      <w:pPr>
        <w:pStyle w:val="3"/>
        <w:rPr>
          <w:rFonts w:ascii="Times New Roman" w:hAnsi="Times New Roman" w:eastAsia="宋体"/>
          <w:color w:val="auto"/>
          <w:sz w:val="30"/>
          <w:szCs w:val="30"/>
          <w:highlight w:val="none"/>
        </w:rPr>
      </w:pPr>
      <w:r>
        <w:rPr>
          <w:rFonts w:ascii="Times New Roman" w:hAnsi="Times New Roman" w:eastAsia="宋体"/>
          <w:color w:val="auto"/>
          <w:sz w:val="30"/>
          <w:szCs w:val="30"/>
          <w:highlight w:val="none"/>
        </w:rPr>
        <w:t>5. 投标文件的递交</w:t>
      </w:r>
      <w:bookmarkEnd w:id="37"/>
      <w:bookmarkEnd w:id="38"/>
      <w:bookmarkEnd w:id="39"/>
      <w:bookmarkEnd w:id="40"/>
      <w:bookmarkEnd w:id="41"/>
      <w:bookmarkEnd w:id="42"/>
      <w:bookmarkEnd w:id="43"/>
      <w:bookmarkEnd w:id="44"/>
      <w:bookmarkEnd w:id="45"/>
    </w:p>
    <w:p w14:paraId="5125ACA7">
      <w:pPr>
        <w:tabs>
          <w:tab w:val="left" w:pos="360"/>
        </w:tabs>
        <w:spacing w:line="400" w:lineRule="exact"/>
        <w:ind w:firstLine="420" w:firstLineChars="200"/>
        <w:rPr>
          <w:rFonts w:ascii="Times New Roman" w:hAnsi="Times New Roman" w:eastAsiaTheme="minorEastAsia"/>
        </w:rPr>
      </w:pPr>
      <w:bookmarkStart w:id="46" w:name="_Toc246996163"/>
      <w:bookmarkStart w:id="47" w:name="_Toc246996906"/>
      <w:bookmarkStart w:id="48" w:name="_Toc247085677"/>
      <w:bookmarkStart w:id="49" w:name="_Toc157499355"/>
      <w:bookmarkStart w:id="50" w:name="_Toc179632533"/>
      <w:r>
        <w:rPr>
          <w:rFonts w:ascii="Times New Roman" w:hAnsi="Times New Roman" w:eastAsiaTheme="minorEastAsia"/>
        </w:rPr>
        <w:t>5.1投标文件递交的截止时间（投标截止时间，下同）为</w:t>
      </w:r>
      <w:r>
        <w:rPr>
          <w:rFonts w:hint="eastAsia"/>
          <w:u w:val="single"/>
          <w:lang w:val="en-US" w:eastAsia="zh-CN"/>
        </w:rPr>
        <w:t xml:space="preserve">    </w:t>
      </w:r>
      <w:r>
        <w:rPr>
          <w:rFonts w:ascii="Times New Roman" w:hAnsi="Times New Roman"/>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ascii="Times New Roman" w:hAnsi="Times New Roman"/>
          <w:szCs w:val="24"/>
          <w:u w:val="single"/>
        </w:rPr>
        <w:t xml:space="preserve"> </w:t>
      </w:r>
      <w:r>
        <w:rPr>
          <w:rFonts w:hint="eastAsia"/>
          <w:szCs w:val="24"/>
          <w:u w:val="single"/>
          <w:lang w:val="en-US" w:eastAsia="zh-CN"/>
        </w:rPr>
        <w:t xml:space="preserve"> </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hint="eastAsia"/>
          <w:szCs w:val="24"/>
          <w:u w:val="single"/>
          <w:lang w:val="en-US" w:eastAsia="zh-CN"/>
        </w:rPr>
        <w:t xml:space="preserve"> </w:t>
      </w:r>
      <w:r>
        <w:rPr>
          <w:rFonts w:hint="eastAsia" w:ascii="Times New Roman" w:hAnsi="Times New Roman"/>
          <w:szCs w:val="24"/>
          <w:u w:val="single"/>
        </w:rPr>
        <w:t xml:space="preserve"> </w:t>
      </w:r>
      <w:r>
        <w:rPr>
          <w:rFonts w:ascii="Times New Roman" w:hAnsi="Times New Roman"/>
          <w:szCs w:val="24"/>
        </w:rPr>
        <w:t>分</w:t>
      </w:r>
      <w:r>
        <w:rPr>
          <w:rFonts w:ascii="Times New Roman" w:hAnsi="Times New Roman" w:eastAsiaTheme="minorEastAsia"/>
        </w:rPr>
        <w:t>，投标人应在截止时间前登录</w:t>
      </w:r>
      <w:r>
        <w:rPr>
          <w:rFonts w:hint="eastAsia" w:ascii="Times New Roman" w:hAnsi="Times New Roman" w:eastAsiaTheme="minorEastAsia"/>
          <w:u w:val="single"/>
        </w:rPr>
        <w:t>广州交易集团有限公司（广州公共资源交易中心）官网（</w:t>
      </w:r>
      <w:r>
        <w:rPr>
          <w:rFonts w:ascii="Times New Roman" w:hAnsi="Times New Roman" w:eastAsiaTheme="minorEastAsia"/>
          <w:u w:val="single"/>
        </w:rPr>
        <w:t>http://www.gzggzy.cn/</w:t>
      </w:r>
      <w:r>
        <w:rPr>
          <w:rFonts w:hint="eastAsia" w:ascii="Times New Roman" w:hAnsi="Times New Roman" w:eastAsiaTheme="minorEastAsia"/>
          <w:u w:val="single"/>
        </w:rPr>
        <w:t>）</w:t>
      </w:r>
      <w:r>
        <w:rPr>
          <w:rFonts w:ascii="Times New Roman" w:hAnsi="Times New Roman" w:eastAsiaTheme="minorEastAsia"/>
        </w:rPr>
        <w:t>通过广州公共资源交易中心数字交易平台递交电子投标文件。</w:t>
      </w:r>
    </w:p>
    <w:p w14:paraId="2E3FCBE3">
      <w:pPr>
        <w:tabs>
          <w:tab w:val="left" w:pos="360"/>
        </w:tabs>
        <w:spacing w:line="400" w:lineRule="exact"/>
        <w:ind w:firstLine="420" w:firstLineChars="200"/>
        <w:rPr>
          <w:rFonts w:ascii="Times New Roman" w:hAnsi="Times New Roman" w:eastAsiaTheme="minorEastAsia"/>
          <w:u w:val="single"/>
        </w:rPr>
      </w:pPr>
      <w:r>
        <w:rPr>
          <w:rFonts w:ascii="Times New Roman" w:hAnsi="Times New Roman" w:eastAsiaTheme="minorEastAsia"/>
        </w:rPr>
        <w:t>投标文件备用</w:t>
      </w:r>
      <w:r>
        <w:rPr>
          <w:rFonts w:hint="eastAsia" w:ascii="Times New Roman" w:hAnsi="Times New Roman"/>
          <w:szCs w:val="24"/>
        </w:rPr>
        <w:t>U盘</w:t>
      </w:r>
      <w:r>
        <w:rPr>
          <w:rFonts w:ascii="Times New Roman" w:hAnsi="Times New Roman" w:eastAsiaTheme="minorEastAsia"/>
        </w:rPr>
        <w:t>递交时间：</w:t>
      </w:r>
      <w:r>
        <w:rPr>
          <w:rFonts w:hint="eastAsia"/>
          <w:u w:val="single"/>
          <w:lang w:val="en-US" w:eastAsia="zh-CN"/>
        </w:rPr>
        <w:t xml:space="preserve">    </w:t>
      </w:r>
      <w:r>
        <w:rPr>
          <w:rFonts w:ascii="Times New Roman" w:hAnsi="Times New Roman"/>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szCs w:val="24"/>
          <w:u w:val="single"/>
          <w:lang w:val="en-US" w:eastAsia="zh-CN"/>
        </w:rPr>
        <w:t xml:space="preserve">  </w:t>
      </w:r>
      <w:r>
        <w:rPr>
          <w:rFonts w:ascii="Times New Roman" w:hAnsi="Times New Roman"/>
          <w:szCs w:val="24"/>
        </w:rPr>
        <w:t>时</w:t>
      </w:r>
      <w:r>
        <w:rPr>
          <w:rFonts w:hint="eastAsia"/>
          <w:szCs w:val="24"/>
          <w:u w:val="single"/>
          <w:lang w:val="en-US" w:eastAsia="zh-CN"/>
        </w:rPr>
        <w:t xml:space="preserve">  </w:t>
      </w:r>
      <w:r>
        <w:rPr>
          <w:rFonts w:ascii="Times New Roman" w:hAnsi="Times New Roman"/>
          <w:szCs w:val="24"/>
        </w:rPr>
        <w:t>分</w:t>
      </w:r>
      <w:r>
        <w:rPr>
          <w:rFonts w:ascii="Times New Roman" w:hAnsi="Times New Roman"/>
        </w:rPr>
        <w:t>至</w:t>
      </w:r>
      <w:r>
        <w:rPr>
          <w:rFonts w:hint="eastAsia"/>
          <w:u w:val="single"/>
          <w:lang w:val="en-US" w:eastAsia="zh-CN"/>
        </w:rPr>
        <w:t xml:space="preserve">    </w:t>
      </w:r>
      <w:r>
        <w:rPr>
          <w:rFonts w:ascii="Times New Roman" w:hAnsi="Times New Roman"/>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szCs w:val="24"/>
          <w:u w:val="single"/>
          <w:lang w:val="en-US" w:eastAsia="zh-CN"/>
        </w:rPr>
        <w:t xml:space="preserve">  </w:t>
      </w:r>
      <w:r>
        <w:rPr>
          <w:rFonts w:ascii="Times New Roman" w:hAnsi="Times New Roman"/>
          <w:szCs w:val="24"/>
        </w:rPr>
        <w:t>时</w:t>
      </w:r>
      <w:r>
        <w:rPr>
          <w:rFonts w:hint="eastAsia"/>
          <w:szCs w:val="24"/>
          <w:u w:val="single"/>
          <w:lang w:val="en-US" w:eastAsia="zh-CN"/>
        </w:rPr>
        <w:t xml:space="preserve">  </w:t>
      </w:r>
      <w:r>
        <w:rPr>
          <w:rFonts w:ascii="Times New Roman" w:hAnsi="Times New Roman"/>
          <w:szCs w:val="24"/>
        </w:rPr>
        <w:t>分</w:t>
      </w:r>
      <w:r>
        <w:rPr>
          <w:rFonts w:ascii="Times New Roman" w:hAnsi="Times New Roman" w:eastAsiaTheme="minorEastAsia"/>
        </w:rPr>
        <w:t>（备注：填写时间为投标截止前15分钟开始递交至投标截止时间止），投标文件备用</w:t>
      </w:r>
      <w:r>
        <w:rPr>
          <w:rFonts w:hint="eastAsia" w:ascii="Times New Roman" w:hAnsi="Times New Roman"/>
          <w:szCs w:val="24"/>
        </w:rPr>
        <w:t>U盘</w:t>
      </w:r>
      <w:r>
        <w:rPr>
          <w:rFonts w:ascii="Times New Roman" w:hAnsi="Times New Roman" w:eastAsiaTheme="minorEastAsia"/>
        </w:rPr>
        <w:t>递交地点：</w:t>
      </w:r>
      <w:r>
        <w:rPr>
          <w:rFonts w:ascii="Times New Roman" w:hAnsi="Times New Roman" w:eastAsiaTheme="minorEastAsia"/>
          <w:u w:val="single"/>
        </w:rPr>
        <w:t>广州公共资源交易中心</w:t>
      </w:r>
      <w:r>
        <w:rPr>
          <w:rFonts w:hint="eastAsia" w:ascii="Times New Roman" w:hAnsi="Times New Roman" w:eastAsiaTheme="minorEastAsia"/>
          <w:u w:val="single"/>
        </w:rPr>
        <w:t>第</w:t>
      </w:r>
      <w:r>
        <w:rPr>
          <w:rFonts w:hint="eastAsia" w:eastAsiaTheme="minorEastAsia"/>
          <w:u w:val="single"/>
          <w:lang w:val="en-US" w:eastAsia="zh-CN"/>
        </w:rPr>
        <w:t xml:space="preserve">   </w:t>
      </w:r>
      <w:r>
        <w:rPr>
          <w:rFonts w:hint="eastAsia" w:ascii="Times New Roman" w:hAnsi="Times New Roman" w:eastAsiaTheme="minorEastAsia"/>
          <w:u w:val="single"/>
          <w:lang w:val="en-US" w:eastAsia="zh-CN"/>
        </w:rPr>
        <w:t>开标室</w:t>
      </w:r>
      <w:r>
        <w:rPr>
          <w:rFonts w:ascii="Times New Roman" w:hAnsi="Times New Roman" w:eastAsiaTheme="minorEastAsia"/>
          <w:u w:val="single"/>
        </w:rPr>
        <w:t>。</w:t>
      </w:r>
    </w:p>
    <w:p w14:paraId="497C182D">
      <w:pPr>
        <w:tabs>
          <w:tab w:val="left" w:pos="360"/>
        </w:tabs>
        <w:spacing w:line="400" w:lineRule="exact"/>
        <w:ind w:firstLine="435"/>
        <w:rPr>
          <w:rFonts w:ascii="Times New Roman" w:hAnsi="Times New Roman" w:eastAsiaTheme="minorEastAsia"/>
          <w:u w:val="single"/>
        </w:rPr>
      </w:pPr>
      <w:r>
        <w:rPr>
          <w:rFonts w:ascii="Times New Roman" w:hAnsi="Times New Roman" w:eastAsiaTheme="minorEastAsia"/>
          <w:u w:val="single"/>
        </w:rPr>
        <w:t>投标人完成电子投标上传后，电子招标投标交易平台即时向投标人发出递交回执通知。递交时间以递交回执通知载明的传输时间为准。</w:t>
      </w:r>
    </w:p>
    <w:p w14:paraId="30310FB2">
      <w:pPr>
        <w:spacing w:line="400" w:lineRule="exact"/>
        <w:ind w:firstLine="420" w:firstLineChars="200"/>
        <w:jc w:val="left"/>
        <w:rPr>
          <w:rFonts w:ascii="Times New Roman" w:hAnsi="Times New Roman" w:eastAsiaTheme="minorEastAsia"/>
        </w:rPr>
      </w:pPr>
      <w:r>
        <w:rPr>
          <w:rFonts w:ascii="Times New Roman" w:hAnsi="Times New Roman" w:eastAsiaTheme="minorEastAsia"/>
        </w:rPr>
        <w:t>5.2逾期送达的投标文件，电子招标投标交易平台将予以拒收。采取电子投标时，逾期未上传成功的电子投标文件，招标人拒绝接收。</w:t>
      </w:r>
    </w:p>
    <w:p w14:paraId="285DF835">
      <w:pPr>
        <w:spacing w:line="400" w:lineRule="exact"/>
        <w:ind w:left="420" w:leftChars="200"/>
        <w:rPr>
          <w:rFonts w:ascii="Times New Roman" w:hAnsi="Times New Roman"/>
          <w:szCs w:val="21"/>
        </w:rPr>
      </w:pPr>
      <w:r>
        <w:rPr>
          <w:rFonts w:hint="eastAsia" w:ascii="Times New Roman" w:hAnsi="Times New Roman"/>
          <w:szCs w:val="21"/>
        </w:rPr>
        <w:t>5</w:t>
      </w:r>
      <w:r>
        <w:rPr>
          <w:rFonts w:ascii="Times New Roman" w:hAnsi="Times New Roman"/>
          <w:szCs w:val="21"/>
        </w:rPr>
        <w:t>.3</w:t>
      </w:r>
      <w:r>
        <w:rPr>
          <w:rFonts w:hint="eastAsia" w:ascii="宋体" w:hAnsi="宋体" w:cs="宋体"/>
          <w:szCs w:val="21"/>
        </w:rPr>
        <w:t>开标时间：</w:t>
      </w:r>
      <w:r>
        <w:rPr>
          <w:rFonts w:hint="eastAsia"/>
          <w:u w:val="single"/>
          <w:lang w:val="en-US" w:eastAsia="zh-CN"/>
        </w:rPr>
        <w:t xml:space="preserve">    </w:t>
      </w:r>
      <w:r>
        <w:rPr>
          <w:rFonts w:ascii="Times New Roman" w:hAnsi="Times New Roman"/>
        </w:rPr>
        <w:t>年</w:t>
      </w:r>
      <w:r>
        <w:rPr>
          <w:rFonts w:hint="eastAsia"/>
          <w:szCs w:val="24"/>
          <w:u w:val="single"/>
          <w:lang w:val="en-US" w:eastAsia="zh-CN"/>
        </w:rPr>
        <w:t xml:space="preserve">   </w:t>
      </w:r>
      <w:r>
        <w:rPr>
          <w:rFonts w:ascii="Times New Roman" w:hAnsi="Times New Roman"/>
          <w:szCs w:val="24"/>
        </w:rPr>
        <w:t>月</w:t>
      </w:r>
      <w:r>
        <w:rPr>
          <w:rFonts w:hint="eastAsia"/>
          <w:szCs w:val="24"/>
          <w:u w:val="single"/>
          <w:lang w:val="en-US" w:eastAsia="zh-CN"/>
        </w:rPr>
        <w:t xml:space="preserve">   </w:t>
      </w:r>
      <w:r>
        <w:rPr>
          <w:rFonts w:ascii="Times New Roman" w:hAnsi="Times New Roman"/>
          <w:szCs w:val="24"/>
        </w:rPr>
        <w:t>日</w:t>
      </w:r>
      <w:r>
        <w:rPr>
          <w:rFonts w:hint="eastAsia" w:ascii="Times New Roman" w:hAnsi="Times New Roman"/>
          <w:szCs w:val="24"/>
          <w:u w:val="single"/>
        </w:rPr>
        <w:t xml:space="preserve"> </w:t>
      </w:r>
      <w:r>
        <w:rPr>
          <w:rFonts w:hint="eastAsia"/>
          <w:szCs w:val="24"/>
          <w:u w:val="single"/>
          <w:lang w:val="en-US" w:eastAsia="zh-CN"/>
        </w:rPr>
        <w:t xml:space="preserve"> </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hint="eastAsia"/>
          <w:szCs w:val="24"/>
          <w:u w:val="single"/>
          <w:lang w:val="en-US" w:eastAsia="zh-CN"/>
        </w:rPr>
        <w:t xml:space="preserve"> </w:t>
      </w:r>
      <w:r>
        <w:rPr>
          <w:rFonts w:hint="eastAsia" w:ascii="Times New Roman" w:hAnsi="Times New Roman"/>
          <w:szCs w:val="24"/>
          <w:u w:val="single"/>
        </w:rPr>
        <w:t xml:space="preserve"> </w:t>
      </w:r>
      <w:r>
        <w:rPr>
          <w:rFonts w:ascii="Times New Roman" w:hAnsi="Times New Roman"/>
          <w:szCs w:val="24"/>
        </w:rPr>
        <w:t>分</w:t>
      </w:r>
      <w:r>
        <w:rPr>
          <w:rFonts w:hint="eastAsia" w:ascii="宋体" w:hAnsi="宋体" w:cs="宋体"/>
          <w:szCs w:val="21"/>
        </w:rPr>
        <w:t>。</w:t>
      </w:r>
    </w:p>
    <w:p w14:paraId="4ED8BD55">
      <w:pPr>
        <w:spacing w:line="400" w:lineRule="exact"/>
        <w:ind w:firstLine="420" w:firstLineChars="200"/>
        <w:rPr>
          <w:color w:val="auto"/>
          <w:szCs w:val="21"/>
          <w:highlight w:val="none"/>
        </w:rPr>
      </w:pPr>
      <w:r>
        <w:rPr>
          <w:rFonts w:hint="eastAsia" w:ascii="Times New Roman" w:hAnsi="Times New Roman"/>
          <w:szCs w:val="21"/>
        </w:rPr>
        <w:t>注</w:t>
      </w:r>
      <w:r>
        <w:rPr>
          <w:rFonts w:ascii="Times New Roman" w:hAnsi="Times New Roman"/>
          <w:szCs w:val="21"/>
        </w:rPr>
        <w:t>：</w:t>
      </w:r>
      <w:r>
        <w:rPr>
          <w:rFonts w:hint="eastAsia" w:ascii="宋体" w:hAnsi="宋体"/>
          <w:szCs w:val="21"/>
        </w:rPr>
        <w:t>投标人可自行登录广州交易集团有限公司（广州公共资源交易中心）官网首页，点击“建设工程”专栏中的“项目查询（日程安排、答疑纪要）”，输入项目编号或项目名称即可查询，并请密切留意招标答疑中的相关信息。</w:t>
      </w:r>
    </w:p>
    <w:p w14:paraId="37E6CE50">
      <w:pPr>
        <w:pStyle w:val="3"/>
        <w:rPr>
          <w:rFonts w:ascii="Times New Roman" w:hAnsi="Times New Roman" w:eastAsia="宋体"/>
          <w:color w:val="auto"/>
          <w:sz w:val="30"/>
          <w:szCs w:val="30"/>
          <w:highlight w:val="none"/>
        </w:rPr>
      </w:pPr>
      <w:bookmarkStart w:id="51" w:name="_Toc187678975"/>
      <w:bookmarkStart w:id="52" w:name="_Toc113285970"/>
      <w:r>
        <w:rPr>
          <w:rFonts w:ascii="Times New Roman" w:hAnsi="Times New Roman" w:eastAsia="宋体"/>
          <w:color w:val="auto"/>
          <w:sz w:val="30"/>
          <w:szCs w:val="30"/>
          <w:highlight w:val="none"/>
        </w:rPr>
        <w:t>6. 发布公告的媒介</w:t>
      </w:r>
    </w:p>
    <w:p w14:paraId="65058659">
      <w:pPr>
        <w:spacing w:line="400" w:lineRule="exact"/>
        <w:ind w:firstLine="420" w:firstLineChars="200"/>
        <w:rPr>
          <w:color w:val="auto"/>
          <w:highlight w:val="none"/>
        </w:rPr>
      </w:pPr>
      <w:r>
        <w:rPr>
          <w:rFonts w:ascii="Times New Roman" w:hAnsi="Times New Roman"/>
          <w:szCs w:val="21"/>
        </w:rPr>
        <w:t>本次招标公告同时在中国招标投标公共服务平台</w:t>
      </w:r>
      <w:r>
        <w:rPr>
          <w:rFonts w:ascii="Times New Roman" w:hAnsi="Times New Roman"/>
        </w:rPr>
        <w:t>（网址：http://www.cebpubservice.com/）、广东省招标投标监管网（网址：http://zbtb.gd.gov.cn/）、</w:t>
      </w:r>
      <w:r>
        <w:rPr>
          <w:rFonts w:ascii="Times New Roman" w:hAnsi="Times New Roman"/>
          <w:szCs w:val="21"/>
        </w:rPr>
        <w:t>广州交易集团有限公司（广州公共资源交易中心）官网</w:t>
      </w:r>
      <w:r>
        <w:rPr>
          <w:rFonts w:ascii="Times New Roman" w:hAnsi="Times New Roman"/>
        </w:rPr>
        <w:t>（网址：http://www.gzggzy.cn/）发布。</w:t>
      </w:r>
      <w:r>
        <w:rPr>
          <w:rFonts w:hint="eastAsia" w:ascii="宋体" w:hAnsi="宋体" w:cs="宋体"/>
          <w:szCs w:val="21"/>
        </w:rPr>
        <w:t>本项目招标公告的修改、补充，在国家和省指定的媒体以及</w:t>
      </w:r>
      <w:r>
        <w:rPr>
          <w:rFonts w:ascii="Times New Roman" w:hAnsi="Times New Roman"/>
          <w:szCs w:val="21"/>
        </w:rPr>
        <w:t>广州交易集团有限公司（广州公共资源交易中心）官网</w:t>
      </w:r>
      <w:r>
        <w:rPr>
          <w:rFonts w:hint="eastAsia" w:ascii="宋体" w:hAnsi="宋体" w:cs="宋体"/>
          <w:szCs w:val="21"/>
        </w:rPr>
        <w:t>发布。</w:t>
      </w:r>
    </w:p>
    <w:bookmarkEnd w:id="46"/>
    <w:bookmarkEnd w:id="47"/>
    <w:bookmarkEnd w:id="48"/>
    <w:bookmarkEnd w:id="49"/>
    <w:bookmarkEnd w:id="50"/>
    <w:bookmarkEnd w:id="51"/>
    <w:bookmarkEnd w:id="52"/>
    <w:p w14:paraId="50DD3F83">
      <w:pPr>
        <w:pStyle w:val="3"/>
        <w:rPr>
          <w:rFonts w:ascii="Times New Roman" w:hAnsi="Times New Roman" w:eastAsia="宋体"/>
          <w:color w:val="auto"/>
          <w:sz w:val="30"/>
          <w:szCs w:val="30"/>
          <w:highlight w:val="none"/>
        </w:rPr>
      </w:pPr>
      <w:bookmarkStart w:id="53" w:name="_Toc187678976"/>
      <w:bookmarkStart w:id="54" w:name="_Toc144974485"/>
      <w:bookmarkStart w:id="55" w:name="_Toc246996907"/>
      <w:bookmarkStart w:id="56" w:name="_Toc152045517"/>
      <w:bookmarkStart w:id="57" w:name="_Toc113285971"/>
      <w:bookmarkStart w:id="58" w:name="_Toc247085678"/>
      <w:bookmarkStart w:id="59" w:name="_Toc179632534"/>
      <w:bookmarkStart w:id="60" w:name="_Toc152042293"/>
      <w:bookmarkStart w:id="61" w:name="_Toc246996164"/>
      <w:r>
        <w:rPr>
          <w:rFonts w:ascii="Times New Roman" w:hAnsi="Times New Roman" w:eastAsia="宋体"/>
          <w:color w:val="auto"/>
          <w:sz w:val="30"/>
          <w:szCs w:val="30"/>
          <w:highlight w:val="none"/>
        </w:rPr>
        <w:t>7. 联系方式</w:t>
      </w:r>
      <w:bookmarkEnd w:id="53"/>
      <w:bookmarkEnd w:id="54"/>
      <w:bookmarkEnd w:id="55"/>
      <w:bookmarkEnd w:id="56"/>
      <w:bookmarkEnd w:id="57"/>
      <w:bookmarkEnd w:id="58"/>
      <w:bookmarkEnd w:id="59"/>
      <w:bookmarkEnd w:id="60"/>
      <w:bookmarkEnd w:id="61"/>
    </w:p>
    <w:p w14:paraId="4FCD428E">
      <w:pPr>
        <w:spacing w:line="400" w:lineRule="exact"/>
        <w:ind w:firstLine="420" w:firstLineChars="200"/>
        <w:rPr>
          <w:color w:val="auto"/>
          <w:szCs w:val="21"/>
          <w:highlight w:val="none"/>
        </w:rPr>
      </w:pPr>
      <w:r>
        <w:rPr>
          <w:color w:val="auto"/>
          <w:szCs w:val="21"/>
          <w:highlight w:val="none"/>
        </w:rPr>
        <w:t>招 标 人：</w:t>
      </w:r>
      <w:r>
        <w:rPr>
          <w:rFonts w:hint="eastAsia"/>
          <w:color w:val="auto"/>
          <w:szCs w:val="21"/>
          <w:highlight w:val="none"/>
        </w:rPr>
        <w:t>中央储备粮江门直属库有限公司</w:t>
      </w:r>
    </w:p>
    <w:p w14:paraId="2108ABB4">
      <w:pPr>
        <w:spacing w:line="400" w:lineRule="exact"/>
        <w:ind w:firstLine="420" w:firstLineChars="200"/>
        <w:rPr>
          <w:color w:val="auto"/>
          <w:szCs w:val="21"/>
          <w:highlight w:val="none"/>
        </w:rPr>
      </w:pPr>
      <w:r>
        <w:rPr>
          <w:color w:val="auto"/>
          <w:szCs w:val="21"/>
          <w:highlight w:val="none"/>
        </w:rPr>
        <w:t>地    址：</w:t>
      </w:r>
      <w:r>
        <w:rPr>
          <w:rFonts w:hint="eastAsia"/>
          <w:color w:val="auto"/>
          <w:szCs w:val="21"/>
          <w:highlight w:val="none"/>
        </w:rPr>
        <w:t>广东省江门市江海区</w:t>
      </w:r>
    </w:p>
    <w:p w14:paraId="12D25275">
      <w:pPr>
        <w:spacing w:line="400" w:lineRule="exact"/>
        <w:ind w:firstLine="420" w:firstLineChars="200"/>
        <w:rPr>
          <w:color w:val="auto"/>
          <w:szCs w:val="21"/>
          <w:highlight w:val="none"/>
        </w:rPr>
      </w:pPr>
      <w:r>
        <w:rPr>
          <w:color w:val="auto"/>
          <w:szCs w:val="21"/>
          <w:highlight w:val="none"/>
        </w:rPr>
        <w:t>联 系 人：</w:t>
      </w:r>
      <w:r>
        <w:rPr>
          <w:rFonts w:hint="eastAsia"/>
          <w:color w:val="auto"/>
          <w:szCs w:val="21"/>
          <w:highlight w:val="none"/>
        </w:rPr>
        <w:t>周先生</w:t>
      </w:r>
    </w:p>
    <w:p w14:paraId="7CF07784">
      <w:pPr>
        <w:spacing w:line="400" w:lineRule="exact"/>
        <w:ind w:firstLine="420" w:firstLineChars="200"/>
        <w:rPr>
          <w:color w:val="auto"/>
          <w:szCs w:val="21"/>
          <w:highlight w:val="none"/>
        </w:rPr>
      </w:pPr>
      <w:r>
        <w:rPr>
          <w:color w:val="auto"/>
          <w:szCs w:val="21"/>
          <w:highlight w:val="none"/>
        </w:rPr>
        <w:t>电    话：15975059326</w:t>
      </w:r>
    </w:p>
    <w:p w14:paraId="78D8CBEB">
      <w:pPr>
        <w:spacing w:line="400" w:lineRule="exact"/>
        <w:ind w:firstLine="420" w:firstLineChars="200"/>
        <w:rPr>
          <w:color w:val="auto"/>
          <w:szCs w:val="21"/>
          <w:highlight w:val="none"/>
        </w:rPr>
      </w:pPr>
    </w:p>
    <w:p w14:paraId="2980857F">
      <w:pPr>
        <w:spacing w:line="400" w:lineRule="exact"/>
        <w:ind w:firstLine="420" w:firstLineChars="200"/>
        <w:rPr>
          <w:color w:val="auto"/>
          <w:szCs w:val="21"/>
          <w:highlight w:val="none"/>
        </w:rPr>
      </w:pPr>
      <w:r>
        <w:rPr>
          <w:color w:val="auto"/>
          <w:szCs w:val="21"/>
          <w:highlight w:val="none"/>
        </w:rPr>
        <w:t>招标代理机构</w:t>
      </w:r>
      <w:bookmarkStart w:id="62" w:name="_Hlk198289932"/>
      <w:r>
        <w:rPr>
          <w:rFonts w:hint="eastAsia"/>
          <w:color w:val="auto"/>
          <w:szCs w:val="21"/>
          <w:highlight w:val="none"/>
        </w:rPr>
        <w:t>及</w:t>
      </w:r>
      <w:r>
        <w:rPr>
          <w:rFonts w:hint="eastAsia"/>
          <w:color w:val="auto"/>
          <w:szCs w:val="22"/>
          <w:highlight w:val="none"/>
        </w:rPr>
        <w:t>异议受理单位</w:t>
      </w:r>
      <w:bookmarkEnd w:id="62"/>
      <w:r>
        <w:rPr>
          <w:color w:val="auto"/>
          <w:szCs w:val="21"/>
          <w:highlight w:val="none"/>
        </w:rPr>
        <w:t>：国信招标集团股份有限公司</w:t>
      </w:r>
    </w:p>
    <w:p w14:paraId="50DF4F75">
      <w:pPr>
        <w:spacing w:line="400" w:lineRule="exact"/>
        <w:ind w:firstLine="420" w:firstLineChars="200"/>
        <w:rPr>
          <w:color w:val="auto"/>
          <w:szCs w:val="21"/>
          <w:highlight w:val="none"/>
        </w:rPr>
      </w:pPr>
      <w:r>
        <w:rPr>
          <w:color w:val="auto"/>
          <w:szCs w:val="21"/>
          <w:highlight w:val="none"/>
        </w:rPr>
        <w:t>地    址：</w:t>
      </w:r>
      <w:r>
        <w:rPr>
          <w:rFonts w:hint="eastAsia"/>
          <w:color w:val="auto"/>
          <w:szCs w:val="21"/>
          <w:highlight w:val="none"/>
        </w:rPr>
        <w:t>广州市越秀区广州大道中289号南方同创汇4号楼705室</w:t>
      </w:r>
    </w:p>
    <w:p w14:paraId="7A3946C9">
      <w:pPr>
        <w:spacing w:line="400" w:lineRule="exact"/>
        <w:ind w:firstLine="420" w:firstLineChars="200"/>
        <w:rPr>
          <w:color w:val="auto"/>
          <w:szCs w:val="21"/>
          <w:highlight w:val="none"/>
        </w:rPr>
      </w:pPr>
      <w:r>
        <w:rPr>
          <w:color w:val="auto"/>
          <w:szCs w:val="21"/>
          <w:highlight w:val="none"/>
        </w:rPr>
        <w:t>联 系 人：</w:t>
      </w:r>
      <w:r>
        <w:rPr>
          <w:rFonts w:hint="eastAsia"/>
          <w:color w:val="auto"/>
          <w:szCs w:val="21"/>
          <w:highlight w:val="none"/>
        </w:rPr>
        <w:t>陈工</w:t>
      </w:r>
      <w:r>
        <w:rPr>
          <w:color w:val="auto"/>
          <w:szCs w:val="21"/>
          <w:highlight w:val="none"/>
        </w:rPr>
        <w:t>、冯工</w:t>
      </w:r>
      <w:r>
        <w:rPr>
          <w:rFonts w:hint="eastAsia"/>
          <w:color w:val="auto"/>
          <w:szCs w:val="21"/>
          <w:highlight w:val="none"/>
        </w:rPr>
        <w:t>、杜经理</w:t>
      </w:r>
    </w:p>
    <w:p w14:paraId="6FEBD62D">
      <w:pPr>
        <w:spacing w:line="400" w:lineRule="exact"/>
        <w:ind w:firstLine="420" w:firstLineChars="200"/>
        <w:rPr>
          <w:color w:val="auto"/>
          <w:szCs w:val="21"/>
          <w:highlight w:val="none"/>
        </w:rPr>
      </w:pPr>
      <w:r>
        <w:rPr>
          <w:color w:val="auto"/>
          <w:szCs w:val="21"/>
          <w:highlight w:val="none"/>
        </w:rPr>
        <w:t>电    话：</w:t>
      </w:r>
      <w:r>
        <w:rPr>
          <w:color w:val="auto"/>
          <w:highlight w:val="none"/>
        </w:rPr>
        <w:t>19587491159</w:t>
      </w:r>
      <w:r>
        <w:rPr>
          <w:rFonts w:hint="eastAsia"/>
          <w:color w:val="auto"/>
          <w:highlight w:val="none"/>
        </w:rPr>
        <w:t>、13570109163</w:t>
      </w:r>
      <w:r>
        <w:rPr>
          <w:color w:val="auto"/>
          <w:szCs w:val="21"/>
          <w:highlight w:val="none"/>
        </w:rPr>
        <w:t>、020-83180883</w:t>
      </w:r>
    </w:p>
    <w:p w14:paraId="78561DEF">
      <w:pPr>
        <w:spacing w:line="400" w:lineRule="exact"/>
        <w:ind w:firstLine="420" w:firstLineChars="200"/>
        <w:rPr>
          <w:color w:val="auto"/>
          <w:szCs w:val="21"/>
          <w:highlight w:val="none"/>
        </w:rPr>
      </w:pPr>
      <w:r>
        <w:rPr>
          <w:color w:val="auto"/>
          <w:szCs w:val="21"/>
          <w:highlight w:val="none"/>
        </w:rPr>
        <w:t>电子邮箱：</w:t>
      </w:r>
      <w:r>
        <w:rPr>
          <w:rFonts w:hint="eastAsia"/>
          <w:color w:val="auto"/>
          <w:szCs w:val="21"/>
          <w:highlight w:val="none"/>
        </w:rPr>
        <w:t>1506754417@qq.com</w:t>
      </w:r>
    </w:p>
    <w:p w14:paraId="6CBB8AD5">
      <w:pPr>
        <w:spacing w:line="400" w:lineRule="exact"/>
        <w:ind w:firstLine="420" w:firstLineChars="200"/>
        <w:rPr>
          <w:color w:val="auto"/>
          <w:szCs w:val="21"/>
          <w:highlight w:val="none"/>
        </w:rPr>
      </w:pPr>
    </w:p>
    <w:p w14:paraId="6E7B2D8C">
      <w:pPr>
        <w:spacing w:line="400" w:lineRule="exact"/>
        <w:ind w:firstLine="420" w:firstLineChars="200"/>
        <w:rPr>
          <w:color w:val="auto"/>
          <w:szCs w:val="21"/>
          <w:highlight w:val="none"/>
        </w:rPr>
      </w:pPr>
      <w:r>
        <w:rPr>
          <w:rFonts w:hint="eastAsia"/>
          <w:color w:val="auto"/>
          <w:szCs w:val="21"/>
          <w:highlight w:val="none"/>
        </w:rPr>
        <w:t>招标监督机构：中国储备粮管理集团有限公司广东分公司</w:t>
      </w:r>
    </w:p>
    <w:p w14:paraId="5790230E">
      <w:pPr>
        <w:spacing w:line="400" w:lineRule="exact"/>
        <w:ind w:firstLine="420" w:firstLineChars="200"/>
        <w:rPr>
          <w:color w:val="auto"/>
          <w:szCs w:val="21"/>
          <w:highlight w:val="none"/>
        </w:rPr>
      </w:pPr>
      <w:r>
        <w:rPr>
          <w:rFonts w:hint="eastAsia"/>
          <w:color w:val="auto"/>
          <w:szCs w:val="21"/>
          <w:highlight w:val="none"/>
        </w:rPr>
        <w:t xml:space="preserve">地 </w:t>
      </w:r>
      <w:r>
        <w:rPr>
          <w:color w:val="auto"/>
          <w:szCs w:val="21"/>
          <w:highlight w:val="none"/>
        </w:rPr>
        <w:t xml:space="preserve">   </w:t>
      </w:r>
      <w:r>
        <w:rPr>
          <w:rFonts w:hint="eastAsia"/>
          <w:color w:val="auto"/>
          <w:szCs w:val="21"/>
          <w:highlight w:val="none"/>
        </w:rPr>
        <w:t>址：广州市体育西路123号新创举大厦25楼</w:t>
      </w:r>
    </w:p>
    <w:p w14:paraId="50B9F413">
      <w:pPr>
        <w:spacing w:line="400" w:lineRule="exact"/>
        <w:ind w:firstLine="420" w:firstLineChars="200"/>
        <w:rPr>
          <w:color w:val="auto"/>
          <w:szCs w:val="21"/>
          <w:highlight w:val="none"/>
        </w:rPr>
      </w:pPr>
      <w:r>
        <w:rPr>
          <w:rFonts w:hint="eastAsia"/>
          <w:color w:val="auto"/>
          <w:szCs w:val="21"/>
          <w:highlight w:val="none"/>
        </w:rPr>
        <w:t>联系电话：</w:t>
      </w:r>
      <w:r>
        <w:rPr>
          <w:color w:val="auto"/>
          <w:szCs w:val="21"/>
          <w:highlight w:val="none"/>
        </w:rPr>
        <w:t>020-38219426</w:t>
      </w:r>
    </w:p>
    <w:p w14:paraId="017BE3A5">
      <w:pPr>
        <w:pStyle w:val="8"/>
        <w:jc w:val="both"/>
        <w:rPr>
          <w:color w:val="auto"/>
          <w:highlight w:val="none"/>
        </w:rPr>
      </w:pPr>
    </w:p>
    <w:p w14:paraId="37D1BDF6">
      <w:pPr>
        <w:pStyle w:val="8"/>
        <w:jc w:val="both"/>
        <w:rPr>
          <w:color w:val="auto"/>
          <w:highlight w:val="none"/>
        </w:rPr>
      </w:pPr>
    </w:p>
    <w:p w14:paraId="1B097C46">
      <w:pPr>
        <w:wordWrap w:val="0"/>
        <w:spacing w:line="360" w:lineRule="auto"/>
        <w:jc w:val="right"/>
        <w:rPr>
          <w:rFonts w:hint="eastAsia" w:ascii="宋体" w:hAnsi="宋体" w:cs="宋体"/>
          <w:color w:val="auto"/>
          <w:highlight w:val="none"/>
        </w:rPr>
      </w:pPr>
      <w:r>
        <w:rPr>
          <w:rFonts w:hint="eastAsia" w:ascii="宋体" w:hAnsi="宋体" w:cs="宋体"/>
          <w:color w:val="auto"/>
          <w:szCs w:val="21"/>
          <w:highlight w:val="none"/>
        </w:rPr>
        <w:t>中央储备粮江门直属库有限公司</w:t>
      </w:r>
    </w:p>
    <w:p w14:paraId="6587B2ED">
      <w:pPr>
        <w:spacing w:line="360" w:lineRule="auto"/>
        <w:jc w:val="right"/>
        <w:rPr>
          <w:rFonts w:hint="eastAsia" w:ascii="宋体" w:hAnsi="宋体" w:cs="宋体"/>
          <w:color w:val="auto"/>
          <w:highlight w:val="none"/>
        </w:rPr>
      </w:pPr>
      <w:r>
        <w:rPr>
          <w:rFonts w:hint="eastAsia" w:ascii="宋体" w:hAnsi="宋体" w:cs="宋体"/>
          <w:color w:val="auto"/>
          <w:highlight w:val="none"/>
        </w:rPr>
        <w:t>国信招标集团股份有限公司</w:t>
      </w:r>
    </w:p>
    <w:p w14:paraId="1C78218A">
      <w:pPr>
        <w:wordWrap w:val="0"/>
        <w:spacing w:line="360" w:lineRule="auto"/>
        <w:ind w:right="210"/>
        <w:jc w:val="right"/>
        <w:rPr>
          <w:color w:val="auto"/>
          <w:highlight w:val="none"/>
        </w:rPr>
      </w:pPr>
      <w:r>
        <w:rPr>
          <w:color w:val="auto"/>
          <w:szCs w:val="21"/>
          <w:highlight w:val="none"/>
        </w:rPr>
        <w:t>202</w:t>
      </w:r>
      <w:r>
        <w:rPr>
          <w:rFonts w:hint="eastAsia"/>
          <w:color w:val="auto"/>
          <w:szCs w:val="21"/>
          <w:highlight w:val="none"/>
        </w:rPr>
        <w:t>5</w:t>
      </w:r>
      <w:r>
        <w:rPr>
          <w:color w:val="auto"/>
          <w:szCs w:val="21"/>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652399C5">
      <w:bookmarkStart w:id="63" w:name="_GoBack"/>
      <w:bookmarkEnd w:id="6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6EA6"/>
    <w:multiLevelType w:val="singleLevel"/>
    <w:tmpl w:val="DFEE6EA6"/>
    <w:lvl w:ilvl="0" w:tentative="0">
      <w:start w:val="2"/>
      <w:numFmt w:val="decimal"/>
      <w:suff w:val="nothing"/>
      <w:lvlText w:val="%1、"/>
      <w:lvlJc w:val="left"/>
    </w:lvl>
  </w:abstractNum>
  <w:abstractNum w:abstractNumId="1">
    <w:nsid w:val="36A25080"/>
    <w:multiLevelType w:val="singleLevel"/>
    <w:tmpl w:val="36A2508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C5D09"/>
    <w:rsid w:val="5FBF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line="480" w:lineRule="exact"/>
    </w:pPr>
    <w:rPr>
      <w:rFonts w:ascii="Arial" w:hAnsi="Arial"/>
      <w:sz w:val="24"/>
      <w:szCs w:val="20"/>
    </w:rPr>
  </w:style>
  <w:style w:type="paragraph" w:styleId="4">
    <w:name w:val="Normal Indent"/>
    <w:basedOn w:val="1"/>
    <w:uiPriority w:val="0"/>
    <w:pPr>
      <w:ind w:firstLine="420" w:firstLineChars="200"/>
    </w:pPr>
  </w:style>
  <w:style w:type="character" w:styleId="7">
    <w:name w:val="annotation reference"/>
    <w:qFormat/>
    <w:uiPriority w:val="99"/>
    <w:rPr>
      <w:sz w:val="21"/>
      <w:szCs w:val="21"/>
    </w:rPr>
  </w:style>
  <w:style w:type="paragraph" w:customStyle="1" w:styleId="8">
    <w:name w:val="BodyText"/>
    <w:basedOn w:val="1"/>
    <w:qFormat/>
    <w:uiPriority w:val="0"/>
    <w:pPr>
      <w:spacing w:after="12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6450</Words>
  <Characters>7093</Characters>
  <Lines>0</Lines>
  <Paragraphs>0</Paragraphs>
  <TotalTime>0</TotalTime>
  <ScaleCrop>false</ScaleCrop>
  <LinksUpToDate>false</LinksUpToDate>
  <CharactersWithSpaces>7235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2024-03-25T01:14:00Z</dcterms:created>
  <dc:creator>Administrator</dc:creator>
  <cp:lastModifiedBy>Administrator</cp:lastModifiedBy>
  <dcterms:modified xsi:type="dcterms:W3CDTF">2025-12-19T05:01:58Z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DA51276829924A638A83731BF6613BF3_12</vt:lpwstr>
  </property>
  <property fmtid="{D5CDD505-2E9C-101B-9397-08002B2CF9AE}" pid="4" name="KSOTemplateDocerSaveRecord">
    <vt:lpwstr>eyJoZGlkIjoiMzdkY2Q5MTJkNDYyNjUwZWUzOWE5MDkzYWYxN2FkN2IiLCJ1c2VySWQiOiIyMjM5MTU3ODIifQ==</vt:lpwstr>
  </property>
</Properties>
</file>