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360" w:lineRule="auto"/>
        <w:jc w:val="both"/>
        <w:outlineLvl w:val="1"/>
        <w:rPr>
          <w:rFonts w:hint="eastAsia" w:ascii="宋体" w:hAnsi="宋体" w:eastAsia="宋体" w:cs="Times New Roman"/>
          <w:b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spacing w:val="0"/>
          <w:sz w:val="24"/>
          <w:szCs w:val="24"/>
          <w:highlight w:val="none"/>
          <w:lang w:val="en-US" w:eastAsia="zh-CN"/>
        </w:rPr>
        <w:t>附件1：标段的划分及主要工程项目情况</w:t>
      </w:r>
    </w:p>
    <w:p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标段的划分及主要工程项目情况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bidi="ar"/>
        </w:rPr>
        <w:t>标段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 w:bidi="ar"/>
        </w:rPr>
        <w:t>：本次招标划分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 w:bidi="ar"/>
        </w:rPr>
        <w:t>1个标段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bidi="ar"/>
        </w:rPr>
        <w:t>主要工程项目情况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 w:bidi="ar"/>
        </w:rPr>
        <w:t>：</w:t>
      </w:r>
    </w:p>
    <w:p>
      <w:pPr>
        <w:spacing w:before="0" w:beforeLines="0" w:afterLines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w w:val="10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/>
          <w:color w:val="auto"/>
          <w:w w:val="100"/>
          <w:sz w:val="24"/>
          <w:szCs w:val="24"/>
          <w:highlight w:val="none"/>
          <w:lang w:val="en-US" w:eastAsia="zh-CN" w:bidi="ar"/>
        </w:rPr>
        <w:t>2.1</w:t>
      </w:r>
      <w:r>
        <w:rPr>
          <w:rFonts w:hint="eastAsia" w:ascii="宋体" w:hAnsi="宋体" w:eastAsia="宋体" w:cs="宋体"/>
          <w:b w:val="0"/>
          <w:bCs/>
          <w:color w:val="auto"/>
          <w:w w:val="100"/>
          <w:sz w:val="24"/>
          <w:szCs w:val="24"/>
          <w:highlight w:val="none"/>
          <w:lang w:bidi="ar"/>
        </w:rPr>
        <w:t>项目建设地点</w:t>
      </w:r>
    </w:p>
    <w:p>
      <w:pPr>
        <w:spacing w:before="0" w:beforeLines="0" w:afterLines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w w:val="10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/>
          <w:color w:val="auto"/>
          <w:w w:val="100"/>
          <w:sz w:val="24"/>
          <w:szCs w:val="24"/>
          <w:highlight w:val="none"/>
          <w:lang w:bidi="ar"/>
        </w:rPr>
        <w:t>本项目位于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东莞市麻涌镇新沙港区</w:t>
      </w:r>
      <w:r>
        <w:rPr>
          <w:rFonts w:hint="eastAsia" w:ascii="宋体" w:hAnsi="宋体" w:eastAsia="宋体" w:cs="宋体"/>
          <w:b w:val="0"/>
          <w:bCs/>
          <w:color w:val="auto"/>
          <w:w w:val="100"/>
          <w:sz w:val="24"/>
          <w:szCs w:val="24"/>
          <w:highlight w:val="none"/>
          <w:lang w:bidi="ar"/>
        </w:rPr>
        <w:t xml:space="preserve">。 </w:t>
      </w:r>
    </w:p>
    <w:p>
      <w:pPr>
        <w:spacing w:before="0" w:beforeLines="0" w:afterLines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w w:val="10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w w:val="100"/>
          <w:sz w:val="24"/>
          <w:szCs w:val="24"/>
          <w:highlight w:val="none"/>
          <w:lang w:val="en-US" w:eastAsia="zh-CN" w:bidi="ar"/>
        </w:rPr>
        <w:t>2.2项目建设规模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>本工程利用3-5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号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>泊位后方约16.9万平方米场地，进行改造，改造后的散货堆场面积达到8.95万平方米，其中专业化散货堆场面积6.4万平方米，堆存容量可以提升约20%。改造后的堆场工艺流程新将增装船机、斗轮堆取料机、皮带机、采制样和计量等设备，具有水路、铁路和少量公路集疏运功能，工艺系统配置的新皮带机和堆取料机单机能力均为3000t/h。主要建设内容包括但不限于道路堆场工程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eastAsia="zh-CN"/>
        </w:rPr>
        <w:t>、生产辅助建（构）筑物工程、装卸工艺工程、供电照明工程、给排水消防及环保工程、智能控制工程、通信工程、暖通工程、临时工程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>等。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 w:bidi="ar"/>
        </w:rPr>
        <w:t>2.3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 w:bidi="ar"/>
        </w:rPr>
        <w:t>招标范围</w:t>
      </w:r>
    </w:p>
    <w:p>
      <w:pPr>
        <w:spacing w:beforeLines="0" w:afterLines="0" w:line="360" w:lineRule="auto"/>
        <w:ind w:firstLine="480" w:firstLineChars="200"/>
        <w:jc w:val="left"/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</w:pP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>广州港新沙港区3-5号泊位装卸工艺智慧环保改造工程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zh-CN" w:eastAsia="zh-CN"/>
        </w:rPr>
        <w:t>初步设计阶段和施工图设计阶段的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测量工作、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zh-CN" w:eastAsia="zh-CN"/>
        </w:rPr>
        <w:t>勘察工作</w:t>
      </w:r>
      <w:bookmarkStart w:id="0" w:name="_GoBack"/>
      <w:bookmarkEnd w:id="0"/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zh-CN" w:eastAsia="zh-CN"/>
        </w:rPr>
        <w:t>及初步设计（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含项目安全设施专篇、节能报告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zh-CN" w:eastAsia="zh-CN"/>
        </w:rPr>
        <w:t>）、施工图设计阶段设计（含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消防专篇、职业病防治设计专篇、绿化专篇、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zh-CN" w:eastAsia="zh-CN"/>
        </w:rPr>
        <w:t>施工图预算和工程量清单编制）、专题研究及后续服务（包括配合项目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相关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zh-CN" w:eastAsia="zh-CN"/>
        </w:rPr>
        <w:t>报建工作、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施工图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zh-CN" w:eastAsia="zh-CN"/>
        </w:rPr>
        <w:t>审查的报批并通过主管部门的审查、施工招标阶段配合服务、施工现场配合服务、施工建设期间的服务和配合完善竣工图纸及资料等）</w:t>
      </w:r>
      <w:r>
        <w:rPr>
          <w:rStyle w:val="23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eastAsia="zh-CN"/>
        </w:rPr>
        <w:t>。</w:t>
      </w:r>
    </w:p>
    <w:sectPr>
      <w:headerReference r:id="rId3" w:type="default"/>
      <w:footnotePr>
        <w:numRestart w:val="eachPage"/>
      </w:footnotePr>
      <w:pgSz w:w="11900" w:h="16838"/>
      <w:pgMar w:top="1803" w:right="1440" w:bottom="1803" w:left="1440" w:header="680" w:footer="68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D47F9"/>
    <w:multiLevelType w:val="multilevel"/>
    <w:tmpl w:val="7BBD47F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747"/>
        </w:tabs>
        <w:ind w:left="747" w:hanging="567"/>
      </w:pPr>
    </w:lvl>
    <w:lvl w:ilvl="2" w:tentative="0">
      <w:start w:val="1"/>
      <w:numFmt w:val="decimal"/>
      <w:pStyle w:val="2"/>
      <w:lvlText w:val="%1.%2.%3."/>
      <w:lvlJc w:val="left"/>
      <w:pPr>
        <w:tabs>
          <w:tab w:val="left" w:pos="3229"/>
        </w:tabs>
        <w:ind w:left="322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F4117"/>
    <w:rsid w:val="527E05A4"/>
    <w:rsid w:val="5DDB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MingLiU_HKSCS"/>
      <w:color w:val="000000"/>
      <w:sz w:val="24"/>
      <w:szCs w:val="24"/>
      <w:lang w:val="zh-CN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both"/>
      <w:outlineLvl w:val="0"/>
    </w:pPr>
    <w:rPr>
      <w:rFonts w:cs="Times New Roman"/>
      <w:b/>
      <w:bCs/>
      <w:color w:val="auto"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rFonts w:cs="Times New Roman"/>
      <w:b/>
      <w:color w:val="auto"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  <w:jc w:val="both"/>
    </w:pPr>
    <w:rPr>
      <w:rFonts w:cs="Times New Roman"/>
      <w:color w:val="auto"/>
      <w:kern w:val="2"/>
      <w:sz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8805"/>
      </w:tabs>
      <w:spacing w:line="440" w:lineRule="exact"/>
      <w:jc w:val="center"/>
    </w:pPr>
    <w:rPr>
      <w:rFonts w:ascii="Times New Roman" w:hAnsi="Times New Roman" w:eastAsia="宋体" w:cs="Times New Roman"/>
      <w:kern w:val="2"/>
      <w:sz w:val="20"/>
      <w:szCs w:val="20"/>
      <w:lang w:val="en-US"/>
    </w:rPr>
  </w:style>
  <w:style w:type="paragraph" w:styleId="8">
    <w:name w:val="footnote text"/>
    <w:basedOn w:val="1"/>
    <w:next w:val="1"/>
    <w:qFormat/>
    <w:uiPriority w:val="99"/>
    <w:pPr>
      <w:adjustRightInd w:val="0"/>
      <w:snapToGrid w:val="0"/>
      <w:spacing w:line="420" w:lineRule="atLeast"/>
      <w:ind w:firstLine="454"/>
      <w:textAlignment w:val="baseline"/>
    </w:pPr>
    <w:rPr>
      <w:rFonts w:cs="Times New Roman"/>
      <w:color w:val="auto"/>
      <w:sz w:val="18"/>
      <w:szCs w:val="20"/>
    </w:rPr>
  </w:style>
  <w:style w:type="paragraph" w:styleId="9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cs="Times New Roman"/>
      <w:b/>
      <w:color w:val="auto"/>
      <w:sz w:val="32"/>
      <w:szCs w:val="20"/>
    </w:rPr>
  </w:style>
  <w:style w:type="character" w:styleId="12">
    <w:name w:val="footnote reference"/>
    <w:qFormat/>
    <w:uiPriority w:val="0"/>
    <w:rPr>
      <w:vertAlign w:val="superscript"/>
    </w:rPr>
  </w:style>
  <w:style w:type="paragraph" w:customStyle="1" w:styleId="13">
    <w:name w:val="正文文本 (13)"/>
    <w:basedOn w:val="1"/>
    <w:qFormat/>
    <w:uiPriority w:val="99"/>
    <w:pPr>
      <w:shd w:val="clear" w:color="auto" w:fill="FFFFFF"/>
      <w:spacing w:line="240" w:lineRule="atLeast"/>
    </w:pPr>
    <w:rPr>
      <w:rFonts w:ascii="MingLiU" w:eastAsia="MingLiU" w:cs="Times New Roman"/>
      <w:color w:val="auto"/>
      <w:spacing w:val="40"/>
      <w:sz w:val="56"/>
      <w:szCs w:val="56"/>
    </w:rPr>
  </w:style>
  <w:style w:type="character" w:customStyle="1" w:styleId="14">
    <w:name w:val="正文文本 (13) + 间距 3 pt"/>
    <w:qFormat/>
    <w:uiPriority w:val="99"/>
    <w:rPr>
      <w:rFonts w:ascii="MingLiU" w:eastAsia="MingLiU" w:cs="MingLiU"/>
      <w:spacing w:val="70"/>
      <w:sz w:val="56"/>
      <w:szCs w:val="56"/>
      <w:u w:val="none"/>
    </w:rPr>
  </w:style>
  <w:style w:type="character" w:customStyle="1" w:styleId="15">
    <w:name w:val="正文文本 (5)_"/>
    <w:link w:val="16"/>
    <w:locked/>
    <w:uiPriority w:val="99"/>
    <w:rPr>
      <w:rFonts w:ascii="MingLiU" w:eastAsia="MingLiU" w:cs="Times New Roman"/>
      <w:color w:val="auto"/>
      <w:sz w:val="20"/>
      <w:szCs w:val="20"/>
    </w:rPr>
  </w:style>
  <w:style w:type="paragraph" w:customStyle="1" w:styleId="16">
    <w:name w:val="正文文本 (5)1"/>
    <w:basedOn w:val="1"/>
    <w:link w:val="15"/>
    <w:qFormat/>
    <w:uiPriority w:val="99"/>
    <w:pPr>
      <w:shd w:val="clear" w:color="auto" w:fill="FFFFFF"/>
      <w:spacing w:before="5100" w:line="240" w:lineRule="atLeast"/>
    </w:pPr>
    <w:rPr>
      <w:rFonts w:ascii="MingLiU" w:eastAsia="MingLiU" w:cs="Times New Roman"/>
      <w:color w:val="auto"/>
      <w:sz w:val="20"/>
      <w:szCs w:val="20"/>
    </w:rPr>
  </w:style>
  <w:style w:type="character" w:customStyle="1" w:styleId="17">
    <w:name w:val="正文文本 (2) + 10 pt37"/>
    <w:qFormat/>
    <w:uiPriority w:val="99"/>
    <w:rPr>
      <w:rFonts w:ascii="MingLiU" w:eastAsia="MingLiU" w:cs="MingLiU"/>
      <w:spacing w:val="0"/>
      <w:sz w:val="20"/>
      <w:szCs w:val="20"/>
      <w:u w:val="none"/>
    </w:rPr>
  </w:style>
  <w:style w:type="paragraph" w:customStyle="1" w:styleId="18">
    <w:name w:val="正文文本 (2)1"/>
    <w:basedOn w:val="1"/>
    <w:link w:val="23"/>
    <w:qFormat/>
    <w:uiPriority w:val="99"/>
    <w:pPr>
      <w:shd w:val="clear" w:color="auto" w:fill="FFFFFF"/>
      <w:spacing w:before="300" w:line="439" w:lineRule="exact"/>
      <w:jc w:val="distribute"/>
    </w:pPr>
    <w:rPr>
      <w:rFonts w:ascii="MingLiU" w:eastAsia="MingLiU" w:cs="Times New Roman"/>
      <w:color w:val="auto"/>
      <w:spacing w:val="20"/>
      <w:sz w:val="22"/>
      <w:szCs w:val="22"/>
    </w:rPr>
  </w:style>
  <w:style w:type="character" w:customStyle="1" w:styleId="19">
    <w:name w:val="正文文本 (2) + 间距 0 pt3"/>
    <w:qFormat/>
    <w:uiPriority w:val="99"/>
    <w:rPr>
      <w:rFonts w:ascii="MingLiU" w:eastAsia="MingLiU" w:cs="MingLiU"/>
      <w:spacing w:val="0"/>
      <w:sz w:val="22"/>
      <w:szCs w:val="22"/>
      <w:u w:val="none"/>
    </w:rPr>
  </w:style>
  <w:style w:type="character" w:customStyle="1" w:styleId="20">
    <w:name w:val="正文文本 (2) + 间距 0 pt5"/>
    <w:qFormat/>
    <w:uiPriority w:val="99"/>
    <w:rPr>
      <w:rFonts w:ascii="MingLiU" w:eastAsia="MingLiU" w:cs="MingLiU"/>
      <w:spacing w:val="0"/>
      <w:sz w:val="22"/>
      <w:szCs w:val="22"/>
      <w:u w:val="none"/>
    </w:rPr>
  </w:style>
  <w:style w:type="paragraph" w:customStyle="1" w:styleId="21">
    <w:name w:val="页眉或页脚"/>
    <w:basedOn w:val="1"/>
    <w:qFormat/>
    <w:uiPriority w:val="99"/>
    <w:pPr>
      <w:shd w:val="clear" w:color="auto" w:fill="FFFFFF"/>
      <w:spacing w:line="240" w:lineRule="atLeast"/>
    </w:pPr>
    <w:rPr>
      <w:rFonts w:ascii="MingLiU" w:eastAsia="MingLiU" w:cs="Times New Roman"/>
      <w:color w:val="auto"/>
      <w:spacing w:val="10"/>
      <w:sz w:val="20"/>
      <w:szCs w:val="20"/>
    </w:rPr>
  </w:style>
  <w:style w:type="character" w:customStyle="1" w:styleId="22">
    <w:name w:val="页眉或页脚 + 间距 0 pt"/>
    <w:qFormat/>
    <w:uiPriority w:val="99"/>
    <w:rPr>
      <w:rFonts w:ascii="MingLiU" w:eastAsia="MingLiU" w:cs="MingLiU"/>
      <w:spacing w:val="0"/>
      <w:sz w:val="20"/>
      <w:szCs w:val="20"/>
      <w:u w:val="none"/>
    </w:rPr>
  </w:style>
  <w:style w:type="character" w:customStyle="1" w:styleId="23">
    <w:name w:val="正文文本 (2)_"/>
    <w:link w:val="18"/>
    <w:qFormat/>
    <w:locked/>
    <w:uiPriority w:val="99"/>
    <w:rPr>
      <w:rFonts w:ascii="MingLiU" w:eastAsia="MingLiU" w:cs="Times New Roman"/>
      <w:color w:val="auto"/>
      <w:spacing w:val="2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2025-02-28T14:41:00Z</dcterms:created>
  <dc:creator>GGB</dc:creator>
  <cp:lastModifiedBy>ppl</cp:lastModifiedBy>
  <dcterms:modified xsi:type="dcterms:W3CDTF">2025-12-19T01:48:41Z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093AAC7C905A4918A3091D4307F1DD74</vt:lpwstr>
  </property>
</Properties>
</file>