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spacing w:beforeLines="0" w:afterLines="0" w:line="360" w:lineRule="auto"/>
        <w:jc w:val="center"/>
        <w:rPr>
          <w:rFonts w:ascii="宋体" w:hAnsi="宋体" w:eastAsia="宋体" w:cs="宋体"/>
          <w:sz w:val="32"/>
          <w:szCs w:val="32"/>
        </w:rPr>
      </w:pPr>
      <w:r>
        <w:rPr>
          <w:rFonts w:hint="eastAsia" w:ascii="宋体" w:hAnsi="宋体" w:eastAsia="宋体" w:cs="宋体"/>
          <w:sz w:val="32"/>
          <w:szCs w:val="32"/>
        </w:rPr>
        <w:t>评标办法（综合评分法）</w:t>
      </w:r>
    </w:p>
    <w:p>
      <w:pPr>
        <w:pStyle w:val="24"/>
        <w:spacing w:line="360" w:lineRule="auto"/>
        <w:jc w:val="left"/>
        <w:rPr>
          <w:rFonts w:ascii="宋体" w:hAnsi="宋体" w:eastAsia="宋体" w:cs="宋体"/>
          <w:sz w:val="24"/>
          <w:szCs w:val="24"/>
        </w:rPr>
      </w:pPr>
      <w:r>
        <w:rPr>
          <w:rFonts w:hint="eastAsia" w:ascii="宋体" w:hAnsi="宋体" w:eastAsia="宋体" w:cs="宋体"/>
          <w:sz w:val="24"/>
          <w:szCs w:val="24"/>
        </w:rPr>
        <w:t>1．总则</w:t>
      </w:r>
    </w:p>
    <w:p>
      <w:pPr>
        <w:spacing w:line="360" w:lineRule="auto"/>
        <w:ind w:firstLine="480" w:firstLineChars="200"/>
        <w:jc w:val="left"/>
        <w:rPr>
          <w:rFonts w:ascii="宋体" w:hAnsi="宋体" w:cs="宋体"/>
          <w:sz w:val="24"/>
        </w:rPr>
      </w:pPr>
      <w:r>
        <w:rPr>
          <w:rFonts w:hint="eastAsia" w:ascii="宋体" w:hAnsi="宋体" w:cs="宋体"/>
          <w:sz w:val="24"/>
        </w:rPr>
        <w:t>1.1为规范本项目广州市北二环交通科技有限公司2026-2028年保洁服务评标工作，根据《中华人民共和国招标投标法》、《中华人民共和国招标投标法实施条例》、《评标委员会和评标方法暂行规定》（国家发改委等七部委2001年第12号令）等有关规定，并结合本项目招标文件，制订本评标办法。</w:t>
      </w:r>
    </w:p>
    <w:p>
      <w:pPr>
        <w:spacing w:line="360" w:lineRule="auto"/>
        <w:ind w:firstLine="480" w:firstLineChars="200"/>
        <w:jc w:val="left"/>
        <w:rPr>
          <w:rFonts w:ascii="宋体" w:hAnsi="宋体" w:cs="宋体"/>
          <w:sz w:val="24"/>
        </w:rPr>
      </w:pPr>
      <w:r>
        <w:rPr>
          <w:rFonts w:hint="eastAsia" w:ascii="宋体" w:hAnsi="宋体" w:cs="宋体"/>
          <w:sz w:val="24"/>
        </w:rPr>
        <w:t>1.2 评标活动遵循公平、公正、科学、择优的原则。</w:t>
      </w:r>
    </w:p>
    <w:p>
      <w:pPr>
        <w:spacing w:line="360" w:lineRule="auto"/>
        <w:ind w:firstLine="480" w:firstLineChars="200"/>
        <w:jc w:val="left"/>
        <w:rPr>
          <w:rFonts w:ascii="宋体" w:hAnsi="宋体" w:cs="宋体"/>
          <w:sz w:val="24"/>
        </w:rPr>
      </w:pPr>
      <w:r>
        <w:rPr>
          <w:rFonts w:hint="eastAsia" w:ascii="宋体" w:hAnsi="宋体" w:cs="宋体"/>
          <w:sz w:val="24"/>
        </w:rPr>
        <w:t>1.3评标活动应在严格保密的情况下进行。评标人员必须严格遵守保密规定，不得和投标人串通，不得泄露与评标活动有关的情况，不得索贿受贿，不得参加可能影响公正评标的任何活动。评标期间投标人不得干扰评标工作，不得采用行贿或其他不正当手段影响评标。</w:t>
      </w:r>
    </w:p>
    <w:p>
      <w:pPr>
        <w:spacing w:line="360" w:lineRule="auto"/>
        <w:ind w:firstLine="488" w:firstLineChars="200"/>
        <w:jc w:val="left"/>
        <w:rPr>
          <w:rFonts w:ascii="宋体" w:hAnsi="宋体" w:cs="宋体"/>
          <w:spacing w:val="2"/>
          <w:sz w:val="24"/>
        </w:rPr>
      </w:pPr>
      <w:r>
        <w:rPr>
          <w:rFonts w:hint="eastAsia" w:ascii="宋体" w:hAnsi="宋体" w:cs="宋体"/>
          <w:spacing w:val="2"/>
          <w:sz w:val="24"/>
        </w:rPr>
        <w:t>1.4本项目评标采用单信封综合评分法。</w:t>
      </w:r>
    </w:p>
    <w:p>
      <w:pPr>
        <w:pStyle w:val="24"/>
        <w:spacing w:line="360" w:lineRule="auto"/>
        <w:jc w:val="left"/>
        <w:rPr>
          <w:rFonts w:ascii="宋体" w:hAnsi="宋体" w:eastAsia="宋体" w:cs="宋体"/>
          <w:sz w:val="24"/>
          <w:szCs w:val="24"/>
        </w:rPr>
      </w:pPr>
      <w:r>
        <w:rPr>
          <w:rFonts w:hint="eastAsia" w:ascii="宋体" w:hAnsi="宋体" w:eastAsia="宋体" w:cs="宋体"/>
          <w:sz w:val="24"/>
          <w:szCs w:val="24"/>
        </w:rPr>
        <w:t>2．评标组织及职责</w:t>
      </w:r>
    </w:p>
    <w:p>
      <w:pPr>
        <w:spacing w:line="360" w:lineRule="auto"/>
        <w:ind w:firstLine="458" w:firstLineChars="200"/>
        <w:jc w:val="left"/>
        <w:rPr>
          <w:rFonts w:ascii="宋体" w:hAnsi="宋体" w:cs="宋体"/>
          <w:b/>
          <w:bCs/>
          <w:spacing w:val="-6"/>
          <w:sz w:val="24"/>
        </w:rPr>
      </w:pPr>
      <w:r>
        <w:rPr>
          <w:rFonts w:hint="eastAsia" w:ascii="宋体" w:hAnsi="宋体" w:cs="宋体"/>
          <w:b/>
          <w:bCs/>
          <w:spacing w:val="-6"/>
          <w:sz w:val="24"/>
        </w:rPr>
        <w:t>2.1  评标委员会组成</w:t>
      </w:r>
    </w:p>
    <w:p>
      <w:pPr>
        <w:spacing w:line="360" w:lineRule="auto"/>
        <w:ind w:firstLine="480" w:firstLineChars="200"/>
        <w:jc w:val="left"/>
        <w:rPr>
          <w:rFonts w:ascii="宋体" w:hAnsi="宋体" w:cs="宋体"/>
          <w:sz w:val="24"/>
        </w:rPr>
      </w:pPr>
      <w:r>
        <w:rPr>
          <w:rFonts w:hint="eastAsia" w:ascii="宋体" w:hAnsi="宋体" w:cs="宋体"/>
          <w:sz w:val="24"/>
        </w:rPr>
        <w:t>评标委员会由招标人按国家、广东省等的有关规定组建。详见投标人须知前附表23.1条款。评标委员会开始工作之前应由评标委员会推举产生1名主任评标委员，负责协调、组织评标委员会成员开展评标工作。招标人代表不得担任评标委员会主任评标委员，不得接受评标报酬。</w:t>
      </w:r>
    </w:p>
    <w:p>
      <w:pPr>
        <w:spacing w:line="360" w:lineRule="auto"/>
        <w:ind w:firstLine="458" w:firstLineChars="200"/>
        <w:jc w:val="left"/>
        <w:rPr>
          <w:rFonts w:ascii="宋体" w:hAnsi="宋体" w:cs="宋体"/>
          <w:b/>
          <w:bCs/>
          <w:spacing w:val="-6"/>
          <w:sz w:val="24"/>
        </w:rPr>
      </w:pPr>
      <w:r>
        <w:rPr>
          <w:rFonts w:hint="eastAsia" w:ascii="宋体" w:hAnsi="宋体" w:cs="宋体"/>
          <w:b/>
          <w:bCs/>
          <w:spacing w:val="-6"/>
          <w:sz w:val="24"/>
        </w:rPr>
        <w:t>2.2  评标委员会职责</w:t>
      </w:r>
    </w:p>
    <w:p>
      <w:pPr>
        <w:spacing w:line="360" w:lineRule="auto"/>
        <w:ind w:firstLine="424" w:firstLineChars="186"/>
        <w:jc w:val="left"/>
        <w:rPr>
          <w:rFonts w:ascii="宋体" w:hAnsi="宋体" w:cs="宋体"/>
          <w:bCs/>
          <w:spacing w:val="-6"/>
          <w:sz w:val="24"/>
        </w:rPr>
      </w:pPr>
      <w:r>
        <w:rPr>
          <w:rFonts w:hint="eastAsia" w:ascii="宋体" w:hAnsi="宋体" w:cs="宋体"/>
          <w:bCs/>
          <w:spacing w:val="-6"/>
          <w:sz w:val="24"/>
        </w:rPr>
        <w:t>⑴</w:t>
      </w:r>
      <w:r>
        <w:rPr>
          <w:rFonts w:hint="eastAsia" w:ascii="宋体" w:hAnsi="宋体" w:cs="宋体"/>
          <w:sz w:val="24"/>
        </w:rPr>
        <w:t>对投标文件进行初步评审、资格审查</w:t>
      </w:r>
      <w:r>
        <w:rPr>
          <w:rFonts w:hint="eastAsia" w:ascii="宋体" w:hAnsi="宋体" w:cs="宋体"/>
          <w:bCs/>
          <w:spacing w:val="-6"/>
          <w:sz w:val="24"/>
        </w:rPr>
        <w:t>；</w:t>
      </w:r>
    </w:p>
    <w:p>
      <w:pPr>
        <w:spacing w:line="360" w:lineRule="auto"/>
        <w:ind w:firstLine="424" w:firstLineChars="186"/>
        <w:jc w:val="left"/>
        <w:rPr>
          <w:rFonts w:ascii="宋体" w:hAnsi="宋体" w:cs="宋体"/>
          <w:bCs/>
          <w:spacing w:val="-6"/>
          <w:sz w:val="24"/>
        </w:rPr>
      </w:pPr>
      <w:r>
        <w:rPr>
          <w:rFonts w:hint="eastAsia" w:ascii="宋体" w:hAnsi="宋体" w:cs="宋体"/>
          <w:bCs/>
          <w:spacing w:val="-6"/>
          <w:sz w:val="24"/>
        </w:rPr>
        <w:t>⑵</w:t>
      </w:r>
      <w:r>
        <w:rPr>
          <w:rFonts w:hint="eastAsia" w:ascii="宋体" w:hAnsi="宋体" w:cs="宋体"/>
          <w:sz w:val="24"/>
        </w:rPr>
        <w:t>确定评审需澄清</w:t>
      </w:r>
      <w:r>
        <w:rPr>
          <w:rFonts w:hint="eastAsia" w:ascii="宋体" w:hAnsi="宋体" w:cs="宋体"/>
          <w:bCs/>
          <w:spacing w:val="-6"/>
          <w:sz w:val="24"/>
        </w:rPr>
        <w:t>、核实的内容；</w:t>
      </w:r>
    </w:p>
    <w:p>
      <w:pPr>
        <w:spacing w:line="360" w:lineRule="auto"/>
        <w:ind w:firstLine="424" w:firstLineChars="186"/>
        <w:jc w:val="left"/>
        <w:rPr>
          <w:rFonts w:ascii="宋体" w:hAnsi="宋体" w:cs="宋体"/>
          <w:bCs/>
          <w:spacing w:val="-6"/>
          <w:sz w:val="24"/>
        </w:rPr>
      </w:pPr>
      <w:r>
        <w:rPr>
          <w:rFonts w:hint="eastAsia" w:ascii="宋体" w:hAnsi="宋体" w:cs="宋体"/>
          <w:bCs/>
          <w:spacing w:val="-6"/>
          <w:sz w:val="24"/>
        </w:rPr>
        <w:t>⑶进行</w:t>
      </w:r>
      <w:r>
        <w:rPr>
          <w:rFonts w:hint="eastAsia" w:ascii="宋体" w:hAnsi="宋体" w:cs="宋体"/>
          <w:sz w:val="24"/>
        </w:rPr>
        <w:t>详细评审</w:t>
      </w:r>
      <w:r>
        <w:rPr>
          <w:rFonts w:hint="eastAsia" w:ascii="宋体" w:hAnsi="宋体" w:cs="宋体"/>
          <w:bCs/>
          <w:spacing w:val="-6"/>
          <w:sz w:val="24"/>
        </w:rPr>
        <w:t>；</w:t>
      </w:r>
    </w:p>
    <w:p>
      <w:pPr>
        <w:spacing w:line="360" w:lineRule="auto"/>
        <w:ind w:firstLine="424" w:firstLineChars="186"/>
        <w:jc w:val="left"/>
        <w:rPr>
          <w:rFonts w:ascii="宋体" w:hAnsi="宋体" w:cs="宋体"/>
          <w:bCs/>
          <w:spacing w:val="-6"/>
          <w:sz w:val="24"/>
        </w:rPr>
      </w:pPr>
      <w:r>
        <w:rPr>
          <w:rFonts w:hint="eastAsia" w:ascii="宋体" w:hAnsi="宋体" w:cs="宋体"/>
          <w:bCs/>
          <w:spacing w:val="-6"/>
          <w:sz w:val="24"/>
        </w:rPr>
        <w:t>⑷</w:t>
      </w:r>
      <w:r>
        <w:rPr>
          <w:rFonts w:hint="eastAsia" w:ascii="宋体" w:hAnsi="宋体" w:cs="宋体"/>
          <w:sz w:val="24"/>
        </w:rPr>
        <w:t>综合评分并推荐中标候选人</w:t>
      </w:r>
      <w:r>
        <w:rPr>
          <w:rFonts w:hint="eastAsia" w:ascii="宋体" w:hAnsi="宋体" w:cs="宋体"/>
          <w:bCs/>
          <w:spacing w:val="-6"/>
          <w:sz w:val="24"/>
        </w:rPr>
        <w:t>；</w:t>
      </w:r>
    </w:p>
    <w:p>
      <w:pPr>
        <w:spacing w:line="360" w:lineRule="auto"/>
        <w:ind w:firstLine="424" w:firstLineChars="186"/>
        <w:jc w:val="left"/>
        <w:rPr>
          <w:rFonts w:ascii="宋体" w:hAnsi="宋体" w:cs="宋体"/>
          <w:bCs/>
          <w:spacing w:val="-6"/>
          <w:sz w:val="24"/>
        </w:rPr>
      </w:pPr>
      <w:r>
        <w:rPr>
          <w:rFonts w:hint="eastAsia" w:ascii="宋体" w:hAnsi="宋体" w:cs="宋体"/>
          <w:bCs/>
          <w:spacing w:val="-6"/>
          <w:sz w:val="24"/>
        </w:rPr>
        <w:t>⑸</w:t>
      </w:r>
      <w:r>
        <w:rPr>
          <w:rFonts w:hint="eastAsia" w:ascii="宋体" w:hAnsi="宋体" w:cs="宋体"/>
          <w:sz w:val="24"/>
        </w:rPr>
        <w:t>建议是否重新招标</w:t>
      </w:r>
      <w:r>
        <w:rPr>
          <w:rFonts w:hint="eastAsia" w:ascii="宋体" w:hAnsi="宋体" w:cs="宋体"/>
          <w:bCs/>
          <w:spacing w:val="-6"/>
          <w:sz w:val="24"/>
        </w:rPr>
        <w:t>；</w:t>
      </w:r>
    </w:p>
    <w:p>
      <w:pPr>
        <w:spacing w:line="360" w:lineRule="auto"/>
        <w:ind w:firstLine="424" w:firstLineChars="186"/>
        <w:jc w:val="left"/>
        <w:rPr>
          <w:rFonts w:ascii="宋体" w:hAnsi="宋体" w:cs="宋体"/>
          <w:bCs/>
          <w:spacing w:val="-6"/>
          <w:sz w:val="24"/>
        </w:rPr>
      </w:pPr>
      <w:r>
        <w:rPr>
          <w:rFonts w:hint="eastAsia" w:ascii="宋体" w:hAnsi="宋体" w:cs="宋体"/>
          <w:bCs/>
          <w:spacing w:val="-6"/>
          <w:sz w:val="24"/>
        </w:rPr>
        <w:t>⑹</w:t>
      </w:r>
      <w:r>
        <w:rPr>
          <w:rFonts w:hint="eastAsia" w:ascii="宋体" w:hAnsi="宋体" w:cs="宋体"/>
          <w:sz w:val="24"/>
        </w:rPr>
        <w:t>完成书面评标报告提交招标人</w:t>
      </w:r>
      <w:r>
        <w:rPr>
          <w:rFonts w:hint="eastAsia" w:ascii="宋体" w:hAnsi="宋体" w:cs="宋体"/>
          <w:bCs/>
          <w:spacing w:val="-6"/>
          <w:sz w:val="24"/>
        </w:rPr>
        <w:t>。</w:t>
      </w:r>
    </w:p>
    <w:p>
      <w:pPr>
        <w:spacing w:line="360" w:lineRule="auto"/>
        <w:ind w:firstLine="458" w:firstLineChars="200"/>
        <w:jc w:val="left"/>
        <w:rPr>
          <w:rFonts w:ascii="宋体" w:hAnsi="宋体" w:cs="宋体"/>
          <w:b/>
          <w:bCs/>
          <w:spacing w:val="-6"/>
          <w:sz w:val="24"/>
        </w:rPr>
      </w:pPr>
      <w:r>
        <w:rPr>
          <w:rFonts w:hint="eastAsia" w:ascii="宋体" w:hAnsi="宋体" w:cs="宋体"/>
          <w:b/>
          <w:bCs/>
          <w:spacing w:val="-6"/>
          <w:sz w:val="24"/>
        </w:rPr>
        <w:t>2.3  协助工作组</w:t>
      </w:r>
    </w:p>
    <w:p>
      <w:pPr>
        <w:spacing w:line="360" w:lineRule="auto"/>
        <w:ind w:firstLine="456" w:firstLineChars="200"/>
        <w:jc w:val="left"/>
        <w:rPr>
          <w:rFonts w:ascii="宋体" w:hAnsi="宋体" w:cs="宋体"/>
          <w:sz w:val="24"/>
        </w:rPr>
      </w:pPr>
      <w:r>
        <w:rPr>
          <w:rFonts w:hint="eastAsia" w:ascii="宋体" w:hAnsi="宋体" w:cs="宋体"/>
          <w:bCs/>
          <w:spacing w:val="-6"/>
          <w:sz w:val="24"/>
        </w:rPr>
        <w:t>协助工作</w:t>
      </w:r>
      <w:r>
        <w:rPr>
          <w:rFonts w:hint="eastAsia" w:ascii="宋体" w:hAnsi="宋体" w:cs="宋体"/>
          <w:sz w:val="24"/>
        </w:rPr>
        <w:t>组由招标代理机构在评标工作开始前选派熟悉招标工作、政治素质高的人员组成，协助评标委员会工作。</w:t>
      </w:r>
    </w:p>
    <w:p>
      <w:pPr>
        <w:spacing w:line="360" w:lineRule="auto"/>
        <w:ind w:firstLine="456" w:firstLineChars="200"/>
        <w:jc w:val="left"/>
        <w:rPr>
          <w:rFonts w:ascii="宋体" w:hAnsi="宋体" w:cs="宋体"/>
          <w:sz w:val="24"/>
        </w:rPr>
      </w:pPr>
      <w:r>
        <w:rPr>
          <w:rFonts w:hint="eastAsia" w:ascii="宋体" w:hAnsi="宋体" w:cs="宋体"/>
          <w:bCs/>
          <w:spacing w:val="-6"/>
          <w:sz w:val="24"/>
        </w:rPr>
        <w:t>协助工作</w:t>
      </w:r>
      <w:r>
        <w:rPr>
          <w:rFonts w:hint="eastAsia" w:ascii="宋体" w:hAnsi="宋体" w:cs="宋体"/>
          <w:sz w:val="24"/>
        </w:rPr>
        <w:t>组应在评标委员会开始工作之前进行评标的准备工作，主要内容包括：</w:t>
      </w:r>
    </w:p>
    <w:p>
      <w:pPr>
        <w:spacing w:line="360" w:lineRule="auto"/>
        <w:ind w:firstLine="424" w:firstLineChars="177"/>
        <w:jc w:val="left"/>
        <w:rPr>
          <w:rFonts w:ascii="宋体" w:hAnsi="宋体" w:cs="宋体"/>
          <w:sz w:val="24"/>
        </w:rPr>
      </w:pPr>
      <w:r>
        <w:rPr>
          <w:rFonts w:hint="eastAsia" w:ascii="宋体" w:hAnsi="宋体" w:cs="宋体"/>
          <w:sz w:val="24"/>
        </w:rPr>
        <w:t>⑴根据招标文件，制定评标工作所需各种表格；</w:t>
      </w:r>
    </w:p>
    <w:p>
      <w:pPr>
        <w:spacing w:line="360" w:lineRule="auto"/>
        <w:ind w:firstLine="424" w:firstLineChars="177"/>
        <w:jc w:val="left"/>
        <w:rPr>
          <w:rFonts w:ascii="宋体" w:hAnsi="宋体" w:cs="宋体"/>
          <w:sz w:val="24"/>
        </w:rPr>
      </w:pPr>
      <w:r>
        <w:rPr>
          <w:rFonts w:hint="eastAsia" w:ascii="宋体" w:hAnsi="宋体" w:cs="宋体"/>
          <w:sz w:val="24"/>
        </w:rPr>
        <w:t>⑵根据招标文件，协助评委汇总评标标准、对投标文件的合格性要求，以及影响质量、工期和投资的全部因素；</w:t>
      </w:r>
    </w:p>
    <w:p>
      <w:pPr>
        <w:spacing w:line="360" w:lineRule="auto"/>
        <w:ind w:firstLine="424" w:firstLineChars="177"/>
        <w:jc w:val="left"/>
        <w:rPr>
          <w:rFonts w:ascii="宋体" w:hAnsi="宋体" w:cs="宋体"/>
          <w:sz w:val="24"/>
        </w:rPr>
      </w:pPr>
      <w:r>
        <w:rPr>
          <w:rFonts w:hint="eastAsia" w:ascii="宋体" w:hAnsi="宋体" w:cs="宋体"/>
          <w:sz w:val="24"/>
        </w:rPr>
        <w:t>⑶协助评委对投标文件响应招标文件规定的情况进行摘录，列出相对于招标文件的偏差；</w:t>
      </w:r>
    </w:p>
    <w:p>
      <w:pPr>
        <w:spacing w:line="360" w:lineRule="auto"/>
        <w:ind w:firstLine="424" w:firstLineChars="177"/>
        <w:jc w:val="left"/>
        <w:rPr>
          <w:rFonts w:ascii="宋体" w:hAnsi="宋体" w:cs="宋体"/>
          <w:sz w:val="24"/>
        </w:rPr>
      </w:pPr>
      <w:r>
        <w:rPr>
          <w:rFonts w:hint="eastAsia" w:ascii="宋体" w:hAnsi="宋体" w:cs="宋体"/>
          <w:sz w:val="24"/>
        </w:rPr>
        <w:t>⑷协助评委对所有投标报价进行报价修正；</w:t>
      </w:r>
    </w:p>
    <w:p>
      <w:pPr>
        <w:spacing w:line="360" w:lineRule="auto"/>
        <w:ind w:firstLine="424" w:firstLineChars="177"/>
        <w:jc w:val="left"/>
        <w:rPr>
          <w:rFonts w:ascii="宋体" w:hAnsi="宋体" w:cs="宋体"/>
          <w:sz w:val="24"/>
        </w:rPr>
      </w:pPr>
      <w:r>
        <w:rPr>
          <w:rFonts w:hint="eastAsia" w:ascii="宋体" w:hAnsi="宋体" w:cs="宋体"/>
          <w:sz w:val="24"/>
        </w:rPr>
        <w:t>⑸在评标过程中，对评标委员会各成员的评分表进行复核，统计汇总；对评标过程资料进行整理。</w:t>
      </w:r>
    </w:p>
    <w:p>
      <w:pPr>
        <w:spacing w:line="400" w:lineRule="exact"/>
        <w:rPr>
          <w:rFonts w:ascii="宋体" w:hAnsi="宋体" w:cs="宋体"/>
          <w:b/>
          <w:spacing w:val="4"/>
          <w:sz w:val="24"/>
        </w:rPr>
      </w:pPr>
      <w:r>
        <w:rPr>
          <w:rFonts w:hint="eastAsia" w:ascii="宋体" w:hAnsi="宋体" w:cs="宋体"/>
          <w:b/>
          <w:spacing w:val="4"/>
          <w:sz w:val="24"/>
        </w:rPr>
        <w:t>3．评审程序</w:t>
      </w:r>
    </w:p>
    <w:p>
      <w:pPr>
        <w:spacing w:line="400" w:lineRule="exact"/>
        <w:ind w:firstLine="458" w:firstLineChars="200"/>
        <w:rPr>
          <w:rFonts w:ascii="宋体" w:hAnsi="宋体" w:cs="宋体"/>
          <w:b/>
          <w:bCs/>
          <w:spacing w:val="-6"/>
          <w:sz w:val="24"/>
        </w:rPr>
      </w:pPr>
      <w:r>
        <w:rPr>
          <w:rFonts w:hint="eastAsia" w:ascii="宋体" w:hAnsi="宋体" w:cs="宋体"/>
          <w:b/>
          <w:bCs/>
          <w:spacing w:val="-6"/>
          <w:sz w:val="24"/>
        </w:rPr>
        <w:t>3.1  评标准备</w:t>
      </w:r>
    </w:p>
    <w:p>
      <w:pPr>
        <w:spacing w:line="420" w:lineRule="atLeast"/>
        <w:ind w:firstLine="480" w:firstLineChars="200"/>
        <w:rPr>
          <w:rFonts w:ascii="宋体" w:hAnsi="宋体" w:cs="宋体"/>
          <w:bCs/>
          <w:spacing w:val="-6"/>
          <w:sz w:val="24"/>
        </w:rPr>
      </w:pPr>
      <w:r>
        <w:rPr>
          <w:rFonts w:hint="eastAsia" w:ascii="宋体" w:hAnsi="宋体" w:cs="宋体"/>
          <w:sz w:val="24"/>
        </w:rPr>
        <w:t>评标委员会开始评标工作之前</w:t>
      </w:r>
      <w:r>
        <w:rPr>
          <w:rFonts w:hint="eastAsia" w:ascii="宋体" w:hAnsi="宋体" w:cs="宋体"/>
          <w:bCs/>
          <w:spacing w:val="-6"/>
          <w:sz w:val="24"/>
        </w:rPr>
        <w:t>，必须首先认真研读招标文件；招标人（或协助小组）应当向评标委员会提供招标文件、评标办法和评标所需的其他重要信息与数据，协助评标委员会了解和熟悉招标项目的如下内容：</w:t>
      </w:r>
    </w:p>
    <w:p>
      <w:pPr>
        <w:spacing w:line="420" w:lineRule="atLeast"/>
        <w:ind w:firstLine="456" w:firstLineChars="200"/>
        <w:rPr>
          <w:rFonts w:ascii="宋体" w:hAnsi="宋体" w:cs="宋体"/>
          <w:bCs/>
          <w:spacing w:val="-6"/>
          <w:sz w:val="24"/>
        </w:rPr>
      </w:pPr>
      <w:r>
        <w:rPr>
          <w:rFonts w:hint="eastAsia" w:ascii="宋体" w:hAnsi="宋体" w:cs="宋体"/>
          <w:bCs/>
          <w:spacing w:val="-6"/>
          <w:sz w:val="24"/>
        </w:rPr>
        <w:t>⑴</w:t>
      </w:r>
      <w:r>
        <w:rPr>
          <w:rFonts w:hint="eastAsia" w:ascii="宋体" w:hAnsi="宋体" w:cs="宋体"/>
          <w:sz w:val="24"/>
        </w:rPr>
        <w:t>招标项目的规模</w:t>
      </w:r>
      <w:r>
        <w:rPr>
          <w:rFonts w:hint="eastAsia" w:ascii="宋体" w:hAnsi="宋体" w:cs="宋体"/>
          <w:bCs/>
          <w:spacing w:val="-6"/>
          <w:sz w:val="24"/>
        </w:rPr>
        <w:t>、标准和特点；</w:t>
      </w:r>
    </w:p>
    <w:p>
      <w:pPr>
        <w:spacing w:line="420" w:lineRule="atLeast"/>
        <w:ind w:firstLine="456" w:firstLineChars="200"/>
        <w:rPr>
          <w:rFonts w:ascii="宋体" w:hAnsi="宋体" w:cs="宋体"/>
          <w:bCs/>
          <w:spacing w:val="-6"/>
          <w:sz w:val="24"/>
        </w:rPr>
      </w:pPr>
      <w:r>
        <w:rPr>
          <w:rFonts w:hint="eastAsia" w:ascii="宋体" w:hAnsi="宋体" w:cs="宋体"/>
          <w:bCs/>
          <w:spacing w:val="-6"/>
          <w:sz w:val="24"/>
        </w:rPr>
        <w:t>⑵</w:t>
      </w:r>
      <w:r>
        <w:rPr>
          <w:rFonts w:hint="eastAsia" w:ascii="宋体" w:hAnsi="宋体" w:cs="宋体"/>
          <w:sz w:val="24"/>
        </w:rPr>
        <w:t>招标文件规定的评标办法</w:t>
      </w:r>
      <w:r>
        <w:rPr>
          <w:rFonts w:hint="eastAsia" w:ascii="宋体" w:hAnsi="宋体" w:cs="宋体"/>
          <w:bCs/>
          <w:spacing w:val="-6"/>
          <w:sz w:val="24"/>
        </w:rPr>
        <w:t>；</w:t>
      </w:r>
    </w:p>
    <w:p>
      <w:pPr>
        <w:spacing w:line="420" w:lineRule="atLeast"/>
        <w:ind w:firstLine="456" w:firstLineChars="200"/>
        <w:rPr>
          <w:rFonts w:ascii="宋体" w:hAnsi="宋体" w:cs="宋体"/>
          <w:bCs/>
          <w:spacing w:val="-6"/>
          <w:sz w:val="24"/>
        </w:rPr>
      </w:pPr>
      <w:r>
        <w:rPr>
          <w:rFonts w:hint="eastAsia" w:ascii="宋体" w:hAnsi="宋体" w:cs="宋体"/>
          <w:bCs/>
          <w:spacing w:val="-6"/>
          <w:sz w:val="24"/>
        </w:rPr>
        <w:t>⑶</w:t>
      </w:r>
      <w:r>
        <w:rPr>
          <w:rFonts w:hint="eastAsia" w:ascii="宋体" w:hAnsi="宋体" w:cs="宋体"/>
          <w:sz w:val="24"/>
        </w:rPr>
        <w:t>招标文件规定的其他与评标有关的内容</w:t>
      </w:r>
      <w:r>
        <w:rPr>
          <w:rFonts w:hint="eastAsia" w:ascii="宋体" w:hAnsi="宋体" w:cs="宋体"/>
          <w:bCs/>
          <w:spacing w:val="-6"/>
          <w:sz w:val="24"/>
        </w:rPr>
        <w:t>。</w:t>
      </w:r>
    </w:p>
    <w:p>
      <w:pPr>
        <w:spacing w:line="420" w:lineRule="atLeast"/>
        <w:ind w:firstLine="458" w:firstLineChars="200"/>
        <w:rPr>
          <w:rFonts w:ascii="宋体" w:hAnsi="宋体" w:cs="宋体"/>
          <w:b/>
          <w:bCs/>
          <w:spacing w:val="-6"/>
          <w:sz w:val="24"/>
        </w:rPr>
      </w:pPr>
      <w:r>
        <w:rPr>
          <w:rFonts w:hint="eastAsia" w:ascii="宋体" w:hAnsi="宋体" w:cs="宋体"/>
          <w:b/>
          <w:bCs/>
          <w:spacing w:val="-6"/>
          <w:sz w:val="24"/>
        </w:rPr>
        <w:t>3.2  评审程序</w:t>
      </w:r>
    </w:p>
    <w:p>
      <w:pPr>
        <w:spacing w:line="420" w:lineRule="atLeast"/>
        <w:ind w:firstLine="456" w:firstLineChars="200"/>
        <w:rPr>
          <w:rFonts w:ascii="宋体" w:hAnsi="宋体" w:cs="宋体"/>
          <w:bCs/>
          <w:spacing w:val="-6"/>
          <w:sz w:val="24"/>
        </w:rPr>
      </w:pPr>
      <w:r>
        <w:rPr>
          <w:rFonts w:hint="eastAsia" w:ascii="宋体" w:hAnsi="宋体" w:cs="宋体"/>
          <w:bCs/>
          <w:spacing w:val="-6"/>
          <w:sz w:val="24"/>
        </w:rPr>
        <w:t>⑴初步评审；</w:t>
      </w:r>
    </w:p>
    <w:p>
      <w:pPr>
        <w:spacing w:line="420" w:lineRule="atLeast"/>
        <w:ind w:firstLine="456" w:firstLineChars="200"/>
        <w:rPr>
          <w:rFonts w:ascii="宋体" w:hAnsi="宋体" w:cs="宋体"/>
          <w:bCs/>
          <w:spacing w:val="-6"/>
          <w:sz w:val="24"/>
        </w:rPr>
      </w:pPr>
      <w:r>
        <w:rPr>
          <w:rFonts w:hint="eastAsia" w:ascii="宋体" w:hAnsi="宋体" w:cs="宋体"/>
          <w:bCs/>
          <w:spacing w:val="-6"/>
          <w:sz w:val="24"/>
        </w:rPr>
        <w:t xml:space="preserve">⑵资格审查； </w:t>
      </w:r>
    </w:p>
    <w:p>
      <w:pPr>
        <w:spacing w:line="420" w:lineRule="atLeast"/>
        <w:ind w:firstLine="456" w:firstLineChars="200"/>
        <w:rPr>
          <w:rFonts w:ascii="宋体" w:hAnsi="宋体" w:cs="宋体"/>
          <w:bCs/>
          <w:spacing w:val="-6"/>
          <w:sz w:val="24"/>
        </w:rPr>
      </w:pPr>
      <w:r>
        <w:rPr>
          <w:rFonts w:hint="eastAsia" w:ascii="宋体" w:hAnsi="宋体" w:cs="宋体"/>
          <w:bCs/>
          <w:spacing w:val="-6"/>
          <w:sz w:val="24"/>
        </w:rPr>
        <w:t>⑶详细评审；</w:t>
      </w:r>
    </w:p>
    <w:p>
      <w:pPr>
        <w:spacing w:line="420" w:lineRule="atLeast"/>
        <w:ind w:firstLine="456" w:firstLineChars="200"/>
        <w:rPr>
          <w:rFonts w:ascii="宋体" w:hAnsi="宋体" w:cs="宋体"/>
          <w:bCs/>
          <w:spacing w:val="-6"/>
          <w:sz w:val="24"/>
        </w:rPr>
      </w:pPr>
      <w:r>
        <w:rPr>
          <w:rFonts w:hint="eastAsia" w:ascii="宋体" w:hAnsi="宋体" w:cs="宋体"/>
          <w:bCs/>
          <w:spacing w:val="-6"/>
          <w:sz w:val="24"/>
        </w:rPr>
        <w:t>⑷投标文件的澄清（如果有）；</w:t>
      </w:r>
    </w:p>
    <w:p>
      <w:pPr>
        <w:spacing w:line="420" w:lineRule="atLeast"/>
        <w:ind w:firstLine="456" w:firstLineChars="200"/>
        <w:rPr>
          <w:rFonts w:ascii="宋体" w:hAnsi="宋体" w:cs="宋体"/>
          <w:bCs/>
          <w:spacing w:val="-6"/>
          <w:sz w:val="24"/>
        </w:rPr>
      </w:pPr>
      <w:r>
        <w:rPr>
          <w:rFonts w:hint="eastAsia" w:ascii="宋体" w:hAnsi="宋体" w:cs="宋体"/>
          <w:bCs/>
          <w:spacing w:val="-6"/>
          <w:sz w:val="24"/>
        </w:rPr>
        <w:t>⑸综合评分；</w:t>
      </w:r>
    </w:p>
    <w:p>
      <w:pPr>
        <w:spacing w:line="420" w:lineRule="atLeast"/>
        <w:ind w:firstLine="456" w:firstLineChars="200"/>
        <w:rPr>
          <w:rFonts w:ascii="宋体" w:hAnsi="宋体" w:cs="宋体"/>
          <w:bCs/>
          <w:spacing w:val="-6"/>
          <w:sz w:val="24"/>
        </w:rPr>
      </w:pPr>
      <w:r>
        <w:rPr>
          <w:rFonts w:hint="eastAsia" w:ascii="宋体" w:hAnsi="宋体" w:cs="宋体"/>
          <w:bCs/>
          <w:spacing w:val="-6"/>
          <w:sz w:val="24"/>
        </w:rPr>
        <w:t>⑹推荐中标候选人；</w:t>
      </w:r>
    </w:p>
    <w:p>
      <w:pPr>
        <w:spacing w:line="420" w:lineRule="atLeast"/>
        <w:ind w:firstLine="456" w:firstLineChars="200"/>
        <w:rPr>
          <w:rFonts w:ascii="宋体" w:hAnsi="宋体" w:cs="宋体"/>
          <w:bCs/>
          <w:spacing w:val="-6"/>
          <w:sz w:val="24"/>
        </w:rPr>
      </w:pPr>
      <w:r>
        <w:rPr>
          <w:rFonts w:hint="eastAsia" w:ascii="宋体" w:hAnsi="宋体" w:cs="宋体"/>
          <w:bCs/>
          <w:spacing w:val="-6"/>
          <w:sz w:val="24"/>
        </w:rPr>
        <w:t>⑺编写评标报告。</w:t>
      </w:r>
    </w:p>
    <w:p>
      <w:pPr>
        <w:spacing w:line="420" w:lineRule="atLeast"/>
        <w:ind w:firstLine="482" w:firstLineChars="200"/>
        <w:rPr>
          <w:rFonts w:ascii="宋体" w:hAnsi="宋体" w:cs="宋体"/>
          <w:b/>
          <w:sz w:val="24"/>
        </w:rPr>
      </w:pPr>
      <w:r>
        <w:rPr>
          <w:rFonts w:hint="eastAsia" w:ascii="宋体" w:hAnsi="宋体" w:cs="宋体"/>
          <w:b/>
          <w:sz w:val="24"/>
        </w:rPr>
        <w:t>4．初步评审</w:t>
      </w:r>
    </w:p>
    <w:p>
      <w:pPr>
        <w:spacing w:line="420" w:lineRule="atLeast"/>
        <w:ind w:firstLine="480" w:firstLineChars="200"/>
        <w:rPr>
          <w:rFonts w:ascii="宋体" w:hAnsi="宋体" w:cs="宋体"/>
          <w:sz w:val="24"/>
        </w:rPr>
      </w:pPr>
      <w:r>
        <w:rPr>
          <w:rFonts w:hint="eastAsia" w:ascii="宋体" w:hAnsi="宋体" w:cs="宋体"/>
          <w:sz w:val="24"/>
        </w:rPr>
        <w:t>评标委员会将对投标文件进行初步评审。只有通过初步评审和资格审查的投标文件才能参加详细评审。初步评审的主要条件包括：</w:t>
      </w:r>
    </w:p>
    <w:p>
      <w:pPr>
        <w:spacing w:line="420" w:lineRule="atLeast"/>
        <w:ind w:firstLine="480" w:firstLineChars="200"/>
        <w:rPr>
          <w:rFonts w:ascii="宋体" w:hAnsi="宋体" w:cs="宋体"/>
          <w:sz w:val="24"/>
        </w:rPr>
      </w:pPr>
      <w:r>
        <w:rPr>
          <w:rFonts w:hint="eastAsia" w:ascii="宋体" w:hAnsi="宋体" w:cs="宋体"/>
          <w:sz w:val="24"/>
        </w:rPr>
        <w:t>⑴投标文件按照招标文件规定的格式、内容和要求编制，字迹清晰可辨，并按招标文件的要求提供了有效的证明材料。</w:t>
      </w:r>
    </w:p>
    <w:p>
      <w:pPr>
        <w:spacing w:line="420" w:lineRule="atLeast"/>
        <w:ind w:firstLine="480" w:firstLineChars="200"/>
        <w:rPr>
          <w:rFonts w:ascii="宋体" w:hAnsi="宋体" w:cs="宋体"/>
          <w:spacing w:val="2"/>
          <w:sz w:val="24"/>
        </w:rPr>
      </w:pPr>
      <w:r>
        <w:rPr>
          <w:rFonts w:hint="eastAsia" w:ascii="宋体" w:hAnsi="宋体" w:cs="宋体"/>
          <w:sz w:val="24"/>
        </w:rPr>
        <w:t>⑵投标文件内法定代表人或法定代表授权代理人的签字、投标人的单位章盖章齐全，符合招标文件的规定；</w:t>
      </w:r>
    </w:p>
    <w:p>
      <w:pPr>
        <w:spacing w:line="420" w:lineRule="atLeast"/>
        <w:ind w:firstLine="480" w:firstLineChars="200"/>
        <w:rPr>
          <w:rFonts w:ascii="宋体" w:hAnsi="宋体" w:cs="宋体"/>
          <w:sz w:val="24"/>
        </w:rPr>
      </w:pPr>
      <w:r>
        <w:rPr>
          <w:rFonts w:hint="eastAsia" w:ascii="宋体" w:hAnsi="宋体" w:cs="宋体"/>
          <w:sz w:val="24"/>
        </w:rPr>
        <w:t>⑶投标人按照招标文件规定的形式、时限和要求提供了投标保证金；</w:t>
      </w:r>
    </w:p>
    <w:p>
      <w:pPr>
        <w:spacing w:line="420" w:lineRule="atLeast"/>
        <w:ind w:firstLine="480" w:firstLineChars="200"/>
        <w:rPr>
          <w:rFonts w:ascii="宋体" w:hAnsi="宋体" w:cs="宋体"/>
          <w:sz w:val="24"/>
        </w:rPr>
      </w:pPr>
      <w:r>
        <w:rPr>
          <w:rFonts w:hint="eastAsia" w:ascii="宋体" w:hAnsi="宋体" w:cs="宋体"/>
          <w:sz w:val="24"/>
        </w:rPr>
        <w:t>⑷按照招标文件规定提供了有效的法定代表人身份证明、授权书（若法定代表人亲自签署投标文件的可不提供）；</w:t>
      </w:r>
    </w:p>
    <w:p>
      <w:pPr>
        <w:spacing w:line="420" w:lineRule="atLeast"/>
        <w:ind w:firstLine="480" w:firstLineChars="200"/>
        <w:rPr>
          <w:rFonts w:ascii="宋体" w:hAnsi="宋体" w:cs="宋体"/>
          <w:sz w:val="24"/>
        </w:rPr>
      </w:pPr>
      <w:r>
        <w:rPr>
          <w:rFonts w:hint="eastAsia" w:ascii="宋体" w:hAnsi="宋体" w:cs="宋体"/>
          <w:sz w:val="24"/>
        </w:rPr>
        <w:t>⑸投标文件正、副本份数符合第二章“投标人须知前附表”第16.5款的规定；</w:t>
      </w:r>
    </w:p>
    <w:p>
      <w:pPr>
        <w:spacing w:line="420" w:lineRule="atLeast"/>
        <w:ind w:firstLine="480" w:firstLineChars="200"/>
        <w:rPr>
          <w:rFonts w:ascii="宋体" w:hAnsi="宋体" w:cs="宋体"/>
          <w:sz w:val="24"/>
        </w:rPr>
      </w:pPr>
      <w:r>
        <w:rPr>
          <w:rFonts w:hint="eastAsia" w:ascii="宋体" w:hAnsi="宋体" w:cs="宋体"/>
          <w:sz w:val="24"/>
        </w:rPr>
        <w:t>⑹服务期满足招标文件要求；</w:t>
      </w:r>
    </w:p>
    <w:p>
      <w:pPr>
        <w:spacing w:line="420" w:lineRule="atLeast"/>
        <w:ind w:firstLine="480" w:firstLineChars="200"/>
        <w:rPr>
          <w:rFonts w:ascii="宋体" w:hAnsi="宋体" w:cs="宋体"/>
          <w:sz w:val="24"/>
        </w:rPr>
      </w:pPr>
      <w:r>
        <w:rPr>
          <w:rFonts w:hint="eastAsia" w:ascii="宋体" w:hAnsi="宋体" w:cs="宋体"/>
          <w:sz w:val="24"/>
        </w:rPr>
        <w:t>⑺投标人未以他人名义投标、未与他人串通投标、未以行贿手段谋取中标，以及未弄虚作假；</w:t>
      </w:r>
    </w:p>
    <w:p>
      <w:pPr>
        <w:spacing w:line="420" w:lineRule="atLeast"/>
        <w:ind w:firstLine="480" w:firstLineChars="200"/>
        <w:rPr>
          <w:rFonts w:ascii="宋体" w:hAnsi="宋体" w:cs="宋体"/>
          <w:sz w:val="24"/>
        </w:rPr>
      </w:pPr>
      <w:r>
        <w:rPr>
          <w:rFonts w:hint="eastAsia" w:ascii="宋体" w:hAnsi="宋体" w:cs="宋体"/>
          <w:sz w:val="24"/>
        </w:rPr>
        <w:t>⑻投标人未以联合体形式投标；</w:t>
      </w:r>
    </w:p>
    <w:p>
      <w:pPr>
        <w:spacing w:line="420" w:lineRule="atLeast"/>
        <w:ind w:firstLine="480" w:firstLineChars="200"/>
        <w:rPr>
          <w:rFonts w:ascii="宋体" w:hAnsi="宋体" w:cs="宋体"/>
          <w:sz w:val="24"/>
        </w:rPr>
      </w:pPr>
      <w:r>
        <w:rPr>
          <w:rFonts w:hint="eastAsia" w:ascii="宋体" w:hAnsi="宋体" w:cs="宋体"/>
          <w:sz w:val="24"/>
        </w:rPr>
        <w:t>⑼投标人不存在第二篇投标人须知第3.4、第3.5款和3.6款规定的任何一种情形；</w:t>
      </w:r>
    </w:p>
    <w:p>
      <w:pPr>
        <w:spacing w:line="420" w:lineRule="atLeast"/>
        <w:ind w:firstLine="480" w:firstLineChars="200"/>
        <w:rPr>
          <w:rFonts w:ascii="宋体" w:hAnsi="宋体" w:cs="宋体"/>
          <w:sz w:val="24"/>
        </w:rPr>
      </w:pPr>
      <w:r>
        <w:rPr>
          <w:rFonts w:hint="eastAsia" w:ascii="宋体" w:hAnsi="宋体" w:cs="宋体"/>
          <w:sz w:val="24"/>
        </w:rPr>
        <w:t>⑽权利义务符合招标文件规定：</w:t>
      </w:r>
    </w:p>
    <w:p>
      <w:pPr>
        <w:spacing w:line="420" w:lineRule="atLeast"/>
        <w:ind w:firstLine="780" w:firstLineChars="325"/>
        <w:rPr>
          <w:rFonts w:ascii="宋体" w:hAnsi="宋体" w:cs="宋体"/>
          <w:sz w:val="24"/>
        </w:rPr>
      </w:pPr>
      <w:r>
        <w:rPr>
          <w:rFonts w:hint="eastAsia" w:ascii="宋体" w:hAnsi="宋体" w:cs="宋体"/>
          <w:sz w:val="24"/>
        </w:rPr>
        <w:t>a.投标人应接受招标文件规定的风险划分原则，未提出新的风险划分办法；</w:t>
      </w:r>
    </w:p>
    <w:p>
      <w:pPr>
        <w:spacing w:line="420" w:lineRule="atLeast"/>
        <w:ind w:firstLine="780" w:firstLineChars="325"/>
        <w:rPr>
          <w:rFonts w:ascii="宋体" w:hAnsi="宋体" w:cs="宋体"/>
          <w:sz w:val="24"/>
        </w:rPr>
      </w:pPr>
      <w:r>
        <w:rPr>
          <w:rFonts w:hint="eastAsia" w:ascii="宋体" w:hAnsi="宋体" w:cs="宋体"/>
          <w:sz w:val="24"/>
        </w:rPr>
        <w:t>b.投标人未增加发包人的责任范围，或减少投标人义务；</w:t>
      </w:r>
    </w:p>
    <w:p>
      <w:pPr>
        <w:spacing w:line="420" w:lineRule="atLeast"/>
        <w:ind w:firstLine="780" w:firstLineChars="325"/>
        <w:rPr>
          <w:rFonts w:ascii="宋体" w:hAnsi="宋体" w:cs="宋体"/>
          <w:sz w:val="24"/>
        </w:rPr>
      </w:pPr>
      <w:r>
        <w:rPr>
          <w:rFonts w:hint="eastAsia" w:ascii="宋体" w:hAnsi="宋体" w:cs="宋体"/>
          <w:sz w:val="24"/>
        </w:rPr>
        <w:t>c.投标人未提出不同的计量、支付办法；</w:t>
      </w:r>
    </w:p>
    <w:p>
      <w:pPr>
        <w:spacing w:line="420" w:lineRule="atLeast"/>
        <w:ind w:firstLine="780" w:firstLineChars="325"/>
        <w:rPr>
          <w:rFonts w:ascii="宋体" w:hAnsi="宋体" w:cs="宋体"/>
          <w:sz w:val="24"/>
        </w:rPr>
      </w:pPr>
      <w:r>
        <w:rPr>
          <w:rFonts w:hint="eastAsia" w:ascii="宋体" w:hAnsi="宋体" w:cs="宋体"/>
          <w:sz w:val="24"/>
        </w:rPr>
        <w:t>d.投标人未对合同纠纷、事故处理办法提出异议；</w:t>
      </w:r>
    </w:p>
    <w:p>
      <w:pPr>
        <w:spacing w:line="420" w:lineRule="atLeast"/>
        <w:ind w:firstLine="780" w:firstLineChars="325"/>
        <w:rPr>
          <w:rFonts w:ascii="宋体" w:hAnsi="宋体" w:cs="宋体"/>
          <w:sz w:val="24"/>
        </w:rPr>
      </w:pPr>
      <w:r>
        <w:rPr>
          <w:rFonts w:hint="eastAsia" w:ascii="宋体" w:hAnsi="宋体" w:cs="宋体"/>
          <w:sz w:val="24"/>
        </w:rPr>
        <w:t>e.投标人对合同条款没有重大偏离；</w:t>
      </w:r>
    </w:p>
    <w:p>
      <w:pPr>
        <w:spacing w:line="420" w:lineRule="atLeast"/>
        <w:ind w:firstLine="780" w:firstLineChars="325"/>
        <w:rPr>
          <w:rFonts w:ascii="宋体" w:hAnsi="宋体" w:cs="宋体"/>
          <w:sz w:val="24"/>
        </w:rPr>
      </w:pPr>
      <w:r>
        <w:rPr>
          <w:rFonts w:hint="eastAsia" w:ascii="宋体" w:hAnsi="宋体" w:cs="宋体"/>
          <w:sz w:val="24"/>
        </w:rPr>
        <w:t>f.满足招标文件规定的其它实质性要求；</w:t>
      </w:r>
    </w:p>
    <w:p>
      <w:pPr>
        <w:spacing w:line="420" w:lineRule="atLeast"/>
        <w:ind w:firstLine="480" w:firstLineChars="200"/>
        <w:rPr>
          <w:rFonts w:ascii="宋体" w:hAnsi="宋体" w:cs="宋体"/>
          <w:sz w:val="24"/>
        </w:rPr>
      </w:pPr>
      <w:r>
        <w:rPr>
          <w:rFonts w:hint="eastAsia" w:ascii="宋体" w:hAnsi="宋体" w:cs="宋体"/>
          <w:sz w:val="24"/>
        </w:rPr>
        <w:t>⑾投标人的投标总报价唯一，且不高于最高投标总限价，单价报价不高于最高单价限价；</w:t>
      </w:r>
    </w:p>
    <w:p>
      <w:pPr>
        <w:spacing w:line="420" w:lineRule="atLeast"/>
        <w:ind w:firstLine="480" w:firstLineChars="200"/>
        <w:rPr>
          <w:rFonts w:ascii="宋体" w:hAnsi="宋体" w:cs="宋体"/>
          <w:sz w:val="24"/>
        </w:rPr>
      </w:pPr>
      <w:r>
        <w:rPr>
          <w:rFonts w:hint="eastAsia" w:ascii="宋体" w:hAnsi="宋体" w:cs="宋体"/>
          <w:sz w:val="24"/>
        </w:rPr>
        <w:t>⑿投标文件未附有招标人不能接受的其他条件。</w:t>
      </w:r>
    </w:p>
    <w:p>
      <w:pPr>
        <w:spacing w:line="420" w:lineRule="atLeast"/>
        <w:ind w:firstLine="480" w:firstLineChars="200"/>
        <w:rPr>
          <w:rFonts w:ascii="宋体" w:hAnsi="宋体" w:cs="宋体"/>
          <w:sz w:val="24"/>
        </w:rPr>
      </w:pPr>
      <w:r>
        <w:rPr>
          <w:rFonts w:hint="eastAsia" w:ascii="宋体" w:hAnsi="宋体" w:cs="宋体"/>
          <w:sz w:val="24"/>
        </w:rPr>
        <w:t>投标文件不符合以上条件之一的，属于重大偏差，不能通过的初步评审，按否决其投标处理。</w:t>
      </w:r>
    </w:p>
    <w:p>
      <w:pPr>
        <w:spacing w:line="420" w:lineRule="atLeast"/>
        <w:ind w:firstLine="422"/>
        <w:rPr>
          <w:rFonts w:ascii="宋体" w:hAnsi="宋体" w:cs="宋体"/>
          <w:b/>
          <w:sz w:val="24"/>
        </w:rPr>
      </w:pPr>
      <w:r>
        <w:rPr>
          <w:rFonts w:hint="eastAsia" w:ascii="宋体" w:hAnsi="宋体" w:cs="宋体"/>
          <w:b/>
          <w:sz w:val="24"/>
        </w:rPr>
        <w:t>5．资格审查</w:t>
      </w:r>
    </w:p>
    <w:p>
      <w:pPr>
        <w:spacing w:line="420" w:lineRule="atLeast"/>
        <w:ind w:firstLine="488" w:firstLineChars="200"/>
        <w:rPr>
          <w:rFonts w:ascii="宋体" w:hAnsi="宋体" w:cs="宋体"/>
          <w:spacing w:val="2"/>
          <w:sz w:val="24"/>
        </w:rPr>
      </w:pPr>
      <w:r>
        <w:rPr>
          <w:rFonts w:hint="eastAsia" w:ascii="宋体" w:hAnsi="宋体" w:cs="宋体"/>
          <w:spacing w:val="2"/>
          <w:sz w:val="24"/>
        </w:rPr>
        <w:t>⑴投标人的资质符合招标文件规定，具备有效的企业法人营业执照；</w:t>
      </w:r>
    </w:p>
    <w:p>
      <w:pPr>
        <w:spacing w:line="420" w:lineRule="atLeast"/>
        <w:ind w:firstLine="488" w:firstLineChars="200"/>
        <w:rPr>
          <w:rFonts w:ascii="宋体" w:hAnsi="宋体" w:cs="宋体"/>
          <w:spacing w:val="2"/>
          <w:sz w:val="24"/>
        </w:rPr>
      </w:pPr>
      <w:r>
        <w:rPr>
          <w:rFonts w:hint="eastAsia" w:ascii="宋体" w:hAnsi="宋体" w:cs="宋体"/>
          <w:spacing w:val="2"/>
          <w:sz w:val="24"/>
        </w:rPr>
        <w:t>⑵投标人的业绩符合招标文件规定；</w:t>
      </w:r>
    </w:p>
    <w:p>
      <w:pPr>
        <w:spacing w:line="420" w:lineRule="atLeast"/>
        <w:ind w:firstLine="488" w:firstLineChars="200"/>
        <w:rPr>
          <w:rFonts w:ascii="宋体" w:hAnsi="宋体" w:cs="宋体"/>
          <w:spacing w:val="2"/>
          <w:sz w:val="24"/>
        </w:rPr>
      </w:pPr>
      <w:r>
        <w:rPr>
          <w:rFonts w:hint="eastAsia" w:ascii="宋体" w:hAnsi="宋体" w:cs="宋体"/>
          <w:spacing w:val="2"/>
          <w:sz w:val="24"/>
        </w:rPr>
        <w:t>⑶投标人的项目负责人符合招标文件规定；</w:t>
      </w:r>
    </w:p>
    <w:p>
      <w:pPr>
        <w:spacing w:line="420" w:lineRule="atLeast"/>
        <w:ind w:firstLine="420"/>
        <w:rPr>
          <w:rFonts w:ascii="宋体" w:hAnsi="宋体" w:cs="宋体"/>
          <w:sz w:val="24"/>
        </w:rPr>
      </w:pPr>
      <w:r>
        <w:rPr>
          <w:rFonts w:hint="eastAsia" w:ascii="宋体" w:hAnsi="宋体" w:cs="宋体"/>
          <w:sz w:val="24"/>
        </w:rPr>
        <w:t>投标文件不符合以上条件之一的，属于重大偏差，不能通过的资格审查，按否决其投标处理。</w:t>
      </w:r>
    </w:p>
    <w:p>
      <w:pPr>
        <w:spacing w:line="420" w:lineRule="exact"/>
        <w:ind w:firstLine="422"/>
        <w:rPr>
          <w:rFonts w:ascii="宋体" w:hAnsi="宋体" w:cs="宋体"/>
          <w:b/>
          <w:sz w:val="24"/>
        </w:rPr>
      </w:pPr>
      <w:r>
        <w:rPr>
          <w:rFonts w:hint="eastAsia" w:ascii="宋体" w:hAnsi="宋体" w:cs="宋体"/>
          <w:b/>
          <w:sz w:val="24"/>
        </w:rPr>
        <w:t>6．详细评审</w:t>
      </w:r>
    </w:p>
    <w:p>
      <w:pPr>
        <w:spacing w:line="420" w:lineRule="exact"/>
        <w:ind w:firstLine="420"/>
        <w:rPr>
          <w:rFonts w:ascii="宋体" w:hAnsi="宋体" w:cs="宋体"/>
          <w:sz w:val="24"/>
        </w:rPr>
      </w:pPr>
      <w:r>
        <w:rPr>
          <w:rFonts w:hint="eastAsia" w:ascii="宋体" w:hAnsi="宋体" w:cs="宋体"/>
          <w:spacing w:val="2"/>
          <w:sz w:val="24"/>
        </w:rPr>
        <w:t>评标委员会对通过初步评审、资格审查的投标文件从商务、技术方案、投标报价等方面进行详细评审，并进行评审打分。</w:t>
      </w:r>
      <w:r>
        <w:rPr>
          <w:rFonts w:hint="eastAsia" w:ascii="宋体" w:hAnsi="宋体" w:cs="宋体"/>
          <w:sz w:val="24"/>
        </w:rPr>
        <w:t>商务文件、技术文件、投标报价的评审满分分值分别为商务文件20分、技术文件20分、投标报价60分，总分100分。</w:t>
      </w:r>
    </w:p>
    <w:p>
      <w:pPr>
        <w:spacing w:line="400" w:lineRule="exact"/>
        <w:ind w:firstLine="583" w:firstLineChars="242"/>
        <w:rPr>
          <w:rFonts w:ascii="宋体" w:hAnsi="宋体" w:cs="宋体"/>
          <w:b/>
          <w:sz w:val="24"/>
        </w:rPr>
      </w:pPr>
      <w:r>
        <w:rPr>
          <w:rFonts w:hint="eastAsia" w:ascii="宋体" w:hAnsi="宋体" w:cs="宋体"/>
          <w:b/>
          <w:sz w:val="24"/>
        </w:rPr>
        <w:t>6.1商务评审（20分）</w:t>
      </w:r>
    </w:p>
    <w:tbl>
      <w:tblPr>
        <w:tblStyle w:val="7"/>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334"/>
        <w:gridCol w:w="76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pct"/>
            <w:vAlign w:val="center"/>
          </w:tcPr>
          <w:p>
            <w:pPr>
              <w:jc w:val="center"/>
              <w:rPr>
                <w:rFonts w:ascii="宋体" w:hAnsi="宋体" w:cs="宋体"/>
                <w:b/>
                <w:bCs/>
                <w:spacing w:val="-6"/>
                <w:szCs w:val="21"/>
              </w:rPr>
            </w:pPr>
            <w:r>
              <w:rPr>
                <w:rFonts w:hint="eastAsia" w:ascii="宋体" w:hAnsi="宋体" w:cs="宋体"/>
                <w:b/>
                <w:bCs/>
                <w:spacing w:val="-6"/>
                <w:szCs w:val="21"/>
              </w:rPr>
              <w:t>序号</w:t>
            </w:r>
          </w:p>
        </w:tc>
        <w:tc>
          <w:tcPr>
            <w:tcW w:w="677" w:type="pct"/>
            <w:vAlign w:val="center"/>
          </w:tcPr>
          <w:p>
            <w:pPr>
              <w:jc w:val="center"/>
              <w:rPr>
                <w:rFonts w:ascii="宋体" w:hAnsi="宋体" w:cs="宋体"/>
                <w:b/>
                <w:bCs/>
                <w:spacing w:val="-6"/>
                <w:szCs w:val="21"/>
              </w:rPr>
            </w:pPr>
            <w:r>
              <w:rPr>
                <w:rFonts w:hint="eastAsia" w:ascii="宋体" w:hAnsi="宋体" w:cs="宋体"/>
                <w:b/>
                <w:bCs/>
                <w:spacing w:val="-6"/>
                <w:szCs w:val="21"/>
              </w:rPr>
              <w:t>评审分项</w:t>
            </w:r>
          </w:p>
        </w:tc>
        <w:tc>
          <w:tcPr>
            <w:tcW w:w="3881" w:type="pct"/>
            <w:vAlign w:val="center"/>
          </w:tcPr>
          <w:p>
            <w:pPr>
              <w:jc w:val="center"/>
              <w:rPr>
                <w:rFonts w:ascii="宋体" w:hAnsi="宋体" w:cs="宋体"/>
                <w:b/>
                <w:bCs/>
                <w:szCs w:val="21"/>
              </w:rPr>
            </w:pPr>
            <w:r>
              <w:rPr>
                <w:rFonts w:hint="eastAsia" w:ascii="宋体" w:hAnsi="宋体" w:cs="宋体"/>
                <w:b/>
                <w:bCs/>
                <w:szCs w:val="21"/>
              </w:rPr>
              <w:t>评审标准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441" w:type="pct"/>
            <w:vAlign w:val="center"/>
          </w:tcPr>
          <w:p>
            <w:pPr>
              <w:rPr>
                <w:rFonts w:ascii="宋体" w:hAnsi="宋体" w:cs="宋体"/>
                <w:spacing w:val="-6"/>
                <w:szCs w:val="21"/>
              </w:rPr>
            </w:pPr>
            <w:r>
              <w:rPr>
                <w:rFonts w:hint="eastAsia" w:ascii="宋体" w:hAnsi="宋体" w:cs="宋体"/>
                <w:spacing w:val="-6"/>
                <w:szCs w:val="21"/>
              </w:rPr>
              <w:t>1</w:t>
            </w:r>
          </w:p>
        </w:tc>
        <w:tc>
          <w:tcPr>
            <w:tcW w:w="677" w:type="pct"/>
            <w:vAlign w:val="center"/>
          </w:tcPr>
          <w:p>
            <w:pPr>
              <w:jc w:val="center"/>
              <w:rPr>
                <w:rFonts w:ascii="宋体" w:hAnsi="宋体" w:cs="宋体"/>
                <w:spacing w:val="-6"/>
                <w:szCs w:val="21"/>
              </w:rPr>
            </w:pPr>
            <w:r>
              <w:rPr>
                <w:rFonts w:hint="eastAsia" w:ascii="宋体" w:hAnsi="宋体" w:cs="宋体"/>
                <w:spacing w:val="-6"/>
                <w:szCs w:val="21"/>
              </w:rPr>
              <w:t>投标人业绩（10分）</w:t>
            </w:r>
          </w:p>
        </w:tc>
        <w:tc>
          <w:tcPr>
            <w:tcW w:w="3881" w:type="pct"/>
            <w:vAlign w:val="center"/>
          </w:tcPr>
          <w:p>
            <w:pPr>
              <w:rPr>
                <w:rFonts w:ascii="宋体" w:hAnsi="宋体" w:cs="宋体"/>
                <w:szCs w:val="21"/>
              </w:rPr>
            </w:pPr>
            <w:r>
              <w:rPr>
                <w:rFonts w:hint="eastAsia" w:ascii="宋体" w:hAnsi="宋体" w:cs="宋体"/>
                <w:szCs w:val="21"/>
              </w:rPr>
              <w:t>满足资格审查条件业绩最低要求的，得6分。在此基础上，按以下条件进行加分：</w:t>
            </w:r>
          </w:p>
          <w:p>
            <w:pPr>
              <w:rPr>
                <w:rFonts w:ascii="宋体" w:hAnsi="宋体" w:cs="宋体"/>
                <w:szCs w:val="21"/>
              </w:rPr>
            </w:pPr>
            <w:r>
              <w:rPr>
                <w:rFonts w:hint="eastAsia" w:ascii="宋体" w:hAnsi="宋体" w:cs="宋体"/>
                <w:szCs w:val="21"/>
              </w:rPr>
              <w:t>近三年内每增加承揽过1个合同（且单个合同金额不少于300万元）的保洁服务项目业绩，加1分；最多加4分。</w:t>
            </w:r>
          </w:p>
          <w:p>
            <w:pPr>
              <w:rPr>
                <w:rFonts w:hint="eastAsia" w:ascii="宋体" w:hAnsi="宋体" w:eastAsia="宋体" w:cs="宋体"/>
                <w:spacing w:val="-6"/>
                <w:szCs w:val="21"/>
                <w:lang w:eastAsia="zh-CN"/>
              </w:rPr>
            </w:pPr>
            <w:r>
              <w:rPr>
                <w:rFonts w:hint="eastAsia" w:ascii="宋体" w:hAnsi="宋体" w:cs="宋体"/>
                <w:szCs w:val="21"/>
              </w:rPr>
              <w:t>注：上述业绩须按附录2业绩最低条件的备注要求提供相关证明材料，否则不加分。若提供业绩为联合体业绩的，只计联合体中投标人对应承担的业绩，且承担部分的合同金额需满足业绩加分条件要求，否则不予加分</w:t>
            </w:r>
            <w:r>
              <w:rPr>
                <w:rFonts w:hint="eastAsia" w:ascii="宋体" w:hAnsi="宋体" w:cs="宋体"/>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441" w:type="pct"/>
            <w:vAlign w:val="center"/>
          </w:tcPr>
          <w:p>
            <w:pPr>
              <w:rPr>
                <w:rFonts w:ascii="宋体" w:hAnsi="宋体" w:cs="宋体"/>
                <w:spacing w:val="-6"/>
                <w:szCs w:val="21"/>
              </w:rPr>
            </w:pPr>
            <w:r>
              <w:rPr>
                <w:rFonts w:hint="eastAsia" w:ascii="宋体" w:hAnsi="宋体" w:cs="宋体"/>
                <w:spacing w:val="-6"/>
                <w:szCs w:val="21"/>
              </w:rPr>
              <w:t>2</w:t>
            </w:r>
          </w:p>
        </w:tc>
        <w:tc>
          <w:tcPr>
            <w:tcW w:w="677" w:type="pct"/>
            <w:vAlign w:val="center"/>
          </w:tcPr>
          <w:p>
            <w:pPr>
              <w:jc w:val="center"/>
              <w:rPr>
                <w:rFonts w:ascii="宋体" w:hAnsi="宋体" w:cs="宋体"/>
                <w:spacing w:val="-6"/>
                <w:szCs w:val="21"/>
              </w:rPr>
            </w:pPr>
            <w:r>
              <w:rPr>
                <w:rFonts w:hint="eastAsia" w:ascii="宋体" w:hAnsi="宋体" w:cs="宋体"/>
                <w:spacing w:val="-6"/>
                <w:szCs w:val="21"/>
              </w:rPr>
              <w:t>投标人综合实力（6分）</w:t>
            </w:r>
          </w:p>
        </w:tc>
        <w:tc>
          <w:tcPr>
            <w:tcW w:w="3881" w:type="pct"/>
            <w:vAlign w:val="center"/>
          </w:tcPr>
          <w:p>
            <w:pPr>
              <w:spacing w:line="300" w:lineRule="exact"/>
              <w:rPr>
                <w:rFonts w:ascii="宋体" w:hAnsi="宋体" w:cs="宋体"/>
                <w:szCs w:val="21"/>
              </w:rPr>
            </w:pPr>
            <w:r>
              <w:rPr>
                <w:rFonts w:hint="eastAsia" w:ascii="宋体" w:hAnsi="宋体" w:cs="宋体"/>
                <w:szCs w:val="21"/>
              </w:rPr>
              <w:t>投标人具有有效期内的质量管理体系认证证书、环境管理体系认证证书、职业健康安全管理体系认证证书，每个证书得2分，本项最高得6分。（须提供证书复印件加盖投标人公章，否则不得分）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441" w:type="pct"/>
            <w:vAlign w:val="center"/>
          </w:tcPr>
          <w:p>
            <w:pPr>
              <w:rPr>
                <w:rFonts w:ascii="宋体" w:hAnsi="宋体" w:cs="宋体"/>
                <w:spacing w:val="-6"/>
                <w:szCs w:val="21"/>
              </w:rPr>
            </w:pPr>
            <w:r>
              <w:rPr>
                <w:rFonts w:hint="eastAsia" w:ascii="宋体" w:hAnsi="宋体" w:cs="宋体"/>
                <w:spacing w:val="-6"/>
                <w:szCs w:val="21"/>
              </w:rPr>
              <w:t>3</w:t>
            </w:r>
          </w:p>
        </w:tc>
        <w:tc>
          <w:tcPr>
            <w:tcW w:w="677" w:type="pct"/>
            <w:vAlign w:val="center"/>
          </w:tcPr>
          <w:p>
            <w:pPr>
              <w:jc w:val="center"/>
              <w:rPr>
                <w:rFonts w:ascii="宋体" w:hAnsi="宋体" w:cs="宋体"/>
                <w:spacing w:val="-6"/>
                <w:szCs w:val="21"/>
              </w:rPr>
            </w:pPr>
            <w:r>
              <w:rPr>
                <w:rFonts w:hint="eastAsia" w:ascii="宋体" w:hAnsi="宋体" w:cs="宋体"/>
                <w:spacing w:val="-6"/>
                <w:szCs w:val="21"/>
              </w:rPr>
              <w:t>项目负责人（4分）</w:t>
            </w:r>
          </w:p>
        </w:tc>
        <w:tc>
          <w:tcPr>
            <w:tcW w:w="3881" w:type="pct"/>
            <w:vAlign w:val="center"/>
          </w:tcPr>
          <w:p>
            <w:pPr>
              <w:spacing w:line="300" w:lineRule="exact"/>
              <w:rPr>
                <w:rFonts w:ascii="宋体" w:hAnsi="宋体" w:cs="宋体"/>
                <w:kern w:val="0"/>
                <w:szCs w:val="21"/>
              </w:rPr>
            </w:pPr>
            <w:r>
              <w:rPr>
                <w:rFonts w:hint="eastAsia" w:ascii="宋体" w:hAnsi="宋体" w:cs="宋体"/>
                <w:kern w:val="0"/>
                <w:szCs w:val="21"/>
              </w:rPr>
              <w:t>拟委派本项目负责人：</w:t>
            </w:r>
          </w:p>
          <w:p>
            <w:pPr>
              <w:spacing w:line="300" w:lineRule="exact"/>
              <w:rPr>
                <w:rFonts w:ascii="宋体" w:hAnsi="宋体" w:cs="宋体"/>
                <w:kern w:val="0"/>
                <w:szCs w:val="21"/>
              </w:rPr>
            </w:pPr>
            <w:r>
              <w:rPr>
                <w:rFonts w:hint="eastAsia" w:ascii="宋体" w:hAnsi="宋体" w:cs="宋体"/>
                <w:kern w:val="0"/>
                <w:szCs w:val="21"/>
              </w:rPr>
              <w:t>1.每担任过1个类似保洁服务项目（合同金额300万元以上的）的项目负责人，得1分，最多得2分；</w:t>
            </w:r>
          </w:p>
          <w:p>
            <w:pPr>
              <w:spacing w:line="300" w:lineRule="exact"/>
              <w:rPr>
                <w:rFonts w:ascii="宋体" w:hAnsi="宋体" w:cs="宋体"/>
                <w:kern w:val="0"/>
                <w:szCs w:val="21"/>
              </w:rPr>
            </w:pPr>
            <w:r>
              <w:rPr>
                <w:rFonts w:hint="eastAsia" w:ascii="宋体" w:hAnsi="宋体" w:cs="宋体"/>
                <w:kern w:val="0"/>
                <w:szCs w:val="21"/>
              </w:rPr>
              <w:t>2.具有大专学历的，得1分；具有大学本科（或以上）学历的，得2分</w:t>
            </w:r>
            <w:r>
              <w:rPr>
                <w:rFonts w:hint="eastAsia" w:ascii="宋体" w:hAnsi="宋体" w:cs="宋体"/>
                <w:kern w:val="0"/>
                <w:szCs w:val="21"/>
                <w:lang w:eastAsia="zh-CN"/>
              </w:rPr>
              <w:t>，</w:t>
            </w:r>
            <w:r>
              <w:rPr>
                <w:rFonts w:hint="eastAsia" w:ascii="宋体" w:hAnsi="宋体" w:cs="宋体"/>
                <w:kern w:val="0"/>
                <w:szCs w:val="21"/>
                <w:lang w:val="en-US" w:eastAsia="zh-CN"/>
              </w:rPr>
              <w:t>同时具有的按高分计取</w:t>
            </w:r>
            <w:r>
              <w:rPr>
                <w:rFonts w:hint="eastAsia" w:ascii="宋体" w:hAnsi="宋体" w:cs="宋体"/>
                <w:kern w:val="0"/>
                <w:szCs w:val="21"/>
              </w:rPr>
              <w:t>。</w:t>
            </w:r>
          </w:p>
          <w:p>
            <w:pPr>
              <w:spacing w:line="300" w:lineRule="exact"/>
              <w:rPr>
                <w:rFonts w:ascii="宋体" w:hAnsi="宋体" w:cs="宋体"/>
                <w:kern w:val="0"/>
                <w:szCs w:val="21"/>
              </w:rPr>
            </w:pPr>
            <w:r>
              <w:rPr>
                <w:rFonts w:hint="eastAsia" w:ascii="宋体" w:hAnsi="宋体" w:cs="宋体"/>
                <w:kern w:val="0"/>
                <w:szCs w:val="21"/>
              </w:rPr>
              <w:t>本项最多得4分。</w:t>
            </w:r>
          </w:p>
          <w:p>
            <w:pPr>
              <w:spacing w:line="300" w:lineRule="exact"/>
              <w:rPr>
                <w:rFonts w:ascii="宋体" w:hAnsi="宋体" w:cs="宋体"/>
                <w:szCs w:val="21"/>
              </w:rPr>
            </w:pPr>
            <w:r>
              <w:rPr>
                <w:rFonts w:hint="eastAsia" w:ascii="宋体" w:hAnsi="宋体" w:cs="宋体"/>
                <w:kern w:val="0"/>
                <w:szCs w:val="21"/>
              </w:rPr>
              <w:t>注：须提供上述学历证书复印件，业绩证明材料须提供合同复印件，若合同复印件未能体现得分条件的，还须附项目业主出具的证明材料复印件，项目负责人还须提供在社保系统打印的本单位人员缴费明细复印件或打印件（社保时段为投标文件递交截止日前6个月内的任意一个月份），未按上述要求提供相应证明材料的，不得分。</w:t>
            </w:r>
          </w:p>
        </w:tc>
      </w:tr>
    </w:tbl>
    <w:p>
      <w:pPr>
        <w:widowControl/>
        <w:spacing w:before="0" w:beforeLines="0"/>
        <w:ind w:firstLine="352" w:firstLineChars="196"/>
        <w:jc w:val="lef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商务评审</w:t>
      </w:r>
      <w:r>
        <w:rPr>
          <w:rFonts w:hint="eastAsia" w:ascii="宋体" w:hAnsi="宋体" w:cs="宋体"/>
          <w:sz w:val="18"/>
          <w:szCs w:val="18"/>
        </w:rPr>
        <w:t>各评审因素得分以各评标委员会成员对该投标人打分的平均值确定（保留小数点后2位）。</w:t>
      </w:r>
    </w:p>
    <w:p>
      <w:pPr>
        <w:widowControl/>
        <w:spacing w:before="162" w:beforeLines="50" w:line="400" w:lineRule="exact"/>
        <w:jc w:val="left"/>
        <w:rPr>
          <w:rFonts w:ascii="宋体" w:hAnsi="宋体" w:cs="宋体"/>
          <w:spacing w:val="-6"/>
          <w:sz w:val="24"/>
        </w:rPr>
      </w:pPr>
      <w:r>
        <w:rPr>
          <w:rFonts w:hint="eastAsia" w:ascii="宋体" w:hAnsi="宋体" w:cs="宋体"/>
          <w:b/>
          <w:sz w:val="24"/>
        </w:rPr>
        <w:t>6.2技术评审（20分）</w:t>
      </w:r>
    </w:p>
    <w:p>
      <w:pPr>
        <w:spacing w:line="400" w:lineRule="exact"/>
        <w:ind w:firstLine="484" w:firstLineChars="202"/>
        <w:rPr>
          <w:rFonts w:ascii="宋体" w:hAnsi="宋体" w:cs="宋体"/>
          <w:szCs w:val="21"/>
        </w:rPr>
      </w:pPr>
      <w:r>
        <w:rPr>
          <w:rFonts w:hint="eastAsia" w:ascii="宋体" w:hAnsi="宋体" w:cs="宋体"/>
          <w:sz w:val="24"/>
        </w:rPr>
        <w:t>技术评审主要内容和分值范围如下：</w:t>
      </w:r>
    </w:p>
    <w:tbl>
      <w:tblPr>
        <w:tblStyle w:val="7"/>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374"/>
        <w:gridCol w:w="77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82" w:type="pct"/>
            <w:vAlign w:val="center"/>
          </w:tcPr>
          <w:p>
            <w:pPr>
              <w:tabs>
                <w:tab w:val="left" w:pos="564"/>
              </w:tabs>
              <w:jc w:val="center"/>
              <w:rPr>
                <w:rFonts w:ascii="宋体" w:hAnsi="宋体" w:cs="宋体"/>
                <w:b/>
                <w:szCs w:val="21"/>
              </w:rPr>
            </w:pPr>
            <w:r>
              <w:rPr>
                <w:rFonts w:hint="eastAsia" w:ascii="宋体" w:hAnsi="宋体" w:cs="宋体"/>
                <w:b/>
                <w:szCs w:val="21"/>
              </w:rPr>
              <w:t>序号</w:t>
            </w:r>
          </w:p>
        </w:tc>
        <w:tc>
          <w:tcPr>
            <w:tcW w:w="697" w:type="pct"/>
            <w:vAlign w:val="center"/>
          </w:tcPr>
          <w:p>
            <w:pPr>
              <w:jc w:val="center"/>
              <w:rPr>
                <w:rFonts w:ascii="宋体" w:hAnsi="宋体" w:cs="宋体"/>
                <w:b/>
                <w:szCs w:val="21"/>
              </w:rPr>
            </w:pPr>
            <w:r>
              <w:rPr>
                <w:rFonts w:hint="eastAsia" w:ascii="宋体" w:hAnsi="宋体" w:cs="宋体"/>
                <w:b/>
                <w:szCs w:val="21"/>
              </w:rPr>
              <w:t>评审分项</w:t>
            </w:r>
          </w:p>
        </w:tc>
        <w:tc>
          <w:tcPr>
            <w:tcW w:w="3919" w:type="pct"/>
            <w:vAlign w:val="center"/>
          </w:tcPr>
          <w:p>
            <w:pPr>
              <w:jc w:val="center"/>
              <w:rPr>
                <w:rFonts w:ascii="宋体" w:hAnsi="宋体" w:cs="宋体"/>
                <w:b/>
                <w:szCs w:val="21"/>
              </w:rPr>
            </w:pPr>
            <w:r>
              <w:rPr>
                <w:rFonts w:hint="eastAsia" w:ascii="宋体" w:hAnsi="宋体" w:cs="宋体"/>
                <w:b/>
                <w:szCs w:val="21"/>
              </w:rPr>
              <w:t>评审标准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382" w:type="pct"/>
            <w:vAlign w:val="center"/>
          </w:tcPr>
          <w:p>
            <w:pPr>
              <w:tabs>
                <w:tab w:val="left" w:pos="564"/>
              </w:tabs>
              <w:jc w:val="center"/>
              <w:rPr>
                <w:rFonts w:ascii="宋体" w:hAnsi="宋体" w:cs="宋体"/>
                <w:b/>
                <w:szCs w:val="21"/>
              </w:rPr>
            </w:pPr>
            <w:r>
              <w:rPr>
                <w:rFonts w:hint="eastAsia" w:ascii="宋体" w:hAnsi="宋体" w:cs="宋体"/>
                <w:b/>
                <w:szCs w:val="21"/>
              </w:rPr>
              <w:t>1</w:t>
            </w:r>
          </w:p>
        </w:tc>
        <w:tc>
          <w:tcPr>
            <w:tcW w:w="697" w:type="pct"/>
            <w:vAlign w:val="center"/>
          </w:tcPr>
          <w:p>
            <w:pPr>
              <w:rPr>
                <w:rFonts w:ascii="宋体" w:hAnsi="宋体" w:cs="宋体"/>
                <w:szCs w:val="21"/>
              </w:rPr>
            </w:pPr>
            <w:r>
              <w:rPr>
                <w:rFonts w:hint="eastAsia" w:ascii="宋体" w:hAnsi="宋体" w:cs="宋体"/>
                <w:szCs w:val="21"/>
              </w:rPr>
              <w:t>对本次采购需求的响应程度（4分）</w:t>
            </w:r>
          </w:p>
        </w:tc>
        <w:tc>
          <w:tcPr>
            <w:tcW w:w="3919" w:type="pct"/>
            <w:vAlign w:val="center"/>
          </w:tcPr>
          <w:p>
            <w:pPr>
              <w:spacing w:line="400" w:lineRule="exact"/>
              <w:rPr>
                <w:rFonts w:ascii="宋体" w:hAnsi="宋体" w:cs="宋体"/>
              </w:rPr>
            </w:pPr>
            <w:r>
              <w:rPr>
                <w:rFonts w:hint="eastAsia" w:ascii="宋体" w:hAnsi="宋体" w:cs="宋体"/>
              </w:rPr>
              <w:t xml:space="preserve">1、投标人响应程度完全满足或优于招标文件要求的，得4分； </w:t>
            </w:r>
          </w:p>
          <w:p>
            <w:pPr>
              <w:spacing w:line="400" w:lineRule="exact"/>
              <w:rPr>
                <w:rFonts w:ascii="宋体" w:hAnsi="宋体" w:cs="宋体"/>
              </w:rPr>
            </w:pPr>
            <w:r>
              <w:rPr>
                <w:rFonts w:hint="eastAsia" w:ascii="宋体" w:hAnsi="宋体" w:cs="宋体"/>
              </w:rPr>
              <w:t xml:space="preserve">2、投标人响应程度较为满足招标文件要求，描述较为详细的，得3分； </w:t>
            </w:r>
          </w:p>
          <w:p>
            <w:pPr>
              <w:spacing w:line="400" w:lineRule="exact"/>
              <w:rPr>
                <w:rFonts w:ascii="宋体" w:hAnsi="宋体" w:cs="宋体"/>
              </w:rPr>
            </w:pPr>
            <w:r>
              <w:rPr>
                <w:rFonts w:hint="eastAsia" w:ascii="宋体" w:hAnsi="宋体" w:cs="宋体"/>
              </w:rPr>
              <w:t xml:space="preserve">3、投标人响应程度基本满足招标文件要求的，得2分； </w:t>
            </w:r>
          </w:p>
          <w:p>
            <w:pPr>
              <w:spacing w:line="400" w:lineRule="exact"/>
              <w:rPr>
                <w:rFonts w:ascii="宋体" w:hAnsi="宋体" w:cs="宋体"/>
                <w:szCs w:val="21"/>
              </w:rPr>
            </w:pPr>
            <w:r>
              <w:rPr>
                <w:rFonts w:hint="eastAsia" w:ascii="宋体" w:hAnsi="宋体" w:cs="宋体"/>
              </w:rPr>
              <w:t>4、未提供相应内容或无响应的，不得分。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382" w:type="pct"/>
            <w:vAlign w:val="center"/>
          </w:tcPr>
          <w:p>
            <w:pPr>
              <w:jc w:val="center"/>
              <w:rPr>
                <w:rFonts w:ascii="宋体" w:hAnsi="宋体" w:cs="宋体"/>
                <w:b/>
                <w:szCs w:val="21"/>
              </w:rPr>
            </w:pPr>
            <w:r>
              <w:rPr>
                <w:rFonts w:hint="eastAsia" w:ascii="宋体" w:hAnsi="宋体" w:cs="宋体"/>
                <w:b/>
                <w:szCs w:val="21"/>
              </w:rPr>
              <w:t>2</w:t>
            </w:r>
          </w:p>
        </w:tc>
        <w:tc>
          <w:tcPr>
            <w:tcW w:w="697" w:type="pct"/>
            <w:vAlign w:val="center"/>
          </w:tcPr>
          <w:p>
            <w:pPr>
              <w:rPr>
                <w:rFonts w:ascii="宋体" w:hAnsi="宋体" w:cs="宋体"/>
                <w:szCs w:val="21"/>
              </w:rPr>
            </w:pPr>
            <w:r>
              <w:rPr>
                <w:rFonts w:hint="eastAsia" w:ascii="宋体" w:hAnsi="宋体" w:cs="宋体"/>
                <w:szCs w:val="21"/>
              </w:rPr>
              <w:t>服务工作目标、内容及项目实施（作业）方案（4分）</w:t>
            </w:r>
          </w:p>
        </w:tc>
        <w:tc>
          <w:tcPr>
            <w:tcW w:w="3919" w:type="pct"/>
            <w:vAlign w:val="center"/>
          </w:tcPr>
          <w:p>
            <w:pPr>
              <w:spacing w:line="400" w:lineRule="exact"/>
              <w:rPr>
                <w:rFonts w:ascii="宋体" w:hAnsi="宋体" w:cs="宋体"/>
              </w:rPr>
            </w:pPr>
            <w:r>
              <w:rPr>
                <w:rFonts w:hint="eastAsia" w:ascii="宋体" w:hAnsi="宋体" w:cs="宋体"/>
              </w:rPr>
              <w:t xml:space="preserve">1、投标人方案目标明确、内容详细、方案合理可行、亮点多、针对性强，得4分； </w:t>
            </w:r>
          </w:p>
          <w:p>
            <w:pPr>
              <w:spacing w:line="400" w:lineRule="exact"/>
              <w:rPr>
                <w:rFonts w:ascii="宋体" w:hAnsi="宋体" w:cs="宋体"/>
              </w:rPr>
            </w:pPr>
            <w:r>
              <w:rPr>
                <w:rFonts w:hint="eastAsia" w:ascii="宋体" w:hAnsi="宋体" w:cs="宋体"/>
              </w:rPr>
              <w:t xml:space="preserve">2、投标人方案目标比较明确、内容比较详细、方案比较合理可行、亮点较多、针对性较强，得3分； </w:t>
            </w:r>
          </w:p>
          <w:p>
            <w:pPr>
              <w:spacing w:line="400" w:lineRule="exact"/>
              <w:rPr>
                <w:rFonts w:ascii="宋体" w:hAnsi="宋体" w:cs="宋体"/>
              </w:rPr>
            </w:pPr>
            <w:r>
              <w:rPr>
                <w:rFonts w:hint="eastAsia" w:ascii="宋体" w:hAnsi="宋体" w:cs="宋体"/>
              </w:rPr>
              <w:t>3、投标人方案目标基本明确、内容一般、方案基本合理可行、有针对性，得2分；</w:t>
            </w:r>
          </w:p>
          <w:p>
            <w:pPr>
              <w:spacing w:line="400" w:lineRule="exact"/>
              <w:rPr>
                <w:rFonts w:ascii="宋体" w:hAnsi="宋体" w:cs="宋体"/>
                <w:szCs w:val="21"/>
              </w:rPr>
            </w:pPr>
            <w:r>
              <w:rPr>
                <w:rFonts w:hint="eastAsia" w:ascii="宋体" w:hAnsi="宋体" w:cs="宋体"/>
              </w:rPr>
              <w:t>4、未提供相应内容或无响应的，不得分。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382" w:type="pct"/>
            <w:vAlign w:val="center"/>
          </w:tcPr>
          <w:p>
            <w:pPr>
              <w:jc w:val="center"/>
              <w:rPr>
                <w:rFonts w:ascii="宋体" w:hAnsi="宋体" w:cs="宋体"/>
                <w:b/>
                <w:szCs w:val="21"/>
              </w:rPr>
            </w:pPr>
            <w:r>
              <w:rPr>
                <w:rFonts w:hint="eastAsia" w:ascii="宋体" w:hAnsi="宋体" w:cs="宋体"/>
                <w:b/>
                <w:szCs w:val="21"/>
              </w:rPr>
              <w:t>3</w:t>
            </w:r>
          </w:p>
        </w:tc>
        <w:tc>
          <w:tcPr>
            <w:tcW w:w="697" w:type="pct"/>
            <w:vAlign w:val="center"/>
          </w:tcPr>
          <w:p>
            <w:pPr>
              <w:rPr>
                <w:rFonts w:ascii="宋体" w:hAnsi="宋体" w:cs="宋体"/>
                <w:szCs w:val="21"/>
              </w:rPr>
            </w:pPr>
            <w:r>
              <w:rPr>
                <w:rFonts w:hint="eastAsia" w:ascii="宋体" w:hAnsi="宋体" w:cs="宋体"/>
                <w:szCs w:val="21"/>
              </w:rPr>
              <w:t>工作人员培训及管理（4分）</w:t>
            </w:r>
          </w:p>
        </w:tc>
        <w:tc>
          <w:tcPr>
            <w:tcW w:w="3919" w:type="pct"/>
            <w:vAlign w:val="center"/>
          </w:tcPr>
          <w:p>
            <w:pPr>
              <w:spacing w:line="400" w:lineRule="exact"/>
              <w:rPr>
                <w:rFonts w:ascii="宋体" w:hAnsi="宋体" w:cs="宋体"/>
              </w:rPr>
            </w:pPr>
            <w:r>
              <w:rPr>
                <w:rFonts w:hint="eastAsia" w:ascii="宋体" w:hAnsi="宋体" w:cs="宋体"/>
              </w:rPr>
              <w:t>1、投标人工作人员培训及管理内容完整、详细、合理、切实可行，得4分；</w:t>
            </w:r>
          </w:p>
          <w:p>
            <w:pPr>
              <w:spacing w:line="400" w:lineRule="exact"/>
              <w:rPr>
                <w:rFonts w:ascii="宋体" w:hAnsi="宋体" w:cs="宋体"/>
              </w:rPr>
            </w:pPr>
            <w:r>
              <w:rPr>
                <w:rFonts w:hint="eastAsia" w:ascii="宋体" w:hAnsi="宋体" w:cs="宋体"/>
              </w:rPr>
              <w:t xml:space="preserve">2、投标人工作人员培训及管理内容比较完整、详细、合理、可行，得3分； </w:t>
            </w:r>
          </w:p>
          <w:p>
            <w:pPr>
              <w:spacing w:line="400" w:lineRule="exact"/>
              <w:rPr>
                <w:rFonts w:ascii="宋体" w:hAnsi="宋体" w:cs="宋体"/>
              </w:rPr>
            </w:pPr>
            <w:r>
              <w:rPr>
                <w:rFonts w:hint="eastAsia" w:ascii="宋体" w:hAnsi="宋体" w:cs="宋体"/>
              </w:rPr>
              <w:t>3、投标人工作人员培训及管理内容基本完整、详细、合理、可行，得2分；</w:t>
            </w:r>
          </w:p>
          <w:p>
            <w:pPr>
              <w:spacing w:line="400" w:lineRule="exact"/>
              <w:rPr>
                <w:rFonts w:ascii="宋体" w:hAnsi="宋体" w:cs="宋体"/>
                <w:szCs w:val="21"/>
              </w:rPr>
            </w:pPr>
            <w:r>
              <w:rPr>
                <w:rFonts w:hint="eastAsia" w:ascii="宋体" w:hAnsi="宋体" w:cs="宋体"/>
              </w:rPr>
              <w:t>4、未提供相应内容或无响应的，不得分。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382" w:type="pct"/>
            <w:vAlign w:val="center"/>
          </w:tcPr>
          <w:p>
            <w:pPr>
              <w:jc w:val="center"/>
              <w:rPr>
                <w:rFonts w:ascii="宋体" w:hAnsi="宋体" w:cs="宋体"/>
                <w:b/>
                <w:szCs w:val="21"/>
              </w:rPr>
            </w:pPr>
            <w:r>
              <w:rPr>
                <w:rFonts w:hint="eastAsia" w:ascii="宋体" w:hAnsi="宋体" w:cs="宋体"/>
                <w:b/>
                <w:szCs w:val="21"/>
              </w:rPr>
              <w:t>4</w:t>
            </w:r>
          </w:p>
        </w:tc>
        <w:tc>
          <w:tcPr>
            <w:tcW w:w="697" w:type="pct"/>
            <w:vAlign w:val="center"/>
          </w:tcPr>
          <w:p>
            <w:pPr>
              <w:rPr>
                <w:rFonts w:ascii="宋体" w:hAnsi="宋体" w:cs="宋体"/>
                <w:szCs w:val="21"/>
              </w:rPr>
            </w:pPr>
            <w:r>
              <w:rPr>
                <w:rFonts w:hint="eastAsia" w:ascii="宋体" w:hAnsi="宋体" w:cs="宋体"/>
                <w:szCs w:val="21"/>
              </w:rPr>
              <w:t>项目安全管理方案（4分）</w:t>
            </w:r>
          </w:p>
        </w:tc>
        <w:tc>
          <w:tcPr>
            <w:tcW w:w="3919" w:type="pct"/>
            <w:vAlign w:val="center"/>
          </w:tcPr>
          <w:p>
            <w:pPr>
              <w:spacing w:line="400" w:lineRule="exact"/>
              <w:rPr>
                <w:rFonts w:ascii="宋体" w:hAnsi="宋体" w:cs="宋体"/>
              </w:rPr>
            </w:pPr>
            <w:r>
              <w:rPr>
                <w:rFonts w:hint="eastAsia" w:ascii="宋体" w:hAnsi="宋体" w:cs="宋体"/>
              </w:rPr>
              <w:t xml:space="preserve">1、投标人管理方案科学合理、内容完整、详细、切实可行，得4分； </w:t>
            </w:r>
          </w:p>
          <w:p>
            <w:pPr>
              <w:spacing w:line="400" w:lineRule="exact"/>
              <w:rPr>
                <w:rFonts w:ascii="宋体" w:hAnsi="宋体" w:cs="宋体"/>
              </w:rPr>
            </w:pPr>
            <w:r>
              <w:rPr>
                <w:rFonts w:hint="eastAsia" w:ascii="宋体" w:hAnsi="宋体" w:cs="宋体"/>
              </w:rPr>
              <w:t xml:space="preserve">2、投标人方案比较科学合理、内容比较完整、详细、可行，得3分； </w:t>
            </w:r>
          </w:p>
          <w:p>
            <w:pPr>
              <w:spacing w:line="400" w:lineRule="exact"/>
              <w:rPr>
                <w:rFonts w:ascii="宋体" w:hAnsi="宋体" w:cs="宋体"/>
              </w:rPr>
            </w:pPr>
            <w:r>
              <w:rPr>
                <w:rFonts w:hint="eastAsia" w:ascii="宋体" w:hAnsi="宋体" w:cs="宋体"/>
              </w:rPr>
              <w:t xml:space="preserve">3、投标人方案基本合理、内容基本可行，得2分； </w:t>
            </w:r>
          </w:p>
          <w:p>
            <w:pPr>
              <w:spacing w:line="400" w:lineRule="exact"/>
              <w:rPr>
                <w:rFonts w:ascii="宋体" w:hAnsi="宋体" w:cs="宋体"/>
                <w:szCs w:val="21"/>
              </w:rPr>
            </w:pPr>
            <w:r>
              <w:rPr>
                <w:rFonts w:hint="eastAsia" w:ascii="宋体" w:hAnsi="宋体" w:cs="宋体"/>
              </w:rPr>
              <w:t>4、未提供相应内容或无响应的，不得分。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82" w:type="pct"/>
            <w:vAlign w:val="center"/>
          </w:tcPr>
          <w:p>
            <w:pPr>
              <w:jc w:val="center"/>
              <w:rPr>
                <w:rFonts w:ascii="宋体" w:hAnsi="宋体" w:cs="宋体"/>
                <w:b/>
                <w:szCs w:val="21"/>
              </w:rPr>
            </w:pPr>
            <w:r>
              <w:rPr>
                <w:rFonts w:hint="eastAsia" w:ascii="宋体" w:hAnsi="宋体" w:cs="宋体"/>
                <w:b/>
                <w:szCs w:val="21"/>
              </w:rPr>
              <w:t>5</w:t>
            </w:r>
          </w:p>
        </w:tc>
        <w:tc>
          <w:tcPr>
            <w:tcW w:w="697" w:type="pct"/>
            <w:vAlign w:val="center"/>
          </w:tcPr>
          <w:p>
            <w:pPr>
              <w:rPr>
                <w:rFonts w:ascii="宋体" w:hAnsi="宋体" w:cs="宋体"/>
                <w:szCs w:val="21"/>
              </w:rPr>
            </w:pPr>
            <w:r>
              <w:rPr>
                <w:rFonts w:hint="eastAsia" w:ascii="宋体" w:hAnsi="宋体" w:cs="宋体"/>
                <w:szCs w:val="21"/>
              </w:rPr>
              <w:t>对突发事件的应急服务预案（4分）</w:t>
            </w:r>
          </w:p>
        </w:tc>
        <w:tc>
          <w:tcPr>
            <w:tcW w:w="3919" w:type="pct"/>
            <w:vAlign w:val="center"/>
          </w:tcPr>
          <w:p>
            <w:pPr>
              <w:spacing w:line="400" w:lineRule="exact"/>
              <w:rPr>
                <w:rFonts w:ascii="宋体" w:hAnsi="宋体" w:cs="宋体"/>
              </w:rPr>
            </w:pPr>
            <w:r>
              <w:rPr>
                <w:rFonts w:hint="eastAsia" w:ascii="宋体" w:hAnsi="宋体" w:cs="宋体"/>
              </w:rPr>
              <w:t xml:space="preserve">1、投标人预案科学合理、内容完整、详细、切实可行，得4分； </w:t>
            </w:r>
          </w:p>
          <w:p>
            <w:pPr>
              <w:spacing w:line="400" w:lineRule="exact"/>
              <w:rPr>
                <w:rFonts w:ascii="宋体" w:hAnsi="宋体" w:cs="宋体"/>
              </w:rPr>
            </w:pPr>
            <w:r>
              <w:rPr>
                <w:rFonts w:hint="eastAsia" w:ascii="宋体" w:hAnsi="宋体" w:cs="宋体"/>
              </w:rPr>
              <w:t xml:space="preserve">2、投标人预案比较科学合理、内容比较完整、详细、可行，得3分； </w:t>
            </w:r>
          </w:p>
          <w:p>
            <w:pPr>
              <w:spacing w:line="400" w:lineRule="exact"/>
              <w:rPr>
                <w:rFonts w:ascii="宋体" w:hAnsi="宋体" w:cs="宋体"/>
              </w:rPr>
            </w:pPr>
            <w:r>
              <w:rPr>
                <w:rFonts w:hint="eastAsia" w:ascii="宋体" w:hAnsi="宋体" w:cs="宋体"/>
              </w:rPr>
              <w:t>3、投标人预案基本科学合理、内容基本完整、详细、可行，得2分；</w:t>
            </w:r>
          </w:p>
          <w:p>
            <w:pPr>
              <w:spacing w:line="400" w:lineRule="exact"/>
              <w:rPr>
                <w:rFonts w:ascii="宋体" w:hAnsi="宋体" w:cs="宋体"/>
                <w:szCs w:val="21"/>
              </w:rPr>
            </w:pPr>
            <w:r>
              <w:rPr>
                <w:rFonts w:hint="eastAsia" w:ascii="宋体" w:hAnsi="宋体" w:cs="宋体"/>
              </w:rPr>
              <w:t>4、未提供相应内容或无响应的，不得分。</w:t>
            </w:r>
          </w:p>
        </w:tc>
      </w:tr>
    </w:tbl>
    <w:p>
      <w:pPr>
        <w:ind w:firstLine="336" w:firstLineChars="200"/>
        <w:jc w:val="left"/>
        <w:rPr>
          <w:rFonts w:ascii="宋体" w:hAnsi="宋体" w:cs="宋体"/>
          <w:sz w:val="18"/>
          <w:szCs w:val="18"/>
        </w:rPr>
      </w:pPr>
      <w:r>
        <w:rPr>
          <w:rFonts w:hint="eastAsia" w:ascii="宋体" w:hAnsi="宋体" w:cs="宋体"/>
          <w:bCs/>
          <w:spacing w:val="-6"/>
          <w:sz w:val="18"/>
          <w:szCs w:val="18"/>
        </w:rPr>
        <w:t>注：</w:t>
      </w:r>
      <w:r>
        <w:rPr>
          <w:rFonts w:hint="eastAsia" w:ascii="宋体" w:hAnsi="宋体" w:cs="宋体"/>
          <w:sz w:val="18"/>
          <w:szCs w:val="18"/>
        </w:rPr>
        <w:t>技术评审各评审因素得分以各评标委员会成员对该投标人打分的平均值确定（保留小数点后2位）。</w:t>
      </w:r>
    </w:p>
    <w:p>
      <w:pPr>
        <w:spacing w:line="360" w:lineRule="auto"/>
        <w:ind w:firstLine="422"/>
        <w:rPr>
          <w:rFonts w:ascii="宋体" w:hAnsi="宋体" w:cs="宋体"/>
          <w:b/>
          <w:sz w:val="24"/>
        </w:rPr>
      </w:pPr>
      <w:r>
        <w:rPr>
          <w:rFonts w:hint="eastAsia" w:ascii="宋体" w:hAnsi="宋体" w:cs="宋体"/>
          <w:b/>
          <w:sz w:val="24"/>
        </w:rPr>
        <w:t>6.3 投标报价评审（60分）</w:t>
      </w:r>
    </w:p>
    <w:p>
      <w:pPr>
        <w:spacing w:line="400" w:lineRule="exact"/>
        <w:ind w:firstLine="506" w:firstLineChars="210"/>
        <w:rPr>
          <w:rFonts w:ascii="宋体" w:hAnsi="宋体" w:cs="宋体"/>
          <w:b/>
          <w:sz w:val="24"/>
        </w:rPr>
      </w:pPr>
      <w:r>
        <w:rPr>
          <w:rFonts w:hint="eastAsia" w:ascii="宋体" w:hAnsi="宋体" w:cs="宋体"/>
          <w:b/>
          <w:sz w:val="24"/>
        </w:rPr>
        <w:t>6.3.1算术性修正</w:t>
      </w:r>
    </w:p>
    <w:p>
      <w:pPr>
        <w:spacing w:line="400" w:lineRule="exact"/>
        <w:ind w:firstLine="480" w:firstLineChars="200"/>
        <w:rPr>
          <w:rFonts w:ascii="宋体" w:hAnsi="宋体" w:cs="宋体"/>
          <w:sz w:val="24"/>
        </w:rPr>
      </w:pPr>
      <w:r>
        <w:rPr>
          <w:rFonts w:hint="eastAsia" w:ascii="宋体" w:hAnsi="宋体" w:cs="宋体"/>
          <w:sz w:val="24"/>
        </w:rPr>
        <w:t>评标委员会对通过初步评审和资格审查的投标人的报价按下列原则进行算术性修正：</w:t>
      </w:r>
    </w:p>
    <w:p>
      <w:pPr>
        <w:spacing w:line="400" w:lineRule="exact"/>
        <w:ind w:firstLine="540" w:firstLineChars="225"/>
        <w:rPr>
          <w:rFonts w:ascii="宋体" w:hAnsi="宋体" w:cs="宋体"/>
          <w:sz w:val="24"/>
        </w:rPr>
      </w:pPr>
      <w:r>
        <w:rPr>
          <w:rFonts w:hint="eastAsia" w:ascii="宋体" w:hAnsi="宋体" w:cs="宋体"/>
          <w:sz w:val="24"/>
        </w:rPr>
        <w:t>⑴投标文件中的大写金额与小写金额不一致的，以大写金额为准；</w:t>
      </w:r>
    </w:p>
    <w:p>
      <w:pPr>
        <w:spacing w:line="400" w:lineRule="exact"/>
        <w:ind w:firstLine="540" w:firstLineChars="225"/>
        <w:rPr>
          <w:rFonts w:ascii="宋体" w:hAnsi="宋体" w:cs="宋体"/>
          <w:sz w:val="24"/>
        </w:rPr>
      </w:pPr>
      <w:r>
        <w:rPr>
          <w:rFonts w:hint="eastAsia" w:ascii="宋体" w:hAnsi="宋体" w:cs="宋体"/>
          <w:sz w:val="24"/>
        </w:rPr>
        <w:t>⑵总价金额与依据单价计算出的结果不一致的，在保证投标总价不变的前提下予以合理调整单价。</w:t>
      </w:r>
    </w:p>
    <w:p>
      <w:pPr>
        <w:spacing w:line="400" w:lineRule="exact"/>
        <w:ind w:firstLine="540" w:firstLineChars="225"/>
        <w:rPr>
          <w:rFonts w:ascii="宋体" w:hAnsi="宋体" w:cs="宋体"/>
          <w:sz w:val="24"/>
        </w:rPr>
      </w:pPr>
      <w:r>
        <w:rPr>
          <w:rFonts w:hint="eastAsia" w:ascii="宋体" w:hAnsi="宋体" w:cs="宋体"/>
          <w:sz w:val="24"/>
        </w:rPr>
        <w:t>⑶当各细目的合价累计不等于总价时，应以总价不变的前提下，修正各细目合价累计数。</w:t>
      </w:r>
    </w:p>
    <w:p>
      <w:pPr>
        <w:spacing w:line="400" w:lineRule="exact"/>
        <w:ind w:firstLine="540" w:firstLineChars="225"/>
        <w:rPr>
          <w:rFonts w:ascii="宋体" w:hAnsi="宋体" w:cs="宋体"/>
          <w:sz w:val="24"/>
        </w:rPr>
      </w:pPr>
      <w:r>
        <w:rPr>
          <w:rFonts w:hint="eastAsia" w:ascii="宋体" w:hAnsi="宋体" w:cs="宋体"/>
          <w:sz w:val="24"/>
        </w:rPr>
        <w:t>⑷当各子目的合价累计不等于总价时，应以总价不变的前提下，修正各子目合价。</w:t>
      </w:r>
    </w:p>
    <w:p>
      <w:pPr>
        <w:spacing w:line="400" w:lineRule="exact"/>
        <w:ind w:firstLine="540" w:firstLineChars="225"/>
        <w:rPr>
          <w:rFonts w:ascii="宋体" w:hAnsi="宋体" w:cs="宋体"/>
          <w:sz w:val="24"/>
        </w:rPr>
      </w:pPr>
      <w:r>
        <w:rPr>
          <w:rFonts w:hint="eastAsia" w:ascii="宋体" w:hAnsi="宋体" w:cs="宋体"/>
          <w:sz w:val="24"/>
        </w:rPr>
        <w:t>评标委员会对算术性差错的修正结果，无需投标人在评标过程中确认，投标人必须同意其修正结果，否则否决其投标，并没收其投标担保。修正后的最终投标报价仅作为签订合同的一个依据，不参与评标价得分的计算。</w:t>
      </w:r>
    </w:p>
    <w:p>
      <w:pPr>
        <w:spacing w:line="400" w:lineRule="exact"/>
        <w:ind w:left="480"/>
        <w:rPr>
          <w:rFonts w:ascii="宋体" w:hAnsi="宋体" w:cs="宋体"/>
          <w:b/>
          <w:spacing w:val="-6"/>
          <w:sz w:val="24"/>
        </w:rPr>
      </w:pPr>
      <w:r>
        <w:rPr>
          <w:rFonts w:hint="eastAsia" w:ascii="宋体" w:hAnsi="宋体" w:cs="宋体"/>
          <w:b/>
          <w:spacing w:val="-6"/>
          <w:sz w:val="24"/>
        </w:rPr>
        <w:t>6.3.2计算评标基准价</w:t>
      </w:r>
    </w:p>
    <w:p>
      <w:pPr>
        <w:spacing w:line="400" w:lineRule="exact"/>
        <w:ind w:firstLine="482" w:firstLineChars="200"/>
        <w:rPr>
          <w:rFonts w:ascii="宋体" w:hAnsi="宋体" w:cs="宋体"/>
          <w:b/>
          <w:sz w:val="24"/>
        </w:rPr>
      </w:pPr>
      <w:r>
        <w:rPr>
          <w:rFonts w:hint="eastAsia" w:ascii="宋体" w:hAnsi="宋体" w:cs="宋体"/>
          <w:b/>
          <w:sz w:val="24"/>
        </w:rPr>
        <w:t>⑴评标价的确定</w:t>
      </w:r>
    </w:p>
    <w:p>
      <w:pPr>
        <w:spacing w:line="400" w:lineRule="exact"/>
        <w:ind w:firstLine="540" w:firstLineChars="225"/>
        <w:rPr>
          <w:rFonts w:ascii="宋体" w:hAnsi="宋体" w:cs="宋体"/>
          <w:sz w:val="24"/>
        </w:rPr>
      </w:pPr>
      <w:r>
        <w:rPr>
          <w:rFonts w:hint="eastAsia" w:ascii="宋体" w:hAnsi="宋体" w:cs="宋体"/>
          <w:sz w:val="24"/>
        </w:rPr>
        <w:t xml:space="preserve"> 评标价=投标函大写文字报价</w:t>
      </w:r>
    </w:p>
    <w:p>
      <w:pPr>
        <w:spacing w:line="400" w:lineRule="exact"/>
        <w:ind w:firstLine="542" w:firstLineChars="225"/>
        <w:rPr>
          <w:rFonts w:ascii="宋体" w:hAnsi="宋体" w:cs="宋体"/>
          <w:sz w:val="24"/>
        </w:rPr>
      </w:pPr>
      <w:r>
        <w:rPr>
          <w:rFonts w:hint="eastAsia" w:ascii="宋体" w:hAnsi="宋体" w:cs="宋体"/>
          <w:b/>
          <w:sz w:val="24"/>
        </w:rPr>
        <w:t>⑵确定有效评标价</w:t>
      </w:r>
    </w:p>
    <w:p>
      <w:pPr>
        <w:spacing w:line="400" w:lineRule="exact"/>
        <w:ind w:firstLine="540" w:firstLineChars="225"/>
        <w:rPr>
          <w:rFonts w:ascii="宋体" w:hAnsi="宋体" w:cs="宋体"/>
          <w:sz w:val="24"/>
        </w:rPr>
      </w:pPr>
      <w:r>
        <w:rPr>
          <w:rFonts w:hint="eastAsia" w:ascii="宋体" w:hAnsi="宋体" w:cs="宋体"/>
          <w:sz w:val="24"/>
        </w:rPr>
        <w:t>通过</w:t>
      </w:r>
      <w:r>
        <w:rPr>
          <w:rFonts w:hint="eastAsia" w:ascii="宋体" w:hAnsi="宋体" w:cs="宋体"/>
          <w:sz w:val="24"/>
          <w:lang w:val="en-US" w:eastAsia="zh-CN"/>
        </w:rPr>
        <w:t>资格</w:t>
      </w:r>
      <w:r>
        <w:rPr>
          <w:rFonts w:hint="eastAsia" w:ascii="宋体" w:hAnsi="宋体" w:cs="宋体"/>
          <w:sz w:val="24"/>
        </w:rPr>
        <w:t>评审，且满足以下报价范围的为有效评标价：有效评标价≤最高投标总限价的100%；大于最高投标总限价的评标价，否决其投标。</w:t>
      </w:r>
    </w:p>
    <w:p>
      <w:pPr>
        <w:spacing w:line="400" w:lineRule="exact"/>
        <w:ind w:firstLine="602" w:firstLineChars="250"/>
        <w:rPr>
          <w:rFonts w:ascii="宋体" w:hAnsi="宋体" w:cs="宋体"/>
          <w:b/>
          <w:sz w:val="24"/>
        </w:rPr>
      </w:pPr>
      <w:r>
        <w:rPr>
          <w:rFonts w:hint="eastAsia" w:ascii="宋体" w:hAnsi="宋体" w:cs="宋体"/>
          <w:b/>
          <w:sz w:val="24"/>
        </w:rPr>
        <w:t>本次最高投标总限价为人民币</w:t>
      </w:r>
      <w:r>
        <w:rPr>
          <w:rFonts w:hint="eastAsia" w:ascii="宋体" w:hAnsi="宋体" w:cs="宋体"/>
          <w:b/>
          <w:sz w:val="24"/>
          <w:u w:val="single"/>
        </w:rPr>
        <w:t xml:space="preserve"> 6844362 </w:t>
      </w:r>
      <w:r>
        <w:rPr>
          <w:rFonts w:hint="eastAsia" w:ascii="宋体" w:hAnsi="宋体" w:cs="宋体"/>
          <w:b/>
          <w:sz w:val="24"/>
        </w:rPr>
        <w:t>元。</w:t>
      </w:r>
    </w:p>
    <w:p>
      <w:pPr>
        <w:ind w:firstLine="566" w:firstLineChars="235"/>
        <w:rPr>
          <w:rFonts w:ascii="宋体" w:hAnsi="宋体" w:cs="宋体"/>
          <w:b/>
          <w:sz w:val="24"/>
        </w:rPr>
      </w:pPr>
      <w:r>
        <w:rPr>
          <w:rFonts w:hint="eastAsia" w:ascii="宋体" w:hAnsi="宋体" w:cs="宋体"/>
          <w:b/>
          <w:sz w:val="24"/>
        </w:rPr>
        <w:t>⑶计算评标基准价</w:t>
      </w:r>
    </w:p>
    <w:p>
      <w:pPr>
        <w:spacing w:line="400" w:lineRule="exact"/>
        <w:ind w:firstLine="480" w:firstLineChars="200"/>
        <w:rPr>
          <w:rFonts w:ascii="宋体" w:hAnsi="宋体" w:cs="宋体"/>
          <w:b/>
          <w:sz w:val="24"/>
        </w:rPr>
      </w:pPr>
      <w:r>
        <w:rPr>
          <w:rFonts w:hint="eastAsia" w:ascii="宋体" w:hAnsi="宋体" w:cs="宋体"/>
          <w:sz w:val="24"/>
        </w:rPr>
        <w:t>本招标项目的</w:t>
      </w:r>
      <w:r>
        <w:rPr>
          <w:rFonts w:hint="eastAsia" w:ascii="宋体" w:hAnsi="宋体" w:cs="宋体"/>
          <w:b/>
          <w:sz w:val="24"/>
        </w:rPr>
        <w:t>最高投标限价下浮率有效范围为0%～3%（含界值）</w:t>
      </w:r>
      <w:r>
        <w:rPr>
          <w:rFonts w:hint="eastAsia" w:ascii="宋体" w:hAnsi="宋体" w:cs="宋体"/>
          <w:sz w:val="24"/>
        </w:rPr>
        <w:t>。在开标前，采用摇珠方式确定最高投标限价下浮率（下浮率按0.1%为一档次，增序确定摇珠号码，共设31个球）。在最高投标限价下浮率有效范围内随机摇取</w:t>
      </w:r>
      <w:r>
        <w:rPr>
          <w:rFonts w:hint="eastAsia" w:ascii="宋体" w:hAnsi="宋体" w:cs="宋体"/>
          <w:snapToGrid w:val="0"/>
          <w:sz w:val="24"/>
        </w:rPr>
        <w:t>3个球（摇出的球不再放回摇珠机）</w:t>
      </w:r>
      <w:r>
        <w:rPr>
          <w:rFonts w:hint="eastAsia" w:ascii="宋体" w:hAnsi="宋体" w:cs="宋体"/>
          <w:sz w:val="24"/>
        </w:rPr>
        <w:t>，</w:t>
      </w:r>
      <w:r>
        <w:rPr>
          <w:rFonts w:hint="eastAsia" w:ascii="宋体" w:hAnsi="宋体" w:cs="宋体"/>
          <w:snapToGrid w:val="0"/>
          <w:sz w:val="24"/>
        </w:rPr>
        <w:t>摇出3个球对应的下浮率的平均值（以百分比为单位</w:t>
      </w:r>
      <w:r>
        <w:rPr>
          <w:rFonts w:hint="eastAsia" w:ascii="宋体" w:hAnsi="宋体" w:cs="宋体"/>
          <w:sz w:val="24"/>
        </w:rPr>
        <w:t>保留小数点后三位，小数点后第四位“四舍五入，0.001%</w:t>
      </w:r>
      <w:r>
        <w:rPr>
          <w:rFonts w:hint="eastAsia" w:ascii="宋体" w:hAnsi="宋体" w:cs="宋体"/>
          <w:snapToGrid w:val="0"/>
          <w:sz w:val="24"/>
        </w:rPr>
        <w:t>）即为本次</w:t>
      </w:r>
      <w:r>
        <w:rPr>
          <w:rFonts w:hint="eastAsia" w:ascii="宋体" w:hAnsi="宋体" w:cs="宋体"/>
          <w:sz w:val="24"/>
        </w:rPr>
        <w:t>招标</w:t>
      </w:r>
      <w:r>
        <w:rPr>
          <w:rFonts w:hint="eastAsia" w:ascii="宋体" w:hAnsi="宋体" w:cs="宋体"/>
          <w:snapToGrid w:val="0"/>
          <w:sz w:val="24"/>
        </w:rPr>
        <w:t>的下浮率</w:t>
      </w:r>
      <w:r>
        <w:rPr>
          <w:rFonts w:hint="eastAsia" w:ascii="宋体" w:hAnsi="宋体" w:cs="宋体"/>
          <w:sz w:val="24"/>
        </w:rPr>
        <w:t>。</w:t>
      </w:r>
    </w:p>
    <w:p>
      <w:pPr>
        <w:spacing w:line="400" w:lineRule="exact"/>
        <w:ind w:firstLine="602" w:firstLineChars="250"/>
        <w:rPr>
          <w:rFonts w:ascii="宋体" w:hAnsi="宋体" w:cs="宋体"/>
          <w:b/>
          <w:sz w:val="24"/>
        </w:rPr>
      </w:pPr>
      <w:r>
        <w:rPr>
          <w:rFonts w:hint="eastAsia" w:ascii="宋体" w:hAnsi="宋体" w:cs="宋体"/>
          <w:b/>
          <w:sz w:val="24"/>
        </w:rPr>
        <w:t>评标基准价=最高投标总限价×（1-下浮率）×98%。</w:t>
      </w:r>
    </w:p>
    <w:p>
      <w:pPr>
        <w:spacing w:line="400" w:lineRule="exact"/>
        <w:ind w:firstLine="480" w:firstLineChars="200"/>
        <w:rPr>
          <w:rFonts w:ascii="宋体" w:hAnsi="宋体" w:cs="宋体"/>
          <w:b/>
          <w:spacing w:val="-6"/>
          <w:sz w:val="24"/>
        </w:rPr>
      </w:pPr>
      <w:r>
        <w:rPr>
          <w:rFonts w:hint="eastAsia" w:ascii="宋体" w:hAnsi="宋体" w:cs="宋体"/>
          <w:sz w:val="24"/>
        </w:rPr>
        <w:t>注：</w:t>
      </w:r>
      <w:r>
        <w:rPr>
          <w:rFonts w:hint="eastAsia" w:ascii="宋体" w:hAnsi="宋体" w:cs="宋体"/>
          <w:spacing w:val="-6"/>
          <w:sz w:val="24"/>
        </w:rPr>
        <w:t>评标基准价四舍五入保留至个位整数元。</w:t>
      </w:r>
    </w:p>
    <w:p>
      <w:pPr>
        <w:spacing w:line="400" w:lineRule="exact"/>
        <w:rPr>
          <w:rFonts w:ascii="宋体" w:hAnsi="宋体" w:cs="宋体"/>
          <w:b/>
          <w:spacing w:val="-6"/>
          <w:sz w:val="24"/>
        </w:rPr>
      </w:pPr>
      <w:r>
        <w:rPr>
          <w:rFonts w:hint="eastAsia" w:ascii="宋体" w:hAnsi="宋体" w:cs="宋体"/>
          <w:b/>
          <w:sz w:val="24"/>
        </w:rPr>
        <w:t xml:space="preserve">    </w:t>
      </w:r>
      <w:r>
        <w:rPr>
          <w:rFonts w:hint="eastAsia" w:ascii="宋体" w:hAnsi="宋体" w:cs="宋体"/>
          <w:b/>
          <w:spacing w:val="-6"/>
          <w:sz w:val="24"/>
        </w:rPr>
        <w:t>6.3.3计算评标价得分</w:t>
      </w:r>
    </w:p>
    <w:p>
      <w:pPr>
        <w:spacing w:line="400" w:lineRule="exact"/>
        <w:ind w:firstLine="478" w:firstLineChars="210"/>
        <w:rPr>
          <w:rFonts w:ascii="宋体" w:hAnsi="宋体" w:cs="宋体"/>
          <w:spacing w:val="-6"/>
          <w:sz w:val="24"/>
        </w:rPr>
      </w:pPr>
      <w:r>
        <w:rPr>
          <w:rFonts w:hint="eastAsia" w:ascii="宋体" w:hAnsi="宋体" w:cs="宋体"/>
          <w:spacing w:val="-6"/>
          <w:sz w:val="24"/>
        </w:rPr>
        <w:t>当报价等于评标基准价时得满分，每高于评标基准价一个百分点扣1分，每低于评标基准价一个百分点扣0.5分，中间值按比例内插，四舍五入，保留两位小数。</w:t>
      </w:r>
    </w:p>
    <w:p>
      <w:pPr>
        <w:ind w:firstLine="478" w:firstLineChars="210"/>
        <w:rPr>
          <w:rFonts w:ascii="宋体" w:hAnsi="宋体" w:cs="宋体"/>
          <w:spacing w:val="-6"/>
          <w:sz w:val="24"/>
        </w:rPr>
      </w:pPr>
      <w:r>
        <w:rPr>
          <w:rFonts w:hint="eastAsia" w:ascii="宋体" w:hAnsi="宋体" w:cs="宋体"/>
          <w:spacing w:val="-6"/>
          <w:sz w:val="24"/>
        </w:rPr>
        <w:t>用公式表示如下：</w:t>
      </w:r>
    </w:p>
    <w:p>
      <w:pPr>
        <w:ind w:firstLine="2343" w:firstLineChars="1028"/>
        <w:rPr>
          <w:rFonts w:ascii="宋体" w:hAnsi="宋体" w:cs="宋体"/>
          <w:spacing w:val="-6"/>
          <w:sz w:val="24"/>
        </w:rPr>
      </w:pPr>
      <w:r>
        <w:rPr>
          <w:rFonts w:hint="eastAsia" w:ascii="宋体" w:hAnsi="宋体" w:cs="宋体"/>
          <w:spacing w:val="-6"/>
          <w:sz w:val="24"/>
        </w:rPr>
        <w:drawing>
          <wp:inline distT="0" distB="0" distL="114300" distR="114300">
            <wp:extent cx="1761490" cy="35242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cstate="print"/>
                    <a:stretch>
                      <a:fillRect/>
                    </a:stretch>
                  </pic:blipFill>
                  <pic:spPr>
                    <a:xfrm>
                      <a:off x="0" y="0"/>
                      <a:ext cx="1761490" cy="352425"/>
                    </a:xfrm>
                    <a:prstGeom prst="rect">
                      <a:avLst/>
                    </a:prstGeom>
                    <a:noFill/>
                    <a:ln>
                      <a:noFill/>
                    </a:ln>
                  </pic:spPr>
                </pic:pic>
              </a:graphicData>
            </a:graphic>
          </wp:inline>
        </w:drawing>
      </w:r>
    </w:p>
    <w:p>
      <w:pPr>
        <w:spacing w:line="400" w:lineRule="exact"/>
        <w:ind w:firstLine="342" w:firstLineChars="150"/>
        <w:rPr>
          <w:rFonts w:ascii="宋体" w:hAnsi="宋体" w:cs="宋体"/>
          <w:spacing w:val="-6"/>
          <w:sz w:val="24"/>
        </w:rPr>
      </w:pPr>
      <w:r>
        <w:rPr>
          <w:rFonts w:hint="eastAsia" w:ascii="宋体" w:hAnsi="宋体" w:cs="宋体"/>
          <w:spacing w:val="-6"/>
          <w:sz w:val="24"/>
        </w:rPr>
        <w:t>式中：F1=投标人评标价得分；</w:t>
      </w:r>
    </w:p>
    <w:p>
      <w:pPr>
        <w:spacing w:line="400" w:lineRule="exact"/>
        <w:ind w:firstLine="342" w:firstLineChars="150"/>
        <w:rPr>
          <w:rFonts w:ascii="宋体" w:hAnsi="宋体" w:cs="宋体"/>
          <w:spacing w:val="-6"/>
          <w:sz w:val="24"/>
        </w:rPr>
      </w:pPr>
      <w:r>
        <w:rPr>
          <w:rFonts w:hint="eastAsia" w:ascii="宋体" w:hAnsi="宋体" w:cs="宋体"/>
          <w:spacing w:val="-6"/>
          <w:sz w:val="24"/>
        </w:rPr>
        <w:t>F=评标价得分所占的百分比权重，F＝60；</w:t>
      </w:r>
    </w:p>
    <w:p>
      <w:pPr>
        <w:spacing w:line="400" w:lineRule="exact"/>
        <w:ind w:firstLine="342" w:firstLineChars="150"/>
        <w:rPr>
          <w:rFonts w:ascii="宋体" w:hAnsi="宋体" w:cs="宋体"/>
          <w:spacing w:val="-6"/>
          <w:sz w:val="24"/>
        </w:rPr>
      </w:pPr>
      <w:r>
        <w:rPr>
          <w:rFonts w:hint="eastAsia" w:ascii="宋体" w:hAnsi="宋体" w:cs="宋体"/>
          <w:spacing w:val="-6"/>
          <w:sz w:val="24"/>
        </w:rPr>
        <w:t>D1=投标人的投标报价；</w:t>
      </w:r>
    </w:p>
    <w:p>
      <w:pPr>
        <w:spacing w:line="400" w:lineRule="exact"/>
        <w:ind w:firstLine="342" w:firstLineChars="150"/>
        <w:rPr>
          <w:rFonts w:ascii="宋体" w:hAnsi="宋体" w:cs="宋体"/>
          <w:spacing w:val="-6"/>
          <w:sz w:val="24"/>
        </w:rPr>
      </w:pPr>
      <w:r>
        <w:rPr>
          <w:rFonts w:hint="eastAsia" w:ascii="宋体" w:hAnsi="宋体" w:cs="宋体"/>
          <w:spacing w:val="-6"/>
          <w:sz w:val="24"/>
        </w:rPr>
        <w:t>D=评标基准价。</w:t>
      </w:r>
    </w:p>
    <w:p>
      <w:pPr>
        <w:spacing w:line="400" w:lineRule="exact"/>
        <w:ind w:firstLine="456" w:firstLineChars="200"/>
        <w:rPr>
          <w:rFonts w:ascii="宋体" w:hAnsi="宋体" w:cs="宋体"/>
          <w:sz w:val="24"/>
        </w:rPr>
      </w:pPr>
      <w:r>
        <w:rPr>
          <w:rFonts w:hint="eastAsia" w:ascii="宋体" w:hAnsi="宋体" w:cs="宋体"/>
          <w:spacing w:val="-6"/>
          <w:sz w:val="24"/>
        </w:rPr>
        <w:t>若D1≥D，则E=1.0；若D1＜D，则E=0.5。评标价得分最低为0分。</w:t>
      </w:r>
    </w:p>
    <w:p>
      <w:pPr>
        <w:spacing w:line="400" w:lineRule="exact"/>
        <w:rPr>
          <w:rFonts w:ascii="宋体" w:hAnsi="宋体" w:cs="宋体"/>
          <w:b/>
          <w:spacing w:val="4"/>
          <w:sz w:val="24"/>
        </w:rPr>
      </w:pPr>
      <w:r>
        <w:rPr>
          <w:rFonts w:hint="eastAsia" w:ascii="宋体" w:hAnsi="宋体" w:cs="宋体"/>
          <w:b/>
          <w:spacing w:val="4"/>
          <w:sz w:val="24"/>
        </w:rPr>
        <w:t>7．投标文件的澄清</w:t>
      </w:r>
    </w:p>
    <w:p>
      <w:pPr>
        <w:spacing w:line="400" w:lineRule="exact"/>
        <w:ind w:firstLine="480" w:firstLineChars="200"/>
        <w:rPr>
          <w:rFonts w:ascii="宋体" w:hAnsi="宋体" w:cs="宋体"/>
          <w:sz w:val="24"/>
        </w:rPr>
      </w:pPr>
      <w:r>
        <w:rPr>
          <w:rFonts w:hint="eastAsia" w:ascii="宋体" w:hAnsi="宋体" w:cs="宋体"/>
          <w:sz w:val="24"/>
        </w:rPr>
        <w:t>⑴除按本办法规定的重大偏差外，投标文件存在的其他问题应视为细微偏差。为了有助于投标文件的审查、评价和比较，评标委员会可以书面形式要求投标人对所提交投标文件中不明确的内容、明显文字或者计算错误进行书面澄清或说明。对此投标人不得拒绝，否则，否决其投标，并没收投标保证金。</w:t>
      </w:r>
    </w:p>
    <w:p>
      <w:pPr>
        <w:spacing w:line="400" w:lineRule="exact"/>
        <w:ind w:firstLine="480" w:firstLineChars="200"/>
        <w:rPr>
          <w:rFonts w:ascii="宋体" w:hAnsi="宋体" w:cs="宋体"/>
          <w:sz w:val="24"/>
        </w:rPr>
      </w:pPr>
      <w:r>
        <w:rPr>
          <w:rFonts w:hint="eastAsia" w:ascii="宋体" w:hAnsi="宋体" w:cs="宋体"/>
          <w:sz w:val="24"/>
        </w:rPr>
        <w:t>⑵有关澄清、说明的要求和回答均以书面形式进行，但招标人和投标人均不得因此而提出改变招标文件或投标文件实质内容的要求。投标人的书面澄清、说明属于投标文件的组成部分；</w:t>
      </w:r>
    </w:p>
    <w:p>
      <w:pPr>
        <w:spacing w:line="400" w:lineRule="exact"/>
        <w:ind w:firstLine="480" w:firstLineChars="200"/>
        <w:rPr>
          <w:rFonts w:ascii="宋体" w:hAnsi="宋体" w:cs="宋体"/>
          <w:sz w:val="24"/>
        </w:rPr>
      </w:pPr>
      <w:r>
        <w:rPr>
          <w:rFonts w:hint="eastAsia" w:ascii="宋体" w:hAnsi="宋体" w:cs="宋体"/>
          <w:sz w:val="24"/>
        </w:rPr>
        <w:t>⑶评标委员会不接受投标人主动提出的澄清、说明。</w:t>
      </w:r>
    </w:p>
    <w:p>
      <w:pPr>
        <w:spacing w:line="400" w:lineRule="exact"/>
        <w:rPr>
          <w:rFonts w:ascii="宋体" w:hAnsi="宋体" w:cs="宋体"/>
          <w:b/>
          <w:spacing w:val="4"/>
          <w:sz w:val="24"/>
        </w:rPr>
      </w:pPr>
      <w:r>
        <w:rPr>
          <w:rFonts w:hint="eastAsia" w:ascii="宋体" w:hAnsi="宋体" w:cs="宋体"/>
          <w:b/>
          <w:spacing w:val="4"/>
          <w:sz w:val="24"/>
        </w:rPr>
        <w:t>8. 综合得分</w:t>
      </w:r>
    </w:p>
    <w:p>
      <w:pPr>
        <w:spacing w:line="400" w:lineRule="exact"/>
        <w:ind w:firstLine="480" w:firstLineChars="200"/>
        <w:rPr>
          <w:rFonts w:ascii="宋体" w:hAnsi="宋体" w:cs="宋体"/>
          <w:sz w:val="24"/>
        </w:rPr>
      </w:pPr>
      <w:r>
        <w:rPr>
          <w:rFonts w:hint="eastAsia" w:ascii="宋体" w:hAnsi="宋体" w:cs="宋体"/>
          <w:sz w:val="24"/>
        </w:rPr>
        <w:t>各投标人的综合得分等于技术评分、商务评分与评标价评分之和。</w:t>
      </w:r>
    </w:p>
    <w:p>
      <w:pPr>
        <w:spacing w:line="400" w:lineRule="exact"/>
        <w:rPr>
          <w:rFonts w:ascii="宋体" w:hAnsi="宋体" w:cs="宋体"/>
          <w:b/>
          <w:spacing w:val="4"/>
          <w:sz w:val="24"/>
        </w:rPr>
      </w:pPr>
      <w:r>
        <w:rPr>
          <w:rFonts w:hint="eastAsia" w:ascii="宋体" w:hAnsi="宋体" w:cs="宋体"/>
          <w:b/>
          <w:spacing w:val="4"/>
          <w:sz w:val="24"/>
        </w:rPr>
        <w:t>9. 推荐中标候选人</w:t>
      </w:r>
    </w:p>
    <w:p>
      <w:pPr>
        <w:topLinePunct/>
        <w:spacing w:line="400" w:lineRule="exact"/>
        <w:ind w:firstLine="456" w:firstLineChars="200"/>
        <w:rPr>
          <w:rFonts w:ascii="宋体" w:hAnsi="宋体" w:cs="宋体"/>
          <w:spacing w:val="-6"/>
          <w:sz w:val="24"/>
        </w:rPr>
      </w:pPr>
      <w:r>
        <w:rPr>
          <w:rFonts w:hint="eastAsia" w:ascii="宋体" w:hAnsi="宋体" w:cs="宋体"/>
          <w:spacing w:val="-6"/>
          <w:sz w:val="24"/>
        </w:rPr>
        <w:t>⑴根据综合得分由高至低排序，推荐3名中标候选人。</w:t>
      </w:r>
    </w:p>
    <w:p>
      <w:pPr>
        <w:topLinePunct/>
        <w:spacing w:line="400" w:lineRule="exact"/>
        <w:ind w:firstLine="456" w:firstLineChars="200"/>
        <w:rPr>
          <w:rFonts w:ascii="宋体" w:hAnsi="宋体" w:cs="宋体"/>
          <w:spacing w:val="-6"/>
          <w:sz w:val="24"/>
        </w:rPr>
      </w:pPr>
      <w:r>
        <w:rPr>
          <w:rFonts w:hint="eastAsia" w:ascii="宋体" w:hAnsi="宋体" w:cs="宋体"/>
          <w:spacing w:val="-6"/>
          <w:sz w:val="24"/>
        </w:rPr>
        <w:t>⑵当综合得分相等时，以投标总报价低者优先；当一家以上投标人综合得分相等且投标总报价也相等时，若各投标人报价单价也相同，视为串标，均按否决其投标处理；若各投标人报价单价不尽相同，由评标委员会按照以下顺序确定其名次：</w:t>
      </w:r>
    </w:p>
    <w:p>
      <w:pPr>
        <w:topLinePunct/>
        <w:spacing w:line="400" w:lineRule="exact"/>
        <w:ind w:firstLine="456" w:firstLineChars="200"/>
        <w:rPr>
          <w:rFonts w:ascii="宋体" w:hAnsi="宋体" w:cs="宋体"/>
          <w:spacing w:val="-6"/>
          <w:sz w:val="24"/>
        </w:rPr>
      </w:pPr>
      <w:r>
        <w:rPr>
          <w:rFonts w:hint="eastAsia" w:ascii="宋体" w:hAnsi="宋体" w:cs="宋体"/>
          <w:spacing w:val="-6"/>
          <w:sz w:val="24"/>
        </w:rPr>
        <w:t>a.以投标人企业提供有效业绩数量多的优先；</w:t>
      </w:r>
    </w:p>
    <w:p>
      <w:pPr>
        <w:topLinePunct/>
        <w:spacing w:line="400" w:lineRule="exact"/>
        <w:ind w:firstLine="456" w:firstLineChars="200"/>
        <w:rPr>
          <w:rFonts w:ascii="宋体" w:hAnsi="宋体" w:cs="宋体"/>
          <w:spacing w:val="-6"/>
          <w:sz w:val="24"/>
        </w:rPr>
      </w:pPr>
      <w:r>
        <w:rPr>
          <w:rFonts w:hint="eastAsia" w:ascii="宋体" w:hAnsi="宋体" w:cs="宋体"/>
          <w:spacing w:val="-6"/>
          <w:sz w:val="24"/>
        </w:rPr>
        <w:t>b.由评标委员会视投标人技术方案等情况经评议后，投票确定其名次。</w:t>
      </w:r>
    </w:p>
    <w:p>
      <w:pPr>
        <w:topLinePunct/>
        <w:spacing w:line="400" w:lineRule="exact"/>
        <w:ind w:firstLine="456" w:firstLineChars="200"/>
        <w:rPr>
          <w:rFonts w:ascii="宋体" w:hAnsi="宋体" w:cs="宋体"/>
          <w:spacing w:val="-6"/>
          <w:sz w:val="24"/>
        </w:rPr>
      </w:pPr>
      <w:r>
        <w:rPr>
          <w:rFonts w:hint="eastAsia" w:ascii="宋体" w:hAnsi="宋体" w:cs="宋体"/>
          <w:spacing w:val="-6"/>
          <w:sz w:val="24"/>
        </w:rPr>
        <w:t>⑶出现其他特殊情况，由评标委员会讨论决定。</w:t>
      </w:r>
    </w:p>
    <w:p>
      <w:pPr>
        <w:spacing w:line="400" w:lineRule="exact"/>
        <w:rPr>
          <w:rFonts w:ascii="宋体" w:hAnsi="宋体" w:cs="宋体"/>
          <w:b/>
          <w:spacing w:val="4"/>
          <w:sz w:val="24"/>
        </w:rPr>
      </w:pPr>
      <w:r>
        <w:rPr>
          <w:rFonts w:hint="eastAsia" w:ascii="宋体" w:hAnsi="宋体" w:cs="宋体"/>
          <w:b/>
          <w:spacing w:val="4"/>
          <w:sz w:val="24"/>
        </w:rPr>
        <w:t>10. 评标报告</w:t>
      </w:r>
    </w:p>
    <w:p>
      <w:pPr>
        <w:spacing w:line="400" w:lineRule="exact"/>
        <w:ind w:firstLine="480" w:firstLineChars="200"/>
        <w:rPr>
          <w:rFonts w:ascii="宋体" w:hAnsi="宋体" w:cs="宋体"/>
          <w:sz w:val="24"/>
        </w:rPr>
      </w:pPr>
      <w:r>
        <w:rPr>
          <w:rFonts w:hint="eastAsia" w:ascii="宋体" w:hAnsi="宋体" w:cs="宋体"/>
          <w:sz w:val="24"/>
        </w:rPr>
        <w:t>评标委员会审定评标结果后，向招标人提交书面报告。评标报告应如实记载下列内容：</w:t>
      </w:r>
    </w:p>
    <w:p>
      <w:pPr>
        <w:spacing w:line="400" w:lineRule="exact"/>
        <w:ind w:firstLine="480" w:firstLineChars="200"/>
        <w:rPr>
          <w:rFonts w:ascii="宋体" w:hAnsi="宋体" w:cs="宋体"/>
          <w:sz w:val="24"/>
        </w:rPr>
      </w:pPr>
      <w:r>
        <w:rPr>
          <w:rFonts w:hint="eastAsia" w:ascii="宋体" w:hAnsi="宋体" w:cs="宋体"/>
          <w:sz w:val="24"/>
        </w:rPr>
        <w:t>⑴评标委员会的成员名单</w:t>
      </w:r>
    </w:p>
    <w:p>
      <w:pPr>
        <w:spacing w:line="400" w:lineRule="exact"/>
        <w:ind w:firstLine="480" w:firstLineChars="200"/>
        <w:rPr>
          <w:rFonts w:ascii="宋体" w:hAnsi="宋体" w:cs="宋体"/>
          <w:sz w:val="24"/>
        </w:rPr>
      </w:pPr>
      <w:r>
        <w:rPr>
          <w:rFonts w:hint="eastAsia" w:ascii="宋体" w:hAnsi="宋体" w:cs="宋体"/>
          <w:sz w:val="24"/>
        </w:rPr>
        <w:t>⑵开标记录情况</w:t>
      </w:r>
    </w:p>
    <w:p>
      <w:pPr>
        <w:spacing w:line="400" w:lineRule="exact"/>
        <w:ind w:firstLine="480" w:firstLineChars="200"/>
        <w:rPr>
          <w:rFonts w:ascii="宋体" w:hAnsi="宋体" w:cs="宋体"/>
          <w:sz w:val="24"/>
        </w:rPr>
      </w:pPr>
      <w:r>
        <w:rPr>
          <w:rFonts w:hint="eastAsia" w:ascii="宋体" w:hAnsi="宋体" w:cs="宋体"/>
          <w:sz w:val="24"/>
        </w:rPr>
        <w:t>⑶符合要求的投标人情况</w:t>
      </w:r>
    </w:p>
    <w:p>
      <w:pPr>
        <w:spacing w:line="400" w:lineRule="exact"/>
        <w:ind w:firstLine="480" w:firstLineChars="200"/>
        <w:rPr>
          <w:rFonts w:ascii="宋体" w:hAnsi="宋体" w:cs="宋体"/>
          <w:sz w:val="24"/>
        </w:rPr>
      </w:pPr>
      <w:r>
        <w:rPr>
          <w:rFonts w:hint="eastAsia" w:ascii="宋体" w:hAnsi="宋体" w:cs="宋体"/>
          <w:sz w:val="24"/>
        </w:rPr>
        <w:t>⑷评标采用的标准、评标办法</w:t>
      </w:r>
    </w:p>
    <w:p>
      <w:pPr>
        <w:spacing w:line="400" w:lineRule="exact"/>
        <w:ind w:firstLine="480" w:firstLineChars="200"/>
        <w:rPr>
          <w:rFonts w:ascii="宋体" w:hAnsi="宋体" w:cs="宋体"/>
          <w:sz w:val="24"/>
        </w:rPr>
      </w:pPr>
      <w:r>
        <w:rPr>
          <w:rFonts w:hint="eastAsia" w:ascii="宋体" w:hAnsi="宋体" w:cs="宋体"/>
          <w:sz w:val="24"/>
        </w:rPr>
        <w:t>⑸投标人排序</w:t>
      </w:r>
    </w:p>
    <w:p>
      <w:pPr>
        <w:spacing w:line="400" w:lineRule="exact"/>
        <w:ind w:firstLine="480" w:firstLineChars="200"/>
        <w:rPr>
          <w:rFonts w:ascii="宋体" w:hAnsi="宋体" w:cs="宋体"/>
          <w:sz w:val="24"/>
        </w:rPr>
      </w:pPr>
      <w:r>
        <w:rPr>
          <w:rFonts w:hint="eastAsia" w:ascii="宋体" w:hAnsi="宋体" w:cs="宋体"/>
          <w:sz w:val="24"/>
        </w:rPr>
        <w:t>⑹推荐的中标候选人</w:t>
      </w:r>
    </w:p>
    <w:p>
      <w:pPr>
        <w:spacing w:line="400" w:lineRule="exact"/>
        <w:ind w:firstLine="480" w:firstLineChars="200"/>
        <w:rPr>
          <w:rFonts w:ascii="宋体" w:hAnsi="宋体" w:cs="宋体"/>
          <w:sz w:val="24"/>
        </w:rPr>
      </w:pPr>
      <w:r>
        <w:rPr>
          <w:rFonts w:hint="eastAsia" w:ascii="宋体" w:hAnsi="宋体" w:cs="宋体"/>
          <w:sz w:val="24"/>
        </w:rPr>
        <w:t>⑺需要说明的其他事项</w:t>
      </w:r>
    </w:p>
    <w:p>
      <w:pPr>
        <w:spacing w:line="400" w:lineRule="exact"/>
        <w:ind w:firstLine="484" w:firstLineChars="202"/>
        <w:rPr>
          <w:rFonts w:ascii="宋体" w:hAnsi="宋体" w:cs="宋体"/>
          <w:spacing w:val="4"/>
          <w:sz w:val="24"/>
        </w:rPr>
      </w:pPr>
      <w:r>
        <w:rPr>
          <w:rFonts w:hint="eastAsia" w:ascii="宋体" w:hAnsi="宋体" w:cs="宋体"/>
          <w:sz w:val="24"/>
        </w:rPr>
        <w:t>⑻附件</w:t>
      </w:r>
    </w:p>
    <w:p>
      <w:pPr>
        <w:spacing w:line="400" w:lineRule="exact"/>
        <w:rPr>
          <w:rFonts w:ascii="宋体" w:hAnsi="宋体" w:cs="宋体"/>
          <w:sz w:val="24"/>
        </w:rPr>
      </w:pPr>
      <w:r>
        <w:rPr>
          <w:rFonts w:hint="eastAsia" w:ascii="宋体" w:hAnsi="宋体" w:cs="宋体"/>
          <w:b/>
          <w:spacing w:val="4"/>
          <w:sz w:val="24"/>
        </w:rPr>
        <w:t>11. 定标原则</w:t>
      </w:r>
    </w:p>
    <w:p>
      <w:pPr>
        <w:spacing w:line="400" w:lineRule="exact"/>
        <w:ind w:firstLine="480" w:firstLineChars="200"/>
        <w:rPr>
          <w:rFonts w:ascii="宋体" w:hAnsi="宋体" w:cs="宋体"/>
          <w:sz w:val="24"/>
        </w:rPr>
      </w:pPr>
      <w:r>
        <w:rPr>
          <w:rFonts w:hint="eastAsia" w:ascii="宋体" w:hAnsi="宋体" w:cs="宋体"/>
          <w:sz w:val="24"/>
        </w:rPr>
        <w:t>⑴通过评审的有效投标人不足3个的，评标委员会可以否决全部投标，未否决全部投标的，评标委员会应当在评标报告中阐明理由并推荐中标候选人。</w:t>
      </w:r>
    </w:p>
    <w:p>
      <w:pPr>
        <w:spacing w:line="400" w:lineRule="exact"/>
        <w:ind w:firstLine="480" w:firstLineChars="200"/>
        <w:rPr>
          <w:rFonts w:ascii="宋体" w:hAnsi="宋体" w:cs="宋体"/>
          <w:sz w:val="24"/>
        </w:rPr>
      </w:pPr>
      <w:r>
        <w:rPr>
          <w:rFonts w:hint="eastAsia" w:ascii="宋体" w:hAnsi="宋体" w:cs="宋体"/>
          <w:sz w:val="24"/>
        </w:rPr>
        <w:t>⑵招标人应首先选择推荐的第一中标候选人为中标人。</w:t>
      </w:r>
    </w:p>
    <w:p>
      <w:pPr>
        <w:spacing w:line="400" w:lineRule="exact"/>
        <w:ind w:firstLine="480" w:firstLineChars="200"/>
        <w:rPr>
          <w:rFonts w:ascii="宋体" w:hAnsi="宋体" w:cs="宋体"/>
          <w:sz w:val="24"/>
        </w:rPr>
      </w:pPr>
      <w:r>
        <w:rPr>
          <w:rFonts w:hint="eastAsia" w:ascii="宋体" w:hAnsi="宋体" w:cs="宋体"/>
          <w:sz w:val="24"/>
        </w:rPr>
        <w:t>⑶如果推荐的第一中标候选人放弃中标、因不可抗力提出不能履行合同，或者招标文件规定应当提交履约保证金而在规定的期限内未能提交的，招标人可以取消其中标资格且没收其投标保证金。</w:t>
      </w:r>
    </w:p>
    <w:p>
      <w:pPr>
        <w:spacing w:line="400" w:lineRule="exact"/>
        <w:ind w:firstLine="480" w:firstLineChars="200"/>
        <w:rPr>
          <w:rFonts w:ascii="宋体" w:hAnsi="宋体" w:cs="宋体"/>
          <w:sz w:val="24"/>
        </w:rPr>
      </w:pPr>
      <w:r>
        <w:rPr>
          <w:rFonts w:hint="eastAsia" w:ascii="宋体" w:hAnsi="宋体" w:cs="宋体"/>
          <w:sz w:val="24"/>
        </w:rPr>
        <w:t>⑷如果推荐的中标候选人因公示被投诉并查证属实存在造假行为的，按否决其投标处理，且没收其投标保证金；</w:t>
      </w:r>
    </w:p>
    <w:p>
      <w:r>
        <w:rPr>
          <w:rFonts w:hint="eastAsia" w:ascii="宋体" w:hAnsi="宋体" w:cs="宋体"/>
          <w:b/>
          <w:sz w:val="24"/>
        </w:rPr>
        <w:t>若发生以上第</w:t>
      </w:r>
      <w:r>
        <w:rPr>
          <w:rFonts w:hint="eastAsia" w:ascii="宋体" w:hAnsi="宋体" w:cs="宋体"/>
          <w:sz w:val="24"/>
        </w:rPr>
        <w:t>⑶</w:t>
      </w:r>
      <w:r>
        <w:rPr>
          <w:rFonts w:hint="eastAsia" w:ascii="宋体" w:hAnsi="宋体" w:cs="宋体"/>
          <w:b/>
          <w:sz w:val="24"/>
        </w:rPr>
        <w:t>至</w:t>
      </w:r>
      <w:r>
        <w:rPr>
          <w:rFonts w:hint="eastAsia" w:ascii="宋体" w:hAnsi="宋体" w:cs="宋体"/>
          <w:sz w:val="24"/>
        </w:rPr>
        <w:t>⑷</w:t>
      </w:r>
      <w:r>
        <w:rPr>
          <w:rFonts w:hint="eastAsia" w:ascii="宋体" w:hAnsi="宋体" w:cs="宋体"/>
          <w:b/>
          <w:sz w:val="24"/>
        </w:rPr>
        <w:t>款情况之一时，招标人按推荐中标候选人排名顺序依次确定中标人，或重新组织招标。</w:t>
      </w:r>
      <w:bookmarkStart w:id="0" w:name="_GoBack"/>
      <w:bookmarkEnd w:id="0"/>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宋三简体">
    <w:altName w:val="宋体"/>
    <w:panose1 w:val="00000000000000000000"/>
    <w:charset w:val="86"/>
    <w:family w:val="auto"/>
    <w:pitch w:val="default"/>
    <w:sig w:usb0="00000000" w:usb1="00000000" w:usb2="00000000" w:usb3="00000000" w:csb0="00040000" w:csb1="00000000"/>
  </w:font>
  <w:font w:name="方正大黑_GBK">
    <w:altName w:val="黑体"/>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descr="7b0a20202020227461726765744964223a202270726f636573734f6e6c696e6554657874426f78220a7d0a"/>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alt="7b0a20202020227461726765744964223a202270726f636573734f6e6c696e6554657874426f78220a7d0a"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67wAWNEAAAACAQAADwAAAAAAAAABACAAAAAiAAAAZHJzL2Rvd25yZXYueG1s&#10;UEsBAhQAFAAAAAgAh07iQHrIkntxAgAAsQQAAA4AAAAAAAAAAQAgAAAAIAEAAGRycy9lMm9Eb2Mu&#10;eG1sUEsFBgAAAAAGAAYAWQEAAAMGAAAAAA==&#10;">
              <v:fill on="f" focussize="0,0"/>
              <v:stroke on="f" weight="0.5pt"/>
              <v:imagedata o:title=""/>
              <o:lock v:ext="edit" aspectratio="f"/>
              <v:textbox inset="0mm,0mm,0mm,0mm" style="mso-fit-shape-to-text:t;">
                <w:txbxContent>
                  <w:p>
                    <w:pPr>
                      <w:pStyle w:val="4"/>
                      <w:jc w:val="center"/>
                    </w:pPr>
                    <w:r>
                      <w:fldChar w:fldCharType="begin"/>
                    </w:r>
                    <w:r>
                      <w:instrText xml:space="preserve"> PAGE  \* MERGEFORMAT </w:instrText>
                    </w:r>
                    <w:r>
                      <w:fldChar w:fldCharType="separate"/>
                    </w:r>
                    <w:r>
                      <w:t>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iMDg5ZGM1ZjljOWUxZjBjOWRmZTk0MTRmMDA0M2IifQ=="/>
  </w:docVars>
  <w:rsids>
    <w:rsidRoot w:val="0B994D61"/>
    <w:rsid w:val="09EB09AA"/>
    <w:rsid w:val="0B994D61"/>
    <w:rsid w:val="143534B6"/>
    <w:rsid w:val="14900DC5"/>
    <w:rsid w:val="56532B2E"/>
    <w:rsid w:val="61F459EB"/>
    <w:rsid w:val="7D5E4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3"/>
    <w:basedOn w:val="1"/>
    <w:qFormat/>
    <w:uiPriority w:val="0"/>
    <w:rPr>
      <w:rFonts w:ascii="宋体"/>
      <w:sz w:val="24"/>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footnote text"/>
    <w:basedOn w:val="1"/>
    <w:unhideWhenUsed/>
    <w:qFormat/>
    <w:uiPriority w:val="0"/>
    <w:pPr>
      <w:snapToGrid w:val="0"/>
      <w:jc w:val="left"/>
    </w:pPr>
    <w:rPr>
      <w:rFonts w:ascii="仿宋_GB2312"/>
      <w:b/>
      <w:sz w:val="18"/>
      <w:szCs w:val="18"/>
    </w:rPr>
  </w:style>
  <w:style w:type="paragraph" w:styleId="6">
    <w:name w:val="index 1"/>
    <w:basedOn w:val="1"/>
    <w:next w:val="1"/>
    <w:autoRedefine/>
    <w:semiHidden/>
    <w:qFormat/>
    <w:uiPriority w:val="0"/>
    <w:pPr>
      <w:ind w:left="210" w:hanging="210"/>
      <w:jc w:val="left"/>
    </w:pPr>
    <w:rPr>
      <w:sz w:val="18"/>
      <w:szCs w:val="18"/>
    </w:rPr>
  </w:style>
  <w:style w:type="character" w:styleId="9">
    <w:name w:val="Hyperlink"/>
    <w:qFormat/>
    <w:uiPriority w:val="0"/>
    <w:rPr>
      <w:color w:val="0000FF"/>
      <w:u w:val="single"/>
    </w:rPr>
  </w:style>
  <w:style w:type="character" w:styleId="10">
    <w:name w:val="footnote reference"/>
    <w:basedOn w:val="8"/>
    <w:autoRedefine/>
    <w:semiHidden/>
    <w:qFormat/>
    <w:uiPriority w:val="0"/>
    <w:rPr>
      <w:vertAlign w:val="superscript"/>
    </w:rPr>
  </w:style>
  <w:style w:type="paragraph" w:customStyle="1" w:styleId="11">
    <w:name w:val="_Style 10"/>
    <w:basedOn w:val="1"/>
    <w:autoRedefine/>
    <w:qFormat/>
    <w:uiPriority w:val="0"/>
    <w:pPr>
      <w:ind w:firstLine="420" w:firstLineChars="200"/>
    </w:pPr>
    <w:rPr>
      <w:rFonts w:ascii="Calibri" w:hAnsi="Calibri"/>
      <w:szCs w:val="22"/>
    </w:rPr>
  </w:style>
  <w:style w:type="paragraph" w:customStyle="1" w:styleId="12">
    <w:name w:val="样式 标题 2 + Times New Roman 四号 非加粗 段前: 5 磅 段后: 0 磅 行距: 固定值 20..."/>
    <w:basedOn w:val="2"/>
    <w:autoRedefine/>
    <w:qFormat/>
    <w:uiPriority w:val="0"/>
    <w:pPr>
      <w:spacing w:before="100" w:after="0" w:line="400" w:lineRule="exact"/>
    </w:pPr>
    <w:rPr>
      <w:rFonts w:ascii="Times New Roman" w:hAnsi="Times New Roman" w:cs="宋体"/>
      <w:b w:val="0"/>
      <w:bCs w:val="0"/>
      <w:sz w:val="28"/>
      <w:szCs w:val="20"/>
    </w:rPr>
  </w:style>
  <w:style w:type="paragraph" w:customStyle="1" w:styleId="13">
    <w:name w:val="正文文本 (2)1"/>
    <w:basedOn w:val="1"/>
    <w:link w:val="14"/>
    <w:autoRedefine/>
    <w:qFormat/>
    <w:uiPriority w:val="99"/>
    <w:pPr>
      <w:shd w:val="clear" w:color="auto" w:fill="FFFFFF"/>
      <w:spacing w:before="300" w:line="439" w:lineRule="exact"/>
      <w:jc w:val="distribute"/>
    </w:pPr>
    <w:rPr>
      <w:rFonts w:ascii="MingLiU" w:eastAsia="MingLiU" w:cs="MingLiU"/>
      <w:spacing w:val="20"/>
      <w:kern w:val="0"/>
      <w:sz w:val="22"/>
      <w:szCs w:val="22"/>
    </w:rPr>
  </w:style>
  <w:style w:type="character" w:customStyle="1" w:styleId="14">
    <w:name w:val="正文文本 (2)_"/>
    <w:link w:val="13"/>
    <w:autoRedefine/>
    <w:qFormat/>
    <w:locked/>
    <w:uiPriority w:val="99"/>
    <w:rPr>
      <w:rFonts w:ascii="MingLiU" w:eastAsia="MingLiU" w:cs="MingLiU"/>
      <w:spacing w:val="20"/>
      <w:kern w:val="0"/>
      <w:sz w:val="22"/>
      <w:szCs w:val="22"/>
    </w:rPr>
  </w:style>
  <w:style w:type="paragraph" w:customStyle="1" w:styleId="15">
    <w:name w:val="目录 (2)1"/>
    <w:basedOn w:val="1"/>
    <w:link w:val="16"/>
    <w:autoRedefine/>
    <w:qFormat/>
    <w:uiPriority w:val="99"/>
    <w:pPr>
      <w:shd w:val="clear" w:color="auto" w:fill="FFFFFF"/>
      <w:spacing w:before="420" w:line="566" w:lineRule="exact"/>
      <w:jc w:val="distribute"/>
    </w:pPr>
    <w:rPr>
      <w:rFonts w:ascii="MingLiU" w:eastAsia="MingLiU"/>
      <w:spacing w:val="20"/>
      <w:sz w:val="22"/>
      <w:szCs w:val="22"/>
    </w:rPr>
  </w:style>
  <w:style w:type="character" w:customStyle="1" w:styleId="16">
    <w:name w:val="目录 (2)_"/>
    <w:link w:val="15"/>
    <w:autoRedefine/>
    <w:qFormat/>
    <w:locked/>
    <w:uiPriority w:val="99"/>
    <w:rPr>
      <w:rFonts w:ascii="MingLiU" w:eastAsia="MingLiU"/>
      <w:spacing w:val="20"/>
      <w:sz w:val="22"/>
      <w:szCs w:val="22"/>
    </w:rPr>
  </w:style>
  <w:style w:type="character" w:customStyle="1" w:styleId="17">
    <w:name w:val="标题 #5_"/>
    <w:link w:val="18"/>
    <w:autoRedefine/>
    <w:qFormat/>
    <w:locked/>
    <w:uiPriority w:val="99"/>
    <w:rPr>
      <w:rFonts w:ascii="MingLiU" w:eastAsia="MingLiU"/>
      <w:b/>
      <w:bCs/>
      <w:sz w:val="28"/>
      <w:szCs w:val="28"/>
    </w:rPr>
  </w:style>
  <w:style w:type="paragraph" w:customStyle="1" w:styleId="18">
    <w:name w:val="标题 #5"/>
    <w:basedOn w:val="1"/>
    <w:link w:val="17"/>
    <w:autoRedefine/>
    <w:qFormat/>
    <w:uiPriority w:val="99"/>
    <w:pPr>
      <w:shd w:val="clear" w:color="auto" w:fill="FFFFFF"/>
      <w:spacing w:before="120" w:after="420" w:line="240" w:lineRule="atLeast"/>
      <w:jc w:val="distribute"/>
      <w:outlineLvl w:val="4"/>
    </w:pPr>
    <w:rPr>
      <w:rFonts w:ascii="MingLiU" w:eastAsia="MingLiU"/>
      <w:b/>
      <w:bCs/>
      <w:sz w:val="28"/>
      <w:szCs w:val="28"/>
    </w:rPr>
  </w:style>
  <w:style w:type="paragraph" w:customStyle="1" w:styleId="19">
    <w:name w:val="附件正文ffff"/>
    <w:basedOn w:val="1"/>
    <w:autoRedefine/>
    <w:qFormat/>
    <w:uiPriority w:val="0"/>
    <w:pPr>
      <w:spacing w:line="400" w:lineRule="exact"/>
      <w:ind w:firstLine="8352" w:firstLineChars="2900"/>
      <w:jc w:val="left"/>
    </w:pPr>
    <w:rPr>
      <w:rFonts w:ascii="方正宋三简体" w:eastAsia="方正宋三简体"/>
      <w:spacing w:val="4"/>
      <w:szCs w:val="20"/>
    </w:rPr>
  </w:style>
  <w:style w:type="paragraph" w:customStyle="1" w:styleId="20">
    <w:name w:val="CM14"/>
    <w:basedOn w:val="1"/>
    <w:next w:val="1"/>
    <w:autoRedefine/>
    <w:qFormat/>
    <w:uiPriority w:val="0"/>
    <w:pPr>
      <w:autoSpaceDE w:val="0"/>
      <w:autoSpaceDN w:val="0"/>
      <w:adjustRightInd w:val="0"/>
      <w:spacing w:line="400" w:lineRule="atLeast"/>
      <w:jc w:val="left"/>
    </w:pPr>
    <w:rPr>
      <w:rFonts w:ascii="黑体" w:eastAsia="黑体" w:cs="黑体"/>
      <w:kern w:val="0"/>
      <w:sz w:val="24"/>
    </w:rPr>
  </w:style>
  <w:style w:type="paragraph" w:customStyle="1" w:styleId="2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
    <w:name w:val="附件1-2-3-"/>
    <w:basedOn w:val="23"/>
    <w:autoRedefine/>
    <w:qFormat/>
    <w:uiPriority w:val="0"/>
    <w:rPr>
      <w:sz w:val="24"/>
      <w:szCs w:val="24"/>
    </w:rPr>
  </w:style>
  <w:style w:type="paragraph" w:customStyle="1" w:styleId="23">
    <w:name w:val="正文1标---IIIII"/>
    <w:basedOn w:val="24"/>
    <w:autoRedefine/>
    <w:qFormat/>
    <w:uiPriority w:val="0"/>
    <w:pPr>
      <w:spacing w:beforeLines="100" w:afterLines="50"/>
    </w:pPr>
    <w:rPr>
      <w:rFonts w:ascii="方正大黑_GBK" w:hAnsi="Times New Roman" w:eastAsia="方正大黑_GBK"/>
      <w:sz w:val="26"/>
      <w:szCs w:val="26"/>
    </w:rPr>
  </w:style>
  <w:style w:type="paragraph" w:customStyle="1" w:styleId="24">
    <w:name w:val="附件小标题gggggg"/>
    <w:basedOn w:val="1"/>
    <w:autoRedefine/>
    <w:qFormat/>
    <w:uiPriority w:val="0"/>
    <w:pPr>
      <w:spacing w:line="340" w:lineRule="exact"/>
    </w:pPr>
    <w:rPr>
      <w:rFonts w:ascii="黑体" w:hAnsi="黑体" w:eastAsia="黑体"/>
      <w:b/>
      <w:spacing w:val="4"/>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627</Words>
  <Characters>657</Characters>
  <Lines>0</Lines>
  <Paragraphs>0</Paragraphs>
  <TotalTime>0</TotalTime>
  <ScaleCrop>false</ScaleCrop>
  <LinksUpToDate>false</LinksUpToDate>
  <CharactersWithSpaces>663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2025-12-12T10:26:00Z</dcterms:created>
  <dc:creator>lnx</dc:creator>
  <cp:lastModifiedBy>Administrator</cp:lastModifiedBy>
  <dcterms:modified xsi:type="dcterms:W3CDTF">2025-12-18T03:47:46Z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C4F5570708624DD1BD6392A66A1E0B85_13</vt:lpwstr>
  </property>
  <property fmtid="{D5CDD505-2E9C-101B-9397-08002B2CF9AE}" pid="4" name="KSOTemplateDocerSaveRecord">
    <vt:lpwstr>eyJoZGlkIjoiNDk3ZTk3YWM0OTg2MzQ3NTY3MTZkZTA4ZjhhOTBjNDgiLCJ1c2VySWQiOiIxNTY5MDA2NDc2In0=</vt:lpwstr>
  </property>
</Properties>
</file>