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2E45EC">
      <w:pPr>
        <w:shd w:val="clear" w:color="auto" w:fill="auto"/>
        <w:spacing w:line="400" w:lineRule="exact"/>
        <w:rPr>
          <w:rFonts w:ascii="Times New Roman" w:hAnsi="Times New Roman"/>
          <w:color w:val="auto"/>
          <w:highlight w:val="none"/>
        </w:rPr>
      </w:pPr>
    </w:p>
    <w:p w14:paraId="59FA519F">
      <w:pPr>
        <w:shd w:val="clear" w:color="auto" w:fill="auto"/>
        <w:jc w:val="center"/>
        <w:rPr>
          <w:rFonts w:ascii="黑体" w:hAnsi="黑体" w:eastAsia="黑体" w:cs="宋体"/>
          <w:color w:val="auto"/>
          <w:sz w:val="48"/>
          <w:szCs w:val="48"/>
          <w:highlight w:val="none"/>
        </w:rPr>
      </w:pPr>
    </w:p>
    <w:p w14:paraId="14B65310">
      <w:pPr>
        <w:shd w:val="clear" w:color="auto" w:fill="auto"/>
        <w:jc w:val="center"/>
        <w:rPr>
          <w:rFonts w:hint="eastAsia" w:ascii="黑体" w:hAnsi="黑体" w:eastAsia="黑体" w:cs="宋体"/>
          <w:color w:val="auto"/>
          <w:sz w:val="48"/>
          <w:szCs w:val="48"/>
          <w:highlight w:val="none"/>
          <w:lang w:eastAsia="zh-CN"/>
        </w:rPr>
      </w:pPr>
      <w:r>
        <w:rPr>
          <w:rFonts w:hint="eastAsia" w:ascii="黑体" w:hAnsi="黑体" w:eastAsia="黑体" w:cs="宋体"/>
          <w:color w:val="auto"/>
          <w:sz w:val="48"/>
          <w:szCs w:val="48"/>
          <w:highlight w:val="none"/>
          <w:lang w:eastAsia="zh-CN"/>
        </w:rPr>
        <w:t>2026-2028年葡萄糖、乙酸钠、乙二醇</w:t>
      </w:r>
    </w:p>
    <w:p w14:paraId="7EA27603">
      <w:pPr>
        <w:shd w:val="clear" w:color="auto" w:fill="auto"/>
        <w:jc w:val="center"/>
        <w:rPr>
          <w:rFonts w:hint="eastAsia" w:ascii="黑体" w:hAnsi="黑体" w:eastAsia="黑体" w:cs="宋体"/>
          <w:color w:val="auto"/>
          <w:sz w:val="48"/>
          <w:szCs w:val="48"/>
          <w:highlight w:val="none"/>
          <w:lang w:eastAsia="zh-CN"/>
        </w:rPr>
      </w:pPr>
      <w:r>
        <w:rPr>
          <w:rFonts w:hint="eastAsia" w:ascii="黑体" w:hAnsi="黑体" w:eastAsia="黑体" w:cs="宋体"/>
          <w:color w:val="auto"/>
          <w:sz w:val="48"/>
          <w:szCs w:val="48"/>
          <w:highlight w:val="none"/>
          <w:lang w:eastAsia="zh-CN"/>
        </w:rPr>
        <w:t>采购项目</w:t>
      </w:r>
    </w:p>
    <w:p w14:paraId="165D3144">
      <w:pPr>
        <w:shd w:val="clear" w:color="auto" w:fill="auto"/>
        <w:jc w:val="center"/>
        <w:rPr>
          <w:rFonts w:ascii="黑体" w:hAnsi="黑体" w:eastAsia="黑体" w:cs="宋体"/>
          <w:color w:val="auto"/>
          <w:sz w:val="48"/>
          <w:szCs w:val="48"/>
          <w:highlight w:val="none"/>
        </w:rPr>
      </w:pPr>
    </w:p>
    <w:p w14:paraId="60F45475">
      <w:pPr>
        <w:shd w:val="clear" w:color="auto" w:fill="auto"/>
        <w:spacing w:line="400" w:lineRule="exact"/>
        <w:rPr>
          <w:rFonts w:ascii="Times New Roman" w:hAnsi="Times New Roman"/>
          <w:color w:val="auto"/>
          <w:highlight w:val="none"/>
        </w:rPr>
      </w:pPr>
    </w:p>
    <w:p w14:paraId="477F48F2">
      <w:pPr>
        <w:shd w:val="clear" w:color="auto" w:fill="auto"/>
        <w:spacing w:line="400" w:lineRule="exact"/>
        <w:jc w:val="right"/>
        <w:rPr>
          <w:rFonts w:ascii="Times New Roman" w:hAnsi="Times New Roman"/>
          <w:color w:val="auto"/>
          <w:highlight w:val="none"/>
        </w:rPr>
      </w:pPr>
    </w:p>
    <w:p w14:paraId="00926731">
      <w:pPr>
        <w:shd w:val="clear" w:color="auto" w:fill="auto"/>
        <w:rPr>
          <w:rFonts w:ascii="Times New Roman" w:hAnsi="Times New Roman"/>
          <w:color w:val="auto"/>
          <w:sz w:val="28"/>
          <w:szCs w:val="28"/>
          <w:highlight w:val="none"/>
        </w:rPr>
      </w:pPr>
    </w:p>
    <w:p w14:paraId="0EADB435">
      <w:pPr>
        <w:shd w:val="clear" w:color="auto" w:fill="auto"/>
        <w:rPr>
          <w:rFonts w:ascii="Times New Roman" w:hAnsi="Times New Roman"/>
          <w:color w:val="auto"/>
          <w:sz w:val="28"/>
          <w:highlight w:val="none"/>
        </w:rPr>
      </w:pPr>
    </w:p>
    <w:p w14:paraId="2F9B3E9C">
      <w:pPr>
        <w:pStyle w:val="29"/>
        <w:shd w:val="clear" w:color="auto" w:fill="auto"/>
        <w:rPr>
          <w:rFonts w:ascii="Times New Roman" w:hAnsi="Times New Roman"/>
          <w:color w:val="auto"/>
          <w:sz w:val="28"/>
          <w:highlight w:val="none"/>
        </w:rPr>
      </w:pPr>
    </w:p>
    <w:p w14:paraId="5403421D">
      <w:pPr>
        <w:pStyle w:val="29"/>
        <w:shd w:val="clear" w:color="auto" w:fill="auto"/>
        <w:rPr>
          <w:rFonts w:ascii="Times New Roman" w:hAnsi="Times New Roman"/>
          <w:color w:val="auto"/>
          <w:sz w:val="28"/>
          <w:highlight w:val="none"/>
        </w:rPr>
      </w:pPr>
    </w:p>
    <w:p w14:paraId="1ADA181C">
      <w:pPr>
        <w:pStyle w:val="29"/>
        <w:shd w:val="clear" w:color="auto" w:fill="auto"/>
        <w:rPr>
          <w:rFonts w:ascii="Times New Roman" w:hAnsi="Times New Roman"/>
          <w:color w:val="auto"/>
          <w:sz w:val="28"/>
          <w:highlight w:val="none"/>
        </w:rPr>
      </w:pPr>
    </w:p>
    <w:p w14:paraId="31CFAAFD">
      <w:pPr>
        <w:pStyle w:val="29"/>
        <w:shd w:val="clear" w:color="auto" w:fill="auto"/>
        <w:rPr>
          <w:rFonts w:ascii="Times New Roman" w:hAnsi="Times New Roman"/>
          <w:color w:val="auto"/>
          <w:sz w:val="28"/>
          <w:highlight w:val="none"/>
        </w:rPr>
      </w:pPr>
    </w:p>
    <w:p w14:paraId="67351E54">
      <w:pPr>
        <w:shd w:val="clear" w:color="auto" w:fill="auto"/>
        <w:jc w:val="center"/>
        <w:rPr>
          <w:rFonts w:ascii="Times New Roman" w:hAnsi="Times New Roman" w:eastAsia="黑体"/>
          <w:color w:val="auto"/>
          <w:sz w:val="44"/>
          <w:highlight w:val="none"/>
        </w:rPr>
      </w:pPr>
      <w:r>
        <w:rPr>
          <w:rFonts w:ascii="Times New Roman" w:hAnsi="Times New Roman" w:eastAsia="黑体"/>
          <w:color w:val="auto"/>
          <w:sz w:val="44"/>
          <w:highlight w:val="none"/>
        </w:rPr>
        <w:t>招标文件</w:t>
      </w:r>
    </w:p>
    <w:p w14:paraId="78DC69CB">
      <w:pPr>
        <w:shd w:val="clear" w:color="auto" w:fill="auto"/>
        <w:spacing w:line="400" w:lineRule="exact"/>
        <w:rPr>
          <w:rFonts w:ascii="Times New Roman" w:hAnsi="Times New Roman"/>
          <w:color w:val="auto"/>
          <w:highlight w:val="none"/>
        </w:rPr>
      </w:pPr>
    </w:p>
    <w:p w14:paraId="7D866994">
      <w:pPr>
        <w:shd w:val="clear" w:color="auto" w:fill="auto"/>
        <w:spacing w:line="400" w:lineRule="exact"/>
        <w:rPr>
          <w:rFonts w:ascii="Times New Roman" w:hAnsi="Times New Roman"/>
          <w:color w:val="auto"/>
          <w:highlight w:val="none"/>
        </w:rPr>
      </w:pPr>
    </w:p>
    <w:p w14:paraId="4D9BC288">
      <w:pPr>
        <w:shd w:val="clear" w:color="auto" w:fill="auto"/>
        <w:spacing w:line="400" w:lineRule="exact"/>
        <w:rPr>
          <w:rFonts w:ascii="Times New Roman" w:hAnsi="Times New Roman"/>
          <w:color w:val="auto"/>
          <w:highlight w:val="none"/>
        </w:rPr>
      </w:pPr>
    </w:p>
    <w:p w14:paraId="0E9C9F00">
      <w:pPr>
        <w:shd w:val="clear" w:color="auto" w:fill="auto"/>
        <w:spacing w:line="400" w:lineRule="exact"/>
        <w:rPr>
          <w:rFonts w:ascii="Times New Roman" w:hAnsi="Times New Roman"/>
          <w:color w:val="auto"/>
          <w:highlight w:val="none"/>
        </w:rPr>
      </w:pPr>
    </w:p>
    <w:p w14:paraId="06AFE904">
      <w:pPr>
        <w:shd w:val="clear" w:color="auto" w:fill="auto"/>
        <w:spacing w:line="400" w:lineRule="exact"/>
        <w:rPr>
          <w:rFonts w:ascii="Times New Roman" w:hAnsi="Times New Roman"/>
          <w:color w:val="auto"/>
          <w:highlight w:val="none"/>
        </w:rPr>
      </w:pPr>
    </w:p>
    <w:p w14:paraId="2184306B">
      <w:pPr>
        <w:shd w:val="clear" w:color="auto" w:fill="auto"/>
        <w:spacing w:line="400" w:lineRule="exact"/>
        <w:rPr>
          <w:rFonts w:ascii="Times New Roman" w:hAnsi="Times New Roman"/>
          <w:color w:val="auto"/>
          <w:highlight w:val="none"/>
        </w:rPr>
      </w:pPr>
    </w:p>
    <w:p w14:paraId="4A80FADF">
      <w:pPr>
        <w:shd w:val="clear" w:color="auto" w:fill="auto"/>
        <w:spacing w:line="400" w:lineRule="exact"/>
        <w:rPr>
          <w:rFonts w:ascii="Times New Roman" w:hAnsi="Times New Roman"/>
          <w:color w:val="auto"/>
          <w:highlight w:val="none"/>
        </w:rPr>
      </w:pPr>
    </w:p>
    <w:p w14:paraId="6A9B7DEC">
      <w:pPr>
        <w:shd w:val="clear" w:color="auto" w:fill="auto"/>
        <w:spacing w:line="400" w:lineRule="exact"/>
        <w:rPr>
          <w:rFonts w:ascii="Times New Roman" w:hAnsi="Times New Roman"/>
          <w:color w:val="auto"/>
          <w:highlight w:val="none"/>
        </w:rPr>
      </w:pPr>
    </w:p>
    <w:p w14:paraId="006DA0BA">
      <w:pPr>
        <w:shd w:val="clear" w:color="auto" w:fill="auto"/>
        <w:spacing w:line="360" w:lineRule="auto"/>
        <w:ind w:firstLine="1680" w:firstLineChars="600"/>
        <w:rPr>
          <w:rFonts w:hint="eastAsia" w:ascii="宋体" w:hAnsi="宋体" w:eastAsia="宋体" w:cs="宋体"/>
          <w:color w:val="auto"/>
          <w:sz w:val="28"/>
          <w:highlight w:val="none"/>
          <w:lang w:eastAsia="zh-CN"/>
        </w:rPr>
      </w:pPr>
      <w:r>
        <w:rPr>
          <w:rFonts w:hint="eastAsia" w:ascii="宋体" w:hAnsi="宋体" w:cs="宋体"/>
          <w:color w:val="auto"/>
          <w:sz w:val="28"/>
          <w:highlight w:val="none"/>
        </w:rPr>
        <w:t>招标人：</w:t>
      </w:r>
      <w:r>
        <w:rPr>
          <w:rFonts w:hint="eastAsia" w:ascii="宋体" w:hAnsi="宋体" w:cs="宋体"/>
          <w:color w:val="auto"/>
          <w:sz w:val="28"/>
          <w:highlight w:val="none"/>
          <w:lang w:eastAsia="zh-CN"/>
        </w:rPr>
        <w:t>广州科城水投技术服务有限公司</w:t>
      </w:r>
    </w:p>
    <w:p w14:paraId="208C3DE2">
      <w:pPr>
        <w:shd w:val="clear" w:color="auto" w:fill="auto"/>
        <w:spacing w:line="360" w:lineRule="auto"/>
        <w:jc w:val="center"/>
        <w:rPr>
          <w:rFonts w:ascii="宋体" w:hAnsi="宋体" w:cs="宋体"/>
          <w:color w:val="auto"/>
          <w:sz w:val="28"/>
          <w:highlight w:val="none"/>
        </w:rPr>
      </w:pPr>
      <w:r>
        <w:rPr>
          <w:rFonts w:hint="eastAsia" w:ascii="宋体" w:hAnsi="宋体" w:cs="宋体"/>
          <w:color w:val="auto"/>
          <w:sz w:val="28"/>
          <w:highlight w:val="none"/>
        </w:rPr>
        <w:t>招标代理：广东工程建设监理有限公司</w:t>
      </w:r>
    </w:p>
    <w:p w14:paraId="0DAE6267">
      <w:pPr>
        <w:shd w:val="clear" w:color="auto" w:fill="auto"/>
        <w:jc w:val="center"/>
        <w:rPr>
          <w:rFonts w:ascii="Times New Roman" w:hAnsi="Times New Roman" w:eastAsia="黑体"/>
          <w:color w:val="auto"/>
          <w:sz w:val="28"/>
          <w:highlight w:val="none"/>
        </w:rPr>
      </w:pPr>
    </w:p>
    <w:p w14:paraId="525B673D">
      <w:pPr>
        <w:shd w:val="clear" w:color="auto" w:fill="auto"/>
        <w:jc w:val="center"/>
        <w:rPr>
          <w:rFonts w:ascii="宋体" w:hAnsi="宋体" w:eastAsia="宋体" w:cs="宋体"/>
          <w:color w:val="auto"/>
          <w:sz w:val="28"/>
          <w:highlight w:val="none"/>
        </w:rPr>
      </w:pPr>
      <w:r>
        <w:rPr>
          <w:rFonts w:ascii="宋体" w:hAnsi="宋体" w:eastAsia="宋体" w:cs="宋体"/>
          <w:color w:val="auto"/>
          <w:sz w:val="28"/>
          <w:highlight w:val="none"/>
        </w:rPr>
        <w:t>20</w:t>
      </w:r>
      <w:r>
        <w:rPr>
          <w:rFonts w:hint="eastAsia" w:ascii="宋体" w:hAnsi="宋体" w:eastAsia="宋体" w:cs="宋体"/>
          <w:color w:val="auto"/>
          <w:sz w:val="28"/>
          <w:highlight w:val="none"/>
        </w:rPr>
        <w:t>25年</w:t>
      </w:r>
      <w:r>
        <w:rPr>
          <w:rFonts w:hint="eastAsia" w:ascii="宋体" w:hAnsi="宋体" w:eastAsia="宋体" w:cs="宋体"/>
          <w:color w:val="auto"/>
          <w:sz w:val="28"/>
          <w:highlight w:val="none"/>
          <w:lang w:val="en-US" w:eastAsia="zh-CN"/>
        </w:rPr>
        <w:t>12</w:t>
      </w:r>
      <w:r>
        <w:rPr>
          <w:rFonts w:hint="eastAsia" w:ascii="宋体" w:hAnsi="宋体" w:eastAsia="宋体" w:cs="宋体"/>
          <w:color w:val="auto"/>
          <w:sz w:val="28"/>
          <w:highlight w:val="none"/>
        </w:rPr>
        <w:t>月</w:t>
      </w:r>
    </w:p>
    <w:p w14:paraId="5C24108C">
      <w:pPr>
        <w:shd w:val="clear" w:color="auto" w:fill="auto"/>
        <w:jc w:val="center"/>
        <w:rPr>
          <w:rFonts w:ascii="Times New Roman" w:hAnsi="Times New Roman"/>
          <w:color w:val="auto"/>
          <w:highlight w:val="none"/>
        </w:rPr>
        <w:sectPr>
          <w:footerReference r:id="rId3" w:type="default"/>
          <w:pgSz w:w="11906" w:h="16838"/>
          <w:pgMar w:top="1440" w:right="1800" w:bottom="1440" w:left="1800" w:header="850" w:footer="992" w:gutter="0"/>
          <w:pgNumType w:start="1"/>
          <w:cols w:space="720" w:num="1"/>
          <w:docGrid w:linePitch="285" w:charSpace="0"/>
        </w:sectPr>
      </w:pPr>
      <w:bookmarkStart w:id="0" w:name="_Toc152042287"/>
      <w:bookmarkStart w:id="1" w:name="_Toc144974479"/>
      <w:bookmarkStart w:id="2" w:name="_Toc152045511"/>
    </w:p>
    <w:p w14:paraId="7166F5C4">
      <w:pPr>
        <w:shd w:val="clear" w:color="auto" w:fill="auto"/>
        <w:jc w:val="center"/>
        <w:rPr>
          <w:rFonts w:ascii="Times New Roman" w:hAnsi="Times New Roman"/>
          <w:color w:val="auto"/>
          <w:sz w:val="44"/>
          <w:szCs w:val="44"/>
          <w:highlight w:val="none"/>
        </w:rPr>
      </w:pPr>
      <w:r>
        <w:rPr>
          <w:rFonts w:ascii="Times New Roman" w:hAnsi="Times New Roman" w:eastAsia="黑体"/>
          <w:color w:val="auto"/>
          <w:sz w:val="44"/>
          <w:szCs w:val="44"/>
          <w:highlight w:val="none"/>
          <w:lang w:val="zh-CN"/>
        </w:rPr>
        <w:t>目  录</w:t>
      </w:r>
    </w:p>
    <w:p w14:paraId="07FA769D">
      <w:pPr>
        <w:shd w:val="clear" w:color="auto" w:fill="auto"/>
        <w:rPr>
          <w:rFonts w:ascii="Times New Roman" w:hAnsi="Times New Roman"/>
          <w:color w:val="auto"/>
          <w:highlight w:val="none"/>
        </w:rPr>
      </w:pPr>
    </w:p>
    <w:p w14:paraId="49B903AD">
      <w:pPr>
        <w:shd w:val="clear" w:color="auto" w:fill="auto"/>
        <w:jc w:val="center"/>
        <w:rPr>
          <w:color w:val="auto"/>
          <w:highlight w:val="none"/>
        </w:rPr>
      </w:pPr>
    </w:p>
    <w:p w14:paraId="108D1F40">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sz w:val="24"/>
          <w:szCs w:val="24"/>
          <w:highlight w:val="none"/>
        </w:rPr>
        <w:instrText xml:space="preserve">TOC \o "1-1" \h \u </w:instrText>
      </w:r>
      <w:r>
        <w:rPr>
          <w:rFonts w:hint="eastAsia" w:ascii="微软雅黑" w:hAnsi="微软雅黑" w:eastAsia="微软雅黑" w:cs="微软雅黑"/>
          <w:color w:val="auto"/>
          <w:kern w:val="0"/>
          <w:sz w:val="24"/>
          <w:szCs w:val="24"/>
          <w:highlight w:val="none"/>
        </w:rPr>
        <w:fldChar w:fldCharType="separate"/>
      </w: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微软雅黑" w:hAnsi="微软雅黑" w:eastAsia="微软雅黑" w:cs="微软雅黑"/>
          <w:color w:val="auto"/>
          <w:sz w:val="24"/>
          <w:szCs w:val="24"/>
          <w:highlight w:val="none"/>
        </w:rPr>
        <w:t>第一章招标公告</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_Toc9573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4F65C3F2">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"_Toc6744" </w:instrText>
      </w:r>
      <w:r>
        <w:rPr>
          <w:color w:val="auto"/>
          <w:highlight w:val="none"/>
        </w:rPr>
        <w:fldChar w:fldCharType="separate"/>
      </w:r>
      <w:r>
        <w:rPr>
          <w:rFonts w:hint="eastAsia" w:ascii="微软雅黑" w:hAnsi="微软雅黑" w:eastAsia="微软雅黑" w:cs="微软雅黑"/>
          <w:color w:val="auto"/>
          <w:sz w:val="24"/>
          <w:szCs w:val="24"/>
          <w:highlight w:val="none"/>
        </w:rPr>
        <w:t>第二章投标人须知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_Toc6744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71015B20">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"_Toc16458" </w:instrText>
      </w:r>
      <w:r>
        <w:rPr>
          <w:color w:val="auto"/>
          <w:highlight w:val="none"/>
        </w:rPr>
        <w:fldChar w:fldCharType="separate"/>
      </w:r>
      <w:r>
        <w:rPr>
          <w:rFonts w:hint="eastAsia" w:ascii="微软雅黑" w:hAnsi="微软雅黑" w:eastAsia="微软雅黑" w:cs="微软雅黑"/>
          <w:color w:val="auto"/>
          <w:sz w:val="24"/>
          <w:szCs w:val="24"/>
          <w:highlight w:val="none"/>
        </w:rPr>
        <w:t>第三章评标办法（综合评估法）</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_Toc16458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3895E5F2">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"_Toc27331" </w:instrText>
      </w:r>
      <w:r>
        <w:rPr>
          <w:color w:val="auto"/>
          <w:highlight w:val="none"/>
        </w:rPr>
        <w:fldChar w:fldCharType="separate"/>
      </w:r>
      <w:r>
        <w:rPr>
          <w:rFonts w:hint="eastAsia" w:ascii="微软雅黑" w:hAnsi="微软雅黑" w:eastAsia="微软雅黑" w:cs="微软雅黑"/>
          <w:color w:val="auto"/>
          <w:sz w:val="24"/>
          <w:szCs w:val="24"/>
          <w:highlight w:val="none"/>
        </w:rPr>
        <w:t>第四章合同条款及格式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_Toc27331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31</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2CB6FD28">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"_Toc22105" </w:instrText>
      </w:r>
      <w:r>
        <w:rPr>
          <w:color w:val="auto"/>
          <w:highlight w:val="none"/>
        </w:rPr>
        <w:fldChar w:fldCharType="separate"/>
      </w:r>
      <w:r>
        <w:rPr>
          <w:rFonts w:hint="eastAsia" w:ascii="微软雅黑" w:hAnsi="微软雅黑" w:eastAsia="微软雅黑" w:cs="微软雅黑"/>
          <w:color w:val="auto"/>
          <w:sz w:val="24"/>
          <w:szCs w:val="24"/>
          <w:highlight w:val="none"/>
        </w:rPr>
        <w:t>第五章供货要求（用户需求书）</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_Toc22105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32</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1ED9A899">
      <w:pPr>
        <w:pStyle w:val="20"/>
        <w:shd w:val="clear" w:color="auto" w:fill="auto"/>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"_Toc21184" </w:instrText>
      </w:r>
      <w:r>
        <w:rPr>
          <w:color w:val="auto"/>
          <w:highlight w:val="none"/>
        </w:rPr>
        <w:fldChar w:fldCharType="separate"/>
      </w:r>
      <w:r>
        <w:rPr>
          <w:rFonts w:hint="eastAsia" w:ascii="微软雅黑" w:hAnsi="微软雅黑" w:eastAsia="微软雅黑" w:cs="微软雅黑"/>
          <w:color w:val="auto"/>
          <w:sz w:val="24"/>
          <w:szCs w:val="24"/>
          <w:highlight w:val="none"/>
        </w:rPr>
        <w:t>第六章投标文件格式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_Toc21184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42</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1D6CFFD3">
      <w:pPr>
        <w:shd w:val="clear" w:color="auto" w:fill="auto"/>
        <w:spacing w:line="360" w:lineRule="auto"/>
        <w:jc w:val="left"/>
        <w:rPr>
          <w:color w:val="auto"/>
          <w:highlight w:val="none"/>
        </w:rPr>
        <w:sectPr>
          <w:footerReference r:id="rId4" w:type="default"/>
          <w:pgSz w:w="11906" w:h="16838"/>
          <w:pgMar w:top="1440" w:right="1800" w:bottom="1440" w:left="1800" w:header="850" w:footer="992" w:gutter="0"/>
          <w:pgNumType w:start="1"/>
          <w:cols w:space="720" w:num="1"/>
          <w:docGrid w:linePitch="285" w:charSpace="0"/>
        </w:sectPr>
      </w:pPr>
      <w:r>
        <w:rPr>
          <w:rFonts w:hint="eastAsia" w:ascii="微软雅黑" w:hAnsi="微软雅黑" w:eastAsia="微软雅黑" w:cs="微软雅黑"/>
          <w:color w:val="auto"/>
          <w:sz w:val="24"/>
          <w:szCs w:val="24"/>
          <w:highlight w:val="none"/>
        </w:rPr>
        <w:fldChar w:fldCharType="end"/>
      </w:r>
      <w:bookmarkStart w:id="450" w:name="_GoBack"/>
      <w:bookmarkEnd w:id="450"/>
    </w:p>
    <w:p w14:paraId="0DEC0D3D">
      <w:pPr>
        <w:shd w:val="clear" w:color="auto" w:fill="auto"/>
        <w:rPr>
          <w:color w:val="auto"/>
          <w:highlight w:val="none"/>
        </w:rPr>
      </w:pPr>
      <w:bookmarkStart w:id="3" w:name="_Toc68765046"/>
    </w:p>
    <w:p w14:paraId="40306D98">
      <w:pPr>
        <w:shd w:val="clear" w:color="auto" w:fill="auto"/>
        <w:rPr>
          <w:color w:val="auto"/>
          <w:highlight w:val="none"/>
        </w:rPr>
      </w:pPr>
      <w:r>
        <w:rPr>
          <w:color w:val="auto"/>
          <w:highlight w:val="none"/>
        </w:rPr>
        <w:br w:type="page"/>
      </w:r>
    </w:p>
    <w:p w14:paraId="20CDEFD8">
      <w:pPr>
        <w:pStyle w:val="3"/>
        <w:numPr>
          <w:ilvl w:val="0"/>
          <w:numId w:val="1"/>
        </w:numPr>
        <w:shd w:val="clear" w:color="auto" w:fill="auto"/>
        <w:spacing w:line="240" w:lineRule="auto"/>
        <w:jc w:val="center"/>
        <w:rPr>
          <w:color w:val="auto"/>
          <w:highlight w:val="none"/>
        </w:rPr>
      </w:pPr>
      <w:bookmarkStart w:id="4" w:name="_Toc9573"/>
      <w:r>
        <w:rPr>
          <w:color w:val="auto"/>
          <w:highlight w:val="none"/>
        </w:rPr>
        <w:t>招标公告</w:t>
      </w:r>
      <w:bookmarkEnd w:id="3"/>
      <w:bookmarkEnd w:id="4"/>
    </w:p>
    <w:p w14:paraId="4390D4F5">
      <w:pPr>
        <w:numPr>
          <w:ilvl w:val="0"/>
          <w:numId w:val="0"/>
        </w:numPr>
        <w:shd w:val="clear" w:color="auto" w:fill="auto"/>
        <w:jc w:val="center"/>
        <w:rPr>
          <w:color w:val="auto"/>
          <w:sz w:val="28"/>
          <w:szCs w:val="32"/>
          <w:highlight w:val="none"/>
        </w:rPr>
      </w:pPr>
      <w:r>
        <w:rPr>
          <w:rFonts w:hint="eastAsia"/>
          <w:color w:val="auto"/>
          <w:sz w:val="28"/>
          <w:szCs w:val="32"/>
          <w:highlight w:val="none"/>
        </w:rPr>
        <w:t>（另册）</w:t>
      </w:r>
    </w:p>
    <w:p w14:paraId="7D1A8C76">
      <w:pPr>
        <w:shd w:val="clear" w:color="auto" w:fill="auto"/>
        <w:spacing w:line="440" w:lineRule="exact"/>
        <w:jc w:val="center"/>
        <w:rPr>
          <w:rFonts w:ascii="Times New Roman" w:hAnsi="Times New Roman" w:eastAsia="黑体"/>
          <w:color w:val="auto"/>
          <w:sz w:val="20"/>
          <w:highlight w:val="none"/>
        </w:rPr>
      </w:pPr>
    </w:p>
    <w:bookmarkEnd w:id="0"/>
    <w:bookmarkEnd w:id="1"/>
    <w:bookmarkEnd w:id="2"/>
    <w:p w14:paraId="0DA2FE41">
      <w:pPr>
        <w:shd w:val="clear" w:color="auto" w:fill="auto"/>
        <w:rPr>
          <w:rFonts w:ascii="宋体" w:hAnsi="宋体"/>
          <w:bCs/>
          <w:color w:val="auto"/>
          <w:kern w:val="0"/>
          <w:sz w:val="28"/>
          <w:szCs w:val="28"/>
          <w:highlight w:val="none"/>
        </w:rPr>
      </w:pPr>
      <w:r>
        <w:rPr>
          <w:rFonts w:ascii="Times New Roman" w:hAnsi="Times New Roman"/>
          <w:color w:val="auto"/>
          <w:highlight w:val="none"/>
        </w:rPr>
        <w:br w:type="page"/>
      </w:r>
    </w:p>
    <w:p w14:paraId="5EA5C669">
      <w:pPr>
        <w:pStyle w:val="3"/>
        <w:shd w:val="clear" w:color="auto" w:fill="auto"/>
        <w:spacing w:line="360" w:lineRule="auto"/>
        <w:jc w:val="center"/>
        <w:rPr>
          <w:color w:val="auto"/>
          <w:highlight w:val="none"/>
        </w:rPr>
      </w:pPr>
      <w:bookmarkStart w:id="5" w:name="_Toc6744"/>
      <w:bookmarkStart w:id="6" w:name="_Toc68765054"/>
      <w:r>
        <w:rPr>
          <w:color w:val="auto"/>
          <w:highlight w:val="none"/>
        </w:rPr>
        <w:t>第二章投标人须知</w:t>
      </w:r>
      <w:bookmarkEnd w:id="5"/>
      <w:bookmarkEnd w:id="6"/>
    </w:p>
    <w:p w14:paraId="75BE2955">
      <w:pPr>
        <w:pStyle w:val="4"/>
        <w:shd w:val="clear" w:color="auto" w:fill="auto"/>
        <w:spacing w:line="360" w:lineRule="auto"/>
        <w:jc w:val="center"/>
        <w:rPr>
          <w:rFonts w:ascii="Times New Roman" w:hAnsi="Times New Roman"/>
          <w:color w:val="auto"/>
          <w:highlight w:val="none"/>
        </w:rPr>
      </w:pPr>
      <w:bookmarkStart w:id="7" w:name="_Toc68765055"/>
      <w:bookmarkStart w:id="8" w:name="_Toc491883094"/>
      <w:r>
        <w:rPr>
          <w:rFonts w:ascii="Times New Roman" w:hAnsi="Times New Roman"/>
          <w:color w:val="auto"/>
          <w:highlight w:val="none"/>
        </w:rPr>
        <w:t>投标人须知前附表</w:t>
      </w:r>
      <w:bookmarkEnd w:id="7"/>
      <w:bookmarkEnd w:id="8"/>
    </w:p>
    <w:tbl>
      <w:tblPr>
        <w:tblStyle w:val="30"/>
        <w:tblW w:w="10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677"/>
        <w:gridCol w:w="6110"/>
      </w:tblGrid>
      <w:tr w14:paraId="0DA5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65" w:type="dxa"/>
            <w:noWrap w:val="0"/>
            <w:vAlign w:val="center"/>
          </w:tcPr>
          <w:p w14:paraId="6B84A5F1">
            <w:pPr>
              <w:shd w:val="clear" w:color="auto" w:fill="auto"/>
              <w:spacing w:line="4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条款号</w:t>
            </w:r>
          </w:p>
        </w:tc>
        <w:tc>
          <w:tcPr>
            <w:tcW w:w="3677" w:type="dxa"/>
            <w:noWrap w:val="0"/>
            <w:vAlign w:val="center"/>
          </w:tcPr>
          <w:p w14:paraId="5B3CC55D">
            <w:pPr>
              <w:shd w:val="clear" w:color="auto" w:fill="auto"/>
              <w:spacing w:line="4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条款名称</w:t>
            </w:r>
          </w:p>
        </w:tc>
        <w:tc>
          <w:tcPr>
            <w:tcW w:w="6110" w:type="dxa"/>
            <w:noWrap w:val="0"/>
            <w:vAlign w:val="center"/>
          </w:tcPr>
          <w:p w14:paraId="0C059ACE">
            <w:pPr>
              <w:shd w:val="clear" w:color="auto" w:fill="auto"/>
              <w:spacing w:line="4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编列内容</w:t>
            </w:r>
          </w:p>
        </w:tc>
      </w:tr>
      <w:tr w14:paraId="2DB9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653F4C1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1.1.2</w:t>
            </w:r>
          </w:p>
        </w:tc>
        <w:tc>
          <w:tcPr>
            <w:tcW w:w="3677" w:type="dxa"/>
            <w:noWrap w:val="0"/>
            <w:vAlign w:val="center"/>
          </w:tcPr>
          <w:p w14:paraId="76A6CBA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招标人</w:t>
            </w:r>
          </w:p>
        </w:tc>
        <w:tc>
          <w:tcPr>
            <w:tcW w:w="6110" w:type="dxa"/>
            <w:noWrap w:val="0"/>
            <w:vAlign w:val="center"/>
          </w:tcPr>
          <w:p w14:paraId="7F3522F1">
            <w:pPr>
              <w:shd w:val="clear" w:color="auto" w:fill="auto"/>
              <w:spacing w:line="400" w:lineRule="exact"/>
              <w:ind w:left="1"/>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名称：</w:t>
            </w:r>
            <w:r>
              <w:rPr>
                <w:rFonts w:hint="eastAsia" w:ascii="宋体" w:hAnsi="宋体" w:eastAsia="宋体"/>
                <w:color w:val="auto"/>
                <w:sz w:val="24"/>
                <w:szCs w:val="24"/>
                <w:highlight w:val="none"/>
                <w:lang w:eastAsia="zh-CN"/>
              </w:rPr>
              <w:t>广州科城水投技术服务有限公司</w:t>
            </w:r>
          </w:p>
          <w:p w14:paraId="5B1F52D4">
            <w:pPr>
              <w:shd w:val="clear" w:color="auto" w:fill="auto"/>
              <w:spacing w:line="400" w:lineRule="exact"/>
              <w:ind w:left="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地址：广州市黄埔区云埔街道瑞祥路1号自编（9）栋三楼（技术服务公司）</w:t>
            </w:r>
          </w:p>
          <w:p w14:paraId="2CEC2790">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lang w:val="en-US" w:eastAsia="zh-CN"/>
              </w:rPr>
              <w:t>邹先生</w:t>
            </w:r>
          </w:p>
          <w:p w14:paraId="1C3971C3">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电话：</w:t>
            </w:r>
            <w:r>
              <w:rPr>
                <w:rFonts w:hint="eastAsia" w:ascii="宋体" w:hAnsi="宋体"/>
                <w:color w:val="auto"/>
                <w:sz w:val="24"/>
                <w:highlight w:val="none"/>
              </w:rPr>
              <w:t>13512766345</w:t>
            </w:r>
          </w:p>
        </w:tc>
      </w:tr>
      <w:tr w14:paraId="274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9AB6FA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1.1.3</w:t>
            </w:r>
          </w:p>
        </w:tc>
        <w:tc>
          <w:tcPr>
            <w:tcW w:w="3677" w:type="dxa"/>
            <w:noWrap w:val="0"/>
            <w:vAlign w:val="center"/>
          </w:tcPr>
          <w:p w14:paraId="60A95D4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招标代理机构</w:t>
            </w:r>
          </w:p>
        </w:tc>
        <w:tc>
          <w:tcPr>
            <w:tcW w:w="6110" w:type="dxa"/>
            <w:noWrap w:val="0"/>
            <w:vAlign w:val="center"/>
          </w:tcPr>
          <w:p w14:paraId="35B65ED8">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名称：广东工程建设监理有限公司</w:t>
            </w:r>
          </w:p>
          <w:p w14:paraId="64B60E17">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地址：广州市越秀区白云路111-113号白云大厦16楼</w:t>
            </w:r>
          </w:p>
          <w:p w14:paraId="7C3F795B">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lang w:val="en-US" w:eastAsia="zh-CN"/>
              </w:rPr>
              <w:t>沈工、</w:t>
            </w:r>
            <w:r>
              <w:rPr>
                <w:rFonts w:hint="eastAsia" w:ascii="宋体" w:hAnsi="宋体" w:eastAsia="宋体"/>
                <w:color w:val="auto"/>
                <w:sz w:val="24"/>
                <w:szCs w:val="24"/>
                <w:highlight w:val="none"/>
              </w:rPr>
              <w:t>周工</w:t>
            </w:r>
          </w:p>
          <w:p w14:paraId="538B80D7">
            <w:pPr>
              <w:shd w:val="clear" w:color="auto" w:fill="auto"/>
              <w:spacing w:line="400" w:lineRule="exact"/>
              <w:ind w:left="1"/>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电话：</w:t>
            </w:r>
            <w:r>
              <w:rPr>
                <w:rFonts w:hint="eastAsia" w:ascii="宋体" w:hAnsi="宋体" w:eastAsia="宋体"/>
                <w:color w:val="auto"/>
                <w:sz w:val="24"/>
                <w:szCs w:val="24"/>
                <w:highlight w:val="none"/>
                <w:lang w:val="en-US" w:eastAsia="zh-CN"/>
              </w:rPr>
              <w:t>13128262799、020-83292786</w:t>
            </w:r>
          </w:p>
        </w:tc>
      </w:tr>
      <w:tr w14:paraId="7A8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383708B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1.1.4</w:t>
            </w:r>
          </w:p>
        </w:tc>
        <w:tc>
          <w:tcPr>
            <w:tcW w:w="3677" w:type="dxa"/>
            <w:noWrap w:val="0"/>
            <w:vAlign w:val="center"/>
          </w:tcPr>
          <w:p w14:paraId="6F776580">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招标项目名称</w:t>
            </w:r>
          </w:p>
        </w:tc>
        <w:tc>
          <w:tcPr>
            <w:tcW w:w="6110" w:type="dxa"/>
            <w:noWrap w:val="0"/>
            <w:vAlign w:val="center"/>
          </w:tcPr>
          <w:p w14:paraId="57C21510">
            <w:pPr>
              <w:shd w:val="clear" w:color="auto" w:fill="auto"/>
              <w:spacing w:line="400" w:lineRule="exact"/>
              <w:ind w:left="1"/>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2026-2028年葡萄糖、乙酸钠、乙二醇采购项目</w:t>
            </w:r>
          </w:p>
        </w:tc>
      </w:tr>
      <w:tr w14:paraId="190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D613CEE">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1.1.5</w:t>
            </w:r>
          </w:p>
        </w:tc>
        <w:tc>
          <w:tcPr>
            <w:tcW w:w="3677" w:type="dxa"/>
            <w:noWrap w:val="0"/>
            <w:vAlign w:val="center"/>
          </w:tcPr>
          <w:p w14:paraId="5B1E7DE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项目名称</w:t>
            </w:r>
          </w:p>
        </w:tc>
        <w:tc>
          <w:tcPr>
            <w:tcW w:w="6110" w:type="dxa"/>
            <w:noWrap w:val="0"/>
            <w:vAlign w:val="center"/>
          </w:tcPr>
          <w:p w14:paraId="463CE33F">
            <w:pPr>
              <w:shd w:val="clear" w:color="auto" w:fill="auto"/>
              <w:spacing w:line="40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2026-2028年葡萄糖、乙酸钠、乙二醇采购项目</w:t>
            </w:r>
          </w:p>
        </w:tc>
      </w:tr>
      <w:tr w14:paraId="17C2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B57731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1.2.1</w:t>
            </w:r>
          </w:p>
        </w:tc>
        <w:tc>
          <w:tcPr>
            <w:tcW w:w="3677" w:type="dxa"/>
            <w:noWrap w:val="0"/>
            <w:vAlign w:val="center"/>
          </w:tcPr>
          <w:p w14:paraId="4E24DB5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资金来源及比例</w:t>
            </w:r>
          </w:p>
        </w:tc>
        <w:tc>
          <w:tcPr>
            <w:tcW w:w="6110" w:type="dxa"/>
            <w:noWrap w:val="0"/>
            <w:vAlign w:val="center"/>
          </w:tcPr>
          <w:p w14:paraId="1EBFFE32">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企业自筹资金，100%</w:t>
            </w:r>
          </w:p>
        </w:tc>
      </w:tr>
      <w:tr w14:paraId="38BB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633DFF9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1.2.2</w:t>
            </w:r>
          </w:p>
        </w:tc>
        <w:tc>
          <w:tcPr>
            <w:tcW w:w="3677" w:type="dxa"/>
            <w:noWrap w:val="0"/>
            <w:vAlign w:val="center"/>
          </w:tcPr>
          <w:p w14:paraId="6F98D5B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资金落实情况</w:t>
            </w:r>
          </w:p>
        </w:tc>
        <w:tc>
          <w:tcPr>
            <w:tcW w:w="6110" w:type="dxa"/>
            <w:noWrap w:val="0"/>
            <w:vAlign w:val="center"/>
          </w:tcPr>
          <w:p w14:paraId="3B5419AF">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已落实</w:t>
            </w:r>
          </w:p>
        </w:tc>
      </w:tr>
      <w:tr w14:paraId="524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DA31DC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1.3.1</w:t>
            </w:r>
          </w:p>
        </w:tc>
        <w:tc>
          <w:tcPr>
            <w:tcW w:w="3677" w:type="dxa"/>
            <w:noWrap w:val="0"/>
            <w:vAlign w:val="center"/>
          </w:tcPr>
          <w:p w14:paraId="4FCC019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招标范围</w:t>
            </w:r>
          </w:p>
        </w:tc>
        <w:tc>
          <w:tcPr>
            <w:tcW w:w="6110" w:type="dxa"/>
            <w:noWrap w:val="0"/>
            <w:vAlign w:val="center"/>
          </w:tcPr>
          <w:p w14:paraId="51F729F0">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详见招标公告</w:t>
            </w:r>
          </w:p>
        </w:tc>
      </w:tr>
      <w:tr w14:paraId="355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616696F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1.3.2</w:t>
            </w:r>
          </w:p>
        </w:tc>
        <w:tc>
          <w:tcPr>
            <w:tcW w:w="3677" w:type="dxa"/>
            <w:noWrap w:val="0"/>
            <w:vAlign w:val="center"/>
          </w:tcPr>
          <w:p w14:paraId="7E8513CA">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交货期</w:t>
            </w:r>
          </w:p>
        </w:tc>
        <w:tc>
          <w:tcPr>
            <w:tcW w:w="6110" w:type="dxa"/>
            <w:noWrap w:val="0"/>
            <w:vAlign w:val="center"/>
          </w:tcPr>
          <w:p w14:paraId="28B8F83E">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详见招标公告</w:t>
            </w:r>
          </w:p>
        </w:tc>
      </w:tr>
      <w:tr w14:paraId="584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A6EB92D">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1.3.3</w:t>
            </w:r>
          </w:p>
        </w:tc>
        <w:tc>
          <w:tcPr>
            <w:tcW w:w="3677" w:type="dxa"/>
            <w:noWrap w:val="0"/>
            <w:vAlign w:val="center"/>
          </w:tcPr>
          <w:p w14:paraId="6D13FB95">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交货地点</w:t>
            </w:r>
          </w:p>
        </w:tc>
        <w:tc>
          <w:tcPr>
            <w:tcW w:w="6110" w:type="dxa"/>
            <w:noWrap w:val="0"/>
            <w:vAlign w:val="center"/>
          </w:tcPr>
          <w:p w14:paraId="2A85AC0C">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详见招标公告</w:t>
            </w:r>
          </w:p>
        </w:tc>
      </w:tr>
      <w:tr w14:paraId="7A27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37B548E">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1.3.4</w:t>
            </w:r>
          </w:p>
        </w:tc>
        <w:tc>
          <w:tcPr>
            <w:tcW w:w="3677" w:type="dxa"/>
            <w:noWrap w:val="0"/>
            <w:vAlign w:val="center"/>
          </w:tcPr>
          <w:p w14:paraId="6B2F0587">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技术性能指标</w:t>
            </w:r>
          </w:p>
        </w:tc>
        <w:tc>
          <w:tcPr>
            <w:tcW w:w="6110" w:type="dxa"/>
            <w:noWrap w:val="0"/>
            <w:vAlign w:val="center"/>
          </w:tcPr>
          <w:p w14:paraId="08DC895D">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详见本项目用户需求书</w:t>
            </w:r>
          </w:p>
        </w:tc>
      </w:tr>
      <w:tr w14:paraId="0A84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EB78EC9">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1.4.1</w:t>
            </w:r>
          </w:p>
        </w:tc>
        <w:tc>
          <w:tcPr>
            <w:tcW w:w="3677" w:type="dxa"/>
            <w:noWrap w:val="0"/>
            <w:vAlign w:val="center"/>
          </w:tcPr>
          <w:p w14:paraId="489D4C6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投标人资质条件、能力、信誉</w:t>
            </w:r>
          </w:p>
        </w:tc>
        <w:tc>
          <w:tcPr>
            <w:tcW w:w="6110" w:type="dxa"/>
            <w:noWrap w:val="0"/>
            <w:vAlign w:val="center"/>
          </w:tcPr>
          <w:p w14:paraId="3AB70CD0">
            <w:pPr>
              <w:shd w:val="clear" w:color="auto" w:fill="auto"/>
              <w:spacing w:line="400" w:lineRule="exact"/>
              <w:ind w:left="1"/>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（1）资质要求：</w:t>
            </w:r>
            <w:r>
              <w:rPr>
                <w:rFonts w:hint="eastAsia" w:ascii="宋体" w:hAnsi="宋体" w:eastAsia="宋体"/>
                <w:color w:val="auto"/>
                <w:sz w:val="24"/>
                <w:szCs w:val="24"/>
                <w:highlight w:val="none"/>
                <w:u w:val="single"/>
              </w:rPr>
              <w:t>详见招标公告投标人资格要求。</w:t>
            </w:r>
          </w:p>
          <w:p w14:paraId="483B0BD6">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（2）财务要求： / 。</w:t>
            </w:r>
          </w:p>
          <w:p w14:paraId="1616AE23">
            <w:pPr>
              <w:shd w:val="clear" w:color="auto" w:fill="auto"/>
              <w:spacing w:line="400" w:lineRule="exact"/>
              <w:ind w:left="1"/>
              <w:rPr>
                <w:rFonts w:ascii="宋体" w:hAnsi="宋体" w:eastAsia="宋体"/>
                <w:color w:val="auto"/>
                <w:sz w:val="24"/>
                <w:szCs w:val="24"/>
                <w:highlight w:val="none"/>
                <w:u w:val="single"/>
              </w:rPr>
            </w:pPr>
            <w:r>
              <w:rPr>
                <w:rFonts w:hint="eastAsia" w:ascii="宋体" w:hAnsi="宋体" w:eastAsia="宋体"/>
                <w:color w:val="auto"/>
                <w:sz w:val="24"/>
                <w:szCs w:val="24"/>
                <w:highlight w:val="none"/>
              </w:rPr>
              <w:t>（3）投标人业绩： / 。</w:t>
            </w:r>
          </w:p>
          <w:p w14:paraId="132065D6">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（4）信誉要求： / 。</w:t>
            </w:r>
          </w:p>
          <w:p w14:paraId="5B3C3F0B">
            <w:pPr>
              <w:shd w:val="clear" w:color="auto" w:fill="auto"/>
              <w:spacing w:line="400" w:lineRule="exact"/>
              <w:ind w:left="1"/>
              <w:rPr>
                <w:rFonts w:ascii="宋体" w:hAnsi="宋体" w:eastAsia="宋体"/>
                <w:color w:val="auto"/>
                <w:sz w:val="24"/>
                <w:szCs w:val="24"/>
                <w:highlight w:val="none"/>
                <w:u w:val="single"/>
              </w:rPr>
            </w:pPr>
            <w:r>
              <w:rPr>
                <w:rFonts w:hint="eastAsia" w:ascii="宋体" w:hAnsi="宋体" w:eastAsia="宋体"/>
                <w:color w:val="auto"/>
                <w:sz w:val="24"/>
                <w:szCs w:val="24"/>
                <w:highlight w:val="none"/>
              </w:rPr>
              <w:t>（5）其他要求：</w:t>
            </w:r>
            <w:r>
              <w:rPr>
                <w:rFonts w:hint="eastAsia" w:ascii="宋体" w:hAnsi="宋体" w:eastAsia="宋体"/>
                <w:color w:val="auto"/>
                <w:sz w:val="24"/>
                <w:szCs w:val="24"/>
                <w:highlight w:val="none"/>
                <w:u w:val="single"/>
              </w:rPr>
              <w:t>详见招标公告投标人资格要求。</w:t>
            </w:r>
          </w:p>
          <w:p w14:paraId="6B51094A">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（6）联合体投标：</w:t>
            </w:r>
            <w:r>
              <w:rPr>
                <w:rFonts w:hint="eastAsia" w:ascii="宋体" w:hAnsi="宋体" w:eastAsia="宋体"/>
                <w:color w:val="auto"/>
                <w:sz w:val="24"/>
                <w:szCs w:val="24"/>
                <w:highlight w:val="none"/>
                <w:u w:val="single"/>
              </w:rPr>
              <w:t>详见招标公告投标人资格要求。</w:t>
            </w:r>
          </w:p>
        </w:tc>
      </w:tr>
      <w:tr w14:paraId="7371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6BD23C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1.4.2</w:t>
            </w:r>
          </w:p>
        </w:tc>
        <w:tc>
          <w:tcPr>
            <w:tcW w:w="3677" w:type="dxa"/>
            <w:noWrap w:val="0"/>
            <w:vAlign w:val="center"/>
          </w:tcPr>
          <w:p w14:paraId="227C7C3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是否接受联合体投标</w:t>
            </w:r>
          </w:p>
        </w:tc>
        <w:tc>
          <w:tcPr>
            <w:tcW w:w="6110" w:type="dxa"/>
            <w:noWrap w:val="0"/>
            <w:vAlign w:val="center"/>
          </w:tcPr>
          <w:p w14:paraId="2AB2B0B5">
            <w:pPr>
              <w:shd w:val="clear" w:color="auto" w:fill="auto"/>
              <w:topLinePunct/>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■不接受</w:t>
            </w:r>
          </w:p>
          <w:p w14:paraId="6571BB82">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□接受，应满足下列要求：</w:t>
            </w:r>
          </w:p>
        </w:tc>
      </w:tr>
      <w:tr w14:paraId="0C8E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39CA76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1.4.3</w:t>
            </w:r>
          </w:p>
        </w:tc>
        <w:tc>
          <w:tcPr>
            <w:tcW w:w="3677" w:type="dxa"/>
            <w:noWrap w:val="0"/>
            <w:vAlign w:val="center"/>
          </w:tcPr>
          <w:p w14:paraId="307804D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投标人不得存在的</w:t>
            </w:r>
            <w:r>
              <w:rPr>
                <w:rFonts w:hint="eastAsia" w:ascii="宋体" w:hAnsi="宋体" w:eastAsia="宋体"/>
                <w:color w:val="auto"/>
                <w:sz w:val="24"/>
                <w:szCs w:val="24"/>
                <w:highlight w:val="none"/>
              </w:rPr>
              <w:t>其他</w:t>
            </w:r>
            <w:r>
              <w:rPr>
                <w:rFonts w:ascii="宋体" w:hAnsi="宋体" w:eastAsia="宋体"/>
                <w:color w:val="auto"/>
                <w:sz w:val="24"/>
                <w:szCs w:val="24"/>
                <w:highlight w:val="none"/>
              </w:rPr>
              <w:t>情形</w:t>
            </w:r>
          </w:p>
        </w:tc>
        <w:tc>
          <w:tcPr>
            <w:tcW w:w="6110" w:type="dxa"/>
            <w:noWrap w:val="0"/>
            <w:vAlign w:val="center"/>
          </w:tcPr>
          <w:p w14:paraId="4600718F">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在近三年内投标人或其法定代表人、拟委任的项目负责人有行贿犯罪行为的。</w:t>
            </w:r>
          </w:p>
        </w:tc>
      </w:tr>
      <w:tr w14:paraId="415F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3F24041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1.9.1</w:t>
            </w:r>
          </w:p>
        </w:tc>
        <w:tc>
          <w:tcPr>
            <w:tcW w:w="3677" w:type="dxa"/>
            <w:noWrap w:val="0"/>
            <w:vAlign w:val="center"/>
          </w:tcPr>
          <w:p w14:paraId="37A4CD4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投标预备会</w:t>
            </w:r>
          </w:p>
        </w:tc>
        <w:tc>
          <w:tcPr>
            <w:tcW w:w="6110" w:type="dxa"/>
            <w:noWrap w:val="0"/>
            <w:vAlign w:val="center"/>
          </w:tcPr>
          <w:p w14:paraId="4B742C65">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■不召开</w:t>
            </w:r>
          </w:p>
          <w:p w14:paraId="5FE8E0EA">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□召开，召开时间：</w:t>
            </w:r>
          </w:p>
          <w:p w14:paraId="2534A33D">
            <w:pPr>
              <w:shd w:val="clear" w:color="auto" w:fill="auto"/>
              <w:spacing w:line="400" w:lineRule="exact"/>
              <w:ind w:left="1" w:firstLine="960" w:firstLineChars="400"/>
              <w:rPr>
                <w:rFonts w:ascii="宋体" w:hAnsi="宋体" w:eastAsia="宋体"/>
                <w:color w:val="auto"/>
                <w:sz w:val="24"/>
                <w:szCs w:val="24"/>
                <w:highlight w:val="none"/>
              </w:rPr>
            </w:pPr>
            <w:r>
              <w:rPr>
                <w:rFonts w:ascii="宋体" w:hAnsi="宋体" w:eastAsia="宋体"/>
                <w:color w:val="auto"/>
                <w:sz w:val="24"/>
                <w:szCs w:val="24"/>
                <w:highlight w:val="none"/>
              </w:rPr>
              <w:t>召开地点：</w:t>
            </w:r>
          </w:p>
        </w:tc>
      </w:tr>
      <w:tr w14:paraId="5BF2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restart"/>
            <w:noWrap w:val="0"/>
            <w:vAlign w:val="center"/>
          </w:tcPr>
          <w:p w14:paraId="29B6CCB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9</w:t>
            </w:r>
            <w:r>
              <w:rPr>
                <w:rFonts w:ascii="宋体" w:hAnsi="宋体" w:eastAsia="宋体"/>
                <w:color w:val="auto"/>
                <w:sz w:val="24"/>
                <w:szCs w:val="24"/>
                <w:highlight w:val="none"/>
              </w:rPr>
              <w:t>.2</w:t>
            </w:r>
          </w:p>
        </w:tc>
        <w:tc>
          <w:tcPr>
            <w:tcW w:w="3677" w:type="dxa"/>
            <w:vMerge w:val="restart"/>
            <w:noWrap w:val="0"/>
            <w:vAlign w:val="center"/>
          </w:tcPr>
          <w:p w14:paraId="6B7F9A1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投标人在投标预备会前提出问题</w:t>
            </w:r>
          </w:p>
        </w:tc>
        <w:tc>
          <w:tcPr>
            <w:tcW w:w="6110" w:type="dxa"/>
            <w:noWrap w:val="0"/>
            <w:vAlign w:val="center"/>
          </w:tcPr>
          <w:p w14:paraId="36FC9055">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时间：</w:t>
            </w:r>
            <w:r>
              <w:rPr>
                <w:rFonts w:hint="eastAsia" w:ascii="宋体" w:hAnsi="宋体" w:eastAsia="宋体"/>
                <w:color w:val="auto"/>
                <w:sz w:val="24"/>
                <w:szCs w:val="24"/>
                <w:highlight w:val="none"/>
              </w:rPr>
              <w:t>/</w:t>
            </w:r>
          </w:p>
        </w:tc>
      </w:tr>
      <w:tr w14:paraId="51B2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continue"/>
            <w:noWrap w:val="0"/>
            <w:vAlign w:val="center"/>
          </w:tcPr>
          <w:p w14:paraId="618127ED">
            <w:pPr>
              <w:shd w:val="clear" w:color="auto" w:fill="auto"/>
              <w:spacing w:line="400" w:lineRule="exact"/>
              <w:jc w:val="center"/>
              <w:rPr>
                <w:rFonts w:ascii="宋体" w:hAnsi="宋体" w:eastAsia="宋体"/>
                <w:color w:val="auto"/>
                <w:sz w:val="24"/>
                <w:szCs w:val="24"/>
                <w:highlight w:val="none"/>
              </w:rPr>
            </w:pPr>
          </w:p>
        </w:tc>
        <w:tc>
          <w:tcPr>
            <w:tcW w:w="3677" w:type="dxa"/>
            <w:vMerge w:val="continue"/>
            <w:noWrap w:val="0"/>
            <w:vAlign w:val="center"/>
          </w:tcPr>
          <w:p w14:paraId="26458A9D">
            <w:pPr>
              <w:shd w:val="clear" w:color="auto" w:fill="auto"/>
              <w:spacing w:line="400" w:lineRule="exact"/>
              <w:jc w:val="center"/>
              <w:rPr>
                <w:rFonts w:ascii="宋体" w:hAnsi="宋体" w:eastAsia="宋体"/>
                <w:color w:val="auto"/>
                <w:sz w:val="24"/>
                <w:szCs w:val="24"/>
                <w:highlight w:val="none"/>
              </w:rPr>
            </w:pPr>
          </w:p>
        </w:tc>
        <w:tc>
          <w:tcPr>
            <w:tcW w:w="6110" w:type="dxa"/>
            <w:noWrap w:val="0"/>
            <w:vAlign w:val="center"/>
          </w:tcPr>
          <w:p w14:paraId="4436F12D">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形式：</w:t>
            </w:r>
            <w:r>
              <w:rPr>
                <w:rFonts w:hint="eastAsia" w:ascii="宋体" w:hAnsi="宋体" w:eastAsia="宋体"/>
                <w:color w:val="auto"/>
                <w:sz w:val="24"/>
                <w:szCs w:val="24"/>
                <w:highlight w:val="none"/>
              </w:rPr>
              <w:t>/</w:t>
            </w:r>
          </w:p>
        </w:tc>
      </w:tr>
      <w:tr w14:paraId="138B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FCF7C4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9</w:t>
            </w:r>
            <w:r>
              <w:rPr>
                <w:rFonts w:ascii="宋体" w:hAnsi="宋体" w:eastAsia="宋体"/>
                <w:color w:val="auto"/>
                <w:sz w:val="24"/>
                <w:szCs w:val="24"/>
                <w:highlight w:val="none"/>
              </w:rPr>
              <w:t>.3</w:t>
            </w:r>
          </w:p>
        </w:tc>
        <w:tc>
          <w:tcPr>
            <w:tcW w:w="3677" w:type="dxa"/>
            <w:noWrap w:val="0"/>
            <w:vAlign w:val="center"/>
          </w:tcPr>
          <w:p w14:paraId="7255821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招标文件澄清发出的形式</w:t>
            </w:r>
          </w:p>
        </w:tc>
        <w:tc>
          <w:tcPr>
            <w:tcW w:w="6110" w:type="dxa"/>
            <w:noWrap w:val="0"/>
            <w:vAlign w:val="center"/>
          </w:tcPr>
          <w:p w14:paraId="5A336B6C">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r>
      <w:tr w14:paraId="73ED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D70A4E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1.10.1</w:t>
            </w:r>
          </w:p>
        </w:tc>
        <w:tc>
          <w:tcPr>
            <w:tcW w:w="3677" w:type="dxa"/>
            <w:noWrap w:val="0"/>
            <w:vAlign w:val="center"/>
          </w:tcPr>
          <w:p w14:paraId="4E42D5B3">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分包</w:t>
            </w:r>
          </w:p>
        </w:tc>
        <w:tc>
          <w:tcPr>
            <w:tcW w:w="6110" w:type="dxa"/>
            <w:noWrap w:val="0"/>
            <w:vAlign w:val="center"/>
          </w:tcPr>
          <w:p w14:paraId="5764D30E">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■不允许</w:t>
            </w:r>
          </w:p>
          <w:p w14:paraId="71FBD96D">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□允许</w:t>
            </w:r>
            <w:r>
              <w:rPr>
                <w:rFonts w:hint="eastAsia" w:ascii="宋体" w:hAnsi="宋体" w:eastAsia="宋体"/>
                <w:color w:val="auto"/>
                <w:sz w:val="24"/>
                <w:szCs w:val="24"/>
                <w:highlight w:val="none"/>
              </w:rPr>
              <w:t>，</w:t>
            </w:r>
            <w:r>
              <w:rPr>
                <w:rFonts w:ascii="宋体" w:hAnsi="宋体" w:eastAsia="宋体"/>
                <w:color w:val="auto"/>
                <w:sz w:val="24"/>
                <w:szCs w:val="24"/>
                <w:highlight w:val="none"/>
              </w:rPr>
              <w:t>分包内容要求：</w:t>
            </w:r>
          </w:p>
          <w:p w14:paraId="4F1DD0C0">
            <w:pPr>
              <w:shd w:val="clear" w:color="auto" w:fill="auto"/>
              <w:spacing w:line="400" w:lineRule="exact"/>
              <w:ind w:firstLine="960" w:firstLineChars="400"/>
              <w:rPr>
                <w:rFonts w:ascii="宋体" w:hAnsi="宋体" w:eastAsia="宋体"/>
                <w:color w:val="auto"/>
                <w:sz w:val="24"/>
                <w:szCs w:val="24"/>
                <w:highlight w:val="none"/>
              </w:rPr>
            </w:pPr>
            <w:r>
              <w:rPr>
                <w:rFonts w:ascii="宋体" w:hAnsi="宋体" w:eastAsia="宋体"/>
                <w:color w:val="auto"/>
                <w:sz w:val="24"/>
                <w:szCs w:val="24"/>
                <w:highlight w:val="none"/>
              </w:rPr>
              <w:t>分包金额要求：</w:t>
            </w:r>
          </w:p>
          <w:p w14:paraId="695D683A">
            <w:pPr>
              <w:shd w:val="clear" w:color="auto" w:fill="auto"/>
              <w:spacing w:line="400" w:lineRule="exact"/>
              <w:ind w:firstLine="960" w:firstLineChars="400"/>
              <w:rPr>
                <w:rFonts w:ascii="宋体" w:hAnsi="宋体" w:eastAsia="宋体"/>
                <w:color w:val="auto"/>
                <w:sz w:val="24"/>
                <w:szCs w:val="24"/>
                <w:highlight w:val="none"/>
              </w:rPr>
            </w:pPr>
            <w:r>
              <w:rPr>
                <w:rFonts w:ascii="宋体" w:hAnsi="宋体" w:eastAsia="宋体"/>
                <w:color w:val="auto"/>
                <w:sz w:val="24"/>
                <w:szCs w:val="24"/>
                <w:highlight w:val="none"/>
              </w:rPr>
              <w:t>对分包人的资质要求：</w:t>
            </w:r>
          </w:p>
        </w:tc>
      </w:tr>
      <w:tr w14:paraId="2BCF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223473A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1.11.1</w:t>
            </w:r>
          </w:p>
        </w:tc>
        <w:tc>
          <w:tcPr>
            <w:tcW w:w="3677" w:type="dxa"/>
            <w:noWrap w:val="0"/>
            <w:vAlign w:val="center"/>
          </w:tcPr>
          <w:p w14:paraId="0364A77D">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实质性要求和条件</w:t>
            </w:r>
          </w:p>
        </w:tc>
        <w:tc>
          <w:tcPr>
            <w:tcW w:w="6110" w:type="dxa"/>
            <w:noWrap w:val="0"/>
            <w:vAlign w:val="center"/>
          </w:tcPr>
          <w:p w14:paraId="29EA7BBF">
            <w:pPr>
              <w:pStyle w:val="9"/>
              <w:shd w:val="clear" w:color="auto" w:fill="auto"/>
              <w:topLinePunct/>
              <w:spacing w:line="400" w:lineRule="exact"/>
              <w:rPr>
                <w:rFonts w:ascii="宋体" w:hAnsi="宋体" w:eastAsia="宋体"/>
                <w:color w:val="auto"/>
                <w:szCs w:val="24"/>
                <w:highlight w:val="none"/>
              </w:rPr>
            </w:pPr>
            <w:r>
              <w:rPr>
                <w:rFonts w:hint="eastAsia" w:ascii="宋体" w:hAnsi="宋体" w:eastAsia="宋体"/>
                <w:color w:val="auto"/>
                <w:szCs w:val="24"/>
                <w:highlight w:val="none"/>
              </w:rPr>
              <w:t>/</w:t>
            </w:r>
          </w:p>
        </w:tc>
      </w:tr>
      <w:tr w14:paraId="4D2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62DFC63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1.11.3</w:t>
            </w:r>
          </w:p>
        </w:tc>
        <w:tc>
          <w:tcPr>
            <w:tcW w:w="3677" w:type="dxa"/>
            <w:noWrap w:val="0"/>
            <w:vAlign w:val="center"/>
          </w:tcPr>
          <w:p w14:paraId="1C55DD03">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其他可以被接受的技术支持资料</w:t>
            </w:r>
          </w:p>
        </w:tc>
        <w:tc>
          <w:tcPr>
            <w:tcW w:w="6110" w:type="dxa"/>
            <w:noWrap w:val="0"/>
            <w:vAlign w:val="center"/>
          </w:tcPr>
          <w:p w14:paraId="4E82CE72">
            <w:pPr>
              <w:pStyle w:val="9"/>
              <w:shd w:val="clear" w:color="auto" w:fill="auto"/>
              <w:topLinePunct/>
              <w:spacing w:line="400" w:lineRule="exact"/>
              <w:rPr>
                <w:rFonts w:ascii="宋体" w:hAnsi="宋体" w:eastAsia="宋体"/>
                <w:color w:val="auto"/>
                <w:szCs w:val="24"/>
                <w:highlight w:val="none"/>
              </w:rPr>
            </w:pPr>
            <w:r>
              <w:rPr>
                <w:rFonts w:hint="eastAsia" w:ascii="宋体" w:hAnsi="宋体" w:eastAsia="宋体"/>
                <w:color w:val="auto"/>
                <w:szCs w:val="24"/>
                <w:highlight w:val="none"/>
              </w:rPr>
              <w:t>/</w:t>
            </w:r>
          </w:p>
        </w:tc>
      </w:tr>
      <w:tr w14:paraId="0A94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E8DEB7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1.11.4</w:t>
            </w:r>
          </w:p>
        </w:tc>
        <w:tc>
          <w:tcPr>
            <w:tcW w:w="3677" w:type="dxa"/>
            <w:noWrap w:val="0"/>
            <w:vAlign w:val="center"/>
          </w:tcPr>
          <w:p w14:paraId="1BD4DC1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偏差</w:t>
            </w:r>
          </w:p>
        </w:tc>
        <w:tc>
          <w:tcPr>
            <w:tcW w:w="6110" w:type="dxa"/>
            <w:noWrap w:val="0"/>
            <w:vAlign w:val="top"/>
          </w:tcPr>
          <w:p w14:paraId="43F6CB6B">
            <w:pPr>
              <w:shd w:val="clear" w:color="auto" w:fill="auto"/>
              <w:spacing w:line="400" w:lineRule="exact"/>
              <w:ind w:left="1260" w:hanging="1260" w:hangingChars="600"/>
              <w:rPr>
                <w:rFonts w:ascii="宋体" w:hAnsi="宋体" w:eastAsia="宋体"/>
                <w:color w:val="auto"/>
                <w:sz w:val="24"/>
                <w:szCs w:val="24"/>
                <w:highlight w:val="none"/>
              </w:rPr>
            </w:pPr>
            <w:r>
              <w:rPr>
                <w:rFonts w:ascii="宋体" w:hAnsi="宋体" w:eastAsia="宋体"/>
                <w:color w:val="auto"/>
                <w:szCs w:val="24"/>
                <w:highlight w:val="none"/>
              </w:rPr>
              <w:t>■</w:t>
            </w:r>
            <w:r>
              <w:rPr>
                <w:rFonts w:ascii="宋体" w:hAnsi="宋体" w:eastAsia="宋体"/>
                <w:color w:val="auto"/>
                <w:sz w:val="24"/>
                <w:szCs w:val="24"/>
                <w:highlight w:val="none"/>
              </w:rPr>
              <w:t>不允许</w:t>
            </w:r>
            <w:r>
              <w:rPr>
                <w:rFonts w:hint="eastAsia" w:ascii="宋体" w:hAnsi="宋体" w:eastAsia="宋体"/>
                <w:color w:val="auto"/>
                <w:sz w:val="24"/>
                <w:szCs w:val="24"/>
                <w:highlight w:val="none"/>
              </w:rPr>
              <w:t>：第五章《用户需求书》条款不可偏差。</w:t>
            </w:r>
          </w:p>
          <w:p w14:paraId="33F26E72">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□允许</w:t>
            </w:r>
          </w:p>
        </w:tc>
      </w:tr>
      <w:tr w14:paraId="301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18D0359">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2.1</w:t>
            </w:r>
          </w:p>
        </w:tc>
        <w:tc>
          <w:tcPr>
            <w:tcW w:w="3677" w:type="dxa"/>
            <w:noWrap w:val="0"/>
            <w:vAlign w:val="center"/>
          </w:tcPr>
          <w:p w14:paraId="64CF369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构成招标文件的其他资料</w:t>
            </w:r>
          </w:p>
        </w:tc>
        <w:tc>
          <w:tcPr>
            <w:tcW w:w="6110" w:type="dxa"/>
            <w:noWrap w:val="0"/>
            <w:vAlign w:val="center"/>
          </w:tcPr>
          <w:p w14:paraId="6099EE58">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r>
      <w:tr w14:paraId="3504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restart"/>
            <w:noWrap w:val="0"/>
            <w:vAlign w:val="center"/>
          </w:tcPr>
          <w:p w14:paraId="4D4B9BED">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2.2.1</w:t>
            </w:r>
          </w:p>
        </w:tc>
        <w:tc>
          <w:tcPr>
            <w:tcW w:w="3677" w:type="dxa"/>
            <w:vMerge w:val="restart"/>
            <w:noWrap w:val="0"/>
            <w:vAlign w:val="center"/>
          </w:tcPr>
          <w:p w14:paraId="32DCDE80">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投标人要求澄清招标文件</w:t>
            </w:r>
          </w:p>
        </w:tc>
        <w:tc>
          <w:tcPr>
            <w:tcW w:w="6110" w:type="dxa"/>
            <w:noWrap w:val="0"/>
            <w:vAlign w:val="center"/>
          </w:tcPr>
          <w:p w14:paraId="13351662">
            <w:pPr>
              <w:shd w:val="clear" w:color="auto" w:fill="auto"/>
              <w:wordWrap w:val="0"/>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时间：</w:t>
            </w:r>
            <w:r>
              <w:rPr>
                <w:rFonts w:hint="eastAsia" w:ascii="宋体" w:hAnsi="宋体" w:eastAsia="宋体"/>
                <w:color w:val="auto"/>
                <w:sz w:val="24"/>
                <w:szCs w:val="24"/>
                <w:highlight w:val="none"/>
              </w:rPr>
              <w:t>投标人在递交投标文件截止时间</w:t>
            </w:r>
            <w:r>
              <w:rPr>
                <w:rFonts w:ascii="宋体" w:hAnsi="宋体" w:eastAsia="宋体"/>
                <w:color w:val="auto"/>
                <w:sz w:val="24"/>
                <w:szCs w:val="24"/>
                <w:highlight w:val="none"/>
              </w:rPr>
              <w:t>18</w:t>
            </w:r>
            <w:r>
              <w:rPr>
                <w:rFonts w:hint="eastAsia" w:ascii="宋体" w:hAnsi="宋体" w:eastAsia="宋体"/>
                <w:color w:val="auto"/>
                <w:sz w:val="24"/>
                <w:szCs w:val="24"/>
                <w:highlight w:val="none"/>
              </w:rPr>
              <w:t>天</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u w:val="single"/>
              </w:rPr>
              <w:t>20</w:t>
            </w:r>
            <w:r>
              <w:rPr>
                <w:rFonts w:hint="eastAsia" w:ascii="宋体" w:hAnsi="宋体" w:eastAsia="宋体"/>
                <w:color w:val="auto"/>
                <w:sz w:val="24"/>
                <w:szCs w:val="24"/>
                <w:highlight w:val="none"/>
                <w:u w:val="single"/>
              </w:rPr>
              <w:t>25年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rPr>
              <w:t>前提出</w:t>
            </w:r>
          </w:p>
        </w:tc>
      </w:tr>
      <w:tr w14:paraId="0D35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continue"/>
            <w:noWrap w:val="0"/>
            <w:vAlign w:val="center"/>
          </w:tcPr>
          <w:p w14:paraId="395539E8">
            <w:pPr>
              <w:shd w:val="clear" w:color="auto" w:fill="auto"/>
              <w:spacing w:line="400" w:lineRule="exact"/>
              <w:jc w:val="center"/>
              <w:rPr>
                <w:rFonts w:ascii="宋体" w:hAnsi="宋体" w:eastAsia="宋体"/>
                <w:color w:val="auto"/>
                <w:sz w:val="24"/>
                <w:szCs w:val="24"/>
                <w:highlight w:val="none"/>
              </w:rPr>
            </w:pPr>
          </w:p>
        </w:tc>
        <w:tc>
          <w:tcPr>
            <w:tcW w:w="3677" w:type="dxa"/>
            <w:vMerge w:val="continue"/>
            <w:noWrap w:val="0"/>
            <w:vAlign w:val="center"/>
          </w:tcPr>
          <w:p w14:paraId="43A04D13">
            <w:pPr>
              <w:shd w:val="clear" w:color="auto" w:fill="auto"/>
              <w:spacing w:line="400" w:lineRule="exact"/>
              <w:jc w:val="center"/>
              <w:rPr>
                <w:rFonts w:ascii="宋体" w:hAnsi="宋体" w:eastAsia="宋体"/>
                <w:color w:val="auto"/>
                <w:sz w:val="24"/>
                <w:szCs w:val="24"/>
                <w:highlight w:val="none"/>
              </w:rPr>
            </w:pPr>
          </w:p>
        </w:tc>
        <w:tc>
          <w:tcPr>
            <w:tcW w:w="6110" w:type="dxa"/>
            <w:noWrap w:val="0"/>
            <w:vAlign w:val="center"/>
          </w:tcPr>
          <w:p w14:paraId="6409842A">
            <w:pPr>
              <w:shd w:val="clear" w:color="auto" w:fill="auto"/>
              <w:spacing w:line="400" w:lineRule="exact"/>
              <w:ind w:left="1"/>
              <w:rPr>
                <w:rFonts w:ascii="宋体" w:hAnsi="宋体" w:eastAsia="宋体"/>
                <w:color w:val="auto"/>
                <w:sz w:val="24"/>
                <w:szCs w:val="24"/>
                <w:highlight w:val="none"/>
                <w:u w:val="single"/>
              </w:rPr>
            </w:pPr>
            <w:r>
              <w:rPr>
                <w:rFonts w:hint="eastAsia" w:ascii="宋体" w:hAnsi="宋体" w:eastAsia="宋体"/>
                <w:color w:val="auto"/>
                <w:sz w:val="24"/>
                <w:szCs w:val="24"/>
                <w:highlight w:val="none"/>
              </w:rPr>
              <w:t>形式</w:t>
            </w:r>
            <w:r>
              <w:rPr>
                <w:rFonts w:ascii="宋体" w:hAnsi="宋体" w:eastAsia="宋体"/>
                <w:color w:val="auto"/>
                <w:sz w:val="24"/>
                <w:szCs w:val="24"/>
                <w:highlight w:val="none"/>
              </w:rPr>
              <w:t>：</w:t>
            </w:r>
            <w:r>
              <w:rPr>
                <w:rFonts w:ascii="宋体" w:hAnsi="宋体" w:eastAsia="宋体"/>
                <w:color w:val="auto"/>
                <w:sz w:val="24"/>
                <w:szCs w:val="24"/>
                <w:highlight w:val="none"/>
                <w:u w:val="single"/>
              </w:rPr>
              <w:t>投标人的疑问通过广州公共资源交易中心数字交易平台提交。</w:t>
            </w:r>
          </w:p>
          <w:p w14:paraId="2024F70A">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具体要求：</w:t>
            </w:r>
            <w:r>
              <w:rPr>
                <w:rFonts w:hint="eastAsia" w:ascii="宋体" w:hAnsi="宋体" w:eastAsia="宋体"/>
                <w:color w:val="auto"/>
                <w:sz w:val="24"/>
                <w:szCs w:val="24"/>
                <w:highlight w:val="none"/>
                <w:u w:val="single"/>
              </w:rPr>
              <w:t>按照交易平台关于全流程电子化项目的相关指南进行操作</w:t>
            </w:r>
            <w:r>
              <w:rPr>
                <w:rFonts w:ascii="宋体" w:hAnsi="宋体" w:eastAsia="宋体"/>
                <w:color w:val="auto"/>
                <w:sz w:val="24"/>
                <w:szCs w:val="24"/>
                <w:highlight w:val="none"/>
                <w:u w:val="single"/>
              </w:rPr>
              <w:t>。提问一律不得署名。</w:t>
            </w:r>
          </w:p>
        </w:tc>
      </w:tr>
      <w:tr w14:paraId="4E6C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456BEC3">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2.2.2</w:t>
            </w:r>
          </w:p>
        </w:tc>
        <w:tc>
          <w:tcPr>
            <w:tcW w:w="3677" w:type="dxa"/>
            <w:noWrap w:val="0"/>
            <w:vAlign w:val="center"/>
          </w:tcPr>
          <w:p w14:paraId="72D00D2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招标文件澄清发出的形式</w:t>
            </w:r>
          </w:p>
        </w:tc>
        <w:tc>
          <w:tcPr>
            <w:tcW w:w="6110" w:type="dxa"/>
            <w:noWrap w:val="0"/>
            <w:vAlign w:val="center"/>
          </w:tcPr>
          <w:p w14:paraId="20FA768F">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发出时间：</w:t>
            </w:r>
            <w:r>
              <w:rPr>
                <w:rFonts w:hint="eastAsia" w:ascii="宋体" w:hAnsi="宋体" w:eastAsia="宋体"/>
                <w:color w:val="auto"/>
                <w:sz w:val="24"/>
                <w:szCs w:val="24"/>
                <w:highlight w:val="none"/>
                <w:u w:val="single"/>
                <w:lang w:val="en-US" w:eastAsia="zh-CN"/>
              </w:rPr>
              <w:t>2025</w:t>
            </w:r>
            <w:r>
              <w:rPr>
                <w:rFonts w:ascii="宋体" w:hAnsi="宋体" w:eastAsia="宋体"/>
                <w:color w:val="auto"/>
                <w:sz w:val="24"/>
                <w:szCs w:val="24"/>
                <w:highlight w:val="none"/>
                <w:u w:val="single"/>
              </w:rPr>
              <w:t>年  月  日  时前（</w:t>
            </w:r>
            <w:r>
              <w:rPr>
                <w:rFonts w:hint="eastAsia" w:ascii="宋体" w:hAnsi="宋体" w:eastAsia="宋体"/>
                <w:color w:val="auto"/>
                <w:sz w:val="24"/>
                <w:szCs w:val="24"/>
                <w:highlight w:val="none"/>
                <w:u w:val="single"/>
              </w:rPr>
              <w:t>投标截止时间15日前</w:t>
            </w:r>
            <w:r>
              <w:rPr>
                <w:rFonts w:ascii="宋体" w:hAnsi="宋体" w:eastAsia="宋体"/>
                <w:color w:val="auto"/>
                <w:sz w:val="24"/>
                <w:szCs w:val="24"/>
                <w:highlight w:val="none"/>
                <w:u w:val="single"/>
              </w:rPr>
              <w:t>）</w:t>
            </w:r>
          </w:p>
          <w:p w14:paraId="68151356">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发出形式：</w:t>
            </w:r>
            <w:r>
              <w:rPr>
                <w:rFonts w:ascii="宋体" w:hAnsi="宋体" w:eastAsia="宋体"/>
                <w:color w:val="auto"/>
                <w:sz w:val="24"/>
                <w:szCs w:val="24"/>
                <w:highlight w:val="none"/>
                <w:u w:val="single"/>
              </w:rPr>
              <w:t>在广州公共资源交易中心网站通过项目答疑专区网上公开发布。</w:t>
            </w:r>
          </w:p>
        </w:tc>
      </w:tr>
      <w:tr w14:paraId="00BA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792B750">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2.2.3</w:t>
            </w:r>
          </w:p>
        </w:tc>
        <w:tc>
          <w:tcPr>
            <w:tcW w:w="3677" w:type="dxa"/>
            <w:noWrap w:val="0"/>
            <w:vAlign w:val="center"/>
          </w:tcPr>
          <w:p w14:paraId="18A3581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投标人确认收到招标文件澄清</w:t>
            </w:r>
          </w:p>
        </w:tc>
        <w:tc>
          <w:tcPr>
            <w:tcW w:w="6110" w:type="dxa"/>
            <w:noWrap w:val="0"/>
            <w:vAlign w:val="center"/>
          </w:tcPr>
          <w:p w14:paraId="3C0C2428">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u w:val="single"/>
              </w:rPr>
              <w:t>招标文件澄清（招标答疑纪要）一经在广州公共资源交易中心网站发布，视作已发放给所有投标人。</w:t>
            </w:r>
          </w:p>
        </w:tc>
      </w:tr>
      <w:tr w14:paraId="125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38FC40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2.3.1</w:t>
            </w:r>
          </w:p>
        </w:tc>
        <w:tc>
          <w:tcPr>
            <w:tcW w:w="3677" w:type="dxa"/>
            <w:noWrap w:val="0"/>
            <w:vAlign w:val="center"/>
          </w:tcPr>
          <w:p w14:paraId="1C41CB6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招标文件修改发出的形式</w:t>
            </w:r>
          </w:p>
        </w:tc>
        <w:tc>
          <w:tcPr>
            <w:tcW w:w="6110" w:type="dxa"/>
            <w:noWrap w:val="0"/>
            <w:vAlign w:val="center"/>
          </w:tcPr>
          <w:p w14:paraId="0607C3CC">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u w:val="single"/>
              </w:rPr>
              <w:t>以补充公告或项目答疑澄清的方式在广州公共资源交易中心网站发布</w:t>
            </w:r>
            <w:r>
              <w:rPr>
                <w:rFonts w:hint="eastAsia" w:ascii="宋体" w:hAnsi="宋体" w:eastAsia="宋体"/>
                <w:color w:val="auto"/>
                <w:sz w:val="24"/>
                <w:szCs w:val="24"/>
                <w:highlight w:val="none"/>
                <w:u w:val="single"/>
              </w:rPr>
              <w:t>。</w:t>
            </w:r>
          </w:p>
        </w:tc>
      </w:tr>
      <w:tr w14:paraId="389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51524D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2.3.2</w:t>
            </w:r>
          </w:p>
        </w:tc>
        <w:tc>
          <w:tcPr>
            <w:tcW w:w="3677" w:type="dxa"/>
            <w:noWrap w:val="0"/>
            <w:vAlign w:val="center"/>
          </w:tcPr>
          <w:p w14:paraId="525E4C24">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投标人确认收到招标文件修改</w:t>
            </w:r>
          </w:p>
        </w:tc>
        <w:tc>
          <w:tcPr>
            <w:tcW w:w="6110" w:type="dxa"/>
            <w:noWrap w:val="0"/>
            <w:vAlign w:val="center"/>
          </w:tcPr>
          <w:p w14:paraId="5BC38739">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13E1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EE5524D">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3.1.1</w:t>
            </w:r>
          </w:p>
        </w:tc>
        <w:tc>
          <w:tcPr>
            <w:tcW w:w="3677" w:type="dxa"/>
            <w:noWrap w:val="0"/>
            <w:vAlign w:val="center"/>
          </w:tcPr>
          <w:p w14:paraId="4CA9F8B1">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构成投标文件的其他资料</w:t>
            </w:r>
          </w:p>
        </w:tc>
        <w:tc>
          <w:tcPr>
            <w:tcW w:w="6110" w:type="dxa"/>
            <w:noWrap w:val="0"/>
            <w:vAlign w:val="center"/>
          </w:tcPr>
          <w:p w14:paraId="18C28CE5">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满足本项目评审要求的其他资料</w:t>
            </w:r>
          </w:p>
        </w:tc>
      </w:tr>
      <w:tr w14:paraId="6F80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29A02081">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3.2.1</w:t>
            </w:r>
          </w:p>
        </w:tc>
        <w:tc>
          <w:tcPr>
            <w:tcW w:w="3677" w:type="dxa"/>
            <w:noWrap w:val="0"/>
            <w:vAlign w:val="center"/>
          </w:tcPr>
          <w:p w14:paraId="4FA1A8A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增值税税金的计算方法</w:t>
            </w:r>
          </w:p>
        </w:tc>
        <w:tc>
          <w:tcPr>
            <w:tcW w:w="6110" w:type="dxa"/>
            <w:noWrap w:val="0"/>
            <w:vAlign w:val="center"/>
          </w:tcPr>
          <w:p w14:paraId="0D130D3E">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增值税税金按一般计税方法计算</w:t>
            </w:r>
          </w:p>
        </w:tc>
      </w:tr>
      <w:tr w14:paraId="76C8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F6A5F0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3.2.</w:t>
            </w:r>
            <w:r>
              <w:rPr>
                <w:rFonts w:hint="eastAsia" w:ascii="宋体" w:hAnsi="宋体" w:eastAsia="宋体"/>
                <w:color w:val="auto"/>
                <w:sz w:val="24"/>
                <w:szCs w:val="24"/>
                <w:highlight w:val="none"/>
              </w:rPr>
              <w:t>4</w:t>
            </w:r>
          </w:p>
        </w:tc>
        <w:tc>
          <w:tcPr>
            <w:tcW w:w="3677" w:type="dxa"/>
            <w:noWrap w:val="0"/>
            <w:vAlign w:val="center"/>
          </w:tcPr>
          <w:p w14:paraId="5FE0E17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最高投标限价</w:t>
            </w:r>
          </w:p>
        </w:tc>
        <w:tc>
          <w:tcPr>
            <w:tcW w:w="6110" w:type="dxa"/>
            <w:noWrap w:val="0"/>
            <w:vAlign w:val="center"/>
          </w:tcPr>
          <w:p w14:paraId="2BA7B6BD">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□无</w:t>
            </w:r>
          </w:p>
          <w:p w14:paraId="423CB87B">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■有，</w:t>
            </w:r>
            <w:r>
              <w:rPr>
                <w:rFonts w:hint="eastAsia" w:ascii="宋体" w:hAnsi="宋体" w:eastAsia="宋体"/>
                <w:color w:val="auto"/>
                <w:sz w:val="24"/>
                <w:szCs w:val="24"/>
                <w:highlight w:val="none"/>
              </w:rPr>
              <w:t>最高投标限价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lang w:eastAsia="zh-CN"/>
              </w:rPr>
              <w:t>最高投标限价</w:t>
            </w:r>
            <w:r>
              <w:rPr>
                <w:rFonts w:hint="eastAsia" w:ascii="宋体" w:hAnsi="宋体" w:eastAsia="宋体"/>
                <w:color w:val="auto"/>
                <w:sz w:val="24"/>
                <w:szCs w:val="24"/>
                <w:highlight w:val="none"/>
                <w:u w:val="single"/>
              </w:rPr>
              <w:t>总价为10,495,000.00元。最高投标限价单价为：葡萄糖3700元/吨（含税价），乙酸钠3500元/吨（含税价）,乙二醇3650元/吨（含税价）。</w:t>
            </w:r>
            <w:r>
              <w:rPr>
                <w:rFonts w:hint="eastAsia" w:ascii="宋体" w:hAnsi="宋体" w:eastAsia="宋体"/>
                <w:b/>
                <w:bCs/>
                <w:color w:val="auto"/>
                <w:sz w:val="24"/>
                <w:szCs w:val="24"/>
                <w:highlight w:val="none"/>
                <w:u w:val="single"/>
              </w:rPr>
              <w:t>投标报价总价或投标单价超过任一最高投标限价时，投标文件将被拒绝。</w:t>
            </w:r>
          </w:p>
        </w:tc>
      </w:tr>
      <w:tr w14:paraId="3698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A98EAAE">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3.2.</w:t>
            </w:r>
            <w:r>
              <w:rPr>
                <w:rFonts w:hint="eastAsia" w:ascii="宋体" w:hAnsi="宋体" w:eastAsia="宋体"/>
                <w:color w:val="auto"/>
                <w:sz w:val="24"/>
                <w:szCs w:val="24"/>
                <w:highlight w:val="none"/>
              </w:rPr>
              <w:t>5</w:t>
            </w:r>
          </w:p>
        </w:tc>
        <w:tc>
          <w:tcPr>
            <w:tcW w:w="3677" w:type="dxa"/>
            <w:noWrap w:val="0"/>
            <w:vAlign w:val="center"/>
          </w:tcPr>
          <w:p w14:paraId="34DD917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投标报价的其他要求</w:t>
            </w:r>
          </w:p>
        </w:tc>
        <w:tc>
          <w:tcPr>
            <w:tcW w:w="6110" w:type="dxa"/>
            <w:noWrap w:val="0"/>
            <w:vAlign w:val="center"/>
          </w:tcPr>
          <w:p w14:paraId="4E20C514">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按要求填写投标报价表。投标报价以元为单位，保留两位小数，第三位小数四舍五入。</w:t>
            </w:r>
          </w:p>
        </w:tc>
      </w:tr>
      <w:tr w14:paraId="315A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E00C90D">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3.3.1</w:t>
            </w:r>
          </w:p>
        </w:tc>
        <w:tc>
          <w:tcPr>
            <w:tcW w:w="3677" w:type="dxa"/>
            <w:noWrap w:val="0"/>
            <w:vAlign w:val="center"/>
          </w:tcPr>
          <w:p w14:paraId="1ACACE2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投标有效期</w:t>
            </w:r>
          </w:p>
        </w:tc>
        <w:tc>
          <w:tcPr>
            <w:tcW w:w="6110" w:type="dxa"/>
            <w:noWrap w:val="0"/>
            <w:vAlign w:val="center"/>
          </w:tcPr>
          <w:p w14:paraId="64BA2403">
            <w:pPr>
              <w:shd w:val="clear" w:color="auto" w:fill="auto"/>
              <w:spacing w:line="400" w:lineRule="exact"/>
              <w:rPr>
                <w:rFonts w:ascii="宋体" w:hAnsi="宋体" w:eastAsia="宋体"/>
                <w:color w:val="auto"/>
                <w:sz w:val="24"/>
                <w:szCs w:val="24"/>
                <w:highlight w:val="none"/>
              </w:rPr>
            </w:pPr>
            <w:bookmarkStart w:id="9" w:name="_Toc300834946"/>
            <w:bookmarkStart w:id="10" w:name="_Toc384308207"/>
            <w:bookmarkStart w:id="11" w:name="_Toc352691470"/>
            <w:bookmarkStart w:id="12" w:name="_Toc361508582"/>
            <w:bookmarkStart w:id="13" w:name="_Toc1789"/>
            <w:bookmarkStart w:id="14" w:name="_Toc369531512"/>
            <w:r>
              <w:rPr>
                <w:rFonts w:hint="eastAsia" w:ascii="宋体" w:hAnsi="宋体" w:eastAsia="宋体"/>
                <w:color w:val="auto"/>
                <w:sz w:val="24"/>
                <w:szCs w:val="24"/>
                <w:highlight w:val="none"/>
                <w:u w:val="single"/>
              </w:rPr>
              <w:t>180</w:t>
            </w:r>
            <w:r>
              <w:rPr>
                <w:rFonts w:hint="eastAsia" w:ascii="宋体" w:hAnsi="宋体" w:eastAsia="宋体"/>
                <w:color w:val="auto"/>
                <w:sz w:val="24"/>
                <w:szCs w:val="24"/>
                <w:highlight w:val="none"/>
              </w:rPr>
              <w:t>日历天（从投标截止之日算起）。</w:t>
            </w:r>
          </w:p>
        </w:tc>
      </w:tr>
      <w:tr w14:paraId="50C2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FF3C43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3.4.</w:t>
            </w:r>
            <w:bookmarkEnd w:id="9"/>
            <w:bookmarkEnd w:id="10"/>
            <w:bookmarkEnd w:id="11"/>
            <w:bookmarkEnd w:id="12"/>
            <w:bookmarkEnd w:id="13"/>
            <w:bookmarkEnd w:id="14"/>
            <w:r>
              <w:rPr>
                <w:rFonts w:ascii="宋体" w:hAnsi="宋体" w:eastAsia="宋体"/>
                <w:color w:val="auto"/>
                <w:sz w:val="24"/>
                <w:szCs w:val="24"/>
                <w:highlight w:val="none"/>
              </w:rPr>
              <w:t>1</w:t>
            </w:r>
          </w:p>
        </w:tc>
        <w:tc>
          <w:tcPr>
            <w:tcW w:w="3677" w:type="dxa"/>
            <w:noWrap w:val="0"/>
            <w:vAlign w:val="center"/>
          </w:tcPr>
          <w:p w14:paraId="6C3D16B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投标保证金</w:t>
            </w:r>
          </w:p>
        </w:tc>
        <w:tc>
          <w:tcPr>
            <w:tcW w:w="6110" w:type="dxa"/>
            <w:noWrap w:val="0"/>
            <w:vAlign w:val="center"/>
          </w:tcPr>
          <w:p w14:paraId="34D4CB53">
            <w:pPr>
              <w:shd w:val="clear" w:color="auto" w:fill="auto"/>
              <w:rPr>
                <w:rFonts w:ascii="宋体" w:hAnsi="宋体" w:eastAsia="宋体"/>
                <w:color w:val="auto"/>
                <w:szCs w:val="24"/>
                <w:highlight w:val="none"/>
              </w:rPr>
            </w:pPr>
            <w:r>
              <w:rPr>
                <w:rFonts w:hint="eastAsia" w:ascii="宋体" w:hAnsi="宋体" w:cs="宋体"/>
                <w:color w:val="auto"/>
                <w:sz w:val="24"/>
                <w:szCs w:val="24"/>
                <w:highlight w:val="none"/>
                <w:u w:val="single"/>
                <w:lang w:val="en-US" w:eastAsia="zh-CN"/>
              </w:rPr>
              <w:t>不</w:t>
            </w:r>
            <w:r>
              <w:rPr>
                <w:rFonts w:hint="eastAsia" w:ascii="宋体" w:hAnsi="宋体" w:cs="宋体"/>
                <w:color w:val="auto"/>
                <w:sz w:val="24"/>
                <w:szCs w:val="24"/>
                <w:highlight w:val="none"/>
                <w:u w:val="single"/>
              </w:rPr>
              <w:t>要求投标人递交投标保证金：</w:t>
            </w:r>
          </w:p>
        </w:tc>
      </w:tr>
      <w:tr w14:paraId="715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3CBA548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3.4.4</w:t>
            </w:r>
          </w:p>
        </w:tc>
        <w:tc>
          <w:tcPr>
            <w:tcW w:w="3677" w:type="dxa"/>
            <w:noWrap w:val="0"/>
            <w:vAlign w:val="center"/>
          </w:tcPr>
          <w:p w14:paraId="2E675964">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其他可以不予退还投标保证金的情形</w:t>
            </w:r>
          </w:p>
        </w:tc>
        <w:tc>
          <w:tcPr>
            <w:tcW w:w="6110" w:type="dxa"/>
            <w:noWrap w:val="0"/>
            <w:vAlign w:val="center"/>
          </w:tcPr>
          <w:p w14:paraId="2B8ED729">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p>
        </w:tc>
      </w:tr>
      <w:tr w14:paraId="1277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6D09219">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3.5</w:t>
            </w:r>
          </w:p>
        </w:tc>
        <w:tc>
          <w:tcPr>
            <w:tcW w:w="3677" w:type="dxa"/>
            <w:noWrap w:val="0"/>
            <w:vAlign w:val="center"/>
          </w:tcPr>
          <w:p w14:paraId="31BE249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资格审查资料的特殊要求</w:t>
            </w:r>
          </w:p>
        </w:tc>
        <w:tc>
          <w:tcPr>
            <w:tcW w:w="6110" w:type="dxa"/>
            <w:noWrap w:val="0"/>
            <w:vAlign w:val="center"/>
          </w:tcPr>
          <w:p w14:paraId="6485B2A7">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■无</w:t>
            </w:r>
          </w:p>
          <w:p w14:paraId="0535DE99">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□有，具体要求：</w:t>
            </w:r>
          </w:p>
        </w:tc>
      </w:tr>
      <w:tr w14:paraId="33AE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3E17483A">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3.5.2</w:t>
            </w:r>
          </w:p>
        </w:tc>
        <w:tc>
          <w:tcPr>
            <w:tcW w:w="3677" w:type="dxa"/>
            <w:noWrap w:val="0"/>
            <w:vAlign w:val="center"/>
          </w:tcPr>
          <w:p w14:paraId="07C5FDC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近年财务状况的年份要求</w:t>
            </w:r>
          </w:p>
        </w:tc>
        <w:tc>
          <w:tcPr>
            <w:tcW w:w="6110" w:type="dxa"/>
            <w:noWrap w:val="0"/>
            <w:vAlign w:val="center"/>
          </w:tcPr>
          <w:p w14:paraId="11E1D4EA">
            <w:pPr>
              <w:shd w:val="clear" w:color="auto" w:fill="auto"/>
              <w:spacing w:line="400" w:lineRule="exact"/>
              <w:ind w:left="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w:t>
            </w:r>
          </w:p>
        </w:tc>
      </w:tr>
      <w:tr w14:paraId="20FF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2606D41">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3.5.3</w:t>
            </w:r>
          </w:p>
        </w:tc>
        <w:tc>
          <w:tcPr>
            <w:tcW w:w="3677" w:type="dxa"/>
            <w:noWrap w:val="0"/>
            <w:vAlign w:val="center"/>
          </w:tcPr>
          <w:p w14:paraId="5E10529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近年完成的类似项目情况</w:t>
            </w:r>
            <w:r>
              <w:rPr>
                <w:rFonts w:hint="eastAsia" w:ascii="宋体" w:hAnsi="宋体" w:eastAsia="宋体"/>
                <w:color w:val="auto"/>
                <w:sz w:val="24"/>
                <w:szCs w:val="24"/>
                <w:highlight w:val="none"/>
              </w:rPr>
              <w:t>的</w:t>
            </w:r>
            <w:r>
              <w:rPr>
                <w:rFonts w:ascii="宋体" w:hAnsi="宋体" w:eastAsia="宋体"/>
                <w:color w:val="auto"/>
                <w:sz w:val="24"/>
                <w:szCs w:val="24"/>
                <w:highlight w:val="none"/>
              </w:rPr>
              <w:t>时间要求</w:t>
            </w:r>
          </w:p>
        </w:tc>
        <w:tc>
          <w:tcPr>
            <w:tcW w:w="6110" w:type="dxa"/>
            <w:noWrap w:val="0"/>
            <w:vAlign w:val="center"/>
          </w:tcPr>
          <w:p w14:paraId="41C28900">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p>
        </w:tc>
      </w:tr>
      <w:tr w14:paraId="2DE5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09651F23">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3.5.5</w:t>
            </w:r>
          </w:p>
        </w:tc>
        <w:tc>
          <w:tcPr>
            <w:tcW w:w="3677" w:type="dxa"/>
            <w:noWrap w:val="0"/>
            <w:vAlign w:val="center"/>
          </w:tcPr>
          <w:p w14:paraId="17FAB61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近年发生的诉讼及仲裁情况的时间要求</w:t>
            </w:r>
          </w:p>
        </w:tc>
        <w:tc>
          <w:tcPr>
            <w:tcW w:w="6110" w:type="dxa"/>
            <w:noWrap w:val="0"/>
            <w:vAlign w:val="center"/>
          </w:tcPr>
          <w:p w14:paraId="4F2A2858">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p>
        </w:tc>
      </w:tr>
      <w:tr w14:paraId="3F00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F032139">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3.6.1</w:t>
            </w:r>
          </w:p>
        </w:tc>
        <w:tc>
          <w:tcPr>
            <w:tcW w:w="3677" w:type="dxa"/>
            <w:noWrap w:val="0"/>
            <w:vAlign w:val="center"/>
          </w:tcPr>
          <w:p w14:paraId="65E014F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是否允许递交备选投标方案</w:t>
            </w:r>
          </w:p>
        </w:tc>
        <w:tc>
          <w:tcPr>
            <w:tcW w:w="6110" w:type="dxa"/>
            <w:noWrap w:val="0"/>
            <w:vAlign w:val="center"/>
          </w:tcPr>
          <w:p w14:paraId="00925362">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■不允许</w:t>
            </w:r>
          </w:p>
          <w:p w14:paraId="35280A10">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□允许</w:t>
            </w:r>
          </w:p>
        </w:tc>
      </w:tr>
      <w:tr w14:paraId="6642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C2C74DC">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3.7.3（B）</w:t>
            </w:r>
          </w:p>
        </w:tc>
        <w:tc>
          <w:tcPr>
            <w:tcW w:w="3677" w:type="dxa"/>
            <w:noWrap w:val="0"/>
            <w:vAlign w:val="center"/>
          </w:tcPr>
          <w:p w14:paraId="0D28021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投标文件所附证书证件要求</w:t>
            </w:r>
          </w:p>
        </w:tc>
        <w:tc>
          <w:tcPr>
            <w:tcW w:w="6110" w:type="dxa"/>
            <w:noWrap w:val="0"/>
            <w:vAlign w:val="center"/>
          </w:tcPr>
          <w:p w14:paraId="653362F0">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证书证件需为原件清晰扫描件，并采用单位数字证书，按照招标文件要求在相应位置加盖电子印章。</w:t>
            </w:r>
          </w:p>
        </w:tc>
      </w:tr>
      <w:tr w14:paraId="0062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3CA17CE">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3.7.3（B）</w:t>
            </w:r>
          </w:p>
        </w:tc>
        <w:tc>
          <w:tcPr>
            <w:tcW w:w="3677" w:type="dxa"/>
            <w:noWrap w:val="0"/>
            <w:vAlign w:val="center"/>
          </w:tcPr>
          <w:p w14:paraId="4461BF94">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投标文件签字或盖章要求</w:t>
            </w:r>
          </w:p>
        </w:tc>
        <w:tc>
          <w:tcPr>
            <w:tcW w:w="6110" w:type="dxa"/>
            <w:noWrap w:val="0"/>
            <w:vAlign w:val="center"/>
          </w:tcPr>
          <w:p w14:paraId="6A992874">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eastAsia="宋体"/>
                <w:color w:val="auto"/>
                <w:sz w:val="24"/>
                <w:szCs w:val="24"/>
                <w:highlight w:val="none"/>
              </w:rPr>
              <w:t>应加盖个人电子印章或在线下完成后扫描上传。按照交易平台关于全流程电子化项目的相关指南进行操作。</w:t>
            </w:r>
          </w:p>
        </w:tc>
      </w:tr>
      <w:tr w14:paraId="03CF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77C4D3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4.1.1（B）</w:t>
            </w:r>
          </w:p>
        </w:tc>
        <w:tc>
          <w:tcPr>
            <w:tcW w:w="3677" w:type="dxa"/>
            <w:noWrap w:val="0"/>
            <w:vAlign w:val="center"/>
          </w:tcPr>
          <w:p w14:paraId="12AE3CF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投标文件加密要求</w:t>
            </w:r>
          </w:p>
        </w:tc>
        <w:tc>
          <w:tcPr>
            <w:tcW w:w="6110" w:type="dxa"/>
            <w:noWrap w:val="0"/>
            <w:vAlign w:val="center"/>
          </w:tcPr>
          <w:p w14:paraId="33E19165">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 1 \* GB3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①</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t>网上递交的电子投标文件须进行加密。具体</w:t>
            </w:r>
            <w:r>
              <w:rPr>
                <w:rFonts w:hint="eastAsia" w:ascii="宋体" w:hAnsi="宋体" w:eastAsia="宋体"/>
                <w:color w:val="auto"/>
                <w:sz w:val="24"/>
                <w:szCs w:val="24"/>
                <w:highlight w:val="none"/>
              </w:rPr>
              <w:t>按照交易平台关于全流程电子化项目的相关指南进行操作。</w:t>
            </w:r>
          </w:p>
          <w:p w14:paraId="24C4B042">
            <w:pPr>
              <w:shd w:val="clear" w:color="auto" w:fill="auto"/>
              <w:spacing w:line="400" w:lineRule="exact"/>
              <w:ind w:left="1"/>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 2 \* GB3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②</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t>未按要求</w:t>
            </w:r>
            <w:r>
              <w:rPr>
                <w:rFonts w:hint="eastAsia" w:ascii="宋体" w:hAnsi="宋体" w:eastAsia="宋体"/>
                <w:color w:val="auto"/>
                <w:sz w:val="24"/>
                <w:szCs w:val="24"/>
                <w:highlight w:val="none"/>
              </w:rPr>
              <w:t>加密</w:t>
            </w:r>
            <w:r>
              <w:rPr>
                <w:rFonts w:ascii="宋体" w:hAnsi="宋体" w:eastAsia="宋体"/>
                <w:color w:val="auto"/>
                <w:sz w:val="24"/>
                <w:szCs w:val="24"/>
                <w:highlight w:val="none"/>
              </w:rPr>
              <w:t>的投标文件，招标人将予以拒收。</w:t>
            </w:r>
          </w:p>
        </w:tc>
      </w:tr>
      <w:tr w14:paraId="0CF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6ED1740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4.1.2</w:t>
            </w:r>
          </w:p>
        </w:tc>
        <w:tc>
          <w:tcPr>
            <w:tcW w:w="3677" w:type="dxa"/>
            <w:noWrap w:val="0"/>
            <w:vAlign w:val="center"/>
          </w:tcPr>
          <w:p w14:paraId="1C07A2F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封套上应载明的信息</w:t>
            </w:r>
          </w:p>
        </w:tc>
        <w:tc>
          <w:tcPr>
            <w:tcW w:w="6110" w:type="dxa"/>
            <w:noWrap w:val="0"/>
            <w:vAlign w:val="center"/>
          </w:tcPr>
          <w:p w14:paraId="0CBBAD83">
            <w:pPr>
              <w:pStyle w:val="9"/>
              <w:shd w:val="clear" w:color="auto" w:fill="auto"/>
              <w:topLinePunct/>
              <w:spacing w:line="400" w:lineRule="exact"/>
              <w:rPr>
                <w:rFonts w:ascii="宋体" w:hAnsi="宋体" w:eastAsia="宋体"/>
                <w:color w:val="auto"/>
                <w:szCs w:val="24"/>
                <w:highlight w:val="none"/>
              </w:rPr>
            </w:pPr>
            <w:r>
              <w:rPr>
                <w:rFonts w:hint="eastAsia" w:ascii="宋体" w:hAnsi="宋体" w:eastAsia="宋体"/>
                <w:color w:val="auto"/>
                <w:szCs w:val="24"/>
                <w:highlight w:val="none"/>
              </w:rPr>
              <w:t>/</w:t>
            </w:r>
          </w:p>
        </w:tc>
      </w:tr>
      <w:tr w14:paraId="5DF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865222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4.2.1</w:t>
            </w:r>
          </w:p>
        </w:tc>
        <w:tc>
          <w:tcPr>
            <w:tcW w:w="3677" w:type="dxa"/>
            <w:noWrap w:val="0"/>
            <w:vAlign w:val="center"/>
          </w:tcPr>
          <w:p w14:paraId="1C9683A0">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投标截止时间</w:t>
            </w:r>
          </w:p>
        </w:tc>
        <w:tc>
          <w:tcPr>
            <w:tcW w:w="6110" w:type="dxa"/>
            <w:noWrap w:val="0"/>
            <w:vAlign w:val="center"/>
          </w:tcPr>
          <w:p w14:paraId="0D8C6F3C">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20</w:t>
            </w:r>
            <w:r>
              <w:rPr>
                <w:rFonts w:hint="eastAsia" w:ascii="宋体" w:hAnsi="宋体" w:eastAsia="宋体"/>
                <w:color w:val="auto"/>
                <w:sz w:val="24"/>
                <w:szCs w:val="24"/>
                <w:highlight w:val="none"/>
              </w:rPr>
              <w:t>25年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时</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分（北京时间）</w:t>
            </w:r>
          </w:p>
        </w:tc>
      </w:tr>
      <w:tr w14:paraId="0665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331395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4.2.3</w:t>
            </w:r>
          </w:p>
        </w:tc>
        <w:tc>
          <w:tcPr>
            <w:tcW w:w="3677" w:type="dxa"/>
            <w:noWrap w:val="0"/>
            <w:vAlign w:val="center"/>
          </w:tcPr>
          <w:p w14:paraId="7D2EE12E">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投标文件是否退还</w:t>
            </w:r>
          </w:p>
        </w:tc>
        <w:tc>
          <w:tcPr>
            <w:tcW w:w="6110" w:type="dxa"/>
            <w:noWrap w:val="0"/>
            <w:vAlign w:val="center"/>
          </w:tcPr>
          <w:p w14:paraId="161D6DC1">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■否</w:t>
            </w:r>
          </w:p>
          <w:p w14:paraId="55454D3E">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□是，退还时间：</w:t>
            </w:r>
          </w:p>
        </w:tc>
      </w:tr>
      <w:tr w14:paraId="7678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594F0E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6.1.1</w:t>
            </w:r>
          </w:p>
        </w:tc>
        <w:tc>
          <w:tcPr>
            <w:tcW w:w="3677" w:type="dxa"/>
            <w:noWrap w:val="0"/>
            <w:vAlign w:val="center"/>
          </w:tcPr>
          <w:p w14:paraId="000D61C5">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评标委员会的组建</w:t>
            </w:r>
          </w:p>
        </w:tc>
        <w:tc>
          <w:tcPr>
            <w:tcW w:w="6110" w:type="dxa"/>
            <w:noWrap w:val="0"/>
            <w:vAlign w:val="center"/>
          </w:tcPr>
          <w:p w14:paraId="39149B55">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评标委员会由招标人依法组建。</w:t>
            </w:r>
          </w:p>
        </w:tc>
      </w:tr>
      <w:tr w14:paraId="25E6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3B722413">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6.3.2</w:t>
            </w:r>
          </w:p>
        </w:tc>
        <w:tc>
          <w:tcPr>
            <w:tcW w:w="3677" w:type="dxa"/>
            <w:noWrap w:val="0"/>
            <w:vAlign w:val="center"/>
          </w:tcPr>
          <w:p w14:paraId="284E3187">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评标委员会推荐中标候选人的人数</w:t>
            </w:r>
          </w:p>
        </w:tc>
        <w:tc>
          <w:tcPr>
            <w:tcW w:w="6110" w:type="dxa"/>
            <w:noWrap w:val="0"/>
            <w:vAlign w:val="center"/>
          </w:tcPr>
          <w:p w14:paraId="2CCD91D6">
            <w:pPr>
              <w:shd w:val="clear" w:color="auto" w:fill="auto"/>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3人</w:t>
            </w:r>
          </w:p>
        </w:tc>
      </w:tr>
      <w:tr w14:paraId="38F2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CB65CF1">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7.1</w:t>
            </w:r>
          </w:p>
        </w:tc>
        <w:tc>
          <w:tcPr>
            <w:tcW w:w="3677" w:type="dxa"/>
            <w:noWrap w:val="0"/>
            <w:vAlign w:val="center"/>
          </w:tcPr>
          <w:p w14:paraId="029C913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中标候选人公示媒介及期限</w:t>
            </w:r>
          </w:p>
        </w:tc>
        <w:tc>
          <w:tcPr>
            <w:tcW w:w="6110" w:type="dxa"/>
            <w:noWrap w:val="0"/>
            <w:vAlign w:val="center"/>
          </w:tcPr>
          <w:p w14:paraId="73F667D6">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公示媒介：中国招标投标公共服务平台、广州公共资源交易网</w:t>
            </w:r>
          </w:p>
          <w:p w14:paraId="33273178">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公示期限：3日</w:t>
            </w:r>
          </w:p>
        </w:tc>
      </w:tr>
      <w:tr w14:paraId="63D3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01661EE">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7.4</w:t>
            </w:r>
          </w:p>
        </w:tc>
        <w:tc>
          <w:tcPr>
            <w:tcW w:w="3677" w:type="dxa"/>
            <w:noWrap w:val="0"/>
            <w:vAlign w:val="center"/>
          </w:tcPr>
          <w:p w14:paraId="48620D4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是否授权评标委员会确定中标人</w:t>
            </w:r>
          </w:p>
        </w:tc>
        <w:tc>
          <w:tcPr>
            <w:tcW w:w="6110" w:type="dxa"/>
            <w:noWrap w:val="0"/>
            <w:vAlign w:val="center"/>
          </w:tcPr>
          <w:p w14:paraId="7B78047E">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□是</w:t>
            </w:r>
          </w:p>
          <w:p w14:paraId="662D302A">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■否</w:t>
            </w:r>
          </w:p>
        </w:tc>
      </w:tr>
      <w:tr w14:paraId="238E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0A15B08">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7.6.1</w:t>
            </w:r>
          </w:p>
        </w:tc>
        <w:tc>
          <w:tcPr>
            <w:tcW w:w="3677" w:type="dxa"/>
            <w:noWrap w:val="0"/>
            <w:vAlign w:val="center"/>
          </w:tcPr>
          <w:p w14:paraId="432752A0">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履约保证金</w:t>
            </w:r>
          </w:p>
        </w:tc>
        <w:tc>
          <w:tcPr>
            <w:tcW w:w="6110" w:type="dxa"/>
            <w:noWrap w:val="0"/>
            <w:vAlign w:val="center"/>
          </w:tcPr>
          <w:p w14:paraId="00030BDD">
            <w:pPr>
              <w:pStyle w:val="9"/>
              <w:shd w:val="clear" w:color="auto" w:fill="auto"/>
              <w:topLinePunct/>
              <w:spacing w:line="400" w:lineRule="exact"/>
              <w:rPr>
                <w:rFonts w:ascii="宋体" w:hAnsi="宋体" w:eastAsia="宋体"/>
                <w:color w:val="auto"/>
                <w:szCs w:val="24"/>
                <w:highlight w:val="none"/>
              </w:rPr>
            </w:pPr>
            <w:r>
              <w:rPr>
                <w:rFonts w:hint="eastAsia" w:ascii="宋体" w:hAnsi="宋体" w:eastAsia="宋体"/>
                <w:color w:val="auto"/>
                <w:szCs w:val="24"/>
                <w:highlight w:val="none"/>
              </w:rPr>
              <w:t>是否要求中标人提交履约担保：</w:t>
            </w:r>
          </w:p>
          <w:p w14:paraId="76600F03">
            <w:pPr>
              <w:pStyle w:val="9"/>
              <w:shd w:val="clear" w:color="auto" w:fill="auto"/>
              <w:topLinePunct/>
              <w:spacing w:line="400" w:lineRule="exact"/>
              <w:rPr>
                <w:rFonts w:ascii="宋体" w:hAnsi="宋体" w:eastAsia="宋体"/>
                <w:color w:val="auto"/>
                <w:szCs w:val="24"/>
                <w:highlight w:val="none"/>
              </w:rPr>
            </w:pPr>
            <w:r>
              <w:rPr>
                <w:rFonts w:ascii="宋体" w:hAnsi="宋体" w:eastAsia="宋体"/>
                <w:color w:val="auto"/>
                <w:szCs w:val="24"/>
                <w:highlight w:val="none"/>
              </w:rPr>
              <w:t>□</w:t>
            </w:r>
            <w:r>
              <w:rPr>
                <w:rFonts w:hint="eastAsia" w:ascii="宋体" w:hAnsi="宋体" w:eastAsia="宋体"/>
                <w:color w:val="auto"/>
                <w:szCs w:val="24"/>
                <w:highlight w:val="none"/>
              </w:rPr>
              <w:t>要求，履约担保的形式：</w:t>
            </w:r>
            <w:r>
              <w:rPr>
                <w:rFonts w:hint="eastAsia" w:ascii="宋体" w:hAnsi="宋体" w:eastAsia="宋体"/>
                <w:color w:val="auto"/>
                <w:szCs w:val="24"/>
                <w:highlight w:val="none"/>
                <w:u w:val="single"/>
              </w:rPr>
              <w:t>按合同要求</w:t>
            </w:r>
          </w:p>
          <w:p w14:paraId="2BA202A4">
            <w:pPr>
              <w:pStyle w:val="9"/>
              <w:shd w:val="clear" w:color="auto" w:fill="auto"/>
              <w:topLinePunct/>
              <w:spacing w:line="400" w:lineRule="exact"/>
              <w:rPr>
                <w:rFonts w:ascii="宋体" w:hAnsi="宋体" w:eastAsia="宋体"/>
                <w:color w:val="auto"/>
                <w:szCs w:val="24"/>
                <w:highlight w:val="none"/>
              </w:rPr>
            </w:pPr>
            <w:r>
              <w:rPr>
                <w:rFonts w:hint="eastAsia" w:ascii="宋体" w:hAnsi="宋体" w:eastAsia="宋体"/>
                <w:color w:val="auto"/>
                <w:szCs w:val="24"/>
                <w:highlight w:val="none"/>
              </w:rPr>
              <w:t>■不要求</w:t>
            </w:r>
          </w:p>
        </w:tc>
      </w:tr>
      <w:tr w14:paraId="3A76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552336F">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9</w:t>
            </w:r>
          </w:p>
        </w:tc>
        <w:tc>
          <w:tcPr>
            <w:tcW w:w="3677" w:type="dxa"/>
            <w:noWrap w:val="0"/>
            <w:vAlign w:val="center"/>
          </w:tcPr>
          <w:p w14:paraId="02A5C382">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是否采用电子招标投标</w:t>
            </w:r>
          </w:p>
        </w:tc>
        <w:tc>
          <w:tcPr>
            <w:tcW w:w="6110" w:type="dxa"/>
            <w:noWrap w:val="0"/>
            <w:vAlign w:val="center"/>
          </w:tcPr>
          <w:p w14:paraId="7E9D4D5F">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□否</w:t>
            </w:r>
          </w:p>
          <w:p w14:paraId="3A93C1FF">
            <w:pPr>
              <w:shd w:val="clear" w:color="auto" w:fill="auto"/>
              <w:spacing w:line="400" w:lineRule="exact"/>
              <w:rPr>
                <w:rFonts w:ascii="宋体" w:hAnsi="宋体" w:eastAsia="宋体"/>
                <w:color w:val="auto"/>
                <w:sz w:val="24"/>
                <w:szCs w:val="24"/>
                <w:highlight w:val="none"/>
              </w:rPr>
            </w:pPr>
            <w:r>
              <w:rPr>
                <w:rFonts w:ascii="宋体" w:hAnsi="宋体" w:eastAsia="宋体"/>
                <w:color w:val="auto"/>
                <w:sz w:val="24"/>
                <w:szCs w:val="24"/>
                <w:highlight w:val="none"/>
              </w:rPr>
              <w:t>■是，具体要求：</w:t>
            </w:r>
          </w:p>
          <w:p w14:paraId="53F0EACE">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1、具体按照交易平台关于全流程电子化项目的相关指南进行操作。</w:t>
            </w:r>
          </w:p>
          <w:p w14:paraId="5AC08E62">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2、现场提交投标文件光盘备用</w:t>
            </w:r>
          </w:p>
          <w:p w14:paraId="0B552878">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投标人将按照交易平台关于全流程电子化项目的相关指南进行操作。制作的非加密的电子投标文件刻入光盘（1份），在规定的时间、地点提交备用光盘。刻录好的投标文件光盘密封在密封袋中，并在封口处加盖投标人单位公章。现场递交的投标文件（光盘）不得加密。光盘（投标文件）无法读取或导入的，则视为未提交备用投标文件光盘。如果投标人没有按规定通过交易平台网上递交电子投标文件的，不再接受现场提交的光盘。</w:t>
            </w:r>
          </w:p>
          <w:p w14:paraId="47554EE4">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3、补救方案</w:t>
            </w:r>
          </w:p>
          <w:p w14:paraId="0F93A884">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（1）投标文件解密失败的补救方案：</w:t>
            </w:r>
          </w:p>
          <w:p w14:paraId="0FAD9728">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在规定时间内，因投标人之外原因导致的电子投标文件解密失败，在开标现场读取光盘内容，继续开标程序。评标委员会对其投标文件的评审以光盘内容为准。</w:t>
            </w:r>
          </w:p>
          <w:p w14:paraId="305A7373">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（2）评标时突发情况的补救方案</w:t>
            </w:r>
          </w:p>
          <w:p w14:paraId="49CE8799">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若遇不可抗力发生（如：网络瘫痪、服务器损坏、交易系统故障短期无法恢复等因素），由评标委员会开启现场递交的全部投标文件光盘，并按光盘内容进行评审。</w:t>
            </w:r>
          </w:p>
          <w:p w14:paraId="36DA33C9">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（3）除发生上述情况外，开标评标均以投标人通过交易平台网上递交的电子投标文件为准。</w:t>
            </w:r>
          </w:p>
        </w:tc>
      </w:tr>
      <w:tr w14:paraId="68EA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52CAE0C6">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10</w:t>
            </w:r>
          </w:p>
        </w:tc>
        <w:tc>
          <w:tcPr>
            <w:tcW w:w="9787" w:type="dxa"/>
            <w:gridSpan w:val="2"/>
            <w:noWrap w:val="0"/>
            <w:vAlign w:val="center"/>
          </w:tcPr>
          <w:p w14:paraId="2AD4C99B">
            <w:pPr>
              <w:shd w:val="clear" w:color="auto" w:fill="auto"/>
              <w:spacing w:line="4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需要补充的其他内容</w:t>
            </w:r>
          </w:p>
        </w:tc>
      </w:tr>
      <w:tr w14:paraId="476D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7683B743">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10.1</w:t>
            </w:r>
          </w:p>
        </w:tc>
        <w:tc>
          <w:tcPr>
            <w:tcW w:w="3677" w:type="dxa"/>
            <w:noWrap w:val="0"/>
            <w:vAlign w:val="center"/>
          </w:tcPr>
          <w:p w14:paraId="3A521D12">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特别提示</w:t>
            </w:r>
          </w:p>
        </w:tc>
        <w:tc>
          <w:tcPr>
            <w:tcW w:w="6110" w:type="dxa"/>
            <w:noWrap w:val="0"/>
            <w:vAlign w:val="center"/>
          </w:tcPr>
          <w:p w14:paraId="08035A61">
            <w:pPr>
              <w:shd w:val="clear" w:color="auto" w:fill="auto"/>
              <w:spacing w:line="400" w:lineRule="exact"/>
              <w:ind w:left="1"/>
              <w:rPr>
                <w:rFonts w:ascii="宋体" w:hAnsi="宋体" w:eastAsia="宋体"/>
                <w:color w:val="auto"/>
                <w:sz w:val="24"/>
                <w:szCs w:val="24"/>
                <w:highlight w:val="none"/>
              </w:rPr>
            </w:pPr>
            <w:r>
              <w:rPr>
                <w:rFonts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一年</w:t>
            </w:r>
            <w:r>
              <w:rPr>
                <w:rFonts w:ascii="宋体" w:hAnsi="宋体" w:eastAsia="宋体" w:cs="宋体"/>
                <w:color w:val="auto"/>
                <w:sz w:val="24"/>
                <w:szCs w:val="24"/>
                <w:highlight w:val="none"/>
                <w:u w:val="single"/>
              </w:rPr>
              <w:t>内</w:t>
            </w:r>
            <w:r>
              <w:rPr>
                <w:rFonts w:ascii="宋体" w:hAnsi="宋体" w:eastAsia="宋体" w:cs="宋体"/>
                <w:color w:val="auto"/>
                <w:sz w:val="24"/>
                <w:szCs w:val="24"/>
                <w:highlight w:val="none"/>
              </w:rPr>
              <w:t>参与我单位后续工程</w:t>
            </w:r>
            <w:r>
              <w:rPr>
                <w:rFonts w:hint="eastAsia" w:ascii="宋体" w:hAnsi="宋体" w:eastAsia="宋体" w:cs="宋体"/>
                <w:color w:val="auto"/>
                <w:sz w:val="24"/>
                <w:szCs w:val="24"/>
                <w:highlight w:val="none"/>
              </w:rPr>
              <w:t>项目</w:t>
            </w:r>
            <w:r>
              <w:rPr>
                <w:rFonts w:hint="eastAsia" w:ascii="宋体" w:hAnsi="宋体" w:eastAsia="宋体"/>
                <w:color w:val="auto"/>
                <w:sz w:val="24"/>
                <w:szCs w:val="24"/>
                <w:highlight w:val="none"/>
              </w:rPr>
              <w:t>投标：</w:t>
            </w:r>
          </w:p>
          <w:p w14:paraId="7F480F22">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（1）将中标项目转包或者违法分包的；</w:t>
            </w:r>
          </w:p>
          <w:p w14:paraId="4244269A">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（2）在中标项目中不执行质量、安全生产相关规定的，造成质量或安全事故的；</w:t>
            </w:r>
          </w:p>
          <w:p w14:paraId="3D47AC60">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（3）存在围标或串标情形的；</w:t>
            </w:r>
          </w:p>
          <w:p w14:paraId="063A1023">
            <w:pPr>
              <w:shd w:val="clear" w:color="auto" w:fill="auto"/>
              <w:spacing w:line="400" w:lineRule="exact"/>
              <w:ind w:left="1"/>
              <w:rPr>
                <w:rFonts w:ascii="宋体" w:hAnsi="宋体" w:eastAsia="宋体" w:cs="宋体"/>
                <w:color w:val="auto"/>
                <w:sz w:val="24"/>
                <w:szCs w:val="24"/>
                <w:highlight w:val="none"/>
              </w:rPr>
            </w:pPr>
            <w:r>
              <w:rPr>
                <w:rFonts w:hint="eastAsia" w:ascii="宋体" w:hAnsi="宋体" w:eastAsia="宋体"/>
                <w:color w:val="auto"/>
                <w:sz w:val="24"/>
                <w:szCs w:val="24"/>
                <w:highlight w:val="none"/>
              </w:rPr>
              <w:t>（4）存在弄虚作假骗取中标情形的；</w:t>
            </w:r>
          </w:p>
        </w:tc>
      </w:tr>
      <w:tr w14:paraId="1C6A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BB48EBA">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10.2</w:t>
            </w:r>
          </w:p>
        </w:tc>
        <w:tc>
          <w:tcPr>
            <w:tcW w:w="3677" w:type="dxa"/>
            <w:noWrap w:val="0"/>
            <w:vAlign w:val="center"/>
          </w:tcPr>
          <w:p w14:paraId="04F5160D">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送达</w:t>
            </w:r>
          </w:p>
        </w:tc>
        <w:tc>
          <w:tcPr>
            <w:tcW w:w="6110" w:type="dxa"/>
            <w:noWrap w:val="0"/>
            <w:vAlign w:val="center"/>
          </w:tcPr>
          <w:p w14:paraId="599DCC9A">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r>
      <w:tr w14:paraId="360A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1C0CFCC4">
            <w:pPr>
              <w:shd w:val="clear" w:color="auto" w:fill="auto"/>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10.3</w:t>
            </w:r>
          </w:p>
        </w:tc>
        <w:tc>
          <w:tcPr>
            <w:tcW w:w="3677" w:type="dxa"/>
            <w:noWrap w:val="0"/>
            <w:vAlign w:val="center"/>
          </w:tcPr>
          <w:p w14:paraId="0237C7A7">
            <w:pPr>
              <w:shd w:val="clear" w:color="auto" w:fill="auto"/>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招标失败的情形</w:t>
            </w:r>
          </w:p>
        </w:tc>
        <w:tc>
          <w:tcPr>
            <w:tcW w:w="6110" w:type="dxa"/>
            <w:noWrap w:val="0"/>
            <w:vAlign w:val="center"/>
          </w:tcPr>
          <w:p w14:paraId="504290B7">
            <w:pPr>
              <w:shd w:val="clear" w:color="auto" w:fill="auto"/>
              <w:spacing w:line="400" w:lineRule="exact"/>
              <w:ind w:left="1"/>
              <w:rPr>
                <w:rFonts w:ascii="宋体" w:hAnsi="宋体" w:eastAsia="宋体"/>
                <w:color w:val="auto"/>
                <w:sz w:val="24"/>
                <w:szCs w:val="24"/>
                <w:highlight w:val="none"/>
              </w:rPr>
            </w:pPr>
            <w:r>
              <w:rPr>
                <w:rFonts w:hint="eastAsia" w:ascii="宋体" w:hAnsi="宋体" w:eastAsia="宋体"/>
                <w:color w:val="auto"/>
                <w:sz w:val="24"/>
                <w:szCs w:val="24"/>
                <w:highlight w:val="none"/>
              </w:rPr>
              <w:t>本项目采用资格后审方式，满足资格审查合格条件或通过初步评审的投标申请人不足</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名时为招标失败。招标人分析招标失败原因，修正招标方案，重新组织招标。</w:t>
            </w:r>
          </w:p>
        </w:tc>
      </w:tr>
      <w:tr w14:paraId="1AB0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val="0"/>
            <w:vAlign w:val="center"/>
          </w:tcPr>
          <w:p w14:paraId="46348F99">
            <w:pPr>
              <w:shd w:val="clear" w:color="auto" w:fill="auto"/>
              <w:spacing w:line="400" w:lineRule="exact"/>
              <w:jc w:val="center"/>
              <w:rPr>
                <w:rFonts w:ascii="宋体" w:hAnsi="宋体" w:eastAsia="宋体"/>
                <w:color w:val="auto"/>
                <w:sz w:val="24"/>
                <w:szCs w:val="24"/>
                <w:highlight w:val="none"/>
              </w:rPr>
            </w:pPr>
          </w:p>
        </w:tc>
        <w:tc>
          <w:tcPr>
            <w:tcW w:w="3677" w:type="dxa"/>
            <w:noWrap w:val="0"/>
            <w:vAlign w:val="center"/>
          </w:tcPr>
          <w:p w14:paraId="0317F122">
            <w:pPr>
              <w:shd w:val="clear" w:color="auto" w:fill="auto"/>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6110" w:type="dxa"/>
            <w:noWrap w:val="0"/>
            <w:vAlign w:val="center"/>
          </w:tcPr>
          <w:p w14:paraId="2B9FE7E7">
            <w:pPr>
              <w:shd w:val="clear" w:color="auto" w:fill="auto"/>
              <w:spacing w:line="400" w:lineRule="exact"/>
              <w:ind w:left="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交易服务费：由中标人向广州公共资源交易中心缴纳，交易服务费为中标金额的0.09%（具体收费标准可登录广州公共资源交易中心网站查阅，如有变更以广州公共资源交易中心最新发布的标准为准），交易服务费支付后还必须去广州公共资源交易中心开具发票。</w:t>
            </w:r>
          </w:p>
          <w:p w14:paraId="759230B0">
            <w:pPr>
              <w:shd w:val="clear" w:color="auto" w:fill="auto"/>
              <w:spacing w:line="400" w:lineRule="exact"/>
              <w:ind w:left="1"/>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招标代理服务费：由中标人在领取《中标通知书》前一次性向招标代理机构缴纳，招标代理服务费以中标总金额为计算基数参照《招标代理服务收费管理暂行办法》（计价格【2002】1980号）的标准（货物类）下浮60%再乘以（1-0.1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）计算招标代理服务费。</w:t>
            </w:r>
          </w:p>
        </w:tc>
      </w:tr>
    </w:tbl>
    <w:p w14:paraId="660EFF26">
      <w:pPr>
        <w:shd w:val="clear" w:color="auto" w:fill="auto"/>
        <w:rPr>
          <w:rFonts w:ascii="Times New Roman" w:hAnsi="Times New Roman"/>
          <w:color w:val="auto"/>
          <w:highlight w:val="none"/>
        </w:rPr>
      </w:pPr>
      <w:bookmarkStart w:id="15" w:name="_Toc68765056"/>
      <w:bookmarkStart w:id="16" w:name="_Toc491883095"/>
      <w:r>
        <w:rPr>
          <w:rFonts w:ascii="Times New Roman" w:hAnsi="Times New Roman"/>
          <w:color w:val="auto"/>
          <w:highlight w:val="none"/>
        </w:rPr>
        <w:br w:type="page"/>
      </w:r>
    </w:p>
    <w:p w14:paraId="1A8CDE10">
      <w:pPr>
        <w:pStyle w:val="4"/>
        <w:shd w:val="clear" w:color="auto" w:fill="auto"/>
        <w:rPr>
          <w:rFonts w:ascii="Times New Roman" w:hAnsi="Times New Roman"/>
          <w:color w:val="auto"/>
          <w:highlight w:val="none"/>
        </w:rPr>
      </w:pPr>
      <w:r>
        <w:rPr>
          <w:rFonts w:ascii="Times New Roman" w:hAnsi="Times New Roman"/>
          <w:color w:val="auto"/>
          <w:highlight w:val="none"/>
        </w:rPr>
        <w:t>1. 总则</w:t>
      </w:r>
      <w:bookmarkEnd w:id="15"/>
      <w:bookmarkEnd w:id="16"/>
    </w:p>
    <w:p w14:paraId="13D202E5">
      <w:pPr>
        <w:pStyle w:val="5"/>
        <w:shd w:val="clear" w:color="auto" w:fill="auto"/>
        <w:spacing w:line="240" w:lineRule="auto"/>
        <w:ind w:firstLine="137"/>
        <w:rPr>
          <w:rFonts w:ascii="Times New Roman" w:hAnsi="Times New Roman"/>
          <w:color w:val="auto"/>
          <w:highlight w:val="none"/>
        </w:rPr>
      </w:pPr>
      <w:bookmarkStart w:id="17" w:name="_Toc491883096"/>
      <w:bookmarkStart w:id="18" w:name="_Toc68765057"/>
      <w:r>
        <w:rPr>
          <w:rFonts w:ascii="Times New Roman" w:hAnsi="Times New Roman"/>
          <w:color w:val="auto"/>
          <w:highlight w:val="none"/>
        </w:rPr>
        <w:t>1.1 招标项目概况</w:t>
      </w:r>
      <w:bookmarkEnd w:id="17"/>
      <w:bookmarkEnd w:id="18"/>
    </w:p>
    <w:p w14:paraId="74A4D0D1">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1.1.1根据《中华人民共和国招标投标法》、《中华人民共和国招标投标法实施条例》等有关法律、法规和规章的规定，本招标项目已具备招标条件，现对</w:t>
      </w:r>
      <w:r>
        <w:rPr>
          <w:rFonts w:hint="eastAsia" w:ascii="Times New Roman" w:hAnsi="Times New Roman"/>
          <w:color w:val="auto"/>
          <w:sz w:val="24"/>
          <w:szCs w:val="24"/>
          <w:highlight w:val="none"/>
        </w:rPr>
        <w:t>本项目</w:t>
      </w:r>
      <w:r>
        <w:rPr>
          <w:rFonts w:ascii="Times New Roman" w:hAnsi="Times New Roman"/>
          <w:color w:val="auto"/>
          <w:sz w:val="24"/>
          <w:szCs w:val="24"/>
          <w:highlight w:val="none"/>
        </w:rPr>
        <w:t>采购进行招标。</w:t>
      </w:r>
    </w:p>
    <w:p w14:paraId="225D02A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 招标人：见投标人须知前附表。</w:t>
      </w:r>
    </w:p>
    <w:p w14:paraId="6487E14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 招标代理机构：见投标人须知前附表。</w:t>
      </w:r>
    </w:p>
    <w:p w14:paraId="1273A902">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1.1.4招标项目名称：见投标人须知前附表。</w:t>
      </w:r>
    </w:p>
    <w:p w14:paraId="2142561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1.1.5工程项目名称：即招标项目所属的工程建设项目，见投标人须知前附表。</w:t>
      </w:r>
    </w:p>
    <w:p w14:paraId="4982B5C1">
      <w:pPr>
        <w:pStyle w:val="5"/>
        <w:shd w:val="clear" w:color="auto" w:fill="auto"/>
        <w:spacing w:line="240" w:lineRule="auto"/>
        <w:ind w:firstLine="137"/>
        <w:rPr>
          <w:rFonts w:ascii="Times New Roman" w:hAnsi="Times New Roman"/>
          <w:color w:val="auto"/>
          <w:highlight w:val="none"/>
        </w:rPr>
      </w:pPr>
      <w:bookmarkStart w:id="19" w:name="_Toc68765058"/>
      <w:bookmarkStart w:id="20" w:name="_Toc491883097"/>
      <w:r>
        <w:rPr>
          <w:rFonts w:ascii="Times New Roman" w:hAnsi="Times New Roman"/>
          <w:color w:val="auto"/>
          <w:highlight w:val="none"/>
        </w:rPr>
        <w:t>1.2 招标项目的资金来源和落实情况</w:t>
      </w:r>
      <w:bookmarkEnd w:id="19"/>
      <w:bookmarkEnd w:id="20"/>
    </w:p>
    <w:p w14:paraId="2E7FA24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 资金来源及比例：见投标人须知前附表。</w:t>
      </w:r>
    </w:p>
    <w:p w14:paraId="4A28210E">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1.2.2 资金落实情况：见投标人须知前附表。</w:t>
      </w:r>
    </w:p>
    <w:p w14:paraId="48EF8990">
      <w:pPr>
        <w:pStyle w:val="5"/>
        <w:shd w:val="clear" w:color="auto" w:fill="auto"/>
        <w:spacing w:line="240" w:lineRule="auto"/>
        <w:ind w:firstLine="137"/>
        <w:rPr>
          <w:rFonts w:ascii="Times New Roman" w:hAnsi="Times New Roman"/>
          <w:color w:val="auto"/>
          <w:highlight w:val="none"/>
        </w:rPr>
      </w:pPr>
      <w:bookmarkStart w:id="21" w:name="_Toc491883098"/>
      <w:bookmarkStart w:id="22" w:name="_Toc68765059"/>
      <w:r>
        <w:rPr>
          <w:rFonts w:ascii="Times New Roman" w:hAnsi="Times New Roman"/>
          <w:color w:val="auto"/>
          <w:highlight w:val="none"/>
        </w:rPr>
        <w:t>1.3招标范围、交货期、交货地点和</w:t>
      </w:r>
      <w:r>
        <w:rPr>
          <w:rFonts w:hint="eastAsia" w:ascii="Times New Roman" w:hAnsi="Times New Roman"/>
          <w:color w:val="auto"/>
          <w:highlight w:val="none"/>
        </w:rPr>
        <w:t>技术性能指标</w:t>
      </w:r>
      <w:bookmarkEnd w:id="21"/>
      <w:bookmarkEnd w:id="22"/>
    </w:p>
    <w:p w14:paraId="0732C84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 招标范围：见投标人须知前附表。</w:t>
      </w:r>
    </w:p>
    <w:p w14:paraId="60F4731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1.3.2 </w:t>
      </w:r>
      <w:r>
        <w:rPr>
          <w:rFonts w:hint="eastAsia" w:ascii="Times New Roman" w:hAnsi="Times New Roman"/>
          <w:color w:val="auto"/>
          <w:sz w:val="24"/>
          <w:szCs w:val="24"/>
          <w:highlight w:val="none"/>
        </w:rPr>
        <w:t>交货期</w:t>
      </w:r>
      <w:r>
        <w:rPr>
          <w:rFonts w:ascii="Times New Roman" w:hAnsi="Times New Roman"/>
          <w:color w:val="auto"/>
          <w:sz w:val="24"/>
          <w:szCs w:val="24"/>
          <w:highlight w:val="none"/>
        </w:rPr>
        <w:t>：见投标人须知前附表。</w:t>
      </w:r>
    </w:p>
    <w:p w14:paraId="200D6B6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1.3.3</w:t>
      </w:r>
      <w:r>
        <w:rPr>
          <w:rFonts w:hint="eastAsia" w:ascii="Times New Roman" w:hAnsi="Times New Roman"/>
          <w:color w:val="auto"/>
          <w:sz w:val="24"/>
          <w:szCs w:val="24"/>
          <w:highlight w:val="none"/>
        </w:rPr>
        <w:t>交货</w:t>
      </w:r>
      <w:r>
        <w:rPr>
          <w:rFonts w:ascii="Times New Roman" w:hAnsi="Times New Roman"/>
          <w:color w:val="auto"/>
          <w:sz w:val="24"/>
          <w:szCs w:val="24"/>
          <w:highlight w:val="none"/>
        </w:rPr>
        <w:t>地点：见投标人须知前附表。</w:t>
      </w:r>
    </w:p>
    <w:p w14:paraId="632CEF51">
      <w:pPr>
        <w:pStyle w:val="5"/>
        <w:shd w:val="clear" w:color="auto" w:fill="auto"/>
        <w:spacing w:line="240" w:lineRule="auto"/>
        <w:ind w:firstLine="137"/>
        <w:rPr>
          <w:rFonts w:ascii="Times New Roman" w:hAnsi="Times New Roman"/>
          <w:color w:val="auto"/>
          <w:highlight w:val="none"/>
        </w:rPr>
      </w:pPr>
      <w:bookmarkStart w:id="23" w:name="_Toc491883099"/>
      <w:bookmarkStart w:id="24" w:name="_Toc68765060"/>
      <w:r>
        <w:rPr>
          <w:rFonts w:ascii="Times New Roman" w:hAnsi="Times New Roman"/>
          <w:color w:val="auto"/>
          <w:highlight w:val="none"/>
        </w:rPr>
        <w:t>1.4投标人资格要求</w:t>
      </w:r>
      <w:bookmarkEnd w:id="23"/>
      <w:bookmarkEnd w:id="24"/>
    </w:p>
    <w:p w14:paraId="0E0610D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1.4.1</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投标人应具备承担本招标项目资质条件、能力和信誉：</w:t>
      </w:r>
    </w:p>
    <w:p w14:paraId="55262720">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（1）资质要求：见投标人须知前附表；</w:t>
      </w:r>
    </w:p>
    <w:p w14:paraId="3C7C7AF4">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（2）财务要求：见投标人须知前附表；</w:t>
      </w:r>
    </w:p>
    <w:p w14:paraId="4AE65140">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（3）业绩要求：见投标人须知前附表；</w:t>
      </w:r>
    </w:p>
    <w:p w14:paraId="37D4D11A">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（4）信誉要求：见投标人须知前附表；</w:t>
      </w:r>
    </w:p>
    <w:p w14:paraId="5E82FF39">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（5）其他要求：见投标人须知前附表</w:t>
      </w:r>
      <w:r>
        <w:rPr>
          <w:rFonts w:hint="eastAsia" w:ascii="Times New Roman" w:hAnsi="Times New Roman"/>
          <w:color w:val="auto"/>
          <w:sz w:val="24"/>
          <w:szCs w:val="24"/>
          <w:highlight w:val="none"/>
        </w:rPr>
        <w:t>。</w:t>
      </w:r>
    </w:p>
    <w:p w14:paraId="54EB885A">
      <w:pPr>
        <w:shd w:val="clear" w:color="auto" w:fill="auto"/>
        <w:spacing w:line="400" w:lineRule="exact"/>
        <w:ind w:left="1" w:firstLine="360" w:firstLineChars="15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（6）联合体投标：</w:t>
      </w:r>
      <w:r>
        <w:rPr>
          <w:rFonts w:ascii="Times New Roman" w:hAnsi="Times New Roman"/>
          <w:color w:val="auto"/>
          <w:sz w:val="24"/>
          <w:szCs w:val="24"/>
          <w:highlight w:val="none"/>
        </w:rPr>
        <w:t>见投标人须知前附表</w:t>
      </w:r>
      <w:r>
        <w:rPr>
          <w:rFonts w:hint="eastAsia" w:ascii="Times New Roman" w:hAnsi="Times New Roman"/>
          <w:color w:val="auto"/>
          <w:sz w:val="24"/>
          <w:szCs w:val="24"/>
          <w:highlight w:val="none"/>
        </w:rPr>
        <w:t>。</w:t>
      </w:r>
    </w:p>
    <w:p w14:paraId="44B6C66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1.4.2投标人须知前附表规定接受联合体投标的，联合体除应符合本章第1.4.1项和投标人须知前附表的要求外，还应遵守以下规定：</w:t>
      </w:r>
    </w:p>
    <w:p w14:paraId="63E2715F">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（1）联合体各方应按招标文件提供的格式签订联合体协议书，明确联合体牵头人和各方权利义务，并承诺就中标项目向招标人承担连带责任；</w:t>
      </w:r>
    </w:p>
    <w:p w14:paraId="138FD921">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（2）由同一专业的单位组成的联合体，按照资质等级较低的单位确定资质等级；</w:t>
      </w:r>
    </w:p>
    <w:p w14:paraId="4A6B96DC">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（3）联合体各方不得再以自己名义单独或参加其他联合体在本招标项目中投标，否则各相关投标均无效。</w:t>
      </w:r>
    </w:p>
    <w:p w14:paraId="7E1C521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 投标人不得存在下列情形之一：</w:t>
      </w:r>
    </w:p>
    <w:p w14:paraId="4473DE4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（1）与招标人存在利害关系且可能影响招标公正性；</w:t>
      </w:r>
    </w:p>
    <w:p w14:paraId="0899BCB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（2）与本招标项目的其他投标人为同一个单位负责人；</w:t>
      </w:r>
    </w:p>
    <w:p w14:paraId="6BC5351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（3）与本招标项目的其他投标人存在控股、管理关系；</w:t>
      </w:r>
    </w:p>
    <w:p w14:paraId="48055BAC">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）为本招标项目提供过设计、编制技术规范和其他文件的咨询服务；</w:t>
      </w:r>
    </w:p>
    <w:p w14:paraId="3111B4C8">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）为本工程项目的相关监理人，或者与本工程项目的相关监理人存在隶属关系或者其他利害关系；</w:t>
      </w:r>
    </w:p>
    <w:p w14:paraId="1169136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）为本招标项目的代建人；</w:t>
      </w:r>
    </w:p>
    <w:p w14:paraId="7335F0D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）为本招标项目的招标代理机构；</w:t>
      </w:r>
    </w:p>
    <w:p w14:paraId="7C2375A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）与本招标项目的监理人或代建人或招标代理机构同为一个法定代表人；</w:t>
      </w:r>
    </w:p>
    <w:p w14:paraId="03648F2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）与本招标项目的监理人或代建人或招标代理机构存在控股或参股关系；</w:t>
      </w:r>
    </w:p>
    <w:p w14:paraId="0AD9F9E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）被依法暂停或者取消投标资格；</w:t>
      </w:r>
    </w:p>
    <w:p w14:paraId="5C689C81">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）被责令停产停业、暂扣或者吊销许可证、暂扣或者吊销执照；</w:t>
      </w:r>
    </w:p>
    <w:p w14:paraId="2BFCDE3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）进入清算程序，或被宣告破产，或其他丧失履约能力的情形；</w:t>
      </w:r>
    </w:p>
    <w:p w14:paraId="4A6171A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）在最近三年内发生重大产品质量问题（以相关行业主管部门的行政处罚决定或司法机关出具的有关法律文书为准）；</w:t>
      </w:r>
    </w:p>
    <w:p w14:paraId="65791E1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）被工商行政管理机关在全国企业信用信息公示系统中列入严重违法失信企业名单；</w:t>
      </w:r>
    </w:p>
    <w:p w14:paraId="372BA1F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）被最高人民法院在“信用中国”网站（www.creditchina.gov.cn）或各级信用信息共享平台中列入失信被执行人名单；</w:t>
      </w:r>
    </w:p>
    <w:p w14:paraId="7FFD3957">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）在近三年内投标人或其法定代表人、拟委任的项目负责人有行贿犯罪行为的；</w:t>
      </w:r>
    </w:p>
    <w:p w14:paraId="0D96E41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）法律法规或投标人须知前附表规定的其他情形。</w:t>
      </w:r>
    </w:p>
    <w:p w14:paraId="0E6F560D">
      <w:pPr>
        <w:pStyle w:val="5"/>
        <w:shd w:val="clear" w:color="auto" w:fill="auto"/>
        <w:spacing w:line="240" w:lineRule="auto"/>
        <w:ind w:firstLine="137"/>
        <w:rPr>
          <w:rFonts w:ascii="Times New Roman" w:hAnsi="Times New Roman"/>
          <w:color w:val="auto"/>
          <w:highlight w:val="none"/>
        </w:rPr>
      </w:pPr>
      <w:bookmarkStart w:id="25" w:name="_Toc68765061"/>
      <w:bookmarkStart w:id="26" w:name="_Toc491883100"/>
      <w:r>
        <w:rPr>
          <w:rFonts w:ascii="Times New Roman" w:hAnsi="Times New Roman"/>
          <w:color w:val="auto"/>
          <w:highlight w:val="none"/>
        </w:rPr>
        <w:t xml:space="preserve">1.5 </w:t>
      </w:r>
      <w:r>
        <w:rPr>
          <w:rFonts w:hint="eastAsia" w:ascii="Times New Roman" w:hAnsi="Times New Roman"/>
          <w:color w:val="auto"/>
          <w:highlight w:val="none"/>
        </w:rPr>
        <w:t>费用承担</w:t>
      </w:r>
      <w:bookmarkEnd w:id="25"/>
      <w:bookmarkEnd w:id="26"/>
    </w:p>
    <w:p w14:paraId="4170887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投标人准备和参加投标活动发生的费用自理。</w:t>
      </w:r>
    </w:p>
    <w:p w14:paraId="649A837F">
      <w:pPr>
        <w:pStyle w:val="5"/>
        <w:shd w:val="clear" w:color="auto" w:fill="auto"/>
        <w:spacing w:line="240" w:lineRule="auto"/>
        <w:ind w:firstLine="137"/>
        <w:rPr>
          <w:rFonts w:ascii="Times New Roman" w:hAnsi="Times New Roman"/>
          <w:color w:val="auto"/>
          <w:highlight w:val="none"/>
        </w:rPr>
      </w:pPr>
      <w:bookmarkStart w:id="27" w:name="_Toc491883101"/>
      <w:bookmarkStart w:id="28" w:name="_Toc68765062"/>
      <w:r>
        <w:rPr>
          <w:rFonts w:ascii="Times New Roman" w:hAnsi="Times New Roman"/>
          <w:color w:val="auto"/>
          <w:highlight w:val="none"/>
        </w:rPr>
        <w:t>1.6</w:t>
      </w:r>
      <w:r>
        <w:rPr>
          <w:rFonts w:hint="eastAsia" w:ascii="Times New Roman" w:hAnsi="Times New Roman"/>
          <w:color w:val="auto"/>
          <w:highlight w:val="none"/>
        </w:rPr>
        <w:t>保密</w:t>
      </w:r>
      <w:bookmarkEnd w:id="27"/>
      <w:bookmarkEnd w:id="28"/>
    </w:p>
    <w:p w14:paraId="728F3A6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参与招标投标活动的各方应对招标文件和投标文件中</w:t>
      </w:r>
      <w:bookmarkStart w:id="29" w:name="_Toc361508589"/>
      <w:bookmarkStart w:id="30" w:name="_Toc5326"/>
      <w:bookmarkStart w:id="31" w:name="_Toc384308214"/>
      <w:bookmarkStart w:id="32" w:name="_Toc369531519"/>
      <w:bookmarkStart w:id="33" w:name="_Toc352691477"/>
      <w:r>
        <w:rPr>
          <w:rFonts w:ascii="Times New Roman" w:hAnsi="Times New Roman"/>
          <w:color w:val="auto"/>
          <w:sz w:val="24"/>
          <w:szCs w:val="24"/>
          <w:highlight w:val="none"/>
        </w:rPr>
        <w:t>的商业和技术等秘密保密</w:t>
      </w:r>
      <w:bookmarkEnd w:id="29"/>
      <w:bookmarkEnd w:id="30"/>
      <w:bookmarkEnd w:id="31"/>
      <w:bookmarkEnd w:id="32"/>
      <w:bookmarkEnd w:id="33"/>
      <w:r>
        <w:rPr>
          <w:rFonts w:ascii="Times New Roman" w:hAnsi="Times New Roman"/>
          <w:color w:val="auto"/>
          <w:sz w:val="24"/>
          <w:szCs w:val="24"/>
          <w:highlight w:val="none"/>
        </w:rPr>
        <w:t>，否则应承担相应的法律责任。</w:t>
      </w:r>
    </w:p>
    <w:p w14:paraId="5ECE8DCF">
      <w:pPr>
        <w:pStyle w:val="5"/>
        <w:shd w:val="clear" w:color="auto" w:fill="auto"/>
        <w:spacing w:line="240" w:lineRule="auto"/>
        <w:ind w:firstLine="137"/>
        <w:rPr>
          <w:rFonts w:ascii="Times New Roman" w:hAnsi="Times New Roman"/>
          <w:color w:val="auto"/>
          <w:highlight w:val="none"/>
        </w:rPr>
      </w:pPr>
      <w:bookmarkStart w:id="34" w:name="_Toc491883102"/>
      <w:bookmarkStart w:id="35" w:name="_Toc68765063"/>
      <w:r>
        <w:rPr>
          <w:rFonts w:ascii="Times New Roman" w:hAnsi="Times New Roman"/>
          <w:color w:val="auto"/>
          <w:highlight w:val="none"/>
        </w:rPr>
        <w:t>1.7 语言文字</w:t>
      </w:r>
      <w:bookmarkEnd w:id="34"/>
      <w:bookmarkEnd w:id="35"/>
    </w:p>
    <w:p w14:paraId="591FB0C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招标投标文件使用的语言文字为中文。专用术语使用外文的，应附有中文注释。</w:t>
      </w:r>
    </w:p>
    <w:p w14:paraId="509A9255">
      <w:pPr>
        <w:pStyle w:val="5"/>
        <w:shd w:val="clear" w:color="auto" w:fill="auto"/>
        <w:spacing w:line="240" w:lineRule="auto"/>
        <w:ind w:firstLine="137"/>
        <w:rPr>
          <w:rFonts w:ascii="Times New Roman" w:hAnsi="Times New Roman"/>
          <w:color w:val="auto"/>
          <w:highlight w:val="none"/>
        </w:rPr>
      </w:pPr>
      <w:bookmarkStart w:id="36" w:name="_Toc68765064"/>
      <w:bookmarkStart w:id="37" w:name="_Toc491883103"/>
      <w:r>
        <w:rPr>
          <w:rFonts w:ascii="Times New Roman" w:hAnsi="Times New Roman"/>
          <w:color w:val="auto"/>
          <w:highlight w:val="none"/>
        </w:rPr>
        <w:t>1.8计量单位</w:t>
      </w:r>
      <w:bookmarkEnd w:id="36"/>
      <w:bookmarkEnd w:id="37"/>
    </w:p>
    <w:p w14:paraId="118D52EC">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所有计量均采用中华人民共和国法定计量单位。</w:t>
      </w:r>
    </w:p>
    <w:p w14:paraId="54158522">
      <w:pPr>
        <w:pStyle w:val="5"/>
        <w:shd w:val="clear" w:color="auto" w:fill="auto"/>
        <w:spacing w:line="240" w:lineRule="auto"/>
        <w:ind w:firstLine="137"/>
        <w:rPr>
          <w:rFonts w:ascii="Times New Roman" w:hAnsi="Times New Roman"/>
          <w:color w:val="auto"/>
          <w:highlight w:val="none"/>
        </w:rPr>
      </w:pPr>
      <w:bookmarkStart w:id="38" w:name="_Toc491883104"/>
      <w:bookmarkStart w:id="39" w:name="_Toc68765065"/>
      <w:bookmarkStart w:id="40" w:name="_Toc485303284"/>
      <w:r>
        <w:rPr>
          <w:rFonts w:ascii="Times New Roman" w:hAnsi="Times New Roman"/>
          <w:color w:val="auto"/>
          <w:highlight w:val="none"/>
        </w:rPr>
        <w:t>1.9投标预备会</w:t>
      </w:r>
      <w:bookmarkEnd w:id="38"/>
      <w:bookmarkEnd w:id="39"/>
      <w:bookmarkEnd w:id="40"/>
    </w:p>
    <w:p w14:paraId="694B870E">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.1 投标人须知前附表规定召开投标预备会的，招标人按投标人须知前附表规定的时间和地点召开投标预备会，澄清投标人提出的问题。</w:t>
      </w:r>
    </w:p>
    <w:p w14:paraId="0715FC32">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.2 投标人应按投标人须知前附表规定的时间和形式将提出的问题送达招标人，以便招标人在会议期间澄清。</w:t>
      </w:r>
    </w:p>
    <w:p w14:paraId="2E59450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.3 投标预备会后，招标人将对投标人所提问题的澄清，以投标人须知前附表规定的形式通知所有的投标人。该澄清内容为招标文件的组成部分。</w:t>
      </w:r>
    </w:p>
    <w:p w14:paraId="59088B6E">
      <w:pPr>
        <w:pStyle w:val="5"/>
        <w:shd w:val="clear" w:color="auto" w:fill="auto"/>
        <w:spacing w:line="240" w:lineRule="auto"/>
        <w:ind w:firstLine="137"/>
        <w:rPr>
          <w:rFonts w:ascii="Times New Roman" w:hAnsi="Times New Roman"/>
          <w:color w:val="auto"/>
          <w:highlight w:val="none"/>
        </w:rPr>
      </w:pPr>
      <w:bookmarkStart w:id="41" w:name="_Toc68765066"/>
      <w:bookmarkStart w:id="42" w:name="_Toc491883105"/>
      <w:r>
        <w:rPr>
          <w:rFonts w:ascii="Times New Roman" w:hAnsi="Times New Roman"/>
          <w:color w:val="auto"/>
          <w:highlight w:val="none"/>
        </w:rPr>
        <w:t>1.10 分包</w:t>
      </w:r>
      <w:bookmarkEnd w:id="41"/>
      <w:bookmarkEnd w:id="42"/>
    </w:p>
    <w:p w14:paraId="07EED75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1.10.1 投标人拟在中标后将中标项目的非主体</w:t>
      </w:r>
      <w:r>
        <w:rPr>
          <w:rFonts w:hint="eastAsia" w:ascii="Times New Roman" w:hAnsi="Times New Roman"/>
          <w:color w:val="auto"/>
          <w:sz w:val="24"/>
          <w:szCs w:val="24"/>
          <w:highlight w:val="none"/>
        </w:rPr>
        <w:t>内容</w:t>
      </w:r>
      <w:r>
        <w:rPr>
          <w:rFonts w:ascii="Times New Roman" w:hAnsi="Times New Roman"/>
          <w:color w:val="auto"/>
          <w:sz w:val="24"/>
          <w:szCs w:val="24"/>
          <w:highlight w:val="none"/>
        </w:rPr>
        <w:t>进行分包的，应符合投标人须知前附表规定的分包内容、分包金额和资质要求等限制性条件，除投标人须知前附表规定的非主体</w:t>
      </w:r>
      <w:r>
        <w:rPr>
          <w:rFonts w:hint="eastAsia" w:ascii="Times New Roman" w:hAnsi="Times New Roman"/>
          <w:color w:val="auto"/>
          <w:sz w:val="24"/>
          <w:szCs w:val="24"/>
          <w:highlight w:val="none"/>
        </w:rPr>
        <w:t>内容</w:t>
      </w:r>
      <w:r>
        <w:rPr>
          <w:rFonts w:ascii="Times New Roman" w:hAnsi="Times New Roman"/>
          <w:color w:val="auto"/>
          <w:sz w:val="24"/>
          <w:szCs w:val="24"/>
          <w:highlight w:val="none"/>
        </w:rPr>
        <w:t xml:space="preserve">外，其他工作不得分包。 </w:t>
      </w:r>
    </w:p>
    <w:p w14:paraId="640B464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1.10.2中标人不得向他人转让中标项目，接受分包的人不得再次分包。中标人应当就分包项目向招标人负责，接受分包的人就分包项目承担连带责任。</w:t>
      </w:r>
    </w:p>
    <w:p w14:paraId="2B71188C">
      <w:pPr>
        <w:pStyle w:val="5"/>
        <w:shd w:val="clear" w:color="auto" w:fill="auto"/>
        <w:spacing w:line="240" w:lineRule="auto"/>
        <w:ind w:firstLine="137"/>
        <w:rPr>
          <w:rFonts w:ascii="Times New Roman" w:hAnsi="Times New Roman"/>
          <w:color w:val="auto"/>
          <w:highlight w:val="none"/>
        </w:rPr>
      </w:pPr>
      <w:bookmarkStart w:id="43" w:name="_Toc491883106"/>
      <w:bookmarkStart w:id="44" w:name="_Toc68765067"/>
      <w:r>
        <w:rPr>
          <w:rFonts w:ascii="Times New Roman" w:hAnsi="Times New Roman"/>
          <w:color w:val="auto"/>
          <w:highlight w:val="none"/>
        </w:rPr>
        <w:t>1.11响应和偏差</w:t>
      </w:r>
      <w:bookmarkEnd w:id="43"/>
      <w:bookmarkEnd w:id="44"/>
    </w:p>
    <w:p w14:paraId="75EA674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1.11.1投标文件应当对招标文件的实质性要求和条件作出满足性或更有利于招标人的响应，否则，投标人的投标将被否决。实质性要求和条件见投标人须知前附表。</w:t>
      </w:r>
    </w:p>
    <w:p w14:paraId="399305D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1.11.2 投标人应根据招标文件的要求提供投标</w:t>
      </w:r>
      <w:r>
        <w:rPr>
          <w:rFonts w:hint="eastAsia" w:ascii="Times New Roman" w:hAnsi="Times New Roman"/>
          <w:color w:val="auto"/>
          <w:sz w:val="24"/>
          <w:szCs w:val="24"/>
          <w:highlight w:val="none"/>
        </w:rPr>
        <w:t>内容技术性能指标</w:t>
      </w:r>
      <w:r>
        <w:rPr>
          <w:rFonts w:ascii="Times New Roman" w:hAnsi="Times New Roman"/>
          <w:color w:val="auto"/>
          <w:sz w:val="24"/>
          <w:szCs w:val="24"/>
          <w:highlight w:val="none"/>
        </w:rPr>
        <w:t>的详细描述、技术支持资料及</w:t>
      </w:r>
      <w:r>
        <w:rPr>
          <w:rFonts w:hint="eastAsia" w:ascii="Times New Roman" w:hAnsi="Times New Roman"/>
          <w:color w:val="auto"/>
          <w:sz w:val="24"/>
          <w:szCs w:val="24"/>
          <w:highlight w:val="none"/>
        </w:rPr>
        <w:t>技术服务和质保期服务计划等内容以对招标文件作出</w:t>
      </w:r>
      <w:r>
        <w:rPr>
          <w:rFonts w:ascii="Times New Roman" w:hAnsi="Times New Roman"/>
          <w:color w:val="auto"/>
          <w:sz w:val="24"/>
          <w:szCs w:val="24"/>
          <w:highlight w:val="none"/>
        </w:rPr>
        <w:t>响应。</w:t>
      </w:r>
    </w:p>
    <w:p w14:paraId="20D9C94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8B6667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1.11.4 投标人须知前附表规定了可以偏差的范围和最高偏差项数的，偏差应当符合投标人须知前附表规定的偏差范围和最高项数，超出偏差范围和最高偏差项数的投标将被否决。</w:t>
      </w:r>
    </w:p>
    <w:p w14:paraId="3CFDE9D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1.11.5 投标文件对招标文件的全部偏差，均应在投标文件的商务和技术偏差表中列明，除列明的内容外，视为投标人响应招标文件的全部要求。</w:t>
      </w:r>
    </w:p>
    <w:p w14:paraId="21A559D7">
      <w:pPr>
        <w:pStyle w:val="4"/>
        <w:shd w:val="clear" w:color="auto" w:fill="auto"/>
        <w:rPr>
          <w:rFonts w:ascii="Times New Roman" w:hAnsi="Times New Roman"/>
          <w:color w:val="auto"/>
          <w:highlight w:val="none"/>
        </w:rPr>
      </w:pPr>
      <w:bookmarkStart w:id="45" w:name="_Toc68765068"/>
      <w:bookmarkStart w:id="46" w:name="_Toc491883107"/>
      <w:r>
        <w:rPr>
          <w:rFonts w:ascii="Times New Roman" w:hAnsi="Times New Roman"/>
          <w:color w:val="auto"/>
          <w:highlight w:val="none"/>
        </w:rPr>
        <w:t>2. 招标文件</w:t>
      </w:r>
      <w:bookmarkEnd w:id="45"/>
      <w:bookmarkEnd w:id="46"/>
    </w:p>
    <w:p w14:paraId="6AB03A0D">
      <w:pPr>
        <w:pStyle w:val="5"/>
        <w:shd w:val="clear" w:color="auto" w:fill="auto"/>
        <w:spacing w:line="240" w:lineRule="auto"/>
        <w:ind w:firstLine="137"/>
        <w:rPr>
          <w:rFonts w:ascii="Times New Roman" w:hAnsi="Times New Roman"/>
          <w:color w:val="auto"/>
          <w:highlight w:val="none"/>
        </w:rPr>
      </w:pPr>
      <w:bookmarkStart w:id="47" w:name="_Toc491883108"/>
      <w:bookmarkStart w:id="48" w:name="_Toc68765069"/>
      <w:r>
        <w:rPr>
          <w:rFonts w:ascii="Times New Roman" w:hAnsi="Times New Roman"/>
          <w:color w:val="auto"/>
          <w:highlight w:val="none"/>
        </w:rPr>
        <w:t>2.1 招标文件的组成</w:t>
      </w:r>
      <w:bookmarkEnd w:id="47"/>
      <w:bookmarkEnd w:id="48"/>
    </w:p>
    <w:p w14:paraId="60E824D0">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本招标文件包括：</w:t>
      </w:r>
    </w:p>
    <w:p w14:paraId="5B4500CB">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（1）招标公告；</w:t>
      </w:r>
    </w:p>
    <w:p w14:paraId="1601CA7A">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（2）投标人须知；</w:t>
      </w:r>
    </w:p>
    <w:p w14:paraId="54AF4CDE">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（3）评标办法；</w:t>
      </w:r>
    </w:p>
    <w:p w14:paraId="54E391DB">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（4）合同条款及格式；</w:t>
      </w:r>
    </w:p>
    <w:p w14:paraId="395665CF">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color w:val="auto"/>
          <w:sz w:val="24"/>
          <w:szCs w:val="24"/>
          <w:highlight w:val="none"/>
          <w:lang w:val="en-US" w:eastAsia="zh-CN"/>
        </w:rPr>
        <w:t>用户需求书</w:t>
      </w:r>
      <w:r>
        <w:rPr>
          <w:rFonts w:ascii="Times New Roman" w:hAnsi="Times New Roman"/>
          <w:color w:val="auto"/>
          <w:sz w:val="24"/>
          <w:szCs w:val="24"/>
          <w:highlight w:val="none"/>
        </w:rPr>
        <w:t>；</w:t>
      </w:r>
    </w:p>
    <w:p w14:paraId="1F854C1D">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（6）投标文件格式；</w:t>
      </w:r>
    </w:p>
    <w:p w14:paraId="5CA4C387">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（7）投标人须知前附表规定的其他资料。</w:t>
      </w:r>
    </w:p>
    <w:p w14:paraId="0BD93CD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根据本章第1.9款、第2.2款和第2.3款对招标文件所作的澄清、修改，构成招标文件的组成部分。</w:t>
      </w:r>
    </w:p>
    <w:p w14:paraId="5C3949A7">
      <w:pPr>
        <w:pStyle w:val="5"/>
        <w:shd w:val="clear" w:color="auto" w:fill="auto"/>
        <w:spacing w:line="240" w:lineRule="auto"/>
        <w:ind w:firstLine="137"/>
        <w:rPr>
          <w:rFonts w:ascii="Times New Roman" w:hAnsi="Times New Roman"/>
          <w:color w:val="auto"/>
          <w:highlight w:val="none"/>
        </w:rPr>
      </w:pPr>
      <w:bookmarkStart w:id="49" w:name="_Toc491883109"/>
      <w:bookmarkStart w:id="50" w:name="_Toc68765070"/>
      <w:bookmarkStart w:id="51" w:name="_Toc485303289"/>
      <w:bookmarkStart w:id="52" w:name="_Toc300834960"/>
      <w:bookmarkStart w:id="53" w:name="_Toc16623"/>
      <w:bookmarkStart w:id="54" w:name="_Toc144974508"/>
      <w:bookmarkStart w:id="55" w:name="_Toc247513963"/>
      <w:bookmarkStart w:id="56" w:name="_Toc361508595"/>
      <w:bookmarkStart w:id="57" w:name="_Toc384308220"/>
      <w:bookmarkStart w:id="58" w:name="_Toc152042316"/>
      <w:bookmarkStart w:id="59" w:name="_Toc152045540"/>
      <w:bookmarkStart w:id="60" w:name="_Toc352691484"/>
      <w:bookmarkStart w:id="61" w:name="_Toc247527564"/>
      <w:bookmarkStart w:id="62" w:name="_Toc369531526"/>
      <w:r>
        <w:rPr>
          <w:rFonts w:ascii="Times New Roman" w:hAnsi="Times New Roman"/>
          <w:color w:val="auto"/>
          <w:highlight w:val="none"/>
        </w:rPr>
        <w:t>2.2 招标文件的澄清</w:t>
      </w:r>
      <w:bookmarkEnd w:id="49"/>
      <w:bookmarkEnd w:id="50"/>
      <w:bookmarkEnd w:id="51"/>
    </w:p>
    <w:p w14:paraId="53E7C2BC">
      <w:pPr>
        <w:shd w:val="clear" w:color="auto" w:fill="auto"/>
        <w:spacing w:line="400" w:lineRule="exact"/>
        <w:ind w:firstLine="480" w:firstLineChars="200"/>
        <w:rPr>
          <w:rFonts w:ascii="Times New Roman" w:hAnsi="Times New Roman"/>
          <w:color w:val="auto"/>
          <w:sz w:val="24"/>
          <w:szCs w:val="24"/>
          <w:highlight w:val="none"/>
        </w:rPr>
      </w:pPr>
      <w:bookmarkStart w:id="63" w:name="_Toc485303290"/>
      <w:bookmarkStart w:id="64" w:name="_Toc352691479"/>
      <w:r>
        <w:rPr>
          <w:rFonts w:ascii="Times New Roman" w:hAnsi="Times New Roman"/>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9276A2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13B1CE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投标人在收到澄清后，应按投标人须知前附表规定的时间和形式通知招标人，确认已收到该澄清。</w:t>
      </w:r>
    </w:p>
    <w:p w14:paraId="4476BB3E">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除非招标人认为确有必要答复，否则，招标人有权拒绝回复投标人在</w:t>
      </w:r>
      <w:r>
        <w:rPr>
          <w:rFonts w:hint="eastAsia" w:ascii="Times New Roman" w:hAnsi="Times New Roman"/>
          <w:color w:val="auto"/>
          <w:sz w:val="24"/>
          <w:szCs w:val="24"/>
          <w:highlight w:val="none"/>
        </w:rPr>
        <w:t>本章第2.2.1项</w:t>
      </w:r>
      <w:r>
        <w:rPr>
          <w:rFonts w:ascii="Times New Roman" w:hAnsi="Times New Roman"/>
          <w:color w:val="auto"/>
          <w:sz w:val="24"/>
          <w:szCs w:val="24"/>
          <w:highlight w:val="none"/>
        </w:rPr>
        <w:t>规定的时间后的任何澄清要求。</w:t>
      </w:r>
    </w:p>
    <w:p w14:paraId="0BC70C5D">
      <w:pPr>
        <w:pStyle w:val="5"/>
        <w:shd w:val="clear" w:color="auto" w:fill="auto"/>
        <w:spacing w:line="240" w:lineRule="auto"/>
        <w:ind w:firstLine="137"/>
        <w:rPr>
          <w:rFonts w:ascii="Times New Roman" w:hAnsi="Times New Roman"/>
          <w:color w:val="auto"/>
          <w:highlight w:val="none"/>
        </w:rPr>
      </w:pPr>
      <w:bookmarkStart w:id="65" w:name="_Toc68765071"/>
      <w:bookmarkStart w:id="66" w:name="_Toc491883110"/>
      <w:r>
        <w:rPr>
          <w:rFonts w:ascii="Times New Roman" w:hAnsi="Times New Roman"/>
          <w:color w:val="auto"/>
          <w:highlight w:val="none"/>
        </w:rPr>
        <w:t>2.3 招标文件的修</w:t>
      </w:r>
      <w:bookmarkStart w:id="67" w:name="_Toc369531521"/>
      <w:bookmarkStart w:id="68" w:name="_Toc16514"/>
      <w:r>
        <w:rPr>
          <w:rFonts w:ascii="Times New Roman" w:hAnsi="Times New Roman"/>
          <w:color w:val="auto"/>
          <w:highlight w:val="none"/>
        </w:rPr>
        <w:t>改</w:t>
      </w:r>
      <w:bookmarkEnd w:id="63"/>
      <w:bookmarkEnd w:id="65"/>
      <w:bookmarkEnd w:id="66"/>
    </w:p>
    <w:bookmarkEnd w:id="64"/>
    <w:bookmarkEnd w:id="67"/>
    <w:bookmarkEnd w:id="68"/>
    <w:p w14:paraId="7C47F91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2645A3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2.3.2 投标人收到修改内容</w:t>
      </w:r>
      <w:bookmarkStart w:id="69" w:name="_Toc369531524"/>
      <w:bookmarkStart w:id="70" w:name="_Toc247527562"/>
      <w:bookmarkStart w:id="71" w:name="_Toc247513961"/>
      <w:bookmarkStart w:id="72" w:name="_Toc361508593"/>
      <w:bookmarkStart w:id="73" w:name="_Toc152045538"/>
      <w:bookmarkStart w:id="74" w:name="_Toc300834958"/>
      <w:bookmarkStart w:id="75" w:name="_Toc352691482"/>
      <w:bookmarkStart w:id="76" w:name="_Toc24632"/>
      <w:bookmarkStart w:id="77" w:name="_Toc152042314"/>
      <w:bookmarkStart w:id="78" w:name="_Toc144974506"/>
      <w:bookmarkStart w:id="79" w:name="_Toc384308218"/>
      <w:r>
        <w:rPr>
          <w:rFonts w:ascii="Times New Roman" w:hAnsi="Times New Roman"/>
          <w:color w:val="auto"/>
          <w:sz w:val="24"/>
          <w:szCs w:val="24"/>
          <w:highlight w:val="none"/>
        </w:rPr>
        <w:t>后，</w:t>
      </w:r>
      <w:bookmarkEnd w:id="69"/>
      <w:bookmarkEnd w:id="70"/>
      <w:bookmarkEnd w:id="71"/>
      <w:bookmarkEnd w:id="72"/>
      <w:bookmarkEnd w:id="73"/>
      <w:bookmarkEnd w:id="74"/>
      <w:bookmarkEnd w:id="75"/>
      <w:bookmarkEnd w:id="76"/>
      <w:bookmarkEnd w:id="77"/>
      <w:bookmarkEnd w:id="78"/>
      <w:bookmarkEnd w:id="79"/>
      <w:r>
        <w:rPr>
          <w:rFonts w:ascii="Times New Roman" w:hAnsi="Times New Roman"/>
          <w:color w:val="auto"/>
          <w:sz w:val="24"/>
          <w:szCs w:val="24"/>
          <w:highlight w:val="none"/>
        </w:rPr>
        <w:t>应按投标人须知前附表规定的时间和形式通知招标人，确认已收到该修改。</w:t>
      </w:r>
    </w:p>
    <w:p w14:paraId="53DE2C53">
      <w:pPr>
        <w:pStyle w:val="5"/>
        <w:shd w:val="clear" w:color="auto" w:fill="auto"/>
        <w:spacing w:line="240" w:lineRule="auto"/>
        <w:ind w:firstLine="137"/>
        <w:rPr>
          <w:rFonts w:ascii="Times New Roman" w:hAnsi="Times New Roman"/>
          <w:color w:val="auto"/>
          <w:highlight w:val="none"/>
        </w:rPr>
      </w:pPr>
      <w:bookmarkStart w:id="80" w:name="_Toc491883111"/>
      <w:bookmarkStart w:id="81" w:name="_Toc68765072"/>
      <w:r>
        <w:rPr>
          <w:rFonts w:ascii="Times New Roman" w:hAnsi="Times New Roman"/>
          <w:color w:val="auto"/>
          <w:highlight w:val="none"/>
        </w:rPr>
        <w:t>2.</w:t>
      </w:r>
      <w:bookmarkEnd w:id="52"/>
      <w:bookmarkEnd w:id="53"/>
      <w:bookmarkEnd w:id="54"/>
      <w:bookmarkEnd w:id="55"/>
      <w:bookmarkEnd w:id="56"/>
      <w:bookmarkEnd w:id="57"/>
      <w:bookmarkEnd w:id="58"/>
      <w:bookmarkEnd w:id="59"/>
      <w:bookmarkEnd w:id="60"/>
      <w:bookmarkEnd w:id="61"/>
      <w:bookmarkEnd w:id="62"/>
      <w:r>
        <w:rPr>
          <w:rFonts w:ascii="Times New Roman" w:hAnsi="Times New Roman"/>
          <w:color w:val="auto"/>
          <w:highlight w:val="none"/>
        </w:rPr>
        <w:t>4 招标文件的异议</w:t>
      </w:r>
      <w:bookmarkEnd w:id="80"/>
      <w:bookmarkEnd w:id="81"/>
    </w:p>
    <w:p w14:paraId="69D68FC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7B6AE096">
      <w:pPr>
        <w:pStyle w:val="4"/>
        <w:shd w:val="clear" w:color="auto" w:fill="auto"/>
        <w:rPr>
          <w:rFonts w:ascii="Times New Roman" w:hAnsi="Times New Roman"/>
          <w:color w:val="auto"/>
          <w:highlight w:val="none"/>
        </w:rPr>
      </w:pPr>
      <w:bookmarkStart w:id="82" w:name="_Toc68765073"/>
      <w:bookmarkStart w:id="83" w:name="_Toc491883112"/>
      <w:r>
        <w:rPr>
          <w:rFonts w:ascii="Times New Roman" w:hAnsi="Times New Roman"/>
          <w:color w:val="auto"/>
          <w:highlight w:val="none"/>
        </w:rPr>
        <w:t>3. 投标文件</w:t>
      </w:r>
      <w:bookmarkEnd w:id="82"/>
      <w:bookmarkEnd w:id="83"/>
    </w:p>
    <w:p w14:paraId="2FC88D10">
      <w:pPr>
        <w:pStyle w:val="5"/>
        <w:shd w:val="clear" w:color="auto" w:fill="auto"/>
        <w:spacing w:line="240" w:lineRule="auto"/>
        <w:ind w:firstLine="137"/>
        <w:rPr>
          <w:rFonts w:ascii="Times New Roman" w:hAnsi="Times New Roman"/>
          <w:color w:val="auto"/>
          <w:highlight w:val="none"/>
        </w:rPr>
      </w:pPr>
      <w:bookmarkStart w:id="84" w:name="_Toc491883113"/>
      <w:bookmarkStart w:id="85" w:name="_Toc68765074"/>
      <w:r>
        <w:rPr>
          <w:rFonts w:ascii="Times New Roman" w:hAnsi="Times New Roman"/>
          <w:color w:val="auto"/>
          <w:highlight w:val="none"/>
        </w:rPr>
        <w:t>3.1 投标文件的组成</w:t>
      </w:r>
      <w:bookmarkEnd w:id="84"/>
      <w:bookmarkEnd w:id="85"/>
    </w:p>
    <w:p w14:paraId="3A89F689">
      <w:pPr>
        <w:shd w:val="clear" w:color="auto" w:fill="auto"/>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3.1.1 投标文件应包括下列内容：</w:t>
      </w:r>
    </w:p>
    <w:p w14:paraId="215CAF9D">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（1）投标函；</w:t>
      </w:r>
    </w:p>
    <w:p w14:paraId="271113FC">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（2）法定代表人（单位负责人）身份证明或授权委托书；</w:t>
      </w:r>
    </w:p>
    <w:p w14:paraId="37CBF14B">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（3）初步评审内容；</w:t>
      </w:r>
    </w:p>
    <w:p w14:paraId="6FD808DC">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（4）商务评审内容：包括但不限于投标人的类似业绩证明、体系认证、信誉、客户评价情况。</w:t>
      </w:r>
    </w:p>
    <w:p w14:paraId="7F2B4C45">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（5）技术评审方案内容：包括但不限于投标人的产品供货、质量保证措施、应急处理方案、项目服务方案、售后服务方案。</w:t>
      </w:r>
    </w:p>
    <w:p w14:paraId="0783BE91">
      <w:pPr>
        <w:shd w:val="clear" w:color="auto" w:fill="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（6）投标报价内容</w:t>
      </w:r>
    </w:p>
    <w:p w14:paraId="66B5B7E6">
      <w:pPr>
        <w:shd w:val="clear" w:color="auto" w:fill="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（7）</w:t>
      </w:r>
      <w:r>
        <w:rPr>
          <w:rFonts w:ascii="Times New Roman" w:hAnsi="Times New Roman"/>
          <w:color w:val="auto"/>
          <w:sz w:val="24"/>
          <w:szCs w:val="24"/>
          <w:highlight w:val="none"/>
        </w:rPr>
        <w:t>其他资料</w:t>
      </w:r>
    </w:p>
    <w:p w14:paraId="5CA3B719">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8</w:t>
      </w:r>
      <w:r>
        <w:rPr>
          <w:rFonts w:ascii="Times New Roman" w:hAnsi="Times New Roman"/>
          <w:color w:val="auto"/>
          <w:sz w:val="24"/>
          <w:szCs w:val="24"/>
          <w:highlight w:val="none"/>
        </w:rPr>
        <w:t>）投标人须知前附表规定的其他资料。</w:t>
      </w:r>
    </w:p>
    <w:p w14:paraId="7C812D3C">
      <w:pPr>
        <w:shd w:val="clear" w:color="auto" w:fill="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投标人在评标过程中作出的符合法律法规和招标文件规定的澄清确认，构成投标文件的组成部分。</w:t>
      </w:r>
    </w:p>
    <w:p w14:paraId="5EAA8BBB">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3.1.2 投标人须知前附表规定不接受联合体投标的，或投标人没有组成联合体的，投标文件不包括本章第3.1.1（3）目所指的联合体协议书。</w:t>
      </w:r>
    </w:p>
    <w:p w14:paraId="135740A4">
      <w:pPr>
        <w:pStyle w:val="5"/>
        <w:shd w:val="clear" w:color="auto" w:fill="auto"/>
        <w:spacing w:line="240" w:lineRule="auto"/>
        <w:ind w:firstLine="137"/>
        <w:rPr>
          <w:rFonts w:ascii="Times New Roman" w:hAnsi="Times New Roman"/>
          <w:color w:val="auto"/>
          <w:highlight w:val="none"/>
        </w:rPr>
      </w:pPr>
      <w:bookmarkStart w:id="86" w:name="_Toc68765075"/>
      <w:bookmarkStart w:id="87" w:name="_Toc491883114"/>
      <w:r>
        <w:rPr>
          <w:rFonts w:ascii="Times New Roman" w:hAnsi="Times New Roman"/>
          <w:color w:val="auto"/>
          <w:highlight w:val="none"/>
        </w:rPr>
        <w:t>3.2 投标报价</w:t>
      </w:r>
      <w:bookmarkEnd w:id="86"/>
      <w:bookmarkEnd w:id="87"/>
    </w:p>
    <w:p w14:paraId="4585A81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投标报价应包括国家规定的增值税税金，除投标人须知前附表另有规定外，增值税税金按一般计税方法计算。投标人应按第六章“投标文件格式”的要求在投标函中进行报价并填写分项报价表。</w:t>
      </w:r>
    </w:p>
    <w:p w14:paraId="313C3CEE">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投标人应充分了解该项目的总体情况以及影响投标报价的其他要素。</w:t>
      </w:r>
    </w:p>
    <w:p w14:paraId="113B140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w:t>
      </w:r>
      <w:bookmarkStart w:id="88" w:name="_Toc369531530"/>
      <w:bookmarkEnd w:id="88"/>
      <w:bookmarkStart w:id="89" w:name="_Toc247527568"/>
      <w:bookmarkEnd w:id="89"/>
      <w:bookmarkStart w:id="90" w:name="_Toc144974511"/>
      <w:bookmarkEnd w:id="90"/>
      <w:bookmarkStart w:id="91" w:name="_Toc352691487"/>
      <w:bookmarkEnd w:id="91"/>
      <w:bookmarkStart w:id="92" w:name="_Toc15242"/>
      <w:bookmarkEnd w:id="92"/>
      <w:bookmarkStart w:id="93" w:name="_Toc247513967"/>
      <w:bookmarkEnd w:id="93"/>
      <w:bookmarkStart w:id="94" w:name="_Toc300834964"/>
      <w:bookmarkEnd w:id="94"/>
      <w:bookmarkStart w:id="95" w:name="_Toc152042319"/>
      <w:bookmarkEnd w:id="95"/>
      <w:bookmarkStart w:id="96" w:name="_Toc152045543"/>
      <w:bookmarkEnd w:id="96"/>
      <w:bookmarkStart w:id="97" w:name="_Toc384308224"/>
      <w:bookmarkEnd w:id="97"/>
      <w:bookmarkStart w:id="98" w:name="_Toc361508599"/>
      <w:bookmarkEnd w:id="98"/>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42597A1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最高投标限价</w:t>
      </w:r>
      <w:r>
        <w:rPr>
          <w:rFonts w:hint="eastAsia" w:ascii="Times New Roman" w:hAnsi="Times New Roman"/>
          <w:color w:val="auto"/>
          <w:sz w:val="24"/>
          <w:szCs w:val="24"/>
          <w:highlight w:val="none"/>
        </w:rPr>
        <w:t>见</w:t>
      </w:r>
      <w:r>
        <w:rPr>
          <w:rFonts w:ascii="Times New Roman" w:hAnsi="Times New Roman"/>
          <w:color w:val="auto"/>
          <w:sz w:val="24"/>
          <w:szCs w:val="24"/>
          <w:highlight w:val="none"/>
        </w:rPr>
        <w:t>投标</w:t>
      </w:r>
      <w:bookmarkStart w:id="99" w:name="_Toc352691488"/>
      <w:bookmarkStart w:id="100" w:name="_Toc369531531"/>
      <w:bookmarkStart w:id="101" w:name="_Toc152042320"/>
      <w:bookmarkStart w:id="102" w:name="_Toc384308225"/>
      <w:bookmarkStart w:id="103" w:name="_Toc361508600"/>
      <w:bookmarkStart w:id="104" w:name="_Toc10429"/>
      <w:bookmarkStart w:id="105" w:name="_Toc152045544"/>
      <w:bookmarkStart w:id="106" w:name="_Toc300834965"/>
      <w:bookmarkStart w:id="107" w:name="_Toc144974512"/>
      <w:bookmarkStart w:id="108" w:name="_Toc247513968"/>
      <w:bookmarkStart w:id="109" w:name="_Toc247527569"/>
      <w:r>
        <w:rPr>
          <w:rFonts w:ascii="Times New Roman" w:hAnsi="Times New Roman"/>
          <w:color w:val="auto"/>
          <w:sz w:val="24"/>
          <w:szCs w:val="24"/>
          <w:highlight w:val="none"/>
        </w:rPr>
        <w:t>人须知前附表</w:t>
      </w:r>
      <w:r>
        <w:rPr>
          <w:rFonts w:hint="eastAsia" w:ascii="Times New Roman" w:hAnsi="Times New Roman"/>
          <w:color w:val="auto"/>
          <w:sz w:val="24"/>
          <w:szCs w:val="24"/>
          <w:highlight w:val="none"/>
        </w:rPr>
        <w:t>说明</w:t>
      </w:r>
      <w:r>
        <w:rPr>
          <w:rFonts w:ascii="Times New Roman" w:hAnsi="Times New Roman"/>
          <w:color w:val="auto"/>
          <w:sz w:val="24"/>
          <w:szCs w:val="24"/>
          <w:highlight w:val="none"/>
        </w:rPr>
        <w:t>。</w:t>
      </w:r>
      <w:bookmarkEnd w:id="99"/>
      <w:bookmarkEnd w:id="100"/>
      <w:bookmarkEnd w:id="101"/>
      <w:bookmarkEnd w:id="102"/>
      <w:bookmarkEnd w:id="103"/>
      <w:bookmarkEnd w:id="104"/>
      <w:bookmarkEnd w:id="105"/>
      <w:bookmarkEnd w:id="106"/>
      <w:bookmarkEnd w:id="107"/>
      <w:bookmarkEnd w:id="108"/>
      <w:bookmarkEnd w:id="109"/>
    </w:p>
    <w:p w14:paraId="39EAFF8C">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 xml:space="preserve"> 投标报价的其他要求见投标人须知前附表。</w:t>
      </w:r>
    </w:p>
    <w:p w14:paraId="0EE764A9">
      <w:pPr>
        <w:pStyle w:val="5"/>
        <w:shd w:val="clear" w:color="auto" w:fill="auto"/>
        <w:spacing w:line="240" w:lineRule="auto"/>
        <w:ind w:firstLine="137"/>
        <w:rPr>
          <w:rFonts w:ascii="Times New Roman" w:hAnsi="Times New Roman"/>
          <w:color w:val="auto"/>
          <w:highlight w:val="none"/>
        </w:rPr>
      </w:pPr>
      <w:bookmarkStart w:id="110" w:name="_Toc491883115"/>
      <w:bookmarkStart w:id="111" w:name="_Toc68765076"/>
      <w:r>
        <w:rPr>
          <w:rFonts w:ascii="Times New Roman" w:hAnsi="Times New Roman"/>
          <w:color w:val="auto"/>
          <w:highlight w:val="none"/>
        </w:rPr>
        <w:t>3.3 投标有效期</w:t>
      </w:r>
      <w:bookmarkEnd w:id="110"/>
      <w:bookmarkEnd w:id="111"/>
    </w:p>
    <w:p w14:paraId="252E88B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除投标人须知前附表另有规定外，投标有效期为</w:t>
      </w:r>
      <w:r>
        <w:rPr>
          <w:rFonts w:hint="eastAsia" w:ascii="Times New Roman" w:hAnsi="Times New Roman"/>
          <w:color w:val="auto"/>
          <w:sz w:val="24"/>
          <w:szCs w:val="24"/>
          <w:highlight w:val="none"/>
        </w:rPr>
        <w:t>180</w:t>
      </w:r>
      <w:r>
        <w:rPr>
          <w:rFonts w:ascii="Times New Roman" w:hAnsi="Times New Roman"/>
          <w:color w:val="auto"/>
          <w:sz w:val="24"/>
          <w:szCs w:val="24"/>
          <w:highlight w:val="none"/>
        </w:rPr>
        <w:t>天。</w:t>
      </w:r>
    </w:p>
    <w:p w14:paraId="1FCD62FE">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在投标有效期内，投标人撤销投标文件的，应承担招标文件和法律规定的责任。</w:t>
      </w:r>
    </w:p>
    <w:p w14:paraId="6996564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3.3.3 </w:t>
      </w:r>
      <w:r>
        <w:rPr>
          <w:rFonts w:hint="eastAsia" w:ascii="Times New Roman" w:hAnsi="Times New Roman"/>
          <w:color w:val="auto"/>
          <w:sz w:val="24"/>
          <w:szCs w:val="24"/>
          <w:highlight w:val="none"/>
        </w:rPr>
        <w:t>出现特殊情况需要延长投标有效期的，招标人以书面形式通知所有投标人延长投标有效期。投标人应予以书面答复，但不得要求或被允许修改其投标文件；投标人拒绝延长的，其投标失效</w:t>
      </w:r>
      <w:r>
        <w:rPr>
          <w:rFonts w:ascii="Times New Roman" w:hAnsi="Times New Roman"/>
          <w:color w:val="auto"/>
          <w:sz w:val="24"/>
          <w:szCs w:val="24"/>
          <w:highlight w:val="none"/>
        </w:rPr>
        <w:t>。</w:t>
      </w:r>
    </w:p>
    <w:p w14:paraId="2251AC9A">
      <w:pPr>
        <w:pStyle w:val="5"/>
        <w:shd w:val="clear" w:color="auto" w:fill="auto"/>
        <w:spacing w:line="240" w:lineRule="auto"/>
        <w:ind w:firstLine="137"/>
        <w:rPr>
          <w:rFonts w:hint="eastAsia" w:ascii="Times New Roman" w:hAnsi="Times New Roman" w:eastAsia="黑体"/>
          <w:color w:val="auto"/>
          <w:highlight w:val="none"/>
          <w:lang w:eastAsia="zh-CN"/>
        </w:rPr>
      </w:pPr>
      <w:bookmarkStart w:id="112" w:name="_Toc68765077"/>
      <w:bookmarkStart w:id="113" w:name="_Toc491883116"/>
      <w:r>
        <w:rPr>
          <w:rFonts w:ascii="Times New Roman" w:hAnsi="Times New Roman"/>
          <w:color w:val="auto"/>
          <w:highlight w:val="none"/>
        </w:rPr>
        <w:t>3.4 投标保证金</w:t>
      </w:r>
      <w:bookmarkEnd w:id="112"/>
      <w:bookmarkEnd w:id="113"/>
      <w:r>
        <w:rPr>
          <w:rFonts w:hint="eastAsia" w:ascii="Times New Roman" w:hAnsi="Times New Roman"/>
          <w:color w:val="auto"/>
          <w:highlight w:val="none"/>
          <w:u w:val="single"/>
          <w:lang w:eastAsia="zh-CN"/>
        </w:rPr>
        <w:t>（</w:t>
      </w:r>
      <w:r>
        <w:rPr>
          <w:rFonts w:hint="eastAsia" w:ascii="Times New Roman" w:hAnsi="Times New Roman"/>
          <w:color w:val="auto"/>
          <w:highlight w:val="none"/>
          <w:u w:val="single"/>
          <w:lang w:val="en-US" w:eastAsia="zh-CN"/>
        </w:rPr>
        <w:t>本项目不需递交投标保证金</w:t>
      </w:r>
      <w:r>
        <w:rPr>
          <w:rFonts w:hint="eastAsia" w:ascii="Times New Roman" w:hAnsi="Times New Roman"/>
          <w:color w:val="auto"/>
          <w:highlight w:val="none"/>
          <w:u w:val="single"/>
          <w:lang w:eastAsia="zh-CN"/>
        </w:rPr>
        <w:t>）</w:t>
      </w:r>
    </w:p>
    <w:p w14:paraId="5ED8272F">
      <w:pPr>
        <w:pStyle w:val="5"/>
        <w:shd w:val="clear" w:color="auto" w:fill="auto"/>
        <w:spacing w:line="240" w:lineRule="auto"/>
        <w:ind w:firstLine="137"/>
        <w:rPr>
          <w:rFonts w:ascii="Times New Roman" w:hAnsi="Times New Roman"/>
          <w:color w:val="auto"/>
          <w:highlight w:val="none"/>
        </w:rPr>
      </w:pPr>
      <w:bookmarkStart w:id="114" w:name="_Toc68765078"/>
      <w:bookmarkStart w:id="115" w:name="_Toc491883118"/>
      <w:r>
        <w:rPr>
          <w:rFonts w:ascii="Times New Roman" w:hAnsi="Times New Roman"/>
          <w:color w:val="auto"/>
          <w:highlight w:val="none"/>
        </w:rPr>
        <w:t>3.5 资格审查资料（适用于未进行资格预审的）</w:t>
      </w:r>
      <w:bookmarkEnd w:id="114"/>
      <w:bookmarkEnd w:id="115"/>
    </w:p>
    <w:p w14:paraId="13F243A7">
      <w:pPr>
        <w:shd w:val="clear" w:color="auto" w:fill="auto"/>
        <w:spacing w:line="400" w:lineRule="exact"/>
        <w:ind w:firstLine="480" w:firstLineChars="200"/>
        <w:rPr>
          <w:rFonts w:ascii="Times New Roman" w:hAnsi="Times New Roman"/>
          <w:color w:val="auto"/>
          <w:sz w:val="24"/>
          <w:szCs w:val="24"/>
          <w:highlight w:val="none"/>
          <w:u w:val="single"/>
        </w:rPr>
      </w:pPr>
      <w:r>
        <w:rPr>
          <w:rFonts w:hint="eastAsia" w:ascii="Times New Roman" w:hAnsi="Times New Roman"/>
          <w:color w:val="auto"/>
          <w:sz w:val="24"/>
          <w:szCs w:val="24"/>
          <w:highlight w:val="none"/>
          <w:u w:val="single"/>
        </w:rPr>
        <w:t>详见本项目招标公告要求。</w:t>
      </w:r>
    </w:p>
    <w:p w14:paraId="5CBA581F">
      <w:pPr>
        <w:pStyle w:val="5"/>
        <w:shd w:val="clear" w:color="auto" w:fill="auto"/>
        <w:spacing w:line="240" w:lineRule="auto"/>
        <w:ind w:firstLine="137"/>
        <w:rPr>
          <w:rFonts w:ascii="Times New Roman" w:hAnsi="Times New Roman"/>
          <w:color w:val="auto"/>
          <w:highlight w:val="none"/>
        </w:rPr>
      </w:pPr>
      <w:bookmarkStart w:id="116" w:name="_Toc68765079"/>
      <w:bookmarkStart w:id="117" w:name="_Toc491883119"/>
      <w:r>
        <w:rPr>
          <w:rFonts w:ascii="Times New Roman" w:hAnsi="Times New Roman"/>
          <w:color w:val="auto"/>
          <w:highlight w:val="none"/>
        </w:rPr>
        <w:t>3.6 备选投标方案</w:t>
      </w:r>
      <w:bookmarkEnd w:id="116"/>
      <w:bookmarkEnd w:id="117"/>
    </w:p>
    <w:p w14:paraId="3332FCB7">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 除投标人须知前附表规定允许外，投标人不得递交备选投标方案，否则其投标将被否决。</w:t>
      </w:r>
    </w:p>
    <w:p w14:paraId="44BD5A1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E2A26D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 投标人提供两个或两个以上投标报价，或者在投标文件中提供一个报价，但同时提供两个或两个以上供</w:t>
      </w:r>
      <w:bookmarkStart w:id="118" w:name="_Toc152045550"/>
      <w:bookmarkStart w:id="119" w:name="_Toc152042326"/>
      <w:bookmarkStart w:id="120" w:name="_Toc247513974"/>
      <w:bookmarkStart w:id="121" w:name="_Toc352691495"/>
      <w:bookmarkStart w:id="122" w:name="_Toc300834971"/>
      <w:bookmarkStart w:id="123" w:name="_Toc361508607"/>
      <w:bookmarkStart w:id="124" w:name="_Toc369531538"/>
      <w:bookmarkStart w:id="125" w:name="_Toc247527575"/>
      <w:bookmarkStart w:id="126" w:name="_Toc384308232"/>
      <w:bookmarkStart w:id="127" w:name="_Toc29902"/>
      <w:bookmarkStart w:id="128" w:name="_Toc144974518"/>
      <w:r>
        <w:rPr>
          <w:rFonts w:ascii="Times New Roman" w:hAnsi="Times New Roman"/>
          <w:color w:val="auto"/>
          <w:sz w:val="24"/>
          <w:szCs w:val="24"/>
          <w:highlight w:val="none"/>
        </w:rPr>
        <w:t>货方案的</w:t>
      </w:r>
      <w:bookmarkEnd w:id="118"/>
      <w:bookmarkEnd w:id="119"/>
      <w:bookmarkEnd w:id="120"/>
      <w:bookmarkEnd w:id="121"/>
      <w:bookmarkEnd w:id="122"/>
      <w:bookmarkEnd w:id="123"/>
      <w:bookmarkEnd w:id="124"/>
      <w:bookmarkEnd w:id="125"/>
      <w:bookmarkEnd w:id="126"/>
      <w:bookmarkEnd w:id="127"/>
      <w:bookmarkEnd w:id="128"/>
      <w:r>
        <w:rPr>
          <w:rFonts w:ascii="Times New Roman" w:hAnsi="Times New Roman"/>
          <w:color w:val="auto"/>
          <w:sz w:val="24"/>
          <w:szCs w:val="24"/>
          <w:highlight w:val="none"/>
        </w:rPr>
        <w:t>，视为提供备选方案。</w:t>
      </w:r>
    </w:p>
    <w:p w14:paraId="35CDE34A">
      <w:pPr>
        <w:pStyle w:val="5"/>
        <w:shd w:val="clear" w:color="auto" w:fill="auto"/>
        <w:spacing w:line="240" w:lineRule="auto"/>
        <w:ind w:firstLine="137"/>
        <w:rPr>
          <w:rFonts w:ascii="Times New Roman" w:hAnsi="Times New Roman"/>
          <w:color w:val="auto"/>
          <w:highlight w:val="none"/>
        </w:rPr>
      </w:pPr>
      <w:bookmarkStart w:id="129" w:name="_Toc68765080"/>
      <w:bookmarkStart w:id="130" w:name="_Toc491883120"/>
      <w:r>
        <w:rPr>
          <w:rFonts w:ascii="Times New Roman" w:hAnsi="Times New Roman"/>
          <w:color w:val="auto"/>
          <w:highlight w:val="none"/>
        </w:rPr>
        <w:t>3.7 投标文件的编制</w:t>
      </w:r>
      <w:bookmarkEnd w:id="129"/>
      <w:bookmarkEnd w:id="130"/>
    </w:p>
    <w:p w14:paraId="42B72C3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 投标文件应按第六章“投标文件格式”进行编写，如有必要，可以增加附页，作为投标文件的组成部分。</w:t>
      </w:r>
    </w:p>
    <w:p w14:paraId="18471B4F">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 投标文件应当对招标文件有关供货期、投标有效期、供货要求、招标范围等实质性内容作出响应。投标文件在满足招标文件实质性要求的基础上，可以提出比招标文件要求更有利于招标人的承诺。</w:t>
      </w:r>
    </w:p>
    <w:p w14:paraId="69324E5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4BF5532">
      <w:pPr>
        <w:pStyle w:val="4"/>
        <w:shd w:val="clear" w:color="auto" w:fill="auto"/>
        <w:rPr>
          <w:rFonts w:ascii="Times New Roman" w:hAnsi="Times New Roman"/>
          <w:color w:val="auto"/>
          <w:highlight w:val="none"/>
        </w:rPr>
      </w:pPr>
      <w:bookmarkStart w:id="131" w:name="_Toc491883121"/>
      <w:bookmarkStart w:id="132" w:name="_Toc68765081"/>
      <w:r>
        <w:rPr>
          <w:rFonts w:ascii="Times New Roman" w:hAnsi="Times New Roman"/>
          <w:color w:val="auto"/>
          <w:highlight w:val="none"/>
        </w:rPr>
        <w:t>4. 投标</w:t>
      </w:r>
      <w:bookmarkEnd w:id="131"/>
      <w:bookmarkEnd w:id="132"/>
    </w:p>
    <w:p w14:paraId="7727E11A">
      <w:pPr>
        <w:pStyle w:val="5"/>
        <w:shd w:val="clear" w:color="auto" w:fill="auto"/>
        <w:spacing w:line="240" w:lineRule="auto"/>
        <w:ind w:firstLine="137"/>
        <w:rPr>
          <w:rFonts w:ascii="Times New Roman" w:hAnsi="Times New Roman"/>
          <w:color w:val="auto"/>
          <w:highlight w:val="none"/>
        </w:rPr>
      </w:pPr>
      <w:bookmarkStart w:id="133" w:name="_Toc68765082"/>
      <w:bookmarkStart w:id="134" w:name="_Toc491883122"/>
      <w:r>
        <w:rPr>
          <w:rFonts w:ascii="Times New Roman" w:hAnsi="Times New Roman"/>
          <w:color w:val="auto"/>
          <w:highlight w:val="none"/>
        </w:rPr>
        <w:t>4.1 投标文件的密封和标记</w:t>
      </w:r>
      <w:bookmarkEnd w:id="133"/>
      <w:bookmarkEnd w:id="134"/>
    </w:p>
    <w:p w14:paraId="1E418467">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 投标人应当按照招标文件和电子招标投标交易平台的要求加密投标文件，具体要求见投标人须知前附表。</w:t>
      </w:r>
    </w:p>
    <w:p w14:paraId="3FE95FB3">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4.1.2 投标文件封套上应写明的内容见投标人须知前附表。</w:t>
      </w:r>
    </w:p>
    <w:p w14:paraId="13FC519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4.1.3 未按本章第4.1.1项要求密封的投标文件，招标人将予以拒收。</w:t>
      </w:r>
    </w:p>
    <w:p w14:paraId="111DFFC9">
      <w:pPr>
        <w:pStyle w:val="5"/>
        <w:shd w:val="clear" w:color="auto" w:fill="auto"/>
        <w:spacing w:line="240" w:lineRule="auto"/>
        <w:ind w:firstLine="137"/>
        <w:rPr>
          <w:rFonts w:ascii="Times New Roman" w:hAnsi="Times New Roman"/>
          <w:color w:val="auto"/>
          <w:highlight w:val="none"/>
        </w:rPr>
      </w:pPr>
      <w:bookmarkStart w:id="135" w:name="_Toc491883123"/>
      <w:bookmarkStart w:id="136" w:name="_Toc68765083"/>
      <w:r>
        <w:rPr>
          <w:rFonts w:ascii="Times New Roman" w:hAnsi="Times New Roman"/>
          <w:color w:val="auto"/>
          <w:highlight w:val="none"/>
        </w:rPr>
        <w:t>4.2 投标文件的递交</w:t>
      </w:r>
      <w:bookmarkEnd w:id="135"/>
      <w:bookmarkEnd w:id="136"/>
    </w:p>
    <w:p w14:paraId="68A6F8C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 投标人应在投标人须知前附表规定的投标截止时间前递交投标文件。</w:t>
      </w:r>
    </w:p>
    <w:p w14:paraId="0BBA471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4.2.2 </w:t>
      </w:r>
      <w:r>
        <w:rPr>
          <w:rFonts w:ascii="Times New Roman" w:hAnsi="Times New Roman"/>
          <w:bCs/>
          <w:iCs/>
          <w:color w:val="auto"/>
          <w:sz w:val="24"/>
          <w:szCs w:val="24"/>
          <w:highlight w:val="none"/>
        </w:rPr>
        <w:t>投标人通过下载招标文件的电子招标投标交易平台递交电子投标文件。</w:t>
      </w:r>
    </w:p>
    <w:p w14:paraId="0B9E163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4.2.3 除投标人须知前附表另有规定外，投标人所递交的投标文件不予退还。</w:t>
      </w:r>
    </w:p>
    <w:p w14:paraId="0089E6C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4.2.4 投标人完成电子投标文件上传后，</w:t>
      </w:r>
      <w:r>
        <w:rPr>
          <w:rFonts w:ascii="Times New Roman" w:hAnsi="Times New Roman"/>
          <w:bCs/>
          <w:iCs/>
          <w:color w:val="auto"/>
          <w:sz w:val="24"/>
          <w:szCs w:val="24"/>
          <w:highlight w:val="none"/>
        </w:rPr>
        <w:t>电子招标投标交易平台</w:t>
      </w:r>
      <w:r>
        <w:rPr>
          <w:rFonts w:ascii="Times New Roman" w:hAnsi="Times New Roman"/>
          <w:color w:val="auto"/>
          <w:sz w:val="24"/>
          <w:szCs w:val="24"/>
          <w:highlight w:val="none"/>
        </w:rPr>
        <w:t>即时向投标人发出递交回执通知。递交时间以递交回执通知载明的传输完成时间为准。</w:t>
      </w:r>
    </w:p>
    <w:p w14:paraId="73399A08">
      <w:pPr>
        <w:shd w:val="clear" w:color="auto" w:fill="auto"/>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4.2.5 逾期送达的投标文件，电子招标投标交易平台将予以拒收。</w:t>
      </w:r>
    </w:p>
    <w:p w14:paraId="2504752A">
      <w:pPr>
        <w:pStyle w:val="5"/>
        <w:shd w:val="clear" w:color="auto" w:fill="auto"/>
        <w:spacing w:line="240" w:lineRule="auto"/>
        <w:ind w:firstLine="137"/>
        <w:rPr>
          <w:rFonts w:ascii="Times New Roman" w:hAnsi="Times New Roman"/>
          <w:color w:val="auto"/>
          <w:highlight w:val="none"/>
        </w:rPr>
      </w:pPr>
      <w:bookmarkStart w:id="137" w:name="_Toc491883124"/>
      <w:bookmarkStart w:id="138" w:name="_Toc68765084"/>
      <w:r>
        <w:rPr>
          <w:rFonts w:ascii="Times New Roman" w:hAnsi="Times New Roman"/>
          <w:color w:val="auto"/>
          <w:highlight w:val="none"/>
        </w:rPr>
        <w:t>4.3 投标文件的修改与撤回</w:t>
      </w:r>
      <w:bookmarkEnd w:id="137"/>
      <w:bookmarkEnd w:id="138"/>
    </w:p>
    <w:p w14:paraId="154D6118">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4.3.1 在本章第4.2.1项规定的投标截止时间前，投标人可以修改或撤回已递交的投标文件，但应以书面形式通知招标人。</w:t>
      </w:r>
    </w:p>
    <w:p w14:paraId="1704CA0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4.3.2 投标人修改或撤回已递交投标文件的通知，应按照本章第3.7.3项的要求加盖电子印章。</w:t>
      </w:r>
      <w:r>
        <w:rPr>
          <w:rFonts w:ascii="Times New Roman" w:hAnsi="Times New Roman"/>
          <w:bCs/>
          <w:iCs/>
          <w:color w:val="auto"/>
          <w:sz w:val="24"/>
          <w:szCs w:val="24"/>
          <w:highlight w:val="none"/>
        </w:rPr>
        <w:t>电子招标投标交易平台收到通知后，</w:t>
      </w:r>
      <w:r>
        <w:rPr>
          <w:rFonts w:ascii="Times New Roman" w:hAnsi="Times New Roman"/>
          <w:color w:val="auto"/>
          <w:sz w:val="24"/>
          <w:szCs w:val="24"/>
          <w:highlight w:val="none"/>
        </w:rPr>
        <w:t>即时向投标人发出确认回执通知。</w:t>
      </w:r>
    </w:p>
    <w:p w14:paraId="7E04EB4A">
      <w:pPr>
        <w:shd w:val="clear" w:color="auto" w:fill="auto"/>
        <w:spacing w:line="400" w:lineRule="exact"/>
        <w:ind w:firstLine="480" w:firstLineChars="200"/>
        <w:rPr>
          <w:rFonts w:ascii="Times New Roman" w:hAnsi="Times New Roman"/>
          <w:strike/>
          <w:dstrike w:val="0"/>
          <w:color w:val="auto"/>
          <w:sz w:val="24"/>
          <w:szCs w:val="24"/>
          <w:highlight w:val="none"/>
        </w:rPr>
      </w:pPr>
      <w:r>
        <w:rPr>
          <w:rFonts w:ascii="Times New Roman" w:hAnsi="Times New Roman"/>
          <w:strike/>
          <w:dstrike w:val="0"/>
          <w:color w:val="auto"/>
          <w:sz w:val="24"/>
          <w:szCs w:val="24"/>
          <w:highlight w:val="none"/>
        </w:rPr>
        <w:t>4.3.3 投标人撤回投标文件的，招标人自收到投标人书面撤回通知之日起5日内退还已收取的投标保证金。</w:t>
      </w:r>
    </w:p>
    <w:p w14:paraId="79A4525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w:t>
      </w:r>
      <w:bookmarkStart w:id="139" w:name="_Toc369531541"/>
      <w:bookmarkStart w:id="140" w:name="_Toc152042329"/>
      <w:bookmarkStart w:id="141" w:name="_Toc247513977"/>
      <w:bookmarkStart w:id="142" w:name="_Toc361508610"/>
      <w:bookmarkStart w:id="143" w:name="_Toc152045553"/>
      <w:bookmarkStart w:id="144" w:name="_Toc19203"/>
      <w:bookmarkStart w:id="145" w:name="_Toc300834974"/>
      <w:bookmarkStart w:id="146" w:name="_Toc144974521"/>
      <w:bookmarkStart w:id="147" w:name="_Toc384308235"/>
      <w:bookmarkStart w:id="148" w:name="_Toc352691497"/>
      <w:bookmarkStart w:id="149" w:name="_Toc247527578"/>
      <w:r>
        <w:rPr>
          <w:rFonts w:ascii="Times New Roman" w:hAnsi="Times New Roman"/>
          <w:color w:val="auto"/>
          <w:sz w:val="24"/>
          <w:szCs w:val="24"/>
          <w:highlight w:val="none"/>
        </w:rPr>
        <w:t>4 修改的内容为投标</w:t>
      </w:r>
      <w:bookmarkEnd w:id="139"/>
      <w:bookmarkEnd w:id="140"/>
      <w:bookmarkEnd w:id="141"/>
      <w:bookmarkEnd w:id="142"/>
      <w:bookmarkEnd w:id="143"/>
      <w:bookmarkEnd w:id="144"/>
      <w:bookmarkEnd w:id="145"/>
      <w:bookmarkEnd w:id="146"/>
      <w:bookmarkEnd w:id="147"/>
      <w:bookmarkEnd w:id="148"/>
      <w:bookmarkEnd w:id="149"/>
      <w:r>
        <w:rPr>
          <w:rFonts w:ascii="Times New Roman" w:hAnsi="Times New Roman"/>
          <w:color w:val="auto"/>
          <w:sz w:val="24"/>
          <w:szCs w:val="24"/>
          <w:highlight w:val="none"/>
        </w:rPr>
        <w:t>文件的组成部分。修改的投标文件应按照本章第3条、第4条的规定进行编制、密封、标记和递交，并标明“修改”字样。</w:t>
      </w:r>
    </w:p>
    <w:p w14:paraId="15723BDF">
      <w:pPr>
        <w:pStyle w:val="4"/>
        <w:shd w:val="clear" w:color="auto" w:fill="auto"/>
        <w:rPr>
          <w:rFonts w:ascii="Times New Roman" w:hAnsi="Times New Roman"/>
          <w:color w:val="auto"/>
          <w:highlight w:val="none"/>
        </w:rPr>
      </w:pPr>
      <w:bookmarkStart w:id="150" w:name="_Toc68765085"/>
      <w:bookmarkStart w:id="151" w:name="_Toc491883125"/>
      <w:r>
        <w:rPr>
          <w:rFonts w:ascii="Times New Roman" w:hAnsi="Times New Roman"/>
          <w:color w:val="auto"/>
          <w:highlight w:val="none"/>
        </w:rPr>
        <w:t>5. 开标</w:t>
      </w:r>
      <w:bookmarkEnd w:id="150"/>
      <w:bookmarkEnd w:id="151"/>
    </w:p>
    <w:p w14:paraId="709B8F54">
      <w:pPr>
        <w:pStyle w:val="5"/>
        <w:shd w:val="clear" w:color="auto" w:fill="auto"/>
        <w:spacing w:line="240" w:lineRule="auto"/>
        <w:ind w:firstLine="137"/>
        <w:rPr>
          <w:rFonts w:ascii="Times New Roman" w:hAnsi="Times New Roman"/>
          <w:color w:val="auto"/>
          <w:highlight w:val="none"/>
        </w:rPr>
      </w:pPr>
      <w:bookmarkStart w:id="152" w:name="_Toc68765086"/>
      <w:bookmarkStart w:id="153" w:name="_Toc491883127"/>
      <w:r>
        <w:rPr>
          <w:rFonts w:ascii="Times New Roman" w:hAnsi="Times New Roman"/>
          <w:color w:val="auto"/>
          <w:highlight w:val="none"/>
        </w:rPr>
        <w:t>5.1 开标时间和地点</w:t>
      </w:r>
      <w:bookmarkEnd w:id="152"/>
      <w:bookmarkEnd w:id="153"/>
    </w:p>
    <w:p w14:paraId="55D756F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招标人在本章第4.2.1项规定的投标截止时间（开标时间）,通过电子招标投标交易平台公开开标，所有投标人的法定代表人（单位负责人）或其委托代理人应当准时参加。</w:t>
      </w:r>
    </w:p>
    <w:p w14:paraId="29D7BFAF">
      <w:pPr>
        <w:pStyle w:val="5"/>
        <w:shd w:val="clear" w:color="auto" w:fill="auto"/>
        <w:spacing w:line="240" w:lineRule="auto"/>
        <w:ind w:firstLine="137"/>
        <w:rPr>
          <w:rFonts w:ascii="Times New Roman" w:hAnsi="Times New Roman"/>
          <w:color w:val="auto"/>
          <w:highlight w:val="none"/>
        </w:rPr>
      </w:pPr>
      <w:bookmarkStart w:id="154" w:name="_Toc68765087"/>
      <w:bookmarkStart w:id="155" w:name="_Toc491883128"/>
      <w:r>
        <w:rPr>
          <w:rFonts w:ascii="Times New Roman" w:hAnsi="Times New Roman"/>
          <w:color w:val="auto"/>
          <w:highlight w:val="none"/>
        </w:rPr>
        <w:t>5.2 开标程序</w:t>
      </w:r>
      <w:bookmarkEnd w:id="154"/>
      <w:bookmarkEnd w:id="155"/>
    </w:p>
    <w:p w14:paraId="390B170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主持人按下列程序进行开标：</w:t>
      </w:r>
    </w:p>
    <w:p w14:paraId="4FAEA8C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（1）宣布开标纪律；</w:t>
      </w:r>
    </w:p>
    <w:p w14:paraId="5BBA222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（2）公布在投标截止时间前递交投标文件的投标人名称；</w:t>
      </w:r>
    </w:p>
    <w:p w14:paraId="19473EB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（3）宣布</w:t>
      </w:r>
      <w:bookmarkStart w:id="156" w:name="_Toc22119"/>
      <w:bookmarkStart w:id="157" w:name="_Toc247527579"/>
      <w:bookmarkStart w:id="158" w:name="_Toc369531542"/>
      <w:bookmarkStart w:id="159" w:name="_Toc352691498"/>
      <w:bookmarkStart w:id="160" w:name="_Toc300834975"/>
      <w:bookmarkStart w:id="161" w:name="_Toc384308236"/>
      <w:bookmarkStart w:id="162" w:name="_Toc144974522"/>
      <w:bookmarkStart w:id="163" w:name="_Toc247513978"/>
      <w:bookmarkStart w:id="164" w:name="_Toc152042330"/>
      <w:bookmarkStart w:id="165" w:name="_Toc152045554"/>
      <w:bookmarkStart w:id="166" w:name="_Toc361508611"/>
      <w:r>
        <w:rPr>
          <w:rFonts w:ascii="Times New Roman" w:hAnsi="Times New Roman"/>
          <w:color w:val="auto"/>
          <w:sz w:val="24"/>
          <w:szCs w:val="24"/>
          <w:highlight w:val="none"/>
        </w:rPr>
        <w:t>开标人、唱标人、记录人</w:t>
      </w:r>
      <w:bookmarkEnd w:id="156"/>
      <w:bookmarkEnd w:id="157"/>
      <w:bookmarkEnd w:id="158"/>
      <w:bookmarkEnd w:id="159"/>
      <w:bookmarkEnd w:id="160"/>
      <w:bookmarkEnd w:id="161"/>
      <w:bookmarkEnd w:id="162"/>
      <w:bookmarkEnd w:id="163"/>
      <w:bookmarkEnd w:id="164"/>
      <w:bookmarkEnd w:id="165"/>
      <w:bookmarkEnd w:id="166"/>
      <w:r>
        <w:rPr>
          <w:rFonts w:ascii="Times New Roman" w:hAnsi="Times New Roman"/>
          <w:color w:val="auto"/>
          <w:sz w:val="24"/>
          <w:szCs w:val="24"/>
          <w:highlight w:val="none"/>
        </w:rPr>
        <w:t>、监标人等有关人员姓名；</w:t>
      </w:r>
    </w:p>
    <w:p w14:paraId="33F50960">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投标人通过电子招标投标交易平台对已递交的电子投标文件进行解密，公布招标项目名称、投标人名称、投标报价、交货期、交货地点及其他内容，并记录在案</w:t>
      </w:r>
      <w:r>
        <w:rPr>
          <w:rFonts w:ascii="Times New Roman" w:hAnsi="Times New Roman"/>
          <w:color w:val="auto"/>
          <w:sz w:val="24"/>
          <w:szCs w:val="24"/>
          <w:highlight w:val="none"/>
        </w:rPr>
        <w:t>；</w:t>
      </w:r>
    </w:p>
    <w:p w14:paraId="45D96DB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（5）投标人代表、招标人代表、监标人、记录人等有关人员使用本人的电子印章在开标记录上签字确认；</w:t>
      </w:r>
    </w:p>
    <w:p w14:paraId="1AA14542">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（6）开标结束。</w:t>
      </w:r>
    </w:p>
    <w:p w14:paraId="54D4FB0F">
      <w:pPr>
        <w:pStyle w:val="5"/>
        <w:shd w:val="clear" w:color="auto" w:fill="auto"/>
        <w:spacing w:line="240" w:lineRule="auto"/>
        <w:ind w:firstLine="137"/>
        <w:rPr>
          <w:rFonts w:ascii="Times New Roman" w:hAnsi="Times New Roman"/>
          <w:color w:val="auto"/>
          <w:highlight w:val="none"/>
        </w:rPr>
      </w:pPr>
      <w:bookmarkStart w:id="167" w:name="_Toc68765088"/>
      <w:bookmarkStart w:id="168" w:name="_Toc491883129"/>
      <w:r>
        <w:rPr>
          <w:rFonts w:ascii="Times New Roman" w:hAnsi="Times New Roman"/>
          <w:color w:val="auto"/>
          <w:highlight w:val="none"/>
        </w:rPr>
        <w:t>5.3 开标异议</w:t>
      </w:r>
      <w:bookmarkEnd w:id="167"/>
      <w:bookmarkEnd w:id="168"/>
    </w:p>
    <w:p w14:paraId="404DFE7B">
      <w:pPr>
        <w:shd w:val="clear" w:color="auto" w:fill="auto"/>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投标人对开标有异议的，应当在开标现场提出，招标人当场作出答复，并制作记录。</w:t>
      </w:r>
    </w:p>
    <w:p w14:paraId="5B290D2C">
      <w:pPr>
        <w:pStyle w:val="4"/>
        <w:shd w:val="clear" w:color="auto" w:fill="auto"/>
        <w:rPr>
          <w:rFonts w:ascii="Times New Roman" w:hAnsi="Times New Roman"/>
          <w:color w:val="auto"/>
          <w:highlight w:val="none"/>
        </w:rPr>
      </w:pPr>
      <w:bookmarkStart w:id="169" w:name="_Toc491883130"/>
      <w:bookmarkStart w:id="170" w:name="_Toc68765089"/>
      <w:r>
        <w:rPr>
          <w:rFonts w:ascii="Times New Roman" w:hAnsi="Times New Roman"/>
          <w:color w:val="auto"/>
          <w:highlight w:val="none"/>
        </w:rPr>
        <w:t>6. 评标</w:t>
      </w:r>
      <w:bookmarkEnd w:id="169"/>
      <w:bookmarkEnd w:id="170"/>
    </w:p>
    <w:p w14:paraId="57676EFE">
      <w:pPr>
        <w:pStyle w:val="5"/>
        <w:shd w:val="clear" w:color="auto" w:fill="auto"/>
        <w:spacing w:line="240" w:lineRule="auto"/>
        <w:ind w:firstLine="137"/>
        <w:rPr>
          <w:rFonts w:ascii="Times New Roman" w:hAnsi="Times New Roman"/>
          <w:color w:val="auto"/>
          <w:highlight w:val="none"/>
        </w:rPr>
      </w:pPr>
      <w:bookmarkStart w:id="171" w:name="_Toc491883131"/>
      <w:bookmarkStart w:id="172" w:name="_Toc68765090"/>
      <w:r>
        <w:rPr>
          <w:rFonts w:ascii="Times New Roman" w:hAnsi="Times New Roman"/>
          <w:color w:val="auto"/>
          <w:highlight w:val="none"/>
        </w:rPr>
        <w:t>6.1 评标委员会</w:t>
      </w:r>
      <w:bookmarkEnd w:id="171"/>
      <w:bookmarkEnd w:id="172"/>
    </w:p>
    <w:p w14:paraId="65C2FE57">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BCBAD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6.1.2 评标委员会成员有下列情形之一的，应当回避：</w:t>
      </w:r>
    </w:p>
    <w:p w14:paraId="6B7207D5">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（1）投标人或投标人主要负责人的近亲属；</w:t>
      </w:r>
    </w:p>
    <w:p w14:paraId="0CCC1263">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（2）项目主管部门或者行政监督部门的人员；</w:t>
      </w:r>
    </w:p>
    <w:p w14:paraId="35FEE9F6">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（3）与投标人有经济利益关系，可能影响对投标公正评审的；</w:t>
      </w:r>
    </w:p>
    <w:p w14:paraId="23099942">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（4）曾因在招标、评</w:t>
      </w:r>
      <w:bookmarkStart w:id="173" w:name="_Toc361508612"/>
      <w:bookmarkStart w:id="174" w:name="_Toc152045555"/>
      <w:bookmarkStart w:id="175" w:name="_Toc300834976"/>
      <w:bookmarkStart w:id="176" w:name="_Toc352691499"/>
      <w:bookmarkStart w:id="177" w:name="_Toc144974523"/>
      <w:bookmarkStart w:id="178" w:name="_Toc152042331"/>
      <w:bookmarkStart w:id="179" w:name="_Toc247527580"/>
      <w:bookmarkStart w:id="180" w:name="_Toc384308237"/>
      <w:bookmarkStart w:id="181" w:name="_Toc369531543"/>
      <w:bookmarkStart w:id="182" w:name="_Toc247513979"/>
      <w:bookmarkStart w:id="183" w:name="_Toc6230"/>
      <w:r>
        <w:rPr>
          <w:rFonts w:ascii="Times New Roman" w:hAnsi="Times New Roman"/>
          <w:color w:val="auto"/>
          <w:sz w:val="24"/>
          <w:szCs w:val="24"/>
          <w:highlight w:val="none"/>
        </w:rPr>
        <w:t>标以及其他</w:t>
      </w:r>
      <w:bookmarkEnd w:id="173"/>
      <w:bookmarkEnd w:id="174"/>
      <w:bookmarkEnd w:id="175"/>
      <w:bookmarkEnd w:id="176"/>
      <w:bookmarkEnd w:id="177"/>
      <w:bookmarkEnd w:id="178"/>
      <w:bookmarkEnd w:id="179"/>
      <w:bookmarkEnd w:id="180"/>
      <w:bookmarkEnd w:id="181"/>
      <w:bookmarkEnd w:id="182"/>
      <w:bookmarkEnd w:id="183"/>
      <w:r>
        <w:rPr>
          <w:rFonts w:ascii="Times New Roman" w:hAnsi="Times New Roman"/>
          <w:color w:val="auto"/>
          <w:sz w:val="24"/>
          <w:szCs w:val="24"/>
          <w:highlight w:val="none"/>
        </w:rPr>
        <w:t>与</w:t>
      </w:r>
      <w:bookmarkStart w:id="184" w:name="_Toc361508613"/>
      <w:bookmarkStart w:id="185" w:name="_Toc152045556"/>
      <w:bookmarkStart w:id="186" w:name="_Toc352691500"/>
      <w:bookmarkStart w:id="187" w:name="_Toc17703"/>
      <w:bookmarkStart w:id="188" w:name="_Toc300834977"/>
      <w:bookmarkStart w:id="189" w:name="_Toc152042332"/>
      <w:bookmarkStart w:id="190" w:name="_Toc247513980"/>
      <w:bookmarkStart w:id="191" w:name="_Toc247527581"/>
      <w:bookmarkStart w:id="192" w:name="_Toc144974524"/>
      <w:bookmarkStart w:id="193" w:name="_Toc384308238"/>
      <w:bookmarkStart w:id="194" w:name="_Toc369531544"/>
      <w:r>
        <w:rPr>
          <w:rFonts w:ascii="Times New Roman" w:hAnsi="Times New Roman"/>
          <w:color w:val="auto"/>
          <w:sz w:val="24"/>
          <w:szCs w:val="24"/>
          <w:highlight w:val="none"/>
        </w:rPr>
        <w:t>招标投标有关活动中从事违法行</w:t>
      </w:r>
      <w:bookmarkEnd w:id="184"/>
      <w:bookmarkEnd w:id="185"/>
      <w:bookmarkEnd w:id="186"/>
      <w:bookmarkEnd w:id="187"/>
      <w:bookmarkEnd w:id="188"/>
      <w:bookmarkEnd w:id="189"/>
      <w:bookmarkEnd w:id="190"/>
      <w:bookmarkEnd w:id="191"/>
      <w:bookmarkEnd w:id="192"/>
      <w:bookmarkEnd w:id="193"/>
      <w:bookmarkEnd w:id="194"/>
      <w:r>
        <w:rPr>
          <w:rFonts w:ascii="Times New Roman" w:hAnsi="Times New Roman"/>
          <w:color w:val="auto"/>
          <w:sz w:val="24"/>
          <w:szCs w:val="24"/>
          <w:highlight w:val="none"/>
        </w:rPr>
        <w:t>为而受过行政处罚或刑事处罚的；</w:t>
      </w:r>
    </w:p>
    <w:p w14:paraId="7ECE26F4">
      <w:pPr>
        <w:shd w:val="clear" w:color="auto" w:fill="auto"/>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（5）与投标人有其他利害关系。</w:t>
      </w:r>
    </w:p>
    <w:p w14:paraId="54FCBCF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9247D45">
      <w:pPr>
        <w:pStyle w:val="5"/>
        <w:shd w:val="clear" w:color="auto" w:fill="auto"/>
        <w:spacing w:line="240" w:lineRule="auto"/>
        <w:ind w:firstLine="137"/>
        <w:rPr>
          <w:rFonts w:ascii="Times New Roman" w:hAnsi="Times New Roman"/>
          <w:color w:val="auto"/>
          <w:highlight w:val="none"/>
        </w:rPr>
      </w:pPr>
      <w:bookmarkStart w:id="195" w:name="_Toc68765091"/>
      <w:bookmarkStart w:id="196" w:name="_Toc491883132"/>
      <w:r>
        <w:rPr>
          <w:rFonts w:ascii="Times New Roman" w:hAnsi="Times New Roman"/>
          <w:color w:val="auto"/>
          <w:highlight w:val="none"/>
        </w:rPr>
        <w:t>6.2 评标原则</w:t>
      </w:r>
      <w:bookmarkEnd w:id="195"/>
      <w:bookmarkEnd w:id="196"/>
    </w:p>
    <w:p w14:paraId="22D1BF0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评标活动遵循公平、公正、科学和择优的原</w:t>
      </w:r>
      <w:bookmarkStart w:id="197" w:name="_Toc384308239"/>
      <w:bookmarkStart w:id="198" w:name="_Toc152045557"/>
      <w:bookmarkStart w:id="199" w:name="_Toc247513981"/>
      <w:bookmarkStart w:id="200" w:name="_Toc152042333"/>
      <w:bookmarkStart w:id="201" w:name="_Toc300834978"/>
      <w:bookmarkStart w:id="202" w:name="_Toc247527582"/>
      <w:bookmarkStart w:id="203" w:name="_Toc352691501"/>
      <w:bookmarkStart w:id="204" w:name="_Toc361508614"/>
      <w:bookmarkStart w:id="205" w:name="_Toc369531545"/>
      <w:bookmarkStart w:id="206" w:name="_Toc144974525"/>
      <w:bookmarkStart w:id="207" w:name="_Toc18949"/>
      <w:r>
        <w:rPr>
          <w:rFonts w:ascii="Times New Roman" w:hAnsi="Times New Roman"/>
          <w:color w:val="auto"/>
          <w:sz w:val="24"/>
          <w:szCs w:val="24"/>
          <w:highlight w:val="none"/>
        </w:rPr>
        <w:t>则。</w:t>
      </w:r>
    </w:p>
    <w:p w14:paraId="05B9652E">
      <w:pPr>
        <w:pStyle w:val="5"/>
        <w:shd w:val="clear" w:color="auto" w:fill="auto"/>
        <w:spacing w:line="240" w:lineRule="auto"/>
        <w:ind w:firstLine="137"/>
        <w:rPr>
          <w:rFonts w:ascii="Times New Roman" w:hAnsi="Times New Roman"/>
          <w:color w:val="auto"/>
          <w:highlight w:val="none"/>
        </w:rPr>
      </w:pPr>
      <w:bookmarkStart w:id="208" w:name="_Toc491883133"/>
      <w:bookmarkStart w:id="209" w:name="_Toc68765092"/>
      <w:r>
        <w:rPr>
          <w:rFonts w:ascii="Times New Roman" w:hAnsi="Times New Roman"/>
          <w:color w:val="auto"/>
          <w:highlight w:val="none"/>
        </w:rPr>
        <w:t>6.3 评标</w:t>
      </w:r>
      <w:bookmarkEnd w:id="208"/>
      <w:bookmarkEnd w:id="209"/>
    </w:p>
    <w:p w14:paraId="1F3D405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bookmarkEnd w:id="197"/>
      <w:bookmarkEnd w:id="198"/>
      <w:bookmarkEnd w:id="199"/>
      <w:bookmarkEnd w:id="200"/>
      <w:bookmarkEnd w:id="201"/>
      <w:bookmarkEnd w:id="202"/>
      <w:bookmarkEnd w:id="203"/>
      <w:bookmarkEnd w:id="204"/>
      <w:bookmarkEnd w:id="205"/>
      <w:bookmarkEnd w:id="206"/>
      <w:bookmarkEnd w:id="207"/>
      <w:r>
        <w:rPr>
          <w:rFonts w:ascii="Times New Roman" w:hAnsi="Times New Roman"/>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297EE458">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6.3.2评标完成后，评标委员会应当向招标人提交书面评标报告和中标候选人名单。评标委员会推荐中标</w:t>
      </w:r>
      <w:bookmarkStart w:id="210" w:name="_Toc247527583"/>
      <w:bookmarkStart w:id="211" w:name="_Toc361508615"/>
      <w:bookmarkStart w:id="212" w:name="_Toc152045558"/>
      <w:bookmarkStart w:id="213" w:name="_Toc144974526"/>
      <w:bookmarkStart w:id="214" w:name="_Toc152042334"/>
      <w:bookmarkStart w:id="215" w:name="_Toc384308240"/>
      <w:bookmarkStart w:id="216" w:name="_Toc12259"/>
      <w:bookmarkStart w:id="217" w:name="_Toc352691502"/>
      <w:bookmarkStart w:id="218" w:name="_Toc369531546"/>
      <w:bookmarkStart w:id="219" w:name="_Toc300834979"/>
      <w:bookmarkStart w:id="220" w:name="_Toc247513982"/>
      <w:r>
        <w:rPr>
          <w:rFonts w:ascii="Times New Roman" w:hAnsi="Times New Roman"/>
          <w:color w:val="auto"/>
          <w:sz w:val="24"/>
          <w:szCs w:val="24"/>
          <w:highlight w:val="none"/>
        </w:rPr>
        <w:t>候选人的人数见投标人须知前附</w:t>
      </w:r>
      <w:bookmarkEnd w:id="210"/>
      <w:bookmarkEnd w:id="211"/>
      <w:bookmarkEnd w:id="212"/>
      <w:bookmarkEnd w:id="213"/>
      <w:bookmarkEnd w:id="214"/>
      <w:bookmarkEnd w:id="215"/>
      <w:bookmarkEnd w:id="216"/>
      <w:bookmarkEnd w:id="217"/>
      <w:bookmarkEnd w:id="218"/>
      <w:bookmarkEnd w:id="219"/>
      <w:bookmarkEnd w:id="220"/>
      <w:r>
        <w:rPr>
          <w:rFonts w:ascii="Times New Roman" w:hAnsi="Times New Roman"/>
          <w:color w:val="auto"/>
          <w:sz w:val="24"/>
          <w:szCs w:val="24"/>
          <w:highlight w:val="none"/>
        </w:rPr>
        <w:t>表。</w:t>
      </w:r>
    </w:p>
    <w:p w14:paraId="0E9081ED">
      <w:pPr>
        <w:pStyle w:val="4"/>
        <w:shd w:val="clear" w:color="auto" w:fill="auto"/>
        <w:rPr>
          <w:rFonts w:ascii="Times New Roman" w:hAnsi="Times New Roman"/>
          <w:color w:val="auto"/>
          <w:highlight w:val="none"/>
        </w:rPr>
      </w:pPr>
      <w:bookmarkStart w:id="221" w:name="_Toc491883134"/>
      <w:bookmarkStart w:id="222" w:name="_Toc68765093"/>
      <w:r>
        <w:rPr>
          <w:rFonts w:ascii="Times New Roman" w:hAnsi="Times New Roman"/>
          <w:color w:val="auto"/>
          <w:highlight w:val="none"/>
        </w:rPr>
        <w:t>7. 合同授予</w:t>
      </w:r>
      <w:bookmarkEnd w:id="221"/>
      <w:bookmarkEnd w:id="222"/>
    </w:p>
    <w:p w14:paraId="00F45D2C">
      <w:pPr>
        <w:pStyle w:val="5"/>
        <w:shd w:val="clear" w:color="auto" w:fill="auto"/>
        <w:spacing w:line="240" w:lineRule="auto"/>
        <w:ind w:firstLine="137"/>
        <w:rPr>
          <w:rFonts w:ascii="Times New Roman" w:hAnsi="Times New Roman"/>
          <w:color w:val="auto"/>
          <w:highlight w:val="none"/>
        </w:rPr>
      </w:pPr>
      <w:bookmarkStart w:id="223" w:name="_Toc491883135"/>
      <w:bookmarkStart w:id="224" w:name="_Toc68765094"/>
      <w:r>
        <w:rPr>
          <w:rFonts w:ascii="Times New Roman" w:hAnsi="Times New Roman"/>
          <w:color w:val="auto"/>
          <w:highlight w:val="none"/>
        </w:rPr>
        <w:t>7.1 中标候选人公示</w:t>
      </w:r>
      <w:bookmarkEnd w:id="223"/>
      <w:bookmarkEnd w:id="224"/>
    </w:p>
    <w:p w14:paraId="7AC18256">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招标人在收到评标报告之日起3日内，按照投标人须知前附表规定的公示媒介和期限公示中标候选人，公示期不得少于3天。</w:t>
      </w:r>
    </w:p>
    <w:p w14:paraId="04E0025D">
      <w:pPr>
        <w:pStyle w:val="5"/>
        <w:shd w:val="clear" w:color="auto" w:fill="auto"/>
        <w:spacing w:line="240" w:lineRule="auto"/>
        <w:ind w:firstLine="137"/>
        <w:rPr>
          <w:rFonts w:ascii="Times New Roman" w:hAnsi="Times New Roman"/>
          <w:color w:val="auto"/>
          <w:highlight w:val="none"/>
        </w:rPr>
      </w:pPr>
      <w:bookmarkStart w:id="225" w:name="_Toc68765095"/>
      <w:bookmarkStart w:id="226" w:name="_Toc491883136"/>
      <w:r>
        <w:rPr>
          <w:rFonts w:ascii="Times New Roman" w:hAnsi="Times New Roman"/>
          <w:color w:val="auto"/>
          <w:highlight w:val="none"/>
        </w:rPr>
        <w:t>7.2 评标结果异议</w:t>
      </w:r>
      <w:bookmarkEnd w:id="225"/>
      <w:bookmarkEnd w:id="226"/>
    </w:p>
    <w:p w14:paraId="1995BA2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w:t>
      </w:r>
      <w:bookmarkStart w:id="227" w:name="_Toc30095"/>
      <w:bookmarkStart w:id="228" w:name="_Toc152042337"/>
      <w:bookmarkStart w:id="229" w:name="_Toc144974529"/>
      <w:bookmarkStart w:id="230" w:name="_Toc361508618"/>
      <w:bookmarkStart w:id="231" w:name="_Toc384308243"/>
      <w:bookmarkStart w:id="232" w:name="_Toc247513985"/>
      <w:bookmarkStart w:id="233" w:name="_Toc300834982"/>
      <w:bookmarkStart w:id="234" w:name="_Toc247527586"/>
      <w:bookmarkStart w:id="235" w:name="_Toc152045561"/>
      <w:bookmarkStart w:id="236" w:name="_Toc369531549"/>
      <w:bookmarkStart w:id="237" w:name="_Toc352691505"/>
      <w:r>
        <w:rPr>
          <w:rFonts w:ascii="Times New Roman" w:hAnsi="Times New Roman"/>
          <w:color w:val="auto"/>
          <w:sz w:val="24"/>
          <w:szCs w:val="24"/>
          <w:highlight w:val="none"/>
        </w:rPr>
        <w:t>害关系人对评标结</w:t>
      </w:r>
      <w:bookmarkEnd w:id="227"/>
      <w:bookmarkEnd w:id="228"/>
      <w:bookmarkEnd w:id="229"/>
      <w:bookmarkEnd w:id="230"/>
      <w:bookmarkEnd w:id="231"/>
      <w:bookmarkEnd w:id="232"/>
      <w:bookmarkEnd w:id="233"/>
      <w:bookmarkEnd w:id="234"/>
      <w:bookmarkEnd w:id="235"/>
      <w:bookmarkEnd w:id="236"/>
      <w:bookmarkEnd w:id="237"/>
      <w:r>
        <w:rPr>
          <w:rFonts w:ascii="Times New Roman" w:hAnsi="Times New Roman"/>
          <w:color w:val="auto"/>
          <w:sz w:val="24"/>
          <w:szCs w:val="24"/>
          <w:highlight w:val="none"/>
        </w:rPr>
        <w:t>果有异议的，应当在中标候选人公示期间提出。招标人将在收到异议之日起3日内作出答复；作出答复前，将暂停招标投标活动。</w:t>
      </w:r>
    </w:p>
    <w:p w14:paraId="08F38DBE">
      <w:pPr>
        <w:pStyle w:val="5"/>
        <w:shd w:val="clear" w:color="auto" w:fill="auto"/>
        <w:spacing w:line="240" w:lineRule="auto"/>
        <w:ind w:firstLine="137"/>
        <w:rPr>
          <w:rFonts w:ascii="Times New Roman" w:hAnsi="Times New Roman"/>
          <w:color w:val="auto"/>
          <w:highlight w:val="none"/>
        </w:rPr>
      </w:pPr>
      <w:bookmarkStart w:id="238" w:name="_Toc491883137"/>
      <w:bookmarkStart w:id="239" w:name="_Toc68765096"/>
      <w:r>
        <w:rPr>
          <w:rFonts w:ascii="Times New Roman" w:hAnsi="Times New Roman"/>
          <w:color w:val="auto"/>
          <w:highlight w:val="none"/>
        </w:rPr>
        <w:t>7.3 中标候选人履约能力审查</w:t>
      </w:r>
      <w:bookmarkEnd w:id="238"/>
      <w:bookmarkEnd w:id="239"/>
    </w:p>
    <w:p w14:paraId="00FC75C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4049D43">
      <w:pPr>
        <w:pStyle w:val="5"/>
        <w:shd w:val="clear" w:color="auto" w:fill="auto"/>
        <w:spacing w:line="240" w:lineRule="auto"/>
        <w:ind w:firstLine="137"/>
        <w:rPr>
          <w:rFonts w:ascii="Times New Roman" w:hAnsi="Times New Roman"/>
          <w:color w:val="auto"/>
          <w:highlight w:val="none"/>
        </w:rPr>
      </w:pPr>
      <w:bookmarkStart w:id="240" w:name="_Toc491883138"/>
      <w:bookmarkStart w:id="241" w:name="_Toc68765097"/>
      <w:r>
        <w:rPr>
          <w:rFonts w:ascii="Times New Roman" w:hAnsi="Times New Roman"/>
          <w:color w:val="auto"/>
          <w:highlight w:val="none"/>
        </w:rPr>
        <w:t>7.4 定标</w:t>
      </w:r>
      <w:bookmarkEnd w:id="240"/>
      <w:bookmarkEnd w:id="241"/>
    </w:p>
    <w:p w14:paraId="22839B44">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按照投标人须知前附表的规定，招标人或招标人授权的评标委员会依法确定中标人。</w:t>
      </w:r>
    </w:p>
    <w:p w14:paraId="687E2666">
      <w:pPr>
        <w:pStyle w:val="5"/>
        <w:shd w:val="clear" w:color="auto" w:fill="auto"/>
        <w:spacing w:line="240" w:lineRule="auto"/>
        <w:ind w:firstLine="137"/>
        <w:rPr>
          <w:rFonts w:ascii="Times New Roman" w:hAnsi="Times New Roman"/>
          <w:color w:val="auto"/>
          <w:highlight w:val="none"/>
        </w:rPr>
      </w:pPr>
      <w:bookmarkStart w:id="242" w:name="_Toc491883139"/>
      <w:bookmarkStart w:id="243" w:name="_Toc68765098"/>
      <w:r>
        <w:rPr>
          <w:rFonts w:ascii="Times New Roman" w:hAnsi="Times New Roman"/>
          <w:color w:val="auto"/>
          <w:highlight w:val="none"/>
        </w:rPr>
        <w:t>7.5 中标通知</w:t>
      </w:r>
      <w:bookmarkEnd w:id="242"/>
      <w:bookmarkEnd w:id="243"/>
    </w:p>
    <w:p w14:paraId="4BE6935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在本章第3.3款规定的投标有效期内，招标人以书面形式向中标人发出中标</w:t>
      </w:r>
      <w:bookmarkStart w:id="244" w:name="_Toc352691506"/>
      <w:bookmarkStart w:id="245" w:name="_Toc5668"/>
      <w:bookmarkStart w:id="246" w:name="_Toc384308244"/>
      <w:bookmarkStart w:id="247" w:name="_Toc300834983"/>
      <w:bookmarkStart w:id="248" w:name="_Toc361508619"/>
      <w:bookmarkStart w:id="249" w:name="_Toc369531550"/>
      <w:r>
        <w:rPr>
          <w:rFonts w:ascii="Times New Roman" w:hAnsi="Times New Roman"/>
          <w:color w:val="auto"/>
          <w:sz w:val="24"/>
          <w:szCs w:val="24"/>
          <w:highlight w:val="none"/>
        </w:rPr>
        <w:t>通知书，同时将中</w:t>
      </w:r>
      <w:bookmarkEnd w:id="244"/>
      <w:bookmarkEnd w:id="245"/>
      <w:bookmarkEnd w:id="246"/>
      <w:bookmarkEnd w:id="247"/>
      <w:bookmarkEnd w:id="248"/>
      <w:bookmarkEnd w:id="249"/>
      <w:r>
        <w:rPr>
          <w:rFonts w:ascii="Times New Roman" w:hAnsi="Times New Roman"/>
          <w:color w:val="auto"/>
          <w:sz w:val="24"/>
          <w:szCs w:val="24"/>
          <w:highlight w:val="none"/>
        </w:rPr>
        <w:t>标结果通知未中标的投标人。</w:t>
      </w:r>
    </w:p>
    <w:p w14:paraId="5F0A7894">
      <w:pPr>
        <w:pStyle w:val="5"/>
        <w:shd w:val="clear" w:color="auto" w:fill="auto"/>
        <w:spacing w:line="240" w:lineRule="auto"/>
        <w:ind w:firstLine="137"/>
        <w:rPr>
          <w:rFonts w:ascii="Times New Roman" w:hAnsi="Times New Roman"/>
          <w:color w:val="auto"/>
          <w:highlight w:val="none"/>
        </w:rPr>
      </w:pPr>
      <w:bookmarkStart w:id="250" w:name="_Toc68765099"/>
      <w:bookmarkStart w:id="251" w:name="_Toc491883140"/>
      <w:r>
        <w:rPr>
          <w:rFonts w:ascii="Times New Roman" w:hAnsi="Times New Roman"/>
          <w:color w:val="auto"/>
          <w:highlight w:val="none"/>
        </w:rPr>
        <w:t>7.6 履约保证金</w:t>
      </w:r>
      <w:bookmarkEnd w:id="250"/>
      <w:bookmarkEnd w:id="251"/>
    </w:p>
    <w:p w14:paraId="4E70DE0A">
      <w:pPr>
        <w:rPr>
          <w:rFonts w:hint="default" w:eastAsia="宋体"/>
          <w:u w:val="single"/>
          <w:lang w:val="en-US" w:eastAsia="zh-CN"/>
        </w:rPr>
      </w:pPr>
      <w:r>
        <w:rPr>
          <w:rFonts w:hint="eastAsia" w:ascii="Times New Roman" w:hAnsi="Times New Roman"/>
          <w:color w:val="auto"/>
          <w:sz w:val="24"/>
          <w:szCs w:val="24"/>
          <w:highlight w:val="none"/>
          <w:u w:val="single"/>
          <w:lang w:val="en-US" w:eastAsia="zh-CN"/>
        </w:rPr>
        <w:t>本项目不要求履约保证金。</w:t>
      </w:r>
    </w:p>
    <w:p w14:paraId="532D8B31">
      <w:pPr>
        <w:pStyle w:val="5"/>
        <w:shd w:val="clear" w:color="auto" w:fill="auto"/>
        <w:spacing w:line="240" w:lineRule="auto"/>
        <w:ind w:firstLine="137"/>
        <w:rPr>
          <w:rFonts w:ascii="Times New Roman" w:hAnsi="Times New Roman"/>
          <w:color w:val="auto"/>
          <w:highlight w:val="none"/>
        </w:rPr>
      </w:pPr>
      <w:bookmarkStart w:id="252" w:name="_Toc68765100"/>
      <w:bookmarkStart w:id="253" w:name="_Toc491883141"/>
      <w:r>
        <w:rPr>
          <w:rFonts w:ascii="Times New Roman" w:hAnsi="Times New Roman"/>
          <w:color w:val="auto"/>
          <w:highlight w:val="none"/>
        </w:rPr>
        <w:t>7.7 签订合同</w:t>
      </w:r>
      <w:bookmarkEnd w:id="252"/>
      <w:bookmarkEnd w:id="253"/>
    </w:p>
    <w:p w14:paraId="131C81DD">
      <w:pPr>
        <w:shd w:val="clear" w:color="auto" w:fill="auto"/>
        <w:spacing w:line="400" w:lineRule="exact"/>
        <w:ind w:firstLine="480" w:firstLineChars="200"/>
        <w:rPr>
          <w:rFonts w:hint="eastAsia" w:ascii="Times New Roman" w:hAnsi="Times New Roman"/>
          <w:color w:val="auto"/>
          <w:sz w:val="24"/>
          <w:szCs w:val="24"/>
          <w:highlight w:val="none"/>
        </w:rPr>
      </w:pPr>
      <w:r>
        <w:rPr>
          <w:rFonts w:ascii="Times New Roman" w:hAnsi="Times New Roman"/>
          <w:color w:val="auto"/>
          <w:sz w:val="24"/>
          <w:szCs w:val="24"/>
          <w:highlight w:val="none"/>
        </w:rPr>
        <w:t xml:space="preserve">7.7.1 </w:t>
      </w:r>
      <w:r>
        <w:rPr>
          <w:rFonts w:hint="eastAsia" w:ascii="Times New Roman" w:hAnsi="Times New Roman"/>
          <w:color w:val="auto"/>
          <w:sz w:val="24"/>
          <w:szCs w:val="24"/>
          <w:highlight w:val="none"/>
        </w:rPr>
        <w:t>招标人和中标人应当在中标通知书发出之日起30日内，根据招标文件和中标人的投标文件订立书面合同。中标人无正当理由拒签合同，在签订合同时向招标人提出附加条件，或者不按照招标文件要求提交履约担保的，招标人有权取消其中标资格；给招标人造成的损失，中标人还应当对超过部分予以赔偿。</w:t>
      </w:r>
    </w:p>
    <w:p w14:paraId="1E5EA7C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7.7.2 </w:t>
      </w:r>
      <w:r>
        <w:rPr>
          <w:rFonts w:hint="eastAsia" w:ascii="Times New Roman" w:hAnsi="Times New Roman"/>
          <w:color w:val="auto"/>
          <w:sz w:val="24"/>
          <w:szCs w:val="24"/>
          <w:highlight w:val="none"/>
        </w:rPr>
        <w:t>发出中标通知书后，招标人无正当理由拒签合同，或者在签订合同时向中标人提出附加条件的，给中标人造成损失的，还应当赔偿损失。</w:t>
      </w:r>
    </w:p>
    <w:p w14:paraId="08D23AB8">
      <w:pPr>
        <w:pStyle w:val="4"/>
        <w:shd w:val="clear" w:color="auto" w:fill="auto"/>
        <w:rPr>
          <w:rFonts w:ascii="Times New Roman" w:hAnsi="Times New Roman"/>
          <w:color w:val="auto"/>
          <w:highlight w:val="none"/>
        </w:rPr>
      </w:pPr>
      <w:bookmarkStart w:id="254" w:name="_Toc384308252"/>
      <w:bookmarkStart w:id="255" w:name="_Toc24067"/>
      <w:bookmarkStart w:id="256" w:name="_Toc361508627"/>
      <w:bookmarkStart w:id="257" w:name="_Toc68765101"/>
      <w:bookmarkStart w:id="258" w:name="_Toc491883142"/>
      <w:bookmarkStart w:id="259" w:name="_Toc152045568"/>
      <w:bookmarkStart w:id="260" w:name="_Toc144974536"/>
      <w:bookmarkStart w:id="261" w:name="_Toc300834991"/>
      <w:bookmarkStart w:id="262" w:name="_Toc247527593"/>
      <w:bookmarkStart w:id="263" w:name="_Toc247513992"/>
      <w:bookmarkStart w:id="264" w:name="_Toc152042344"/>
      <w:r>
        <w:rPr>
          <w:rFonts w:ascii="Times New Roman" w:hAnsi="Times New Roman"/>
          <w:color w:val="auto"/>
          <w:highlight w:val="none"/>
        </w:rPr>
        <w:t>8.</w:t>
      </w:r>
      <w:bookmarkEnd w:id="254"/>
      <w:bookmarkEnd w:id="255"/>
      <w:bookmarkEnd w:id="256"/>
      <w:r>
        <w:rPr>
          <w:rFonts w:ascii="Times New Roman" w:hAnsi="Times New Roman"/>
          <w:color w:val="auto"/>
          <w:highlight w:val="none"/>
        </w:rPr>
        <w:t>纪律和监督</w:t>
      </w:r>
      <w:bookmarkEnd w:id="257"/>
      <w:bookmarkEnd w:id="258"/>
    </w:p>
    <w:p w14:paraId="4AFB2DFA">
      <w:pPr>
        <w:pStyle w:val="5"/>
        <w:shd w:val="clear" w:color="auto" w:fill="auto"/>
        <w:spacing w:line="240" w:lineRule="auto"/>
        <w:ind w:firstLine="137"/>
        <w:rPr>
          <w:rFonts w:ascii="Times New Roman" w:hAnsi="Times New Roman"/>
          <w:color w:val="auto"/>
          <w:highlight w:val="none"/>
        </w:rPr>
      </w:pPr>
      <w:bookmarkStart w:id="265" w:name="_Toc491883143"/>
      <w:bookmarkStart w:id="266" w:name="_Toc68765102"/>
      <w:r>
        <w:rPr>
          <w:rFonts w:ascii="Times New Roman" w:hAnsi="Times New Roman"/>
          <w:color w:val="auto"/>
          <w:highlight w:val="none"/>
        </w:rPr>
        <w:t>8.1 对招标人的纪律要求</w:t>
      </w:r>
      <w:bookmarkEnd w:id="265"/>
      <w:bookmarkEnd w:id="266"/>
    </w:p>
    <w:p w14:paraId="7E1F648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招标人不得泄露招标投标活动中应当保密的情况和资料，不得与投标人串通损害国家利益、社会公共利益或者他人合法权益。</w:t>
      </w:r>
    </w:p>
    <w:p w14:paraId="03477BE7">
      <w:pPr>
        <w:pStyle w:val="5"/>
        <w:shd w:val="clear" w:color="auto" w:fill="auto"/>
        <w:spacing w:line="240" w:lineRule="auto"/>
        <w:ind w:firstLine="137"/>
        <w:rPr>
          <w:rFonts w:ascii="Times New Roman" w:hAnsi="Times New Roman"/>
          <w:color w:val="auto"/>
          <w:highlight w:val="none"/>
        </w:rPr>
      </w:pPr>
      <w:bookmarkStart w:id="267" w:name="_Toc68765103"/>
      <w:bookmarkStart w:id="268" w:name="_Toc491883144"/>
      <w:r>
        <w:rPr>
          <w:rFonts w:ascii="Times New Roman" w:hAnsi="Times New Roman"/>
          <w:color w:val="auto"/>
          <w:highlight w:val="none"/>
        </w:rPr>
        <w:t>8.2 对投标人的纪律要求</w:t>
      </w:r>
      <w:bookmarkEnd w:id="267"/>
      <w:bookmarkEnd w:id="268"/>
    </w:p>
    <w:p w14:paraId="218FA02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FC1F9D6">
      <w:pPr>
        <w:pStyle w:val="5"/>
        <w:shd w:val="clear" w:color="auto" w:fill="auto"/>
        <w:spacing w:line="240" w:lineRule="auto"/>
        <w:ind w:firstLine="137"/>
        <w:rPr>
          <w:rFonts w:ascii="Times New Roman" w:hAnsi="Times New Roman"/>
          <w:color w:val="auto"/>
          <w:highlight w:val="none"/>
        </w:rPr>
      </w:pPr>
      <w:bookmarkStart w:id="269" w:name="_Toc68765104"/>
      <w:bookmarkStart w:id="270" w:name="_Toc491883145"/>
      <w:r>
        <w:rPr>
          <w:rFonts w:ascii="Times New Roman" w:hAnsi="Times New Roman"/>
          <w:color w:val="auto"/>
          <w:highlight w:val="none"/>
        </w:rPr>
        <w:t>8.3 对评标委员会成员的纪律要求</w:t>
      </w:r>
      <w:bookmarkEnd w:id="269"/>
      <w:bookmarkEnd w:id="270"/>
    </w:p>
    <w:p w14:paraId="0F56DCDD">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评标委员会成员不得收受他人的财物或者其他好处，不得向他人透露对投标文件的评审</w:t>
      </w:r>
      <w:bookmarkStart w:id="271" w:name="_Toc369531559"/>
      <w:bookmarkStart w:id="272" w:name="_Toc384308253"/>
      <w:bookmarkStart w:id="273" w:name="_Toc352691515"/>
      <w:bookmarkStart w:id="274" w:name="_Toc361508628"/>
      <w:bookmarkStart w:id="275" w:name="_Toc13644"/>
      <w:r>
        <w:rPr>
          <w:rFonts w:ascii="Times New Roman" w:hAnsi="Times New Roman"/>
          <w:color w:val="auto"/>
          <w:sz w:val="24"/>
          <w:szCs w:val="24"/>
          <w:highlight w:val="none"/>
        </w:rPr>
        <w:t>和比较、中标候选人</w:t>
      </w:r>
      <w:bookmarkEnd w:id="259"/>
      <w:bookmarkEnd w:id="260"/>
      <w:bookmarkEnd w:id="261"/>
      <w:bookmarkEnd w:id="262"/>
      <w:bookmarkEnd w:id="263"/>
      <w:bookmarkEnd w:id="264"/>
      <w:bookmarkEnd w:id="271"/>
      <w:bookmarkEnd w:id="272"/>
      <w:bookmarkEnd w:id="273"/>
      <w:bookmarkEnd w:id="274"/>
      <w:bookmarkEnd w:id="275"/>
      <w:r>
        <w:rPr>
          <w:rFonts w:ascii="Times New Roman" w:hAnsi="Times New Roman"/>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196B1F4">
      <w:pPr>
        <w:pStyle w:val="5"/>
        <w:shd w:val="clear" w:color="auto" w:fill="auto"/>
        <w:spacing w:line="240" w:lineRule="auto"/>
        <w:ind w:firstLine="137"/>
        <w:rPr>
          <w:rFonts w:ascii="Times New Roman" w:hAnsi="Times New Roman"/>
          <w:color w:val="auto"/>
          <w:highlight w:val="none"/>
        </w:rPr>
      </w:pPr>
      <w:bookmarkStart w:id="276" w:name="_Toc491883146"/>
      <w:bookmarkStart w:id="277" w:name="_Toc68765105"/>
      <w:r>
        <w:rPr>
          <w:rFonts w:ascii="Times New Roman" w:hAnsi="Times New Roman"/>
          <w:color w:val="auto"/>
          <w:highlight w:val="none"/>
        </w:rPr>
        <w:t>8.4 对与评标活动有关的工作人员的纪律要求</w:t>
      </w:r>
      <w:bookmarkEnd w:id="276"/>
      <w:bookmarkEnd w:id="277"/>
    </w:p>
    <w:p w14:paraId="74105DAA">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与评标活动有关的工作人员不得收受他人的财物或者其他好处，不得向他人透露对投标文件</w:t>
      </w:r>
      <w:bookmarkStart w:id="278" w:name="_Toc352691516"/>
      <w:bookmarkStart w:id="279" w:name="_Toc152045569"/>
      <w:bookmarkStart w:id="280" w:name="_Toc361508629"/>
      <w:bookmarkStart w:id="281" w:name="_Toc300834992"/>
      <w:bookmarkStart w:id="282" w:name="_Toc247527594"/>
      <w:bookmarkStart w:id="283" w:name="_Toc152042345"/>
      <w:bookmarkStart w:id="284" w:name="_Toc19429"/>
      <w:bookmarkStart w:id="285" w:name="_Toc144974537"/>
      <w:bookmarkStart w:id="286" w:name="_Toc247513993"/>
      <w:bookmarkStart w:id="287" w:name="_Toc384308254"/>
      <w:bookmarkStart w:id="288" w:name="_Toc369531560"/>
      <w:r>
        <w:rPr>
          <w:rFonts w:ascii="Times New Roman" w:hAnsi="Times New Roman"/>
          <w:color w:val="auto"/>
          <w:sz w:val="24"/>
          <w:szCs w:val="24"/>
          <w:highlight w:val="none"/>
        </w:rPr>
        <w:t>的评审和比较、中标</w:t>
      </w:r>
      <w:bookmarkEnd w:id="278"/>
      <w:bookmarkEnd w:id="279"/>
      <w:bookmarkEnd w:id="280"/>
      <w:bookmarkEnd w:id="281"/>
      <w:bookmarkEnd w:id="282"/>
      <w:bookmarkEnd w:id="283"/>
      <w:bookmarkEnd w:id="284"/>
      <w:bookmarkEnd w:id="285"/>
      <w:bookmarkEnd w:id="286"/>
      <w:bookmarkEnd w:id="287"/>
      <w:bookmarkEnd w:id="288"/>
      <w:r>
        <w:rPr>
          <w:rFonts w:ascii="Times New Roman" w:hAnsi="Times New Roman"/>
          <w:color w:val="auto"/>
          <w:sz w:val="24"/>
          <w:szCs w:val="24"/>
          <w:highlight w:val="none"/>
        </w:rPr>
        <w:t>候选人的推荐情况以及评标有关的其他情况。在评标活动中，与评标活动有关的工作人员不得擅离职守，影响评标程序正常进行。</w:t>
      </w:r>
    </w:p>
    <w:p w14:paraId="4BB628A4">
      <w:pPr>
        <w:pStyle w:val="5"/>
        <w:shd w:val="clear" w:color="auto" w:fill="auto"/>
        <w:spacing w:line="240" w:lineRule="auto"/>
        <w:ind w:firstLine="137"/>
        <w:rPr>
          <w:rFonts w:ascii="Times New Roman" w:hAnsi="Times New Roman"/>
          <w:color w:val="auto"/>
          <w:highlight w:val="none"/>
        </w:rPr>
      </w:pPr>
      <w:bookmarkStart w:id="289" w:name="_Toc68765106"/>
      <w:bookmarkStart w:id="290" w:name="_Toc491883147"/>
      <w:r>
        <w:rPr>
          <w:rFonts w:ascii="Times New Roman" w:hAnsi="Times New Roman"/>
          <w:color w:val="auto"/>
          <w:highlight w:val="none"/>
        </w:rPr>
        <w:t>8.5 投诉</w:t>
      </w:r>
      <w:bookmarkEnd w:id="289"/>
      <w:bookmarkEnd w:id="290"/>
    </w:p>
    <w:p w14:paraId="1C2F4445">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3AA3839">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291" w:name="_Toc361508630"/>
      <w:bookmarkStart w:id="292" w:name="_Toc369531561"/>
      <w:bookmarkStart w:id="293" w:name="_Toc384308255"/>
      <w:bookmarkStart w:id="294" w:name="_Toc144974538"/>
      <w:bookmarkStart w:id="295" w:name="_Toc300834993"/>
      <w:bookmarkStart w:id="296" w:name="_Toc152045570"/>
      <w:bookmarkStart w:id="297" w:name="_Toc152042346"/>
      <w:bookmarkStart w:id="298" w:name="_Toc247513994"/>
      <w:bookmarkStart w:id="299" w:name="_Toc12776"/>
      <w:bookmarkStart w:id="300" w:name="_Toc352691517"/>
      <w:bookmarkStart w:id="301" w:name="_Toc247527595"/>
      <w:r>
        <w:rPr>
          <w:rFonts w:ascii="Times New Roman" w:hAnsi="Times New Roman"/>
          <w:color w:val="auto"/>
          <w:sz w:val="24"/>
          <w:szCs w:val="24"/>
          <w:highlight w:val="none"/>
        </w:rPr>
        <w:t>不计算在第8.5.</w:t>
      </w:r>
      <w:bookmarkEnd w:id="291"/>
      <w:bookmarkEnd w:id="292"/>
      <w:bookmarkEnd w:id="293"/>
      <w:bookmarkEnd w:id="294"/>
      <w:bookmarkEnd w:id="295"/>
      <w:bookmarkEnd w:id="296"/>
      <w:bookmarkEnd w:id="297"/>
      <w:bookmarkEnd w:id="298"/>
      <w:bookmarkEnd w:id="299"/>
      <w:bookmarkEnd w:id="300"/>
      <w:bookmarkEnd w:id="301"/>
      <w:r>
        <w:rPr>
          <w:rFonts w:ascii="Times New Roman" w:hAnsi="Times New Roman"/>
          <w:color w:val="auto"/>
          <w:sz w:val="24"/>
          <w:szCs w:val="24"/>
          <w:highlight w:val="none"/>
        </w:rPr>
        <w:t>1项规定的期限内。</w:t>
      </w:r>
    </w:p>
    <w:p w14:paraId="64BAC0B6">
      <w:pPr>
        <w:pStyle w:val="4"/>
        <w:shd w:val="clear" w:color="auto" w:fill="auto"/>
        <w:spacing w:line="240" w:lineRule="auto"/>
        <w:rPr>
          <w:rFonts w:ascii="Times New Roman" w:hAnsi="Times New Roman"/>
          <w:color w:val="auto"/>
          <w:highlight w:val="none"/>
        </w:rPr>
      </w:pPr>
      <w:bookmarkStart w:id="302" w:name="_Toc477134992"/>
      <w:bookmarkStart w:id="303" w:name="_Toc491883148"/>
      <w:bookmarkStart w:id="304" w:name="_Toc68765107"/>
      <w:r>
        <w:rPr>
          <w:rFonts w:ascii="Times New Roman" w:hAnsi="Times New Roman"/>
          <w:color w:val="auto"/>
          <w:highlight w:val="none"/>
        </w:rPr>
        <w:t>9. 是否采用电子招标投标</w:t>
      </w:r>
      <w:bookmarkEnd w:id="302"/>
      <w:bookmarkEnd w:id="303"/>
      <w:bookmarkEnd w:id="304"/>
    </w:p>
    <w:p w14:paraId="7E616652">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本招标项目是否采用电子招标投标方式，见投标人须知前附表。</w:t>
      </w:r>
    </w:p>
    <w:p w14:paraId="7CDD76A5">
      <w:pPr>
        <w:pStyle w:val="4"/>
        <w:shd w:val="clear" w:color="auto" w:fill="auto"/>
        <w:spacing w:line="240" w:lineRule="auto"/>
        <w:rPr>
          <w:rFonts w:ascii="Times New Roman" w:hAnsi="Times New Roman"/>
          <w:color w:val="auto"/>
          <w:highlight w:val="none"/>
        </w:rPr>
      </w:pPr>
      <w:bookmarkStart w:id="305" w:name="_Toc68765108"/>
      <w:bookmarkStart w:id="306" w:name="_Toc491883149"/>
      <w:r>
        <w:rPr>
          <w:rFonts w:ascii="Times New Roman" w:hAnsi="Times New Roman"/>
          <w:color w:val="auto"/>
          <w:highlight w:val="none"/>
        </w:rPr>
        <w:t>10. 需要补充的其他内容</w:t>
      </w:r>
      <w:bookmarkEnd w:id="305"/>
      <w:bookmarkEnd w:id="306"/>
    </w:p>
    <w:p w14:paraId="61707FEB">
      <w:pPr>
        <w:shd w:val="clear" w:color="auto" w:fill="auto"/>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需要补充的其他内容：见投标人须知前附表。</w:t>
      </w:r>
    </w:p>
    <w:p w14:paraId="11241AED">
      <w:pPr>
        <w:shd w:val="clear" w:color="auto" w:fill="auto"/>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267D788D">
      <w:pPr>
        <w:pStyle w:val="5"/>
        <w:shd w:val="clear" w:color="auto" w:fill="auto"/>
        <w:ind w:firstLine="0" w:firstLineChars="0"/>
        <w:rPr>
          <w:rFonts w:ascii="Times New Roman" w:hAnsi="Times New Roman"/>
          <w:color w:val="auto"/>
          <w:highlight w:val="none"/>
        </w:rPr>
      </w:pPr>
      <w:r>
        <w:rPr>
          <w:rFonts w:ascii="Times New Roman" w:hAnsi="Times New Roman"/>
          <w:color w:val="auto"/>
          <w:highlight w:val="none"/>
        </w:rPr>
        <w:t>附件一：开标记录表</w:t>
      </w:r>
    </w:p>
    <w:p w14:paraId="0A399F99">
      <w:pPr>
        <w:shd w:val="clear" w:color="auto" w:fill="auto"/>
        <w:spacing w:line="440" w:lineRule="exact"/>
        <w:jc w:val="center"/>
        <w:rPr>
          <w:rFonts w:ascii="Times New Roman" w:hAnsi="Times New Roman" w:eastAsia="黑体"/>
          <w:color w:val="auto"/>
          <w:sz w:val="28"/>
          <w:highlight w:val="none"/>
        </w:rPr>
      </w:pPr>
    </w:p>
    <w:p w14:paraId="05D0D1E1">
      <w:pPr>
        <w:shd w:val="clear" w:color="auto" w:fill="auto"/>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14:paraId="4848BCB8">
      <w:pPr>
        <w:shd w:val="clear" w:color="auto" w:fill="auto"/>
        <w:spacing w:before="156" w:beforeLines="50" w:after="156"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tbl>
      <w:tblPr>
        <w:tblStyle w:val="30"/>
        <w:tblW w:w="9038" w:type="dxa"/>
        <w:jc w:val="center"/>
        <w:tblLayout w:type="fixed"/>
        <w:tblCellMar>
          <w:top w:w="0" w:type="dxa"/>
          <w:left w:w="108" w:type="dxa"/>
          <w:bottom w:w="0" w:type="dxa"/>
          <w:right w:w="108" w:type="dxa"/>
        </w:tblCellMar>
      </w:tblPr>
      <w:tblGrid>
        <w:gridCol w:w="649"/>
        <w:gridCol w:w="1019"/>
        <w:gridCol w:w="1701"/>
        <w:gridCol w:w="1275"/>
        <w:gridCol w:w="1417"/>
        <w:gridCol w:w="993"/>
        <w:gridCol w:w="708"/>
        <w:gridCol w:w="1276"/>
      </w:tblGrid>
      <w:tr w14:paraId="31555A80">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0D2CD64">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0BB5C24">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D343CC">
            <w:pPr>
              <w:shd w:val="clear" w:color="auto" w:fill="auto"/>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投标文件递交</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EAC4C4">
            <w:pPr>
              <w:shd w:val="clear" w:color="auto" w:fill="auto"/>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解密情况</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51CE7C0">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投标报价</w:t>
            </w:r>
          </w:p>
          <w:p w14:paraId="4801E848">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（元）</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E73320B">
            <w:pPr>
              <w:shd w:val="clear" w:color="auto" w:fill="auto"/>
              <w:spacing w:line="5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交货</w:t>
            </w:r>
          </w:p>
          <w:p w14:paraId="79D07520">
            <w:pPr>
              <w:shd w:val="clear" w:color="auto" w:fill="auto"/>
              <w:spacing w:line="5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期</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B26E48">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备注</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88EB06">
            <w:pPr>
              <w:shd w:val="clear" w:color="auto" w:fill="auto"/>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投标人代表签名</w:t>
            </w:r>
          </w:p>
        </w:tc>
      </w:tr>
      <w:tr w14:paraId="069B328D">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2279C71E">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1AD8808E">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2107F81">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A8E419A">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1FF254FC">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0DED710">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0ECC378">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044213">
            <w:pPr>
              <w:shd w:val="clear" w:color="auto" w:fill="auto"/>
              <w:spacing w:line="500" w:lineRule="exact"/>
              <w:jc w:val="left"/>
              <w:rPr>
                <w:rFonts w:ascii="Times New Roman" w:hAnsi="Times New Roman"/>
                <w:color w:val="auto"/>
                <w:sz w:val="24"/>
                <w:szCs w:val="24"/>
                <w:highlight w:val="none"/>
              </w:rPr>
            </w:pPr>
          </w:p>
        </w:tc>
      </w:tr>
      <w:tr w14:paraId="565F4972">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52B336E0">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28B00F6">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D48E9C3">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CE0A69C">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12C8F19D">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0A62F94">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C63BCD9">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6ED969">
            <w:pPr>
              <w:shd w:val="clear" w:color="auto" w:fill="auto"/>
              <w:spacing w:line="500" w:lineRule="exact"/>
              <w:jc w:val="left"/>
              <w:rPr>
                <w:rFonts w:ascii="Times New Roman" w:hAnsi="Times New Roman"/>
                <w:color w:val="auto"/>
                <w:sz w:val="24"/>
                <w:szCs w:val="24"/>
                <w:highlight w:val="none"/>
              </w:rPr>
            </w:pPr>
          </w:p>
        </w:tc>
      </w:tr>
      <w:tr w14:paraId="5452C1E0">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1B4B1645">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51A4888C">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5C5F657">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BBC8D6D">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4469D410">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7BFC9D0">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0AAEC7A">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B7A343">
            <w:pPr>
              <w:shd w:val="clear" w:color="auto" w:fill="auto"/>
              <w:spacing w:line="500" w:lineRule="exact"/>
              <w:jc w:val="left"/>
              <w:rPr>
                <w:rFonts w:ascii="Times New Roman" w:hAnsi="Times New Roman"/>
                <w:color w:val="auto"/>
                <w:sz w:val="24"/>
                <w:szCs w:val="24"/>
                <w:highlight w:val="none"/>
              </w:rPr>
            </w:pPr>
          </w:p>
        </w:tc>
      </w:tr>
      <w:tr w14:paraId="1C483AC6">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70436334">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23E042C4">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7342BD3">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8179C37">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CE3E640">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4EECDB0">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2DF3F58">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6A647F">
            <w:pPr>
              <w:shd w:val="clear" w:color="auto" w:fill="auto"/>
              <w:spacing w:line="500" w:lineRule="exact"/>
              <w:jc w:val="left"/>
              <w:rPr>
                <w:rFonts w:ascii="Times New Roman" w:hAnsi="Times New Roman"/>
                <w:color w:val="auto"/>
                <w:sz w:val="24"/>
                <w:szCs w:val="24"/>
                <w:highlight w:val="none"/>
              </w:rPr>
            </w:pPr>
          </w:p>
        </w:tc>
      </w:tr>
      <w:tr w14:paraId="1A09BC27">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39304563">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18394476">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C3A34A">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3B4C1E3">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E43DC1B">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209D08B">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DC42EEA">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C1995D">
            <w:pPr>
              <w:shd w:val="clear" w:color="auto" w:fill="auto"/>
              <w:spacing w:line="500" w:lineRule="exact"/>
              <w:jc w:val="left"/>
              <w:rPr>
                <w:rFonts w:ascii="Times New Roman" w:hAnsi="Times New Roman"/>
                <w:color w:val="auto"/>
                <w:sz w:val="24"/>
                <w:szCs w:val="24"/>
                <w:highlight w:val="none"/>
              </w:rPr>
            </w:pPr>
          </w:p>
        </w:tc>
      </w:tr>
      <w:tr w14:paraId="5BED66E7">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37102030">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5993A0F">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0CAEE8">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8D9CCB2">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3388A4A">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55A3AA1">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9C68415">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DEDF10">
            <w:pPr>
              <w:shd w:val="clear" w:color="auto" w:fill="auto"/>
              <w:spacing w:line="500" w:lineRule="exact"/>
              <w:jc w:val="left"/>
              <w:rPr>
                <w:rFonts w:ascii="Times New Roman" w:hAnsi="Times New Roman"/>
                <w:color w:val="auto"/>
                <w:sz w:val="24"/>
                <w:szCs w:val="24"/>
                <w:highlight w:val="none"/>
              </w:rPr>
            </w:pPr>
          </w:p>
        </w:tc>
      </w:tr>
      <w:tr w14:paraId="31E8A8EA">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436663B3">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5773AF18">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9DF9E56">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23B791B">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B108F9F">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1BD8D22">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A3D915F">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9F4FA8">
            <w:pPr>
              <w:shd w:val="clear" w:color="auto" w:fill="auto"/>
              <w:spacing w:line="500" w:lineRule="exact"/>
              <w:jc w:val="left"/>
              <w:rPr>
                <w:rFonts w:ascii="Times New Roman" w:hAnsi="Times New Roman"/>
                <w:color w:val="auto"/>
                <w:sz w:val="24"/>
                <w:szCs w:val="24"/>
                <w:highlight w:val="none"/>
              </w:rPr>
            </w:pPr>
          </w:p>
        </w:tc>
      </w:tr>
      <w:tr w14:paraId="29000FE7">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4C851C06">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372E0729">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AA46E1D">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061DE2A">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5191A6DC">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A8B17DF">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E949EE4">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3B6452">
            <w:pPr>
              <w:shd w:val="clear" w:color="auto" w:fill="auto"/>
              <w:spacing w:line="500" w:lineRule="exact"/>
              <w:jc w:val="left"/>
              <w:rPr>
                <w:rFonts w:ascii="Times New Roman" w:hAnsi="Times New Roman"/>
                <w:color w:val="auto"/>
                <w:sz w:val="24"/>
                <w:szCs w:val="24"/>
                <w:highlight w:val="none"/>
              </w:rPr>
            </w:pPr>
          </w:p>
        </w:tc>
      </w:tr>
      <w:tr w14:paraId="3700C609">
        <w:tblPrEx>
          <w:tblCellMar>
            <w:top w:w="0" w:type="dxa"/>
            <w:left w:w="108" w:type="dxa"/>
            <w:bottom w:w="0" w:type="dxa"/>
            <w:right w:w="108" w:type="dxa"/>
          </w:tblCellMar>
        </w:tblPrEx>
        <w:trPr>
          <w:trHeight w:val="502"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0AE380A7">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374783D1">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DE83F45">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AEF23">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75B1AF0">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04CDE37">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4BCF4F5">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4AEB3A">
            <w:pPr>
              <w:shd w:val="clear" w:color="auto" w:fill="auto"/>
              <w:spacing w:line="500" w:lineRule="exact"/>
              <w:jc w:val="left"/>
              <w:rPr>
                <w:rFonts w:ascii="Times New Roman" w:hAnsi="Times New Roman"/>
                <w:color w:val="auto"/>
                <w:sz w:val="24"/>
                <w:szCs w:val="24"/>
                <w:highlight w:val="none"/>
              </w:rPr>
            </w:pPr>
          </w:p>
        </w:tc>
      </w:tr>
      <w:tr w14:paraId="76B47155">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top"/>
          </w:tcPr>
          <w:p w14:paraId="35DDB722">
            <w:pPr>
              <w:shd w:val="clear" w:color="auto" w:fill="auto"/>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345069B">
            <w:pPr>
              <w:shd w:val="clear" w:color="auto" w:fill="auto"/>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E47A679">
            <w:pPr>
              <w:shd w:val="clear" w:color="auto" w:fill="auto"/>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19923D4">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8A06680">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F65D8AA">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FEC7CDA">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53CCDC">
            <w:pPr>
              <w:shd w:val="clear" w:color="auto" w:fill="auto"/>
              <w:spacing w:line="500" w:lineRule="exact"/>
              <w:jc w:val="left"/>
              <w:rPr>
                <w:rFonts w:ascii="Times New Roman" w:hAnsi="Times New Roman"/>
                <w:color w:val="auto"/>
                <w:sz w:val="24"/>
                <w:szCs w:val="24"/>
                <w:highlight w:val="none"/>
              </w:rPr>
            </w:pPr>
          </w:p>
        </w:tc>
      </w:tr>
      <w:tr w14:paraId="1C807C2E">
        <w:tblPrEx>
          <w:tblCellMar>
            <w:top w:w="0" w:type="dxa"/>
            <w:left w:w="108" w:type="dxa"/>
            <w:bottom w:w="0" w:type="dxa"/>
            <w:right w:w="108" w:type="dxa"/>
          </w:tblCellMar>
        </w:tblPrEx>
        <w:trPr>
          <w:jc w:val="center"/>
        </w:trPr>
        <w:tc>
          <w:tcPr>
            <w:tcW w:w="3369" w:type="dxa"/>
            <w:gridSpan w:val="3"/>
            <w:tcBorders>
              <w:top w:val="single" w:color="auto" w:sz="4" w:space="0"/>
              <w:left w:val="single" w:color="auto" w:sz="4" w:space="0"/>
              <w:bottom w:val="single" w:color="auto" w:sz="4" w:space="0"/>
              <w:right w:val="single" w:color="auto" w:sz="4" w:space="0"/>
            </w:tcBorders>
            <w:noWrap w:val="0"/>
            <w:vAlign w:val="top"/>
          </w:tcPr>
          <w:p w14:paraId="3AA5B724">
            <w:pPr>
              <w:shd w:val="clear" w:color="auto" w:fill="auto"/>
              <w:spacing w:line="5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最高投标限价：</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764E56B">
            <w:pPr>
              <w:shd w:val="clear" w:color="auto" w:fill="auto"/>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4A55448">
            <w:pPr>
              <w:shd w:val="clear" w:color="auto" w:fill="auto"/>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663B226">
            <w:pPr>
              <w:shd w:val="clear" w:color="auto" w:fill="auto"/>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D3EA956">
            <w:pPr>
              <w:shd w:val="clear" w:color="auto" w:fill="auto"/>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404141">
            <w:pPr>
              <w:shd w:val="clear" w:color="auto" w:fill="auto"/>
              <w:spacing w:line="500" w:lineRule="exact"/>
              <w:jc w:val="left"/>
              <w:rPr>
                <w:rFonts w:ascii="Times New Roman" w:hAnsi="Times New Roman"/>
                <w:color w:val="auto"/>
                <w:sz w:val="24"/>
                <w:szCs w:val="24"/>
                <w:highlight w:val="none"/>
              </w:rPr>
            </w:pPr>
          </w:p>
        </w:tc>
      </w:tr>
    </w:tbl>
    <w:p w14:paraId="1D9A39FD">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　　　</w:t>
      </w:r>
    </w:p>
    <w:p w14:paraId="4FDDD083">
      <w:pPr>
        <w:shd w:val="clear" w:color="auto" w:fill="auto"/>
        <w:spacing w:line="620" w:lineRule="exact"/>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14:paraId="5563834C">
      <w:pPr>
        <w:shd w:val="clear" w:color="auto" w:fill="auto"/>
        <w:spacing w:line="620" w:lineRule="exact"/>
        <w:jc w:val="right"/>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590485A">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br w:type="page"/>
      </w:r>
    </w:p>
    <w:p w14:paraId="660B214E">
      <w:pPr>
        <w:pStyle w:val="5"/>
        <w:shd w:val="clear" w:color="auto" w:fill="auto"/>
        <w:ind w:firstLine="137"/>
        <w:rPr>
          <w:rFonts w:ascii="Times New Roman" w:hAnsi="Times New Roman"/>
          <w:color w:val="auto"/>
          <w:highlight w:val="none"/>
        </w:rPr>
      </w:pPr>
      <w:r>
        <w:rPr>
          <w:rFonts w:ascii="Times New Roman" w:hAnsi="Times New Roman"/>
          <w:color w:val="auto"/>
          <w:highlight w:val="none"/>
        </w:rPr>
        <w:t>附件二：问题澄清通知</w:t>
      </w:r>
    </w:p>
    <w:p w14:paraId="5333045A">
      <w:pPr>
        <w:shd w:val="clear" w:color="auto" w:fill="auto"/>
        <w:spacing w:line="440" w:lineRule="exact"/>
        <w:jc w:val="center"/>
        <w:rPr>
          <w:rFonts w:ascii="Times New Roman" w:hAnsi="Times New Roman"/>
          <w:color w:val="auto"/>
          <w:highlight w:val="none"/>
        </w:rPr>
      </w:pPr>
    </w:p>
    <w:p w14:paraId="786FD493">
      <w:pPr>
        <w:shd w:val="clear" w:color="auto" w:fill="auto"/>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14:paraId="2EFC906F">
      <w:pPr>
        <w:shd w:val="clear" w:color="auto" w:fill="auto"/>
        <w:spacing w:line="440" w:lineRule="exact"/>
        <w:jc w:val="center"/>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5D759E87">
      <w:pPr>
        <w:shd w:val="clear" w:color="auto" w:fill="auto"/>
        <w:spacing w:line="440" w:lineRule="exact"/>
        <w:rPr>
          <w:rFonts w:ascii="Times New Roman" w:hAnsi="Times New Roman"/>
          <w:color w:val="auto"/>
          <w:highlight w:val="none"/>
        </w:rPr>
      </w:pPr>
    </w:p>
    <w:p w14:paraId="7E2A5021">
      <w:pPr>
        <w:shd w:val="clear" w:color="auto" w:fill="auto"/>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14:paraId="0EB1E2D3">
      <w:pPr>
        <w:shd w:val="clear" w:color="auto" w:fill="auto"/>
        <w:spacing w:line="440" w:lineRule="exact"/>
        <w:rPr>
          <w:rFonts w:ascii="Times New Roman" w:hAnsi="Times New Roman"/>
          <w:color w:val="auto"/>
          <w:highlight w:val="none"/>
        </w:rPr>
      </w:pPr>
    </w:p>
    <w:p w14:paraId="129AA037">
      <w:pPr>
        <w:shd w:val="clear" w:color="auto" w:fill="auto"/>
        <w:spacing w:line="440" w:lineRule="exact"/>
        <w:rPr>
          <w:rFonts w:ascii="Times New Roman" w:hAnsi="Times New Roman"/>
          <w:color w:val="auto"/>
          <w:sz w:val="24"/>
          <w:szCs w:val="24"/>
          <w:highlight w:val="none"/>
        </w:rPr>
      </w:pPr>
      <w:r>
        <w:rPr>
          <w:rFonts w:ascii="Times New Roman" w:hAnsi="Times New Roman"/>
          <w:color w:val="auto"/>
          <w:highlight w:val="none"/>
        </w:rPr>
        <w:t>　　</w:t>
      </w:r>
      <w:r>
        <w:rPr>
          <w:rFonts w:ascii="Times New Roman" w:hAnsi="Times New Roman"/>
          <w:color w:val="auto"/>
          <w:sz w:val="24"/>
          <w:szCs w:val="24"/>
          <w:highlight w:val="none"/>
        </w:rPr>
        <w:t>评标委员会对你方的投标文件进行了仔细的审查，现需你方对下列问题以书面形式予以澄清、说明或补正：</w:t>
      </w:r>
    </w:p>
    <w:p w14:paraId="5EFB1E8E">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211E539E">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1.</w:t>
      </w:r>
    </w:p>
    <w:p w14:paraId="20D3631A">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2.</w:t>
      </w:r>
    </w:p>
    <w:p w14:paraId="78515A31">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   </w:t>
      </w:r>
    </w:p>
    <w:p w14:paraId="2A24FFB0">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0773D8D8">
      <w:pPr>
        <w:shd w:val="clear" w:color="auto" w:fill="auto"/>
        <w:spacing w:line="440" w:lineRule="exact"/>
        <w:ind w:firstLine="405"/>
        <w:rPr>
          <w:rFonts w:ascii="Times New Roman" w:hAnsi="Times New Roman"/>
          <w:color w:val="auto"/>
          <w:sz w:val="24"/>
          <w:szCs w:val="24"/>
          <w:highlight w:val="none"/>
        </w:rPr>
      </w:pPr>
      <w:r>
        <w:rPr>
          <w:rFonts w:ascii="Times New Roman" w:hAnsi="Times New Roman"/>
          <w:color w:val="auto"/>
          <w:sz w:val="24"/>
          <w:szCs w:val="24"/>
          <w:highlight w:val="none"/>
        </w:rPr>
        <w:t>请将上述问题的澄清、说明或补正于</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时前递交至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（详细地址）或传真至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（传真号码）或通过下载招标</w:t>
      </w:r>
      <w:r>
        <w:rPr>
          <w:rFonts w:hint="eastAsia" w:ascii="Times New Roman" w:hAnsi="Times New Roman"/>
          <w:color w:val="auto"/>
          <w:sz w:val="24"/>
          <w:szCs w:val="24"/>
          <w:highlight w:val="none"/>
        </w:rPr>
        <w:t>文</w:t>
      </w:r>
      <w:r>
        <w:rPr>
          <w:rFonts w:ascii="Times New Roman" w:hAnsi="Times New Roman"/>
          <w:color w:val="auto"/>
          <w:sz w:val="24"/>
          <w:szCs w:val="24"/>
          <w:highlight w:val="none"/>
        </w:rPr>
        <w:t>件的电子招标交易平台上传。采用传真方式的，应在</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p>
    <w:p w14:paraId="685BA28E">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时前将原件递交至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（详细地址）。</w:t>
      </w:r>
    </w:p>
    <w:p w14:paraId="49CDC24D">
      <w:pPr>
        <w:shd w:val="clear" w:color="auto" w:fill="auto"/>
        <w:spacing w:line="440" w:lineRule="exact"/>
        <w:rPr>
          <w:rFonts w:ascii="Times New Roman" w:hAnsi="Times New Roman"/>
          <w:color w:val="auto"/>
          <w:sz w:val="24"/>
          <w:szCs w:val="24"/>
          <w:highlight w:val="none"/>
        </w:rPr>
      </w:pPr>
    </w:p>
    <w:p w14:paraId="53D4B0E3">
      <w:pPr>
        <w:shd w:val="clear" w:color="auto" w:fill="auto"/>
        <w:spacing w:line="440" w:lineRule="exact"/>
        <w:rPr>
          <w:rFonts w:ascii="Times New Roman" w:hAnsi="Times New Roman"/>
          <w:color w:val="auto"/>
          <w:sz w:val="24"/>
          <w:szCs w:val="24"/>
          <w:highlight w:val="none"/>
        </w:rPr>
      </w:pPr>
    </w:p>
    <w:p w14:paraId="0D5AF3D1">
      <w:pPr>
        <w:shd w:val="clear" w:color="auto" w:fill="auto"/>
        <w:spacing w:line="440" w:lineRule="exact"/>
        <w:ind w:firstLine="2400" w:firstLineChars="1000"/>
        <w:rPr>
          <w:rFonts w:ascii="Times New Roman" w:hAnsi="Times New Roman"/>
          <w:color w:val="auto"/>
          <w:sz w:val="24"/>
          <w:szCs w:val="24"/>
          <w:highlight w:val="none"/>
        </w:rPr>
      </w:pPr>
      <w:r>
        <w:rPr>
          <w:rFonts w:ascii="Times New Roman" w:hAnsi="Times New Roman"/>
          <w:color w:val="auto"/>
          <w:sz w:val="24"/>
          <w:szCs w:val="24"/>
          <w:highlight w:val="none"/>
        </w:rPr>
        <w:t>评标委员会授权的招标人或招标代理机构：</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（签字或盖章）</w:t>
      </w:r>
    </w:p>
    <w:p w14:paraId="4D4D5B6D">
      <w:pPr>
        <w:shd w:val="clear" w:color="auto" w:fill="auto"/>
        <w:spacing w:line="440" w:lineRule="exact"/>
        <w:rPr>
          <w:rFonts w:ascii="Times New Roman" w:hAnsi="Times New Roman"/>
          <w:color w:val="auto"/>
          <w:sz w:val="24"/>
          <w:szCs w:val="24"/>
          <w:highlight w:val="none"/>
        </w:rPr>
      </w:pPr>
    </w:p>
    <w:p w14:paraId="2EDFECCB">
      <w:pPr>
        <w:shd w:val="clear" w:color="auto" w:fill="auto"/>
        <w:spacing w:line="440" w:lineRule="exact"/>
        <w:ind w:right="840"/>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1A24B2A5">
      <w:pPr>
        <w:shd w:val="clear" w:color="auto" w:fill="auto"/>
        <w:spacing w:line="400" w:lineRule="exact"/>
        <w:rPr>
          <w:rFonts w:ascii="Times New Roman" w:hAnsi="Times New Roman"/>
          <w:color w:val="auto"/>
          <w:highlight w:val="none"/>
        </w:rPr>
      </w:pPr>
    </w:p>
    <w:p w14:paraId="0E255E7F">
      <w:pPr>
        <w:shd w:val="clear" w:color="auto" w:fill="auto"/>
        <w:spacing w:line="400" w:lineRule="exact"/>
        <w:rPr>
          <w:rFonts w:ascii="Times New Roman" w:hAnsi="Times New Roman"/>
          <w:color w:val="auto"/>
          <w:highlight w:val="none"/>
        </w:rPr>
      </w:pPr>
      <w:r>
        <w:rPr>
          <w:rFonts w:ascii="Times New Roman" w:hAnsi="Times New Roman"/>
          <w:color w:val="auto"/>
          <w:highlight w:val="none"/>
        </w:rPr>
        <w:br w:type="page"/>
      </w:r>
    </w:p>
    <w:p w14:paraId="1F0550BB">
      <w:pPr>
        <w:pStyle w:val="5"/>
        <w:shd w:val="clear" w:color="auto" w:fill="auto"/>
        <w:ind w:firstLine="137"/>
        <w:rPr>
          <w:rFonts w:ascii="Times New Roman" w:hAnsi="Times New Roman"/>
          <w:color w:val="auto"/>
          <w:highlight w:val="none"/>
        </w:rPr>
      </w:pPr>
      <w:r>
        <w:rPr>
          <w:rFonts w:ascii="Times New Roman" w:hAnsi="Times New Roman"/>
          <w:color w:val="auto"/>
          <w:highlight w:val="none"/>
        </w:rPr>
        <w:t>附件三：问题的澄清</w:t>
      </w:r>
    </w:p>
    <w:p w14:paraId="71566775">
      <w:pPr>
        <w:shd w:val="clear" w:color="auto" w:fill="auto"/>
        <w:spacing w:line="400" w:lineRule="exact"/>
        <w:jc w:val="center"/>
        <w:rPr>
          <w:rFonts w:ascii="Times New Roman" w:hAnsi="Times New Roman" w:eastAsia="黑体"/>
          <w:color w:val="auto"/>
          <w:sz w:val="28"/>
          <w:highlight w:val="none"/>
        </w:rPr>
      </w:pPr>
    </w:p>
    <w:p w14:paraId="159E35C4">
      <w:pPr>
        <w:shd w:val="clear" w:color="auto" w:fill="auto"/>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问题的澄清</w:t>
      </w:r>
    </w:p>
    <w:p w14:paraId="3E696703">
      <w:pPr>
        <w:shd w:val="clear" w:color="auto" w:fill="auto"/>
        <w:spacing w:line="400" w:lineRule="exact"/>
        <w:ind w:firstLine="3465" w:firstLineChars="1650"/>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33D9BE47">
      <w:pPr>
        <w:shd w:val="clear" w:color="auto" w:fill="auto"/>
        <w:spacing w:line="400" w:lineRule="exact"/>
        <w:rPr>
          <w:rFonts w:ascii="Times New Roman" w:hAnsi="Times New Roman"/>
          <w:color w:val="auto"/>
          <w:highlight w:val="none"/>
        </w:rPr>
      </w:pPr>
    </w:p>
    <w:p w14:paraId="7C8FC658">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评标委员会：</w:t>
      </w:r>
    </w:p>
    <w:p w14:paraId="74D69CFB">
      <w:pPr>
        <w:shd w:val="clear" w:color="auto" w:fill="auto"/>
        <w:spacing w:line="440" w:lineRule="exact"/>
        <w:rPr>
          <w:rFonts w:ascii="Times New Roman" w:hAnsi="Times New Roman"/>
          <w:color w:val="auto"/>
          <w:sz w:val="24"/>
          <w:szCs w:val="24"/>
          <w:highlight w:val="none"/>
        </w:rPr>
      </w:pPr>
    </w:p>
    <w:p w14:paraId="02981BEA">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问题澄清通知（编号：</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）已收悉，现澄清、说明或补正如下：</w:t>
      </w:r>
    </w:p>
    <w:p w14:paraId="763B3483">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1.</w:t>
      </w:r>
    </w:p>
    <w:p w14:paraId="4270A0F9">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2.</w:t>
      </w:r>
    </w:p>
    <w:p w14:paraId="1D730216">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3186D3E7">
      <w:pPr>
        <w:shd w:val="clear" w:color="auto" w:fill="auto"/>
        <w:spacing w:line="440" w:lineRule="exact"/>
        <w:rPr>
          <w:rFonts w:ascii="Times New Roman" w:hAnsi="Times New Roman"/>
          <w:color w:val="auto"/>
          <w:sz w:val="24"/>
          <w:szCs w:val="24"/>
          <w:highlight w:val="none"/>
        </w:rPr>
      </w:pPr>
    </w:p>
    <w:p w14:paraId="13462C45">
      <w:pPr>
        <w:shd w:val="clear" w:color="auto" w:fill="auto"/>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771026B3">
      <w:pPr>
        <w:shd w:val="clear" w:color="auto" w:fill="auto"/>
        <w:spacing w:line="440" w:lineRule="exact"/>
        <w:rPr>
          <w:rFonts w:ascii="Times New Roman" w:hAnsi="Times New Roman"/>
          <w:color w:val="auto"/>
          <w:sz w:val="24"/>
          <w:szCs w:val="24"/>
          <w:highlight w:val="none"/>
        </w:rPr>
      </w:pPr>
    </w:p>
    <w:p w14:paraId="2A3161A2">
      <w:pPr>
        <w:shd w:val="clear" w:color="auto" w:fill="auto"/>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上述问题澄清、说明或补正，不改变我方投标文件的实质性内容，构成我方投标文件的组成部分。</w:t>
      </w:r>
    </w:p>
    <w:p w14:paraId="305E0B88">
      <w:pPr>
        <w:shd w:val="clear" w:color="auto" w:fill="auto"/>
        <w:spacing w:line="440" w:lineRule="exact"/>
        <w:rPr>
          <w:rFonts w:ascii="Times New Roman" w:hAnsi="Times New Roman"/>
          <w:color w:val="auto"/>
          <w:sz w:val="24"/>
          <w:szCs w:val="24"/>
          <w:highlight w:val="none"/>
        </w:rPr>
      </w:pPr>
    </w:p>
    <w:p w14:paraId="5991507D">
      <w:pPr>
        <w:shd w:val="clear" w:color="auto" w:fill="auto"/>
        <w:spacing w:line="440" w:lineRule="exact"/>
        <w:rPr>
          <w:rFonts w:ascii="Times New Roman" w:hAnsi="Times New Roman"/>
          <w:color w:val="auto"/>
          <w:sz w:val="24"/>
          <w:szCs w:val="24"/>
          <w:highlight w:val="none"/>
        </w:rPr>
      </w:pPr>
    </w:p>
    <w:p w14:paraId="2EFBB861">
      <w:pPr>
        <w:shd w:val="clear" w:color="auto" w:fill="auto"/>
        <w:spacing w:line="480" w:lineRule="auto"/>
        <w:rPr>
          <w:rFonts w:ascii="Times New Roman" w:hAnsi="Times New Roman"/>
          <w:color w:val="auto"/>
          <w:sz w:val="24"/>
          <w:szCs w:val="24"/>
          <w:highlight w:val="none"/>
        </w:rPr>
      </w:pPr>
      <w:r>
        <w:rPr>
          <w:rFonts w:ascii="Times New Roman" w:hAnsi="Times New Roman"/>
          <w:color w:val="auto"/>
          <w:sz w:val="24"/>
          <w:szCs w:val="24"/>
          <w:highlight w:val="none"/>
        </w:rPr>
        <w:t>　　　　　　　　　　　投标人：</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（盖单位章）</w:t>
      </w:r>
    </w:p>
    <w:p w14:paraId="37703B8F">
      <w:pPr>
        <w:shd w:val="clear" w:color="auto" w:fill="auto"/>
        <w:spacing w:line="480" w:lineRule="auto"/>
        <w:ind w:firstLine="1800" w:firstLineChars="7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法定代表人（单位负责人）或其委托代理人：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（签字）</w:t>
      </w:r>
    </w:p>
    <w:p w14:paraId="4CC42FA6">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　　　　　　　　　　　　　　　</w:t>
      </w:r>
    </w:p>
    <w:p w14:paraId="0D15FEA4">
      <w:pPr>
        <w:shd w:val="clear" w:color="auto" w:fill="auto"/>
        <w:spacing w:line="44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3C222750">
      <w:pPr>
        <w:shd w:val="clear" w:color="auto" w:fill="auto"/>
        <w:spacing w:line="400" w:lineRule="exact"/>
        <w:rPr>
          <w:rFonts w:ascii="Times New Roman" w:hAnsi="Times New Roman"/>
          <w:color w:val="auto"/>
          <w:highlight w:val="none"/>
        </w:rPr>
      </w:pPr>
    </w:p>
    <w:p w14:paraId="07015E25">
      <w:pPr>
        <w:shd w:val="clear" w:color="auto" w:fill="auto"/>
        <w:spacing w:line="400" w:lineRule="exact"/>
        <w:rPr>
          <w:rFonts w:ascii="Times New Roman" w:hAnsi="Times New Roman"/>
          <w:color w:val="auto"/>
          <w:highlight w:val="none"/>
        </w:rPr>
      </w:pPr>
      <w:r>
        <w:rPr>
          <w:rFonts w:ascii="Times New Roman" w:hAnsi="Times New Roman"/>
          <w:color w:val="auto"/>
          <w:highlight w:val="none"/>
        </w:rPr>
        <w:br w:type="page"/>
      </w:r>
    </w:p>
    <w:p w14:paraId="12C0F30B">
      <w:pPr>
        <w:pStyle w:val="5"/>
        <w:shd w:val="clear" w:color="auto" w:fill="auto"/>
        <w:ind w:firstLine="137"/>
        <w:rPr>
          <w:rFonts w:ascii="Times New Roman" w:hAnsi="Times New Roman"/>
          <w:color w:val="auto"/>
          <w:highlight w:val="none"/>
        </w:rPr>
      </w:pPr>
      <w:r>
        <w:rPr>
          <w:rFonts w:ascii="Times New Roman" w:hAnsi="Times New Roman"/>
          <w:color w:val="auto"/>
          <w:highlight w:val="none"/>
        </w:rPr>
        <w:t>附件四：中标通知书</w:t>
      </w:r>
    </w:p>
    <w:p w14:paraId="70CEAFEB">
      <w:pPr>
        <w:shd w:val="clear" w:color="auto" w:fill="auto"/>
        <w:spacing w:line="4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按广州公共资源交易中心的版式为准</w:t>
      </w:r>
    </w:p>
    <w:p w14:paraId="268E9908">
      <w:pPr>
        <w:shd w:val="clear" w:color="auto" w:fill="auto"/>
        <w:spacing w:line="400" w:lineRule="exact"/>
        <w:rPr>
          <w:rFonts w:ascii="Times New Roman" w:hAnsi="Times New Roman"/>
          <w:color w:val="auto"/>
          <w:sz w:val="24"/>
          <w:szCs w:val="24"/>
          <w:highlight w:val="none"/>
        </w:rPr>
      </w:pPr>
    </w:p>
    <w:p w14:paraId="4E672CDB">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br w:type="page"/>
      </w:r>
    </w:p>
    <w:p w14:paraId="36406495">
      <w:pPr>
        <w:pStyle w:val="3"/>
        <w:shd w:val="clear" w:color="auto" w:fill="auto"/>
        <w:jc w:val="center"/>
        <w:rPr>
          <w:color w:val="auto"/>
          <w:highlight w:val="none"/>
        </w:rPr>
      </w:pPr>
      <w:bookmarkStart w:id="307" w:name="_Toc16458"/>
      <w:bookmarkStart w:id="308" w:name="_Toc68765114"/>
      <w:r>
        <w:rPr>
          <w:color w:val="auto"/>
          <w:highlight w:val="none"/>
        </w:rPr>
        <w:t>第三章评标办法（综合评估法）</w:t>
      </w:r>
      <w:bookmarkEnd w:id="307"/>
      <w:bookmarkEnd w:id="308"/>
    </w:p>
    <w:p w14:paraId="3CF568B2">
      <w:pPr>
        <w:pStyle w:val="4"/>
        <w:shd w:val="clear" w:color="auto" w:fill="auto"/>
        <w:rPr>
          <w:rFonts w:ascii="Times New Roman" w:hAnsi="Times New Roman"/>
          <w:color w:val="auto"/>
          <w:highlight w:val="none"/>
        </w:rPr>
      </w:pPr>
      <w:bookmarkStart w:id="309" w:name="_Toc68765115"/>
      <w:bookmarkStart w:id="310" w:name="_Toc28069995"/>
      <w:r>
        <w:rPr>
          <w:rFonts w:hint="eastAsia" w:ascii="Times New Roman" w:hAnsi="Times New Roman"/>
          <w:color w:val="auto"/>
          <w:highlight w:val="none"/>
        </w:rPr>
        <w:t>评标办法前附表</w:t>
      </w:r>
      <w:bookmarkEnd w:id="309"/>
      <w:bookmarkEnd w:id="310"/>
    </w:p>
    <w:tbl>
      <w:tblPr>
        <w:tblStyle w:val="30"/>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
        <w:gridCol w:w="1012"/>
        <w:gridCol w:w="1520"/>
        <w:gridCol w:w="5636"/>
      </w:tblGrid>
      <w:tr w14:paraId="478CD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0621F0F0">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6695CF2">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541BC21">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评审标准</w:t>
            </w:r>
          </w:p>
        </w:tc>
      </w:tr>
      <w:tr w14:paraId="16B89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0063226">
            <w:pPr>
              <w:shd w:val="clear" w:color="auto" w:fill="auto"/>
              <w:jc w:val="center"/>
              <w:rPr>
                <w:rFonts w:ascii="Times New Roman" w:hAnsi="Times New Roman"/>
                <w:color w:val="auto"/>
                <w:highlight w:val="none"/>
              </w:rPr>
            </w:pPr>
            <w:r>
              <w:rPr>
                <w:rFonts w:ascii="Times New Roman" w:hAnsi="Times New Roman"/>
                <w:color w:val="auto"/>
                <w:highlight w:val="none"/>
              </w:rPr>
              <w:t>1</w:t>
            </w: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14:paraId="360E40A5">
            <w:pPr>
              <w:shd w:val="clear" w:color="auto" w:fill="auto"/>
              <w:jc w:val="center"/>
              <w:rPr>
                <w:rFonts w:ascii="Times New Roman" w:hAnsi="Times New Roman"/>
                <w:color w:val="auto"/>
                <w:highlight w:val="none"/>
              </w:rPr>
            </w:pPr>
            <w:r>
              <w:rPr>
                <w:rFonts w:hint="eastAsia" w:ascii="Times New Roman" w:hAnsi="Times New Roman"/>
                <w:color w:val="auto"/>
                <w:highlight w:val="none"/>
              </w:rPr>
              <w:t>评标方法</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41BCBA1">
            <w:pPr>
              <w:shd w:val="clear" w:color="auto" w:fill="auto"/>
              <w:jc w:val="center"/>
              <w:rPr>
                <w:rFonts w:ascii="Times New Roman" w:hAnsi="Times New Roman"/>
                <w:color w:val="auto"/>
                <w:highlight w:val="none"/>
              </w:rPr>
            </w:pPr>
            <w:r>
              <w:rPr>
                <w:rFonts w:hint="eastAsia" w:ascii="Times New Roman" w:hAnsi="Times New Roman"/>
                <w:color w:val="auto"/>
                <w:highlight w:val="none"/>
              </w:rPr>
              <w:t>中标候选人排序方法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792E319">
            <w:pPr>
              <w:shd w:val="clear" w:color="auto" w:fill="auto"/>
              <w:rPr>
                <w:rFonts w:ascii="Times New Roman" w:hAnsi="Times New Roman"/>
                <w:color w:val="auto"/>
                <w:highlight w:val="none"/>
              </w:rPr>
            </w:pPr>
            <w:r>
              <w:rPr>
                <w:rFonts w:hint="eastAsia" w:ascii="Times New Roman" w:hAnsi="Times New Roman"/>
                <w:color w:val="auto"/>
                <w:highlight w:val="none"/>
              </w:rPr>
              <w:t>综合评分高的优先，综合评分相等时，以技术得分高的优先；技术得分相等时，以商务得分高的优先；如果商务得分也相等，以投标报价低的优先；如果投标报价也相等，由评委按记名投票方式以得票多的优先。</w:t>
            </w:r>
          </w:p>
        </w:tc>
      </w:tr>
      <w:tr w14:paraId="53752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541A3FF4">
            <w:pPr>
              <w:shd w:val="clear" w:color="auto" w:fill="auto"/>
              <w:jc w:val="center"/>
              <w:rPr>
                <w:rFonts w:ascii="Times New Roman" w:hAnsi="Times New Roman"/>
                <w:color w:val="auto"/>
                <w:highlight w:val="none"/>
              </w:rPr>
            </w:pPr>
            <w:r>
              <w:rPr>
                <w:rFonts w:ascii="Times New Roman" w:hAnsi="Times New Roman"/>
                <w:color w:val="auto"/>
                <w:highlight w:val="none"/>
              </w:rPr>
              <w:t>2.1.1</w:t>
            </w:r>
          </w:p>
        </w:tc>
        <w:tc>
          <w:tcPr>
            <w:tcW w:w="1124" w:type="dxa"/>
            <w:gridSpan w:val="2"/>
            <w:vMerge w:val="restart"/>
            <w:tcBorders>
              <w:top w:val="single" w:color="auto" w:sz="4" w:space="0"/>
              <w:left w:val="nil"/>
              <w:right w:val="single" w:color="auto" w:sz="4" w:space="0"/>
            </w:tcBorders>
            <w:noWrap w:val="0"/>
            <w:vAlign w:val="center"/>
          </w:tcPr>
          <w:p w14:paraId="4B74D1F2">
            <w:pPr>
              <w:shd w:val="clear" w:color="auto" w:fill="auto"/>
              <w:jc w:val="center"/>
              <w:rPr>
                <w:rFonts w:ascii="Times New Roman" w:hAnsi="Times New Roman"/>
                <w:color w:val="auto"/>
                <w:highlight w:val="none"/>
              </w:rPr>
            </w:pPr>
            <w:r>
              <w:rPr>
                <w:rFonts w:hint="eastAsia" w:ascii="Times New Roman" w:hAnsi="Times New Roman"/>
                <w:color w:val="auto"/>
                <w:highlight w:val="none"/>
              </w:rPr>
              <w:t>形式评审标准</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2ECEBD8">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投标人名称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0071633">
            <w:pPr>
              <w:shd w:val="clear" w:color="auto" w:fill="auto"/>
              <w:rPr>
                <w:rFonts w:hint="eastAsia" w:ascii="Times New Roman" w:hAnsi="Times New Roman" w:eastAsia="宋体"/>
                <w:color w:val="auto"/>
                <w:highlight w:val="none"/>
                <w:lang w:eastAsia="zh-CN"/>
              </w:rPr>
            </w:pPr>
            <w:r>
              <w:rPr>
                <w:rFonts w:hint="eastAsia" w:ascii="Times New Roman" w:hAnsi="Times New Roman"/>
                <w:color w:val="auto"/>
                <w:highlight w:val="none"/>
              </w:rPr>
              <w:t>投标人名称与营业执照、资质证书一致</w:t>
            </w:r>
            <w:r>
              <w:rPr>
                <w:rFonts w:hint="eastAsia" w:ascii="Times New Roman" w:hAnsi="Times New Roman"/>
                <w:color w:val="auto"/>
                <w:highlight w:val="none"/>
                <w:lang w:eastAsia="zh-CN"/>
              </w:rPr>
              <w:t>。</w:t>
            </w:r>
          </w:p>
        </w:tc>
      </w:tr>
      <w:tr w14:paraId="375C5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326A770">
            <w:pPr>
              <w:widowControl/>
              <w:shd w:val="clear" w:color="auto" w:fill="auto"/>
              <w:jc w:val="left"/>
              <w:rPr>
                <w:rFonts w:ascii="Times New Roman" w:hAnsi="Times New Roman"/>
                <w:color w:val="auto"/>
                <w:highlight w:val="none"/>
              </w:rPr>
            </w:pPr>
          </w:p>
        </w:tc>
        <w:tc>
          <w:tcPr>
            <w:tcW w:w="1124" w:type="dxa"/>
            <w:gridSpan w:val="2"/>
            <w:vMerge w:val="continue"/>
            <w:tcBorders>
              <w:left w:val="nil"/>
              <w:right w:val="single" w:color="auto" w:sz="4" w:space="0"/>
            </w:tcBorders>
            <w:noWrap w:val="0"/>
            <w:vAlign w:val="center"/>
          </w:tcPr>
          <w:p w14:paraId="15A96A7B">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C8DD03D">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600C4C8">
            <w:pPr>
              <w:shd w:val="clear" w:color="auto" w:fill="auto"/>
              <w:rPr>
                <w:rFonts w:ascii="Times New Roman" w:hAnsi="Times New Roman"/>
                <w:color w:val="auto"/>
                <w:highlight w:val="none"/>
              </w:rPr>
            </w:pPr>
            <w:r>
              <w:rPr>
                <w:rFonts w:hint="eastAsia" w:ascii="Times New Roman" w:hAnsi="Times New Roman"/>
                <w:color w:val="auto"/>
                <w:highlight w:val="none"/>
              </w:rPr>
              <w:t>投标函有法定代表人（单位负责人）或其委托代理人签字</w:t>
            </w:r>
            <w:r>
              <w:rPr>
                <w:rFonts w:hint="eastAsia" w:ascii="Times New Roman" w:hAnsi="Times New Roman"/>
                <w:b/>
                <w:bCs/>
                <w:color w:val="auto"/>
                <w:highlight w:val="none"/>
              </w:rPr>
              <w:t>（或盖章）并</w:t>
            </w:r>
            <w:r>
              <w:rPr>
                <w:rFonts w:hint="eastAsia" w:ascii="Times New Roman" w:hAnsi="Times New Roman"/>
                <w:color w:val="auto"/>
                <w:highlight w:val="none"/>
              </w:rPr>
              <w:t>加盖单位章。由法定代表人（单位负责人）签字</w:t>
            </w:r>
            <w:r>
              <w:rPr>
                <w:rFonts w:hint="eastAsia" w:ascii="Times New Roman" w:hAnsi="Times New Roman"/>
                <w:b/>
                <w:bCs/>
                <w:color w:val="auto"/>
                <w:highlight w:val="none"/>
              </w:rPr>
              <w:t>（或盖章）</w:t>
            </w:r>
            <w:r>
              <w:rPr>
                <w:rFonts w:hint="eastAsia" w:ascii="Times New Roman" w:hAnsi="Times New Roman"/>
                <w:color w:val="auto"/>
                <w:highlight w:val="none"/>
              </w:rPr>
              <w:t>的，应附法定代表人（单位负责人）身份证明，由代理人签字</w:t>
            </w:r>
            <w:r>
              <w:rPr>
                <w:rFonts w:hint="eastAsia" w:ascii="Times New Roman" w:hAnsi="Times New Roman"/>
                <w:b/>
                <w:bCs/>
                <w:color w:val="auto"/>
                <w:highlight w:val="none"/>
              </w:rPr>
              <w:t>（或盖章）</w:t>
            </w:r>
            <w:r>
              <w:rPr>
                <w:rFonts w:hint="eastAsia" w:ascii="Times New Roman" w:hAnsi="Times New Roman"/>
                <w:color w:val="auto"/>
                <w:highlight w:val="none"/>
              </w:rPr>
              <w:t>的，应附授权委托书。</w:t>
            </w:r>
          </w:p>
        </w:tc>
      </w:tr>
      <w:tr w14:paraId="48B7E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050F6B5">
            <w:pPr>
              <w:widowControl/>
              <w:shd w:val="clear" w:color="auto" w:fill="auto"/>
              <w:jc w:val="left"/>
              <w:rPr>
                <w:rFonts w:ascii="Times New Roman" w:hAnsi="Times New Roman"/>
                <w:color w:val="auto"/>
                <w:highlight w:val="none"/>
              </w:rPr>
            </w:pPr>
          </w:p>
        </w:tc>
        <w:tc>
          <w:tcPr>
            <w:tcW w:w="1124" w:type="dxa"/>
            <w:gridSpan w:val="2"/>
            <w:vMerge w:val="continue"/>
            <w:tcBorders>
              <w:left w:val="nil"/>
              <w:right w:val="single" w:color="auto" w:sz="4" w:space="0"/>
            </w:tcBorders>
            <w:noWrap w:val="0"/>
            <w:vAlign w:val="center"/>
          </w:tcPr>
          <w:p w14:paraId="4851D457">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3213068">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1E86CFA">
            <w:pPr>
              <w:shd w:val="clear" w:color="auto" w:fill="auto"/>
              <w:rPr>
                <w:rFonts w:ascii="Times New Roman" w:hAnsi="Times New Roman"/>
                <w:color w:val="auto"/>
                <w:highlight w:val="none"/>
              </w:rPr>
            </w:pPr>
            <w:r>
              <w:rPr>
                <w:rFonts w:hint="eastAsia" w:ascii="Times New Roman" w:hAnsi="Times New Roman"/>
                <w:color w:val="auto"/>
                <w:highlight w:val="none"/>
              </w:rPr>
              <w:t>符合第六章投标文件格式格式一《投标函》及格式</w:t>
            </w:r>
            <w:r>
              <w:rPr>
                <w:rFonts w:hint="eastAsia" w:ascii="Times New Roman" w:hAnsi="Times New Roman"/>
                <w:color w:val="auto"/>
                <w:highlight w:val="none"/>
                <w:lang w:val="en-US" w:eastAsia="zh-CN"/>
              </w:rPr>
              <w:t>五</w:t>
            </w:r>
            <w:r>
              <w:rPr>
                <w:rFonts w:hint="eastAsia" w:ascii="Times New Roman" w:hAnsi="Times New Roman"/>
                <w:color w:val="auto"/>
                <w:highlight w:val="none"/>
              </w:rPr>
              <w:t>《投标报价表》的规定。</w:t>
            </w:r>
          </w:p>
        </w:tc>
      </w:tr>
      <w:tr w14:paraId="50539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8870282">
            <w:pPr>
              <w:widowControl/>
              <w:shd w:val="clear" w:color="auto" w:fill="auto"/>
              <w:jc w:val="left"/>
              <w:rPr>
                <w:rFonts w:ascii="Times New Roman" w:hAnsi="Times New Roman"/>
                <w:color w:val="auto"/>
                <w:highlight w:val="none"/>
              </w:rPr>
            </w:pPr>
          </w:p>
        </w:tc>
        <w:tc>
          <w:tcPr>
            <w:tcW w:w="1124" w:type="dxa"/>
            <w:gridSpan w:val="2"/>
            <w:vMerge w:val="continue"/>
            <w:tcBorders>
              <w:left w:val="nil"/>
              <w:right w:val="single" w:color="auto" w:sz="4" w:space="0"/>
            </w:tcBorders>
            <w:noWrap w:val="0"/>
            <w:vAlign w:val="center"/>
          </w:tcPr>
          <w:p w14:paraId="102B5485">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CFF9EDA">
            <w:pPr>
              <w:shd w:val="clear" w:color="auto" w:fill="auto"/>
              <w:jc w:val="center"/>
              <w:rPr>
                <w:rFonts w:ascii="Times New Roman" w:hAnsi="Times New Roman"/>
                <w:color w:val="auto"/>
                <w:highlight w:val="none"/>
              </w:rPr>
            </w:pPr>
            <w:r>
              <w:rPr>
                <w:rFonts w:hint="eastAsia" w:ascii="Times New Roman" w:hAnsi="Times New Roman"/>
                <w:color w:val="auto"/>
                <w:highlight w:val="none"/>
              </w:rPr>
              <w:t>备选投标方案</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19D533B">
            <w:pPr>
              <w:shd w:val="clear" w:color="auto" w:fill="auto"/>
              <w:rPr>
                <w:rFonts w:ascii="Times New Roman" w:hAnsi="Times New Roman"/>
                <w:color w:val="auto"/>
                <w:highlight w:val="none"/>
              </w:rPr>
            </w:pPr>
            <w:r>
              <w:rPr>
                <w:rFonts w:ascii="Times New Roman" w:hAnsi="Times New Roman"/>
                <w:color w:val="auto"/>
                <w:highlight w:val="none"/>
              </w:rPr>
              <w:t>投标人不得提交备选投标方案</w:t>
            </w:r>
            <w:r>
              <w:rPr>
                <w:rFonts w:hint="eastAsia" w:ascii="Times New Roman" w:hAnsi="Times New Roman"/>
                <w:color w:val="auto"/>
                <w:highlight w:val="none"/>
              </w:rPr>
              <w:t>。</w:t>
            </w:r>
          </w:p>
        </w:tc>
      </w:tr>
      <w:tr w14:paraId="08363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14:paraId="7ACF33F5">
            <w:pPr>
              <w:shd w:val="clear" w:color="auto" w:fill="auto"/>
              <w:rPr>
                <w:rFonts w:ascii="Times New Roman" w:hAnsi="Times New Roman"/>
                <w:color w:val="auto"/>
                <w:highlight w:val="none"/>
              </w:rPr>
            </w:pPr>
          </w:p>
        </w:tc>
        <w:tc>
          <w:tcPr>
            <w:tcW w:w="1124" w:type="dxa"/>
            <w:gridSpan w:val="2"/>
            <w:vMerge w:val="continue"/>
            <w:tcBorders>
              <w:left w:val="single" w:color="auto" w:sz="4" w:space="0"/>
              <w:bottom w:val="single" w:color="auto" w:sz="4" w:space="0"/>
              <w:right w:val="single" w:color="auto" w:sz="4" w:space="0"/>
            </w:tcBorders>
            <w:noWrap w:val="0"/>
            <w:vAlign w:val="top"/>
          </w:tcPr>
          <w:p w14:paraId="05950DB5">
            <w:pPr>
              <w:shd w:val="clear" w:color="auto" w:fill="auto"/>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A00D92F">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投标人机器码</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F93A76D">
            <w:pPr>
              <w:shd w:val="clear" w:color="auto" w:fill="auto"/>
              <w:rPr>
                <w:rFonts w:ascii="宋体" w:hAnsi="宋体"/>
                <w:color w:val="auto"/>
                <w:szCs w:val="21"/>
                <w:highlight w:val="none"/>
                <w:u w:val="single"/>
              </w:rPr>
            </w:pPr>
            <w:r>
              <w:rPr>
                <w:rFonts w:hint="eastAsia" w:ascii="宋体" w:hAnsi="宋体"/>
                <w:color w:val="auto"/>
                <w:szCs w:val="21"/>
                <w:highlight w:val="none"/>
              </w:rPr>
              <w:t>投标人与本项目其他投标人加密打包投标文件电脑机器特征码一致的(以广州公共资源交易中心评标系统的检索信息为准),其投标将被否决。</w:t>
            </w:r>
          </w:p>
        </w:tc>
      </w:tr>
      <w:tr w14:paraId="1CA79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74EE2FEC">
            <w:pPr>
              <w:shd w:val="clear" w:color="auto" w:fill="auto"/>
              <w:jc w:val="center"/>
              <w:rPr>
                <w:rFonts w:ascii="Times New Roman" w:hAnsi="Times New Roman"/>
                <w:color w:val="auto"/>
                <w:highlight w:val="none"/>
              </w:rPr>
            </w:pPr>
            <w:r>
              <w:rPr>
                <w:rFonts w:ascii="Times New Roman" w:hAnsi="Times New Roman"/>
                <w:color w:val="auto"/>
                <w:highlight w:val="none"/>
              </w:rPr>
              <w:t>2.1.2</w:t>
            </w:r>
          </w:p>
        </w:tc>
        <w:tc>
          <w:tcPr>
            <w:tcW w:w="112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28A67E">
            <w:pPr>
              <w:shd w:val="clear" w:color="auto" w:fill="auto"/>
              <w:jc w:val="center"/>
              <w:rPr>
                <w:rFonts w:ascii="Times New Roman" w:hAnsi="Times New Roman"/>
                <w:color w:val="auto"/>
                <w:highlight w:val="none"/>
              </w:rPr>
            </w:pPr>
            <w:r>
              <w:rPr>
                <w:rFonts w:hint="eastAsia" w:ascii="Times New Roman" w:hAnsi="Times New Roman"/>
                <w:color w:val="auto"/>
                <w:highlight w:val="none"/>
              </w:rPr>
              <w:t>资格评审标准</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9670EC5">
            <w:pPr>
              <w:shd w:val="clear" w:color="auto" w:fill="auto"/>
              <w:jc w:val="center"/>
              <w:rPr>
                <w:rFonts w:ascii="Times New Roman" w:hAnsi="Times New Roman"/>
                <w:color w:val="auto"/>
                <w:highlight w:val="none"/>
              </w:rPr>
            </w:pPr>
            <w:r>
              <w:rPr>
                <w:rFonts w:hint="eastAsia" w:ascii="宋体" w:hAnsi="宋体"/>
                <w:color w:val="auto"/>
                <w:szCs w:val="21"/>
                <w:highlight w:val="none"/>
              </w:rPr>
              <w:t>营业执照</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A3D727C">
            <w:pPr>
              <w:shd w:val="clear" w:color="auto" w:fill="auto"/>
              <w:rPr>
                <w:rFonts w:ascii="Times New Roman" w:hAnsi="Times New Roman"/>
                <w:color w:val="auto"/>
                <w:highlight w:val="none"/>
              </w:rPr>
            </w:pPr>
            <w:r>
              <w:rPr>
                <w:rFonts w:hint="eastAsia" w:ascii="宋体" w:hAnsi="宋体"/>
                <w:color w:val="auto"/>
                <w:szCs w:val="21"/>
                <w:highlight w:val="none"/>
              </w:rPr>
              <w:t>符合第二章“投标人须知”第1.4.1项规定，具备有效的营业执照</w:t>
            </w:r>
          </w:p>
        </w:tc>
      </w:tr>
      <w:tr w14:paraId="31788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44FD267">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448163">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9DAE9C0">
            <w:pPr>
              <w:shd w:val="clear" w:color="auto" w:fill="auto"/>
              <w:jc w:val="center"/>
              <w:rPr>
                <w:rFonts w:ascii="Times New Roman" w:hAnsi="Times New Roman"/>
                <w:color w:val="auto"/>
                <w:highlight w:val="none"/>
              </w:rPr>
            </w:pPr>
            <w:r>
              <w:rPr>
                <w:rFonts w:hint="eastAsia" w:ascii="Times New Roman" w:hAnsi="Times New Roman"/>
                <w:color w:val="auto"/>
                <w:highlight w:val="none"/>
              </w:rPr>
              <w:t>资质要求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2EA0A4A">
            <w:pPr>
              <w:shd w:val="clear" w:color="auto" w:fill="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05D73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ED90DBB">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BDD915">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99D0489">
            <w:pPr>
              <w:shd w:val="clear" w:color="auto" w:fill="auto"/>
              <w:jc w:val="center"/>
              <w:rPr>
                <w:rFonts w:ascii="Times New Roman" w:hAnsi="Times New Roman"/>
                <w:color w:val="auto"/>
                <w:highlight w:val="none"/>
              </w:rPr>
            </w:pPr>
            <w:r>
              <w:rPr>
                <w:rFonts w:hint="eastAsia" w:ascii="Times New Roman" w:hAnsi="Times New Roman"/>
                <w:color w:val="auto"/>
                <w:highlight w:val="none"/>
              </w:rPr>
              <w:t>其他要求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41124F2">
            <w:pPr>
              <w:shd w:val="clear" w:color="auto" w:fill="auto"/>
              <w:rPr>
                <w:rFonts w:ascii="Times New Roman" w:hAnsi="Times New Roman"/>
                <w:color w:val="auto"/>
                <w:highlight w:val="none"/>
              </w:rPr>
            </w:pPr>
            <w:r>
              <w:rPr>
                <w:rFonts w:hint="eastAsia" w:ascii="宋体" w:hAnsi="宋体"/>
                <w:color w:val="auto"/>
                <w:szCs w:val="21"/>
                <w:highlight w:val="none"/>
              </w:rPr>
              <w:t>符合第二章“投标人须知”第1.4.1项规定。</w:t>
            </w:r>
          </w:p>
        </w:tc>
      </w:tr>
      <w:tr w14:paraId="485E3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0C6C46C9">
            <w:pPr>
              <w:shd w:val="clear" w:color="auto" w:fill="auto"/>
              <w:jc w:val="center"/>
              <w:rPr>
                <w:rFonts w:ascii="Times New Roman" w:hAnsi="Times New Roman"/>
                <w:color w:val="auto"/>
                <w:highlight w:val="none"/>
              </w:rPr>
            </w:pPr>
            <w:r>
              <w:rPr>
                <w:rFonts w:ascii="Times New Roman" w:hAnsi="Times New Roman"/>
                <w:color w:val="auto"/>
                <w:highlight w:val="none"/>
              </w:rPr>
              <w:t>2.1.3</w:t>
            </w:r>
          </w:p>
        </w:tc>
        <w:tc>
          <w:tcPr>
            <w:tcW w:w="112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754B91E">
            <w:pPr>
              <w:shd w:val="clear" w:color="auto" w:fill="auto"/>
              <w:jc w:val="center"/>
              <w:rPr>
                <w:rFonts w:ascii="Times New Roman" w:hAnsi="Times New Roman"/>
                <w:color w:val="auto"/>
                <w:highlight w:val="none"/>
              </w:rPr>
            </w:pPr>
            <w:r>
              <w:rPr>
                <w:rFonts w:hint="eastAsia" w:ascii="Times New Roman" w:hAnsi="Times New Roman"/>
                <w:color w:val="auto"/>
                <w:highlight w:val="none"/>
              </w:rPr>
              <w:t>响应性评审标准</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780D60D">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6CAD6ED">
            <w:pPr>
              <w:shd w:val="clear" w:color="auto" w:fill="auto"/>
              <w:rPr>
                <w:rFonts w:ascii="Times New Roman" w:hAnsi="Times New Roman"/>
                <w:color w:val="auto"/>
                <w:highlight w:val="none"/>
              </w:rPr>
            </w:pPr>
            <w:r>
              <w:rPr>
                <w:rFonts w:hint="eastAsia" w:ascii="宋体" w:hAnsi="宋体"/>
                <w:color w:val="auto"/>
                <w:szCs w:val="21"/>
                <w:highlight w:val="none"/>
              </w:rPr>
              <w:t>符合第二章“投标人须知”第3.2款规定。</w:t>
            </w:r>
          </w:p>
        </w:tc>
      </w:tr>
      <w:tr w14:paraId="53FAB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F1F5D28">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AD382E">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441420F">
            <w:pPr>
              <w:shd w:val="clear" w:color="auto" w:fill="auto"/>
              <w:jc w:val="center"/>
              <w:rPr>
                <w:rFonts w:ascii="Times New Roman" w:hAnsi="Times New Roman"/>
                <w:color w:val="auto"/>
                <w:highlight w:val="none"/>
              </w:rPr>
            </w:pPr>
            <w:r>
              <w:rPr>
                <w:rFonts w:hint="eastAsia" w:ascii="Times New Roman" w:hAnsi="Times New Roman"/>
                <w:color w:val="auto"/>
                <w:highlight w:val="none"/>
              </w:rPr>
              <w:t>交货期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BCBDE7B">
            <w:pPr>
              <w:shd w:val="clear" w:color="auto" w:fill="auto"/>
              <w:jc w:val="left"/>
              <w:rPr>
                <w:rFonts w:ascii="Times New Roman" w:hAnsi="Times New Roman"/>
                <w:color w:val="auto"/>
                <w:highlight w:val="none"/>
              </w:rPr>
            </w:pPr>
            <w:r>
              <w:rPr>
                <w:rFonts w:hint="eastAsia" w:ascii="宋体" w:hAnsi="宋体"/>
                <w:color w:val="auto"/>
                <w:szCs w:val="21"/>
                <w:highlight w:val="none"/>
              </w:rPr>
              <w:t>符合第二章“投标人须知”第1.3.2项规定（以投标函进行评审）。</w:t>
            </w:r>
          </w:p>
        </w:tc>
      </w:tr>
      <w:tr w14:paraId="11BD0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9D5161D">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C67961">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439C976">
            <w:pPr>
              <w:shd w:val="clear" w:color="auto" w:fill="auto"/>
              <w:jc w:val="center"/>
              <w:rPr>
                <w:rFonts w:ascii="Times New Roman" w:hAnsi="Times New Roman"/>
                <w:color w:val="auto"/>
                <w:highlight w:val="none"/>
              </w:rPr>
            </w:pPr>
            <w:r>
              <w:rPr>
                <w:rFonts w:hint="eastAsia" w:ascii="Times New Roman" w:hAnsi="Times New Roman"/>
                <w:color w:val="auto"/>
                <w:highlight w:val="none"/>
              </w:rPr>
              <w:t>交货地点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010EC58">
            <w:pPr>
              <w:shd w:val="clear" w:color="auto" w:fill="auto"/>
              <w:jc w:val="left"/>
              <w:rPr>
                <w:rFonts w:ascii="Times New Roman" w:hAnsi="Times New Roman"/>
                <w:color w:val="auto"/>
                <w:highlight w:val="none"/>
              </w:rPr>
            </w:pPr>
            <w:r>
              <w:rPr>
                <w:rFonts w:hint="eastAsia" w:ascii="宋体" w:hAnsi="宋体"/>
                <w:color w:val="auto"/>
                <w:szCs w:val="21"/>
                <w:highlight w:val="none"/>
              </w:rPr>
              <w:t>符合第二章“投标人须知”第1.3.3项规定（以投标函进行评审）。</w:t>
            </w:r>
          </w:p>
        </w:tc>
      </w:tr>
      <w:tr w14:paraId="49A27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562DB54">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B684F6">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B394F4A">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5636" w:type="dxa"/>
            <w:tcBorders>
              <w:top w:val="single" w:color="auto" w:sz="4" w:space="0"/>
              <w:left w:val="single" w:color="auto" w:sz="4" w:space="0"/>
              <w:bottom w:val="single" w:color="auto" w:sz="4" w:space="0"/>
              <w:right w:val="single" w:color="auto" w:sz="4" w:space="0"/>
            </w:tcBorders>
            <w:noWrap w:val="0"/>
            <w:vAlign w:val="top"/>
          </w:tcPr>
          <w:p w14:paraId="6CFFCE4A">
            <w:pPr>
              <w:shd w:val="clear" w:color="auto" w:fill="auto"/>
              <w:rPr>
                <w:rFonts w:ascii="Times New Roman" w:hAnsi="Times New Roman"/>
                <w:color w:val="auto"/>
                <w:highlight w:val="none"/>
              </w:rPr>
            </w:pPr>
            <w:r>
              <w:rPr>
                <w:rFonts w:hint="eastAsia" w:ascii="宋体" w:hAnsi="宋体"/>
                <w:color w:val="auto"/>
                <w:szCs w:val="21"/>
                <w:highlight w:val="none"/>
              </w:rPr>
              <w:t>符合第二章“投标人须知”第3.3.1项规定（以投标报价表进行评审）。</w:t>
            </w:r>
          </w:p>
        </w:tc>
      </w:tr>
      <w:tr w14:paraId="3E88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22EE8B0">
            <w:pPr>
              <w:widowControl/>
              <w:shd w:val="clear" w:color="auto" w:fill="auto"/>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108502">
            <w:pPr>
              <w:widowControl/>
              <w:shd w:val="clear" w:color="auto" w:fill="auto"/>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9B8CC9F">
            <w:pPr>
              <w:shd w:val="clear" w:color="auto" w:fill="auto"/>
              <w:jc w:val="center"/>
              <w:rPr>
                <w:rFonts w:ascii="Times New Roman" w:hAnsi="Times New Roman"/>
                <w:b/>
                <w:color w:val="auto"/>
                <w:highlight w:val="none"/>
              </w:rPr>
            </w:pPr>
            <w:r>
              <w:rPr>
                <w:rFonts w:hint="eastAsia" w:ascii="宋体" w:hAnsi="宋体" w:cs="宋体"/>
                <w:b/>
                <w:color w:val="auto"/>
                <w:szCs w:val="21"/>
                <w:highlight w:val="none"/>
              </w:rPr>
              <w:t>技术响应</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CD3F5BC">
            <w:pPr>
              <w:shd w:val="clear" w:color="auto" w:fill="auto"/>
              <w:rPr>
                <w:rFonts w:ascii="Times New Roman" w:hAnsi="Times New Roman"/>
                <w:b/>
                <w:color w:val="auto"/>
                <w:highlight w:val="none"/>
              </w:rPr>
            </w:pPr>
            <w:r>
              <w:rPr>
                <w:rFonts w:hint="eastAsia" w:ascii="宋体" w:hAnsi="宋体" w:cs="宋体"/>
                <w:b/>
                <w:color w:val="auto"/>
                <w:szCs w:val="21"/>
                <w:highlight w:val="none"/>
              </w:rPr>
              <w:t>技术规格满足招标文件《用户需求书》要求</w:t>
            </w:r>
            <w:r>
              <w:rPr>
                <w:rFonts w:hint="eastAsia" w:ascii="宋体" w:hAnsi="宋体" w:cs="宋体"/>
                <w:b/>
                <w:bCs/>
                <w:color w:val="auto"/>
                <w:szCs w:val="21"/>
                <w:highlight w:val="none"/>
              </w:rPr>
              <w:t>。</w:t>
            </w:r>
          </w:p>
        </w:tc>
      </w:tr>
      <w:tr w14:paraId="3EF0B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0B5EFD94">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277B038">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条款内容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00151F5">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0783C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639A0D4A">
            <w:pPr>
              <w:shd w:val="clear" w:color="auto" w:fill="auto"/>
              <w:jc w:val="center"/>
              <w:rPr>
                <w:rFonts w:ascii="Times New Roman" w:hAnsi="Times New Roman"/>
                <w:color w:val="auto"/>
                <w:highlight w:val="none"/>
              </w:rPr>
            </w:pPr>
            <w:r>
              <w:rPr>
                <w:rFonts w:ascii="Times New Roman" w:hAnsi="Times New Roman"/>
                <w:color w:val="auto"/>
                <w:highlight w:val="none"/>
              </w:rPr>
              <w:t>2.2.1</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ED3A4F3">
            <w:pPr>
              <w:shd w:val="clear" w:color="auto" w:fill="auto"/>
              <w:jc w:val="center"/>
              <w:rPr>
                <w:rFonts w:ascii="Times New Roman" w:hAnsi="Times New Roman"/>
                <w:color w:val="auto"/>
                <w:highlight w:val="none"/>
              </w:rPr>
            </w:pPr>
            <w:r>
              <w:rPr>
                <w:rFonts w:hint="eastAsia" w:ascii="Times New Roman" w:hAnsi="Times New Roman"/>
                <w:color w:val="auto"/>
                <w:highlight w:val="none"/>
              </w:rPr>
              <w:t>分值构成</w:t>
            </w:r>
          </w:p>
          <w:p w14:paraId="7C52F928">
            <w:pPr>
              <w:shd w:val="clear" w:color="auto" w:fill="auto"/>
              <w:jc w:val="cente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总分</w:t>
            </w:r>
            <w:r>
              <w:rPr>
                <w:rFonts w:ascii="Times New Roman" w:hAnsi="Times New Roman"/>
                <w:color w:val="auto"/>
                <w:highlight w:val="none"/>
              </w:rPr>
              <w:t>100</w:t>
            </w:r>
            <w:r>
              <w:rPr>
                <w:rFonts w:hint="eastAsia" w:ascii="Times New Roman" w:hAnsi="Times New Roman"/>
                <w:color w:val="auto"/>
                <w:highlight w:val="none"/>
              </w:rPr>
              <w:t>分</w:t>
            </w:r>
            <w:r>
              <w:rPr>
                <w:rFonts w:ascii="Times New Roman" w:hAnsi="Times New Roman"/>
                <w:color w:val="auto"/>
                <w:highlight w:val="none"/>
              </w:rPr>
              <w:t>)</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66E635D4">
            <w:pPr>
              <w:shd w:val="clear" w:color="auto" w:fill="auto"/>
              <w:rPr>
                <w:rFonts w:ascii="Times New Roman" w:hAnsi="Times New Roman"/>
                <w:color w:val="auto"/>
                <w:highlight w:val="none"/>
              </w:rPr>
            </w:pPr>
            <w:r>
              <w:rPr>
                <w:rFonts w:hint="eastAsia" w:ascii="Times New Roman" w:hAnsi="Times New Roman"/>
                <w:color w:val="auto"/>
                <w:highlight w:val="none"/>
              </w:rPr>
              <w:t>商务部分：20分</w:t>
            </w:r>
          </w:p>
          <w:p w14:paraId="07D533A8">
            <w:pPr>
              <w:shd w:val="clear" w:color="auto" w:fill="auto"/>
              <w:rPr>
                <w:rFonts w:ascii="Times New Roman" w:hAnsi="Times New Roman"/>
                <w:color w:val="auto"/>
                <w:highlight w:val="none"/>
              </w:rPr>
            </w:pPr>
            <w:r>
              <w:rPr>
                <w:rFonts w:hint="eastAsia" w:ascii="Times New Roman" w:hAnsi="Times New Roman"/>
                <w:color w:val="auto"/>
                <w:highlight w:val="none"/>
              </w:rPr>
              <w:t>技术部分：</w:t>
            </w:r>
            <w:r>
              <w:rPr>
                <w:rFonts w:ascii="Times New Roman" w:hAnsi="Times New Roman"/>
                <w:color w:val="auto"/>
                <w:highlight w:val="none"/>
              </w:rPr>
              <w:t>40</w:t>
            </w:r>
            <w:r>
              <w:rPr>
                <w:rFonts w:hint="eastAsia" w:ascii="Times New Roman" w:hAnsi="Times New Roman"/>
                <w:color w:val="auto"/>
                <w:highlight w:val="none"/>
              </w:rPr>
              <w:t>分</w:t>
            </w:r>
          </w:p>
          <w:p w14:paraId="2F5CDA8A">
            <w:pPr>
              <w:shd w:val="clear" w:color="auto" w:fill="auto"/>
              <w:rPr>
                <w:rFonts w:ascii="Times New Roman" w:hAnsi="Times New Roman"/>
                <w:color w:val="auto"/>
                <w:highlight w:val="none"/>
              </w:rPr>
            </w:pPr>
            <w:r>
              <w:rPr>
                <w:rFonts w:hint="eastAsia" w:ascii="Times New Roman" w:hAnsi="Times New Roman"/>
                <w:color w:val="auto"/>
                <w:highlight w:val="none"/>
              </w:rPr>
              <w:t>投标报价：40分</w:t>
            </w:r>
          </w:p>
        </w:tc>
      </w:tr>
      <w:tr w14:paraId="569DD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60C71EC2">
            <w:pPr>
              <w:shd w:val="clear" w:color="auto" w:fill="auto"/>
              <w:jc w:val="center"/>
              <w:rPr>
                <w:rFonts w:ascii="Times New Roman" w:hAnsi="Times New Roman"/>
                <w:color w:val="auto"/>
                <w:highlight w:val="none"/>
              </w:rPr>
            </w:pPr>
            <w:r>
              <w:rPr>
                <w:rFonts w:ascii="Times New Roman" w:hAnsi="Times New Roman"/>
                <w:color w:val="auto"/>
                <w:highlight w:val="none"/>
              </w:rPr>
              <w:t>2.2.2</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5041AC5">
            <w:pPr>
              <w:shd w:val="clear" w:color="auto" w:fill="auto"/>
              <w:jc w:val="center"/>
              <w:rPr>
                <w:rFonts w:ascii="Times New Roman" w:hAnsi="Times New Roman"/>
                <w:color w:val="auto"/>
                <w:highlight w:val="none"/>
              </w:rPr>
            </w:pPr>
            <w:r>
              <w:rPr>
                <w:rFonts w:hint="eastAsia" w:ascii="Times New Roman" w:hAnsi="Times New Roman"/>
                <w:color w:val="auto"/>
                <w:highlight w:val="none"/>
              </w:rPr>
              <w:t>评标基准价计算方法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F563DA3">
            <w:pPr>
              <w:shd w:val="clear" w:color="auto" w:fill="auto"/>
              <w:jc w:val="left"/>
              <w:rPr>
                <w:rFonts w:ascii="Times New Roman" w:hAnsi="Times New Roman"/>
                <w:color w:val="auto"/>
                <w:highlight w:val="none"/>
              </w:rPr>
            </w:pPr>
            <w:r>
              <w:rPr>
                <w:rFonts w:hint="eastAsia" w:ascii="Times New Roman" w:hAnsi="Times New Roman"/>
                <w:color w:val="auto"/>
                <w:highlight w:val="none"/>
              </w:rPr>
              <w:t>若通过初步评审的投标人中，投标报价在</w:t>
            </w:r>
            <w:r>
              <w:rPr>
                <w:rFonts w:ascii="Times New Roman" w:hAnsi="Times New Roman"/>
                <w:color w:val="auto"/>
                <w:highlight w:val="none"/>
              </w:rPr>
              <w:t>[</w:t>
            </w:r>
            <w:r>
              <w:rPr>
                <w:rFonts w:hint="eastAsia" w:ascii="Times New Roman" w:hAnsi="Times New Roman"/>
                <w:color w:val="auto"/>
                <w:highlight w:val="none"/>
              </w:rPr>
              <w:t>最高投标限价×8</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区间的投标单位少于或等于</w:t>
            </w:r>
            <w:r>
              <w:rPr>
                <w:rFonts w:ascii="Times New Roman" w:hAnsi="Times New Roman"/>
                <w:color w:val="auto"/>
                <w:highlight w:val="none"/>
              </w:rPr>
              <w:t>3</w:t>
            </w:r>
            <w:r>
              <w:rPr>
                <w:rFonts w:hint="eastAsia" w:ascii="Times New Roman" w:hAnsi="Times New Roman"/>
                <w:color w:val="auto"/>
                <w:highlight w:val="none"/>
              </w:rPr>
              <w:t>名时，按位于</w:t>
            </w:r>
            <w:r>
              <w:rPr>
                <w:rFonts w:ascii="Times New Roman" w:hAnsi="Times New Roman"/>
                <w:color w:val="auto"/>
                <w:highlight w:val="none"/>
              </w:rPr>
              <w:t>[</w:t>
            </w:r>
            <w:r>
              <w:rPr>
                <w:rFonts w:hint="eastAsia" w:ascii="Times New Roman" w:hAnsi="Times New Roman"/>
                <w:color w:val="auto"/>
                <w:highlight w:val="none"/>
              </w:rPr>
              <w:t>最高投标限价×8</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区间的投标报价的算术平均值为评标基准价；</w:t>
            </w:r>
          </w:p>
          <w:p w14:paraId="5C09B837">
            <w:pPr>
              <w:shd w:val="clear" w:color="auto" w:fill="auto"/>
              <w:jc w:val="left"/>
              <w:rPr>
                <w:rFonts w:ascii="Times New Roman" w:hAnsi="Times New Roman"/>
                <w:color w:val="auto"/>
                <w:highlight w:val="none"/>
              </w:rPr>
            </w:pPr>
            <w:r>
              <w:rPr>
                <w:rFonts w:hint="eastAsia" w:ascii="Times New Roman" w:hAnsi="Times New Roman"/>
                <w:color w:val="auto"/>
                <w:highlight w:val="none"/>
              </w:rPr>
              <w:t>若通过初步评审的投标人中，投标报价在</w:t>
            </w:r>
            <w:r>
              <w:rPr>
                <w:rFonts w:ascii="Times New Roman" w:hAnsi="Times New Roman"/>
                <w:color w:val="auto"/>
                <w:highlight w:val="none"/>
              </w:rPr>
              <w:t>[</w:t>
            </w:r>
            <w:r>
              <w:rPr>
                <w:rFonts w:hint="eastAsia" w:ascii="Times New Roman" w:hAnsi="Times New Roman"/>
                <w:color w:val="auto"/>
                <w:highlight w:val="none"/>
              </w:rPr>
              <w:t>最高投标限价×8</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区间的投标单位大于</w:t>
            </w:r>
            <w:r>
              <w:rPr>
                <w:rFonts w:ascii="Times New Roman" w:hAnsi="Times New Roman"/>
                <w:color w:val="auto"/>
                <w:highlight w:val="none"/>
              </w:rPr>
              <w:t>3</w:t>
            </w:r>
            <w:r>
              <w:rPr>
                <w:rFonts w:hint="eastAsia" w:ascii="Times New Roman" w:hAnsi="Times New Roman"/>
                <w:color w:val="auto"/>
                <w:highlight w:val="none"/>
              </w:rPr>
              <w:t>名时，按位于</w:t>
            </w:r>
            <w:r>
              <w:rPr>
                <w:rFonts w:ascii="Times New Roman" w:hAnsi="Times New Roman"/>
                <w:color w:val="auto"/>
                <w:highlight w:val="none"/>
              </w:rPr>
              <w:t>[</w:t>
            </w:r>
            <w:r>
              <w:rPr>
                <w:rFonts w:hint="eastAsia" w:ascii="Times New Roman" w:hAnsi="Times New Roman"/>
                <w:color w:val="auto"/>
                <w:highlight w:val="none"/>
              </w:rPr>
              <w:t>最高投标限价×8</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区间的投标报价，去一个最高价和一个最低价后，剩余报价的算术平均值为评标基准价；</w:t>
            </w:r>
          </w:p>
          <w:p w14:paraId="5ABB5237">
            <w:pPr>
              <w:shd w:val="clear" w:color="auto" w:fill="auto"/>
              <w:jc w:val="left"/>
              <w:rPr>
                <w:rFonts w:ascii="宋体" w:hAnsi="宋体"/>
                <w:color w:val="auto"/>
                <w:highlight w:val="none"/>
              </w:rPr>
            </w:pPr>
            <w:r>
              <w:rPr>
                <w:rFonts w:hint="eastAsia" w:ascii="Times New Roman" w:hAnsi="Times New Roman"/>
                <w:color w:val="auto"/>
                <w:highlight w:val="none"/>
              </w:rPr>
              <w:t>若通过初步评审投标人的报价均低于最高投标限价×</w:t>
            </w:r>
            <w:r>
              <w:rPr>
                <w:rFonts w:hint="eastAsia" w:ascii="Times New Roman" w:hAnsi="Times New Roman"/>
                <w:color w:val="auto"/>
                <w:highlight w:val="none"/>
                <w:lang w:val="en-US" w:eastAsia="zh-CN"/>
              </w:rPr>
              <w:t>85</w:t>
            </w:r>
            <w:r>
              <w:rPr>
                <w:rFonts w:ascii="Times New Roman" w:hAnsi="Times New Roman"/>
                <w:color w:val="auto"/>
                <w:highlight w:val="none"/>
              </w:rPr>
              <w:t>%</w:t>
            </w:r>
            <w:r>
              <w:rPr>
                <w:rFonts w:hint="eastAsia" w:ascii="Times New Roman" w:hAnsi="Times New Roman"/>
                <w:color w:val="auto"/>
                <w:highlight w:val="none"/>
              </w:rPr>
              <w:t>，以最接近最高投标限价×8</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的投标报价为评标基准价。</w:t>
            </w:r>
          </w:p>
        </w:tc>
      </w:tr>
      <w:tr w14:paraId="38511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46E656F4">
            <w:pPr>
              <w:shd w:val="clear" w:color="auto" w:fill="auto"/>
              <w:jc w:val="center"/>
              <w:rPr>
                <w:rFonts w:ascii="Times New Roman" w:hAnsi="Times New Roman"/>
                <w:color w:val="auto"/>
                <w:highlight w:val="none"/>
              </w:rPr>
            </w:pPr>
            <w:r>
              <w:rPr>
                <w:rFonts w:ascii="Times New Roman" w:hAnsi="Times New Roman"/>
                <w:color w:val="auto"/>
                <w:highlight w:val="none"/>
              </w:rPr>
              <w:t>2.2.3</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806E5D7">
            <w:pPr>
              <w:shd w:val="clear" w:color="auto" w:fill="auto"/>
              <w:jc w:val="center"/>
              <w:rPr>
                <w:rFonts w:ascii="Times New Roman" w:hAnsi="Times New Roman"/>
                <w:color w:val="auto"/>
                <w:highlight w:val="none"/>
              </w:rPr>
            </w:pPr>
            <w:r>
              <w:rPr>
                <w:rFonts w:hint="eastAsia" w:ascii="Times New Roman" w:hAnsi="Times New Roman"/>
                <w:color w:val="auto"/>
                <w:highlight w:val="none"/>
              </w:rPr>
              <w:t>投标报价的偏差率</w:t>
            </w:r>
          </w:p>
          <w:p w14:paraId="420E42DE">
            <w:pPr>
              <w:shd w:val="clear" w:color="auto" w:fill="auto"/>
              <w:jc w:val="center"/>
              <w:rPr>
                <w:rFonts w:ascii="Times New Roman" w:hAnsi="Times New Roman"/>
                <w:color w:val="auto"/>
                <w:highlight w:val="none"/>
              </w:rPr>
            </w:pPr>
            <w:r>
              <w:rPr>
                <w:rFonts w:hint="eastAsia" w:ascii="Times New Roman" w:hAnsi="Times New Roman"/>
                <w:color w:val="auto"/>
                <w:highlight w:val="none"/>
              </w:rPr>
              <w:t>计算公式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C68F5C3">
            <w:pPr>
              <w:shd w:val="clear" w:color="auto" w:fill="auto"/>
              <w:jc w:val="left"/>
              <w:rPr>
                <w:rFonts w:ascii="Times New Roman" w:hAnsi="Times New Roman"/>
                <w:color w:val="auto"/>
                <w:highlight w:val="none"/>
              </w:rPr>
            </w:pPr>
            <w:r>
              <w:rPr>
                <w:rFonts w:hint="eastAsia" w:ascii="Times New Roman" w:hAnsi="Times New Roman"/>
                <w:color w:val="auto"/>
                <w:highlight w:val="none"/>
              </w:rPr>
              <w:t>偏差率</w:t>
            </w:r>
            <w:r>
              <w:rPr>
                <w:rFonts w:ascii="Times New Roman" w:hAnsi="Times New Roman"/>
                <w:color w:val="auto"/>
                <w:highlight w:val="none"/>
              </w:rPr>
              <w:t>=</w:t>
            </w:r>
            <w:r>
              <w:rPr>
                <w:rFonts w:hint="eastAsia" w:ascii="Times New Roman" w:hAnsi="Times New Roman"/>
                <w:color w:val="auto"/>
                <w:highlight w:val="none"/>
              </w:rPr>
              <w:t>∣投标报价—评标基准价∣</w:t>
            </w:r>
            <w:r>
              <w:rPr>
                <w:rFonts w:ascii="Times New Roman" w:hAnsi="Times New Roman"/>
                <w:color w:val="auto"/>
                <w:highlight w:val="none"/>
              </w:rPr>
              <w:t>/</w:t>
            </w:r>
            <w:r>
              <w:rPr>
                <w:rFonts w:hint="eastAsia" w:ascii="Times New Roman" w:hAnsi="Times New Roman"/>
                <w:color w:val="auto"/>
                <w:highlight w:val="none"/>
              </w:rPr>
              <w:t>评标基准价</w:t>
            </w:r>
            <w:r>
              <w:rPr>
                <w:rFonts w:ascii="Times New Roman" w:hAnsi="Times New Roman"/>
                <w:color w:val="auto"/>
                <w:highlight w:val="none"/>
              </w:rPr>
              <w:t>*100%</w:t>
            </w:r>
          </w:p>
          <w:p w14:paraId="4DE22E07">
            <w:pPr>
              <w:shd w:val="clear" w:color="auto" w:fill="auto"/>
              <w:jc w:val="left"/>
              <w:rPr>
                <w:rFonts w:ascii="Times New Roman" w:hAnsi="Times New Roman"/>
                <w:color w:val="auto"/>
                <w:highlight w:val="none"/>
              </w:rPr>
            </w:pPr>
            <w:r>
              <w:rPr>
                <w:rFonts w:hint="eastAsia" w:ascii="Times New Roman" w:hAnsi="Times New Roman"/>
                <w:color w:val="auto"/>
                <w:highlight w:val="none"/>
              </w:rPr>
              <w:t>（偏差率四舍五入保留</w:t>
            </w:r>
            <w:r>
              <w:rPr>
                <w:rFonts w:ascii="Times New Roman" w:hAnsi="Times New Roman"/>
                <w:color w:val="auto"/>
                <w:highlight w:val="none"/>
              </w:rPr>
              <w:t>1</w:t>
            </w:r>
            <w:r>
              <w:rPr>
                <w:rFonts w:hint="eastAsia" w:ascii="Times New Roman" w:hAnsi="Times New Roman"/>
                <w:color w:val="auto"/>
                <w:highlight w:val="none"/>
              </w:rPr>
              <w:t>位小数，报价偏差率不足</w:t>
            </w:r>
            <w:r>
              <w:rPr>
                <w:rFonts w:ascii="Times New Roman" w:hAnsi="Times New Roman"/>
                <w:color w:val="auto"/>
                <w:highlight w:val="none"/>
              </w:rPr>
              <w:t>1%</w:t>
            </w:r>
            <w:r>
              <w:rPr>
                <w:rFonts w:hint="eastAsia" w:ascii="Times New Roman" w:hAnsi="Times New Roman"/>
                <w:color w:val="auto"/>
                <w:highlight w:val="none"/>
              </w:rPr>
              <w:t>的，按直线内插法计算投标报价得分。）</w:t>
            </w:r>
          </w:p>
        </w:tc>
      </w:tr>
      <w:tr w14:paraId="1F007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noWrap w:val="0"/>
            <w:vAlign w:val="center"/>
          </w:tcPr>
          <w:p w14:paraId="7DA34801">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4BE41A4">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评分因素（偏差率）</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982C817">
            <w:pPr>
              <w:shd w:val="clear" w:color="auto" w:fill="auto"/>
              <w:jc w:val="center"/>
              <w:rPr>
                <w:rFonts w:ascii="Times New Roman" w:hAnsi="Times New Roman"/>
                <w:b/>
                <w:color w:val="auto"/>
                <w:highlight w:val="none"/>
              </w:rPr>
            </w:pPr>
            <w:r>
              <w:rPr>
                <w:rFonts w:hint="eastAsia" w:ascii="Times New Roman" w:hAnsi="Times New Roman"/>
                <w:b/>
                <w:color w:val="auto"/>
                <w:highlight w:val="none"/>
              </w:rPr>
              <w:t>评分标准</w:t>
            </w:r>
          </w:p>
        </w:tc>
      </w:tr>
      <w:tr w14:paraId="6AA2B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10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7CCA25">
            <w:pPr>
              <w:shd w:val="clear" w:color="auto" w:fill="auto"/>
              <w:jc w:val="center"/>
              <w:rPr>
                <w:rFonts w:ascii="宋体" w:hAnsi="宋体"/>
                <w:color w:val="auto"/>
                <w:szCs w:val="21"/>
                <w:highlight w:val="none"/>
              </w:rPr>
            </w:pPr>
            <w:r>
              <w:rPr>
                <w:rFonts w:hint="eastAsia" w:ascii="宋体" w:hAnsi="宋体"/>
                <w:color w:val="auto"/>
                <w:szCs w:val="21"/>
                <w:highlight w:val="none"/>
              </w:rPr>
              <w:t>2.2.4（A）</w:t>
            </w:r>
          </w:p>
        </w:tc>
        <w:tc>
          <w:tcPr>
            <w:tcW w:w="1012" w:type="dxa"/>
            <w:vMerge w:val="restart"/>
            <w:tcBorders>
              <w:top w:val="single" w:color="auto" w:sz="4" w:space="0"/>
              <w:left w:val="nil"/>
              <w:bottom w:val="single" w:color="auto" w:sz="4" w:space="0"/>
              <w:right w:val="single" w:color="auto" w:sz="4" w:space="0"/>
            </w:tcBorders>
            <w:noWrap w:val="0"/>
            <w:vAlign w:val="center"/>
          </w:tcPr>
          <w:p w14:paraId="0D063656">
            <w:pPr>
              <w:shd w:val="clear" w:color="auto" w:fill="auto"/>
              <w:jc w:val="center"/>
              <w:rPr>
                <w:rFonts w:ascii="宋体" w:hAnsi="宋体"/>
                <w:color w:val="auto"/>
                <w:szCs w:val="21"/>
                <w:highlight w:val="none"/>
              </w:rPr>
            </w:pPr>
            <w:r>
              <w:rPr>
                <w:rFonts w:hint="eastAsia" w:ascii="宋体" w:hAnsi="宋体"/>
                <w:color w:val="auto"/>
                <w:szCs w:val="21"/>
                <w:highlight w:val="none"/>
              </w:rPr>
              <w:t>商务评分标准（20分）</w:t>
            </w:r>
          </w:p>
        </w:tc>
        <w:tc>
          <w:tcPr>
            <w:tcW w:w="1520" w:type="dxa"/>
            <w:tcBorders>
              <w:top w:val="single" w:color="auto" w:sz="4" w:space="0"/>
              <w:left w:val="single" w:color="auto" w:sz="4" w:space="0"/>
              <w:bottom w:val="nil"/>
              <w:right w:val="single" w:color="auto" w:sz="4" w:space="0"/>
            </w:tcBorders>
            <w:noWrap w:val="0"/>
            <w:vAlign w:val="center"/>
          </w:tcPr>
          <w:p w14:paraId="5CB597EA">
            <w:pPr>
              <w:shd w:val="clear" w:color="auto" w:fill="auto"/>
              <w:jc w:val="center"/>
              <w:rPr>
                <w:rFonts w:ascii="宋体" w:hAnsi="宋体"/>
                <w:color w:val="auto"/>
                <w:szCs w:val="21"/>
                <w:highlight w:val="none"/>
              </w:rPr>
            </w:pPr>
            <w:r>
              <w:rPr>
                <w:rFonts w:hint="eastAsia" w:ascii="宋体" w:hAnsi="宋体"/>
                <w:color w:val="auto"/>
                <w:szCs w:val="21"/>
                <w:highlight w:val="none"/>
              </w:rPr>
              <w:t>类似业绩（1</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21CCAFD2">
            <w:pPr>
              <w:numPr>
                <w:ilvl w:val="0"/>
                <w:numId w:val="0"/>
              </w:numPr>
              <w:spacing w:line="240" w:lineRule="auto"/>
              <w:jc w:val="left"/>
              <w:rPr>
                <w:rFonts w:hint="eastAsia" w:ascii="宋体" w:hAnsi="宋体" w:eastAsia="宋体" w:cs="Times New Roman"/>
                <w:color w:val="auto"/>
                <w:sz w:val="21"/>
                <w:szCs w:val="21"/>
                <w:highlight w:val="none"/>
                <w:lang w:val="en-US" w:eastAsia="zh-CN"/>
              </w:rPr>
            </w:pPr>
            <w:r>
              <w:rPr>
                <w:rFonts w:hint="eastAsia" w:ascii="宋体" w:hAnsi="宋体"/>
                <w:color w:val="auto"/>
                <w:szCs w:val="21"/>
                <w:highlight w:val="none"/>
                <w:lang w:val="en-US" w:eastAsia="zh-CN"/>
              </w:rPr>
              <w:t>投标人</w:t>
            </w:r>
            <w:r>
              <w:rPr>
                <w:rFonts w:hint="eastAsia" w:ascii="宋体" w:hAnsi="宋体"/>
                <w:color w:val="auto"/>
                <w:szCs w:val="21"/>
                <w:highlight w:val="none"/>
              </w:rPr>
              <w:t>自2022年1月1日</w:t>
            </w:r>
            <w:r>
              <w:rPr>
                <w:rFonts w:hint="eastAsia" w:ascii="宋体" w:hAnsi="宋体"/>
                <w:color w:val="auto"/>
                <w:szCs w:val="21"/>
                <w:highlight w:val="none"/>
                <w:lang w:val="en-US" w:eastAsia="zh-CN"/>
              </w:rPr>
              <w:t>以来</w:t>
            </w:r>
            <w:r>
              <w:rPr>
                <w:rFonts w:hint="eastAsia" w:ascii="宋体" w:hAnsi="宋体" w:eastAsia="宋体" w:cs="Times New Roman"/>
                <w:color w:val="auto"/>
                <w:sz w:val="21"/>
                <w:szCs w:val="21"/>
                <w:highlight w:val="none"/>
                <w:lang w:val="en-US" w:eastAsia="zh-CN"/>
              </w:rPr>
              <w:t>（以合同签订时间为准）</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rPr>
              <w:t>每供应过本项目采购药剂清单（葡萄糖、乙酸钠、乙二醇）内的1种药剂，得</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分，最高得</w:t>
            </w:r>
            <w:r>
              <w:rPr>
                <w:rFonts w:hint="eastAsia" w:ascii="宋体" w:hAnsi="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val="en-US" w:eastAsia="zh-CN"/>
              </w:rPr>
              <w:t>分。</w:t>
            </w:r>
          </w:p>
          <w:p w14:paraId="54BF8E8E">
            <w:pPr>
              <w:numPr>
                <w:ilvl w:val="0"/>
                <w:numId w:val="0"/>
              </w:numPr>
              <w:shd w:val="clear" w:color="auto" w:fill="auto"/>
              <w:spacing w:line="240" w:lineRule="auto"/>
              <w:jc w:val="left"/>
              <w:rPr>
                <w:rFonts w:ascii="宋体" w:hAnsi="宋体"/>
                <w:color w:val="auto"/>
                <w:szCs w:val="21"/>
                <w:highlight w:val="none"/>
              </w:rPr>
            </w:pPr>
            <w:r>
              <w:rPr>
                <w:rFonts w:hint="eastAsia" w:ascii="宋体" w:hAnsi="宋体" w:eastAsia="宋体" w:cs="Times New Roman"/>
                <w:color w:val="auto"/>
                <w:sz w:val="21"/>
                <w:szCs w:val="21"/>
                <w:highlight w:val="none"/>
              </w:rPr>
              <w:t>注：</w:t>
            </w:r>
            <w:r>
              <w:rPr>
                <w:rFonts w:hint="eastAsia" w:ascii="宋体" w:hAnsi="宋体"/>
                <w:color w:val="auto"/>
                <w:szCs w:val="21"/>
                <w:highlight w:val="none"/>
              </w:rPr>
              <w:t>提供证明材料具体按《类似项目情况表》要求。</w:t>
            </w:r>
          </w:p>
        </w:tc>
      </w:tr>
      <w:tr w14:paraId="312E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89AF94">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2EA7CB6D">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right w:val="single" w:color="auto" w:sz="4" w:space="0"/>
            </w:tcBorders>
            <w:noWrap w:val="0"/>
            <w:vAlign w:val="center"/>
          </w:tcPr>
          <w:p w14:paraId="01CC3116">
            <w:pPr>
              <w:shd w:val="clear" w:color="auto" w:fill="auto"/>
              <w:jc w:val="center"/>
              <w:rPr>
                <w:rFonts w:ascii="宋体" w:hAnsi="宋体"/>
                <w:color w:val="auto"/>
                <w:szCs w:val="21"/>
                <w:highlight w:val="none"/>
              </w:rPr>
            </w:pPr>
            <w:r>
              <w:rPr>
                <w:rFonts w:hint="eastAsia" w:ascii="宋体" w:hAnsi="宋体"/>
                <w:color w:val="auto"/>
                <w:szCs w:val="21"/>
                <w:highlight w:val="none"/>
              </w:rPr>
              <w:t>体系认证(3分)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6063C679">
            <w:pPr>
              <w:shd w:val="clear" w:color="auto" w:fill="auto"/>
              <w:rPr>
                <w:rFonts w:ascii="宋体" w:hAnsi="宋体"/>
                <w:color w:val="auto"/>
                <w:szCs w:val="21"/>
                <w:highlight w:val="none"/>
              </w:rPr>
            </w:pPr>
            <w:r>
              <w:rPr>
                <w:rFonts w:hint="eastAsia" w:ascii="宋体" w:hAnsi="宋体"/>
                <w:color w:val="auto"/>
                <w:szCs w:val="21"/>
                <w:highlight w:val="none"/>
              </w:rPr>
              <w:t>投标人获得有效期内的ISO9000质量管理体系认证证书得1分、ISO14000环境管理体系认证证书得1分、ISO45001职业健康安全管理体系认证证书得1分。最高得3分。</w:t>
            </w:r>
          </w:p>
          <w:p w14:paraId="62030A1A">
            <w:pPr>
              <w:shd w:val="clear" w:color="auto" w:fill="auto"/>
              <w:jc w:val="left"/>
              <w:rPr>
                <w:rFonts w:ascii="宋体" w:hAnsi="宋体"/>
                <w:color w:val="auto"/>
                <w:szCs w:val="21"/>
                <w:highlight w:val="none"/>
              </w:rPr>
            </w:pPr>
            <w:r>
              <w:rPr>
                <w:rFonts w:hint="eastAsia"/>
                <w:color w:val="auto"/>
                <w:highlight w:val="none"/>
              </w:rPr>
              <w:t>注：</w:t>
            </w:r>
            <w:r>
              <w:rPr>
                <w:rFonts w:hint="eastAsia" w:ascii="宋体" w:hAnsi="宋体"/>
                <w:color w:val="auto"/>
                <w:szCs w:val="21"/>
                <w:highlight w:val="none"/>
              </w:rPr>
              <w:t>提供证书扫描件和全国认证认可信息公共服务平台（http://cx.cnca.cn/CertECloud/index/index/page）相关截图扫描件并加盖投标单位电子印章。</w:t>
            </w:r>
          </w:p>
          <w:p w14:paraId="1C69DD52">
            <w:pPr>
              <w:shd w:val="clear" w:color="auto" w:fill="auto"/>
              <w:jc w:val="left"/>
              <w:rPr>
                <w:rFonts w:ascii="宋体" w:hAnsi="宋体"/>
                <w:color w:val="auto"/>
                <w:szCs w:val="21"/>
                <w:highlight w:val="none"/>
              </w:rPr>
            </w:pPr>
            <w:r>
              <w:rPr>
                <w:rFonts w:hint="eastAsia" w:ascii="宋体" w:hAnsi="宋体"/>
                <w:color w:val="auto"/>
                <w:szCs w:val="21"/>
                <w:highlight w:val="none"/>
              </w:rPr>
              <w:t>不符合上述条件或未按要求提供证明材料的不得分。</w:t>
            </w:r>
          </w:p>
        </w:tc>
      </w:tr>
      <w:tr w14:paraId="4C086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01746E">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1C5344A9">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right w:val="single" w:color="auto" w:sz="4" w:space="0"/>
            </w:tcBorders>
            <w:noWrap w:val="0"/>
            <w:vAlign w:val="center"/>
          </w:tcPr>
          <w:p w14:paraId="0E6449E9">
            <w:pPr>
              <w:shd w:val="clear" w:color="auto" w:fill="auto"/>
              <w:jc w:val="center"/>
              <w:rPr>
                <w:rFonts w:ascii="宋体" w:hAnsi="宋体"/>
                <w:color w:val="auto"/>
                <w:szCs w:val="21"/>
                <w:highlight w:val="none"/>
              </w:rPr>
            </w:pPr>
            <w:r>
              <w:rPr>
                <w:rFonts w:hint="eastAsia" w:ascii="宋体" w:hAnsi="宋体"/>
                <w:color w:val="auto"/>
                <w:szCs w:val="21"/>
                <w:highlight w:val="none"/>
              </w:rPr>
              <w:t>投标人信誉（</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7060A9C">
            <w:pPr>
              <w:shd w:val="clear" w:color="auto" w:fill="auto"/>
              <w:rPr>
                <w:rFonts w:ascii="宋体" w:hAnsi="宋体"/>
                <w:color w:val="auto"/>
                <w:szCs w:val="21"/>
                <w:highlight w:val="none"/>
              </w:rPr>
            </w:pPr>
            <w:r>
              <w:rPr>
                <w:rFonts w:hint="eastAsia" w:ascii="宋体" w:hAnsi="宋体"/>
                <w:color w:val="auto"/>
                <w:szCs w:val="21"/>
                <w:highlight w:val="none"/>
              </w:rPr>
              <w:t>投标人曾经获得过202</w:t>
            </w:r>
            <w:r>
              <w:rPr>
                <w:rFonts w:hint="eastAsia" w:ascii="宋体" w:hAnsi="宋体"/>
                <w:color w:val="auto"/>
                <w:szCs w:val="21"/>
                <w:highlight w:val="none"/>
                <w:lang w:val="en-US" w:eastAsia="zh-CN"/>
              </w:rPr>
              <w:t>4</w:t>
            </w:r>
            <w:r>
              <w:rPr>
                <w:rFonts w:hint="eastAsia" w:ascii="宋体" w:hAnsi="宋体"/>
                <w:color w:val="auto"/>
                <w:szCs w:val="21"/>
                <w:highlight w:val="none"/>
              </w:rPr>
              <w:t>年评审年度的“纳税信用 A 级纳税人”称号的，得</w:t>
            </w:r>
            <w:r>
              <w:rPr>
                <w:rFonts w:hint="eastAsia" w:ascii="宋体" w:hAnsi="宋体"/>
                <w:color w:val="auto"/>
                <w:szCs w:val="21"/>
                <w:highlight w:val="none"/>
                <w:lang w:val="en-US" w:eastAsia="zh-CN"/>
              </w:rPr>
              <w:t>2</w:t>
            </w:r>
            <w:r>
              <w:rPr>
                <w:rFonts w:hint="eastAsia" w:ascii="宋体" w:hAnsi="宋体"/>
                <w:color w:val="auto"/>
                <w:szCs w:val="21"/>
                <w:highlight w:val="none"/>
              </w:rPr>
              <w:t>分；投标人曾经获得过202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年评审年度的“纳税信用 </w:t>
            </w:r>
            <w:r>
              <w:rPr>
                <w:rFonts w:hint="eastAsia" w:ascii="宋体" w:hAnsi="宋体"/>
                <w:color w:val="auto"/>
                <w:szCs w:val="21"/>
                <w:highlight w:val="none"/>
                <w:lang w:val="en-US" w:eastAsia="zh-CN"/>
              </w:rPr>
              <w:t>B</w:t>
            </w:r>
            <w:r>
              <w:rPr>
                <w:rFonts w:hint="eastAsia" w:ascii="宋体" w:hAnsi="宋体"/>
                <w:color w:val="auto"/>
                <w:szCs w:val="21"/>
                <w:highlight w:val="none"/>
              </w:rPr>
              <w:t xml:space="preserve"> 级纳税人”称号的，得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其余不得分。</w:t>
            </w:r>
          </w:p>
          <w:p w14:paraId="2F8709B2">
            <w:pPr>
              <w:shd w:val="clear" w:color="auto" w:fill="auto"/>
              <w:jc w:val="left"/>
              <w:rPr>
                <w:rFonts w:ascii="宋体" w:hAnsi="宋体"/>
                <w:color w:val="auto"/>
                <w:szCs w:val="21"/>
                <w:highlight w:val="none"/>
              </w:rPr>
            </w:pPr>
            <w:r>
              <w:rPr>
                <w:rFonts w:hint="eastAsia"/>
                <w:color w:val="auto"/>
                <w:highlight w:val="none"/>
              </w:rPr>
              <w:t>注：须提供证书扫描件或国家税务总局网站（http://www.chinatax.gov.cn/index.html）“纳税信用A级</w:t>
            </w:r>
            <w:r>
              <w:rPr>
                <w:rFonts w:hint="eastAsia"/>
                <w:color w:val="auto"/>
                <w:highlight w:val="none"/>
                <w:lang w:val="en-US" w:eastAsia="zh-CN"/>
              </w:rPr>
              <w:t>或B级</w:t>
            </w:r>
            <w:r>
              <w:rPr>
                <w:rFonts w:hint="eastAsia"/>
                <w:color w:val="auto"/>
                <w:highlight w:val="none"/>
              </w:rPr>
              <w:t>纳税人名单公布栏”查询结果（查询结果不包括子公司、分公司）的网页截图并加盖投标人电子印章。不符合条件或无提供证书扫描件（网页查询的，无提供查询结果网页截图）或无加盖投标人企业电子印章的不计分。（具体以开标当天评标委员会查询为准）</w:t>
            </w:r>
          </w:p>
        </w:tc>
      </w:tr>
      <w:tr w14:paraId="3D392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B7E9CE">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5DF01D2B">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CD8AA5E">
            <w:pPr>
              <w:shd w:val="clear" w:color="auto" w:fill="auto"/>
              <w:jc w:val="center"/>
              <w:rPr>
                <w:rFonts w:ascii="宋体" w:hAnsi="宋体"/>
                <w:color w:val="auto"/>
                <w:szCs w:val="21"/>
                <w:highlight w:val="none"/>
              </w:rPr>
            </w:pPr>
            <w:r>
              <w:rPr>
                <w:rFonts w:hint="eastAsia" w:ascii="宋体" w:hAnsi="宋体"/>
                <w:color w:val="auto"/>
                <w:szCs w:val="21"/>
                <w:highlight w:val="none"/>
              </w:rPr>
              <w:t>客户评价情况（</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762C161">
            <w:pPr>
              <w:shd w:val="clear" w:color="auto" w:fill="auto"/>
              <w:jc w:val="left"/>
              <w:rPr>
                <w:rFonts w:ascii="宋体" w:hAnsi="宋体"/>
                <w:color w:val="auto"/>
                <w:szCs w:val="21"/>
                <w:highlight w:val="none"/>
              </w:rPr>
            </w:pPr>
            <w:r>
              <w:rPr>
                <w:rFonts w:hint="eastAsia" w:ascii="宋体" w:hAnsi="宋体"/>
                <w:color w:val="auto"/>
                <w:szCs w:val="21"/>
                <w:highlight w:val="none"/>
              </w:rPr>
              <w:t>依据《类似项目情况表》中的业主评价</w:t>
            </w:r>
            <w:r>
              <w:rPr>
                <w:rFonts w:hint="eastAsia" w:ascii="宋体" w:hAnsi="宋体"/>
                <w:color w:val="auto"/>
                <w:szCs w:val="21"/>
                <w:highlight w:val="none"/>
                <w:lang w:val="en-US" w:eastAsia="zh-CN"/>
              </w:rPr>
              <w:t>或</w:t>
            </w:r>
            <w:r>
              <w:rPr>
                <w:rFonts w:hint="eastAsia" w:ascii="宋体" w:hAnsi="宋体"/>
                <w:color w:val="auto"/>
                <w:szCs w:val="21"/>
                <w:highlight w:val="none"/>
              </w:rPr>
              <w:t>相关评价证明材料，每具有一项正面评价的，得</w:t>
            </w:r>
            <w:r>
              <w:rPr>
                <w:rFonts w:hint="eastAsia" w:ascii="宋体" w:hAnsi="宋体"/>
                <w:color w:val="auto"/>
                <w:szCs w:val="21"/>
                <w:highlight w:val="none"/>
                <w:lang w:val="en-US" w:eastAsia="zh-CN"/>
              </w:rPr>
              <w:t>1</w:t>
            </w:r>
            <w:r>
              <w:rPr>
                <w:rFonts w:hint="eastAsia" w:ascii="宋体" w:hAnsi="宋体"/>
                <w:color w:val="auto"/>
                <w:szCs w:val="21"/>
                <w:highlight w:val="none"/>
              </w:rPr>
              <w:t>分，最高得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6D645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DD8E5F8">
            <w:pPr>
              <w:shd w:val="clear" w:color="auto" w:fill="auto"/>
              <w:jc w:val="center"/>
              <w:rPr>
                <w:rFonts w:ascii="宋体" w:hAnsi="宋体"/>
                <w:color w:val="auto"/>
                <w:szCs w:val="21"/>
                <w:highlight w:val="none"/>
              </w:rPr>
            </w:pPr>
            <w:r>
              <w:rPr>
                <w:rFonts w:hint="eastAsia" w:ascii="宋体" w:hAnsi="宋体"/>
                <w:color w:val="auto"/>
                <w:szCs w:val="21"/>
                <w:highlight w:val="none"/>
              </w:rPr>
              <w:t>2.2.4（B）</w:t>
            </w:r>
          </w:p>
        </w:tc>
        <w:tc>
          <w:tcPr>
            <w:tcW w:w="1012" w:type="dxa"/>
            <w:vMerge w:val="restart"/>
            <w:tcBorders>
              <w:top w:val="single" w:color="auto" w:sz="4" w:space="0"/>
              <w:left w:val="nil"/>
              <w:bottom w:val="single" w:color="auto" w:sz="4" w:space="0"/>
              <w:right w:val="single" w:color="auto" w:sz="4" w:space="0"/>
            </w:tcBorders>
            <w:noWrap w:val="0"/>
            <w:vAlign w:val="center"/>
          </w:tcPr>
          <w:p w14:paraId="6CE41C75">
            <w:pPr>
              <w:shd w:val="clear" w:color="auto" w:fill="auto"/>
              <w:jc w:val="center"/>
              <w:rPr>
                <w:rFonts w:ascii="宋体" w:hAnsi="宋体"/>
                <w:color w:val="auto"/>
                <w:szCs w:val="21"/>
                <w:highlight w:val="none"/>
              </w:rPr>
            </w:pPr>
            <w:r>
              <w:rPr>
                <w:rFonts w:hint="eastAsia" w:ascii="宋体" w:hAnsi="宋体"/>
                <w:color w:val="auto"/>
                <w:szCs w:val="21"/>
                <w:highlight w:val="none"/>
              </w:rPr>
              <w:t>技术评分标准（40分）</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FEA2BD4">
            <w:pPr>
              <w:pStyle w:val="29"/>
              <w:widowControl/>
              <w:shd w:val="clear" w:color="auto" w:fill="auto"/>
              <w:spacing w:after="0" w:line="240" w:lineRule="auto"/>
              <w:ind w:firstLine="0"/>
              <w:jc w:val="left"/>
              <w:rPr>
                <w:rFonts w:ascii="宋体" w:hAnsi="宋体"/>
                <w:color w:val="auto"/>
                <w:szCs w:val="21"/>
                <w:highlight w:val="none"/>
              </w:rPr>
            </w:pPr>
            <w:r>
              <w:rPr>
                <w:rFonts w:hint="eastAsia" w:ascii="宋体" w:hAnsi="宋体"/>
                <w:color w:val="auto"/>
                <w:szCs w:val="21"/>
                <w:highlight w:val="none"/>
              </w:rPr>
              <w:t>产品供货、质量保证措施（1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58444BD">
            <w:pPr>
              <w:shd w:val="clear" w:color="auto" w:fill="auto"/>
              <w:jc w:val="left"/>
              <w:rPr>
                <w:rFonts w:ascii="宋体" w:hAnsi="宋体"/>
                <w:color w:val="auto"/>
                <w:szCs w:val="21"/>
                <w:highlight w:val="none"/>
              </w:rPr>
            </w:pPr>
            <w:r>
              <w:rPr>
                <w:rFonts w:hint="eastAsia" w:ascii="宋体" w:hAnsi="宋体"/>
                <w:color w:val="auto"/>
                <w:szCs w:val="21"/>
                <w:highlight w:val="none"/>
              </w:rPr>
              <w:t>具有稳定、可靠产品供货渠道，包括提供相关供应商产品的授权、产品的质量检测报告，相关供应商生产能力、供应存储能力和质量保证的证明材料与实施计划，各投标人对比优的得1</w:t>
            </w:r>
            <w:r>
              <w:rPr>
                <w:rFonts w:hint="eastAsia" w:ascii="宋体" w:hAnsi="宋体"/>
                <w:color w:val="auto"/>
                <w:szCs w:val="21"/>
                <w:highlight w:val="none"/>
                <w:lang w:val="en-US" w:eastAsia="zh-CN"/>
              </w:rPr>
              <w:t>0</w:t>
            </w:r>
            <w:r>
              <w:rPr>
                <w:rFonts w:hint="eastAsia" w:ascii="宋体" w:hAnsi="宋体"/>
                <w:color w:val="auto"/>
                <w:szCs w:val="21"/>
                <w:highlight w:val="none"/>
              </w:rPr>
              <w:t>分；对比次之的得</w:t>
            </w:r>
            <w:r>
              <w:rPr>
                <w:rFonts w:hint="eastAsia" w:ascii="宋体" w:hAnsi="宋体"/>
                <w:color w:val="auto"/>
                <w:szCs w:val="21"/>
                <w:highlight w:val="none"/>
                <w:lang w:val="en-US" w:eastAsia="zh-CN"/>
              </w:rPr>
              <w:t>7</w:t>
            </w:r>
            <w:r>
              <w:rPr>
                <w:rFonts w:hint="eastAsia" w:ascii="宋体" w:hAnsi="宋体"/>
                <w:color w:val="auto"/>
                <w:szCs w:val="21"/>
                <w:highlight w:val="none"/>
              </w:rPr>
              <w:t>分；对比一般的得</w:t>
            </w:r>
            <w:r>
              <w:rPr>
                <w:rFonts w:hint="eastAsia" w:ascii="宋体" w:hAnsi="宋体"/>
                <w:color w:val="auto"/>
                <w:szCs w:val="21"/>
                <w:highlight w:val="none"/>
                <w:lang w:val="en-US" w:eastAsia="zh-CN"/>
              </w:rPr>
              <w:t>3</w:t>
            </w:r>
            <w:r>
              <w:rPr>
                <w:rFonts w:hint="eastAsia" w:ascii="宋体" w:hAnsi="宋体"/>
                <w:color w:val="auto"/>
                <w:szCs w:val="21"/>
                <w:highlight w:val="none"/>
              </w:rPr>
              <w:t>分；对比差的得0分。</w:t>
            </w:r>
          </w:p>
        </w:tc>
      </w:tr>
      <w:tr w14:paraId="31882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0D1D2C">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11A07685">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43DAFE0">
            <w:pPr>
              <w:shd w:val="clear" w:color="auto" w:fill="auto"/>
              <w:rPr>
                <w:rFonts w:ascii="宋体" w:hAnsi="宋体"/>
                <w:color w:val="auto"/>
                <w:szCs w:val="21"/>
                <w:highlight w:val="none"/>
              </w:rPr>
            </w:pPr>
            <w:r>
              <w:rPr>
                <w:rFonts w:hint="eastAsia" w:ascii="宋体" w:hAnsi="宋体"/>
                <w:color w:val="auto"/>
                <w:szCs w:val="21"/>
                <w:highlight w:val="none"/>
              </w:rPr>
              <w:t>应急处理方案（10分）</w:t>
            </w:r>
          </w:p>
        </w:tc>
        <w:tc>
          <w:tcPr>
            <w:tcW w:w="5636" w:type="dxa"/>
            <w:tcBorders>
              <w:top w:val="single" w:color="auto" w:sz="4" w:space="0"/>
              <w:left w:val="single" w:color="auto" w:sz="4" w:space="0"/>
              <w:bottom w:val="nil"/>
              <w:right w:val="single" w:color="auto" w:sz="4" w:space="0"/>
            </w:tcBorders>
            <w:noWrap w:val="0"/>
            <w:vAlign w:val="center"/>
          </w:tcPr>
          <w:p w14:paraId="6BBF0C5E">
            <w:pPr>
              <w:shd w:val="clear" w:color="auto" w:fill="auto"/>
              <w:rPr>
                <w:rFonts w:ascii="宋体" w:hAnsi="宋体"/>
                <w:color w:val="auto"/>
                <w:szCs w:val="21"/>
                <w:highlight w:val="none"/>
              </w:rPr>
            </w:pPr>
            <w:r>
              <w:rPr>
                <w:rFonts w:hint="eastAsia" w:ascii="宋体" w:hAnsi="宋体"/>
                <w:color w:val="auto"/>
                <w:szCs w:val="21"/>
                <w:highlight w:val="none"/>
              </w:rPr>
              <w:t>项目</w:t>
            </w:r>
            <w:r>
              <w:rPr>
                <w:rFonts w:hint="eastAsia" w:ascii="宋体" w:hAnsi="宋体"/>
                <w:color w:val="auto"/>
                <w:szCs w:val="21"/>
                <w:highlight w:val="none"/>
                <w:lang w:val="en-US" w:eastAsia="zh-CN"/>
              </w:rPr>
              <w:t>应急处理</w:t>
            </w:r>
            <w:r>
              <w:rPr>
                <w:rFonts w:hint="eastAsia" w:ascii="宋体" w:hAnsi="宋体"/>
                <w:color w:val="auto"/>
                <w:szCs w:val="21"/>
                <w:highlight w:val="none"/>
              </w:rPr>
              <w:t>方案完整合理、切实可行，保障措施详细，各投标人对比优的得10分；对比次之的得7分；对比一般的得3分；对比差的得0分。</w:t>
            </w:r>
          </w:p>
        </w:tc>
      </w:tr>
      <w:tr w14:paraId="0D783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0B45E5">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169CF2A6">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B32B037">
            <w:pPr>
              <w:shd w:val="clear" w:color="auto" w:fill="auto"/>
              <w:rPr>
                <w:rFonts w:ascii="宋体" w:hAnsi="宋体"/>
                <w:color w:val="auto"/>
                <w:szCs w:val="21"/>
                <w:highlight w:val="none"/>
              </w:rPr>
            </w:pPr>
            <w:r>
              <w:rPr>
                <w:rFonts w:hint="eastAsia" w:ascii="宋体" w:hAnsi="宋体"/>
                <w:color w:val="auto"/>
                <w:szCs w:val="21"/>
                <w:highlight w:val="none"/>
              </w:rPr>
              <w:t>项目服务方案（10分）</w:t>
            </w:r>
          </w:p>
        </w:tc>
        <w:tc>
          <w:tcPr>
            <w:tcW w:w="5636" w:type="dxa"/>
            <w:tcBorders>
              <w:top w:val="single" w:color="auto" w:sz="4" w:space="0"/>
              <w:left w:val="single" w:color="auto" w:sz="4" w:space="0"/>
              <w:bottom w:val="nil"/>
              <w:right w:val="single" w:color="auto" w:sz="4" w:space="0"/>
            </w:tcBorders>
            <w:noWrap w:val="0"/>
            <w:vAlign w:val="center"/>
          </w:tcPr>
          <w:p w14:paraId="20379434">
            <w:pPr>
              <w:shd w:val="clear" w:color="auto" w:fill="auto"/>
              <w:rPr>
                <w:rFonts w:ascii="宋体" w:hAnsi="宋体"/>
                <w:color w:val="auto"/>
                <w:szCs w:val="21"/>
                <w:highlight w:val="none"/>
              </w:rPr>
            </w:pPr>
            <w:r>
              <w:rPr>
                <w:rFonts w:hint="eastAsia" w:ascii="宋体" w:hAnsi="宋体"/>
                <w:color w:val="auto"/>
                <w:szCs w:val="21"/>
                <w:highlight w:val="none"/>
              </w:rPr>
              <w:t>针对本项目有提供具体可行、详细的服务方案及计划，完全满足项目的要求（</w:t>
            </w:r>
            <w:r>
              <w:rPr>
                <w:rFonts w:hint="eastAsia" w:ascii="宋体" w:hAnsi="宋体"/>
                <w:color w:val="auto"/>
                <w:szCs w:val="21"/>
                <w:highlight w:val="none"/>
                <w:lang w:val="en-US" w:eastAsia="zh-CN"/>
              </w:rPr>
              <w:t>包括但不限于</w:t>
            </w:r>
            <w:r>
              <w:rPr>
                <w:rFonts w:hint="eastAsia" w:ascii="宋体" w:hAnsi="宋体"/>
                <w:color w:val="auto"/>
                <w:szCs w:val="21"/>
                <w:highlight w:val="none"/>
              </w:rPr>
              <w:t>人员投入、材料、</w:t>
            </w:r>
            <w:r>
              <w:rPr>
                <w:rFonts w:hint="eastAsia" w:ascii="宋体" w:hAnsi="宋体"/>
                <w:color w:val="auto"/>
                <w:szCs w:val="21"/>
                <w:highlight w:val="none"/>
                <w:lang w:val="en-US" w:eastAsia="zh-CN"/>
              </w:rPr>
              <w:t>运输车辆</w:t>
            </w:r>
            <w:r>
              <w:rPr>
                <w:rFonts w:hint="eastAsia" w:ascii="宋体" w:hAnsi="宋体"/>
                <w:color w:val="auto"/>
                <w:szCs w:val="21"/>
                <w:highlight w:val="none"/>
              </w:rPr>
              <w:t>、送样试生产、供货、验收等）的，各投标人对比优的得10分；对比次之的得7分；对比一般的得3分；对比差的得0分。</w:t>
            </w:r>
          </w:p>
        </w:tc>
      </w:tr>
      <w:tr w14:paraId="458C0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BA5D58">
            <w:pPr>
              <w:widowControl/>
              <w:shd w:val="clear" w:color="auto" w:fill="auto"/>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noWrap w:val="0"/>
            <w:vAlign w:val="center"/>
          </w:tcPr>
          <w:p w14:paraId="5A761361">
            <w:pPr>
              <w:widowControl/>
              <w:shd w:val="clear" w:color="auto" w:fill="auto"/>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2972096">
            <w:pPr>
              <w:shd w:val="clear" w:color="auto" w:fill="auto"/>
              <w:rPr>
                <w:rFonts w:ascii="宋体" w:hAnsi="宋体"/>
                <w:color w:val="auto"/>
                <w:szCs w:val="21"/>
                <w:highlight w:val="none"/>
              </w:rPr>
            </w:pPr>
            <w:r>
              <w:rPr>
                <w:rFonts w:hint="eastAsia" w:ascii="宋体" w:hAnsi="宋体"/>
                <w:color w:val="auto"/>
                <w:szCs w:val="21"/>
                <w:highlight w:val="none"/>
              </w:rPr>
              <w:t>售后服务方案（质保期限长短、内容、服务响应时间等）（</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336B0A6">
            <w:pPr>
              <w:shd w:val="clear" w:color="auto" w:fill="auto"/>
              <w:rPr>
                <w:rFonts w:ascii="宋体" w:hAnsi="宋体"/>
                <w:color w:val="auto"/>
                <w:szCs w:val="21"/>
                <w:highlight w:val="none"/>
              </w:rPr>
            </w:pPr>
            <w:r>
              <w:rPr>
                <w:rFonts w:hint="eastAsia" w:ascii="宋体" w:hAnsi="宋体"/>
                <w:color w:val="auto"/>
                <w:szCs w:val="21"/>
                <w:highlight w:val="none"/>
              </w:rPr>
              <w:t>方案详细、科学合理、切实可行，各投标人对比优的得</w:t>
            </w:r>
            <w:r>
              <w:rPr>
                <w:rFonts w:hint="eastAsia" w:ascii="宋体" w:hAnsi="宋体"/>
                <w:color w:val="auto"/>
                <w:szCs w:val="21"/>
                <w:highlight w:val="none"/>
                <w:lang w:val="en-US" w:eastAsia="zh-CN"/>
              </w:rPr>
              <w:t>10</w:t>
            </w:r>
            <w:r>
              <w:rPr>
                <w:rFonts w:hint="eastAsia" w:ascii="宋体" w:hAnsi="宋体"/>
                <w:color w:val="auto"/>
                <w:szCs w:val="21"/>
                <w:highlight w:val="none"/>
              </w:rPr>
              <w:t>分；对比次之的得</w:t>
            </w:r>
            <w:r>
              <w:rPr>
                <w:rFonts w:hint="eastAsia" w:ascii="宋体" w:hAnsi="宋体"/>
                <w:color w:val="auto"/>
                <w:szCs w:val="21"/>
                <w:highlight w:val="none"/>
                <w:lang w:val="en-US" w:eastAsia="zh-CN"/>
              </w:rPr>
              <w:t>7</w:t>
            </w:r>
            <w:r>
              <w:rPr>
                <w:rFonts w:hint="eastAsia" w:ascii="宋体" w:hAnsi="宋体"/>
                <w:color w:val="auto"/>
                <w:szCs w:val="21"/>
                <w:highlight w:val="none"/>
              </w:rPr>
              <w:t>分；对比一般的得</w:t>
            </w:r>
            <w:r>
              <w:rPr>
                <w:rFonts w:hint="eastAsia" w:ascii="宋体" w:hAnsi="宋体"/>
                <w:color w:val="auto"/>
                <w:szCs w:val="21"/>
                <w:highlight w:val="none"/>
                <w:lang w:val="en-US" w:eastAsia="zh-CN"/>
              </w:rPr>
              <w:t>3</w:t>
            </w:r>
            <w:r>
              <w:rPr>
                <w:rFonts w:hint="eastAsia" w:ascii="宋体" w:hAnsi="宋体"/>
                <w:color w:val="auto"/>
                <w:szCs w:val="21"/>
                <w:highlight w:val="none"/>
              </w:rPr>
              <w:t>分；对比差的得0分。</w:t>
            </w:r>
          </w:p>
        </w:tc>
      </w:tr>
      <w:tr w14:paraId="1CC27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tcBorders>
              <w:top w:val="single" w:color="auto" w:sz="4" w:space="0"/>
              <w:left w:val="single" w:color="auto" w:sz="4" w:space="0"/>
              <w:bottom w:val="single" w:color="auto" w:sz="4" w:space="0"/>
              <w:right w:val="single" w:color="auto" w:sz="4" w:space="0"/>
            </w:tcBorders>
            <w:noWrap w:val="0"/>
            <w:vAlign w:val="center"/>
          </w:tcPr>
          <w:p w14:paraId="342AF944">
            <w:pPr>
              <w:shd w:val="clear" w:color="auto" w:fill="auto"/>
              <w:jc w:val="center"/>
              <w:rPr>
                <w:rFonts w:ascii="宋体" w:hAnsi="宋体"/>
                <w:color w:val="auto"/>
                <w:szCs w:val="21"/>
                <w:highlight w:val="none"/>
              </w:rPr>
            </w:pPr>
            <w:r>
              <w:rPr>
                <w:rFonts w:hint="eastAsia" w:ascii="宋体" w:hAnsi="宋体"/>
                <w:color w:val="auto"/>
                <w:szCs w:val="21"/>
                <w:highlight w:val="none"/>
              </w:rPr>
              <w:t>2.2.4（C）</w:t>
            </w:r>
          </w:p>
        </w:tc>
        <w:tc>
          <w:tcPr>
            <w:tcW w:w="1012" w:type="dxa"/>
            <w:tcBorders>
              <w:top w:val="single" w:color="auto" w:sz="4" w:space="0"/>
              <w:left w:val="nil"/>
              <w:bottom w:val="single" w:color="auto" w:sz="4" w:space="0"/>
              <w:right w:val="single" w:color="auto" w:sz="4" w:space="0"/>
            </w:tcBorders>
            <w:noWrap w:val="0"/>
            <w:vAlign w:val="center"/>
          </w:tcPr>
          <w:p w14:paraId="16418EE3">
            <w:pPr>
              <w:shd w:val="clear" w:color="auto" w:fill="auto"/>
              <w:jc w:val="center"/>
              <w:rPr>
                <w:rFonts w:ascii="宋体" w:hAnsi="宋体"/>
                <w:color w:val="auto"/>
                <w:szCs w:val="21"/>
                <w:highlight w:val="none"/>
              </w:rPr>
            </w:pPr>
            <w:r>
              <w:rPr>
                <w:rFonts w:hint="eastAsia" w:ascii="宋体" w:hAnsi="宋体"/>
                <w:color w:val="auto"/>
                <w:szCs w:val="21"/>
                <w:highlight w:val="none"/>
              </w:rPr>
              <w:t>投标报价评分标准（40分）</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E10001A">
            <w:pPr>
              <w:shd w:val="clear" w:color="auto" w:fill="auto"/>
              <w:jc w:val="center"/>
              <w:rPr>
                <w:rFonts w:ascii="宋体" w:hAnsi="宋体"/>
                <w:color w:val="auto"/>
                <w:szCs w:val="21"/>
                <w:highlight w:val="none"/>
              </w:rPr>
            </w:pPr>
            <w:r>
              <w:rPr>
                <w:rFonts w:hint="eastAsia" w:ascii="宋体" w:hAnsi="宋体"/>
                <w:color w:val="auto"/>
                <w:szCs w:val="21"/>
                <w:highlight w:val="none"/>
              </w:rPr>
              <w:t>偏差率（投标报价得分）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5BB3D9C">
            <w:pPr>
              <w:shd w:val="clear" w:color="auto" w:fill="auto"/>
              <w:tabs>
                <w:tab w:val="left" w:pos="972"/>
              </w:tabs>
              <w:rPr>
                <w:color w:val="auto"/>
                <w:highlight w:val="none"/>
              </w:rPr>
            </w:pPr>
            <w:r>
              <w:rPr>
                <w:rFonts w:hint="eastAsia"/>
                <w:color w:val="auto"/>
                <w:highlight w:val="none"/>
              </w:rPr>
              <w:t>当投标报价等于评标基准价时得40分，投标报价每高于评标基准价1%，扣1分，每低于评标基准价1%，扣0.5分，扣至0分为止，得分精确到小数点后两位。</w:t>
            </w:r>
          </w:p>
        </w:tc>
      </w:tr>
      <w:tr w14:paraId="69B6E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tcBorders>
              <w:top w:val="single" w:color="auto" w:sz="4" w:space="0"/>
              <w:left w:val="single" w:color="auto" w:sz="4" w:space="0"/>
              <w:bottom w:val="single" w:color="auto" w:sz="4" w:space="0"/>
              <w:right w:val="single" w:color="auto" w:sz="4" w:space="0"/>
            </w:tcBorders>
            <w:noWrap w:val="0"/>
            <w:vAlign w:val="center"/>
          </w:tcPr>
          <w:p w14:paraId="6DCCD087">
            <w:pPr>
              <w:shd w:val="clear" w:color="auto" w:fill="auto"/>
              <w:jc w:val="center"/>
              <w:rPr>
                <w:rFonts w:ascii="宋体" w:hAnsi="宋体"/>
                <w:color w:val="auto"/>
                <w:szCs w:val="21"/>
                <w:highlight w:val="none"/>
              </w:rPr>
            </w:pPr>
            <w:r>
              <w:rPr>
                <w:rFonts w:hint="eastAsia" w:ascii="宋体" w:hAnsi="宋体"/>
                <w:color w:val="auto"/>
                <w:szCs w:val="21"/>
                <w:highlight w:val="none"/>
              </w:rPr>
              <w:t>3.2.3</w:t>
            </w:r>
          </w:p>
        </w:tc>
        <w:tc>
          <w:tcPr>
            <w:tcW w:w="2532" w:type="dxa"/>
            <w:gridSpan w:val="2"/>
            <w:tcBorders>
              <w:top w:val="single" w:color="auto" w:sz="4" w:space="0"/>
              <w:left w:val="nil"/>
              <w:bottom w:val="single" w:color="auto" w:sz="4" w:space="0"/>
              <w:right w:val="single" w:color="auto" w:sz="4" w:space="0"/>
            </w:tcBorders>
            <w:noWrap w:val="0"/>
            <w:vAlign w:val="center"/>
          </w:tcPr>
          <w:p w14:paraId="2F04A204">
            <w:pPr>
              <w:shd w:val="clear" w:color="auto" w:fill="auto"/>
              <w:jc w:val="center"/>
              <w:rPr>
                <w:rFonts w:ascii="宋体" w:hAnsi="宋体"/>
                <w:color w:val="auto"/>
                <w:szCs w:val="21"/>
                <w:highlight w:val="none"/>
              </w:rPr>
            </w:pPr>
            <w:r>
              <w:rPr>
                <w:rFonts w:hint="eastAsia" w:ascii="宋体" w:hAnsi="宋体"/>
                <w:color w:val="auto"/>
                <w:szCs w:val="21"/>
                <w:highlight w:val="none"/>
              </w:rPr>
              <w:t>投标人得分</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624F8A54">
            <w:pPr>
              <w:shd w:val="clear" w:color="auto" w:fill="auto"/>
              <w:jc w:val="left"/>
              <w:rPr>
                <w:rFonts w:ascii="宋体" w:hAnsi="宋体"/>
                <w:color w:val="auto"/>
                <w:szCs w:val="21"/>
                <w:highlight w:val="none"/>
              </w:rPr>
            </w:pPr>
            <w:r>
              <w:rPr>
                <w:rFonts w:hint="eastAsia" w:ascii="宋体" w:hAnsi="宋体"/>
                <w:color w:val="auto"/>
                <w:szCs w:val="21"/>
                <w:highlight w:val="none"/>
              </w:rPr>
              <w:t>投标人得分=A+B+C。</w:t>
            </w:r>
          </w:p>
          <w:p w14:paraId="3A3461DC">
            <w:pPr>
              <w:shd w:val="clear" w:color="auto" w:fill="auto"/>
              <w:tabs>
                <w:tab w:val="left" w:pos="972"/>
              </w:tabs>
              <w:rPr>
                <w:rFonts w:ascii="宋体" w:hAnsi="宋体"/>
                <w:color w:val="auto"/>
                <w:szCs w:val="21"/>
                <w:highlight w:val="none"/>
              </w:rPr>
            </w:pPr>
            <w:r>
              <w:rPr>
                <w:rFonts w:hint="eastAsia" w:ascii="宋体" w:hAnsi="宋体"/>
                <w:color w:val="auto"/>
                <w:szCs w:val="21"/>
                <w:highlight w:val="none"/>
              </w:rPr>
              <w:t>投标人得分为所有评委对该投标人得分计取的算术平均分（分数出现小数点时，保留小数点后二位，第三位小数四舍五入）。</w:t>
            </w:r>
          </w:p>
        </w:tc>
      </w:tr>
    </w:tbl>
    <w:p w14:paraId="0328CD24">
      <w:pPr>
        <w:shd w:val="clear" w:color="auto" w:fill="auto"/>
        <w:rPr>
          <w:rFonts w:ascii="Times New Roman" w:hAnsi="Times New Roman"/>
          <w:color w:val="auto"/>
          <w:highlight w:val="none"/>
        </w:rPr>
      </w:pPr>
      <w:bookmarkStart w:id="311" w:name="_Toc28069996"/>
      <w:bookmarkStart w:id="312" w:name="_Toc68765116"/>
      <w:r>
        <w:rPr>
          <w:rFonts w:ascii="Times New Roman" w:hAnsi="Times New Roman"/>
          <w:color w:val="auto"/>
          <w:highlight w:val="none"/>
        </w:rPr>
        <w:br w:type="page"/>
      </w:r>
    </w:p>
    <w:p w14:paraId="31056001">
      <w:pPr>
        <w:pStyle w:val="4"/>
        <w:shd w:val="clear" w:color="auto" w:fill="auto"/>
        <w:rPr>
          <w:rFonts w:ascii="Times New Roman" w:hAnsi="Times New Roman"/>
          <w:color w:val="auto"/>
          <w:highlight w:val="none"/>
        </w:rPr>
      </w:pPr>
      <w:r>
        <w:rPr>
          <w:rFonts w:ascii="Times New Roman" w:hAnsi="Times New Roman"/>
          <w:color w:val="auto"/>
          <w:highlight w:val="none"/>
        </w:rPr>
        <w:t xml:space="preserve">1. </w:t>
      </w:r>
      <w:r>
        <w:rPr>
          <w:rFonts w:hint="eastAsia" w:ascii="Times New Roman" w:hAnsi="Times New Roman"/>
          <w:color w:val="auto"/>
          <w:highlight w:val="none"/>
        </w:rPr>
        <w:t>评标方法</w:t>
      </w:r>
      <w:bookmarkEnd w:id="311"/>
      <w:bookmarkEnd w:id="312"/>
    </w:p>
    <w:p w14:paraId="15FFE4BF">
      <w:pPr>
        <w:shd w:val="clear" w:color="auto" w:fill="auto"/>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本次评标采用综合评估法。评标委员会对满足招标文件实质性要求的投标文件，按照本章第</w:t>
      </w:r>
      <w:r>
        <w:rPr>
          <w:rFonts w:ascii="Times New Roman" w:hAnsi="Times New Roman"/>
          <w:color w:val="auto"/>
          <w:highlight w:val="none"/>
        </w:rPr>
        <w:t>2.2</w:t>
      </w:r>
      <w:r>
        <w:rPr>
          <w:rFonts w:hint="eastAsia" w:ascii="Times New Roman" w:hAnsi="Times New Roman"/>
          <w:color w:val="auto"/>
          <w:highlight w:val="none"/>
        </w:rPr>
        <w:t>款规定的评分标准进行打分，并按得分由高到低顺序推荐中标候选人，或根据招标人授权直接确定中标人，但投标报价低于其成本的除外。综合评分高的优先，综合评分相等时，以技术得分高的优先；技术得分相等时，以商务得分高的优先；如果商务得分也相等，以投标报价低的优先；如果投标报价也相等，由评委按记名投票方式以得票多的优先。</w:t>
      </w:r>
    </w:p>
    <w:p w14:paraId="0314706D">
      <w:pPr>
        <w:pStyle w:val="4"/>
        <w:shd w:val="clear" w:color="auto" w:fill="auto"/>
        <w:rPr>
          <w:rFonts w:ascii="Times New Roman" w:hAnsi="Times New Roman"/>
          <w:color w:val="auto"/>
          <w:highlight w:val="none"/>
        </w:rPr>
      </w:pPr>
      <w:bookmarkStart w:id="313" w:name="_Toc28069997"/>
      <w:bookmarkStart w:id="314" w:name="_Toc68765117"/>
      <w:r>
        <w:rPr>
          <w:rFonts w:ascii="Times New Roman" w:hAnsi="Times New Roman"/>
          <w:color w:val="auto"/>
          <w:highlight w:val="none"/>
        </w:rPr>
        <w:t xml:space="preserve">2. </w:t>
      </w:r>
      <w:r>
        <w:rPr>
          <w:rFonts w:hint="eastAsia" w:ascii="Times New Roman" w:hAnsi="Times New Roman"/>
          <w:color w:val="auto"/>
          <w:highlight w:val="none"/>
        </w:rPr>
        <w:t>评审标准</w:t>
      </w:r>
      <w:bookmarkEnd w:id="313"/>
      <w:bookmarkEnd w:id="314"/>
    </w:p>
    <w:p w14:paraId="20CC0BEF">
      <w:pPr>
        <w:pStyle w:val="5"/>
        <w:shd w:val="clear" w:color="auto" w:fill="auto"/>
        <w:spacing w:line="240" w:lineRule="auto"/>
        <w:ind w:firstLine="137"/>
        <w:rPr>
          <w:rFonts w:ascii="Times New Roman" w:hAnsi="Times New Roman"/>
          <w:color w:val="auto"/>
          <w:highlight w:val="none"/>
        </w:rPr>
      </w:pPr>
      <w:bookmarkStart w:id="315" w:name="_Toc68765118"/>
      <w:bookmarkStart w:id="316" w:name="_Toc28069998"/>
      <w:r>
        <w:rPr>
          <w:rFonts w:ascii="Times New Roman" w:hAnsi="Times New Roman"/>
          <w:color w:val="auto"/>
          <w:highlight w:val="none"/>
        </w:rPr>
        <w:t xml:space="preserve">2.1 </w:t>
      </w:r>
      <w:r>
        <w:rPr>
          <w:rFonts w:hint="eastAsia" w:ascii="Times New Roman" w:hAnsi="Times New Roman"/>
          <w:color w:val="auto"/>
          <w:highlight w:val="none"/>
        </w:rPr>
        <w:t>初步评审标准</w:t>
      </w:r>
      <w:bookmarkEnd w:id="315"/>
      <w:bookmarkEnd w:id="316"/>
    </w:p>
    <w:p w14:paraId="6A6623BB">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2.1.1 </w:t>
      </w:r>
      <w:r>
        <w:rPr>
          <w:rFonts w:hint="eastAsia" w:ascii="Times New Roman" w:hAnsi="Times New Roman"/>
          <w:color w:val="auto"/>
          <w:highlight w:val="none"/>
        </w:rPr>
        <w:t>形式评审标准：见评标办法前附表。</w:t>
      </w:r>
    </w:p>
    <w:p w14:paraId="5820106F">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2.1.2 </w:t>
      </w:r>
      <w:r>
        <w:rPr>
          <w:rFonts w:hint="eastAsia" w:ascii="Times New Roman" w:hAnsi="Times New Roman"/>
          <w:color w:val="auto"/>
          <w:highlight w:val="none"/>
        </w:rPr>
        <w:t>资格评审标准：见评标办法前附表。</w:t>
      </w:r>
    </w:p>
    <w:p w14:paraId="22A6E6AF">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2.1.3 </w:t>
      </w:r>
      <w:r>
        <w:rPr>
          <w:rFonts w:hint="eastAsia" w:ascii="Times New Roman" w:hAnsi="Times New Roman"/>
          <w:color w:val="auto"/>
          <w:highlight w:val="none"/>
        </w:rPr>
        <w:t>响应性评审标准：见评标办法前附表。</w:t>
      </w:r>
    </w:p>
    <w:p w14:paraId="374E1C6D">
      <w:pPr>
        <w:pStyle w:val="5"/>
        <w:shd w:val="clear" w:color="auto" w:fill="auto"/>
        <w:spacing w:line="240" w:lineRule="auto"/>
        <w:ind w:firstLine="137"/>
        <w:rPr>
          <w:rFonts w:ascii="Times New Roman" w:hAnsi="Times New Roman"/>
          <w:color w:val="auto"/>
          <w:highlight w:val="none"/>
        </w:rPr>
      </w:pPr>
      <w:bookmarkStart w:id="317" w:name="_Toc68765119"/>
      <w:bookmarkStart w:id="318" w:name="_Toc28069999"/>
      <w:r>
        <w:rPr>
          <w:rFonts w:ascii="Times New Roman" w:hAnsi="Times New Roman"/>
          <w:color w:val="auto"/>
          <w:highlight w:val="none"/>
        </w:rPr>
        <w:t xml:space="preserve">2.2 </w:t>
      </w:r>
      <w:r>
        <w:rPr>
          <w:rFonts w:hint="eastAsia" w:ascii="Times New Roman" w:hAnsi="Times New Roman"/>
          <w:color w:val="auto"/>
          <w:highlight w:val="none"/>
        </w:rPr>
        <w:t>分值构成与评分标准</w:t>
      </w:r>
      <w:bookmarkEnd w:id="317"/>
      <w:bookmarkEnd w:id="318"/>
    </w:p>
    <w:p w14:paraId="3E1BC73D">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2.2.1 </w:t>
      </w:r>
      <w:r>
        <w:rPr>
          <w:rFonts w:hint="eastAsia" w:ascii="Times New Roman" w:hAnsi="Times New Roman"/>
          <w:color w:val="auto"/>
          <w:highlight w:val="none"/>
        </w:rPr>
        <w:t>分值构成</w:t>
      </w:r>
    </w:p>
    <w:p w14:paraId="69F2F76D">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）商务部分：见评标办法前附表；</w:t>
      </w:r>
    </w:p>
    <w:p w14:paraId="65BD67C6">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）技术部分：见评标办法前附表；</w:t>
      </w:r>
    </w:p>
    <w:p w14:paraId="61B7897B">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）投标报价：见评标办法前附表；</w:t>
      </w:r>
    </w:p>
    <w:p w14:paraId="6A3FD746">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）其他评分因素：见评标办法前附表。</w:t>
      </w:r>
    </w:p>
    <w:p w14:paraId="7237F772">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评标基准价计算</w:t>
      </w:r>
    </w:p>
    <w:p w14:paraId="45A3E7D3">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评标基准价计算方法：见评标办法前附表。</w:t>
      </w:r>
    </w:p>
    <w:p w14:paraId="60A90A92">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投标报价的偏差率计算</w:t>
      </w:r>
    </w:p>
    <w:p w14:paraId="3F0B3C3C">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投标报价的偏差率计算公式：见评标办法前附表。</w:t>
      </w:r>
    </w:p>
    <w:p w14:paraId="47A0F7E2">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2.2.4 </w:t>
      </w:r>
      <w:r>
        <w:rPr>
          <w:rFonts w:hint="eastAsia" w:ascii="Times New Roman" w:hAnsi="Times New Roman"/>
          <w:color w:val="auto"/>
          <w:highlight w:val="none"/>
        </w:rPr>
        <w:t>评分标准</w:t>
      </w:r>
    </w:p>
    <w:p w14:paraId="16F53104">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）商务评分标准：见评标办法前附表；</w:t>
      </w:r>
    </w:p>
    <w:p w14:paraId="292A31A1">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）技术评分标准：见评标办法前附表；</w:t>
      </w:r>
    </w:p>
    <w:p w14:paraId="19257B1A">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）投标报价评分标准：见评标办法前附表；</w:t>
      </w:r>
    </w:p>
    <w:p w14:paraId="3ECBBF39">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）其他因素评分标准：见评标办法前附表。</w:t>
      </w:r>
    </w:p>
    <w:p w14:paraId="2FFA6791">
      <w:pPr>
        <w:pStyle w:val="4"/>
        <w:shd w:val="clear" w:color="auto" w:fill="auto"/>
        <w:rPr>
          <w:rFonts w:ascii="Times New Roman" w:hAnsi="Times New Roman"/>
          <w:color w:val="auto"/>
          <w:highlight w:val="none"/>
        </w:rPr>
      </w:pPr>
      <w:bookmarkStart w:id="319" w:name="_Toc68765120"/>
      <w:bookmarkStart w:id="320" w:name="_Toc28070000"/>
      <w:r>
        <w:rPr>
          <w:rFonts w:ascii="Times New Roman" w:hAnsi="Times New Roman"/>
          <w:color w:val="auto"/>
          <w:highlight w:val="none"/>
        </w:rPr>
        <w:t xml:space="preserve">3. </w:t>
      </w:r>
      <w:r>
        <w:rPr>
          <w:rFonts w:hint="eastAsia" w:ascii="Times New Roman" w:hAnsi="Times New Roman"/>
          <w:color w:val="auto"/>
          <w:highlight w:val="none"/>
        </w:rPr>
        <w:t>评标程序</w:t>
      </w:r>
      <w:bookmarkEnd w:id="319"/>
      <w:bookmarkEnd w:id="320"/>
    </w:p>
    <w:p w14:paraId="59599166">
      <w:pPr>
        <w:pStyle w:val="5"/>
        <w:shd w:val="clear" w:color="auto" w:fill="auto"/>
        <w:spacing w:line="240" w:lineRule="auto"/>
        <w:ind w:firstLine="137"/>
        <w:rPr>
          <w:rFonts w:ascii="Times New Roman" w:hAnsi="Times New Roman"/>
          <w:color w:val="auto"/>
          <w:highlight w:val="none"/>
        </w:rPr>
      </w:pPr>
      <w:bookmarkStart w:id="321" w:name="_Toc28070001"/>
      <w:bookmarkStart w:id="322" w:name="_Toc68765121"/>
      <w:r>
        <w:rPr>
          <w:rFonts w:ascii="Times New Roman" w:hAnsi="Times New Roman"/>
          <w:color w:val="auto"/>
          <w:highlight w:val="none"/>
        </w:rPr>
        <w:t xml:space="preserve">3.1 </w:t>
      </w:r>
      <w:r>
        <w:rPr>
          <w:rFonts w:hint="eastAsia" w:ascii="Times New Roman" w:hAnsi="Times New Roman"/>
          <w:color w:val="auto"/>
          <w:highlight w:val="none"/>
        </w:rPr>
        <w:t>初步评审</w:t>
      </w:r>
      <w:bookmarkEnd w:id="321"/>
      <w:bookmarkEnd w:id="322"/>
    </w:p>
    <w:p w14:paraId="63730632">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评标委员会可以要求投标人提交第二章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规定的有关证明和证件的原件，以便核验。评标委员会依据本章第</w:t>
      </w:r>
      <w:r>
        <w:rPr>
          <w:rFonts w:ascii="Times New Roman" w:hAnsi="Times New Roman"/>
          <w:color w:val="auto"/>
          <w:highlight w:val="none"/>
        </w:rPr>
        <w:t>2.1</w:t>
      </w:r>
      <w:r>
        <w:rPr>
          <w:rFonts w:hint="eastAsia" w:ascii="Times New Roman" w:hAnsi="Times New Roman"/>
          <w:color w:val="auto"/>
          <w:highlight w:val="none"/>
        </w:rPr>
        <w:t>款规定的标准对投标文件进行初步评审。评标委员会依据本章第</w:t>
      </w:r>
      <w:r>
        <w:rPr>
          <w:rFonts w:ascii="Times New Roman" w:hAnsi="Times New Roman"/>
          <w:color w:val="auto"/>
          <w:highlight w:val="none"/>
        </w:rPr>
        <w:t>2.1</w:t>
      </w:r>
      <w:r>
        <w:rPr>
          <w:rFonts w:hint="eastAsia" w:ascii="Times New Roman" w:hAnsi="Times New Roman"/>
          <w:color w:val="auto"/>
          <w:highlight w:val="none"/>
        </w:rPr>
        <w:t>款规定的标准对投标文件进行初步评审。</w:t>
      </w:r>
      <w:r>
        <w:rPr>
          <w:rFonts w:hint="eastAsia" w:ascii="Times New Roman" w:hAnsi="Times New Roman"/>
          <w:bCs/>
          <w:color w:val="auto"/>
          <w:highlight w:val="none"/>
        </w:rPr>
        <w:t>初步评审包括形式评审、资格评审及响应性评审三部分。评标委员会首先按本章第</w:t>
      </w:r>
      <w:r>
        <w:rPr>
          <w:rFonts w:ascii="Times New Roman" w:hAnsi="Times New Roman"/>
          <w:bCs/>
          <w:color w:val="auto"/>
          <w:highlight w:val="none"/>
        </w:rPr>
        <w:t>2.1.1</w:t>
      </w:r>
      <w:r>
        <w:rPr>
          <w:rFonts w:hint="eastAsia" w:ascii="Times New Roman" w:hAnsi="Times New Roman"/>
          <w:bCs/>
          <w:color w:val="auto"/>
          <w:highlight w:val="none"/>
        </w:rPr>
        <w:t>项形式评审标准对投标人进行初步评审中的形式评审，通过形式评审的投标人方可进入资格评审；然后按本章第</w:t>
      </w:r>
      <w:r>
        <w:rPr>
          <w:rFonts w:ascii="Times New Roman" w:hAnsi="Times New Roman"/>
          <w:bCs/>
          <w:color w:val="auto"/>
          <w:highlight w:val="none"/>
        </w:rPr>
        <w:t>2.1.2</w:t>
      </w:r>
      <w:r>
        <w:rPr>
          <w:rFonts w:hint="eastAsia" w:ascii="Times New Roman" w:hAnsi="Times New Roman"/>
          <w:bCs/>
          <w:color w:val="auto"/>
          <w:highlight w:val="none"/>
        </w:rPr>
        <w:t>项资格评审标准对投标人进行资格评审，通过资格评审的投标人方可进入响应性评审；按本章第</w:t>
      </w:r>
      <w:r>
        <w:rPr>
          <w:rFonts w:ascii="Times New Roman" w:hAnsi="Times New Roman"/>
          <w:bCs/>
          <w:color w:val="auto"/>
          <w:highlight w:val="none"/>
        </w:rPr>
        <w:t>2.1.3</w:t>
      </w:r>
      <w:r>
        <w:rPr>
          <w:rFonts w:hint="eastAsia" w:ascii="Times New Roman" w:hAnsi="Times New Roman"/>
          <w:bCs/>
          <w:color w:val="auto"/>
          <w:highlight w:val="none"/>
        </w:rPr>
        <w:t>项响应性评审标准对投标人进行响应性评审，通过响应性评审的投标人方可进入详细评审。如评标委员会成员的评审意见不一致时，以评标委员会过半数成员的意见作为评标委员会对该情形的认定结论</w:t>
      </w:r>
      <w:r>
        <w:rPr>
          <w:rFonts w:hint="eastAsia" w:ascii="Times New Roman" w:hAnsi="Times New Roman"/>
          <w:b/>
          <w:bCs/>
          <w:color w:val="auto"/>
          <w:highlight w:val="none"/>
        </w:rPr>
        <w:t>。</w:t>
      </w:r>
    </w:p>
    <w:p w14:paraId="7DF8E952">
      <w:pPr>
        <w:shd w:val="clear" w:color="auto" w:fill="auto"/>
        <w:spacing w:line="400" w:lineRule="exact"/>
        <w:rPr>
          <w:rFonts w:ascii="Times New Roman" w:hAnsi="Times New Roman"/>
          <w:color w:val="auto"/>
          <w:highlight w:val="none"/>
        </w:rPr>
      </w:pPr>
      <w:r>
        <w:rPr>
          <w:rFonts w:hint="eastAsia" w:ascii="Times New Roman" w:hAnsi="Times New Roman"/>
          <w:color w:val="auto"/>
          <w:highlight w:val="none"/>
        </w:rPr>
        <w:t>有一项不符合评审标准的，评标委员会应当否决其投标。</w:t>
      </w:r>
    </w:p>
    <w:p w14:paraId="08675EDF">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投标人有以下情形之一的，评标委员会应当否决其投标：</w:t>
      </w:r>
    </w:p>
    <w:p w14:paraId="1BEFCD6F">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）投标文件没有对招标文件的实质性要求和条件作出响应，或者对招标文件的偏差超出招标文件规定的偏差范围或最高项数；</w:t>
      </w:r>
    </w:p>
    <w:p w14:paraId="42BF64DD">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）有串通投标、弄虚作假、行贿等违法行为。</w:t>
      </w:r>
    </w:p>
    <w:p w14:paraId="3E43B70A">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3.1.3 </w:t>
      </w:r>
      <w:r>
        <w:rPr>
          <w:rFonts w:hint="eastAsia" w:ascii="Times New Roman" w:hAnsi="Times New Roman"/>
          <w:color w:val="auto"/>
          <w:highlight w:val="none"/>
        </w:rPr>
        <w:t>投标报价有算术错误及其他错误的，评标委员会按以下原则要求投标人对投标报价进</w:t>
      </w:r>
      <w:bookmarkStart w:id="323" w:name="_Toc144974570"/>
      <w:bookmarkStart w:id="324" w:name="_Toc247527628"/>
      <w:bookmarkStart w:id="325" w:name="_Toc352691538"/>
      <w:bookmarkStart w:id="326" w:name="_Toc2907"/>
      <w:bookmarkStart w:id="327" w:name="_Toc152045603"/>
      <w:bookmarkStart w:id="328" w:name="_Toc152042380"/>
      <w:bookmarkStart w:id="329" w:name="_Toc384308277"/>
      <w:bookmarkStart w:id="330" w:name="_Toc369531582"/>
      <w:bookmarkStart w:id="331" w:name="_Toc247514027"/>
      <w:bookmarkStart w:id="332" w:name="_Toc300835013"/>
      <w:bookmarkStart w:id="333" w:name="_Toc361508651"/>
      <w:r>
        <w:rPr>
          <w:rFonts w:hint="eastAsia" w:ascii="Times New Roman" w:hAnsi="Times New Roman"/>
          <w:color w:val="auto"/>
          <w:highlight w:val="none"/>
        </w:rPr>
        <w:t>行修正，并要求投标人书面澄清确认。</w:t>
      </w:r>
      <w:bookmarkEnd w:id="323"/>
      <w:bookmarkEnd w:id="324"/>
      <w:bookmarkEnd w:id="325"/>
      <w:bookmarkEnd w:id="326"/>
      <w:bookmarkEnd w:id="327"/>
      <w:bookmarkEnd w:id="328"/>
      <w:bookmarkEnd w:id="329"/>
      <w:bookmarkEnd w:id="330"/>
      <w:bookmarkEnd w:id="331"/>
      <w:bookmarkEnd w:id="332"/>
      <w:bookmarkEnd w:id="333"/>
      <w:r>
        <w:rPr>
          <w:rFonts w:hint="eastAsia" w:ascii="Times New Roman" w:hAnsi="Times New Roman"/>
          <w:color w:val="auto"/>
          <w:highlight w:val="none"/>
        </w:rPr>
        <w:t>投标人拒不澄清确认的，评标委员会应当否决其投标：</w:t>
      </w:r>
    </w:p>
    <w:p w14:paraId="778E690F">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）投标文件中的大写金额与小写金额不一致的，以大写金额为准；</w:t>
      </w:r>
    </w:p>
    <w:p w14:paraId="280918E8">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）总价金额与单价金额不一致的，以单价金额为准，但单价金额小数点有明显错误的除外；</w:t>
      </w:r>
    </w:p>
    <w:p w14:paraId="47A77AF7">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）投标报价为各分项报价金额之和，投标报价与分项报价的合价不一致的，应以各分项合价累计数为准，修正投标报价；</w:t>
      </w:r>
    </w:p>
    <w:p w14:paraId="0F88C235">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）如果分项报价中存在缺漏项，则视为缺漏项价格已包含在其他分项报价之中。</w:t>
      </w:r>
    </w:p>
    <w:p w14:paraId="46E729B3">
      <w:pPr>
        <w:pStyle w:val="5"/>
        <w:shd w:val="clear" w:color="auto" w:fill="auto"/>
        <w:spacing w:line="240" w:lineRule="auto"/>
        <w:ind w:firstLine="137"/>
        <w:rPr>
          <w:rFonts w:ascii="Times New Roman" w:hAnsi="Times New Roman"/>
          <w:color w:val="auto"/>
          <w:highlight w:val="none"/>
        </w:rPr>
      </w:pPr>
      <w:bookmarkStart w:id="334" w:name="_Toc68765122"/>
      <w:bookmarkStart w:id="335" w:name="_Toc28070002"/>
      <w:r>
        <w:rPr>
          <w:rFonts w:ascii="Times New Roman" w:hAnsi="Times New Roman"/>
          <w:color w:val="auto"/>
          <w:highlight w:val="none"/>
        </w:rPr>
        <w:t xml:space="preserve">3.2 </w:t>
      </w:r>
      <w:r>
        <w:rPr>
          <w:rFonts w:hint="eastAsia" w:ascii="Times New Roman" w:hAnsi="Times New Roman"/>
          <w:color w:val="auto"/>
          <w:highlight w:val="none"/>
        </w:rPr>
        <w:t>详细评审</w:t>
      </w:r>
      <w:bookmarkEnd w:id="334"/>
      <w:bookmarkEnd w:id="335"/>
    </w:p>
    <w:p w14:paraId="7D1AABAD">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3.2.1 </w:t>
      </w:r>
      <w:r>
        <w:rPr>
          <w:rFonts w:hint="eastAsia" w:ascii="Times New Roman" w:hAnsi="Times New Roman"/>
          <w:color w:val="auto"/>
          <w:highlight w:val="none"/>
        </w:rPr>
        <w:t>评标委员会按本章第</w:t>
      </w:r>
      <w:r>
        <w:rPr>
          <w:rFonts w:ascii="Times New Roman" w:hAnsi="Times New Roman"/>
          <w:color w:val="auto"/>
          <w:highlight w:val="none"/>
        </w:rPr>
        <w:t>2.2</w:t>
      </w:r>
      <w:r>
        <w:rPr>
          <w:rFonts w:hint="eastAsia" w:ascii="Times New Roman" w:hAnsi="Times New Roman"/>
          <w:color w:val="auto"/>
          <w:highlight w:val="none"/>
        </w:rPr>
        <w:t>款规定的量化因素和分值进行打分，并计算出综合评估得分。</w:t>
      </w:r>
    </w:p>
    <w:p w14:paraId="51CE520B">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）目规定的评审因素和分值对商务部分计算出得分</w:t>
      </w:r>
      <w:r>
        <w:rPr>
          <w:rFonts w:ascii="Times New Roman" w:hAnsi="Times New Roman"/>
          <w:color w:val="auto"/>
          <w:highlight w:val="none"/>
        </w:rPr>
        <w:t>A</w:t>
      </w:r>
      <w:r>
        <w:rPr>
          <w:rFonts w:hint="eastAsia" w:ascii="Times New Roman" w:hAnsi="Times New Roman"/>
          <w:color w:val="auto"/>
          <w:highlight w:val="none"/>
        </w:rPr>
        <w:t>；</w:t>
      </w:r>
    </w:p>
    <w:p w14:paraId="2F356C0F">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）目规定的评审因素和分值对技术部分计算出得分</w:t>
      </w:r>
      <w:r>
        <w:rPr>
          <w:rFonts w:ascii="Times New Roman" w:hAnsi="Times New Roman"/>
          <w:color w:val="auto"/>
          <w:highlight w:val="none"/>
        </w:rPr>
        <w:t>B</w:t>
      </w:r>
      <w:r>
        <w:rPr>
          <w:rFonts w:hint="eastAsia" w:ascii="Times New Roman" w:hAnsi="Times New Roman"/>
          <w:color w:val="auto"/>
          <w:highlight w:val="none"/>
        </w:rPr>
        <w:t>；</w:t>
      </w:r>
    </w:p>
    <w:p w14:paraId="23E2902D">
      <w:pPr>
        <w:shd w:val="clear" w:color="auto" w:fill="auto"/>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）目规定的评审因素和</w:t>
      </w:r>
      <w:bookmarkStart w:id="336" w:name="_Toc247527629"/>
      <w:bookmarkStart w:id="337" w:name="_Toc152042381"/>
      <w:bookmarkStart w:id="338" w:name="_Toc384308278"/>
      <w:bookmarkStart w:id="339" w:name="_Toc352691539"/>
      <w:bookmarkStart w:id="340" w:name="_Toc369531583"/>
      <w:bookmarkStart w:id="341" w:name="_Toc300835014"/>
      <w:bookmarkStart w:id="342" w:name="_Toc152045604"/>
      <w:bookmarkStart w:id="343" w:name="_Toc247514028"/>
      <w:bookmarkStart w:id="344" w:name="_Toc144974571"/>
      <w:bookmarkStart w:id="345" w:name="_Toc24330"/>
      <w:bookmarkStart w:id="346" w:name="_Toc361508652"/>
      <w:r>
        <w:rPr>
          <w:rFonts w:hint="eastAsia" w:ascii="Times New Roman" w:hAnsi="Times New Roman"/>
          <w:color w:val="auto"/>
          <w:highlight w:val="none"/>
        </w:rPr>
        <w:t>分值对投标报价</w:t>
      </w:r>
      <w:bookmarkEnd w:id="336"/>
      <w:bookmarkEnd w:id="337"/>
      <w:bookmarkEnd w:id="338"/>
      <w:bookmarkEnd w:id="339"/>
      <w:bookmarkEnd w:id="340"/>
      <w:bookmarkEnd w:id="341"/>
      <w:bookmarkEnd w:id="342"/>
      <w:bookmarkEnd w:id="343"/>
      <w:bookmarkEnd w:id="344"/>
      <w:bookmarkEnd w:id="345"/>
      <w:bookmarkEnd w:id="346"/>
      <w:r>
        <w:rPr>
          <w:rFonts w:hint="eastAsia" w:ascii="Times New Roman" w:hAnsi="Times New Roman"/>
          <w:color w:val="auto"/>
          <w:highlight w:val="none"/>
        </w:rPr>
        <w:t>计</w:t>
      </w:r>
      <w:bookmarkStart w:id="347" w:name="_Toc384308279"/>
      <w:bookmarkStart w:id="348" w:name="_Toc352691540"/>
      <w:bookmarkStart w:id="349" w:name="_Toc247527630"/>
      <w:bookmarkStart w:id="350" w:name="_Toc247514029"/>
      <w:bookmarkStart w:id="351" w:name="_Toc369531584"/>
      <w:bookmarkStart w:id="352" w:name="_Toc144974572"/>
      <w:bookmarkStart w:id="353" w:name="_Toc152042382"/>
      <w:bookmarkStart w:id="354" w:name="_Toc361508653"/>
      <w:bookmarkStart w:id="355" w:name="_Toc152045605"/>
      <w:bookmarkStart w:id="356" w:name="_Toc18141"/>
      <w:bookmarkStart w:id="357" w:name="_Toc300835015"/>
      <w:r>
        <w:rPr>
          <w:rFonts w:hint="eastAsia" w:ascii="Times New Roman" w:hAnsi="Times New Roman"/>
          <w:color w:val="auto"/>
          <w:highlight w:val="none"/>
        </w:rPr>
        <w:t>算出得分</w:t>
      </w:r>
      <w:r>
        <w:rPr>
          <w:rFonts w:ascii="Times New Roman" w:hAnsi="Times New Roman"/>
          <w:color w:val="auto"/>
          <w:highlight w:val="none"/>
        </w:rPr>
        <w:t>C</w:t>
      </w:r>
      <w:r>
        <w:rPr>
          <w:rFonts w:hint="eastAsia" w:ascii="Times New Roman" w:hAnsi="Times New Roman"/>
          <w:color w:val="auto"/>
          <w:highlight w:val="none"/>
        </w:rPr>
        <w:t>；</w:t>
      </w:r>
    </w:p>
    <w:p w14:paraId="6FDD0D26">
      <w:pPr>
        <w:shd w:val="clear" w:color="auto" w:fill="auto"/>
        <w:spacing w:line="400" w:lineRule="exact"/>
        <w:ind w:firstLine="420" w:firstLineChars="200"/>
        <w:rPr>
          <w:rFonts w:ascii="Times New Roman" w:hAnsi="Times New Roman"/>
          <w:strike/>
          <w:color w:val="auto"/>
          <w:highlight w:val="none"/>
        </w:rPr>
      </w:pPr>
      <w:r>
        <w:rPr>
          <w:rFonts w:hint="eastAsia" w:ascii="Times New Roman" w:hAnsi="Times New Roman"/>
          <w:strike/>
          <w:color w:val="auto"/>
          <w:highlight w:val="none"/>
        </w:rPr>
        <w:t>（</w:t>
      </w:r>
      <w:bookmarkEnd w:id="347"/>
      <w:bookmarkEnd w:id="348"/>
      <w:bookmarkEnd w:id="349"/>
      <w:bookmarkEnd w:id="350"/>
      <w:bookmarkEnd w:id="351"/>
      <w:bookmarkEnd w:id="352"/>
      <w:bookmarkEnd w:id="353"/>
      <w:bookmarkEnd w:id="354"/>
      <w:bookmarkEnd w:id="355"/>
      <w:bookmarkEnd w:id="356"/>
      <w:bookmarkEnd w:id="357"/>
      <w:r>
        <w:rPr>
          <w:rFonts w:ascii="Times New Roman" w:hAnsi="Times New Roman"/>
          <w:strike/>
          <w:color w:val="auto"/>
          <w:highlight w:val="none"/>
        </w:rPr>
        <w:t>4</w:t>
      </w:r>
      <w:r>
        <w:rPr>
          <w:rFonts w:hint="eastAsia" w:ascii="Times New Roman" w:hAnsi="Times New Roman"/>
          <w:strike/>
          <w:color w:val="auto"/>
          <w:highlight w:val="none"/>
        </w:rPr>
        <w:t>）按本章第</w:t>
      </w:r>
      <w:r>
        <w:rPr>
          <w:rFonts w:ascii="Times New Roman" w:hAnsi="Times New Roman"/>
          <w:strike/>
          <w:color w:val="auto"/>
          <w:highlight w:val="none"/>
        </w:rPr>
        <w:t>2.2.4</w:t>
      </w:r>
      <w:r>
        <w:rPr>
          <w:rFonts w:hint="eastAsia" w:ascii="Times New Roman" w:hAnsi="Times New Roman"/>
          <w:strike/>
          <w:color w:val="auto"/>
          <w:highlight w:val="none"/>
        </w:rPr>
        <w:t>（</w:t>
      </w:r>
      <w:r>
        <w:rPr>
          <w:rFonts w:ascii="Times New Roman" w:hAnsi="Times New Roman"/>
          <w:strike/>
          <w:color w:val="auto"/>
          <w:highlight w:val="none"/>
        </w:rPr>
        <w:t>4</w:t>
      </w:r>
      <w:r>
        <w:rPr>
          <w:rFonts w:hint="eastAsia" w:ascii="Times New Roman" w:hAnsi="Times New Roman"/>
          <w:strike/>
          <w:color w:val="auto"/>
          <w:highlight w:val="none"/>
        </w:rPr>
        <w:t>）目规定的评审因素和分值对其他部分计算出得分</w:t>
      </w:r>
      <w:r>
        <w:rPr>
          <w:rFonts w:ascii="Times New Roman" w:hAnsi="Times New Roman"/>
          <w:strike/>
          <w:color w:val="auto"/>
          <w:highlight w:val="none"/>
        </w:rPr>
        <w:t>D</w:t>
      </w:r>
      <w:r>
        <w:rPr>
          <w:rFonts w:hint="eastAsia" w:ascii="Times New Roman" w:hAnsi="Times New Roman"/>
          <w:strike/>
          <w:color w:val="auto"/>
          <w:highlight w:val="none"/>
        </w:rPr>
        <w:t>。</w:t>
      </w:r>
    </w:p>
    <w:p w14:paraId="43E0CB7C">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3.2.2 </w:t>
      </w:r>
      <w:r>
        <w:rPr>
          <w:rFonts w:hint="eastAsia" w:ascii="Times New Roman" w:hAnsi="Times New Roman"/>
          <w:color w:val="auto"/>
          <w:highlight w:val="none"/>
        </w:rPr>
        <w:t>评分分值计算保留小数点后两位，小数点后第三位</w:t>
      </w:r>
      <w:r>
        <w:rPr>
          <w:rFonts w:ascii="Times New Roman" w:hAnsi="Times New Roman"/>
          <w:color w:val="auto"/>
          <w:highlight w:val="none"/>
        </w:rPr>
        <w:t>“</w:t>
      </w:r>
      <w:r>
        <w:rPr>
          <w:rFonts w:hint="eastAsia" w:ascii="Times New Roman" w:hAnsi="Times New Roman"/>
          <w:color w:val="auto"/>
          <w:highlight w:val="none"/>
        </w:rPr>
        <w:t>四舍五入</w:t>
      </w:r>
      <w:r>
        <w:rPr>
          <w:rFonts w:ascii="Times New Roman" w:hAnsi="Times New Roman"/>
          <w:color w:val="auto"/>
          <w:highlight w:val="none"/>
        </w:rPr>
        <w:t>”</w:t>
      </w:r>
      <w:r>
        <w:rPr>
          <w:rFonts w:hint="eastAsia" w:ascii="Times New Roman" w:hAnsi="Times New Roman"/>
          <w:color w:val="auto"/>
          <w:highlight w:val="none"/>
        </w:rPr>
        <w:t>。</w:t>
      </w:r>
    </w:p>
    <w:p w14:paraId="6E4031C6">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3.2.3 </w:t>
      </w:r>
      <w:r>
        <w:rPr>
          <w:rFonts w:hint="eastAsia" w:ascii="Times New Roman" w:hAnsi="Times New Roman"/>
          <w:color w:val="auto"/>
          <w:highlight w:val="none"/>
        </w:rPr>
        <w:t>投标人得分</w:t>
      </w:r>
      <w:r>
        <w:rPr>
          <w:rFonts w:ascii="Times New Roman" w:hAnsi="Times New Roman"/>
          <w:color w:val="auto"/>
          <w:highlight w:val="none"/>
        </w:rPr>
        <w:t>=A+B+C</w:t>
      </w:r>
      <w:r>
        <w:rPr>
          <w:rFonts w:hint="eastAsia" w:ascii="Times New Roman" w:hAnsi="Times New Roman"/>
          <w:color w:val="auto"/>
          <w:highlight w:val="none"/>
        </w:rPr>
        <w:t>。</w:t>
      </w:r>
    </w:p>
    <w:p w14:paraId="6347059B">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3.2.4 </w:t>
      </w:r>
      <w:r>
        <w:rPr>
          <w:rFonts w:hint="eastAsia" w:ascii="Times New Roman" w:hAnsi="Times New Roman"/>
          <w:color w:val="auto"/>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9A638C4">
      <w:pPr>
        <w:pStyle w:val="5"/>
        <w:shd w:val="clear" w:color="auto" w:fill="auto"/>
        <w:spacing w:line="240" w:lineRule="auto"/>
        <w:ind w:firstLine="137"/>
        <w:rPr>
          <w:rFonts w:ascii="Times New Roman" w:hAnsi="Times New Roman"/>
          <w:color w:val="auto"/>
          <w:highlight w:val="none"/>
        </w:rPr>
      </w:pPr>
      <w:bookmarkStart w:id="358" w:name="_Toc68765123"/>
      <w:bookmarkStart w:id="359" w:name="_Toc28070003"/>
      <w:r>
        <w:rPr>
          <w:rFonts w:ascii="Times New Roman" w:hAnsi="Times New Roman"/>
          <w:color w:val="auto"/>
          <w:highlight w:val="none"/>
        </w:rPr>
        <w:t xml:space="preserve">3.3 </w:t>
      </w:r>
      <w:r>
        <w:rPr>
          <w:rFonts w:hint="eastAsia" w:ascii="Times New Roman" w:hAnsi="Times New Roman"/>
          <w:color w:val="auto"/>
          <w:highlight w:val="none"/>
        </w:rPr>
        <w:t>投标文件的澄清</w:t>
      </w:r>
      <w:bookmarkEnd w:id="358"/>
      <w:bookmarkEnd w:id="359"/>
    </w:p>
    <w:p w14:paraId="5733D00E">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3.3.1 </w:t>
      </w:r>
      <w:r>
        <w:rPr>
          <w:rFonts w:hint="eastAsia" w:ascii="Times New Roman" w:hAnsi="Times New Roman"/>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1632242">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 </w:t>
      </w:r>
      <w:r>
        <w:rPr>
          <w:rFonts w:hint="eastAsia" w:ascii="Times New Roman" w:hAnsi="Times New Roman"/>
          <w:color w:val="auto"/>
          <w:highlight w:val="none"/>
        </w:rPr>
        <w:t>澄清、说明或补正不得超出投标文件的范围且不得改变投标文件的实质性内容，并构成投标文件的组成部分。</w:t>
      </w:r>
    </w:p>
    <w:p w14:paraId="33E4F11C">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3.3.3 </w:t>
      </w:r>
      <w:r>
        <w:rPr>
          <w:rFonts w:hint="eastAsia" w:ascii="Times New Roman" w:hAnsi="Times New Roman"/>
          <w:color w:val="auto"/>
          <w:highlight w:val="none"/>
        </w:rPr>
        <w:t>评标委员会对投标人提交的澄清、说明或补正有疑问的，可以要求投标人进一步澄清、说明或补正，直至满足评标委员会的要求。</w:t>
      </w:r>
    </w:p>
    <w:p w14:paraId="1EB84631">
      <w:pPr>
        <w:pStyle w:val="5"/>
        <w:shd w:val="clear" w:color="auto" w:fill="auto"/>
        <w:spacing w:line="240" w:lineRule="auto"/>
        <w:ind w:firstLine="137"/>
        <w:rPr>
          <w:rFonts w:ascii="Times New Roman" w:hAnsi="Times New Roman"/>
          <w:color w:val="auto"/>
          <w:highlight w:val="none"/>
        </w:rPr>
      </w:pPr>
      <w:bookmarkStart w:id="360" w:name="_Toc28070004"/>
      <w:bookmarkStart w:id="361" w:name="_Toc68765124"/>
      <w:r>
        <w:rPr>
          <w:rFonts w:ascii="Times New Roman" w:hAnsi="Times New Roman"/>
          <w:color w:val="auto"/>
          <w:highlight w:val="none"/>
        </w:rPr>
        <w:t xml:space="preserve">3.4 </w:t>
      </w:r>
      <w:r>
        <w:rPr>
          <w:rFonts w:hint="eastAsia" w:ascii="Times New Roman" w:hAnsi="Times New Roman"/>
          <w:color w:val="auto"/>
          <w:highlight w:val="none"/>
        </w:rPr>
        <w:t>评标结果</w:t>
      </w:r>
      <w:bookmarkEnd w:id="360"/>
      <w:bookmarkEnd w:id="361"/>
    </w:p>
    <w:p w14:paraId="35874F6D">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hint="eastAsia" w:ascii="Times New Roman" w:hAnsi="Times New Roman"/>
          <w:color w:val="auto"/>
          <w:highlight w:val="none"/>
        </w:rPr>
        <w:t>除第二章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前附表授权直接确定中标人外，评标委员会按照得分由高到低的顺序推荐中标候选人，并标明排序。</w:t>
      </w:r>
    </w:p>
    <w:p w14:paraId="1DC3699F">
      <w:pPr>
        <w:shd w:val="clear" w:color="auto" w:fill="auto"/>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w:t>
      </w:r>
      <w:r>
        <w:rPr>
          <w:rFonts w:hint="eastAsia" w:ascii="Times New Roman" w:hAnsi="Times New Roman"/>
          <w:color w:val="auto"/>
          <w:highlight w:val="none"/>
        </w:rPr>
        <w:t>评标委员会完成评标后，应当向招标人提交书面评标报告和中标候选人名单</w:t>
      </w:r>
      <w:r>
        <w:rPr>
          <w:rFonts w:ascii="Times New Roman" w:hAnsi="Times New Roman"/>
          <w:color w:val="auto"/>
          <w:highlight w:val="none"/>
        </w:rPr>
        <w:t>。</w:t>
      </w:r>
    </w:p>
    <w:p w14:paraId="071F1E05">
      <w:pPr>
        <w:shd w:val="clear" w:color="auto" w:fill="auto"/>
        <w:spacing w:line="400" w:lineRule="exact"/>
        <w:rPr>
          <w:rFonts w:ascii="Times New Roman" w:hAnsi="Times New Roman"/>
          <w:color w:val="auto"/>
          <w:highlight w:val="none"/>
        </w:rPr>
      </w:pPr>
      <w:r>
        <w:rPr>
          <w:color w:val="auto"/>
          <w:highlight w:val="none"/>
        </w:rPr>
        <w:br w:type="page"/>
      </w:r>
    </w:p>
    <w:p w14:paraId="2357F22E">
      <w:pPr>
        <w:pStyle w:val="3"/>
        <w:shd w:val="clear" w:color="auto" w:fill="auto"/>
        <w:jc w:val="center"/>
        <w:rPr>
          <w:color w:val="auto"/>
          <w:highlight w:val="none"/>
        </w:rPr>
      </w:pPr>
      <w:bookmarkStart w:id="362" w:name="_Toc27331"/>
      <w:bookmarkStart w:id="363" w:name="_Toc68765125"/>
      <w:r>
        <w:rPr>
          <w:color w:val="auto"/>
          <w:highlight w:val="none"/>
        </w:rPr>
        <w:t>第四章合同条款及格式</w:t>
      </w:r>
      <w:bookmarkEnd w:id="362"/>
      <w:bookmarkEnd w:id="363"/>
    </w:p>
    <w:p w14:paraId="330885C3">
      <w:pPr>
        <w:shd w:val="clear" w:color="auto" w:fill="auto"/>
        <w:jc w:val="center"/>
        <w:rPr>
          <w:color w:val="auto"/>
          <w:sz w:val="36"/>
          <w:szCs w:val="36"/>
          <w:highlight w:val="none"/>
        </w:rPr>
      </w:pPr>
      <w:r>
        <w:rPr>
          <w:color w:val="auto"/>
          <w:sz w:val="36"/>
          <w:szCs w:val="36"/>
          <w:highlight w:val="none"/>
        </w:rPr>
        <w:t>（另册）</w:t>
      </w:r>
    </w:p>
    <w:p w14:paraId="0C6389A1">
      <w:pPr>
        <w:shd w:val="clear" w:color="auto" w:fill="auto"/>
        <w:rPr>
          <w:color w:val="auto"/>
          <w:highlight w:val="none"/>
        </w:rPr>
      </w:pPr>
      <w:bookmarkStart w:id="364" w:name="_Toc179632787"/>
      <w:bookmarkStart w:id="365" w:name="_Toc246996338"/>
      <w:bookmarkStart w:id="366" w:name="_Toc246997081"/>
      <w:bookmarkStart w:id="367" w:name="_Toc247085853"/>
      <w:bookmarkStart w:id="368" w:name="_Toc152045610"/>
      <w:bookmarkStart w:id="369" w:name="_Toc152042549"/>
      <w:bookmarkStart w:id="370" w:name="_Toc247514197"/>
      <w:bookmarkStart w:id="371" w:name="_Toc300835199"/>
      <w:bookmarkStart w:id="372" w:name="_Toc152042388"/>
      <w:bookmarkStart w:id="373" w:name="_Toc144974578"/>
      <w:bookmarkStart w:id="374" w:name="_Toc247527798"/>
      <w:bookmarkStart w:id="375" w:name="_Toc144974829"/>
      <w:bookmarkStart w:id="376" w:name="_Toc184635122"/>
    </w:p>
    <w:p w14:paraId="5B0B70FE">
      <w:pPr>
        <w:widowControl/>
        <w:shd w:val="clear" w:color="auto" w:fill="auto"/>
        <w:spacing w:line="360" w:lineRule="auto"/>
        <w:ind w:firstLine="240" w:firstLineChars="100"/>
        <w:jc w:val="left"/>
        <w:rPr>
          <w:rFonts w:ascii="宋体" w:hAnsi="宋体" w:cs="宋体"/>
          <w:color w:val="auto"/>
          <w:kern w:val="0"/>
          <w:sz w:val="24"/>
          <w:highlight w:val="none"/>
        </w:rPr>
      </w:pPr>
    </w:p>
    <w:p w14:paraId="72D0B408">
      <w:pPr>
        <w:shd w:val="clear" w:color="auto" w:fill="auto"/>
        <w:spacing w:line="360" w:lineRule="auto"/>
        <w:jc w:val="center"/>
        <w:rPr>
          <w:color w:val="auto"/>
          <w:highlight w:val="none"/>
        </w:rPr>
      </w:pPr>
    </w:p>
    <w:p w14:paraId="5D531BCD">
      <w:pPr>
        <w:keepNext/>
        <w:keepLines/>
        <w:shd w:val="clear" w:color="auto" w:fill="auto"/>
        <w:jc w:val="center"/>
        <w:rPr>
          <w:bCs/>
          <w:color w:val="auto"/>
          <w:sz w:val="20"/>
          <w:highlight w:val="none"/>
        </w:rPr>
      </w:pPr>
      <w:r>
        <w:rPr>
          <w:bCs/>
          <w:color w:val="auto"/>
          <w:highlight w:val="none"/>
        </w:rPr>
        <w:br w:type="page"/>
      </w:r>
    </w:p>
    <w:bookmarkEnd w:id="364"/>
    <w:bookmarkEnd w:id="365"/>
    <w:bookmarkEnd w:id="366"/>
    <w:bookmarkEnd w:id="367"/>
    <w:p w14:paraId="45759E73">
      <w:pPr>
        <w:pStyle w:val="3"/>
        <w:shd w:val="clear" w:color="auto" w:fill="auto"/>
        <w:spacing w:before="0" w:after="0" w:line="240" w:lineRule="auto"/>
        <w:jc w:val="center"/>
        <w:rPr>
          <w:color w:val="auto"/>
          <w:highlight w:val="none"/>
        </w:rPr>
      </w:pPr>
      <w:bookmarkStart w:id="377" w:name="_Toc22105"/>
      <w:bookmarkStart w:id="378" w:name="_Toc68765132"/>
      <w:r>
        <w:rPr>
          <w:color w:val="auto"/>
          <w:highlight w:val="none"/>
        </w:rPr>
        <w:t>第五章</w:t>
      </w:r>
      <w:r>
        <w:rPr>
          <w:rFonts w:hint="eastAsia"/>
          <w:color w:val="auto"/>
          <w:highlight w:val="none"/>
        </w:rPr>
        <w:t>用户需求书</w:t>
      </w:r>
      <w:bookmarkEnd w:id="377"/>
    </w:p>
    <w:p w14:paraId="267779E9">
      <w:pPr>
        <w:shd w:val="clear" w:color="auto" w:fill="auto"/>
        <w:spacing w:line="360" w:lineRule="auto"/>
        <w:outlineLvl w:val="1"/>
        <w:rPr>
          <w:rFonts w:hint="eastAsia" w:ascii="宋体" w:hAnsi="宋体" w:eastAsia="宋体" w:cs="宋体"/>
          <w:b/>
          <w:color w:val="auto"/>
          <w:sz w:val="24"/>
          <w:szCs w:val="24"/>
          <w:highlight w:val="none"/>
        </w:rPr>
      </w:pPr>
      <w:bookmarkStart w:id="379" w:name="_Toc126835334"/>
    </w:p>
    <w:p w14:paraId="04294B08">
      <w:pPr>
        <w:shd w:val="clear" w:color="auto" w:fill="auto"/>
        <w:spacing w:line="360" w:lineRule="auto"/>
        <w:outlineLvl w:val="1"/>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w:t>
      </w:r>
      <w:bookmarkEnd w:id="379"/>
    </w:p>
    <w:p w14:paraId="5B7CAD36">
      <w:pPr>
        <w:shd w:val="clear" w:color="auto" w:fill="auto"/>
        <w:spacing w:line="360" w:lineRule="auto"/>
        <w:ind w:firstLine="480" w:firstLineChars="200"/>
        <w:rPr>
          <w:highlight w:val="none"/>
        </w:rPr>
      </w:pPr>
      <w:r>
        <w:rPr>
          <w:rFonts w:hint="eastAsia" w:ascii="宋体" w:hAnsi="宋体" w:eastAsia="宋体" w:cs="宋体"/>
          <w:color w:val="auto"/>
          <w:sz w:val="24"/>
          <w:szCs w:val="24"/>
          <w:highlight w:val="none"/>
        </w:rPr>
        <w:t>为广州科城水投技术服务有限公司提供葡萄糖、乙酸钠、乙二醇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种生产药剂（</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详见附表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）的供货服务。</w:t>
      </w:r>
    </w:p>
    <w:p w14:paraId="261490CB">
      <w:pPr>
        <w:pStyle w:val="63"/>
        <w:shd w:val="clear" w:color="auto" w:fill="auto"/>
        <w:spacing w:line="360" w:lineRule="auto"/>
        <w:jc w:val="center"/>
        <w:rPr>
          <w:rFonts w:hint="eastAsia" w:ascii="宋体" w:hAnsi="宋体"/>
          <w:color w:val="auto"/>
          <w:sz w:val="24"/>
          <w:highlight w:val="none"/>
        </w:rPr>
      </w:pPr>
      <w:r>
        <w:rPr>
          <w:rFonts w:hint="eastAsia" w:ascii="宋体" w:hAnsi="宋体"/>
          <w:b/>
          <w:bCs/>
          <w:color w:val="auto"/>
          <w:sz w:val="24"/>
          <w:highlight w:val="none"/>
        </w:rPr>
        <w:t>附表</w:t>
      </w:r>
      <w:r>
        <w:rPr>
          <w:rFonts w:hint="eastAsia" w:ascii="宋体" w:hAnsi="宋体"/>
          <w:b/>
          <w:bCs/>
          <w:color w:val="auto"/>
          <w:sz w:val="24"/>
          <w:highlight w:val="none"/>
          <w:lang w:val="en-US"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名称</w:t>
      </w:r>
      <w:r>
        <w:rPr>
          <w:rFonts w:hint="eastAsia" w:ascii="宋体" w:hAnsi="宋体"/>
          <w:b/>
          <w:bCs/>
          <w:color w:val="auto"/>
          <w:sz w:val="24"/>
          <w:highlight w:val="none"/>
        </w:rPr>
        <w:t>、规格</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数量</w:t>
      </w:r>
    </w:p>
    <w:tbl>
      <w:tblPr>
        <w:tblStyle w:val="30"/>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3114"/>
        <w:gridCol w:w="1736"/>
        <w:gridCol w:w="1822"/>
      </w:tblGrid>
      <w:tr w14:paraId="4060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 w:type="pct"/>
            <w:noWrap w:val="0"/>
            <w:vAlign w:val="center"/>
          </w:tcPr>
          <w:p w14:paraId="7D8737E1">
            <w:pPr>
              <w:pStyle w:val="64"/>
              <w:widowControl/>
              <w:shd w:val="clear" w:color="auto" w:fill="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名称</w:t>
            </w:r>
          </w:p>
        </w:tc>
        <w:tc>
          <w:tcPr>
            <w:tcW w:w="1842" w:type="pct"/>
            <w:noWrap w:val="0"/>
            <w:vAlign w:val="center"/>
          </w:tcPr>
          <w:p w14:paraId="140FA748">
            <w:pPr>
              <w:pStyle w:val="64"/>
              <w:widowControl/>
              <w:shd w:val="clear" w:color="auto" w:fill="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规格型号</w:t>
            </w:r>
          </w:p>
        </w:tc>
        <w:tc>
          <w:tcPr>
            <w:tcW w:w="1027" w:type="pct"/>
            <w:noWrap w:val="0"/>
            <w:vAlign w:val="center"/>
          </w:tcPr>
          <w:p w14:paraId="70B8403A">
            <w:pPr>
              <w:pStyle w:val="64"/>
              <w:widowControl/>
              <w:shd w:val="clear" w:color="auto" w:fill="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单位</w:t>
            </w:r>
          </w:p>
        </w:tc>
        <w:tc>
          <w:tcPr>
            <w:tcW w:w="1078" w:type="pct"/>
            <w:noWrap w:val="0"/>
            <w:vAlign w:val="center"/>
          </w:tcPr>
          <w:p w14:paraId="4A42C3A5">
            <w:pPr>
              <w:pStyle w:val="64"/>
              <w:widowControl/>
              <w:shd w:val="clear" w:color="auto" w:fill="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数量</w:t>
            </w:r>
          </w:p>
        </w:tc>
      </w:tr>
      <w:tr w14:paraId="790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 w:type="pct"/>
            <w:noWrap w:val="0"/>
            <w:vAlign w:val="center"/>
          </w:tcPr>
          <w:p w14:paraId="392523E5">
            <w:pPr>
              <w:pStyle w:val="64"/>
              <w:widowControl/>
              <w:shd w:val="clear" w:color="auto" w:fill="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葡萄糖</w:t>
            </w:r>
          </w:p>
        </w:tc>
        <w:tc>
          <w:tcPr>
            <w:tcW w:w="1842" w:type="pct"/>
            <w:noWrap w:val="0"/>
            <w:vAlign w:val="center"/>
          </w:tcPr>
          <w:p w14:paraId="60E5FEAA">
            <w:pPr>
              <w:pStyle w:val="64"/>
              <w:widowControl/>
              <w:shd w:val="clear" w:color="auto" w:fill="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固态，含量≥99%</w:t>
            </w:r>
          </w:p>
        </w:tc>
        <w:tc>
          <w:tcPr>
            <w:tcW w:w="1027" w:type="pct"/>
            <w:noWrap w:val="0"/>
            <w:vAlign w:val="center"/>
          </w:tcPr>
          <w:p w14:paraId="329323F6">
            <w:pPr>
              <w:pStyle w:val="64"/>
              <w:widowControl/>
              <w:shd w:val="clear" w:color="auto" w:fill="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吨</w:t>
            </w:r>
          </w:p>
        </w:tc>
        <w:tc>
          <w:tcPr>
            <w:tcW w:w="1078" w:type="pct"/>
            <w:noWrap w:val="0"/>
            <w:vAlign w:val="center"/>
          </w:tcPr>
          <w:p w14:paraId="1EA3A4BE">
            <w:pPr>
              <w:pStyle w:val="64"/>
              <w:widowControl/>
              <w:shd w:val="clear" w:color="auto" w:fill="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900</w:t>
            </w:r>
          </w:p>
        </w:tc>
      </w:tr>
      <w:tr w14:paraId="754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 w:type="pct"/>
            <w:noWrap w:val="0"/>
            <w:vAlign w:val="center"/>
          </w:tcPr>
          <w:p w14:paraId="4495138E">
            <w:pPr>
              <w:pStyle w:val="24"/>
              <w:ind w:left="420" w:left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乙酸钠</w:t>
            </w:r>
          </w:p>
        </w:tc>
        <w:tc>
          <w:tcPr>
            <w:tcW w:w="1842" w:type="pct"/>
            <w:noWrap w:val="0"/>
            <w:vAlign w:val="center"/>
          </w:tcPr>
          <w:p w14:paraId="73887710">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固态，含量≥98%</w:t>
            </w:r>
          </w:p>
        </w:tc>
        <w:tc>
          <w:tcPr>
            <w:tcW w:w="1027" w:type="pct"/>
            <w:noWrap w:val="0"/>
            <w:vAlign w:val="center"/>
          </w:tcPr>
          <w:p w14:paraId="1E1B55E6">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吨</w:t>
            </w:r>
          </w:p>
        </w:tc>
        <w:tc>
          <w:tcPr>
            <w:tcW w:w="1078" w:type="pct"/>
            <w:noWrap w:val="0"/>
            <w:vAlign w:val="center"/>
          </w:tcPr>
          <w:p w14:paraId="55B92C8B">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900</w:t>
            </w:r>
          </w:p>
        </w:tc>
      </w:tr>
      <w:tr w14:paraId="7A41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 w:type="pct"/>
            <w:noWrap w:val="0"/>
            <w:vAlign w:val="center"/>
          </w:tcPr>
          <w:p w14:paraId="6244967F">
            <w:pPr>
              <w:pStyle w:val="24"/>
              <w:ind w:left="420" w:left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乙二醇</w:t>
            </w:r>
          </w:p>
        </w:tc>
        <w:tc>
          <w:tcPr>
            <w:tcW w:w="1842" w:type="pct"/>
            <w:noWrap w:val="0"/>
            <w:vAlign w:val="center"/>
          </w:tcPr>
          <w:p w14:paraId="1F57300B">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液态，含量≥99%</w:t>
            </w:r>
          </w:p>
        </w:tc>
        <w:tc>
          <w:tcPr>
            <w:tcW w:w="1027" w:type="pct"/>
            <w:noWrap w:val="0"/>
            <w:vAlign w:val="center"/>
          </w:tcPr>
          <w:p w14:paraId="17C908C3">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吨</w:t>
            </w:r>
          </w:p>
        </w:tc>
        <w:tc>
          <w:tcPr>
            <w:tcW w:w="1078" w:type="pct"/>
            <w:noWrap w:val="0"/>
            <w:vAlign w:val="center"/>
          </w:tcPr>
          <w:p w14:paraId="52A0F212">
            <w:pPr>
              <w:pStyle w:val="24"/>
              <w:ind w:left="0" w:lef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1100</w:t>
            </w:r>
          </w:p>
        </w:tc>
      </w:tr>
    </w:tbl>
    <w:p w14:paraId="1448D084">
      <w:pPr>
        <w:shd w:val="clear" w:color="auto" w:fill="auto"/>
        <w:spacing w:line="360" w:lineRule="auto"/>
        <w:ind w:firstLine="480" w:firstLineChars="200"/>
        <w:rPr>
          <w:rFonts w:ascii="宋体" w:hAnsi="宋体" w:eastAsia="宋体" w:cs="宋体"/>
          <w:color w:val="auto"/>
          <w:sz w:val="24"/>
          <w:szCs w:val="24"/>
          <w:highlight w:val="none"/>
        </w:rPr>
      </w:pPr>
    </w:p>
    <w:p w14:paraId="6F82589A">
      <w:pPr>
        <w:shd w:val="clear" w:color="auto" w:fill="auto"/>
        <w:spacing w:line="360" w:lineRule="auto"/>
        <w:ind w:firstLine="482" w:firstLineChars="200"/>
        <w:outlineLvl w:val="1"/>
        <w:rPr>
          <w:rFonts w:ascii="宋体" w:hAnsi="宋体" w:eastAsia="宋体" w:cs="宋体"/>
          <w:b/>
          <w:color w:val="auto"/>
          <w:sz w:val="24"/>
          <w:szCs w:val="24"/>
          <w:highlight w:val="none"/>
        </w:rPr>
      </w:pPr>
      <w:bookmarkStart w:id="380" w:name="_Toc126835335"/>
      <w:r>
        <w:rPr>
          <w:rFonts w:hint="eastAsia" w:ascii="宋体" w:hAnsi="宋体" w:eastAsia="宋体" w:cs="宋体"/>
          <w:b/>
          <w:color w:val="auto"/>
          <w:sz w:val="24"/>
          <w:szCs w:val="24"/>
          <w:highlight w:val="none"/>
        </w:rPr>
        <w:t>二、招标范围</w:t>
      </w:r>
      <w:bookmarkEnd w:id="380"/>
    </w:p>
    <w:p w14:paraId="53D761D9">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日，以合同签订时间为准。以上生产药剂需求量详见附件1。</w:t>
      </w:r>
    </w:p>
    <w:p w14:paraId="16297B6D">
      <w:pPr>
        <w:shd w:val="clear" w:color="auto" w:fill="auto"/>
        <w:spacing w:line="360" w:lineRule="auto"/>
        <w:ind w:firstLine="482" w:firstLineChars="200"/>
        <w:outlineLvl w:val="1"/>
        <w:rPr>
          <w:rFonts w:ascii="宋体" w:hAnsi="宋体" w:eastAsia="宋体" w:cs="宋体"/>
          <w:b/>
          <w:color w:val="auto"/>
          <w:sz w:val="24"/>
          <w:szCs w:val="24"/>
          <w:highlight w:val="none"/>
        </w:rPr>
      </w:pPr>
      <w:bookmarkStart w:id="381" w:name="_Toc126835336"/>
      <w:r>
        <w:rPr>
          <w:rFonts w:hint="eastAsia" w:ascii="宋体" w:hAnsi="宋体" w:eastAsia="宋体" w:cs="宋体"/>
          <w:b/>
          <w:color w:val="auto"/>
          <w:sz w:val="24"/>
          <w:szCs w:val="24"/>
          <w:highlight w:val="none"/>
        </w:rPr>
        <w:t>三、供货要求</w:t>
      </w:r>
      <w:bookmarkEnd w:id="381"/>
    </w:p>
    <w:p w14:paraId="0B4D408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以招标人通知为准</w:t>
      </w:r>
      <w:r>
        <w:rPr>
          <w:rFonts w:hint="eastAsia" w:ascii="宋体" w:hAnsi="宋体" w:eastAsia="宋体" w:cs="宋体"/>
          <w:color w:val="auto"/>
          <w:sz w:val="24"/>
          <w:szCs w:val="24"/>
          <w:highlight w:val="none"/>
        </w:rPr>
        <w:t>。中标人负责货物的运输和装卸，并在</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指定地点交货和存放。中标人需服从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的合理调配供货要求。</w:t>
      </w:r>
    </w:p>
    <w:p w14:paraId="64719EFD">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供货时间：合同期内</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提前24小时以传真或电子邮件（或以短信或微信）等形式通知</w:t>
      </w:r>
      <w:r>
        <w:rPr>
          <w:rFonts w:hint="eastAsia" w:ascii="宋体" w:hAnsi="宋体" w:eastAsia="宋体" w:cs="宋体"/>
          <w:color w:val="auto"/>
          <w:sz w:val="24"/>
          <w:szCs w:val="24"/>
          <w:highlight w:val="none"/>
          <w:lang w:val="en-US" w:eastAsia="zh-CN"/>
        </w:rPr>
        <w:t>中标人交货时间、交货品种、交货数量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必须按要求送到</w:t>
      </w:r>
      <w:r>
        <w:rPr>
          <w:rFonts w:hint="eastAsia" w:ascii="宋体" w:hAnsi="宋体" w:eastAsia="宋体" w:cs="宋体"/>
          <w:color w:val="auto"/>
          <w:sz w:val="24"/>
          <w:szCs w:val="24"/>
          <w:highlight w:val="none"/>
          <w:lang w:val="en-US" w:eastAsia="zh-CN"/>
        </w:rPr>
        <w:t>招标人指定地点并负责装卸。招标人的代表同时进场，对货物进行检查与数量清点并双方确认验收合格。如在验收中发现货物的品种、型号规格、质量不符合要求或包装不完整应做好记录，招标人有权要求退货或要求中标人在指定的时间内换货，由此产生的费用由中标人负责。</w:t>
      </w:r>
    </w:p>
    <w:p w14:paraId="5709AE7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.包装、装运和运输</w:t>
      </w:r>
      <w:r>
        <w:rPr>
          <w:rFonts w:hint="eastAsia" w:ascii="宋体" w:hAnsi="宋体" w:eastAsia="宋体" w:cs="宋体"/>
          <w:color w:val="auto"/>
          <w:sz w:val="24"/>
          <w:szCs w:val="24"/>
          <w:highlight w:val="none"/>
        </w:rPr>
        <w:t>要求：</w:t>
      </w:r>
    </w:p>
    <w:p w14:paraId="3C44A36A">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（1）中标人负责把货物安全地运到招标人指定的交货地点。</w:t>
      </w:r>
    </w:p>
    <w:p w14:paraId="552ECAE3">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（2）到货货物应附有产品合格证书，</w:t>
      </w:r>
      <w:r>
        <w:rPr>
          <w:rFonts w:hint="eastAsia" w:ascii="宋体" w:hAnsi="宋体" w:eastAsia="宋体" w:cs="宋体"/>
          <w:color w:val="auto"/>
          <w:sz w:val="24"/>
          <w:szCs w:val="24"/>
          <w:highlight w:val="none"/>
        </w:rPr>
        <w:t>内容包括：产品名称、生产厂家名称、</w:t>
      </w:r>
      <w:r>
        <w:rPr>
          <w:rFonts w:hint="eastAsia" w:ascii="宋体" w:hAnsi="宋体" w:eastAsia="宋体" w:cs="宋体"/>
          <w:color w:val="auto"/>
          <w:sz w:val="24"/>
          <w:szCs w:val="24"/>
          <w:highlight w:val="none"/>
          <w:lang w:val="en-US" w:eastAsia="zh-CN"/>
        </w:rPr>
        <w:t>规格/</w:t>
      </w:r>
      <w:r>
        <w:rPr>
          <w:rFonts w:hint="eastAsia" w:ascii="宋体" w:hAnsi="宋体" w:eastAsia="宋体" w:cs="宋体"/>
          <w:color w:val="auto"/>
          <w:sz w:val="24"/>
          <w:szCs w:val="24"/>
          <w:highlight w:val="none"/>
        </w:rPr>
        <w:t>净含量、生产日期等</w:t>
      </w:r>
      <w:r>
        <w:rPr>
          <w:rFonts w:hint="eastAsia" w:ascii="宋体" w:hAnsi="宋体" w:eastAsia="宋体" w:cs="宋体"/>
          <w:color w:val="auto"/>
          <w:sz w:val="24"/>
          <w:szCs w:val="24"/>
          <w:highlight w:val="none"/>
          <w:lang w:val="en-US" w:eastAsia="zh-CN"/>
        </w:rPr>
        <w:t>，考虑到运输和储存中的各种情况（如暴露于恶劣气候等），货物必须满足运输、转运、装卸和储存的要求。</w:t>
      </w:r>
    </w:p>
    <w:p w14:paraId="6B4DE9B9">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（3）中标人车辆运输本合同采购的产品时必须合法合规，其运输荷载要根据招标人现场情况调整，因中标人运输造成的招标人或第三方损失或责任由中标人承担。</w:t>
      </w:r>
    </w:p>
    <w:p w14:paraId="20A70A4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应保证承运期间货物的安全，并在货物开箱验收合格前，对货物承担全部责任。期间发生任何事故或事件，造成任何人身、财产损害的，均由中标人自行承担责任；货物发生损毁、灭失（包括但不限于短少、变质、污染、受潮、被盗等），均由中标人承担赔偿责任。</w:t>
      </w:r>
    </w:p>
    <w:p w14:paraId="415FA8C2">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（5）包装费、运费、卸车费已包含在合同价内，货物至交货地点，期间所需办理的所有手续及费用，由中标人自行负责，招标人不提供任何文件及协助。</w:t>
      </w:r>
    </w:p>
    <w:p w14:paraId="6CF5CFD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（6）运送散装化学品的储槽上必须有符合国家相关规范的标识，满足《包装储运图示标志》要求，必须包含化学品的名称和危险标识等信息。</w:t>
      </w:r>
    </w:p>
    <w:p w14:paraId="742D0B6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（7）投标人送货进入招标人管辖区域时，需经过登记、接受招标人人员查验后方得入内。中标人进入交货点后，需遵循属地管理要求。</w:t>
      </w:r>
    </w:p>
    <w:p w14:paraId="17C975D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中标人在运输过程中应防止雨淋、受潮，并避免污染。中标人需根据现场情况配置适合的满足卸货需求的设施，如接头、管道等，在卸货过程中需做好无缝对接措施，确保不外泄。卸货完成后中标人需负责复原现场，包括但不限于现场卫生与现场工具等。</w:t>
      </w:r>
    </w:p>
    <w:p w14:paraId="041F897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合同期内，</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人应提供相关技术服务，技术支持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包含但不限于以下服务：</w:t>
      </w:r>
    </w:p>
    <w:p w14:paraId="6FE891E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安全服务：无条件配合招标人安全管理工作及要求。应按市、区安监及公安消防部门及招标人要求随车携带防护用品和消防器材。</w:t>
      </w:r>
    </w:p>
    <w:p w14:paraId="2355DF1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技术支持：合同期内任何时间，当招标人在使用现场发生药剂应急抢险情况，</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人在接到招标人短信、传真或电话的抢险请求后</w:t>
      </w:r>
      <w:r>
        <w:rPr>
          <w:rFonts w:hint="eastAsia" w:ascii="宋体" w:hAnsi="宋体" w:eastAsia="宋体" w:cs="宋体"/>
          <w:color w:val="auto"/>
          <w:sz w:val="24"/>
          <w:szCs w:val="24"/>
          <w:highlight w:val="none"/>
          <w:lang w:val="en-US" w:eastAsia="zh-CN"/>
        </w:rPr>
        <w:t>30分钟</w:t>
      </w:r>
      <w:r>
        <w:rPr>
          <w:rFonts w:hint="eastAsia" w:ascii="宋体" w:hAnsi="宋体" w:eastAsia="宋体" w:cs="宋体"/>
          <w:color w:val="auto"/>
          <w:sz w:val="24"/>
          <w:szCs w:val="24"/>
          <w:highlight w:val="none"/>
        </w:rPr>
        <w:t>内必须通过短信、传真或电话提供技术指导。以上服务的人员、设备和管理费用已经包含在本合同结算价内；</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人需根据招标人需求，及时提供相关货品的技术支持（含咨询、技术交流等形式）。</w:t>
      </w:r>
    </w:p>
    <w:p w14:paraId="2917CF2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人不能提供令招标人满意的以上技术服务，招标人有权自行委托第三方提供服务，费用由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人承担，在</w:t>
      </w:r>
      <w:r>
        <w:rPr>
          <w:rFonts w:hint="eastAsia" w:ascii="宋体" w:hAnsi="宋体" w:eastAsia="宋体" w:cs="宋体"/>
          <w:color w:val="auto"/>
          <w:sz w:val="24"/>
          <w:szCs w:val="24"/>
          <w:highlight w:val="none"/>
          <w:lang w:val="en-US" w:eastAsia="zh-CN"/>
        </w:rPr>
        <w:t>药剂费用</w:t>
      </w:r>
      <w:r>
        <w:rPr>
          <w:rFonts w:hint="eastAsia" w:ascii="宋体" w:hAnsi="宋体" w:eastAsia="宋体" w:cs="宋体"/>
          <w:color w:val="auto"/>
          <w:sz w:val="24"/>
          <w:szCs w:val="24"/>
          <w:highlight w:val="none"/>
        </w:rPr>
        <w:t>中扣除。</w:t>
      </w:r>
    </w:p>
    <w:p w14:paraId="3186390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计量方式：以合同条款明确约定的方式计量。</w:t>
      </w:r>
    </w:p>
    <w:p w14:paraId="5A173B7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因技术改变而暂停使用本合同货物的，需提前7天通知中标人终止供货。</w:t>
      </w:r>
    </w:p>
    <w:p w14:paraId="5162849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中标人必须优先保障</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的货物供应。</w:t>
      </w:r>
    </w:p>
    <w:p w14:paraId="574E5506">
      <w:pPr>
        <w:shd w:val="clear" w:color="auto" w:fill="auto"/>
        <w:spacing w:line="360" w:lineRule="auto"/>
        <w:ind w:firstLine="482" w:firstLineChars="200"/>
        <w:outlineLvl w:val="1"/>
        <w:rPr>
          <w:rFonts w:hint="eastAsia" w:ascii="宋体" w:hAnsi="宋体" w:eastAsia="宋体" w:cs="宋体"/>
          <w:b/>
          <w:color w:val="auto"/>
          <w:sz w:val="24"/>
          <w:szCs w:val="24"/>
          <w:highlight w:val="none"/>
        </w:rPr>
      </w:pPr>
      <w:bookmarkStart w:id="382" w:name="_Toc126835337"/>
      <w:r>
        <w:rPr>
          <w:rFonts w:hint="eastAsia" w:ascii="宋体" w:hAnsi="宋体" w:eastAsia="宋体" w:cs="宋体"/>
          <w:b/>
          <w:color w:val="auto"/>
          <w:sz w:val="24"/>
          <w:szCs w:val="24"/>
          <w:highlight w:val="none"/>
        </w:rPr>
        <w:t>四、考核办法</w:t>
      </w:r>
      <w:bookmarkEnd w:id="382"/>
    </w:p>
    <w:p w14:paraId="2BBCC9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考核评价标准</w:t>
      </w:r>
    </w:p>
    <w:tbl>
      <w:tblPr>
        <w:tblStyle w:val="3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59"/>
        <w:gridCol w:w="2961"/>
        <w:gridCol w:w="2794"/>
        <w:gridCol w:w="652"/>
      </w:tblGrid>
      <w:tr w14:paraId="6896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068B9199">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359" w:type="dxa"/>
            <w:noWrap w:val="0"/>
            <w:vAlign w:val="center"/>
          </w:tcPr>
          <w:p w14:paraId="2A4061B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2961" w:type="dxa"/>
            <w:noWrap w:val="0"/>
            <w:vAlign w:val="center"/>
          </w:tcPr>
          <w:p w14:paraId="7F3FBA4D">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考核评价标准</w:t>
            </w:r>
          </w:p>
        </w:tc>
        <w:tc>
          <w:tcPr>
            <w:tcW w:w="2794" w:type="dxa"/>
            <w:noWrap w:val="0"/>
            <w:vAlign w:val="center"/>
          </w:tcPr>
          <w:p w14:paraId="068F8339">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考核评分</w:t>
            </w:r>
          </w:p>
        </w:tc>
        <w:tc>
          <w:tcPr>
            <w:tcW w:w="652" w:type="dxa"/>
            <w:noWrap w:val="0"/>
            <w:vAlign w:val="center"/>
          </w:tcPr>
          <w:p w14:paraId="3D52BEC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得分</w:t>
            </w:r>
          </w:p>
        </w:tc>
      </w:tr>
      <w:tr w14:paraId="444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vMerge w:val="restart"/>
            <w:noWrap w:val="0"/>
            <w:vAlign w:val="center"/>
          </w:tcPr>
          <w:p w14:paraId="316D32C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一、交货质量</w:t>
            </w:r>
          </w:p>
        </w:tc>
        <w:tc>
          <w:tcPr>
            <w:tcW w:w="1359" w:type="dxa"/>
            <w:noWrap w:val="0"/>
            <w:vAlign w:val="center"/>
          </w:tcPr>
          <w:p w14:paraId="28CAFD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1.交货时效（40分）</w:t>
            </w:r>
          </w:p>
        </w:tc>
        <w:tc>
          <w:tcPr>
            <w:tcW w:w="2961" w:type="dxa"/>
            <w:noWrap w:val="0"/>
            <w:vAlign w:val="center"/>
          </w:tcPr>
          <w:p w14:paraId="57DA680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交货准时，通知送货后按通知要求时限送达，且不影响交货点方正常生产。</w:t>
            </w:r>
          </w:p>
        </w:tc>
        <w:tc>
          <w:tcPr>
            <w:tcW w:w="2794" w:type="dxa"/>
            <w:noWrap w:val="0"/>
            <w:vAlign w:val="center"/>
          </w:tcPr>
          <w:p w14:paraId="6C3246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晚于约定时间3个小时到送货地点</w:t>
            </w:r>
            <w:r>
              <w:rPr>
                <w:rFonts w:hint="eastAsia" w:ascii="宋体" w:hAnsi="宋体" w:eastAsia="宋体" w:cs="宋体"/>
                <w:sz w:val="24"/>
                <w:szCs w:val="24"/>
                <w:highlight w:val="none"/>
              </w:rPr>
              <w:t>一次扣5分；扣完为止。</w:t>
            </w:r>
          </w:p>
        </w:tc>
        <w:tc>
          <w:tcPr>
            <w:tcW w:w="652" w:type="dxa"/>
            <w:noWrap w:val="0"/>
            <w:vAlign w:val="center"/>
          </w:tcPr>
          <w:p w14:paraId="16C25FAF">
            <w:pPr>
              <w:spacing w:line="360" w:lineRule="auto"/>
              <w:rPr>
                <w:rFonts w:hint="eastAsia" w:ascii="宋体" w:hAnsi="宋体" w:eastAsia="宋体" w:cs="宋体"/>
                <w:sz w:val="24"/>
                <w:szCs w:val="24"/>
                <w:highlight w:val="none"/>
              </w:rPr>
            </w:pPr>
          </w:p>
        </w:tc>
      </w:tr>
      <w:tr w14:paraId="5D0E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vMerge w:val="continue"/>
            <w:noWrap w:val="0"/>
            <w:vAlign w:val="center"/>
          </w:tcPr>
          <w:p w14:paraId="700D8BD6">
            <w:pPr>
              <w:spacing w:line="360" w:lineRule="auto"/>
              <w:jc w:val="center"/>
              <w:rPr>
                <w:rFonts w:hint="eastAsia" w:ascii="宋体" w:hAnsi="宋体" w:eastAsia="宋体" w:cs="宋体"/>
                <w:sz w:val="24"/>
                <w:szCs w:val="24"/>
                <w:highlight w:val="none"/>
              </w:rPr>
            </w:pPr>
          </w:p>
        </w:tc>
        <w:tc>
          <w:tcPr>
            <w:tcW w:w="1359" w:type="dxa"/>
            <w:noWrap w:val="0"/>
            <w:vAlign w:val="center"/>
          </w:tcPr>
          <w:p w14:paraId="48F5BB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2.交货质量（40分）</w:t>
            </w:r>
          </w:p>
        </w:tc>
        <w:tc>
          <w:tcPr>
            <w:tcW w:w="2961" w:type="dxa"/>
            <w:noWrap w:val="0"/>
            <w:vAlign w:val="center"/>
          </w:tcPr>
          <w:p w14:paraId="26DE4EB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1.抽样检测货物品质均合格；</w:t>
            </w:r>
          </w:p>
          <w:p w14:paraId="5E6CB50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2.每批次货物所附资料齐全。</w:t>
            </w:r>
          </w:p>
        </w:tc>
        <w:tc>
          <w:tcPr>
            <w:tcW w:w="2794" w:type="dxa"/>
            <w:noWrap w:val="0"/>
            <w:vAlign w:val="center"/>
          </w:tcPr>
          <w:p w14:paraId="476CB6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1.不合格次数总计</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3次，每出现一次扣</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53E490A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2.所附资料出现不齐全情况，出现一次扣2分；</w:t>
            </w:r>
          </w:p>
          <w:p w14:paraId="76AF1EB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3.如出现不合格次数﹥3次，本项考核不得分。</w:t>
            </w:r>
          </w:p>
        </w:tc>
        <w:tc>
          <w:tcPr>
            <w:tcW w:w="652" w:type="dxa"/>
            <w:noWrap w:val="0"/>
            <w:vAlign w:val="center"/>
          </w:tcPr>
          <w:p w14:paraId="0E0AEDA5">
            <w:pPr>
              <w:spacing w:line="360" w:lineRule="auto"/>
              <w:rPr>
                <w:rFonts w:hint="eastAsia" w:ascii="宋体" w:hAnsi="宋体" w:eastAsia="宋体" w:cs="宋体"/>
                <w:sz w:val="24"/>
                <w:szCs w:val="24"/>
                <w:highlight w:val="none"/>
              </w:rPr>
            </w:pPr>
          </w:p>
        </w:tc>
      </w:tr>
      <w:tr w14:paraId="5ABA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53" w:type="dxa"/>
            <w:noWrap w:val="0"/>
            <w:vAlign w:val="center"/>
          </w:tcPr>
          <w:p w14:paraId="534223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二、服务质量</w:t>
            </w:r>
          </w:p>
        </w:tc>
        <w:tc>
          <w:tcPr>
            <w:tcW w:w="1359" w:type="dxa"/>
            <w:noWrap w:val="0"/>
            <w:vAlign w:val="center"/>
          </w:tcPr>
          <w:p w14:paraId="0D8138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3.服务质量（20分）</w:t>
            </w:r>
          </w:p>
        </w:tc>
        <w:tc>
          <w:tcPr>
            <w:tcW w:w="2961" w:type="dxa"/>
            <w:noWrap w:val="0"/>
            <w:vAlign w:val="center"/>
          </w:tcPr>
          <w:p w14:paraId="49D2A88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1.提供货物装卸、运输服务；</w:t>
            </w:r>
          </w:p>
          <w:p w14:paraId="3F8F5FB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2.司机听从交货点方人员指挥；</w:t>
            </w:r>
          </w:p>
          <w:p w14:paraId="6BF1235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3.货物装卸、运输过程合规，操作正确；</w:t>
            </w:r>
          </w:p>
          <w:p w14:paraId="61A0CB2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4.不得损坏交货点内设施设备。</w:t>
            </w:r>
          </w:p>
        </w:tc>
        <w:tc>
          <w:tcPr>
            <w:tcW w:w="2794" w:type="dxa"/>
            <w:noWrap w:val="0"/>
            <w:vAlign w:val="center"/>
          </w:tcPr>
          <w:p w14:paraId="6F752C1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每项目分值为5分，第1、2项每出现一次不符合情况扣1分；第3、4项每出现一次不合格情况扣2分；扣完为止。</w:t>
            </w:r>
          </w:p>
        </w:tc>
        <w:tc>
          <w:tcPr>
            <w:tcW w:w="652" w:type="dxa"/>
            <w:noWrap w:val="0"/>
            <w:vAlign w:val="center"/>
          </w:tcPr>
          <w:p w14:paraId="433535AC">
            <w:pPr>
              <w:spacing w:line="360" w:lineRule="auto"/>
              <w:rPr>
                <w:rFonts w:hint="eastAsia" w:ascii="宋体" w:hAnsi="宋体" w:eastAsia="宋体" w:cs="宋体"/>
                <w:sz w:val="24"/>
                <w:szCs w:val="24"/>
                <w:highlight w:val="none"/>
              </w:rPr>
            </w:pPr>
          </w:p>
        </w:tc>
      </w:tr>
      <w:tr w14:paraId="7607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53" w:type="dxa"/>
            <w:noWrap w:val="0"/>
            <w:vAlign w:val="center"/>
          </w:tcPr>
          <w:p w14:paraId="381484C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w:t>
            </w:r>
          </w:p>
        </w:tc>
        <w:tc>
          <w:tcPr>
            <w:tcW w:w="7114" w:type="dxa"/>
            <w:gridSpan w:val="3"/>
            <w:noWrap w:val="0"/>
            <w:vAlign w:val="center"/>
          </w:tcPr>
          <w:p w14:paraId="5809580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（上述3项得分之和）</w:t>
            </w:r>
          </w:p>
        </w:tc>
        <w:tc>
          <w:tcPr>
            <w:tcW w:w="652" w:type="dxa"/>
            <w:noWrap w:val="0"/>
            <w:vAlign w:val="center"/>
          </w:tcPr>
          <w:p w14:paraId="05725454">
            <w:pPr>
              <w:spacing w:line="360" w:lineRule="auto"/>
              <w:rPr>
                <w:rFonts w:hint="eastAsia" w:ascii="宋体" w:hAnsi="宋体" w:eastAsia="宋体" w:cs="宋体"/>
                <w:sz w:val="24"/>
                <w:szCs w:val="24"/>
                <w:highlight w:val="none"/>
              </w:rPr>
            </w:pPr>
          </w:p>
        </w:tc>
      </w:tr>
    </w:tbl>
    <w:p w14:paraId="7AEF1A75">
      <w:pPr>
        <w:shd w:val="clear" w:color="auto" w:fill="auto"/>
        <w:spacing w:line="360" w:lineRule="auto"/>
        <w:ind w:firstLine="480" w:firstLineChars="200"/>
        <w:rPr>
          <w:rFonts w:hint="eastAsia" w:ascii="宋体" w:hAnsi="宋体" w:eastAsia="宋体" w:cs="宋体"/>
          <w:color w:val="auto"/>
          <w:sz w:val="24"/>
          <w:szCs w:val="24"/>
          <w:highlight w:val="none"/>
        </w:rPr>
      </w:pPr>
      <w:bookmarkStart w:id="383" w:name="_Toc126835338"/>
      <w:r>
        <w:rPr>
          <w:rFonts w:hint="eastAsia" w:ascii="宋体" w:hAnsi="宋体" w:eastAsia="宋体" w:cs="宋体"/>
          <w:color w:val="auto"/>
          <w:sz w:val="24"/>
          <w:szCs w:val="24"/>
          <w:highlight w:val="none"/>
        </w:rPr>
        <w:t>注：1）交货准时是指交货不延误或适当提前交货从而保证库存充足，但提前交货须以</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可以存储的容量为限，若超过</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的存储能力，</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有权拒绝</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提前交货。</w:t>
      </w:r>
    </w:p>
    <w:p w14:paraId="0B4AC4F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2）由于不可抗力造成的交货延误，但没有影响生产的除外。</w:t>
      </w:r>
    </w:p>
    <w:p w14:paraId="387F550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3）考核期限：</w:t>
      </w:r>
    </w:p>
    <w:p w14:paraId="32712C8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供货期间</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将对</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的供货服务及货物质量进行不定期的考核，考核时间以</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确定为准，考核次数为每6个月考核不少于1次；若合同签订期限未满6个月，供货期内考核不少于1次。</w:t>
      </w:r>
    </w:p>
    <w:p w14:paraId="315ED5D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4）考核评价办法及合同解除依据</w:t>
      </w:r>
    </w:p>
    <w:p w14:paraId="359926C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考核得分在80分以上为合格（不含80分），等于或者低于80分，</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有权立即解除合同，同时根据损失情况要求</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承担赔偿责任。</w:t>
      </w:r>
    </w:p>
    <w:p w14:paraId="3F209D92">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五、货物标准及质量控制</w:t>
      </w:r>
      <w:bookmarkEnd w:id="383"/>
      <w:r>
        <w:rPr>
          <w:rFonts w:hint="eastAsia" w:ascii="宋体" w:hAnsi="宋体" w:eastAsia="宋体" w:cs="宋体"/>
          <w:b/>
          <w:bCs/>
          <w:color w:val="auto"/>
          <w:sz w:val="24"/>
          <w:szCs w:val="24"/>
          <w:highlight w:val="none"/>
          <w:lang w:val="en-US" w:eastAsia="zh-CN"/>
        </w:rPr>
        <w:t>验收要求</w:t>
      </w:r>
    </w:p>
    <w:p w14:paraId="2130CD7B">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bookmarkStart w:id="384" w:name="_Toc126835339"/>
      <w:r>
        <w:rPr>
          <w:rFonts w:hint="eastAsia" w:ascii="宋体" w:hAnsi="宋体" w:eastAsia="宋体" w:cs="宋体"/>
          <w:b w:val="0"/>
          <w:bCs w:val="0"/>
          <w:color w:val="auto"/>
          <w:sz w:val="24"/>
          <w:szCs w:val="24"/>
          <w:highlight w:val="none"/>
        </w:rPr>
        <w:t>1. 货物质量应符合或优于供货期内发布的最新国家标准或化工行业标准，符合本合同文件的要求，且需满足</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的技术指标。暂定标准如下：</w:t>
      </w:r>
    </w:p>
    <w:p w14:paraId="5BA99BE3">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（1）葡萄糖：</w:t>
      </w:r>
    </w:p>
    <w:p w14:paraId="6FEAC216">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1）产品质量执行GB/T20880-2018一级品及以上。</w:t>
      </w:r>
    </w:p>
    <w:p w14:paraId="61686F18">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2）产品规格：葡萄糖需求含量为99%，即所供药剂含量≥99%为合格品。</w:t>
      </w:r>
    </w:p>
    <w:p w14:paraId="67BE3629">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（2）乙酸钠：</w:t>
      </w:r>
    </w:p>
    <w:p w14:paraId="19014626">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1）产品质量执行GB/T693-2024；</w:t>
      </w:r>
    </w:p>
    <w:p w14:paraId="767446AC">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2）产品规格：乙酸钠需求含量为98%，即所供药剂含量≥98%为合格品。</w:t>
      </w:r>
    </w:p>
    <w:p w14:paraId="6527A1A7">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（3）乙二醇：</w:t>
      </w:r>
    </w:p>
    <w:p w14:paraId="3419F18D">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1）产品质量执行GB/T4649-2018。</w:t>
      </w:r>
    </w:p>
    <w:p w14:paraId="086C978B">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2）产品规格：乙二醇需求含量为99%，即所供药剂含量≥99%为合格品。</w:t>
      </w:r>
    </w:p>
    <w:p w14:paraId="563E985E">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产品出厂前，</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应该对产品进行详细检验，并出具检验证明材料，该证明材料可作为交货时双方进行交货现场检验的参考，但不作为质量最终是否合格的依据。若</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供货时不能出具该车次所供货物的检验证明材料，</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有权拒绝该车次所供货物的签收，并有权要求</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无条件退货并更换该车次所供货物，由此给</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所造成的一切经济损失由</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承担。</w:t>
      </w:r>
    </w:p>
    <w:p w14:paraId="2440A537">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 </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有权对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提供的各批次货物（同一天提供的同一种全部货物视为一个批次，下同）进行抽样检查，检验按照下列方式进行：</w:t>
      </w:r>
    </w:p>
    <w:p w14:paraId="1A3EBDEB">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1）执行检验方法：按照化工行业相关最新标准执行。</w:t>
      </w:r>
    </w:p>
    <w:p w14:paraId="7528D2B4">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2）送货记录需经</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双方在场共同确认完成并签字。</w:t>
      </w:r>
    </w:p>
    <w:p w14:paraId="20FEEFA5">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3）抽样检测：对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提供并交货的货物进行随机抽样检测。</w:t>
      </w:r>
    </w:p>
    <w:p w14:paraId="1243B38E">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4）抽样方法及密封、检测、留存：</w:t>
      </w:r>
    </w:p>
    <w:p w14:paraId="757B7EEC">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①槽车到达卸货点后，待</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监督人员到达后开始卸货取样；</w:t>
      </w:r>
    </w:p>
    <w:p w14:paraId="532B141E">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②在卸货约第五分钟、第十分钟和第二十分钟时由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现场收货人员分别取样于干净水桶内，混匀后分装三瓶，盖好盖子；取样时应当通过拍照或者摄像等方式记录过程，填写样品抽样记录表（附件5）并签字。</w:t>
      </w:r>
    </w:p>
    <w:p w14:paraId="4AD275BC">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③</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现场收货人员进行贴封条和标签作业；</w:t>
      </w:r>
    </w:p>
    <w:p w14:paraId="0FC26D2D">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④样品一瓶由</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带走，另两瓶由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现场收货人员带回药品放置点以备送检、储存。</w:t>
      </w:r>
    </w:p>
    <w:p w14:paraId="7E5C2440">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 若</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提供的货物进行抽样检查，则收货取样后，</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化验室或</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委托的第三方检测单位在接样后7个工作日内出具检测结果：</w:t>
      </w:r>
    </w:p>
    <w:p w14:paraId="7CAA9AFE">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验收规格以送检样品规格验收。</w:t>
      </w:r>
    </w:p>
    <w:p w14:paraId="21115703">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2）若初检结果不合格，</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在1个工作日内以邮件、微信或电话等形式通知</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若有异议，须在接到</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通知后1个工作日内（若超过1个工作日则视为</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接受初检结果）以书面形式向</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提出申请。</w:t>
      </w:r>
    </w:p>
    <w:p w14:paraId="5AA4666C">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3）药品复检时，</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可委托具有CMA资格认证的第三方（由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指定）进行复检，复检样品为</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保存之双方确认的备检品，委托费用及相关连带费用由</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全部负责；另至第三方填写申请单时，申请单位和检测报告邮寄地址必须填写</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不得私自前往第三方拿取检测报告，</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应当在收到检测报告后1个工作日内将报告扫描件以电子传输的方式通知</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w:t>
      </w:r>
    </w:p>
    <w:p w14:paraId="62B32F5D">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4）若复检结果符合使用规格，则</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以复检结果予以合格验收；若复检结果不符合使用规格，则判定为不合格。</w:t>
      </w:r>
    </w:p>
    <w:p w14:paraId="281D4C03">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5）经确认复检结果出现产品等级不合格，</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除需按以下罚则支付</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违约金之外，</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有权拒绝支付该批次货物货款并不退还该批次货物。</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应重新供应合格货物，若</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按照合同要求进行抽样检查，检查费用由</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支付。</w:t>
      </w:r>
    </w:p>
    <w:p w14:paraId="47564D20">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第一次检测不合格：</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扣罚3万元作为违约金，违约金优先在结算货款内扣除，如当月货款无法抵销违约金扣罚的，将在次月的结算货款内扣除；</w:t>
      </w:r>
    </w:p>
    <w:p w14:paraId="28078A35">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第二次检测不合格：</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扣罚5万元作为违约金，违约金优先在结算货款内扣除，如当月货款无法抵销违约金扣罚的，将在次月的结算货款内扣除；</w:t>
      </w:r>
    </w:p>
    <w:p w14:paraId="31272E0F">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第三次检测不合格：</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对</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扣罚10万元作为违约金，违约金优先在结算货款内扣除，如当月货款无法抵销违约金扣罚的，将在次月的结算货款内扣除；</w:t>
      </w:r>
    </w:p>
    <w:p w14:paraId="06E28150">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第四次检测不合格：</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有权终止合同，并要求</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支付合同价款10%的违约金。</w:t>
      </w:r>
    </w:p>
    <w:p w14:paraId="445FF5C4">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供货期，如有发布最新的行业标准或国家标准，</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有权根据</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运营项目的实际情况及有关行业标准或国家标准对合同的主要技术指标进行变更调整，</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应无条件接受。</w:t>
      </w:r>
    </w:p>
    <w:p w14:paraId="4F5F5E05">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 </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提供的货物必须是无安全风险、稳定、各成分无化学反应的产品。</w:t>
      </w:r>
    </w:p>
    <w:p w14:paraId="502DBE8A">
      <w:pPr>
        <w:shd w:val="clear" w:color="auto" w:fill="auto"/>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7. </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所供货物的真实质量，必须满足本项目的所有技术指标。</w:t>
      </w:r>
    </w:p>
    <w:p w14:paraId="234216FC">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bookmarkEnd w:id="384"/>
      <w:r>
        <w:rPr>
          <w:rFonts w:hint="eastAsia" w:ascii="宋体" w:hAnsi="宋体" w:eastAsia="宋体" w:cs="宋体"/>
          <w:b/>
          <w:bCs/>
          <w:color w:val="auto"/>
          <w:sz w:val="24"/>
          <w:szCs w:val="24"/>
          <w:highlight w:val="none"/>
        </w:rPr>
        <w:t>化学品资料及运输、装载规定</w:t>
      </w:r>
    </w:p>
    <w:p w14:paraId="3D1C958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负责化学品的运输，</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或</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委托的运输单位须持有《道路运输经营许可证》。</w:t>
      </w:r>
    </w:p>
    <w:p w14:paraId="4D129C3F">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在运输及卸货过程中不得出现跑冒滴漏。</w:t>
      </w:r>
    </w:p>
    <w:p w14:paraId="1CD50C71">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进交货点槽车重量不得超过车辆规定承载重量，且槽车与货物最大重量不得超过100吨。</w:t>
      </w:r>
    </w:p>
    <w:p w14:paraId="44AB896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槽车槽罐体应以主管机关规定检验合格，并随车携带检验合格证明书。</w:t>
      </w:r>
    </w:p>
    <w:p w14:paraId="1413582A">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槽车应随车携带有效灭火器。</w:t>
      </w:r>
    </w:p>
    <w:p w14:paraId="0CE9E0FA">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于交货点内使用所有机械、器具应符合相关法令规定标准。</w:t>
      </w:r>
    </w:p>
    <w:p w14:paraId="71C56B0B">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化学运输槽罐及其他容器，必须有符合国家有关部门批准的专业生产企业定点生产、检测、检验合格证书。液体药剂应采用聚乙烯塑料桶或专用耐酸碱耐腐蚀贮罐等密闭容器装运；运输中须防止泄漏及有毒物品污染，且不得与腐蚀性、强氧化性物品混装混运。</w:t>
      </w:r>
    </w:p>
    <w:p w14:paraId="641D0FA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8.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经营场所和储存设施须符合国家标准，主管人员和业务人员须持有国家认可的资格证书。</w:t>
      </w:r>
    </w:p>
    <w:p w14:paraId="493AA1E4">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9.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承担相应的运输、装卸等费用，运输人员应配备足够防护器具。</w:t>
      </w:r>
    </w:p>
    <w:p w14:paraId="4AA5173B">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以上所需相关资料供货前需提供</w:t>
      </w:r>
      <w:r>
        <w:rPr>
          <w:rFonts w:hint="eastAsia" w:ascii="宋体" w:hAnsi="宋体" w:eastAsia="宋体" w:cs="宋体"/>
          <w:color w:val="auto"/>
          <w:sz w:val="24"/>
          <w:szCs w:val="24"/>
          <w:highlight w:val="none"/>
          <w:lang w:val="en-US" w:eastAsia="zh-CN"/>
        </w:rPr>
        <w:t>给</w:t>
      </w:r>
      <w:r>
        <w:rPr>
          <w:rFonts w:hint="eastAsia" w:ascii="宋体" w:hAnsi="宋体" w:eastAsia="宋体" w:cs="宋体"/>
          <w:color w:val="auto"/>
          <w:sz w:val="24"/>
          <w:szCs w:val="24"/>
          <w:highlight w:val="none"/>
          <w:lang w:eastAsia="zh-CN"/>
        </w:rPr>
        <w:t>招标人以备存档，所需资料、证件等若有缺失招标人有权给予相应处罚。</w:t>
      </w:r>
    </w:p>
    <w:p w14:paraId="5F00CAEE">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、管理、安全、卫生作业规定</w:t>
      </w:r>
    </w:p>
    <w:p w14:paraId="7529C04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送货入交货点时，需经过保安室登记、接受交货点方保安人员查验后方得入厂。</w:t>
      </w:r>
    </w:p>
    <w:p w14:paraId="1896BBA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车辆须依交货点方规定路线行驶至指定卸料地点。</w:t>
      </w:r>
    </w:p>
    <w:p w14:paraId="67EB0F0C">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车辆在交货点内的行驶速度需低于一般车辆规定值（15km/h）；过磅时，车辆入磅时速不得超过8km/h，否则需重新排队过磅。</w:t>
      </w:r>
    </w:p>
    <w:p w14:paraId="3A896E4C">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完成卸货、过磅作业后，需将送货单、地磅凭单（如有）交至</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人员进行入库作业，并配合仓库人员查看相关信息无误后方可离开。</w:t>
      </w:r>
    </w:p>
    <w:p w14:paraId="24DFB14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应</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要求同一车货需分批次过磅卸货时，送货人员在每次过磅时均须按相关要求作业，若未按正常程序作业就直接卸料作业，而导致无法打印相应卸料磅单，从而无法验收的，一切后果由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负全责。</w:t>
      </w:r>
    </w:p>
    <w:p w14:paraId="29DEAD5E">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车辆停妥后，应先将引擎熄火，取下钥匙（以槽车为动力者除外），拉上手刹车，设置轮挡。</w:t>
      </w:r>
    </w:p>
    <w:p w14:paraId="32FC487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槽车装卸作业前，须将车辆接地，或使用除电剂、加湿等去除静电之装置，防止静电产生。同时做好卸货围蔽，卸货时严禁明火、拨打电话等带风险作业的情况发生，确保卸货过程安全。</w:t>
      </w:r>
    </w:p>
    <w:p w14:paraId="477B088E">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 双方于卸货前，须确认现场管线名称、数量、浓度、颜色标记、接头等是否正确，并确定接头已锁紧，逆止阀开关已开启。</w:t>
      </w:r>
    </w:p>
    <w:p w14:paraId="4B815C0E">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9.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须</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监督人员确认安全同意后，才可进行装卸作业。</w:t>
      </w:r>
    </w:p>
    <w:p w14:paraId="04DB8C0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10.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装卸作业所使用的软管及连接器具应具备耐腐蚀性、耐热性等。</w:t>
      </w:r>
    </w:p>
    <w:p w14:paraId="1AE37BD7">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11.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人员装卸作业时须佩戴防护眼镜、手套、防护衣等防护用具。</w:t>
      </w:r>
    </w:p>
    <w:p w14:paraId="08585C9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双方于装卸时，须全程注视装卸情况，并注意是否有异常事项，若有异常须立即停止装卸作业。</w:t>
      </w:r>
    </w:p>
    <w:p w14:paraId="4AF78AE4">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13.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装卸完成后，若有物料滴漏于地面，需用清水将物料清洗干净，并将灌装地点恢复原状，关闭所有电源。</w:t>
      </w:r>
    </w:p>
    <w:p w14:paraId="7B3BACC8">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装卸完成后，须将输送管线内残留之物料盛装入防滴漏桶，并自行带回处理。</w:t>
      </w:r>
    </w:p>
    <w:p w14:paraId="3BFAC194">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15.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送货车辆进厂后，禁止用随车水箱装卸水或洗手等，一经发现则以盗窃论处，按厂方安全卫生规定罚则之一般管理要求和相关条款处理。</w:t>
      </w:r>
    </w:p>
    <w:p w14:paraId="592C6FE9">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16.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槽车司机需确保车上管线已收托，经</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人员同意后，方能启动引擎离交货点。</w:t>
      </w:r>
    </w:p>
    <w:p w14:paraId="12F8AEBE">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17.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司机需经过适当教育培训，并了解紧急应变程序。</w:t>
      </w:r>
    </w:p>
    <w:p w14:paraId="02533C07">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18. </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人员应接受</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现场人员、交货点方物管、工安与保安人员之稽查与指导。</w:t>
      </w:r>
    </w:p>
    <w:p w14:paraId="05C8669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其它有关安全卫生规定悉依厂方《相关方安全</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lang w:eastAsia="zh-CN"/>
        </w:rPr>
        <w:t>办法》办理。</w:t>
      </w:r>
    </w:p>
    <w:p w14:paraId="1D25D184">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、其他要求</w:t>
      </w:r>
    </w:p>
    <w:p w14:paraId="46F12069">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供货期内，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需在生产现场提供装卸服务。</w:t>
      </w:r>
    </w:p>
    <w:p w14:paraId="5C246FF1">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供货期内，中标人应提供相关技术支持和服务。</w:t>
      </w:r>
    </w:p>
    <w:p w14:paraId="4238DB1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1）包含但不限于以下服务：</w:t>
      </w:r>
    </w:p>
    <w:p w14:paraId="25500312">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①安全服务：无条件配合</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安全管理工作及要求。应按市、区安监及公安消防部门及</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要求随车携带防护用品和消防器材。</w:t>
      </w:r>
    </w:p>
    <w:p w14:paraId="5E6E8EC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②技术支持：供货期内任何时间，当</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在使用现场发生药剂应急抢险情况，</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在接到甲方短信、传真或电话的抢险请求后半小时内必须通过短信、传真或电话提供技术指导。以上服务的人员、设备和管理费用已经包含在本合同结算价内；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需根据甲方需求，及时提供相关货品的技术支持（含咨询、技术交流等形式）。</w:t>
      </w:r>
    </w:p>
    <w:p w14:paraId="268F065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若</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不能提供令</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满意的以上技术服务，</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有权自行委托第三方提供服务，费用由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承担，并在货款中扣除。</w:t>
      </w:r>
    </w:p>
    <w:p w14:paraId="5BE8779D">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供货期内，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需根据</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需求，及时提供相关货品的技术支持（含咨询、技术交流等形式）。</w:t>
      </w:r>
    </w:p>
    <w:p w14:paraId="60A058DE">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质量保证期：自验收之日起一年。</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需配备具备相应供货及售后服务能力的技术人员，在接到质量问题通知后，应在4小时内自费派遣技术人员抵达现场进行处理。</w:t>
      </w:r>
    </w:p>
    <w:p w14:paraId="4721047E">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付款方式</w:t>
      </w:r>
    </w:p>
    <w:p w14:paraId="15331EC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所采购生产药剂按每吨计价，（生产药剂）单价按</w:t>
      </w:r>
      <w:r>
        <w:rPr>
          <w:rFonts w:hint="eastAsia" w:ascii="宋体" w:hAnsi="宋体" w:eastAsia="宋体" w:cs="宋体"/>
          <w:color w:val="auto"/>
          <w:sz w:val="24"/>
          <w:szCs w:val="24"/>
          <w:highlight w:val="none"/>
          <w:lang w:val="en-US" w:eastAsia="zh-CN"/>
        </w:rPr>
        <w:t>本项目中标单价的价格</w:t>
      </w:r>
      <w:r>
        <w:rPr>
          <w:rFonts w:hint="eastAsia" w:ascii="宋体" w:hAnsi="宋体" w:eastAsia="宋体" w:cs="宋体"/>
          <w:color w:val="auto"/>
          <w:sz w:val="24"/>
          <w:szCs w:val="24"/>
          <w:highlight w:val="none"/>
          <w:lang w:eastAsia="zh-CN"/>
        </w:rPr>
        <w:t>为准，该单价应包括：货物的生产前准备、采购、包装、装卸、运输、村级及以上道路通行、转运、保护、称量、与当地政府协调问题、环境、保险、相关税费、验收（含出厂及到货验收）、质量抽检、货物伴随服务（包括使用说明书、技术指导等）等完成上述项内容所发生的直接或间接的费用。乙方需对运输、批量供货和供货时间的不确定性或供货时间较长等相关的风险因素做充分的考虑。</w:t>
      </w:r>
    </w:p>
    <w:p w14:paraId="34B9A43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.本合同为单价包干合同，据实结算。</w:t>
      </w:r>
    </w:p>
    <w:p w14:paraId="0EF867A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结算方式：</w:t>
      </w:r>
      <w:r>
        <w:rPr>
          <w:rFonts w:hint="eastAsia" w:ascii="宋体" w:hAnsi="宋体" w:eastAsia="宋体" w:cs="宋体"/>
          <w:color w:val="auto"/>
          <w:sz w:val="24"/>
          <w:szCs w:val="24"/>
          <w:highlight w:val="none"/>
          <w:lang w:val="en-US" w:eastAsia="zh-CN"/>
        </w:rPr>
        <w:t>按月结算。招标人以银行转账方式或银行承兑汇票方式向中标人支付合同款项。</w:t>
      </w:r>
    </w:p>
    <w:p w14:paraId="197CAEC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4.招标人和中标人</w:t>
      </w:r>
      <w:r>
        <w:rPr>
          <w:rFonts w:hint="eastAsia" w:ascii="宋体" w:hAnsi="宋体" w:eastAsia="宋体" w:cs="宋体"/>
          <w:color w:val="auto"/>
          <w:sz w:val="24"/>
          <w:szCs w:val="24"/>
          <w:highlight w:val="none"/>
        </w:rPr>
        <w:t>双方以实际供货量按</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单价进行结算</w:t>
      </w:r>
      <w:r>
        <w:rPr>
          <w:rFonts w:hint="eastAsia" w:ascii="宋体" w:hAnsi="宋体" w:eastAsia="宋体" w:cs="宋体"/>
          <w:color w:val="auto"/>
          <w:sz w:val="24"/>
          <w:szCs w:val="24"/>
          <w:highlight w:val="none"/>
          <w:lang w:eastAsia="zh-CN"/>
        </w:rPr>
        <w:t>：</w:t>
      </w:r>
    </w:p>
    <w:p w14:paraId="2131661C">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（1）对于有标注重量的标准包装（如标准袋装、标准桶装等）的货物，招标人和中标人双方以现场点验数量为依据结算；</w:t>
      </w:r>
    </w:p>
    <w:p w14:paraId="0F2B2BE3">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（2）对于未标注重量的非标准包装的货物，招标人和中标人双方以招标人认可的称重数的实际净重量为依据结算；</w:t>
      </w:r>
    </w:p>
    <w:p w14:paraId="55D2BC1A">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（3）对于利用带泵槽罐车装卸的货物，招标人和中标人双方以招标人认可的地磅数的实际净重量为依据结算。</w:t>
      </w:r>
    </w:p>
    <w:p w14:paraId="04DA78F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每月经招标人对中标人所提供的货物验收合格后，以招标人和中标人双方签名确认的最终实际货物数量进行结算支付。中标人应在次月10日前将上月结算表以书面形式交付招标人确认，若招标人对结算内容有异议，应书面回复中标人。中标人根据招标人确认的结算金额开具增值税专用发票，招标人于收到等额有效的增值税专用发票后60天内进行付款。中标人可视供货情况经与招标人协商同意后对相应货款合并结算。</w:t>
      </w:r>
    </w:p>
    <w:p w14:paraId="65B4DF2E">
      <w:pPr>
        <w:rPr>
          <w:rFonts w:hint="eastAsia" w:ascii="宋体" w:hAnsi="宋体" w:cs="宋体"/>
          <w:highlight w:val="none"/>
        </w:rPr>
      </w:pPr>
      <w:r>
        <w:rPr>
          <w:rFonts w:hint="eastAsia" w:ascii="宋体" w:hAnsi="宋体" w:cs="宋体"/>
          <w:highlight w:val="none"/>
        </w:rPr>
        <w:br w:type="page"/>
      </w:r>
    </w:p>
    <w:p w14:paraId="5E3A3EB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eastAsia="zh-CN"/>
        </w:rPr>
        <w:t>2026-2028年葡萄糖、乙酸钠、乙二醇采购项目</w:t>
      </w:r>
      <w:r>
        <w:rPr>
          <w:rFonts w:hint="eastAsia" w:ascii="宋体" w:hAnsi="宋体" w:eastAsia="宋体" w:cs="宋体"/>
          <w:color w:val="auto"/>
          <w:sz w:val="24"/>
          <w:szCs w:val="24"/>
          <w:highlight w:val="none"/>
        </w:rPr>
        <w:t>需求用量表</w:t>
      </w:r>
    </w:p>
    <w:p w14:paraId="08E9C357">
      <w:pPr>
        <w:shd w:val="clear" w:color="auto" w:fill="auto"/>
        <w:tabs>
          <w:tab w:val="left" w:pos="687"/>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2026-2028年葡萄糖、乙酸钠、乙二醇采购项目</w:t>
      </w:r>
      <w:r>
        <w:rPr>
          <w:rFonts w:hint="eastAsia" w:ascii="宋体" w:hAnsi="宋体" w:cs="宋体"/>
          <w:color w:val="auto"/>
          <w:sz w:val="28"/>
          <w:szCs w:val="28"/>
          <w:highlight w:val="none"/>
        </w:rPr>
        <w:t>需求用量表</w:t>
      </w:r>
    </w:p>
    <w:tbl>
      <w:tblPr>
        <w:tblStyle w:val="31"/>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940"/>
        <w:gridCol w:w="1635"/>
        <w:gridCol w:w="2280"/>
      </w:tblGrid>
      <w:tr w14:paraId="3CBD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29" w:type="dxa"/>
            <w:noWrap w:val="0"/>
            <w:vAlign w:val="center"/>
          </w:tcPr>
          <w:p w14:paraId="72C45E80">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名称</w:t>
            </w:r>
          </w:p>
        </w:tc>
        <w:tc>
          <w:tcPr>
            <w:tcW w:w="2940" w:type="dxa"/>
            <w:noWrap w:val="0"/>
            <w:vAlign w:val="center"/>
          </w:tcPr>
          <w:p w14:paraId="649F6D58">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规格型号</w:t>
            </w:r>
          </w:p>
        </w:tc>
        <w:tc>
          <w:tcPr>
            <w:tcW w:w="1635" w:type="dxa"/>
            <w:noWrap w:val="0"/>
            <w:vAlign w:val="center"/>
          </w:tcPr>
          <w:p w14:paraId="2786F779">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单位</w:t>
            </w:r>
          </w:p>
        </w:tc>
        <w:tc>
          <w:tcPr>
            <w:tcW w:w="2280" w:type="dxa"/>
            <w:noWrap w:val="0"/>
            <w:vAlign w:val="center"/>
          </w:tcPr>
          <w:p w14:paraId="2265EE1D">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数量</w:t>
            </w:r>
          </w:p>
        </w:tc>
      </w:tr>
      <w:tr w14:paraId="13F7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29" w:type="dxa"/>
            <w:noWrap w:val="0"/>
            <w:vAlign w:val="center"/>
          </w:tcPr>
          <w:p w14:paraId="322C3730">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葡萄糖</w:t>
            </w:r>
          </w:p>
        </w:tc>
        <w:tc>
          <w:tcPr>
            <w:tcW w:w="2940" w:type="dxa"/>
            <w:noWrap w:val="0"/>
            <w:vAlign w:val="center"/>
          </w:tcPr>
          <w:p w14:paraId="7BCCCC14">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固态，含量≥99%</w:t>
            </w:r>
          </w:p>
        </w:tc>
        <w:tc>
          <w:tcPr>
            <w:tcW w:w="1635" w:type="dxa"/>
            <w:noWrap w:val="0"/>
            <w:vAlign w:val="center"/>
          </w:tcPr>
          <w:p w14:paraId="3534CA34">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吨</w:t>
            </w:r>
          </w:p>
        </w:tc>
        <w:tc>
          <w:tcPr>
            <w:tcW w:w="2280" w:type="dxa"/>
            <w:noWrap w:val="0"/>
            <w:vAlign w:val="center"/>
          </w:tcPr>
          <w:p w14:paraId="3E2A22F4">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900</w:t>
            </w:r>
          </w:p>
        </w:tc>
      </w:tr>
      <w:tr w14:paraId="6E40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29" w:type="dxa"/>
            <w:noWrap w:val="0"/>
            <w:vAlign w:val="center"/>
          </w:tcPr>
          <w:p w14:paraId="19270B6F">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乙酸钠</w:t>
            </w:r>
          </w:p>
        </w:tc>
        <w:tc>
          <w:tcPr>
            <w:tcW w:w="2940" w:type="dxa"/>
            <w:noWrap w:val="0"/>
            <w:vAlign w:val="center"/>
          </w:tcPr>
          <w:p w14:paraId="21DAE474">
            <w:pPr>
              <w:pStyle w:val="24"/>
              <w:jc w:val="center"/>
              <w:rPr>
                <w:rFonts w:hint="default" w:eastAsia="宋体"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固态，含量≥98%</w:t>
            </w:r>
          </w:p>
        </w:tc>
        <w:tc>
          <w:tcPr>
            <w:tcW w:w="1635" w:type="dxa"/>
            <w:noWrap w:val="0"/>
            <w:vAlign w:val="center"/>
          </w:tcPr>
          <w:p w14:paraId="6904A33F">
            <w:pPr>
              <w:pStyle w:val="24"/>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吨</w:t>
            </w:r>
          </w:p>
        </w:tc>
        <w:tc>
          <w:tcPr>
            <w:tcW w:w="2280" w:type="dxa"/>
            <w:noWrap w:val="0"/>
            <w:vAlign w:val="center"/>
          </w:tcPr>
          <w:p w14:paraId="78ADEC8C">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900</w:t>
            </w:r>
          </w:p>
        </w:tc>
      </w:tr>
      <w:tr w14:paraId="15F9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9" w:type="dxa"/>
            <w:noWrap w:val="0"/>
            <w:vAlign w:val="center"/>
          </w:tcPr>
          <w:p w14:paraId="62E4F8D5">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乙二醇</w:t>
            </w:r>
          </w:p>
        </w:tc>
        <w:tc>
          <w:tcPr>
            <w:tcW w:w="2940" w:type="dxa"/>
            <w:noWrap w:val="0"/>
            <w:vAlign w:val="center"/>
          </w:tcPr>
          <w:p w14:paraId="7E065832">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液态，含量≥99%</w:t>
            </w:r>
          </w:p>
        </w:tc>
        <w:tc>
          <w:tcPr>
            <w:tcW w:w="1635" w:type="dxa"/>
            <w:noWrap w:val="0"/>
            <w:vAlign w:val="center"/>
          </w:tcPr>
          <w:p w14:paraId="2BBB327D">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吨</w:t>
            </w:r>
          </w:p>
        </w:tc>
        <w:tc>
          <w:tcPr>
            <w:tcW w:w="2280" w:type="dxa"/>
            <w:noWrap w:val="0"/>
            <w:vAlign w:val="center"/>
          </w:tcPr>
          <w:p w14:paraId="734892C2">
            <w:pPr>
              <w:pStyle w:val="24"/>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1100</w:t>
            </w:r>
          </w:p>
        </w:tc>
      </w:tr>
    </w:tbl>
    <w:p w14:paraId="36802D76">
      <w:pPr>
        <w:shd w:val="clear" w:color="auto" w:fill="auto"/>
        <w:spacing w:line="360" w:lineRule="auto"/>
        <w:rPr>
          <w:rFonts w:hint="eastAsia" w:ascii="宋体" w:hAnsi="宋体" w:eastAsia="宋体" w:cs="宋体"/>
          <w:color w:val="auto"/>
          <w:sz w:val="24"/>
          <w:szCs w:val="24"/>
          <w:highlight w:val="none"/>
        </w:rPr>
      </w:pPr>
    </w:p>
    <w:p w14:paraId="101E3A25">
      <w:pPr>
        <w:shd w:val="clear" w:color="auto" w:fill="auto"/>
        <w:spacing w:line="360" w:lineRule="auto"/>
        <w:rPr>
          <w:rFonts w:hint="eastAsia" w:ascii="宋体" w:hAnsi="宋体" w:eastAsia="宋体" w:cs="宋体"/>
          <w:color w:val="auto"/>
          <w:sz w:val="24"/>
          <w:szCs w:val="24"/>
          <w:highlight w:val="none"/>
        </w:rPr>
      </w:pPr>
    </w:p>
    <w:p w14:paraId="3B523C67">
      <w:pPr>
        <w:shd w:val="clear" w:color="auto" w:fill="auto"/>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附件2:样品抽样记录表</w:t>
      </w:r>
    </w:p>
    <w:p w14:paraId="1C084D6B">
      <w:pPr>
        <w:pStyle w:val="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样品抽样记录表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1526"/>
        <w:gridCol w:w="4363"/>
      </w:tblGrid>
      <w:tr w14:paraId="54BA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0536C4E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3454" w:type="pct"/>
            <w:gridSpan w:val="2"/>
            <w:noWrap w:val="0"/>
            <w:vAlign w:val="center"/>
          </w:tcPr>
          <w:p w14:paraId="1A0EF76E">
            <w:pPr>
              <w:shd w:val="clear" w:color="auto" w:fill="auto"/>
              <w:spacing w:line="360" w:lineRule="auto"/>
              <w:jc w:val="center"/>
              <w:rPr>
                <w:rFonts w:hint="eastAsia" w:ascii="宋体" w:hAnsi="宋体" w:eastAsia="宋体" w:cs="宋体"/>
                <w:color w:val="auto"/>
                <w:sz w:val="24"/>
                <w:szCs w:val="24"/>
                <w:highlight w:val="none"/>
              </w:rPr>
            </w:pPr>
          </w:p>
        </w:tc>
      </w:tr>
      <w:tr w14:paraId="1341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08CF2D3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药剂名称</w:t>
            </w:r>
          </w:p>
        </w:tc>
        <w:tc>
          <w:tcPr>
            <w:tcW w:w="3454" w:type="pct"/>
            <w:gridSpan w:val="2"/>
            <w:noWrap w:val="0"/>
            <w:vAlign w:val="center"/>
          </w:tcPr>
          <w:p w14:paraId="54B64305">
            <w:pPr>
              <w:shd w:val="clear" w:color="auto" w:fill="auto"/>
              <w:spacing w:line="360" w:lineRule="auto"/>
              <w:jc w:val="center"/>
              <w:rPr>
                <w:rFonts w:hint="eastAsia" w:ascii="宋体" w:hAnsi="宋体" w:eastAsia="宋体" w:cs="宋体"/>
                <w:color w:val="auto"/>
                <w:sz w:val="24"/>
                <w:szCs w:val="24"/>
                <w:highlight w:val="none"/>
              </w:rPr>
            </w:pPr>
          </w:p>
        </w:tc>
      </w:tr>
      <w:tr w14:paraId="7AA5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12E2B67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抽样地点</w:t>
            </w:r>
          </w:p>
        </w:tc>
        <w:tc>
          <w:tcPr>
            <w:tcW w:w="3454" w:type="pct"/>
            <w:gridSpan w:val="2"/>
            <w:noWrap w:val="0"/>
            <w:vAlign w:val="center"/>
          </w:tcPr>
          <w:p w14:paraId="2563855D">
            <w:pPr>
              <w:shd w:val="clear" w:color="auto" w:fill="auto"/>
              <w:spacing w:line="360" w:lineRule="auto"/>
              <w:jc w:val="center"/>
              <w:rPr>
                <w:rFonts w:hint="eastAsia" w:ascii="宋体" w:hAnsi="宋体" w:eastAsia="宋体" w:cs="宋体"/>
                <w:color w:val="auto"/>
                <w:sz w:val="24"/>
                <w:szCs w:val="24"/>
                <w:highlight w:val="none"/>
              </w:rPr>
            </w:pPr>
          </w:p>
        </w:tc>
      </w:tr>
      <w:tr w14:paraId="4001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5EC32B0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样品批次</w:t>
            </w:r>
          </w:p>
        </w:tc>
        <w:tc>
          <w:tcPr>
            <w:tcW w:w="3454" w:type="pct"/>
            <w:gridSpan w:val="2"/>
            <w:noWrap w:val="0"/>
            <w:vAlign w:val="center"/>
          </w:tcPr>
          <w:p w14:paraId="4FDC3627">
            <w:pPr>
              <w:shd w:val="clear" w:color="auto" w:fill="auto"/>
              <w:spacing w:line="360" w:lineRule="auto"/>
              <w:jc w:val="center"/>
              <w:rPr>
                <w:rFonts w:hint="eastAsia" w:ascii="宋体" w:hAnsi="宋体" w:eastAsia="宋体" w:cs="宋体"/>
                <w:color w:val="auto"/>
                <w:sz w:val="24"/>
                <w:szCs w:val="24"/>
                <w:highlight w:val="none"/>
              </w:rPr>
            </w:pPr>
          </w:p>
        </w:tc>
      </w:tr>
      <w:tr w14:paraId="68BE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30E493C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样品数量</w:t>
            </w:r>
          </w:p>
        </w:tc>
        <w:tc>
          <w:tcPr>
            <w:tcW w:w="3454" w:type="pct"/>
            <w:gridSpan w:val="2"/>
            <w:noWrap w:val="0"/>
            <w:vAlign w:val="center"/>
          </w:tcPr>
          <w:p w14:paraId="45F8DDBE">
            <w:pPr>
              <w:shd w:val="clear" w:color="auto" w:fill="auto"/>
              <w:spacing w:line="360" w:lineRule="auto"/>
              <w:jc w:val="center"/>
              <w:rPr>
                <w:rFonts w:hint="eastAsia" w:ascii="宋体" w:hAnsi="宋体" w:eastAsia="宋体" w:cs="宋体"/>
                <w:color w:val="auto"/>
                <w:sz w:val="24"/>
                <w:szCs w:val="24"/>
                <w:highlight w:val="none"/>
              </w:rPr>
            </w:pPr>
          </w:p>
        </w:tc>
      </w:tr>
      <w:tr w14:paraId="57AF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064396D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取样日期</w:t>
            </w:r>
          </w:p>
        </w:tc>
        <w:tc>
          <w:tcPr>
            <w:tcW w:w="3454" w:type="pct"/>
            <w:gridSpan w:val="2"/>
            <w:noWrap w:val="0"/>
            <w:vAlign w:val="center"/>
          </w:tcPr>
          <w:p w14:paraId="7D185ECC">
            <w:pPr>
              <w:shd w:val="clear" w:color="auto" w:fill="auto"/>
              <w:spacing w:line="360" w:lineRule="auto"/>
              <w:jc w:val="center"/>
              <w:rPr>
                <w:rFonts w:hint="eastAsia" w:ascii="宋体" w:hAnsi="宋体" w:eastAsia="宋体" w:cs="宋体"/>
                <w:color w:val="auto"/>
                <w:sz w:val="24"/>
                <w:szCs w:val="24"/>
                <w:highlight w:val="none"/>
              </w:rPr>
            </w:pPr>
          </w:p>
        </w:tc>
      </w:tr>
      <w:tr w14:paraId="5B41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noWrap w:val="0"/>
            <w:vAlign w:val="center"/>
          </w:tcPr>
          <w:p w14:paraId="4A2FDA2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过程记录</w:t>
            </w:r>
          </w:p>
        </w:tc>
        <w:tc>
          <w:tcPr>
            <w:tcW w:w="3454" w:type="pct"/>
            <w:gridSpan w:val="2"/>
            <w:noWrap w:val="0"/>
            <w:vAlign w:val="center"/>
          </w:tcPr>
          <w:p w14:paraId="74FA69A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拍照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摄像</w:t>
            </w:r>
          </w:p>
        </w:tc>
      </w:tr>
      <w:tr w14:paraId="534F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2440" w:type="pct"/>
            <w:gridSpan w:val="2"/>
            <w:noWrap w:val="0"/>
            <w:vAlign w:val="top"/>
          </w:tcPr>
          <w:p w14:paraId="40CCB5B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供应商（乙方）</w:t>
            </w:r>
            <w:r>
              <w:rPr>
                <w:rFonts w:hint="eastAsia" w:ascii="宋体" w:hAnsi="宋体" w:eastAsia="宋体" w:cs="宋体"/>
                <w:color w:val="auto"/>
                <w:sz w:val="24"/>
                <w:szCs w:val="24"/>
                <w:highlight w:val="none"/>
              </w:rPr>
              <w:t>工作人员（签名）：</w:t>
            </w:r>
          </w:p>
          <w:p w14:paraId="5317B73B">
            <w:pPr>
              <w:shd w:val="clear" w:color="auto" w:fill="auto"/>
              <w:spacing w:line="360" w:lineRule="auto"/>
              <w:jc w:val="center"/>
              <w:rPr>
                <w:rFonts w:hint="eastAsia" w:ascii="宋体" w:hAnsi="宋体" w:eastAsia="宋体" w:cs="宋体"/>
                <w:color w:val="auto"/>
                <w:sz w:val="24"/>
                <w:szCs w:val="24"/>
                <w:highlight w:val="none"/>
              </w:rPr>
            </w:pPr>
          </w:p>
          <w:p w14:paraId="3E427B2E">
            <w:pPr>
              <w:shd w:val="clear" w:color="auto" w:fill="auto"/>
              <w:spacing w:line="360" w:lineRule="auto"/>
              <w:jc w:val="center"/>
              <w:rPr>
                <w:rFonts w:hint="eastAsia" w:ascii="宋体" w:hAnsi="宋体" w:eastAsia="宋体" w:cs="宋体"/>
                <w:color w:val="auto"/>
                <w:sz w:val="24"/>
                <w:szCs w:val="24"/>
                <w:highlight w:val="none"/>
              </w:rPr>
            </w:pPr>
          </w:p>
          <w:p w14:paraId="08B2A16D">
            <w:pPr>
              <w:shd w:val="clear" w:color="auto" w:fill="auto"/>
              <w:spacing w:line="360" w:lineRule="auto"/>
              <w:jc w:val="center"/>
              <w:rPr>
                <w:rFonts w:hint="eastAsia" w:ascii="宋体" w:hAnsi="宋体" w:eastAsia="宋体" w:cs="宋体"/>
                <w:color w:val="auto"/>
                <w:sz w:val="24"/>
                <w:szCs w:val="24"/>
                <w:highlight w:val="none"/>
              </w:rPr>
            </w:pPr>
          </w:p>
          <w:p w14:paraId="4A77D73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2626BCE1">
            <w:pPr>
              <w:shd w:val="clear" w:color="auto" w:fill="auto"/>
              <w:spacing w:line="360" w:lineRule="auto"/>
              <w:jc w:val="center"/>
              <w:rPr>
                <w:rFonts w:hint="eastAsia" w:ascii="宋体" w:hAnsi="宋体" w:eastAsia="宋体" w:cs="宋体"/>
                <w:color w:val="auto"/>
                <w:sz w:val="24"/>
                <w:szCs w:val="24"/>
                <w:highlight w:val="none"/>
              </w:rPr>
            </w:pPr>
          </w:p>
          <w:p w14:paraId="2F9B83B2">
            <w:pPr>
              <w:shd w:val="clear" w:color="auto" w:fill="auto"/>
              <w:spacing w:line="360" w:lineRule="auto"/>
              <w:jc w:val="center"/>
              <w:rPr>
                <w:rFonts w:hint="eastAsia" w:ascii="宋体" w:hAnsi="宋体" w:eastAsia="宋体" w:cs="宋体"/>
                <w:color w:val="auto"/>
                <w:sz w:val="24"/>
                <w:szCs w:val="24"/>
                <w:highlight w:val="none"/>
              </w:rPr>
            </w:pPr>
          </w:p>
          <w:p w14:paraId="56BECCCB">
            <w:pPr>
              <w:shd w:val="clear" w:color="auto" w:fill="auto"/>
              <w:spacing w:line="360" w:lineRule="auto"/>
              <w:jc w:val="center"/>
              <w:rPr>
                <w:rFonts w:hint="eastAsia" w:ascii="宋体" w:hAnsi="宋体" w:eastAsia="宋体" w:cs="宋体"/>
                <w:color w:val="auto"/>
                <w:sz w:val="24"/>
                <w:szCs w:val="24"/>
                <w:highlight w:val="none"/>
              </w:rPr>
            </w:pPr>
          </w:p>
          <w:p w14:paraId="1B6EE424">
            <w:pPr>
              <w:shd w:val="clear" w:color="auto" w:fill="auto"/>
              <w:spacing w:line="360" w:lineRule="auto"/>
              <w:jc w:val="center"/>
              <w:rPr>
                <w:rFonts w:hint="eastAsia" w:ascii="宋体" w:hAnsi="宋体" w:eastAsia="宋体" w:cs="宋体"/>
                <w:color w:val="auto"/>
                <w:sz w:val="24"/>
                <w:szCs w:val="24"/>
                <w:highlight w:val="none"/>
              </w:rPr>
            </w:pPr>
          </w:p>
          <w:p w14:paraId="7B297ED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c>
          <w:tcPr>
            <w:tcW w:w="2559" w:type="pct"/>
            <w:noWrap w:val="0"/>
            <w:vAlign w:val="top"/>
          </w:tcPr>
          <w:p w14:paraId="06394EF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采购人（甲方）</w:t>
            </w:r>
            <w:r>
              <w:rPr>
                <w:rFonts w:hint="eastAsia" w:ascii="宋体" w:hAnsi="宋体" w:eastAsia="宋体" w:cs="宋体"/>
                <w:color w:val="auto"/>
                <w:sz w:val="24"/>
                <w:szCs w:val="24"/>
                <w:highlight w:val="none"/>
              </w:rPr>
              <w:t>工作人员（签名）：</w:t>
            </w:r>
          </w:p>
          <w:p w14:paraId="6A23AF3E">
            <w:pPr>
              <w:shd w:val="clear" w:color="auto" w:fill="auto"/>
              <w:spacing w:line="360" w:lineRule="auto"/>
              <w:jc w:val="center"/>
              <w:rPr>
                <w:rFonts w:hint="eastAsia" w:ascii="宋体" w:hAnsi="宋体" w:eastAsia="宋体" w:cs="宋体"/>
                <w:color w:val="auto"/>
                <w:sz w:val="24"/>
                <w:szCs w:val="24"/>
                <w:highlight w:val="none"/>
              </w:rPr>
            </w:pPr>
          </w:p>
          <w:p w14:paraId="031229DE">
            <w:pPr>
              <w:shd w:val="clear" w:color="auto" w:fill="auto"/>
              <w:spacing w:line="360" w:lineRule="auto"/>
              <w:jc w:val="center"/>
              <w:rPr>
                <w:rFonts w:hint="eastAsia" w:ascii="宋体" w:hAnsi="宋体" w:eastAsia="宋体" w:cs="宋体"/>
                <w:color w:val="auto"/>
                <w:sz w:val="24"/>
                <w:szCs w:val="24"/>
                <w:highlight w:val="none"/>
              </w:rPr>
            </w:pPr>
          </w:p>
          <w:p w14:paraId="6CD5A427">
            <w:pPr>
              <w:shd w:val="clear" w:color="auto" w:fill="auto"/>
              <w:spacing w:line="360" w:lineRule="auto"/>
              <w:jc w:val="center"/>
              <w:rPr>
                <w:rFonts w:hint="eastAsia" w:ascii="宋体" w:hAnsi="宋体" w:eastAsia="宋体" w:cs="宋体"/>
                <w:color w:val="auto"/>
                <w:sz w:val="24"/>
                <w:szCs w:val="24"/>
                <w:highlight w:val="none"/>
              </w:rPr>
            </w:pPr>
          </w:p>
          <w:p w14:paraId="70AF413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1ACAA2D6">
            <w:pPr>
              <w:shd w:val="clear" w:color="auto" w:fill="auto"/>
              <w:spacing w:line="360" w:lineRule="auto"/>
              <w:jc w:val="center"/>
              <w:rPr>
                <w:rFonts w:hint="eastAsia" w:ascii="宋体" w:hAnsi="宋体" w:eastAsia="宋体" w:cs="宋体"/>
                <w:color w:val="auto"/>
                <w:sz w:val="24"/>
                <w:szCs w:val="24"/>
                <w:highlight w:val="none"/>
              </w:rPr>
            </w:pPr>
          </w:p>
          <w:p w14:paraId="3FBB2680">
            <w:pPr>
              <w:shd w:val="clear" w:color="auto" w:fill="auto"/>
              <w:spacing w:line="360" w:lineRule="auto"/>
              <w:jc w:val="center"/>
              <w:rPr>
                <w:rFonts w:hint="eastAsia" w:ascii="宋体" w:hAnsi="宋体" w:eastAsia="宋体" w:cs="宋体"/>
                <w:color w:val="auto"/>
                <w:sz w:val="24"/>
                <w:szCs w:val="24"/>
                <w:highlight w:val="none"/>
              </w:rPr>
            </w:pPr>
          </w:p>
          <w:p w14:paraId="2E33AE07">
            <w:pPr>
              <w:shd w:val="clear" w:color="auto" w:fill="auto"/>
              <w:spacing w:line="360" w:lineRule="auto"/>
              <w:jc w:val="center"/>
              <w:rPr>
                <w:rFonts w:hint="eastAsia" w:ascii="宋体" w:hAnsi="宋体" w:eastAsia="宋体" w:cs="宋体"/>
                <w:color w:val="auto"/>
                <w:sz w:val="24"/>
                <w:szCs w:val="24"/>
                <w:highlight w:val="none"/>
              </w:rPr>
            </w:pPr>
          </w:p>
          <w:p w14:paraId="420A30AA">
            <w:pPr>
              <w:shd w:val="clear" w:color="auto" w:fill="auto"/>
              <w:spacing w:line="360" w:lineRule="auto"/>
              <w:jc w:val="center"/>
              <w:rPr>
                <w:rFonts w:hint="eastAsia" w:ascii="宋体" w:hAnsi="宋体" w:eastAsia="宋体" w:cs="宋体"/>
                <w:color w:val="auto"/>
                <w:sz w:val="24"/>
                <w:szCs w:val="24"/>
                <w:highlight w:val="none"/>
              </w:rPr>
            </w:pPr>
          </w:p>
          <w:p w14:paraId="42C7F500">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bl>
    <w:p w14:paraId="55CC2973">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59CF5FC">
      <w:pPr>
        <w:pStyle w:val="3"/>
        <w:shd w:val="clear" w:color="auto" w:fill="auto"/>
        <w:jc w:val="center"/>
        <w:rPr>
          <w:color w:val="auto"/>
          <w:highlight w:val="none"/>
        </w:rPr>
      </w:pPr>
      <w:bookmarkStart w:id="385" w:name="_Toc21184"/>
      <w:r>
        <w:rPr>
          <w:color w:val="auto"/>
          <w:highlight w:val="none"/>
        </w:rPr>
        <w:t>第六章投标文件格式</w:t>
      </w:r>
      <w:bookmarkEnd w:id="378"/>
      <w:bookmarkEnd w:id="385"/>
    </w:p>
    <w:p w14:paraId="29C06AE5">
      <w:pPr>
        <w:shd w:val="clear" w:color="auto" w:fill="auto"/>
        <w:spacing w:line="400" w:lineRule="exact"/>
        <w:rPr>
          <w:rFonts w:ascii="Times New Roman" w:hAnsi="Times New Roman"/>
          <w:color w:val="auto"/>
          <w:highlight w:val="none"/>
        </w:rPr>
      </w:pPr>
    </w:p>
    <w:p w14:paraId="4EE90176">
      <w:pPr>
        <w:shd w:val="clear" w:color="auto" w:fill="auto"/>
        <w:spacing w:line="400" w:lineRule="exact"/>
        <w:rPr>
          <w:rFonts w:ascii="Times New Roman" w:hAnsi="Times New Roman"/>
          <w:color w:val="auto"/>
          <w:highlight w:val="none"/>
        </w:rPr>
      </w:pPr>
    </w:p>
    <w:p w14:paraId="0F97A7CA">
      <w:pPr>
        <w:shd w:val="clear" w:color="auto" w:fill="auto"/>
        <w:spacing w:line="400" w:lineRule="exact"/>
        <w:rPr>
          <w:rFonts w:ascii="Times New Roman" w:hAnsi="Times New Roman"/>
          <w:color w:val="auto"/>
          <w:highlight w:val="none"/>
        </w:rPr>
      </w:pPr>
    </w:p>
    <w:p w14:paraId="6BA94D28">
      <w:pPr>
        <w:shd w:val="clear" w:color="auto" w:fill="auto"/>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招标</w:t>
      </w:r>
      <w:r>
        <w:rPr>
          <w:rFonts w:ascii="Times New Roman" w:hAnsi="Times New Roman" w:eastAsia="黑体"/>
          <w:color w:val="auto"/>
          <w:sz w:val="28"/>
          <w:szCs w:val="28"/>
          <w:highlight w:val="none"/>
        </w:rPr>
        <w:t>项目名称）</w:t>
      </w:r>
    </w:p>
    <w:p w14:paraId="311E4D4F">
      <w:pPr>
        <w:shd w:val="clear" w:color="auto" w:fill="auto"/>
        <w:rPr>
          <w:rFonts w:ascii="Times New Roman" w:hAnsi="Times New Roman" w:eastAsia="黑体"/>
          <w:color w:val="auto"/>
          <w:sz w:val="20"/>
          <w:highlight w:val="none"/>
        </w:rPr>
      </w:pPr>
    </w:p>
    <w:p w14:paraId="7D4857B9">
      <w:pPr>
        <w:shd w:val="clear" w:color="auto" w:fill="auto"/>
        <w:rPr>
          <w:rFonts w:ascii="Times New Roman" w:hAnsi="Times New Roman" w:eastAsia="黑体"/>
          <w:color w:val="auto"/>
          <w:sz w:val="20"/>
          <w:highlight w:val="none"/>
        </w:rPr>
      </w:pPr>
    </w:p>
    <w:p w14:paraId="0B097E75">
      <w:pPr>
        <w:shd w:val="clear" w:color="auto" w:fill="auto"/>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14:paraId="1EE5B57E">
      <w:pPr>
        <w:shd w:val="clear" w:color="auto" w:fill="auto"/>
        <w:jc w:val="center"/>
        <w:rPr>
          <w:rFonts w:ascii="Times New Roman" w:hAnsi="Times New Roman" w:eastAsia="黑体"/>
          <w:color w:val="auto"/>
          <w:sz w:val="44"/>
          <w:highlight w:val="none"/>
        </w:rPr>
      </w:pPr>
    </w:p>
    <w:p w14:paraId="40FE25A3">
      <w:pPr>
        <w:shd w:val="clear" w:color="auto" w:fill="auto"/>
        <w:rPr>
          <w:rFonts w:ascii="Times New Roman" w:hAnsi="Times New Roman" w:eastAsia="黑体"/>
          <w:color w:val="auto"/>
          <w:sz w:val="28"/>
          <w:highlight w:val="none"/>
        </w:rPr>
      </w:pPr>
    </w:p>
    <w:p w14:paraId="24965E49">
      <w:pPr>
        <w:shd w:val="clear" w:color="auto" w:fill="auto"/>
        <w:rPr>
          <w:rFonts w:ascii="Times New Roman" w:hAnsi="Times New Roman" w:eastAsia="黑体"/>
          <w:color w:val="auto"/>
          <w:sz w:val="28"/>
          <w:highlight w:val="none"/>
        </w:rPr>
      </w:pPr>
    </w:p>
    <w:p w14:paraId="5EA65321">
      <w:pPr>
        <w:shd w:val="clear" w:color="auto" w:fill="auto"/>
        <w:rPr>
          <w:rFonts w:ascii="Times New Roman" w:hAnsi="Times New Roman" w:eastAsia="黑体"/>
          <w:color w:val="auto"/>
          <w:sz w:val="28"/>
          <w:highlight w:val="none"/>
        </w:rPr>
      </w:pPr>
    </w:p>
    <w:p w14:paraId="2313CD4F">
      <w:pPr>
        <w:shd w:val="clear" w:color="auto" w:fill="auto"/>
        <w:rPr>
          <w:rFonts w:ascii="Times New Roman" w:hAnsi="Times New Roman" w:eastAsia="黑体"/>
          <w:color w:val="auto"/>
          <w:sz w:val="28"/>
          <w:highlight w:val="none"/>
        </w:rPr>
      </w:pPr>
    </w:p>
    <w:p w14:paraId="45CB0332">
      <w:pPr>
        <w:shd w:val="clear" w:color="auto" w:fill="auto"/>
        <w:rPr>
          <w:rFonts w:ascii="Times New Roman" w:hAnsi="Times New Roman" w:eastAsia="黑体"/>
          <w:color w:val="auto"/>
          <w:sz w:val="28"/>
          <w:highlight w:val="none"/>
        </w:rPr>
      </w:pPr>
    </w:p>
    <w:p w14:paraId="5EF33CBF">
      <w:pPr>
        <w:shd w:val="clear" w:color="auto" w:fill="auto"/>
        <w:rPr>
          <w:rFonts w:ascii="Times New Roman" w:hAnsi="Times New Roman" w:eastAsia="黑体"/>
          <w:color w:val="auto"/>
          <w:sz w:val="28"/>
          <w:highlight w:val="none"/>
        </w:rPr>
      </w:pPr>
    </w:p>
    <w:p w14:paraId="50DFF615">
      <w:pPr>
        <w:shd w:val="clear" w:color="auto" w:fill="auto"/>
        <w:rPr>
          <w:rFonts w:ascii="Times New Roman" w:hAnsi="Times New Roman" w:eastAsia="黑体"/>
          <w:color w:val="auto"/>
          <w:sz w:val="28"/>
          <w:highlight w:val="none"/>
        </w:rPr>
      </w:pPr>
    </w:p>
    <w:p w14:paraId="5CA93893">
      <w:pPr>
        <w:shd w:val="clear" w:color="auto" w:fill="auto"/>
        <w:rPr>
          <w:rFonts w:ascii="Times New Roman" w:hAnsi="Times New Roman" w:eastAsia="黑体"/>
          <w:color w:val="auto"/>
          <w:sz w:val="28"/>
          <w:highlight w:val="none"/>
        </w:rPr>
      </w:pPr>
    </w:p>
    <w:p w14:paraId="1CC63252">
      <w:pPr>
        <w:shd w:val="clear" w:color="auto" w:fill="auto"/>
        <w:rPr>
          <w:rFonts w:ascii="Times New Roman" w:hAnsi="Times New Roman" w:eastAsia="黑体"/>
          <w:color w:val="auto"/>
          <w:sz w:val="28"/>
          <w:highlight w:val="none"/>
        </w:rPr>
      </w:pPr>
    </w:p>
    <w:p w14:paraId="39202F65">
      <w:pPr>
        <w:shd w:val="clear" w:color="auto" w:fill="auto"/>
        <w:rPr>
          <w:rFonts w:ascii="Times New Roman" w:hAnsi="Times New Roman" w:eastAsia="黑体"/>
          <w:color w:val="auto"/>
          <w:sz w:val="28"/>
          <w:highlight w:val="none"/>
        </w:rPr>
      </w:pPr>
    </w:p>
    <w:p w14:paraId="1CF50D5E">
      <w:pPr>
        <w:shd w:val="clear" w:color="auto" w:fill="auto"/>
        <w:rPr>
          <w:rFonts w:ascii="Times New Roman" w:hAnsi="Times New Roman" w:eastAsia="黑体"/>
          <w:color w:val="auto"/>
          <w:sz w:val="28"/>
          <w:highlight w:val="none"/>
        </w:rPr>
      </w:pPr>
    </w:p>
    <w:p w14:paraId="17CC4A50">
      <w:pPr>
        <w:shd w:val="clear" w:color="auto" w:fill="auto"/>
        <w:rPr>
          <w:rFonts w:ascii="Times New Roman" w:hAnsi="Times New Roman" w:eastAsia="黑体"/>
          <w:color w:val="auto"/>
          <w:sz w:val="28"/>
          <w:highlight w:val="none"/>
        </w:rPr>
      </w:pPr>
    </w:p>
    <w:p w14:paraId="1E58C030">
      <w:pPr>
        <w:shd w:val="clear" w:color="auto" w:fill="auto"/>
        <w:rPr>
          <w:rFonts w:ascii="Times New Roman" w:hAnsi="Times New Roman" w:eastAsia="黑体"/>
          <w:color w:val="auto"/>
          <w:sz w:val="28"/>
          <w:highlight w:val="none"/>
        </w:rPr>
      </w:pPr>
    </w:p>
    <w:p w14:paraId="01386735">
      <w:pPr>
        <w:shd w:val="clear" w:color="auto" w:fill="auto"/>
        <w:rPr>
          <w:rFonts w:ascii="Times New Roman" w:hAnsi="Times New Roman" w:eastAsia="黑体"/>
          <w:color w:val="auto"/>
          <w:sz w:val="28"/>
          <w:highlight w:val="none"/>
        </w:rPr>
      </w:pPr>
    </w:p>
    <w:p w14:paraId="702B9297">
      <w:pPr>
        <w:shd w:val="clear" w:color="auto" w:fill="auto"/>
        <w:rPr>
          <w:rFonts w:ascii="Times New Roman" w:hAnsi="Times New Roman" w:eastAsia="黑体"/>
          <w:color w:val="auto"/>
          <w:sz w:val="28"/>
          <w:highlight w:val="none"/>
        </w:rPr>
      </w:pPr>
    </w:p>
    <w:p w14:paraId="30354CD9">
      <w:pPr>
        <w:shd w:val="clear" w:color="auto" w:fill="auto"/>
        <w:rPr>
          <w:rFonts w:ascii="Times New Roman" w:hAnsi="Times New Roman" w:eastAsia="黑体"/>
          <w:color w:val="auto"/>
          <w:sz w:val="28"/>
          <w:highlight w:val="none"/>
        </w:rPr>
      </w:pPr>
    </w:p>
    <w:p w14:paraId="28F5B8FA">
      <w:pPr>
        <w:shd w:val="clear" w:color="auto" w:fill="auto"/>
        <w:rPr>
          <w:rFonts w:ascii="Times New Roman" w:hAnsi="Times New Roman" w:eastAsia="黑体"/>
          <w:color w:val="auto"/>
          <w:sz w:val="28"/>
          <w:highlight w:val="none"/>
        </w:rPr>
      </w:pPr>
    </w:p>
    <w:p w14:paraId="21C10FDF">
      <w:pPr>
        <w:shd w:val="clear" w:color="auto" w:fill="auto"/>
        <w:rPr>
          <w:rFonts w:ascii="Times New Roman" w:hAnsi="Times New Roman" w:eastAsia="黑体"/>
          <w:color w:val="auto"/>
          <w:sz w:val="28"/>
          <w:highlight w:val="none"/>
        </w:rPr>
      </w:pPr>
    </w:p>
    <w:p w14:paraId="4722754A">
      <w:pPr>
        <w:shd w:val="clear" w:color="auto" w:fill="auto"/>
        <w:rPr>
          <w:rFonts w:ascii="Times New Roman" w:hAnsi="Times New Roman" w:eastAsia="黑体"/>
          <w:color w:val="auto"/>
          <w:sz w:val="28"/>
          <w:highlight w:val="none"/>
        </w:rPr>
      </w:pPr>
    </w:p>
    <w:p w14:paraId="21BFAE81">
      <w:pPr>
        <w:shd w:val="clear" w:color="auto" w:fill="auto"/>
        <w:rPr>
          <w:rFonts w:ascii="Times New Roman" w:hAnsi="Times New Roman" w:eastAsia="黑体"/>
          <w:color w:val="auto"/>
          <w:sz w:val="28"/>
          <w:highlight w:val="none"/>
        </w:rPr>
      </w:pPr>
    </w:p>
    <w:p w14:paraId="010642D1">
      <w:pPr>
        <w:shd w:val="clear" w:color="auto" w:fill="auto"/>
        <w:spacing w:line="360" w:lineRule="auto"/>
        <w:rPr>
          <w:rFonts w:ascii="Times New Roman" w:hAnsi="Times New Roman" w:eastAsia="黑体"/>
          <w:color w:val="auto"/>
          <w:sz w:val="28"/>
          <w:highlight w:val="none"/>
        </w:rPr>
      </w:pPr>
    </w:p>
    <w:p w14:paraId="177657A5">
      <w:pPr>
        <w:shd w:val="clear" w:color="auto" w:fill="auto"/>
        <w:spacing w:line="360" w:lineRule="auto"/>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14:paraId="3EBB656B">
      <w:pPr>
        <w:shd w:val="clear" w:color="auto" w:fill="auto"/>
        <w:spacing w:line="360" w:lineRule="auto"/>
        <w:jc w:val="left"/>
        <w:rPr>
          <w:rFonts w:ascii="Times New Roman" w:hAnsi="Times New Roman" w:eastAsia="黑体"/>
          <w:color w:val="auto"/>
          <w:sz w:val="28"/>
          <w:highlight w:val="none"/>
        </w:rPr>
      </w:pPr>
      <w:r>
        <w:rPr>
          <w:rFonts w:ascii="Times New Roman" w:hAnsi="Times New Roman" w:eastAsia="黑体"/>
          <w:color w:val="auto"/>
          <w:sz w:val="28"/>
          <w:highlight w:val="none"/>
        </w:rPr>
        <w:t>法定代表人（单位负责人）或其委托代理人：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（签字</w:t>
      </w:r>
      <w:r>
        <w:rPr>
          <w:rFonts w:hint="eastAsia" w:ascii="Times New Roman" w:hAnsi="Times New Roman" w:eastAsia="黑体"/>
          <w:color w:val="auto"/>
          <w:sz w:val="28"/>
          <w:highlight w:val="none"/>
        </w:rPr>
        <w:t>或盖章</w:t>
      </w:r>
      <w:r>
        <w:rPr>
          <w:rFonts w:ascii="Times New Roman" w:hAnsi="Times New Roman" w:eastAsia="黑体"/>
          <w:color w:val="auto"/>
          <w:sz w:val="28"/>
          <w:highlight w:val="none"/>
        </w:rPr>
        <w:t>）</w:t>
      </w:r>
    </w:p>
    <w:p w14:paraId="3B8755C1">
      <w:pPr>
        <w:shd w:val="clear" w:color="auto" w:fill="auto"/>
        <w:jc w:val="center"/>
        <w:rPr>
          <w:rFonts w:ascii="Times New Roman" w:hAnsi="Times New Roman" w:eastAsia="黑体"/>
          <w:color w:val="auto"/>
          <w:sz w:val="28"/>
          <w:highlight w:val="none"/>
        </w:rPr>
      </w:pPr>
    </w:p>
    <w:p w14:paraId="2C323FAD">
      <w:pPr>
        <w:shd w:val="clear" w:color="auto" w:fill="auto"/>
        <w:spacing w:line="400" w:lineRule="exact"/>
        <w:jc w:val="center"/>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r>
        <w:rPr>
          <w:rFonts w:ascii="Times New Roman" w:hAnsi="Times New Roman"/>
          <w:color w:val="auto"/>
          <w:highlight w:val="none"/>
        </w:rPr>
        <w:br w:type="page"/>
      </w:r>
    </w:p>
    <w:p w14:paraId="4CA041F7">
      <w:pPr>
        <w:pStyle w:val="4"/>
        <w:shd w:val="clear" w:color="auto" w:fill="auto"/>
        <w:jc w:val="center"/>
        <w:rPr>
          <w:rFonts w:ascii="Times New Roman" w:hAnsi="Times New Roman"/>
          <w:color w:val="auto"/>
          <w:highlight w:val="none"/>
        </w:rPr>
      </w:pPr>
      <w:bookmarkStart w:id="386" w:name="_Toc68765133"/>
      <w:bookmarkStart w:id="387" w:name="_Toc491883230"/>
      <w:r>
        <w:rPr>
          <w:rFonts w:ascii="Times New Roman" w:hAnsi="Times New Roman"/>
          <w:color w:val="auto"/>
          <w:highlight w:val="none"/>
        </w:rPr>
        <w:t>目录</w:t>
      </w:r>
      <w:bookmarkEnd w:id="386"/>
      <w:bookmarkEnd w:id="387"/>
    </w:p>
    <w:p w14:paraId="35FE23AF">
      <w:pPr>
        <w:shd w:val="clear" w:color="auto" w:fill="auto"/>
        <w:spacing w:line="540" w:lineRule="exact"/>
        <w:rPr>
          <w:rFonts w:ascii="Times New Roman" w:hAnsi="Times New Roman"/>
          <w:color w:val="auto"/>
          <w:highlight w:val="none"/>
        </w:rPr>
      </w:pPr>
      <w:r>
        <w:rPr>
          <w:rFonts w:ascii="Times New Roman" w:hAnsi="Times New Roman"/>
          <w:color w:val="auto"/>
          <w:highlight w:val="none"/>
        </w:rPr>
        <w:t>一、投标函</w:t>
      </w:r>
    </w:p>
    <w:p w14:paraId="622FC75D">
      <w:pPr>
        <w:shd w:val="clear" w:color="auto" w:fill="auto"/>
        <w:spacing w:line="540" w:lineRule="exact"/>
        <w:rPr>
          <w:rFonts w:ascii="Times New Roman" w:hAnsi="Times New Roman"/>
          <w:color w:val="auto"/>
          <w:highlight w:val="none"/>
        </w:rPr>
      </w:pPr>
      <w:r>
        <w:rPr>
          <w:rFonts w:ascii="Times New Roman" w:hAnsi="Times New Roman"/>
          <w:color w:val="auto"/>
          <w:highlight w:val="none"/>
        </w:rPr>
        <w:t>二、法定代表人（单位负责人）身份证明（适用于无委托代理人的情况）</w:t>
      </w:r>
    </w:p>
    <w:p w14:paraId="1E651C18">
      <w:pPr>
        <w:shd w:val="clear" w:color="auto" w:fill="auto"/>
        <w:spacing w:line="540" w:lineRule="exact"/>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、授权委托书（适用于有委托代理人的情况）</w:t>
      </w:r>
    </w:p>
    <w:p w14:paraId="4A2E36C3">
      <w:pPr>
        <w:shd w:val="clear" w:color="auto" w:fill="auto"/>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w:t>
      </w:r>
      <w:r>
        <w:rPr>
          <w:rFonts w:hint="eastAsia" w:ascii="宋体" w:hAnsi="宋体" w:cs="宋体"/>
          <w:bCs/>
          <w:color w:val="auto"/>
          <w:szCs w:val="21"/>
          <w:highlight w:val="none"/>
        </w:rPr>
        <w:t>技术要求</w:t>
      </w:r>
      <w:r>
        <w:rPr>
          <w:rFonts w:ascii="Times New Roman" w:hAnsi="Times New Roman"/>
          <w:bCs/>
          <w:color w:val="auto"/>
          <w:highlight w:val="none"/>
        </w:rPr>
        <w:t>表</w:t>
      </w:r>
    </w:p>
    <w:p w14:paraId="11D828AD">
      <w:pPr>
        <w:shd w:val="clear" w:color="auto" w:fill="auto"/>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color w:val="auto"/>
          <w:highlight w:val="none"/>
        </w:rPr>
        <w:t>投标</w:t>
      </w:r>
      <w:r>
        <w:rPr>
          <w:rFonts w:ascii="Times New Roman" w:hAnsi="Times New Roman"/>
          <w:color w:val="auto"/>
          <w:highlight w:val="none"/>
        </w:rPr>
        <w:t>报价表</w:t>
      </w:r>
    </w:p>
    <w:p w14:paraId="2520AA2D">
      <w:pPr>
        <w:shd w:val="clear" w:color="auto" w:fill="auto"/>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p>
    <w:p w14:paraId="7E419F21">
      <w:pPr>
        <w:shd w:val="clear" w:color="auto" w:fill="auto"/>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w:t>
      </w:r>
      <w:r>
        <w:rPr>
          <w:rFonts w:hint="eastAsia" w:ascii="Times New Roman" w:hAnsi="Times New Roman"/>
          <w:color w:val="auto"/>
          <w:highlight w:val="none"/>
        </w:rPr>
        <w:t>方案</w:t>
      </w:r>
    </w:p>
    <w:p w14:paraId="699F158D">
      <w:pPr>
        <w:shd w:val="clear" w:color="auto" w:fill="auto"/>
        <w:spacing w:line="540" w:lineRule="exact"/>
        <w:rPr>
          <w:rFonts w:ascii="Times New Roman" w:hAnsi="Times New Roman"/>
          <w:color w:val="auto"/>
          <w:highlight w:val="none"/>
        </w:rPr>
      </w:pPr>
      <w:bookmarkStart w:id="388" w:name="_Toc369531691"/>
      <w:bookmarkStart w:id="389" w:name="_Toc7039"/>
      <w:bookmarkStart w:id="390" w:name="_Toc352691655"/>
      <w:r>
        <w:rPr>
          <w:rFonts w:hint="eastAsia" w:ascii="Times New Roman" w:hAnsi="Times New Roman"/>
          <w:color w:val="auto"/>
          <w:highlight w:val="none"/>
          <w:lang w:val="en-US" w:eastAsia="zh-CN"/>
        </w:rPr>
        <w:t>八</w:t>
      </w:r>
      <w:r>
        <w:rPr>
          <w:rFonts w:ascii="Times New Roman" w:hAnsi="Times New Roman"/>
          <w:color w:val="auto"/>
          <w:highlight w:val="none"/>
        </w:rPr>
        <w:t>、其他资料</w:t>
      </w:r>
    </w:p>
    <w:p w14:paraId="407D31BC">
      <w:pPr>
        <w:shd w:val="clear" w:color="auto" w:fill="auto"/>
        <w:spacing w:line="540" w:lineRule="exact"/>
        <w:rPr>
          <w:rFonts w:ascii="Times New Roman" w:hAnsi="Times New Roman" w:eastAsia="黑体"/>
          <w:color w:val="auto"/>
          <w:sz w:val="20"/>
          <w:highlight w:val="none"/>
        </w:rPr>
      </w:pPr>
      <w:r>
        <w:rPr>
          <w:rFonts w:ascii="Times New Roman" w:hAnsi="Times New Roman"/>
          <w:color w:val="auto"/>
          <w:highlight w:val="none"/>
        </w:rPr>
        <w:br w:type="page"/>
      </w:r>
    </w:p>
    <w:bookmarkEnd w:id="388"/>
    <w:bookmarkEnd w:id="389"/>
    <w:bookmarkEnd w:id="390"/>
    <w:p w14:paraId="53C927C3">
      <w:pPr>
        <w:pStyle w:val="4"/>
        <w:shd w:val="clear" w:color="auto" w:fill="auto"/>
        <w:jc w:val="center"/>
        <w:rPr>
          <w:rFonts w:ascii="Times New Roman" w:hAnsi="Times New Roman"/>
          <w:color w:val="auto"/>
          <w:highlight w:val="none"/>
        </w:rPr>
      </w:pPr>
      <w:bookmarkStart w:id="391" w:name="_Toc68765134"/>
      <w:bookmarkStart w:id="392" w:name="_Toc491883231"/>
      <w:r>
        <w:rPr>
          <w:rFonts w:ascii="Times New Roman" w:hAnsi="Times New Roman"/>
          <w:color w:val="auto"/>
          <w:highlight w:val="none"/>
        </w:rPr>
        <w:t>一、投标</w:t>
      </w:r>
      <w:bookmarkStart w:id="393" w:name="_Toc369531692"/>
      <w:bookmarkStart w:id="394" w:name="_Toc6931"/>
      <w:bookmarkStart w:id="395" w:name="_Toc352691656"/>
      <w:r>
        <w:rPr>
          <w:rFonts w:ascii="Times New Roman" w:hAnsi="Times New Roman"/>
          <w:color w:val="auto"/>
          <w:highlight w:val="none"/>
        </w:rPr>
        <w:t>函</w:t>
      </w:r>
      <w:bookmarkEnd w:id="391"/>
      <w:bookmarkEnd w:id="392"/>
    </w:p>
    <w:bookmarkEnd w:id="368"/>
    <w:bookmarkEnd w:id="369"/>
    <w:bookmarkEnd w:id="370"/>
    <w:bookmarkEnd w:id="371"/>
    <w:bookmarkEnd w:id="372"/>
    <w:bookmarkEnd w:id="373"/>
    <w:bookmarkEnd w:id="374"/>
    <w:bookmarkEnd w:id="375"/>
    <w:bookmarkEnd w:id="376"/>
    <w:bookmarkEnd w:id="393"/>
    <w:bookmarkEnd w:id="394"/>
    <w:bookmarkEnd w:id="395"/>
    <w:p w14:paraId="42A89C38">
      <w:pPr>
        <w:shd w:val="clear" w:color="auto" w:fill="auto"/>
        <w:spacing w:line="340" w:lineRule="exact"/>
        <w:rPr>
          <w:rFonts w:ascii="宋体" w:hAnsi="宋体" w:eastAsia="宋体"/>
          <w:color w:val="auto"/>
          <w:szCs w:val="21"/>
          <w:highlight w:val="none"/>
        </w:rPr>
      </w:pPr>
      <w:r>
        <w:rPr>
          <w:rFonts w:ascii="宋体" w:hAnsi="宋体" w:eastAsia="宋体"/>
          <w:color w:val="auto"/>
          <w:highlight w:val="none"/>
          <w:u w:val="single"/>
        </w:rPr>
        <w:t xml:space="preserve">                  </w:t>
      </w:r>
      <w:r>
        <w:rPr>
          <w:rFonts w:ascii="宋体" w:hAnsi="宋体" w:eastAsia="宋体"/>
          <w:color w:val="auto"/>
          <w:szCs w:val="21"/>
          <w:highlight w:val="none"/>
        </w:rPr>
        <w:t>（招标人名称）：</w:t>
      </w:r>
    </w:p>
    <w:p w14:paraId="1B7DE2D8">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1．我方已仔细研究了</w:t>
      </w:r>
      <w:r>
        <w:rPr>
          <w:rFonts w:ascii="宋体" w:hAnsi="宋体" w:eastAsia="宋体"/>
          <w:color w:val="auto"/>
          <w:highlight w:val="none"/>
          <w:u w:val="single"/>
        </w:rPr>
        <w:t xml:space="preserve">                  </w:t>
      </w:r>
      <w:r>
        <w:rPr>
          <w:rFonts w:ascii="宋体" w:hAnsi="宋体" w:eastAsia="宋体"/>
          <w:color w:val="auto"/>
          <w:highlight w:val="none"/>
        </w:rPr>
        <w:t>（</w:t>
      </w:r>
      <w:r>
        <w:rPr>
          <w:rFonts w:hint="eastAsia" w:ascii="宋体" w:hAnsi="宋体" w:eastAsia="宋体"/>
          <w:color w:val="auto"/>
          <w:highlight w:val="none"/>
        </w:rPr>
        <w:t>招标</w:t>
      </w:r>
      <w:r>
        <w:rPr>
          <w:rFonts w:ascii="宋体" w:hAnsi="宋体" w:eastAsia="宋体"/>
          <w:color w:val="auto"/>
          <w:highlight w:val="none"/>
        </w:rPr>
        <w:t>项目名称）</w:t>
      </w:r>
      <w:r>
        <w:rPr>
          <w:rFonts w:ascii="宋体" w:hAnsi="宋体" w:eastAsia="宋体"/>
          <w:color w:val="auto"/>
          <w:szCs w:val="21"/>
          <w:highlight w:val="none"/>
        </w:rPr>
        <w:t>招标文件的全部内容，愿意以人民币（大写）</w:t>
      </w:r>
      <w:r>
        <w:rPr>
          <w:rFonts w:ascii="宋体" w:hAnsi="宋体" w:eastAsia="宋体"/>
          <w:color w:val="auto"/>
          <w:highlight w:val="none"/>
          <w:u w:val="single"/>
        </w:rPr>
        <w:t xml:space="preserve">               </w:t>
      </w:r>
      <w:r>
        <w:rPr>
          <w:rFonts w:ascii="宋体" w:hAnsi="宋体" w:eastAsia="宋体"/>
          <w:color w:val="auto"/>
          <w:szCs w:val="21"/>
          <w:highlight w:val="none"/>
        </w:rPr>
        <w:t>（¥</w:t>
      </w:r>
      <w:r>
        <w:rPr>
          <w:rFonts w:ascii="宋体" w:hAnsi="宋体" w:eastAsia="宋体"/>
          <w:color w:val="auto"/>
          <w:highlight w:val="none"/>
          <w:u w:val="single"/>
        </w:rPr>
        <w:t xml:space="preserve">               </w:t>
      </w:r>
      <w:r>
        <w:rPr>
          <w:rFonts w:ascii="宋体" w:hAnsi="宋体" w:eastAsia="宋体"/>
          <w:color w:val="auto"/>
          <w:szCs w:val="21"/>
          <w:highlight w:val="none"/>
        </w:rPr>
        <w:t>）的投标总报价（其中，增值税税率为</w:t>
      </w:r>
      <w:r>
        <w:rPr>
          <w:rFonts w:ascii="宋体" w:hAnsi="宋体" w:eastAsia="宋体"/>
          <w:color w:val="auto"/>
          <w:sz w:val="28"/>
          <w:highlight w:val="none"/>
          <w:u w:val="single"/>
        </w:rPr>
        <w:t xml:space="preserve">         </w:t>
      </w:r>
      <w:r>
        <w:rPr>
          <w:rFonts w:ascii="宋体" w:hAnsi="宋体" w:eastAsia="宋体"/>
          <w:color w:val="auto"/>
          <w:sz w:val="28"/>
          <w:highlight w:val="none"/>
        </w:rPr>
        <w:t>）</w:t>
      </w:r>
      <w:r>
        <w:rPr>
          <w:rFonts w:hint="eastAsia" w:ascii="宋体" w:hAnsi="宋体" w:eastAsia="宋体"/>
          <w:color w:val="auto"/>
          <w:szCs w:val="21"/>
          <w:highlight w:val="none"/>
        </w:rPr>
        <w:t>承担本项目招标文件全部的发包内容</w:t>
      </w:r>
      <w:r>
        <w:rPr>
          <w:rFonts w:ascii="宋体" w:hAnsi="宋体" w:eastAsia="宋体"/>
          <w:color w:val="auto"/>
          <w:szCs w:val="21"/>
          <w:highlight w:val="none"/>
        </w:rPr>
        <w:t>，并按合同约定履行义务。</w:t>
      </w:r>
    </w:p>
    <w:p w14:paraId="28C59000">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2. 我方的投标文件包括下列内容：</w:t>
      </w:r>
    </w:p>
    <w:p w14:paraId="312DBE64">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（1）投标函；</w:t>
      </w:r>
    </w:p>
    <w:p w14:paraId="6BA973A2">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（2）法定代表人（单位负责人）身份证明或授权委托书；</w:t>
      </w:r>
    </w:p>
    <w:p w14:paraId="32B812B4">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（3）联合体协议书（如有）；</w:t>
      </w:r>
    </w:p>
    <w:p w14:paraId="3687739C">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4</w:t>
      </w:r>
      <w:r>
        <w:rPr>
          <w:rFonts w:ascii="宋体" w:hAnsi="宋体" w:eastAsia="宋体"/>
          <w:color w:val="auto"/>
          <w:highlight w:val="none"/>
        </w:rPr>
        <w:t>）</w:t>
      </w:r>
      <w:r>
        <w:rPr>
          <w:rFonts w:hint="eastAsia" w:ascii="宋体" w:hAnsi="宋体" w:eastAsia="宋体" w:cs="宋体"/>
          <w:color w:val="auto"/>
          <w:szCs w:val="21"/>
          <w:highlight w:val="none"/>
        </w:rPr>
        <w:t>技术要求表</w:t>
      </w:r>
      <w:r>
        <w:rPr>
          <w:rFonts w:ascii="宋体" w:hAnsi="宋体" w:eastAsia="宋体"/>
          <w:color w:val="auto"/>
          <w:highlight w:val="none"/>
        </w:rPr>
        <w:t>；</w:t>
      </w:r>
    </w:p>
    <w:p w14:paraId="4F87B410">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5</w:t>
      </w:r>
      <w:r>
        <w:rPr>
          <w:rFonts w:ascii="宋体" w:hAnsi="宋体" w:eastAsia="宋体"/>
          <w:color w:val="auto"/>
          <w:highlight w:val="none"/>
        </w:rPr>
        <w:t>）</w:t>
      </w:r>
      <w:r>
        <w:rPr>
          <w:rFonts w:hint="eastAsia" w:ascii="宋体" w:hAnsi="宋体" w:eastAsia="宋体"/>
          <w:color w:val="auto"/>
          <w:highlight w:val="none"/>
        </w:rPr>
        <w:t>投标</w:t>
      </w:r>
      <w:r>
        <w:rPr>
          <w:rFonts w:ascii="宋体" w:hAnsi="宋体" w:eastAsia="宋体"/>
          <w:color w:val="auto"/>
          <w:highlight w:val="none"/>
        </w:rPr>
        <w:t>报价表；</w:t>
      </w:r>
    </w:p>
    <w:p w14:paraId="6601E4D8">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6</w:t>
      </w:r>
      <w:r>
        <w:rPr>
          <w:rFonts w:ascii="宋体" w:hAnsi="宋体" w:eastAsia="宋体"/>
          <w:color w:val="auto"/>
          <w:highlight w:val="none"/>
        </w:rPr>
        <w:t>）资格审查资料；</w:t>
      </w:r>
    </w:p>
    <w:p w14:paraId="63180C76">
      <w:pPr>
        <w:shd w:val="clear" w:color="auto" w:fill="auto"/>
        <w:spacing w:line="340" w:lineRule="exact"/>
        <w:ind w:firstLine="420" w:firstLineChars="200"/>
        <w:rPr>
          <w:rFonts w:ascii="宋体" w:hAnsi="宋体" w:eastAsia="宋体"/>
          <w:color w:val="auto"/>
          <w:highlight w:val="none"/>
        </w:rPr>
      </w:pPr>
      <w:r>
        <w:rPr>
          <w:rFonts w:hint="eastAsia" w:ascii="宋体" w:hAnsi="宋体" w:eastAsia="宋体"/>
          <w:color w:val="auto"/>
          <w:highlight w:val="none"/>
        </w:rPr>
        <w:t>（7）方案；</w:t>
      </w:r>
    </w:p>
    <w:p w14:paraId="2D7E1A7B">
      <w:pPr>
        <w:shd w:val="clear" w:color="auto" w:fill="auto"/>
        <w:spacing w:line="340" w:lineRule="exact"/>
        <w:ind w:firstLine="420" w:firstLineChars="200"/>
        <w:rPr>
          <w:rFonts w:ascii="宋体" w:hAnsi="宋体" w:eastAsia="宋体"/>
          <w:color w:val="auto"/>
          <w:highlight w:val="none"/>
        </w:rPr>
      </w:pPr>
      <w:r>
        <w:rPr>
          <w:rFonts w:hint="eastAsia" w:ascii="宋体" w:hAnsi="宋体" w:eastAsia="宋体"/>
          <w:color w:val="auto"/>
          <w:highlight w:val="none"/>
        </w:rPr>
        <w:t>（8）满足项目评审的</w:t>
      </w:r>
      <w:r>
        <w:rPr>
          <w:rFonts w:ascii="宋体" w:hAnsi="宋体" w:eastAsia="宋体"/>
          <w:color w:val="auto"/>
          <w:highlight w:val="none"/>
        </w:rPr>
        <w:t>其他资料</w:t>
      </w:r>
    </w:p>
    <w:p w14:paraId="62D6AC64">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投标文件的上述组成部分如存在内容不一致的，以投标函为准。</w:t>
      </w:r>
    </w:p>
    <w:p w14:paraId="6A6012AD">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3．我方承诺除</w:t>
      </w:r>
      <w:r>
        <w:rPr>
          <w:rFonts w:hint="eastAsia" w:ascii="宋体" w:hAnsi="宋体" w:eastAsia="宋体"/>
          <w:color w:val="auto"/>
          <w:szCs w:val="21"/>
          <w:highlight w:val="none"/>
        </w:rPr>
        <w:t>技术要求表</w:t>
      </w:r>
      <w:r>
        <w:rPr>
          <w:rFonts w:ascii="宋体" w:hAnsi="宋体" w:eastAsia="宋体"/>
          <w:color w:val="auto"/>
          <w:szCs w:val="21"/>
          <w:highlight w:val="none"/>
        </w:rPr>
        <w:t>列出的偏差外，我方响应招标文件的全部要求。</w:t>
      </w:r>
    </w:p>
    <w:p w14:paraId="4EF3FE40">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4．我方承诺在招标文件规定的投标有效期内不撤销投标文件。</w:t>
      </w:r>
    </w:p>
    <w:p w14:paraId="33D3B53A">
      <w:pPr>
        <w:shd w:val="clear" w:color="auto" w:fill="auto"/>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5．如我方中标，我方承诺：</w:t>
      </w:r>
    </w:p>
    <w:p w14:paraId="5D2C3606">
      <w:pPr>
        <w:shd w:val="clear" w:color="auto" w:fill="auto"/>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（1）在收到中标通知书后，在中标通知书规定的期限内与你方签订合同；</w:t>
      </w:r>
    </w:p>
    <w:p w14:paraId="2B5CCF63">
      <w:pPr>
        <w:shd w:val="clear" w:color="auto" w:fill="auto"/>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（2）在签订合同时不向你方提出附加条件；</w:t>
      </w:r>
    </w:p>
    <w:p w14:paraId="63C8774B">
      <w:pPr>
        <w:shd w:val="clear" w:color="auto" w:fill="auto"/>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（3）按照招标文件要求提交履约保证金；</w:t>
      </w:r>
      <w:bookmarkStart w:id="396" w:name="_Toc369531694"/>
      <w:bookmarkStart w:id="397" w:name="_Toc1187"/>
      <w:bookmarkStart w:id="398" w:name="_Toc352691658"/>
    </w:p>
    <w:p w14:paraId="6F6EC9F5">
      <w:pPr>
        <w:shd w:val="clear" w:color="auto" w:fill="auto"/>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（4）在合</w:t>
      </w:r>
      <w:bookmarkEnd w:id="396"/>
      <w:bookmarkEnd w:id="397"/>
      <w:bookmarkEnd w:id="398"/>
      <w:r>
        <w:rPr>
          <w:rFonts w:ascii="宋体" w:hAnsi="宋体" w:eastAsia="宋体"/>
          <w:color w:val="auto"/>
          <w:szCs w:val="21"/>
          <w:highlight w:val="none"/>
        </w:rPr>
        <w:t>同约定的期限内完成合同规定的全部义务。</w:t>
      </w:r>
    </w:p>
    <w:p w14:paraId="42D5889F">
      <w:pPr>
        <w:shd w:val="clear" w:color="auto" w:fill="auto"/>
        <w:spacing w:line="340" w:lineRule="exact"/>
        <w:ind w:firstLine="420" w:firstLineChars="200"/>
        <w:rPr>
          <w:rFonts w:ascii="宋体" w:hAnsi="宋体" w:eastAsia="宋体"/>
          <w:color w:val="auto"/>
          <w:highlight w:val="none"/>
        </w:rPr>
      </w:pPr>
      <w:r>
        <w:rPr>
          <w:rFonts w:ascii="宋体" w:hAnsi="宋体" w:eastAsia="宋体"/>
          <w:color w:val="auto"/>
          <w:szCs w:val="21"/>
          <w:highlight w:val="none"/>
        </w:rPr>
        <w:t>6．</w:t>
      </w:r>
      <w:r>
        <w:rPr>
          <w:rFonts w:ascii="宋体" w:hAnsi="宋体" w:eastAsia="宋体"/>
          <w:color w:val="auto"/>
          <w:highlight w:val="none"/>
        </w:rPr>
        <w:t>我方在此声明，所递交的投标文件及有关资料内容完整、真实和准确，且不存在第二章“投标人须知”第1.4.3项规定的任何一种情形。</w:t>
      </w:r>
    </w:p>
    <w:p w14:paraId="662F63AA">
      <w:pPr>
        <w:pStyle w:val="29"/>
        <w:shd w:val="clear" w:color="auto" w:fill="auto"/>
        <w:spacing w:after="0" w:line="340" w:lineRule="exact"/>
        <w:ind w:firstLineChars="200"/>
        <w:rPr>
          <w:rFonts w:ascii="宋体" w:hAnsi="宋体" w:eastAsia="宋体"/>
          <w:color w:val="auto"/>
          <w:highlight w:val="none"/>
        </w:rPr>
      </w:pPr>
      <w:r>
        <w:rPr>
          <w:rFonts w:hint="eastAsia" w:ascii="宋体" w:hAnsi="宋体" w:eastAsia="宋体"/>
          <w:color w:val="auto"/>
          <w:highlight w:val="none"/>
        </w:rPr>
        <w:t>7.如我方中标，我方承诺我方将按招标文件要求及投标承诺完成供货、安装及相关服务，我司承诺交货期为</w:t>
      </w:r>
      <w:r>
        <w:rPr>
          <w:rFonts w:hint="eastAsia" w:ascii="宋体" w:hAnsi="宋体" w:eastAsia="宋体"/>
          <w:color w:val="auto"/>
          <w:highlight w:val="none"/>
          <w:u w:val="single"/>
        </w:rPr>
        <w:t xml:space="preserve">            </w:t>
      </w:r>
      <w:r>
        <w:rPr>
          <w:rFonts w:hint="eastAsia" w:ascii="宋体" w:hAnsi="宋体" w:eastAsia="宋体"/>
          <w:color w:val="auto"/>
          <w:highlight w:val="none"/>
        </w:rPr>
        <w:t>，交货地点为</w:t>
      </w:r>
      <w:r>
        <w:rPr>
          <w:rFonts w:hint="eastAsia" w:ascii="宋体" w:hAnsi="宋体" w:eastAsia="宋体"/>
          <w:color w:val="auto"/>
          <w:highlight w:val="none"/>
          <w:u w:val="single"/>
        </w:rPr>
        <w:t xml:space="preserve">（按招标文件约定） </w:t>
      </w:r>
      <w:r>
        <w:rPr>
          <w:rFonts w:hint="eastAsia" w:ascii="宋体" w:hAnsi="宋体" w:eastAsia="宋体"/>
          <w:color w:val="auto"/>
          <w:highlight w:val="none"/>
        </w:rPr>
        <w:t xml:space="preserve"> </w:t>
      </w:r>
    </w:p>
    <w:p w14:paraId="618D8A80">
      <w:pPr>
        <w:pStyle w:val="29"/>
        <w:shd w:val="clear" w:color="auto" w:fill="auto"/>
        <w:spacing w:after="0" w:line="340" w:lineRule="exact"/>
        <w:ind w:firstLineChars="200"/>
        <w:rPr>
          <w:rFonts w:ascii="宋体" w:hAnsi="宋体" w:eastAsia="宋体"/>
          <w:color w:val="auto"/>
          <w:szCs w:val="21"/>
          <w:highlight w:val="none"/>
        </w:rPr>
      </w:pPr>
      <w:r>
        <w:rPr>
          <w:rFonts w:hint="eastAsia" w:ascii="宋体" w:hAnsi="宋体" w:eastAsia="宋体"/>
          <w:color w:val="auto"/>
          <w:szCs w:val="21"/>
          <w:highlight w:val="none"/>
        </w:rPr>
        <w:t>8</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rPr>
        <w:t>（其他补充说明）。</w:t>
      </w:r>
    </w:p>
    <w:p w14:paraId="635A0779">
      <w:pPr>
        <w:shd w:val="clear" w:color="auto" w:fill="auto"/>
        <w:spacing w:line="340" w:lineRule="exact"/>
        <w:ind w:firstLine="420" w:firstLineChars="200"/>
        <w:rPr>
          <w:rFonts w:ascii="宋体" w:hAnsi="宋体" w:eastAsia="宋体"/>
          <w:color w:val="auto"/>
          <w:szCs w:val="21"/>
          <w:highlight w:val="none"/>
        </w:rPr>
      </w:pPr>
    </w:p>
    <w:p w14:paraId="4DED3016">
      <w:pPr>
        <w:shd w:val="clear" w:color="auto" w:fill="auto"/>
        <w:spacing w:line="340" w:lineRule="exact"/>
        <w:ind w:firstLine="1995" w:firstLineChars="950"/>
        <w:jc w:val="left"/>
        <w:rPr>
          <w:rFonts w:ascii="宋体" w:hAnsi="宋体" w:eastAsia="宋体"/>
          <w:color w:val="auto"/>
          <w:szCs w:val="21"/>
          <w:highlight w:val="none"/>
        </w:rPr>
      </w:pPr>
      <w:bookmarkStart w:id="399" w:name="_Toc352691659"/>
      <w:bookmarkEnd w:id="399"/>
      <w:bookmarkStart w:id="400" w:name="_Toc369531695"/>
      <w:bookmarkEnd w:id="400"/>
      <w:bookmarkStart w:id="401" w:name="_Toc369531696"/>
      <w:bookmarkEnd w:id="401"/>
      <w:bookmarkStart w:id="402" w:name="_Toc16568"/>
      <w:bookmarkEnd w:id="402"/>
      <w:bookmarkStart w:id="403" w:name="_Toc16824"/>
      <w:bookmarkEnd w:id="403"/>
      <w:bookmarkStart w:id="404" w:name="_Toc352691660"/>
      <w:bookmarkEnd w:id="404"/>
      <w:r>
        <w:rPr>
          <w:rFonts w:ascii="宋体" w:hAnsi="宋体" w:eastAsia="宋体"/>
          <w:color w:val="auto"/>
          <w:szCs w:val="21"/>
          <w:highlight w:val="none"/>
        </w:rPr>
        <w:t>投 标 人：</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rPr>
        <w:t>（盖单位章）</w:t>
      </w:r>
    </w:p>
    <w:p w14:paraId="216C709A">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highlight w:val="none"/>
        </w:rPr>
        <w:t>法定代表人（单位负责人）</w:t>
      </w:r>
      <w:r>
        <w:rPr>
          <w:rFonts w:ascii="宋体" w:hAnsi="宋体" w:eastAsia="宋体"/>
          <w:color w:val="auto"/>
          <w:szCs w:val="21"/>
          <w:highlight w:val="none"/>
        </w:rPr>
        <w:t>或其委托代理人：</w:t>
      </w:r>
      <w:r>
        <w:rPr>
          <w:rFonts w:ascii="宋体" w:hAnsi="宋体" w:eastAsia="宋体"/>
          <w:color w:val="auto"/>
          <w:szCs w:val="21"/>
          <w:highlight w:val="none"/>
          <w:u w:val="single"/>
        </w:rPr>
        <w:t xml:space="preserve">       </w:t>
      </w:r>
      <w:r>
        <w:rPr>
          <w:rFonts w:ascii="宋体" w:hAnsi="宋体" w:eastAsia="宋体"/>
          <w:color w:val="auto"/>
          <w:szCs w:val="21"/>
          <w:highlight w:val="none"/>
        </w:rPr>
        <w:t>（签字</w:t>
      </w:r>
      <w:r>
        <w:rPr>
          <w:rFonts w:hint="eastAsia" w:ascii="宋体" w:hAnsi="宋体" w:eastAsia="宋体"/>
          <w:color w:val="auto"/>
          <w:szCs w:val="21"/>
          <w:highlight w:val="none"/>
        </w:rPr>
        <w:t>或盖章</w:t>
      </w:r>
      <w:r>
        <w:rPr>
          <w:rFonts w:ascii="宋体" w:hAnsi="宋体" w:eastAsia="宋体"/>
          <w:color w:val="auto"/>
          <w:szCs w:val="21"/>
          <w:highlight w:val="none"/>
        </w:rPr>
        <w:t>）</w:t>
      </w:r>
    </w:p>
    <w:p w14:paraId="24237236">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地    址：</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p>
    <w:p w14:paraId="1C3FEA2C">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网    址：</w:t>
      </w:r>
      <w:r>
        <w:rPr>
          <w:rFonts w:ascii="宋体" w:hAnsi="宋体" w:eastAsia="宋体"/>
          <w:color w:val="auto"/>
          <w:szCs w:val="21"/>
          <w:highlight w:val="none"/>
          <w:u w:val="single"/>
        </w:rPr>
        <w:t xml:space="preserve">                                           </w:t>
      </w:r>
    </w:p>
    <w:p w14:paraId="48DD0085">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电    话：</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4D1C02D7">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传    真：</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41054536">
      <w:pPr>
        <w:shd w:val="clear" w:color="auto" w:fill="auto"/>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邮政编码：</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67C7CB48">
      <w:pPr>
        <w:shd w:val="clear" w:color="auto" w:fill="auto"/>
        <w:spacing w:line="340" w:lineRule="exact"/>
        <w:ind w:firstLine="4725" w:firstLineChars="2250"/>
        <w:jc w:val="right"/>
        <w:rPr>
          <w:rFonts w:ascii="Times New Roman" w:hAnsi="Times New Roman"/>
          <w:color w:val="auto"/>
          <w:szCs w:val="21"/>
          <w:highlight w:val="none"/>
        </w:rPr>
      </w:pPr>
      <w:r>
        <w:rPr>
          <w:rFonts w:ascii="宋体" w:hAnsi="宋体" w:eastAsia="宋体"/>
          <w:color w:val="auto"/>
          <w:highlight w:val="none"/>
          <w:u w:val="single"/>
        </w:rPr>
        <w:t xml:space="preserve">      </w:t>
      </w:r>
      <w:r>
        <w:rPr>
          <w:rFonts w:ascii="宋体" w:hAnsi="宋体" w:eastAsia="宋体"/>
          <w:color w:val="auto"/>
          <w:szCs w:val="21"/>
          <w:highlight w:val="none"/>
        </w:rPr>
        <w:t>年</w:t>
      </w:r>
      <w:r>
        <w:rPr>
          <w:rFonts w:ascii="宋体" w:hAnsi="宋体" w:eastAsia="宋体"/>
          <w:color w:val="auto"/>
          <w:highlight w:val="none"/>
          <w:u w:val="single"/>
        </w:rPr>
        <w:t xml:space="preserve">      </w:t>
      </w:r>
      <w:r>
        <w:rPr>
          <w:rFonts w:ascii="宋体" w:hAnsi="宋体" w:eastAsia="宋体"/>
          <w:color w:val="auto"/>
          <w:szCs w:val="21"/>
          <w:highlight w:val="none"/>
        </w:rPr>
        <w:t>月</w:t>
      </w:r>
      <w:r>
        <w:rPr>
          <w:rFonts w:ascii="宋体" w:hAnsi="宋体" w:eastAsia="宋体"/>
          <w:color w:val="auto"/>
          <w:highlight w:val="none"/>
          <w:u w:val="single"/>
        </w:rPr>
        <w:t xml:space="preserve">      </w:t>
      </w:r>
      <w:r>
        <w:rPr>
          <w:rFonts w:ascii="宋体" w:hAnsi="宋体" w:eastAsia="宋体"/>
          <w:color w:val="auto"/>
          <w:szCs w:val="21"/>
          <w:highlight w:val="none"/>
        </w:rPr>
        <w:t>日</w:t>
      </w:r>
    </w:p>
    <w:p w14:paraId="51CA0550">
      <w:pPr>
        <w:shd w:val="clear" w:color="auto" w:fill="auto"/>
        <w:spacing w:line="440" w:lineRule="exact"/>
        <w:rPr>
          <w:rFonts w:ascii="Times New Roman" w:hAnsi="Times New Roman" w:eastAsia="黑体"/>
          <w:color w:val="auto"/>
          <w:sz w:val="20"/>
          <w:highlight w:val="none"/>
        </w:rPr>
      </w:pPr>
      <w:bookmarkStart w:id="405" w:name="_Toc247514246"/>
      <w:bookmarkStart w:id="406" w:name="_Toc361508752"/>
      <w:bookmarkStart w:id="407" w:name="_Toc247527827"/>
      <w:bookmarkStart w:id="408" w:name="_Toc152042576"/>
      <w:bookmarkStart w:id="409" w:name="_Toc369531697"/>
      <w:bookmarkStart w:id="410" w:name="_Toc152045787"/>
      <w:bookmarkStart w:id="411" w:name="_Toc300835209"/>
      <w:bookmarkStart w:id="412" w:name="_Toc384308375"/>
      <w:bookmarkStart w:id="413" w:name="_Toc352691661"/>
      <w:bookmarkStart w:id="414" w:name="_Toc17960"/>
      <w:bookmarkStart w:id="415" w:name="_Toc144974856"/>
      <w:r>
        <w:rPr>
          <w:rFonts w:ascii="Times New Roman" w:hAnsi="Times New Roman"/>
          <w:color w:val="auto"/>
          <w:szCs w:val="21"/>
          <w:highlight w:val="none"/>
        </w:rPr>
        <w:br w:type="page"/>
      </w:r>
    </w:p>
    <w:p w14:paraId="20E822B3">
      <w:pPr>
        <w:pStyle w:val="4"/>
        <w:shd w:val="clear" w:color="auto" w:fill="auto"/>
        <w:jc w:val="center"/>
        <w:rPr>
          <w:rFonts w:ascii="Times New Roman" w:hAnsi="Times New Roman"/>
          <w:color w:val="auto"/>
          <w:highlight w:val="none"/>
        </w:rPr>
      </w:pPr>
      <w:bookmarkStart w:id="416" w:name="_Toc68765135"/>
      <w:bookmarkStart w:id="417" w:name="_Toc491883232"/>
      <w:r>
        <w:rPr>
          <w:rFonts w:ascii="Times New Roman" w:hAnsi="Times New Roman"/>
          <w:color w:val="auto"/>
          <w:highlight w:val="none"/>
        </w:rPr>
        <w:t>二</w:t>
      </w:r>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color w:val="auto"/>
          <w:highlight w:val="none"/>
        </w:rPr>
        <w:t>、法定代表人（单位负责人）身份证明</w:t>
      </w:r>
      <w:bookmarkEnd w:id="416"/>
      <w:bookmarkEnd w:id="417"/>
    </w:p>
    <w:p w14:paraId="0C4E8837">
      <w:pPr>
        <w:shd w:val="clear" w:color="auto" w:fill="auto"/>
        <w:spacing w:line="440" w:lineRule="exact"/>
        <w:rPr>
          <w:rFonts w:ascii="Times New Roman" w:hAnsi="Times New Roman"/>
          <w:color w:val="auto"/>
          <w:sz w:val="20"/>
          <w:highlight w:val="none"/>
        </w:rPr>
      </w:pPr>
    </w:p>
    <w:p w14:paraId="3182C7BC">
      <w:pPr>
        <w:shd w:val="clear" w:color="auto" w:fill="auto"/>
        <w:spacing w:line="440" w:lineRule="exact"/>
        <w:rPr>
          <w:rFonts w:ascii="Times New Roman" w:hAnsi="Times New Roman"/>
          <w:color w:val="auto"/>
          <w:highlight w:val="none"/>
        </w:rPr>
      </w:pPr>
    </w:p>
    <w:p w14:paraId="65685B96">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投标人名称：</w:t>
      </w:r>
      <w:r>
        <w:rPr>
          <w:rFonts w:ascii="Times New Roman" w:hAnsi="Times New Roman"/>
          <w:color w:val="auto"/>
          <w:highlight w:val="none"/>
          <w:u w:val="single"/>
        </w:rPr>
        <w:t xml:space="preserve">                        </w:t>
      </w:r>
    </w:p>
    <w:p w14:paraId="2FBB63DF">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highlight w:val="none"/>
          <w:u w:val="single"/>
        </w:rPr>
        <w:t xml:space="preserve">                </w:t>
      </w:r>
      <w:r>
        <w:rPr>
          <w:rFonts w:ascii="Times New Roman" w:hAnsi="Times New Roman"/>
          <w:color w:val="auto"/>
          <w:highlight w:val="none"/>
        </w:rPr>
        <w:t>性别：</w:t>
      </w:r>
      <w:bookmarkStart w:id="418" w:name="_Toc352691662"/>
      <w:bookmarkStart w:id="419" w:name="_Toc27897"/>
      <w:bookmarkStart w:id="420" w:name="_Toc369531698"/>
      <w:r>
        <w:rPr>
          <w:rFonts w:ascii="Times New Roman" w:hAnsi="Times New Roman"/>
          <w:color w:val="auto"/>
          <w:highlight w:val="none"/>
          <w:u w:val="single"/>
        </w:rPr>
        <w:t xml:space="preserve">        </w:t>
      </w:r>
      <w:r>
        <w:rPr>
          <w:rFonts w:ascii="Times New Roman" w:hAnsi="Times New Roman"/>
          <w:color w:val="auto"/>
          <w:highlight w:val="none"/>
        </w:rPr>
        <w:t>年</w:t>
      </w:r>
      <w:bookmarkEnd w:id="418"/>
      <w:bookmarkEnd w:id="419"/>
      <w:bookmarkEnd w:id="420"/>
      <w:r>
        <w:rPr>
          <w:rFonts w:ascii="Times New Roman" w:hAnsi="Times New Roman"/>
          <w:color w:val="auto"/>
          <w:highlight w:val="none"/>
        </w:rPr>
        <w:t>龄</w:t>
      </w:r>
      <w:bookmarkStart w:id="421" w:name="_Toc300835211"/>
      <w:bookmarkStart w:id="422" w:name="_Toc152045789"/>
      <w:bookmarkStart w:id="423" w:name="_Toc352691663"/>
      <w:bookmarkStart w:id="424" w:name="_Toc384308377"/>
      <w:bookmarkStart w:id="425" w:name="_Toc247514248"/>
      <w:bookmarkStart w:id="426" w:name="_Toc369531699"/>
      <w:bookmarkStart w:id="427" w:name="_Toc247527829"/>
      <w:bookmarkStart w:id="428" w:name="_Toc144974858"/>
      <w:bookmarkStart w:id="429" w:name="_Toc152042578"/>
      <w:bookmarkStart w:id="430" w:name="_Toc15573"/>
      <w:bookmarkStart w:id="431" w:name="_Toc361508754"/>
      <w:r>
        <w:rPr>
          <w:rFonts w:ascii="Times New Roman" w:hAnsi="Times New Roman"/>
          <w:color w:val="auto"/>
          <w:highlight w:val="none"/>
        </w:rPr>
        <w:t>：</w:t>
      </w:r>
      <w:bookmarkEnd w:id="421"/>
      <w:bookmarkEnd w:id="422"/>
      <w:bookmarkEnd w:id="423"/>
      <w:bookmarkEnd w:id="424"/>
      <w:bookmarkEnd w:id="425"/>
      <w:bookmarkEnd w:id="426"/>
      <w:bookmarkEnd w:id="427"/>
      <w:bookmarkEnd w:id="428"/>
      <w:bookmarkEnd w:id="429"/>
      <w:bookmarkEnd w:id="430"/>
      <w:bookmarkEnd w:id="431"/>
      <w:r>
        <w:rPr>
          <w:rFonts w:ascii="Times New Roman" w:hAnsi="Times New Roman"/>
          <w:color w:val="auto"/>
          <w:highlight w:val="none"/>
          <w:u w:val="single"/>
        </w:rPr>
        <w:t xml:space="preserve">        </w:t>
      </w:r>
      <w:r>
        <w:rPr>
          <w:rFonts w:ascii="Times New Roman" w:hAnsi="Times New Roman"/>
          <w:color w:val="auto"/>
          <w:highlight w:val="none"/>
        </w:rPr>
        <w:t>职务：</w:t>
      </w:r>
      <w:r>
        <w:rPr>
          <w:rFonts w:ascii="Times New Roman" w:hAnsi="Times New Roman"/>
          <w:color w:val="auto"/>
          <w:highlight w:val="none"/>
          <w:u w:val="single"/>
        </w:rPr>
        <w:t xml:space="preserve">        </w:t>
      </w:r>
    </w:p>
    <w:p w14:paraId="61D7E0FD">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（投标人名称）的法定代表人（单位负责人）。</w:t>
      </w:r>
    </w:p>
    <w:p w14:paraId="65D5B056">
      <w:pPr>
        <w:shd w:val="clear" w:color="auto" w:fill="auto"/>
        <w:spacing w:line="440" w:lineRule="exact"/>
        <w:ind w:firstLine="420" w:firstLineChars="200"/>
        <w:rPr>
          <w:rFonts w:ascii="Times New Roman" w:hAnsi="Times New Roman"/>
          <w:color w:val="auto"/>
          <w:highlight w:val="none"/>
        </w:rPr>
      </w:pPr>
      <w:r>
        <w:rPr>
          <w:rFonts w:ascii="Times New Roman" w:hAnsi="Times New Roman"/>
          <w:color w:val="auto"/>
          <w:highlight w:val="none"/>
        </w:rPr>
        <w:t>特此证明。</w:t>
      </w:r>
    </w:p>
    <w:p w14:paraId="5C7DDD10">
      <w:pPr>
        <w:shd w:val="clear" w:color="auto" w:fill="auto"/>
        <w:spacing w:line="440" w:lineRule="exact"/>
        <w:rPr>
          <w:rFonts w:ascii="Times New Roman" w:hAnsi="Times New Roman"/>
          <w:color w:val="auto"/>
          <w:highlight w:val="none"/>
        </w:rPr>
      </w:pPr>
    </w:p>
    <w:p w14:paraId="056E1A4F">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附：法定代表人（单位负责人）身份证</w:t>
      </w:r>
      <w:r>
        <w:rPr>
          <w:rFonts w:hint="eastAsia" w:ascii="Times New Roman" w:hAnsi="Times New Roman"/>
          <w:color w:val="auto"/>
          <w:highlight w:val="none"/>
        </w:rPr>
        <w:t>扫描</w:t>
      </w:r>
      <w:r>
        <w:rPr>
          <w:rFonts w:ascii="Times New Roman" w:hAnsi="Times New Roman"/>
          <w:color w:val="auto"/>
          <w:highlight w:val="none"/>
        </w:rPr>
        <w:t>件。</w:t>
      </w:r>
    </w:p>
    <w:p w14:paraId="1D878AE4">
      <w:pPr>
        <w:shd w:val="clear" w:color="auto" w:fill="auto"/>
        <w:spacing w:line="440" w:lineRule="exact"/>
        <w:rPr>
          <w:rFonts w:ascii="Times New Roman" w:hAnsi="Times New Roman"/>
          <w:color w:val="auto"/>
          <w:highlight w:val="none"/>
        </w:rPr>
      </w:pPr>
    </w:p>
    <w:p w14:paraId="6413D8F5">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注：本身份证明需由投标人加盖单位公章。</w:t>
      </w:r>
    </w:p>
    <w:p w14:paraId="2B852A2D">
      <w:pPr>
        <w:shd w:val="clear" w:color="auto" w:fill="auto"/>
        <w:spacing w:line="440" w:lineRule="exact"/>
        <w:rPr>
          <w:rFonts w:ascii="Times New Roman" w:hAnsi="Times New Roman"/>
          <w:color w:val="auto"/>
          <w:highlight w:val="none"/>
        </w:rPr>
      </w:pPr>
    </w:p>
    <w:p w14:paraId="40B37AD5">
      <w:pPr>
        <w:shd w:val="clear" w:color="auto" w:fill="auto"/>
        <w:spacing w:line="440" w:lineRule="exact"/>
        <w:rPr>
          <w:rFonts w:ascii="Times New Roman" w:hAnsi="Times New Roman"/>
          <w:color w:val="auto"/>
          <w:highlight w:val="none"/>
        </w:rPr>
      </w:pPr>
    </w:p>
    <w:p w14:paraId="29ADDF30">
      <w:pPr>
        <w:shd w:val="clear" w:color="auto" w:fill="auto"/>
        <w:spacing w:line="440" w:lineRule="exact"/>
        <w:jc w:val="center"/>
        <w:rPr>
          <w:rFonts w:ascii="Times New Roman" w:hAnsi="Times New Roman"/>
          <w:color w:val="auto"/>
          <w:highlight w:val="none"/>
        </w:rPr>
      </w:pPr>
      <w:r>
        <w:rPr>
          <w:rFonts w:ascii="Times New Roman" w:hAnsi="Times New Roman"/>
          <w:color w:val="auto"/>
          <w:highlight w:val="none"/>
        </w:rPr>
        <w:t xml:space="preserve">                              投标人：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（单位公章）</w:t>
      </w:r>
    </w:p>
    <w:p w14:paraId="57B8C78D">
      <w:pPr>
        <w:shd w:val="clear" w:color="auto" w:fill="auto"/>
        <w:spacing w:line="440" w:lineRule="exact"/>
        <w:rPr>
          <w:rFonts w:ascii="Times New Roman" w:hAnsi="Times New Roman"/>
          <w:color w:val="auto"/>
          <w:highlight w:val="none"/>
        </w:rPr>
      </w:pPr>
    </w:p>
    <w:p w14:paraId="768DA412">
      <w:pPr>
        <w:shd w:val="clear" w:color="auto" w:fill="auto"/>
        <w:spacing w:line="440" w:lineRule="exact"/>
        <w:ind w:firstLine="4620" w:firstLineChars="2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CC56B1E">
      <w:pPr>
        <w:shd w:val="clear" w:color="auto" w:fill="auto"/>
        <w:spacing w:line="440" w:lineRule="exact"/>
        <w:rPr>
          <w:rFonts w:ascii="Times New Roman" w:hAnsi="Times New Roman" w:eastAsia="黑体"/>
          <w:color w:val="auto"/>
          <w:sz w:val="20"/>
          <w:highlight w:val="none"/>
        </w:rPr>
      </w:pPr>
    </w:p>
    <w:p w14:paraId="2087B3AD">
      <w:pPr>
        <w:shd w:val="clear" w:color="auto" w:fill="auto"/>
        <w:spacing w:line="440" w:lineRule="exact"/>
        <w:jc w:val="center"/>
        <w:rPr>
          <w:rFonts w:ascii="Times New Roman" w:hAnsi="Times New Roman" w:eastAsia="黑体"/>
          <w:color w:val="auto"/>
          <w:sz w:val="20"/>
          <w:highlight w:val="none"/>
        </w:rPr>
      </w:pPr>
      <w:r>
        <w:rPr>
          <w:rFonts w:ascii="Times New Roman" w:hAnsi="Times New Roman" w:eastAsia="黑体"/>
          <w:color w:val="auto"/>
          <w:sz w:val="20"/>
          <w:highlight w:val="none"/>
        </w:rPr>
        <w:br w:type="page"/>
      </w:r>
    </w:p>
    <w:p w14:paraId="3BE1EA90">
      <w:pPr>
        <w:pStyle w:val="4"/>
        <w:shd w:val="clear" w:color="auto" w:fill="auto"/>
        <w:jc w:val="center"/>
        <w:rPr>
          <w:rFonts w:ascii="Times New Roman" w:hAnsi="Times New Roman"/>
          <w:color w:val="auto"/>
          <w:highlight w:val="none"/>
        </w:rPr>
      </w:pPr>
      <w:bookmarkStart w:id="432" w:name="_Toc68765136"/>
      <w:bookmarkStart w:id="433" w:name="_Toc491883233"/>
      <w:r>
        <w:rPr>
          <w:rFonts w:hint="eastAsia" w:ascii="Times New Roman" w:hAnsi="Times New Roman"/>
          <w:color w:val="auto"/>
          <w:highlight w:val="none"/>
        </w:rPr>
        <w:t>三</w:t>
      </w:r>
      <w:r>
        <w:rPr>
          <w:rFonts w:ascii="Times New Roman" w:hAnsi="Times New Roman"/>
          <w:color w:val="auto"/>
          <w:highlight w:val="none"/>
        </w:rPr>
        <w:t>、授权委托书</w:t>
      </w:r>
      <w:bookmarkEnd w:id="432"/>
      <w:bookmarkEnd w:id="433"/>
    </w:p>
    <w:p w14:paraId="73B96052">
      <w:pPr>
        <w:shd w:val="clear" w:color="auto" w:fill="auto"/>
        <w:spacing w:line="440" w:lineRule="exact"/>
        <w:rPr>
          <w:rFonts w:ascii="Times New Roman" w:hAnsi="Times New Roman" w:eastAsia="黑体"/>
          <w:color w:val="auto"/>
          <w:highlight w:val="none"/>
        </w:rPr>
      </w:pPr>
    </w:p>
    <w:p w14:paraId="083E2E00">
      <w:pPr>
        <w:shd w:val="clear" w:color="auto" w:fill="auto"/>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（投标人名称）的法定代表人（单位负责人），现委托</w:t>
      </w:r>
      <w:r>
        <w:rPr>
          <w:rFonts w:ascii="Times New Roman" w:hAnsi="Times New Roman"/>
          <w:color w:val="auto"/>
          <w:highlight w:val="none"/>
          <w:u w:val="single"/>
        </w:rPr>
        <w:t xml:space="preserve">            </w:t>
      </w:r>
      <w:r>
        <w:rPr>
          <w:rFonts w:ascii="Times New Roman" w:hAnsi="Times New Roman"/>
          <w:color w:val="auto"/>
          <w:highlight w:val="none"/>
        </w:rPr>
        <w:t>（姓名）为我方代理人。代理人根据授权，以我方名义签署、澄清确认、递交、撤回、修改设备采购招标项目投标文件、签订合同和处理有关事宜，其法律后果由我方承担。</w:t>
      </w:r>
    </w:p>
    <w:p w14:paraId="5605C3E3">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14:paraId="39CE2AC3">
      <w:pPr>
        <w:shd w:val="clear" w:color="auto" w:fill="auto"/>
        <w:spacing w:line="440" w:lineRule="exact"/>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14:paraId="360C19F5">
      <w:pPr>
        <w:shd w:val="clear" w:color="auto" w:fill="auto"/>
        <w:spacing w:line="440" w:lineRule="exact"/>
        <w:ind w:firstLine="420" w:firstLineChars="200"/>
        <w:rPr>
          <w:rFonts w:ascii="Times New Roman" w:hAnsi="Times New Roman"/>
          <w:color w:val="auto"/>
          <w:highlight w:val="none"/>
        </w:rPr>
      </w:pPr>
    </w:p>
    <w:p w14:paraId="2D8CC02D">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附：法定代表人（单位负责人）身份证</w:t>
      </w:r>
      <w:r>
        <w:rPr>
          <w:rFonts w:hint="eastAsia" w:ascii="Times New Roman" w:hAnsi="Times New Roman"/>
          <w:color w:val="auto"/>
          <w:highlight w:val="none"/>
        </w:rPr>
        <w:t>扫描件</w:t>
      </w:r>
      <w:r>
        <w:rPr>
          <w:rFonts w:ascii="Times New Roman" w:hAnsi="Times New Roman"/>
          <w:color w:val="auto"/>
          <w:highlight w:val="none"/>
        </w:rPr>
        <w:t>及委托代理人身份证</w:t>
      </w:r>
      <w:r>
        <w:rPr>
          <w:rFonts w:hint="eastAsia" w:ascii="Times New Roman" w:hAnsi="Times New Roman"/>
          <w:color w:val="auto"/>
          <w:highlight w:val="none"/>
        </w:rPr>
        <w:t>扫描</w:t>
      </w:r>
      <w:r>
        <w:rPr>
          <w:rFonts w:ascii="Times New Roman" w:hAnsi="Times New Roman"/>
          <w:color w:val="auto"/>
          <w:highlight w:val="none"/>
        </w:rPr>
        <w:t>件</w:t>
      </w:r>
    </w:p>
    <w:p w14:paraId="012E1A4D">
      <w:pPr>
        <w:shd w:val="clear" w:color="auto" w:fill="auto"/>
        <w:spacing w:line="440" w:lineRule="exact"/>
        <w:rPr>
          <w:rFonts w:ascii="Times New Roman" w:hAnsi="Times New Roman"/>
          <w:color w:val="auto"/>
          <w:highlight w:val="none"/>
        </w:rPr>
      </w:pPr>
    </w:p>
    <w:p w14:paraId="7BB2A1B6">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注：本授权委托书需由投标人加盖单位公章并由其法定代表人（单位负责人）和委托代理人签字。</w:t>
      </w:r>
    </w:p>
    <w:p w14:paraId="18CD75DF">
      <w:pPr>
        <w:shd w:val="clear" w:color="auto" w:fill="auto"/>
        <w:spacing w:line="440" w:lineRule="exact"/>
        <w:rPr>
          <w:rFonts w:ascii="Times New Roman" w:hAnsi="Times New Roman"/>
          <w:color w:val="auto"/>
          <w:highlight w:val="none"/>
        </w:rPr>
      </w:pPr>
    </w:p>
    <w:p w14:paraId="29CB480D">
      <w:pPr>
        <w:shd w:val="clear" w:color="auto" w:fill="auto"/>
        <w:spacing w:line="440" w:lineRule="exact"/>
        <w:ind w:firstLine="2625" w:firstLineChars="1250"/>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highlight w:val="none"/>
        </w:rPr>
        <w:t>（单位公章）</w:t>
      </w:r>
    </w:p>
    <w:p w14:paraId="655AE180">
      <w:pPr>
        <w:shd w:val="clear" w:color="auto" w:fill="auto"/>
        <w:spacing w:line="440" w:lineRule="exact"/>
        <w:ind w:firstLine="2692" w:firstLineChars="1282"/>
        <w:rPr>
          <w:rFonts w:ascii="Times New Roman" w:hAnsi="Times New Roman"/>
          <w:color w:val="auto"/>
          <w:highlight w:val="none"/>
        </w:rPr>
      </w:pPr>
    </w:p>
    <w:p w14:paraId="15845C40">
      <w:pPr>
        <w:shd w:val="clear" w:color="auto" w:fill="auto"/>
        <w:spacing w:line="440" w:lineRule="exact"/>
        <w:ind w:firstLine="2625" w:firstLineChars="1250"/>
        <w:jc w:val="left"/>
        <w:rPr>
          <w:rFonts w:ascii="Times New Roman" w:hAnsi="Times New Roman"/>
          <w:color w:val="auto"/>
          <w:highlight w:val="none"/>
        </w:rPr>
      </w:pPr>
      <w:r>
        <w:rPr>
          <w:rFonts w:ascii="Times New Roman" w:hAnsi="Times New Roman"/>
          <w:color w:val="auto"/>
          <w:highlight w:val="none"/>
        </w:rPr>
        <w:t>法定代表人（单位负责人）：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3F5E818D">
      <w:pPr>
        <w:shd w:val="clear" w:color="auto" w:fill="auto"/>
        <w:spacing w:line="440" w:lineRule="exact"/>
        <w:ind w:firstLine="2692" w:firstLineChars="1282"/>
        <w:rPr>
          <w:rFonts w:ascii="Times New Roman" w:hAnsi="Times New Roman"/>
          <w:color w:val="auto"/>
          <w:highlight w:val="none"/>
        </w:rPr>
      </w:pPr>
    </w:p>
    <w:p w14:paraId="4752FB35">
      <w:pPr>
        <w:shd w:val="clear" w:color="auto" w:fill="auto"/>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415C3935">
      <w:pPr>
        <w:shd w:val="clear" w:color="auto" w:fill="auto"/>
        <w:spacing w:line="440" w:lineRule="exact"/>
        <w:ind w:firstLine="2692" w:firstLineChars="1282"/>
        <w:rPr>
          <w:rFonts w:ascii="Times New Roman" w:hAnsi="Times New Roman"/>
          <w:color w:val="auto"/>
          <w:highlight w:val="none"/>
        </w:rPr>
      </w:pPr>
    </w:p>
    <w:p w14:paraId="6FE3EF65">
      <w:pPr>
        <w:shd w:val="clear" w:color="auto" w:fill="auto"/>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125DF200">
      <w:pPr>
        <w:shd w:val="clear" w:color="auto" w:fill="auto"/>
        <w:spacing w:line="440" w:lineRule="exact"/>
        <w:ind w:firstLine="2692" w:firstLineChars="1282"/>
        <w:rPr>
          <w:rFonts w:ascii="Times New Roman" w:hAnsi="Times New Roman"/>
          <w:color w:val="auto"/>
          <w:highlight w:val="none"/>
        </w:rPr>
      </w:pPr>
    </w:p>
    <w:p w14:paraId="330CDA3D">
      <w:pPr>
        <w:shd w:val="clear" w:color="auto" w:fill="auto"/>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0ADDA22A">
      <w:pPr>
        <w:shd w:val="clear" w:color="auto" w:fill="auto"/>
        <w:spacing w:line="440" w:lineRule="exact"/>
        <w:ind w:firstLine="2692" w:firstLineChars="1282"/>
        <w:rPr>
          <w:rFonts w:ascii="Times New Roman" w:hAnsi="Times New Roman"/>
          <w:color w:val="auto"/>
          <w:highlight w:val="none"/>
        </w:rPr>
      </w:pPr>
    </w:p>
    <w:p w14:paraId="75DFE4FE">
      <w:pPr>
        <w:shd w:val="clear" w:color="auto" w:fill="auto"/>
        <w:spacing w:line="440" w:lineRule="exact"/>
        <w:ind w:firstLine="2692" w:firstLineChars="1282"/>
        <w:rPr>
          <w:rFonts w:ascii="Times New Roman" w:hAnsi="Times New Roman"/>
          <w:color w:val="auto"/>
          <w:highlight w:val="none"/>
        </w:rPr>
      </w:pPr>
    </w:p>
    <w:p w14:paraId="77129B90">
      <w:pPr>
        <w:shd w:val="clear" w:color="auto" w:fill="auto"/>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0DFB8F6D">
      <w:pPr>
        <w:shd w:val="clear" w:color="auto" w:fill="auto"/>
        <w:spacing w:line="440" w:lineRule="exact"/>
        <w:rPr>
          <w:rFonts w:ascii="Times New Roman" w:hAnsi="Times New Roman"/>
          <w:color w:val="auto"/>
          <w:highlight w:val="none"/>
        </w:rPr>
      </w:pPr>
      <w:r>
        <w:rPr>
          <w:rFonts w:ascii="Times New Roman" w:hAnsi="Times New Roman"/>
          <w:color w:val="auto"/>
          <w:highlight w:val="none"/>
        </w:rPr>
        <w:br w:type="page"/>
      </w:r>
    </w:p>
    <w:p w14:paraId="7EB83C3D">
      <w:pPr>
        <w:pStyle w:val="4"/>
        <w:shd w:val="clear" w:color="auto" w:fill="auto"/>
        <w:jc w:val="center"/>
        <w:rPr>
          <w:rFonts w:ascii="Times New Roman" w:hAnsi="Times New Roman"/>
          <w:color w:val="auto"/>
          <w:highlight w:val="none"/>
        </w:rPr>
      </w:pPr>
      <w:bookmarkStart w:id="434" w:name="_Toc68765138"/>
      <w:bookmarkStart w:id="435" w:name="_Toc491883236"/>
      <w:r>
        <w:rPr>
          <w:rFonts w:hint="eastAsia" w:ascii="Times New Roman" w:hAnsi="Times New Roman"/>
          <w:color w:val="auto"/>
          <w:highlight w:val="none"/>
          <w:lang w:val="en-US" w:eastAsia="zh-CN"/>
        </w:rPr>
        <w:t>四</w:t>
      </w:r>
      <w:r>
        <w:rPr>
          <w:rFonts w:ascii="Times New Roman" w:hAnsi="Times New Roman"/>
          <w:color w:val="auto"/>
          <w:highlight w:val="none"/>
        </w:rPr>
        <w:t>、</w:t>
      </w:r>
      <w:bookmarkEnd w:id="434"/>
      <w:bookmarkEnd w:id="435"/>
      <w:r>
        <w:rPr>
          <w:rFonts w:hint="eastAsia" w:ascii="Times New Roman" w:hAnsi="Times New Roman"/>
          <w:color w:val="auto"/>
          <w:highlight w:val="none"/>
        </w:rPr>
        <w:t>技术要求</w:t>
      </w:r>
      <w:r>
        <w:rPr>
          <w:rFonts w:ascii="Times New Roman" w:hAnsi="Times New Roman"/>
          <w:color w:val="auto"/>
          <w:highlight w:val="none"/>
        </w:rPr>
        <w:t>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581"/>
        <w:gridCol w:w="1887"/>
      </w:tblGrid>
      <w:tr w14:paraId="1856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17" w:type="pct"/>
            <w:noWrap w:val="0"/>
            <w:vAlign w:val="center"/>
          </w:tcPr>
          <w:p w14:paraId="5FE20E1A">
            <w:pPr>
              <w:widowControl/>
              <w:shd w:val="clear" w:color="auto" w:fill="auto"/>
              <w:jc w:val="center"/>
              <w:rPr>
                <w:rFonts w:ascii="Times New Roman" w:hAnsi="Times New Roman"/>
                <w:b/>
                <w:color w:val="auto"/>
                <w:kern w:val="0"/>
                <w:szCs w:val="21"/>
                <w:highlight w:val="none"/>
              </w:rPr>
            </w:pPr>
            <w:r>
              <w:rPr>
                <w:rFonts w:ascii="Times New Roman" w:hAnsi="Times New Roman"/>
                <w:b/>
                <w:color w:val="auto"/>
                <w:kern w:val="0"/>
                <w:szCs w:val="21"/>
                <w:highlight w:val="none"/>
              </w:rPr>
              <w:t>序号</w:t>
            </w:r>
          </w:p>
        </w:tc>
        <w:tc>
          <w:tcPr>
            <w:tcW w:w="3274" w:type="pct"/>
            <w:noWrap w:val="0"/>
            <w:vAlign w:val="center"/>
          </w:tcPr>
          <w:p w14:paraId="67CBC9B2">
            <w:pPr>
              <w:widowControl/>
              <w:shd w:val="clear" w:color="auto" w:fill="auto"/>
              <w:jc w:val="center"/>
              <w:rPr>
                <w:rFonts w:ascii="Times New Roman" w:hAnsi="Times New Roman"/>
                <w:b/>
                <w:color w:val="auto"/>
                <w:kern w:val="0"/>
                <w:szCs w:val="21"/>
                <w:highlight w:val="none"/>
              </w:rPr>
            </w:pPr>
            <w:r>
              <w:rPr>
                <w:rFonts w:hint="eastAsia" w:ascii="Times New Roman" w:hAnsi="Times New Roman"/>
                <w:b/>
                <w:color w:val="auto"/>
                <w:kern w:val="0"/>
                <w:szCs w:val="21"/>
                <w:highlight w:val="none"/>
              </w:rPr>
              <w:t>《用户需求书》</w:t>
            </w:r>
            <w:r>
              <w:rPr>
                <w:rFonts w:ascii="Times New Roman" w:hAnsi="Times New Roman"/>
                <w:b/>
                <w:color w:val="auto"/>
                <w:kern w:val="0"/>
                <w:szCs w:val="21"/>
                <w:highlight w:val="none"/>
              </w:rPr>
              <w:t>条款号</w:t>
            </w:r>
          </w:p>
        </w:tc>
        <w:tc>
          <w:tcPr>
            <w:tcW w:w="1107" w:type="pct"/>
            <w:noWrap w:val="0"/>
            <w:vAlign w:val="center"/>
          </w:tcPr>
          <w:p w14:paraId="1758D217">
            <w:pPr>
              <w:widowControl/>
              <w:shd w:val="clear" w:color="auto" w:fill="auto"/>
              <w:jc w:val="center"/>
              <w:rPr>
                <w:rFonts w:ascii="Times New Roman" w:hAnsi="Times New Roman"/>
                <w:b/>
                <w:color w:val="auto"/>
                <w:kern w:val="0"/>
                <w:szCs w:val="21"/>
                <w:highlight w:val="none"/>
              </w:rPr>
            </w:pPr>
            <w:r>
              <w:rPr>
                <w:rFonts w:ascii="Times New Roman" w:hAnsi="Times New Roman"/>
                <w:b/>
                <w:color w:val="auto"/>
                <w:kern w:val="0"/>
                <w:szCs w:val="21"/>
                <w:highlight w:val="none"/>
              </w:rPr>
              <w:t>偏差说明</w:t>
            </w:r>
          </w:p>
        </w:tc>
      </w:tr>
      <w:tr w14:paraId="6F80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2D01B746">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3274" w:type="pct"/>
            <w:noWrap w:val="0"/>
            <w:vAlign w:val="center"/>
          </w:tcPr>
          <w:p w14:paraId="2BA7DB07">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60EF5CC1">
            <w:pPr>
              <w:widowControl/>
              <w:shd w:val="clear" w:color="auto" w:fill="auto"/>
              <w:jc w:val="center"/>
              <w:rPr>
                <w:rFonts w:ascii="Times New Roman" w:hAnsi="Times New Roman"/>
                <w:color w:val="auto"/>
                <w:kern w:val="0"/>
                <w:szCs w:val="21"/>
                <w:highlight w:val="none"/>
              </w:rPr>
            </w:pPr>
          </w:p>
        </w:tc>
      </w:tr>
      <w:tr w14:paraId="3456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49D12C6B">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3274" w:type="pct"/>
            <w:noWrap w:val="0"/>
            <w:vAlign w:val="center"/>
          </w:tcPr>
          <w:p w14:paraId="7651515A">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6D6EEA7D">
            <w:pPr>
              <w:widowControl/>
              <w:shd w:val="clear" w:color="auto" w:fill="auto"/>
              <w:jc w:val="center"/>
              <w:rPr>
                <w:rFonts w:ascii="Times New Roman" w:hAnsi="Times New Roman"/>
                <w:color w:val="auto"/>
                <w:kern w:val="0"/>
                <w:szCs w:val="21"/>
                <w:highlight w:val="none"/>
              </w:rPr>
            </w:pPr>
          </w:p>
        </w:tc>
      </w:tr>
      <w:tr w14:paraId="0C3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21DDBB01">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3274" w:type="pct"/>
            <w:noWrap w:val="0"/>
            <w:vAlign w:val="center"/>
          </w:tcPr>
          <w:p w14:paraId="29EBAD1D">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7916D9D2">
            <w:pPr>
              <w:widowControl/>
              <w:shd w:val="clear" w:color="auto" w:fill="auto"/>
              <w:jc w:val="center"/>
              <w:rPr>
                <w:rFonts w:ascii="Times New Roman" w:hAnsi="Times New Roman"/>
                <w:color w:val="auto"/>
                <w:kern w:val="0"/>
                <w:szCs w:val="21"/>
                <w:highlight w:val="none"/>
              </w:rPr>
            </w:pPr>
          </w:p>
        </w:tc>
      </w:tr>
      <w:tr w14:paraId="18A7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1F8CABE6">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4</w:t>
            </w:r>
          </w:p>
        </w:tc>
        <w:tc>
          <w:tcPr>
            <w:tcW w:w="3274" w:type="pct"/>
            <w:noWrap w:val="0"/>
            <w:vAlign w:val="center"/>
          </w:tcPr>
          <w:p w14:paraId="295EC851">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7477CC8D">
            <w:pPr>
              <w:widowControl/>
              <w:shd w:val="clear" w:color="auto" w:fill="auto"/>
              <w:jc w:val="center"/>
              <w:rPr>
                <w:rFonts w:ascii="Times New Roman" w:hAnsi="Times New Roman"/>
                <w:color w:val="auto"/>
                <w:kern w:val="0"/>
                <w:szCs w:val="21"/>
                <w:highlight w:val="none"/>
              </w:rPr>
            </w:pPr>
          </w:p>
        </w:tc>
      </w:tr>
      <w:tr w14:paraId="5576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34B42E01">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5</w:t>
            </w:r>
          </w:p>
        </w:tc>
        <w:tc>
          <w:tcPr>
            <w:tcW w:w="3274" w:type="pct"/>
            <w:noWrap w:val="0"/>
            <w:vAlign w:val="center"/>
          </w:tcPr>
          <w:p w14:paraId="3D92B378">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0702D3B1">
            <w:pPr>
              <w:widowControl/>
              <w:shd w:val="clear" w:color="auto" w:fill="auto"/>
              <w:jc w:val="center"/>
              <w:rPr>
                <w:rFonts w:ascii="Times New Roman" w:hAnsi="Times New Roman"/>
                <w:color w:val="auto"/>
                <w:kern w:val="0"/>
                <w:szCs w:val="21"/>
                <w:highlight w:val="none"/>
              </w:rPr>
            </w:pPr>
          </w:p>
        </w:tc>
      </w:tr>
      <w:tr w14:paraId="73DE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noWrap w:val="0"/>
            <w:vAlign w:val="center"/>
          </w:tcPr>
          <w:p w14:paraId="52B59AEF">
            <w:pPr>
              <w:widowControl/>
              <w:shd w:val="clear" w:color="auto" w:fill="auto"/>
              <w:jc w:val="center"/>
              <w:rPr>
                <w:rFonts w:ascii="Times New Roman" w:hAnsi="Times New Roman"/>
                <w:color w:val="auto"/>
                <w:kern w:val="0"/>
                <w:szCs w:val="21"/>
                <w:highlight w:val="none"/>
              </w:rPr>
            </w:pPr>
            <w:r>
              <w:rPr>
                <w:rFonts w:ascii="Times New Roman" w:hAnsi="Times New Roman"/>
                <w:color w:val="auto"/>
                <w:kern w:val="0"/>
                <w:szCs w:val="21"/>
                <w:highlight w:val="none"/>
              </w:rPr>
              <w:t>……</w:t>
            </w:r>
          </w:p>
        </w:tc>
        <w:tc>
          <w:tcPr>
            <w:tcW w:w="3274" w:type="pct"/>
            <w:noWrap w:val="0"/>
            <w:vAlign w:val="center"/>
          </w:tcPr>
          <w:p w14:paraId="3F4CF421">
            <w:pPr>
              <w:widowControl/>
              <w:shd w:val="clear" w:color="auto" w:fill="auto"/>
              <w:jc w:val="center"/>
              <w:rPr>
                <w:rFonts w:ascii="Times New Roman" w:hAnsi="Times New Roman"/>
                <w:color w:val="auto"/>
                <w:kern w:val="0"/>
                <w:szCs w:val="21"/>
                <w:highlight w:val="none"/>
              </w:rPr>
            </w:pPr>
          </w:p>
        </w:tc>
        <w:tc>
          <w:tcPr>
            <w:tcW w:w="1107" w:type="pct"/>
            <w:noWrap w:val="0"/>
            <w:vAlign w:val="center"/>
          </w:tcPr>
          <w:p w14:paraId="44BB2B7C">
            <w:pPr>
              <w:widowControl/>
              <w:shd w:val="clear" w:color="auto" w:fill="auto"/>
              <w:jc w:val="center"/>
              <w:rPr>
                <w:rFonts w:ascii="Times New Roman" w:hAnsi="Times New Roman"/>
                <w:color w:val="auto"/>
                <w:kern w:val="0"/>
                <w:szCs w:val="21"/>
                <w:highlight w:val="none"/>
              </w:rPr>
            </w:pPr>
          </w:p>
        </w:tc>
      </w:tr>
    </w:tbl>
    <w:p w14:paraId="6971B849">
      <w:pPr>
        <w:shd w:val="clear" w:color="auto" w:fill="auto"/>
        <w:spacing w:line="540" w:lineRule="exact"/>
        <w:rPr>
          <w:rFonts w:ascii="宋体" w:hAnsi="宋体" w:cs="宋体"/>
          <w:color w:val="auto"/>
          <w:szCs w:val="21"/>
          <w:highlight w:val="none"/>
        </w:rPr>
      </w:pPr>
      <w:r>
        <w:rPr>
          <w:rFonts w:hint="eastAsia" w:ascii="宋体" w:hAnsi="宋体" w:cs="宋体"/>
          <w:color w:val="auto"/>
          <w:szCs w:val="21"/>
          <w:highlight w:val="none"/>
        </w:rPr>
        <w:t>1.投标人保证：除</w:t>
      </w:r>
      <w:r>
        <w:rPr>
          <w:rFonts w:hint="eastAsia" w:ascii="宋体" w:hAnsi="宋体" w:cs="宋体"/>
          <w:b/>
          <w:color w:val="auto"/>
          <w:szCs w:val="21"/>
          <w:highlight w:val="none"/>
        </w:rPr>
        <w:t>技术要求</w:t>
      </w:r>
      <w:r>
        <w:rPr>
          <w:rFonts w:hint="eastAsia" w:ascii="宋体" w:hAnsi="宋体" w:cs="宋体"/>
          <w:color w:val="auto"/>
          <w:highlight w:val="none"/>
        </w:rPr>
        <w:t>表</w:t>
      </w:r>
      <w:r>
        <w:rPr>
          <w:rFonts w:hint="eastAsia" w:ascii="宋体" w:hAnsi="宋体" w:cs="宋体"/>
          <w:color w:val="auto"/>
          <w:szCs w:val="21"/>
          <w:highlight w:val="none"/>
        </w:rPr>
        <w:t>列出的偏差外，投标人响应招标文件的全部要求。</w:t>
      </w:r>
    </w:p>
    <w:p w14:paraId="7371E403">
      <w:pPr>
        <w:shd w:val="clear" w:color="auto" w:fill="auto"/>
        <w:spacing w:line="540" w:lineRule="exact"/>
        <w:rPr>
          <w:rFonts w:ascii="宋体" w:hAnsi="宋体" w:cs="宋体"/>
          <w:color w:val="auto"/>
          <w:szCs w:val="21"/>
          <w:highlight w:val="none"/>
        </w:rPr>
      </w:pPr>
      <w:r>
        <w:rPr>
          <w:rFonts w:hint="eastAsia" w:ascii="宋体" w:hAnsi="宋体" w:cs="宋体"/>
          <w:color w:val="auto"/>
          <w:szCs w:val="21"/>
          <w:highlight w:val="none"/>
        </w:rPr>
        <w:t>2.若无偏差，请在偏差说明栏填写“无偏差”，若有偏差，请在偏差说明栏填写具体偏差情况。</w:t>
      </w:r>
    </w:p>
    <w:p w14:paraId="30DBD853">
      <w:pPr>
        <w:shd w:val="clear" w:color="auto" w:fill="auto"/>
        <w:spacing w:line="440" w:lineRule="exact"/>
        <w:ind w:firstLine="3400" w:firstLineChars="1700"/>
        <w:rPr>
          <w:rFonts w:ascii="Times New Roman" w:hAnsi="Times New Roman" w:eastAsia="黑体"/>
          <w:color w:val="auto"/>
          <w:sz w:val="20"/>
          <w:highlight w:val="none"/>
        </w:rPr>
      </w:pPr>
    </w:p>
    <w:p w14:paraId="4F2B1F69">
      <w:pPr>
        <w:shd w:val="clear" w:color="auto" w:fill="auto"/>
        <w:spacing w:line="440" w:lineRule="exact"/>
        <w:ind w:firstLine="3400" w:firstLineChars="1700"/>
        <w:rPr>
          <w:rFonts w:ascii="Times New Roman" w:hAnsi="Times New Roman" w:eastAsia="黑体"/>
          <w:color w:val="auto"/>
          <w:sz w:val="20"/>
          <w:highlight w:val="none"/>
        </w:rPr>
      </w:pPr>
    </w:p>
    <w:p w14:paraId="5A60EF19">
      <w:pPr>
        <w:shd w:val="clear" w:color="auto" w:fill="auto"/>
        <w:spacing w:line="440" w:lineRule="exact"/>
        <w:ind w:firstLine="1890" w:firstLineChars="900"/>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highlight w:val="none"/>
        </w:rPr>
        <w:t>（单位公章）</w:t>
      </w:r>
    </w:p>
    <w:p w14:paraId="4EE34921">
      <w:pPr>
        <w:shd w:val="clear" w:color="auto" w:fill="auto"/>
        <w:spacing w:line="440" w:lineRule="exact"/>
        <w:ind w:firstLine="1890" w:firstLineChars="900"/>
        <w:jc w:val="left"/>
        <w:rPr>
          <w:rFonts w:ascii="Times New Roman" w:hAnsi="Times New Roman"/>
          <w:color w:val="auto"/>
          <w:highlight w:val="none"/>
        </w:rPr>
      </w:pPr>
      <w:r>
        <w:rPr>
          <w:rFonts w:ascii="Times New Roman" w:hAnsi="Times New Roman"/>
          <w:color w:val="auto"/>
          <w:szCs w:val="21"/>
          <w:highlight w:val="none"/>
        </w:rPr>
        <w:t>法定代表人（单位负责人）或委托代理人：</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1284558B">
      <w:pPr>
        <w:shd w:val="clear" w:color="auto" w:fill="auto"/>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1B69ED3">
      <w:pPr>
        <w:shd w:val="clear" w:color="auto" w:fill="auto"/>
        <w:rPr>
          <w:rFonts w:ascii="Times New Roman" w:hAnsi="Times New Roman"/>
          <w:color w:val="auto"/>
          <w:highlight w:val="none"/>
        </w:rPr>
      </w:pPr>
      <w:bookmarkStart w:id="436" w:name="_Toc68765139"/>
      <w:bookmarkStart w:id="437" w:name="_Toc485218079"/>
      <w:bookmarkStart w:id="438" w:name="_Toc491883237"/>
      <w:bookmarkStart w:id="439" w:name="_Toc361508760"/>
      <w:r>
        <w:rPr>
          <w:rFonts w:ascii="Times New Roman" w:hAnsi="Times New Roman"/>
          <w:color w:val="auto"/>
          <w:highlight w:val="none"/>
        </w:rPr>
        <w:br w:type="page"/>
      </w:r>
    </w:p>
    <w:p w14:paraId="3E8CFD83">
      <w:pPr>
        <w:pStyle w:val="4"/>
        <w:shd w:val="clear" w:color="auto" w:fill="auto"/>
        <w:jc w:val="center"/>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color w:val="auto"/>
          <w:highlight w:val="none"/>
        </w:rPr>
        <w:t>投标</w:t>
      </w:r>
      <w:r>
        <w:rPr>
          <w:rFonts w:ascii="Times New Roman" w:hAnsi="Times New Roman"/>
          <w:color w:val="auto"/>
          <w:highlight w:val="none"/>
        </w:rPr>
        <w:t>报价表</w:t>
      </w:r>
      <w:bookmarkEnd w:id="436"/>
      <w:bookmarkEnd w:id="437"/>
      <w:bookmarkEnd w:id="438"/>
    </w:p>
    <w:p w14:paraId="5FE0D3F9">
      <w:pPr>
        <w:shd w:val="clear" w:color="auto" w:fill="auto"/>
        <w:tabs>
          <w:tab w:val="left" w:pos="8364"/>
        </w:tabs>
        <w:spacing w:line="360" w:lineRule="auto"/>
        <w:ind w:right="-57"/>
        <w:rPr>
          <w:rFonts w:ascii="宋体" w:hAnsi="宋体"/>
          <w:color w:val="auto"/>
          <w:highlight w:val="none"/>
        </w:rPr>
      </w:pPr>
      <w:r>
        <w:rPr>
          <w:rFonts w:hint="eastAsia" w:ascii="宋体" w:hAnsi="宋体"/>
          <w:color w:val="auto"/>
          <w:highlight w:val="none"/>
        </w:rPr>
        <w:t>投标人名称：</w:t>
      </w:r>
    </w:p>
    <w:p w14:paraId="03A6BA99">
      <w:pPr>
        <w:shd w:val="clear" w:color="auto" w:fill="auto"/>
        <w:tabs>
          <w:tab w:val="left" w:pos="8364"/>
        </w:tabs>
        <w:spacing w:line="360" w:lineRule="auto"/>
        <w:ind w:left="1050" w:right="-57" w:hanging="1050" w:hangingChars="50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u w:val="single"/>
          <w:lang w:eastAsia="zh-CN"/>
        </w:rPr>
        <w:t>2026-2028年葡萄糖、乙酸钠、乙二醇采购项目</w:t>
      </w:r>
    </w:p>
    <w:p w14:paraId="360F9149">
      <w:pPr>
        <w:shd w:val="clear" w:color="auto" w:fill="auto"/>
        <w:tabs>
          <w:tab w:val="left" w:pos="8364"/>
        </w:tabs>
        <w:spacing w:line="360" w:lineRule="auto"/>
        <w:ind w:right="-57"/>
        <w:rPr>
          <w:rFonts w:ascii="宋体" w:hAnsi="宋体"/>
          <w:color w:val="auto"/>
          <w:highlight w:val="none"/>
        </w:rPr>
      </w:pPr>
      <w:r>
        <w:rPr>
          <w:rFonts w:hint="eastAsia" w:ascii="宋体" w:hAnsi="宋体"/>
          <w:color w:val="auto"/>
          <w:highlight w:val="none"/>
        </w:rPr>
        <w:t>项目编号：</w:t>
      </w:r>
      <w:r>
        <w:rPr>
          <w:rFonts w:ascii="宋体" w:hAnsi="宋体"/>
          <w:color w:val="auto"/>
          <w:highlight w:val="none"/>
        </w:rPr>
        <w:t>JG</w:t>
      </w:r>
      <w:r>
        <w:rPr>
          <w:rFonts w:hint="eastAsia" w:ascii="宋体" w:hAnsi="宋体"/>
          <w:color w:val="auto"/>
          <w:highlight w:val="none"/>
        </w:rPr>
        <w:t>2025</w:t>
      </w:r>
      <w:r>
        <w:rPr>
          <w:rFonts w:ascii="宋体" w:hAnsi="宋体"/>
          <w:color w:val="auto"/>
          <w:highlight w:val="none"/>
        </w:rPr>
        <w:t>-</w:t>
      </w: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566"/>
      </w:tblGrid>
      <w:tr w14:paraId="3279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3794" w:type="dxa"/>
            <w:tcBorders>
              <w:top w:val="single" w:color="auto" w:sz="4" w:space="0"/>
              <w:left w:val="single" w:color="auto" w:sz="4" w:space="0"/>
              <w:bottom w:val="single" w:color="auto" w:sz="4" w:space="0"/>
              <w:right w:val="single" w:color="auto" w:sz="4" w:space="0"/>
            </w:tcBorders>
            <w:noWrap w:val="0"/>
            <w:vAlign w:val="center"/>
          </w:tcPr>
          <w:p w14:paraId="3B219B62">
            <w:pPr>
              <w:shd w:val="clear" w:color="auto" w:fill="auto"/>
              <w:jc w:val="center"/>
              <w:rPr>
                <w:rFonts w:ascii="宋体" w:hAnsi="宋体"/>
                <w:b/>
                <w:color w:val="auto"/>
                <w:highlight w:val="none"/>
              </w:rPr>
            </w:pPr>
            <w:r>
              <w:rPr>
                <w:rFonts w:hint="eastAsia" w:ascii="宋体" w:hAnsi="宋体"/>
                <w:b/>
                <w:color w:val="auto"/>
                <w:highlight w:val="none"/>
              </w:rPr>
              <w:t>内容</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26DAD242">
            <w:pPr>
              <w:shd w:val="clear" w:color="auto" w:fill="auto"/>
              <w:jc w:val="center"/>
              <w:rPr>
                <w:rFonts w:hint="eastAsia" w:ascii="宋体" w:hAnsi="宋体" w:eastAsia="宋体"/>
                <w:color w:val="auto"/>
                <w:highlight w:val="none"/>
                <w:lang w:eastAsia="zh-CN"/>
              </w:rPr>
            </w:pPr>
            <w:r>
              <w:rPr>
                <w:rFonts w:hint="eastAsia" w:ascii="宋体" w:hAnsi="宋体"/>
                <w:color w:val="auto"/>
                <w:highlight w:val="none"/>
                <w:u w:val="single"/>
                <w:lang w:eastAsia="zh-CN"/>
              </w:rPr>
              <w:t>2026-2028年葡萄糖、乙酸钠、乙二醇采购项目</w:t>
            </w:r>
          </w:p>
        </w:tc>
      </w:tr>
      <w:tr w14:paraId="415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3794" w:type="dxa"/>
            <w:tcBorders>
              <w:top w:val="single" w:color="auto" w:sz="4" w:space="0"/>
              <w:left w:val="single" w:color="auto" w:sz="4" w:space="0"/>
              <w:bottom w:val="single" w:color="auto" w:sz="4" w:space="0"/>
              <w:right w:val="single" w:color="auto" w:sz="4" w:space="0"/>
            </w:tcBorders>
            <w:noWrap w:val="0"/>
            <w:vAlign w:val="center"/>
          </w:tcPr>
          <w:p w14:paraId="734E3472">
            <w:pPr>
              <w:shd w:val="clear" w:color="auto" w:fill="auto"/>
              <w:jc w:val="center"/>
              <w:rPr>
                <w:rFonts w:ascii="宋体" w:hAnsi="宋体"/>
                <w:b/>
                <w:color w:val="auto"/>
                <w:highlight w:val="none"/>
              </w:rPr>
            </w:pPr>
            <w:r>
              <w:rPr>
                <w:rFonts w:hint="eastAsia" w:ascii="宋体" w:hAnsi="宋体"/>
                <w:b/>
                <w:color w:val="auto"/>
                <w:szCs w:val="21"/>
                <w:highlight w:val="none"/>
              </w:rPr>
              <w:t>投标总报价</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4A79385A">
            <w:pPr>
              <w:shd w:val="clear" w:color="auto" w:fill="auto"/>
              <w:jc w:val="center"/>
              <w:rPr>
                <w:rFonts w:ascii="宋体" w:hAnsi="宋体"/>
                <w:color w:val="auto"/>
                <w:highlight w:val="none"/>
              </w:rPr>
            </w:pPr>
          </w:p>
          <w:p w14:paraId="3CF1DF36">
            <w:pPr>
              <w:shd w:val="clear" w:color="auto" w:fill="auto"/>
              <w:rPr>
                <w:rFonts w:ascii="宋体" w:hAnsi="宋体"/>
                <w:color w:val="auto"/>
                <w:highlight w:val="none"/>
              </w:rPr>
            </w:pPr>
            <w:r>
              <w:rPr>
                <w:rFonts w:hint="eastAsia" w:ascii="宋体" w:hAnsi="宋体"/>
                <w:color w:val="auto"/>
                <w:highlight w:val="none"/>
              </w:rPr>
              <w:t>大写：</w:t>
            </w:r>
            <w:r>
              <w:rPr>
                <w:rFonts w:hint="eastAsia" w:ascii="宋体" w:hAnsi="宋体"/>
                <w:color w:val="auto"/>
                <w:highlight w:val="none"/>
                <w:u w:val="single"/>
              </w:rPr>
              <w:t xml:space="preserve">人民币           </w:t>
            </w:r>
          </w:p>
          <w:p w14:paraId="0C5564A3">
            <w:pPr>
              <w:shd w:val="clear" w:color="auto" w:fill="auto"/>
              <w:jc w:val="center"/>
              <w:rPr>
                <w:rFonts w:ascii="宋体" w:hAnsi="宋体"/>
                <w:color w:val="auto"/>
                <w:highlight w:val="none"/>
              </w:rPr>
            </w:pPr>
          </w:p>
          <w:p w14:paraId="7FE8E16C">
            <w:pPr>
              <w:shd w:val="clear" w:color="auto" w:fill="auto"/>
              <w:rPr>
                <w:rFonts w:ascii="宋体" w:hAnsi="宋体"/>
                <w:color w:val="auto"/>
                <w:highlight w:val="none"/>
              </w:rPr>
            </w:pPr>
            <w:r>
              <w:rPr>
                <w:rFonts w:hint="eastAsia" w:ascii="宋体" w:hAnsi="宋体"/>
                <w:color w:val="auto"/>
                <w:highlight w:val="none"/>
              </w:rPr>
              <w:t>小写：</w:t>
            </w:r>
            <w:r>
              <w:rPr>
                <w:rFonts w:hint="eastAsia" w:ascii="宋体" w:hAnsi="宋体"/>
                <w:color w:val="auto"/>
                <w:highlight w:val="none"/>
                <w:u w:val="single"/>
              </w:rPr>
              <w:t xml:space="preserve">￥               </w:t>
            </w:r>
          </w:p>
          <w:p w14:paraId="727BDCD5">
            <w:pPr>
              <w:shd w:val="clear" w:color="auto" w:fill="auto"/>
              <w:jc w:val="center"/>
              <w:rPr>
                <w:rFonts w:ascii="宋体" w:hAnsi="宋体"/>
                <w:color w:val="auto"/>
                <w:highlight w:val="none"/>
              </w:rPr>
            </w:pPr>
          </w:p>
        </w:tc>
      </w:tr>
      <w:tr w14:paraId="7AE4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3794" w:type="dxa"/>
            <w:tcBorders>
              <w:top w:val="single" w:color="auto" w:sz="4" w:space="0"/>
              <w:left w:val="single" w:color="auto" w:sz="4" w:space="0"/>
              <w:bottom w:val="single" w:color="auto" w:sz="4" w:space="0"/>
              <w:right w:val="single" w:color="auto" w:sz="4" w:space="0"/>
            </w:tcBorders>
            <w:noWrap w:val="0"/>
            <w:vAlign w:val="center"/>
          </w:tcPr>
          <w:p w14:paraId="10825B7D">
            <w:pPr>
              <w:shd w:val="clear" w:color="auto" w:fill="auto"/>
              <w:jc w:val="center"/>
              <w:rPr>
                <w:rFonts w:ascii="宋体" w:hAnsi="宋体"/>
                <w:color w:val="auto"/>
                <w:highlight w:val="none"/>
              </w:rPr>
            </w:pPr>
            <w:r>
              <w:rPr>
                <w:rFonts w:hint="eastAsia" w:ascii="宋体" w:hAnsi="宋体"/>
                <w:color w:val="auto"/>
                <w:highlight w:val="none"/>
              </w:rPr>
              <w:t>投标有效期</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6A9A1AE1">
            <w:pPr>
              <w:shd w:val="clear" w:color="auto" w:fill="auto"/>
              <w:jc w:val="center"/>
              <w:rPr>
                <w:rFonts w:ascii="宋体" w:hAnsi="宋体"/>
                <w:color w:val="auto"/>
                <w:highlight w:val="none"/>
              </w:rPr>
            </w:pPr>
            <w:r>
              <w:rPr>
                <w:rFonts w:hint="eastAsia" w:ascii="宋体" w:hAnsi="宋体"/>
                <w:color w:val="auto"/>
                <w:highlight w:val="none"/>
              </w:rPr>
              <w:t>投标截止日后180个日历日内</w:t>
            </w:r>
          </w:p>
        </w:tc>
      </w:tr>
      <w:tr w14:paraId="4B19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360" w:type="dxa"/>
            <w:gridSpan w:val="2"/>
            <w:noWrap w:val="0"/>
            <w:vAlign w:val="center"/>
          </w:tcPr>
          <w:p w14:paraId="3FADF7CF">
            <w:pPr>
              <w:shd w:val="clear" w:color="auto" w:fill="auto"/>
              <w:jc w:val="center"/>
              <w:rPr>
                <w:rFonts w:ascii="宋体" w:hAnsi="宋体"/>
                <w:color w:val="auto"/>
                <w:highlight w:val="none"/>
              </w:rPr>
            </w:pPr>
            <w:r>
              <w:rPr>
                <w:rFonts w:hint="eastAsia" w:ascii="宋体" w:hAnsi="宋体"/>
                <w:color w:val="auto"/>
                <w:highlight w:val="none"/>
              </w:rPr>
              <w:t>备注：详细内容见《分项报价表》。</w:t>
            </w:r>
          </w:p>
        </w:tc>
      </w:tr>
    </w:tbl>
    <w:p w14:paraId="6C6FF259">
      <w:pPr>
        <w:shd w:val="clear" w:color="auto" w:fill="auto"/>
        <w:tabs>
          <w:tab w:val="left" w:pos="8364"/>
        </w:tabs>
        <w:spacing w:line="240" w:lineRule="atLeast"/>
        <w:ind w:right="-58"/>
        <w:rPr>
          <w:rFonts w:ascii="宋体" w:hAnsi="宋体"/>
          <w:color w:val="auto"/>
          <w:highlight w:val="none"/>
          <w:u w:val="single"/>
        </w:rPr>
      </w:pPr>
    </w:p>
    <w:p w14:paraId="102021C2">
      <w:pPr>
        <w:shd w:val="clear" w:color="auto" w:fill="auto"/>
        <w:tabs>
          <w:tab w:val="left" w:pos="8364"/>
        </w:tabs>
        <w:spacing w:line="240" w:lineRule="atLeast"/>
        <w:ind w:right="-58"/>
        <w:rPr>
          <w:rFonts w:ascii="宋体" w:hAnsi="宋体"/>
          <w:color w:val="auto"/>
          <w:highlight w:val="none"/>
        </w:rPr>
      </w:pPr>
      <w:r>
        <w:rPr>
          <w:rFonts w:hint="eastAsia" w:ascii="宋体" w:hAnsi="宋体"/>
          <w:color w:val="auto"/>
          <w:highlight w:val="none"/>
        </w:rPr>
        <w:t>注：</w:t>
      </w:r>
    </w:p>
    <w:p w14:paraId="2452FA02">
      <w:pPr>
        <w:shd w:val="clear" w:color="auto" w:fill="auto"/>
        <w:tabs>
          <w:tab w:val="left" w:pos="8364"/>
        </w:tabs>
        <w:ind w:right="-58"/>
        <w:rPr>
          <w:rFonts w:ascii="宋体" w:hAnsi="宋体"/>
          <w:color w:val="auto"/>
          <w:highlight w:val="none"/>
        </w:rPr>
      </w:pPr>
      <w:r>
        <w:rPr>
          <w:rFonts w:hint="eastAsia" w:ascii="宋体" w:hAnsi="宋体"/>
          <w:color w:val="auto"/>
          <w:highlight w:val="none"/>
        </w:rPr>
        <w:t>1、本表所填报的报价全部为含税价，必须包括满足技术条件要求的所有费用（如：人员劳务费、检测、保险费、管理费等）、利润和税金。</w:t>
      </w:r>
    </w:p>
    <w:p w14:paraId="7991DCCB">
      <w:pPr>
        <w:shd w:val="clear" w:color="auto" w:fill="auto"/>
        <w:tabs>
          <w:tab w:val="left" w:pos="8364"/>
        </w:tabs>
        <w:ind w:right="-58"/>
        <w:rPr>
          <w:rFonts w:ascii="宋体" w:hAnsi="宋体"/>
          <w:color w:val="auto"/>
          <w:highlight w:val="none"/>
        </w:rPr>
      </w:pPr>
      <w:r>
        <w:rPr>
          <w:rFonts w:hint="eastAsia" w:ascii="宋体" w:hAnsi="宋体"/>
          <w:color w:val="auto"/>
          <w:highlight w:val="none"/>
        </w:rPr>
        <w:t>2、如有投标人有提供优惠/折扣，本表中的投标总价应当为优惠/折扣后的价格；投标人不能采用总价下浮/扣减的方式提供优惠/折扣。</w:t>
      </w:r>
    </w:p>
    <w:p w14:paraId="67C6ED34">
      <w:pPr>
        <w:shd w:val="clear" w:color="auto" w:fill="auto"/>
        <w:autoSpaceDE w:val="0"/>
        <w:autoSpaceDN w:val="0"/>
        <w:spacing w:before="177" w:after="177" w:line="360" w:lineRule="auto"/>
        <w:ind w:firstLine="420" w:firstLineChars="200"/>
        <w:rPr>
          <w:rFonts w:hint="eastAsia" w:ascii="宋体" w:hAnsi="宋体"/>
          <w:color w:val="auto"/>
          <w:szCs w:val="21"/>
          <w:highlight w:val="none"/>
        </w:rPr>
      </w:pPr>
    </w:p>
    <w:p w14:paraId="784CCB78">
      <w:pPr>
        <w:shd w:val="clear" w:color="auto" w:fill="auto"/>
        <w:autoSpaceDE w:val="0"/>
        <w:autoSpaceDN w:val="0"/>
        <w:spacing w:before="177" w:after="177" w:line="360" w:lineRule="auto"/>
        <w:ind w:firstLine="420" w:firstLineChars="200"/>
        <w:rPr>
          <w:rFonts w:ascii="宋体" w:hAnsi="宋体" w:cs="Arial"/>
          <w:color w:val="auto"/>
          <w:kern w:val="0"/>
          <w:szCs w:val="21"/>
          <w:highlight w:val="none"/>
        </w:rPr>
      </w:pPr>
      <w:r>
        <w:rPr>
          <w:rFonts w:hint="eastAsia" w:ascii="宋体" w:hAnsi="宋体"/>
          <w:color w:val="auto"/>
          <w:szCs w:val="21"/>
          <w:highlight w:val="none"/>
        </w:rPr>
        <w:t>投标人名称及公章：</w:t>
      </w:r>
    </w:p>
    <w:p w14:paraId="195CB82F">
      <w:pPr>
        <w:shd w:val="clear" w:color="auto" w:fill="auto"/>
        <w:autoSpaceDE w:val="0"/>
        <w:autoSpaceDN w:val="0"/>
        <w:spacing w:before="177" w:after="177" w:line="360" w:lineRule="auto"/>
        <w:ind w:firstLine="470"/>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017DFF2A">
      <w:pPr>
        <w:shd w:val="clear" w:color="auto" w:fill="auto"/>
        <w:autoSpaceDE w:val="0"/>
        <w:autoSpaceDN w:val="0"/>
        <w:spacing w:before="177" w:after="177" w:line="360" w:lineRule="auto"/>
        <w:ind w:firstLine="470"/>
        <w:rPr>
          <w:rFonts w:ascii="宋体" w:hAnsi="宋体"/>
          <w:color w:val="auto"/>
          <w:szCs w:val="21"/>
          <w:highlight w:val="none"/>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Arial"/>
          <w:color w:val="auto"/>
          <w:kern w:val="0"/>
          <w:szCs w:val="21"/>
          <w:highlight w:val="none"/>
          <w:lang w:val="en-US" w:eastAsia="zh-CN"/>
        </w:rPr>
        <w:t xml:space="preserve">    </w:t>
      </w:r>
      <w:r>
        <w:rPr>
          <w:rFonts w:hint="eastAsia" w:ascii="宋体" w:hAnsi="宋体" w:cs="宋体"/>
          <w:color w:val="auto"/>
          <w:kern w:val="24"/>
          <w:szCs w:val="21"/>
          <w:highlight w:val="none"/>
          <w:lang w:val="zh-CN"/>
        </w:rPr>
        <w:t>年</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月</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日</w:t>
      </w:r>
    </w:p>
    <w:p w14:paraId="71D7DAE4">
      <w:pPr>
        <w:widowControl/>
        <w:shd w:val="clear" w:color="auto" w:fill="auto"/>
        <w:jc w:val="left"/>
        <w:rPr>
          <w:rFonts w:ascii="宋体" w:hAnsi="宋体"/>
          <w:color w:val="auto"/>
          <w:szCs w:val="21"/>
          <w:highlight w:val="none"/>
        </w:rPr>
      </w:pPr>
      <w:r>
        <w:rPr>
          <w:rFonts w:ascii="宋体" w:hAnsi="宋体"/>
          <w:color w:val="auto"/>
          <w:szCs w:val="21"/>
          <w:highlight w:val="none"/>
        </w:rPr>
        <w:br w:type="page"/>
      </w:r>
    </w:p>
    <w:p w14:paraId="2B393B27">
      <w:pPr>
        <w:pStyle w:val="5"/>
        <w:shd w:val="clear" w:color="auto" w:fill="auto"/>
        <w:spacing w:before="20" w:after="0"/>
        <w:ind w:firstLine="176"/>
        <w:jc w:val="center"/>
        <w:rPr>
          <w:rFonts w:ascii="宋体" w:hAnsi="宋体"/>
          <w:color w:val="auto"/>
          <w:sz w:val="36"/>
          <w:szCs w:val="16"/>
          <w:highlight w:val="none"/>
        </w:rPr>
      </w:pPr>
      <w:bookmarkStart w:id="440" w:name="_Toc29121392"/>
      <w:bookmarkStart w:id="441" w:name="_Toc126835316"/>
      <w:r>
        <w:rPr>
          <w:rFonts w:hint="eastAsia" w:ascii="宋体" w:hAnsi="宋体"/>
          <w:color w:val="auto"/>
          <w:sz w:val="36"/>
          <w:szCs w:val="16"/>
          <w:highlight w:val="none"/>
        </w:rPr>
        <w:t>分项报价表（格式）</w:t>
      </w:r>
      <w:bookmarkEnd w:id="440"/>
      <w:bookmarkEnd w:id="441"/>
    </w:p>
    <w:p w14:paraId="0D452E96">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投标人名称：</w:t>
      </w:r>
    </w:p>
    <w:p w14:paraId="16F9DAFC">
      <w:pPr>
        <w:shd w:val="clear" w:color="auto" w:fill="auto"/>
        <w:tabs>
          <w:tab w:val="left" w:pos="8364"/>
        </w:tabs>
        <w:spacing w:line="360" w:lineRule="auto"/>
        <w:ind w:left="1050" w:right="-58" w:hanging="1050" w:hangingChars="50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u w:val="single"/>
          <w:lang w:eastAsia="zh-CN"/>
        </w:rPr>
        <w:t>2026-2028年葡萄糖、乙酸钠、乙二醇采购项目</w:t>
      </w:r>
    </w:p>
    <w:p w14:paraId="38093698">
      <w:pPr>
        <w:shd w:val="clear" w:color="auto" w:fill="auto"/>
        <w:tabs>
          <w:tab w:val="left" w:pos="8364"/>
        </w:tabs>
        <w:spacing w:line="360" w:lineRule="auto"/>
        <w:ind w:right="-58"/>
        <w:rPr>
          <w:rFonts w:ascii="宋体" w:hAnsi="宋体"/>
          <w:color w:val="auto"/>
          <w:highlight w:val="none"/>
        </w:rPr>
      </w:pPr>
      <w:r>
        <w:rPr>
          <w:rFonts w:hint="eastAsia" w:ascii="宋体" w:hAnsi="宋体"/>
          <w:color w:val="auto"/>
          <w:highlight w:val="none"/>
        </w:rPr>
        <w:t>项目编号：</w:t>
      </w:r>
      <w:r>
        <w:rPr>
          <w:rFonts w:ascii="宋体" w:hAnsi="宋体"/>
          <w:color w:val="auto"/>
          <w:highlight w:val="none"/>
        </w:rPr>
        <w:t>JG</w:t>
      </w:r>
      <w:r>
        <w:rPr>
          <w:rFonts w:hint="eastAsia" w:ascii="宋体" w:hAnsi="宋体"/>
          <w:color w:val="auto"/>
          <w:highlight w:val="none"/>
        </w:rPr>
        <w:t>2025</w:t>
      </w:r>
      <w:r>
        <w:rPr>
          <w:rFonts w:ascii="宋体" w:hAnsi="宋体"/>
          <w:color w:val="auto"/>
          <w:highlight w:val="none"/>
        </w:rPr>
        <w:t>-</w:t>
      </w:r>
    </w:p>
    <w:p w14:paraId="55C9C7B4">
      <w:pPr>
        <w:shd w:val="clear" w:color="auto" w:fill="auto"/>
        <w:spacing w:line="200" w:lineRule="atLeast"/>
        <w:ind w:left="630" w:hanging="630" w:hangingChars="300"/>
        <w:rPr>
          <w:rFonts w:ascii="宋体" w:hAnsi="宋体"/>
          <w:color w:val="auto"/>
          <w:highlight w:val="none"/>
        </w:rPr>
      </w:pPr>
    </w:p>
    <w:p w14:paraId="31866BBA">
      <w:pPr>
        <w:widowControl/>
        <w:shd w:val="clear" w:color="auto" w:fill="auto"/>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本项目划分为</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个标段。</w:t>
      </w:r>
      <w:r>
        <w:rPr>
          <w:rFonts w:hint="eastAsia" w:ascii="宋体" w:hAnsi="宋体"/>
          <w:b/>
          <w:color w:val="auto"/>
          <w:szCs w:val="21"/>
          <w:highlight w:val="none"/>
        </w:rPr>
        <w:t>最高投标限价为10,495,000.00元。投标报价总价或投标单价超过任一最高投标限价时，投标文件将被拒绝。</w:t>
      </w:r>
    </w:p>
    <w:p w14:paraId="4ED8B608">
      <w:pPr>
        <w:shd w:val="clear" w:color="auto" w:fill="auto"/>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供货时间：合同期内必须按采购人生产需求准时供货，每次交货量由双方协定。如有特殊情况，采购人提前24小时通知中标人。合同有效期限为</w:t>
      </w:r>
      <w:r>
        <w:rPr>
          <w:rFonts w:hint="eastAsia" w:ascii="宋体" w:hAnsi="宋体"/>
          <w:color w:val="auto"/>
          <w:szCs w:val="21"/>
          <w:highlight w:val="none"/>
          <w:lang w:val="en-US" w:eastAsia="zh-CN"/>
        </w:rPr>
        <w:t>3</w:t>
      </w:r>
      <w:r>
        <w:rPr>
          <w:rFonts w:hint="eastAsia" w:ascii="宋体" w:hAnsi="宋体"/>
          <w:color w:val="auto"/>
          <w:szCs w:val="21"/>
          <w:highlight w:val="none"/>
        </w:rPr>
        <w:t>年，以合同签订之日起算。</w:t>
      </w:r>
    </w:p>
    <w:p w14:paraId="0F9E1EB3">
      <w:pPr>
        <w:shd w:val="clear" w:color="auto" w:fill="auto"/>
        <w:spacing w:line="360" w:lineRule="auto"/>
        <w:ind w:firstLine="420" w:firstLineChars="200"/>
        <w:rPr>
          <w:rFonts w:hint="eastAsia" w:ascii="宋体" w:hAnsi="宋体"/>
          <w:color w:val="auto"/>
          <w:szCs w:val="21"/>
          <w:highlight w:val="none"/>
        </w:rPr>
      </w:pPr>
    </w:p>
    <w:tbl>
      <w:tblPr>
        <w:tblStyle w:val="30"/>
        <w:tblW w:w="0" w:type="auto"/>
        <w:tblInd w:w="98" w:type="dxa"/>
        <w:tblLayout w:type="fixed"/>
        <w:tblCellMar>
          <w:top w:w="0" w:type="dxa"/>
          <w:left w:w="108" w:type="dxa"/>
          <w:bottom w:w="0" w:type="dxa"/>
          <w:right w:w="108" w:type="dxa"/>
        </w:tblCellMar>
      </w:tblPr>
      <w:tblGrid>
        <w:gridCol w:w="437"/>
        <w:gridCol w:w="836"/>
        <w:gridCol w:w="990"/>
        <w:gridCol w:w="950"/>
        <w:gridCol w:w="1800"/>
        <w:gridCol w:w="1785"/>
        <w:gridCol w:w="1626"/>
      </w:tblGrid>
      <w:tr w14:paraId="639C1774">
        <w:tblPrEx>
          <w:tblCellMar>
            <w:top w:w="0" w:type="dxa"/>
            <w:left w:w="108" w:type="dxa"/>
            <w:bottom w:w="0" w:type="dxa"/>
            <w:right w:w="108" w:type="dxa"/>
          </w:tblCellMar>
        </w:tblPrEx>
        <w:trPr>
          <w:trHeight w:val="660" w:hRule="atLeast"/>
        </w:trPr>
        <w:tc>
          <w:tcPr>
            <w:tcW w:w="8424" w:type="dxa"/>
            <w:gridSpan w:val="7"/>
            <w:tcBorders>
              <w:top w:val="nil"/>
              <w:left w:val="nil"/>
              <w:bottom w:val="nil"/>
              <w:right w:val="nil"/>
            </w:tcBorders>
            <w:noWrap w:val="0"/>
            <w:vAlign w:val="center"/>
          </w:tcPr>
          <w:p w14:paraId="1C13F9B4">
            <w:pPr>
              <w:keepNext w:val="0"/>
              <w:keepLines w:val="0"/>
              <w:widowControl/>
              <w:suppressLineNumbers w:val="0"/>
              <w:shd w:val="clear" w:color="auto" w:fill="auto"/>
              <w:jc w:val="center"/>
              <w:textAlignment w:val="center"/>
              <w:rPr>
                <w:rFonts w:ascii="宋体" w:hAnsi="宋体" w:cs="宋体"/>
                <w:b/>
                <w:bCs/>
                <w:color w:val="auto"/>
                <w:sz w:val="36"/>
                <w:szCs w:val="36"/>
                <w:highlight w:val="none"/>
              </w:rPr>
            </w:pPr>
            <w:r>
              <w:rPr>
                <w:rFonts w:hint="eastAsia" w:ascii="宋体" w:hAnsi="宋体" w:cs="宋体"/>
                <w:b/>
                <w:bCs/>
                <w:i w:val="0"/>
                <w:iCs w:val="0"/>
                <w:color w:val="auto"/>
                <w:kern w:val="0"/>
                <w:sz w:val="22"/>
                <w:szCs w:val="22"/>
                <w:highlight w:val="none"/>
                <w:u w:val="none"/>
                <w:lang w:val="en-US" w:eastAsia="zh-CN" w:bidi="ar"/>
              </w:rPr>
              <w:t>2026-2028年葡萄糖、乙酸钠、乙二醇采购项目</w:t>
            </w:r>
          </w:p>
        </w:tc>
      </w:tr>
      <w:tr w14:paraId="14971F18">
        <w:tblPrEx>
          <w:tblCellMar>
            <w:top w:w="0" w:type="dxa"/>
            <w:left w:w="108" w:type="dxa"/>
            <w:bottom w:w="0" w:type="dxa"/>
            <w:right w:w="108" w:type="dxa"/>
          </w:tblCellMar>
        </w:tblPrEx>
        <w:trPr>
          <w:trHeight w:val="500" w:hRule="atLeast"/>
        </w:trPr>
        <w:tc>
          <w:tcPr>
            <w:tcW w:w="8424" w:type="dxa"/>
            <w:gridSpan w:val="7"/>
            <w:tcBorders>
              <w:top w:val="single" w:color="000000" w:sz="4" w:space="0"/>
              <w:left w:val="single" w:color="000000" w:sz="4" w:space="0"/>
              <w:bottom w:val="single" w:color="000000" w:sz="4" w:space="0"/>
              <w:right w:val="single" w:color="000000" w:sz="4" w:space="0"/>
            </w:tcBorders>
            <w:noWrap w:val="0"/>
            <w:vAlign w:val="center"/>
          </w:tcPr>
          <w:p w14:paraId="0AC2D8BC">
            <w:pPr>
              <w:keepNext w:val="0"/>
              <w:keepLines w:val="0"/>
              <w:widowControl/>
              <w:suppressLineNumbers w:val="0"/>
              <w:shd w:val="clear" w:color="auto" w:fill="auto"/>
              <w:jc w:val="center"/>
              <w:textAlignment w:val="center"/>
              <w:rPr>
                <w:rFonts w:ascii="宋体" w:hAnsi="宋体" w:cs="宋体"/>
                <w:b/>
                <w:bCs/>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报价表</w:t>
            </w:r>
          </w:p>
        </w:tc>
      </w:tr>
      <w:tr w14:paraId="77C43084">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23EB7CAD">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9FDC9D5">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药剂种类</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1AAA46">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EEE0AA">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数量（吨）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217BFAC">
            <w:pPr>
              <w:keepNext w:val="0"/>
              <w:keepLines w:val="0"/>
              <w:widowControl/>
              <w:suppressLineNumbers w:val="0"/>
              <w:shd w:val="clear" w:color="auto" w:fill="auto"/>
              <w:jc w:val="center"/>
              <w:textAlignment w:val="center"/>
              <w:rPr>
                <w:rFonts w:hint="eastAsia"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最高投标限价</w:t>
            </w:r>
          </w:p>
          <w:p w14:paraId="235730DA">
            <w:pPr>
              <w:keepNext w:val="0"/>
              <w:keepLines w:val="0"/>
              <w:widowControl/>
              <w:suppressLineNumbers w:val="0"/>
              <w:shd w:val="clear" w:color="auto" w:fill="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（元/吨）</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B8BEEA0">
            <w:pPr>
              <w:keepNext w:val="0"/>
              <w:keepLines w:val="0"/>
              <w:widowControl/>
              <w:suppressLineNumbers w:val="0"/>
              <w:shd w:val="clear" w:color="auto" w:fill="auto"/>
              <w:jc w:val="center"/>
              <w:textAlignment w:val="center"/>
              <w:rPr>
                <w:rFonts w:hint="eastAsia"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w:t>
            </w:r>
            <w:r>
              <w:rPr>
                <w:rFonts w:hint="eastAsia" w:ascii="宋体" w:hAnsi="宋体" w:eastAsia="宋体" w:cs="宋体"/>
                <w:b/>
                <w:bCs/>
                <w:i w:val="0"/>
                <w:iCs w:val="0"/>
                <w:color w:val="auto"/>
                <w:kern w:val="0"/>
                <w:sz w:val="22"/>
                <w:szCs w:val="22"/>
                <w:highlight w:val="none"/>
                <w:u w:val="none"/>
                <w:lang w:val="en-US" w:eastAsia="zh-CN" w:bidi="ar"/>
              </w:rPr>
              <w:t>单价</w:t>
            </w:r>
            <w:r>
              <w:rPr>
                <w:rFonts w:hint="eastAsia" w:ascii="宋体" w:hAnsi="宋体" w:cs="宋体"/>
                <w:b/>
                <w:bCs/>
                <w:i w:val="0"/>
                <w:iCs w:val="0"/>
                <w:color w:val="auto"/>
                <w:kern w:val="0"/>
                <w:sz w:val="22"/>
                <w:szCs w:val="22"/>
                <w:highlight w:val="none"/>
                <w:u w:val="none"/>
                <w:lang w:val="en-US" w:eastAsia="zh-CN" w:bidi="ar"/>
              </w:rPr>
              <w:t>报价</w:t>
            </w:r>
          </w:p>
          <w:p w14:paraId="2FA8EED9">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（元/吨）</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3F7B1D7">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合价(元）</w:t>
            </w:r>
          </w:p>
        </w:tc>
      </w:tr>
      <w:tr w14:paraId="4AB256EC">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2834B898">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B57ECFE">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olor w:val="auto"/>
                <w:sz w:val="24"/>
                <w:highlight w:val="none"/>
                <w:lang w:val="en-US" w:eastAsia="zh-CN"/>
              </w:rPr>
              <w:t>葡萄糖</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BB233EA">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olor w:val="auto"/>
                <w:sz w:val="24"/>
                <w:highlight w:val="none"/>
                <w:lang w:val="en-US" w:eastAsia="zh-CN"/>
              </w:rPr>
              <w:t>固态，含量≥99%</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D1ADC2">
            <w:pPr>
              <w:keepNext w:val="0"/>
              <w:keepLines w:val="0"/>
              <w:widowControl/>
              <w:suppressLineNumbers w:val="0"/>
              <w:shd w:val="clear" w:color="auto" w:fill="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8F6457B">
            <w:pPr>
              <w:shd w:val="clear" w:color="auto" w:fill="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6218597">
            <w:pPr>
              <w:shd w:val="clear" w:color="auto" w:fill="auto"/>
              <w:jc w:val="center"/>
              <w:rPr>
                <w:rFonts w:ascii="宋体" w:hAnsi="宋体" w:cs="宋体"/>
                <w:color w:val="auto"/>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DDA1780">
            <w:pPr>
              <w:shd w:val="clear" w:color="auto" w:fill="auto"/>
              <w:jc w:val="center"/>
              <w:rPr>
                <w:rFonts w:ascii="宋体" w:hAnsi="宋体" w:cs="宋体"/>
                <w:color w:val="auto"/>
                <w:sz w:val="24"/>
                <w:szCs w:val="24"/>
                <w:highlight w:val="none"/>
              </w:rPr>
            </w:pPr>
          </w:p>
        </w:tc>
      </w:tr>
      <w:tr w14:paraId="7D05820B">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058F0B91">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1A7A93F">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Times New Roman"/>
                <w:color w:val="auto"/>
                <w:kern w:val="2"/>
                <w:sz w:val="24"/>
                <w:szCs w:val="24"/>
                <w:highlight w:val="none"/>
                <w:lang w:val="en-US" w:eastAsia="zh-CN" w:bidi="ar-SA"/>
              </w:rPr>
              <w:t>乙酸钠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6B4CDD">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Times New Roman"/>
                <w:color w:val="auto"/>
                <w:kern w:val="2"/>
                <w:sz w:val="24"/>
                <w:szCs w:val="24"/>
                <w:highlight w:val="none"/>
                <w:lang w:val="en-US" w:eastAsia="zh-CN" w:bidi="ar-SA"/>
              </w:rPr>
              <w:t>固态，含量≥98%</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6212D8">
            <w:pPr>
              <w:keepNext w:val="0"/>
              <w:keepLines w:val="0"/>
              <w:widowControl/>
              <w:suppressLineNumbers w:val="0"/>
              <w:shd w:val="clear" w:color="auto" w:fill="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B6095B">
            <w:pPr>
              <w:shd w:val="clear" w:color="auto" w:fill="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3500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B87BB99">
            <w:pPr>
              <w:shd w:val="clear" w:color="auto" w:fill="auto"/>
              <w:jc w:val="center"/>
              <w:rPr>
                <w:rFonts w:ascii="宋体" w:hAnsi="宋体" w:cs="宋体"/>
                <w:color w:val="auto"/>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546EEE3">
            <w:pPr>
              <w:shd w:val="clear" w:color="auto" w:fill="auto"/>
              <w:jc w:val="center"/>
              <w:rPr>
                <w:rFonts w:ascii="宋体" w:hAnsi="宋体" w:cs="宋体"/>
                <w:color w:val="auto"/>
                <w:sz w:val="24"/>
                <w:szCs w:val="24"/>
                <w:highlight w:val="none"/>
              </w:rPr>
            </w:pPr>
          </w:p>
        </w:tc>
      </w:tr>
      <w:tr w14:paraId="2B9E8CCD">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25921B40">
            <w:pPr>
              <w:keepNext w:val="0"/>
              <w:keepLines w:val="0"/>
              <w:widowControl/>
              <w:suppressLineNumbers w:val="0"/>
              <w:shd w:val="clear" w:color="auto" w:fill="auto"/>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F8B8F88">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Times New Roman"/>
                <w:color w:val="auto"/>
                <w:kern w:val="2"/>
                <w:sz w:val="24"/>
                <w:szCs w:val="24"/>
                <w:highlight w:val="none"/>
                <w:lang w:val="en-US" w:eastAsia="zh-CN" w:bidi="ar-SA"/>
              </w:rPr>
              <w:t>乙二醇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466C26">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Times New Roman"/>
                <w:color w:val="auto"/>
                <w:kern w:val="2"/>
                <w:sz w:val="24"/>
                <w:szCs w:val="24"/>
                <w:highlight w:val="none"/>
                <w:lang w:val="en-US" w:eastAsia="zh-CN" w:bidi="ar-SA"/>
              </w:rPr>
              <w:t>液态，含量≥99%</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DBFC3EB">
            <w:pPr>
              <w:keepNext w:val="0"/>
              <w:keepLines w:val="0"/>
              <w:widowControl/>
              <w:suppressLineNumbers w:val="0"/>
              <w:shd w:val="clear" w:color="auto" w:fill="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1100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E260C3D">
            <w:pPr>
              <w:shd w:val="clear" w:color="auto" w:fill="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58C97EF">
            <w:pPr>
              <w:shd w:val="clear" w:color="auto" w:fill="auto"/>
              <w:jc w:val="center"/>
              <w:rPr>
                <w:rFonts w:ascii="宋体" w:hAnsi="宋体" w:cs="宋体"/>
                <w:color w:val="auto"/>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4D2AC63">
            <w:pPr>
              <w:shd w:val="clear" w:color="auto" w:fill="auto"/>
              <w:jc w:val="center"/>
              <w:rPr>
                <w:rFonts w:ascii="宋体" w:hAnsi="宋体" w:cs="宋体"/>
                <w:color w:val="auto"/>
                <w:sz w:val="24"/>
                <w:szCs w:val="24"/>
                <w:highlight w:val="none"/>
              </w:rPr>
            </w:pPr>
          </w:p>
        </w:tc>
      </w:tr>
      <w:tr w14:paraId="70930997">
        <w:tblPrEx>
          <w:tblCellMar>
            <w:top w:w="0" w:type="dxa"/>
            <w:left w:w="108" w:type="dxa"/>
            <w:bottom w:w="0" w:type="dxa"/>
            <w:right w:w="108" w:type="dxa"/>
          </w:tblCellMar>
        </w:tblPrEx>
        <w:trPr>
          <w:trHeight w:val="500" w:hRule="atLeast"/>
        </w:trPr>
        <w:tc>
          <w:tcPr>
            <w:tcW w:w="6798" w:type="dxa"/>
            <w:gridSpan w:val="6"/>
            <w:tcBorders>
              <w:top w:val="single" w:color="000000" w:sz="4" w:space="0"/>
              <w:left w:val="single" w:color="000000" w:sz="4" w:space="0"/>
              <w:bottom w:val="single" w:color="000000" w:sz="4" w:space="0"/>
              <w:right w:val="single" w:color="000000" w:sz="4" w:space="0"/>
            </w:tcBorders>
            <w:noWrap w:val="0"/>
            <w:vAlign w:val="center"/>
          </w:tcPr>
          <w:p w14:paraId="6EC4C965">
            <w:pPr>
              <w:keepNext w:val="0"/>
              <w:keepLines w:val="0"/>
              <w:widowControl/>
              <w:suppressLineNumbers w:val="0"/>
              <w:shd w:val="clear" w:color="auto" w:fill="auto"/>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9C2BF94">
            <w:pPr>
              <w:shd w:val="clear" w:color="auto" w:fill="auto"/>
              <w:jc w:val="center"/>
              <w:rPr>
                <w:rFonts w:ascii="宋体" w:hAnsi="宋体" w:cs="宋体"/>
                <w:color w:val="auto"/>
                <w:sz w:val="24"/>
                <w:szCs w:val="24"/>
                <w:highlight w:val="none"/>
              </w:rPr>
            </w:pPr>
          </w:p>
        </w:tc>
      </w:tr>
      <w:tr w14:paraId="2F42C295">
        <w:tblPrEx>
          <w:tblCellMar>
            <w:top w:w="0" w:type="dxa"/>
            <w:left w:w="108" w:type="dxa"/>
            <w:bottom w:w="0" w:type="dxa"/>
            <w:right w:w="108" w:type="dxa"/>
          </w:tblCellMar>
        </w:tblPrEx>
        <w:trPr>
          <w:trHeight w:val="720" w:hRule="atLeast"/>
        </w:trPr>
        <w:tc>
          <w:tcPr>
            <w:tcW w:w="5013" w:type="dxa"/>
            <w:gridSpan w:val="5"/>
            <w:tcBorders>
              <w:top w:val="nil"/>
              <w:left w:val="nil"/>
              <w:bottom w:val="nil"/>
              <w:right w:val="nil"/>
            </w:tcBorders>
            <w:noWrap/>
            <w:vAlign w:val="center"/>
          </w:tcPr>
          <w:p w14:paraId="74C39748">
            <w:pPr>
              <w:widowControl/>
              <w:shd w:val="clear" w:color="auto" w:fill="auto"/>
              <w:jc w:val="left"/>
              <w:textAlignment w:val="center"/>
              <w:rPr>
                <w:rFonts w:ascii="宋体" w:hAnsi="宋体" w:cs="宋体"/>
                <w:color w:val="auto"/>
                <w:sz w:val="22"/>
                <w:highlight w:val="none"/>
              </w:rPr>
            </w:pPr>
          </w:p>
        </w:tc>
        <w:tc>
          <w:tcPr>
            <w:tcW w:w="3411" w:type="dxa"/>
            <w:gridSpan w:val="2"/>
            <w:tcBorders>
              <w:top w:val="nil"/>
              <w:left w:val="nil"/>
              <w:bottom w:val="nil"/>
              <w:right w:val="nil"/>
            </w:tcBorders>
            <w:noWrap/>
            <w:vAlign w:val="center"/>
          </w:tcPr>
          <w:p w14:paraId="5DC9ADFD">
            <w:pPr>
              <w:widowControl/>
              <w:shd w:val="clear" w:color="auto" w:fill="auto"/>
              <w:jc w:val="left"/>
              <w:textAlignment w:val="center"/>
              <w:rPr>
                <w:rFonts w:ascii="宋体" w:hAnsi="宋体" w:cs="宋体"/>
                <w:color w:val="auto"/>
                <w:sz w:val="22"/>
                <w:highlight w:val="none"/>
              </w:rPr>
            </w:pPr>
          </w:p>
        </w:tc>
      </w:tr>
    </w:tbl>
    <w:p w14:paraId="2CC3CDE7">
      <w:pPr>
        <w:shd w:val="clear" w:color="auto" w:fill="auto"/>
        <w:spacing w:line="200" w:lineRule="atLeast"/>
        <w:ind w:left="630" w:leftChars="200" w:hanging="210" w:hangingChars="100"/>
        <w:rPr>
          <w:rFonts w:ascii="宋体" w:hAnsi="宋体"/>
          <w:color w:val="auto"/>
          <w:szCs w:val="21"/>
          <w:highlight w:val="none"/>
        </w:rPr>
      </w:pPr>
    </w:p>
    <w:p w14:paraId="1ED6C773">
      <w:pPr>
        <w:shd w:val="clear" w:color="auto" w:fill="auto"/>
        <w:spacing w:line="360" w:lineRule="auto"/>
        <w:rPr>
          <w:rFonts w:hint="eastAsia" w:ascii="宋体" w:hAnsi="宋体"/>
          <w:color w:val="auto"/>
          <w:szCs w:val="21"/>
          <w:highlight w:val="none"/>
        </w:rPr>
      </w:pPr>
    </w:p>
    <w:p w14:paraId="7060D1E0">
      <w:pPr>
        <w:shd w:val="clear" w:color="auto" w:fill="auto"/>
        <w:spacing w:line="360" w:lineRule="auto"/>
        <w:rPr>
          <w:rFonts w:ascii="宋体" w:hAnsi="宋体" w:cs="Arial"/>
          <w:color w:val="auto"/>
          <w:kern w:val="0"/>
          <w:szCs w:val="21"/>
          <w:highlight w:val="none"/>
        </w:rPr>
      </w:pPr>
      <w:r>
        <w:rPr>
          <w:rFonts w:hint="eastAsia" w:ascii="宋体" w:hAnsi="宋体"/>
          <w:color w:val="auto"/>
          <w:szCs w:val="21"/>
          <w:highlight w:val="none"/>
        </w:rPr>
        <w:t>投标人名称及公章：</w:t>
      </w:r>
    </w:p>
    <w:p w14:paraId="1BEAE946">
      <w:pPr>
        <w:shd w:val="clear" w:color="auto" w:fill="auto"/>
        <w:autoSpaceDE w:val="0"/>
        <w:autoSpaceDN w:val="0"/>
        <w:spacing w:line="360" w:lineRule="auto"/>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1A699B9A">
      <w:pPr>
        <w:shd w:val="clear" w:color="auto" w:fill="auto"/>
        <w:autoSpaceDE w:val="0"/>
        <w:autoSpaceDN w:val="0"/>
        <w:spacing w:line="360" w:lineRule="auto"/>
        <w:rPr>
          <w:rFonts w:ascii="宋体" w:hAnsi="宋体" w:cs="宋体"/>
          <w:color w:val="auto"/>
          <w:kern w:val="24"/>
          <w:szCs w:val="21"/>
          <w:highlight w:val="none"/>
          <w:lang w:val="zh-CN"/>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Arial"/>
          <w:color w:val="auto"/>
          <w:kern w:val="0"/>
          <w:szCs w:val="21"/>
          <w:highlight w:val="none"/>
          <w:lang w:val="en-US" w:eastAsia="zh-CN"/>
        </w:rPr>
        <w:t xml:space="preserve">    </w:t>
      </w:r>
      <w:r>
        <w:rPr>
          <w:rFonts w:hint="eastAsia" w:ascii="宋体" w:hAnsi="宋体" w:cs="宋体"/>
          <w:color w:val="auto"/>
          <w:kern w:val="24"/>
          <w:szCs w:val="21"/>
          <w:highlight w:val="none"/>
          <w:lang w:val="zh-CN"/>
        </w:rPr>
        <w:t>年</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月</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日</w:t>
      </w:r>
    </w:p>
    <w:p w14:paraId="1822B569">
      <w:pPr>
        <w:shd w:val="clear" w:color="auto" w:fill="auto"/>
        <w:rPr>
          <w:rFonts w:hint="eastAsia" w:ascii="Times New Roman" w:hAnsi="Times New Roman"/>
          <w:color w:val="auto"/>
          <w:highlight w:val="none"/>
          <w:lang w:val="en-US" w:eastAsia="zh-CN"/>
        </w:rPr>
      </w:pPr>
      <w:bookmarkStart w:id="442" w:name="_Toc491883238"/>
      <w:bookmarkStart w:id="443" w:name="_Toc68765140"/>
      <w:r>
        <w:rPr>
          <w:rFonts w:hint="eastAsia" w:ascii="Times New Roman" w:hAnsi="Times New Roman"/>
          <w:color w:val="auto"/>
          <w:highlight w:val="none"/>
          <w:lang w:val="en-US" w:eastAsia="zh-CN"/>
        </w:rPr>
        <w:br w:type="page"/>
      </w:r>
    </w:p>
    <w:p w14:paraId="2046D89D">
      <w:pPr>
        <w:pStyle w:val="4"/>
        <w:shd w:val="clear" w:color="auto" w:fill="auto"/>
        <w:spacing w:after="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bookmarkEnd w:id="442"/>
      <w:bookmarkEnd w:id="443"/>
    </w:p>
    <w:p w14:paraId="770994D0">
      <w:pPr>
        <w:pStyle w:val="5"/>
        <w:shd w:val="clear" w:color="auto" w:fill="auto"/>
        <w:spacing w:before="20" w:after="0"/>
        <w:ind w:firstLine="137"/>
        <w:rPr>
          <w:rFonts w:ascii="Times New Roman" w:hAnsi="Times New Roman"/>
          <w:color w:val="auto"/>
          <w:highlight w:val="none"/>
        </w:rPr>
      </w:pPr>
      <w:bookmarkStart w:id="444" w:name="_Toc491883239"/>
      <w:bookmarkStart w:id="445" w:name="_Toc68765141"/>
      <w:r>
        <w:rPr>
          <w:rFonts w:ascii="Times New Roman" w:hAnsi="Times New Roman"/>
          <w:color w:val="auto"/>
          <w:highlight w:val="none"/>
        </w:rPr>
        <w:t>（一）基本情况表</w:t>
      </w:r>
      <w:bookmarkEnd w:id="444"/>
      <w:bookmarkEnd w:id="445"/>
    </w:p>
    <w:tbl>
      <w:tblPr>
        <w:tblStyle w:val="30"/>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35282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E0F5025">
            <w:pPr>
              <w:shd w:val="clear" w:color="auto" w:fill="auto"/>
              <w:topLinePunct/>
              <w:spacing w:line="44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40237E9F">
            <w:pPr>
              <w:shd w:val="clear" w:color="auto" w:fill="auto"/>
              <w:topLinePunct/>
              <w:spacing w:line="440" w:lineRule="exact"/>
              <w:jc w:val="center"/>
              <w:rPr>
                <w:rFonts w:ascii="Times New Roman" w:hAnsi="Times New Roman"/>
                <w:color w:val="auto"/>
                <w:highlight w:val="none"/>
              </w:rPr>
            </w:pPr>
          </w:p>
        </w:tc>
      </w:tr>
      <w:tr w14:paraId="246B0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3D94F48E">
            <w:pPr>
              <w:shd w:val="clear" w:color="auto" w:fill="auto"/>
              <w:topLinePunct/>
              <w:spacing w:line="440" w:lineRule="exact"/>
              <w:jc w:val="center"/>
              <w:rPr>
                <w:rFonts w:ascii="Times New Roman" w:hAnsi="Times New Roman"/>
                <w:color w:val="auto"/>
                <w:highlight w:val="none"/>
              </w:rPr>
            </w:pPr>
            <w:r>
              <w:rPr>
                <w:rFonts w:ascii="Times New Roman" w:hAnsi="Times New Roman"/>
                <w:color w:val="auto"/>
                <w:highlight w:val="none"/>
              </w:rPr>
              <w:t>注册</w:t>
            </w:r>
            <w:r>
              <w:rPr>
                <w:rFonts w:ascii="Times New Roman" w:hAnsi="Times New Roman"/>
                <w:color w:val="auto"/>
                <w:szCs w:val="21"/>
                <w:highlight w:val="none"/>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6DCB8F3B">
            <w:pPr>
              <w:shd w:val="clear" w:color="auto" w:fill="auto"/>
              <w:topLinePunct/>
              <w:spacing w:line="440" w:lineRule="exact"/>
              <w:jc w:val="center"/>
              <w:rPr>
                <w:rFonts w:ascii="Times New Roman" w:hAnsi="Times New Roman"/>
                <w:color w:val="auto"/>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814AE90">
            <w:pPr>
              <w:shd w:val="clear" w:color="auto" w:fill="auto"/>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350F2A">
            <w:pPr>
              <w:shd w:val="clear" w:color="auto" w:fill="auto"/>
              <w:topLinePunct/>
              <w:spacing w:line="440" w:lineRule="exact"/>
              <w:jc w:val="center"/>
              <w:rPr>
                <w:rFonts w:ascii="Times New Roman" w:hAnsi="Times New Roman"/>
                <w:color w:val="auto"/>
                <w:highlight w:val="none"/>
              </w:rPr>
            </w:pPr>
          </w:p>
        </w:tc>
      </w:tr>
      <w:tr w14:paraId="55D85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CDBE0E1">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2C898E88">
            <w:pPr>
              <w:shd w:val="clear" w:color="auto" w:fill="auto"/>
              <w:topLinePunct/>
              <w:spacing w:line="440" w:lineRule="exact"/>
              <w:jc w:val="center"/>
              <w:rPr>
                <w:rFonts w:ascii="Times New Roman" w:hAnsi="Times New Roman"/>
                <w:color w:val="auto"/>
                <w:szCs w:val="21"/>
                <w:highlight w:val="none"/>
              </w:rPr>
            </w:pPr>
          </w:p>
        </w:tc>
      </w:tr>
      <w:tr w14:paraId="72E91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E2BB8DD">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734792AA">
            <w:pPr>
              <w:shd w:val="clear" w:color="auto" w:fill="auto"/>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244B1CF">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05B98B">
            <w:pPr>
              <w:shd w:val="clear" w:color="auto" w:fill="auto"/>
              <w:topLinePunct/>
              <w:spacing w:line="440" w:lineRule="exact"/>
              <w:jc w:val="center"/>
              <w:rPr>
                <w:rFonts w:ascii="Times New Roman" w:hAnsi="Times New Roman"/>
                <w:color w:val="auto"/>
                <w:szCs w:val="21"/>
                <w:highlight w:val="none"/>
              </w:rPr>
            </w:pPr>
          </w:p>
        </w:tc>
      </w:tr>
      <w:tr w14:paraId="10A1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5CABE759">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798BCA3">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0CD6FD0">
            <w:pPr>
              <w:shd w:val="clear" w:color="auto" w:fill="auto"/>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8136115">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DE5CAD">
            <w:pPr>
              <w:shd w:val="clear" w:color="auto" w:fill="auto"/>
              <w:topLinePunct/>
              <w:spacing w:line="440" w:lineRule="exact"/>
              <w:jc w:val="center"/>
              <w:rPr>
                <w:rFonts w:ascii="Times New Roman" w:hAnsi="Times New Roman"/>
                <w:color w:val="auto"/>
                <w:szCs w:val="21"/>
                <w:highlight w:val="none"/>
              </w:rPr>
            </w:pPr>
          </w:p>
        </w:tc>
      </w:tr>
      <w:tr w14:paraId="4130C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17967B64">
            <w:pPr>
              <w:shd w:val="clear" w:color="auto" w:fill="auto"/>
              <w:rPr>
                <w:rFonts w:ascii="Times New Roman" w:hAnsi="Times New Roman"/>
                <w:color w:val="auto"/>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1860397">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44BDE5D">
            <w:pPr>
              <w:shd w:val="clear" w:color="auto" w:fill="auto"/>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D9F25F9">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0A686C">
            <w:pPr>
              <w:shd w:val="clear" w:color="auto" w:fill="auto"/>
              <w:topLinePunct/>
              <w:spacing w:line="440" w:lineRule="exact"/>
              <w:jc w:val="center"/>
              <w:rPr>
                <w:rFonts w:ascii="Times New Roman" w:hAnsi="Times New Roman"/>
                <w:color w:val="auto"/>
                <w:szCs w:val="21"/>
                <w:highlight w:val="none"/>
              </w:rPr>
            </w:pPr>
          </w:p>
        </w:tc>
      </w:tr>
      <w:tr w14:paraId="56816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D80A53F">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法定代表人</w:t>
            </w:r>
          </w:p>
          <w:p w14:paraId="1433C754">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highlight w:val="none"/>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46470DD">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BFB4EDD">
            <w:pPr>
              <w:shd w:val="clear" w:color="auto" w:fill="auto"/>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65F61CD">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6D8DAE">
            <w:pPr>
              <w:shd w:val="clear" w:color="auto" w:fill="auto"/>
              <w:topLinePunct/>
              <w:spacing w:line="440" w:lineRule="exact"/>
              <w:jc w:val="center"/>
              <w:rPr>
                <w:rFonts w:ascii="Times New Roman" w:hAnsi="Times New Roman"/>
                <w:color w:val="auto"/>
                <w:szCs w:val="21"/>
                <w:highlight w:val="none"/>
              </w:rPr>
            </w:pPr>
          </w:p>
        </w:tc>
      </w:tr>
      <w:tr w14:paraId="01820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CF8A1A9">
            <w:pPr>
              <w:shd w:val="clear" w:color="auto" w:fill="auto"/>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4AD9515">
            <w:pPr>
              <w:shd w:val="clear" w:color="auto" w:fill="auto"/>
              <w:topLinePunct/>
              <w:spacing w:line="440" w:lineRule="exact"/>
              <w:ind w:firstLine="105" w:firstLineChars="50"/>
              <w:rPr>
                <w:rFonts w:ascii="Times New Roman" w:hAnsi="Times New Roman"/>
                <w:color w:val="auto"/>
                <w:highlight w:val="none"/>
              </w:rPr>
            </w:pPr>
            <w:r>
              <w:rPr>
                <w:rFonts w:hint="eastAsia" w:ascii="Times New Roman" w:hAnsi="Times New Roman"/>
                <w:color w:val="auto"/>
                <w:highlight w:val="none"/>
              </w:rPr>
              <w:t>类型：</w:t>
            </w:r>
            <w:r>
              <w:rPr>
                <w:rFonts w:ascii="Times New Roman" w:hAnsi="Times New Roman"/>
                <w:color w:val="auto"/>
                <w:highlight w:val="none"/>
              </w:rPr>
              <w:t xml:space="preserve">              </w:t>
            </w:r>
            <w:r>
              <w:rPr>
                <w:rFonts w:hint="eastAsia" w:ascii="Times New Roman" w:hAnsi="Times New Roman"/>
                <w:color w:val="auto"/>
                <w:highlight w:val="none"/>
              </w:rPr>
              <w:t>等级：</w:t>
            </w:r>
            <w:r>
              <w:rPr>
                <w:rFonts w:ascii="Times New Roman" w:hAnsi="Times New Roman"/>
                <w:color w:val="auto"/>
                <w:highlight w:val="none"/>
              </w:rPr>
              <w:t xml:space="preserve">      </w:t>
            </w:r>
            <w:r>
              <w:rPr>
                <w:rFonts w:hint="eastAsia" w:ascii="Times New Roman" w:hAnsi="Times New Roman"/>
                <w:color w:val="auto"/>
                <w:highlight w:val="none"/>
              </w:rPr>
              <w:t xml:space="preserve">        证书号：</w:t>
            </w:r>
          </w:p>
        </w:tc>
      </w:tr>
      <w:tr w14:paraId="1A04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430154">
            <w:pPr>
              <w:shd w:val="clear" w:color="auto" w:fill="auto"/>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ACCDA9">
            <w:pPr>
              <w:shd w:val="clear" w:color="auto" w:fill="auto"/>
              <w:topLinePunct/>
              <w:spacing w:line="440" w:lineRule="exact"/>
              <w:ind w:firstLine="105" w:firstLineChars="50"/>
              <w:rPr>
                <w:rFonts w:ascii="Times New Roman" w:hAnsi="Times New Roman"/>
                <w:color w:val="auto"/>
                <w:highlight w:val="none"/>
              </w:rPr>
            </w:pPr>
          </w:p>
        </w:tc>
      </w:tr>
      <w:tr w14:paraId="79AAF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37FB6704">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69E0D3AA">
            <w:pPr>
              <w:shd w:val="clear" w:color="auto" w:fill="auto"/>
              <w:topLinePunct/>
              <w:spacing w:line="440" w:lineRule="exact"/>
              <w:rPr>
                <w:rFonts w:ascii="Times New Roman" w:hAnsi="Times New Roman"/>
                <w:color w:val="auto"/>
                <w:szCs w:val="21"/>
                <w:highlight w:val="none"/>
              </w:rPr>
            </w:pPr>
          </w:p>
        </w:tc>
      </w:tr>
      <w:tr w14:paraId="56913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0CF2446B">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近三年营业额</w:t>
            </w:r>
          </w:p>
        </w:tc>
        <w:tc>
          <w:tcPr>
            <w:tcW w:w="6757" w:type="dxa"/>
            <w:gridSpan w:val="4"/>
            <w:tcBorders>
              <w:top w:val="single" w:color="auto" w:sz="4" w:space="0"/>
              <w:left w:val="single" w:color="auto" w:sz="4" w:space="0"/>
              <w:right w:val="single" w:color="auto" w:sz="4" w:space="0"/>
            </w:tcBorders>
            <w:noWrap w:val="0"/>
            <w:vAlign w:val="center"/>
          </w:tcPr>
          <w:p w14:paraId="19F20785">
            <w:pPr>
              <w:shd w:val="clear" w:color="auto" w:fill="auto"/>
              <w:topLinePunct/>
              <w:spacing w:line="440" w:lineRule="exact"/>
              <w:rPr>
                <w:rFonts w:ascii="Times New Roman" w:hAnsi="Times New Roman"/>
                <w:color w:val="auto"/>
                <w:szCs w:val="21"/>
                <w:highlight w:val="none"/>
              </w:rPr>
            </w:pPr>
          </w:p>
        </w:tc>
      </w:tr>
      <w:tr w14:paraId="2396A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748C2A04">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4E5E4B57">
            <w:pPr>
              <w:shd w:val="clear" w:color="auto" w:fill="auto"/>
              <w:topLinePunct/>
              <w:spacing w:line="440" w:lineRule="exact"/>
              <w:rPr>
                <w:rFonts w:ascii="Times New Roman" w:hAnsi="Times New Roman"/>
                <w:color w:val="auto"/>
                <w:szCs w:val="21"/>
                <w:highlight w:val="none"/>
              </w:rPr>
            </w:pPr>
          </w:p>
        </w:tc>
      </w:tr>
      <w:tr w14:paraId="73546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1208EF29">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投标资质证书</w:t>
            </w:r>
          </w:p>
        </w:tc>
        <w:tc>
          <w:tcPr>
            <w:tcW w:w="6757" w:type="dxa"/>
            <w:gridSpan w:val="4"/>
            <w:tcBorders>
              <w:top w:val="single" w:color="auto" w:sz="4" w:space="0"/>
              <w:left w:val="single" w:color="auto" w:sz="4" w:space="0"/>
              <w:right w:val="single" w:color="auto" w:sz="4" w:space="0"/>
            </w:tcBorders>
            <w:noWrap w:val="0"/>
            <w:vAlign w:val="center"/>
          </w:tcPr>
          <w:p w14:paraId="21263903">
            <w:pPr>
              <w:shd w:val="clear" w:color="auto" w:fill="auto"/>
              <w:topLinePunct/>
              <w:spacing w:line="440" w:lineRule="exact"/>
              <w:rPr>
                <w:rFonts w:ascii="Times New Roman" w:hAnsi="Times New Roman"/>
                <w:color w:val="auto"/>
                <w:szCs w:val="21"/>
                <w:highlight w:val="none"/>
              </w:rPr>
            </w:pPr>
          </w:p>
        </w:tc>
      </w:tr>
      <w:tr w14:paraId="0BA13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30B4C491">
            <w:pPr>
              <w:shd w:val="clear" w:color="auto" w:fill="auto"/>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65C6371">
            <w:pPr>
              <w:shd w:val="clear" w:color="auto" w:fill="auto"/>
              <w:topLinePunct/>
              <w:spacing w:line="440" w:lineRule="exact"/>
              <w:jc w:val="center"/>
              <w:rPr>
                <w:rFonts w:ascii="Times New Roman" w:hAnsi="Times New Roman"/>
                <w:color w:val="auto"/>
                <w:szCs w:val="21"/>
                <w:highlight w:val="none"/>
              </w:rPr>
            </w:pPr>
          </w:p>
        </w:tc>
      </w:tr>
    </w:tbl>
    <w:p w14:paraId="0B4D9435">
      <w:pPr>
        <w:shd w:val="clear" w:color="auto" w:fill="auto"/>
        <w:spacing w:line="400" w:lineRule="exact"/>
        <w:rPr>
          <w:rFonts w:ascii="Times New Roman" w:hAnsi="Times New Roman"/>
          <w:color w:val="auto"/>
          <w:highlight w:val="none"/>
        </w:rPr>
      </w:pPr>
      <w:r>
        <w:rPr>
          <w:rFonts w:ascii="Times New Roman" w:hAnsi="Times New Roman"/>
          <w:color w:val="auto"/>
          <w:highlight w:val="none"/>
        </w:rPr>
        <w:t xml:space="preserve">注：1. </w:t>
      </w:r>
      <w:r>
        <w:rPr>
          <w:rFonts w:hint="eastAsia" w:ascii="Times New Roman" w:hAnsi="Times New Roman"/>
          <w:color w:val="auto"/>
          <w:highlight w:val="none"/>
        </w:rPr>
        <w:t>投标人应根据投标人须知1.4.1项的要求在本表后附相关证明材料</w:t>
      </w:r>
      <w:r>
        <w:rPr>
          <w:rFonts w:ascii="Times New Roman" w:hAnsi="Times New Roman"/>
          <w:color w:val="auto"/>
          <w:highlight w:val="none"/>
        </w:rPr>
        <w:t>。</w:t>
      </w:r>
    </w:p>
    <w:p w14:paraId="6C44224D">
      <w:pPr>
        <w:shd w:val="clear" w:color="auto" w:fill="auto"/>
        <w:spacing w:line="400" w:lineRule="exact"/>
        <w:ind w:firstLine="420" w:firstLineChars="200"/>
        <w:rPr>
          <w:rFonts w:ascii="Times New Roman" w:hAnsi="Times New Roman"/>
          <w:color w:val="auto"/>
          <w:highlight w:val="none"/>
          <w:u w:val="single"/>
        </w:rPr>
      </w:pPr>
    </w:p>
    <w:p w14:paraId="4BE64998">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outlineLvl w:val="2"/>
        <w:rPr>
          <w:rFonts w:ascii="Times New Roman" w:hAnsi="Times New Roman" w:eastAsia="黑体" w:cs="Times New Roman"/>
          <w:color w:val="auto"/>
          <w:kern w:val="2"/>
          <w:sz w:val="28"/>
          <w:szCs w:val="20"/>
          <w:highlight w:val="none"/>
          <w:lang w:val="en-US" w:eastAsia="zh-CN" w:bidi="ar-SA"/>
        </w:rPr>
      </w:pPr>
      <w:r>
        <w:rPr>
          <w:rFonts w:ascii="Times New Roman" w:hAnsi="Times New Roman"/>
          <w:color w:val="auto"/>
          <w:highlight w:val="none"/>
        </w:rPr>
        <w:br w:type="page"/>
      </w:r>
      <w:bookmarkStart w:id="446" w:name="_Toc68765143"/>
      <w:bookmarkStart w:id="447" w:name="_Toc491883241"/>
      <w:r>
        <w:rPr>
          <w:rFonts w:ascii="Times New Roman" w:hAnsi="Times New Roman" w:eastAsia="黑体" w:cs="Times New Roman"/>
          <w:color w:val="auto"/>
          <w:kern w:val="2"/>
          <w:sz w:val="28"/>
          <w:szCs w:val="20"/>
          <w:highlight w:val="none"/>
          <w:lang w:val="en-US" w:eastAsia="zh-CN" w:bidi="ar-SA"/>
        </w:rPr>
        <w:t>（</w:t>
      </w:r>
      <w:r>
        <w:rPr>
          <w:rFonts w:hint="eastAsia" w:ascii="Times New Roman" w:hAnsi="Times New Roman" w:eastAsia="黑体" w:cs="Times New Roman"/>
          <w:color w:val="auto"/>
          <w:kern w:val="2"/>
          <w:sz w:val="28"/>
          <w:szCs w:val="20"/>
          <w:highlight w:val="none"/>
          <w:lang w:val="en-US" w:eastAsia="zh-CN" w:bidi="ar-SA"/>
        </w:rPr>
        <w:t>二</w:t>
      </w:r>
      <w:r>
        <w:rPr>
          <w:rFonts w:ascii="Times New Roman" w:hAnsi="Times New Roman" w:eastAsia="黑体" w:cs="Times New Roman"/>
          <w:color w:val="auto"/>
          <w:kern w:val="2"/>
          <w:sz w:val="28"/>
          <w:szCs w:val="20"/>
          <w:highlight w:val="none"/>
          <w:lang w:val="en-US" w:eastAsia="zh-CN" w:bidi="ar-SA"/>
        </w:rPr>
        <w:t>）类似项目情况表</w:t>
      </w:r>
      <w:bookmarkEnd w:id="446"/>
      <w:bookmarkEnd w:id="447"/>
    </w:p>
    <w:p w14:paraId="37AD3B03">
      <w:pPr>
        <w:shd w:val="clear" w:color="auto" w:fill="auto"/>
        <w:rPr>
          <w:color w:val="auto"/>
          <w:highlight w:val="none"/>
        </w:rPr>
      </w:pPr>
      <w:r>
        <w:rPr>
          <w:rFonts w:hint="eastAsia"/>
          <w:color w:val="auto"/>
          <w:highlight w:val="none"/>
        </w:rPr>
        <w:t>填表说明: 1、投标人的业绩，需提供合同资料（复印件加盖单位公章）、</w:t>
      </w:r>
      <w:r>
        <w:rPr>
          <w:rFonts w:hint="eastAsia" w:ascii="宋体" w:hAnsi="宋体"/>
          <w:color w:val="auto"/>
          <w:szCs w:val="21"/>
          <w:highlight w:val="none"/>
        </w:rPr>
        <w:t>业主评价</w:t>
      </w:r>
      <w:r>
        <w:rPr>
          <w:rFonts w:hint="eastAsia" w:ascii="宋体" w:hAnsi="宋体"/>
          <w:color w:val="auto"/>
          <w:szCs w:val="21"/>
          <w:highlight w:val="none"/>
          <w:lang w:val="en-US" w:eastAsia="zh-CN"/>
        </w:rPr>
        <w:t>或</w:t>
      </w:r>
      <w:r>
        <w:rPr>
          <w:rFonts w:hint="eastAsia" w:ascii="宋体" w:hAnsi="宋体"/>
          <w:color w:val="auto"/>
          <w:szCs w:val="21"/>
          <w:highlight w:val="none"/>
        </w:rPr>
        <w:t>相关评价证明材料</w:t>
      </w:r>
      <w:r>
        <w:rPr>
          <w:rFonts w:hint="eastAsia"/>
          <w:color w:val="auto"/>
          <w:highlight w:val="none"/>
        </w:rPr>
        <w:t>。2、若业绩数量&gt;3个的，可以逐表扩展。</w:t>
      </w:r>
    </w:p>
    <w:tbl>
      <w:tblPr>
        <w:tblStyle w:val="30"/>
        <w:tblW w:w="904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03"/>
        <w:gridCol w:w="2480"/>
        <w:gridCol w:w="2590"/>
        <w:gridCol w:w="2271"/>
      </w:tblGrid>
      <w:tr w14:paraId="7C43E1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6A1A8E4F">
            <w:pPr>
              <w:shd w:val="clear" w:color="auto" w:fill="auto"/>
              <w:jc w:val="center"/>
              <w:rPr>
                <w:rFonts w:ascii="宋体" w:hAnsi="宋体"/>
                <w:color w:val="auto"/>
                <w:highlight w:val="none"/>
                <w:lang w:val="zh-CN"/>
              </w:rPr>
            </w:pPr>
            <w:r>
              <w:rPr>
                <w:rFonts w:hint="eastAsia" w:ascii="宋体" w:hAnsi="宋体"/>
                <w:color w:val="auto"/>
                <w:highlight w:val="none"/>
                <w:lang w:val="zh-CN"/>
              </w:rPr>
              <w:t>序号</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14C664C8">
            <w:pPr>
              <w:shd w:val="clear" w:color="auto" w:fill="auto"/>
              <w:jc w:val="center"/>
              <w:rPr>
                <w:rFonts w:ascii="宋体" w:hAnsi="宋体"/>
                <w:color w:val="auto"/>
                <w:highlight w:val="none"/>
              </w:rPr>
            </w:pPr>
            <w:r>
              <w:rPr>
                <w:rFonts w:hint="eastAsia" w:ascii="宋体" w:hAnsi="宋体"/>
                <w:color w:val="auto"/>
                <w:highlight w:val="none"/>
              </w:rPr>
              <w:t>1</w:t>
            </w:r>
          </w:p>
        </w:tc>
        <w:tc>
          <w:tcPr>
            <w:tcW w:w="2590" w:type="dxa"/>
            <w:tcBorders>
              <w:top w:val="single" w:color="auto" w:sz="4" w:space="0"/>
              <w:left w:val="single" w:color="auto" w:sz="4" w:space="0"/>
              <w:bottom w:val="single" w:color="auto" w:sz="4" w:space="0"/>
              <w:right w:val="single" w:color="auto" w:sz="4" w:space="0"/>
            </w:tcBorders>
            <w:noWrap w:val="0"/>
            <w:vAlign w:val="center"/>
          </w:tcPr>
          <w:p w14:paraId="483BA67F">
            <w:pPr>
              <w:shd w:val="clear" w:color="auto" w:fill="auto"/>
              <w:jc w:val="center"/>
              <w:rPr>
                <w:rFonts w:ascii="宋体" w:hAnsi="宋体"/>
                <w:color w:val="auto"/>
                <w:highlight w:val="none"/>
              </w:rPr>
            </w:pPr>
            <w:r>
              <w:rPr>
                <w:rFonts w:hint="eastAsia" w:ascii="宋体" w:hAnsi="宋体"/>
                <w:color w:val="auto"/>
                <w:highlight w:val="none"/>
              </w:rPr>
              <w:t>2</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BD707FF">
            <w:pPr>
              <w:shd w:val="clear" w:color="auto" w:fill="auto"/>
              <w:jc w:val="center"/>
              <w:rPr>
                <w:rFonts w:ascii="宋体" w:hAnsi="宋体"/>
                <w:color w:val="auto"/>
                <w:highlight w:val="none"/>
              </w:rPr>
            </w:pPr>
            <w:r>
              <w:rPr>
                <w:rFonts w:hint="eastAsia" w:ascii="宋体" w:hAnsi="宋体"/>
                <w:color w:val="auto"/>
                <w:highlight w:val="none"/>
              </w:rPr>
              <w:t>·······</w:t>
            </w:r>
          </w:p>
        </w:tc>
      </w:tr>
      <w:tr w14:paraId="3237C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CF1BC2D">
            <w:pPr>
              <w:shd w:val="clear" w:color="auto" w:fill="auto"/>
              <w:rPr>
                <w:rFonts w:ascii="宋体" w:hAnsi="宋体"/>
                <w:color w:val="auto"/>
                <w:highlight w:val="none"/>
              </w:rPr>
            </w:pPr>
            <w:r>
              <w:rPr>
                <w:rFonts w:hint="eastAsia" w:ascii="宋体" w:hAnsi="宋体"/>
                <w:color w:val="auto"/>
                <w:highlight w:val="none"/>
                <w:lang w:val="zh-CN"/>
              </w:rPr>
              <w:t>项目名称</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6645C39E">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55ACC936">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1C67C4A8">
            <w:pPr>
              <w:shd w:val="clear" w:color="auto" w:fill="auto"/>
              <w:rPr>
                <w:rFonts w:ascii="宋体" w:hAnsi="宋体"/>
                <w:color w:val="auto"/>
                <w:highlight w:val="none"/>
              </w:rPr>
            </w:pPr>
          </w:p>
        </w:tc>
      </w:tr>
      <w:tr w14:paraId="221CA6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035036A">
            <w:pPr>
              <w:shd w:val="clear" w:color="auto" w:fill="auto"/>
              <w:rPr>
                <w:rFonts w:ascii="宋体" w:hAnsi="宋体"/>
                <w:color w:val="auto"/>
                <w:highlight w:val="none"/>
              </w:rPr>
            </w:pPr>
            <w:r>
              <w:rPr>
                <w:rFonts w:hint="eastAsia" w:ascii="宋体" w:hAnsi="宋体"/>
                <w:color w:val="auto"/>
                <w:highlight w:val="none"/>
                <w:lang w:val="zh-CN"/>
              </w:rPr>
              <w:t>项目所在地</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6A4B3521">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49E8C9E5">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79EA1CE5">
            <w:pPr>
              <w:shd w:val="clear" w:color="auto" w:fill="auto"/>
              <w:rPr>
                <w:rFonts w:ascii="宋体" w:hAnsi="宋体"/>
                <w:color w:val="auto"/>
                <w:highlight w:val="none"/>
              </w:rPr>
            </w:pPr>
          </w:p>
        </w:tc>
      </w:tr>
      <w:tr w14:paraId="0B1000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510D5CE">
            <w:pPr>
              <w:shd w:val="clear" w:color="auto" w:fill="auto"/>
              <w:rPr>
                <w:rFonts w:ascii="宋体" w:hAnsi="宋体"/>
                <w:color w:val="auto"/>
                <w:highlight w:val="none"/>
              </w:rPr>
            </w:pPr>
            <w:r>
              <w:rPr>
                <w:rFonts w:hint="eastAsia" w:ascii="宋体" w:hAnsi="宋体"/>
                <w:color w:val="auto"/>
                <w:highlight w:val="none"/>
                <w:lang w:val="zh-CN"/>
              </w:rPr>
              <w:t>发包人名称</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1D8E04F9">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4B4F16C4">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724A318A">
            <w:pPr>
              <w:shd w:val="clear" w:color="auto" w:fill="auto"/>
              <w:rPr>
                <w:rFonts w:ascii="宋体" w:hAnsi="宋体"/>
                <w:color w:val="auto"/>
                <w:highlight w:val="none"/>
              </w:rPr>
            </w:pPr>
          </w:p>
        </w:tc>
      </w:tr>
      <w:tr w14:paraId="4DB7B0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51811877">
            <w:pPr>
              <w:shd w:val="clear" w:color="auto" w:fill="auto"/>
              <w:rPr>
                <w:rFonts w:ascii="宋体" w:hAnsi="宋体"/>
                <w:color w:val="auto"/>
                <w:highlight w:val="none"/>
              </w:rPr>
            </w:pPr>
            <w:r>
              <w:rPr>
                <w:rFonts w:hint="eastAsia" w:ascii="宋体" w:hAnsi="宋体"/>
                <w:color w:val="auto"/>
                <w:highlight w:val="none"/>
                <w:lang w:val="zh-CN"/>
              </w:rPr>
              <w:t>发包人地址</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0141FE50">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5E6D68EF">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14C27F90">
            <w:pPr>
              <w:shd w:val="clear" w:color="auto" w:fill="auto"/>
              <w:rPr>
                <w:rFonts w:ascii="宋体" w:hAnsi="宋体"/>
                <w:color w:val="auto"/>
                <w:highlight w:val="none"/>
              </w:rPr>
            </w:pPr>
          </w:p>
        </w:tc>
      </w:tr>
      <w:tr w14:paraId="0EF3C3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66ECECA0">
            <w:pPr>
              <w:shd w:val="clear" w:color="auto" w:fill="auto"/>
              <w:rPr>
                <w:rFonts w:ascii="宋体" w:hAnsi="宋体"/>
                <w:color w:val="auto"/>
                <w:highlight w:val="none"/>
                <w:lang w:val="zh-CN"/>
              </w:rPr>
            </w:pPr>
            <w:r>
              <w:rPr>
                <w:rFonts w:hint="eastAsia" w:ascii="宋体" w:hAnsi="宋体"/>
                <w:color w:val="auto"/>
                <w:highlight w:val="none"/>
                <w:lang w:val="zh-CN"/>
              </w:rPr>
              <w:t>发包人联系方式</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056072E2">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5721A723">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07E0DE75">
            <w:pPr>
              <w:shd w:val="clear" w:color="auto" w:fill="auto"/>
              <w:rPr>
                <w:rFonts w:ascii="宋体" w:hAnsi="宋体"/>
                <w:color w:val="auto"/>
                <w:highlight w:val="none"/>
              </w:rPr>
            </w:pPr>
          </w:p>
        </w:tc>
      </w:tr>
      <w:tr w14:paraId="0AF6C1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303ABEA2">
            <w:pPr>
              <w:shd w:val="clear" w:color="auto" w:fill="auto"/>
              <w:rPr>
                <w:rFonts w:ascii="宋体" w:hAnsi="宋体"/>
                <w:color w:val="auto"/>
                <w:highlight w:val="none"/>
              </w:rPr>
            </w:pPr>
            <w:r>
              <w:rPr>
                <w:rFonts w:hint="eastAsia" w:ascii="宋体" w:hAnsi="宋体"/>
                <w:color w:val="auto"/>
                <w:highlight w:val="none"/>
                <w:lang w:val="zh-CN"/>
              </w:rPr>
              <w:t>合同价（万元）</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453C0E70">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2DA54FDD">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2D7B5CA0">
            <w:pPr>
              <w:shd w:val="clear" w:color="auto" w:fill="auto"/>
              <w:rPr>
                <w:rFonts w:ascii="宋体" w:hAnsi="宋体"/>
                <w:color w:val="auto"/>
                <w:highlight w:val="none"/>
              </w:rPr>
            </w:pPr>
          </w:p>
        </w:tc>
      </w:tr>
      <w:tr w14:paraId="4BE44B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695ED3A8">
            <w:pPr>
              <w:shd w:val="clear" w:color="auto" w:fill="auto"/>
              <w:rPr>
                <w:rFonts w:ascii="宋体" w:hAnsi="宋体"/>
                <w:color w:val="auto"/>
                <w:highlight w:val="none"/>
              </w:rPr>
            </w:pPr>
            <w:r>
              <w:rPr>
                <w:rFonts w:hint="eastAsia" w:ascii="宋体" w:hAnsi="宋体"/>
                <w:color w:val="auto"/>
                <w:highlight w:val="none"/>
                <w:lang w:val="zh-CN"/>
              </w:rPr>
              <w:t>合同日期</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1E286796">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466D7BF7">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10AE973B">
            <w:pPr>
              <w:shd w:val="clear" w:color="auto" w:fill="auto"/>
              <w:rPr>
                <w:rFonts w:ascii="宋体" w:hAnsi="宋体"/>
                <w:color w:val="auto"/>
                <w:highlight w:val="none"/>
              </w:rPr>
            </w:pPr>
          </w:p>
        </w:tc>
      </w:tr>
      <w:tr w14:paraId="725123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168F6256">
            <w:pPr>
              <w:shd w:val="clear" w:color="auto" w:fill="auto"/>
              <w:rPr>
                <w:rFonts w:ascii="宋体" w:hAnsi="宋体"/>
                <w:color w:val="auto"/>
                <w:highlight w:val="none"/>
              </w:rPr>
            </w:pPr>
            <w:r>
              <w:rPr>
                <w:rFonts w:hint="eastAsia" w:ascii="宋体" w:hAnsi="宋体"/>
                <w:color w:val="auto"/>
                <w:highlight w:val="none"/>
                <w:lang w:val="zh-CN"/>
              </w:rPr>
              <w:t>验收日期</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72612ED9">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07587760">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1B41EA6A">
            <w:pPr>
              <w:shd w:val="clear" w:color="auto" w:fill="auto"/>
              <w:rPr>
                <w:rFonts w:ascii="宋体" w:hAnsi="宋体"/>
                <w:color w:val="auto"/>
                <w:highlight w:val="none"/>
              </w:rPr>
            </w:pPr>
          </w:p>
        </w:tc>
      </w:tr>
      <w:tr w14:paraId="7C0B86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519754BC">
            <w:pPr>
              <w:shd w:val="clear" w:color="auto" w:fill="auto"/>
              <w:rPr>
                <w:rFonts w:ascii="宋体" w:hAnsi="宋体"/>
                <w:color w:val="auto"/>
                <w:highlight w:val="none"/>
              </w:rPr>
            </w:pPr>
            <w:r>
              <w:rPr>
                <w:rFonts w:hint="eastAsia" w:ascii="宋体" w:hAnsi="宋体"/>
                <w:color w:val="auto"/>
                <w:highlight w:val="none"/>
                <w:lang w:val="zh-CN"/>
              </w:rPr>
              <w:t>承担的工作（供货范围等）简述</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5BF0F689">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top"/>
          </w:tcPr>
          <w:p w14:paraId="775F9660">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top"/>
          </w:tcPr>
          <w:p w14:paraId="26D9AFC5">
            <w:pPr>
              <w:shd w:val="clear" w:color="auto" w:fill="auto"/>
              <w:rPr>
                <w:rFonts w:ascii="宋体" w:hAnsi="宋体"/>
                <w:color w:val="auto"/>
                <w:highlight w:val="none"/>
              </w:rPr>
            </w:pPr>
          </w:p>
        </w:tc>
      </w:tr>
      <w:tr w14:paraId="6FAD22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7D7398FE">
            <w:pPr>
              <w:shd w:val="clear" w:color="auto" w:fill="auto"/>
              <w:rPr>
                <w:rFonts w:ascii="宋体" w:hAnsi="宋体"/>
                <w:color w:val="auto"/>
                <w:highlight w:val="none"/>
                <w:lang w:val="zh-CN"/>
              </w:rPr>
            </w:pPr>
            <w:r>
              <w:rPr>
                <w:rFonts w:hint="eastAsia" w:ascii="宋体" w:hAnsi="宋体"/>
                <w:color w:val="auto"/>
                <w:highlight w:val="none"/>
                <w:lang w:val="zh-CN"/>
              </w:rPr>
              <w:t>技术支持</w:t>
            </w:r>
            <w:r>
              <w:rPr>
                <w:rFonts w:hint="eastAsia" w:ascii="宋体" w:hAnsi="宋体"/>
                <w:color w:val="auto"/>
                <w:highlight w:val="none"/>
                <w:lang w:val="en-US" w:eastAsia="zh-CN"/>
              </w:rPr>
              <w:t>方</w:t>
            </w:r>
            <w:r>
              <w:rPr>
                <w:rFonts w:hint="eastAsia" w:ascii="宋体" w:hAnsi="宋体"/>
                <w:color w:val="auto"/>
                <w:highlight w:val="none"/>
                <w:lang w:val="zh-CN"/>
              </w:rPr>
              <w:t>（若有）简介</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47648A4E">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14:paraId="62DE36AF">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97630AA">
            <w:pPr>
              <w:shd w:val="clear" w:color="auto" w:fill="auto"/>
              <w:rPr>
                <w:rFonts w:ascii="宋体" w:hAnsi="宋体"/>
                <w:color w:val="auto"/>
                <w:highlight w:val="none"/>
              </w:rPr>
            </w:pPr>
          </w:p>
        </w:tc>
      </w:tr>
      <w:tr w14:paraId="00D015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1F85589C">
            <w:pPr>
              <w:shd w:val="clear" w:color="auto" w:fill="auto"/>
              <w:rPr>
                <w:rFonts w:ascii="宋体" w:hAnsi="宋体"/>
                <w:color w:val="auto"/>
                <w:highlight w:val="none"/>
              </w:rPr>
            </w:pPr>
            <w:r>
              <w:rPr>
                <w:rFonts w:hint="eastAsia" w:ascii="宋体" w:hAnsi="宋体"/>
                <w:color w:val="auto"/>
                <w:highlight w:val="none"/>
                <w:lang w:val="zh-CN"/>
              </w:rPr>
              <w:t>备注</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74E3C8C0">
            <w:pPr>
              <w:shd w:val="clear" w:color="auto" w:fill="auto"/>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14:paraId="0131BD5B">
            <w:pPr>
              <w:shd w:val="clear" w:color="auto" w:fill="auto"/>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4A3DA46">
            <w:pPr>
              <w:shd w:val="clear" w:color="auto" w:fill="auto"/>
              <w:rPr>
                <w:rFonts w:ascii="宋体" w:hAnsi="宋体"/>
                <w:color w:val="auto"/>
                <w:highlight w:val="none"/>
              </w:rPr>
            </w:pPr>
          </w:p>
        </w:tc>
      </w:tr>
      <w:tr w14:paraId="229624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9" w:hRule="atLeast"/>
          <w:jc w:val="center"/>
        </w:trPr>
        <w:tc>
          <w:tcPr>
            <w:tcW w:w="9044" w:type="dxa"/>
            <w:gridSpan w:val="4"/>
            <w:tcBorders>
              <w:top w:val="single" w:color="auto" w:sz="4" w:space="0"/>
              <w:left w:val="single" w:color="auto" w:sz="4" w:space="0"/>
              <w:bottom w:val="single" w:color="auto" w:sz="4" w:space="0"/>
              <w:right w:val="single" w:color="auto" w:sz="4" w:space="0"/>
            </w:tcBorders>
            <w:noWrap w:val="0"/>
            <w:vAlign w:val="center"/>
          </w:tcPr>
          <w:p w14:paraId="45ED6725">
            <w:pPr>
              <w:shd w:val="clear" w:color="auto" w:fill="auto"/>
              <w:rPr>
                <w:rFonts w:ascii="宋体" w:hAnsi="宋体"/>
                <w:color w:val="auto"/>
                <w:highlight w:val="none"/>
              </w:rPr>
            </w:pPr>
            <w:r>
              <w:rPr>
                <w:rFonts w:hint="eastAsia" w:ascii="宋体" w:hAnsi="宋体"/>
                <w:color w:val="auto"/>
                <w:highlight w:val="none"/>
              </w:rPr>
              <w:t>注：1、投标人需提供①合同关键页复印件(至少包括合同协议书、能清晰显示合同范围、合同双方盖章页等)、②业主评价(至少包括合同金额、实施金额及用户评价)或相关评价证明材料。</w:t>
            </w:r>
          </w:p>
          <w:p w14:paraId="4CEDF1B8">
            <w:pPr>
              <w:shd w:val="clear" w:color="auto" w:fill="auto"/>
              <w:rPr>
                <w:rFonts w:ascii="宋体" w:hAnsi="宋体"/>
                <w:color w:val="auto"/>
                <w:highlight w:val="none"/>
              </w:rPr>
            </w:pPr>
            <w:r>
              <w:rPr>
                <w:rFonts w:hint="eastAsia" w:ascii="宋体" w:hAnsi="宋体"/>
                <w:color w:val="auto"/>
                <w:highlight w:val="none"/>
              </w:rPr>
              <w:t>2、若投标人提供的是合同，则还需要提供一份任意类型发票，发票信息(除金额外)对应符合提供的合同信息；若提供的是框架协议，则还需要提供一份验收表单或者其他能证明协议信息的资料。</w:t>
            </w:r>
          </w:p>
          <w:p w14:paraId="2ACE6696">
            <w:pPr>
              <w:shd w:val="clear" w:color="auto" w:fill="auto"/>
              <w:rPr>
                <w:rFonts w:ascii="宋体" w:hAnsi="宋体"/>
                <w:color w:val="auto"/>
                <w:highlight w:val="none"/>
              </w:rPr>
            </w:pPr>
            <w:r>
              <w:rPr>
                <w:rFonts w:hint="eastAsia" w:ascii="宋体" w:hAnsi="宋体"/>
                <w:color w:val="auto"/>
                <w:highlight w:val="none"/>
              </w:rPr>
              <w:t>3、电子版应当附上采用 WORD/PDF 格式制作的扫描件。</w:t>
            </w:r>
          </w:p>
        </w:tc>
      </w:tr>
    </w:tbl>
    <w:p w14:paraId="30BA414A">
      <w:pPr>
        <w:shd w:val="clear" w:color="auto" w:fill="auto"/>
        <w:autoSpaceDE w:val="0"/>
        <w:autoSpaceDN w:val="0"/>
        <w:spacing w:before="177" w:after="177" w:line="360" w:lineRule="auto"/>
        <w:ind w:firstLine="470"/>
        <w:rPr>
          <w:rFonts w:hint="eastAsia" w:ascii="宋体" w:hAnsi="宋体"/>
          <w:color w:val="auto"/>
          <w:szCs w:val="21"/>
          <w:highlight w:val="none"/>
        </w:rPr>
      </w:pPr>
    </w:p>
    <w:p w14:paraId="07AF0F7D">
      <w:pPr>
        <w:shd w:val="clear" w:color="auto" w:fill="auto"/>
        <w:autoSpaceDE w:val="0"/>
        <w:autoSpaceDN w:val="0"/>
        <w:spacing w:before="177" w:after="177" w:line="360" w:lineRule="auto"/>
        <w:ind w:firstLine="470"/>
        <w:rPr>
          <w:rFonts w:ascii="宋体" w:hAnsi="宋体" w:cs="Arial"/>
          <w:color w:val="auto"/>
          <w:kern w:val="0"/>
          <w:szCs w:val="21"/>
          <w:highlight w:val="none"/>
        </w:rPr>
      </w:pPr>
      <w:r>
        <w:rPr>
          <w:rFonts w:hint="eastAsia" w:ascii="宋体" w:hAnsi="宋体"/>
          <w:color w:val="auto"/>
          <w:szCs w:val="21"/>
          <w:highlight w:val="none"/>
        </w:rPr>
        <w:t>投标人名称及公章：</w:t>
      </w:r>
    </w:p>
    <w:p w14:paraId="77E5DC6F">
      <w:pPr>
        <w:shd w:val="clear" w:color="auto" w:fill="auto"/>
        <w:autoSpaceDE w:val="0"/>
        <w:autoSpaceDN w:val="0"/>
        <w:spacing w:before="177" w:after="177" w:line="360" w:lineRule="auto"/>
        <w:ind w:firstLine="470"/>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07565C46">
      <w:pPr>
        <w:shd w:val="clear" w:color="auto" w:fill="auto"/>
        <w:autoSpaceDE w:val="0"/>
        <w:autoSpaceDN w:val="0"/>
        <w:spacing w:before="177" w:after="177" w:line="360" w:lineRule="auto"/>
        <w:ind w:firstLine="470" w:firstLineChars="0"/>
        <w:rPr>
          <w:rFonts w:ascii="Times New Roman" w:hAnsi="Times New Roman"/>
          <w:color w:val="auto"/>
          <w:highlight w:val="none"/>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宋体"/>
          <w:color w:val="auto"/>
          <w:kern w:val="24"/>
          <w:szCs w:val="21"/>
          <w:highlight w:val="none"/>
          <w:lang w:val="zh-CN"/>
        </w:rPr>
        <w:t>年月日</w:t>
      </w:r>
    </w:p>
    <w:bookmarkEnd w:id="439"/>
    <w:p w14:paraId="2CE5F0B5">
      <w:pPr>
        <w:shd w:val="clear" w:color="auto" w:fill="auto"/>
        <w:topLinePunct/>
        <w:spacing w:line="440" w:lineRule="exact"/>
        <w:rPr>
          <w:rFonts w:ascii="Times New Roman" w:hAnsi="Times New Roman"/>
          <w:color w:val="auto"/>
          <w:highlight w:val="none"/>
        </w:rPr>
      </w:pPr>
      <w:r>
        <w:rPr>
          <w:rFonts w:ascii="Times New Roman" w:hAnsi="Times New Roman"/>
          <w:color w:val="auto"/>
          <w:highlight w:val="none"/>
        </w:rPr>
        <w:br w:type="page"/>
      </w:r>
    </w:p>
    <w:p w14:paraId="0B7635C7">
      <w:pPr>
        <w:pStyle w:val="4"/>
        <w:shd w:val="clear" w:color="auto" w:fill="auto"/>
        <w:spacing w:after="0"/>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、方案</w:t>
      </w:r>
    </w:p>
    <w:p w14:paraId="3846A610">
      <w:pPr>
        <w:shd w:val="clear" w:color="auto" w:fill="auto"/>
        <w:rPr>
          <w:color w:val="auto"/>
          <w:highlight w:val="none"/>
        </w:rPr>
      </w:pPr>
      <w:r>
        <w:rPr>
          <w:rFonts w:hint="eastAsia"/>
          <w:color w:val="auto"/>
          <w:highlight w:val="none"/>
        </w:rPr>
        <w:t>投标人根据评分表技术部分内容编排内容。</w:t>
      </w:r>
    </w:p>
    <w:p w14:paraId="668F4C5D">
      <w:pPr>
        <w:shd w:val="clear" w:color="auto" w:fill="auto"/>
        <w:rPr>
          <w:color w:val="auto"/>
          <w:highlight w:val="none"/>
        </w:rPr>
      </w:pPr>
      <w:r>
        <w:rPr>
          <w:color w:val="auto"/>
          <w:highlight w:val="none"/>
        </w:rPr>
        <w:br w:type="page"/>
      </w:r>
      <w:bookmarkStart w:id="448" w:name="_Toc491883248"/>
    </w:p>
    <w:p w14:paraId="43322E4D">
      <w:pPr>
        <w:pStyle w:val="4"/>
        <w:shd w:val="clear" w:color="auto" w:fill="auto"/>
        <w:spacing w:after="0"/>
        <w:rPr>
          <w:rFonts w:ascii="Times New Roman" w:hAnsi="Times New Roman"/>
          <w:color w:val="auto"/>
          <w:highlight w:val="none"/>
        </w:rPr>
      </w:pPr>
      <w:bookmarkStart w:id="449" w:name="_Toc68765151"/>
      <w:r>
        <w:rPr>
          <w:rFonts w:hint="eastAsia" w:ascii="Times New Roman" w:hAnsi="Times New Roman"/>
          <w:color w:val="auto"/>
          <w:highlight w:val="none"/>
          <w:lang w:val="en-US" w:eastAsia="zh-CN"/>
        </w:rPr>
        <w:t>八</w:t>
      </w:r>
      <w:r>
        <w:rPr>
          <w:rFonts w:ascii="Times New Roman" w:hAnsi="Times New Roman"/>
          <w:color w:val="auto"/>
          <w:highlight w:val="none"/>
        </w:rPr>
        <w:t>、其他资料</w:t>
      </w:r>
      <w:bookmarkEnd w:id="448"/>
      <w:bookmarkEnd w:id="449"/>
    </w:p>
    <w:p w14:paraId="148026ED">
      <w:pPr>
        <w:shd w:val="clear" w:color="auto" w:fill="auto"/>
        <w:rPr>
          <w:rFonts w:ascii="Times New Roman" w:hAnsi="Times New Roman"/>
          <w:color w:val="auto"/>
          <w:highlight w:val="none"/>
        </w:rPr>
      </w:pPr>
    </w:p>
    <w:sectPr>
      <w:headerReference r:id="rId5" w:type="default"/>
      <w:footerReference r:id="rId6" w:type="default"/>
      <w:pgSz w:w="11906" w:h="16838"/>
      <w:pgMar w:top="1440" w:right="1800" w:bottom="1440" w:left="1800" w:header="850"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871B">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BE5D1">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10BE5D1">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0F875">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8E7201">
                          <w:pPr>
                            <w:pStyle w:val="1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E8E7201">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DCA5">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282A20">
                          <w:pPr>
                            <w:pStyle w:val="18"/>
                            <w:jc w:val="center"/>
                          </w:pPr>
                          <w:r>
                            <w:fldChar w:fldCharType="begin"/>
                          </w:r>
                          <w:r>
                            <w:instrText xml:space="preserve"> PAGE   \* MERGEFORMAT </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7282A20">
                    <w:pPr>
                      <w:pStyle w:val="18"/>
                      <w:jc w:val="center"/>
                    </w:pPr>
                    <w:r>
                      <w:fldChar w:fldCharType="begin"/>
                    </w:r>
                    <w:r>
                      <w:instrText xml:space="preserve"> PAGE   \* MERGEFORMAT </w:instrText>
                    </w:r>
                    <w:r>
                      <w:fldChar w:fldCharType="separate"/>
                    </w:r>
                    <w:r>
                      <w:rPr>
                        <w:lang w:val="zh-CN"/>
                      </w:rPr>
                      <w:t>61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A5C9">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13B8"/>
    <w:multiLevelType w:val="singleLevel"/>
    <w:tmpl w:val="8A2413B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OWFjY2E1MTgwNGU5ZDQ1MGVkOTZmNTg5Y2M4ZTAifQ=="/>
    <w:docVar w:name="KSO_WPS_MARK_KEY" w:val="3ac2dd47-1cb5-496d-900b-68a50d0f1fae"/>
  </w:docVars>
  <w:rsids>
    <w:rsidRoot w:val="00172A27"/>
    <w:rsid w:val="00000DA4"/>
    <w:rsid w:val="00002A60"/>
    <w:rsid w:val="00004603"/>
    <w:rsid w:val="0000532B"/>
    <w:rsid w:val="000064D7"/>
    <w:rsid w:val="00007319"/>
    <w:rsid w:val="000106AE"/>
    <w:rsid w:val="00010B53"/>
    <w:rsid w:val="000122C9"/>
    <w:rsid w:val="00012703"/>
    <w:rsid w:val="0001485E"/>
    <w:rsid w:val="00014F48"/>
    <w:rsid w:val="00017FC5"/>
    <w:rsid w:val="0002193F"/>
    <w:rsid w:val="00021BFE"/>
    <w:rsid w:val="00023E35"/>
    <w:rsid w:val="000250D6"/>
    <w:rsid w:val="00025ACC"/>
    <w:rsid w:val="00025EC4"/>
    <w:rsid w:val="00026171"/>
    <w:rsid w:val="000303E1"/>
    <w:rsid w:val="0003357E"/>
    <w:rsid w:val="000351AE"/>
    <w:rsid w:val="00037292"/>
    <w:rsid w:val="00043778"/>
    <w:rsid w:val="00045E12"/>
    <w:rsid w:val="00046B59"/>
    <w:rsid w:val="00051E22"/>
    <w:rsid w:val="00060D28"/>
    <w:rsid w:val="00061898"/>
    <w:rsid w:val="00062AC6"/>
    <w:rsid w:val="00062D4C"/>
    <w:rsid w:val="0006424B"/>
    <w:rsid w:val="00067035"/>
    <w:rsid w:val="00071FA8"/>
    <w:rsid w:val="00080719"/>
    <w:rsid w:val="0008132B"/>
    <w:rsid w:val="00081360"/>
    <w:rsid w:val="0008253E"/>
    <w:rsid w:val="00085884"/>
    <w:rsid w:val="00093010"/>
    <w:rsid w:val="000943B0"/>
    <w:rsid w:val="00094C66"/>
    <w:rsid w:val="000972EE"/>
    <w:rsid w:val="000A287B"/>
    <w:rsid w:val="000A5C81"/>
    <w:rsid w:val="000A6ACE"/>
    <w:rsid w:val="000A76B3"/>
    <w:rsid w:val="000B65E2"/>
    <w:rsid w:val="000C0018"/>
    <w:rsid w:val="000C00CE"/>
    <w:rsid w:val="000C1A9B"/>
    <w:rsid w:val="000C2AB5"/>
    <w:rsid w:val="000C4710"/>
    <w:rsid w:val="000D2ABE"/>
    <w:rsid w:val="000D4336"/>
    <w:rsid w:val="000D49B4"/>
    <w:rsid w:val="000D4E08"/>
    <w:rsid w:val="000E003E"/>
    <w:rsid w:val="000E08CB"/>
    <w:rsid w:val="000E4B51"/>
    <w:rsid w:val="000E5673"/>
    <w:rsid w:val="000F2186"/>
    <w:rsid w:val="000F2A12"/>
    <w:rsid w:val="000F2ECC"/>
    <w:rsid w:val="000F6666"/>
    <w:rsid w:val="001011FC"/>
    <w:rsid w:val="00102618"/>
    <w:rsid w:val="00102BD3"/>
    <w:rsid w:val="00105423"/>
    <w:rsid w:val="00107F03"/>
    <w:rsid w:val="001119B6"/>
    <w:rsid w:val="00115124"/>
    <w:rsid w:val="00115848"/>
    <w:rsid w:val="00117F0F"/>
    <w:rsid w:val="0013146C"/>
    <w:rsid w:val="0014098E"/>
    <w:rsid w:val="001530C6"/>
    <w:rsid w:val="00153B32"/>
    <w:rsid w:val="001613DD"/>
    <w:rsid w:val="001658EF"/>
    <w:rsid w:val="00172A27"/>
    <w:rsid w:val="00172A86"/>
    <w:rsid w:val="001735B4"/>
    <w:rsid w:val="001748A3"/>
    <w:rsid w:val="00175F7A"/>
    <w:rsid w:val="00182B11"/>
    <w:rsid w:val="00183597"/>
    <w:rsid w:val="00183AE5"/>
    <w:rsid w:val="00183B4A"/>
    <w:rsid w:val="0018474C"/>
    <w:rsid w:val="00192979"/>
    <w:rsid w:val="00193C1D"/>
    <w:rsid w:val="00196869"/>
    <w:rsid w:val="00197AD8"/>
    <w:rsid w:val="001A093D"/>
    <w:rsid w:val="001A0CCF"/>
    <w:rsid w:val="001A1FCB"/>
    <w:rsid w:val="001A2B51"/>
    <w:rsid w:val="001A2E05"/>
    <w:rsid w:val="001A4491"/>
    <w:rsid w:val="001A4684"/>
    <w:rsid w:val="001B4F49"/>
    <w:rsid w:val="001B53C8"/>
    <w:rsid w:val="001B7FEF"/>
    <w:rsid w:val="001C30C7"/>
    <w:rsid w:val="001C31D6"/>
    <w:rsid w:val="001C38D5"/>
    <w:rsid w:val="001C4542"/>
    <w:rsid w:val="001C6DAA"/>
    <w:rsid w:val="001D4B21"/>
    <w:rsid w:val="001E1433"/>
    <w:rsid w:val="001E6637"/>
    <w:rsid w:val="001F00B0"/>
    <w:rsid w:val="001F2197"/>
    <w:rsid w:val="001F2208"/>
    <w:rsid w:val="001F2546"/>
    <w:rsid w:val="001F4134"/>
    <w:rsid w:val="001F45EE"/>
    <w:rsid w:val="001F4850"/>
    <w:rsid w:val="001F52F0"/>
    <w:rsid w:val="001F5634"/>
    <w:rsid w:val="00202B4F"/>
    <w:rsid w:val="00204A5C"/>
    <w:rsid w:val="00207A0B"/>
    <w:rsid w:val="00212A53"/>
    <w:rsid w:val="0021322F"/>
    <w:rsid w:val="00213B90"/>
    <w:rsid w:val="00215AF0"/>
    <w:rsid w:val="00216E3B"/>
    <w:rsid w:val="002229E2"/>
    <w:rsid w:val="0022434B"/>
    <w:rsid w:val="0023423F"/>
    <w:rsid w:val="00236570"/>
    <w:rsid w:val="00237422"/>
    <w:rsid w:val="00237B0E"/>
    <w:rsid w:val="00240884"/>
    <w:rsid w:val="002430C2"/>
    <w:rsid w:val="00247A18"/>
    <w:rsid w:val="00251109"/>
    <w:rsid w:val="00251A49"/>
    <w:rsid w:val="0025460A"/>
    <w:rsid w:val="00255D0D"/>
    <w:rsid w:val="00260072"/>
    <w:rsid w:val="00260B7B"/>
    <w:rsid w:val="00260C77"/>
    <w:rsid w:val="00261352"/>
    <w:rsid w:val="00263F0B"/>
    <w:rsid w:val="00264CEC"/>
    <w:rsid w:val="00264EB1"/>
    <w:rsid w:val="002718DC"/>
    <w:rsid w:val="00276C71"/>
    <w:rsid w:val="00277681"/>
    <w:rsid w:val="00281526"/>
    <w:rsid w:val="00281BC6"/>
    <w:rsid w:val="00282FB1"/>
    <w:rsid w:val="00285406"/>
    <w:rsid w:val="00286C1A"/>
    <w:rsid w:val="002A552C"/>
    <w:rsid w:val="002A65ED"/>
    <w:rsid w:val="002C0C29"/>
    <w:rsid w:val="002C31FE"/>
    <w:rsid w:val="002C5D02"/>
    <w:rsid w:val="002C6AF9"/>
    <w:rsid w:val="002C7B9B"/>
    <w:rsid w:val="002D1EDC"/>
    <w:rsid w:val="002D2B90"/>
    <w:rsid w:val="002D6F32"/>
    <w:rsid w:val="002E1DAC"/>
    <w:rsid w:val="002E6D05"/>
    <w:rsid w:val="002F4A7D"/>
    <w:rsid w:val="002F4E05"/>
    <w:rsid w:val="002F6C95"/>
    <w:rsid w:val="002F72A0"/>
    <w:rsid w:val="00303961"/>
    <w:rsid w:val="00311324"/>
    <w:rsid w:val="0031143A"/>
    <w:rsid w:val="003122C4"/>
    <w:rsid w:val="00313C6A"/>
    <w:rsid w:val="00314103"/>
    <w:rsid w:val="00314C76"/>
    <w:rsid w:val="00317513"/>
    <w:rsid w:val="00317712"/>
    <w:rsid w:val="0032031D"/>
    <w:rsid w:val="00321647"/>
    <w:rsid w:val="00321989"/>
    <w:rsid w:val="003243EC"/>
    <w:rsid w:val="003247CD"/>
    <w:rsid w:val="00325710"/>
    <w:rsid w:val="003362AD"/>
    <w:rsid w:val="00337CAE"/>
    <w:rsid w:val="00342688"/>
    <w:rsid w:val="0034440E"/>
    <w:rsid w:val="00344DEB"/>
    <w:rsid w:val="00347899"/>
    <w:rsid w:val="003518D6"/>
    <w:rsid w:val="00354B7A"/>
    <w:rsid w:val="00354C99"/>
    <w:rsid w:val="00363966"/>
    <w:rsid w:val="003741B0"/>
    <w:rsid w:val="003745A3"/>
    <w:rsid w:val="0038240C"/>
    <w:rsid w:val="003829BB"/>
    <w:rsid w:val="0038359A"/>
    <w:rsid w:val="00387996"/>
    <w:rsid w:val="00391F03"/>
    <w:rsid w:val="003A1B98"/>
    <w:rsid w:val="003A2368"/>
    <w:rsid w:val="003A3370"/>
    <w:rsid w:val="003A5B10"/>
    <w:rsid w:val="003A6775"/>
    <w:rsid w:val="003B3719"/>
    <w:rsid w:val="003B41C4"/>
    <w:rsid w:val="003C0D7D"/>
    <w:rsid w:val="003C1759"/>
    <w:rsid w:val="003C22B6"/>
    <w:rsid w:val="003C3469"/>
    <w:rsid w:val="003C4858"/>
    <w:rsid w:val="003C5BB3"/>
    <w:rsid w:val="003C663D"/>
    <w:rsid w:val="003D1170"/>
    <w:rsid w:val="003D1B8E"/>
    <w:rsid w:val="003D2CA4"/>
    <w:rsid w:val="003D2D72"/>
    <w:rsid w:val="003D36EE"/>
    <w:rsid w:val="003D515C"/>
    <w:rsid w:val="003D6876"/>
    <w:rsid w:val="003D6E0A"/>
    <w:rsid w:val="003E52F6"/>
    <w:rsid w:val="003F0F8B"/>
    <w:rsid w:val="003F1CDB"/>
    <w:rsid w:val="003F338C"/>
    <w:rsid w:val="003F3518"/>
    <w:rsid w:val="003F4C6A"/>
    <w:rsid w:val="003F504F"/>
    <w:rsid w:val="003F5B69"/>
    <w:rsid w:val="003F6890"/>
    <w:rsid w:val="00403934"/>
    <w:rsid w:val="00407AE7"/>
    <w:rsid w:val="004105EF"/>
    <w:rsid w:val="004125A8"/>
    <w:rsid w:val="00413A55"/>
    <w:rsid w:val="00415A1A"/>
    <w:rsid w:val="00417E16"/>
    <w:rsid w:val="004225BE"/>
    <w:rsid w:val="0042326A"/>
    <w:rsid w:val="00423F96"/>
    <w:rsid w:val="0042619D"/>
    <w:rsid w:val="00427756"/>
    <w:rsid w:val="00431F4F"/>
    <w:rsid w:val="0043351E"/>
    <w:rsid w:val="00433676"/>
    <w:rsid w:val="00436504"/>
    <w:rsid w:val="004405C7"/>
    <w:rsid w:val="00441D39"/>
    <w:rsid w:val="0044250A"/>
    <w:rsid w:val="00442AF8"/>
    <w:rsid w:val="0044514A"/>
    <w:rsid w:val="00447E59"/>
    <w:rsid w:val="004579D9"/>
    <w:rsid w:val="00457DC2"/>
    <w:rsid w:val="0046698D"/>
    <w:rsid w:val="00472F03"/>
    <w:rsid w:val="004733D3"/>
    <w:rsid w:val="00475756"/>
    <w:rsid w:val="00487315"/>
    <w:rsid w:val="00494624"/>
    <w:rsid w:val="00495001"/>
    <w:rsid w:val="004A112E"/>
    <w:rsid w:val="004A4E37"/>
    <w:rsid w:val="004A5FF2"/>
    <w:rsid w:val="004A6B78"/>
    <w:rsid w:val="004A76F2"/>
    <w:rsid w:val="004B51E3"/>
    <w:rsid w:val="004B5F66"/>
    <w:rsid w:val="004B6ED7"/>
    <w:rsid w:val="004C0D41"/>
    <w:rsid w:val="004C16FA"/>
    <w:rsid w:val="004D1209"/>
    <w:rsid w:val="004D4247"/>
    <w:rsid w:val="004D7237"/>
    <w:rsid w:val="004D794D"/>
    <w:rsid w:val="004D7FCB"/>
    <w:rsid w:val="004E0C05"/>
    <w:rsid w:val="004E0F10"/>
    <w:rsid w:val="004E2497"/>
    <w:rsid w:val="004E3473"/>
    <w:rsid w:val="004F1425"/>
    <w:rsid w:val="004F17D0"/>
    <w:rsid w:val="004F21B0"/>
    <w:rsid w:val="004F288A"/>
    <w:rsid w:val="004F3309"/>
    <w:rsid w:val="005034E3"/>
    <w:rsid w:val="005038B3"/>
    <w:rsid w:val="0050739A"/>
    <w:rsid w:val="005100DC"/>
    <w:rsid w:val="00511660"/>
    <w:rsid w:val="00512A0D"/>
    <w:rsid w:val="00514756"/>
    <w:rsid w:val="00517CCE"/>
    <w:rsid w:val="0052194C"/>
    <w:rsid w:val="005229A0"/>
    <w:rsid w:val="00522D50"/>
    <w:rsid w:val="005275D1"/>
    <w:rsid w:val="0052772B"/>
    <w:rsid w:val="00527D92"/>
    <w:rsid w:val="00531BAF"/>
    <w:rsid w:val="00537781"/>
    <w:rsid w:val="005409DB"/>
    <w:rsid w:val="00542C62"/>
    <w:rsid w:val="00543F5F"/>
    <w:rsid w:val="005453D6"/>
    <w:rsid w:val="00545698"/>
    <w:rsid w:val="00546149"/>
    <w:rsid w:val="0054730C"/>
    <w:rsid w:val="00552EEB"/>
    <w:rsid w:val="00555089"/>
    <w:rsid w:val="005565F1"/>
    <w:rsid w:val="00562259"/>
    <w:rsid w:val="005655BD"/>
    <w:rsid w:val="005661E1"/>
    <w:rsid w:val="00571501"/>
    <w:rsid w:val="0057367B"/>
    <w:rsid w:val="00573B46"/>
    <w:rsid w:val="00573C8F"/>
    <w:rsid w:val="00574712"/>
    <w:rsid w:val="00576C5E"/>
    <w:rsid w:val="00577BC7"/>
    <w:rsid w:val="00577C17"/>
    <w:rsid w:val="005804CC"/>
    <w:rsid w:val="00580957"/>
    <w:rsid w:val="005818B8"/>
    <w:rsid w:val="00581EA1"/>
    <w:rsid w:val="005824FB"/>
    <w:rsid w:val="00586372"/>
    <w:rsid w:val="00586955"/>
    <w:rsid w:val="005870EB"/>
    <w:rsid w:val="00592DCF"/>
    <w:rsid w:val="005955BA"/>
    <w:rsid w:val="005A0B59"/>
    <w:rsid w:val="005A245A"/>
    <w:rsid w:val="005A2C7B"/>
    <w:rsid w:val="005A738B"/>
    <w:rsid w:val="005B0F9A"/>
    <w:rsid w:val="005B1A42"/>
    <w:rsid w:val="005B4DB1"/>
    <w:rsid w:val="005C162E"/>
    <w:rsid w:val="005C417A"/>
    <w:rsid w:val="005D22FC"/>
    <w:rsid w:val="005D3D41"/>
    <w:rsid w:val="005D736F"/>
    <w:rsid w:val="005E1FC9"/>
    <w:rsid w:val="005E3ADF"/>
    <w:rsid w:val="005E4F70"/>
    <w:rsid w:val="005E7CE8"/>
    <w:rsid w:val="005F162E"/>
    <w:rsid w:val="005F16C3"/>
    <w:rsid w:val="005F328B"/>
    <w:rsid w:val="005F4FEC"/>
    <w:rsid w:val="005F74F3"/>
    <w:rsid w:val="005F7FE3"/>
    <w:rsid w:val="006041C3"/>
    <w:rsid w:val="006052FC"/>
    <w:rsid w:val="00605A28"/>
    <w:rsid w:val="00610BBF"/>
    <w:rsid w:val="00613FB5"/>
    <w:rsid w:val="00614E98"/>
    <w:rsid w:val="0062295C"/>
    <w:rsid w:val="00623AD2"/>
    <w:rsid w:val="006304D6"/>
    <w:rsid w:val="00632B51"/>
    <w:rsid w:val="00633021"/>
    <w:rsid w:val="00636962"/>
    <w:rsid w:val="00637467"/>
    <w:rsid w:val="00637781"/>
    <w:rsid w:val="006407AA"/>
    <w:rsid w:val="00644C71"/>
    <w:rsid w:val="006462FA"/>
    <w:rsid w:val="006529ED"/>
    <w:rsid w:val="00655DD9"/>
    <w:rsid w:val="00660EBB"/>
    <w:rsid w:val="00663CC5"/>
    <w:rsid w:val="00670660"/>
    <w:rsid w:val="006810D0"/>
    <w:rsid w:val="00684D69"/>
    <w:rsid w:val="00686AF3"/>
    <w:rsid w:val="0069278C"/>
    <w:rsid w:val="006928F3"/>
    <w:rsid w:val="0069460B"/>
    <w:rsid w:val="006952F5"/>
    <w:rsid w:val="006A2E04"/>
    <w:rsid w:val="006A2F51"/>
    <w:rsid w:val="006A350C"/>
    <w:rsid w:val="006A5596"/>
    <w:rsid w:val="006A7DCC"/>
    <w:rsid w:val="006B268E"/>
    <w:rsid w:val="006B317B"/>
    <w:rsid w:val="006B4620"/>
    <w:rsid w:val="006B58FD"/>
    <w:rsid w:val="006C088F"/>
    <w:rsid w:val="006C1B42"/>
    <w:rsid w:val="006C56C9"/>
    <w:rsid w:val="006C7452"/>
    <w:rsid w:val="006D05E4"/>
    <w:rsid w:val="006D0F36"/>
    <w:rsid w:val="006D144F"/>
    <w:rsid w:val="006D37D0"/>
    <w:rsid w:val="006D567B"/>
    <w:rsid w:val="006E0B76"/>
    <w:rsid w:val="006E1CF0"/>
    <w:rsid w:val="006E2EB3"/>
    <w:rsid w:val="006E3EAB"/>
    <w:rsid w:val="006E521B"/>
    <w:rsid w:val="006E5AC6"/>
    <w:rsid w:val="006F0285"/>
    <w:rsid w:val="006F30B4"/>
    <w:rsid w:val="006F3939"/>
    <w:rsid w:val="006F46C3"/>
    <w:rsid w:val="006F6E12"/>
    <w:rsid w:val="00701A84"/>
    <w:rsid w:val="00705859"/>
    <w:rsid w:val="007058F5"/>
    <w:rsid w:val="00706041"/>
    <w:rsid w:val="00706D7B"/>
    <w:rsid w:val="007123AF"/>
    <w:rsid w:val="00712A96"/>
    <w:rsid w:val="00721056"/>
    <w:rsid w:val="00723AEF"/>
    <w:rsid w:val="00725832"/>
    <w:rsid w:val="00725C94"/>
    <w:rsid w:val="00726A6C"/>
    <w:rsid w:val="00726B23"/>
    <w:rsid w:val="00726DB7"/>
    <w:rsid w:val="00727A09"/>
    <w:rsid w:val="00727E29"/>
    <w:rsid w:val="007329CA"/>
    <w:rsid w:val="00733083"/>
    <w:rsid w:val="007337DC"/>
    <w:rsid w:val="00735916"/>
    <w:rsid w:val="00742B21"/>
    <w:rsid w:val="00744517"/>
    <w:rsid w:val="00747521"/>
    <w:rsid w:val="0074779A"/>
    <w:rsid w:val="00750137"/>
    <w:rsid w:val="0075115C"/>
    <w:rsid w:val="00755157"/>
    <w:rsid w:val="00760E39"/>
    <w:rsid w:val="00762C99"/>
    <w:rsid w:val="0076395D"/>
    <w:rsid w:val="00764719"/>
    <w:rsid w:val="00766147"/>
    <w:rsid w:val="00766DD4"/>
    <w:rsid w:val="00767C25"/>
    <w:rsid w:val="00770518"/>
    <w:rsid w:val="00770C01"/>
    <w:rsid w:val="007724D2"/>
    <w:rsid w:val="00772806"/>
    <w:rsid w:val="00772E30"/>
    <w:rsid w:val="007769FC"/>
    <w:rsid w:val="00780470"/>
    <w:rsid w:val="00790A94"/>
    <w:rsid w:val="007911B2"/>
    <w:rsid w:val="00797ACE"/>
    <w:rsid w:val="007A08F7"/>
    <w:rsid w:val="007A1E5B"/>
    <w:rsid w:val="007A36C9"/>
    <w:rsid w:val="007A5188"/>
    <w:rsid w:val="007A6512"/>
    <w:rsid w:val="007A67FD"/>
    <w:rsid w:val="007B300E"/>
    <w:rsid w:val="007B3D71"/>
    <w:rsid w:val="007B5213"/>
    <w:rsid w:val="007B6561"/>
    <w:rsid w:val="007B7DDF"/>
    <w:rsid w:val="007C116F"/>
    <w:rsid w:val="007C292F"/>
    <w:rsid w:val="007D07A2"/>
    <w:rsid w:val="007D16DC"/>
    <w:rsid w:val="007D29C2"/>
    <w:rsid w:val="007D4C26"/>
    <w:rsid w:val="007D5CBB"/>
    <w:rsid w:val="007D6572"/>
    <w:rsid w:val="007E0563"/>
    <w:rsid w:val="007E2227"/>
    <w:rsid w:val="007E6590"/>
    <w:rsid w:val="007E78FD"/>
    <w:rsid w:val="007F33A5"/>
    <w:rsid w:val="007F6A96"/>
    <w:rsid w:val="008016DA"/>
    <w:rsid w:val="00802B3E"/>
    <w:rsid w:val="00803D1B"/>
    <w:rsid w:val="00804854"/>
    <w:rsid w:val="00805D01"/>
    <w:rsid w:val="00814ACE"/>
    <w:rsid w:val="00822B05"/>
    <w:rsid w:val="00823971"/>
    <w:rsid w:val="00823FBE"/>
    <w:rsid w:val="008261CA"/>
    <w:rsid w:val="00826534"/>
    <w:rsid w:val="00826C28"/>
    <w:rsid w:val="008320A2"/>
    <w:rsid w:val="00833E5B"/>
    <w:rsid w:val="00842D0A"/>
    <w:rsid w:val="008445BA"/>
    <w:rsid w:val="0084602F"/>
    <w:rsid w:val="00846094"/>
    <w:rsid w:val="008461EF"/>
    <w:rsid w:val="00847755"/>
    <w:rsid w:val="00851FB3"/>
    <w:rsid w:val="0085267C"/>
    <w:rsid w:val="008567AE"/>
    <w:rsid w:val="008602E0"/>
    <w:rsid w:val="008625DD"/>
    <w:rsid w:val="008631FE"/>
    <w:rsid w:val="008634A5"/>
    <w:rsid w:val="00865A18"/>
    <w:rsid w:val="00866077"/>
    <w:rsid w:val="00874398"/>
    <w:rsid w:val="00877B50"/>
    <w:rsid w:val="008803EB"/>
    <w:rsid w:val="00880C4E"/>
    <w:rsid w:val="00884003"/>
    <w:rsid w:val="00884404"/>
    <w:rsid w:val="00884568"/>
    <w:rsid w:val="00886D39"/>
    <w:rsid w:val="008A0C4A"/>
    <w:rsid w:val="008A3781"/>
    <w:rsid w:val="008A3A91"/>
    <w:rsid w:val="008A4C9A"/>
    <w:rsid w:val="008A4F8A"/>
    <w:rsid w:val="008A5BDE"/>
    <w:rsid w:val="008A6265"/>
    <w:rsid w:val="008B4958"/>
    <w:rsid w:val="008C19E3"/>
    <w:rsid w:val="008C1A6B"/>
    <w:rsid w:val="008C4D93"/>
    <w:rsid w:val="008D085E"/>
    <w:rsid w:val="008D0EA5"/>
    <w:rsid w:val="008D1879"/>
    <w:rsid w:val="008D2B4F"/>
    <w:rsid w:val="008F2DB6"/>
    <w:rsid w:val="008F78BF"/>
    <w:rsid w:val="0090152F"/>
    <w:rsid w:val="009036D9"/>
    <w:rsid w:val="00905AE6"/>
    <w:rsid w:val="009102B1"/>
    <w:rsid w:val="00913849"/>
    <w:rsid w:val="00913DA9"/>
    <w:rsid w:val="00915BD0"/>
    <w:rsid w:val="009165B6"/>
    <w:rsid w:val="0091764F"/>
    <w:rsid w:val="00922D1D"/>
    <w:rsid w:val="0092577B"/>
    <w:rsid w:val="00926831"/>
    <w:rsid w:val="00930ECC"/>
    <w:rsid w:val="00937163"/>
    <w:rsid w:val="00942FF5"/>
    <w:rsid w:val="00943B39"/>
    <w:rsid w:val="00943F58"/>
    <w:rsid w:val="0094443B"/>
    <w:rsid w:val="0094784E"/>
    <w:rsid w:val="0094793B"/>
    <w:rsid w:val="00951EDB"/>
    <w:rsid w:val="00956336"/>
    <w:rsid w:val="0096197F"/>
    <w:rsid w:val="0096341D"/>
    <w:rsid w:val="00964108"/>
    <w:rsid w:val="00964882"/>
    <w:rsid w:val="00966383"/>
    <w:rsid w:val="009678EF"/>
    <w:rsid w:val="00972737"/>
    <w:rsid w:val="00972D10"/>
    <w:rsid w:val="00975526"/>
    <w:rsid w:val="00976894"/>
    <w:rsid w:val="00977602"/>
    <w:rsid w:val="0098095B"/>
    <w:rsid w:val="00980CE5"/>
    <w:rsid w:val="00981293"/>
    <w:rsid w:val="009816BB"/>
    <w:rsid w:val="009822CB"/>
    <w:rsid w:val="00984168"/>
    <w:rsid w:val="0098473F"/>
    <w:rsid w:val="00986130"/>
    <w:rsid w:val="009875FE"/>
    <w:rsid w:val="00987946"/>
    <w:rsid w:val="00990C32"/>
    <w:rsid w:val="009914DB"/>
    <w:rsid w:val="00993DD3"/>
    <w:rsid w:val="00996A73"/>
    <w:rsid w:val="0099765D"/>
    <w:rsid w:val="009A1CD9"/>
    <w:rsid w:val="009A21F7"/>
    <w:rsid w:val="009A6828"/>
    <w:rsid w:val="009B0025"/>
    <w:rsid w:val="009B115E"/>
    <w:rsid w:val="009B499F"/>
    <w:rsid w:val="009B54E6"/>
    <w:rsid w:val="009C1B26"/>
    <w:rsid w:val="009C221B"/>
    <w:rsid w:val="009C42F0"/>
    <w:rsid w:val="009C4BBA"/>
    <w:rsid w:val="009C5D2B"/>
    <w:rsid w:val="009D0A6C"/>
    <w:rsid w:val="009E280D"/>
    <w:rsid w:val="009E3F33"/>
    <w:rsid w:val="009E6DEA"/>
    <w:rsid w:val="009E77CE"/>
    <w:rsid w:val="009F1AC6"/>
    <w:rsid w:val="009F205B"/>
    <w:rsid w:val="009F3D52"/>
    <w:rsid w:val="009F46DE"/>
    <w:rsid w:val="009F7053"/>
    <w:rsid w:val="00A00218"/>
    <w:rsid w:val="00A01041"/>
    <w:rsid w:val="00A013E6"/>
    <w:rsid w:val="00A02955"/>
    <w:rsid w:val="00A050AB"/>
    <w:rsid w:val="00A059CF"/>
    <w:rsid w:val="00A139F1"/>
    <w:rsid w:val="00A13E33"/>
    <w:rsid w:val="00A14A9D"/>
    <w:rsid w:val="00A161A9"/>
    <w:rsid w:val="00A20BBC"/>
    <w:rsid w:val="00A20C87"/>
    <w:rsid w:val="00A214E6"/>
    <w:rsid w:val="00A236AA"/>
    <w:rsid w:val="00A239C4"/>
    <w:rsid w:val="00A24AE5"/>
    <w:rsid w:val="00A2516C"/>
    <w:rsid w:val="00A257BD"/>
    <w:rsid w:val="00A27AD2"/>
    <w:rsid w:val="00A30B63"/>
    <w:rsid w:val="00A31FBE"/>
    <w:rsid w:val="00A434EB"/>
    <w:rsid w:val="00A443E0"/>
    <w:rsid w:val="00A44DC4"/>
    <w:rsid w:val="00A4644A"/>
    <w:rsid w:val="00A50EF9"/>
    <w:rsid w:val="00A51D94"/>
    <w:rsid w:val="00A57CE6"/>
    <w:rsid w:val="00A64CFB"/>
    <w:rsid w:val="00A660F9"/>
    <w:rsid w:val="00A7108D"/>
    <w:rsid w:val="00A71821"/>
    <w:rsid w:val="00A7425C"/>
    <w:rsid w:val="00A75AAB"/>
    <w:rsid w:val="00A77C2A"/>
    <w:rsid w:val="00A820A4"/>
    <w:rsid w:val="00A8366F"/>
    <w:rsid w:val="00A83ACD"/>
    <w:rsid w:val="00A86BC1"/>
    <w:rsid w:val="00A909F4"/>
    <w:rsid w:val="00A90FFC"/>
    <w:rsid w:val="00A93CEE"/>
    <w:rsid w:val="00A95901"/>
    <w:rsid w:val="00A95DBF"/>
    <w:rsid w:val="00A97ECB"/>
    <w:rsid w:val="00AA23A8"/>
    <w:rsid w:val="00AA77E6"/>
    <w:rsid w:val="00AB22FD"/>
    <w:rsid w:val="00AB249C"/>
    <w:rsid w:val="00AB3141"/>
    <w:rsid w:val="00AB3355"/>
    <w:rsid w:val="00AB5EF7"/>
    <w:rsid w:val="00AB609D"/>
    <w:rsid w:val="00AB66B8"/>
    <w:rsid w:val="00AC1A75"/>
    <w:rsid w:val="00AC2268"/>
    <w:rsid w:val="00AC27AF"/>
    <w:rsid w:val="00AD20F4"/>
    <w:rsid w:val="00AD50B6"/>
    <w:rsid w:val="00AD75D8"/>
    <w:rsid w:val="00AD7CAC"/>
    <w:rsid w:val="00AD7DE4"/>
    <w:rsid w:val="00AE3D01"/>
    <w:rsid w:val="00AE4FC4"/>
    <w:rsid w:val="00AE5260"/>
    <w:rsid w:val="00AE5CF7"/>
    <w:rsid w:val="00AE5F5F"/>
    <w:rsid w:val="00AE67B6"/>
    <w:rsid w:val="00AF08A4"/>
    <w:rsid w:val="00AF1AAC"/>
    <w:rsid w:val="00AF1F4C"/>
    <w:rsid w:val="00AF28A5"/>
    <w:rsid w:val="00AF3442"/>
    <w:rsid w:val="00AF49A0"/>
    <w:rsid w:val="00AF5D13"/>
    <w:rsid w:val="00AF6684"/>
    <w:rsid w:val="00AF7CFA"/>
    <w:rsid w:val="00B021E1"/>
    <w:rsid w:val="00B05EB7"/>
    <w:rsid w:val="00B0641E"/>
    <w:rsid w:val="00B13271"/>
    <w:rsid w:val="00B1435B"/>
    <w:rsid w:val="00B147FC"/>
    <w:rsid w:val="00B16B2D"/>
    <w:rsid w:val="00B17226"/>
    <w:rsid w:val="00B1739F"/>
    <w:rsid w:val="00B20435"/>
    <w:rsid w:val="00B2193F"/>
    <w:rsid w:val="00B333E0"/>
    <w:rsid w:val="00B34169"/>
    <w:rsid w:val="00B40C1A"/>
    <w:rsid w:val="00B40DB4"/>
    <w:rsid w:val="00B43529"/>
    <w:rsid w:val="00B441A3"/>
    <w:rsid w:val="00B45828"/>
    <w:rsid w:val="00B4788F"/>
    <w:rsid w:val="00B50615"/>
    <w:rsid w:val="00B51807"/>
    <w:rsid w:val="00B51D11"/>
    <w:rsid w:val="00B52304"/>
    <w:rsid w:val="00B526C7"/>
    <w:rsid w:val="00B537AA"/>
    <w:rsid w:val="00B5382F"/>
    <w:rsid w:val="00B54BEC"/>
    <w:rsid w:val="00B568D1"/>
    <w:rsid w:val="00B56F9E"/>
    <w:rsid w:val="00B6040F"/>
    <w:rsid w:val="00B60D18"/>
    <w:rsid w:val="00B70AB4"/>
    <w:rsid w:val="00B7681D"/>
    <w:rsid w:val="00B770F9"/>
    <w:rsid w:val="00B80CD0"/>
    <w:rsid w:val="00B82CF7"/>
    <w:rsid w:val="00B82E6C"/>
    <w:rsid w:val="00B83E5B"/>
    <w:rsid w:val="00B840FF"/>
    <w:rsid w:val="00B850F5"/>
    <w:rsid w:val="00B85250"/>
    <w:rsid w:val="00B85D28"/>
    <w:rsid w:val="00B923D8"/>
    <w:rsid w:val="00B924CB"/>
    <w:rsid w:val="00BA0BF9"/>
    <w:rsid w:val="00BA1742"/>
    <w:rsid w:val="00BA1D3F"/>
    <w:rsid w:val="00BA6671"/>
    <w:rsid w:val="00BA6A1E"/>
    <w:rsid w:val="00BA779B"/>
    <w:rsid w:val="00BA7ABE"/>
    <w:rsid w:val="00BB14E3"/>
    <w:rsid w:val="00BB2113"/>
    <w:rsid w:val="00BB264D"/>
    <w:rsid w:val="00BB4F87"/>
    <w:rsid w:val="00BB6955"/>
    <w:rsid w:val="00BB7076"/>
    <w:rsid w:val="00BC23C8"/>
    <w:rsid w:val="00BC31D7"/>
    <w:rsid w:val="00BC7BDB"/>
    <w:rsid w:val="00BD0888"/>
    <w:rsid w:val="00BD2382"/>
    <w:rsid w:val="00BD2E88"/>
    <w:rsid w:val="00BD38A7"/>
    <w:rsid w:val="00BD4CB1"/>
    <w:rsid w:val="00BD5685"/>
    <w:rsid w:val="00BD58EC"/>
    <w:rsid w:val="00BD6C5E"/>
    <w:rsid w:val="00BD7122"/>
    <w:rsid w:val="00BD7217"/>
    <w:rsid w:val="00BE1F7A"/>
    <w:rsid w:val="00BE3046"/>
    <w:rsid w:val="00BE74BF"/>
    <w:rsid w:val="00BF1F32"/>
    <w:rsid w:val="00BF208A"/>
    <w:rsid w:val="00BF5015"/>
    <w:rsid w:val="00BF7CA8"/>
    <w:rsid w:val="00C000E6"/>
    <w:rsid w:val="00C016AF"/>
    <w:rsid w:val="00C070F9"/>
    <w:rsid w:val="00C10A53"/>
    <w:rsid w:val="00C11B1A"/>
    <w:rsid w:val="00C13846"/>
    <w:rsid w:val="00C1558A"/>
    <w:rsid w:val="00C16E65"/>
    <w:rsid w:val="00C26284"/>
    <w:rsid w:val="00C272F8"/>
    <w:rsid w:val="00C40555"/>
    <w:rsid w:val="00C409F2"/>
    <w:rsid w:val="00C40EFF"/>
    <w:rsid w:val="00C426BD"/>
    <w:rsid w:val="00C43AA9"/>
    <w:rsid w:val="00C50F27"/>
    <w:rsid w:val="00C561A1"/>
    <w:rsid w:val="00C57185"/>
    <w:rsid w:val="00C573F8"/>
    <w:rsid w:val="00C576DE"/>
    <w:rsid w:val="00C57DA8"/>
    <w:rsid w:val="00C60374"/>
    <w:rsid w:val="00C61701"/>
    <w:rsid w:val="00C64D68"/>
    <w:rsid w:val="00C65F10"/>
    <w:rsid w:val="00C74CE6"/>
    <w:rsid w:val="00C750F1"/>
    <w:rsid w:val="00C75D0D"/>
    <w:rsid w:val="00C77592"/>
    <w:rsid w:val="00C775F0"/>
    <w:rsid w:val="00C77D07"/>
    <w:rsid w:val="00C81FBA"/>
    <w:rsid w:val="00C822BE"/>
    <w:rsid w:val="00C8459E"/>
    <w:rsid w:val="00C859C8"/>
    <w:rsid w:val="00C913D9"/>
    <w:rsid w:val="00C9312C"/>
    <w:rsid w:val="00C97B27"/>
    <w:rsid w:val="00CA01FE"/>
    <w:rsid w:val="00CA2696"/>
    <w:rsid w:val="00CA2F74"/>
    <w:rsid w:val="00CA54D2"/>
    <w:rsid w:val="00CB2000"/>
    <w:rsid w:val="00CB5A10"/>
    <w:rsid w:val="00CB621C"/>
    <w:rsid w:val="00CC02F2"/>
    <w:rsid w:val="00CC13CF"/>
    <w:rsid w:val="00CC2DBD"/>
    <w:rsid w:val="00CC3A27"/>
    <w:rsid w:val="00CC5381"/>
    <w:rsid w:val="00CC69FA"/>
    <w:rsid w:val="00CC6B34"/>
    <w:rsid w:val="00CC7127"/>
    <w:rsid w:val="00CD09B4"/>
    <w:rsid w:val="00CD6EE8"/>
    <w:rsid w:val="00CD7773"/>
    <w:rsid w:val="00CE691B"/>
    <w:rsid w:val="00CE78B9"/>
    <w:rsid w:val="00CF48A1"/>
    <w:rsid w:val="00CF5CD9"/>
    <w:rsid w:val="00CF67F1"/>
    <w:rsid w:val="00D004DE"/>
    <w:rsid w:val="00D01E73"/>
    <w:rsid w:val="00D030F7"/>
    <w:rsid w:val="00D0314D"/>
    <w:rsid w:val="00D05ECB"/>
    <w:rsid w:val="00D05F0E"/>
    <w:rsid w:val="00D078A4"/>
    <w:rsid w:val="00D13DA8"/>
    <w:rsid w:val="00D14C55"/>
    <w:rsid w:val="00D2665C"/>
    <w:rsid w:val="00D267E9"/>
    <w:rsid w:val="00D31A22"/>
    <w:rsid w:val="00D32CD6"/>
    <w:rsid w:val="00D33CF6"/>
    <w:rsid w:val="00D33E6D"/>
    <w:rsid w:val="00D355AF"/>
    <w:rsid w:val="00D4185E"/>
    <w:rsid w:val="00D41F1D"/>
    <w:rsid w:val="00D424F4"/>
    <w:rsid w:val="00D50E3E"/>
    <w:rsid w:val="00D61E00"/>
    <w:rsid w:val="00D70B9C"/>
    <w:rsid w:val="00D71AF2"/>
    <w:rsid w:val="00D73671"/>
    <w:rsid w:val="00D74914"/>
    <w:rsid w:val="00D753E2"/>
    <w:rsid w:val="00D76110"/>
    <w:rsid w:val="00D765FC"/>
    <w:rsid w:val="00D8264B"/>
    <w:rsid w:val="00D9028D"/>
    <w:rsid w:val="00D904A6"/>
    <w:rsid w:val="00D90F73"/>
    <w:rsid w:val="00D91F21"/>
    <w:rsid w:val="00D935CD"/>
    <w:rsid w:val="00D93B3D"/>
    <w:rsid w:val="00D94273"/>
    <w:rsid w:val="00D944A0"/>
    <w:rsid w:val="00D946E9"/>
    <w:rsid w:val="00D975E2"/>
    <w:rsid w:val="00DA1486"/>
    <w:rsid w:val="00DA7EB6"/>
    <w:rsid w:val="00DB01EA"/>
    <w:rsid w:val="00DB1008"/>
    <w:rsid w:val="00DB2502"/>
    <w:rsid w:val="00DB45CC"/>
    <w:rsid w:val="00DB59EA"/>
    <w:rsid w:val="00DB7E41"/>
    <w:rsid w:val="00DC06AC"/>
    <w:rsid w:val="00DC1BF6"/>
    <w:rsid w:val="00DC2FDC"/>
    <w:rsid w:val="00DC3A4D"/>
    <w:rsid w:val="00DC4FA6"/>
    <w:rsid w:val="00DC500F"/>
    <w:rsid w:val="00DC51CD"/>
    <w:rsid w:val="00DC76AE"/>
    <w:rsid w:val="00DD0D41"/>
    <w:rsid w:val="00DD230C"/>
    <w:rsid w:val="00DD2358"/>
    <w:rsid w:val="00DE0C34"/>
    <w:rsid w:val="00DE2DF3"/>
    <w:rsid w:val="00DE3B31"/>
    <w:rsid w:val="00DE535A"/>
    <w:rsid w:val="00DE5B63"/>
    <w:rsid w:val="00DE7014"/>
    <w:rsid w:val="00DF1783"/>
    <w:rsid w:val="00DF52FA"/>
    <w:rsid w:val="00DF6C28"/>
    <w:rsid w:val="00DF789A"/>
    <w:rsid w:val="00E003C9"/>
    <w:rsid w:val="00E00B48"/>
    <w:rsid w:val="00E030EE"/>
    <w:rsid w:val="00E06FBF"/>
    <w:rsid w:val="00E07CC4"/>
    <w:rsid w:val="00E108C3"/>
    <w:rsid w:val="00E11F03"/>
    <w:rsid w:val="00E120B9"/>
    <w:rsid w:val="00E13758"/>
    <w:rsid w:val="00E148F3"/>
    <w:rsid w:val="00E14EB8"/>
    <w:rsid w:val="00E151DA"/>
    <w:rsid w:val="00E15382"/>
    <w:rsid w:val="00E20944"/>
    <w:rsid w:val="00E238A2"/>
    <w:rsid w:val="00E3243B"/>
    <w:rsid w:val="00E335D8"/>
    <w:rsid w:val="00E33707"/>
    <w:rsid w:val="00E34005"/>
    <w:rsid w:val="00E413AB"/>
    <w:rsid w:val="00E43274"/>
    <w:rsid w:val="00E4665E"/>
    <w:rsid w:val="00E47E75"/>
    <w:rsid w:val="00E53A59"/>
    <w:rsid w:val="00E53F38"/>
    <w:rsid w:val="00E54B34"/>
    <w:rsid w:val="00E54FDC"/>
    <w:rsid w:val="00E561C6"/>
    <w:rsid w:val="00E61108"/>
    <w:rsid w:val="00E64E71"/>
    <w:rsid w:val="00E65E52"/>
    <w:rsid w:val="00E73E35"/>
    <w:rsid w:val="00E807BA"/>
    <w:rsid w:val="00E80F7E"/>
    <w:rsid w:val="00E8164C"/>
    <w:rsid w:val="00E8167D"/>
    <w:rsid w:val="00E82B5F"/>
    <w:rsid w:val="00E83111"/>
    <w:rsid w:val="00E83F3E"/>
    <w:rsid w:val="00E90D94"/>
    <w:rsid w:val="00E90E76"/>
    <w:rsid w:val="00E91A61"/>
    <w:rsid w:val="00E95194"/>
    <w:rsid w:val="00E96F65"/>
    <w:rsid w:val="00EA058C"/>
    <w:rsid w:val="00EA2E28"/>
    <w:rsid w:val="00EA5BBB"/>
    <w:rsid w:val="00EB10A7"/>
    <w:rsid w:val="00EB2328"/>
    <w:rsid w:val="00EB48A2"/>
    <w:rsid w:val="00EB6DE7"/>
    <w:rsid w:val="00EB71F5"/>
    <w:rsid w:val="00EC0890"/>
    <w:rsid w:val="00ED2895"/>
    <w:rsid w:val="00ED4442"/>
    <w:rsid w:val="00ED694A"/>
    <w:rsid w:val="00ED76D9"/>
    <w:rsid w:val="00EE0EB8"/>
    <w:rsid w:val="00EE3343"/>
    <w:rsid w:val="00EE632F"/>
    <w:rsid w:val="00EF1D0D"/>
    <w:rsid w:val="00EF3C41"/>
    <w:rsid w:val="00EF3E61"/>
    <w:rsid w:val="00F060A4"/>
    <w:rsid w:val="00F06124"/>
    <w:rsid w:val="00F07523"/>
    <w:rsid w:val="00F132D8"/>
    <w:rsid w:val="00F14CCE"/>
    <w:rsid w:val="00F16B10"/>
    <w:rsid w:val="00F17D98"/>
    <w:rsid w:val="00F20BC9"/>
    <w:rsid w:val="00F231AB"/>
    <w:rsid w:val="00F24BB1"/>
    <w:rsid w:val="00F304EE"/>
    <w:rsid w:val="00F31887"/>
    <w:rsid w:val="00F35671"/>
    <w:rsid w:val="00F358A3"/>
    <w:rsid w:val="00F366DA"/>
    <w:rsid w:val="00F400C4"/>
    <w:rsid w:val="00F40A43"/>
    <w:rsid w:val="00F40F15"/>
    <w:rsid w:val="00F41E90"/>
    <w:rsid w:val="00F4710F"/>
    <w:rsid w:val="00F505B2"/>
    <w:rsid w:val="00F5318C"/>
    <w:rsid w:val="00F53A81"/>
    <w:rsid w:val="00F56136"/>
    <w:rsid w:val="00F57D8D"/>
    <w:rsid w:val="00F60E88"/>
    <w:rsid w:val="00F617B7"/>
    <w:rsid w:val="00F62DA5"/>
    <w:rsid w:val="00F65CE3"/>
    <w:rsid w:val="00F73B29"/>
    <w:rsid w:val="00F757F6"/>
    <w:rsid w:val="00F777A8"/>
    <w:rsid w:val="00F823B7"/>
    <w:rsid w:val="00F82B69"/>
    <w:rsid w:val="00F86321"/>
    <w:rsid w:val="00F90437"/>
    <w:rsid w:val="00F91188"/>
    <w:rsid w:val="00F9546C"/>
    <w:rsid w:val="00F954D8"/>
    <w:rsid w:val="00F95668"/>
    <w:rsid w:val="00F96CF9"/>
    <w:rsid w:val="00F97B72"/>
    <w:rsid w:val="00FA10A8"/>
    <w:rsid w:val="00FA1427"/>
    <w:rsid w:val="00FA45BA"/>
    <w:rsid w:val="00FA4B03"/>
    <w:rsid w:val="00FA5296"/>
    <w:rsid w:val="00FA695A"/>
    <w:rsid w:val="00FB1F93"/>
    <w:rsid w:val="00FB48DF"/>
    <w:rsid w:val="00FB5972"/>
    <w:rsid w:val="00FB632F"/>
    <w:rsid w:val="00FB74D8"/>
    <w:rsid w:val="00FC07D0"/>
    <w:rsid w:val="00FC3BAF"/>
    <w:rsid w:val="00FC5824"/>
    <w:rsid w:val="00FC5D22"/>
    <w:rsid w:val="00FD01BA"/>
    <w:rsid w:val="00FD0CA5"/>
    <w:rsid w:val="00FD4012"/>
    <w:rsid w:val="00FD4355"/>
    <w:rsid w:val="00FE1500"/>
    <w:rsid w:val="00FE20F3"/>
    <w:rsid w:val="00FE4D45"/>
    <w:rsid w:val="00FF4F25"/>
    <w:rsid w:val="00FF5079"/>
    <w:rsid w:val="00FF6B57"/>
    <w:rsid w:val="00FF70FD"/>
    <w:rsid w:val="01332D58"/>
    <w:rsid w:val="02317AF5"/>
    <w:rsid w:val="028E13EB"/>
    <w:rsid w:val="02D53240"/>
    <w:rsid w:val="03B21B22"/>
    <w:rsid w:val="03F84D6E"/>
    <w:rsid w:val="045D1A9A"/>
    <w:rsid w:val="04784101"/>
    <w:rsid w:val="048C54B6"/>
    <w:rsid w:val="05905EC3"/>
    <w:rsid w:val="05ED35A8"/>
    <w:rsid w:val="05F32B83"/>
    <w:rsid w:val="05FF53D2"/>
    <w:rsid w:val="06081A65"/>
    <w:rsid w:val="06264574"/>
    <w:rsid w:val="067848B1"/>
    <w:rsid w:val="06F2019A"/>
    <w:rsid w:val="07163248"/>
    <w:rsid w:val="087D775F"/>
    <w:rsid w:val="08AE00F1"/>
    <w:rsid w:val="091D7025"/>
    <w:rsid w:val="093B21F6"/>
    <w:rsid w:val="0958005D"/>
    <w:rsid w:val="09624E29"/>
    <w:rsid w:val="0B6E05AF"/>
    <w:rsid w:val="0B9E5D04"/>
    <w:rsid w:val="0BB84DE3"/>
    <w:rsid w:val="0BD62EBC"/>
    <w:rsid w:val="0CA35A93"/>
    <w:rsid w:val="0D153A51"/>
    <w:rsid w:val="0D590516"/>
    <w:rsid w:val="0D7C256C"/>
    <w:rsid w:val="0D837D9E"/>
    <w:rsid w:val="0DEC2452"/>
    <w:rsid w:val="0E8D75A1"/>
    <w:rsid w:val="0F04763E"/>
    <w:rsid w:val="0F37242E"/>
    <w:rsid w:val="0F7B6853"/>
    <w:rsid w:val="0FB71F81"/>
    <w:rsid w:val="0FDE7453"/>
    <w:rsid w:val="0FF71645"/>
    <w:rsid w:val="10637A13"/>
    <w:rsid w:val="107678BF"/>
    <w:rsid w:val="10BC5375"/>
    <w:rsid w:val="11FD788C"/>
    <w:rsid w:val="12086D37"/>
    <w:rsid w:val="12463F39"/>
    <w:rsid w:val="128D6FC9"/>
    <w:rsid w:val="13815B74"/>
    <w:rsid w:val="13C058C2"/>
    <w:rsid w:val="13DC5C08"/>
    <w:rsid w:val="141E7FAC"/>
    <w:rsid w:val="15744470"/>
    <w:rsid w:val="15996083"/>
    <w:rsid w:val="15AD04C1"/>
    <w:rsid w:val="16327226"/>
    <w:rsid w:val="17730C2D"/>
    <w:rsid w:val="17E00022"/>
    <w:rsid w:val="18EA59CA"/>
    <w:rsid w:val="196D545F"/>
    <w:rsid w:val="19706CFD"/>
    <w:rsid w:val="19792055"/>
    <w:rsid w:val="19AA0EF9"/>
    <w:rsid w:val="19CD599A"/>
    <w:rsid w:val="1AA90718"/>
    <w:rsid w:val="1AC5659D"/>
    <w:rsid w:val="1B117292"/>
    <w:rsid w:val="1BD17F21"/>
    <w:rsid w:val="1BEB143A"/>
    <w:rsid w:val="1C0C1DD0"/>
    <w:rsid w:val="1C135BC8"/>
    <w:rsid w:val="1C613C18"/>
    <w:rsid w:val="1CED5660"/>
    <w:rsid w:val="1DAF58DD"/>
    <w:rsid w:val="1DEA52D0"/>
    <w:rsid w:val="1DFE0D7B"/>
    <w:rsid w:val="1E0E09AD"/>
    <w:rsid w:val="1E201112"/>
    <w:rsid w:val="1F3A0BD2"/>
    <w:rsid w:val="1F5275D0"/>
    <w:rsid w:val="1F811C64"/>
    <w:rsid w:val="20CE0ED9"/>
    <w:rsid w:val="21153D33"/>
    <w:rsid w:val="21256ADF"/>
    <w:rsid w:val="21A02990"/>
    <w:rsid w:val="21CB366A"/>
    <w:rsid w:val="220821C8"/>
    <w:rsid w:val="22406F34"/>
    <w:rsid w:val="22A324BF"/>
    <w:rsid w:val="22B9322A"/>
    <w:rsid w:val="22B95948"/>
    <w:rsid w:val="230F7587"/>
    <w:rsid w:val="23870B6B"/>
    <w:rsid w:val="23AD6728"/>
    <w:rsid w:val="23CE1D39"/>
    <w:rsid w:val="23E12CD1"/>
    <w:rsid w:val="24AA43E9"/>
    <w:rsid w:val="24E508E4"/>
    <w:rsid w:val="251E4873"/>
    <w:rsid w:val="25430C7A"/>
    <w:rsid w:val="25477BFD"/>
    <w:rsid w:val="25730614"/>
    <w:rsid w:val="25751F7B"/>
    <w:rsid w:val="25E35426"/>
    <w:rsid w:val="25F130EB"/>
    <w:rsid w:val="26060754"/>
    <w:rsid w:val="26CA2142"/>
    <w:rsid w:val="27554102"/>
    <w:rsid w:val="27C502FB"/>
    <w:rsid w:val="28345D51"/>
    <w:rsid w:val="28926C90"/>
    <w:rsid w:val="28D31363"/>
    <w:rsid w:val="291C5D93"/>
    <w:rsid w:val="2A027E45"/>
    <w:rsid w:val="2A220E13"/>
    <w:rsid w:val="2A8B36D5"/>
    <w:rsid w:val="2ADE7330"/>
    <w:rsid w:val="2AE91F50"/>
    <w:rsid w:val="2B2838DB"/>
    <w:rsid w:val="2B4A56EC"/>
    <w:rsid w:val="2B8E526B"/>
    <w:rsid w:val="2BF51A0F"/>
    <w:rsid w:val="2C8F5838"/>
    <w:rsid w:val="2D542766"/>
    <w:rsid w:val="2D896685"/>
    <w:rsid w:val="2DB63420"/>
    <w:rsid w:val="2DC22D69"/>
    <w:rsid w:val="2E0979F4"/>
    <w:rsid w:val="2E481C0C"/>
    <w:rsid w:val="2E8F614A"/>
    <w:rsid w:val="2EC34C90"/>
    <w:rsid w:val="2F2F348A"/>
    <w:rsid w:val="2F561AA3"/>
    <w:rsid w:val="2F844A22"/>
    <w:rsid w:val="30186255"/>
    <w:rsid w:val="306C6018"/>
    <w:rsid w:val="30B3115A"/>
    <w:rsid w:val="31472444"/>
    <w:rsid w:val="31A812D2"/>
    <w:rsid w:val="32380BAE"/>
    <w:rsid w:val="3260395B"/>
    <w:rsid w:val="32797739"/>
    <w:rsid w:val="32CE7A35"/>
    <w:rsid w:val="32DC15E2"/>
    <w:rsid w:val="33190826"/>
    <w:rsid w:val="3358764C"/>
    <w:rsid w:val="33D72119"/>
    <w:rsid w:val="34197F36"/>
    <w:rsid w:val="35CF7CDE"/>
    <w:rsid w:val="36461C07"/>
    <w:rsid w:val="36913CE5"/>
    <w:rsid w:val="36C26195"/>
    <w:rsid w:val="36FE6FFD"/>
    <w:rsid w:val="371D62BE"/>
    <w:rsid w:val="375B253A"/>
    <w:rsid w:val="37A16410"/>
    <w:rsid w:val="37B242E5"/>
    <w:rsid w:val="37CC5A1A"/>
    <w:rsid w:val="37E402F6"/>
    <w:rsid w:val="37FD775C"/>
    <w:rsid w:val="381259A1"/>
    <w:rsid w:val="38543F62"/>
    <w:rsid w:val="392852FB"/>
    <w:rsid w:val="3A7461F5"/>
    <w:rsid w:val="3A904EB2"/>
    <w:rsid w:val="3A9144E2"/>
    <w:rsid w:val="3AB504FA"/>
    <w:rsid w:val="3B636793"/>
    <w:rsid w:val="3BB936A0"/>
    <w:rsid w:val="3BFF5566"/>
    <w:rsid w:val="3C047A4D"/>
    <w:rsid w:val="3C1C5F43"/>
    <w:rsid w:val="3C97441D"/>
    <w:rsid w:val="3D477BF1"/>
    <w:rsid w:val="3E220725"/>
    <w:rsid w:val="3E8D5AD7"/>
    <w:rsid w:val="3EF5367D"/>
    <w:rsid w:val="3F185CE9"/>
    <w:rsid w:val="3F282F3A"/>
    <w:rsid w:val="3F2A1578"/>
    <w:rsid w:val="3F373C95"/>
    <w:rsid w:val="3FA57428"/>
    <w:rsid w:val="3FA73D92"/>
    <w:rsid w:val="40060FD0"/>
    <w:rsid w:val="40474305"/>
    <w:rsid w:val="405A7C3B"/>
    <w:rsid w:val="410C500B"/>
    <w:rsid w:val="418238EE"/>
    <w:rsid w:val="419B52F9"/>
    <w:rsid w:val="419B71B7"/>
    <w:rsid w:val="41CC72FC"/>
    <w:rsid w:val="41E860A7"/>
    <w:rsid w:val="42300A51"/>
    <w:rsid w:val="42501AE5"/>
    <w:rsid w:val="42EA799C"/>
    <w:rsid w:val="432804C5"/>
    <w:rsid w:val="433834D6"/>
    <w:rsid w:val="43643092"/>
    <w:rsid w:val="440A08B6"/>
    <w:rsid w:val="446E7C5F"/>
    <w:rsid w:val="45373301"/>
    <w:rsid w:val="454964D0"/>
    <w:rsid w:val="464E3AF4"/>
    <w:rsid w:val="46704747"/>
    <w:rsid w:val="46935C11"/>
    <w:rsid w:val="46A937CA"/>
    <w:rsid w:val="46D91A05"/>
    <w:rsid w:val="47376F28"/>
    <w:rsid w:val="47407694"/>
    <w:rsid w:val="474D22A8"/>
    <w:rsid w:val="47DA57BE"/>
    <w:rsid w:val="484E277B"/>
    <w:rsid w:val="487347DD"/>
    <w:rsid w:val="492B486B"/>
    <w:rsid w:val="498D2E30"/>
    <w:rsid w:val="49942800"/>
    <w:rsid w:val="4A441795"/>
    <w:rsid w:val="4A5A77BB"/>
    <w:rsid w:val="4A8D7F3E"/>
    <w:rsid w:val="4ACA3627"/>
    <w:rsid w:val="4B1C435F"/>
    <w:rsid w:val="4B6E6E67"/>
    <w:rsid w:val="4B8F3B84"/>
    <w:rsid w:val="4BC045B9"/>
    <w:rsid w:val="4CE82EBC"/>
    <w:rsid w:val="4CF60CEC"/>
    <w:rsid w:val="4D4B1038"/>
    <w:rsid w:val="4D693BB4"/>
    <w:rsid w:val="4DC37B44"/>
    <w:rsid w:val="4DF0398D"/>
    <w:rsid w:val="4E402F39"/>
    <w:rsid w:val="4E830CA5"/>
    <w:rsid w:val="4EA8070C"/>
    <w:rsid w:val="4ECD1BDC"/>
    <w:rsid w:val="4F471CD3"/>
    <w:rsid w:val="4F98298C"/>
    <w:rsid w:val="500C1890"/>
    <w:rsid w:val="505A77E4"/>
    <w:rsid w:val="522D1654"/>
    <w:rsid w:val="528B637A"/>
    <w:rsid w:val="52D37E55"/>
    <w:rsid w:val="52E31D12"/>
    <w:rsid w:val="53195E54"/>
    <w:rsid w:val="53227C8E"/>
    <w:rsid w:val="532A27E8"/>
    <w:rsid w:val="53707A2F"/>
    <w:rsid w:val="53E828F5"/>
    <w:rsid w:val="54120356"/>
    <w:rsid w:val="54565E47"/>
    <w:rsid w:val="54CB5FFA"/>
    <w:rsid w:val="54DF6509"/>
    <w:rsid w:val="554C35DD"/>
    <w:rsid w:val="55E13D37"/>
    <w:rsid w:val="55EC7130"/>
    <w:rsid w:val="56505911"/>
    <w:rsid w:val="56CE5073"/>
    <w:rsid w:val="571707DF"/>
    <w:rsid w:val="573E1C0D"/>
    <w:rsid w:val="57FC1AE6"/>
    <w:rsid w:val="583009BE"/>
    <w:rsid w:val="58FB641C"/>
    <w:rsid w:val="59243894"/>
    <w:rsid w:val="596E03DF"/>
    <w:rsid w:val="59752C35"/>
    <w:rsid w:val="59B60181"/>
    <w:rsid w:val="59E30B0D"/>
    <w:rsid w:val="5ADC4F12"/>
    <w:rsid w:val="5CC2508E"/>
    <w:rsid w:val="5D3C336F"/>
    <w:rsid w:val="5D9F74EB"/>
    <w:rsid w:val="5E1B77C0"/>
    <w:rsid w:val="5E504440"/>
    <w:rsid w:val="5EB8580C"/>
    <w:rsid w:val="5EEC63F2"/>
    <w:rsid w:val="605962C7"/>
    <w:rsid w:val="60FD5F10"/>
    <w:rsid w:val="626D24DE"/>
    <w:rsid w:val="62D41677"/>
    <w:rsid w:val="630F6E13"/>
    <w:rsid w:val="631A005A"/>
    <w:rsid w:val="633D68C3"/>
    <w:rsid w:val="633F0E98"/>
    <w:rsid w:val="63CA2AC3"/>
    <w:rsid w:val="63DF64BA"/>
    <w:rsid w:val="63F648D6"/>
    <w:rsid w:val="64EB4026"/>
    <w:rsid w:val="65467CFE"/>
    <w:rsid w:val="65647668"/>
    <w:rsid w:val="65655074"/>
    <w:rsid w:val="65B12BDB"/>
    <w:rsid w:val="661D39C2"/>
    <w:rsid w:val="66287D10"/>
    <w:rsid w:val="66495ED8"/>
    <w:rsid w:val="66AC143F"/>
    <w:rsid w:val="67B0654C"/>
    <w:rsid w:val="67C4023B"/>
    <w:rsid w:val="67D143D7"/>
    <w:rsid w:val="67E42D8F"/>
    <w:rsid w:val="683561B0"/>
    <w:rsid w:val="6989274A"/>
    <w:rsid w:val="69BB533F"/>
    <w:rsid w:val="6A7379C8"/>
    <w:rsid w:val="6B0036D4"/>
    <w:rsid w:val="6BDA7CFF"/>
    <w:rsid w:val="6C2D5869"/>
    <w:rsid w:val="6C3B1211"/>
    <w:rsid w:val="6C4205E9"/>
    <w:rsid w:val="6CC434E2"/>
    <w:rsid w:val="6D0D7DA4"/>
    <w:rsid w:val="6D941D04"/>
    <w:rsid w:val="6DDE7CAA"/>
    <w:rsid w:val="6EA039EE"/>
    <w:rsid w:val="6EF1592B"/>
    <w:rsid w:val="6F050E03"/>
    <w:rsid w:val="6F5F177E"/>
    <w:rsid w:val="6F690F88"/>
    <w:rsid w:val="6FFE2C9C"/>
    <w:rsid w:val="6FFE6189"/>
    <w:rsid w:val="70225682"/>
    <w:rsid w:val="70943FC3"/>
    <w:rsid w:val="709A4DCE"/>
    <w:rsid w:val="70F03B20"/>
    <w:rsid w:val="71526589"/>
    <w:rsid w:val="721C4FC0"/>
    <w:rsid w:val="7292340F"/>
    <w:rsid w:val="73331D1E"/>
    <w:rsid w:val="7348178C"/>
    <w:rsid w:val="735D6B82"/>
    <w:rsid w:val="7373141A"/>
    <w:rsid w:val="73B84AC3"/>
    <w:rsid w:val="753B10E2"/>
    <w:rsid w:val="75CD021B"/>
    <w:rsid w:val="760B4F58"/>
    <w:rsid w:val="76374252"/>
    <w:rsid w:val="76393125"/>
    <w:rsid w:val="7694425B"/>
    <w:rsid w:val="769F7746"/>
    <w:rsid w:val="76B943C5"/>
    <w:rsid w:val="76CD007A"/>
    <w:rsid w:val="77DE2925"/>
    <w:rsid w:val="77FC724F"/>
    <w:rsid w:val="78853C8C"/>
    <w:rsid w:val="78A06277"/>
    <w:rsid w:val="78B30897"/>
    <w:rsid w:val="792957F5"/>
    <w:rsid w:val="7AA8192C"/>
    <w:rsid w:val="7B06153A"/>
    <w:rsid w:val="7BC57DF6"/>
    <w:rsid w:val="7C1C34E2"/>
    <w:rsid w:val="7C240B22"/>
    <w:rsid w:val="7C6B49A3"/>
    <w:rsid w:val="7CE65DD7"/>
    <w:rsid w:val="7D2E7EAA"/>
    <w:rsid w:val="7DAD61DE"/>
    <w:rsid w:val="7DC77941"/>
    <w:rsid w:val="7DCF67BE"/>
    <w:rsid w:val="7EA63A70"/>
    <w:rsid w:val="7EAD04CD"/>
    <w:rsid w:val="7EF97C72"/>
    <w:rsid w:val="7F1560CE"/>
    <w:rsid w:val="7F5160D2"/>
    <w:rsid w:val="7F5F39DB"/>
    <w:rsid w:val="7FA75CF2"/>
    <w:rsid w:val="7FD10FC1"/>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toc 7"/>
    <w:basedOn w:val="1"/>
    <w:next w:val="1"/>
    <w:qFormat/>
    <w:uiPriority w:val="39"/>
    <w:pPr>
      <w:ind w:left="1200" w:leftChars="1200"/>
    </w:pPr>
  </w:style>
  <w:style w:type="paragraph" w:styleId="7">
    <w:name w:val="Document Map"/>
    <w:basedOn w:val="1"/>
    <w:qFormat/>
    <w:uiPriority w:val="0"/>
    <w:rPr>
      <w:rFonts w:ascii="宋体" w:cs="宋体"/>
      <w:sz w:val="18"/>
      <w:szCs w:val="18"/>
    </w:rPr>
  </w:style>
  <w:style w:type="paragraph" w:styleId="8">
    <w:name w:val="annotation text"/>
    <w:basedOn w:val="1"/>
    <w:link w:val="43"/>
    <w:qFormat/>
    <w:uiPriority w:val="0"/>
    <w:pPr>
      <w:jc w:val="left"/>
    </w:pPr>
    <w:rPr>
      <w:rFonts w:ascii="Times New Roman" w:hAnsi="Times New Roman"/>
      <w:szCs w:val="20"/>
    </w:rPr>
  </w:style>
  <w:style w:type="paragraph" w:styleId="9">
    <w:name w:val="Body Text 3"/>
    <w:basedOn w:val="1"/>
    <w:link w:val="44"/>
    <w:qFormat/>
    <w:uiPriority w:val="0"/>
    <w:rPr>
      <w:rFonts w:ascii="宋体"/>
      <w:sz w:val="24"/>
      <w:szCs w:val="20"/>
    </w:rPr>
  </w:style>
  <w:style w:type="paragraph" w:styleId="10">
    <w:name w:val="Body Text"/>
    <w:basedOn w:val="1"/>
    <w:unhideWhenUsed/>
    <w:qFormat/>
    <w:uiPriority w:val="0"/>
    <w:pPr>
      <w:spacing w:after="120"/>
    </w:pPr>
    <w:rPr>
      <w:kern w:val="0"/>
      <w:sz w:val="20"/>
      <w:szCs w:val="24"/>
    </w:rPr>
  </w:style>
  <w:style w:type="paragraph" w:styleId="11">
    <w:name w:val="Body Text Indent"/>
    <w:basedOn w:val="1"/>
    <w:qFormat/>
    <w:uiPriority w:val="0"/>
    <w:pPr>
      <w:spacing w:line="520" w:lineRule="exact"/>
      <w:ind w:firstLine="420" w:firstLineChars="200"/>
    </w:pPr>
    <w:rPr>
      <w:rFonts w:ascii="宋体" w:hAnsi="宋体"/>
      <w:color w:val="000000"/>
    </w:rPr>
  </w:style>
  <w:style w:type="paragraph" w:styleId="12">
    <w:name w:val="toc 5"/>
    <w:basedOn w:val="1"/>
    <w:next w:val="1"/>
    <w:qFormat/>
    <w:uiPriority w:val="39"/>
    <w:pPr>
      <w:ind w:left="800" w:leftChars="800"/>
    </w:pPr>
  </w:style>
  <w:style w:type="paragraph" w:styleId="13">
    <w:name w:val="toc 3"/>
    <w:basedOn w:val="1"/>
    <w:next w:val="1"/>
    <w:qFormat/>
    <w:uiPriority w:val="39"/>
    <w:pPr>
      <w:ind w:left="400" w:leftChars="400"/>
    </w:pPr>
  </w:style>
  <w:style w:type="paragraph" w:styleId="14">
    <w:name w:val="Plain Text"/>
    <w:basedOn w:val="1"/>
    <w:qFormat/>
    <w:uiPriority w:val="0"/>
    <w:rPr>
      <w:rFonts w:ascii="宋体"/>
    </w:rPr>
  </w:style>
  <w:style w:type="paragraph" w:styleId="15">
    <w:name w:val="toc 8"/>
    <w:basedOn w:val="1"/>
    <w:next w:val="1"/>
    <w:qFormat/>
    <w:uiPriority w:val="39"/>
    <w:pPr>
      <w:ind w:left="1400" w:leftChars="1400"/>
    </w:pPr>
  </w:style>
  <w:style w:type="paragraph" w:styleId="16">
    <w:name w:val="Date"/>
    <w:basedOn w:val="1"/>
    <w:next w:val="1"/>
    <w:qFormat/>
    <w:uiPriority w:val="0"/>
    <w:pPr>
      <w:ind w:left="2500" w:leftChars="2500"/>
    </w:pPr>
    <w:rPr>
      <w:rFonts w:ascii="Times New Roman" w:hAnsi="Times New Roman"/>
      <w:szCs w:val="20"/>
    </w:rPr>
  </w:style>
  <w:style w:type="paragraph" w:styleId="17">
    <w:name w:val="Balloon Text"/>
    <w:basedOn w:val="1"/>
    <w:qFormat/>
    <w:uiPriority w:val="0"/>
    <w:rPr>
      <w:rFonts w:ascii="Times New Roman" w:hAnsi="Times New Roman"/>
      <w:sz w:val="18"/>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tabs>
        <w:tab w:val="center" w:pos="4153"/>
        <w:tab w:val="right" w:pos="8306"/>
      </w:tabs>
      <w:snapToGrid w:val="0"/>
    </w:pPr>
    <w:rPr>
      <w:rFonts w:ascii="Times New Roman" w:hAnsi="Times New Roman"/>
      <w:sz w:val="18"/>
      <w:szCs w:val="20"/>
    </w:rPr>
  </w:style>
  <w:style w:type="paragraph" w:styleId="20">
    <w:name w:val="toc 1"/>
    <w:basedOn w:val="1"/>
    <w:next w:val="1"/>
    <w:qFormat/>
    <w:uiPriority w:val="39"/>
  </w:style>
  <w:style w:type="paragraph" w:styleId="21">
    <w:name w:val="toc 4"/>
    <w:basedOn w:val="1"/>
    <w:next w:val="1"/>
    <w:qFormat/>
    <w:uiPriority w:val="39"/>
    <w:pPr>
      <w:ind w:left="600" w:leftChars="600"/>
    </w:pPr>
  </w:style>
  <w:style w:type="paragraph" w:styleId="22">
    <w:name w:val="toc 6"/>
    <w:basedOn w:val="1"/>
    <w:next w:val="1"/>
    <w:qFormat/>
    <w:uiPriority w:val="39"/>
    <w:pPr>
      <w:ind w:left="1000" w:leftChars="1000"/>
    </w:pPr>
  </w:style>
  <w:style w:type="paragraph" w:styleId="23">
    <w:name w:val="Body Text Indent 3"/>
    <w:basedOn w:val="1"/>
    <w:qFormat/>
    <w:uiPriority w:val="0"/>
    <w:pPr>
      <w:spacing w:after="120"/>
      <w:ind w:left="200" w:leftChars="200"/>
    </w:pPr>
    <w:rPr>
      <w:sz w:val="16"/>
      <w:szCs w:val="16"/>
    </w:rPr>
  </w:style>
  <w:style w:type="paragraph" w:styleId="24">
    <w:name w:val="toc 2"/>
    <w:basedOn w:val="1"/>
    <w:next w:val="1"/>
    <w:qFormat/>
    <w:uiPriority w:val="39"/>
    <w:pPr>
      <w:ind w:left="200" w:leftChars="200"/>
    </w:pPr>
  </w:style>
  <w:style w:type="paragraph" w:styleId="25">
    <w:name w:val="toc 9"/>
    <w:basedOn w:val="1"/>
    <w:next w:val="1"/>
    <w:qFormat/>
    <w:uiPriority w:val="39"/>
    <w:pPr>
      <w:ind w:left="1600" w:leftChars="1600"/>
    </w:p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7">
    <w:name w:val="Normal (Web)"/>
    <w:basedOn w:val="1"/>
    <w:unhideWhenUsed/>
    <w:qFormat/>
    <w:uiPriority w:val="0"/>
    <w:rPr>
      <w:sz w:val="24"/>
    </w:rPr>
  </w:style>
  <w:style w:type="paragraph" w:styleId="28">
    <w:name w:val="annotation subject"/>
    <w:basedOn w:val="8"/>
    <w:next w:val="8"/>
    <w:qFormat/>
    <w:uiPriority w:val="0"/>
  </w:style>
  <w:style w:type="paragraph" w:styleId="29">
    <w:name w:val="Body Text First Indent"/>
    <w:basedOn w:val="10"/>
    <w:qFormat/>
    <w:uiPriority w:val="0"/>
    <w:pPr>
      <w:spacing w:line="312" w:lineRule="auto"/>
      <w:ind w:firstLine="420"/>
    </w:pPr>
    <w:rPr>
      <w:kern w:val="2"/>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unhideWhenUsed/>
    <w:qFormat/>
    <w:uiPriority w:val="0"/>
    <w:rPr>
      <w:rFonts w:hint="eastAsia" w:ascii="微软雅黑" w:hAnsi="微软雅黑" w:eastAsia="微软雅黑" w:cs="微软雅黑"/>
      <w:color w:val="337AB7"/>
      <w:u w:val="none"/>
    </w:rPr>
  </w:style>
  <w:style w:type="character" w:styleId="36">
    <w:name w:val="HTML Definition"/>
    <w:basedOn w:val="32"/>
    <w:unhideWhenUsed/>
    <w:qFormat/>
    <w:uiPriority w:val="0"/>
    <w:rPr>
      <w:i/>
    </w:rPr>
  </w:style>
  <w:style w:type="character" w:styleId="37">
    <w:name w:val="Hyperlink"/>
    <w:basedOn w:val="32"/>
    <w:qFormat/>
    <w:uiPriority w:val="99"/>
    <w:rPr>
      <w:rFonts w:ascii="微软雅黑" w:hAnsi="微软雅黑" w:eastAsia="微软雅黑" w:cs="微软雅黑"/>
      <w:color w:val="337AB7"/>
      <w:u w:val="none"/>
    </w:rPr>
  </w:style>
  <w:style w:type="character" w:styleId="38">
    <w:name w:val="HTML Code"/>
    <w:basedOn w:val="32"/>
    <w:unhideWhenUsed/>
    <w:qFormat/>
    <w:uiPriority w:val="0"/>
    <w:rPr>
      <w:rFonts w:hint="default" w:ascii="Consolas" w:hAnsi="Consolas" w:eastAsia="Consolas" w:cs="Consolas"/>
      <w:color w:val="C7254E"/>
      <w:sz w:val="21"/>
      <w:szCs w:val="21"/>
      <w:bdr w:val="single" w:color="E1E1E1" w:sz="6" w:space="0"/>
      <w:shd w:val="clear" w:color="auto" w:fill="F9F2F4"/>
    </w:rPr>
  </w:style>
  <w:style w:type="character" w:styleId="39">
    <w:name w:val="annotation reference"/>
    <w:qFormat/>
    <w:uiPriority w:val="0"/>
    <w:rPr>
      <w:sz w:val="21"/>
    </w:rPr>
  </w:style>
  <w:style w:type="character" w:styleId="40">
    <w:name w:val="HTML Keyboard"/>
    <w:basedOn w:val="32"/>
    <w:unhideWhenUsed/>
    <w:qFormat/>
    <w:uiPriority w:val="0"/>
    <w:rPr>
      <w:rFonts w:ascii="Consolas" w:hAnsi="Consolas" w:eastAsia="Consolas" w:cs="Consolas"/>
      <w:color w:val="FFFFFF"/>
      <w:sz w:val="21"/>
      <w:szCs w:val="21"/>
      <w:shd w:val="clear" w:color="auto" w:fill="333333"/>
    </w:rPr>
  </w:style>
  <w:style w:type="character" w:styleId="41">
    <w:name w:val="HTML Sample"/>
    <w:basedOn w:val="32"/>
    <w:unhideWhenUsed/>
    <w:qFormat/>
    <w:uiPriority w:val="0"/>
    <w:rPr>
      <w:rFonts w:hint="default" w:ascii="Consolas" w:hAnsi="Consolas" w:eastAsia="Consolas" w:cs="Consolas"/>
      <w:sz w:val="21"/>
      <w:szCs w:val="21"/>
    </w:rPr>
  </w:style>
  <w:style w:type="character" w:customStyle="1" w:styleId="42">
    <w:name w:val="标题 1 Char"/>
    <w:basedOn w:val="32"/>
    <w:link w:val="3"/>
    <w:qFormat/>
    <w:uiPriority w:val="0"/>
    <w:rPr>
      <w:b/>
      <w:kern w:val="44"/>
      <w:sz w:val="44"/>
    </w:rPr>
  </w:style>
  <w:style w:type="character" w:customStyle="1" w:styleId="43">
    <w:name w:val="批注文字 Char"/>
    <w:basedOn w:val="32"/>
    <w:link w:val="8"/>
    <w:qFormat/>
    <w:uiPriority w:val="0"/>
    <w:rPr>
      <w:rFonts w:eastAsia="宋体"/>
      <w:kern w:val="2"/>
      <w:sz w:val="21"/>
    </w:rPr>
  </w:style>
  <w:style w:type="character" w:customStyle="1" w:styleId="44">
    <w:name w:val="正文文本 3 Char"/>
    <w:basedOn w:val="32"/>
    <w:link w:val="9"/>
    <w:qFormat/>
    <w:uiPriority w:val="0"/>
    <w:rPr>
      <w:rFonts w:ascii="宋体" w:hAnsi="Calibri" w:eastAsia="宋体"/>
      <w:kern w:val="2"/>
      <w:sz w:val="24"/>
    </w:rPr>
  </w:style>
  <w:style w:type="character" w:customStyle="1" w:styleId="45">
    <w:name w:val="style_kwd"/>
    <w:basedOn w:val="32"/>
    <w:qFormat/>
    <w:uiPriority w:val="0"/>
  </w:style>
  <w:style w:type="character" w:customStyle="1" w:styleId="46">
    <w:name w:val="批注文字 Char1"/>
    <w:qFormat/>
    <w:uiPriority w:val="0"/>
    <w:rPr>
      <w:rFonts w:ascii="Times New Roman" w:hAnsi="Times New Roman" w:eastAsia="宋体" w:cs="Times New Roman"/>
      <w:sz w:val="20"/>
      <w:szCs w:val="20"/>
      <w:lang w:bidi="ar-SA"/>
    </w:rPr>
  </w:style>
  <w:style w:type="character" w:customStyle="1" w:styleId="47">
    <w:name w:val="Comment Text Char"/>
    <w:qFormat/>
    <w:uiPriority w:val="0"/>
  </w:style>
  <w:style w:type="paragraph" w:customStyle="1" w:styleId="48">
    <w:name w:val="修订1"/>
    <w:qFormat/>
    <w:uiPriority w:val="0"/>
    <w:rPr>
      <w:rFonts w:ascii="Times New Roman" w:hAnsi="Times New Roman" w:eastAsia="宋体" w:cs="Times New Roman"/>
      <w:kern w:val="2"/>
      <w:sz w:val="21"/>
      <w:lang w:val="en-US" w:eastAsia="zh-CN" w:bidi="ar-SA"/>
    </w:rPr>
  </w:style>
  <w:style w:type="paragraph" w:customStyle="1" w:styleId="49">
    <w:name w:val="_Style 23"/>
    <w:basedOn w:val="1"/>
    <w:qFormat/>
    <w:uiPriority w:val="0"/>
    <w:pPr>
      <w:widowControl/>
      <w:spacing w:after="160" w:line="240" w:lineRule="exact"/>
      <w:jc w:val="left"/>
    </w:p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1">
    <w:name w:val="font161"/>
    <w:qFormat/>
    <w:uiPriority w:val="0"/>
    <w:rPr>
      <w:b/>
      <w:bCs/>
      <w:sz w:val="32"/>
      <w:szCs w:val="32"/>
    </w:rPr>
  </w:style>
  <w:style w:type="character" w:customStyle="1" w:styleId="52">
    <w:name w:val="username"/>
    <w:basedOn w:val="32"/>
    <w:qFormat/>
    <w:uiPriority w:val="0"/>
  </w:style>
  <w:style w:type="character" w:customStyle="1" w:styleId="53">
    <w:name w:val="title26"/>
    <w:basedOn w:val="32"/>
    <w:qFormat/>
    <w:uiPriority w:val="0"/>
  </w:style>
  <w:style w:type="character" w:customStyle="1" w:styleId="54">
    <w:name w:val="title24"/>
    <w:basedOn w:val="32"/>
    <w:qFormat/>
    <w:uiPriority w:val="0"/>
  </w:style>
  <w:style w:type="character" w:customStyle="1" w:styleId="55">
    <w:name w:val="fontstyle01"/>
    <w:qFormat/>
    <w:uiPriority w:val="0"/>
    <w:rPr>
      <w:rFonts w:hint="eastAsia" w:ascii="宋体" w:hAnsi="宋体" w:eastAsia="宋体"/>
      <w:color w:val="000000"/>
      <w:sz w:val="22"/>
      <w:szCs w:val="22"/>
    </w:rPr>
  </w:style>
  <w:style w:type="character" w:customStyle="1" w:styleId="56">
    <w:name w:val="未处理的提及1"/>
    <w:basedOn w:val="32"/>
    <w:unhideWhenUsed/>
    <w:qFormat/>
    <w:uiPriority w:val="99"/>
    <w:rPr>
      <w:color w:val="605E5C"/>
      <w:shd w:val="clear" w:color="auto" w:fill="E1DFDD"/>
    </w:rPr>
  </w:style>
  <w:style w:type="paragraph" w:customStyle="1" w:styleId="57">
    <w:name w:val="图"/>
    <w:basedOn w:val="58"/>
    <w:qFormat/>
    <w:uiPriority w:val="0"/>
    <w:pPr>
      <w:keepNext/>
      <w:spacing w:before="60" w:after="60" w:line="300" w:lineRule="auto"/>
      <w:jc w:val="center"/>
    </w:pPr>
    <w:rPr>
      <w:spacing w:val="20"/>
      <w:sz w:val="24"/>
      <w:lang w:eastAsia="zh-CN"/>
    </w:rPr>
  </w:style>
  <w:style w:type="paragraph" w:customStyle="1" w:styleId="58">
    <w:name w:val="正文1"/>
    <w:qFormat/>
    <w:uiPriority w:val="99"/>
    <w:pPr>
      <w:ind w:firstLine="360"/>
    </w:pPr>
    <w:rPr>
      <w:rFonts w:ascii="Calibri" w:hAnsi="Calibri" w:eastAsia="宋体" w:cs="Times New Roman"/>
      <w:sz w:val="22"/>
      <w:lang w:val="en-US" w:eastAsia="en-US" w:bidi="ar-SA"/>
    </w:rPr>
  </w:style>
  <w:style w:type="character" w:customStyle="1" w:styleId="59">
    <w:name w:val="未处理的提及2"/>
    <w:basedOn w:val="32"/>
    <w:unhideWhenUsed/>
    <w:qFormat/>
    <w:uiPriority w:val="99"/>
    <w:rPr>
      <w:color w:val="605E5C"/>
      <w:shd w:val="clear" w:color="auto" w:fill="E1DFDD"/>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列表段落1"/>
    <w:basedOn w:val="1"/>
    <w:qFormat/>
    <w:uiPriority w:val="0"/>
    <w:pPr>
      <w:ind w:firstLine="420" w:firstLineChars="200"/>
    </w:pPr>
  </w:style>
  <w:style w:type="paragraph" w:customStyle="1" w:styleId="62">
    <w:name w:val="列出段落1"/>
    <w:basedOn w:val="1"/>
    <w:qFormat/>
    <w:uiPriority w:val="0"/>
    <w:pPr>
      <w:ind w:firstLine="420" w:firstLineChars="200"/>
    </w:pPr>
    <w:rPr>
      <w:rFonts w:ascii="Times New Roman" w:hAnsi="Times New Roman"/>
      <w:szCs w:val="24"/>
    </w:rPr>
  </w:style>
  <w:style w:type="paragraph" w:customStyle="1" w:styleId="63">
    <w:name w:val="正文 New"/>
    <w:qFormat/>
    <w:uiPriority w:val="0"/>
    <w:pPr>
      <w:widowControl w:val="0"/>
      <w:jc w:val="both"/>
    </w:pPr>
    <w:rPr>
      <w:rFonts w:ascii="Calibri" w:hAnsi="Calibri" w:eastAsia="宋体" w:cs="Times New Roman"/>
      <w:kern w:val="2"/>
      <w:sz w:val="28"/>
      <w:szCs w:val="24"/>
      <w:lang w:val="en-US" w:eastAsia="zh-CN" w:bidi="ar-SA"/>
    </w:rPr>
  </w:style>
  <w:style w:type="paragraph" w:customStyle="1" w:styleId="64">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修订2"/>
    <w:semiHidden/>
    <w:qFormat/>
    <w:uiPriority w:val="99"/>
    <w:rPr>
      <w:rFonts w:ascii="Calibri" w:hAnsi="Calibri" w:eastAsia="宋体" w:cs="Times New Roman"/>
      <w:kern w:val="2"/>
      <w:sz w:val="21"/>
      <w:szCs w:val="22"/>
      <w:lang w:val="en-US" w:eastAsia="zh-CN" w:bidi="ar-SA"/>
    </w:rPr>
  </w:style>
  <w:style w:type="paragraph" w:customStyle="1" w:styleId="66">
    <w:name w:val="修订3"/>
    <w:semiHidden/>
    <w:qFormat/>
    <w:uiPriority w:val="99"/>
    <w:rPr>
      <w:rFonts w:ascii="Calibri" w:hAnsi="Calibri" w:eastAsia="宋体" w:cs="Times New Roman"/>
      <w:kern w:val="2"/>
      <w:sz w:val="21"/>
      <w:szCs w:val="22"/>
      <w:lang w:val="en-US" w:eastAsia="zh-CN" w:bidi="ar-SA"/>
    </w:rPr>
  </w:style>
  <w:style w:type="character" w:customStyle="1" w:styleId="67">
    <w:name w:val="font51"/>
    <w:basedOn w:val="32"/>
    <w:qFormat/>
    <w:uiPriority w:val="0"/>
    <w:rPr>
      <w:rFonts w:hint="default" w:ascii="Times New Roman" w:hAnsi="Times New Roman" w:cs="Times New Roman"/>
      <w:b/>
      <w:bCs/>
      <w:color w:val="000000"/>
      <w:sz w:val="18"/>
      <w:szCs w:val="18"/>
      <w:u w:val="none"/>
    </w:rPr>
  </w:style>
  <w:style w:type="character" w:customStyle="1" w:styleId="68">
    <w:name w:val="font41"/>
    <w:basedOn w:val="32"/>
    <w:qFormat/>
    <w:uiPriority w:val="0"/>
    <w:rPr>
      <w:rFonts w:hint="eastAsia" w:ascii="宋体" w:hAnsi="宋体" w:eastAsia="宋体" w:cs="宋体"/>
      <w:b/>
      <w:bCs/>
      <w:color w:val="000000"/>
      <w:sz w:val="18"/>
      <w:szCs w:val="18"/>
      <w:u w:val="none"/>
    </w:rPr>
  </w:style>
  <w:style w:type="character" w:customStyle="1" w:styleId="69">
    <w:name w:val="font71"/>
    <w:basedOn w:val="32"/>
    <w:qFormat/>
    <w:uiPriority w:val="0"/>
    <w:rPr>
      <w:rFonts w:hint="eastAsia" w:ascii="宋体" w:hAnsi="宋体" w:eastAsia="宋体" w:cs="宋体"/>
      <w:color w:val="000000"/>
      <w:sz w:val="18"/>
      <w:szCs w:val="18"/>
      <w:u w:val="none"/>
    </w:rPr>
  </w:style>
  <w:style w:type="character" w:customStyle="1" w:styleId="70">
    <w:name w:val="font81"/>
    <w:basedOn w:val="32"/>
    <w:qFormat/>
    <w:uiPriority w:val="0"/>
    <w:rPr>
      <w:rFonts w:hint="default" w:ascii="Times New Roman" w:hAnsi="Times New Roman" w:cs="Times New Roman"/>
      <w:color w:val="000000"/>
      <w:sz w:val="18"/>
      <w:szCs w:val="18"/>
      <w:u w:val="none"/>
    </w:rPr>
  </w:style>
  <w:style w:type="character" w:customStyle="1" w:styleId="71">
    <w:name w:val="font61"/>
    <w:basedOn w:val="3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14194</Words>
  <Characters>15353</Characters>
  <Lines>226</Lines>
  <Paragraphs>63</Paragraphs>
  <TotalTime>29</TotalTime>
  <ScaleCrop>false</ScaleCrop>
  <LinksUpToDate>false</LinksUpToDate>
  <CharactersWithSpaces>15971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2025-03-13T02:23:00Z</dcterms:created>
  <dc:creator>lenovo</dc:creator>
  <cp:lastModifiedBy>忘忧</cp:lastModifiedBy>
  <cp:lastPrinted>2025-03-14T06:51:00Z</cp:lastPrinted>
  <dcterms:modified xsi:type="dcterms:W3CDTF">2025-12-16T06:48:49Z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9293D931B5CA4CD19C4D150FE756AB0C_13</vt:lpwstr>
  </property>
  <property fmtid="{D5CDD505-2E9C-101B-9397-08002B2CF9AE}" pid="4" name="KSOTemplateDocerSaveRecord">
    <vt:lpwstr>eyJoZGlkIjoiZjc3MTA1NmZhZmZhY2NlMDY0YmVmMTcxODRlOWI0YzgiLCJ1c2VySWQiOiIyNjI5NjYyNDIifQ==</vt:lpwstr>
  </property>
</Properties>
</file>