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cs="宋体"/>
          <w:color w:val="auto"/>
          <w:sz w:val="32"/>
          <w:szCs w:val="32"/>
          <w:highlight w:val="none"/>
        </w:rPr>
      </w:pPr>
      <w:r>
        <w:rPr>
          <w:rFonts w:hint="eastAsia" w:cs="宋体"/>
          <w:color w:val="auto"/>
          <w:sz w:val="32"/>
          <w:szCs w:val="32"/>
          <w:highlight w:val="none"/>
        </w:rPr>
        <w:t>第五章  技术条件（工程建设标准）</w:t>
      </w:r>
    </w:p>
    <w:p>
      <w:pPr>
        <w:pStyle w:val="14"/>
        <w:widowControl w:val="0"/>
        <w:topLinePunct/>
        <w:adjustRightInd w:val="0"/>
        <w:snapToGrid w:val="0"/>
        <w:spacing w:before="0" w:beforeAutospacing="0" w:after="0" w:afterAutospacing="0" w:line="360" w:lineRule="auto"/>
        <w:ind w:left="420" w:firstLine="496" w:firstLineChars="200"/>
        <w:jc w:val="both"/>
        <w:rPr>
          <w:rFonts w:hint="eastAsia" w:cs="宋体"/>
          <w:color w:val="auto"/>
          <w:highlight w:val="none"/>
        </w:rPr>
      </w:pPr>
      <w:r>
        <w:rPr>
          <w:rFonts w:hint="eastAsia" w:cs="宋体"/>
          <w:color w:val="auto"/>
          <w:spacing w:val="4"/>
          <w:highlight w:val="none"/>
          <w:lang w:bidi="ar"/>
        </w:rPr>
        <w:t>下列文件应被认为是组成本章内容的一部分，并互为补充和解释，如各文件存在冲突之处，以如下排列次序在前者优先适用：</w:t>
      </w:r>
    </w:p>
    <w:p>
      <w:pPr>
        <w:pStyle w:val="14"/>
        <w:widowControl w:val="0"/>
        <w:topLinePunct/>
        <w:adjustRightInd w:val="0"/>
        <w:snapToGrid w:val="0"/>
        <w:spacing w:before="0" w:beforeAutospacing="0" w:after="0" w:afterAutospacing="0" w:line="360" w:lineRule="auto"/>
        <w:ind w:left="420" w:firstLine="496" w:firstLineChars="200"/>
        <w:jc w:val="both"/>
        <w:rPr>
          <w:rFonts w:hint="eastAsia" w:cs="宋体"/>
          <w:color w:val="auto"/>
          <w:highlight w:val="none"/>
        </w:rPr>
      </w:pPr>
      <w:r>
        <w:rPr>
          <w:rFonts w:hint="eastAsia" w:cs="宋体"/>
          <w:color w:val="auto"/>
          <w:spacing w:val="4"/>
          <w:highlight w:val="none"/>
          <w:lang w:bidi="ar"/>
        </w:rPr>
        <w:t>1、遵照招标人相关管理规定要求；</w:t>
      </w:r>
    </w:p>
    <w:p>
      <w:pPr>
        <w:pStyle w:val="14"/>
        <w:widowControl w:val="0"/>
        <w:topLinePunct/>
        <w:adjustRightInd w:val="0"/>
        <w:snapToGrid w:val="0"/>
        <w:spacing w:before="0" w:beforeAutospacing="0" w:after="0" w:afterAutospacing="0" w:line="360" w:lineRule="auto"/>
        <w:ind w:left="420" w:firstLine="496" w:firstLineChars="200"/>
        <w:jc w:val="both"/>
        <w:rPr>
          <w:rFonts w:hint="eastAsia" w:cs="宋体"/>
          <w:color w:val="auto"/>
          <w:highlight w:val="none"/>
        </w:rPr>
      </w:pPr>
      <w:r>
        <w:rPr>
          <w:rFonts w:hint="eastAsia" w:cs="宋体"/>
          <w:color w:val="auto"/>
          <w:spacing w:val="4"/>
          <w:highlight w:val="none"/>
          <w:lang w:bidi="ar"/>
        </w:rPr>
        <w:t>2、采用图纸中规定的其他技术和验收标准；</w:t>
      </w:r>
    </w:p>
    <w:p>
      <w:pPr>
        <w:pStyle w:val="14"/>
        <w:widowControl w:val="0"/>
        <w:topLinePunct/>
        <w:adjustRightInd w:val="0"/>
        <w:snapToGrid w:val="0"/>
        <w:spacing w:before="0" w:beforeAutospacing="0" w:after="0" w:afterAutospacing="0" w:line="360" w:lineRule="auto"/>
        <w:ind w:left="420" w:firstLine="496" w:firstLineChars="200"/>
        <w:jc w:val="both"/>
        <w:rPr>
          <w:rFonts w:hint="eastAsia" w:cs="宋体"/>
          <w:color w:val="auto"/>
          <w:spacing w:val="4"/>
          <w:highlight w:val="none"/>
          <w:lang w:bidi="ar"/>
        </w:rPr>
      </w:pPr>
      <w:r>
        <w:rPr>
          <w:rFonts w:hint="eastAsia" w:cs="宋体"/>
          <w:color w:val="auto"/>
          <w:spacing w:val="4"/>
          <w:highlight w:val="none"/>
          <w:lang w:bidi="ar"/>
        </w:rPr>
        <w:t>3、采用中华人民共和国现行技术和验收规范。</w:t>
      </w:r>
    </w:p>
    <w:p>
      <w:pPr>
        <w:outlineLvl w:val="1"/>
        <w:rPr>
          <w:rFonts w:hint="eastAsia" w:ascii="宋体" w:hAnsi="宋体" w:cs="宋体"/>
          <w:b/>
          <w:bCs/>
          <w:color w:val="auto"/>
          <w:kern w:val="0"/>
          <w:sz w:val="28"/>
          <w:szCs w:val="32"/>
          <w:highlight w:val="none"/>
          <w:lang w:val="zh-CN"/>
        </w:rPr>
      </w:pPr>
      <w:r>
        <w:rPr>
          <w:rFonts w:hint="eastAsia" w:ascii="宋体" w:hAnsi="宋体" w:cs="宋体"/>
          <w:b/>
          <w:bCs/>
          <w:color w:val="auto"/>
          <w:kern w:val="0"/>
          <w:sz w:val="28"/>
          <w:szCs w:val="32"/>
          <w:highlight w:val="none"/>
          <w:lang w:val="zh-CN" w:bidi="ar"/>
        </w:rPr>
        <w:t>一、项目概述</w:t>
      </w:r>
    </w:p>
    <w:p>
      <w:pPr>
        <w:pStyle w:val="4"/>
        <w:spacing w:before="156" w:beforeLines="50" w:beforeAutospacing="0" w:after="156" w:afterLines="50" w:afterAutospacing="0"/>
        <w:rPr>
          <w:rFonts w:hint="eastAsia"/>
          <w:b/>
          <w:bCs/>
          <w:color w:val="auto"/>
          <w:sz w:val="24"/>
          <w:szCs w:val="24"/>
          <w:highlight w:val="none"/>
        </w:rPr>
      </w:pPr>
      <w:r>
        <w:rPr>
          <w:rFonts w:hint="eastAsia"/>
          <w:b/>
          <w:bCs/>
          <w:color w:val="auto"/>
          <w:sz w:val="24"/>
          <w:szCs w:val="24"/>
          <w:highlight w:val="none"/>
        </w:rPr>
        <w:t>（一）项目概况</w:t>
      </w:r>
    </w:p>
    <w:p>
      <w:pPr>
        <w:pStyle w:val="5"/>
        <w:spacing w:before="156" w:beforeLines="50" w:beforeAutospacing="0" w:after="156" w:afterLines="50" w:afterAutospacing="0"/>
        <w:rPr>
          <w:rFonts w:ascii="宋体" w:hAnsi="宋体" w:eastAsia="宋体" w:cs="Times New Roman"/>
          <w:color w:val="auto"/>
          <w:highlight w:val="none"/>
        </w:rPr>
      </w:pPr>
      <w:r>
        <w:rPr>
          <w:rFonts w:ascii="宋体" w:hAnsi="宋体" w:eastAsia="宋体" w:cs="Times New Roman"/>
          <w:color w:val="auto"/>
          <w:highlight w:val="none"/>
        </w:rPr>
        <w:t>1、工程地点：广东省广州市白云区石门街红星村珠岗路两侧。</w:t>
      </w:r>
    </w:p>
    <w:p>
      <w:pPr>
        <w:pStyle w:val="5"/>
        <w:spacing w:before="156" w:beforeLines="50" w:beforeAutospacing="0" w:after="156" w:afterLines="50" w:afterAutospacing="0"/>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highlight w:val="none"/>
        </w:rPr>
        <w:t>2、</w:t>
      </w:r>
      <w:r>
        <w:rPr>
          <w:rFonts w:hint="eastAsia" w:ascii="宋体" w:hAnsi="宋体" w:eastAsia="宋体" w:cs="Times New Roman"/>
          <w:color w:val="auto"/>
          <w:highlight w:val="none"/>
        </w:rPr>
        <w:t>项目概况</w:t>
      </w:r>
      <w:r>
        <w:rPr>
          <w:rFonts w:ascii="宋体" w:hAnsi="宋体" w:eastAsia="宋体" w:cs="Times New Roman"/>
          <w:color w:val="auto"/>
          <w:highlight w:val="none"/>
        </w:rPr>
        <w:t>：</w:t>
      </w:r>
      <w:r>
        <w:rPr>
          <w:rFonts w:hint="eastAsia" w:ascii="宋体" w:hAnsi="宋体" w:eastAsia="宋体" w:cs="Times New Roman"/>
          <w:color w:val="auto"/>
          <w:sz w:val="24"/>
          <w:szCs w:val="24"/>
          <w:highlight w:val="none"/>
          <w:lang w:val="en-US" w:eastAsia="zh-CN"/>
        </w:rPr>
        <w:t>详见招标公告</w:t>
      </w:r>
    </w:p>
    <w:p>
      <w:pPr>
        <w:pStyle w:val="5"/>
        <w:spacing w:before="156" w:beforeLines="50" w:beforeAutospacing="0" w:after="156" w:afterLines="50" w:afterAutospacing="0" w:line="360" w:lineRule="auto"/>
        <w:ind w:firstLineChars="0"/>
        <w:rPr>
          <w:rFonts w:hint="eastAsia" w:ascii="宋体" w:hAnsi="宋体" w:eastAsia="宋体" w:cs="Times New Roman"/>
          <w:color w:val="auto"/>
          <w:sz w:val="24"/>
          <w:szCs w:val="24"/>
          <w:highlight w:val="none"/>
          <w:lang w:val="en-US" w:eastAsia="zh-CN"/>
        </w:rPr>
      </w:pPr>
      <w:r>
        <w:rPr>
          <w:rFonts w:ascii="宋体" w:hAnsi="宋体" w:eastAsia="宋体" w:cs="Times New Roman"/>
          <w:color w:val="auto"/>
          <w:highlight w:val="none"/>
        </w:rPr>
        <w:t>3、</w:t>
      </w:r>
      <w:r>
        <w:rPr>
          <w:rFonts w:hint="eastAsia" w:ascii="宋体" w:hAnsi="宋体" w:eastAsia="宋体" w:cs="Times New Roman"/>
          <w:color w:val="auto"/>
          <w:sz w:val="24"/>
          <w:szCs w:val="24"/>
          <w:highlight w:val="none"/>
        </w:rPr>
        <w:t>招标内容、规模</w:t>
      </w:r>
      <w:r>
        <w:rPr>
          <w:rFonts w:ascii="宋体" w:hAnsi="宋体" w:eastAsia="宋体" w:cs="Times New Roman"/>
          <w:color w:val="auto"/>
          <w:highlight w:val="none"/>
        </w:rPr>
        <w:t>：</w:t>
      </w:r>
      <w:r>
        <w:rPr>
          <w:rFonts w:hint="eastAsia" w:ascii="宋体" w:hAnsi="宋体" w:eastAsia="宋体" w:cs="Times New Roman"/>
          <w:color w:val="auto"/>
          <w:highlight w:val="none"/>
        </w:rPr>
        <w:t>本次招标范围包括但不限于招标发出图纸、清单所含全部内容，同时包含完成各专业工程的管理、配合工作所需费用，以及施工中深化设计的设计费、样板工程建造费、气候影响和政府要求停工期间的误工费、建设单位和项目管理、监理、造价等公司驻场办公环境的建造和维护费用（包括发生的水电费用），发包人不再就上述范围及工作支付任何额外补偿。具体涵盖以下工程内容，且需特别注意专业工程暂估价、特殊要求及责任划分等事项：</w:t>
      </w:r>
    </w:p>
    <w:p>
      <w:pPr>
        <w:pStyle w:val="6"/>
        <w:spacing w:before="0" w:after="0" w:line="360" w:lineRule="auto"/>
        <w:rPr>
          <w:rFonts w:hint="eastAsia" w:ascii="宋体" w:hAnsi="宋体" w:cs="宋体"/>
          <w:color w:val="auto"/>
          <w:sz w:val="24"/>
          <w:szCs w:val="21"/>
          <w:highlight w:val="none"/>
        </w:rPr>
      </w:pPr>
      <w:r>
        <w:rPr>
          <w:rFonts w:hint="eastAsia" w:ascii="宋体" w:hAnsi="宋体" w:cs="宋体"/>
          <w:color w:val="auto"/>
          <w:sz w:val="24"/>
          <w:szCs w:val="21"/>
          <w:highlight w:val="none"/>
        </w:rPr>
        <w:t>（1）工程施工承包范围</w:t>
      </w:r>
    </w:p>
    <w:p>
      <w:pPr>
        <w:spacing w:line="360" w:lineRule="auto"/>
        <w:ind w:firstLine="480" w:firstLineChars="200"/>
        <w:rPr>
          <w:rFonts w:hint="eastAsia" w:ascii="宋体" w:hAnsi="宋体" w:cs="宋体"/>
          <w:color w:val="auto"/>
          <w:sz w:val="24"/>
          <w:szCs w:val="24"/>
          <w:highlight w:val="none"/>
        </w:rPr>
      </w:pPr>
      <w:r>
        <w:rPr>
          <w:rFonts w:hint="eastAsia" w:ascii="宋体" w:hAnsi="宋体" w:cs="Times New Roman"/>
          <w:color w:val="auto"/>
          <w:sz w:val="24"/>
          <w:szCs w:val="24"/>
          <w:highlight w:val="none"/>
          <w:lang w:val="en-US" w:eastAsia="zh-CN"/>
        </w:rPr>
        <w:t>详见招标公告</w:t>
      </w:r>
    </w:p>
    <w:p>
      <w:pPr>
        <w:pStyle w:val="6"/>
        <w:spacing w:before="0" w:after="0" w:line="360" w:lineRule="auto"/>
        <w:rPr>
          <w:rFonts w:hint="eastAsia" w:ascii="宋体" w:hAnsi="宋体" w:cs="宋体"/>
          <w:color w:val="auto"/>
          <w:sz w:val="24"/>
          <w:szCs w:val="21"/>
          <w:highlight w:val="none"/>
        </w:rPr>
      </w:pPr>
      <w:r>
        <w:rPr>
          <w:rFonts w:hint="eastAsia" w:ascii="宋体" w:hAnsi="宋体" w:cs="宋体"/>
          <w:color w:val="auto"/>
          <w:sz w:val="24"/>
          <w:szCs w:val="21"/>
          <w:highlight w:val="none"/>
        </w:rPr>
        <w:t>（</w:t>
      </w:r>
      <w:r>
        <w:rPr>
          <w:rFonts w:hint="eastAsia" w:ascii="宋体" w:hAnsi="宋体" w:cs="宋体"/>
          <w:color w:val="auto"/>
          <w:sz w:val="24"/>
          <w:szCs w:val="21"/>
          <w:highlight w:val="none"/>
          <w:lang w:eastAsia="zh"/>
        </w:rPr>
        <w:t>2</w:t>
      </w:r>
      <w:r>
        <w:rPr>
          <w:rFonts w:hint="eastAsia" w:ascii="宋体" w:hAnsi="宋体" w:cs="宋体"/>
          <w:color w:val="auto"/>
          <w:sz w:val="24"/>
          <w:szCs w:val="21"/>
          <w:highlight w:val="none"/>
        </w:rPr>
        <w:t>）专业工程</w:t>
      </w:r>
      <w:r>
        <w:rPr>
          <w:rFonts w:hint="eastAsia" w:ascii="宋体" w:hAnsi="宋体" w:cs="宋体"/>
          <w:color w:val="auto"/>
          <w:sz w:val="24"/>
          <w:szCs w:val="21"/>
          <w:highlight w:val="none"/>
          <w:lang w:val="en-US" w:eastAsia="zh-CN"/>
        </w:rPr>
        <w:t>暂估价</w:t>
      </w:r>
    </w:p>
    <w:p>
      <w:pPr>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详见</w:t>
      </w:r>
      <w:r>
        <w:rPr>
          <w:rFonts w:hint="eastAsia" w:ascii="宋体" w:hAnsi="宋体" w:eastAsia="宋体" w:cs="Times New Roman"/>
          <w:color w:val="auto"/>
          <w:sz w:val="24"/>
          <w:szCs w:val="24"/>
          <w:highlight w:val="none"/>
          <w:lang w:val="en-US" w:eastAsia="zh-CN"/>
        </w:rPr>
        <w:t>招标</w:t>
      </w:r>
      <w:r>
        <w:rPr>
          <w:rFonts w:hint="eastAsia" w:ascii="宋体" w:hAnsi="宋体" w:cs="Times New Roman"/>
          <w:color w:val="auto"/>
          <w:sz w:val="24"/>
          <w:szCs w:val="24"/>
          <w:highlight w:val="none"/>
          <w:lang w:val="en-US" w:eastAsia="zh-CN"/>
        </w:rPr>
        <w:t>公告</w:t>
      </w:r>
    </w:p>
    <w:p>
      <w:pPr>
        <w:numPr>
          <w:ilvl w:val="0"/>
          <w:numId w:val="0"/>
        </w:numPr>
        <w:spacing w:line="360" w:lineRule="auto"/>
        <w:ind w:firstLine="0" w:firstLineChars="0"/>
        <w:rPr>
          <w:rFonts w:hint="eastAsia" w:ascii="宋体" w:hAnsi="宋体" w:eastAsia="宋体" w:cs="Times New Roman"/>
          <w:snapToGrid/>
          <w:color w:val="auto"/>
          <w:kern w:val="2"/>
          <w:sz w:val="24"/>
          <w:szCs w:val="24"/>
          <w:highlight w:val="none"/>
          <w:u w:val="single"/>
          <w:lang w:bidi="ar"/>
        </w:rPr>
      </w:pPr>
      <w:r>
        <w:rPr>
          <w:rFonts w:hint="eastAsia" w:ascii="宋体" w:hAnsi="宋体" w:eastAsia="宋体" w:cs="Times New Roman"/>
          <w:snapToGrid/>
          <w:color w:val="auto"/>
          <w:kern w:val="2"/>
          <w:sz w:val="24"/>
          <w:szCs w:val="24"/>
          <w:lang w:val="en-US" w:eastAsia="zh-CN" w:bidi="ar"/>
        </w:rPr>
        <w:t>（3）</w:t>
      </w:r>
      <w:r>
        <w:rPr>
          <w:rFonts w:hint="eastAsia" w:ascii="宋体" w:hAnsi="宋体" w:eastAsia="宋体" w:cs="Times New Roman"/>
          <w:snapToGrid/>
          <w:color w:val="auto"/>
          <w:kern w:val="2"/>
          <w:sz w:val="24"/>
          <w:szCs w:val="24"/>
          <w:highlight w:val="none"/>
          <w:u w:val="single"/>
          <w:lang w:bidi="ar"/>
        </w:rPr>
        <w:t>总承包管理及配合服务</w:t>
      </w:r>
    </w:p>
    <w:p>
      <w:pPr>
        <w:spacing w:line="360" w:lineRule="auto"/>
        <w:ind w:firstLine="480" w:firstLineChars="200"/>
        <w:rPr>
          <w:rFonts w:hint="eastAsia" w:ascii="宋体" w:hAnsi="宋体" w:eastAsia="宋体" w:cs="Times New Roman"/>
          <w:color w:val="auto"/>
          <w:sz w:val="24"/>
          <w:szCs w:val="24"/>
          <w:highlight w:val="none"/>
          <w:u w:val="single"/>
          <w:lang w:bidi="ar"/>
        </w:rPr>
      </w:pPr>
      <w:r>
        <w:rPr>
          <w:rFonts w:hint="eastAsia" w:ascii="宋体" w:hAnsi="宋体" w:eastAsia="宋体" w:cs="Times New Roman"/>
          <w:color w:val="auto"/>
          <w:sz w:val="24"/>
          <w:szCs w:val="24"/>
          <w:highlight w:val="none"/>
          <w:u w:val="single"/>
          <w:lang w:bidi="ar"/>
        </w:rPr>
        <w:t>详见招标公告</w:t>
      </w:r>
    </w:p>
    <w:p>
      <w:pPr>
        <w:pStyle w:val="6"/>
        <w:spacing w:before="0" w:after="0" w:line="360" w:lineRule="auto"/>
        <w:rPr>
          <w:rFonts w:hint="eastAsia" w:ascii="宋体" w:hAnsi="宋体" w:cs="宋体"/>
          <w:color w:val="auto"/>
          <w:sz w:val="24"/>
          <w:szCs w:val="21"/>
          <w:highlight w:val="none"/>
        </w:rPr>
      </w:pPr>
      <w:r>
        <w:rPr>
          <w:rFonts w:hint="eastAsia" w:ascii="宋体" w:hAnsi="宋体" w:cs="宋体"/>
          <w:color w:val="auto"/>
          <w:sz w:val="24"/>
          <w:szCs w:val="21"/>
          <w:highlight w:val="none"/>
        </w:rPr>
        <w:t>（</w:t>
      </w:r>
      <w:r>
        <w:rPr>
          <w:rFonts w:hint="eastAsia" w:ascii="宋体" w:hAnsi="宋体" w:cs="宋体"/>
          <w:color w:val="auto"/>
          <w:sz w:val="24"/>
          <w:szCs w:val="21"/>
          <w:highlight w:val="none"/>
          <w:lang w:val="en-US" w:eastAsia="zh-CN"/>
        </w:rPr>
        <w:t>4</w:t>
      </w:r>
      <w:r>
        <w:rPr>
          <w:rFonts w:hint="eastAsia" w:ascii="宋体" w:hAnsi="宋体" w:cs="宋体"/>
          <w:color w:val="auto"/>
          <w:sz w:val="24"/>
          <w:szCs w:val="21"/>
          <w:highlight w:val="none"/>
        </w:rPr>
        <w:t>）特殊服务与管理要求</w:t>
      </w:r>
    </w:p>
    <w:p>
      <w:pPr>
        <w:pStyle w:val="20"/>
        <w:numPr>
          <w:ilvl w:val="0"/>
          <w:numId w:val="2"/>
        </w:numPr>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BIM 服务配合</w:t>
      </w:r>
      <w:r>
        <w:rPr>
          <w:rFonts w:hint="eastAsia" w:ascii="宋体" w:hAnsi="宋体" w:eastAsia="宋体" w:cs="宋体"/>
          <w:color w:val="auto"/>
          <w:sz w:val="24"/>
          <w:szCs w:val="24"/>
          <w:highlight w:val="none"/>
        </w:rPr>
        <w:t>：中标人需建立 BIM 和智慧工地专门团队，至少配备BIM 建模工程师、智慧工地运营管理员，在发包人 BIM 数据模型的基础上，按发包人关于 BIM 和智慧工地的要求提交相应的深化设计、施工方案设计及智慧工地运营方案设计等文件（相关深化设计费已包含在投标报价中），中标后 30 日内提交初步方案，开工前 15 日内提交最终方案，并按要求在 BIM 及智慧工地平台上填报相应报表。该部分服务费用已包含在此次投标报价中，同时属于完成项目管理与配合工作的必要费用，投标过程中需综合考虑，不另外单独计费，发包人不再额外补偿。</w:t>
      </w:r>
    </w:p>
    <w:p>
      <w:pPr>
        <w:pStyle w:val="20"/>
        <w:numPr>
          <w:ilvl w:val="0"/>
          <w:numId w:val="2"/>
        </w:numPr>
        <w:spacing w:before="0" w:after="0" w:line="360" w:lineRule="auto"/>
        <w:rPr>
          <w:b/>
          <w:bCs/>
          <w:color w:val="auto"/>
          <w:highlight w:val="none"/>
        </w:rPr>
      </w:pPr>
      <w:r>
        <w:rPr>
          <w:b/>
          <w:bCs/>
          <w:color w:val="auto"/>
          <w:highlight w:val="none"/>
        </w:rPr>
        <w:t>施工总承包管理和配合服务：</w:t>
      </w:r>
    </w:p>
    <w:p>
      <w:pPr>
        <w:pStyle w:val="20"/>
        <w:numPr>
          <w:ilvl w:val="0"/>
          <w:numId w:val="3"/>
        </w:numPr>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中标人需承担本项目施工总承包管理职责，对另行发包的专业工程实施总承包管理和配合服务，相关管理与配合费用</w:t>
      </w:r>
      <w:r>
        <w:rPr>
          <w:rFonts w:hint="eastAsia" w:ascii="宋体" w:hAnsi="宋体" w:eastAsia="宋体" w:cs="宋体"/>
          <w:color w:val="auto"/>
          <w:sz w:val="24"/>
          <w:szCs w:val="24"/>
          <w:highlight w:val="none"/>
          <w:lang w:eastAsia="zh"/>
        </w:rPr>
        <w:t>由专业公司按相应约定标准支付，</w:t>
      </w:r>
      <w:r>
        <w:rPr>
          <w:rFonts w:hint="eastAsia" w:ascii="宋体" w:hAnsi="宋体" w:eastAsia="宋体" w:cs="宋体"/>
          <w:color w:val="auto"/>
          <w:sz w:val="24"/>
          <w:szCs w:val="24"/>
          <w:highlight w:val="none"/>
        </w:rPr>
        <w:t>发包人不再额外补偿。</w:t>
      </w:r>
    </w:p>
    <w:p>
      <w:pPr>
        <w:pStyle w:val="20"/>
        <w:numPr>
          <w:ilvl w:val="0"/>
          <w:numId w:val="3"/>
        </w:numPr>
        <w:spacing w:before="0" w:after="0"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bidi="ar"/>
        </w:rPr>
        <w:t>施工总承包管理和配合服务费用：总承包服务费以项计价，投标人以各专业工程费用（扣除发包人采购设备金额</w:t>
      </w:r>
      <w:r>
        <w:rPr>
          <w:rFonts w:hint="eastAsia" w:ascii="宋体" w:hAnsi="宋体" w:eastAsia="宋体" w:cs="宋体"/>
          <w:color w:val="auto"/>
          <w:spacing w:val="4"/>
          <w:sz w:val="24"/>
          <w:szCs w:val="24"/>
          <w:highlight w:val="none"/>
          <w:lang w:eastAsia="zh-CN" w:bidi="ar"/>
        </w:rPr>
        <w:t>和暂列金额</w:t>
      </w:r>
      <w:r>
        <w:rPr>
          <w:rFonts w:hint="eastAsia" w:ascii="宋体" w:hAnsi="宋体" w:eastAsia="宋体" w:cs="宋体"/>
          <w:color w:val="auto"/>
          <w:spacing w:val="4"/>
          <w:sz w:val="24"/>
          <w:szCs w:val="24"/>
          <w:highlight w:val="none"/>
          <w:lang w:bidi="ar"/>
        </w:rPr>
        <w:t>）为计算基础，按</w:t>
      </w:r>
      <w:r>
        <w:rPr>
          <w:rFonts w:hint="eastAsia" w:ascii="宋体" w:hAnsi="宋体" w:eastAsia="宋体" w:cs="宋体"/>
          <w:color w:val="auto"/>
          <w:spacing w:val="4"/>
          <w:sz w:val="24"/>
          <w:szCs w:val="24"/>
          <w:highlight w:val="none"/>
          <w:lang w:eastAsia="zh" w:bidi="ar"/>
        </w:rPr>
        <w:t>专业工程2%计取。【详见第（2）条</w:t>
      </w:r>
      <w:r>
        <w:rPr>
          <w:rFonts w:hint="eastAsia" w:ascii="宋体" w:hAnsi="宋体" w:eastAsia="宋体" w:cs="宋体"/>
          <w:color w:val="auto"/>
          <w:spacing w:val="4"/>
          <w:sz w:val="24"/>
          <w:szCs w:val="24"/>
          <w:highlight w:val="none"/>
          <w:lang w:eastAsia="zh-CN" w:bidi="ar"/>
        </w:rPr>
        <w:t>专业</w:t>
      </w:r>
      <w:r>
        <w:rPr>
          <w:rFonts w:hint="eastAsia" w:ascii="宋体" w:hAnsi="宋体" w:eastAsia="宋体" w:cs="宋体"/>
          <w:color w:val="auto"/>
          <w:spacing w:val="4"/>
          <w:sz w:val="24"/>
          <w:szCs w:val="24"/>
          <w:highlight w:val="none"/>
          <w:lang w:eastAsia="zh" w:bidi="ar"/>
        </w:rPr>
        <w:t>工程暂估价】</w:t>
      </w:r>
    </w:p>
    <w:p>
      <w:pPr>
        <w:pStyle w:val="20"/>
        <w:numPr>
          <w:ilvl w:val="0"/>
          <w:numId w:val="3"/>
        </w:numPr>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负责各专项工程施工单位的协调工作，包括但不限于施工计划衔接（要求每月 25 日前组织各专项工程施工单位召开进度协调会，审核下月施工计划，梳理计划衔接问题并形成书面纪要）、现场资源</w:t>
      </w:r>
      <w:r>
        <w:rPr>
          <w:rFonts w:hint="eastAsia" w:ascii="宋体" w:hAnsi="宋体" w:eastAsia="宋体" w:cs="宋体"/>
          <w:color w:val="auto"/>
          <w:sz w:val="28"/>
          <w:szCs w:val="28"/>
          <w:highlight w:val="none"/>
        </w:rPr>
        <w:t>（</w:t>
      </w:r>
      <w:r>
        <w:rPr>
          <w:rFonts w:hint="eastAsia" w:ascii="宋体" w:hAnsi="宋体" w:eastAsia="宋体" w:cs="宋体"/>
          <w:color w:val="auto"/>
          <w:sz w:val="24"/>
          <w:szCs w:val="24"/>
          <w:highlight w:val="none"/>
        </w:rPr>
        <w:t>如“施工场地、垂直运输设备、临时水电接口等</w:t>
      </w:r>
      <w:r>
        <w:rPr>
          <w:rFonts w:hint="eastAsia" w:ascii="宋体" w:hAnsi="宋体" w:eastAsia="宋体" w:cs="宋体"/>
          <w:color w:val="auto"/>
          <w:sz w:val="28"/>
          <w:szCs w:val="28"/>
          <w:highlight w:val="none"/>
        </w:rPr>
        <w:t>）</w:t>
      </w:r>
      <w:r>
        <w:rPr>
          <w:rFonts w:hint="eastAsia" w:ascii="宋体" w:hAnsi="宋体" w:eastAsia="宋体" w:cs="宋体"/>
          <w:color w:val="auto"/>
          <w:sz w:val="24"/>
          <w:szCs w:val="24"/>
          <w:highlight w:val="none"/>
        </w:rPr>
        <w:t>调配沟通等；承担交叉施工管理责任，需在专项工程进场前 7 日内，制定专项交叉施工方案（含工序衔接计划、冲突应对措施），并经监理单位及发包人审批后实施；制定合理交叉施工方案（涉及方案深化设计的，设计费已包含在内），避免施工冲突，保障施工安全与进度；负责施工界面修补工作，修补后工程质量需符合《建筑工程施工质量验收统一标准》（GB50300-2013）及本项目设计要求（界面修补后表面平整度误差不超过 2mm，无裂缝、空鼓等质量问题，需符合相关验收规范要求），验收合格率需达 100%，确保各专项工程施工后界面衔接顺畅、工程质量达标。上述工作所需费用已包含在投标报价中，发包人不再额外补偿。</w:t>
      </w:r>
    </w:p>
    <w:p>
      <w:pPr>
        <w:pStyle w:val="20"/>
        <w:numPr>
          <w:ilvl w:val="0"/>
          <w:numId w:val="3"/>
        </w:numPr>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其他可收取费用：可向各</w:t>
      </w:r>
      <w:r>
        <w:rPr>
          <w:rFonts w:hint="eastAsia" w:ascii="宋体" w:hAnsi="宋体" w:eastAsia="宋体" w:cs="宋体"/>
          <w:color w:val="auto"/>
          <w:spacing w:val="4"/>
          <w:sz w:val="24"/>
          <w:szCs w:val="24"/>
          <w:highlight w:val="none"/>
          <w:lang w:eastAsia="zh-CN" w:bidi="ar"/>
        </w:rPr>
        <w:t>专业</w:t>
      </w:r>
      <w:r>
        <w:rPr>
          <w:rFonts w:hint="eastAsia" w:ascii="宋体" w:hAnsi="宋体" w:eastAsia="宋体" w:cs="宋体"/>
          <w:color w:val="auto"/>
          <w:spacing w:val="4"/>
          <w:sz w:val="24"/>
          <w:szCs w:val="24"/>
          <w:highlight w:val="none"/>
          <w:lang w:eastAsia="zh" w:bidi="ar"/>
        </w:rPr>
        <w:t>工程</w:t>
      </w:r>
      <w:r>
        <w:rPr>
          <w:rFonts w:hint="eastAsia" w:ascii="宋体" w:hAnsi="宋体" w:eastAsia="宋体" w:cs="宋体"/>
          <w:color w:val="auto"/>
          <w:sz w:val="24"/>
          <w:szCs w:val="24"/>
          <w:highlight w:val="none"/>
        </w:rPr>
        <w:t>暂估价施工单位收取合理数额的水电费。除上述明确费用外，不得另行收取其他任何费用，且不得制造任何困难（如故意拖延配合、设置不合理限制等）影响专项工程施工。若中标人违规收取其他费用（如进场费、场地占用费等）或故意设置施工障碍（如拖延水电接驳、阻挠材料运输），发包人有权从中标人合同价款中扣除违约金（按</w:t>
      </w:r>
      <w:r>
        <w:rPr>
          <w:rFonts w:hint="eastAsia" w:ascii="宋体" w:hAnsi="宋体" w:eastAsia="宋体" w:cs="宋体"/>
          <w:color w:val="auto"/>
          <w:sz w:val="24"/>
          <w:szCs w:val="24"/>
          <w:highlight w:val="none"/>
          <w:lang w:val="en-US" w:eastAsia="zh-CN"/>
        </w:rPr>
        <w:t xml:space="preserve">合同96.2.14款的相关约定 </w:t>
      </w:r>
      <w:r>
        <w:rPr>
          <w:rFonts w:hint="eastAsia" w:ascii="宋体" w:hAnsi="宋体" w:eastAsia="宋体" w:cs="宋体"/>
          <w:color w:val="auto"/>
          <w:sz w:val="24"/>
          <w:szCs w:val="24"/>
          <w:highlight w:val="none"/>
        </w:rPr>
        <w:t>），同时暂估价中标单位可暂缓支付当期总包管理费，直至中标人整改完毕。</w:t>
      </w:r>
    </w:p>
    <w:p>
      <w:pPr>
        <w:pStyle w:val="6"/>
        <w:spacing w:before="0" w:after="0" w:line="360" w:lineRule="auto"/>
        <w:rPr>
          <w:rFonts w:hint="eastAsia" w:ascii="宋体" w:hAnsi="宋体" w:cs="宋体"/>
          <w:color w:val="auto"/>
          <w:sz w:val="24"/>
          <w:szCs w:val="21"/>
          <w:highlight w:val="none"/>
        </w:rPr>
      </w:pPr>
      <w:r>
        <w:rPr>
          <w:rFonts w:hint="eastAsia" w:ascii="宋体" w:hAnsi="宋体" w:cs="宋体"/>
          <w:color w:val="auto"/>
          <w:sz w:val="24"/>
          <w:szCs w:val="21"/>
          <w:highlight w:val="none"/>
        </w:rPr>
        <w:t>（</w:t>
      </w:r>
      <w:r>
        <w:rPr>
          <w:rFonts w:hint="eastAsia" w:ascii="宋体" w:hAnsi="宋体" w:cs="宋体"/>
          <w:color w:val="auto"/>
          <w:sz w:val="24"/>
          <w:szCs w:val="21"/>
          <w:highlight w:val="none"/>
          <w:lang w:val="en-US" w:eastAsia="zh-CN"/>
        </w:rPr>
        <w:t>5</w:t>
      </w:r>
      <w:r>
        <w:rPr>
          <w:rFonts w:hint="eastAsia" w:ascii="宋体" w:hAnsi="宋体" w:cs="宋体"/>
          <w:color w:val="auto"/>
          <w:sz w:val="24"/>
          <w:szCs w:val="21"/>
          <w:highlight w:val="none"/>
        </w:rPr>
        <w:t>）特殊责任与费用承担</w:t>
      </w:r>
    </w:p>
    <w:p>
      <w:pPr>
        <w:spacing w:line="360" w:lineRule="auto"/>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rPr>
        <w:t>1）</w:t>
      </w:r>
      <w:r>
        <w:rPr>
          <w:rFonts w:ascii="宋体" w:hAnsi="宋体" w:cs="宋体"/>
          <w:b/>
          <w:bCs/>
          <w:color w:val="auto"/>
          <w:kern w:val="0"/>
          <w:sz w:val="24"/>
          <w:szCs w:val="24"/>
          <w:highlight w:val="none"/>
        </w:rPr>
        <w:t>地铁保护相关：</w:t>
      </w:r>
      <w:r>
        <w:rPr>
          <w:rFonts w:hint="eastAsia" w:ascii="宋体" w:hAnsi="宋体" w:cs="宋体"/>
          <w:color w:val="auto"/>
          <w:sz w:val="24"/>
          <w:szCs w:val="24"/>
          <w:highlight w:val="none"/>
        </w:rPr>
        <w:t>中标人必须按地铁集团要求做好地铁保护动态监测、地铁保护安全监控及运营配合工作</w:t>
      </w:r>
      <w:r>
        <w:rPr>
          <w:rFonts w:hint="eastAsia" w:ascii="宋体" w:hAnsi="宋体" w:cs="宋体"/>
          <w:color w:val="auto"/>
          <w:sz w:val="24"/>
          <w:szCs w:val="24"/>
          <w:highlight w:val="none"/>
          <w:lang w:bidi="ar"/>
        </w:rPr>
        <w:t>【应符合《广州市地下铁道管理条例》《广州市城市轨道交通管理条例》 《广东省城市轨道交通运营安全管理办法》等要求】</w:t>
      </w:r>
      <w:r>
        <w:rPr>
          <w:rFonts w:hint="eastAsia" w:ascii="宋体" w:hAnsi="宋体" w:cs="宋体"/>
          <w:color w:val="auto"/>
          <w:sz w:val="24"/>
          <w:szCs w:val="24"/>
          <w:highlight w:val="none"/>
        </w:rPr>
        <w:t>，监测频率为每 2 小时 1 次，监测指标包括隧道沉降、位移等，</w:t>
      </w:r>
      <w:r>
        <w:rPr>
          <w:color w:val="auto"/>
          <w:highlight w:val="none"/>
        </w:rPr>
        <w:t>每日向地铁集团及发包人报送监测数据</w:t>
      </w:r>
      <w:r>
        <w:rPr>
          <w:rFonts w:hint="eastAsia" w:ascii="宋体" w:hAnsi="宋体" w:cs="宋体"/>
          <w:color w:val="auto"/>
          <w:sz w:val="24"/>
          <w:szCs w:val="24"/>
          <w:highlight w:val="none"/>
        </w:rPr>
        <w:t>；在临近地铁隧道区域设置 24 小时视频监控，安排专人巡查，巡查记录每小时存档 1 次；配合地铁集团的夜间运营检查，施工若需占用地铁运营相关区域，提前 7 个工作日向地铁集团申请。相应费用由中标单位支付，且已包含在投标报价中，发包人不再额外补偿。若因施工行为对地铁隧道及地铁相关区域造成影响，由此产生的赔偿、停工等一切责任均由中标单位承担，停工期间的误工费已包含在投标报价中。</w:t>
      </w:r>
    </w:p>
    <w:p>
      <w:pPr>
        <w:pStyle w:val="20"/>
        <w:numPr>
          <w:ilvl w:val="255"/>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2）周边房屋保护</w:t>
      </w:r>
      <w:r>
        <w:rPr>
          <w:rFonts w:hint="eastAsia" w:ascii="宋体" w:hAnsi="宋体" w:eastAsia="宋体" w:cs="宋体"/>
          <w:color w:val="auto"/>
          <w:sz w:val="24"/>
          <w:szCs w:val="24"/>
          <w:highlight w:val="none"/>
        </w:rPr>
        <w:t>：施工期间，中标人需做好施工组织和施工措施工作，确保周边房屋不因施工出现开裂、沉降等现象。开工前，中标人需自行安排做好房屋鉴定及监测工作，房屋鉴定的第三方机构资质要求具备房屋安全鉴定甲级资质，房屋监测需对距离施工场地100 米范围内的房屋进行监测（符合《建筑基坑工程监测技术标准》GB 50497-2019 第 3.0.4 条要求，监测频率为每周 1 次，遇重大施工工序（如基坑开挖）时加密至每日 1 次，相应费用已包含在投标报价中，发包人不再额外补偿。如因施工对周边房屋造成开裂、沉降等现象并导致损失，全部赔偿责任由中标人承担，接到周边房屋业主投诉后，24 小时内组织核查，确认因施工导致损失的，15 日内与业主协商赔偿方案并签订赔偿协议处理期间若产生停工误工费，已包含在投标报价中。</w:t>
      </w:r>
    </w:p>
    <w:p>
      <w:pPr>
        <w:pStyle w:val="20"/>
        <w:numPr>
          <w:ilvl w:val="255"/>
          <w:numId w:val="0"/>
        </w:num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3）临时用水用电</w:t>
      </w:r>
      <w:r>
        <w:rPr>
          <w:rFonts w:hint="eastAsia" w:ascii="宋体" w:hAnsi="宋体" w:eastAsia="宋体" w:cs="宋体"/>
          <w:color w:val="auto"/>
          <w:sz w:val="24"/>
          <w:szCs w:val="24"/>
          <w:highlight w:val="none"/>
        </w:rPr>
        <w:t>：发包人不提供施工临时用电、用水接驳点，由施工总承包单位自行解决临时用电、用水</w:t>
      </w:r>
      <w:r>
        <w:rPr>
          <w:rFonts w:hint="eastAsia" w:ascii="宋体" w:hAnsi="宋体" w:eastAsia="宋体" w:cs="宋体"/>
          <w:color w:val="auto"/>
          <w:sz w:val="24"/>
          <w:szCs w:val="24"/>
          <w:highlight w:val="none"/>
          <w:lang w:eastAsia="zh"/>
        </w:rPr>
        <w:t>的</w:t>
      </w:r>
      <w:r>
        <w:rPr>
          <w:rFonts w:hint="eastAsia" w:ascii="宋体" w:hAnsi="宋体" w:eastAsia="宋体" w:cs="宋体"/>
          <w:color w:val="auto"/>
          <w:sz w:val="24"/>
          <w:szCs w:val="24"/>
          <w:highlight w:val="none"/>
        </w:rPr>
        <w:t>接驳，临时用电接驳容量需满足施工现场最大用电负荷（预计1000 kW），临时用水接驳流量需满足施工现场最大用水需求，相应费用已包含在投标报价中</w:t>
      </w:r>
      <w:r>
        <w:rPr>
          <w:rFonts w:hint="eastAsia" w:ascii="宋体" w:hAnsi="宋体" w:eastAsia="宋体" w:cs="宋体"/>
          <w:color w:val="auto"/>
          <w:spacing w:val="4"/>
          <w:sz w:val="24"/>
          <w:szCs w:val="24"/>
          <w:highlight w:val="none"/>
          <w:lang w:bidi="ar"/>
        </w:rPr>
        <w:t>（包含但不限于临时用电、用水申请报装、安装施工、验收、设备维护维修保养、拆除恢复原状、销户等一切费用）</w:t>
      </w:r>
      <w:r>
        <w:rPr>
          <w:rFonts w:hint="eastAsia" w:ascii="宋体" w:hAnsi="宋体" w:eastAsia="宋体" w:cs="宋体"/>
          <w:color w:val="auto"/>
          <w:sz w:val="24"/>
          <w:szCs w:val="24"/>
          <w:highlight w:val="none"/>
        </w:rPr>
        <w:t>，发包人不再额外补偿。</w:t>
      </w:r>
      <w:r>
        <w:rPr>
          <w:rFonts w:hint="eastAsia" w:ascii="宋体" w:hAnsi="宋体" w:eastAsia="宋体" w:cs="宋体"/>
          <w:color w:val="auto"/>
          <w:spacing w:val="4"/>
          <w:sz w:val="24"/>
          <w:szCs w:val="24"/>
          <w:highlight w:val="none"/>
          <w:lang w:bidi="ar"/>
        </w:rPr>
        <w:t>临时用水、用电设施需符合《建设工程施工现场供用电安全规范》（GB 50194-2014）及《建筑施工场界环境噪声排放标准》（GB 12523-2011）相关要求，临时用水、用电设施拆除后，需将场地平整至施工前标高，恢复地面植被或硬化层。</w:t>
      </w:r>
      <w:r>
        <w:rPr>
          <w:rFonts w:hint="eastAsia" w:ascii="宋体" w:hAnsi="宋体" w:eastAsia="宋体" w:cs="宋体"/>
          <w:color w:val="auto"/>
          <w:sz w:val="24"/>
          <w:szCs w:val="24"/>
          <w:highlight w:val="none"/>
        </w:rPr>
        <w:t>中标人不得以临时用水</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用电</w:t>
      </w:r>
      <w:r>
        <w:rPr>
          <w:rFonts w:hint="eastAsia" w:ascii="宋体" w:hAnsi="宋体" w:eastAsia="宋体" w:cs="宋体"/>
          <w:color w:val="auto"/>
          <w:sz w:val="24"/>
          <w:szCs w:val="24"/>
          <w:highlight w:val="none"/>
          <w:lang w:eastAsia="zh"/>
        </w:rPr>
        <w:t>驳接</w:t>
      </w:r>
      <w:r>
        <w:rPr>
          <w:rFonts w:hint="eastAsia" w:ascii="宋体" w:hAnsi="宋体" w:eastAsia="宋体" w:cs="宋体"/>
          <w:color w:val="auto"/>
          <w:sz w:val="24"/>
          <w:szCs w:val="24"/>
          <w:highlight w:val="none"/>
        </w:rPr>
        <w:t>问题为由延误施工工期，若因此产生误工费，由中标人自行承担。</w:t>
      </w:r>
    </w:p>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eastAsia="zh"/>
        </w:rPr>
        <w:t>）</w:t>
      </w:r>
      <w:r>
        <w:rPr>
          <w:rFonts w:hint="eastAsia" w:ascii="宋体" w:hAnsi="宋体" w:cs="宋体"/>
          <w:b/>
          <w:bCs/>
          <w:color w:val="auto"/>
          <w:sz w:val="24"/>
          <w:szCs w:val="24"/>
          <w:highlight w:val="none"/>
        </w:rPr>
        <w:t>钢结构检测</w:t>
      </w:r>
      <w:r>
        <w:rPr>
          <w:rFonts w:hint="eastAsia" w:ascii="宋体" w:hAnsi="宋体" w:cs="宋体"/>
          <w:color w:val="auto"/>
          <w:sz w:val="24"/>
          <w:szCs w:val="24"/>
          <w:highlight w:val="none"/>
        </w:rPr>
        <w:t>：中标人需</w:t>
      </w:r>
      <w:r>
        <w:rPr>
          <w:rFonts w:hint="eastAsia" w:ascii="宋体" w:hAnsi="宋体" w:cs="宋体"/>
          <w:color w:val="auto"/>
          <w:sz w:val="24"/>
          <w:szCs w:val="24"/>
          <w:highlight w:val="none"/>
          <w:lang w:bidi="ar"/>
        </w:rPr>
        <w:t>根据规范要求自行完成</w:t>
      </w:r>
      <w:r>
        <w:rPr>
          <w:rFonts w:hint="eastAsia" w:ascii="宋体" w:hAnsi="宋体" w:cs="宋体"/>
          <w:color w:val="auto"/>
          <w:sz w:val="24"/>
          <w:szCs w:val="24"/>
          <w:highlight w:val="none"/>
        </w:rPr>
        <w:t>钢结构探伤检测工作，相关费用已包含在投标报价中，发包人不再额外补偿。若检测过程中需进行深化设计或样板检测，相关费用已包含在内。</w:t>
      </w:r>
    </w:p>
    <w:p>
      <w:pPr>
        <w:pStyle w:val="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eastAsia="zh"/>
        </w:rPr>
        <w:t>）</w:t>
      </w:r>
      <w:r>
        <w:rPr>
          <w:rFonts w:hint="eastAsia" w:ascii="宋体" w:hAnsi="宋体" w:eastAsia="宋体" w:cs="宋体"/>
          <w:b/>
          <w:bCs/>
          <w:color w:val="auto"/>
          <w:sz w:val="24"/>
          <w:szCs w:val="24"/>
          <w:highlight w:val="none"/>
        </w:rPr>
        <w:t>装配式图纸深化</w:t>
      </w:r>
      <w:r>
        <w:rPr>
          <w:rFonts w:hint="eastAsia" w:ascii="宋体" w:hAnsi="宋体" w:eastAsia="宋体" w:cs="宋体"/>
          <w:color w:val="auto"/>
          <w:sz w:val="24"/>
          <w:szCs w:val="24"/>
          <w:highlight w:val="none"/>
        </w:rPr>
        <w:t>：装配式图纸深化工作由中标人负责实施，相应深化设计费已包含在投标报价中，发包人不再额外补偿。</w:t>
      </w:r>
    </w:p>
    <w:p>
      <w:pPr>
        <w:pStyle w:val="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
        </w:rPr>
        <w:t>）</w:t>
      </w:r>
      <w:r>
        <w:rPr>
          <w:rFonts w:hint="eastAsia" w:ascii="宋体" w:hAnsi="宋体" w:eastAsia="宋体" w:cs="宋体"/>
          <w:b/>
          <w:bCs/>
          <w:color w:val="auto"/>
          <w:sz w:val="24"/>
          <w:szCs w:val="24"/>
          <w:highlight w:val="none"/>
        </w:rPr>
        <w:t>材料检测费用</w:t>
      </w:r>
      <w:r>
        <w:rPr>
          <w:rFonts w:hint="eastAsia" w:ascii="宋体" w:hAnsi="宋体" w:eastAsia="宋体" w:cs="宋体"/>
          <w:color w:val="auto"/>
          <w:sz w:val="24"/>
          <w:szCs w:val="24"/>
          <w:highlight w:val="none"/>
        </w:rPr>
        <w:t>：发包人已依法选择材料检测单位并支付检测费用。若因中标人送检不符合规范要求（如送检样品数量不足、样品代表性不够、送检时间延误等）、材料检测不合格（中标人需在收到不合格报告后 3 日内将不合格材料清退出场，并重新送检合格材料，重新送检费用由中标人承担），或发包人、监理单位对材料有质疑而增加检测的，发包人、监理单位提出增加检测需求时，需向中标人出具书面通知，说明增加检测的原因、范围及数量，所造成的检测费用增加部分由中标人负责，该部分增加费用已包含在投标报价考虑范围内，发包人不再额外补偿；若增加检测导致停工，误工费已包含在投标报价中。因中标人送检不符合规范要求、材料检测不合格导致增加检测的，费用由中标人承担；中标人应在收到检测费用增加通知后 10 个工作日内支付，逾期按同期 LPR 支付违约金。因发包人、监理单位无合法依据质疑导致增加检测且结果合格的，费用由发包人承担，中标人需在检测结果出具后 15 个工作日内提交费用报销申请及相关凭证，超过期限，发包人不给于报销费用。</w:t>
      </w:r>
    </w:p>
    <w:p>
      <w:pPr>
        <w:pStyle w:val="9"/>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eastAsia="zh"/>
        </w:rPr>
        <w:t>）</w:t>
      </w:r>
      <w:r>
        <w:rPr>
          <w:rFonts w:hint="eastAsia" w:ascii="宋体" w:hAnsi="宋体" w:cs="宋体"/>
          <w:b/>
          <w:bCs/>
          <w:color w:val="auto"/>
          <w:sz w:val="24"/>
          <w:szCs w:val="24"/>
          <w:highlight w:val="none"/>
        </w:rPr>
        <w:t>超前钻工作</w:t>
      </w:r>
      <w:r>
        <w:rPr>
          <w:rFonts w:hint="eastAsia" w:ascii="宋体" w:hAnsi="宋体" w:cs="宋体"/>
          <w:color w:val="auto"/>
          <w:sz w:val="24"/>
          <w:szCs w:val="24"/>
          <w:highlight w:val="none"/>
        </w:rPr>
        <w:t>：对应桩位没有详勘数据的每条桩孔（包括地下连续墙部分）承包单位需根据基础、基坑施工图的要求进行超前钻，相应费用已包含在投标报价中，发包人不再额外补偿。若超前钻过程中需深化设计方案，设计费已包含在内。</w:t>
      </w:r>
    </w:p>
    <w:p>
      <w:pPr>
        <w:pStyle w:val="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
        </w:rPr>
        <w:t>）</w:t>
      </w:r>
      <w:r>
        <w:rPr>
          <w:rFonts w:hint="eastAsia" w:ascii="宋体" w:hAnsi="宋体" w:eastAsia="宋体" w:cs="宋体"/>
          <w:b/>
          <w:bCs/>
          <w:color w:val="auto"/>
          <w:sz w:val="24"/>
          <w:szCs w:val="24"/>
          <w:highlight w:val="none"/>
        </w:rPr>
        <w:t>深化设计费用</w:t>
      </w:r>
      <w:r>
        <w:rPr>
          <w:rFonts w:hint="eastAsia" w:ascii="宋体" w:hAnsi="宋体" w:eastAsia="宋体" w:cs="宋体"/>
          <w:color w:val="auto"/>
          <w:sz w:val="24"/>
          <w:szCs w:val="24"/>
          <w:highlight w:val="none"/>
        </w:rPr>
        <w:t>：施工过程中所有涉及的深化设计工作（如结构深化、幕墙深化、机电安装深化等），其设计费及实体增加或减少的所有费用均已包含在投标报价中，发包人不再额外补偿，深化设计成果需符合发包人及规范要求。</w:t>
      </w:r>
    </w:p>
    <w:p>
      <w:pPr>
        <w:pStyle w:val="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
        </w:rPr>
        <w:t>）</w:t>
      </w:r>
      <w:r>
        <w:rPr>
          <w:rFonts w:hint="eastAsia" w:ascii="宋体" w:hAnsi="宋体" w:eastAsia="宋体" w:cs="宋体"/>
          <w:b/>
          <w:bCs/>
          <w:color w:val="auto"/>
          <w:sz w:val="24"/>
          <w:szCs w:val="24"/>
          <w:highlight w:val="none"/>
        </w:rPr>
        <w:t>样板工程建造费</w:t>
      </w:r>
      <w:r>
        <w:rPr>
          <w:rFonts w:hint="eastAsia" w:ascii="宋体" w:hAnsi="宋体" w:eastAsia="宋体" w:cs="宋体"/>
          <w:color w:val="auto"/>
          <w:sz w:val="24"/>
          <w:szCs w:val="24"/>
          <w:highlight w:val="none"/>
        </w:rPr>
        <w:t>：为验证施工工艺、质量标准等所需的样板工程（如装修样板、机电安装样板等）建造费用，已包含在投标报价中，发包人不再额外补偿，样板工程需经发包人、监理单位验收合格。</w:t>
      </w:r>
    </w:p>
    <w:p>
      <w:pPr>
        <w:pStyle w:val="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w:t>
      </w:r>
      <w:r>
        <w:rPr>
          <w:rFonts w:hint="eastAsia" w:ascii="宋体" w:hAnsi="宋体" w:eastAsia="宋体" w:cs="宋体"/>
          <w:b/>
          <w:bCs/>
          <w:color w:val="auto"/>
          <w:sz w:val="24"/>
          <w:szCs w:val="24"/>
          <w:highlight w:val="none"/>
          <w:lang w:eastAsia="zh"/>
        </w:rPr>
        <w:t>）</w:t>
      </w:r>
      <w:r>
        <w:rPr>
          <w:rFonts w:hint="eastAsia" w:ascii="宋体" w:hAnsi="宋体" w:eastAsia="宋体" w:cs="宋体"/>
          <w:b/>
          <w:bCs/>
          <w:color w:val="auto"/>
          <w:sz w:val="24"/>
          <w:szCs w:val="24"/>
          <w:highlight w:val="none"/>
        </w:rPr>
        <w:t>停工误工费：</w:t>
      </w:r>
      <w:r>
        <w:rPr>
          <w:rFonts w:hint="eastAsia" w:ascii="宋体" w:hAnsi="宋体" w:eastAsia="宋体" w:cs="宋体"/>
          <w:b w:val="0"/>
          <w:bCs w:val="0"/>
          <w:color w:val="auto"/>
          <w:sz w:val="24"/>
          <w:szCs w:val="24"/>
          <w:highlight w:val="none"/>
          <w:lang w:val="en-US" w:eastAsia="zh-CN"/>
        </w:rPr>
        <w:t>因气候影响（如暴雨、台风等）或政府要求（如环保管控、重大活动保障等）导致的停工，期间产生的误工费（含人工、机械停滞费用等）已包含在投标报价中，发包人不再额外补偿费用，工期顺延，中标人需提前制定应对预案减少停工影响。</w:t>
      </w:r>
    </w:p>
    <w:p>
      <w:pPr>
        <w:pStyle w:val="2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
        </w:rPr>
        <w:t>）</w:t>
      </w:r>
      <w:r>
        <w:rPr>
          <w:rFonts w:hint="eastAsia" w:ascii="宋体" w:hAnsi="宋体" w:eastAsia="宋体" w:cs="宋体"/>
          <w:b/>
          <w:bCs/>
          <w:color w:val="auto"/>
          <w:sz w:val="24"/>
          <w:szCs w:val="24"/>
          <w:highlight w:val="none"/>
        </w:rPr>
        <w:t>驻场办公环境建造及维护费</w:t>
      </w:r>
      <w:r>
        <w:rPr>
          <w:rFonts w:hint="eastAsia" w:ascii="宋体" w:hAnsi="宋体" w:eastAsia="宋体" w:cs="宋体"/>
          <w:color w:val="auto"/>
          <w:sz w:val="24"/>
          <w:szCs w:val="24"/>
          <w:highlight w:val="none"/>
        </w:rPr>
        <w:t>：建设单位、项目管理公司、监理公司、造价咨询公司等相关单位驻场办公所需的办公环境（如办公室搭建、装修、办公设施配置等）的建造费用及后期维护费用，已包含在投标报价中，发包人不再额外补偿，办公环境需满足各驻场单位基本办公需求。</w:t>
      </w:r>
    </w:p>
    <w:p>
      <w:pPr>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w:t>
      </w:r>
      <w:r>
        <w:rPr>
          <w:rFonts w:ascii="宋体" w:hAnsi="宋体" w:cs="宋体"/>
          <w:b/>
          <w:color w:val="auto"/>
          <w:sz w:val="24"/>
          <w:szCs w:val="24"/>
          <w:highlight w:val="none"/>
          <w:lang w:bidi="ar"/>
        </w:rPr>
        <w:t>三</w:t>
      </w:r>
      <w:r>
        <w:rPr>
          <w:rFonts w:hint="eastAsia" w:ascii="宋体" w:hAnsi="宋体" w:cs="宋体"/>
          <w:b/>
          <w:color w:val="auto"/>
          <w:sz w:val="24"/>
          <w:szCs w:val="24"/>
          <w:highlight w:val="none"/>
          <w:lang w:bidi="ar"/>
        </w:rPr>
        <w:t>）</w:t>
      </w:r>
      <w:r>
        <w:rPr>
          <w:rFonts w:ascii="宋体" w:hAnsi="宋体" w:cs="宋体"/>
          <w:b/>
          <w:color w:val="auto"/>
          <w:sz w:val="24"/>
          <w:szCs w:val="24"/>
          <w:highlight w:val="none"/>
          <w:lang w:bidi="ar"/>
        </w:rPr>
        <w:t>、</w:t>
      </w:r>
      <w:r>
        <w:rPr>
          <w:rFonts w:hint="eastAsia" w:ascii="宋体" w:hAnsi="宋体" w:cs="宋体"/>
          <w:b/>
          <w:color w:val="auto"/>
          <w:sz w:val="24"/>
          <w:szCs w:val="24"/>
          <w:highlight w:val="none"/>
          <w:lang w:bidi="ar"/>
        </w:rPr>
        <w:t>项目现状</w:t>
      </w:r>
    </w:p>
    <w:p>
      <w:pPr>
        <w:adjustRightInd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1.临水临电</w:t>
      </w:r>
      <w:r>
        <w:rPr>
          <w:rFonts w:hint="eastAsia" w:ascii="宋体" w:hAnsi="宋体" w:eastAsia="宋体" w:cs="宋体"/>
          <w:color w:val="auto"/>
          <w:sz w:val="24"/>
          <w:highlight w:val="none"/>
          <w:lang w:val="en-US" w:eastAsia="zh-CN"/>
        </w:rPr>
        <w:t>工程</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本工程的施工临水临电</w:t>
      </w:r>
      <w:r>
        <w:rPr>
          <w:rFonts w:hint="eastAsia" w:ascii="宋体" w:hAnsi="宋体" w:cs="宋体"/>
          <w:color w:val="auto"/>
          <w:sz w:val="24"/>
          <w:highlight w:val="none"/>
          <w:lang w:val="en-US" w:eastAsia="zh-CN"/>
        </w:rPr>
        <w:t>工程</w:t>
      </w:r>
      <w:r>
        <w:rPr>
          <w:rFonts w:hint="eastAsia" w:ascii="宋体" w:hAnsi="宋体" w:cs="宋体"/>
          <w:color w:val="auto"/>
          <w:sz w:val="24"/>
          <w:highlight w:val="none"/>
        </w:rPr>
        <w:t>由施工总承包单位实施。</w:t>
      </w:r>
      <w:r>
        <w:rPr>
          <w:rFonts w:hint="eastAsia" w:ascii="宋体" w:hAnsi="宋体" w:cs="宋体"/>
          <w:color w:val="auto"/>
          <w:sz w:val="24"/>
          <w:highlight w:val="none"/>
          <w:lang w:val="en-US" w:eastAsia="zh-CN"/>
        </w:rPr>
        <w:t>施工单位</w:t>
      </w:r>
      <w:r>
        <w:rPr>
          <w:rFonts w:hint="eastAsia" w:ascii="宋体" w:hAnsi="宋体" w:cs="宋体"/>
          <w:color w:val="auto"/>
          <w:sz w:val="24"/>
          <w:highlight w:val="none"/>
        </w:rPr>
        <w:t>进场</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在业主指定的接入点接入临水临电,并自行支付临水临电使用费。临水临电在红线</w:t>
      </w:r>
      <w:r>
        <w:rPr>
          <w:rFonts w:hint="eastAsia" w:ascii="宋体" w:hAnsi="宋体" w:cs="宋体"/>
          <w:color w:val="auto"/>
          <w:sz w:val="24"/>
          <w:highlight w:val="none"/>
          <w:lang w:val="en-US" w:eastAsia="zh-CN"/>
        </w:rPr>
        <w:t>范围内、</w:t>
      </w:r>
      <w:r>
        <w:rPr>
          <w:rFonts w:hint="eastAsia" w:ascii="宋体" w:hAnsi="宋体" w:cs="宋体"/>
          <w:color w:val="auto"/>
          <w:sz w:val="24"/>
          <w:highlight w:val="none"/>
        </w:rPr>
        <w:t>外的接入费用</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人自</w:t>
      </w:r>
      <w:r>
        <w:rPr>
          <w:rFonts w:hint="eastAsia" w:ascii="宋体" w:hAnsi="宋体" w:cs="宋体"/>
          <w:color w:val="auto"/>
          <w:sz w:val="24"/>
          <w:highlight w:val="none"/>
        </w:rPr>
        <w:t>行填报（不高于招标限价），最终</w:t>
      </w:r>
      <w:r>
        <w:rPr>
          <w:rFonts w:ascii="宋体" w:hAnsi="宋体" w:cs="宋体"/>
          <w:color w:val="auto"/>
          <w:sz w:val="24"/>
          <w:highlight w:val="none"/>
        </w:rPr>
        <w:t>总价包干</w:t>
      </w:r>
      <w:r>
        <w:rPr>
          <w:rFonts w:hint="eastAsia" w:ascii="宋体" w:hAnsi="宋体" w:cs="宋体"/>
          <w:color w:val="auto"/>
          <w:sz w:val="24"/>
          <w:highlight w:val="none"/>
        </w:rPr>
        <w:t>。同时</w:t>
      </w:r>
      <w:r>
        <w:rPr>
          <w:rFonts w:hint="eastAsia" w:ascii="宋体" w:hAnsi="宋体" w:cs="宋体"/>
          <w:color w:val="auto"/>
          <w:sz w:val="24"/>
          <w:highlight w:val="none"/>
          <w:lang w:val="en-US" w:eastAsia="zh-CN"/>
        </w:rPr>
        <w:t>施工单位在</w:t>
      </w:r>
      <w:r>
        <w:rPr>
          <w:rFonts w:hint="eastAsia" w:ascii="宋体" w:hAnsi="宋体" w:cs="宋体"/>
          <w:color w:val="auto"/>
          <w:sz w:val="24"/>
          <w:highlight w:val="none"/>
        </w:rPr>
        <w:t>本工程临水临电工程接通前，自行解决进场开工用</w:t>
      </w:r>
      <w:r>
        <w:rPr>
          <w:rFonts w:hint="eastAsia" w:ascii="宋体" w:hAnsi="宋体" w:eastAsia="宋体" w:cs="宋体"/>
          <w:color w:val="auto"/>
          <w:sz w:val="24"/>
          <w:highlight w:val="none"/>
        </w:rPr>
        <w:t>水用电问题，包括自备发电机等作为施工措施，该费用</w:t>
      </w:r>
      <w:r>
        <w:rPr>
          <w:rFonts w:hint="eastAsia" w:ascii="宋体" w:hAnsi="宋体" w:cs="宋体"/>
          <w:color w:val="auto"/>
          <w:sz w:val="24"/>
          <w:highlight w:val="none"/>
        </w:rPr>
        <w:t>已包含在投标报价中</w:t>
      </w:r>
      <w:r>
        <w:rPr>
          <w:rFonts w:hint="eastAsia" w:ascii="宋体" w:hAnsi="宋体" w:eastAsia="宋体" w:cs="宋体"/>
          <w:color w:val="auto"/>
          <w:sz w:val="24"/>
          <w:highlight w:val="none"/>
        </w:rPr>
        <w:t>。</w:t>
      </w:r>
    </w:p>
    <w:p>
      <w:pPr>
        <w:adjustRightInd w:val="0"/>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2.场地</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本项目场地</w:t>
      </w:r>
      <w:r>
        <w:rPr>
          <w:rFonts w:hint="eastAsia" w:ascii="宋体" w:hAnsi="宋体" w:eastAsia="宋体" w:cs="宋体"/>
          <w:bCs w:val="0"/>
          <w:color w:val="auto"/>
          <w:sz w:val="24"/>
          <w:szCs w:val="22"/>
          <w:highlight w:val="none"/>
          <w:u w:val="none"/>
        </w:rPr>
        <w:t>有限</w:t>
      </w:r>
      <w:r>
        <w:rPr>
          <w:rFonts w:hint="eastAsia" w:ascii="宋体" w:hAnsi="宋体" w:eastAsia="宋体" w:cs="宋体"/>
          <w:color w:val="auto"/>
          <w:sz w:val="24"/>
          <w:highlight w:val="none"/>
        </w:rPr>
        <w:t>，总用地面积为52532㎡，其中项目建设用地为35328㎡。场地内废弃河涌一条，树木</w:t>
      </w:r>
      <w:r>
        <w:rPr>
          <w:rFonts w:hint="eastAsia" w:ascii="宋体" w:hAnsi="宋体" w:eastAsia="宋体" w:cs="宋体"/>
          <w:color w:val="auto"/>
          <w:sz w:val="24"/>
          <w:highlight w:val="none"/>
          <w:lang w:eastAsia="zh"/>
        </w:rPr>
        <w:t>若干</w:t>
      </w:r>
      <w:r>
        <w:rPr>
          <w:rFonts w:hint="eastAsia" w:ascii="宋体" w:hAnsi="宋体" w:eastAsia="宋体" w:cs="宋体"/>
          <w:color w:val="auto"/>
          <w:sz w:val="24"/>
          <w:highlight w:val="none"/>
        </w:rPr>
        <w:t>株，场地的管线大都已完成迁移。施工单位进场后续开展场地清表工作，该工作包括场地清理、树木迁移、道路路面及基础和建筑物基础的拆除清运等相关工作，</w:t>
      </w:r>
      <w:r>
        <w:rPr>
          <w:rFonts w:hint="eastAsia" w:ascii="宋体" w:hAnsi="宋体" w:eastAsia="宋体" w:cs="宋体"/>
          <w:color w:val="auto"/>
          <w:sz w:val="24"/>
          <w:highlight w:val="none"/>
          <w:lang w:val="en-US" w:eastAsia="zh-CN"/>
        </w:rPr>
        <w:t>上述工作涉及</w:t>
      </w:r>
      <w:r>
        <w:rPr>
          <w:rFonts w:hint="eastAsia" w:ascii="宋体" w:hAnsi="宋体" w:eastAsia="宋体" w:cs="宋体"/>
          <w:color w:val="auto"/>
          <w:sz w:val="24"/>
          <w:highlight w:val="none"/>
        </w:rPr>
        <w:t>费用由</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自行填报（不高于招标限价），最终总价包干，本项目施工场地较为紧张，施工单位要合理进行场地布置，必要时需要租用周边场地</w:t>
      </w:r>
      <w:r>
        <w:rPr>
          <w:rFonts w:hint="eastAsia" w:ascii="宋体" w:hAnsi="宋体" w:eastAsia="宋体" w:cs="宋体"/>
          <w:color w:val="auto"/>
          <w:sz w:val="24"/>
          <w:highlight w:val="none"/>
          <w:lang w:eastAsia="zh"/>
        </w:rPr>
        <w:t>（含</w:t>
      </w:r>
      <w:r>
        <w:rPr>
          <w:rFonts w:hint="eastAsia" w:ascii="宋体" w:hAnsi="宋体" w:eastAsia="宋体" w:cs="宋体"/>
          <w:color w:val="auto"/>
          <w:sz w:val="24"/>
          <w:highlight w:val="none"/>
        </w:rPr>
        <w:t>临时设施办公及生活区和预留</w:t>
      </w:r>
      <w:r>
        <w:rPr>
          <w:rFonts w:hint="eastAsia" w:ascii="宋体" w:hAnsi="宋体" w:eastAsia="宋体" w:cs="宋体"/>
          <w:color w:val="auto"/>
          <w:sz w:val="24"/>
          <w:highlight w:val="none"/>
          <w:lang w:eastAsia="zh"/>
        </w:rPr>
        <w:t>回填土方的临时堆场）</w:t>
      </w:r>
      <w:r>
        <w:rPr>
          <w:rFonts w:hint="eastAsia" w:ascii="宋体" w:hAnsi="宋体" w:eastAsia="宋体" w:cs="宋体"/>
          <w:color w:val="auto"/>
          <w:sz w:val="24"/>
          <w:highlight w:val="none"/>
        </w:rPr>
        <w:t>，相应产生的费用已包含在投标报价中。</w:t>
      </w:r>
    </w:p>
    <w:p>
      <w:pPr>
        <w:adjustRightInd w:val="0"/>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3.道路交通</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项目周边东侧一条市政道路（即白云湖大道），西侧北侧均是规划市政道路,现为村道</w:t>
      </w:r>
      <w:r>
        <w:rPr>
          <w:rFonts w:hint="eastAsia" w:ascii="宋体" w:hAnsi="宋体" w:cs="宋体"/>
          <w:color w:val="auto"/>
          <w:sz w:val="24"/>
          <w:highlight w:val="none"/>
          <w:lang w:eastAsia="zh"/>
        </w:rPr>
        <w:t>或</w:t>
      </w:r>
      <w:r>
        <w:rPr>
          <w:rFonts w:hint="eastAsia" w:ascii="宋体" w:hAnsi="宋体" w:cs="宋体"/>
          <w:color w:val="auto"/>
          <w:sz w:val="24"/>
          <w:highlight w:val="none"/>
        </w:rPr>
        <w:t>临时路。投标人在投标前应对项目现场进行踏勘，对现场情况应有充分了解并在投标报价中综合考虑克服场地（包含临时交通疏导）、周边环境限制所需的相关费用及工期，发包人不再因中标人二次运输、施工道路建设、临时排水排污管道敷设等临时设施、施工措施而延长施工承包合同工期、改变合同价。</w:t>
      </w:r>
    </w:p>
    <w:p>
      <w:pPr>
        <w:adjustRightInd w:val="0"/>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4.地质条件</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详见地质勘察报告。</w:t>
      </w:r>
    </w:p>
    <w:p>
      <w:pPr>
        <w:adjustRightInd w:val="0"/>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5.施工现场围蔽、临边防护和文明施工（招标代理核实）</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中标人须满足《广州市提升建设工程安全文明施工管理水平的工作指引（2.0版本）》、《广州市住房和城乡建设局关于印发广州市房屋建筑工程安全防护指导图集（防高坠篇）的通知》、《广州市住房和城乡建设局关于规范建筑施工立面外防护架标准的通知》（穗建质〔2019〕1303号）、《广州市住房和城乡建设局等9部门关于印发广州市建设工程绿色施工围蔽图集（V2.0版）》（穗建质〔2020〕1号）、《广州市住房和城乡建设局等8部门关于印发广州市建设工程扬尘防治“6个100%”管理标准图集（V2.0版）的通知》以及上级主管部门对安全生产、文明施工以及标语宣传等规定要求，须满足广州市重点公共建设项目管理中心的规定要求；所有相关费用包括在措施项目清单“安全防护、文明施工措施费”中。</w:t>
      </w:r>
    </w:p>
    <w:p>
      <w:pPr>
        <w:adjustRightInd w:val="0"/>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6.临时设施</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施工单位</w:t>
      </w:r>
      <w:r>
        <w:rPr>
          <w:rFonts w:hint="eastAsia" w:ascii="宋体" w:hAnsi="宋体" w:cs="宋体"/>
          <w:color w:val="auto"/>
          <w:sz w:val="24"/>
          <w:highlight w:val="none"/>
        </w:rPr>
        <w:t>自行负责现场办公用房及相应配套设施的场地租赁和搭建，提供办公用房（含多次搭拆费用）及相应配套设施供业主、设计、监理、使用单位、咨询单位等单位现场办公用房，在投标时综合考虑，发包人不再另行支付相关费用，具体如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082"/>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功能</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数量（</w:t>
            </w:r>
            <w:r>
              <w:rPr>
                <w:rFonts w:hint="eastAsia" w:ascii="宋体" w:hAnsi="宋体" w:cs="仿宋"/>
                <w:color w:val="auto"/>
                <w:szCs w:val="21"/>
                <w:highlight w:val="none"/>
                <w:lang w:val="en-US" w:eastAsia="zh-CN"/>
              </w:rPr>
              <w:t>间</w:t>
            </w:r>
            <w:r>
              <w:rPr>
                <w:rFonts w:hint="eastAsia" w:ascii="宋体" w:hAnsi="宋体" w:cs="仿宋"/>
                <w:color w:val="auto"/>
                <w:szCs w:val="21"/>
                <w:highlight w:val="none"/>
              </w:rPr>
              <w:t>）</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rPr>
              <w:t>面积</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共计</w:t>
            </w:r>
            <w:r>
              <w:rPr>
                <w:rFonts w:hint="eastAsia" w:ascii="宋体" w:hAnsi="宋体"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会议室</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2</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100m</w:t>
            </w:r>
            <w:r>
              <w:rPr>
                <w:rFonts w:hint="eastAsia" w:ascii="宋体" w:hAnsi="宋体" w:cs="仿宋"/>
                <w:color w:val="auto"/>
                <w:szCs w:val="21"/>
                <w:highlight w:val="none"/>
                <w:vertAlign w:val="superscript"/>
              </w:rPr>
              <w:t>2</w:t>
            </w:r>
            <w:r>
              <w:rPr>
                <w:rFonts w:ascii="宋体" w:hAnsi="宋体" w:cs="仿宋"/>
                <w:color w:val="auto"/>
                <w:szCs w:val="21"/>
                <w:highlight w:val="none"/>
              </w:rPr>
              <w:t>、</w:t>
            </w:r>
            <w:r>
              <w:rPr>
                <w:rFonts w:hint="eastAsia" w:ascii="宋体" w:hAnsi="宋体" w:cs="仿宋"/>
                <w:color w:val="auto"/>
                <w:szCs w:val="21"/>
                <w:highlight w:val="none"/>
              </w:rPr>
              <w:t>50 m</w:t>
            </w:r>
            <w:r>
              <w:rPr>
                <w:rFonts w:hint="eastAsia" w:ascii="宋体" w:hAnsi="宋体" w:cs="仿宋"/>
                <w:color w:val="auto"/>
                <w:szCs w:val="21"/>
                <w:highlight w:val="none"/>
                <w:vertAlign w:val="superscript"/>
              </w:rPr>
              <w:t>2</w:t>
            </w:r>
            <w:r>
              <w:rPr>
                <w:rFonts w:hint="eastAsia" w:ascii="宋体" w:hAnsi="宋体" w:cs="仿宋"/>
                <w:color w:val="auto"/>
                <w:szCs w:val="21"/>
                <w:highlight w:val="none"/>
              </w:rPr>
              <w:t>各一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建设单位办公室</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4</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80m</w:t>
            </w:r>
            <w:r>
              <w:rPr>
                <w:rFonts w:hint="eastAsia" w:ascii="宋体" w:hAnsi="宋体" w:cs="仿宋"/>
                <w:color w:val="auto"/>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项目管理单位办公室</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2</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4</w:t>
            </w:r>
            <w:r>
              <w:rPr>
                <w:rFonts w:ascii="宋体" w:hAnsi="宋体" w:cs="仿宋"/>
                <w:color w:val="auto"/>
                <w:szCs w:val="21"/>
                <w:highlight w:val="none"/>
              </w:rPr>
              <w:t>0</w:t>
            </w:r>
            <w:r>
              <w:rPr>
                <w:rFonts w:hint="eastAsia" w:ascii="宋体" w:hAnsi="宋体" w:cs="仿宋"/>
                <w:color w:val="auto"/>
                <w:szCs w:val="21"/>
                <w:highlight w:val="none"/>
              </w:rPr>
              <w:t>m</w:t>
            </w:r>
            <w:r>
              <w:rPr>
                <w:rFonts w:hint="eastAsia" w:ascii="宋体" w:hAnsi="宋体" w:cs="仿宋"/>
                <w:color w:val="auto"/>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监理单位办公室</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3</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60m</w:t>
            </w:r>
            <w:r>
              <w:rPr>
                <w:rFonts w:hint="eastAsia" w:ascii="宋体" w:hAnsi="宋体" w:cs="仿宋"/>
                <w:color w:val="auto"/>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设计单位办公室</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20m</w:t>
            </w:r>
            <w:r>
              <w:rPr>
                <w:rFonts w:hint="eastAsia" w:ascii="宋体" w:hAnsi="宋体" w:cs="仿宋"/>
                <w:color w:val="auto"/>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造价咨询单位办公室</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20m</w:t>
            </w:r>
            <w:r>
              <w:rPr>
                <w:rFonts w:hint="eastAsia" w:ascii="宋体" w:hAnsi="宋体" w:cs="仿宋"/>
                <w:color w:val="auto"/>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5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管理人员</w:t>
            </w:r>
            <w:r>
              <w:rPr>
                <w:rFonts w:hint="eastAsia" w:ascii="宋体" w:hAnsi="宋体" w:cs="仿宋"/>
                <w:color w:val="auto"/>
                <w:szCs w:val="21"/>
                <w:highlight w:val="none"/>
              </w:rPr>
              <w:t>宿舍</w:t>
            </w:r>
          </w:p>
        </w:tc>
        <w:tc>
          <w:tcPr>
            <w:tcW w:w="10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≥4</w:t>
            </w:r>
          </w:p>
        </w:tc>
        <w:tc>
          <w:tcPr>
            <w:tcW w:w="4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仿宋"/>
                <w:color w:val="auto"/>
                <w:szCs w:val="21"/>
                <w:highlight w:val="none"/>
                <w:lang w:eastAsia="zh-CN"/>
              </w:rPr>
            </w:pPr>
            <w:r>
              <w:rPr>
                <w:rFonts w:hint="default" w:ascii="宋体" w:hAnsi="宋体" w:cs="仿宋"/>
                <w:color w:val="auto"/>
                <w:szCs w:val="21"/>
                <w:highlight w:val="none"/>
                <w:lang w:val="en-US"/>
              </w:rPr>
              <w:t>按需配置（不少于80m</w:t>
            </w:r>
            <w:r>
              <w:rPr>
                <w:rFonts w:hint="default" w:ascii="宋体" w:hAnsi="宋体" w:cs="仿宋"/>
                <w:color w:val="auto"/>
                <w:szCs w:val="21"/>
                <w:highlight w:val="none"/>
                <w:vertAlign w:val="superscript"/>
                <w:lang w:val="en-US"/>
              </w:rPr>
              <w:t>2</w:t>
            </w:r>
            <w:r>
              <w:rPr>
                <w:rFonts w:hint="default" w:ascii="宋体" w:hAnsi="宋体" w:cs="仿宋"/>
                <w:color w:val="auto"/>
                <w:szCs w:val="21"/>
                <w:highlight w:val="none"/>
                <w:lang w:val="en-US"/>
              </w:rPr>
              <w:t>）</w:t>
            </w:r>
          </w:p>
        </w:tc>
      </w:tr>
    </w:tbl>
    <w:p>
      <w:pPr>
        <w:adjustRightInd w:val="0"/>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7.视频监控系统安装工程</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的视频监控系统应满足《关于广州市建筑工地安装视频监控装置的通知》（穗建筑〔2006〕551号）和《广州市住房和城乡建设委员会关于全市建设工地纳入视频监管的通知》（穗建质〔2017〕1166号）等相关文件要求以及发包人要求。网络视频监控、远程工地视频监控系统费用承包人在投标报价时已综合考虑，发包人不另行支付。</w:t>
      </w:r>
    </w:p>
    <w:p>
      <w:pPr>
        <w:adjustRightInd w:val="0"/>
        <w:spacing w:line="360" w:lineRule="auto"/>
        <w:ind w:firstLine="480" w:firstLineChars="200"/>
        <w:rPr>
          <w:rFonts w:hint="eastAsia" w:ascii="宋体" w:hAnsi="宋体" w:cs="宋体"/>
          <w:color w:val="auto"/>
          <w:sz w:val="24"/>
          <w:highlight w:val="none"/>
        </w:rPr>
      </w:pPr>
    </w:p>
    <w:p>
      <w:pPr>
        <w:spacing w:line="360" w:lineRule="auto"/>
        <w:ind w:firstLine="482" w:firstLineChars="200"/>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（四）</w:t>
      </w:r>
      <w:r>
        <w:rPr>
          <w:rFonts w:ascii="宋体" w:hAnsi="宋体" w:cs="宋体"/>
          <w:b/>
          <w:color w:val="auto"/>
          <w:sz w:val="24"/>
          <w:szCs w:val="24"/>
          <w:highlight w:val="none"/>
          <w:lang w:bidi="ar"/>
        </w:rPr>
        <w:t>、</w:t>
      </w:r>
      <w:r>
        <w:rPr>
          <w:rFonts w:hint="eastAsia" w:ascii="宋体" w:hAnsi="宋体" w:cs="宋体"/>
          <w:b/>
          <w:color w:val="auto"/>
          <w:sz w:val="24"/>
          <w:szCs w:val="24"/>
          <w:highlight w:val="none"/>
          <w:lang w:bidi="ar"/>
        </w:rPr>
        <w:t>参建单位：</w:t>
      </w:r>
    </w:p>
    <w:p>
      <w:pPr>
        <w:adjustRightInd w:val="0"/>
        <w:spacing w:line="360" w:lineRule="auto"/>
        <w:ind w:firstLine="496" w:firstLineChars="200"/>
        <w:rPr>
          <w:rFonts w:hint="eastAsia" w:ascii="宋体" w:hAnsi="宋体" w:cs="宋体"/>
          <w:color w:val="auto"/>
          <w:spacing w:val="4"/>
          <w:sz w:val="24"/>
          <w:szCs w:val="24"/>
          <w:highlight w:val="none"/>
          <w:lang w:bidi="ar"/>
        </w:rPr>
      </w:pPr>
      <w:r>
        <w:rPr>
          <w:rFonts w:hint="eastAsia" w:ascii="宋体" w:hAnsi="宋体" w:cs="宋体"/>
          <w:color w:val="auto"/>
          <w:spacing w:val="4"/>
          <w:sz w:val="24"/>
          <w:szCs w:val="24"/>
          <w:highlight w:val="none"/>
          <w:lang w:bidi="ar"/>
        </w:rPr>
        <w:t>本项目建设单位：南方医科大学皮肤病医院</w:t>
      </w:r>
    </w:p>
    <w:p>
      <w:pPr>
        <w:adjustRightInd w:val="0"/>
        <w:spacing w:line="360" w:lineRule="auto"/>
        <w:ind w:firstLine="496" w:firstLineChars="200"/>
        <w:rPr>
          <w:rFonts w:hint="eastAsia" w:ascii="宋体" w:hAnsi="宋体" w:cs="宋体"/>
          <w:color w:val="auto"/>
          <w:spacing w:val="4"/>
          <w:sz w:val="24"/>
          <w:szCs w:val="24"/>
          <w:highlight w:val="none"/>
          <w:lang w:bidi="ar"/>
        </w:rPr>
      </w:pPr>
      <w:r>
        <w:rPr>
          <w:rFonts w:hint="eastAsia" w:ascii="宋体" w:hAnsi="宋体" w:cs="宋体"/>
          <w:color w:val="auto"/>
          <w:spacing w:val="4"/>
          <w:sz w:val="24"/>
          <w:szCs w:val="24"/>
          <w:highlight w:val="none"/>
          <w:lang w:bidi="ar"/>
        </w:rPr>
        <w:t>本项目勘察单位：广州地铁设计研究院股份有限公司</w:t>
      </w:r>
    </w:p>
    <w:p>
      <w:pPr>
        <w:adjustRightInd w:val="0"/>
        <w:spacing w:line="360" w:lineRule="auto"/>
        <w:ind w:firstLine="496" w:firstLineChars="200"/>
        <w:rPr>
          <w:rFonts w:hint="eastAsia" w:ascii="宋体" w:hAnsi="宋体" w:cs="宋体"/>
          <w:color w:val="auto"/>
          <w:spacing w:val="4"/>
          <w:sz w:val="24"/>
          <w:szCs w:val="24"/>
          <w:highlight w:val="none"/>
          <w:lang w:bidi="ar"/>
        </w:rPr>
      </w:pPr>
      <w:r>
        <w:rPr>
          <w:rFonts w:hint="eastAsia" w:ascii="宋体" w:hAnsi="宋体" w:cs="宋体"/>
          <w:color w:val="auto"/>
          <w:spacing w:val="4"/>
          <w:sz w:val="24"/>
          <w:szCs w:val="24"/>
          <w:highlight w:val="none"/>
          <w:lang w:bidi="ar"/>
        </w:rPr>
        <w:t>本项目设计单位：（主）广东华方工程设计有限公司（成）广州地铁设计研究院股份有限公司</w:t>
      </w:r>
    </w:p>
    <w:p>
      <w:pPr>
        <w:adjustRightInd w:val="0"/>
        <w:spacing w:line="360" w:lineRule="auto"/>
        <w:ind w:firstLine="496" w:firstLineChars="200"/>
        <w:rPr>
          <w:rFonts w:hint="eastAsia" w:ascii="宋体" w:hAnsi="宋体" w:cs="宋体"/>
          <w:color w:val="auto"/>
          <w:spacing w:val="4"/>
          <w:sz w:val="24"/>
          <w:szCs w:val="24"/>
          <w:highlight w:val="none"/>
          <w:lang w:bidi="ar"/>
        </w:rPr>
      </w:pPr>
      <w:r>
        <w:rPr>
          <w:rFonts w:hint="eastAsia" w:ascii="宋体" w:hAnsi="宋体" w:cs="宋体"/>
          <w:color w:val="auto"/>
          <w:spacing w:val="4"/>
          <w:sz w:val="24"/>
          <w:szCs w:val="24"/>
          <w:highlight w:val="none"/>
          <w:lang w:bidi="ar"/>
        </w:rPr>
        <w:t>本项目项目管理单位：广州珠江监理咨询集团有限公司</w:t>
      </w:r>
    </w:p>
    <w:p>
      <w:pPr>
        <w:adjustRightInd w:val="0"/>
        <w:spacing w:line="360" w:lineRule="auto"/>
        <w:ind w:firstLine="496" w:firstLineChars="200"/>
        <w:rPr>
          <w:rFonts w:hint="eastAsia" w:ascii="宋体" w:hAnsi="宋体" w:cs="宋体"/>
          <w:color w:val="auto"/>
          <w:spacing w:val="4"/>
          <w:sz w:val="24"/>
          <w:szCs w:val="24"/>
          <w:highlight w:val="none"/>
          <w:lang w:bidi="ar"/>
        </w:rPr>
      </w:pPr>
      <w:r>
        <w:rPr>
          <w:rFonts w:hint="eastAsia" w:ascii="宋体" w:hAnsi="宋体" w:cs="宋体"/>
          <w:color w:val="auto"/>
          <w:spacing w:val="4"/>
          <w:sz w:val="24"/>
          <w:szCs w:val="24"/>
          <w:highlight w:val="none"/>
          <w:lang w:bidi="ar"/>
        </w:rPr>
        <w:t>本项目监理单位：广州珠江监理咨询集团有限公司</w:t>
      </w:r>
    </w:p>
    <w:p>
      <w:pPr>
        <w:adjustRightInd w:val="0"/>
        <w:spacing w:line="360" w:lineRule="auto"/>
        <w:ind w:firstLine="496" w:firstLineChars="200"/>
        <w:rPr>
          <w:rFonts w:hint="eastAsia" w:ascii="宋体" w:hAnsi="宋体" w:cs="宋体"/>
          <w:color w:val="auto"/>
          <w:spacing w:val="4"/>
          <w:sz w:val="24"/>
          <w:szCs w:val="24"/>
          <w:highlight w:val="none"/>
          <w:lang w:bidi="ar"/>
        </w:rPr>
      </w:pPr>
      <w:r>
        <w:rPr>
          <w:rFonts w:hint="eastAsia" w:ascii="宋体" w:hAnsi="宋体" w:cs="宋体"/>
          <w:color w:val="auto"/>
          <w:spacing w:val="4"/>
          <w:sz w:val="24"/>
          <w:szCs w:val="24"/>
          <w:highlight w:val="none"/>
          <w:lang w:bidi="ar"/>
        </w:rPr>
        <w:t>本项目造价咨询单位：华联世纪工程咨询股份有限公司</w:t>
      </w:r>
    </w:p>
    <w:p>
      <w:pPr>
        <w:topLinePunct/>
        <w:adjustRightInd w:val="0"/>
        <w:snapToGrid w:val="0"/>
        <w:spacing w:line="360" w:lineRule="auto"/>
        <w:ind w:firstLine="429" w:firstLineChars="179"/>
        <w:rPr>
          <w:rFonts w:hint="eastAsia" w:ascii="宋体" w:hAnsi="宋体" w:cs="宋体"/>
          <w:color w:val="auto"/>
          <w:sz w:val="24"/>
          <w:szCs w:val="24"/>
          <w:highlight w:val="none"/>
        </w:rPr>
      </w:pPr>
    </w:p>
    <w:p>
      <w:pPr>
        <w:keepNext/>
        <w:keepLines/>
        <w:tabs>
          <w:tab w:val="right" w:leader="dot" w:pos="9060"/>
        </w:tabs>
        <w:adjustRightInd w:val="0"/>
        <w:snapToGrid w:val="0"/>
        <w:spacing w:line="360" w:lineRule="auto"/>
        <w:jc w:val="left"/>
        <w:outlineLvl w:val="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二</w:t>
      </w:r>
      <w:r>
        <w:rPr>
          <w:rFonts w:hint="eastAsia" w:ascii="宋体" w:hAnsi="宋体" w:cs="宋体"/>
          <w:b/>
          <w:color w:val="auto"/>
          <w:kern w:val="0"/>
          <w:sz w:val="24"/>
          <w:szCs w:val="24"/>
          <w:highlight w:val="none"/>
          <w:lang w:val="zh-CN" w:bidi="ar"/>
        </w:rPr>
        <w:t>、项目</w:t>
      </w:r>
      <w:r>
        <w:rPr>
          <w:rFonts w:hint="eastAsia" w:ascii="宋体" w:hAnsi="宋体" w:cs="宋体"/>
          <w:b/>
          <w:color w:val="auto"/>
          <w:kern w:val="0"/>
          <w:sz w:val="24"/>
          <w:szCs w:val="24"/>
          <w:highlight w:val="none"/>
          <w:lang w:bidi="ar"/>
        </w:rPr>
        <w:t>目标管理</w:t>
      </w:r>
    </w:p>
    <w:p>
      <w:pPr>
        <w:tabs>
          <w:tab w:val="left" w:pos="9100"/>
        </w:tabs>
        <w:spacing w:line="360" w:lineRule="auto"/>
        <w:ind w:firstLine="482" w:firstLineChars="200"/>
        <w:outlineLvl w:val="3"/>
        <w:rPr>
          <w:color w:val="auto"/>
          <w:kern w:val="0"/>
          <w:sz w:val="24"/>
          <w:highlight w:val="none"/>
        </w:rPr>
      </w:pPr>
      <w:r>
        <w:rPr>
          <w:rFonts w:hint="eastAsia" w:ascii="宋体" w:hAnsi="宋体" w:cs="宋体"/>
          <w:b/>
          <w:color w:val="auto"/>
          <w:sz w:val="24"/>
          <w:szCs w:val="24"/>
          <w:highlight w:val="none"/>
          <w:lang w:bidi="ar"/>
        </w:rPr>
        <w:t>（一）项目工期目标</w:t>
      </w:r>
    </w:p>
    <w:p>
      <w:pPr>
        <w:pStyle w:val="14"/>
        <w:widowControl w:val="0"/>
        <w:topLinePunct/>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2"/>
          <w:highlight w:val="none"/>
          <w:lang w:bidi="ar"/>
        </w:rPr>
      </w:pPr>
      <w:r>
        <w:rPr>
          <w:rFonts w:hint="eastAsia" w:ascii="宋体" w:hAnsi="宋体" w:eastAsia="宋体" w:cs="宋体"/>
          <w:color w:val="auto"/>
          <w:kern w:val="2"/>
          <w:highlight w:val="none"/>
          <w:lang w:bidi="ar"/>
        </w:rPr>
        <w:t>1、工期目标：</w:t>
      </w:r>
    </w:p>
    <w:p>
      <w:pPr>
        <w:pStyle w:val="14"/>
        <w:widowControl w:val="0"/>
        <w:topLinePunct/>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2"/>
          <w:highlight w:val="none"/>
          <w:lang w:bidi="ar"/>
        </w:rPr>
      </w:pPr>
      <w:r>
        <w:rPr>
          <w:rFonts w:hint="eastAsia" w:ascii="宋体" w:hAnsi="宋体" w:eastAsia="宋体" w:cs="宋体"/>
          <w:color w:val="auto"/>
          <w:kern w:val="2"/>
          <w:highlight w:val="none"/>
          <w:lang w:bidi="ar"/>
        </w:rPr>
        <w:t>总工期</w:t>
      </w:r>
      <w:r>
        <w:rPr>
          <w:rFonts w:hint="eastAsia" w:cs="宋体"/>
          <w:color w:val="auto"/>
          <w:kern w:val="2"/>
          <w:highlight w:val="none"/>
          <w:lang w:val="en-US" w:eastAsia="zh-CN" w:bidi="ar"/>
        </w:rPr>
        <w:t>900</w:t>
      </w:r>
      <w:r>
        <w:rPr>
          <w:rFonts w:hint="eastAsia" w:ascii="宋体" w:hAnsi="宋体" w:eastAsia="宋体" w:cs="宋体"/>
          <w:color w:val="auto"/>
          <w:kern w:val="2"/>
          <w:highlight w:val="none"/>
          <w:lang w:bidi="ar"/>
        </w:rPr>
        <w:t>天。具体开工日期以总监理工程师发出的开工令为准,若因医疗专项设备进场时间延误，以工期调整批复时间为准。</w:t>
      </w:r>
    </w:p>
    <w:p>
      <w:pPr>
        <w:pStyle w:val="14"/>
        <w:widowControl w:val="0"/>
        <w:topLinePunct/>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2"/>
          <w:highlight w:val="none"/>
          <w:lang w:bidi="ar"/>
        </w:rPr>
      </w:pPr>
      <w:r>
        <w:rPr>
          <w:rFonts w:hint="eastAsia" w:ascii="宋体" w:hAnsi="宋体" w:eastAsia="宋体" w:cs="宋体"/>
          <w:color w:val="auto"/>
          <w:kern w:val="2"/>
          <w:highlight w:val="none"/>
          <w:lang w:bidi="ar"/>
        </w:rPr>
        <w:t>2、关键工期节点工期目标包括：</w:t>
      </w:r>
    </w:p>
    <w:p>
      <w:pPr>
        <w:pStyle w:val="14"/>
        <w:widowControl w:val="0"/>
        <w:topLinePunct/>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bidi="ar"/>
        </w:rPr>
        <w:t>1)</w:t>
      </w:r>
      <w:r>
        <w:rPr>
          <w:rFonts w:hint="eastAsia" w:cs="宋体"/>
          <w:color w:val="auto"/>
          <w:kern w:val="2"/>
          <w:sz w:val="24"/>
          <w:szCs w:val="24"/>
          <w:highlight w:val="none"/>
          <w:lang w:eastAsia="zh-CN" w:bidi="ar"/>
        </w:rPr>
        <w:t>开工后</w:t>
      </w:r>
      <w:r>
        <w:rPr>
          <w:rFonts w:hint="eastAsia" w:cs="宋体"/>
          <w:color w:val="auto"/>
          <w:kern w:val="2"/>
          <w:sz w:val="24"/>
          <w:szCs w:val="24"/>
          <w:highlight w:val="none"/>
          <w:lang w:val="en-US" w:eastAsia="zh-CN" w:bidi="ar"/>
        </w:rPr>
        <w:t>300天</w:t>
      </w:r>
      <w:r>
        <w:rPr>
          <w:rFonts w:hint="eastAsia" w:ascii="宋体" w:hAnsi="宋体" w:eastAsia="宋体" w:cs="宋体"/>
          <w:color w:val="auto"/>
          <w:kern w:val="2"/>
          <w:sz w:val="24"/>
          <w:szCs w:val="24"/>
          <w:highlight w:val="none"/>
          <w:lang w:bidi="ar"/>
        </w:rPr>
        <w:t>完成地下室结构施工</w:t>
      </w:r>
      <w:r>
        <w:rPr>
          <w:rFonts w:hint="eastAsia" w:cs="宋体"/>
          <w:color w:val="auto"/>
          <w:kern w:val="2"/>
          <w:sz w:val="24"/>
          <w:szCs w:val="24"/>
          <w:highlight w:val="none"/>
          <w:lang w:eastAsia="zh-CN" w:bidi="ar"/>
        </w:rPr>
        <w:t>；</w:t>
      </w:r>
    </w:p>
    <w:p>
      <w:pPr>
        <w:pStyle w:val="14"/>
        <w:widowControl w:val="0"/>
        <w:topLinePunct/>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bidi="ar"/>
        </w:rPr>
        <w:t>2)</w:t>
      </w:r>
      <w:r>
        <w:rPr>
          <w:rFonts w:hint="eastAsia" w:cs="宋体"/>
          <w:color w:val="auto"/>
          <w:kern w:val="2"/>
          <w:sz w:val="24"/>
          <w:szCs w:val="24"/>
          <w:highlight w:val="none"/>
          <w:lang w:eastAsia="zh-CN" w:bidi="ar"/>
        </w:rPr>
        <w:t>开工后</w:t>
      </w:r>
      <w:r>
        <w:rPr>
          <w:rFonts w:hint="eastAsia" w:cs="宋体"/>
          <w:color w:val="auto"/>
          <w:kern w:val="2"/>
          <w:sz w:val="24"/>
          <w:szCs w:val="24"/>
          <w:highlight w:val="none"/>
          <w:lang w:val="en-US" w:eastAsia="zh-CN" w:bidi="ar"/>
        </w:rPr>
        <w:t>600天</w:t>
      </w:r>
      <w:r>
        <w:rPr>
          <w:rFonts w:hint="eastAsia" w:ascii="宋体" w:hAnsi="宋体" w:eastAsia="宋体" w:cs="宋体"/>
          <w:color w:val="auto"/>
          <w:kern w:val="2"/>
          <w:sz w:val="24"/>
          <w:szCs w:val="24"/>
          <w:highlight w:val="none"/>
          <w:lang w:bidi="ar"/>
        </w:rPr>
        <w:t>完成主体结构施工</w:t>
      </w:r>
      <w:r>
        <w:rPr>
          <w:rFonts w:hint="eastAsia" w:cs="宋体"/>
          <w:color w:val="auto"/>
          <w:kern w:val="2"/>
          <w:sz w:val="24"/>
          <w:szCs w:val="24"/>
          <w:highlight w:val="none"/>
          <w:lang w:eastAsia="zh-CN" w:bidi="ar"/>
        </w:rPr>
        <w:t>；</w:t>
      </w:r>
    </w:p>
    <w:p>
      <w:pPr>
        <w:pStyle w:val="14"/>
        <w:widowControl w:val="0"/>
        <w:topLinePunct/>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bidi="ar"/>
        </w:rPr>
        <w:t>3)</w:t>
      </w:r>
      <w:r>
        <w:rPr>
          <w:rFonts w:hint="eastAsia" w:cs="宋体"/>
          <w:color w:val="auto"/>
          <w:kern w:val="2"/>
          <w:sz w:val="24"/>
          <w:szCs w:val="24"/>
          <w:highlight w:val="none"/>
          <w:lang w:eastAsia="zh-CN" w:bidi="ar"/>
        </w:rPr>
        <w:t>开工后</w:t>
      </w:r>
      <w:r>
        <w:rPr>
          <w:rFonts w:hint="eastAsia" w:cs="宋体"/>
          <w:color w:val="auto"/>
          <w:kern w:val="2"/>
          <w:sz w:val="24"/>
          <w:szCs w:val="24"/>
          <w:highlight w:val="none"/>
          <w:lang w:val="en-US" w:eastAsia="zh-CN" w:bidi="ar"/>
        </w:rPr>
        <w:t>900天</w:t>
      </w:r>
      <w:r>
        <w:rPr>
          <w:rFonts w:hint="eastAsia" w:ascii="宋体" w:hAnsi="宋体" w:eastAsia="宋体" w:cs="宋体"/>
          <w:color w:val="auto"/>
          <w:kern w:val="2"/>
          <w:sz w:val="24"/>
          <w:szCs w:val="24"/>
          <w:highlight w:val="none"/>
          <w:lang w:bidi="ar"/>
        </w:rPr>
        <w:t>完成联合验收及档案移交</w:t>
      </w:r>
      <w:r>
        <w:rPr>
          <w:rFonts w:hint="eastAsia" w:cs="宋体"/>
          <w:color w:val="auto"/>
          <w:kern w:val="2"/>
          <w:sz w:val="24"/>
          <w:szCs w:val="24"/>
          <w:highlight w:val="none"/>
          <w:lang w:eastAsia="zh-CN" w:bidi="ar"/>
        </w:rPr>
        <w:t>。</w:t>
      </w:r>
    </w:p>
    <w:p>
      <w:pPr>
        <w:pStyle w:val="14"/>
        <w:widowControl w:val="0"/>
        <w:topLinePunct/>
        <w:adjustRightInd w:val="0"/>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 xml:space="preserve">交付后试运行，配合医院完成医疗行业验收，安排相关人员配合医院运营及整改工作，直至医院正常运行。  </w:t>
      </w:r>
    </w:p>
    <w:p>
      <w:pPr>
        <w:pStyle w:val="14"/>
        <w:widowControl w:val="0"/>
        <w:topLinePunct/>
        <w:snapToGrid w:val="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中标人须于进场10天内编制合理、切实可行的施工总进度计划以及在每月25日前完成根据施工总进度计划细化的月进度计划报发包人、监理单位批准后实施，本工程的工期已包含因中标人的深化设计未能达到建设单位、设计单位及相关政府主管部门的要求而需要修改或重新设计所涉及的额外工程期限，中标人已被视为对上述审批时间作出考虑和预留。</w:t>
      </w:r>
    </w:p>
    <w:p>
      <w:pPr>
        <w:spacing w:line="360" w:lineRule="auto"/>
        <w:ind w:firstLine="482" w:firstLineChars="200"/>
        <w:outlineLvl w:val="3"/>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（二）质量目标</w:t>
      </w:r>
    </w:p>
    <w:p>
      <w:pPr>
        <w:adjustRightInd/>
        <w:spacing w:line="24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kern w:val="2"/>
          <w:sz w:val="24"/>
          <w:szCs w:val="24"/>
          <w:highlight w:val="none"/>
          <w:u w:val="none"/>
          <w:lang w:bidi="ar"/>
        </w:rPr>
        <w:t>质量一次验收合格，符合设计规范、标准的要求和国家、地方</w:t>
      </w:r>
      <w:r>
        <w:rPr>
          <w:rFonts w:hint="eastAsia" w:ascii="宋体" w:hAnsi="宋体" w:cs="宋体"/>
          <w:color w:val="auto"/>
          <w:kern w:val="2"/>
          <w:sz w:val="24"/>
          <w:szCs w:val="24"/>
          <w:highlight w:val="none"/>
          <w:u w:val="none"/>
          <w:lang w:eastAsia="zh-CN" w:bidi="ar"/>
        </w:rPr>
        <w:t>、</w:t>
      </w:r>
      <w:r>
        <w:rPr>
          <w:rFonts w:hint="eastAsia" w:ascii="宋体" w:hAnsi="宋体" w:cs="宋体"/>
          <w:color w:val="auto"/>
          <w:kern w:val="2"/>
          <w:sz w:val="24"/>
          <w:szCs w:val="24"/>
          <w:highlight w:val="none"/>
          <w:u w:val="none"/>
          <w:lang w:bidi="ar"/>
        </w:rPr>
        <w:t>行业有关标准及投标文件承诺</w:t>
      </w:r>
      <w:r>
        <w:rPr>
          <w:rFonts w:hint="eastAsia" w:ascii="宋体" w:hAnsi="宋体" w:cs="宋体"/>
          <w:color w:val="auto"/>
          <w:sz w:val="24"/>
          <w:szCs w:val="24"/>
          <w:highlight w:val="none"/>
          <w:lang w:bidi="ar"/>
        </w:rPr>
        <w:t>。</w:t>
      </w:r>
    </w:p>
    <w:p>
      <w:pPr>
        <w:adjustRightInd w:val="0"/>
        <w:spacing w:line="360" w:lineRule="auto"/>
        <w:ind w:firstLine="482" w:firstLineChars="200"/>
        <w:outlineLvl w:val="3"/>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（三）安全、文明施工目标</w:t>
      </w:r>
    </w:p>
    <w:p>
      <w:pPr>
        <w:adjustRightInd w:val="0"/>
        <w:spacing w:line="360" w:lineRule="auto"/>
        <w:ind w:firstLine="480" w:firstLineChars="200"/>
        <w:rPr>
          <w:rFonts w:hint="eastAsia" w:ascii="宋体" w:hAnsi="宋体" w:cs="宋体"/>
          <w:color w:val="auto"/>
          <w:sz w:val="24"/>
          <w:szCs w:val="24"/>
          <w:highlight w:val="none"/>
          <w:shd w:val="clear" w:color="auto" w:fill="FFFFFF"/>
        </w:rPr>
      </w:pPr>
      <w:r>
        <w:rPr>
          <w:color w:val="auto"/>
          <w:sz w:val="24"/>
          <w:szCs w:val="24"/>
          <w:highlight w:val="none"/>
        </w:rPr>
        <w:t>确保责任事故死亡率为零，确保工程无重大安全事故，工伤频率控制在广</w:t>
      </w:r>
      <w:r>
        <w:rPr>
          <w:rFonts w:hint="eastAsia"/>
          <w:color w:val="auto"/>
          <w:sz w:val="24"/>
          <w:szCs w:val="24"/>
          <w:highlight w:val="none"/>
          <w:lang w:val="en-US" w:eastAsia="zh-CN"/>
        </w:rPr>
        <w:t>东省</w:t>
      </w:r>
      <w:r>
        <w:rPr>
          <w:color w:val="auto"/>
          <w:sz w:val="24"/>
          <w:szCs w:val="24"/>
          <w:highlight w:val="none"/>
        </w:rPr>
        <w:t>建筑施工安全管理法规定的指标要求范围内，确保现场安全文明施工达到广</w:t>
      </w:r>
      <w:r>
        <w:rPr>
          <w:rFonts w:hint="eastAsia"/>
          <w:color w:val="auto"/>
          <w:sz w:val="24"/>
          <w:szCs w:val="24"/>
          <w:highlight w:val="none"/>
          <w:lang w:val="en-US" w:eastAsia="zh-CN"/>
        </w:rPr>
        <w:t>东省</w:t>
      </w:r>
      <w:r>
        <w:rPr>
          <w:color w:val="auto"/>
          <w:sz w:val="24"/>
          <w:szCs w:val="24"/>
          <w:highlight w:val="none"/>
        </w:rPr>
        <w:t>相关规定要求</w:t>
      </w:r>
      <w:r>
        <w:rPr>
          <w:rFonts w:hint="eastAsia"/>
          <w:color w:val="auto"/>
          <w:sz w:val="24"/>
          <w:szCs w:val="24"/>
          <w:highlight w:val="none"/>
          <w:lang w:eastAsia="zh-CN"/>
        </w:rPr>
        <w:t>，</w:t>
      </w:r>
      <w:r>
        <w:rPr>
          <w:rFonts w:hint="eastAsia"/>
          <w:color w:val="auto"/>
          <w:sz w:val="24"/>
          <w:szCs w:val="24"/>
          <w:highlight w:val="none"/>
          <w:lang w:val="en-US" w:eastAsia="zh-CN"/>
        </w:rPr>
        <w:t>按照“</w:t>
      </w:r>
      <w:r>
        <w:rPr>
          <w:rStyle w:val="17"/>
          <w:rFonts w:hint="eastAsia" w:ascii="Times New Roman" w:hAnsi="Times New Roman" w:eastAsia="宋体" w:cs="Times New Roman"/>
          <w:b w:val="0"/>
          <w:bCs w:val="0"/>
          <w:i w:val="0"/>
          <w:iCs w:val="0"/>
          <w:caps w:val="0"/>
          <w:color w:val="auto"/>
          <w:spacing w:val="4"/>
          <w:sz w:val="24"/>
          <w:szCs w:val="24"/>
          <w:highlight w:val="none"/>
          <w:shd w:val="clear"/>
        </w:rPr>
        <w:t>广东省房屋市政工程安全生产文明施工示范工地</w:t>
      </w:r>
      <w:r>
        <w:rPr>
          <w:rFonts w:hint="eastAsia"/>
          <w:color w:val="auto"/>
          <w:sz w:val="24"/>
          <w:szCs w:val="24"/>
          <w:highlight w:val="none"/>
          <w:lang w:val="en-US" w:eastAsia="zh-CN"/>
        </w:rPr>
        <w:t>”的标准进行安全文明施工管理</w:t>
      </w:r>
      <w:r>
        <w:rPr>
          <w:color w:val="auto"/>
          <w:sz w:val="24"/>
          <w:szCs w:val="24"/>
          <w:highlight w:val="none"/>
        </w:rPr>
        <w:t>。</w:t>
      </w:r>
    </w:p>
    <w:p>
      <w:pPr>
        <w:adjustRightInd w:val="0"/>
        <w:spacing w:line="360" w:lineRule="auto"/>
        <w:ind w:firstLine="482" w:firstLineChars="200"/>
        <w:outlineLvl w:val="3"/>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（四）投资控制目标</w:t>
      </w:r>
    </w:p>
    <w:p>
      <w:pPr>
        <w:adjustRightInd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1、中标后30天内，且签订合同前，发包人组织项目管理和造价咨询公司与中标人协商，对投标报价中已标价工程量清单超出相对应的最高投标限价综合单价或限价合价部分进行调整，调整原则按照合同第</w:t>
      </w:r>
      <w:r>
        <w:rPr>
          <w:rFonts w:hint="eastAsia" w:ascii="宋体" w:hAnsi="宋体" w:cs="宋体"/>
          <w:color w:val="auto"/>
          <w:sz w:val="24"/>
          <w:szCs w:val="24"/>
          <w:highlight w:val="none"/>
          <w:lang w:val="en-US" w:eastAsia="zh-CN" w:bidi="ar"/>
        </w:rPr>
        <w:t>68.4款</w:t>
      </w:r>
      <w:r>
        <w:rPr>
          <w:rFonts w:hint="eastAsia" w:ascii="宋体" w:hAnsi="宋体" w:cs="宋体"/>
          <w:color w:val="auto"/>
          <w:sz w:val="24"/>
          <w:szCs w:val="24"/>
          <w:highlight w:val="none"/>
          <w:lang w:bidi="ar"/>
        </w:rPr>
        <w:t>执行。全部调整后，双方签字确认，作为施工过程中的结算价，直到工程全部结算完成。</w:t>
      </w:r>
    </w:p>
    <w:p>
      <w:pPr>
        <w:adjustRightInd w:val="0"/>
        <w:spacing w:line="360" w:lineRule="auto"/>
        <w:ind w:firstLine="480" w:firstLineChars="200"/>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bidi="ar"/>
        </w:rPr>
        <w:t>2、中标价即为合同价，</w:t>
      </w:r>
      <w:r>
        <w:rPr>
          <w:rFonts w:hint="eastAsia" w:ascii="宋体" w:hAnsi="宋体" w:cs="宋体"/>
          <w:color w:val="auto"/>
          <w:sz w:val="24"/>
          <w:szCs w:val="24"/>
          <w:highlight w:val="none"/>
          <w:lang w:val="en-US" w:eastAsia="zh-CN" w:bidi="ar"/>
        </w:rPr>
        <w:t>合同价保持不变</w:t>
      </w:r>
      <w:r>
        <w:rPr>
          <w:rFonts w:hint="eastAsia" w:ascii="宋体" w:hAnsi="宋体" w:cs="宋体"/>
          <w:color w:val="auto"/>
          <w:sz w:val="24"/>
          <w:szCs w:val="24"/>
          <w:highlight w:val="none"/>
          <w:lang w:eastAsia="zh-CN" w:bidi="ar"/>
        </w:rPr>
        <w:t>。</w:t>
      </w:r>
    </w:p>
    <w:p>
      <w:pPr>
        <w:adjustRightInd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3、如中标人不接受调整价格，视为中标人严重违反投标规则，按废标处理。招标人另选其他中标人。</w:t>
      </w:r>
    </w:p>
    <w:p>
      <w:pPr>
        <w:adjustRightInd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w:t>
      </w:r>
      <w:r>
        <w:rPr>
          <w:rFonts w:hint="eastAsia" w:ascii="宋体" w:hAnsi="宋体" w:cs="宋体"/>
          <w:color w:val="auto"/>
          <w:sz w:val="24"/>
          <w:szCs w:val="24"/>
          <w:highlight w:val="none"/>
        </w:rPr>
        <w:t>中标人须在</w:t>
      </w:r>
      <w:r>
        <w:rPr>
          <w:rFonts w:hint="eastAsia" w:ascii="宋体" w:hAnsi="宋体" w:cs="宋体"/>
          <w:color w:val="auto"/>
          <w:sz w:val="24"/>
          <w:szCs w:val="24"/>
          <w:highlight w:val="none"/>
          <w:lang w:val="en-US" w:eastAsia="zh-CN"/>
        </w:rPr>
        <w:t>合同签订</w:t>
      </w:r>
      <w:r>
        <w:rPr>
          <w:rFonts w:hint="eastAsia" w:ascii="宋体" w:hAnsi="宋体" w:cs="宋体"/>
          <w:color w:val="auto"/>
          <w:sz w:val="24"/>
          <w:szCs w:val="24"/>
          <w:highlight w:val="none"/>
        </w:rPr>
        <w:t>后60日历天内按照招标时发放图纸进行招标清单工程量复核，将与招标清单工程量的差异向发包人提出，发包人组织对工程量差异进行审核，经全过程造价咨询单位复核，双方确认后报监理单位、项目管理单位和发包人审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达成一致。</w:t>
      </w:r>
      <w:r>
        <w:rPr>
          <w:rFonts w:hint="eastAsia" w:ascii="宋体" w:hAnsi="宋体" w:cs="宋体"/>
          <w:color w:val="auto"/>
          <w:sz w:val="24"/>
          <w:szCs w:val="24"/>
          <w:highlight w:val="none"/>
        </w:rPr>
        <w:t>如果双方不能达成一致，造价争议问题施工单位与造价咨询单位协商不成，发包人、承包人双方协定，难以解决的造价问题，可协商通过广东省定额站造价平台咨询相关专业定额专家意见解决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对于工程量差异过大的部分，发包人可采取调整图纸或发包范围的方式合理解决。若未在约定期限内提出相关报告，将视为对招标工程量清单表示认同，以后不得再以清单缺项或不准确为由向发包人索赔</w:t>
      </w:r>
      <w:r>
        <w:rPr>
          <w:rFonts w:hint="eastAsia" w:ascii="宋体" w:hAnsi="宋体" w:cs="宋体"/>
          <w:color w:val="auto"/>
          <w:sz w:val="24"/>
          <w:szCs w:val="24"/>
          <w:highlight w:val="none"/>
          <w:lang w:bidi="ar"/>
        </w:rPr>
        <w:t>。</w:t>
      </w:r>
    </w:p>
    <w:p>
      <w:pPr>
        <w:adjustRightInd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、根据项目的实际情况，如承包人需另行租用场地用于临设之用，以及工人上下班所产生的交通费用，属于承包人自行考虑范畴，相关的费用投标时综合考虑，不再另行计量、支付。</w:t>
      </w:r>
    </w:p>
    <w:p>
      <w:pPr>
        <w:adjustRightInd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、工程变更，详见附件：白云院区建设项目工程变更管理</w:t>
      </w:r>
      <w:r>
        <w:rPr>
          <w:rFonts w:hint="eastAsia" w:ascii="宋体" w:hAnsi="宋体" w:cs="宋体"/>
          <w:color w:val="auto"/>
          <w:sz w:val="24"/>
          <w:szCs w:val="24"/>
          <w:highlight w:val="none"/>
          <w:lang w:val="en-US" w:eastAsia="zh-CN" w:bidi="ar"/>
        </w:rPr>
        <w:t>细则</w:t>
      </w:r>
    </w:p>
    <w:p>
      <w:pPr>
        <w:adjustRightInd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bidi="ar"/>
        </w:rPr>
        <w:t>7</w:t>
      </w:r>
      <w:r>
        <w:rPr>
          <w:rFonts w:hint="eastAsia" w:ascii="宋体" w:hAnsi="宋体" w:cs="宋体"/>
          <w:color w:val="auto"/>
          <w:sz w:val="24"/>
          <w:szCs w:val="24"/>
          <w:highlight w:val="none"/>
          <w:lang w:bidi="ar"/>
        </w:rPr>
        <w:t>、预付款及进度款支付，详见附件：白云院区建设项目建设工程合同支付管理</w:t>
      </w:r>
      <w:r>
        <w:rPr>
          <w:rFonts w:hint="eastAsia" w:ascii="宋体" w:hAnsi="宋体" w:cs="宋体"/>
          <w:color w:val="auto"/>
          <w:sz w:val="24"/>
          <w:szCs w:val="24"/>
          <w:highlight w:val="none"/>
          <w:lang w:val="en-US" w:eastAsia="zh-CN" w:bidi="ar"/>
        </w:rPr>
        <w:t>细则</w:t>
      </w:r>
      <w:r>
        <w:rPr>
          <w:rFonts w:hint="eastAsia" w:ascii="宋体" w:hAnsi="宋体" w:cs="宋体"/>
          <w:color w:val="auto"/>
          <w:sz w:val="24"/>
          <w:szCs w:val="24"/>
          <w:highlight w:val="none"/>
          <w:lang w:bidi="ar"/>
        </w:rPr>
        <w:t>。</w:t>
      </w:r>
    </w:p>
    <w:p>
      <w:pPr>
        <w:adjustRightInd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工程竣工结算金额控制在概算批复对应的费用内。</w:t>
      </w:r>
    </w:p>
    <w:p>
      <w:pPr>
        <w:adjustRightInd w:val="0"/>
        <w:spacing w:line="360" w:lineRule="auto"/>
        <w:ind w:firstLine="480" w:firstLineChars="200"/>
        <w:rPr>
          <w:rFonts w:hint="eastAsia" w:ascii="宋体" w:hAnsi="宋体" w:cs="宋体"/>
          <w:color w:val="auto"/>
          <w:sz w:val="24"/>
          <w:szCs w:val="24"/>
          <w:highlight w:val="none"/>
          <w:shd w:val="clear" w:color="auto" w:fill="FFFFFF"/>
        </w:rPr>
      </w:pPr>
    </w:p>
    <w:p>
      <w:pPr>
        <w:keepNext/>
        <w:keepLines/>
        <w:tabs>
          <w:tab w:val="right" w:leader="dot" w:pos="9060"/>
        </w:tabs>
        <w:adjustRightInd w:val="0"/>
        <w:snapToGrid w:val="0"/>
        <w:spacing w:line="360" w:lineRule="auto"/>
        <w:jc w:val="left"/>
        <w:outlineLvl w:val="1"/>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三、本招标项目管理重点、难点及建议</w:t>
      </w:r>
    </w:p>
    <w:p>
      <w:pPr>
        <w:tabs>
          <w:tab w:val="left" w:pos="1260"/>
        </w:tabs>
        <w:topLinePunct/>
        <w:adjustRightInd w:val="0"/>
        <w:snapToGrid w:val="0"/>
        <w:spacing w:line="360" w:lineRule="auto"/>
        <w:ind w:firstLine="496"/>
        <w:jc w:val="left"/>
        <w:outlineLvl w:val="3"/>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Ⅰ、项目管理难点</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1.大体量土石方外运</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本项目位于市中心，深基坑作业安全及大量土方外运工作是工程难点，中标人须提前摸查土方收纳点，运输路径，及时办理好施工许可证、夜间施工延长时间许可、建筑废弃物排放许可、施工临时排水许可等行政审批手续。本项目部分土方用于回填，中标人要做好土方平衡方案，选取合适的回填料，提前预留回填料的堆场。</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在实施方面，全面充分地掌握整个施工场地的地质面貌和场地条件，以及基坑支护的实际施工状况，编制基坑及土石方工程专项施工方案，合理规划出土流线，各类机械投入数量，施工作业面，确保出土效率。要提前预估基础施工期间基坑可能存在的安全问题，做好相应的安全管理专项方案，做好日常的安全管理及应急演练工作。在施工期间，中标人须编制交通疏解、文明施工方案，并征求周边单位、居民对施工的意见，施工前及时发布安民告示。</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2.医疗设施条件预留</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除医疗工艺设计外，医疗设备（尤其是大型医疗设备）对医疗建筑的影响也是巨大的，具体影响包括机房空间大小、机房承重、机房辐射防护和电磁屏蔽措施、设备用电负荷、设备接地、机房送排风、冷暖空调、机房内装修、信息通道、设备运输通道等，医疗设备条件预留的准确性，将直接影响到医疗建筑整体的完成质量。如何在建设过程中稳定医疗设备的各项参数，协调好设备设施安装预留条件，是管理的难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中标人需充分摸查调研医疗设备设施的安装预留条件，编制大型医疗设备设施专项安装方案，医疗设备预留条件（如机房承重、用电负荷、辐射防护）需在主体结构施工前、施工中（每季度 1 次）、设备进场前分三次复核，复核记录需经设备厂家、设计单位、监理单位签字确认，对设备设施的进场时间、通道、运输措施、安装方式进行详细规划，并利用BIM技术进行模拟，确保各项安装条件预留到位，安装工作能顺利开展。大型医疗设备（如 MRI、CT）预留条件验收需邀请设备厂家参与，验收合格后方可进入下道工序。</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3.地下室防水及管理</w:t>
      </w:r>
    </w:p>
    <w:p>
      <w:pPr>
        <w:tabs>
          <w:tab w:val="left" w:pos="1260"/>
        </w:tabs>
        <w:topLinePunct/>
        <w:adjustRightInd w:val="0"/>
        <w:snapToGrid w:val="0"/>
        <w:spacing w:line="360" w:lineRule="auto"/>
        <w:ind w:firstLine="49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本项目地下室两层，地下水丰富，地下室设有人防医院、车库等对防渗要求高的功能场所，因此做好地下室防水防潮、防渗漏是本项目的难点。</w:t>
      </w:r>
    </w:p>
    <w:p>
      <w:pPr>
        <w:tabs>
          <w:tab w:val="left" w:pos="1260"/>
        </w:tabs>
        <w:topLinePunct/>
        <w:adjustRightInd w:val="0"/>
        <w:snapToGrid w:val="0"/>
        <w:spacing w:line="360" w:lineRule="auto"/>
        <w:ind w:firstLine="496"/>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施工单位进场后应编制地下室防渗漏专项施工方案、大体积混凝土浇筑方案、防水施工方案等，对混凝土浇筑质量的控制、后浇带做法、防水做法进行详细说明，并组织专家进行评审。在实施过程中，需严格按照方案进行样板段施工（</w:t>
      </w:r>
      <w:r>
        <w:rPr>
          <w:rFonts w:hint="eastAsia" w:ascii="宋体" w:hAnsi="宋体" w:cs="宋体"/>
          <w:color w:val="auto"/>
          <w:sz w:val="24"/>
          <w:szCs w:val="24"/>
          <w:highlight w:val="none"/>
          <w:shd w:val="clear" w:color="auto" w:fill="FFFFFF"/>
        </w:rPr>
        <w:t>防水层粘接强度≥0.3MPa，无空鼓、渗漏）</w:t>
      </w:r>
      <w:r>
        <w:rPr>
          <w:rFonts w:hint="eastAsia" w:ascii="宋体" w:hAnsi="宋体" w:cs="宋体"/>
          <w:color w:val="auto"/>
          <w:spacing w:val="4"/>
          <w:kern w:val="0"/>
          <w:sz w:val="24"/>
          <w:szCs w:val="24"/>
          <w:highlight w:val="none"/>
          <w:lang w:bidi="ar"/>
        </w:rPr>
        <w:t>，经验收合格后再大面积施工，</w:t>
      </w:r>
      <w:r>
        <w:rPr>
          <w:rFonts w:hint="eastAsia" w:ascii="宋体" w:hAnsi="宋体" w:cs="宋体"/>
          <w:color w:val="auto"/>
          <w:sz w:val="24"/>
          <w:szCs w:val="24"/>
          <w:highlight w:val="none"/>
          <w:shd w:val="clear" w:color="auto" w:fill="FFFFFF"/>
        </w:rPr>
        <w:t>雨后 24 小时内必须检查，</w:t>
      </w:r>
      <w:r>
        <w:rPr>
          <w:rFonts w:hint="eastAsia" w:ascii="宋体" w:hAnsi="宋体" w:cs="宋体"/>
          <w:color w:val="auto"/>
          <w:spacing w:val="4"/>
          <w:kern w:val="0"/>
          <w:sz w:val="24"/>
          <w:szCs w:val="24"/>
          <w:highlight w:val="none"/>
          <w:lang w:bidi="ar"/>
        </w:rPr>
        <w:t>确保不出现地下室渗漏等质量问题，如</w:t>
      </w:r>
      <w:r>
        <w:rPr>
          <w:rFonts w:hint="eastAsia" w:ascii="宋体" w:hAnsi="宋体" w:cs="宋体"/>
          <w:color w:val="auto"/>
          <w:sz w:val="24"/>
          <w:szCs w:val="24"/>
          <w:highlight w:val="none"/>
          <w:shd w:val="clear" w:color="auto" w:fill="FFFFFF"/>
        </w:rPr>
        <w:t>发现渗漏后需在 24 小时内修复</w:t>
      </w:r>
      <w:r>
        <w:rPr>
          <w:rFonts w:hint="eastAsia" w:ascii="宋体" w:hAnsi="宋体" w:cs="宋体"/>
          <w:color w:val="auto"/>
          <w:spacing w:val="4"/>
          <w:kern w:val="0"/>
          <w:sz w:val="24"/>
          <w:szCs w:val="24"/>
          <w:highlight w:val="none"/>
          <w:lang w:bidi="ar"/>
        </w:rPr>
        <w:t>。</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4.立面幕墙的施工</w:t>
      </w:r>
    </w:p>
    <w:p>
      <w:pPr>
        <w:tabs>
          <w:tab w:val="left" w:pos="1260"/>
        </w:tabs>
        <w:topLinePunct/>
        <w:adjustRightInd w:val="0"/>
        <w:snapToGrid w:val="0"/>
        <w:spacing w:line="360" w:lineRule="auto"/>
        <w:ind w:firstLine="496"/>
        <w:jc w:val="left"/>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幕墙施工工序较多，施工要求高，难度大，涉及石材、玻璃、钢材、铝板、密封胶等多种材料，施工工艺多种多样。要求中标人进场3个月内，提供三家近五年荣获</w:t>
      </w:r>
      <w:r>
        <w:rPr>
          <w:rFonts w:hint="eastAsia" w:ascii="宋体" w:hAnsi="宋体" w:cs="宋体"/>
          <w:color w:val="auto"/>
          <w:sz w:val="24"/>
          <w:szCs w:val="24"/>
          <w:highlight w:val="none"/>
          <w:shd w:val="clear" w:color="auto" w:fill="FFFFFF"/>
        </w:rPr>
        <w:t>省级优质工程奖，且项目规模≥1 万㎡</w:t>
      </w:r>
      <w:r>
        <w:rPr>
          <w:rFonts w:hint="eastAsia" w:ascii="宋体" w:hAnsi="宋体" w:cs="宋体"/>
          <w:color w:val="auto"/>
          <w:spacing w:val="4"/>
          <w:kern w:val="0"/>
          <w:sz w:val="24"/>
          <w:szCs w:val="24"/>
          <w:highlight w:val="none"/>
          <w:lang w:bidi="ar"/>
        </w:rPr>
        <w:t>的施工经验的单位供发包人选择， 并组织发包人、业主和监理人对厂家进行考察后确定。幕墙厂家确定后1个月完成相应深化设计工作，并及时编制相应的施工方案（包括：材料采购、加工制作、运输、预埋、存放、安装、检测、计划，确保工期目标实现等内容）报监理人审批。</w:t>
      </w:r>
    </w:p>
    <w:p>
      <w:pPr>
        <w:pStyle w:val="5"/>
        <w:ind w:firstLine="241" w:firstLineChars="100"/>
        <w:rPr>
          <w:rFonts w:cs="宋体"/>
          <w:color w:val="auto"/>
          <w:spacing w:val="4"/>
          <w:highlight w:val="none"/>
        </w:rPr>
      </w:pPr>
      <w:r>
        <w:rPr>
          <w:rFonts w:cs="宋体"/>
          <w:bCs/>
          <w:color w:val="auto"/>
          <w:highlight w:val="none"/>
        </w:rPr>
        <w:t>Ⅱ、</w:t>
      </w:r>
      <w:r>
        <w:rPr>
          <w:rFonts w:cs="宋体"/>
          <w:color w:val="auto"/>
          <w:spacing w:val="4"/>
          <w:highlight w:val="none"/>
        </w:rPr>
        <w:t>项目管理重点</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1.质量及安全文明创优策划和组织实施</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本项目质量目标为合格。安全文明施工目标为</w:t>
      </w:r>
      <w:r>
        <w:rPr>
          <w:rFonts w:hint="eastAsia" w:ascii="宋体" w:hAnsi="宋体" w:eastAsia="宋体" w:cs="宋体"/>
          <w:color w:val="auto"/>
          <w:spacing w:val="4"/>
          <w:kern w:val="0"/>
          <w:sz w:val="24"/>
          <w:szCs w:val="24"/>
          <w:highlight w:val="none"/>
          <w:lang w:val="en-US" w:eastAsia="zh-CN" w:bidi="ar"/>
        </w:rPr>
        <w:t>参考</w:t>
      </w:r>
      <w:r>
        <w:rPr>
          <w:rFonts w:hint="eastAsia" w:ascii="宋体" w:hAnsi="宋体" w:eastAsia="宋体" w:cs="宋体"/>
          <w:color w:val="auto"/>
          <w:spacing w:val="4"/>
          <w:kern w:val="0"/>
          <w:sz w:val="24"/>
          <w:szCs w:val="24"/>
          <w:highlight w:val="none"/>
          <w:lang w:eastAsia="zh" w:bidi="ar"/>
        </w:rPr>
        <w:t>“</w:t>
      </w:r>
      <w:r>
        <w:rPr>
          <w:rFonts w:hint="eastAsia" w:ascii="宋体" w:hAnsi="宋体" w:eastAsia="宋体" w:cs="宋体"/>
          <w:color w:val="auto"/>
          <w:spacing w:val="4"/>
          <w:kern w:val="0"/>
          <w:sz w:val="24"/>
          <w:szCs w:val="24"/>
          <w:highlight w:val="none"/>
          <w:lang w:bidi="ar"/>
        </w:rPr>
        <w:t>广东省</w:t>
      </w:r>
      <w:r>
        <w:rPr>
          <w:rFonts w:hint="eastAsia" w:ascii="宋体" w:hAnsi="宋体" w:eastAsia="宋体" w:cs="宋体"/>
          <w:color w:val="auto"/>
          <w:spacing w:val="4"/>
          <w:kern w:val="0"/>
          <w:sz w:val="24"/>
          <w:szCs w:val="24"/>
          <w:highlight w:val="none"/>
          <w:lang w:eastAsia="zh" w:bidi="ar"/>
        </w:rPr>
        <w:t>房屋市政工程</w:t>
      </w:r>
      <w:r>
        <w:rPr>
          <w:rFonts w:hint="eastAsia" w:ascii="宋体" w:hAnsi="宋体" w:eastAsia="宋体" w:cs="宋体"/>
          <w:color w:val="auto"/>
          <w:spacing w:val="4"/>
          <w:kern w:val="0"/>
          <w:sz w:val="24"/>
          <w:szCs w:val="24"/>
          <w:highlight w:val="none"/>
          <w:lang w:bidi="ar"/>
        </w:rPr>
        <w:t>安全</w:t>
      </w:r>
      <w:r>
        <w:rPr>
          <w:rFonts w:hint="eastAsia" w:ascii="宋体" w:hAnsi="宋体" w:eastAsia="宋体" w:cs="宋体"/>
          <w:color w:val="auto"/>
          <w:spacing w:val="4"/>
          <w:kern w:val="0"/>
          <w:sz w:val="24"/>
          <w:szCs w:val="24"/>
          <w:highlight w:val="none"/>
          <w:lang w:eastAsia="zh" w:bidi="ar"/>
        </w:rPr>
        <w:t>生产</w:t>
      </w:r>
      <w:r>
        <w:rPr>
          <w:rFonts w:hint="eastAsia" w:ascii="宋体" w:hAnsi="宋体" w:eastAsia="宋体" w:cs="宋体"/>
          <w:color w:val="auto"/>
          <w:spacing w:val="4"/>
          <w:kern w:val="0"/>
          <w:sz w:val="24"/>
          <w:szCs w:val="24"/>
          <w:highlight w:val="none"/>
          <w:lang w:bidi="ar"/>
        </w:rPr>
        <w:t>文明施工</w:t>
      </w:r>
      <w:r>
        <w:rPr>
          <w:rFonts w:hint="eastAsia" w:ascii="宋体" w:hAnsi="宋体" w:eastAsia="宋体" w:cs="宋体"/>
          <w:color w:val="auto"/>
          <w:spacing w:val="4"/>
          <w:kern w:val="0"/>
          <w:sz w:val="24"/>
          <w:szCs w:val="24"/>
          <w:highlight w:val="none"/>
          <w:lang w:eastAsia="zh" w:bidi="ar"/>
        </w:rPr>
        <w:t>示范</w:t>
      </w:r>
      <w:r>
        <w:rPr>
          <w:rFonts w:hint="eastAsia" w:ascii="宋体" w:hAnsi="宋体" w:eastAsia="宋体" w:cs="宋体"/>
          <w:color w:val="auto"/>
          <w:spacing w:val="4"/>
          <w:kern w:val="0"/>
          <w:sz w:val="24"/>
          <w:szCs w:val="24"/>
          <w:highlight w:val="none"/>
          <w:lang w:bidi="ar"/>
        </w:rPr>
        <w:t>工地</w:t>
      </w:r>
      <w:r>
        <w:rPr>
          <w:rFonts w:hint="eastAsia" w:ascii="宋体" w:hAnsi="宋体" w:eastAsia="宋体" w:cs="宋体"/>
          <w:color w:val="auto"/>
          <w:spacing w:val="4"/>
          <w:kern w:val="0"/>
          <w:sz w:val="24"/>
          <w:szCs w:val="24"/>
          <w:highlight w:val="none"/>
          <w:lang w:eastAsia="zh" w:bidi="ar"/>
        </w:rPr>
        <w:t>”</w:t>
      </w:r>
      <w:r>
        <w:rPr>
          <w:rFonts w:hint="eastAsia" w:ascii="宋体" w:hAnsi="宋体" w:eastAsia="宋体" w:cs="宋体"/>
          <w:color w:val="auto"/>
          <w:spacing w:val="4"/>
          <w:kern w:val="0"/>
          <w:sz w:val="24"/>
          <w:szCs w:val="24"/>
          <w:highlight w:val="none"/>
          <w:lang w:bidi="ar"/>
        </w:rPr>
        <w:t>标准</w:t>
      </w:r>
      <w:r>
        <w:rPr>
          <w:rFonts w:hint="eastAsia" w:ascii="宋体" w:hAnsi="宋体" w:eastAsia="宋体" w:cs="宋体"/>
          <w:color w:val="auto"/>
          <w:spacing w:val="4"/>
          <w:kern w:val="0"/>
          <w:sz w:val="24"/>
          <w:szCs w:val="24"/>
          <w:highlight w:val="none"/>
          <w:lang w:val="en-US" w:eastAsia="zh-CN" w:bidi="ar"/>
        </w:rPr>
        <w:t>执行</w:t>
      </w:r>
      <w:r>
        <w:rPr>
          <w:rFonts w:hint="eastAsia" w:ascii="宋体" w:hAnsi="宋体" w:eastAsia="宋体" w:cs="宋体"/>
          <w:color w:val="auto"/>
          <w:spacing w:val="4"/>
          <w:kern w:val="0"/>
          <w:sz w:val="24"/>
          <w:szCs w:val="24"/>
          <w:highlight w:val="none"/>
          <w:lang w:bidi="ar"/>
        </w:rPr>
        <w:t>，</w:t>
      </w:r>
      <w:r>
        <w:rPr>
          <w:rFonts w:hint="eastAsia" w:ascii="宋体" w:hAnsi="宋体" w:eastAsia="宋体" w:cs="宋体"/>
          <w:color w:val="auto"/>
          <w:spacing w:val="4"/>
          <w:kern w:val="0"/>
          <w:sz w:val="24"/>
          <w:szCs w:val="24"/>
          <w:highlight w:val="none"/>
          <w:shd w:val="clear"/>
          <w:lang w:bidi="ar"/>
        </w:rPr>
        <w:t>中标人需在进场后 30 天内提交《质量安全创优实施方案》，内容需包含：创优组织机构（至少配备 1 名持有‘省优质工程评审经验证书的专职负责人）、分阶段创优目标、检测计划、整改机制等</w:t>
      </w:r>
      <w:r>
        <w:rPr>
          <w:rFonts w:hint="eastAsia" w:ascii="宋体" w:hAnsi="宋体" w:eastAsia="宋体" w:cs="宋体"/>
          <w:color w:val="auto"/>
          <w:spacing w:val="4"/>
          <w:kern w:val="0"/>
          <w:sz w:val="24"/>
          <w:szCs w:val="24"/>
          <w:highlight w:val="none"/>
          <w:lang w:bidi="ar"/>
        </w:rPr>
        <w:t>。</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2.场地总平面布局</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由于本项目临设场地有限，中标人需统筹考虑临设的布置、材料进场堆放、场地内临时道路的交通流向组织等诸多因素，结合本身施工进度要求，中标人依据实际使用需求，根据施工场地总平面图进行规划，并经过监理单位及建设单位的确认，确保场地总平面合理布局是现场管理的一项重点工作。</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由于本项目工期紧张，现场对临时设施的投入使用工期要求紧，需督促中标人按时、按质量完成各临时工程，保障现场施工管理工作，要求中标人单位根据现场实际情况制定总平面管理办法，统筹规划好基坑施工阶段、基础和地下结构施工阶段、地上主体结构及幕墙立面工程施工阶段、室内装修和室外工程施工阶段等各阶段场地总平面图（含总平面布置图、管理制度及负责日常管理工作），并邀请行内专家论证，论证后报监理及建设单位审批；在施工作业区内，各专业工程中标人进场施工前，应向中标人提供其施工机械及材料堆放所需场地面积、部位等要求，以便于中标人合理安排施工作业区场地。对于作业区内临建设施，中标人应统一规划、统一布置，对作业区现场容貌进行统一管理，不得私自乱搭临建。中标人负责施工作业区文明施工、安全生产管理，并自觉接受监理工程师的监督。</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3.BIM技术应用及管理</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本项目施工必须引入BIM技术，要求中标人必须成立BIM技术管理团队，统筹协调管理本项目的相关BIM技术工作，结合本项目工期紧、专业工程多的特点，</w:t>
      </w:r>
      <w:r>
        <w:rPr>
          <w:rFonts w:hint="eastAsia" w:ascii="宋体" w:hAnsi="宋体" w:eastAsia="宋体" w:cs="宋体"/>
          <w:color w:val="auto"/>
          <w:spacing w:val="4"/>
          <w:kern w:val="0"/>
          <w:sz w:val="24"/>
          <w:szCs w:val="24"/>
          <w:highlight w:val="none"/>
          <w:shd w:val="clear"/>
          <w:lang w:bidi="ar"/>
        </w:rPr>
        <w:t>深化设计阶段：提交 “管线碰撞检查报告（碰撞点整改率 100%）、优化后的机电综合排布图（标注管线标高、坡度、支吊架位置），施工阶段：每月提交 “BIM 进度模拟报告（对比计划与实际进度偏差，偏差超 5% 需附纠偏方案），提交 “竣工 BIM 模型</w:t>
      </w:r>
      <w:r>
        <w:rPr>
          <w:rFonts w:hint="eastAsia" w:ascii="宋体" w:hAnsi="宋体" w:eastAsia="宋体" w:cs="宋体"/>
          <w:color w:val="auto"/>
          <w:spacing w:val="4"/>
          <w:kern w:val="0"/>
          <w:sz w:val="24"/>
          <w:szCs w:val="24"/>
          <w:highlight w:val="none"/>
          <w:shd w:val="clear"/>
          <w:lang w:eastAsia="zh-CN" w:bidi="ar"/>
        </w:rPr>
        <w:t>、</w:t>
      </w:r>
      <w:r>
        <w:rPr>
          <w:rFonts w:hint="eastAsia" w:ascii="宋体" w:hAnsi="宋体" w:eastAsia="宋体" w:cs="宋体"/>
          <w:color w:val="auto"/>
          <w:spacing w:val="4"/>
          <w:kern w:val="0"/>
          <w:sz w:val="24"/>
          <w:szCs w:val="24"/>
          <w:highlight w:val="none"/>
          <w:lang w:bidi="ar"/>
        </w:rPr>
        <w:t>中标人需利用BIM技术完成可视化设计交底、可视化图纸会审、深化设计和管线碰撞检查、现场总平面布局、关键工序模拟施工并优化施工组织设计或施工方案、施工进度计划编制和调整纠偏、质量安全可视化交底、施工模型和竣工模型信息录入等工作，实现各专业、各参建单位之间的协同，提高施工效率和施工质量。</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4.深化设计管理重点</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本项目结构及外幕墙工程等机电系统较为复杂，需要对重点专业特别进行深化设计工作，其要求如下：</w:t>
      </w:r>
    </w:p>
    <w:p>
      <w:pPr>
        <w:tabs>
          <w:tab w:val="left" w:pos="1260"/>
        </w:tabs>
        <w:topLinePunct/>
        <w:adjustRightInd w:val="0"/>
        <w:snapToGrid w:val="0"/>
        <w:spacing w:line="360" w:lineRule="auto"/>
        <w:ind w:firstLine="496" w:firstLineChars="200"/>
        <w:rPr>
          <w:rFonts w:ascii="Segoe UI" w:hAnsi="Segoe UI" w:cs="Segoe UI"/>
          <w:color w:val="auto"/>
          <w:sz w:val="24"/>
          <w:szCs w:val="24"/>
          <w:highlight w:val="none"/>
          <w:shd w:val="clear" w:color="auto" w:fill="FFFFFF"/>
        </w:rPr>
      </w:pPr>
      <w:r>
        <w:rPr>
          <w:rFonts w:hint="eastAsia" w:ascii="宋体" w:hAnsi="宋体" w:cs="宋体"/>
          <w:color w:val="auto"/>
          <w:spacing w:val="4"/>
          <w:kern w:val="0"/>
          <w:sz w:val="24"/>
          <w:szCs w:val="24"/>
          <w:highlight w:val="none"/>
          <w:lang w:bidi="ar"/>
        </w:rPr>
        <w:t>对于结构及幕墙工程等机电系统的深化设计（或优化设计），中标人应委托具有专项设计资质的厂家或设计单位进行深化设计，并对深化设计的质量负责。该工作需在中标人进场后即开展，尽早稳定深化图纸，减少过程变更。中标人应当将相关图纸、计算书以及其他资料按要求报送发包人和原设计单位审批，并经发包人和原设计单位同意。但</w:t>
      </w:r>
      <w:r>
        <w:rPr>
          <w:rFonts w:ascii="Segoe UI" w:hAnsi="Segoe UI" w:eastAsia="Segoe UI" w:cs="Segoe UI"/>
          <w:color w:val="auto"/>
          <w:sz w:val="24"/>
          <w:szCs w:val="24"/>
          <w:highlight w:val="none"/>
          <w:shd w:val="clear" w:color="auto" w:fill="FFFFFF"/>
        </w:rPr>
        <w:t>因深化设计单位资质不足或计算错误导致的质量问题 / 返工，费用由中标人承担</w:t>
      </w:r>
      <w:r>
        <w:rPr>
          <w:rFonts w:hint="eastAsia" w:ascii="Segoe UI" w:hAnsi="Segoe UI" w:cs="Segoe UI"/>
          <w:color w:val="auto"/>
          <w:sz w:val="24"/>
          <w:szCs w:val="24"/>
          <w:highlight w:val="none"/>
          <w:shd w:val="clear" w:color="auto" w:fill="FFFFFF"/>
        </w:rPr>
        <w:t>。</w:t>
      </w:r>
    </w:p>
    <w:p>
      <w:pPr>
        <w:tabs>
          <w:tab w:val="left" w:pos="1260"/>
        </w:tabs>
        <w:topLinePunct/>
        <w:adjustRightInd w:val="0"/>
        <w:snapToGrid w:val="0"/>
        <w:spacing w:line="360" w:lineRule="auto"/>
        <w:ind w:firstLine="496" w:firstLineChars="200"/>
        <w:rPr>
          <w:rFonts w:ascii="Segoe UI" w:hAnsi="Segoe UI" w:cs="Segoe UI"/>
          <w:color w:val="auto"/>
          <w:sz w:val="24"/>
          <w:szCs w:val="24"/>
          <w:highlight w:val="none"/>
          <w:shd w:val="clear" w:color="auto" w:fill="FFFFFF"/>
        </w:rPr>
      </w:pPr>
      <w:r>
        <w:rPr>
          <w:rFonts w:hint="eastAsia" w:ascii="宋体" w:hAnsi="宋体" w:cs="宋体"/>
          <w:color w:val="auto"/>
          <w:spacing w:val="4"/>
          <w:kern w:val="0"/>
          <w:sz w:val="24"/>
          <w:szCs w:val="24"/>
          <w:highlight w:val="none"/>
          <w:lang w:bidi="ar"/>
        </w:rPr>
        <w:t>幕墙工程施工前，需要提前制作样板段，</w:t>
      </w:r>
      <w:r>
        <w:rPr>
          <w:rFonts w:ascii="Segoe UI" w:hAnsi="Segoe UI" w:eastAsia="Segoe UI" w:cs="Segoe UI"/>
          <w:color w:val="auto"/>
          <w:sz w:val="24"/>
          <w:szCs w:val="24"/>
          <w:highlight w:val="none"/>
          <w:shd w:val="clear" w:color="auto" w:fill="FFFFFF"/>
        </w:rPr>
        <w:t>样板段深化设计图纸需报设计单位审核，展示立面各元素拼接效果</w:t>
      </w:r>
      <w:r>
        <w:rPr>
          <w:rFonts w:ascii="Segoe UI" w:hAnsi="Segoe UI" w:eastAsia="Segoe UI" w:cs="Segoe UI"/>
          <w:color w:val="auto"/>
          <w:sz w:val="24"/>
          <w:szCs w:val="24"/>
          <w:highlight w:val="none"/>
          <w:shd w:val="clear" w:color="auto" w:fill="FFFFFF"/>
          <w:lang w:bidi="ar"/>
        </w:rPr>
        <w:t>，</w:t>
      </w:r>
      <w:r>
        <w:rPr>
          <w:rFonts w:hint="eastAsia" w:ascii="宋体" w:hAnsi="宋体" w:cs="宋体"/>
          <w:color w:val="auto"/>
          <w:spacing w:val="4"/>
          <w:kern w:val="0"/>
          <w:sz w:val="24"/>
          <w:szCs w:val="24"/>
          <w:highlight w:val="none"/>
          <w:lang w:bidi="ar"/>
        </w:rPr>
        <w:t>样板段需在场地内选择合适位置布置，并在地下室主体结构完成后开始实施。该样板段将展示建筑立面各部分元素拼接完成后的整体效果，不仅包括外墙石材（</w:t>
      </w:r>
      <w:r>
        <w:rPr>
          <w:rFonts w:hint="eastAsia" w:ascii="宋体" w:hAnsi="宋体" w:cs="宋体"/>
          <w:color w:val="auto"/>
          <w:sz w:val="24"/>
          <w:szCs w:val="24"/>
          <w:highlight w:val="none"/>
          <w:shd w:val="clear" w:color="auto" w:fill="FFFFFF"/>
        </w:rPr>
        <w:t>石材色差偏差≤3%）</w:t>
      </w:r>
      <w:r>
        <w:rPr>
          <w:rFonts w:hint="eastAsia" w:ascii="宋体" w:hAnsi="宋体" w:cs="宋体"/>
          <w:color w:val="auto"/>
          <w:spacing w:val="4"/>
          <w:kern w:val="0"/>
          <w:sz w:val="24"/>
          <w:szCs w:val="24"/>
          <w:highlight w:val="none"/>
          <w:lang w:bidi="ar"/>
        </w:rPr>
        <w:t>及玻璃幕墙（</w:t>
      </w:r>
      <w:r>
        <w:rPr>
          <w:rFonts w:hint="eastAsia" w:ascii="宋体" w:hAnsi="宋体" w:cs="宋体"/>
          <w:color w:val="auto"/>
          <w:sz w:val="24"/>
          <w:szCs w:val="24"/>
          <w:highlight w:val="none"/>
          <w:shd w:val="clear" w:color="auto" w:fill="FFFFFF"/>
        </w:rPr>
        <w:t>玻璃平整度≤2mm/m）</w:t>
      </w:r>
      <w:r>
        <w:rPr>
          <w:rFonts w:hint="eastAsia" w:ascii="宋体" w:hAnsi="宋体" w:cs="宋体"/>
          <w:color w:val="auto"/>
          <w:spacing w:val="4"/>
          <w:kern w:val="0"/>
          <w:sz w:val="24"/>
          <w:szCs w:val="24"/>
          <w:highlight w:val="none"/>
          <w:lang w:bidi="ar"/>
        </w:rPr>
        <w:t>，也包含了其后面的龙骨杆件及结构支撑，特殊倒角转接构件等，基座底部、建筑主体以及顶部屋顶部分，立面不同构件的衔接都应涵盖其中。样板工程建造费已包含在投标报价中，发包人不另行支付。</w:t>
      </w:r>
    </w:p>
    <w:p>
      <w:pPr>
        <w:tabs>
          <w:tab w:val="left" w:pos="1260"/>
        </w:tabs>
        <w:topLinePunct/>
        <w:adjustRightInd w:val="0"/>
        <w:snapToGrid w:val="0"/>
        <w:spacing w:line="360" w:lineRule="auto"/>
        <w:ind w:firstLine="496" w:firstLineChars="200"/>
        <w:jc w:val="left"/>
        <w:outlineLvl w:val="4"/>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5.对各专业工程的管理和协调</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医院项目除了常规公共建筑应有的专业外，还有很多医院类项目特有的专业，比如医用气体、医用纯水、物流系统、净化工程、防护工程、屏蔽工程等，专业性较强，工序复杂，各专业与工序接口管理及协调对进度、质量控制影响较大，尤其是机电安装工程、医疗专项工程与装修工程的穿插施工和工作面反复交接、室外工程的插入施工节点，是管理重点之一。</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中标人工作要求：1）制定总承包管理制度，按行业主管部门要求在各单位进场施工前签订总分包管理协议，制定管理协议的范本，对专业分包的总承包管理等方面提出详细的总承包管理及配合服务措施。2）针对本工程多专业交叉移交问题，要建立移交制度，委派专职不少于</w:t>
      </w:r>
      <w:r>
        <w:rPr>
          <w:rFonts w:hint="eastAsia" w:ascii="Segoe UI" w:hAnsi="Segoe UI" w:cs="Segoe UI"/>
          <w:color w:val="auto"/>
          <w:sz w:val="24"/>
          <w:szCs w:val="24"/>
          <w:highlight w:val="none"/>
          <w:shd w:val="clear" w:color="auto" w:fill="FFFFFF"/>
        </w:rPr>
        <w:t>2</w:t>
      </w:r>
      <w:r>
        <w:rPr>
          <w:rFonts w:ascii="Segoe UI" w:hAnsi="Segoe UI" w:eastAsia="Segoe UI" w:cs="Segoe UI"/>
          <w:color w:val="auto"/>
          <w:sz w:val="24"/>
          <w:szCs w:val="24"/>
          <w:highlight w:val="none"/>
          <w:shd w:val="clear" w:color="auto" w:fill="FFFFFF"/>
        </w:rPr>
        <w:t>名</w:t>
      </w:r>
      <w:r>
        <w:rPr>
          <w:rFonts w:hint="eastAsia" w:ascii="Segoe UI" w:hAnsi="Segoe UI" w:cs="Segoe UI"/>
          <w:color w:val="auto"/>
          <w:sz w:val="24"/>
          <w:szCs w:val="24"/>
          <w:highlight w:val="none"/>
          <w:shd w:val="clear" w:color="auto" w:fill="FFFFFF"/>
        </w:rPr>
        <w:t>须具备</w:t>
      </w:r>
      <w:r>
        <w:rPr>
          <w:rFonts w:ascii="Segoe UI" w:hAnsi="Segoe UI" w:eastAsia="Segoe UI" w:cs="Segoe UI"/>
          <w:color w:val="auto"/>
          <w:sz w:val="24"/>
          <w:szCs w:val="24"/>
          <w:highlight w:val="none"/>
          <w:shd w:val="clear" w:color="auto" w:fill="FFFFFF"/>
        </w:rPr>
        <w:t>‘医疗建筑工程管理经验</w:t>
      </w:r>
      <w:r>
        <w:rPr>
          <w:rFonts w:hint="eastAsia" w:ascii="Segoe UI" w:hAnsi="Segoe UI" w:cs="Segoe UI"/>
          <w:color w:val="auto"/>
          <w:sz w:val="24"/>
          <w:szCs w:val="24"/>
          <w:highlight w:val="none"/>
          <w:shd w:val="clear" w:color="auto" w:fill="FFFFFF"/>
        </w:rPr>
        <w:t>的</w:t>
      </w:r>
      <w:r>
        <w:rPr>
          <w:rFonts w:ascii="Segoe UI" w:hAnsi="Segoe UI" w:eastAsia="Segoe UI" w:cs="Segoe UI"/>
          <w:color w:val="auto"/>
          <w:sz w:val="24"/>
          <w:szCs w:val="24"/>
          <w:highlight w:val="none"/>
          <w:shd w:val="clear" w:color="auto" w:fill="FFFFFF"/>
        </w:rPr>
        <w:t>专业协调管理人员</w:t>
      </w:r>
      <w:r>
        <w:rPr>
          <w:rFonts w:hint="eastAsia" w:ascii="宋体" w:hAnsi="宋体" w:cs="宋体"/>
          <w:color w:val="auto"/>
          <w:spacing w:val="4"/>
          <w:kern w:val="0"/>
          <w:sz w:val="24"/>
          <w:szCs w:val="24"/>
          <w:highlight w:val="none"/>
          <w:lang w:bidi="ar"/>
        </w:rPr>
        <w:t>跟进，提前制定移交方案，包括移交的质量标准、范围、移交内容、时间、移交组织等内容，过程中做好控制，沟通及协调，配合专业单位分阶段检查，发现存在问题及时整改，以便保证工程整体进度；3）制定工地现场的防盗、成品及半成品保护相应措施，制定治安管理制度。4）本项目专业多、中标人必须安排有相关专业工程经验的现场施工管理人员负责各专业工程的协调及管理,包括组织专题协调会议,以协调各专业工程之间及其与施工总承包之间的工作界面、施工时序，监督各专业工程的施工，以保证专业分包工程的质量、安全、进度以及工程技术资料均能满足项目整体要求。</w:t>
      </w:r>
    </w:p>
    <w:p>
      <w:pPr>
        <w:pStyle w:val="6"/>
        <w:keepNext w:val="0"/>
        <w:keepLines w:val="0"/>
        <w:spacing w:line="300" w:lineRule="auto"/>
        <w:ind w:left="-327"/>
        <w:rPr>
          <w:rFonts w:hint="eastAsia" w:ascii="楷体_GB2312" w:hAnsi="楷体_GB2312" w:eastAsia="楷体_GB2312" w:cs="楷体_GB2312"/>
          <w:color w:val="auto"/>
          <w:sz w:val="24"/>
          <w:szCs w:val="24"/>
          <w:highlight w:val="none"/>
        </w:rPr>
      </w:pPr>
      <w:bookmarkStart w:id="0" w:name="_Toc446424834"/>
      <w:bookmarkStart w:id="1" w:name="_Toc437107938"/>
      <w:r>
        <w:rPr>
          <w:rFonts w:hint="eastAsia" w:ascii="楷体_GB2312" w:hAnsi="楷体_GB2312" w:eastAsia="楷体_GB2312" w:cs="楷体_GB2312"/>
          <w:color w:val="auto"/>
          <w:sz w:val="24"/>
          <w:szCs w:val="24"/>
          <w:highlight w:val="none"/>
        </w:rPr>
        <w:t>技术方面监控重点难点剖析</w:t>
      </w:r>
      <w:bookmarkEnd w:id="0"/>
      <w:bookmarkEnd w:id="1"/>
    </w:p>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溶土洞处理</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根据地勘报告，本项目详勘钻孔溶土洞见洞率为41.8%，场地</w:t>
      </w:r>
      <w:r>
        <w:rPr>
          <w:rFonts w:hint="eastAsia" w:ascii="宋体" w:hAnsi="宋体" w:cs="宋体"/>
          <w:color w:val="auto"/>
          <w:spacing w:val="4"/>
          <w:kern w:val="0"/>
          <w:sz w:val="24"/>
          <w:szCs w:val="24"/>
          <w:highlight w:val="none"/>
          <w:lang w:val="zh-CN" w:bidi="ar"/>
        </w:rPr>
        <w:t>属于“钻孔见洞隙率大于30%或线岩溶率大于20%的岩溶场地”，岩溶发育程度为岩溶强发育，</w:t>
      </w:r>
      <w:r>
        <w:rPr>
          <w:rFonts w:hint="eastAsia" w:ascii="宋体" w:hAnsi="宋体" w:cs="宋体"/>
          <w:color w:val="auto"/>
          <w:spacing w:val="4"/>
          <w:kern w:val="0"/>
          <w:sz w:val="24"/>
          <w:szCs w:val="24"/>
          <w:highlight w:val="none"/>
          <w:lang w:bidi="ar"/>
        </w:rPr>
        <w:t>承包单位需根据施工图开展超前钻工作，结合勘察、超前钻、房屋调查、管线探测等揭露的情况及现场、周边实际环境，开展溶土洞特征及安全性评估，制定岩溶处理方案，且溶土洞处理施工方案需经过专家评审并落实专家意见。溶土洞处理原则是保障成桩质量，消除地面塌陷风险。</w:t>
      </w:r>
    </w:p>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基坑止水帷幕效果的质量控制</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根据地勘报告，本项目场地存在粉细砂、中粗砂、砾砂，分层多厚度大，且在临近的在运行地铁8号线隧道位于中粗砂层，基坑止水效果的好坏是项目成败关键。设计已采取可靠的止水方案，承包单位需根据图纸、地质条件，提出科学、有效的基坑止水帷幕施工控制方案，对施工工艺、技术参数进行验证，确保基坑止水效果达到设计要求，保障项目的顺利进行，同时最大程度减少对周边环境，尤其是地铁 8 号线隧道的影响。</w:t>
      </w:r>
    </w:p>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高空大跨度钢结构连廊的施工难点</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bidi="ar"/>
        </w:rPr>
      </w:pPr>
      <w:r>
        <w:rPr>
          <w:rFonts w:hint="eastAsia" w:ascii="宋体" w:hAnsi="宋体" w:cs="宋体"/>
          <w:color w:val="auto"/>
          <w:spacing w:val="4"/>
          <w:kern w:val="0"/>
          <w:sz w:val="24"/>
          <w:szCs w:val="24"/>
          <w:highlight w:val="none"/>
          <w:lang w:bidi="ar"/>
        </w:rPr>
        <w:t>本项目两栋塔楼采取钢结构连廊连接，钢桁架位于11~13层，离地面高55米，展开跨度53.5米，平面面积约662平方米，体积大重量重，施工难度高。桁架钢构件多，高空焊接质量难控制，承包单位应在地面拼接施工，再整体吊装或提升。承包单位需深化钢结构图纸，编制钢结构连廊专项施工方案，采用有限元分析软件对提升过程进行模拟，计算结构应力、挠度变化，验证提升方案可行性，并组织结构、机械、安全领域专家论证，重点审查吊装或提升设备可靠性、同步控制逻辑、应急措施，方案论证通过后方可实施。</w:t>
      </w:r>
    </w:p>
    <w:p>
      <w:pPr>
        <w:rPr>
          <w:color w:val="auto"/>
          <w:highlight w:val="none"/>
        </w:rPr>
      </w:pPr>
    </w:p>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做好管线综合平衡是机电安装阶段工作的难点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工程通风空调、给排水、电力、照明、医用气体等专业系统种类繁多，设备及管线布置密集，施工空间有限。各专业在设计阶段虽经会签与审查，但由于医院建筑专业交叉多、层高受限、系统接口复杂，在施工过程中若专业间沟通协调不足，极易出现管线走向干涉、标高冲突、交叉作业及施工顺序混乱等问题，不仅影响安装质量与观感效果，还会对后期的检修维护和运行安全造成不利影响。</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为此，建议在施工前期组织设计、施工、监理及设备供应等各相关单位充分运用BIM技术，建立三维综合管线模型，通过可视化手段进行空间碰撞检测和净高复核，提前发现并解决专业间矛盾。BIM模型应与深化设计同步更新，并作为施工过程中的动态指导依据。监理方应重点监督BIM成果的落实和各专业协调会议的执行，确保管线综合平衡图得到有效转化和落地实施。通过信息化协同管理与现场动态监控相结合，可有效减少返工和干涉，提高施工效率，保障机电安装的整体质量与进度。</w:t>
      </w:r>
    </w:p>
    <w:p>
      <w:pPr>
        <w:pStyle w:val="7"/>
        <w:spacing w:line="300" w:lineRule="auto"/>
        <w:rPr>
          <w:rFonts w:hint="eastAsia" w:ascii="楷体_GB2312" w:hAnsi="楷体_GB2312" w:eastAsia="楷体_GB2312" w:cs="楷体_GB2312"/>
          <w:color w:val="auto"/>
          <w:sz w:val="24"/>
          <w:szCs w:val="24"/>
          <w:highlight w:val="none"/>
        </w:rPr>
      </w:pPr>
      <w:bookmarkStart w:id="2" w:name="_Toc422384651"/>
      <w:bookmarkStart w:id="3" w:name="_Toc372302406"/>
      <w:bookmarkStart w:id="4" w:name="_Toc406257048"/>
      <w:bookmarkStart w:id="5" w:name="_Toc404705151"/>
      <w:r>
        <w:rPr>
          <w:rFonts w:hint="eastAsia" w:ascii="楷体_GB2312" w:hAnsi="楷体_GB2312" w:eastAsia="楷体_GB2312" w:cs="楷体_GB2312"/>
          <w:color w:val="auto"/>
          <w:sz w:val="24"/>
          <w:szCs w:val="24"/>
          <w:highlight w:val="none"/>
        </w:rPr>
        <w:t>双电源及应急电源系统质量监控是本工程重点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工程供电系统采用两路10kV电源引入，低压侧为单母线分段运行，两路电源互为备用；另设两台1000kW柴油发电机组，通过自动转换装置（ATSE）实现主备电源自动切换，为手术室、ICU、信息机房等一级负荷提供应急保障。</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该系统的显著特点是供电连续性要求高、控制逻辑复杂。双电源切换系统不仅要在短时间内实现可靠切换，还必须避免电源并列运行。系统集成了电气一次设备、二次控制逻辑及自动化信号互锁，其运行原理要求各控制节点的延时设定、互锁信号、顺序逻辑完全匹配。</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工程的难点在于系统逻辑复杂、容错率极低。一旦控制逻辑设计或施工接线存在误差，可能导致两电源并列、切换失效或假备用等问题。柴油发电机投入滞后、ATS信号延迟、逻辑互锁失效等现象，均可能造成短时断电或设备损坏。对于医院建筑而言，这类故障不仅会导致照明和空调中断，更会直接影响手术、监护、影像等关键医疗活动。</w:t>
      </w:r>
    </w:p>
    <w:bookmarkEnd w:id="2"/>
    <w:bookmarkEnd w:id="3"/>
    <w:bookmarkEnd w:id="4"/>
    <w:bookmarkEnd w:id="5"/>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智能化系统质量监控是本工程重点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工程智能化系统涵盖火灾自动报警与联动、综合布线、通信网络、安全防范（视频监控、门禁、入侵报警）、建筑设备监控、能效监管、多媒体会议及信息发布等多个子系统，是医院运行与管理的重要信息支撑平台。医院建筑功能分区多、使用要求高、信息密集度大，智能化系统设备点位多、线路分布广、专业接口复杂，系统间既相互独立又存在大量联动关系，空间布置与其他机电管线交叉频繁，对施工组织、安装精度和综合协调提出极高要求。若在施工阶段未做好空间统筹与工序衔接，极易出现管线路径冲突、桥架拥挤、信号干扰及设备安装空间不足等问题，影响系统运行的稳定性与安全性。智能化系统的整体性能不仅取决于各子系统自身质量，更依赖系统间的通信逻辑、联动顺序和信号匹配，因此在工程后期的系统联动调试阶段，往往是技术难度和协调压力最大的环节。尤其在医院项目中，火灾报警系统需与防排烟、电梯、应急广播、门禁等多系统实现精准联动，建筑设备监控与能效监管系统还需对空调、电力、照明等设备进行实时监测与数据互通，任何逻辑错误、接口冲突或参数不一致，都会导致联动失效或误动作，影响医院的安全运行与能源管理效果。为此，在施工与调试阶段，应组织各系统单位进行分阶段、分系统的功能验证与联动测试，确保报警、控制、监测及信息传输准确可靠。因此，智能化系统因其集成度高、接口关系复杂、布线密集、调试环节多且运行可靠性要求极高，是医院机电安装工程中最具系统性和技术深度的重点与难点。</w:t>
      </w:r>
    </w:p>
    <w:p>
      <w:pPr>
        <w:pStyle w:val="7"/>
        <w:spacing w:line="300" w:lineRule="auto"/>
        <w:rPr>
          <w:rFonts w:hint="eastAsia" w:ascii="楷体_GB2312" w:hAnsi="楷体_GB2312" w:eastAsia="楷体_GB2312" w:cs="楷体_GB2312"/>
          <w:color w:val="auto"/>
          <w:sz w:val="24"/>
          <w:szCs w:val="24"/>
          <w:highlight w:val="none"/>
        </w:rPr>
      </w:pPr>
      <w:bookmarkStart w:id="6" w:name="_Toc406257056"/>
      <w:bookmarkStart w:id="7" w:name="_Toc403485904"/>
      <w:bookmarkStart w:id="8" w:name="_Toc422384659"/>
      <w:r>
        <w:rPr>
          <w:rFonts w:hint="eastAsia" w:ascii="楷体_GB2312" w:hAnsi="楷体_GB2312" w:eastAsia="楷体_GB2312" w:cs="楷体_GB2312"/>
          <w:color w:val="auto"/>
          <w:sz w:val="24"/>
          <w:szCs w:val="24"/>
          <w:highlight w:val="none"/>
        </w:rPr>
        <w:t>机电系统调试</w:t>
      </w:r>
      <w:bookmarkEnd w:id="6"/>
      <w:bookmarkEnd w:id="7"/>
      <w:bookmarkEnd w:id="8"/>
      <w:r>
        <w:rPr>
          <w:rFonts w:hint="eastAsia" w:ascii="楷体_GB2312" w:hAnsi="楷体_GB2312" w:eastAsia="楷体_GB2312" w:cs="楷体_GB2312"/>
          <w:color w:val="auto"/>
          <w:sz w:val="24"/>
          <w:szCs w:val="24"/>
          <w:highlight w:val="none"/>
        </w:rPr>
        <w:t>是本工程重点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机电系统调试工作是本工程的关键性环节，直接关系到医院各项功能的实现和医疗运营的安全性、可靠性。重点在于全面验证各系统性能指标，使其达到国家规范、医疗行业标准及设计文件的最高控制要求。必须严格见证和复核洁净手术室、ICU等关键区域的静压差、换气次数、温湿度及洁净度等环境参数，确保感染控制达标；对供电系统，重点是旁站见证 ATS自动切换装置的切换速度及 UPS/EPS 的带载能力，保障生命维持设备用电的连续性；同时，须全过程见证医用气体系统的气密性、耐压性和最终气体纯度，确保供气安全；组织对消防、BAS等系统间的连锁保护逻辑进行功能校验。机电系统调试工作，事关机电系统施工和设计的最终成果，监理人员必须予以高度重视，全力做好各方面协调管理工作，确保调试工作按要求顺利完成。</w:t>
      </w:r>
    </w:p>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基坑施工过程安全管理是本工程的难点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工程涉及深基坑施工，面临的核心风险在于复杂地质条件与周边环境约束下的“整体失稳”和“环境破坏”双重挑战。基坑工程是一项典型的系统性工程，其技术难点主要体现在：一是水土耦合作用复杂，止水帷幕、降水及回灌措施与地层及地下水位的相互影响难以精准预测，一旦降水失控，可能引发地层固结沉降加速，威胁周边建筑安全；二是支护结构内力分布动态变化，分层开挖过程中如出现超挖、锚杆未及时施加预应力或支撑拆除顺序错误，均可能导致内力重分布失衡，引发局部乃至整体滑移或坍塌；三是监测滞后风险突出，仅依赖人工监测难以及时捕捉位移、沉降及水位变化的突变趋势。针对上述风险，</w:t>
      </w:r>
      <w:r>
        <w:rPr>
          <w:rFonts w:hint="eastAsia" w:ascii="宋体" w:hAnsi="宋体" w:cs="宋体"/>
          <w:color w:val="auto"/>
          <w:spacing w:val="4"/>
          <w:kern w:val="0"/>
          <w:sz w:val="24"/>
          <w:szCs w:val="24"/>
          <w:highlight w:val="none"/>
          <w:lang w:bidi="ar"/>
        </w:rPr>
        <w:t>深基坑监测需严格按《建筑基坑工程监测技术标准》（GB 50497-2019）执行，土方开挖阶段每 12 小时监测 1 次，非开挖阶段每 24 小时监测 1 次，监测数据需同步上传至智慧工地平台；</w:t>
      </w:r>
      <w:r>
        <w:rPr>
          <w:rFonts w:hint="eastAsia" w:ascii="宋体" w:hAnsi="宋体" w:eastAsia="宋体" w:cs="宋体"/>
          <w:color w:val="auto"/>
          <w:spacing w:val="4"/>
          <w:kern w:val="0"/>
          <w:sz w:val="24"/>
          <w:szCs w:val="24"/>
          <w:highlight w:val="none"/>
          <w:lang w:bidi="ar"/>
        </w:rPr>
        <w:t>监理应聚焦全生命周期风险控制，重点审核降水与回灌方案的合理性及可持续性，对支护结构关键技术参数进行独立复核；对支护结构节点施工、分层开挖深度控制及支撑、锚杆预应力施加过程实施全过程旁站，确保施工工艺严格执行；同时督促建立实时自动化监测系统，设置三级预警阈值（关注、警戒、险情），</w:t>
      </w:r>
      <w:r>
        <w:rPr>
          <w:rFonts w:hint="eastAsia" w:ascii="宋体" w:hAnsi="宋体" w:cs="宋体"/>
          <w:color w:val="auto"/>
          <w:spacing w:val="4"/>
          <w:kern w:val="0"/>
          <w:sz w:val="24"/>
          <w:szCs w:val="24"/>
          <w:highlight w:val="none"/>
          <w:lang w:bidi="ar"/>
        </w:rPr>
        <w:t>如沉降速率超 0.5mm/d 为警戒值，数据触及警戒值后 1 小时内书面上报发包人及监理单位，2 小时内启动应急处置方案并组织专家评估，</w:t>
      </w:r>
      <w:r>
        <w:rPr>
          <w:rFonts w:hint="eastAsia" w:ascii="宋体" w:hAnsi="宋体" w:eastAsia="宋体" w:cs="宋体"/>
          <w:color w:val="auto"/>
          <w:spacing w:val="4"/>
          <w:kern w:val="0"/>
          <w:sz w:val="24"/>
          <w:szCs w:val="24"/>
          <w:highlight w:val="none"/>
          <w:lang w:bidi="ar"/>
        </w:rPr>
        <w:t>防止险情扩大，实现深基坑工程风险的全过程、可视化、可预控管理。</w:t>
      </w:r>
    </w:p>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工程测量放线监控是本工程工作的重点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工程建设施工测量放线，是工程施工的先导性工作，主要任务是及时准确地将设计的建（构）筑物标定于实地，使施工得以进行。本工程是大型群体工程，工程施工测量责任重大，一旦发生错误，后果不堪设想。施工单位的测量人员进行测量和放线，监理人员对于测量放线的预控和验线必须全面地、严肃地贯彻执行。</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测量工作的原则和程序是：“从整体到局部”、“由高级到低级”、“先控制后碎部”、“步步有检核”。测量工作的目的，是把图纸上设计的建筑物、构筑物的平面位置和高程，按设计要求的精度测设在地面上，作为施工的依据，并在施工过程中进行一系列的测量工作，以衔接指导各个工序间的施工。基本工作流程是：收集资料→熟悉技术文件→编写施工测量方案→外业校测、内业校算→场地控制测量→建筑控制测量→建筑物定位测量→基础施工测量→主体施工测量→装修施工测量→竣工测量→提出竣工资料。</w:t>
      </w:r>
    </w:p>
    <w:p>
      <w:pPr>
        <w:tabs>
          <w:tab w:val="left" w:pos="1260"/>
        </w:tabs>
        <w:topLinePunct/>
        <w:spacing w:line="360" w:lineRule="auto"/>
        <w:ind w:firstLine="496"/>
        <w:rPr>
          <w:rFonts w:hint="eastAsia" w:ascii="宋体" w:hAnsi="宋体" w:eastAsia="宋体" w:cs="宋体"/>
          <w:color w:val="auto"/>
          <w:spacing w:val="4"/>
          <w:kern w:val="0"/>
          <w:sz w:val="24"/>
          <w:szCs w:val="24"/>
          <w:highlight w:val="none"/>
          <w:lang w:eastAsia="zh-CN" w:bidi="ar"/>
        </w:rPr>
      </w:pPr>
      <w:r>
        <w:rPr>
          <w:rFonts w:hint="eastAsia" w:ascii="宋体" w:hAnsi="宋体" w:eastAsia="宋体" w:cs="宋体"/>
          <w:color w:val="auto"/>
          <w:spacing w:val="4"/>
          <w:kern w:val="0"/>
          <w:sz w:val="24"/>
          <w:szCs w:val="24"/>
          <w:highlight w:val="none"/>
          <w:lang w:eastAsia="zh-CN" w:bidi="ar"/>
        </w:rPr>
        <w:t>复测、复算规定是测量监理人员的工作原则，必须坚决执行，外业桩点未经复测（附合路线、闭合环线除外）属无效，内业计算未经复算亦无效，这是工程监理预控验线的把关要点。</w:t>
      </w:r>
    </w:p>
    <w:p>
      <w:pPr>
        <w:pStyle w:val="7"/>
        <w:spacing w:line="300" w:lineRule="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做好防水工程管理，预防和处理建筑细部和设备管道的渗漏裂质量通病</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在防水工程中，渗漏问题是建筑行业最为顽固的“质量通病”，其根源不在材料本身，而在于设计、材料与施工之间系统性的不匹配，以及对细部构造控制的“细节失守”。一旦发生渗漏，事后补救的有效性极低，甚至会导致大面积返工。本工程的防水施工点多面广，涉及地下室、屋面、卫生间、外墙等多个部位，其核心风险在于构造薄弱环节和材料体系兼容性。实践经验表明，渗漏往往并非单一环节问题，而是源于设计未充分考虑不同材料的变形协调与兼容性，材料选择未匹配当地气候条件及结构特点，例如刚性防水层用于柔性结构部位时极易开裂；同时，施工阶段对阴阳角、穿墙管、变形缝等细部节点处理粗糙，破坏了防水系统的连续性。更为隐蔽的风险来自后期装修和机电安装阶段的“后置破坏”，如随意打孔、切割或未按工序修复，常造成原防水层的二次致命损伤。对此，监理工作必须从“亡羊补牢”转为“源头阻断”。在图纸会审阶段，重点审查防水系统的构造节点详图，特别是外墙与门窗洞口、屋面檐口、卫生间沉箱翻边等薄弱环节，督促设计与施工单位进行深化优化。对材料不仅查验其合格证和性能检测报告，更要关注不同防水、保温及饰面材料之间的系统匹配性，防止热胀冷缩系数差异导致开裂或脱层。在施工过程中，监理应对防水层基层处理、阴阳角弧度、附加层施工、穿管部位密封等关键部位实施100%隐蔽验收，确保细部质量达到设计标准。对于因后续施工造成的二次破坏，必须执行专项修复方案，并由监理旁站确认修复质量，确保修复效果不低于原设计要求，从源头上杜绝渗漏隐患。</w:t>
      </w:r>
    </w:p>
    <w:p>
      <w:pPr>
        <w:pStyle w:val="6"/>
        <w:keepNext w:val="0"/>
        <w:keepLines w:val="0"/>
        <w:spacing w:line="300" w:lineRule="auto"/>
        <w:ind w:left="-327"/>
        <w:rPr>
          <w:rFonts w:hint="eastAsia" w:ascii="楷体_GB2312" w:hAnsi="楷体_GB2312" w:eastAsia="楷体_GB2312" w:cs="楷体_GB2312"/>
          <w:color w:val="auto"/>
          <w:sz w:val="24"/>
          <w:szCs w:val="24"/>
          <w:highlight w:val="none"/>
        </w:rPr>
      </w:pPr>
      <w:bookmarkStart w:id="9" w:name="_Toc446424835"/>
      <w:bookmarkStart w:id="10" w:name="_Toc437107939"/>
      <w:r>
        <w:rPr>
          <w:rFonts w:hint="eastAsia" w:ascii="楷体_GB2312" w:hAnsi="楷体_GB2312" w:eastAsia="楷体_GB2312" w:cs="楷体_GB2312"/>
          <w:color w:val="auto"/>
          <w:sz w:val="24"/>
          <w:szCs w:val="24"/>
          <w:highlight w:val="none"/>
        </w:rPr>
        <w:t>管理方面监控重点难点剖析</w:t>
      </w:r>
      <w:bookmarkEnd w:id="9"/>
      <w:bookmarkEnd w:id="10"/>
    </w:p>
    <w:p>
      <w:pPr>
        <w:pStyle w:val="7"/>
        <w:numPr>
          <w:ilvl w:val="7"/>
          <w:numId w:val="4"/>
        </w:numPr>
        <w:spacing w:line="300" w:lineRule="auto"/>
        <w:ind w:left="9" w:hanging="9"/>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强化界面管理，做好专业与工序接口划分与控制的本工程的难点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工程具备典型的“大体量、多系统、高密度、急工期”特征，涉及土建、机电（电气、给排水、暖通空调、电梯、消防）、幕墙、弱电、通讯、景观等十余个核心专业。在工期压力下，施工界面高度重叠、快速转换，管理监控面临复杂交叉作业环境下的本质风险：一是责任边界模糊，专业间、总包与分包间工作范围、质量验收标准及进度移交条件界定不清，易导致互相推诿和“三不管”现象；二是工序干扰链明显，早期结构预留预埋微小偏差，在后期装修和机电安装高峰期可能被放大，形成返工或窝工，如机电管线与土建结构冲突、幕墙预埋件定位误差及精装修施工前管线优化滞后；三是管理协调滞后，传统线性管理模式难以应对多专业并行施工，一旦关键路径专业或工序脱节，易引发全局连锁反应。针对上述问题，监理需从系统工程视角将界面管理提升为核心要素，重点前移至设计阶段深化图纸会审，利用BIM等专业工具提前锁定并解决核心界面问题；现场严格执行“前置验收”和“移交手续”制度，确保相邻专业在100%符合移交条件后方可进入下一工序，将复杂协作关系转化为可控链条，从而有效控制交叉作业风险，保障工程质量与进度。</w:t>
      </w:r>
    </w:p>
    <w:p>
      <w:pPr>
        <w:pStyle w:val="7"/>
        <w:numPr>
          <w:ilvl w:val="7"/>
          <w:numId w:val="4"/>
        </w:numPr>
        <w:spacing w:line="300" w:lineRule="auto"/>
        <w:ind w:hanging="709"/>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高支模安全管理是重点</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工程大堂区域存在大跨度结构，高支模工程具有系统性风险和毁灭性特点。其根源在于“计算—方案—实施”全链条的薄弱：专项施工方案荷载取值、立杆间距及扫地杆设置等复核不足；支撑系统未作为整体系统设计，导致地基沉降、立杆失稳及剪刀撑、连墙件缺失或不到位；混凝土浇筑速率和顺序不当，产生局部偏载或冲击荷载。针对上述风险，施工单位需组织专家论证施工专项方案，重点审核基础处理、支撑系统与主体结构的连接及卸载程序，确保荷载安全储备充足；</w:t>
      </w:r>
      <w:r>
        <w:rPr>
          <w:rFonts w:hint="eastAsia" w:ascii="宋体" w:hAnsi="宋体" w:cs="宋体"/>
          <w:color w:val="auto"/>
          <w:spacing w:val="4"/>
          <w:kern w:val="0"/>
          <w:sz w:val="24"/>
          <w:szCs w:val="24"/>
          <w:highlight w:val="none"/>
          <w:lang w:bidi="ar"/>
        </w:rPr>
        <w:t>高支模混凝土浇筑前，需对立杆垂直度、扫地杆间距、剪刀撑设置进行 100% 复核，留存影像记录；</w:t>
      </w:r>
      <w:r>
        <w:rPr>
          <w:rFonts w:hint="eastAsia" w:ascii="宋体" w:hAnsi="宋体" w:eastAsia="宋体" w:cs="宋体"/>
          <w:color w:val="auto"/>
          <w:spacing w:val="4"/>
          <w:kern w:val="0"/>
          <w:sz w:val="24"/>
          <w:szCs w:val="24"/>
          <w:highlight w:val="none"/>
          <w:lang w:bidi="ar"/>
        </w:rPr>
        <w:t>全过程旁站关键施工环节，包括支撑搭设、剪刀撑和连墙件安装及混凝土浇筑，确保施工按方案执行；同时强制性检测支撑系统垂直度、地基沉降等关键指标，任何可能导致系统失稳的重大隐患必须立即叫停并报告，从源头到施工全过程全方位控制高支模风险；</w:t>
      </w:r>
      <w:r>
        <w:rPr>
          <w:rFonts w:hint="eastAsia" w:ascii="宋体" w:hAnsi="宋体" w:cs="宋体"/>
          <w:color w:val="auto"/>
          <w:spacing w:val="4"/>
          <w:kern w:val="0"/>
          <w:sz w:val="24"/>
          <w:szCs w:val="24"/>
          <w:highlight w:val="none"/>
          <w:lang w:bidi="ar"/>
        </w:rPr>
        <w:t>浇筑过程中安排 2 名及以上专职安全员全程旁站，每 15 分钟监测 1 次支撑体系沉降，监测数据实时记录并报送监理单位（符合《混凝土结构工程施工安全技术规范》JGJ 162-2013 第 4.4.12 条要求），支撑体系沉降（允许偏差≤3mm）、立杆轴力，发现异常立即暂停浇筑，启用备用支撑加固</w:t>
      </w:r>
      <w:r>
        <w:rPr>
          <w:rFonts w:hint="eastAsia" w:ascii="宋体" w:hAnsi="宋体" w:eastAsia="宋体" w:cs="宋体"/>
          <w:color w:val="auto"/>
          <w:spacing w:val="4"/>
          <w:kern w:val="0"/>
          <w:sz w:val="24"/>
          <w:szCs w:val="24"/>
          <w:highlight w:val="none"/>
          <w:lang w:bidi="ar"/>
        </w:rPr>
        <w:t>。如果对高支模安全管理不到位，引发高支模事故不仅财产损失较大，而且伤亡人数较多，对工程投资、工期等造成难以估量的损失，因此高支模施工安全监管是监理工作重点。</w:t>
      </w:r>
    </w:p>
    <w:p>
      <w:pPr>
        <w:pStyle w:val="7"/>
        <w:numPr>
          <w:ilvl w:val="7"/>
          <w:numId w:val="4"/>
        </w:numPr>
        <w:adjustRightInd w:val="0"/>
        <w:snapToGrid w:val="0"/>
        <w:spacing w:line="300" w:lineRule="auto"/>
        <w:ind w:hanging="709"/>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周边建筑物、管线的施工保护是工程管理的重点</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本工程涉及基坑开挖、大型吊装及永久管线施工，同时周边存在密集原有建筑、道路和地下管线（电缆、水、燃气、通讯），工程本质矛盾在于“新建工程对既有环境的扰动与保护要求”。主要风险包括基坑施工引起的土体沉降和位移，可能影响周边建筑结构安全及沉降均匀性；以及原有管线错综复杂，数据不全或不准确，迁改不当可能导致水电中断、燃气泄漏或通讯故障，产生重大社会影响。针对上述问题，施工单位和设计单位全面普查并确认周边管线位置、埋深及功能状态，并体现在施工图纸上；实施“三位一体”监测，即周边建筑沉降与位移监测、基坑支护体系监测及重点管线监测；严格审查基坑开挖、土方堆放、大型设备起重作业等专项方案，并对临近高风险作业实施全过程旁站，确保施工扰动可控、既有环境安全可保</w:t>
      </w:r>
      <w:r>
        <w:rPr>
          <w:rFonts w:hint="eastAsia" w:ascii="宋体" w:hAnsi="宋体" w:cs="宋体"/>
          <w:color w:val="auto"/>
          <w:spacing w:val="4"/>
          <w:kern w:val="0"/>
          <w:sz w:val="24"/>
          <w:szCs w:val="24"/>
          <w:highlight w:val="none"/>
          <w:lang w:bidi="ar"/>
        </w:rPr>
        <w:t>障</w:t>
      </w:r>
      <w:r>
        <w:rPr>
          <w:rFonts w:hint="eastAsia" w:ascii="宋体" w:hAnsi="宋体" w:eastAsia="宋体" w:cs="宋体"/>
          <w:color w:val="auto"/>
          <w:spacing w:val="4"/>
          <w:kern w:val="0"/>
          <w:sz w:val="24"/>
          <w:szCs w:val="24"/>
          <w:highlight w:val="none"/>
          <w:lang w:bidi="ar"/>
        </w:rPr>
        <w:t>，因此对管线及周边建筑、道路的保护显得十分重要。</w:t>
      </w:r>
      <w:r>
        <w:rPr>
          <w:rFonts w:hint="eastAsia" w:ascii="宋体" w:hAnsi="宋体" w:cs="宋体"/>
          <w:color w:val="auto"/>
          <w:spacing w:val="4"/>
          <w:kern w:val="0"/>
          <w:sz w:val="24"/>
          <w:szCs w:val="24"/>
          <w:highlight w:val="none"/>
          <w:lang w:bidi="ar"/>
        </w:rPr>
        <w:t>周边建筑沉降超 ±3mm 时，需立即停工，中标人须委托具备甲级勘察资质的第三方机构进行专项检测，出具《建筑物安全评估报告》；整改完成后需经发包人、监理单位及第三方机构联合验收，确认沉降稳定（连续 7 天沉降速率≤0.1mm/d）后方可复工。</w:t>
      </w:r>
    </w:p>
    <w:p>
      <w:pPr>
        <w:rPr>
          <w:color w:val="auto"/>
          <w:highlight w:val="none"/>
        </w:rPr>
      </w:pPr>
    </w:p>
    <w:p>
      <w:pPr>
        <w:rPr>
          <w:color w:val="auto"/>
          <w:highlight w:val="none"/>
        </w:rPr>
      </w:pPr>
    </w:p>
    <w:p>
      <w:pPr>
        <w:rPr>
          <w:color w:val="auto"/>
          <w:highlight w:val="none"/>
        </w:rPr>
      </w:pPr>
    </w:p>
    <w:p>
      <w:pPr>
        <w:keepNext/>
        <w:keepLines/>
        <w:tabs>
          <w:tab w:val="right" w:leader="dot" w:pos="9060"/>
        </w:tabs>
        <w:adjustRightInd w:val="0"/>
        <w:snapToGrid w:val="0"/>
        <w:spacing w:before="120" w:line="360" w:lineRule="auto"/>
        <w:jc w:val="left"/>
        <w:outlineLvl w:val="1"/>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四</w:t>
      </w:r>
      <w:r>
        <w:rPr>
          <w:rFonts w:hint="eastAsia" w:ascii="宋体" w:hAnsi="宋体" w:cs="宋体"/>
          <w:b/>
          <w:color w:val="auto"/>
          <w:kern w:val="0"/>
          <w:sz w:val="24"/>
          <w:szCs w:val="24"/>
          <w:highlight w:val="none"/>
          <w:lang w:val="zh-CN" w:bidi="ar"/>
        </w:rPr>
        <w:t>、项目管理</w:t>
      </w:r>
      <w:r>
        <w:rPr>
          <w:rFonts w:hint="eastAsia" w:ascii="宋体" w:hAnsi="宋体" w:cs="宋体"/>
          <w:b/>
          <w:color w:val="auto"/>
          <w:kern w:val="0"/>
          <w:sz w:val="24"/>
          <w:szCs w:val="24"/>
          <w:highlight w:val="none"/>
          <w:lang w:bidi="ar"/>
        </w:rPr>
        <w:t>要求</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（一）进度管理要求</w:t>
      </w:r>
    </w:p>
    <w:p>
      <w:pPr>
        <w:numPr>
          <w:ilvl w:val="1"/>
          <w:numId w:val="0"/>
        </w:numPr>
        <w:tabs>
          <w:tab w:val="left" w:pos="900"/>
        </w:tabs>
        <w:adjustRightInd w:val="0"/>
        <w:snapToGrid w:val="0"/>
        <w:spacing w:line="360" w:lineRule="auto"/>
        <w:ind w:firstLine="470" w:firstLineChars="196"/>
        <w:rPr>
          <w:color w:val="auto"/>
          <w:sz w:val="24"/>
          <w:szCs w:val="24"/>
          <w:highlight w:val="none"/>
          <w:lang w:bidi="ar"/>
        </w:rPr>
      </w:pPr>
      <w:r>
        <w:rPr>
          <w:rFonts w:hint="eastAsia"/>
          <w:color w:val="auto"/>
          <w:sz w:val="24"/>
          <w:szCs w:val="24"/>
          <w:highlight w:val="none"/>
          <w:lang w:bidi="ar"/>
        </w:rPr>
        <w:t>1.中标人进场前应就项目开工条件进行全面梳理，报监理单位和招标人批准后方可进场实施。</w:t>
      </w:r>
    </w:p>
    <w:p>
      <w:pPr>
        <w:numPr>
          <w:ilvl w:val="1"/>
          <w:numId w:val="0"/>
        </w:numPr>
        <w:tabs>
          <w:tab w:val="left" w:pos="900"/>
        </w:tabs>
        <w:adjustRightInd w:val="0"/>
        <w:snapToGrid w:val="0"/>
        <w:spacing w:line="360" w:lineRule="auto"/>
        <w:ind w:firstLine="470" w:firstLineChars="196"/>
        <w:rPr>
          <w:color w:val="auto"/>
          <w:sz w:val="24"/>
          <w:szCs w:val="24"/>
          <w:highlight w:val="none"/>
          <w:lang w:bidi="ar"/>
        </w:rPr>
      </w:pPr>
      <w:r>
        <w:rPr>
          <w:rFonts w:hint="eastAsia"/>
          <w:color w:val="auto"/>
          <w:sz w:val="24"/>
          <w:szCs w:val="24"/>
          <w:highlight w:val="none"/>
          <w:lang w:bidi="ar"/>
        </w:rPr>
        <w:t>2.中标人进场后须根据项目实施总控计划、施工图纸和现场实际情况编制切实可行的实施进度计划（总体施工计划须采用网络进度计划）报监理单位和发包人审批，监理单位及发包人应在收到工期调整申请后 10 个工作日内完成审批并书面回复。同时采取一切可能的措施，确保按批准的进度计划实施工程。在工程实施过程中，如因不可抗力、工程设计有重大变更等非中标人原因导致工期确需调整的，中标人应及时向监理单位和招标人提出工期调整及人员、机械设备投入调整的申请报告，经监理单位和招标人批准后方可执行，且中标人不得因此向招标人提出人员、机械设备等窝工费用的索赔。</w:t>
      </w:r>
      <w:r>
        <w:rPr>
          <w:color w:val="auto"/>
          <w:highlight w:val="none"/>
        </w:rPr>
        <w:t>因中标人原因导致工期延误的，结算时按合同</w:t>
      </w:r>
      <w:r>
        <w:rPr>
          <w:rFonts w:hint="eastAsia"/>
          <w:color w:val="auto"/>
          <w:highlight w:val="none"/>
          <w:lang w:val="en-US" w:eastAsia="zh-CN"/>
        </w:rPr>
        <w:t>第96.2.3款</w:t>
      </w:r>
      <w:r>
        <w:rPr>
          <w:rFonts w:hint="default"/>
          <w:color w:val="auto"/>
          <w:highlight w:val="none"/>
          <w:lang w:val="en-US"/>
        </w:rPr>
        <w:t>约定情形</w:t>
      </w:r>
      <w:r>
        <w:rPr>
          <w:color w:val="auto"/>
          <w:highlight w:val="none"/>
        </w:rPr>
        <w:t>扣除违约金（累计不超过合同总价的 5%）</w:t>
      </w:r>
      <w:r>
        <w:rPr>
          <w:rFonts w:hint="eastAsia"/>
          <w:color w:val="auto"/>
          <w:highlight w:val="none"/>
        </w:rPr>
        <w:t>。</w:t>
      </w:r>
    </w:p>
    <w:p>
      <w:pPr>
        <w:numPr>
          <w:ilvl w:val="1"/>
          <w:numId w:val="0"/>
        </w:numPr>
        <w:tabs>
          <w:tab w:val="left" w:pos="900"/>
        </w:tabs>
        <w:adjustRightInd w:val="0"/>
        <w:snapToGrid w:val="0"/>
        <w:spacing w:line="360" w:lineRule="auto"/>
        <w:ind w:firstLine="470" w:firstLineChars="196"/>
        <w:rPr>
          <w:color w:val="auto"/>
          <w:sz w:val="24"/>
          <w:szCs w:val="24"/>
          <w:highlight w:val="none"/>
          <w:lang w:bidi="ar"/>
        </w:rPr>
      </w:pPr>
      <w:r>
        <w:rPr>
          <w:rFonts w:hint="eastAsia"/>
          <w:color w:val="auto"/>
          <w:sz w:val="24"/>
          <w:szCs w:val="24"/>
          <w:highlight w:val="none"/>
          <w:lang w:bidi="ar"/>
        </w:rPr>
        <w:t>3.推行进度管理网格化和亮灯制度</w:t>
      </w:r>
    </w:p>
    <w:p>
      <w:pPr>
        <w:numPr>
          <w:ilvl w:val="1"/>
          <w:numId w:val="0"/>
        </w:numPr>
        <w:tabs>
          <w:tab w:val="left" w:pos="900"/>
        </w:tabs>
        <w:adjustRightInd w:val="0"/>
        <w:snapToGrid w:val="0"/>
        <w:spacing w:line="360" w:lineRule="auto"/>
        <w:ind w:firstLine="470" w:firstLineChars="196"/>
        <w:rPr>
          <w:color w:val="auto"/>
          <w:sz w:val="24"/>
          <w:szCs w:val="24"/>
          <w:highlight w:val="none"/>
          <w:lang w:bidi="ar"/>
        </w:rPr>
      </w:pPr>
      <w:r>
        <w:rPr>
          <w:rFonts w:hint="eastAsia"/>
          <w:color w:val="auto"/>
          <w:sz w:val="24"/>
          <w:szCs w:val="24"/>
          <w:highlight w:val="none"/>
          <w:lang w:bidi="ar"/>
        </w:rPr>
        <w:t>推行进度管理亮灯制度（细化区域），亮红灯指关键节点滞后超 10% 或总工期滞后超 15 天；亮黄灯指关键节点滞后 5%-10% 或总工期滞后 7-14 天；对进度正常的亮绿灯，利用无人机定期航拍对比，提出灭红控黄的措施。</w:t>
      </w:r>
    </w:p>
    <w:p>
      <w:pPr>
        <w:numPr>
          <w:ilvl w:val="1"/>
          <w:numId w:val="0"/>
        </w:numPr>
        <w:tabs>
          <w:tab w:val="left" w:pos="900"/>
        </w:tabs>
        <w:adjustRightInd w:val="0"/>
        <w:snapToGrid w:val="0"/>
        <w:spacing w:line="360" w:lineRule="auto"/>
        <w:ind w:firstLine="470" w:firstLineChars="196"/>
        <w:rPr>
          <w:color w:val="auto"/>
          <w:sz w:val="24"/>
          <w:szCs w:val="24"/>
          <w:highlight w:val="none"/>
          <w:lang w:bidi="ar"/>
        </w:rPr>
      </w:pPr>
      <w:r>
        <w:rPr>
          <w:rFonts w:hint="eastAsia"/>
          <w:color w:val="auto"/>
          <w:sz w:val="24"/>
          <w:szCs w:val="24"/>
          <w:highlight w:val="none"/>
          <w:lang w:bidi="ar"/>
        </w:rPr>
        <w:t>4.本项目工期紧迫、任务重，施工工程量大、制约因素多，中标人必须采取合理的施工方案，人员、设备必须及时安排到位，在确保质量及安全的前提下，及时安排基础工程的开工。</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lang w:bidi="ar"/>
        </w:rPr>
      </w:pPr>
      <w:r>
        <w:rPr>
          <w:rFonts w:hint="eastAsia"/>
          <w:color w:val="auto"/>
          <w:sz w:val="24"/>
          <w:szCs w:val="24"/>
          <w:highlight w:val="none"/>
          <w:lang w:bidi="ar"/>
        </w:rPr>
        <w:t>5.中</w:t>
      </w:r>
      <w:r>
        <w:rPr>
          <w:rFonts w:hint="eastAsia" w:ascii="宋体" w:hAnsi="宋体" w:cs="宋体"/>
          <w:color w:val="auto"/>
          <w:sz w:val="24"/>
          <w:szCs w:val="24"/>
          <w:highlight w:val="none"/>
          <w:lang w:bidi="ar"/>
        </w:rPr>
        <w:t>标人须每周五前向监理及发包人递交施工周报，内容包括本周重要事项、上周计划完成情况、未按上周计划完成的原因分析以及拟采取的赶工措施、下周计划、投入的机械设备、拟进场的材料、需要协调解决的事项及建议等。</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6.中标人须每月25日前向监理及发包人递交施工月报，内容包括工程进度数据化、下月施工计划、工程质量及质量管理工作、投入的主要施工机械设备数量、主要材料使用数量、计量支付情况及本月施工产值、工程变更、施工安全生产情况、文明施工情况、目前存在的问题及解决建议、本月大事记、创优推进情况、科研课题推进情况、现场施工照片等方面内容。同时，发包人有权不定期要求中标人提交报告资料等，中标人需按发包人要求提供。</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lang w:eastAsia="zh" w:bidi="ar"/>
        </w:rPr>
      </w:pPr>
      <w:r>
        <w:rPr>
          <w:rFonts w:hint="eastAsia" w:ascii="宋体" w:hAnsi="宋体" w:cs="宋体"/>
          <w:color w:val="auto"/>
          <w:sz w:val="24"/>
          <w:szCs w:val="24"/>
          <w:highlight w:val="none"/>
          <w:lang w:eastAsia="zh"/>
        </w:rPr>
        <w:t>7、</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lang w:eastAsia="zh" w:bidi="ar"/>
        </w:rPr>
        <w:t>暂估价单位的进度管理工作由中标人统一管理，</w:t>
      </w:r>
      <w:r>
        <w:rPr>
          <w:rFonts w:hint="eastAsia" w:ascii="宋体" w:hAnsi="宋体" w:cs="宋体"/>
          <w:color w:val="auto"/>
          <w:sz w:val="24"/>
          <w:szCs w:val="24"/>
          <w:highlight w:val="none"/>
          <w:lang w:bidi="ar"/>
        </w:rPr>
        <w:t>中标人应在收到专业工程暂估价单位进度计划后 5 个工作日内完成审核，审核异议需书面说明理由并同步反馈至发包人及监理单位。</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lang w:eastAsia="zh" w:bidi="ar"/>
        </w:rPr>
        <w:t>暂估价单位的进度计划纳入中标人的总控计划内，</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lang w:eastAsia="zh" w:bidi="ar"/>
        </w:rPr>
        <w:t>暂估价单位的进度计划申报工作由中标人审核后统一上报，</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lang w:eastAsia="zh" w:bidi="ar"/>
        </w:rPr>
        <w:t>暂估价单位的进度纠偏工作由中标人根据总控进度计划要求提出纠偏意见。</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（二）质量管理要求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1.本项目质量标准及质量创优目标为：分部工程验收合格率100%，项目所涉及的政府专项验收全部通过，</w:t>
      </w:r>
      <w:r>
        <w:rPr>
          <w:rFonts w:hint="eastAsia" w:ascii="宋体" w:hAnsi="宋体" w:cs="宋体"/>
          <w:color w:val="auto"/>
          <w:sz w:val="24"/>
          <w:szCs w:val="24"/>
          <w:highlight w:val="none"/>
          <w:lang w:bidi="ar"/>
        </w:rPr>
        <w:t>一次性竣工验收合格。</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2.中标人需在开工前由项目总工组织全专业的图纸会审，严格按经审查批准的施工方案和设计图纸施工，不得擅自修改施工方案及设计图纸。</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中标人进场后根据施工总工期计划，编制主要设备材料看样定板计划报监理单位和发包人审批，在实施中严格按计划组织看样定板工作。中标人及其选择的专业承包商所采用的所有材料应符合设计技术参数要求。进场材料需按规定报发包人、监理人审批并送至发包人委托的第三方检测单位检测，建立材料追溯台账，记录不合格材料的采购批次、进场时间、使用部位、处理结果（如清退时间、去向），台账留存至项目竣工后 5 年，同一厂家同一规格材料连续 2 次检测不合格的，取消该厂家供货资格，重新选用品牌需经发包人审批，凡材料设备质量不符合要求，中标人必须将不合格的材料设备清退出场，由此造成的一切后果由中标人承担。</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4.要求中标人必须建立工序质量样板，在工序样板引路的基础上，实施分部分项工程样板引路制度，经发包人、设计单位、监理人现场验收样板合格后方可进行大面积施工，板工程验收不合格的，中标人需在 5 个工作日内制定整改方案并完成整改，整改后重新申请验收，同一样板二次验收仍不合格的，更换施工班组并重新编制样板方案，由此产生的费用由中标人承担。否则，中标人、监理人有权下达工程暂停令，由此导致的工期延误不得顺延，由中标人自行采用赶工措施消化并承担赶工费用。样板展示区相关费用综合考虑到投标报价中，发包人不再另行支付。实物样板包括但不限于：内外墙立面及室内地面铺贴、门诊诊室及治疗室、行政办公用房、管线综合布置、外幕墙单元、医护单元、电梯前室、洗手间、住院部单元等重要功能空间。</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中标人必须根据《工程质量安全专职机构及人员管理实施细则》要求，建立和健全管理体系，设立质量安全管理专职机构，配备满足规定要求的专职管理人员，特别是质量总监、安全总监必须由专人担任，不得兼职。</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6.中标人必须加强质量自检，做好施工过程数据记录及隐蔽工程的验收工作，完善举牌验收、隐蔽验收等影像资料、签字记录，作为进度款支付依据材料。</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7.本项目防水工程质量至关重要。承包人应严格按照《建筑与市政工程防水通用规范》（GB55030-2022）的要求编制防水施工专项方案，防水工程施工样板先行，须针对大面积施工、穿墙管洞细部处理、卫生间、墙地面阴阳角处理先做样板，</w:t>
      </w:r>
      <w:r>
        <w:rPr>
          <w:color w:val="auto"/>
          <w:highlight w:val="none"/>
        </w:rPr>
        <w:t>防水工程细部节点（穿墙管、变形缝、阴阳角）需 100% 验收，抽样检测数量比《建筑与市政工程防水通用规范》（GB 55030-2022）要求提高 50%</w:t>
      </w:r>
      <w:r>
        <w:rPr>
          <w:rFonts w:hint="eastAsia" w:ascii="宋体" w:hAnsi="宋体" w:cs="宋体"/>
          <w:color w:val="auto"/>
          <w:sz w:val="24"/>
          <w:szCs w:val="24"/>
          <w:highlight w:val="none"/>
        </w:rPr>
        <w:t>。中标人必须严格按经监理人批准的防水工程施工方案及现场确认的施工样板进行施工，否则监理人可以直接下达停工令，造成的工期延误由中标人自行负责。</w:t>
      </w:r>
      <w:r>
        <w:rPr>
          <w:color w:val="auto"/>
          <w:highlight w:val="none"/>
        </w:rPr>
        <w:t>地下室底板防水试验压力≥0.6MPa，外墙≥0.4MPa，检测不合格部位需全部返工并重新检测，检测方法符合《建筑与市政工程防水通用规范》GB55030-2022 第 4.1.12 条规定</w:t>
      </w:r>
      <w:r>
        <w:rPr>
          <w:rFonts w:hint="eastAsia"/>
          <w:color w:val="auto"/>
          <w:highlight w:val="none"/>
        </w:rPr>
        <w:t>。。</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8.中标人必须严格执行有关质量通病治理措施，编制质量通病防治专项方案以及质量通病整改专项施工方案报监理单位审批，经监理单位批准后实施。</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9.中标人必须编制本项目的成品保护专项方案，充分履行总承包管理职责，各专业分包单位必须服从总承包的管理，中标人负责组织各专业分包单位明确各方成品的保护责任,中标人统筹各专业承包单位制定成品保护检查制度、交叉施工管理制度、交接制度、考核制度、奖罚责任制度等，并组织编制成品保护方案报监理人审批后实施，依照“谁施工谁保护、谁损坏谁赔偿”的原则落实成品保护工作。中标人合同管理范围内的成品保护由中标人负责实施，专业承包管理范围的成品保护由专业承包人负责实施。</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10.深化设计管理要求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深化设计内容，本项目包括但不限于以下专业工程由中标人负责深化设计：装配式、装修工程、幕墙工程、钢结构工程、门窗及雨棚工程、医疗专项工程（如包括）、综合管线平衡深化设计（采用BIM技术）、建筑智能化系统、设备基础、抗震支架、泛光照明工程、机房设备管线布置等（主要是空调机房，消防泵房，弱电机房等其他需要进行深化的专业）。深化内容由原设计明确，并报监理、项目管理及建设单位进一步确认。深化设计选用的材料厂家及品牌按合同执行，不得随意更改；若影响主要材料用量的深化设计，中标人仅有建议权，需报设计单位审核及发包人批准。</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（2）深化设计能力要求：中标人应具备相应的专业工程深化设计能力及深化设计业绩，如中标人不具备，则应经发包人同意后，中标人依法委托给具有相应能力的单位实施。</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（3）深化设计工作要点：</w:t>
      </w:r>
    </w:p>
    <w:p>
      <w:pPr>
        <w:adjustRightInd w:val="0"/>
        <w:snapToGrid w:val="0"/>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①深化设计是在不改变原施工图设计功能、结构体系和设计意图的前提下，以结合设备设施的安装要求、提高施工图的可操作性和便于施工、节约成本为目的，对施工图进行深化、优化和完善技术工作。</w:t>
      </w:r>
    </w:p>
    <w:p>
      <w:pPr>
        <w:adjustRightInd w:val="0"/>
        <w:snapToGrid w:val="0"/>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②中标人进行深化设计时，应以设计院出的设计图纸为依据，深化图纸须经原设计单位审核同意，涉及到相关其他专业调整，可配合完善设计变更手续。深化设计深度、技术标准及界面划分须经原设计单位书面确认，并报监理单位、建设单位审核批准后实施。</w:t>
      </w:r>
    </w:p>
    <w:p>
      <w:pPr>
        <w:adjustRightInd w:val="0"/>
        <w:snapToGrid w:val="0"/>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③完成的深化设计图纸，需要中标单位负责技术管理的专责人员签字确认，以避免出现深化后的图纸与其他专业发生碰撞，导致其他专业无法实施的情况。</w:t>
      </w:r>
    </w:p>
    <w:p>
      <w:pPr>
        <w:adjustRightInd w:val="0"/>
        <w:snapToGrid w:val="0"/>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④深化设计图纸报经原设计单位同意批准后方可实施。如中标人的深化设计图纸达不到要求，发包人有权要求中标人对深化设计人员进行调整更换或另委托深化设计单位。</w:t>
      </w:r>
    </w:p>
    <w:p>
      <w:pPr>
        <w:adjustRightInd w:val="0"/>
        <w:snapToGrid w:val="0"/>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⑤深化设计选用的材料厂家及品牌按合同执行，不得随意更改。深化设计须结合施工工艺要求，与各相关专业工程充分沟通，不得影响其他专业或系统的结构体系和使用功能等。</w:t>
      </w:r>
    </w:p>
    <w:p>
      <w:pPr>
        <w:adjustRightInd w:val="0"/>
        <w:snapToGrid w:val="0"/>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⑥除节点设计、装配损耗外，影响主要材料用量的深化设计，中标人仅有建议权，需提安全、稳定、合理、经济的比选方案，报设计单位审核（不得增造价），经监理单位、项目管理单位、建设单位批准后由设计单位出图；若由此增造价，由中标人承担。为施工方便的节点设计、装配损耗导致的材料用量增加，及深化设计人员成本，均由中标人承担，发包人不额外付费。。</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（4）深化设计工作流程：</w:t>
      </w:r>
    </w:p>
    <w:p>
      <w:p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深化设计工作方案报审：中标后，深化设计工作开展前，中标人须报深化设计工作方案、深化设计进度计划报设计单位进行明确后报监理单位、发包人审核，审核通过后方可正式开展深化设计工作。深化设计工作方案包括但不限于深化设计人员（含驻场设计人员）、深化设计的内容、深化设计对项目产生的影响及其专业阐述以及深化设计的工作计划及具体的深化设计管理实施方案、工作流程。若深化方案导致主要材料用量变化（如钢材、管线等），承包人仅具备建议权，需提交：设计变更论证报告（含技术经济比选）；原设计单位复核意见；发包人书面批准文件。</w:t>
      </w:r>
    </w:p>
    <w:p>
      <w:p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深化设计工作开展：深化设计须由中标人深化设计负责人统筹安排各项工作，并随时接受监理单位、发包人及设计单位的监督检查。BIM技术应用要求综合管线深化必须通过BIM模型进行碰撞检测、净高优化及施工模拟，提交LOD 400深度模型及可视化成果。</w:t>
      </w:r>
    </w:p>
    <w:p>
      <w:p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③深化设计文件审核：深化设计图纸</w:t>
      </w:r>
      <w:r>
        <w:rPr>
          <w:rFonts w:hint="eastAsia" w:ascii="宋体" w:hAnsi="宋体" w:eastAsia="宋体" w:cs="宋体"/>
          <w:color w:val="auto"/>
          <w:sz w:val="24"/>
          <w:szCs w:val="24"/>
          <w:highlight w:val="none"/>
        </w:rPr>
        <w:t>（含造价文件）完成后，报原设计单位审核，并根据修改意见相应调整深化设计图纸。原设计单位收到深化图纸后 15 个工作日内出具书面审核意见，逾期未反馈，发包人对设计单位进行处罚； 审核提出修改意见的，中标人需在 7 个工作日内完成修改并重新报审，修改记录需单独存档备查。</w:t>
      </w:r>
    </w:p>
    <w:p>
      <w:p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④深化图报审：经发包人同意后，如需要报原施工图审查单位审查，</w:t>
      </w:r>
      <w:r>
        <w:rPr>
          <w:rFonts w:hint="eastAsia" w:ascii="宋体" w:hAnsi="宋体" w:cs="宋体"/>
          <w:color w:val="auto"/>
          <w:sz w:val="24"/>
          <w:szCs w:val="24"/>
          <w:highlight w:val="none"/>
        </w:rPr>
        <w:t>由中标人负责办理相关手续。</w:t>
      </w:r>
    </w:p>
    <w:p>
      <w:p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技术交底及图纸会审：深化设计图纸和文件经过审核确认后，应进行相应技术交底及图纸会审，正式施工前深化设计图纸需要取得其他专业施工负责人的签字确认，避免出现深化设计与其他专业原设计产生矛盾。</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（5）责任与义务</w:t>
      </w:r>
    </w:p>
    <w:p>
      <w:p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包人需自行承担深化设计费用及技术风险，确保深化图纸满足国家规范、原设计意图及施工可行性；因深化设计错误导致的返工、工期延误及费用增加，由承包人承担全部责任；最终深化图纸须加盖原设计单位复核章及建设单位批准章后方可施工。</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lang w:eastAsia="zh" w:bidi="ar"/>
        </w:rPr>
      </w:pPr>
      <w:r>
        <w:rPr>
          <w:rFonts w:hint="eastAsia" w:ascii="宋体" w:hAnsi="宋体" w:cs="宋体"/>
          <w:color w:val="auto"/>
          <w:sz w:val="24"/>
          <w:szCs w:val="24"/>
          <w:highlight w:val="none"/>
          <w:lang w:eastAsia="zh"/>
        </w:rPr>
        <w:t>11、</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lang w:eastAsia="zh" w:bidi="ar"/>
        </w:rPr>
        <w:t>暂估价单位的质量管理工作由中标人统一管理，</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lang w:eastAsia="zh" w:bidi="ar"/>
        </w:rPr>
        <w:t>暂估价单位的深化设计计划纳入中标人的深化设计计划内。</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（三）安全、文明施工管理要求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1.本项目职业健康安全管理目标和环境管理目标为：杜绝一般事故等级以上的伤亡事故且工伤责任事故死亡人数为零，</w:t>
      </w:r>
      <w:r>
        <w:rPr>
          <w:rFonts w:hint="eastAsia" w:ascii="宋体" w:hAnsi="宋体" w:cs="宋体"/>
          <w:b/>
          <w:bCs/>
          <w:color w:val="auto"/>
          <w:sz w:val="24"/>
          <w:szCs w:val="24"/>
          <w:highlight w:val="none"/>
        </w:rPr>
        <w:t>达到“</w:t>
      </w:r>
      <w:r>
        <w:rPr>
          <w:rFonts w:hint="eastAsia" w:ascii="宋体" w:hAnsi="宋体" w:cs="宋体"/>
          <w:color w:val="auto"/>
          <w:sz w:val="24"/>
          <w:szCs w:val="24"/>
          <w:highlight w:val="none"/>
          <w:shd w:val="clear" w:color="auto" w:fill="FFFFFF"/>
        </w:rPr>
        <w:t>广东省房屋市政工程安全生产文明施工示范工地</w:t>
      </w:r>
      <w:r>
        <w:rPr>
          <w:rFonts w:hint="eastAsia" w:ascii="宋体" w:hAnsi="宋体" w:cs="宋体"/>
          <w:b/>
          <w:bCs/>
          <w:color w:val="auto"/>
          <w:sz w:val="24"/>
          <w:szCs w:val="24"/>
          <w:highlight w:val="none"/>
        </w:rPr>
        <w:t>”的安全文明管理标准</w:t>
      </w:r>
      <w:r>
        <w:rPr>
          <w:rFonts w:hint="eastAsia" w:ascii="宋体" w:hAnsi="宋体" w:cs="宋体"/>
          <w:color w:val="auto"/>
          <w:sz w:val="24"/>
          <w:szCs w:val="24"/>
          <w:highlight w:val="none"/>
        </w:rPr>
        <w:t>。中标人进场后需编制“创建广东省安全文明施工样板工地”实施方案，明确各阶段安全文明管理目标、管理要求、资源投入、形象展示等措施。</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广州市提升建设工程安全文明施工管理水平的工作指引》2.0版本、《广州市住房和城乡建设局等9部门关于印发广州市建设工程绿色施工围蔽图集（V2.0版）》；《广州市住房和城乡建设局关于印发广州市房屋建筑工程安全防护指导图集（防高坠篇）的通知》《广州市住房和城乡建设局关于规范建筑施工立面外防护架标准的通知》、须满足《广州市住房和城乡建设局等8部门关于印发广州市建设工程扬尘防治“6个100%”管理标准图集（V2.0版）的通知》《广州市城乡建设委员会关于印发广州市加强建筑工地环保管理工作方案的通知》(穗建质〔2014〕754号)、《广州市提升建设工程安全文明施工管理水平的工作指引》(穗建质〔2017〕815号)和市现行管理规定等文件的要求，加强建筑工地文明施工管理，控制施工扬尘、噪声污染，推进生态文明建设；确保噪声污染、扬尘污染等环境污染问题零投诉。</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中标人在施工过程中必须严格执行安全文明施工方案，做到安全防护、文明施工措施费专款专用，严禁挪用。每月应书面将安全防护、文明施工措施费使用计划提交给招标人、监理单位审批，并定期将安全防护、文明施工措施费使用情况（含进场验收证明、发票等单据及现场照片）提交招标人、监理单位核实。</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针对本项目的特点，中标人必须对深基坑支护工程、模板工程及支撑体系、起重吊装及安装拆卸工程、脚手架工程、拆除工程、幕墙工程、高支模工程等危险性较大的分部分项工程进行重点管理，编制专项施工方案报监理单位审核，并按规定组织专家组论证审批，按经审批通过的施工方案组织实施。如需要报地铁保护办公室审批的按照地铁集团要求办理并按照要求实施，相关费用已包含在总费用中。在施工过程中如发现异常情况，必须能有效启动紧急预案，确保人员的安全。如因此造成损失或人员伤亡，由承包人承担相应的赔偿责任。</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在工程实施期间，中标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6.中标人负责工程全过程所有建筑垃圾由垃圾集中堆放点清理外运至合法建筑垃圾处理场。中标人在总平面布置中规划和修建临时垃圾集中堆放点，并负责按施工要求迁移或恢复。垃圾集中点堆放位置应距离任何专业承包单位工作平面距离不超过100m，竖向距离主楼不超过3层、地下室每层均需设置。中标人负责垃圾集中堆放点内垃圾清理外运，专业承包单位负责清理接管工作面、加工场、堆场内的建筑垃圾，并负责运输至中标人修建的垃圾集中堆放点。无论何种情况的发生，中标人必须对现场垃圾及时清理负责，如现场垃圾清理不满足要求的，监理单位应向中标人发出书面整改通知，明确整改期限（不少于 3 个工作日）；中标人逾期未整改或整改不合格的，发包人可委托他人整改，费用按实际发生额从合同价款中扣除。监理单位、招标人或监督部门在安全文明施工检查过程中，如发现施工现场不满足国家、省、市关于安全文明生产的相关规定和招标人对本工程安全文明施工的相关要求，且不按监理单位要求在限定时间内整改完毕的，招标人可以自行或委托他人实施整改，所发生的费用从安全防护、文明施工措施费款项中扣除，不足部分从中标人的合同价款中扣除。</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7.中标人在地下工程施工时，须配备足够的、质量合格的排水、降水设备，并安排专人负责排水、降水工作。投标人须自行结合现场实际情况综合考虑现场排水降水措施，并安排专人负责排水工作，投标报价需综合相关措施所造成的费用。</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8.要求中标人进场后需对本项目施工过程场地平面布置及分阶段利用方案进行综合考虑。中标人综合考虑临时办公区和生活区临时板房和设施二次搬迁费用。</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9.要求中标人按《建设项目环境保护管理条例》要求，考虑施工对环境的影响，有针对性地制定环境管理计划及应急处理预案。做到不因施工而影响周边环境，同时确保工期进度。</w:t>
      </w:r>
    </w:p>
    <w:p>
      <w:pPr>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10.中标人必须对施工现场进行围蔽管理，所有进场人员必须经过门卫的检查，通过安防系统检查通过后进入施工现场，所有进出场人员必须有记录备查，必须做到人车分流。</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11.中标人应在开工前按《广州市建设领域工人工资支付分账管理实施细则》（</w:t>
      </w:r>
      <w:r>
        <w:rPr>
          <w:rFonts w:hint="eastAsia" w:ascii="宋体" w:hAnsi="宋体" w:eastAsia="宋体" w:cs="宋体"/>
          <w:i w:val="0"/>
          <w:iCs w:val="0"/>
          <w:caps w:val="0"/>
          <w:color w:val="auto"/>
          <w:spacing w:val="0"/>
          <w:sz w:val="24"/>
          <w:szCs w:val="24"/>
          <w:highlight w:val="none"/>
          <w:shd w:val="clear"/>
        </w:rPr>
        <w:t>穗建规字〔2020〕37号</w:t>
      </w:r>
      <w:r>
        <w:rPr>
          <w:rFonts w:hint="eastAsia" w:ascii="宋体" w:hAnsi="宋体" w:cs="宋体"/>
          <w:color w:val="auto"/>
          <w:sz w:val="24"/>
          <w:szCs w:val="24"/>
          <w:highlight w:val="none"/>
        </w:rPr>
        <w:t>）的规定开立工人工资支付专用账户。</w:t>
      </w:r>
      <w:r>
        <w:rPr>
          <w:rFonts w:hint="eastAsia" w:ascii="宋体" w:hAnsi="宋体" w:cs="宋体"/>
          <w:color w:val="auto"/>
          <w:sz w:val="24"/>
          <w:szCs w:val="24"/>
          <w:highlight w:val="none"/>
          <w:lang w:val="en-US" w:eastAsia="zh-CN"/>
        </w:rPr>
        <w:t>并签订</w:t>
      </w:r>
      <w:r>
        <w:rPr>
          <w:rFonts w:hint="eastAsia" w:ascii="宋体" w:hAnsi="宋体" w:eastAsia="宋体" w:cs="宋体"/>
          <w:color w:val="auto"/>
          <w:sz w:val="24"/>
          <w:szCs w:val="24"/>
          <w:highlight w:val="none"/>
          <w:lang w:bidi="ar"/>
        </w:rPr>
        <w:t>资金监管账户</w:t>
      </w:r>
      <w:r>
        <w:rPr>
          <w:rFonts w:hint="eastAsia" w:ascii="宋体" w:hAnsi="宋体" w:eastAsia="宋体" w:cs="宋体"/>
          <w:color w:val="auto"/>
          <w:sz w:val="24"/>
          <w:szCs w:val="24"/>
          <w:highlight w:val="none"/>
          <w:lang w:val="en-US" w:eastAsia="zh-CN" w:bidi="ar"/>
        </w:rPr>
        <w:t>监管协议</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工人工资分账管理</w:t>
      </w:r>
      <w:r>
        <w:rPr>
          <w:rFonts w:hint="eastAsia" w:ascii="宋体" w:hAnsi="宋体" w:eastAsia="宋体" w:cs="宋体"/>
          <w:color w:val="auto"/>
          <w:sz w:val="24"/>
          <w:szCs w:val="24"/>
          <w:highlight w:val="none"/>
          <w:lang w:bidi="ar"/>
        </w:rPr>
        <w:t>协议，详见附件：</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rPr>
        <w:t>项目工程款资金账户监管协议</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工人工资支付分账管理的补充协议</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eastAsia="zh" w:bidi="ar"/>
        </w:rPr>
        <w:t>。</w:t>
      </w:r>
      <w:r>
        <w:rPr>
          <w:rFonts w:hint="eastAsia" w:ascii="宋体" w:hAnsi="宋体" w:cs="宋体"/>
          <w:color w:val="auto"/>
          <w:sz w:val="24"/>
          <w:szCs w:val="24"/>
          <w:highlight w:val="none"/>
        </w:rPr>
        <w:t>如因中标人未按规定开立、使用、变更、撤销工人工资支付专用账户导致本工程施工许可证未能如期办理、拖欠和克扣工人工资造成群体性事件或其他不良行为的，由此引起的相关责任全部由中标人承担。</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12.中标人应当按照《广东省房屋建筑和市政基础设施工程用工实名管理暂行办法》（粤建规范〔2018〕1号）和《广州市住房和城乡建设局关于印发《广州市建筑施工实名管理办法》的通知》（穗建规字〔2017〕4号）的有关要求，利用信息技术手段，为施工现场人员（即实名管理对象，指建筑项目负责人、现场管理人员和作业工人）建立实名制管理机制，建立健全实名制信息采集、登记、报送、审核和档案管理的有关制度，落实实名管理制度，由此引起的一切责任和后果（包括不限于被纳入企业“黑名单”、按照招标及合同文件规定被发包人拒绝参与其后续工程招标项目投标等）均由中标人自行承担。中标人对实名管理负总责，应当对其专业分包单位和劳务分包单位实施统一管理，监督其用工单位按时足额支付作业工人工资，督促其落实实名管理制度。发包人直接发包的专业</w:t>
      </w:r>
      <w:r>
        <w:rPr>
          <w:rFonts w:hint="eastAsia" w:ascii="宋体" w:hAnsi="宋体" w:cs="宋体"/>
          <w:color w:val="auto"/>
          <w:sz w:val="24"/>
          <w:szCs w:val="24"/>
          <w:highlight w:val="none"/>
          <w:lang w:eastAsia="zh"/>
        </w:rPr>
        <w:t>工程，专业工程</w:t>
      </w:r>
      <w:r>
        <w:rPr>
          <w:rFonts w:hint="eastAsia" w:ascii="宋体" w:hAnsi="宋体" w:cs="宋体"/>
          <w:color w:val="auto"/>
          <w:sz w:val="24"/>
          <w:szCs w:val="24"/>
          <w:highlight w:val="none"/>
        </w:rPr>
        <w:t>承包单位应按</w:t>
      </w:r>
      <w:r>
        <w:rPr>
          <w:rFonts w:hint="eastAsia" w:ascii="宋体" w:hAnsi="宋体" w:cs="宋体"/>
          <w:color w:val="auto"/>
          <w:sz w:val="24"/>
          <w:szCs w:val="24"/>
          <w:highlight w:val="none"/>
          <w:lang w:eastAsia="zh"/>
        </w:rPr>
        <w:t>监督部门</w:t>
      </w:r>
      <w:r>
        <w:rPr>
          <w:rFonts w:hint="eastAsia" w:ascii="宋体" w:hAnsi="宋体" w:cs="宋体"/>
          <w:color w:val="auto"/>
          <w:sz w:val="24"/>
          <w:szCs w:val="24"/>
          <w:highlight w:val="none"/>
        </w:rPr>
        <w:t>要求</w:t>
      </w:r>
      <w:r>
        <w:rPr>
          <w:rFonts w:hint="eastAsia" w:ascii="宋体" w:hAnsi="宋体" w:cs="宋体"/>
          <w:color w:val="auto"/>
          <w:sz w:val="24"/>
          <w:szCs w:val="24"/>
          <w:highlight w:val="none"/>
          <w:lang w:eastAsia="zh"/>
        </w:rPr>
        <w:t>纳入中标人的</w:t>
      </w:r>
      <w:r>
        <w:rPr>
          <w:rFonts w:hint="eastAsia" w:ascii="宋体" w:hAnsi="宋体" w:cs="宋体"/>
          <w:color w:val="auto"/>
          <w:sz w:val="24"/>
          <w:szCs w:val="24"/>
          <w:highlight w:val="none"/>
        </w:rPr>
        <w:t>实名</w:t>
      </w:r>
      <w:r>
        <w:rPr>
          <w:rFonts w:hint="eastAsia" w:ascii="宋体" w:hAnsi="宋体" w:cs="宋体"/>
          <w:color w:val="auto"/>
          <w:sz w:val="24"/>
          <w:szCs w:val="24"/>
          <w:highlight w:val="none"/>
          <w:lang w:eastAsia="zh"/>
        </w:rPr>
        <w:t>制</w:t>
      </w:r>
      <w:r>
        <w:rPr>
          <w:rFonts w:hint="eastAsia" w:ascii="宋体" w:hAnsi="宋体" w:cs="宋体"/>
          <w:color w:val="auto"/>
          <w:sz w:val="24"/>
          <w:szCs w:val="24"/>
          <w:highlight w:val="none"/>
        </w:rPr>
        <w:t>管理。</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13.中标人应严格按照《关于印发</w:t>
      </w:r>
      <w:r>
        <w:rPr>
          <w:rFonts w:hint="eastAsia" w:ascii="宋体" w:hAnsi="宋体" w:cs="宋体"/>
          <w:color w:val="auto"/>
          <w:sz w:val="24"/>
          <w:szCs w:val="24"/>
          <w:highlight w:val="none"/>
          <w:lang w:eastAsia="zh"/>
        </w:rPr>
        <w:t>&lt;</w:t>
      </w:r>
      <w:r>
        <w:rPr>
          <w:rFonts w:hint="eastAsia" w:ascii="宋体" w:hAnsi="宋体" w:cs="宋体"/>
          <w:color w:val="auto"/>
          <w:sz w:val="24"/>
          <w:szCs w:val="24"/>
          <w:highlight w:val="none"/>
        </w:rPr>
        <w:t>建筑施工企业安全生产管理机构设置及专职安全生产管理人员配备办法</w:t>
      </w:r>
      <w:r>
        <w:rPr>
          <w:rFonts w:hint="eastAsia" w:ascii="宋体" w:hAnsi="宋体" w:cs="宋体"/>
          <w:color w:val="auto"/>
          <w:sz w:val="24"/>
          <w:szCs w:val="24"/>
          <w:highlight w:val="none"/>
          <w:lang w:eastAsia="zh"/>
        </w:rPr>
        <w:t>&gt;</w:t>
      </w:r>
      <w:r>
        <w:rPr>
          <w:rFonts w:hint="eastAsia" w:ascii="宋体" w:hAnsi="宋体" w:cs="宋体"/>
          <w:color w:val="auto"/>
          <w:sz w:val="24"/>
          <w:szCs w:val="24"/>
          <w:highlight w:val="none"/>
        </w:rPr>
        <w:t>的通知》文件要求，安排相关具有资质的专职安全员驻场开展安全管理工作，且应督促专业承包单位按上述要求配备足够数量的专职安全员开展安全管理工作。</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14.中标人须严格按照《关于印发《建筑施工特种作业人员管理规定》的通知》《广东省建设厅关于印发《广东省建筑施工特种作业人员管理实施细则》的通知》两个文件要求，落实特种作业人员持证上岗工作。</w:t>
      </w:r>
      <w:r>
        <w:rPr>
          <w:color w:val="auto"/>
          <w:highlight w:val="none"/>
        </w:rPr>
        <w:t>特种作业人员证件需每半年复核 1 次，确保证件在有效期内且与作业类型匹配，复核记录报监理单位备案</w:t>
      </w:r>
      <w:r>
        <w:rPr>
          <w:rFonts w:hint="eastAsia"/>
          <w:color w:val="auto"/>
          <w:highlight w:val="none"/>
        </w:rPr>
        <w:t>。</w:t>
      </w:r>
      <w:r>
        <w:rPr>
          <w:color w:val="auto"/>
          <w:highlight w:val="none"/>
        </w:rPr>
        <w:t>建立特种作业人员台账，包含姓名、证件编号、作业类别、培训记录，动态更新并在施工现场公示</w:t>
      </w:r>
      <w:r>
        <w:rPr>
          <w:rFonts w:hint="eastAsia"/>
          <w:color w:val="auto"/>
          <w:highlight w:val="none"/>
        </w:rPr>
        <w:t>。</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15.中标人应在钢筋绑扎安装前，安排专职安全员、质检员对混凝土模板支撑体系进行检查，合格后，方可向招标人、监理单位申请验收，验收通过后应及时悬挂验收合格标识；混凝土模板支撑体系在拆除前，混凝土强度（同条件试块实测抗压强度）须达到设计及规范要求，且应书面经招标人、监理单位审批。</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16.起重设备、施工电梯、永久电梯、吊篮安装前，应向建设行政主管部门办妥安全告知手续后方可安装；安装完成后，应委托具有资质的检测单位进行检测，合格后，在向建设行政主管部门申领使用登记牌后方可使用；运行使用过程中，应定期安排具有资质的维保单位进行维护保养和检测，并定期将维修保养记录、检测检修记录向招标人、监理单位报审。中标人应向各专业分包人提供施工电梯、塔吊等垂直运输装置和机械，包括机械设备人员的操作，但进出垂直运输工具的装卸或工作由专业分包人自行负责。在施工脚手架、排栅尚未拆除前，中标人应向各专业分包人无条件地提供现有的施工脚手架、排栅和现成的爬梯等设施使用，并保证上述设施使用过程的安全。中标人搭设拆除脚手架时应协调各专业分包人的施工需要及进度，满足各专业分包人的合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17.中标人应根据《建筑施工高处作业安全技术规范》JGJ 80-2016之要求，当现场存在上下立体交叉作业时，不得在同一垂直方向上操作，下层作业的位置，必须处于依上层高度确定的可能坠落范围半径之外。不符合以上条件时，应设置安全防护层。结构施工自二层起，凡人员进出的通道口（包括井架、施工用电梯的进出通道口）均应搭设安全防护棚。高度超过24m的层次上的交叉作业，应设双层防护。由于上方施工可能坠落物件或处于起重机把杆回转范围之内的通道，在其受影响的范围内，必须搭设顶部能防止穿透的双层防护廊。安全防护层经验收合格后，方可投入使用。</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18.中标人应根据《广州市建设工程施工现场消防安全管理规定》（穗建质〔2011〕617号）、《建设工程施工现场消防安全技术规范》GB 50720-2011之要求，健全消防安全管理体系</w:t>
      </w:r>
      <w:r>
        <w:rPr>
          <w:rFonts w:hint="eastAsia" w:ascii="宋体" w:hAnsi="宋体" w:eastAsia="宋体" w:cs="宋体"/>
          <w:color w:val="auto"/>
          <w:sz w:val="24"/>
          <w:szCs w:val="24"/>
          <w:highlight w:val="none"/>
        </w:rPr>
        <w:t>，明确消防安全管理职责，制订完善的消防管理和检查制度，落实消防器具和消防设施经费，施工现场消防设施（灭火器、消防栓、应急照明）每周由专职安全员检查 1 次，每月组织监理单位联合检查 1 次，检查记录存档并建立消防安全管理档案，消防水管需每月试压 1 次，确保水压满足灭火要求，损坏设施需 24 小时内更换，并定期组织消防应急演练，确保施工现场、办公区和生活区不发生火灾事故。否则，招标人、监理单位可以下</w:t>
      </w:r>
      <w:r>
        <w:rPr>
          <w:rFonts w:hint="eastAsia" w:ascii="宋体" w:hAnsi="宋体" w:cs="宋体"/>
          <w:color w:val="auto"/>
          <w:sz w:val="24"/>
          <w:szCs w:val="24"/>
          <w:highlight w:val="none"/>
        </w:rPr>
        <w:t>达停工令要求中标人进行整改，且工期不得顺延。</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lang w:eastAsia="zh"/>
        </w:rPr>
      </w:pPr>
      <w:r>
        <w:rPr>
          <w:rFonts w:hint="eastAsia" w:ascii="宋体" w:hAnsi="宋体" w:cs="宋体"/>
          <w:color w:val="auto"/>
          <w:sz w:val="24"/>
          <w:szCs w:val="24"/>
          <w:highlight w:val="none"/>
          <w:lang w:eastAsia="zh"/>
        </w:rPr>
        <w:t>19、</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lang w:eastAsia="zh" w:bidi="ar"/>
        </w:rPr>
        <w:t>暂估价单位的安全</w:t>
      </w:r>
      <w:r>
        <w:rPr>
          <w:rFonts w:hint="eastAsia" w:ascii="宋体" w:hAnsi="宋体" w:cs="宋体"/>
          <w:color w:val="auto"/>
          <w:sz w:val="24"/>
          <w:szCs w:val="24"/>
          <w:highlight w:val="none"/>
          <w:lang w:val="en-US" w:eastAsia="zh-CN" w:bidi="ar"/>
        </w:rPr>
        <w:t>生产</w:t>
      </w:r>
      <w:r>
        <w:rPr>
          <w:rFonts w:hint="eastAsia" w:ascii="宋体" w:hAnsi="宋体" w:cs="宋体"/>
          <w:color w:val="auto"/>
          <w:sz w:val="24"/>
          <w:szCs w:val="24"/>
          <w:highlight w:val="none"/>
          <w:lang w:eastAsia="zh" w:bidi="ar"/>
        </w:rPr>
        <w:t>、文明施工工作由中标人统一管理。</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（四）投资控制要求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1.中标人须在</w:t>
      </w:r>
      <w:r>
        <w:rPr>
          <w:rFonts w:hint="eastAsia" w:ascii="宋体" w:hAnsi="宋体" w:cs="宋体"/>
          <w:color w:val="auto"/>
          <w:sz w:val="24"/>
          <w:szCs w:val="24"/>
          <w:highlight w:val="none"/>
          <w:lang w:val="en-US" w:eastAsia="zh-CN"/>
        </w:rPr>
        <w:t>合同签订</w:t>
      </w:r>
      <w:r>
        <w:rPr>
          <w:rFonts w:hint="eastAsia" w:ascii="宋体" w:hAnsi="宋体" w:cs="宋体"/>
          <w:color w:val="auto"/>
          <w:sz w:val="24"/>
          <w:szCs w:val="24"/>
          <w:highlight w:val="none"/>
        </w:rPr>
        <w:t>后60日历天内按照招标时发放图纸进行招标清单工程量复核，将与招标清单工程量的差异向发包人提出，发包人组织对工程量差异进行审核，经全过程造价咨询单位复核，双方确认后报监理单位、项目管理单位和发包人审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达成一致。</w:t>
      </w:r>
      <w:r>
        <w:rPr>
          <w:rFonts w:hint="eastAsia" w:ascii="宋体" w:hAnsi="宋体" w:cs="宋体"/>
          <w:color w:val="auto"/>
          <w:sz w:val="24"/>
          <w:szCs w:val="24"/>
          <w:highlight w:val="none"/>
        </w:rPr>
        <w:t>如果双方不能达成一致，造价争议问题施工单位与造价咨询单位协商不成，发包人、承包人双方协定，难以解决的造价问题，可协商通过广东省定额站造价平台咨询相关专业定额专家意见解决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对于工程量差异过大的部分，发包人可采取调整图纸或发包范围的方式合理解决。若未在约定期限内提出相关报告，将视为对招标工程量清单表示认同，以后不得再以清单缺项或不准确为由向发包人索赔。</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2.结算总金额控制在经</w:t>
      </w:r>
      <w:r>
        <w:rPr>
          <w:rFonts w:hint="eastAsia" w:ascii="宋体" w:hAnsi="宋体" w:cs="宋体"/>
          <w:color w:val="auto"/>
          <w:sz w:val="24"/>
          <w:szCs w:val="24"/>
          <w:highlight w:val="none"/>
          <w:lang w:eastAsia="zh"/>
        </w:rPr>
        <w:t>广东省发展和改革委员会</w:t>
      </w:r>
      <w:r>
        <w:rPr>
          <w:rFonts w:hint="eastAsia" w:ascii="宋体" w:hAnsi="宋体" w:cs="宋体"/>
          <w:color w:val="auto"/>
          <w:sz w:val="24"/>
          <w:szCs w:val="24"/>
          <w:highlight w:val="none"/>
        </w:rPr>
        <w:t>审批的概算金额内。发包人有权将审定的概算中的建安工程费按各单项工程、单位工程、专业工程、分部工程、主要分项工程等进行分解，分解后的建安工程费分别作为限额控制的直接依据。</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中标人须协助甲方加强投资控制，每期申请进度款的计量计价应准确，进度款的申请应与主要材料设备采购计划相匹配，严禁虚报计量（中标人申报的进度款金额超出经监理人、发包人核实金额的10%，视为中标人虚报计量）或超前计量，否则严格按合同约定承担违约责任。</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4.在施工过程中发生的工程变更等引起合同价款调增事件后30天内，中标人未按合同约定办理变更工程预算审批的，视为中标人不增加合同价款。</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本项目施工排水、降水费用指本工程承包范围内包括±00以下结构工程施工而产生的成井、排水、降水、地下水治理及根据现场情况（包括但不限于使用及维护邻近单位已有的排水设施）发生的一切费用，包含施工期间雨水、污水的排除费用（在预算包干费中已考虑）。</w:t>
      </w:r>
      <w:r>
        <w:rPr>
          <w:rFonts w:hint="eastAsia" w:ascii="宋体" w:hAnsi="宋体" w:cs="宋体"/>
          <w:color w:val="auto"/>
          <w:sz w:val="24"/>
          <w:szCs w:val="24"/>
          <w:highlight w:val="none"/>
          <w:lang w:val="en-US" w:eastAsia="zh-CN"/>
        </w:rPr>
        <w:t>非特殊原因</w:t>
      </w:r>
      <w:r>
        <w:rPr>
          <w:rFonts w:hint="eastAsia" w:ascii="宋体" w:hAnsi="宋体" w:cs="宋体"/>
          <w:color w:val="auto"/>
          <w:sz w:val="24"/>
          <w:szCs w:val="24"/>
          <w:highlight w:val="none"/>
        </w:rPr>
        <w:t>基坑排水要求3小时</w:t>
      </w:r>
      <w:r>
        <w:rPr>
          <w:rFonts w:hint="eastAsia" w:ascii="宋体" w:hAnsi="宋体" w:cs="宋体"/>
          <w:color w:val="auto"/>
          <w:sz w:val="24"/>
          <w:szCs w:val="24"/>
          <w:highlight w:val="none"/>
          <w:lang w:val="en-US" w:eastAsia="zh-CN"/>
        </w:rPr>
        <w:t>排</w:t>
      </w:r>
      <w:r>
        <w:rPr>
          <w:rFonts w:hint="eastAsia" w:ascii="宋体" w:hAnsi="宋体" w:cs="宋体"/>
          <w:color w:val="auto"/>
          <w:sz w:val="24"/>
          <w:szCs w:val="24"/>
          <w:highlight w:val="none"/>
        </w:rPr>
        <w:t>干，保证施工正常进行。施工排水、降水费用属合同价包干项目，如监理人检查排水、降水工作不满足现场施工要求，经书面警告后，仍整改不到位，中标人须按合同约定承担违约责任。</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（五）人员配置要求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1.中标人进场后10天内分别组建完成组织管理架构、安全管理架构负责现场的施工管理工作，九大员必须持证上岗，各管理架构及其架构人员社保证明报发包人、监理人审批。管理架构成员配备要求见下表。</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2.关于施工总承</w:t>
      </w:r>
      <w:bookmarkStart w:id="11" w:name="_GoBack"/>
      <w:bookmarkEnd w:id="11"/>
      <w:r>
        <w:rPr>
          <w:rFonts w:hint="eastAsia" w:ascii="宋体" w:hAnsi="宋体" w:cs="宋体"/>
          <w:color w:val="auto"/>
          <w:sz w:val="24"/>
          <w:szCs w:val="24"/>
          <w:highlight w:val="none"/>
        </w:rPr>
        <w:t>包管理及专业配合服务团队的要求。为了确保在多单位交叉施工期间各专业施工队伍合理配合，有条不紊开展施工，要求中标人专门成立施工总承包管理及专业配合服务团队负责履行施工总承包配合服务工作。该团队人员组成方案须报监理人、发包人审批，驻场工作期限至项目竣工验收合格。</w:t>
      </w:r>
    </w:p>
    <w:p>
      <w:pPr>
        <w:adjustRightInd w:val="0"/>
        <w:snapToGrid w:val="0"/>
        <w:spacing w:line="360" w:lineRule="auto"/>
        <w:ind w:firstLine="0"/>
        <w:jc w:val="center"/>
        <w:rPr>
          <w:rFonts w:hint="eastAsia" w:ascii="宋体" w:hAnsi="宋体" w:cs="仿宋"/>
          <w:color w:val="auto"/>
          <w:sz w:val="24"/>
          <w:szCs w:val="24"/>
          <w:highlight w:val="none"/>
        </w:rPr>
      </w:pPr>
      <w:r>
        <w:rPr>
          <w:rFonts w:hint="eastAsia" w:ascii="宋体" w:hAnsi="宋体" w:cs="仿宋"/>
          <w:b/>
          <w:color w:val="auto"/>
          <w:sz w:val="24"/>
          <w:szCs w:val="24"/>
          <w:highlight w:val="none"/>
        </w:rPr>
        <w:t>项目管理部组成人员配备要求表</w:t>
      </w:r>
      <w:r>
        <w:rPr>
          <w:rFonts w:hint="eastAsia" w:ascii="宋体" w:hAnsi="宋体" w:cs="仿宋"/>
          <w:b w:val="0"/>
          <w:bCs/>
          <w:color w:val="auto"/>
          <w:sz w:val="24"/>
          <w:szCs w:val="24"/>
          <w:highlight w:val="none"/>
          <w:lang w:eastAsia="zh-CN"/>
        </w:rPr>
        <w:t>（</w:t>
      </w:r>
      <w:r>
        <w:rPr>
          <w:rFonts w:hint="eastAsia" w:ascii="宋体" w:hAnsi="宋体" w:cs="仿宋"/>
          <w:b w:val="0"/>
          <w:bCs/>
          <w:color w:val="auto"/>
          <w:sz w:val="24"/>
          <w:szCs w:val="24"/>
          <w:highlight w:val="none"/>
          <w:lang w:val="en-US" w:eastAsia="zh-CN"/>
        </w:rPr>
        <w:t>可</w:t>
      </w:r>
      <w:r>
        <w:rPr>
          <w:rFonts w:hint="eastAsia" w:ascii="宋体" w:hAnsi="宋体" w:cs="仿宋"/>
          <w:b w:val="0"/>
          <w:bCs/>
          <w:color w:val="auto"/>
          <w:sz w:val="24"/>
          <w:szCs w:val="24"/>
          <w:highlight w:val="none"/>
          <w:lang w:val="en-US" w:eastAsia="zh-CN"/>
        </w:rPr>
        <w:t>中标后提供）</w:t>
      </w:r>
    </w:p>
    <w:tbl>
      <w:tblPr>
        <w:tblStyle w:val="16"/>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95"/>
        <w:gridCol w:w="437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基本要求</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项目指挥长</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由投标人现任本公司副总经理、总工程师或以上行政职务，并已在本公司任该职满半年或以上的领导担任。</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按招标公告要求。</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项目副经理</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eastAsia="宋体" w:cs="宋体"/>
                <w:color w:val="auto"/>
                <w:sz w:val="24"/>
                <w:szCs w:val="24"/>
                <w:highlight w:val="none"/>
              </w:rPr>
              <w:t>具有建筑工程</w:t>
            </w:r>
            <w:r>
              <w:rPr>
                <w:rFonts w:hint="eastAsia" w:ascii="宋体" w:hAnsi="宋体" w:cs="宋体"/>
                <w:color w:val="auto"/>
                <w:sz w:val="24"/>
                <w:szCs w:val="24"/>
                <w:highlight w:val="none"/>
                <w:lang w:eastAsia="zh-CN"/>
              </w:rPr>
              <w:t>类</w:t>
            </w:r>
            <w:r>
              <w:rPr>
                <w:rFonts w:hint="eastAsia" w:ascii="宋体" w:hAnsi="宋体" w:eastAsia="宋体" w:cs="宋体"/>
                <w:color w:val="auto"/>
                <w:sz w:val="24"/>
                <w:szCs w:val="24"/>
                <w:highlight w:val="none"/>
              </w:rPr>
              <w:t>相关专业中级工程师技术职称</w:t>
            </w:r>
            <w:r>
              <w:rPr>
                <w:rFonts w:hint="eastAsia" w:ascii="宋体" w:hAnsi="宋体" w:cs="宋体"/>
                <w:color w:val="auto"/>
                <w:kern w:val="0"/>
                <w:sz w:val="24"/>
                <w:szCs w:val="24"/>
                <w:highlight w:val="none"/>
              </w:rPr>
              <w:t>。</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项目技术负责人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按招标公告要求。</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造价负责人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单位在编人员，</w:t>
            </w:r>
            <w:r>
              <w:rPr>
                <w:rFonts w:hint="eastAsia" w:ascii="宋体" w:hAnsi="宋体" w:eastAsia="宋体" w:cs="宋体"/>
                <w:color w:val="auto"/>
                <w:sz w:val="24"/>
                <w:szCs w:val="24"/>
                <w:highlight w:val="none"/>
              </w:rPr>
              <w:t>具有建筑工程造价相关专业中级工程师技术职称</w:t>
            </w:r>
            <w:r>
              <w:rPr>
                <w:rFonts w:hint="eastAsia" w:ascii="宋体" w:hAnsi="宋体" w:cs="宋体"/>
                <w:color w:val="auto"/>
                <w:sz w:val="24"/>
                <w:szCs w:val="24"/>
                <w:highlight w:val="none"/>
              </w:rPr>
              <w:t>。</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安全负责人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shd w:val="clear"/>
              </w:rPr>
              <w:t>单位在编人员</w:t>
            </w:r>
            <w:r>
              <w:rPr>
                <w:rFonts w:hint="eastAsia" w:ascii="宋体" w:hAnsi="宋体" w:cs="宋体"/>
                <w:color w:val="auto"/>
                <w:sz w:val="24"/>
                <w:szCs w:val="24"/>
                <w:highlight w:val="none"/>
                <w:shd w:val="clear"/>
                <w:lang w:eastAsia="zh-CN"/>
              </w:rPr>
              <w:t>，</w:t>
            </w:r>
            <w:r>
              <w:rPr>
                <w:rFonts w:hint="eastAsia" w:ascii="宋体" w:hAnsi="宋体" w:cs="宋体"/>
                <w:color w:val="auto"/>
                <w:sz w:val="24"/>
                <w:szCs w:val="24"/>
                <w:highlight w:val="none"/>
                <w:lang w:bidi="ar"/>
              </w:rPr>
              <w:t>具有建筑工程类相关专业中级工程师技术职称</w:t>
            </w:r>
            <w:r>
              <w:rPr>
                <w:rFonts w:hint="eastAsia" w:ascii="宋体" w:hAnsi="宋体" w:eastAsia="宋体" w:cs="宋体"/>
                <w:color w:val="auto"/>
                <w:sz w:val="24"/>
                <w:szCs w:val="24"/>
                <w:highlight w:val="none"/>
                <w:lang w:eastAsia="zh-CN" w:bidi="ar"/>
              </w:rPr>
              <w:t>。</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质量负责人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单位在编人员，具有建筑工程类相关专业中级工程师技术职称的</w:t>
            </w:r>
            <w:r>
              <w:rPr>
                <w:rFonts w:hint="eastAsia" w:ascii="宋体" w:hAnsi="宋体" w:cs="宋体"/>
                <w:bCs/>
                <w:color w:val="auto"/>
                <w:kern w:val="44"/>
                <w:sz w:val="24"/>
                <w:szCs w:val="24"/>
                <w:highlight w:val="none"/>
              </w:rPr>
              <w:t>。</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土建工程师</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rPr>
              <w:t>4名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单位在编人员，具有土建类相关专业中级或以上技术职称。</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机电工程师</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rPr>
              <w:t>3名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单位在编人员，具有机电类相关专业中级或以上技术职称。</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质量管理、质检员</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rPr>
              <w:t>6名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单位在编人员，具备土建工程类相关专业中级或以上技术职称。</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测量工程师</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rPr>
              <w:t>4名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单位在编人员，具备测量类或土建类相关专业中级或以上技术职称。</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造价管理工程师</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rPr>
              <w:t>2名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单位在编人员</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rPr>
              <w:t>具备土建或安装工程类相关专业中级或以上技术职称。</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专职安全员</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rPr>
              <w:t>5名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按《建筑施工企业、工程项目安全生产管理机构设置及安全生产管理人员配备办法》第二十六条。单位在编人员，持有安全生产考核合格证或建筑施工企业专职安全生产管理人员安全生产考核合格证书（C类）机械类（C1）、土建类（C2）、综合类（C3）少各一名。</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资料员（数据员、图文件信息管理员）</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熟悉各种办公软件的使用，满足业主信息化管理要求。</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其他工程技术人员</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rPr>
              <w:t>8名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具有土建类或机电类相关初级或以上技术职称。</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BIM项目工程师（按照专业配置）</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名</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至少配备BIM建模工程师、智慧工地运营管理员</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共计</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
              </w:rPr>
              <w:t>≥</w:t>
            </w:r>
            <w:r>
              <w:rPr>
                <w:rFonts w:hint="eastAsia" w:ascii="宋体" w:hAnsi="宋体" w:cs="宋体"/>
                <w:color w:val="auto"/>
                <w:sz w:val="24"/>
                <w:szCs w:val="24"/>
                <w:highlight w:val="none"/>
                <w:shd w:val="clear"/>
              </w:rPr>
              <w:t>4</w:t>
            </w:r>
            <w:r>
              <w:rPr>
                <w:rFonts w:hint="eastAsia" w:ascii="宋体" w:hAnsi="宋体" w:cs="宋体"/>
                <w:color w:val="auto"/>
                <w:sz w:val="24"/>
                <w:szCs w:val="24"/>
                <w:highlight w:val="none"/>
                <w:shd w:val="clear"/>
                <w:lang w:val="en-US" w:eastAsia="zh-CN"/>
              </w:rPr>
              <w:t>3</w:t>
            </w:r>
          </w:p>
        </w:tc>
        <w:tc>
          <w:tcPr>
            <w:tcW w:w="437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szCs w:val="24"/>
                <w:highlight w:val="none"/>
              </w:rPr>
            </w:pPr>
          </w:p>
        </w:tc>
      </w:tr>
    </w:tbl>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lang w:eastAsia="zh"/>
        </w:rPr>
        <w:t>3</w:t>
      </w:r>
      <w:r>
        <w:rPr>
          <w:rFonts w:hint="eastAsia" w:ascii="宋体" w:hAnsi="宋体" w:cs="仿宋"/>
          <w:color w:val="auto"/>
          <w:sz w:val="24"/>
          <w:szCs w:val="24"/>
          <w:highlight w:val="none"/>
        </w:rPr>
        <w:t>.现场管理机构各部主要组织管理人员在开工前必须全部到位，并接受总监理工程师和发包人代表的查验。中标人委派的现场管理机构各部门主要组织管理人员不得有兼职情况存在，并接受监理单位的监督。</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lang w:eastAsia="zh"/>
        </w:rPr>
        <w:t>4</w:t>
      </w:r>
      <w:r>
        <w:rPr>
          <w:rFonts w:hint="eastAsia" w:ascii="宋体" w:hAnsi="宋体" w:cs="仿宋"/>
          <w:color w:val="auto"/>
          <w:sz w:val="24"/>
          <w:szCs w:val="24"/>
          <w:highlight w:val="none"/>
        </w:rPr>
        <w:t>.现场管理机构各部主要组织管理人员应与投标文件保持一致，发包人不要求更换时不得更换。因特殊情况需要更换的，中标人应以书面形式向监理单位提出意向（附前任和后任人员的详细履历资料），经总监理工程师签署意见后向发包人提出申请，征得发包人同意后方可更换。中标人必须保证后任人员的资质、资历、业绩、实际工作能力不低于前任人员的素质。</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lang w:eastAsia="zh"/>
        </w:rPr>
        <w:t>5</w:t>
      </w:r>
      <w:r>
        <w:rPr>
          <w:rFonts w:hint="eastAsia" w:ascii="宋体" w:hAnsi="宋体" w:cs="仿宋"/>
          <w:color w:val="auto"/>
          <w:sz w:val="24"/>
          <w:szCs w:val="24"/>
          <w:highlight w:val="none"/>
        </w:rPr>
        <w:t>.要求指挥长每月至少亲自组织2次工地现场会议，协调质量、进度、安全、文明施工等会议，并将相关会议纪要报监理单位和发包人备案。如果指挥长因故不能召开，经发包人批准，可委托同级别或以上的单位领导组织会议。如果指挥长、其同级别或以上的单位领导不能按上述要求组织会议，每缺席一次，就按合同约定承担违约责任。</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lang w:eastAsia="zh"/>
        </w:rPr>
        <w:t>6</w:t>
      </w:r>
      <w:r>
        <w:rPr>
          <w:rFonts w:hint="eastAsia" w:ascii="宋体" w:hAnsi="宋体" w:cs="仿宋"/>
          <w:color w:val="auto"/>
          <w:sz w:val="24"/>
          <w:szCs w:val="24"/>
          <w:highlight w:val="none"/>
        </w:rPr>
        <w:t>.中标人依法分包项目的分包负责人、材料设备供应商负责人应按监理人、发包人要求，参加工程例会。如无故缺席，应按合同约定承担违约责任。</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（六）主要施工机械设备要求</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rPr>
        <w:t>1.本项目需投入的主要机械设备基本要求详见下表，下表为施工最低需</w:t>
      </w:r>
      <w:r>
        <w:rPr>
          <w:rFonts w:hint="eastAsia" w:ascii="宋体" w:hAnsi="宋体" w:cs="仿宋"/>
          <w:color w:val="auto"/>
          <w:sz w:val="24"/>
          <w:szCs w:val="24"/>
          <w:highlight w:val="none"/>
          <w:lang w:eastAsia="zh"/>
        </w:rPr>
        <w:t>求</w:t>
      </w:r>
      <w:r>
        <w:rPr>
          <w:rFonts w:hint="eastAsia" w:ascii="宋体" w:hAnsi="宋体" w:cs="仿宋"/>
          <w:color w:val="auto"/>
          <w:sz w:val="24"/>
          <w:szCs w:val="24"/>
          <w:highlight w:val="none"/>
        </w:rPr>
        <w:t>，要求施工单位结合设计图纸、现场情况以及工期要求综合考虑设备投入数量。</w:t>
      </w:r>
    </w:p>
    <w:tbl>
      <w:tblPr>
        <w:tblStyle w:val="16"/>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854"/>
        <w:gridCol w:w="1193"/>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22" w:type="dxa"/>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序号</w:t>
            </w:r>
          </w:p>
        </w:tc>
        <w:tc>
          <w:tcPr>
            <w:tcW w:w="854" w:type="dxa"/>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设备名称</w:t>
            </w:r>
          </w:p>
        </w:tc>
        <w:tc>
          <w:tcPr>
            <w:tcW w:w="1193" w:type="dxa"/>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基本要求</w:t>
            </w:r>
          </w:p>
        </w:tc>
        <w:tc>
          <w:tcPr>
            <w:tcW w:w="5669" w:type="dxa"/>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2" w:type="dxa"/>
            <w:vAlign w:val="center"/>
          </w:tcPr>
          <w:p>
            <w:pPr>
              <w:numPr>
                <w:ilvl w:val="0"/>
                <w:numId w:val="5"/>
              </w:numPr>
              <w:spacing w:line="360" w:lineRule="auto"/>
              <w:jc w:val="center"/>
              <w:rPr>
                <w:rFonts w:hint="eastAsia" w:ascii="宋体" w:hAnsi="宋体" w:cs="仿宋"/>
                <w:color w:val="auto"/>
                <w:szCs w:val="21"/>
                <w:highlight w:val="none"/>
              </w:rPr>
            </w:pPr>
          </w:p>
        </w:tc>
        <w:tc>
          <w:tcPr>
            <w:tcW w:w="854"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塔吊</w:t>
            </w:r>
          </w:p>
        </w:tc>
        <w:tc>
          <w:tcPr>
            <w:tcW w:w="1193" w:type="dxa"/>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3台及以上</w:t>
            </w:r>
          </w:p>
        </w:tc>
        <w:tc>
          <w:tcPr>
            <w:tcW w:w="5669"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1.满足现场垂直运输所需，充分考虑周边环境的影响，做到基本全覆盖。其中一台必须满足大型机电设备吊装的需求。</w:t>
            </w:r>
          </w:p>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2.</w:t>
            </w:r>
            <w:r>
              <w:rPr>
                <w:rFonts w:ascii="宋体" w:hAnsi="宋体" w:cs="仿宋"/>
                <w:color w:val="auto"/>
                <w:szCs w:val="21"/>
                <w:highlight w:val="none"/>
              </w:rPr>
              <w:t>设备性能状况良好。</w:t>
            </w:r>
          </w:p>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3.塔吊附墙件必须为塔吊厂家配套产品，配套使用，严禁擅自加长，具有出厂合格证明。</w:t>
            </w:r>
          </w:p>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4.机械设备检测要求：①安装完成，检测一次，②塔吊、施工升降机最后一道附墙（最终高度）完成，检测一次，③每年检测报告到期（使用登记牌过期），检测一次，④</w:t>
            </w:r>
            <w:r>
              <w:rPr>
                <w:color w:val="auto"/>
                <w:highlight w:val="none"/>
              </w:rPr>
              <w:t>塔吊检测按《建筑起重机械安全监督管理规定》及设备出厂要求执行，超 5 年使用年限的，按</w:t>
            </w:r>
            <w:r>
              <w:rPr>
                <w:rFonts w:hint="eastAsia"/>
                <w:color w:val="auto"/>
                <w:highlight w:val="none"/>
              </w:rPr>
              <w:t>每季度</w:t>
            </w:r>
            <w:r>
              <w:rPr>
                <w:color w:val="auto"/>
                <w:highlight w:val="none"/>
              </w:rPr>
              <w:t>确定检测频率</w:t>
            </w:r>
            <w:r>
              <w:rPr>
                <w:rFonts w:hint="eastAsia" w:ascii="宋体" w:hAnsi="宋体" w:cs="仿宋"/>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2" w:type="dxa"/>
            <w:vAlign w:val="center"/>
          </w:tcPr>
          <w:p>
            <w:pPr>
              <w:numPr>
                <w:ilvl w:val="0"/>
                <w:numId w:val="5"/>
              </w:numPr>
              <w:spacing w:line="360" w:lineRule="auto"/>
              <w:jc w:val="center"/>
              <w:rPr>
                <w:rFonts w:hint="eastAsia" w:ascii="宋体" w:hAnsi="宋体" w:cs="仿宋"/>
                <w:color w:val="auto"/>
                <w:szCs w:val="21"/>
                <w:highlight w:val="none"/>
              </w:rPr>
            </w:pPr>
          </w:p>
        </w:tc>
        <w:tc>
          <w:tcPr>
            <w:tcW w:w="854"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施工升降机</w:t>
            </w:r>
          </w:p>
        </w:tc>
        <w:tc>
          <w:tcPr>
            <w:tcW w:w="1193" w:type="dxa"/>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4台（8个笼）及以上</w:t>
            </w:r>
          </w:p>
        </w:tc>
        <w:tc>
          <w:tcPr>
            <w:tcW w:w="5669"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1.满足现场垂直运输所需。</w:t>
            </w:r>
          </w:p>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2.</w:t>
            </w:r>
            <w:r>
              <w:rPr>
                <w:rFonts w:ascii="宋体" w:hAnsi="宋体" w:cs="仿宋"/>
                <w:color w:val="auto"/>
                <w:szCs w:val="21"/>
                <w:highlight w:val="none"/>
              </w:rPr>
              <w:t>设备性能状况良好。</w:t>
            </w:r>
          </w:p>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3.具备检测资质的第三方进场检测，每半年至少1次。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2" w:type="dxa"/>
            <w:vAlign w:val="center"/>
          </w:tcPr>
          <w:p>
            <w:pPr>
              <w:numPr>
                <w:ilvl w:val="0"/>
                <w:numId w:val="5"/>
              </w:numPr>
              <w:spacing w:line="360" w:lineRule="auto"/>
              <w:jc w:val="center"/>
              <w:rPr>
                <w:rFonts w:hint="eastAsia" w:ascii="宋体" w:hAnsi="宋体" w:cs="仿宋"/>
                <w:color w:val="auto"/>
                <w:szCs w:val="21"/>
                <w:highlight w:val="none"/>
              </w:rPr>
            </w:pPr>
          </w:p>
        </w:tc>
        <w:tc>
          <w:tcPr>
            <w:tcW w:w="854"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混凝土泵送设备</w:t>
            </w:r>
          </w:p>
        </w:tc>
        <w:tc>
          <w:tcPr>
            <w:tcW w:w="1193" w:type="dxa"/>
            <w:vAlign w:val="center"/>
          </w:tcPr>
          <w:p>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2台及以上</w:t>
            </w:r>
          </w:p>
        </w:tc>
        <w:tc>
          <w:tcPr>
            <w:tcW w:w="5669"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以满足砼结构施工为准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2" w:type="dxa"/>
            <w:vAlign w:val="center"/>
          </w:tcPr>
          <w:p>
            <w:pPr>
              <w:numPr>
                <w:ilvl w:val="0"/>
                <w:numId w:val="5"/>
              </w:numPr>
              <w:spacing w:line="360" w:lineRule="auto"/>
              <w:jc w:val="center"/>
              <w:rPr>
                <w:rFonts w:hint="eastAsia" w:ascii="宋体" w:hAnsi="宋体" w:cs="仿宋"/>
                <w:color w:val="auto"/>
                <w:szCs w:val="21"/>
                <w:highlight w:val="none"/>
              </w:rPr>
            </w:pPr>
          </w:p>
        </w:tc>
        <w:tc>
          <w:tcPr>
            <w:tcW w:w="854"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其余机械设备</w:t>
            </w:r>
          </w:p>
        </w:tc>
        <w:tc>
          <w:tcPr>
            <w:tcW w:w="1193" w:type="dxa"/>
            <w:vAlign w:val="center"/>
          </w:tcPr>
          <w:p>
            <w:pPr>
              <w:spacing w:line="360" w:lineRule="auto"/>
              <w:jc w:val="center"/>
              <w:rPr>
                <w:rFonts w:hint="eastAsia" w:ascii="宋体" w:hAnsi="宋体" w:cs="仿宋"/>
                <w:color w:val="auto"/>
                <w:szCs w:val="21"/>
                <w:highlight w:val="none"/>
                <w:u w:val="single"/>
              </w:rPr>
            </w:pPr>
            <w:r>
              <w:rPr>
                <w:rFonts w:hint="eastAsia" w:ascii="宋体" w:hAnsi="宋体" w:cs="仿宋"/>
                <w:color w:val="auto"/>
                <w:szCs w:val="21"/>
                <w:highlight w:val="none"/>
              </w:rPr>
              <w:t>若干</w:t>
            </w:r>
          </w:p>
        </w:tc>
        <w:tc>
          <w:tcPr>
            <w:tcW w:w="5669" w:type="dxa"/>
            <w:vAlign w:val="center"/>
          </w:tcPr>
          <w:p>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满足现场施工进度要求。</w:t>
            </w:r>
          </w:p>
        </w:tc>
      </w:tr>
    </w:tbl>
    <w:p>
      <w:pPr>
        <w:numPr>
          <w:ilvl w:val="1"/>
          <w:numId w:val="0"/>
        </w:numPr>
        <w:tabs>
          <w:tab w:val="left" w:pos="900"/>
        </w:tabs>
        <w:adjustRightInd w:val="0"/>
        <w:snapToGrid w:val="0"/>
        <w:spacing w:line="360" w:lineRule="auto"/>
        <w:ind w:firstLine="480" w:firstLineChars="20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2.管理基本要求</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rPr>
        <w:t>（1）中标人进场后必须按合同约定时间提交机械设备进场计划，确保机械设备来源可靠，按期进场。</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rPr>
        <w:t>（2）中标人必须确保机械设备的性能良好，可正常使用。对于影响工程进度较大的主要机械设备，必须有一定备用量，确保在机械设备检修或维护期间，现场仍能正常施工，确保进度不受影响。</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rPr>
        <w:t>（3）为确保工程进度，中标人必须无条件增加机械设备的投入，发包人不另行增加相关费用。</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（七）材料设备管理要求</w:t>
      </w:r>
    </w:p>
    <w:p>
      <w:pPr>
        <w:widowControl/>
        <w:numPr>
          <w:ilvl w:val="0"/>
          <w:numId w:val="0"/>
        </w:numPr>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1.中标人在进场后20天内根据设计图纸及施工进度计划制定主要材料设备采购计划，及时签订采购合同，</w:t>
      </w:r>
      <w:r>
        <w:rPr>
          <w:rFonts w:hint="eastAsia" w:ascii="宋体" w:hAnsi="宋体" w:eastAsia="宋体" w:cs="宋体"/>
          <w:color w:val="auto"/>
          <w:kern w:val="0"/>
          <w:sz w:val="24"/>
          <w:szCs w:val="24"/>
          <w:highlight w:val="none"/>
        </w:rPr>
        <w:t>供货合同签订时间需比第一批货物计划进场时间至少提前两个月加备货期</w:t>
      </w:r>
      <w:r>
        <w:rPr>
          <w:rFonts w:hint="eastAsia" w:ascii="宋体" w:hAnsi="宋体" w:eastAsia="宋体" w:cs="宋体"/>
          <w:color w:val="auto"/>
          <w:sz w:val="24"/>
          <w:szCs w:val="24"/>
          <w:highlight w:val="none"/>
        </w:rPr>
        <w:t>（原材类材料不少于15天，二次加工类材料不少于30天）。影响工程造价较大的大批量材料设备，中标人必须提前定制或锁定价格，否则由此引起的工期调整或价格调整，发包人有权不予批准（</w:t>
      </w:r>
      <w:r>
        <w:rPr>
          <w:rFonts w:hint="eastAsia" w:ascii="宋体" w:hAnsi="宋体" w:eastAsia="宋体" w:cs="宋体"/>
          <w:color w:val="auto"/>
          <w:sz w:val="24"/>
          <w:szCs w:val="24"/>
          <w:highlight w:val="none"/>
          <w:shd w:val="clear" w:color="auto" w:fill="FFFFFF"/>
        </w:rPr>
        <w:t>若因不可抗力或发包人原因造成的原因除外）</w:t>
      </w:r>
      <w:r>
        <w:rPr>
          <w:rFonts w:hint="eastAsia" w:ascii="宋体" w:hAnsi="宋体" w:eastAsia="宋体" w:cs="宋体"/>
          <w:color w:val="auto"/>
          <w:sz w:val="24"/>
          <w:szCs w:val="24"/>
          <w:highlight w:val="none"/>
        </w:rPr>
        <w:t>。</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2.中标人必须确保在满足或优于招标文件（包括招标文件各专业主要设备材料技术参数）、招标图纸和相关规范要求的条件下采购主要材料设备。其中：</w:t>
      </w:r>
    </w:p>
    <w:p>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（1）招标文件有推荐品牌范围的主要材料设备，原则上必须在推荐品牌范围内选用（具体见</w:t>
      </w:r>
      <w:r>
        <w:rPr>
          <w:rFonts w:hint="eastAsia" w:ascii="宋体" w:hAnsi="宋体" w:eastAsia="宋体" w:cs="宋体"/>
          <w:b/>
          <w:bCs/>
          <w:color w:val="auto"/>
          <w:sz w:val="24"/>
          <w:szCs w:val="24"/>
          <w:highlight w:val="none"/>
        </w:rPr>
        <w:t>本章节附件：</w:t>
      </w:r>
      <w:r>
        <w:rPr>
          <w:rFonts w:hint="eastAsia" w:ascii="宋体" w:hAnsi="宋体" w:eastAsia="宋体" w:cs="宋体"/>
          <w:color w:val="auto"/>
          <w:sz w:val="24"/>
          <w:szCs w:val="24"/>
          <w:highlight w:val="none"/>
        </w:rPr>
        <w:t>《主要设备材料品牌/生产厂家推荐表》）。中标人在中标后选用推荐品牌中的任一品牌，均不予调整其投标价。</w:t>
      </w:r>
      <w:r>
        <w:rPr>
          <w:rFonts w:hint="eastAsia" w:ascii="宋体" w:hAnsi="宋体" w:eastAsia="宋体" w:cs="宋体"/>
          <w:color w:val="auto"/>
          <w:sz w:val="24"/>
          <w:szCs w:val="24"/>
          <w:highlight w:val="none"/>
          <w:u w:val="single"/>
        </w:rPr>
        <w:t>【注:</w:t>
      </w:r>
      <w:r>
        <w:rPr>
          <w:rFonts w:hint="eastAsia" w:ascii="宋体" w:hAnsi="宋体" w:eastAsia="宋体" w:cs="宋体"/>
          <w:color w:val="auto"/>
          <w:sz w:val="24"/>
          <w:szCs w:val="24"/>
          <w:highlight w:val="none"/>
        </w:rPr>
        <w:t>本次招标项目涉及</w:t>
      </w:r>
      <w:r>
        <w:rPr>
          <w:rFonts w:hint="eastAsia" w:ascii="宋体" w:hAnsi="宋体" w:eastAsia="宋体" w:cs="宋体"/>
          <w:b/>
          <w:bCs/>
          <w:color w:val="auto"/>
          <w:sz w:val="24"/>
          <w:szCs w:val="24"/>
          <w:highlight w:val="none"/>
        </w:rPr>
        <w:t>《主要设备材料品牌/生产厂家推荐表》中所列的主</w:t>
      </w:r>
      <w:r>
        <w:rPr>
          <w:rFonts w:hint="eastAsia" w:ascii="宋体" w:hAnsi="宋体" w:eastAsia="宋体" w:cs="宋体"/>
          <w:color w:val="auto"/>
          <w:sz w:val="24"/>
          <w:szCs w:val="24"/>
          <w:highlight w:val="none"/>
        </w:rPr>
        <w:t>要设备材料，可从上述推荐表中选择使用；</w:t>
      </w:r>
      <w:r>
        <w:rPr>
          <w:rFonts w:hint="eastAsia" w:ascii="宋体" w:hAnsi="宋体" w:eastAsia="宋体" w:cs="宋体"/>
          <w:color w:val="auto"/>
          <w:sz w:val="24"/>
          <w:szCs w:val="24"/>
          <w:highlight w:val="none"/>
          <w:u w:val="single"/>
        </w:rPr>
        <w:t>若投标人选用相当于或优于推荐品牌的，提供产品技术参数对比表及第三方权威机构出具的性能认证报告即可；发包人应在收到材料后 7 个工作日内出具审核意见，逾期未回复，视为发包人不同意。</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中标人选用同等或优于推荐品牌的，在采购前必须经发包人审批同意，同时在看样定板前须提供同等或优于推荐品牌档次的证明材料报发包人审核，否则视为中标人自行更换品牌，按招标文件和合同规定承担违约责任。</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（3）招标文件没有推荐品牌范围的主要材料设备，中标人根据拟采用产品品牌影响力的顺序或</w:t>
      </w:r>
      <w:r>
        <w:rPr>
          <w:rFonts w:hint="eastAsia" w:ascii="宋体" w:hAnsi="宋体" w:eastAsia="宋体" w:cs="宋体"/>
          <w:color w:val="auto"/>
          <w:sz w:val="24"/>
          <w:szCs w:val="24"/>
          <w:highlight w:val="none"/>
          <w:shd w:val="clear" w:color="auto" w:fill="FFFFFF"/>
        </w:rPr>
        <w:t>具有国家认可的产品认证（如 CCC 认证）、省 / 市级知名品牌优先</w:t>
      </w:r>
      <w:r>
        <w:rPr>
          <w:rFonts w:hint="eastAsia" w:ascii="宋体" w:hAnsi="宋体" w:eastAsia="宋体" w:cs="宋体"/>
          <w:color w:val="auto"/>
          <w:sz w:val="24"/>
          <w:szCs w:val="24"/>
          <w:highlight w:val="none"/>
        </w:rPr>
        <w:t>选定，同时须严格按照发包人看样定板的相关规定执行。</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3.无论发包人是否推荐品牌范围，所有用于本工程的材料设备必须严格按合同条款的约定进行检验、试验，确保材料设备质量。材料进场批次要与</w:t>
      </w:r>
      <w:r>
        <w:rPr>
          <w:rFonts w:hint="eastAsia" w:ascii="宋体" w:hAnsi="宋体" w:eastAsia="宋体" w:cs="宋体"/>
          <w:color w:val="auto"/>
          <w:sz w:val="24"/>
          <w:szCs w:val="24"/>
          <w:highlight w:val="none"/>
          <w:shd w:val="clear" w:color="auto" w:fill="FFFFFF"/>
        </w:rPr>
        <w:t>规范要求的取样批次</w:t>
      </w:r>
      <w:r>
        <w:rPr>
          <w:rFonts w:hint="eastAsia" w:ascii="宋体" w:hAnsi="宋体" w:eastAsia="宋体" w:cs="宋体"/>
          <w:color w:val="auto"/>
          <w:sz w:val="24"/>
          <w:szCs w:val="24"/>
          <w:highlight w:val="none"/>
        </w:rPr>
        <w:t>一致，否则，多出批次的检测费由中标人承担。</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加强本工程所使用的乙供材料设备的质量管理，确保中标人所选购的材料设备的质量、技术性能、款式、效果等方面满足设计和使用需求，所有主要材料设备在看样定板之前，发包人、项目管理单位、监理单位、设计单位有权对乙供材料设备厂家的生产能力、制造水平、生产工艺等方面进行综合考察评估，考核评估合格的方能采购。如经综合考察评估不合格，发包人有权在《主要设备材料品牌/生产厂家推荐表》中选择其他满足规定的材料厂家及品牌，经考核评估合格后予以选用，合同价款不作调整。</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运入施工现场的材料、工程设备、施工设备以及在施工场地建设的临时设施，包括备品备件、安装工具与资料，必须报监理验收，进场验收资料（产品合格证、进场材料型号规格、数量，进场时间，报验表）作为进度款申请的支持材料。材料进场后未经发包人批准不得运出施工现场或挪作他用。</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招标项目材料设备严格执行国家及广东省、广州市关于材料设备见证抽检的各项规定。如出现某批次材料设备见证抽检不合格，中标人应将该批次材料设备全部清理出现场，已安装部分也须全部拆除、清理；每发生一次前述情形，中标人须按合同规定承担违约责任，</w:t>
      </w:r>
      <w:r>
        <w:rPr>
          <w:rFonts w:hint="eastAsia" w:asciiTheme="minorEastAsia" w:hAnsiTheme="minorEastAsia" w:eastAsiaTheme="minorEastAsia" w:cstheme="minorEastAsia"/>
          <w:color w:val="auto"/>
          <w:spacing w:val="0"/>
          <w:w w:val="100"/>
          <w:sz w:val="24"/>
          <w:szCs w:val="24"/>
          <w:highlight w:val="none"/>
        </w:rPr>
        <w:t>按该批材料价值的1</w:t>
      </w:r>
      <w:r>
        <w:rPr>
          <w:rFonts w:hint="eastAsia" w:asciiTheme="minorEastAsia" w:hAnsiTheme="minorEastAsia" w:eastAsiaTheme="minorEastAsia" w:cstheme="minorEastAsia"/>
          <w:color w:val="auto"/>
          <w:w w:val="100"/>
          <w:sz w:val="24"/>
          <w:szCs w:val="24"/>
          <w:highlight w:val="none"/>
        </w:rPr>
        <w:t>0</w:t>
      </w:r>
      <w:r>
        <w:rPr>
          <w:rFonts w:hint="eastAsia" w:asciiTheme="minorEastAsia" w:hAnsiTheme="minorEastAsia" w:eastAsiaTheme="minorEastAsia" w:cstheme="minorEastAsia"/>
          <w:color w:val="auto"/>
          <w:spacing w:val="0"/>
          <w:w w:val="100"/>
          <w:sz w:val="24"/>
          <w:szCs w:val="24"/>
          <w:highlight w:val="none"/>
        </w:rPr>
        <w:t>%，向发包人支付违约金，且最少不低于1万元</w:t>
      </w:r>
      <w:r>
        <w:rPr>
          <w:rFonts w:hint="eastAsia" w:ascii="宋体" w:hAnsi="宋体" w:eastAsia="宋体" w:cs="宋体"/>
          <w:color w:val="auto"/>
          <w:sz w:val="24"/>
          <w:szCs w:val="24"/>
          <w:highlight w:val="none"/>
        </w:rPr>
        <w:t>；若该批次不合格材料已造成工程返工，中标人还需承担返工费用（含人工、材料、机械费用），且工期不予顺延；对该类型材料设备在后续见证抽样检测时，将在该类型材料设备规定的见证抽样数量、频率的基础上加倍，所需增加的检测费用由中标人自行承担。</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8.本项目主要设备材料品牌/生产厂家推荐表详见招标文件要求。</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9.对重要工程材料、构配件、设备，中标人安排专人驻场跟踪，督促加工制作进度、质量，参与工序验收和出厂调试。</w:t>
      </w:r>
    </w:p>
    <w:p>
      <w:pPr>
        <w:adjustRightInd w:val="0"/>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（八）施工总承包管理与专业配合服务的要求</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1.中标人必须编制总承包管理方案报发包人、监理单位审批后实施。同时，中标人必须根据招标文件安排总承包协调人进场（须具备</w:t>
      </w:r>
      <w:r>
        <w:rPr>
          <w:rFonts w:hint="eastAsia" w:ascii="宋体" w:hAnsi="宋体" w:eastAsia="宋体" w:cs="宋体"/>
          <w:color w:val="auto"/>
          <w:sz w:val="24"/>
          <w:szCs w:val="24"/>
          <w:highlight w:val="none"/>
          <w:shd w:val="clear"/>
        </w:rPr>
        <w:t>一级建造师执业资格，5 年以上大型项目总承包协调经验）</w:t>
      </w:r>
      <w:r>
        <w:rPr>
          <w:rFonts w:hint="eastAsia" w:ascii="宋体" w:hAnsi="宋体" w:eastAsia="宋体" w:cs="宋体"/>
          <w:color w:val="auto"/>
          <w:sz w:val="24"/>
          <w:szCs w:val="24"/>
          <w:highlight w:val="none"/>
        </w:rPr>
        <w:t>，统筹负责现场总承包相关管理（包括但不限于</w:t>
      </w:r>
      <w:r>
        <w:rPr>
          <w:rFonts w:hint="eastAsia" w:ascii="宋体" w:hAnsi="宋体" w:eastAsia="宋体" w:cs="宋体"/>
          <w:color w:val="auto"/>
          <w:sz w:val="24"/>
          <w:szCs w:val="24"/>
          <w:highlight w:val="none"/>
          <w:shd w:val="clear"/>
        </w:rPr>
        <w:t>负责每日分包协调会、每周进度复盘、每月质量巡查）</w:t>
      </w:r>
      <w:r>
        <w:rPr>
          <w:rFonts w:hint="eastAsia" w:ascii="宋体" w:hAnsi="宋体" w:eastAsia="宋体" w:cs="宋体"/>
          <w:color w:val="auto"/>
          <w:sz w:val="24"/>
          <w:szCs w:val="24"/>
          <w:highlight w:val="none"/>
        </w:rPr>
        <w:t>事宜。</w:t>
      </w:r>
    </w:p>
    <w:p>
      <w:pPr>
        <w:numPr>
          <w:ilvl w:val="1"/>
          <w:numId w:val="0"/>
        </w:num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2.中标人负责对各专业承包单位以及整个项目的总承包管理和配合工作，对其施工组织、质量、工期、进度、协助专业承包单位图纸深化（</w:t>
      </w:r>
      <w:r>
        <w:rPr>
          <w:rFonts w:hint="eastAsia" w:ascii="宋体" w:hAnsi="宋体" w:eastAsia="宋体" w:cs="宋体"/>
          <w:color w:val="auto"/>
          <w:sz w:val="24"/>
          <w:szCs w:val="24"/>
          <w:highlight w:val="none"/>
          <w:shd w:val="clear"/>
        </w:rPr>
        <w:t>提供原设计图纸衔接信息）</w:t>
      </w:r>
      <w:r>
        <w:rPr>
          <w:rFonts w:hint="eastAsia" w:ascii="宋体" w:hAnsi="宋体" w:eastAsia="宋体" w:cs="宋体"/>
          <w:color w:val="auto"/>
          <w:sz w:val="24"/>
          <w:szCs w:val="24"/>
          <w:highlight w:val="none"/>
        </w:rPr>
        <w:t>、节点设计等承担总承包责任，使之满足整体工程质量、工期、进度的要求和安排。中标人应统筹安排穿插各专业承包单位的工程进度以及施工界面的划分，协调解决其中的问题，提供施工方便条件，确保工程整体形象进度。如中标人未能很好地履行本合同规定的中标人的责任，无论中标人单位是否为签约主体，均不得减轻或免除中标人所承担的责任。</w:t>
      </w:r>
    </w:p>
    <w:p>
      <w:pPr>
        <w:numPr>
          <w:ilvl w:val="1"/>
          <w:numId w:val="0"/>
        </w:num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3.中标人负责统筹安排中标人与各专业分包人的配</w:t>
      </w:r>
      <w:r>
        <w:rPr>
          <w:rFonts w:hint="eastAsia" w:ascii="宋体" w:hAnsi="宋体" w:cs="宋体"/>
          <w:color w:val="auto"/>
          <w:sz w:val="24"/>
          <w:szCs w:val="24"/>
          <w:highlight w:val="none"/>
        </w:rPr>
        <w:t>合，以及各分包人相互之间的组织与协调。统一安排施工进度，统一组织交叉施工，避免各工种工序之间的干扰和矛盾，协调施工措施，保证文明施工，作业安全。负责分配各专业承包单位的施工、办公、仓储等用途的场地（</w:t>
      </w:r>
      <w:r>
        <w:rPr>
          <w:rFonts w:hint="eastAsia" w:ascii="宋体" w:hAnsi="宋体" w:cs="宋体"/>
          <w:color w:val="auto"/>
          <w:sz w:val="24"/>
          <w:szCs w:val="24"/>
          <w:highlight w:val="none"/>
          <w:shd w:val="clear"/>
        </w:rPr>
        <w:t>根据分包工程量占比分配仓储面积，根据施工节点优先级分配作业面）</w:t>
      </w:r>
      <w:r>
        <w:rPr>
          <w:rFonts w:hint="eastAsia" w:ascii="宋体" w:hAnsi="宋体" w:cs="宋体"/>
          <w:color w:val="auto"/>
          <w:sz w:val="24"/>
          <w:szCs w:val="24"/>
          <w:highlight w:val="none"/>
        </w:rPr>
        <w:t>。</w:t>
      </w:r>
    </w:p>
    <w:p>
      <w:pPr>
        <w:numPr>
          <w:ilvl w:val="1"/>
          <w:numId w:val="0"/>
        </w:num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中标人必须给予各专业承包单位、供应商单位及业主委托的其他单位人员提供现场的一切照管、配合、协调（包括但不限于脚手架、基准线、轴线、现场堆放材料、水电供应及其费用、各种临时设施的使用、垂直运输，现场保安及其它所需工作等）等以便所有单项工程的施工单位的施工进度能在承包合同制定的竣工期内完成合同工程，中标人必须征得业主及业主方同意后方可拆除上述临时设施。照管、配合、协调的具体内容包括但不限于：</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提供现有脚手架、垂直运输设备（如塔吊、施工电梯、井架等）等设施。中标人应在业主直接发包工程的承包商不再使用后才拆除上述设施，否则业主或相关承包商因此增加的费用和延误的工期由中标人承担。并保证临时设施使用期间的安全检查和日常维护，出现安全问题需及时修复。</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提供施工用电源点（二级箱至任何专业承包单位工作面30m范围内）、施工用水源点，并确保满足施工、调试所需的负荷；提供自然采光不到区域的照明，包括在每个楼层、公共建筑每个楼层的每个施工区域的接驳点，以及地下室、各楼道的照明等，还需要为整个工程现场提供符合有关规定要求的临时消防系统设施，并进行常规维护，确保其正常运行。</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（3）提供必要的测量定位点，如室外标高基准线、区位点以及建筑物室内外各楼层、各部位标高（50cm）线、轴中线等定位基准点、线和面等。</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（4）中标人应充分估计塔吊安装拆除进出场、使用大型设备安装所需施工场区内外的道路和场地情况，由中标人负责修建所需的道路、平整加固场地和管理，保障上述工作顺利完成。所需费用已包含在报价中。</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（5）中标人在现场施工期间须提供一切有关环保设施及维护方案，并满足环保部门的要求及批准。中标人承担一切有关费用。</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（6）中标人必须详细地了解工程设计和施工的所有要求。其中，中标人的施工（临时道路、排水设施等）不论是否在用地红线以内或以外，其所有费用及工期都被视为已综合考虑包含在合同之内。</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（7）其他未尽事宜按《建设项目工程总承包管理规范》相关规定执行。</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5.基础工程检测配合工作：中标人须为第三方桩基检测单位进场前三天完成各项配合服务，包括但不限于进场道路、检测作业面、桩头清理、施工用水用电、检测机具材料吊装等。</w:t>
      </w:r>
    </w:p>
    <w:p>
      <w:pPr>
        <w:adjustRightInd w:val="0"/>
        <w:spacing w:line="360" w:lineRule="auto"/>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（九）验收、移交及结算管理要求</w:t>
      </w:r>
    </w:p>
    <w:p>
      <w:pPr>
        <w:numPr>
          <w:ilvl w:val="1"/>
          <w:numId w:val="0"/>
        </w:numPr>
        <w:tabs>
          <w:tab w:val="left" w:pos="900"/>
        </w:tabs>
        <w:adjustRightInd w:val="0"/>
        <w:snapToGrid w:val="0"/>
        <w:spacing w:line="360" w:lineRule="auto"/>
        <w:ind w:firstLine="658"/>
        <w:outlineLvl w:val="3"/>
        <w:rPr>
          <w:rFonts w:hint="eastAsia" w:ascii="宋体" w:hAnsi="宋体" w:cs="宋体"/>
          <w:b/>
          <w:color w:val="auto"/>
          <w:sz w:val="24"/>
          <w:szCs w:val="24"/>
          <w:highlight w:val="none"/>
        </w:rPr>
      </w:pPr>
      <w:r>
        <w:rPr>
          <w:rFonts w:hint="eastAsia" w:ascii="宋体" w:hAnsi="宋体" w:cs="宋体"/>
          <w:b/>
          <w:color w:val="auto"/>
          <w:sz w:val="24"/>
          <w:szCs w:val="24"/>
          <w:highlight w:val="none"/>
        </w:rPr>
        <w:t>1.工程验收管理要求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（1）分部分项工程验收：</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分部分项工程具备验收条件后，中标人提前</w:t>
      </w:r>
      <w:r>
        <w:rPr>
          <w:rFonts w:hint="eastAsia" w:ascii="宋体" w:hAnsi="宋体" w:cs="宋体"/>
          <w:color w:val="auto"/>
          <w:sz w:val="24"/>
          <w:szCs w:val="24"/>
          <w:highlight w:val="none"/>
          <w:shd w:val="clear" w:color="auto" w:fill="FFFFFF"/>
        </w:rPr>
        <w:t xml:space="preserve"> 7 个日历天</w:t>
      </w:r>
      <w:r>
        <w:rPr>
          <w:rFonts w:hint="eastAsia" w:ascii="宋体" w:hAnsi="宋体" w:cs="宋体"/>
          <w:color w:val="auto"/>
          <w:sz w:val="24"/>
          <w:szCs w:val="24"/>
          <w:highlight w:val="none"/>
        </w:rPr>
        <w:t>上报验收申请，提交对应的材料设备第三方检测报告、检验批验收记录、隐蔽验收记录（含影像资料）、验收小结等资料，监理单位审核合格后组织分部分项验收会议，各相关责任单位参会，按职责对分部分项工程进行验收。</w:t>
      </w:r>
    </w:p>
    <w:p>
      <w:pPr>
        <w:numPr>
          <w:ilvl w:val="0"/>
          <w:numId w:val="6"/>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专项工程验收：</w:t>
      </w:r>
    </w:p>
    <w:p>
      <w:pPr>
        <w:tabs>
          <w:tab w:val="left" w:pos="900"/>
        </w:tabs>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中标人需至少提前</w:t>
      </w:r>
      <w:r>
        <w:rPr>
          <w:rFonts w:hint="eastAsia" w:ascii="宋体" w:hAnsi="宋体" w:cs="宋体"/>
          <w:color w:val="auto"/>
          <w:sz w:val="24"/>
          <w:szCs w:val="24"/>
          <w:highlight w:val="none"/>
          <w:shd w:val="clear" w:color="auto" w:fill="FFFFFF"/>
        </w:rPr>
        <w:t>30 个日历天</w:t>
      </w:r>
      <w:r>
        <w:rPr>
          <w:rFonts w:hint="eastAsia" w:ascii="宋体" w:hAnsi="宋体" w:cs="宋体"/>
          <w:color w:val="auto"/>
          <w:sz w:val="24"/>
          <w:szCs w:val="24"/>
          <w:highlight w:val="none"/>
        </w:rPr>
        <w:t>上报专项工程验收计划，附对应的分部分项工程验收记录、</w:t>
      </w:r>
      <w:r>
        <w:rPr>
          <w:rFonts w:hint="eastAsia" w:ascii="宋体" w:hAnsi="宋体" w:cs="宋体"/>
          <w:color w:val="auto"/>
          <w:sz w:val="24"/>
          <w:szCs w:val="24"/>
          <w:highlight w:val="none"/>
          <w:shd w:val="clear" w:color="auto" w:fill="FFFFFF"/>
        </w:rPr>
        <w:t>第三方检测报告（盖 CMA 章）、隐蔽验收影像（含时间水印）、检验批签字完整记录、</w:t>
      </w:r>
      <w:r>
        <w:rPr>
          <w:rFonts w:hint="eastAsia" w:ascii="宋体" w:hAnsi="宋体" w:cs="宋体"/>
          <w:color w:val="auto"/>
          <w:sz w:val="24"/>
          <w:szCs w:val="24"/>
          <w:highlight w:val="none"/>
        </w:rPr>
        <w:t>系统调试计划等报监理单位审批。监理单位审批同意后，按计划全程旁站系统调试工作、系统第三方检测工作。各项调试检测工作完成后，由中标人申请，由监理单位组织专项工程验收工作。专项工程验收不合格的，中标人应在 15 个工作日内完成整改并申请复检，复检仍不合格的，按合同约定承担违约责任。</w:t>
      </w:r>
    </w:p>
    <w:p>
      <w:pPr>
        <w:numPr>
          <w:ilvl w:val="0"/>
          <w:numId w:val="6"/>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联合验收：</w:t>
      </w:r>
    </w:p>
    <w:p>
      <w:pPr>
        <w:tabs>
          <w:tab w:val="left" w:pos="900"/>
        </w:tabs>
        <w:adjustRightInd w:val="0"/>
        <w:snapToGrid w:val="0"/>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按照</w:t>
      </w:r>
      <w:r>
        <w:rPr>
          <w:rFonts w:hint="eastAsia" w:ascii="宋体" w:hAnsi="宋体" w:cs="宋体"/>
          <w:color w:val="auto"/>
          <w:sz w:val="24"/>
          <w:szCs w:val="24"/>
          <w:highlight w:val="none"/>
          <w:shd w:val="clear"/>
        </w:rPr>
        <w:t>《广州市房屋建筑和市政基础设施工程联合验收实施办法》</w:t>
      </w:r>
      <w:r>
        <w:rPr>
          <w:rFonts w:hint="eastAsia" w:ascii="宋体" w:hAnsi="宋体" w:cs="宋体"/>
          <w:color w:val="auto"/>
          <w:sz w:val="24"/>
          <w:szCs w:val="24"/>
          <w:highlight w:val="none"/>
        </w:rPr>
        <w:t>的有关规定执行</w:t>
      </w:r>
      <w:r>
        <w:rPr>
          <w:rFonts w:hint="eastAsia" w:ascii="宋体" w:hAnsi="宋体" w:cs="宋体"/>
          <w:color w:val="auto"/>
          <w:sz w:val="24"/>
          <w:szCs w:val="24"/>
          <w:highlight w:val="none"/>
          <w:shd w:val="clear"/>
        </w:rPr>
        <w:t>。联合验收需提交的资料包括但不限于竣工图纸、各类检测报告、验收记录、使用手册等，具体清单由发包人提前 15 个工作日出具。</w:t>
      </w:r>
    </w:p>
    <w:p>
      <w:pPr>
        <w:numPr>
          <w:ilvl w:val="1"/>
          <w:numId w:val="0"/>
        </w:numPr>
        <w:tabs>
          <w:tab w:val="left" w:pos="900"/>
        </w:tabs>
        <w:adjustRightInd w:val="0"/>
        <w:snapToGrid w:val="0"/>
        <w:spacing w:line="360" w:lineRule="auto"/>
        <w:ind w:firstLine="658"/>
        <w:outlineLvl w:val="3"/>
        <w:rPr>
          <w:rFonts w:hint="eastAsia" w:ascii="宋体" w:hAnsi="宋体" w:cs="宋体"/>
          <w:b/>
          <w:color w:val="auto"/>
          <w:sz w:val="24"/>
          <w:szCs w:val="24"/>
          <w:highlight w:val="none"/>
        </w:rPr>
      </w:pPr>
      <w:r>
        <w:rPr>
          <w:rFonts w:hint="eastAsia" w:ascii="宋体" w:hAnsi="宋体" w:cs="宋体"/>
          <w:b/>
          <w:color w:val="auto"/>
          <w:sz w:val="24"/>
          <w:szCs w:val="24"/>
          <w:highlight w:val="none"/>
        </w:rPr>
        <w:t>2.工程移交管理要求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（1）中标人必须在实体工程完工之日起60</w:t>
      </w:r>
      <w:r>
        <w:rPr>
          <w:rFonts w:hint="eastAsia" w:ascii="宋体" w:hAnsi="宋体" w:cs="宋体"/>
          <w:color w:val="auto"/>
          <w:sz w:val="24"/>
          <w:szCs w:val="24"/>
          <w:highlight w:val="none"/>
          <w:shd w:val="clear" w:color="auto" w:fill="FFFFFF"/>
        </w:rPr>
        <w:t>个日历天</w:t>
      </w:r>
      <w:r>
        <w:rPr>
          <w:rFonts w:hint="eastAsia" w:ascii="宋体" w:hAnsi="宋体" w:cs="宋体"/>
          <w:color w:val="auto"/>
          <w:sz w:val="24"/>
          <w:szCs w:val="24"/>
          <w:highlight w:val="none"/>
        </w:rPr>
        <w:t>内完成竣工资料的整理工作、完成所有有关竣工验收的工作，包括联合验收、档案验收并承担所有相关费用。</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（2）本项目的移交内容包括工程资料移交、工程实体移交和使用及维护管理移交。计划根据本项目情况先进行工程实体移交和使用及维护管理移交，然后进行工程资料移交。</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（3）要求中标人应在进行移交工作前编写工程项目移交计划，并报发包人及监理单位审核，在经发包人和监理单位审核同意后，按计划进行移交。</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要求中标人在竣工验收合格后3个月内，中标人须针对各系统特点及项目实际情况编制使用手册、培训手册以及培训计划，并组织专人（包括主要设备供货商）对业主管理人员进行培训工作。使用手册包括但不限于，</w:t>
      </w:r>
      <w:r>
        <w:rPr>
          <w:rFonts w:hint="eastAsia" w:ascii="宋体" w:hAnsi="宋体" w:cs="宋体"/>
          <w:color w:val="auto"/>
          <w:sz w:val="24"/>
          <w:szCs w:val="24"/>
          <w:highlight w:val="none"/>
          <w:shd w:val="clear" w:color="auto" w:fill="FFFFFF"/>
        </w:rPr>
        <w:t>设备参数、操作流程图、故障排查手册、维护周期表等；《培训手册》需包含‘培训课件、考核题库’，均需经发包人审核确认。</w:t>
      </w:r>
    </w:p>
    <w:p>
      <w:pPr>
        <w:numPr>
          <w:ilvl w:val="1"/>
          <w:numId w:val="0"/>
        </w:numPr>
        <w:tabs>
          <w:tab w:val="left" w:pos="900"/>
        </w:tabs>
        <w:adjustRightInd w:val="0"/>
        <w:snapToGrid w:val="0"/>
        <w:spacing w:line="360" w:lineRule="auto"/>
        <w:ind w:firstLine="658"/>
        <w:outlineLvl w:val="3"/>
        <w:rPr>
          <w:rFonts w:hint="eastAsia" w:ascii="宋体" w:hAnsi="宋体" w:cs="宋体"/>
          <w:b/>
          <w:color w:val="auto"/>
          <w:sz w:val="24"/>
          <w:szCs w:val="24"/>
          <w:highlight w:val="none"/>
        </w:rPr>
      </w:pPr>
      <w:r>
        <w:rPr>
          <w:rFonts w:hint="eastAsia" w:ascii="宋体" w:hAnsi="宋体" w:cs="宋体"/>
          <w:b/>
          <w:color w:val="auto"/>
          <w:sz w:val="24"/>
          <w:szCs w:val="24"/>
          <w:highlight w:val="none"/>
        </w:rPr>
        <w:t>3.工程结算管理要求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（1）要求中标人根据各分部分项工程验收完成后30天内提供阶段性的结算资料报发包人、监理人审核，执行发包人下发的结算编制指引及与结算有关的文件规定。</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本项目竣工验收之日起90天内，中标人向发包人提供完整的工程结算资料。同时，中标人应按发包人要求派出足够的、有能力的造价人员负责结算工作。若派出的造价人员不足或不能胜任结算工作，中标人应按发包人的要求及时更换，直至满足发包人要求为止。</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中标人应在发包人下达结算计划的规定时间内提交送审结算书和结算资料，提交的结算资料应完整并且符合相关审计部门的要求，对送审资料的结算书格式、结算资料的有效性、结算资料装订等应符合发包人下发的结算编制指引要求。</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宋体"/>
          <w:color w:val="auto"/>
          <w:sz w:val="24"/>
          <w:szCs w:val="24"/>
          <w:highlight w:val="none"/>
        </w:rPr>
        <w:t>（4）中标人未按规定时间递交结算文件，经发包人书面催促后 15 天内仍未递交的，发包人可委托造价咨询单位依据已有资料编制结算，中标人对结算结果有异议的，可在收到结算报告后 30 天内提出复核申请，复核费用由中标人承担。</w:t>
      </w:r>
    </w:p>
    <w:p>
      <w:pPr>
        <w:adjustRightInd w:val="0"/>
        <w:snapToGrid w:val="0"/>
        <w:spacing w:line="360" w:lineRule="auto"/>
        <w:jc w:val="center"/>
        <w:rPr>
          <w:rFonts w:hint="eastAsia"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结算送审资料移交清单</w:t>
      </w:r>
    </w:p>
    <w:tbl>
      <w:tblPr>
        <w:tblStyle w:val="16"/>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序号</w:t>
            </w:r>
          </w:p>
        </w:tc>
        <w:tc>
          <w:tcPr>
            <w:tcW w:w="6917"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工程结算书及其电子文档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合同文件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工程竣工图纸（及其电子文档）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6</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7</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工程开工报告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8</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竣工验收报告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9</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工程设计变更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10</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w:t>
            </w:r>
            <w:r>
              <w:rPr>
                <w:rFonts w:hint="eastAsia" w:ascii="宋体" w:hAnsi="宋体" w:cs="仿宋"/>
                <w:color w:val="auto"/>
                <w:kern w:val="0"/>
                <w:sz w:val="24"/>
                <w:szCs w:val="24"/>
                <w:highlight w:val="none"/>
                <w:lang w:eastAsia="zh"/>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11</w:t>
            </w:r>
          </w:p>
        </w:tc>
        <w:tc>
          <w:tcPr>
            <w:tcW w:w="6917" w:type="dxa"/>
            <w:vAlign w:val="center"/>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工程量计算书（含钢筋抽料表）及其电子文档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12</w:t>
            </w:r>
          </w:p>
        </w:tc>
        <w:tc>
          <w:tcPr>
            <w:tcW w:w="6917" w:type="dxa"/>
            <w:vAlign w:val="center"/>
          </w:tcPr>
          <w:p>
            <w:pPr>
              <w:widowControl/>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工程预（概）算批复文件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13</w:t>
            </w:r>
          </w:p>
        </w:tc>
        <w:tc>
          <w:tcPr>
            <w:tcW w:w="6917" w:type="dxa"/>
            <w:vAlign w:val="center"/>
          </w:tcPr>
          <w:p>
            <w:pPr>
              <w:widowControl/>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相关资金安排（批复）文件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14</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招标图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15</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图纸会审记录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16</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工程洽商记录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17</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监理合同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18</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监理工程师通知或发包人施工指令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19</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20</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材料、设备单价呈批审核单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21</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综合单价呈批审核单及电子版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22</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甲供材料证明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23</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24</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工程地质勘察报告及水文资料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25</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城建档案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26</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工期逾期情况说明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27</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合同条款修改说明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28</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隐蔽工程验收记录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29</w:t>
            </w:r>
          </w:p>
        </w:tc>
        <w:tc>
          <w:tcPr>
            <w:tcW w:w="6917" w:type="dxa"/>
          </w:tcPr>
          <w:p>
            <w:pPr>
              <w:widowControl/>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工程质量验收评定证书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30</w:t>
            </w:r>
          </w:p>
        </w:tc>
        <w:tc>
          <w:tcPr>
            <w:tcW w:w="6917" w:type="dxa"/>
          </w:tcPr>
          <w:p>
            <w:pPr>
              <w:widowControl/>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涉及税金等调整的工程款支付明细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20" w:type="dxa"/>
            <w:vAlign w:val="center"/>
          </w:tcPr>
          <w:p>
            <w:pPr>
              <w:widowControl/>
              <w:jc w:val="center"/>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31</w:t>
            </w:r>
          </w:p>
        </w:tc>
        <w:tc>
          <w:tcPr>
            <w:tcW w:w="6917" w:type="dxa"/>
          </w:tcPr>
          <w:p>
            <w:pPr>
              <w:widowControl/>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其他结算资料</w:t>
            </w:r>
          </w:p>
        </w:tc>
      </w:tr>
    </w:tbl>
    <w:p>
      <w:pPr>
        <w:pStyle w:val="21"/>
        <w:adjustRightInd w:val="0"/>
        <w:snapToGrid w:val="0"/>
        <w:spacing w:line="360" w:lineRule="auto"/>
        <w:ind w:firstLine="480" w:firstLineChars="200"/>
        <w:rPr>
          <w:rFonts w:hint="eastAsia" w:cs="仿宋"/>
          <w:color w:val="auto"/>
          <w:sz w:val="24"/>
          <w:szCs w:val="24"/>
          <w:highlight w:val="none"/>
        </w:rPr>
      </w:pPr>
    </w:p>
    <w:p>
      <w:pPr>
        <w:adjustRightInd w:val="0"/>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（十）质保期服务管理要求</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rPr>
        <w:t>1.在质量保证期内，中标人按保修协议（</w:t>
      </w:r>
      <w:r>
        <w:rPr>
          <w:rFonts w:ascii="Segoe UI" w:hAnsi="Segoe UI" w:eastAsia="Segoe UI" w:cs="Segoe UI"/>
          <w:color w:val="auto"/>
          <w:sz w:val="24"/>
          <w:szCs w:val="24"/>
          <w:highlight w:val="none"/>
          <w:shd w:val="clear" w:color="auto" w:fill="FFFFFF"/>
        </w:rPr>
        <w:t>《中华人民共和国建筑法》《建设工程质量管理条例》《房屋建筑工程质量保修办法》</w:t>
      </w:r>
      <w:r>
        <w:rPr>
          <w:rFonts w:hint="eastAsia" w:ascii="宋体" w:hAnsi="宋体" w:cs="仿宋"/>
          <w:color w:val="auto"/>
          <w:sz w:val="24"/>
          <w:szCs w:val="24"/>
          <w:highlight w:val="none"/>
        </w:rPr>
        <w:t>）约定免费提供设备的维修及保养服务。</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cs="仿宋"/>
          <w:color w:val="auto"/>
          <w:sz w:val="24"/>
          <w:szCs w:val="24"/>
          <w:highlight w:val="none"/>
        </w:rPr>
        <w:t>2.中标人在故障保修响应方面应做到：中标人须在接到业主通知的1小时内予以答复；业主要求现场维修的，中标人的技术人员须在收到业主通知后12小时之内到现场进行修理，相关的维修工作必须连续进行，直至故障完全修复为止。若在24小时内不能排除故障，中标人应立即采取切实有效的补救措施（包括免费提供应急设备），全力防止损失的扩大。</w:t>
      </w:r>
    </w:p>
    <w:p>
      <w:pPr>
        <w:numPr>
          <w:ilvl w:val="1"/>
          <w:numId w:val="0"/>
        </w:numPr>
        <w:tabs>
          <w:tab w:val="left" w:pos="900"/>
        </w:tabs>
        <w:adjustRightInd w:val="0"/>
        <w:snapToGrid w:val="0"/>
        <w:spacing w:line="360" w:lineRule="auto"/>
        <w:ind w:firstLine="470" w:firstLineChars="196"/>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3.中标人必须提供满足质量保证期内正常运行的备品备件和易损、易耗件，且在广州有足够的备品备件和易损、易耗件供应。</w:t>
      </w:r>
    </w:p>
    <w:p>
      <w:pPr>
        <w:numPr>
          <w:ilvl w:val="1"/>
          <w:numId w:val="0"/>
        </w:numPr>
        <w:tabs>
          <w:tab w:val="left" w:pos="900"/>
        </w:tabs>
        <w:adjustRightInd w:val="0"/>
        <w:snapToGrid w:val="0"/>
        <w:spacing w:line="360" w:lineRule="auto"/>
        <w:ind w:firstLine="470" w:firstLineChars="196"/>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4.在质量保证期内，若本项目的质量保证期比主要设备供应商规定的售后保修服务期长的，须相应延长主要设备的原厂售后保修服务期，所发生的相关费用由中标人承担，发包人不另行增加费用。</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r>
        <w:rPr>
          <w:rFonts w:hint="eastAsia" w:ascii="宋体" w:hAnsi="宋体" w:eastAsia="宋体" w:cs="仿宋"/>
          <w:color w:val="auto"/>
          <w:sz w:val="24"/>
          <w:szCs w:val="24"/>
          <w:highlight w:val="none"/>
        </w:rPr>
        <w:t>5.质保期满，由中标人提出退还质量保证金申请，按要求提交《工程质量保修责任期终止证书》后，按合同约定退还。中标人提交《工程质量保修责任期终止证书》后，发</w:t>
      </w:r>
      <w:r>
        <w:rPr>
          <w:rFonts w:ascii="宋体" w:hAnsi="宋体" w:cs="仿宋"/>
          <w:color w:val="auto"/>
          <w:sz w:val="24"/>
          <w:szCs w:val="24"/>
          <w:highlight w:val="none"/>
        </w:rPr>
        <w:t>包人应在 30 个工作日内完成核实，核实无误后 15 个工作日内返还质保金。</w:t>
      </w:r>
    </w:p>
    <w:p>
      <w:pPr>
        <w:numPr>
          <w:ilvl w:val="1"/>
          <w:numId w:val="0"/>
        </w:numPr>
        <w:tabs>
          <w:tab w:val="left" w:pos="900"/>
        </w:tabs>
        <w:adjustRightInd w:val="0"/>
        <w:snapToGrid w:val="0"/>
        <w:spacing w:line="360" w:lineRule="auto"/>
        <w:ind w:firstLine="470" w:firstLineChars="196"/>
        <w:rPr>
          <w:rFonts w:hint="eastAsia" w:ascii="宋体" w:hAnsi="宋体" w:cs="仿宋"/>
          <w:color w:val="auto"/>
          <w:sz w:val="24"/>
          <w:szCs w:val="24"/>
          <w:highlight w:val="none"/>
        </w:rPr>
      </w:pPr>
    </w:p>
    <w:p>
      <w:pPr>
        <w:adjustRightInd w:val="0"/>
        <w:ind w:firstLine="482" w:firstLineChars="200"/>
        <w:outlineLvl w:val="2"/>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（十一）项目管理其他要求</w:t>
      </w:r>
    </w:p>
    <w:p>
      <w:pPr>
        <w:numPr>
          <w:ilvl w:val="1"/>
          <w:numId w:val="0"/>
        </w:numPr>
        <w:tabs>
          <w:tab w:val="left" w:pos="900"/>
        </w:tabs>
        <w:adjustRightInd w:val="0"/>
        <w:snapToGrid w:val="0"/>
        <w:spacing w:line="360" w:lineRule="auto"/>
        <w:ind w:firstLine="472" w:firstLineChars="196"/>
        <w:outlineLvl w:val="4"/>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1.对周围建筑物的保护要求。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rPr>
        <w:t>中标人必须采取必要措施避免对周围建筑物造成损害。</w:t>
      </w:r>
      <w:r>
        <w:rPr>
          <w:rFonts w:hint="eastAsia" w:ascii="宋体" w:hAnsi="宋体" w:cs="宋体"/>
          <w:color w:val="auto"/>
          <w:sz w:val="24"/>
          <w:szCs w:val="24"/>
          <w:highlight w:val="none"/>
          <w:shd w:val="clear" w:color="auto" w:fill="FFFFFF"/>
        </w:rPr>
        <w:t>中标人需采取以下措施：</w:t>
      </w:r>
    </w:p>
    <w:p>
      <w:pPr>
        <w:numPr>
          <w:ilvl w:val="0"/>
          <w:numId w:val="7"/>
        </w:numPr>
        <w:tabs>
          <w:tab w:val="left" w:pos="900"/>
        </w:tabs>
        <w:adjustRightInd w:val="0"/>
        <w:snapToGrid w:val="0"/>
        <w:spacing w:line="360" w:lineRule="auto"/>
        <w:ind w:firstLine="470" w:firstLineChars="196"/>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开工前</w:t>
      </w:r>
      <w:r>
        <w:rPr>
          <w:rFonts w:hint="eastAsia" w:ascii="宋体" w:hAnsi="宋体" w:cs="宋体"/>
          <w:color w:val="auto"/>
          <w:sz w:val="24"/>
          <w:szCs w:val="24"/>
          <w:highlight w:val="none"/>
          <w:shd w:val="clear" w:color="auto" w:fill="FFFFFF"/>
          <w:lang w:eastAsia="zh"/>
        </w:rPr>
        <w:t>自行或</w:t>
      </w:r>
      <w:r>
        <w:rPr>
          <w:rFonts w:hint="eastAsia" w:ascii="宋体" w:hAnsi="宋体" w:cs="宋体"/>
          <w:color w:val="auto"/>
          <w:sz w:val="24"/>
          <w:szCs w:val="24"/>
          <w:highlight w:val="none"/>
          <w:shd w:val="clear" w:color="auto" w:fill="FFFFFF"/>
        </w:rPr>
        <w:t>委托第三方检测机构对周边建筑物进行基线检测；</w:t>
      </w:r>
    </w:p>
    <w:p>
      <w:pPr>
        <w:numPr>
          <w:ilvl w:val="0"/>
          <w:numId w:val="7"/>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shd w:val="clear" w:color="auto" w:fill="FFFFFF"/>
        </w:rPr>
        <w:t>施工期间对距离基坑≤20m 的建筑进行沉降观测，监测数据超 ±3mm 时立即停工并整改；</w:t>
      </w:r>
    </w:p>
    <w:p>
      <w:pPr>
        <w:numPr>
          <w:ilvl w:val="0"/>
          <w:numId w:val="7"/>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shd w:val="clear" w:color="auto" w:fill="FFFFFF"/>
        </w:rPr>
        <w:t>对周边道路、管线采取加固防护（如钢板铺设、管线支护）。</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如因中标人保护措施不善引起其他单位向业主进行索赔，此类赔偿责任由中标人全部负责，并须赔偿由此引起业主的一切损失。</w:t>
      </w:r>
    </w:p>
    <w:p>
      <w:pPr>
        <w:numPr>
          <w:ilvl w:val="1"/>
          <w:numId w:val="0"/>
        </w:numPr>
        <w:tabs>
          <w:tab w:val="left" w:pos="900"/>
        </w:tabs>
        <w:adjustRightInd w:val="0"/>
        <w:snapToGrid w:val="0"/>
        <w:spacing w:line="360" w:lineRule="auto"/>
        <w:ind w:firstLine="472" w:firstLineChars="196"/>
        <w:outlineLvl w:val="4"/>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2.临时设施安全管理要求</w:t>
      </w:r>
    </w:p>
    <w:p>
      <w:pPr>
        <w:numPr>
          <w:ilvl w:val="1"/>
          <w:numId w:val="0"/>
        </w:numPr>
        <w:tabs>
          <w:tab w:val="left" w:pos="900"/>
        </w:tabs>
        <w:adjustRightInd w:val="0"/>
        <w:snapToGrid w:val="0"/>
        <w:spacing w:line="360" w:lineRule="auto"/>
        <w:ind w:firstLine="470" w:firstLineChars="196"/>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中标人搭建的临时办公用房、宿舍、材料仓库等临时设施，需符合《建设工程施工现场消防安全技术</w:t>
      </w:r>
      <w:r>
        <w:rPr>
          <w:rFonts w:hint="eastAsia" w:ascii="宋体" w:hAnsi="宋体" w:cs="宋体"/>
          <w:color w:val="auto"/>
          <w:sz w:val="24"/>
          <w:szCs w:val="24"/>
          <w:highlight w:val="none"/>
          <w:shd w:val="clear" w:color="auto" w:fill="FFFFFF"/>
          <w:lang w:val="en-US" w:eastAsia="zh-CN"/>
        </w:rPr>
        <w:t>标准</w:t>
      </w:r>
      <w:r>
        <w:rPr>
          <w:rFonts w:hint="eastAsia" w:ascii="宋体" w:hAnsi="宋体" w:cs="宋体"/>
          <w:color w:val="auto"/>
          <w:sz w:val="24"/>
          <w:szCs w:val="24"/>
          <w:highlight w:val="none"/>
          <w:shd w:val="clear" w:color="auto" w:fill="FFFFFF"/>
        </w:rPr>
        <w:t>》（GB</w:t>
      </w:r>
      <w:r>
        <w:rPr>
          <w:rFonts w:hint="eastAsia" w:ascii="宋体" w:hAnsi="宋体" w:cs="宋体"/>
          <w:color w:val="auto"/>
          <w:sz w:val="24"/>
          <w:szCs w:val="24"/>
          <w:highlight w:val="none"/>
          <w:shd w:val="clear" w:color="auto" w:fill="FFFFFF"/>
          <w:lang w:val="en-US" w:eastAsia="zh-CN"/>
        </w:rPr>
        <w:t>/T</w:t>
      </w:r>
      <w:r>
        <w:rPr>
          <w:rFonts w:hint="eastAsia" w:ascii="宋体" w:hAnsi="宋体" w:cs="宋体"/>
          <w:color w:val="auto"/>
          <w:sz w:val="24"/>
          <w:szCs w:val="24"/>
          <w:highlight w:val="none"/>
          <w:shd w:val="clear" w:color="auto" w:fill="FFFFFF"/>
        </w:rPr>
        <w:t xml:space="preserve"> 50720-2011）及广州市关于临时设施安全的相关规定。临时设施搭建完成后，中标人需组织自检，自检合格后报监理单位验收，验收通过后方可投入使用。使用期间，中标人需每周对临时设施进行安全检查，重点排查消防设施配备情况、用电安全、结构稳定性等，发现问题及时整改，并将检查及整改记录报监理单位备案</w:t>
      </w:r>
    </w:p>
    <w:p>
      <w:pPr>
        <w:numPr>
          <w:ilvl w:val="1"/>
          <w:numId w:val="0"/>
        </w:numPr>
        <w:tabs>
          <w:tab w:val="left" w:pos="900"/>
        </w:tabs>
        <w:adjustRightInd w:val="0"/>
        <w:snapToGrid w:val="0"/>
        <w:spacing w:line="360" w:lineRule="auto"/>
        <w:ind w:firstLine="472" w:firstLineChars="196"/>
        <w:outlineLvl w:val="4"/>
        <w:rPr>
          <w:rFonts w:hint="eastAsia" w:ascii="宋体" w:hAnsi="宋体" w:cs="宋体"/>
          <w:color w:val="auto"/>
          <w:sz w:val="24"/>
          <w:szCs w:val="24"/>
          <w:highlight w:val="none"/>
        </w:rPr>
      </w:pPr>
      <w:r>
        <w:rPr>
          <w:rFonts w:hint="eastAsia" w:ascii="宋体" w:hAnsi="宋体" w:cs="宋体"/>
          <w:b/>
          <w:bCs/>
          <w:color w:val="auto"/>
          <w:sz w:val="24"/>
          <w:szCs w:val="24"/>
          <w:highlight w:val="none"/>
        </w:rPr>
        <w:t>3.智慧工地建设要求</w:t>
      </w:r>
      <w:r>
        <w:rPr>
          <w:rFonts w:hint="eastAsia" w:ascii="宋体" w:hAnsi="宋体" w:cs="宋体"/>
          <w:color w:val="auto"/>
          <w:sz w:val="24"/>
          <w:szCs w:val="24"/>
          <w:highlight w:val="none"/>
        </w:rPr>
        <w:t>。</w:t>
      </w:r>
    </w:p>
    <w:p>
      <w:pPr>
        <w:numPr>
          <w:ilvl w:val="1"/>
          <w:numId w:val="0"/>
        </w:numPr>
        <w:tabs>
          <w:tab w:val="left" w:pos="900"/>
        </w:tabs>
        <w:adjustRightInd w:val="0"/>
        <w:snapToGrid w:val="0"/>
        <w:spacing w:line="360" w:lineRule="auto"/>
        <w:ind w:firstLine="470" w:firstLineChars="196"/>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本项目按照智慧工地二星标准进行建设，智慧工地二星标准按《广东省房屋建筑和市政基础设施工程智慧工地建设与评价标准》（DBJ/T 15-187-2021）及广州市最新相关补充规定执行。中标人须在进场后 30 个日历天内，针对智慧工地建设制定专项计划，明确过程管理和运营维护的模式与做法；专项计划需详细列明采用的主要技术（如物联网技术、大数据分析技术、人工智能技术等）与应用点（如人员定位管理、机械监控、环境监测等），同时提交现场投入的智能设备清单（含设备名称、型号、数量、参数、生产厂家）与布置文档（含设备安装位置示意图、网络连接方案），报监理单位及发包人审核，审核通过后方可实施。实施过程中，中标人需每月向监理单位及发包人提交智慧工地运营报告，包含设备运行状态、数据采集与分析情况、应用效果等内容。</w:t>
      </w:r>
    </w:p>
    <w:p>
      <w:pPr>
        <w:numPr>
          <w:ilvl w:val="1"/>
          <w:numId w:val="0"/>
        </w:numPr>
        <w:tabs>
          <w:tab w:val="left" w:pos="900"/>
        </w:tabs>
        <w:adjustRightInd w:val="0"/>
        <w:snapToGrid w:val="0"/>
        <w:spacing w:line="360" w:lineRule="auto"/>
        <w:ind w:firstLine="472" w:firstLineChars="196"/>
        <w:jc w:val="left"/>
        <w:outlineLvl w:val="4"/>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4.施工现场建筑垃圾源头减量的具体要求和建筑垃圾综合利用产品的使用要求</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lang w:val="en-US" w:eastAsia="zh-CN"/>
        </w:rPr>
      </w:pPr>
      <w:r>
        <w:rPr>
          <w:rFonts w:hint="eastAsia" w:ascii="宋体" w:hAnsi="宋体" w:cs="宋体"/>
          <w:color w:val="auto"/>
          <w:spacing w:val="4"/>
          <w:kern w:val="0"/>
          <w:sz w:val="24"/>
          <w:szCs w:val="24"/>
          <w:highlight w:val="none"/>
        </w:rPr>
        <w:t>4.1工程施工单位应当编制建筑垃圾处理方案，采取污染防治措施，</w:t>
      </w:r>
      <w:r>
        <w:rPr>
          <w:rFonts w:hint="eastAsia" w:ascii="宋体" w:hAnsi="宋体" w:cs="宋体"/>
          <w:color w:val="auto"/>
          <w:sz w:val="24"/>
          <w:szCs w:val="24"/>
          <w:highlight w:val="none"/>
          <w:shd w:val="clear" w:color="auto" w:fill="FFFFFF"/>
        </w:rPr>
        <w:t>建筑垃圾处理方案需在开工前7天报工程所在地县级建筑垃圾主管部门备案；方案调整后，需在3天内书面报告备案部门。</w:t>
      </w:r>
      <w:r>
        <w:rPr>
          <w:rFonts w:hint="eastAsia" w:ascii="宋体" w:hAnsi="宋体" w:cs="宋体"/>
          <w:color w:val="auto"/>
          <w:spacing w:val="4"/>
          <w:kern w:val="0"/>
          <w:sz w:val="24"/>
          <w:szCs w:val="24"/>
          <w:highlight w:val="none"/>
        </w:rPr>
        <w:t>建筑垃圾处理方案应当包括下列内容：</w:t>
      </w:r>
      <w:r>
        <w:rPr>
          <w:rFonts w:hint="eastAsia" w:ascii="宋体" w:hAnsi="宋体" w:cs="宋体"/>
          <w:color w:val="auto"/>
          <w:spacing w:val="4"/>
          <w:kern w:val="0"/>
          <w:sz w:val="24"/>
          <w:szCs w:val="24"/>
          <w:highlight w:val="none"/>
          <w:lang w:val="en-US" w:eastAsia="zh-CN"/>
        </w:rPr>
        <w:t xml:space="preserve">  </w:t>
      </w:r>
    </w:p>
    <w:p>
      <w:pPr>
        <w:numPr>
          <w:ilvl w:val="0"/>
          <w:numId w:val="8"/>
        </w:numPr>
        <w:tabs>
          <w:tab w:val="left" w:pos="1260"/>
        </w:tabs>
        <w:topLinePunct/>
        <w:adjustRightInd w:val="0"/>
        <w:snapToGrid w:val="0"/>
        <w:spacing w:line="360" w:lineRule="auto"/>
        <w:ind w:left="0"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工程概况和施工单位基本信息；</w:t>
      </w:r>
    </w:p>
    <w:p>
      <w:pPr>
        <w:numPr>
          <w:ilvl w:val="0"/>
          <w:numId w:val="8"/>
        </w:numPr>
        <w:tabs>
          <w:tab w:val="left" w:pos="1260"/>
        </w:tabs>
        <w:topLinePunct/>
        <w:adjustRightInd w:val="0"/>
        <w:snapToGrid w:val="0"/>
        <w:spacing w:line="360" w:lineRule="auto"/>
        <w:ind w:left="0"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建筑垃圾产生量与种类；</w:t>
      </w:r>
    </w:p>
    <w:p>
      <w:pPr>
        <w:numPr>
          <w:ilvl w:val="0"/>
          <w:numId w:val="8"/>
        </w:numPr>
        <w:tabs>
          <w:tab w:val="left" w:pos="1260"/>
        </w:tabs>
        <w:topLinePunct/>
        <w:adjustRightInd w:val="0"/>
        <w:snapToGrid w:val="0"/>
        <w:spacing w:line="360" w:lineRule="auto"/>
        <w:ind w:left="0"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建筑垃圾源头减量、分类收集、综合利用、污染防治的措施和目标；</w:t>
      </w:r>
    </w:p>
    <w:p>
      <w:pPr>
        <w:numPr>
          <w:ilvl w:val="0"/>
          <w:numId w:val="8"/>
        </w:numPr>
        <w:tabs>
          <w:tab w:val="left" w:pos="1260"/>
        </w:tabs>
        <w:topLinePunct/>
        <w:adjustRightInd w:val="0"/>
        <w:snapToGrid w:val="0"/>
        <w:spacing w:line="360" w:lineRule="auto"/>
        <w:ind w:left="0"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需要外运的建筑垃圾种类、数量与运输的时间、路线、方式和运输单位；</w:t>
      </w:r>
    </w:p>
    <w:p>
      <w:pPr>
        <w:numPr>
          <w:ilvl w:val="0"/>
          <w:numId w:val="8"/>
        </w:numPr>
        <w:tabs>
          <w:tab w:val="left" w:pos="1260"/>
        </w:tabs>
        <w:topLinePunct/>
        <w:adjustRightInd w:val="0"/>
        <w:snapToGrid w:val="0"/>
        <w:spacing w:line="360" w:lineRule="auto"/>
        <w:ind w:left="0"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建筑垃圾回填、消纳、综合利用场所名称；</w:t>
      </w:r>
    </w:p>
    <w:p>
      <w:pPr>
        <w:numPr>
          <w:ilvl w:val="0"/>
          <w:numId w:val="8"/>
        </w:numPr>
        <w:tabs>
          <w:tab w:val="left" w:pos="1260"/>
        </w:tabs>
        <w:topLinePunct/>
        <w:adjustRightInd w:val="0"/>
        <w:snapToGrid w:val="0"/>
        <w:spacing w:line="360" w:lineRule="auto"/>
        <w:ind w:left="0"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法律、法规规定的其他内容。</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4.2建筑垃圾应当按照国家有关规定进行分类，实行分类收集、分类贮存、分类运输、分类处置。</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4.4运输建筑垃圾应当遵守下列规定：</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（1）建立建筑垃圾运输管理台账；</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（2）不得将工程渣土、工程泥浆与其他建筑垃圾混合运输；</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（3）保持运输车辆、船舶等运输工具的行驶记录、卫星定位等电子装置正常使用；</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（4）运输过程中保持运输工具整洁，采取密闭或者其他有效措施防止遗撒建筑垃圾，不得擅自倾倒、抛撒建筑垃圾；</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（5）按照建筑垃圾处理方案确定的时间、路线、方式、场所进行运输。建筑垃圾运输车辆、船舶应当符合相应的载运技术条件。建筑垃圾处置场所为陆域的，不得采用开底式船舶运输建筑垃圾。</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4.5工程泥浆应当在施工现场进行脱水固化处理。施工现场不具备条件的，应当采用罐装器具密闭运输至依法设置的建筑垃圾处置场所进行处置。水上工程中依法无需经脱水处理的除外。</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pPr>
        <w:tabs>
          <w:tab w:val="left" w:pos="1260"/>
        </w:tabs>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4.7建设单位和施工单位严格遵守并执行《广东省建筑垃圾管理条例》。</w:t>
      </w:r>
    </w:p>
    <w:p>
      <w:pPr>
        <w:numPr>
          <w:ilvl w:val="1"/>
          <w:numId w:val="0"/>
        </w:numPr>
        <w:tabs>
          <w:tab w:val="left" w:pos="900"/>
        </w:tabs>
        <w:adjustRightInd w:val="0"/>
        <w:snapToGrid w:val="0"/>
        <w:spacing w:line="360" w:lineRule="auto"/>
        <w:ind w:firstLine="472" w:firstLineChars="196"/>
        <w:jc w:val="left"/>
        <w:outlineLvl w:val="4"/>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5.定点拍摄记录要求</w:t>
      </w:r>
    </w:p>
    <w:p>
      <w:pPr>
        <w:spacing w:line="288" w:lineRule="auto"/>
        <w:ind w:firstLine="496" w:firstLineChars="200"/>
        <w:rPr>
          <w:rFonts w:hint="eastAsia" w:ascii="宋体" w:hAnsi="宋体" w:cs="宋体"/>
          <w:color w:val="auto"/>
          <w:sz w:val="24"/>
          <w:szCs w:val="24"/>
          <w:highlight w:val="none"/>
          <w:shd w:val="clear" w:color="auto" w:fill="FFFFFF"/>
        </w:rPr>
      </w:pPr>
      <w:r>
        <w:rPr>
          <w:rFonts w:hint="eastAsia" w:ascii="宋体" w:hAnsi="宋体" w:cs="宋体"/>
          <w:color w:val="auto"/>
          <w:spacing w:val="4"/>
          <w:kern w:val="0"/>
          <w:sz w:val="24"/>
          <w:szCs w:val="24"/>
          <w:highlight w:val="none"/>
        </w:rPr>
        <w:t>由于南方医科大学皮肤病医院白云院区的建设具有重大的意义，因此在建设过程中，对院区的建设要求采取动态定点拍摄记录方式，全程记录建设过程，后期制作成全过程建设缩影影片，记录归档。拍摄要求24小时高清录制，每月至少3次进行截屏上报（固定拍摄点位置、点数及截屏频率待定）成果文件要求：</w:t>
      </w:r>
      <w:r>
        <w:rPr>
          <w:rFonts w:hint="eastAsia" w:ascii="宋体" w:hAnsi="宋体" w:cs="宋体"/>
          <w:color w:val="auto"/>
          <w:sz w:val="24"/>
          <w:szCs w:val="24"/>
          <w:highlight w:val="none"/>
          <w:shd w:val="clear" w:color="auto" w:fill="FFFFFF"/>
        </w:rPr>
        <w:t xml:space="preserve">① </w:t>
      </w:r>
      <w:r>
        <w:rPr>
          <w:rFonts w:hint="eastAsia" w:ascii="宋体" w:hAnsi="宋体" w:cs="宋体"/>
          <w:color w:val="auto"/>
          <w:spacing w:val="4"/>
          <w:kern w:val="0"/>
          <w:sz w:val="24"/>
          <w:szCs w:val="24"/>
          <w:highlight w:val="none"/>
        </w:rPr>
        <w:t>录制数据存储时限按《建设工程文件归档规范》执行（不少于项目竣工后 3 年），双备份方式保留至存储期满</w:t>
      </w:r>
      <w:r>
        <w:rPr>
          <w:rFonts w:hint="eastAsia" w:ascii="宋体" w:hAnsi="宋体" w:cs="宋体"/>
          <w:color w:val="auto"/>
          <w:sz w:val="24"/>
          <w:szCs w:val="24"/>
          <w:highlight w:val="none"/>
          <w:shd w:val="clear" w:color="auto" w:fill="FFFFFF"/>
        </w:rPr>
        <w:t>；② 最终影片需时长≥</w:t>
      </w:r>
      <w:r>
        <w:rPr>
          <w:rFonts w:hint="eastAsia" w:ascii="宋体" w:hAnsi="宋体" w:cs="宋体"/>
          <w:color w:val="auto"/>
          <w:sz w:val="24"/>
          <w:szCs w:val="24"/>
          <w:highlight w:val="none"/>
          <w:shd w:val="clear" w:color="auto" w:fill="FFFFFF"/>
          <w:lang w:eastAsia="zh"/>
        </w:rPr>
        <w:t>10</w:t>
      </w:r>
      <w:r>
        <w:rPr>
          <w:rFonts w:hint="eastAsia" w:ascii="宋体" w:hAnsi="宋体" w:cs="宋体"/>
          <w:color w:val="auto"/>
          <w:sz w:val="24"/>
          <w:szCs w:val="24"/>
          <w:highlight w:val="none"/>
          <w:shd w:val="clear" w:color="auto" w:fill="FFFFFF"/>
        </w:rPr>
        <w:t xml:space="preserve"> 分钟，包含‘开工、基础完工、主体封顶、竣工’等关键节点，竣工后 30 天内提交 U 盘 + 光盘双份至业主档案部门</w:t>
      </w:r>
      <w:r>
        <w:rPr>
          <w:rFonts w:hint="eastAsia" w:ascii="宋体" w:hAnsi="宋体" w:cs="宋体"/>
          <w:color w:val="auto"/>
          <w:spacing w:val="4"/>
          <w:kern w:val="0"/>
          <w:sz w:val="24"/>
          <w:szCs w:val="24"/>
          <w:highlight w:val="none"/>
        </w:rPr>
        <w:t>。视频参数要求：</w:t>
      </w:r>
      <w:r>
        <w:rPr>
          <w:rFonts w:hint="eastAsia" w:ascii="宋体" w:hAnsi="宋体" w:cs="宋体"/>
          <w:color w:val="auto"/>
          <w:sz w:val="24"/>
          <w:szCs w:val="24"/>
          <w:highlight w:val="none"/>
          <w:shd w:val="clear" w:color="auto" w:fill="FFFFFF"/>
        </w:rPr>
        <w:t>① 摄像头需满足：分辨率≥2K、帧率≥25fps、具备夜视功能（夜视距离≥10m）；② 拍摄点需在中标人进场后 7 天内，由业主、中标人共同现场确认，签署《拍摄点确认单》（明确点数、位置）。</w:t>
      </w:r>
    </w:p>
    <w:p>
      <w:pPr>
        <w:spacing w:line="360" w:lineRule="auto"/>
        <w:ind w:firstLine="480" w:firstLineChars="200"/>
        <w:rPr>
          <w:rFonts w:hint="eastAsia" w:ascii="宋体" w:hAnsi="宋体" w:cs="宋体"/>
          <w:color w:val="auto"/>
          <w:sz w:val="24"/>
          <w:szCs w:val="24"/>
          <w:highlight w:val="none"/>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8663459"/>
      <w:docPartObj>
        <w:docPartGallery w:val="autotext"/>
      </w:docPartObj>
    </w:sdtPr>
    <w:sdtContent>
      <w:p>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A0A06"/>
    <w:multiLevelType w:val="singleLevel"/>
    <w:tmpl w:val="8A3A0A06"/>
    <w:lvl w:ilvl="0" w:tentative="0">
      <w:start w:val="1"/>
      <w:numFmt w:val="decimal"/>
      <w:suff w:val="nothing"/>
      <w:lvlText w:val="(%1)"/>
      <w:lvlJc w:val="left"/>
      <w:pPr>
        <w:ind w:left="0" w:leftChars="0" w:firstLine="40" w:firstLineChars="0"/>
      </w:pPr>
      <w:rPr>
        <w:rFonts w:hint="default"/>
      </w:rPr>
    </w:lvl>
  </w:abstractNum>
  <w:abstractNum w:abstractNumId="1">
    <w:nsid w:val="F2DFFC8F"/>
    <w:multiLevelType w:val="singleLevel"/>
    <w:tmpl w:val="F2DFFC8F"/>
    <w:lvl w:ilvl="0" w:tentative="0">
      <w:start w:val="1"/>
      <w:numFmt w:val="decimalEnclosedCircleChinese"/>
      <w:suff w:val="space"/>
      <w:lvlText w:val="%1"/>
      <w:lvlJc w:val="left"/>
      <w:rPr>
        <w:rFonts w:hint="eastAsia"/>
      </w:rPr>
    </w:lvl>
  </w:abstractNum>
  <w:abstractNum w:abstractNumId="2">
    <w:nsid w:val="0EA08FE0"/>
    <w:multiLevelType w:val="singleLevel"/>
    <w:tmpl w:val="0EA08FE0"/>
    <w:lvl w:ilvl="0" w:tentative="0">
      <w:start w:val="2"/>
      <w:numFmt w:val="decimal"/>
      <w:suff w:val="nothing"/>
      <w:lvlText w:val="（%1）"/>
      <w:lvlJc w:val="left"/>
    </w:lvl>
  </w:abstractNum>
  <w:abstractNum w:abstractNumId="3">
    <w:nsid w:val="1864C3BA"/>
    <w:multiLevelType w:val="singleLevel"/>
    <w:tmpl w:val="1864C3BA"/>
    <w:lvl w:ilvl="0" w:tentative="0">
      <w:start w:val="1"/>
      <w:numFmt w:val="decimalEnclosedCircleChinese"/>
      <w:suff w:val="nothing"/>
      <w:lvlText w:val="%1　"/>
      <w:lvlJc w:val="left"/>
      <w:pPr>
        <w:ind w:left="0" w:firstLine="400"/>
      </w:pPr>
      <w:rPr>
        <w:rFonts w:hint="eastAsia"/>
      </w:rPr>
    </w:lvl>
  </w:abstractNum>
  <w:abstractNum w:abstractNumId="4">
    <w:nsid w:val="1BF5DEB1"/>
    <w:multiLevelType w:val="singleLevel"/>
    <w:tmpl w:val="1BF5DEB1"/>
    <w:lvl w:ilvl="0" w:tentative="0">
      <w:start w:val="1"/>
      <w:numFmt w:val="decimal"/>
      <w:lvlText w:val="%1)"/>
      <w:lvlJc w:val="left"/>
      <w:pPr>
        <w:ind w:left="425" w:hanging="425"/>
      </w:pPr>
      <w:rPr>
        <w:rFonts w:hint="default"/>
      </w:rPr>
    </w:lvl>
  </w:abstractNum>
  <w:abstractNum w:abstractNumId="5">
    <w:nsid w:val="6C524EC1"/>
    <w:multiLevelType w:val="multilevel"/>
    <w:tmpl w:val="6C524EC1"/>
    <w:lvl w:ilvl="0" w:tentative="0">
      <w:start w:val="1"/>
      <w:numFmt w:val="chineseCountingThousand"/>
      <w:suff w:val="space"/>
      <w:lvlText w:val="第%1部分"/>
      <w:lvlJc w:val="center"/>
      <w:pPr>
        <w:ind w:left="-343" w:firstLine="0"/>
      </w:pPr>
      <w:rPr>
        <w:rFonts w:hint="eastAsia" w:ascii="宋体" w:eastAsia="宋体"/>
        <w:color w:val="auto"/>
        <w:sz w:val="24"/>
        <w:szCs w:val="24"/>
      </w:rPr>
    </w:lvl>
    <w:lvl w:ilvl="1" w:tentative="0">
      <w:start w:val="1"/>
      <w:numFmt w:val="chineseCountingThousand"/>
      <w:suff w:val="space"/>
      <w:lvlText w:val="第%2章"/>
      <w:lvlJc w:val="center"/>
      <w:pPr>
        <w:ind w:left="-343" w:firstLine="0"/>
      </w:pPr>
      <w:rPr>
        <w:rFonts w:hint="eastAsia" w:ascii="宋体" w:eastAsia="宋体"/>
        <w:b w:val="0"/>
        <w:i w:val="0"/>
        <w:sz w:val="24"/>
        <w:szCs w:val="24"/>
      </w:rPr>
    </w:lvl>
    <w:lvl w:ilvl="2" w:tentative="0">
      <w:start w:val="1"/>
      <w:numFmt w:val="chineseCountingThousand"/>
      <w:suff w:val="space"/>
      <w:lvlText w:val="第%3节"/>
      <w:lvlJc w:val="center"/>
      <w:pPr>
        <w:ind w:left="-343" w:firstLine="0"/>
      </w:pPr>
      <w:rPr>
        <w:rFonts w:hint="eastAsia" w:ascii="宋体" w:eastAsia="宋体"/>
        <w:color w:val="auto"/>
        <w:sz w:val="24"/>
        <w:szCs w:val="24"/>
      </w:rPr>
    </w:lvl>
    <w:lvl w:ilvl="3" w:tentative="0">
      <w:start w:val="1"/>
      <w:numFmt w:val="chineseCountingThousand"/>
      <w:suff w:val="space"/>
      <w:lvlText w:val="%4、"/>
      <w:lvlJc w:val="left"/>
      <w:pPr>
        <w:ind w:left="217" w:firstLine="0"/>
      </w:pPr>
      <w:rPr>
        <w:rFonts w:hint="eastAsia" w:ascii="仿宋_GB2312" w:eastAsia="仿宋_GB2312"/>
        <w:b/>
        <w:i w:val="0"/>
        <w:sz w:val="24"/>
        <w:szCs w:val="24"/>
      </w:rPr>
    </w:lvl>
    <w:lvl w:ilvl="4" w:tentative="0">
      <w:start w:val="1"/>
      <w:numFmt w:val="decimal"/>
      <w:suff w:val="space"/>
      <w:lvlText w:val="%5、"/>
      <w:lvlJc w:val="left"/>
      <w:pPr>
        <w:ind w:left="-327" w:firstLine="567"/>
      </w:pPr>
      <w:rPr>
        <w:rFonts w:hint="eastAsia" w:ascii="仿宋_GB2312" w:eastAsia="仿宋_GB2312"/>
        <w:b/>
        <w:i w:val="0"/>
        <w:sz w:val="24"/>
        <w:szCs w:val="24"/>
      </w:rPr>
    </w:lvl>
    <w:lvl w:ilvl="5" w:tentative="0">
      <w:start w:val="1"/>
      <w:numFmt w:val="decimal"/>
      <w:suff w:val="space"/>
      <w:lvlText w:val="%5.%6"/>
      <w:lvlJc w:val="left"/>
      <w:pPr>
        <w:ind w:left="-452" w:firstLine="567"/>
      </w:pPr>
      <w:rPr>
        <w:rFonts w:hint="eastAsia" w:ascii="宋体" w:eastAsia="宋体"/>
        <w:b w:val="0"/>
        <w:i w:val="0"/>
        <w:sz w:val="24"/>
        <w:szCs w:val="24"/>
      </w:rPr>
    </w:lvl>
    <w:lvl w:ilvl="6" w:tentative="0">
      <w:start w:val="1"/>
      <w:numFmt w:val="decimal"/>
      <w:suff w:val="space"/>
      <w:lvlText w:val="%5.%6.%7"/>
      <w:lvlJc w:val="left"/>
      <w:pPr>
        <w:ind w:left="-452" w:firstLine="567"/>
      </w:pPr>
      <w:rPr>
        <w:rFonts w:hint="eastAsia" w:ascii="宋体" w:eastAsia="宋体"/>
        <w:b w:val="0"/>
        <w:i w:val="0"/>
        <w:sz w:val="24"/>
        <w:szCs w:val="24"/>
      </w:rPr>
    </w:lvl>
    <w:lvl w:ilvl="7" w:tentative="0">
      <w:start w:val="1"/>
      <w:numFmt w:val="decimal"/>
      <w:pStyle w:val="7"/>
      <w:suff w:val="space"/>
      <w:lvlText w:val="（%8）"/>
      <w:lvlJc w:val="left"/>
      <w:pPr>
        <w:ind w:left="709" w:firstLine="284"/>
      </w:pPr>
      <w:rPr>
        <w:rFonts w:hint="eastAsia" w:ascii="仿宋_GB2312" w:eastAsia="仿宋_GB2312"/>
        <w:b w:val="0"/>
        <w:i w:val="0"/>
        <w:sz w:val="24"/>
        <w:szCs w:val="24"/>
      </w:rPr>
    </w:lvl>
    <w:lvl w:ilvl="8" w:tentative="0">
      <w:start w:val="1"/>
      <w:numFmt w:val="decimal"/>
      <w:suff w:val="space"/>
      <w:lvlText w:val="%9）"/>
      <w:lvlJc w:val="left"/>
      <w:pPr>
        <w:ind w:left="-452" w:firstLine="567"/>
      </w:pPr>
      <w:rPr>
        <w:rFonts w:hint="eastAsia" w:ascii="宋体" w:eastAsia="宋体"/>
        <w:sz w:val="24"/>
        <w:szCs w:val="24"/>
      </w:rPr>
    </w:lvl>
  </w:abstractNum>
  <w:abstractNum w:abstractNumId="6">
    <w:nsid w:val="7BBB10FC"/>
    <w:multiLevelType w:val="multilevel"/>
    <w:tmpl w:val="7BBB10FC"/>
    <w:lvl w:ilvl="0" w:tentative="0">
      <w:start w:val="1"/>
      <w:numFmt w:val="decimal"/>
      <w:lvlText w:val="%1"/>
      <w:lvlJc w:val="left"/>
      <w:pPr>
        <w:tabs>
          <w:tab w:val="left" w:pos="0"/>
        </w:tabs>
        <w:ind w:left="0" w:firstLine="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0B1FAD"/>
    <w:rsid w:val="001E3A76"/>
    <w:rsid w:val="002F4723"/>
    <w:rsid w:val="003A27E4"/>
    <w:rsid w:val="005D7A01"/>
    <w:rsid w:val="006A71B8"/>
    <w:rsid w:val="006B6A53"/>
    <w:rsid w:val="00714A93"/>
    <w:rsid w:val="007460C5"/>
    <w:rsid w:val="007E7FB3"/>
    <w:rsid w:val="008151B0"/>
    <w:rsid w:val="00851496"/>
    <w:rsid w:val="00867456"/>
    <w:rsid w:val="0093185F"/>
    <w:rsid w:val="009E6F59"/>
    <w:rsid w:val="00BA2EFE"/>
    <w:rsid w:val="00D730FD"/>
    <w:rsid w:val="00E745DF"/>
    <w:rsid w:val="00EA15E6"/>
    <w:rsid w:val="00EB7B80"/>
    <w:rsid w:val="00F554E7"/>
    <w:rsid w:val="00F62791"/>
    <w:rsid w:val="02CC184F"/>
    <w:rsid w:val="051E7836"/>
    <w:rsid w:val="06540256"/>
    <w:rsid w:val="06853BA1"/>
    <w:rsid w:val="073261B9"/>
    <w:rsid w:val="092D5762"/>
    <w:rsid w:val="099D07F8"/>
    <w:rsid w:val="0A310B6A"/>
    <w:rsid w:val="0C5C1C12"/>
    <w:rsid w:val="0D007A37"/>
    <w:rsid w:val="0D750E78"/>
    <w:rsid w:val="0E0554BA"/>
    <w:rsid w:val="0F175BF9"/>
    <w:rsid w:val="0FA50F2C"/>
    <w:rsid w:val="0FBE7E51"/>
    <w:rsid w:val="0FE34687"/>
    <w:rsid w:val="13D749A0"/>
    <w:rsid w:val="169B16A6"/>
    <w:rsid w:val="171C4DC0"/>
    <w:rsid w:val="175C02D0"/>
    <w:rsid w:val="1A7F18ED"/>
    <w:rsid w:val="1C4E77C9"/>
    <w:rsid w:val="1CFD2F9D"/>
    <w:rsid w:val="20166850"/>
    <w:rsid w:val="201D20F2"/>
    <w:rsid w:val="216830DB"/>
    <w:rsid w:val="23633A83"/>
    <w:rsid w:val="24082954"/>
    <w:rsid w:val="245971FE"/>
    <w:rsid w:val="24863878"/>
    <w:rsid w:val="25457290"/>
    <w:rsid w:val="260B1FAD"/>
    <w:rsid w:val="27EE3C0E"/>
    <w:rsid w:val="28BF4934"/>
    <w:rsid w:val="2A9658DC"/>
    <w:rsid w:val="2AC05F23"/>
    <w:rsid w:val="2B91322F"/>
    <w:rsid w:val="2E2633D8"/>
    <w:rsid w:val="30703D5A"/>
    <w:rsid w:val="323E2736"/>
    <w:rsid w:val="35F669A9"/>
    <w:rsid w:val="36584E75"/>
    <w:rsid w:val="37757EA8"/>
    <w:rsid w:val="3909576D"/>
    <w:rsid w:val="3B9B0221"/>
    <w:rsid w:val="3D957593"/>
    <w:rsid w:val="3F516B05"/>
    <w:rsid w:val="42BA46FD"/>
    <w:rsid w:val="45BD7BB6"/>
    <w:rsid w:val="45E90E6A"/>
    <w:rsid w:val="46551035"/>
    <w:rsid w:val="466B2BA2"/>
    <w:rsid w:val="46AB2CF2"/>
    <w:rsid w:val="4717185E"/>
    <w:rsid w:val="47C168DD"/>
    <w:rsid w:val="488E4926"/>
    <w:rsid w:val="499433DE"/>
    <w:rsid w:val="49FA7CC9"/>
    <w:rsid w:val="4A2128A9"/>
    <w:rsid w:val="4A8E470E"/>
    <w:rsid w:val="4CD83A80"/>
    <w:rsid w:val="4DA84A8A"/>
    <w:rsid w:val="4E702286"/>
    <w:rsid w:val="4F664010"/>
    <w:rsid w:val="501C2E9E"/>
    <w:rsid w:val="50EE552B"/>
    <w:rsid w:val="51322546"/>
    <w:rsid w:val="59C02DAD"/>
    <w:rsid w:val="5AC71DA7"/>
    <w:rsid w:val="5C822463"/>
    <w:rsid w:val="5DFD637E"/>
    <w:rsid w:val="5E2E7A84"/>
    <w:rsid w:val="5F1C7668"/>
    <w:rsid w:val="5FB46D8E"/>
    <w:rsid w:val="60541F5C"/>
    <w:rsid w:val="626C4AFF"/>
    <w:rsid w:val="639823AB"/>
    <w:rsid w:val="64353F4B"/>
    <w:rsid w:val="64BF74C3"/>
    <w:rsid w:val="658F0546"/>
    <w:rsid w:val="6671335A"/>
    <w:rsid w:val="67165C16"/>
    <w:rsid w:val="6806569E"/>
    <w:rsid w:val="6A640700"/>
    <w:rsid w:val="6A761705"/>
    <w:rsid w:val="6D27559E"/>
    <w:rsid w:val="6EFD1CC2"/>
    <w:rsid w:val="6FFE1AE2"/>
    <w:rsid w:val="71077E38"/>
    <w:rsid w:val="73FC0A2E"/>
    <w:rsid w:val="74251758"/>
    <w:rsid w:val="75FE08E2"/>
    <w:rsid w:val="76AE24B4"/>
    <w:rsid w:val="777F5518"/>
    <w:rsid w:val="7AD41FE7"/>
    <w:rsid w:val="7B9854E0"/>
    <w:rsid w:val="7DBA7990"/>
    <w:rsid w:val="7DD456A8"/>
    <w:rsid w:val="7E5362CA"/>
    <w:rsid w:val="7ECB7D83"/>
    <w:rsid w:val="7F032C71"/>
    <w:rsid w:val="7F15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20" w:after="120" w:line="415" w:lineRule="auto"/>
      <w:jc w:val="center"/>
      <w:outlineLvl w:val="1"/>
    </w:pPr>
    <w:rPr>
      <w:rFonts w:ascii="Arial" w:hAnsi="Arial"/>
      <w:b/>
      <w:color w:val="000000"/>
      <w:kern w:val="0"/>
      <w:sz w:val="28"/>
      <w:szCs w:val="24"/>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5">
    <w:name w:val="heading 4"/>
    <w:basedOn w:val="1"/>
    <w:next w:val="1"/>
    <w:qFormat/>
    <w:uiPriority w:val="9"/>
    <w:pPr>
      <w:widowControl/>
      <w:spacing w:beforeAutospacing="1" w:afterAutospacing="1"/>
      <w:jc w:val="left"/>
      <w:outlineLvl w:val="3"/>
    </w:pPr>
    <w:rPr>
      <w:rFonts w:hint="eastAsia" w:ascii="宋体" w:hAnsi="宋体"/>
      <w:b/>
      <w:kern w:val="0"/>
      <w:sz w:val="24"/>
      <w:szCs w:val="24"/>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8"/>
    <w:basedOn w:val="1"/>
    <w:next w:val="1"/>
    <w:qFormat/>
    <w:uiPriority w:val="0"/>
    <w:pPr>
      <w:numPr>
        <w:ilvl w:val="7"/>
        <w:numId w:val="1"/>
      </w:numPr>
      <w:ind w:hanging="709"/>
      <w:outlineLvl w:val="7"/>
    </w:pPr>
    <w:rPr>
      <w:rFonts w:hAnsi="Ari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99"/>
    <w:pPr>
      <w:ind w:firstLine="420"/>
    </w:pPr>
    <w:rPr>
      <w:kern w:val="0"/>
      <w:sz w:val="20"/>
      <w:szCs w:val="20"/>
    </w:rPr>
  </w:style>
  <w:style w:type="paragraph" w:styleId="9">
    <w:name w:val="annotation text"/>
    <w:basedOn w:val="1"/>
    <w:unhideWhenUsed/>
    <w:qFormat/>
    <w:uiPriority w:val="99"/>
    <w:pPr>
      <w:jc w:val="left"/>
    </w:pPr>
    <w:rPr>
      <w:rFonts w:ascii="Calibri" w:hAnsi="Calibri"/>
      <w:szCs w:val="21"/>
    </w:rPr>
  </w:style>
  <w:style w:type="paragraph" w:styleId="10">
    <w:name w:val="Body Text Indent"/>
    <w:basedOn w:val="1"/>
    <w:next w:val="11"/>
    <w:qFormat/>
    <w:uiPriority w:val="0"/>
    <w:pPr>
      <w:ind w:firstLine="570"/>
    </w:pPr>
    <w:rPr>
      <w:kern w:val="0"/>
      <w:sz w:val="28"/>
      <w:szCs w:val="20"/>
    </w:rPr>
  </w:style>
  <w:style w:type="paragraph" w:styleId="11">
    <w:name w:val="envelope return"/>
    <w:basedOn w:val="1"/>
    <w:qFormat/>
    <w:uiPriority w:val="0"/>
    <w:pPr>
      <w:snapToGrid w:val="0"/>
    </w:pPr>
    <w:rPr>
      <w:rFonts w:ascii="Arial" w:hAnsi="Arial"/>
      <w:szCs w:val="24"/>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3"/>
    <w:qFormat/>
    <w:uiPriority w:val="0"/>
    <w:pP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5">
    <w:name w:val="Body Text First Indent 2"/>
    <w:basedOn w:val="10"/>
    <w:qFormat/>
    <w:uiPriority w:val="0"/>
    <w:pPr>
      <w:spacing w:after="120"/>
      <w:ind w:left="200" w:leftChars="200" w:firstLine="200" w:firstLineChars="200"/>
    </w:pPr>
    <w:rPr>
      <w:rFonts w:ascii="Calibri" w:hAnsi="Calibri"/>
      <w:color w:val="0D0D0D"/>
      <w:kern w:val="2"/>
      <w:sz w:val="21"/>
      <w:szCs w:val="24"/>
      <w:lang w:eastAsia="en-US"/>
    </w:rPr>
  </w:style>
  <w:style w:type="character" w:styleId="18">
    <w:name w:val="annotation reference"/>
    <w:basedOn w:val="17"/>
    <w:qFormat/>
    <w:uiPriority w:val="0"/>
    <w:rPr>
      <w:sz w:val="21"/>
      <w:szCs w:val="21"/>
    </w:rPr>
  </w:style>
  <w:style w:type="paragraph" w:customStyle="1" w:styleId="1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0">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21">
    <w:name w:val="文二"/>
    <w:basedOn w:val="1"/>
    <w:qFormat/>
    <w:uiPriority w:val="0"/>
    <w:pPr>
      <w:widowControl/>
      <w:spacing w:after="200" w:line="276" w:lineRule="auto"/>
      <w:jc w:val="left"/>
    </w:pPr>
    <w:rPr>
      <w:rFonts w:ascii="宋体" w:hAnsi="宋体"/>
      <w:kern w:val="0"/>
      <w:sz w:val="22"/>
      <w:szCs w:val="21"/>
      <w:lang w:eastAsia="en-US" w:bidi="en-US"/>
    </w:rPr>
  </w:style>
  <w:style w:type="paragraph" w:customStyle="1" w:styleId="22">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3">
    <w:name w:val="页眉 字符"/>
    <w:basedOn w:val="17"/>
    <w:link w:val="13"/>
    <w:qFormat/>
    <w:uiPriority w:val="0"/>
    <w:rPr>
      <w:rFonts w:ascii="Times New Roman" w:hAnsi="Times New Roman" w:eastAsia="宋体" w:cs="Times New Roman"/>
      <w:kern w:val="2"/>
      <w:sz w:val="18"/>
      <w:szCs w:val="18"/>
    </w:rPr>
  </w:style>
  <w:style w:type="character" w:customStyle="1" w:styleId="24">
    <w:name w:val="页脚 字符"/>
    <w:basedOn w:val="17"/>
    <w:link w:val="12"/>
    <w:qFormat/>
    <w:uiPriority w:val="99"/>
    <w:rPr>
      <w:rFonts w:ascii="Times New Roman" w:hAnsi="Times New Roman" w:eastAsia="宋体" w:cs="Times New Roman"/>
      <w:kern w:val="2"/>
      <w:sz w:val="18"/>
      <w:szCs w:val="18"/>
    </w:rPr>
  </w:style>
  <w:style w:type="character" w:customStyle="1" w:styleId="2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33060</Words>
  <Characters>33742</Characters>
  <Lines>292</Lines>
  <Paragraphs>82</Paragraphs>
  <TotalTime>6</TotalTime>
  <ScaleCrop>false</ScaleCrop>
  <LinksUpToDate>false</LinksUpToDate>
  <CharactersWithSpaces>33956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2025-11-14T02:31:00Z</dcterms:created>
  <dc:creator>冷辉辉</dc:creator>
  <cp:lastModifiedBy>NPZCB</cp:lastModifiedBy>
  <dcterms:modified xsi:type="dcterms:W3CDTF">2025-12-11T08:02:45Z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CECAB57C30DF4C1E9F5C89A3C30F79D1_13</vt:lpwstr>
  </property>
  <property fmtid="{D5CDD505-2E9C-101B-9397-08002B2CF9AE}" pid="4" name="_DocHome">
    <vt:i4>190730322</vt:i4>
  </property>
  <property fmtid="{D5CDD505-2E9C-101B-9397-08002B2CF9AE}" pid="5" name="KSOTemplateDocerSaveRecord">
    <vt:lpwstr>eyJoZGlkIjoiMDljYzUzMWQ4OWI0YzBkYjYzMDRhZTY5ZjZkYmFmYTgiLCJ1c2VySWQiOiIxNzg3NjIyMyJ9</vt:lpwstr>
  </property>
</Properties>
</file>