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361B">
      <w:pPr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附件1</w:t>
      </w:r>
    </w:p>
    <w:p w14:paraId="69C41824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总公司授权投标书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GB"/>
        </w:rPr>
        <w:t>（分支机构适用）</w:t>
      </w:r>
    </w:p>
    <w:p w14:paraId="0DA2DE1B">
      <w:pPr>
        <w:spacing w:line="360" w:lineRule="auto"/>
        <w:ind w:firstLine="600" w:firstLineChars="250"/>
        <w:jc w:val="both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</w:p>
    <w:p w14:paraId="3282261E">
      <w:pPr>
        <w:spacing w:line="360" w:lineRule="auto"/>
        <w:ind w:firstLine="600" w:firstLineChars="250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（投标人全称）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是我司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（投标人总公司全称）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地市级或以上的分支机构。现我司正式授权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（投标人全称）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作为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广州地区部分高（快）速公路2025-2028年度营运保险集中采购项目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一授权分支机构，参与投标活动、提交投标文件、保险合同的签订、执行和售后服务等一切与之有关的事物。</w:t>
      </w:r>
    </w:p>
    <w:p w14:paraId="1569426E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420" w:firstLineChars="200"/>
        <w:jc w:val="both"/>
        <w:rPr>
          <w:rFonts w:hint="eastAsia" w:ascii="宋体" w:hAnsi="宋体" w:cs="宋体"/>
          <w:color w:val="auto"/>
          <w:sz w:val="21"/>
          <w:szCs w:val="21"/>
          <w:highlight w:val="none"/>
        </w:rPr>
      </w:pPr>
    </w:p>
    <w:p w14:paraId="7039EDD1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420" w:firstLineChars="200"/>
        <w:jc w:val="both"/>
        <w:rPr>
          <w:rFonts w:hint="eastAsia" w:ascii="宋体" w:hAnsi="宋体" w:cs="宋体"/>
          <w:color w:val="auto"/>
          <w:sz w:val="21"/>
          <w:szCs w:val="21"/>
          <w:highlight w:val="none"/>
        </w:rPr>
      </w:pPr>
    </w:p>
    <w:p w14:paraId="56A4A057">
      <w:pPr>
        <w:spacing w:line="360" w:lineRule="auto"/>
        <w:ind w:firstLine="3600" w:firstLineChars="1500"/>
        <w:jc w:val="righ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投标人总公司名称：            （单位公章）</w:t>
      </w:r>
    </w:p>
    <w:p w14:paraId="2E77695C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480" w:firstLineChars="200"/>
        <w:jc w:val="right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授权日期：    年   月   日</w:t>
      </w:r>
    </w:p>
    <w:p w14:paraId="69CE728B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560" w:firstLineChars="200"/>
        <w:jc w:val="both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300F9913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560" w:firstLineChars="200"/>
        <w:jc w:val="both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187DD95D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ind w:firstLine="560" w:firstLineChars="200"/>
        <w:jc w:val="both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740BAF44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注：</w:t>
      </w:r>
    </w:p>
    <w:p w14:paraId="3528AE7B"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snapToGrid w:val="0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1.授权书在投标登记时提供，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并附在投标文件中。</w:t>
      </w:r>
    </w:p>
    <w:p w14:paraId="105C7E51"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2.如投标人为总公司参与投标的，则不需要提交此授权投标书。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7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2025-12-12T06:30:15Z</dcterms:created>
  <dc:creator>Administrator</dc:creator>
  <cp:lastModifiedBy>FFFF</cp:lastModifiedBy>
  <dcterms:modified xsi:type="dcterms:W3CDTF">2025-12-12T06:30:34Z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eyJoZGlkIjoiYmM5OTk5Y2U4Yjc1NzU4Yjc4NTZlZTJkZThlYTQxMzEiLCJ1c2VySWQiOiI0NjIyNTc1NjAifQ==</vt:lpwstr>
  </property>
  <property fmtid="{D5CDD505-2E9C-101B-9397-08002B2CF9AE}" pid="4" name="ICV">
    <vt:lpwstr>EB8F30614EEC4F76B265DBF94DE5DA94_12</vt:lpwstr>
  </property>
</Properties>
</file>