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B5F91">
      <w:pPr>
        <w:widowControl w:val="0"/>
        <w:topLinePunct/>
        <w:spacing w:line="740" w:lineRule="exact"/>
        <w:jc w:val="center"/>
        <w:rPr>
          <w:rFonts w:hint="eastAsia" w:ascii="宋体" w:hAnsi="宋体" w:eastAsia="宋体" w:cs="宋体"/>
          <w:b/>
          <w:color w:val="auto"/>
          <w:kern w:val="2"/>
          <w:sz w:val="72"/>
          <w:szCs w:val="72"/>
          <w:highlight w:val="none"/>
          <w:lang w:eastAsia="zh-CN"/>
        </w:rPr>
      </w:pPr>
      <w:r>
        <w:rPr>
          <w:rFonts w:hint="eastAsia" w:ascii="宋体" w:hAnsi="宋体" w:cs="宋体"/>
          <w:b/>
          <w:color w:val="auto"/>
          <w:kern w:val="2"/>
          <w:sz w:val="72"/>
          <w:szCs w:val="72"/>
          <w:highlight w:val="none"/>
          <w:lang w:eastAsia="zh-CN"/>
        </w:rPr>
        <w:t>广州地区部分高（快）速公路2025-2028年度营运保险集中采购项目</w:t>
      </w:r>
    </w:p>
    <w:p w14:paraId="4DCA620E">
      <w:pPr>
        <w:spacing w:line="360" w:lineRule="auto"/>
        <w:jc w:val="both"/>
        <w:rPr>
          <w:rFonts w:hint="eastAsia" w:ascii="宋体" w:hAnsi="宋体" w:cs="宋体"/>
          <w:b/>
          <w:color w:val="auto"/>
          <w:sz w:val="48"/>
          <w:szCs w:val="48"/>
          <w:highlight w:val="none"/>
        </w:rPr>
      </w:pPr>
    </w:p>
    <w:p w14:paraId="2F12A0BA">
      <w:pPr>
        <w:pStyle w:val="5"/>
        <w:rPr>
          <w:rFonts w:hint="eastAsia"/>
          <w:color w:val="auto"/>
          <w:highlight w:val="none"/>
        </w:rPr>
      </w:pPr>
    </w:p>
    <w:p w14:paraId="1660B9A6">
      <w:pPr>
        <w:widowControl w:val="0"/>
        <w:spacing w:before="240" w:beforeLines="100"/>
        <w:ind w:left="-2" w:leftChars="-1"/>
        <w:jc w:val="center"/>
        <w:rPr>
          <w:rFonts w:hint="eastAsia" w:ascii="宋体" w:hAnsi="宋体" w:eastAsia="宋体" w:cs="宋体"/>
          <w:b/>
          <w:bCs/>
          <w:color w:val="auto"/>
          <w:spacing w:val="140"/>
          <w:kern w:val="2"/>
          <w:sz w:val="84"/>
          <w:szCs w:val="84"/>
          <w:highlight w:val="none"/>
          <w:lang w:eastAsia="zh-CN"/>
        </w:rPr>
      </w:pPr>
      <w:r>
        <w:rPr>
          <w:rFonts w:hint="eastAsia" w:ascii="宋体" w:hAnsi="宋体" w:cs="宋体"/>
          <w:b/>
          <w:bCs/>
          <w:color w:val="auto"/>
          <w:spacing w:val="140"/>
          <w:kern w:val="2"/>
          <w:sz w:val="84"/>
          <w:szCs w:val="84"/>
          <w:highlight w:val="none"/>
        </w:rPr>
        <w:t xml:space="preserve">招 标 </w:t>
      </w:r>
      <w:r>
        <w:rPr>
          <w:rFonts w:hint="eastAsia" w:ascii="宋体" w:hAnsi="宋体" w:cs="宋体"/>
          <w:b/>
          <w:bCs/>
          <w:color w:val="auto"/>
          <w:spacing w:val="140"/>
          <w:kern w:val="2"/>
          <w:sz w:val="84"/>
          <w:szCs w:val="84"/>
          <w:highlight w:val="none"/>
          <w:lang w:val="en-US" w:eastAsia="zh-CN"/>
        </w:rPr>
        <w:t>公</w:t>
      </w:r>
      <w:r>
        <w:rPr>
          <w:rFonts w:hint="eastAsia" w:ascii="宋体" w:hAnsi="宋体" w:cs="宋体"/>
          <w:b/>
          <w:bCs/>
          <w:color w:val="auto"/>
          <w:spacing w:val="140"/>
          <w:kern w:val="2"/>
          <w:sz w:val="84"/>
          <w:szCs w:val="84"/>
          <w:highlight w:val="none"/>
        </w:rPr>
        <w:t xml:space="preserve"> </w:t>
      </w:r>
      <w:r>
        <w:rPr>
          <w:rFonts w:hint="eastAsia" w:ascii="宋体" w:hAnsi="宋体" w:cs="宋体"/>
          <w:b/>
          <w:bCs/>
          <w:color w:val="auto"/>
          <w:spacing w:val="140"/>
          <w:kern w:val="2"/>
          <w:sz w:val="84"/>
          <w:szCs w:val="84"/>
          <w:highlight w:val="none"/>
          <w:lang w:val="en-US" w:eastAsia="zh-CN"/>
        </w:rPr>
        <w:t>告</w:t>
      </w:r>
    </w:p>
    <w:p w14:paraId="642CF770">
      <w:pPr>
        <w:spacing w:line="360" w:lineRule="auto"/>
        <w:jc w:val="center"/>
        <w:rPr>
          <w:rFonts w:hint="eastAsia" w:ascii="宋体" w:hAnsi="宋体" w:cs="宋体"/>
          <w:b/>
          <w:color w:val="auto"/>
          <w:sz w:val="30"/>
          <w:szCs w:val="30"/>
          <w:highlight w:val="none"/>
        </w:rPr>
      </w:pPr>
    </w:p>
    <w:p w14:paraId="4B181CA3">
      <w:pPr>
        <w:spacing w:line="360" w:lineRule="auto"/>
        <w:jc w:val="center"/>
        <w:rPr>
          <w:rFonts w:hint="eastAsia" w:ascii="宋体" w:hAnsi="宋体" w:cs="宋体"/>
          <w:b/>
          <w:color w:val="auto"/>
          <w:sz w:val="30"/>
          <w:szCs w:val="30"/>
          <w:highlight w:val="none"/>
        </w:rPr>
      </w:pPr>
      <w:r>
        <w:rPr>
          <w:rFonts w:hint="eastAsia" w:ascii="宋体" w:hAnsi="宋体" w:cs="宋体"/>
          <w:color w:val="auto"/>
          <w:highlight w:val="none"/>
        </w:rPr>
        <w:drawing>
          <wp:inline distT="0" distB="0" distL="114300" distR="114300">
            <wp:extent cx="2991485" cy="2619375"/>
            <wp:effectExtent l="0" t="0" r="1841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2991485" cy="2619375"/>
                    </a:xfrm>
                    <a:prstGeom prst="rect">
                      <a:avLst/>
                    </a:prstGeom>
                    <a:noFill/>
                    <a:ln>
                      <a:noFill/>
                    </a:ln>
                  </pic:spPr>
                </pic:pic>
              </a:graphicData>
            </a:graphic>
          </wp:inline>
        </w:drawing>
      </w:r>
    </w:p>
    <w:p w14:paraId="4704413F">
      <w:pPr>
        <w:spacing w:line="360" w:lineRule="auto"/>
        <w:jc w:val="both"/>
        <w:rPr>
          <w:rFonts w:hint="eastAsia" w:ascii="宋体" w:hAnsi="宋体" w:cs="宋体"/>
          <w:b/>
          <w:color w:val="auto"/>
          <w:sz w:val="36"/>
          <w:szCs w:val="30"/>
          <w:highlight w:val="none"/>
        </w:rPr>
      </w:pPr>
    </w:p>
    <w:p w14:paraId="01DA5A67">
      <w:pPr>
        <w:spacing w:line="360" w:lineRule="auto"/>
        <w:jc w:val="both"/>
        <w:rPr>
          <w:rFonts w:hint="eastAsia" w:ascii="宋体" w:hAnsi="宋体" w:cs="宋体"/>
          <w:b/>
          <w:color w:val="auto"/>
          <w:sz w:val="36"/>
          <w:szCs w:val="30"/>
          <w:highlight w:val="none"/>
        </w:rPr>
      </w:pPr>
    </w:p>
    <w:p w14:paraId="59ECFDF2">
      <w:pPr>
        <w:spacing w:line="360" w:lineRule="auto"/>
        <w:ind w:firstLine="803" w:firstLineChars="250"/>
        <w:rPr>
          <w:rFonts w:hint="eastAsia" w:ascii="宋体" w:hAnsi="宋体" w:cs="宋体"/>
          <w:b/>
          <w:color w:val="auto"/>
          <w:sz w:val="32"/>
          <w:szCs w:val="28"/>
          <w:highlight w:val="none"/>
        </w:rPr>
      </w:pPr>
      <w:r>
        <w:rPr>
          <w:rFonts w:hint="eastAsia" w:ascii="宋体" w:hAnsi="宋体" w:cs="宋体"/>
          <w:b/>
          <w:color w:val="auto"/>
          <w:sz w:val="32"/>
          <w:szCs w:val="28"/>
          <w:highlight w:val="none"/>
        </w:rPr>
        <w:t>招标单位：</w:t>
      </w:r>
      <w:r>
        <w:rPr>
          <w:rFonts w:hint="eastAsia" w:ascii="宋体" w:hAnsi="宋体" w:cs="宋体"/>
          <w:b/>
          <w:bCs/>
          <w:color w:val="auto"/>
          <w:sz w:val="32"/>
          <w:szCs w:val="32"/>
          <w:highlight w:val="none"/>
        </w:rPr>
        <w:t>广州高速运营管理有限公司</w:t>
      </w:r>
      <w:r>
        <w:rPr>
          <w:rFonts w:hint="eastAsia" w:ascii="宋体" w:hAnsi="宋体" w:cs="宋体"/>
          <w:b/>
          <w:color w:val="auto"/>
          <w:sz w:val="32"/>
          <w:szCs w:val="28"/>
          <w:highlight w:val="none"/>
        </w:rPr>
        <w:t>（盖单位章）</w:t>
      </w:r>
    </w:p>
    <w:p w14:paraId="3E6F2F17">
      <w:pPr>
        <w:spacing w:line="360" w:lineRule="auto"/>
        <w:ind w:firstLine="803" w:firstLineChars="250"/>
        <w:rPr>
          <w:rFonts w:hint="eastAsia" w:ascii="宋体" w:hAnsi="宋体" w:cs="宋体"/>
          <w:b/>
          <w:color w:val="auto"/>
          <w:sz w:val="32"/>
          <w:szCs w:val="28"/>
          <w:highlight w:val="none"/>
        </w:rPr>
      </w:pPr>
      <w:r>
        <w:rPr>
          <w:rFonts w:hint="eastAsia" w:ascii="宋体" w:hAnsi="宋体" w:cs="宋体"/>
          <w:b/>
          <w:color w:val="auto"/>
          <w:sz w:val="32"/>
          <w:szCs w:val="28"/>
          <w:highlight w:val="none"/>
        </w:rPr>
        <w:t>招标代理单位：</w:t>
      </w:r>
      <w:r>
        <w:rPr>
          <w:rFonts w:hint="eastAsia" w:ascii="宋体" w:hAnsi="宋体" w:cs="宋体"/>
          <w:b/>
          <w:color w:val="auto"/>
          <w:sz w:val="32"/>
          <w:szCs w:val="28"/>
          <w:highlight w:val="none"/>
          <w:lang w:eastAsia="zh-CN"/>
        </w:rPr>
        <w:t>广州阳光采购服务有限公司</w:t>
      </w:r>
      <w:r>
        <w:rPr>
          <w:rFonts w:hint="eastAsia" w:ascii="宋体" w:hAnsi="宋体" w:cs="宋体"/>
          <w:b/>
          <w:color w:val="auto"/>
          <w:sz w:val="32"/>
          <w:szCs w:val="28"/>
          <w:highlight w:val="none"/>
        </w:rPr>
        <w:t>（盖单位章）</w:t>
      </w:r>
    </w:p>
    <w:p w14:paraId="06A4DEB7">
      <w:pPr>
        <w:spacing w:line="360" w:lineRule="auto"/>
        <w:ind w:firstLine="803" w:firstLineChars="250"/>
        <w:rPr>
          <w:rFonts w:hint="eastAsia" w:ascii="宋体" w:hAnsi="宋体" w:cs="宋体"/>
          <w:b/>
          <w:color w:val="auto"/>
          <w:sz w:val="36"/>
          <w:szCs w:val="30"/>
          <w:highlight w:val="none"/>
        </w:rPr>
      </w:pPr>
      <w:r>
        <w:rPr>
          <w:rFonts w:hint="eastAsia" w:ascii="宋体" w:hAnsi="宋体" w:cs="宋体"/>
          <w:b/>
          <w:color w:val="auto"/>
          <w:sz w:val="32"/>
          <w:szCs w:val="28"/>
          <w:highlight w:val="none"/>
        </w:rPr>
        <w:t>日期：20</w:t>
      </w:r>
      <w:r>
        <w:rPr>
          <w:rFonts w:hint="eastAsia" w:ascii="宋体" w:hAnsi="宋体" w:cs="宋体"/>
          <w:b/>
          <w:color w:val="auto"/>
          <w:sz w:val="32"/>
          <w:szCs w:val="28"/>
          <w:highlight w:val="none"/>
          <w:lang w:val="en-US" w:eastAsia="zh-CN"/>
        </w:rPr>
        <w:t>25</w:t>
      </w:r>
      <w:r>
        <w:rPr>
          <w:rFonts w:hint="eastAsia" w:ascii="宋体" w:hAnsi="宋体" w:cs="宋体"/>
          <w:b/>
          <w:color w:val="auto"/>
          <w:sz w:val="32"/>
          <w:szCs w:val="28"/>
          <w:highlight w:val="none"/>
        </w:rPr>
        <w:t>年</w:t>
      </w:r>
      <w:r>
        <w:rPr>
          <w:rFonts w:hint="eastAsia" w:ascii="宋体" w:hAnsi="宋体" w:cs="宋体"/>
          <w:b/>
          <w:color w:val="auto"/>
          <w:sz w:val="32"/>
          <w:szCs w:val="28"/>
          <w:highlight w:val="none"/>
          <w:lang w:val="en-US" w:eastAsia="zh-CN"/>
        </w:rPr>
        <w:t>12</w:t>
      </w:r>
      <w:r>
        <w:rPr>
          <w:rFonts w:hint="eastAsia" w:ascii="宋体" w:hAnsi="宋体" w:cs="宋体"/>
          <w:b/>
          <w:color w:val="auto"/>
          <w:sz w:val="32"/>
          <w:szCs w:val="28"/>
          <w:highlight w:val="none"/>
        </w:rPr>
        <w:t>月</w:t>
      </w:r>
    </w:p>
    <w:p w14:paraId="0579CD27">
      <w:pPr>
        <w:spacing w:line="360" w:lineRule="auto"/>
        <w:ind w:firstLine="2800" w:firstLineChars="1000"/>
        <w:rPr>
          <w:rFonts w:hint="eastAsia" w:ascii="宋体" w:hAnsi="宋体" w:cs="宋体"/>
          <w:color w:val="auto"/>
          <w:sz w:val="28"/>
          <w:szCs w:val="28"/>
          <w:highlight w:val="none"/>
        </w:rPr>
        <w:sectPr>
          <w:headerReference r:id="rId5" w:type="first"/>
          <w:headerReference r:id="rId4" w:type="default"/>
          <w:footerReference r:id="rId6" w:type="default"/>
          <w:footerReference r:id="rId7" w:type="even"/>
          <w:pgSz w:w="11907" w:h="16840"/>
          <w:pgMar w:top="1418" w:right="1134" w:bottom="1134" w:left="1361" w:header="680" w:footer="907" w:gutter="0"/>
          <w:pgNumType w:chapSep="enDash"/>
          <w:cols w:space="720" w:num="1"/>
          <w:titlePg/>
          <w:docGrid w:linePitch="272" w:charSpace="0"/>
        </w:sectPr>
      </w:pPr>
    </w:p>
    <w:p w14:paraId="7369AFD1">
      <w:pPr>
        <w:spacing w:line="360" w:lineRule="auto"/>
        <w:jc w:val="center"/>
        <w:rPr>
          <w:rFonts w:hint="eastAsia" w:ascii="宋体" w:hAnsi="宋体" w:cs="宋体"/>
          <w:color w:val="auto"/>
          <w:sz w:val="28"/>
          <w:szCs w:val="28"/>
          <w:highlight w:val="none"/>
        </w:rPr>
      </w:pPr>
      <w:r>
        <w:rPr>
          <w:rFonts w:hint="eastAsia" w:ascii="宋体" w:hAnsi="宋体"/>
          <w:b/>
          <w:color w:val="auto"/>
          <w:sz w:val="28"/>
          <w:szCs w:val="28"/>
          <w:highlight w:val="none"/>
          <w:lang w:eastAsia="zh-CN"/>
        </w:rPr>
        <w:t>广州地区部分高（快）速公路2025-2028年度营运保险集中采购项目</w:t>
      </w:r>
      <w:r>
        <w:rPr>
          <w:rFonts w:hint="eastAsia" w:ascii="宋体" w:hAnsi="宋体"/>
          <w:b/>
          <w:color w:val="auto"/>
          <w:sz w:val="28"/>
          <w:szCs w:val="28"/>
          <w:highlight w:val="none"/>
        </w:rPr>
        <w:t>招标公告</w:t>
      </w:r>
    </w:p>
    <w:p w14:paraId="59B73DBD">
      <w:pPr>
        <w:numPr>
          <w:ilvl w:val="0"/>
          <w:numId w:val="1"/>
        </w:num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招标条件</w:t>
      </w:r>
    </w:p>
    <w:p w14:paraId="52D8154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u w:val="single"/>
          <w:lang w:eastAsia="zh-CN"/>
        </w:rPr>
        <w:t>广州地区部分高（快）速公路2025-2028年度营运保险集中采购项目</w:t>
      </w:r>
      <w:r>
        <w:rPr>
          <w:rFonts w:hint="eastAsia" w:ascii="宋体" w:hAnsi="宋体" w:cs="宋体"/>
          <w:color w:val="auto"/>
          <w:sz w:val="21"/>
          <w:szCs w:val="21"/>
          <w:highlight w:val="none"/>
        </w:rPr>
        <w:t>（以下简称“本项目”）已获批准建设。建设资金来源</w:t>
      </w:r>
      <w:r>
        <w:rPr>
          <w:rFonts w:hint="eastAsia" w:ascii="宋体" w:hAnsi="宋体" w:cs="宋体"/>
          <w:color w:val="auto"/>
          <w:sz w:val="21"/>
          <w:szCs w:val="21"/>
          <w:highlight w:val="none"/>
          <w:u w:val="single"/>
        </w:rPr>
        <w:t>自筹资金</w:t>
      </w:r>
      <w:r>
        <w:rPr>
          <w:rFonts w:hint="eastAsia" w:ascii="宋体" w:hAnsi="宋体" w:cs="宋体"/>
          <w:color w:val="auto"/>
          <w:sz w:val="21"/>
          <w:szCs w:val="21"/>
          <w:highlight w:val="none"/>
        </w:rPr>
        <w:t>，招标人为</w:t>
      </w:r>
      <w:r>
        <w:rPr>
          <w:rFonts w:hint="eastAsia" w:ascii="宋体" w:hAnsi="宋体" w:cs="宋体"/>
          <w:color w:val="auto"/>
          <w:sz w:val="21"/>
          <w:szCs w:val="21"/>
          <w:highlight w:val="none"/>
          <w:u w:val="single"/>
        </w:rPr>
        <w:t>广州高速运营管理有限公司</w:t>
      </w:r>
      <w:r>
        <w:rPr>
          <w:rFonts w:hint="eastAsia" w:ascii="宋体" w:hAnsi="宋体" w:cs="宋体"/>
          <w:color w:val="auto"/>
          <w:sz w:val="21"/>
          <w:szCs w:val="21"/>
          <w:highlight w:val="none"/>
        </w:rPr>
        <w:t>。项目已具备招标条件，现对该项目采用资格后审方式进行公开招标。</w:t>
      </w:r>
    </w:p>
    <w:p w14:paraId="3E690643">
      <w:pPr>
        <w:numPr>
          <w:ilvl w:val="0"/>
          <w:numId w:val="1"/>
        </w:num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项目概况及招标范围</w:t>
      </w:r>
    </w:p>
    <w:p w14:paraId="0B59F719">
      <w:p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2.</w:t>
      </w:r>
      <w:r>
        <w:rPr>
          <w:rFonts w:hint="eastAsia" w:ascii="宋体" w:hAnsi="宋体" w:cs="宋体"/>
          <w:b/>
          <w:bCs/>
          <w:color w:val="auto"/>
          <w:sz w:val="21"/>
          <w:szCs w:val="21"/>
          <w:highlight w:val="none"/>
          <w:lang w:val="en-US" w:eastAsia="zh-CN"/>
        </w:rPr>
        <w:t>1</w:t>
      </w:r>
      <w:r>
        <w:rPr>
          <w:rFonts w:hint="eastAsia" w:ascii="宋体" w:hAnsi="宋体" w:cs="宋体"/>
          <w:b/>
          <w:bCs/>
          <w:color w:val="auto"/>
          <w:sz w:val="21"/>
          <w:szCs w:val="21"/>
          <w:highlight w:val="none"/>
        </w:rPr>
        <w:t>招标范围</w:t>
      </w:r>
    </w:p>
    <w:p w14:paraId="5C0A009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本次招标根据实际需要，对招标人所管理的一切财产及承担的相关风险购买保险。招标内容为财产一切险、营业中断险(财产一切险项下)、公众责任险、现金责任险</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雇主责任险、雇主责任险补充、</w:t>
      </w:r>
      <w:r>
        <w:rPr>
          <w:rFonts w:hint="eastAsia" w:ascii="宋体" w:hAnsi="宋体" w:cs="宋体"/>
          <w:color w:val="auto"/>
          <w:sz w:val="21"/>
          <w:szCs w:val="21"/>
          <w:highlight w:val="none"/>
        </w:rPr>
        <w:t>雇员忠诚保证保险。本招标文件中列明的保额、人员数量均为暂定数值，合同签订时的保额以</w:t>
      </w:r>
      <w:r>
        <w:rPr>
          <w:rFonts w:hint="eastAsia" w:ascii="宋体" w:hAnsi="宋体" w:cs="宋体"/>
          <w:color w:val="auto"/>
          <w:sz w:val="21"/>
          <w:szCs w:val="21"/>
          <w:highlight w:val="none"/>
          <w:lang w:val="en-US" w:eastAsia="zh-CN"/>
        </w:rPr>
        <w:t>投保人/</w:t>
      </w:r>
      <w:r>
        <w:rPr>
          <w:rFonts w:hint="eastAsia" w:ascii="宋体" w:hAnsi="宋体" w:cs="宋体"/>
          <w:color w:val="auto"/>
          <w:sz w:val="21"/>
          <w:szCs w:val="21"/>
          <w:highlight w:val="none"/>
        </w:rPr>
        <w:t>被保险人提供的最终确定值为准，人员数量以签订合同时的实际在岗人数为准，承保天数按实际投保周期确定。</w:t>
      </w:r>
    </w:p>
    <w:p w14:paraId="6553FCC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投标人根据本项目的工程特点并结合实际情况，依据招标文件第四章合同文件格式提出合理有效的保险报价，并列明详细的计费方式和优惠条件。报价为保险费总价报价。</w:t>
      </w:r>
    </w:p>
    <w:p w14:paraId="4966410B">
      <w:pPr>
        <w:spacing w:line="360" w:lineRule="auto"/>
        <w:ind w:firstLine="422" w:firstLineChars="200"/>
        <w:rPr>
          <w:rFonts w:hint="eastAsia" w:ascii="宋体" w:hAnsi="宋体" w:cs="宋体"/>
          <w:color w:val="auto"/>
          <w:sz w:val="21"/>
          <w:szCs w:val="21"/>
          <w:highlight w:val="none"/>
        </w:rPr>
      </w:pPr>
      <w:r>
        <w:rPr>
          <w:rFonts w:hint="eastAsia" w:ascii="宋体" w:hAnsi="宋体" w:cs="宋体"/>
          <w:b/>
          <w:bCs/>
          <w:color w:val="auto"/>
          <w:sz w:val="21"/>
          <w:szCs w:val="21"/>
          <w:highlight w:val="none"/>
        </w:rPr>
        <w:t>2.</w:t>
      </w:r>
      <w:r>
        <w:rPr>
          <w:rFonts w:hint="eastAsia" w:ascii="宋体" w:hAnsi="宋体" w:cs="宋体"/>
          <w:b/>
          <w:bCs/>
          <w:color w:val="auto"/>
          <w:sz w:val="21"/>
          <w:szCs w:val="21"/>
          <w:highlight w:val="none"/>
          <w:lang w:val="en-US" w:eastAsia="zh-CN"/>
        </w:rPr>
        <w:t>2</w:t>
      </w:r>
      <w:r>
        <w:rPr>
          <w:rFonts w:hint="eastAsia" w:ascii="宋体" w:hAnsi="宋体" w:cs="宋体"/>
          <w:b/>
          <w:bCs/>
          <w:color w:val="auto"/>
          <w:sz w:val="21"/>
          <w:szCs w:val="21"/>
          <w:highlight w:val="none"/>
        </w:rPr>
        <w:t>保险期限：</w:t>
      </w:r>
      <w:r>
        <w:rPr>
          <w:rFonts w:hint="eastAsia" w:ascii="宋体" w:hAnsi="宋体" w:cs="宋体"/>
          <w:color w:val="auto"/>
          <w:sz w:val="21"/>
          <w:szCs w:val="21"/>
          <w:highlight w:val="none"/>
        </w:rPr>
        <w:t>自合同约定之日起至202</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w:t>
      </w:r>
      <w:bookmarkStart w:id="0" w:name="_GoBack"/>
      <w:bookmarkEnd w:id="0"/>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月30日二十四时止，最长不超过3年，</w:t>
      </w:r>
      <w:r>
        <w:rPr>
          <w:rFonts w:hint="eastAsia" w:ascii="宋体" w:hAnsi="宋体" w:cs="宋体"/>
          <w:color w:val="auto"/>
          <w:sz w:val="21"/>
          <w:szCs w:val="21"/>
          <w:highlight w:val="none"/>
          <w:lang w:val="en-US" w:eastAsia="zh-CN"/>
        </w:rPr>
        <w:t>原则上一年一签，</w:t>
      </w:r>
      <w:r>
        <w:rPr>
          <w:rFonts w:hint="eastAsia" w:ascii="宋体" w:hAnsi="宋体" w:cs="宋体"/>
          <w:color w:val="auto"/>
          <w:sz w:val="21"/>
          <w:szCs w:val="21"/>
          <w:highlight w:val="none"/>
        </w:rPr>
        <w:t>并按投标人须知39.6款规定执行。</w:t>
      </w:r>
    </w:p>
    <w:p w14:paraId="469FA269">
      <w:p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2.</w:t>
      </w:r>
      <w:r>
        <w:rPr>
          <w:rFonts w:hint="eastAsia" w:ascii="宋体" w:hAnsi="宋体" w:cs="宋体"/>
          <w:b/>
          <w:bCs/>
          <w:color w:val="auto"/>
          <w:sz w:val="21"/>
          <w:szCs w:val="21"/>
          <w:highlight w:val="none"/>
          <w:lang w:val="en-US" w:eastAsia="zh-CN"/>
        </w:rPr>
        <w:t>3</w:t>
      </w:r>
      <w:r>
        <w:rPr>
          <w:rFonts w:hint="eastAsia" w:ascii="宋体" w:hAnsi="宋体" w:cs="宋体"/>
          <w:b/>
          <w:bCs/>
          <w:color w:val="auto"/>
          <w:sz w:val="21"/>
          <w:szCs w:val="21"/>
          <w:highlight w:val="none"/>
        </w:rPr>
        <w:t>标段划分：</w:t>
      </w:r>
    </w:p>
    <w:p w14:paraId="6C4BD69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本次招标共分</w:t>
      </w:r>
      <w:r>
        <w:rPr>
          <w:rFonts w:hint="eastAsia" w:ascii="宋体" w:hAnsi="宋体" w:cs="宋体"/>
          <w:color w:val="auto"/>
          <w:sz w:val="21"/>
          <w:szCs w:val="21"/>
          <w:highlight w:val="none"/>
          <w:u w:val="single"/>
          <w:lang w:val="en-US" w:eastAsia="zh-CN"/>
        </w:rPr>
        <w:t>1</w:t>
      </w:r>
      <w:r>
        <w:rPr>
          <w:rFonts w:hint="eastAsia" w:ascii="宋体" w:hAnsi="宋体" w:cs="宋体"/>
          <w:color w:val="auto"/>
          <w:sz w:val="21"/>
          <w:szCs w:val="21"/>
          <w:highlight w:val="none"/>
        </w:rPr>
        <w:t>个标</w:t>
      </w:r>
      <w:r>
        <w:rPr>
          <w:rFonts w:hint="eastAsia" w:ascii="宋体" w:hAnsi="宋体" w:cs="宋体"/>
          <w:color w:val="auto"/>
          <w:sz w:val="21"/>
          <w:szCs w:val="21"/>
          <w:highlight w:val="none"/>
          <w:lang w:val="en-US" w:eastAsia="zh-CN"/>
        </w:rPr>
        <w:t>段</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见下表</w:t>
      </w:r>
      <w:r>
        <w:rPr>
          <w:rFonts w:hint="eastAsia" w:ascii="宋体" w:hAnsi="宋体" w:cs="宋体"/>
          <w:color w:val="auto"/>
          <w:sz w:val="21"/>
          <w:szCs w:val="21"/>
          <w:highlight w:val="none"/>
        </w:rPr>
        <w:t>。</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0"/>
        <w:gridCol w:w="1935"/>
        <w:gridCol w:w="2074"/>
      </w:tblGrid>
      <w:tr w14:paraId="08AB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770" w:type="dxa"/>
            <w:noWrap w:val="0"/>
            <w:vAlign w:val="center"/>
          </w:tcPr>
          <w:p w14:paraId="17F7609B">
            <w:pPr>
              <w:widowControl w:val="0"/>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路段名称</w:t>
            </w:r>
          </w:p>
        </w:tc>
        <w:tc>
          <w:tcPr>
            <w:tcW w:w="1935" w:type="dxa"/>
            <w:noWrap w:val="0"/>
            <w:vAlign w:val="center"/>
          </w:tcPr>
          <w:p w14:paraId="75F94456">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对投标人资格要求</w:t>
            </w:r>
          </w:p>
        </w:tc>
        <w:tc>
          <w:tcPr>
            <w:tcW w:w="2074" w:type="dxa"/>
            <w:noWrap w:val="0"/>
            <w:vAlign w:val="center"/>
          </w:tcPr>
          <w:p w14:paraId="05A536D1">
            <w:pPr>
              <w:widowControl w:val="0"/>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备注</w:t>
            </w:r>
          </w:p>
        </w:tc>
      </w:tr>
      <w:tr w14:paraId="0459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770" w:type="dxa"/>
            <w:noWrap w:val="0"/>
            <w:vAlign w:val="center"/>
          </w:tcPr>
          <w:p w14:paraId="34ED0F43">
            <w:pPr>
              <w:widowControl w:val="0"/>
              <w:jc w:val="center"/>
              <w:rPr>
                <w:rFonts w:hint="default" w:ascii="宋体" w:hAnsi="宋体" w:eastAsia="宋体" w:cs="宋体"/>
                <w:b w:val="0"/>
                <w:bCs w:val="0"/>
                <w:color w:val="auto"/>
                <w:highlight w:val="none"/>
                <w:vertAlign w:val="baseline"/>
                <w:lang w:val="en-US" w:eastAsia="zh-CN"/>
              </w:rPr>
            </w:pPr>
            <w:r>
              <w:rPr>
                <w:rFonts w:hint="eastAsia" w:ascii="宋体" w:hAnsi="宋体" w:cs="宋体"/>
                <w:b w:val="0"/>
                <w:bCs w:val="0"/>
                <w:color w:val="auto"/>
                <w:sz w:val="21"/>
                <w:szCs w:val="21"/>
                <w:highlight w:val="none"/>
              </w:rPr>
              <w:t>广河高速公路（广州段）</w:t>
            </w:r>
            <w:r>
              <w:rPr>
                <w:rFonts w:hint="eastAsia" w:ascii="宋体" w:hAnsi="宋体" w:cs="宋体"/>
                <w:b w:val="0"/>
                <w:bCs w:val="0"/>
                <w:color w:val="auto"/>
                <w:sz w:val="21"/>
                <w:szCs w:val="21"/>
                <w:highlight w:val="none"/>
                <w:lang w:val="en-US" w:eastAsia="zh-CN"/>
              </w:rPr>
              <w:t>四个区域</w:t>
            </w:r>
          </w:p>
        </w:tc>
        <w:tc>
          <w:tcPr>
            <w:tcW w:w="1935" w:type="dxa"/>
            <w:vMerge w:val="restart"/>
            <w:noWrap w:val="0"/>
            <w:vAlign w:val="center"/>
          </w:tcPr>
          <w:p w14:paraId="5B1C90E4">
            <w:pPr>
              <w:widowControl w:val="0"/>
              <w:jc w:val="center"/>
              <w:rPr>
                <w:rFonts w:hint="eastAsia" w:ascii="宋体" w:hAnsi="宋体" w:eastAsia="宋体" w:cs="宋体"/>
                <w:color w:val="auto"/>
                <w:highlight w:val="none"/>
                <w:vertAlign w:val="baseline"/>
              </w:rPr>
            </w:pPr>
            <w:r>
              <w:rPr>
                <w:rFonts w:hint="eastAsia" w:ascii="宋体" w:hAnsi="宋体" w:eastAsia="宋体" w:cs="宋体"/>
                <w:color w:val="auto"/>
                <w:spacing w:val="4"/>
                <w:highlight w:val="none"/>
              </w:rPr>
              <w:t>详见附件</w:t>
            </w:r>
            <w:r>
              <w:rPr>
                <w:rFonts w:hint="eastAsia" w:ascii="宋体" w:hAnsi="宋体" w:eastAsia="宋体" w:cs="宋体"/>
                <w:color w:val="auto"/>
                <w:spacing w:val="-5"/>
                <w:highlight w:val="none"/>
                <w:lang w:val="en-US" w:eastAsia="zh-CN"/>
              </w:rPr>
              <w:t>3</w:t>
            </w:r>
            <w:r>
              <w:rPr>
                <w:rFonts w:hint="eastAsia" w:ascii="宋体" w:hAnsi="宋体" w:eastAsia="宋体" w:cs="宋体"/>
                <w:color w:val="auto"/>
                <w:spacing w:val="-5"/>
                <w:highlight w:val="none"/>
              </w:rPr>
              <w:t>：资格审</w:t>
            </w:r>
            <w:r>
              <w:rPr>
                <w:rFonts w:hint="eastAsia" w:ascii="宋体" w:hAnsi="宋体" w:eastAsia="宋体" w:cs="宋体"/>
                <w:color w:val="auto"/>
                <w:spacing w:val="4"/>
                <w:highlight w:val="none"/>
              </w:rPr>
              <w:t>查条件附</w:t>
            </w:r>
            <w:r>
              <w:rPr>
                <w:rFonts w:hint="eastAsia" w:ascii="宋体" w:hAnsi="宋体" w:eastAsia="宋体" w:cs="宋体"/>
                <w:color w:val="auto"/>
                <w:spacing w:val="-3"/>
                <w:highlight w:val="none"/>
              </w:rPr>
              <w:t>录</w:t>
            </w:r>
            <w:r>
              <w:rPr>
                <w:rFonts w:hint="eastAsia" w:ascii="宋体" w:hAnsi="宋体" w:eastAsia="宋体" w:cs="宋体"/>
                <w:color w:val="auto"/>
                <w:spacing w:val="-15"/>
                <w:highlight w:val="none"/>
              </w:rPr>
              <w:t xml:space="preserve"> </w:t>
            </w:r>
            <w:r>
              <w:rPr>
                <w:rFonts w:hint="eastAsia" w:ascii="宋体" w:hAnsi="宋体" w:eastAsia="宋体" w:cs="宋体"/>
                <w:color w:val="auto"/>
                <w:spacing w:val="-3"/>
                <w:highlight w:val="none"/>
              </w:rPr>
              <w:t>1～5</w:t>
            </w:r>
          </w:p>
        </w:tc>
        <w:tc>
          <w:tcPr>
            <w:tcW w:w="2074" w:type="dxa"/>
            <w:vMerge w:val="restart"/>
            <w:noWrap w:val="0"/>
            <w:vAlign w:val="center"/>
          </w:tcPr>
          <w:p w14:paraId="6ADEF113">
            <w:pPr>
              <w:pStyle w:val="17"/>
              <w:widowControl w:val="0"/>
              <w:spacing w:before="52" w:line="221" w:lineRule="auto"/>
              <w:ind w:left="76"/>
              <w:jc w:val="center"/>
              <w:rPr>
                <w:rFonts w:hint="eastAsia" w:ascii="宋体" w:hAnsi="宋体" w:eastAsia="宋体" w:cs="宋体"/>
                <w:color w:val="auto"/>
                <w:spacing w:val="4"/>
                <w:highlight w:val="none"/>
              </w:rPr>
            </w:pPr>
            <w:r>
              <w:rPr>
                <w:rFonts w:hint="eastAsia" w:ascii="宋体" w:hAnsi="宋体" w:eastAsia="宋体" w:cs="宋体"/>
                <w:color w:val="auto"/>
                <w:spacing w:val="-5"/>
                <w:sz w:val="20"/>
                <w:szCs w:val="20"/>
                <w:highlight w:val="none"/>
                <w:lang w:val="en-US" w:eastAsia="zh-CN" w:bidi="ar-SA"/>
              </w:rPr>
              <w:t>各路段项目概况详见附件2</w:t>
            </w:r>
          </w:p>
        </w:tc>
      </w:tr>
      <w:tr w14:paraId="0829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770" w:type="dxa"/>
            <w:noWrap w:val="0"/>
            <w:vAlign w:val="center"/>
          </w:tcPr>
          <w:p w14:paraId="00734711">
            <w:pPr>
              <w:widowControl w:val="0"/>
              <w:jc w:val="center"/>
              <w:rPr>
                <w:rFonts w:hint="eastAsia" w:ascii="宋体" w:hAnsi="宋体" w:eastAsia="宋体" w:cs="宋体"/>
                <w:b w:val="0"/>
                <w:bCs w:val="0"/>
                <w:color w:val="auto"/>
                <w:highlight w:val="none"/>
                <w:vertAlign w:val="baseline"/>
                <w:lang w:val="en-US" w:eastAsia="zh-CN"/>
              </w:rPr>
            </w:pPr>
            <w:r>
              <w:rPr>
                <w:rFonts w:hint="eastAsia" w:ascii="宋体" w:hAnsi="宋体" w:cs="宋体"/>
                <w:b w:val="0"/>
                <w:bCs w:val="0"/>
                <w:color w:val="auto"/>
                <w:sz w:val="21"/>
                <w:szCs w:val="21"/>
                <w:highlight w:val="none"/>
              </w:rPr>
              <w:t>从莞深高速公路增从段全线（含街口支线）</w:t>
            </w:r>
          </w:p>
        </w:tc>
        <w:tc>
          <w:tcPr>
            <w:tcW w:w="1935" w:type="dxa"/>
            <w:vMerge w:val="continue"/>
            <w:noWrap w:val="0"/>
            <w:vAlign w:val="center"/>
          </w:tcPr>
          <w:p w14:paraId="33CE0148">
            <w:pPr>
              <w:widowControl w:val="0"/>
              <w:jc w:val="center"/>
              <w:rPr>
                <w:rFonts w:hint="eastAsia" w:ascii="宋体" w:hAnsi="宋体" w:eastAsia="宋体" w:cs="宋体"/>
                <w:color w:val="auto"/>
                <w:highlight w:val="none"/>
                <w:vertAlign w:val="baseline"/>
              </w:rPr>
            </w:pPr>
          </w:p>
        </w:tc>
        <w:tc>
          <w:tcPr>
            <w:tcW w:w="2074" w:type="dxa"/>
            <w:vMerge w:val="continue"/>
            <w:noWrap w:val="0"/>
            <w:vAlign w:val="center"/>
          </w:tcPr>
          <w:p w14:paraId="2FBBFAC8">
            <w:pPr>
              <w:widowControl w:val="0"/>
              <w:jc w:val="center"/>
              <w:rPr>
                <w:rFonts w:hint="eastAsia" w:ascii="宋体" w:hAnsi="宋体" w:eastAsia="宋体" w:cs="宋体"/>
                <w:color w:val="auto"/>
                <w:highlight w:val="none"/>
                <w:vertAlign w:val="baseline"/>
              </w:rPr>
            </w:pPr>
          </w:p>
        </w:tc>
      </w:tr>
      <w:tr w14:paraId="7241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770" w:type="dxa"/>
            <w:noWrap w:val="0"/>
            <w:vAlign w:val="center"/>
          </w:tcPr>
          <w:p w14:paraId="025FED61">
            <w:pPr>
              <w:widowControl w:val="0"/>
              <w:jc w:val="center"/>
              <w:rPr>
                <w:rFonts w:hint="eastAsia" w:ascii="宋体" w:hAnsi="宋体" w:eastAsia="宋体" w:cs="宋体"/>
                <w:b w:val="0"/>
                <w:bCs w:val="0"/>
                <w:color w:val="auto"/>
                <w:highlight w:val="none"/>
                <w:vertAlign w:val="baseline"/>
                <w:lang w:val="en-US" w:eastAsia="zh-CN"/>
              </w:rPr>
            </w:pPr>
            <w:r>
              <w:rPr>
                <w:rFonts w:hint="eastAsia" w:ascii="宋体" w:hAnsi="宋体" w:cs="宋体"/>
                <w:b w:val="0"/>
                <w:bCs w:val="0"/>
                <w:color w:val="auto"/>
                <w:sz w:val="21"/>
                <w:szCs w:val="21"/>
                <w:highlight w:val="none"/>
              </w:rPr>
              <w:t>北三环高速公路二期（荔城至花都北兴段）</w:t>
            </w:r>
          </w:p>
        </w:tc>
        <w:tc>
          <w:tcPr>
            <w:tcW w:w="1935" w:type="dxa"/>
            <w:vMerge w:val="continue"/>
            <w:noWrap w:val="0"/>
            <w:vAlign w:val="center"/>
          </w:tcPr>
          <w:p w14:paraId="4FB5A710">
            <w:pPr>
              <w:widowControl w:val="0"/>
              <w:jc w:val="center"/>
              <w:rPr>
                <w:rFonts w:hint="eastAsia" w:ascii="宋体" w:hAnsi="宋体" w:eastAsia="宋体" w:cs="宋体"/>
                <w:color w:val="auto"/>
                <w:highlight w:val="none"/>
                <w:vertAlign w:val="baseline"/>
              </w:rPr>
            </w:pPr>
          </w:p>
        </w:tc>
        <w:tc>
          <w:tcPr>
            <w:tcW w:w="2074" w:type="dxa"/>
            <w:vMerge w:val="continue"/>
            <w:noWrap w:val="0"/>
            <w:vAlign w:val="center"/>
          </w:tcPr>
          <w:p w14:paraId="62DD9D8F">
            <w:pPr>
              <w:widowControl w:val="0"/>
              <w:jc w:val="center"/>
              <w:rPr>
                <w:rFonts w:hint="eastAsia" w:ascii="宋体" w:hAnsi="宋体" w:eastAsia="宋体" w:cs="宋体"/>
                <w:color w:val="auto"/>
                <w:highlight w:val="none"/>
                <w:vertAlign w:val="baseline"/>
              </w:rPr>
            </w:pPr>
          </w:p>
        </w:tc>
      </w:tr>
      <w:tr w14:paraId="050CE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770" w:type="dxa"/>
            <w:noWrap w:val="0"/>
            <w:vAlign w:val="center"/>
          </w:tcPr>
          <w:p w14:paraId="0CEF2625">
            <w:pPr>
              <w:widowControl w:val="0"/>
              <w:jc w:val="center"/>
              <w:rPr>
                <w:rFonts w:hint="eastAsia" w:ascii="宋体" w:hAnsi="宋体" w:eastAsia="宋体" w:cs="宋体"/>
                <w:b w:val="0"/>
                <w:bCs w:val="0"/>
                <w:color w:val="auto"/>
                <w:highlight w:val="none"/>
                <w:vertAlign w:val="baseline"/>
                <w:lang w:val="en-US" w:eastAsia="zh-CN"/>
              </w:rPr>
            </w:pPr>
            <w:r>
              <w:rPr>
                <w:rFonts w:hint="eastAsia" w:ascii="宋体" w:hAnsi="宋体" w:cs="宋体"/>
                <w:b w:val="0"/>
                <w:bCs w:val="0"/>
                <w:color w:val="auto"/>
                <w:sz w:val="21"/>
                <w:szCs w:val="21"/>
                <w:highlight w:val="none"/>
              </w:rPr>
              <w:t>从埔高速公路（一期）</w:t>
            </w:r>
          </w:p>
        </w:tc>
        <w:tc>
          <w:tcPr>
            <w:tcW w:w="1935" w:type="dxa"/>
            <w:vMerge w:val="continue"/>
            <w:noWrap w:val="0"/>
            <w:vAlign w:val="center"/>
          </w:tcPr>
          <w:p w14:paraId="5D305376">
            <w:pPr>
              <w:widowControl w:val="0"/>
              <w:jc w:val="center"/>
              <w:rPr>
                <w:rFonts w:hint="eastAsia" w:ascii="宋体" w:hAnsi="宋体" w:eastAsia="宋体" w:cs="宋体"/>
                <w:color w:val="auto"/>
                <w:highlight w:val="none"/>
                <w:vertAlign w:val="baseline"/>
              </w:rPr>
            </w:pPr>
          </w:p>
        </w:tc>
        <w:tc>
          <w:tcPr>
            <w:tcW w:w="2074" w:type="dxa"/>
            <w:vMerge w:val="continue"/>
            <w:noWrap w:val="0"/>
            <w:vAlign w:val="center"/>
          </w:tcPr>
          <w:p w14:paraId="0840BB4F">
            <w:pPr>
              <w:widowControl w:val="0"/>
              <w:jc w:val="center"/>
              <w:rPr>
                <w:rFonts w:hint="eastAsia" w:ascii="宋体" w:hAnsi="宋体" w:eastAsia="宋体" w:cs="宋体"/>
                <w:color w:val="auto"/>
                <w:highlight w:val="none"/>
                <w:vertAlign w:val="baseline"/>
              </w:rPr>
            </w:pPr>
          </w:p>
        </w:tc>
      </w:tr>
      <w:tr w14:paraId="43F48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770" w:type="dxa"/>
            <w:noWrap w:val="0"/>
            <w:vAlign w:val="center"/>
          </w:tcPr>
          <w:p w14:paraId="43A399F1">
            <w:pPr>
              <w:widowControl w:val="0"/>
              <w:jc w:val="center"/>
              <w:rPr>
                <w:rFonts w:hint="eastAsia"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增天高速</w:t>
            </w:r>
          </w:p>
        </w:tc>
        <w:tc>
          <w:tcPr>
            <w:tcW w:w="1935" w:type="dxa"/>
            <w:vMerge w:val="continue"/>
            <w:noWrap w:val="0"/>
            <w:vAlign w:val="center"/>
          </w:tcPr>
          <w:p w14:paraId="08ACB2EA">
            <w:pPr>
              <w:widowControl w:val="0"/>
              <w:jc w:val="center"/>
              <w:rPr>
                <w:rFonts w:hint="eastAsia" w:ascii="宋体" w:hAnsi="宋体" w:eastAsia="宋体" w:cs="宋体"/>
                <w:color w:val="auto"/>
                <w:highlight w:val="none"/>
                <w:vertAlign w:val="baseline"/>
              </w:rPr>
            </w:pPr>
          </w:p>
        </w:tc>
        <w:tc>
          <w:tcPr>
            <w:tcW w:w="2074" w:type="dxa"/>
            <w:vMerge w:val="continue"/>
            <w:noWrap w:val="0"/>
            <w:vAlign w:val="center"/>
          </w:tcPr>
          <w:p w14:paraId="7982C41C">
            <w:pPr>
              <w:widowControl w:val="0"/>
              <w:jc w:val="center"/>
              <w:rPr>
                <w:rFonts w:hint="eastAsia" w:ascii="宋体" w:hAnsi="宋体" w:eastAsia="宋体" w:cs="宋体"/>
                <w:color w:val="auto"/>
                <w:highlight w:val="none"/>
                <w:vertAlign w:val="baseline"/>
              </w:rPr>
            </w:pPr>
          </w:p>
        </w:tc>
      </w:tr>
      <w:tr w14:paraId="5AF8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770" w:type="dxa"/>
            <w:noWrap w:val="0"/>
            <w:vAlign w:val="center"/>
          </w:tcPr>
          <w:p w14:paraId="108F6AC7">
            <w:pPr>
              <w:widowControl w:val="0"/>
              <w:jc w:val="center"/>
              <w:rPr>
                <w:rFonts w:hint="eastAsia"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sz w:val="21"/>
                <w:szCs w:val="21"/>
                <w:highlight w:val="none"/>
              </w:rPr>
              <w:t>广州机场高速公路</w:t>
            </w:r>
          </w:p>
        </w:tc>
        <w:tc>
          <w:tcPr>
            <w:tcW w:w="1935" w:type="dxa"/>
            <w:vMerge w:val="continue"/>
            <w:noWrap w:val="0"/>
            <w:vAlign w:val="center"/>
          </w:tcPr>
          <w:p w14:paraId="7B98E5CB">
            <w:pPr>
              <w:widowControl w:val="0"/>
              <w:jc w:val="center"/>
              <w:rPr>
                <w:rFonts w:hint="eastAsia" w:ascii="宋体" w:hAnsi="宋体" w:eastAsia="宋体" w:cs="宋体"/>
                <w:color w:val="auto"/>
                <w:highlight w:val="none"/>
                <w:vertAlign w:val="baseline"/>
              </w:rPr>
            </w:pPr>
          </w:p>
        </w:tc>
        <w:tc>
          <w:tcPr>
            <w:tcW w:w="2074" w:type="dxa"/>
            <w:vMerge w:val="continue"/>
            <w:noWrap w:val="0"/>
            <w:vAlign w:val="center"/>
          </w:tcPr>
          <w:p w14:paraId="505D3AC7">
            <w:pPr>
              <w:widowControl w:val="0"/>
              <w:jc w:val="center"/>
              <w:rPr>
                <w:rFonts w:hint="eastAsia" w:ascii="宋体" w:hAnsi="宋体" w:eastAsia="宋体" w:cs="宋体"/>
                <w:color w:val="auto"/>
                <w:highlight w:val="none"/>
                <w:vertAlign w:val="baseline"/>
              </w:rPr>
            </w:pPr>
          </w:p>
        </w:tc>
      </w:tr>
      <w:tr w14:paraId="6296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770" w:type="dxa"/>
            <w:noWrap w:val="0"/>
            <w:vAlign w:val="center"/>
          </w:tcPr>
          <w:p w14:paraId="14EC2976">
            <w:pPr>
              <w:widowControl w:val="0"/>
              <w:jc w:val="center"/>
              <w:rPr>
                <w:rFonts w:hint="eastAsia"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sz w:val="21"/>
                <w:szCs w:val="21"/>
                <w:highlight w:val="none"/>
              </w:rPr>
              <w:t>花都至东莞高速公路</w:t>
            </w:r>
          </w:p>
        </w:tc>
        <w:tc>
          <w:tcPr>
            <w:tcW w:w="1935" w:type="dxa"/>
            <w:vMerge w:val="continue"/>
            <w:noWrap w:val="0"/>
            <w:vAlign w:val="center"/>
          </w:tcPr>
          <w:p w14:paraId="1B7B2595">
            <w:pPr>
              <w:widowControl w:val="0"/>
              <w:jc w:val="center"/>
              <w:rPr>
                <w:rFonts w:hint="eastAsia" w:ascii="宋体" w:hAnsi="宋体" w:eastAsia="宋体" w:cs="宋体"/>
                <w:color w:val="auto"/>
                <w:highlight w:val="none"/>
                <w:vertAlign w:val="baseline"/>
              </w:rPr>
            </w:pPr>
          </w:p>
        </w:tc>
        <w:tc>
          <w:tcPr>
            <w:tcW w:w="2074" w:type="dxa"/>
            <w:vMerge w:val="continue"/>
            <w:noWrap w:val="0"/>
            <w:vAlign w:val="center"/>
          </w:tcPr>
          <w:p w14:paraId="420D551A">
            <w:pPr>
              <w:widowControl w:val="0"/>
              <w:jc w:val="center"/>
              <w:rPr>
                <w:rFonts w:hint="eastAsia" w:ascii="宋体" w:hAnsi="宋体" w:eastAsia="宋体" w:cs="宋体"/>
                <w:color w:val="auto"/>
                <w:highlight w:val="none"/>
                <w:vertAlign w:val="baseline"/>
              </w:rPr>
            </w:pPr>
          </w:p>
        </w:tc>
      </w:tr>
      <w:tr w14:paraId="0102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770" w:type="dxa"/>
            <w:noWrap w:val="0"/>
            <w:vAlign w:val="center"/>
          </w:tcPr>
          <w:p w14:paraId="44312B5E">
            <w:pPr>
              <w:widowControl w:val="0"/>
              <w:jc w:val="center"/>
              <w:rPr>
                <w:rFonts w:hint="eastAsia"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sz w:val="21"/>
                <w:szCs w:val="21"/>
                <w:highlight w:val="none"/>
                <w:lang w:eastAsia="zh-CN"/>
              </w:rPr>
              <w:t>广州新白云国际机场第二高速公路</w:t>
            </w:r>
          </w:p>
        </w:tc>
        <w:tc>
          <w:tcPr>
            <w:tcW w:w="1935" w:type="dxa"/>
            <w:vMerge w:val="continue"/>
            <w:noWrap w:val="0"/>
            <w:vAlign w:val="center"/>
          </w:tcPr>
          <w:p w14:paraId="3055C104">
            <w:pPr>
              <w:widowControl w:val="0"/>
              <w:jc w:val="center"/>
              <w:rPr>
                <w:rFonts w:hint="eastAsia" w:ascii="宋体" w:hAnsi="宋体" w:eastAsia="宋体" w:cs="宋体"/>
                <w:color w:val="auto"/>
                <w:highlight w:val="none"/>
                <w:vertAlign w:val="baseline"/>
              </w:rPr>
            </w:pPr>
          </w:p>
        </w:tc>
        <w:tc>
          <w:tcPr>
            <w:tcW w:w="2074" w:type="dxa"/>
            <w:vMerge w:val="continue"/>
            <w:noWrap w:val="0"/>
            <w:vAlign w:val="center"/>
          </w:tcPr>
          <w:p w14:paraId="28E708C4">
            <w:pPr>
              <w:widowControl w:val="0"/>
              <w:jc w:val="center"/>
              <w:rPr>
                <w:rFonts w:hint="eastAsia" w:ascii="宋体" w:hAnsi="宋体" w:eastAsia="宋体" w:cs="宋体"/>
                <w:color w:val="auto"/>
                <w:highlight w:val="none"/>
                <w:vertAlign w:val="baseline"/>
              </w:rPr>
            </w:pPr>
          </w:p>
        </w:tc>
      </w:tr>
      <w:tr w14:paraId="3251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770" w:type="dxa"/>
            <w:noWrap w:val="0"/>
            <w:vAlign w:val="center"/>
          </w:tcPr>
          <w:p w14:paraId="60F54336">
            <w:pPr>
              <w:widowControl w:val="0"/>
              <w:jc w:val="center"/>
              <w:rPr>
                <w:rFonts w:hint="eastAsia"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sz w:val="21"/>
                <w:szCs w:val="21"/>
                <w:highlight w:val="none"/>
                <w:lang w:eastAsia="zh-CN"/>
              </w:rPr>
              <w:t>广佛肇高速（广州段）公路</w:t>
            </w:r>
          </w:p>
        </w:tc>
        <w:tc>
          <w:tcPr>
            <w:tcW w:w="1935" w:type="dxa"/>
            <w:vMerge w:val="continue"/>
            <w:noWrap w:val="0"/>
            <w:vAlign w:val="center"/>
          </w:tcPr>
          <w:p w14:paraId="50492759">
            <w:pPr>
              <w:widowControl w:val="0"/>
              <w:jc w:val="center"/>
              <w:rPr>
                <w:rFonts w:hint="eastAsia" w:ascii="宋体" w:hAnsi="宋体" w:eastAsia="宋体" w:cs="宋体"/>
                <w:color w:val="auto"/>
                <w:highlight w:val="none"/>
                <w:vertAlign w:val="baseline"/>
              </w:rPr>
            </w:pPr>
          </w:p>
        </w:tc>
        <w:tc>
          <w:tcPr>
            <w:tcW w:w="2074" w:type="dxa"/>
            <w:vMerge w:val="continue"/>
            <w:noWrap w:val="0"/>
            <w:vAlign w:val="center"/>
          </w:tcPr>
          <w:p w14:paraId="257052B2">
            <w:pPr>
              <w:widowControl w:val="0"/>
              <w:jc w:val="center"/>
              <w:rPr>
                <w:rFonts w:hint="eastAsia" w:ascii="宋体" w:hAnsi="宋体" w:eastAsia="宋体" w:cs="宋体"/>
                <w:color w:val="auto"/>
                <w:highlight w:val="none"/>
                <w:vertAlign w:val="baseline"/>
              </w:rPr>
            </w:pPr>
          </w:p>
        </w:tc>
      </w:tr>
      <w:tr w14:paraId="5B01B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770" w:type="dxa"/>
            <w:noWrap w:val="0"/>
            <w:vAlign w:val="center"/>
          </w:tcPr>
          <w:p w14:paraId="7DAD3B32">
            <w:pPr>
              <w:widowControl w:val="0"/>
              <w:jc w:val="center"/>
              <w:rPr>
                <w:rFonts w:hint="eastAsia"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广东省连平（赣粤界）至从化公路</w:t>
            </w:r>
          </w:p>
        </w:tc>
        <w:tc>
          <w:tcPr>
            <w:tcW w:w="1935" w:type="dxa"/>
            <w:vMerge w:val="continue"/>
            <w:noWrap w:val="0"/>
            <w:vAlign w:val="center"/>
          </w:tcPr>
          <w:p w14:paraId="6EE0D817">
            <w:pPr>
              <w:widowControl w:val="0"/>
              <w:jc w:val="center"/>
              <w:rPr>
                <w:rFonts w:hint="eastAsia" w:ascii="宋体" w:hAnsi="宋体" w:eastAsia="宋体" w:cs="宋体"/>
                <w:color w:val="auto"/>
                <w:highlight w:val="none"/>
                <w:vertAlign w:val="baseline"/>
              </w:rPr>
            </w:pPr>
          </w:p>
        </w:tc>
        <w:tc>
          <w:tcPr>
            <w:tcW w:w="2074" w:type="dxa"/>
            <w:vMerge w:val="continue"/>
            <w:noWrap w:val="0"/>
            <w:vAlign w:val="center"/>
          </w:tcPr>
          <w:p w14:paraId="59BB0BCC">
            <w:pPr>
              <w:widowControl w:val="0"/>
              <w:jc w:val="center"/>
              <w:rPr>
                <w:rFonts w:hint="eastAsia" w:ascii="宋体" w:hAnsi="宋体" w:eastAsia="宋体" w:cs="宋体"/>
                <w:color w:val="auto"/>
                <w:highlight w:val="none"/>
                <w:vertAlign w:val="baseline"/>
              </w:rPr>
            </w:pPr>
          </w:p>
        </w:tc>
      </w:tr>
      <w:tr w14:paraId="1CCA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770" w:type="dxa"/>
            <w:noWrap w:val="0"/>
            <w:vAlign w:val="center"/>
          </w:tcPr>
          <w:p w14:paraId="1F138D18">
            <w:pPr>
              <w:widowControl w:val="0"/>
              <w:jc w:val="center"/>
              <w:rPr>
                <w:rFonts w:hint="eastAsia" w:ascii="宋体" w:hAnsi="宋体" w:eastAsia="宋体" w:cs="宋体"/>
                <w:b w:val="0"/>
                <w:bCs w:val="0"/>
                <w:color w:val="auto"/>
                <w:highlight w:val="none"/>
                <w:vertAlign w:val="baseline"/>
                <w:lang w:val="en-US" w:eastAsia="zh-CN"/>
              </w:rPr>
            </w:pPr>
            <w:r>
              <w:rPr>
                <w:rFonts w:hint="eastAsia" w:ascii="宋体" w:hAnsi="宋体"/>
                <w:b w:val="0"/>
                <w:bCs w:val="0"/>
                <w:color w:val="auto"/>
                <w:sz w:val="21"/>
                <w:szCs w:val="21"/>
                <w:highlight w:val="none"/>
              </w:rPr>
              <w:t>广州新洲至化龙快速路</w:t>
            </w:r>
          </w:p>
        </w:tc>
        <w:tc>
          <w:tcPr>
            <w:tcW w:w="1935" w:type="dxa"/>
            <w:vMerge w:val="continue"/>
            <w:noWrap w:val="0"/>
            <w:vAlign w:val="center"/>
          </w:tcPr>
          <w:p w14:paraId="69A3FF39">
            <w:pPr>
              <w:widowControl w:val="0"/>
              <w:jc w:val="center"/>
              <w:rPr>
                <w:rFonts w:hint="eastAsia" w:ascii="宋体" w:hAnsi="宋体" w:eastAsia="宋体" w:cs="宋体"/>
                <w:color w:val="auto"/>
                <w:highlight w:val="none"/>
                <w:vertAlign w:val="baseline"/>
              </w:rPr>
            </w:pPr>
          </w:p>
        </w:tc>
        <w:tc>
          <w:tcPr>
            <w:tcW w:w="2074" w:type="dxa"/>
            <w:vMerge w:val="continue"/>
            <w:noWrap w:val="0"/>
            <w:vAlign w:val="center"/>
          </w:tcPr>
          <w:p w14:paraId="74F4E929">
            <w:pPr>
              <w:widowControl w:val="0"/>
              <w:jc w:val="center"/>
              <w:rPr>
                <w:rFonts w:hint="eastAsia" w:ascii="宋体" w:hAnsi="宋体" w:eastAsia="宋体" w:cs="宋体"/>
                <w:color w:val="auto"/>
                <w:highlight w:val="none"/>
                <w:vertAlign w:val="baseline"/>
              </w:rPr>
            </w:pPr>
          </w:p>
        </w:tc>
      </w:tr>
      <w:tr w14:paraId="1D3D3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770" w:type="dxa"/>
            <w:noWrap w:val="0"/>
            <w:vAlign w:val="center"/>
          </w:tcPr>
          <w:p w14:paraId="31FAFF8D">
            <w:pPr>
              <w:widowControl w:val="0"/>
              <w:jc w:val="center"/>
              <w:rPr>
                <w:rFonts w:hint="eastAsia" w:ascii="宋体" w:hAnsi="宋体" w:eastAsia="宋体" w:cs="宋体"/>
                <w:b w:val="0"/>
                <w:bCs w:val="0"/>
                <w:color w:val="auto"/>
                <w:highlight w:val="none"/>
                <w:vertAlign w:val="baseline"/>
                <w:lang w:val="en-US" w:eastAsia="zh-CN"/>
              </w:rPr>
            </w:pPr>
            <w:r>
              <w:rPr>
                <w:rFonts w:hint="eastAsia" w:ascii="宋体" w:hAnsi="宋体" w:eastAsia="宋体"/>
                <w:b w:val="0"/>
                <w:bCs w:val="0"/>
                <w:color w:val="auto"/>
                <w:sz w:val="21"/>
                <w:szCs w:val="21"/>
                <w:highlight w:val="none"/>
              </w:rPr>
              <w:t>广州至高明高速路（三期）</w:t>
            </w:r>
          </w:p>
        </w:tc>
        <w:tc>
          <w:tcPr>
            <w:tcW w:w="1935" w:type="dxa"/>
            <w:vMerge w:val="continue"/>
            <w:noWrap w:val="0"/>
            <w:vAlign w:val="center"/>
          </w:tcPr>
          <w:p w14:paraId="3A9A8F04">
            <w:pPr>
              <w:widowControl w:val="0"/>
              <w:jc w:val="center"/>
              <w:rPr>
                <w:rFonts w:hint="eastAsia" w:ascii="宋体" w:hAnsi="宋体" w:eastAsia="宋体" w:cs="宋体"/>
                <w:color w:val="auto"/>
                <w:highlight w:val="none"/>
                <w:vertAlign w:val="baseline"/>
              </w:rPr>
            </w:pPr>
          </w:p>
        </w:tc>
        <w:tc>
          <w:tcPr>
            <w:tcW w:w="2074" w:type="dxa"/>
            <w:vMerge w:val="continue"/>
            <w:noWrap w:val="0"/>
            <w:vAlign w:val="center"/>
          </w:tcPr>
          <w:p w14:paraId="5E2D6685">
            <w:pPr>
              <w:widowControl w:val="0"/>
              <w:jc w:val="center"/>
              <w:rPr>
                <w:rFonts w:hint="eastAsia" w:ascii="宋体" w:hAnsi="宋体" w:eastAsia="宋体" w:cs="宋体"/>
                <w:color w:val="auto"/>
                <w:highlight w:val="none"/>
                <w:vertAlign w:val="baseline"/>
              </w:rPr>
            </w:pPr>
          </w:p>
        </w:tc>
      </w:tr>
      <w:tr w14:paraId="120C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770" w:type="dxa"/>
            <w:noWrap w:val="0"/>
            <w:vAlign w:val="center"/>
          </w:tcPr>
          <w:p w14:paraId="17DC7313">
            <w:pPr>
              <w:widowControl w:val="0"/>
              <w:jc w:val="center"/>
              <w:rPr>
                <w:rFonts w:hint="eastAsia" w:ascii="宋体" w:hAnsi="宋体" w:eastAsia="宋体" w:cs="宋体"/>
                <w:b w:val="0"/>
                <w:bCs w:val="0"/>
                <w:color w:val="auto"/>
                <w:highlight w:val="none"/>
                <w:vertAlign w:val="baseline"/>
                <w:lang w:val="en-US" w:eastAsia="zh-CN"/>
              </w:rPr>
            </w:pPr>
            <w:r>
              <w:rPr>
                <w:rFonts w:hint="eastAsia" w:ascii="宋体" w:hAnsi="宋体"/>
                <w:b w:val="0"/>
                <w:bCs w:val="0"/>
                <w:color w:val="auto"/>
                <w:sz w:val="21"/>
                <w:szCs w:val="21"/>
                <w:highlight w:val="none"/>
              </w:rPr>
              <w:t>南沙至中山高速公路</w:t>
            </w:r>
          </w:p>
        </w:tc>
        <w:tc>
          <w:tcPr>
            <w:tcW w:w="1935" w:type="dxa"/>
            <w:vMerge w:val="continue"/>
            <w:noWrap w:val="0"/>
            <w:vAlign w:val="center"/>
          </w:tcPr>
          <w:p w14:paraId="0BE8086D">
            <w:pPr>
              <w:widowControl w:val="0"/>
              <w:jc w:val="center"/>
              <w:rPr>
                <w:rFonts w:hint="eastAsia" w:ascii="宋体" w:hAnsi="宋体" w:eastAsia="宋体" w:cs="宋体"/>
                <w:color w:val="auto"/>
                <w:highlight w:val="none"/>
                <w:vertAlign w:val="baseline"/>
              </w:rPr>
            </w:pPr>
          </w:p>
        </w:tc>
        <w:tc>
          <w:tcPr>
            <w:tcW w:w="2074" w:type="dxa"/>
            <w:vMerge w:val="continue"/>
            <w:noWrap w:val="0"/>
            <w:vAlign w:val="center"/>
          </w:tcPr>
          <w:p w14:paraId="09AEFC86">
            <w:pPr>
              <w:widowControl w:val="0"/>
              <w:jc w:val="center"/>
              <w:rPr>
                <w:rFonts w:hint="eastAsia" w:ascii="宋体" w:hAnsi="宋体" w:eastAsia="宋体" w:cs="宋体"/>
                <w:color w:val="auto"/>
                <w:highlight w:val="none"/>
                <w:vertAlign w:val="baseline"/>
              </w:rPr>
            </w:pPr>
          </w:p>
        </w:tc>
      </w:tr>
      <w:tr w14:paraId="6846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770" w:type="dxa"/>
            <w:noWrap w:val="0"/>
            <w:vAlign w:val="center"/>
          </w:tcPr>
          <w:p w14:paraId="57CA582A">
            <w:pPr>
              <w:widowControl w:val="0"/>
              <w:jc w:val="center"/>
              <w:rPr>
                <w:rFonts w:hint="eastAsia" w:ascii="宋体" w:hAnsi="宋体" w:eastAsia="宋体" w:cs="宋体"/>
                <w:b w:val="0"/>
                <w:bCs w:val="0"/>
                <w:color w:val="auto"/>
                <w:highlight w:val="none"/>
                <w:vertAlign w:val="baseline"/>
                <w:lang w:val="en-US" w:eastAsia="zh-CN"/>
              </w:rPr>
            </w:pPr>
            <w:r>
              <w:rPr>
                <w:rFonts w:hint="eastAsia" w:ascii="宋体" w:hAnsi="宋体" w:eastAsia="宋体"/>
                <w:b w:val="0"/>
                <w:bCs w:val="0"/>
                <w:color w:val="auto"/>
                <w:sz w:val="21"/>
                <w:szCs w:val="21"/>
                <w:highlight w:val="none"/>
                <w:lang w:val="en-US" w:eastAsia="zh-CN"/>
              </w:rPr>
              <w:t>海珠湾隧道</w:t>
            </w:r>
          </w:p>
        </w:tc>
        <w:tc>
          <w:tcPr>
            <w:tcW w:w="1935" w:type="dxa"/>
            <w:vMerge w:val="continue"/>
            <w:noWrap w:val="0"/>
            <w:vAlign w:val="center"/>
          </w:tcPr>
          <w:p w14:paraId="1D033D46">
            <w:pPr>
              <w:widowControl w:val="0"/>
              <w:jc w:val="center"/>
              <w:rPr>
                <w:rFonts w:hint="eastAsia" w:ascii="宋体" w:hAnsi="宋体" w:eastAsia="宋体" w:cs="宋体"/>
                <w:color w:val="auto"/>
                <w:highlight w:val="none"/>
                <w:vertAlign w:val="baseline"/>
              </w:rPr>
            </w:pPr>
          </w:p>
        </w:tc>
        <w:tc>
          <w:tcPr>
            <w:tcW w:w="2074" w:type="dxa"/>
            <w:vMerge w:val="continue"/>
            <w:noWrap w:val="0"/>
            <w:vAlign w:val="center"/>
          </w:tcPr>
          <w:p w14:paraId="4535C30E">
            <w:pPr>
              <w:widowControl w:val="0"/>
              <w:jc w:val="center"/>
              <w:rPr>
                <w:rFonts w:hint="eastAsia" w:ascii="宋体" w:hAnsi="宋体" w:eastAsia="宋体" w:cs="宋体"/>
                <w:color w:val="auto"/>
                <w:highlight w:val="none"/>
                <w:vertAlign w:val="baseline"/>
              </w:rPr>
            </w:pPr>
          </w:p>
        </w:tc>
      </w:tr>
      <w:tr w14:paraId="007A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770" w:type="dxa"/>
            <w:noWrap w:val="0"/>
            <w:vAlign w:val="center"/>
          </w:tcPr>
          <w:p w14:paraId="1D84BE20">
            <w:pPr>
              <w:widowControl w:val="0"/>
              <w:jc w:val="center"/>
              <w:rPr>
                <w:rFonts w:hint="eastAsia" w:ascii="宋体" w:hAnsi="宋体" w:eastAsia="宋体" w:cs="宋体"/>
                <w:b w:val="0"/>
                <w:bCs w:val="0"/>
                <w:color w:val="auto"/>
                <w:highlight w:val="none"/>
                <w:vertAlign w:val="baseline"/>
                <w:lang w:val="en-US" w:eastAsia="zh-CN"/>
              </w:rPr>
            </w:pPr>
            <w:r>
              <w:rPr>
                <w:rFonts w:hint="eastAsia" w:ascii="宋体" w:hAnsi="宋体" w:cs="宋体"/>
                <w:b w:val="0"/>
                <w:bCs w:val="0"/>
                <w:color w:val="auto"/>
                <w:sz w:val="21"/>
                <w:szCs w:val="21"/>
                <w:highlight w:val="none"/>
                <w:lang w:val="en-US" w:eastAsia="zh-CN"/>
              </w:rPr>
              <w:t>北环高速（收费站部分）</w:t>
            </w:r>
          </w:p>
        </w:tc>
        <w:tc>
          <w:tcPr>
            <w:tcW w:w="1935" w:type="dxa"/>
            <w:vMerge w:val="continue"/>
            <w:noWrap w:val="0"/>
            <w:vAlign w:val="center"/>
          </w:tcPr>
          <w:p w14:paraId="21BAAFA3">
            <w:pPr>
              <w:widowControl w:val="0"/>
              <w:jc w:val="center"/>
              <w:rPr>
                <w:rFonts w:hint="eastAsia" w:ascii="宋体" w:hAnsi="宋体" w:eastAsia="宋体" w:cs="宋体"/>
                <w:color w:val="auto"/>
                <w:highlight w:val="none"/>
                <w:vertAlign w:val="baseline"/>
              </w:rPr>
            </w:pPr>
          </w:p>
        </w:tc>
        <w:tc>
          <w:tcPr>
            <w:tcW w:w="2074" w:type="dxa"/>
            <w:vMerge w:val="continue"/>
            <w:noWrap w:val="0"/>
            <w:vAlign w:val="center"/>
          </w:tcPr>
          <w:p w14:paraId="295A3ED1">
            <w:pPr>
              <w:widowControl w:val="0"/>
              <w:jc w:val="center"/>
              <w:rPr>
                <w:rFonts w:hint="eastAsia" w:ascii="宋体" w:hAnsi="宋体" w:eastAsia="宋体" w:cs="宋体"/>
                <w:color w:val="auto"/>
                <w:highlight w:val="none"/>
                <w:vertAlign w:val="baseline"/>
              </w:rPr>
            </w:pPr>
          </w:p>
        </w:tc>
      </w:tr>
      <w:tr w14:paraId="52E5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770" w:type="dxa"/>
            <w:noWrap w:val="0"/>
            <w:vAlign w:val="center"/>
          </w:tcPr>
          <w:p w14:paraId="622A15F7">
            <w:pPr>
              <w:widowControl w:val="0"/>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黄埔大桥</w:t>
            </w:r>
          </w:p>
        </w:tc>
        <w:tc>
          <w:tcPr>
            <w:tcW w:w="1935" w:type="dxa"/>
            <w:vMerge w:val="continue"/>
            <w:noWrap w:val="0"/>
            <w:vAlign w:val="center"/>
          </w:tcPr>
          <w:p w14:paraId="7FA46EFA">
            <w:pPr>
              <w:widowControl w:val="0"/>
              <w:jc w:val="center"/>
              <w:rPr>
                <w:rFonts w:hint="eastAsia" w:ascii="宋体" w:hAnsi="宋体" w:eastAsia="宋体" w:cs="宋体"/>
                <w:color w:val="auto"/>
                <w:highlight w:val="none"/>
                <w:vertAlign w:val="baseline"/>
              </w:rPr>
            </w:pPr>
          </w:p>
        </w:tc>
        <w:tc>
          <w:tcPr>
            <w:tcW w:w="2074" w:type="dxa"/>
            <w:vMerge w:val="continue"/>
            <w:noWrap w:val="0"/>
            <w:vAlign w:val="center"/>
          </w:tcPr>
          <w:p w14:paraId="16CF3E91">
            <w:pPr>
              <w:widowControl w:val="0"/>
              <w:jc w:val="center"/>
              <w:rPr>
                <w:rFonts w:hint="eastAsia" w:ascii="宋体" w:hAnsi="宋体" w:eastAsia="宋体" w:cs="宋体"/>
                <w:color w:val="auto"/>
                <w:highlight w:val="none"/>
                <w:vertAlign w:val="baseline"/>
              </w:rPr>
            </w:pPr>
          </w:p>
        </w:tc>
      </w:tr>
      <w:tr w14:paraId="068F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770" w:type="dxa"/>
            <w:noWrap w:val="0"/>
            <w:vAlign w:val="center"/>
          </w:tcPr>
          <w:p w14:paraId="1982E1C0">
            <w:pPr>
              <w:widowControl w:val="0"/>
              <w:jc w:val="center"/>
              <w:rPr>
                <w:rFonts w:hint="eastAsia" w:ascii="宋体" w:hAnsi="宋体" w:eastAsia="宋体" w:cs="宋体"/>
                <w:color w:val="auto"/>
                <w:highlight w:val="none"/>
                <w:vertAlign w:val="baseline"/>
              </w:rPr>
            </w:pPr>
            <w:r>
              <w:rPr>
                <w:rFonts w:hint="eastAsia" w:ascii="宋体" w:hAnsi="宋体" w:cs="宋体"/>
                <w:b w:val="0"/>
                <w:bCs w:val="0"/>
                <w:color w:val="auto"/>
                <w:sz w:val="21"/>
                <w:szCs w:val="21"/>
                <w:highlight w:val="none"/>
                <w:lang w:val="en-US" w:eastAsia="zh-CN"/>
              </w:rPr>
              <w:t>南沙港快速</w:t>
            </w:r>
          </w:p>
        </w:tc>
        <w:tc>
          <w:tcPr>
            <w:tcW w:w="1935" w:type="dxa"/>
            <w:vMerge w:val="continue"/>
            <w:noWrap w:val="0"/>
            <w:vAlign w:val="center"/>
          </w:tcPr>
          <w:p w14:paraId="71E5B388">
            <w:pPr>
              <w:widowControl w:val="0"/>
              <w:jc w:val="center"/>
              <w:rPr>
                <w:rFonts w:hint="eastAsia" w:ascii="宋体" w:hAnsi="宋体" w:eastAsia="宋体" w:cs="宋体"/>
                <w:color w:val="auto"/>
                <w:highlight w:val="none"/>
                <w:vertAlign w:val="baseline"/>
              </w:rPr>
            </w:pPr>
          </w:p>
        </w:tc>
        <w:tc>
          <w:tcPr>
            <w:tcW w:w="2074" w:type="dxa"/>
            <w:vMerge w:val="continue"/>
            <w:noWrap w:val="0"/>
            <w:vAlign w:val="center"/>
          </w:tcPr>
          <w:p w14:paraId="601E238B">
            <w:pPr>
              <w:widowControl w:val="0"/>
              <w:jc w:val="center"/>
              <w:rPr>
                <w:rFonts w:hint="eastAsia" w:ascii="宋体" w:hAnsi="宋体" w:eastAsia="宋体" w:cs="宋体"/>
                <w:color w:val="auto"/>
                <w:highlight w:val="none"/>
                <w:vertAlign w:val="baseline"/>
              </w:rPr>
            </w:pPr>
          </w:p>
        </w:tc>
      </w:tr>
    </w:tbl>
    <w:p w14:paraId="2BEB6D83">
      <w:pPr>
        <w:pStyle w:val="4"/>
        <w:spacing w:before="58" w:line="358" w:lineRule="auto"/>
        <w:rPr>
          <w:rFonts w:hint="eastAsia" w:ascii="宋体" w:hAnsi="宋体" w:eastAsia="宋体" w:cs="宋体"/>
          <w:b/>
          <w:bCs/>
          <w:color w:val="auto"/>
          <w:spacing w:val="5"/>
          <w:sz w:val="18"/>
          <w:szCs w:val="18"/>
          <w:highlight w:val="none"/>
        </w:rPr>
      </w:pPr>
      <w:r>
        <w:rPr>
          <w:rFonts w:hint="eastAsia" w:ascii="宋体" w:hAnsi="宋体" w:eastAsia="宋体" w:cs="宋体"/>
          <w:b/>
          <w:bCs/>
          <w:color w:val="auto"/>
          <w:spacing w:val="5"/>
          <w:sz w:val="18"/>
          <w:szCs w:val="18"/>
          <w:highlight w:val="none"/>
        </w:rPr>
        <w:t>备注：中标单位按照中标费率（即投标人报价费率）与</w:t>
      </w:r>
      <w:r>
        <w:rPr>
          <w:rFonts w:hint="eastAsia" w:ascii="宋体" w:hAnsi="宋体" w:eastAsia="宋体" w:cs="宋体"/>
          <w:b/>
          <w:bCs/>
          <w:color w:val="auto"/>
          <w:spacing w:val="4"/>
          <w:sz w:val="18"/>
          <w:szCs w:val="18"/>
          <w:highlight w:val="none"/>
        </w:rPr>
        <w:t>各</w:t>
      </w:r>
      <w:r>
        <w:rPr>
          <w:rFonts w:hint="eastAsia" w:ascii="宋体" w:hAnsi="宋体" w:eastAsia="宋体" w:cs="宋体"/>
          <w:b/>
          <w:bCs/>
          <w:color w:val="auto"/>
          <w:spacing w:val="4"/>
          <w:sz w:val="18"/>
          <w:szCs w:val="18"/>
          <w:highlight w:val="none"/>
          <w:lang w:val="en-US" w:eastAsia="zh-CN"/>
        </w:rPr>
        <w:t>被保险人</w:t>
      </w:r>
      <w:r>
        <w:rPr>
          <w:rFonts w:hint="eastAsia" w:ascii="宋体" w:hAnsi="宋体" w:eastAsia="宋体" w:cs="宋体"/>
          <w:b/>
          <w:bCs/>
          <w:color w:val="auto"/>
          <w:spacing w:val="4"/>
          <w:sz w:val="18"/>
          <w:szCs w:val="18"/>
          <w:highlight w:val="none"/>
        </w:rPr>
        <w:t>签订保险合同；</w:t>
      </w:r>
      <w:r>
        <w:rPr>
          <w:rFonts w:hint="eastAsia" w:ascii="宋体" w:hAnsi="宋体" w:eastAsia="宋体" w:cs="宋体"/>
          <w:color w:val="auto"/>
          <w:sz w:val="18"/>
          <w:szCs w:val="18"/>
          <w:highlight w:val="none"/>
        </w:rPr>
        <w:t xml:space="preserve"> </w:t>
      </w:r>
      <w:r>
        <w:rPr>
          <w:rFonts w:hint="eastAsia" w:ascii="宋体" w:hAnsi="宋体" w:eastAsia="宋体" w:cs="宋体"/>
          <w:b/>
          <w:bCs/>
          <w:color w:val="auto"/>
          <w:spacing w:val="5"/>
          <w:sz w:val="18"/>
          <w:szCs w:val="18"/>
          <w:highlight w:val="none"/>
        </w:rPr>
        <w:t>如当年度保险期限不足一年，该年度保费按实际天数折算。</w:t>
      </w:r>
    </w:p>
    <w:p w14:paraId="00852B3B">
      <w:pPr>
        <w:numPr>
          <w:ilvl w:val="0"/>
          <w:numId w:val="1"/>
        </w:num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投标人资格要求</w:t>
      </w:r>
    </w:p>
    <w:p w14:paraId="1F6A3171">
      <w:pPr>
        <w:tabs>
          <w:tab w:val="left" w:pos="1900"/>
        </w:tabs>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3.1投标人必须在中华人民共和国境内注册并有效存续，由国家金融监督管理总局(原中国银行保险监督管理委员会)批准开展经营保险业务、并具有独立法人资格的保险公司或其唯一授权的省（市）级分支机构；保险公司及其分支机构只能有一家参加投标。如果同一保险公司同时出现总公司、分支机构等多个投标人投标登记，则按照总公司、分支机构的管辖顺序依次优先接受投标登记（总公司申请投标登记，则其他分支机构投标登记无效；省分支机构申请投标登记，则市、区分支机构投标登记无效；市分支机构申请投标登记，则区分支机构投标登记无效）。投标人须具有国家金融监督管理总局(原中国银行保险监督管理委员会)颁发的《经营保险业务许可证》或《保险许可证》。且财务、业绩、信誉等同时满足附录的资格审查要求。</w:t>
      </w:r>
    </w:p>
    <w:p w14:paraId="565B7FF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3.2本项目不接受联合体投标。</w:t>
      </w:r>
    </w:p>
    <w:p w14:paraId="1193CC0E">
      <w:pPr>
        <w:snapToGrid w:val="0"/>
        <w:spacing w:line="360" w:lineRule="auto"/>
        <w:ind w:firstLine="420" w:firstLineChars="200"/>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3.3与招标人存在利害关系可能影响招标公正性的法人、其它组织或者个人，不得参加投标申请。单位负责人</w:t>
      </w:r>
      <w:r>
        <w:rPr>
          <w:rFonts w:hint="eastAsia" w:ascii="宋体" w:hAnsi="宋体" w:cs="宋体"/>
          <w:color w:val="auto"/>
          <w:sz w:val="21"/>
          <w:szCs w:val="21"/>
          <w:highlight w:val="none"/>
          <w:vertAlign w:val="superscript"/>
        </w:rPr>
        <w:footnoteReference w:id="0"/>
      </w:r>
      <w:r>
        <w:rPr>
          <w:rFonts w:hint="eastAsia" w:ascii="宋体" w:hAnsi="宋体" w:cs="宋体"/>
          <w:color w:val="auto"/>
          <w:sz w:val="21"/>
          <w:szCs w:val="21"/>
          <w:highlight w:val="none"/>
        </w:rPr>
        <w:t>为同一人或者存在控股</w:t>
      </w:r>
      <w:r>
        <w:rPr>
          <w:rFonts w:hint="eastAsia" w:ascii="宋体" w:hAnsi="宋体" w:cs="宋体"/>
          <w:color w:val="auto"/>
          <w:sz w:val="21"/>
          <w:szCs w:val="21"/>
          <w:highlight w:val="none"/>
          <w:vertAlign w:val="superscript"/>
        </w:rPr>
        <w:footnoteReference w:id="1"/>
      </w:r>
      <w:r>
        <w:rPr>
          <w:rFonts w:hint="eastAsia" w:ascii="宋体" w:hAnsi="宋体" w:cs="宋体"/>
          <w:color w:val="auto"/>
          <w:sz w:val="21"/>
          <w:szCs w:val="21"/>
          <w:highlight w:val="none"/>
        </w:rPr>
        <w:t>、管理关系</w:t>
      </w:r>
      <w:r>
        <w:rPr>
          <w:rFonts w:hint="eastAsia" w:ascii="宋体" w:hAnsi="宋体" w:cs="宋体"/>
          <w:color w:val="auto"/>
          <w:sz w:val="21"/>
          <w:szCs w:val="21"/>
          <w:highlight w:val="none"/>
          <w:vertAlign w:val="superscript"/>
        </w:rPr>
        <w:footnoteReference w:id="2"/>
      </w:r>
      <w:r>
        <w:rPr>
          <w:rFonts w:hint="eastAsia" w:ascii="宋体" w:hAnsi="宋体" w:cs="宋体"/>
          <w:color w:val="auto"/>
          <w:sz w:val="21"/>
          <w:szCs w:val="21"/>
          <w:highlight w:val="none"/>
        </w:rPr>
        <w:t>的不同单位，不得同时参加本项目的投标，否则均按否决其投标处理。</w:t>
      </w:r>
    </w:p>
    <w:p w14:paraId="0DDF05D4">
      <w:pPr>
        <w:snapToGrid w:val="0"/>
        <w:spacing w:line="360" w:lineRule="auto"/>
        <w:ind w:firstLine="420" w:firstLineChars="200"/>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3.4在“中国执行信息公开网”（http://zxgk.court.gov.cn/）中被列入失信被执行人名单的投标人，在国家企业信用信息公示系统（www.gsxt.gov.cn）中被列入严重违法失信名单的投标人，均按否决投标处理。投标时提供</w:t>
      </w:r>
      <w:r>
        <w:rPr>
          <w:rFonts w:hint="eastAsia" w:ascii="宋体" w:hAnsi="宋体" w:cs="宋体"/>
          <w:color w:val="auto"/>
          <w:sz w:val="21"/>
          <w:szCs w:val="21"/>
          <w:highlight w:val="none"/>
          <w:lang w:val="en-US" w:eastAsia="zh-CN"/>
        </w:rPr>
        <w:t>上述</w:t>
      </w:r>
      <w:r>
        <w:rPr>
          <w:rFonts w:hint="eastAsia" w:ascii="宋体" w:hAnsi="宋体" w:cs="宋体"/>
          <w:color w:val="auto"/>
          <w:sz w:val="21"/>
          <w:szCs w:val="21"/>
          <w:highlight w:val="none"/>
        </w:rPr>
        <w:t>网页查询截图。</w:t>
      </w:r>
    </w:p>
    <w:p w14:paraId="495037B8">
      <w:pPr>
        <w:numPr>
          <w:ilvl w:val="0"/>
          <w:numId w:val="1"/>
        </w:num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招标文件的获取</w:t>
      </w:r>
    </w:p>
    <w:p w14:paraId="44B51BB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4.1凡有意参加投标者，请于</w:t>
      </w:r>
      <w:r>
        <w:rPr>
          <w:rFonts w:hint="eastAsia" w:ascii="宋体" w:hAnsi="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12</w:t>
      </w:r>
      <w:r>
        <w:rPr>
          <w:rFonts w:hint="eastAsia" w:ascii="宋体" w:hAnsi="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13</w:t>
      </w:r>
      <w:r>
        <w:rPr>
          <w:rFonts w:hint="eastAsia" w:ascii="宋体" w:hAnsi="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00</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00</w:t>
      </w:r>
      <w:r>
        <w:rPr>
          <w:rFonts w:hint="eastAsia" w:ascii="宋体" w:hAnsi="宋体" w:cs="宋体"/>
          <w:color w:val="auto"/>
          <w:sz w:val="21"/>
          <w:szCs w:val="21"/>
          <w:highlight w:val="none"/>
          <w:u w:val="single"/>
        </w:rPr>
        <w:t>至202</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12</w:t>
      </w:r>
      <w:r>
        <w:rPr>
          <w:rFonts w:hint="eastAsia" w:ascii="宋体" w:hAnsi="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19</w:t>
      </w:r>
      <w:r>
        <w:rPr>
          <w:rFonts w:hint="eastAsia" w:ascii="宋体" w:hAnsi="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23</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59</w:t>
      </w:r>
      <w:r>
        <w:rPr>
          <w:rFonts w:hint="eastAsia" w:ascii="宋体" w:hAnsi="宋体" w:cs="宋体"/>
          <w:color w:val="auto"/>
          <w:sz w:val="21"/>
          <w:szCs w:val="21"/>
          <w:highlight w:val="none"/>
        </w:rPr>
        <w:t>（北京时间，下同），登陆广州公共资源交易中心网站（http://www.gzggzy.cn）交易平台（即电子招标投标交易平台，下同）选择对应招标项目进行投标登记，经招标人确认投标登记成功后，投标人方可自行下载招标文件等相关资料。</w:t>
      </w:r>
    </w:p>
    <w:p w14:paraId="2CED834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4.2下载电子招标文件需要说明的有关事宜具体为：</w:t>
      </w:r>
    </w:p>
    <w:p w14:paraId="0396252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将以下填写并加盖公章的资料的扫描件发至招标代理邮箱（以到达邮箱时间为准，</w:t>
      </w:r>
      <w:r>
        <w:rPr>
          <w:rFonts w:hint="eastAsia" w:ascii="宋体" w:hAnsi="宋体" w:cs="宋体"/>
          <w:color w:val="auto"/>
          <w:sz w:val="21"/>
          <w:szCs w:val="21"/>
          <w:highlight w:val="none"/>
          <w:lang w:val="en-US" w:eastAsia="zh-CN"/>
        </w:rPr>
        <w:t>zhouweifeng@gzmall.cn</w:t>
      </w:r>
      <w:r>
        <w:rPr>
          <w:rFonts w:hint="eastAsia" w:ascii="宋体" w:hAnsi="宋体" w:cs="宋体"/>
          <w:color w:val="auto"/>
          <w:sz w:val="21"/>
          <w:szCs w:val="21"/>
          <w:highlight w:val="none"/>
        </w:rPr>
        <w:t>）。</w:t>
      </w:r>
    </w:p>
    <w:p w14:paraId="039C65B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①《投标登记申请表》一份（下载地址：http://www.gzggzy.cn/fwznzlxzjsgc/896693.jhtml）；</w:t>
      </w:r>
    </w:p>
    <w:p w14:paraId="54F1B60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② 总公司授权投标书（分支机构适用，格式详见附件1）；</w:t>
      </w:r>
    </w:p>
    <w:p w14:paraId="0CC608E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③ 招标文件发放登记表（格式见附件</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w:t>
      </w:r>
    </w:p>
    <w:p w14:paraId="039AD33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注：投标人完成上面投标登记后及时联系招标代理机构进行确认。同时满足上述要求，方视为投标登记成功。</w:t>
      </w:r>
    </w:p>
    <w:p w14:paraId="1F13A80A">
      <w:pPr>
        <w:numPr>
          <w:ilvl w:val="0"/>
          <w:numId w:val="1"/>
        </w:numPr>
        <w:spacing w:line="360" w:lineRule="auto"/>
        <w:ind w:firstLine="422" w:firstLineChars="200"/>
        <w:rPr>
          <w:rFonts w:hint="eastAsia" w:ascii="宋体" w:hAnsi="宋体" w:cs="宋体"/>
          <w:color w:val="auto"/>
          <w:sz w:val="21"/>
          <w:szCs w:val="21"/>
          <w:highlight w:val="none"/>
        </w:rPr>
      </w:pPr>
      <w:r>
        <w:rPr>
          <w:rFonts w:hint="eastAsia" w:ascii="宋体" w:hAnsi="宋体" w:cs="宋体"/>
          <w:b/>
          <w:bCs/>
          <w:color w:val="auto"/>
          <w:sz w:val="21"/>
          <w:szCs w:val="21"/>
          <w:highlight w:val="none"/>
        </w:rPr>
        <w:t>投标文件的递交及相关事宜</w:t>
      </w:r>
    </w:p>
    <w:p w14:paraId="09C2DD8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5.1招标人不组织进行工程现场踏勘和不召开投标预备会。</w:t>
      </w:r>
    </w:p>
    <w:p w14:paraId="75F237A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5.2投标文件递交的截止时间（投标截止时间，下同）为</w:t>
      </w:r>
      <w:r>
        <w:rPr>
          <w:rFonts w:hint="eastAsia" w:ascii="宋体" w:hAnsi="宋体" w:cs="宋体"/>
          <w:color w:val="auto"/>
          <w:sz w:val="21"/>
          <w:szCs w:val="21"/>
          <w:highlight w:val="none"/>
          <w:u w:val="single"/>
          <w:lang w:eastAsia="zh-CN"/>
        </w:rPr>
        <w:t>202</w:t>
      </w:r>
      <w:r>
        <w:rPr>
          <w:rFonts w:hint="eastAsia" w:ascii="宋体" w:hAnsi="宋体" w:cs="宋体"/>
          <w:color w:val="auto"/>
          <w:sz w:val="21"/>
          <w:szCs w:val="21"/>
          <w:highlight w:val="none"/>
          <w:u w:val="single"/>
          <w:lang w:val="en-US" w:eastAsia="zh-CN"/>
        </w:rPr>
        <w:t>6</w:t>
      </w:r>
      <w:r>
        <w:rPr>
          <w:rFonts w:hint="eastAsia" w:ascii="宋体" w:hAnsi="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w:t>
      </w:r>
      <w:r>
        <w:rPr>
          <w:rFonts w:hint="eastAsia" w:ascii="宋体" w:hAnsi="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08</w:t>
      </w:r>
      <w:r>
        <w:rPr>
          <w:rFonts w:hint="eastAsia" w:ascii="宋体" w:hAnsi="宋体" w:cs="宋体"/>
          <w:color w:val="auto"/>
          <w:sz w:val="21"/>
          <w:szCs w:val="21"/>
          <w:highlight w:val="none"/>
          <w:u w:val="single"/>
        </w:rPr>
        <w:t>时</w:t>
      </w:r>
      <w:r>
        <w:rPr>
          <w:rFonts w:hint="eastAsia" w:ascii="宋体" w:hAnsi="宋体" w:cs="宋体"/>
          <w:color w:val="auto"/>
          <w:sz w:val="21"/>
          <w:szCs w:val="21"/>
          <w:highlight w:val="none"/>
          <w:u w:val="single"/>
          <w:lang w:val="en-US" w:eastAsia="zh-CN"/>
        </w:rPr>
        <w:t>30</w:t>
      </w:r>
      <w:r>
        <w:rPr>
          <w:rFonts w:hint="eastAsia" w:ascii="宋体" w:hAnsi="宋体" w:cs="宋体"/>
          <w:color w:val="auto"/>
          <w:sz w:val="21"/>
          <w:szCs w:val="21"/>
          <w:highlight w:val="none"/>
          <w:u w:val="single"/>
        </w:rPr>
        <w:t>分</w:t>
      </w:r>
      <w:r>
        <w:rPr>
          <w:rFonts w:hint="eastAsia" w:ascii="宋体" w:hAnsi="宋体" w:cs="宋体"/>
          <w:color w:val="auto"/>
          <w:sz w:val="21"/>
          <w:szCs w:val="21"/>
          <w:highlight w:val="none"/>
        </w:rPr>
        <w:t>。投标文件电子文件统一采用网络上传的方式，投标人</w:t>
      </w:r>
      <w:r>
        <w:rPr>
          <w:rFonts w:hint="eastAsia" w:ascii="宋体" w:hAnsi="宋体" w:cs="宋体"/>
          <w:color w:val="auto"/>
          <w:sz w:val="21"/>
          <w:szCs w:val="21"/>
          <w:highlight w:val="none"/>
          <w:u w:val="single"/>
          <w:lang w:eastAsia="zh-CN"/>
        </w:rPr>
        <w:t>2025</w:t>
      </w:r>
      <w:r>
        <w:rPr>
          <w:rFonts w:hint="eastAsia" w:ascii="宋体" w:hAnsi="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12</w:t>
      </w:r>
      <w:r>
        <w:rPr>
          <w:rFonts w:hint="eastAsia" w:ascii="宋体" w:hAnsi="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13</w:t>
      </w:r>
      <w:r>
        <w:rPr>
          <w:rFonts w:hint="eastAsia" w:ascii="宋体" w:hAnsi="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00</w:t>
      </w:r>
      <w:r>
        <w:rPr>
          <w:rFonts w:hint="eastAsia" w:ascii="宋体" w:hAnsi="宋体" w:cs="宋体"/>
          <w:color w:val="auto"/>
          <w:sz w:val="21"/>
          <w:szCs w:val="21"/>
          <w:highlight w:val="none"/>
          <w:u w:val="single"/>
        </w:rPr>
        <w:t>时</w:t>
      </w:r>
      <w:r>
        <w:rPr>
          <w:rFonts w:hint="eastAsia" w:ascii="宋体" w:hAnsi="宋体" w:cs="宋体"/>
          <w:color w:val="auto"/>
          <w:sz w:val="21"/>
          <w:szCs w:val="21"/>
          <w:highlight w:val="none"/>
          <w:u w:val="single"/>
          <w:lang w:val="en-US" w:eastAsia="zh-CN"/>
        </w:rPr>
        <w:t>00</w:t>
      </w:r>
      <w:r>
        <w:rPr>
          <w:rFonts w:hint="eastAsia" w:ascii="宋体" w:hAnsi="宋体" w:cs="宋体"/>
          <w:color w:val="auto"/>
          <w:sz w:val="21"/>
          <w:szCs w:val="21"/>
          <w:highlight w:val="none"/>
          <w:u w:val="single"/>
        </w:rPr>
        <w:t>分至</w:t>
      </w:r>
      <w:r>
        <w:rPr>
          <w:rFonts w:hint="eastAsia" w:ascii="宋体" w:hAnsi="宋体" w:cs="宋体"/>
          <w:color w:val="auto"/>
          <w:sz w:val="21"/>
          <w:szCs w:val="21"/>
          <w:highlight w:val="none"/>
          <w:u w:val="single"/>
          <w:lang w:eastAsia="zh-CN"/>
        </w:rPr>
        <w:t>202</w:t>
      </w:r>
      <w:r>
        <w:rPr>
          <w:rFonts w:hint="eastAsia" w:ascii="宋体" w:hAnsi="宋体" w:cs="宋体"/>
          <w:color w:val="auto"/>
          <w:sz w:val="21"/>
          <w:szCs w:val="21"/>
          <w:highlight w:val="none"/>
          <w:u w:val="single"/>
          <w:lang w:val="en-US" w:eastAsia="zh-CN"/>
        </w:rPr>
        <w:t>6</w:t>
      </w:r>
      <w:r>
        <w:rPr>
          <w:rFonts w:hint="eastAsia" w:ascii="宋体" w:hAnsi="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w:t>
      </w:r>
      <w:r>
        <w:rPr>
          <w:rFonts w:hint="eastAsia" w:ascii="宋体" w:hAnsi="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08</w:t>
      </w:r>
      <w:r>
        <w:rPr>
          <w:rFonts w:hint="eastAsia" w:ascii="宋体" w:hAnsi="宋体" w:cs="宋体"/>
          <w:color w:val="auto"/>
          <w:sz w:val="21"/>
          <w:szCs w:val="21"/>
          <w:highlight w:val="none"/>
          <w:u w:val="single"/>
        </w:rPr>
        <w:t>时</w:t>
      </w:r>
      <w:r>
        <w:rPr>
          <w:rFonts w:hint="eastAsia" w:ascii="宋体" w:hAnsi="宋体" w:cs="宋体"/>
          <w:color w:val="auto"/>
          <w:sz w:val="21"/>
          <w:szCs w:val="21"/>
          <w:highlight w:val="none"/>
          <w:u w:val="single"/>
          <w:lang w:val="en-US" w:eastAsia="zh-CN"/>
        </w:rPr>
        <w:t>30</w:t>
      </w:r>
      <w:r>
        <w:rPr>
          <w:rFonts w:hint="eastAsia" w:ascii="宋体" w:hAnsi="宋体" w:cs="宋体"/>
          <w:color w:val="auto"/>
          <w:sz w:val="21"/>
          <w:szCs w:val="21"/>
          <w:highlight w:val="none"/>
          <w:u w:val="single"/>
        </w:rPr>
        <w:t>分</w:t>
      </w:r>
      <w:r>
        <w:rPr>
          <w:rFonts w:hint="eastAsia" w:ascii="宋体" w:hAnsi="宋体" w:cs="宋体"/>
          <w:color w:val="auto"/>
          <w:sz w:val="21"/>
          <w:szCs w:val="21"/>
          <w:highlight w:val="none"/>
        </w:rPr>
        <w:t>将电子文件完整上传。</w:t>
      </w:r>
    </w:p>
    <w:p w14:paraId="78F2F62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5.3未在投标截止时间前完成电子投标文件上传的，视为逾期送达，招标人（“电子招标投标交易平台”）将拒绝接收。</w:t>
      </w:r>
    </w:p>
    <w:p w14:paraId="4BB02969">
      <w:pPr>
        <w:numPr>
          <w:ilvl w:val="0"/>
          <w:numId w:val="1"/>
        </w:num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发布公告的媒介</w:t>
      </w:r>
    </w:p>
    <w:p w14:paraId="79D2485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本次招标公告同时在</w:t>
      </w:r>
      <w:r>
        <w:rPr>
          <w:rFonts w:hint="eastAsia" w:ascii="宋体" w:hAnsi="宋体" w:cs="宋体"/>
          <w:color w:val="auto"/>
          <w:sz w:val="21"/>
          <w:szCs w:val="21"/>
          <w:highlight w:val="none"/>
          <w:u w:val="single"/>
        </w:rPr>
        <w:t>中国招标投标公共服务平台、广东省招标投标监管网、广州公共资源交易中心、广州国企阳光采购信息发布平台</w:t>
      </w:r>
      <w:r>
        <w:rPr>
          <w:rFonts w:hint="eastAsia" w:ascii="宋体" w:hAnsi="宋体" w:cs="宋体"/>
          <w:color w:val="auto"/>
          <w:sz w:val="21"/>
          <w:szCs w:val="21"/>
          <w:highlight w:val="none"/>
        </w:rPr>
        <w:t>网站上发布，如媒体发布公告的详细内容不一致，以广东省招标投标监管网上发布为准。</w:t>
      </w:r>
    </w:p>
    <w:p w14:paraId="00A58E86">
      <w:pPr>
        <w:numPr>
          <w:ilvl w:val="0"/>
          <w:numId w:val="1"/>
        </w:num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在规定的投标登记期间，如投标登记的投标人不足3家时，招标人有权选择以下任一方式：(1)在广东省招标投标监管网、广州公共资源交易中心发布公告延长投标登记时间，在延期投标登记时间内，已投标登记投标人的资料仍有效并可自行补充资料，未投标登记的投标人可根据公告的约定进行投标登记；(2)依法重新组织招标或不再招标。</w:t>
      </w:r>
    </w:p>
    <w:p w14:paraId="56AD9DEF">
      <w:pPr>
        <w:numPr>
          <w:ilvl w:val="0"/>
          <w:numId w:val="1"/>
        </w:num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联系方式</w:t>
      </w:r>
    </w:p>
    <w:tbl>
      <w:tblPr>
        <w:tblStyle w:val="11"/>
        <w:tblW w:w="9288" w:type="dxa"/>
        <w:jc w:val="center"/>
        <w:tblLayout w:type="fixed"/>
        <w:tblCellMar>
          <w:top w:w="0" w:type="dxa"/>
          <w:left w:w="108" w:type="dxa"/>
          <w:bottom w:w="0" w:type="dxa"/>
          <w:right w:w="108" w:type="dxa"/>
        </w:tblCellMar>
      </w:tblPr>
      <w:tblGrid>
        <w:gridCol w:w="1458"/>
        <w:gridCol w:w="3186"/>
        <w:gridCol w:w="1439"/>
        <w:gridCol w:w="3205"/>
      </w:tblGrid>
      <w:tr w14:paraId="55D302D2">
        <w:tblPrEx>
          <w:tblCellMar>
            <w:top w:w="0" w:type="dxa"/>
            <w:left w:w="108" w:type="dxa"/>
            <w:bottom w:w="0" w:type="dxa"/>
            <w:right w:w="108" w:type="dxa"/>
          </w:tblCellMar>
        </w:tblPrEx>
        <w:trPr>
          <w:jc w:val="center"/>
        </w:trPr>
        <w:tc>
          <w:tcPr>
            <w:tcW w:w="1458" w:type="dxa"/>
            <w:noWrap w:val="0"/>
            <w:vAlign w:val="center"/>
          </w:tcPr>
          <w:p w14:paraId="0B71A742">
            <w:pPr>
              <w:widowControl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招 标 人:</w:t>
            </w:r>
          </w:p>
        </w:tc>
        <w:tc>
          <w:tcPr>
            <w:tcW w:w="3186" w:type="dxa"/>
            <w:noWrap w:val="0"/>
            <w:vAlign w:val="top"/>
          </w:tcPr>
          <w:p w14:paraId="4F4D87D7">
            <w:pPr>
              <w:widowControl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广州高速运营管理有限公司</w:t>
            </w:r>
          </w:p>
        </w:tc>
        <w:tc>
          <w:tcPr>
            <w:tcW w:w="1439" w:type="dxa"/>
            <w:noWrap w:val="0"/>
            <w:vAlign w:val="center"/>
          </w:tcPr>
          <w:p w14:paraId="19F25968">
            <w:pPr>
              <w:widowControl w:val="0"/>
              <w:spacing w:line="360" w:lineRule="auto"/>
              <w:jc w:val="center"/>
              <w:rPr>
                <w:rFonts w:ascii="宋体" w:hAnsi="宋体" w:cs="宋体"/>
                <w:b/>
                <w:bCs/>
                <w:color w:val="auto"/>
                <w:sz w:val="21"/>
                <w:szCs w:val="21"/>
                <w:highlight w:val="none"/>
              </w:rPr>
            </w:pPr>
            <w:r>
              <w:rPr>
                <w:rFonts w:hint="eastAsia" w:ascii="宋体" w:hAnsi="宋体" w:cs="宋体"/>
                <w:color w:val="auto"/>
                <w:sz w:val="21"/>
                <w:szCs w:val="21"/>
                <w:highlight w:val="none"/>
              </w:rPr>
              <w:t>招标代理:</w:t>
            </w:r>
          </w:p>
        </w:tc>
        <w:tc>
          <w:tcPr>
            <w:tcW w:w="3205" w:type="dxa"/>
            <w:noWrap w:val="0"/>
            <w:vAlign w:val="top"/>
          </w:tcPr>
          <w:p w14:paraId="7725C5CE">
            <w:pPr>
              <w:widowControl w:val="0"/>
              <w:spacing w:line="360" w:lineRule="auto"/>
              <w:rPr>
                <w:rFonts w:hint="eastAsia" w:ascii="宋体" w:hAnsi="宋体" w:eastAsia="宋体" w:cs="宋体"/>
                <w:b/>
                <w:bCs/>
                <w:color w:val="auto"/>
                <w:sz w:val="21"/>
                <w:szCs w:val="21"/>
                <w:highlight w:val="none"/>
                <w:lang w:eastAsia="zh-CN"/>
              </w:rPr>
            </w:pPr>
            <w:r>
              <w:rPr>
                <w:rFonts w:hint="eastAsia" w:ascii="宋体" w:hAnsi="宋体" w:cs="宋体"/>
                <w:bCs/>
                <w:color w:val="auto"/>
                <w:sz w:val="21"/>
                <w:szCs w:val="21"/>
                <w:highlight w:val="none"/>
                <w:lang w:eastAsia="zh-CN"/>
              </w:rPr>
              <w:t>广州阳光采购服务有限公司</w:t>
            </w:r>
          </w:p>
        </w:tc>
      </w:tr>
      <w:tr w14:paraId="38D1056B">
        <w:tblPrEx>
          <w:tblCellMar>
            <w:top w:w="0" w:type="dxa"/>
            <w:left w:w="108" w:type="dxa"/>
            <w:bottom w:w="0" w:type="dxa"/>
            <w:right w:w="108" w:type="dxa"/>
          </w:tblCellMar>
        </w:tblPrEx>
        <w:trPr>
          <w:jc w:val="center"/>
        </w:trPr>
        <w:tc>
          <w:tcPr>
            <w:tcW w:w="1458" w:type="dxa"/>
            <w:noWrap w:val="0"/>
            <w:vAlign w:val="center"/>
          </w:tcPr>
          <w:p w14:paraId="7CFC8D7F">
            <w:pPr>
              <w:widowControl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地    址:</w:t>
            </w:r>
          </w:p>
        </w:tc>
        <w:tc>
          <w:tcPr>
            <w:tcW w:w="3186" w:type="dxa"/>
            <w:noWrap w:val="0"/>
            <w:vAlign w:val="top"/>
          </w:tcPr>
          <w:p w14:paraId="3D4A6730">
            <w:pPr>
              <w:widowControl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广州市海珠区新港东路1138号智通广场A塔6F</w:t>
            </w:r>
          </w:p>
        </w:tc>
        <w:tc>
          <w:tcPr>
            <w:tcW w:w="1439" w:type="dxa"/>
            <w:noWrap w:val="0"/>
            <w:vAlign w:val="center"/>
          </w:tcPr>
          <w:p w14:paraId="6C2FC92B">
            <w:pPr>
              <w:widowControl w:val="0"/>
              <w:spacing w:line="360" w:lineRule="auto"/>
              <w:jc w:val="center"/>
              <w:rPr>
                <w:rFonts w:ascii="宋体" w:hAnsi="宋体" w:cs="宋体"/>
                <w:b/>
                <w:bCs/>
                <w:color w:val="auto"/>
                <w:sz w:val="21"/>
                <w:szCs w:val="21"/>
                <w:highlight w:val="none"/>
              </w:rPr>
            </w:pPr>
            <w:r>
              <w:rPr>
                <w:rFonts w:hint="eastAsia" w:ascii="宋体" w:hAnsi="宋体" w:cs="宋体"/>
                <w:color w:val="auto"/>
                <w:sz w:val="21"/>
                <w:szCs w:val="21"/>
                <w:highlight w:val="none"/>
              </w:rPr>
              <w:t>地    址:</w:t>
            </w:r>
          </w:p>
        </w:tc>
        <w:tc>
          <w:tcPr>
            <w:tcW w:w="3205" w:type="dxa"/>
            <w:noWrap w:val="0"/>
            <w:vAlign w:val="top"/>
          </w:tcPr>
          <w:p w14:paraId="56573071">
            <w:pPr>
              <w:widowControl w:val="0"/>
              <w:spacing w:line="360" w:lineRule="auto"/>
              <w:rPr>
                <w:rFonts w:ascii="宋体" w:hAnsi="宋体" w:cs="宋体"/>
                <w:b/>
                <w:bCs/>
                <w:color w:val="auto"/>
                <w:sz w:val="21"/>
                <w:szCs w:val="21"/>
                <w:highlight w:val="none"/>
              </w:rPr>
            </w:pPr>
            <w:r>
              <w:rPr>
                <w:rFonts w:hint="eastAsia" w:ascii="宋体" w:hAnsi="宋体" w:cs="宋体"/>
                <w:b w:val="0"/>
                <w:bCs w:val="0"/>
                <w:color w:val="auto"/>
                <w:sz w:val="21"/>
                <w:szCs w:val="21"/>
                <w:highlight w:val="none"/>
              </w:rPr>
              <w:t>广州市越秀区流花路123号广州越秀国际会议中心北塔9楼</w:t>
            </w:r>
          </w:p>
        </w:tc>
      </w:tr>
      <w:tr w14:paraId="3E7BB436">
        <w:tblPrEx>
          <w:tblCellMar>
            <w:top w:w="0" w:type="dxa"/>
            <w:left w:w="108" w:type="dxa"/>
            <w:bottom w:w="0" w:type="dxa"/>
            <w:right w:w="108" w:type="dxa"/>
          </w:tblCellMar>
        </w:tblPrEx>
        <w:trPr>
          <w:jc w:val="center"/>
        </w:trPr>
        <w:tc>
          <w:tcPr>
            <w:tcW w:w="1458" w:type="dxa"/>
            <w:noWrap w:val="0"/>
            <w:vAlign w:val="center"/>
          </w:tcPr>
          <w:p w14:paraId="5422CA6E">
            <w:pPr>
              <w:widowControl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邮    编:</w:t>
            </w:r>
          </w:p>
        </w:tc>
        <w:tc>
          <w:tcPr>
            <w:tcW w:w="3186" w:type="dxa"/>
            <w:noWrap w:val="0"/>
            <w:vAlign w:val="top"/>
          </w:tcPr>
          <w:p w14:paraId="007F3648">
            <w:pPr>
              <w:widowControl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510000</w:t>
            </w:r>
          </w:p>
        </w:tc>
        <w:tc>
          <w:tcPr>
            <w:tcW w:w="1439" w:type="dxa"/>
            <w:noWrap w:val="0"/>
            <w:vAlign w:val="center"/>
          </w:tcPr>
          <w:p w14:paraId="24E90AB9">
            <w:pPr>
              <w:widowControl w:val="0"/>
              <w:spacing w:line="360" w:lineRule="auto"/>
              <w:jc w:val="center"/>
              <w:rPr>
                <w:rFonts w:ascii="宋体" w:hAnsi="宋体" w:cs="宋体"/>
                <w:b/>
                <w:bCs/>
                <w:color w:val="auto"/>
                <w:sz w:val="21"/>
                <w:szCs w:val="21"/>
                <w:highlight w:val="none"/>
              </w:rPr>
            </w:pPr>
            <w:r>
              <w:rPr>
                <w:rFonts w:hint="eastAsia" w:ascii="宋体" w:hAnsi="宋体" w:cs="宋体"/>
                <w:color w:val="auto"/>
                <w:sz w:val="21"/>
                <w:szCs w:val="21"/>
                <w:highlight w:val="none"/>
              </w:rPr>
              <w:t>邮    编:</w:t>
            </w:r>
          </w:p>
        </w:tc>
        <w:tc>
          <w:tcPr>
            <w:tcW w:w="3205" w:type="dxa"/>
            <w:noWrap w:val="0"/>
            <w:vAlign w:val="top"/>
          </w:tcPr>
          <w:p w14:paraId="043E2045">
            <w:pPr>
              <w:widowControl w:val="0"/>
              <w:spacing w:line="360" w:lineRule="auto"/>
              <w:rPr>
                <w:rFonts w:ascii="宋体" w:hAnsi="宋体" w:cs="宋体"/>
                <w:b/>
                <w:bCs/>
                <w:color w:val="auto"/>
                <w:sz w:val="21"/>
                <w:szCs w:val="21"/>
                <w:highlight w:val="none"/>
              </w:rPr>
            </w:pPr>
            <w:r>
              <w:rPr>
                <w:rFonts w:hint="eastAsia" w:ascii="宋体" w:hAnsi="宋体" w:eastAsia="宋体" w:cs="宋体"/>
                <w:color w:val="auto"/>
                <w:sz w:val="21"/>
                <w:szCs w:val="21"/>
                <w:highlight w:val="none"/>
              </w:rPr>
              <w:t>510000</w:t>
            </w:r>
          </w:p>
        </w:tc>
      </w:tr>
      <w:tr w14:paraId="7711691A">
        <w:tblPrEx>
          <w:tblCellMar>
            <w:top w:w="0" w:type="dxa"/>
            <w:left w:w="108" w:type="dxa"/>
            <w:bottom w:w="0" w:type="dxa"/>
            <w:right w:w="108" w:type="dxa"/>
          </w:tblCellMar>
        </w:tblPrEx>
        <w:trPr>
          <w:jc w:val="center"/>
        </w:trPr>
        <w:tc>
          <w:tcPr>
            <w:tcW w:w="1458" w:type="dxa"/>
            <w:noWrap w:val="0"/>
            <w:vAlign w:val="center"/>
          </w:tcPr>
          <w:p w14:paraId="5D23F56D">
            <w:pPr>
              <w:widowControl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电子邮箱:</w:t>
            </w:r>
          </w:p>
        </w:tc>
        <w:tc>
          <w:tcPr>
            <w:tcW w:w="3186" w:type="dxa"/>
            <w:noWrap w:val="0"/>
            <w:vAlign w:val="top"/>
          </w:tcPr>
          <w:p w14:paraId="1A6F758D">
            <w:pPr>
              <w:widowControl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p>
        </w:tc>
        <w:tc>
          <w:tcPr>
            <w:tcW w:w="1439" w:type="dxa"/>
            <w:noWrap w:val="0"/>
            <w:vAlign w:val="center"/>
          </w:tcPr>
          <w:p w14:paraId="662BB78D">
            <w:pPr>
              <w:widowControl w:val="0"/>
              <w:spacing w:line="360" w:lineRule="auto"/>
              <w:jc w:val="center"/>
              <w:rPr>
                <w:rFonts w:ascii="宋体" w:hAnsi="宋体" w:cs="宋体"/>
                <w:b/>
                <w:bCs/>
                <w:color w:val="auto"/>
                <w:sz w:val="21"/>
                <w:szCs w:val="21"/>
                <w:highlight w:val="none"/>
              </w:rPr>
            </w:pPr>
            <w:r>
              <w:rPr>
                <w:rFonts w:hint="eastAsia" w:ascii="宋体" w:hAnsi="宋体" w:cs="宋体"/>
                <w:color w:val="auto"/>
                <w:sz w:val="21"/>
                <w:szCs w:val="21"/>
                <w:highlight w:val="none"/>
              </w:rPr>
              <w:t>电子邮箱:</w:t>
            </w:r>
          </w:p>
        </w:tc>
        <w:tc>
          <w:tcPr>
            <w:tcW w:w="3205" w:type="dxa"/>
            <w:noWrap w:val="0"/>
            <w:vAlign w:val="top"/>
          </w:tcPr>
          <w:p w14:paraId="40223D39">
            <w:pPr>
              <w:widowControl w:val="0"/>
              <w:spacing w:line="360" w:lineRule="auto"/>
              <w:rPr>
                <w:rFonts w:ascii="宋体" w:hAnsi="宋体" w:cs="宋体"/>
                <w:b/>
                <w:bCs/>
                <w:color w:val="auto"/>
                <w:sz w:val="21"/>
                <w:szCs w:val="21"/>
                <w:highlight w:val="none"/>
              </w:rPr>
            </w:pPr>
            <w:r>
              <w:rPr>
                <w:rFonts w:hint="eastAsia" w:ascii="宋体" w:hAnsi="宋体" w:cs="宋体"/>
                <w:color w:val="auto"/>
                <w:sz w:val="21"/>
                <w:szCs w:val="21"/>
                <w:highlight w:val="none"/>
                <w:lang w:val="en-US" w:eastAsia="zh-CN"/>
              </w:rPr>
              <w:t>zhouweifeng@gzmall.cn</w:t>
            </w:r>
          </w:p>
        </w:tc>
      </w:tr>
      <w:tr w14:paraId="75C0DAAA">
        <w:tblPrEx>
          <w:tblCellMar>
            <w:top w:w="0" w:type="dxa"/>
            <w:left w:w="108" w:type="dxa"/>
            <w:bottom w:w="0" w:type="dxa"/>
            <w:right w:w="108" w:type="dxa"/>
          </w:tblCellMar>
        </w:tblPrEx>
        <w:trPr>
          <w:jc w:val="center"/>
        </w:trPr>
        <w:tc>
          <w:tcPr>
            <w:tcW w:w="1458" w:type="dxa"/>
            <w:noWrap w:val="0"/>
            <w:vAlign w:val="center"/>
          </w:tcPr>
          <w:p w14:paraId="673201DC">
            <w:pPr>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3186" w:type="dxa"/>
            <w:noWrap w:val="0"/>
            <w:vAlign w:val="top"/>
          </w:tcPr>
          <w:p w14:paraId="1D88F9B6">
            <w:pPr>
              <w:widowControl w:val="0"/>
              <w:spacing w:line="360" w:lineRule="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陆工</w:t>
            </w:r>
          </w:p>
        </w:tc>
        <w:tc>
          <w:tcPr>
            <w:tcW w:w="1439" w:type="dxa"/>
            <w:noWrap w:val="0"/>
            <w:vAlign w:val="center"/>
          </w:tcPr>
          <w:p w14:paraId="4CC8D61C">
            <w:pPr>
              <w:widowControl w:val="0"/>
              <w:spacing w:line="360" w:lineRule="auto"/>
              <w:jc w:val="center"/>
              <w:rPr>
                <w:rFonts w:ascii="宋体" w:hAnsi="宋体" w:cs="宋体"/>
                <w:b/>
                <w:bCs/>
                <w:color w:val="auto"/>
                <w:sz w:val="21"/>
                <w:szCs w:val="21"/>
                <w:highlight w:val="none"/>
              </w:rPr>
            </w:pPr>
            <w:r>
              <w:rPr>
                <w:rFonts w:hint="eastAsia" w:ascii="宋体" w:hAnsi="宋体" w:cs="宋体"/>
                <w:color w:val="auto"/>
                <w:sz w:val="21"/>
                <w:szCs w:val="21"/>
                <w:highlight w:val="none"/>
              </w:rPr>
              <w:t>联 系 人:</w:t>
            </w:r>
          </w:p>
        </w:tc>
        <w:tc>
          <w:tcPr>
            <w:tcW w:w="3205" w:type="dxa"/>
            <w:noWrap w:val="0"/>
            <w:vAlign w:val="top"/>
          </w:tcPr>
          <w:p w14:paraId="5FE8A647">
            <w:pPr>
              <w:widowControl w:val="0"/>
              <w:spacing w:line="360" w:lineRule="auto"/>
              <w:rPr>
                <w:rFonts w:hint="default" w:ascii="宋体" w:hAnsi="宋体" w:eastAsia="宋体" w:cs="宋体"/>
                <w:b/>
                <w:bCs/>
                <w:color w:val="auto"/>
                <w:sz w:val="21"/>
                <w:szCs w:val="21"/>
                <w:highlight w:val="none"/>
                <w:lang w:val="en-US" w:eastAsia="zh-CN"/>
              </w:rPr>
            </w:pPr>
            <w:r>
              <w:rPr>
                <w:rFonts w:hint="eastAsia" w:ascii="宋体" w:hAnsi="宋体" w:cs="宋体"/>
                <w:color w:val="auto"/>
                <w:sz w:val="21"/>
                <w:szCs w:val="21"/>
                <w:highlight w:val="none"/>
                <w:lang w:val="en-US" w:eastAsia="zh-CN"/>
              </w:rPr>
              <w:t>周工</w:t>
            </w:r>
          </w:p>
        </w:tc>
      </w:tr>
      <w:tr w14:paraId="139AE17B">
        <w:tblPrEx>
          <w:tblCellMar>
            <w:top w:w="0" w:type="dxa"/>
            <w:left w:w="108" w:type="dxa"/>
            <w:bottom w:w="0" w:type="dxa"/>
            <w:right w:w="108" w:type="dxa"/>
          </w:tblCellMar>
        </w:tblPrEx>
        <w:trPr>
          <w:jc w:val="center"/>
        </w:trPr>
        <w:tc>
          <w:tcPr>
            <w:tcW w:w="1458" w:type="dxa"/>
            <w:noWrap w:val="0"/>
            <w:vAlign w:val="center"/>
          </w:tcPr>
          <w:p w14:paraId="4B6792B3">
            <w:pPr>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p>
        </w:tc>
        <w:tc>
          <w:tcPr>
            <w:tcW w:w="3186" w:type="dxa"/>
            <w:noWrap w:val="0"/>
            <w:vAlign w:val="top"/>
          </w:tcPr>
          <w:p w14:paraId="24ABA1F6">
            <w:pPr>
              <w:widowControl w:val="0"/>
              <w:spacing w:line="360" w:lineRule="auto"/>
              <w:rPr>
                <w:rFonts w:hint="default" w:ascii="宋体" w:hAnsi="宋体" w:eastAsia="宋体" w:cs="宋体"/>
                <w:b/>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15321497920</w:t>
            </w:r>
          </w:p>
        </w:tc>
        <w:tc>
          <w:tcPr>
            <w:tcW w:w="1439" w:type="dxa"/>
            <w:noWrap w:val="0"/>
            <w:vAlign w:val="center"/>
          </w:tcPr>
          <w:p w14:paraId="7AB049CC">
            <w:pPr>
              <w:widowControl w:val="0"/>
              <w:spacing w:line="360" w:lineRule="auto"/>
              <w:jc w:val="center"/>
              <w:rPr>
                <w:rFonts w:ascii="宋体" w:hAnsi="宋体" w:cs="宋体"/>
                <w:b/>
                <w:bCs/>
                <w:color w:val="auto"/>
                <w:sz w:val="21"/>
                <w:szCs w:val="21"/>
                <w:highlight w:val="none"/>
              </w:rPr>
            </w:pPr>
            <w:r>
              <w:rPr>
                <w:rFonts w:hint="eastAsia" w:ascii="宋体" w:hAnsi="宋体" w:cs="宋体"/>
                <w:color w:val="auto"/>
                <w:sz w:val="21"/>
                <w:szCs w:val="21"/>
                <w:highlight w:val="none"/>
              </w:rPr>
              <w:t>电    话:</w:t>
            </w:r>
          </w:p>
        </w:tc>
        <w:tc>
          <w:tcPr>
            <w:tcW w:w="3205" w:type="dxa"/>
            <w:noWrap w:val="0"/>
            <w:vAlign w:val="top"/>
          </w:tcPr>
          <w:p w14:paraId="0616B6BA">
            <w:pPr>
              <w:widowControl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020-</w:t>
            </w:r>
            <w:r>
              <w:rPr>
                <w:rFonts w:hint="eastAsia" w:ascii="宋体" w:hAnsi="宋体" w:cs="宋体"/>
                <w:color w:val="auto"/>
                <w:sz w:val="21"/>
                <w:szCs w:val="21"/>
                <w:highlight w:val="none"/>
                <w:lang w:val="en-US" w:eastAsia="zh-CN"/>
              </w:rPr>
              <w:t>89160537</w:t>
            </w:r>
          </w:p>
        </w:tc>
      </w:tr>
      <w:tr w14:paraId="4E7D4312">
        <w:tblPrEx>
          <w:tblCellMar>
            <w:top w:w="0" w:type="dxa"/>
            <w:left w:w="108" w:type="dxa"/>
            <w:bottom w:w="0" w:type="dxa"/>
            <w:right w:w="108" w:type="dxa"/>
          </w:tblCellMar>
        </w:tblPrEx>
        <w:trPr>
          <w:jc w:val="center"/>
        </w:trPr>
        <w:tc>
          <w:tcPr>
            <w:tcW w:w="1458" w:type="dxa"/>
            <w:noWrap w:val="0"/>
            <w:vAlign w:val="center"/>
          </w:tcPr>
          <w:p w14:paraId="63E251EA">
            <w:pPr>
              <w:widowControl w:val="0"/>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传    真:</w:t>
            </w:r>
          </w:p>
        </w:tc>
        <w:tc>
          <w:tcPr>
            <w:tcW w:w="3186" w:type="dxa"/>
            <w:noWrap w:val="0"/>
            <w:vAlign w:val="top"/>
          </w:tcPr>
          <w:p w14:paraId="36672A09">
            <w:pPr>
              <w:widowControl w:val="0"/>
              <w:spacing w:line="360" w:lineRule="auto"/>
              <w:rPr>
                <w:rFonts w:ascii="宋体" w:hAnsi="宋体" w:cs="宋体"/>
                <w:b/>
                <w:bCs/>
                <w:color w:val="auto"/>
                <w:sz w:val="21"/>
                <w:szCs w:val="21"/>
                <w:highlight w:val="none"/>
              </w:rPr>
            </w:pPr>
            <w:r>
              <w:rPr>
                <w:rFonts w:hint="eastAsia" w:ascii="宋体" w:hAnsi="宋体" w:cs="宋体"/>
                <w:color w:val="auto"/>
                <w:sz w:val="21"/>
                <w:szCs w:val="21"/>
                <w:highlight w:val="none"/>
              </w:rPr>
              <w:t>/</w:t>
            </w:r>
          </w:p>
        </w:tc>
        <w:tc>
          <w:tcPr>
            <w:tcW w:w="1439" w:type="dxa"/>
            <w:noWrap w:val="0"/>
            <w:vAlign w:val="center"/>
          </w:tcPr>
          <w:p w14:paraId="69549E4A">
            <w:pPr>
              <w:widowControl w:val="0"/>
              <w:spacing w:line="360" w:lineRule="auto"/>
              <w:jc w:val="center"/>
              <w:rPr>
                <w:rFonts w:ascii="宋体" w:hAnsi="宋体" w:cs="宋体"/>
                <w:b/>
                <w:bCs/>
                <w:color w:val="auto"/>
                <w:sz w:val="21"/>
                <w:szCs w:val="21"/>
                <w:highlight w:val="none"/>
              </w:rPr>
            </w:pPr>
            <w:r>
              <w:rPr>
                <w:rFonts w:hint="eastAsia" w:ascii="宋体" w:hAnsi="宋体" w:cs="宋体"/>
                <w:color w:val="auto"/>
                <w:sz w:val="21"/>
                <w:szCs w:val="21"/>
                <w:highlight w:val="none"/>
              </w:rPr>
              <w:t>传    真:</w:t>
            </w:r>
          </w:p>
        </w:tc>
        <w:tc>
          <w:tcPr>
            <w:tcW w:w="3205" w:type="dxa"/>
            <w:noWrap w:val="0"/>
            <w:vAlign w:val="top"/>
          </w:tcPr>
          <w:p w14:paraId="07FBA423">
            <w:pPr>
              <w:widowControl w:val="0"/>
              <w:spacing w:line="360" w:lineRule="auto"/>
              <w:rPr>
                <w:rFonts w:ascii="宋体" w:hAnsi="宋体" w:cs="宋体"/>
                <w:b/>
                <w:bCs/>
                <w:color w:val="auto"/>
                <w:sz w:val="21"/>
                <w:szCs w:val="21"/>
                <w:highlight w:val="none"/>
              </w:rPr>
            </w:pPr>
            <w:r>
              <w:rPr>
                <w:rFonts w:hint="eastAsia" w:ascii="宋体" w:hAnsi="宋体" w:cs="宋体"/>
                <w:color w:val="auto"/>
                <w:sz w:val="21"/>
                <w:szCs w:val="21"/>
                <w:highlight w:val="none"/>
              </w:rPr>
              <w:t>/</w:t>
            </w:r>
          </w:p>
        </w:tc>
      </w:tr>
    </w:tbl>
    <w:p w14:paraId="742001BB">
      <w:pPr>
        <w:wordWrap w:val="0"/>
        <w:spacing w:line="360" w:lineRule="auto"/>
        <w:jc w:val="righ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lang w:eastAsia="zh-CN"/>
        </w:rPr>
        <w:t>2025</w:t>
      </w:r>
      <w:r>
        <w:rPr>
          <w:rFonts w:hint="eastAsia" w:ascii="宋体" w:hAnsi="宋体" w:cs="宋体"/>
          <w:color w:val="auto"/>
          <w:kern w:val="2"/>
          <w:sz w:val="21"/>
          <w:szCs w:val="21"/>
          <w:highlight w:val="none"/>
        </w:rPr>
        <w:t>年</w:t>
      </w:r>
      <w:r>
        <w:rPr>
          <w:rFonts w:hint="eastAsia" w:ascii="宋体" w:hAnsi="宋体" w:cs="宋体"/>
          <w:color w:val="auto"/>
          <w:kern w:val="2"/>
          <w:sz w:val="21"/>
          <w:szCs w:val="21"/>
          <w:highlight w:val="none"/>
          <w:lang w:val="en-US" w:eastAsia="zh-CN"/>
        </w:rPr>
        <w:t>12</w:t>
      </w:r>
      <w:r>
        <w:rPr>
          <w:rFonts w:hint="eastAsia" w:ascii="宋体" w:hAnsi="宋体" w:cs="宋体"/>
          <w:color w:val="auto"/>
          <w:kern w:val="2"/>
          <w:sz w:val="21"/>
          <w:szCs w:val="21"/>
          <w:highlight w:val="none"/>
        </w:rPr>
        <w:t>月</w:t>
      </w:r>
      <w:r>
        <w:rPr>
          <w:rFonts w:hint="eastAsia" w:ascii="宋体" w:hAnsi="宋体" w:cs="宋体"/>
          <w:color w:val="auto"/>
          <w:kern w:val="2"/>
          <w:sz w:val="21"/>
          <w:szCs w:val="21"/>
          <w:highlight w:val="none"/>
          <w:lang w:val="en-US" w:eastAsia="zh-CN"/>
        </w:rPr>
        <w:t>12</w:t>
      </w:r>
      <w:r>
        <w:rPr>
          <w:rFonts w:hint="eastAsia" w:ascii="宋体" w:hAnsi="宋体" w:cs="宋体"/>
          <w:color w:val="auto"/>
          <w:kern w:val="2"/>
          <w:sz w:val="21"/>
          <w:szCs w:val="21"/>
          <w:highlight w:val="none"/>
        </w:rPr>
        <w:t>日</w:t>
      </w:r>
    </w:p>
    <w:p w14:paraId="5AC268A3">
      <w:pPr>
        <w:spacing w:line="360" w:lineRule="auto"/>
        <w:rPr>
          <w:rFonts w:hint="eastAsia" w:ascii="宋体" w:hAnsi="宋体" w:cs="宋体"/>
          <w:color w:val="auto"/>
          <w:kern w:val="2"/>
          <w:sz w:val="21"/>
          <w:szCs w:val="21"/>
          <w:highlight w:val="none"/>
        </w:rPr>
      </w:pPr>
    </w:p>
    <w:p w14:paraId="3ED6C57A">
      <w:pPr>
        <w:spacing w:line="360" w:lineRule="auto"/>
        <w:rPr>
          <w:rFonts w:hint="eastAsia" w:ascii="宋体" w:hAnsi="宋体" w:cs="宋体"/>
          <w:color w:val="auto"/>
          <w:kern w:val="2"/>
          <w:sz w:val="21"/>
          <w:szCs w:val="21"/>
          <w:highlight w:val="none"/>
        </w:rPr>
      </w:pPr>
    </w:p>
    <w:p w14:paraId="768962E2">
      <w:pPr>
        <w:spacing w:line="360" w:lineRule="auto"/>
        <w:rPr>
          <w:rFonts w:hint="eastAsia" w:ascii="宋体" w:hAnsi="宋体" w:eastAsia="宋体" w:cs="宋体"/>
          <w:color w:val="auto"/>
          <w:kern w:val="2"/>
          <w:sz w:val="21"/>
          <w:szCs w:val="21"/>
          <w:highlight w:val="none"/>
        </w:rPr>
      </w:pPr>
    </w:p>
    <w:p w14:paraId="720F89F3">
      <w:pPr>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br w:type="page"/>
      </w:r>
      <w:r>
        <w:rPr>
          <w:rFonts w:hint="eastAsia" w:ascii="宋体" w:hAnsi="宋体" w:eastAsia="宋体" w:cs="宋体"/>
          <w:color w:val="auto"/>
          <w:kern w:val="2"/>
          <w:sz w:val="21"/>
          <w:szCs w:val="21"/>
          <w:highlight w:val="none"/>
        </w:rPr>
        <w:t>异议受理部门：</w:t>
      </w:r>
      <w:r>
        <w:rPr>
          <w:rFonts w:hint="eastAsia" w:ascii="宋体" w:hAnsi="宋体" w:eastAsia="宋体" w:cs="宋体"/>
          <w:color w:val="auto"/>
          <w:sz w:val="21"/>
          <w:szCs w:val="21"/>
          <w:highlight w:val="none"/>
        </w:rPr>
        <w:t>广州高速运营管理有限公司</w:t>
      </w:r>
    </w:p>
    <w:p w14:paraId="0A322C8B">
      <w:pPr>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异议受理电话：</w:t>
      </w:r>
      <w:r>
        <w:rPr>
          <w:rFonts w:hint="eastAsia" w:ascii="宋体" w:hAnsi="宋体" w:eastAsia="宋体" w:cs="宋体"/>
          <w:color w:val="auto"/>
          <w:kern w:val="2"/>
          <w:sz w:val="21"/>
          <w:szCs w:val="21"/>
          <w:highlight w:val="none"/>
          <w:lang w:val="en-US" w:eastAsia="zh-CN"/>
        </w:rPr>
        <w:t>15321497920</w:t>
      </w:r>
      <w:r>
        <w:rPr>
          <w:rFonts w:hint="eastAsia" w:ascii="宋体" w:hAnsi="宋体" w:eastAsia="宋体" w:cs="宋体"/>
          <w:color w:val="auto"/>
          <w:sz w:val="21"/>
          <w:szCs w:val="21"/>
          <w:highlight w:val="none"/>
          <w:lang w:val="en-US" w:eastAsia="zh-CN"/>
        </w:rPr>
        <w:t xml:space="preserve"> </w:t>
      </w:r>
    </w:p>
    <w:p w14:paraId="0E17EEDC">
      <w:pPr>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地址：</w:t>
      </w:r>
      <w:r>
        <w:rPr>
          <w:rFonts w:hint="eastAsia" w:ascii="宋体" w:hAnsi="宋体" w:eastAsia="宋体" w:cs="宋体"/>
          <w:color w:val="auto"/>
          <w:sz w:val="21"/>
          <w:szCs w:val="21"/>
          <w:highlight w:val="none"/>
        </w:rPr>
        <w:t>广州市海珠区新港东路1138号智通广场A塔6F</w:t>
      </w:r>
    </w:p>
    <w:p w14:paraId="7E40B198">
      <w:pPr>
        <w:pStyle w:val="18"/>
        <w:spacing w:line="360" w:lineRule="auto"/>
        <w:rPr>
          <w:rFonts w:hint="eastAsia"/>
          <w:color w:val="auto"/>
          <w:highlight w:val="none"/>
        </w:rPr>
      </w:pPr>
    </w:p>
    <w:p w14:paraId="3D59D390">
      <w:pPr>
        <w:pStyle w:val="18"/>
        <w:spacing w:line="360" w:lineRule="auto"/>
        <w:rPr>
          <w:rStyle w:val="19"/>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rPr>
        <w:t>监督部门</w:t>
      </w:r>
    </w:p>
    <w:p w14:paraId="7E5AAF84">
      <w:pPr>
        <w:pStyle w:val="20"/>
        <w:shd w:val="clear" w:color="auto" w:fill="auto"/>
        <w:spacing w:before="0" w:line="360" w:lineRule="auto"/>
        <w:ind w:right="100" w:rightChars="50"/>
        <w:jc w:val="both"/>
        <w:rPr>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lang w:val="zh-CN"/>
        </w:rPr>
        <w:t>项目管理单位：</w:t>
      </w:r>
      <w:r>
        <w:rPr>
          <w:rFonts w:hint="eastAsia" w:ascii="宋体" w:hAnsi="宋体" w:eastAsia="宋体" w:cs="宋体"/>
          <w:color w:val="auto"/>
          <w:sz w:val="21"/>
          <w:szCs w:val="21"/>
          <w:highlight w:val="none"/>
        </w:rPr>
        <w:t>广州交通投资集团有限公司</w:t>
      </w:r>
    </w:p>
    <w:p w14:paraId="5A967ED4">
      <w:pPr>
        <w:pStyle w:val="6"/>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电话：020-84012892</w:t>
      </w:r>
    </w:p>
    <w:p w14:paraId="2D61E287">
      <w:pPr>
        <w:pStyle w:val="6"/>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通信地址：广州市海珠区新港东路1138号智通广场A塔</w:t>
      </w:r>
    </w:p>
    <w:p w14:paraId="2668F66F">
      <w:pPr>
        <w:spacing w:line="360" w:lineRule="auto"/>
        <w:rPr>
          <w:rFonts w:hint="eastAsia" w:ascii="宋体" w:hAnsi="宋体" w:cs="宋体"/>
          <w:color w:val="auto"/>
          <w:kern w:val="2"/>
          <w:sz w:val="21"/>
          <w:szCs w:val="21"/>
          <w:highlight w:val="none"/>
        </w:rPr>
      </w:pPr>
    </w:p>
    <w:p w14:paraId="7650252F">
      <w:pPr>
        <w:spacing w:line="360" w:lineRule="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附件1：总公司授权投标书</w:t>
      </w:r>
    </w:p>
    <w:p w14:paraId="7A806717">
      <w:pPr>
        <w:spacing w:line="360" w:lineRule="auto"/>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附件2：项目概况</w:t>
      </w:r>
    </w:p>
    <w:p w14:paraId="75BECEBC">
      <w:pPr>
        <w:spacing w:line="360" w:lineRule="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附件</w:t>
      </w:r>
      <w:r>
        <w:rPr>
          <w:rFonts w:hint="eastAsia" w:ascii="宋体" w:hAnsi="宋体" w:cs="宋体"/>
          <w:color w:val="auto"/>
          <w:kern w:val="2"/>
          <w:sz w:val="21"/>
          <w:szCs w:val="21"/>
          <w:highlight w:val="none"/>
          <w:lang w:val="en-US" w:eastAsia="zh-CN"/>
        </w:rPr>
        <w:t>3</w:t>
      </w:r>
      <w:r>
        <w:rPr>
          <w:rFonts w:hint="eastAsia" w:ascii="宋体" w:hAnsi="宋体" w:cs="宋体"/>
          <w:color w:val="auto"/>
          <w:kern w:val="2"/>
          <w:sz w:val="21"/>
          <w:szCs w:val="21"/>
          <w:highlight w:val="none"/>
        </w:rPr>
        <w:t>：附录 资格审查条件</w:t>
      </w:r>
    </w:p>
    <w:p w14:paraId="1B002643">
      <w:pPr>
        <w:spacing w:line="360" w:lineRule="auto"/>
        <w:rPr>
          <w:rFonts w:hint="eastAsia" w:ascii="宋体" w:hAnsi="宋体" w:cs="宋体"/>
          <w:color w:val="auto"/>
          <w:sz w:val="21"/>
          <w:szCs w:val="21"/>
          <w:highlight w:val="none"/>
        </w:rPr>
      </w:pPr>
      <w:r>
        <w:rPr>
          <w:rFonts w:hint="eastAsia" w:ascii="宋体" w:hAnsi="宋体" w:cs="宋体"/>
          <w:color w:val="auto"/>
          <w:kern w:val="2"/>
          <w:sz w:val="21"/>
          <w:szCs w:val="21"/>
          <w:highlight w:val="none"/>
        </w:rPr>
        <w:t>附件</w:t>
      </w:r>
      <w:r>
        <w:rPr>
          <w:rFonts w:hint="eastAsia" w:ascii="宋体" w:hAnsi="宋体" w:cs="宋体"/>
          <w:color w:val="auto"/>
          <w:kern w:val="2"/>
          <w:sz w:val="21"/>
          <w:szCs w:val="21"/>
          <w:highlight w:val="none"/>
          <w:lang w:val="en-US" w:eastAsia="zh-CN"/>
        </w:rPr>
        <w:t>4</w:t>
      </w:r>
      <w:r>
        <w:rPr>
          <w:rFonts w:hint="eastAsia" w:ascii="宋体" w:hAnsi="宋体" w:cs="宋体"/>
          <w:color w:val="auto"/>
          <w:kern w:val="2"/>
          <w:sz w:val="21"/>
          <w:szCs w:val="21"/>
          <w:highlight w:val="none"/>
        </w:rPr>
        <w:t>：评标办法</w:t>
      </w:r>
    </w:p>
    <w:p w14:paraId="3791E829">
      <w:pPr>
        <w:spacing w:line="360" w:lineRule="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附件</w:t>
      </w:r>
      <w:r>
        <w:rPr>
          <w:rFonts w:hint="eastAsia" w:ascii="宋体" w:hAnsi="宋体" w:cs="宋体"/>
          <w:color w:val="auto"/>
          <w:kern w:val="2"/>
          <w:sz w:val="21"/>
          <w:szCs w:val="21"/>
          <w:highlight w:val="none"/>
          <w:lang w:val="en-US" w:eastAsia="zh-CN"/>
        </w:rPr>
        <w:t>5</w:t>
      </w:r>
      <w:r>
        <w:rPr>
          <w:rFonts w:hint="eastAsia" w:ascii="宋体" w:hAnsi="宋体" w:cs="宋体"/>
          <w:color w:val="auto"/>
          <w:kern w:val="2"/>
          <w:sz w:val="21"/>
          <w:szCs w:val="21"/>
          <w:highlight w:val="none"/>
        </w:rPr>
        <w:t>：</w:t>
      </w:r>
      <w:r>
        <w:rPr>
          <w:rFonts w:hint="eastAsia" w:ascii="宋体" w:hAnsi="宋体" w:cs="宋体"/>
          <w:color w:val="auto"/>
          <w:sz w:val="21"/>
          <w:szCs w:val="21"/>
          <w:highlight w:val="none"/>
        </w:rPr>
        <w:t>招标文件发放登记表</w:t>
      </w:r>
    </w:p>
    <w:p w14:paraId="1105842C">
      <w:pPr>
        <w:spacing w:line="360" w:lineRule="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以上附件可从广州公共资源交易网该项目的招标公告处下载。</w:t>
      </w:r>
    </w:p>
    <w:p w14:paraId="51B65CB0">
      <w:pPr>
        <w:rPr>
          <w:rFonts w:hint="eastAsia" w:ascii="宋体" w:hAnsi="宋体" w:cs="宋体"/>
          <w:color w:val="auto"/>
          <w:kern w:val="2"/>
          <w:sz w:val="21"/>
          <w:szCs w:val="21"/>
          <w:highlight w:val="none"/>
        </w:rPr>
      </w:pPr>
    </w:p>
    <w:p w14:paraId="0F7606E8">
      <w:pPr>
        <w:jc w:val="lef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70659">
    <w:pPr>
      <w:pStyle w:val="7"/>
      <w:ind w:right="360" w:firstLine="360"/>
      <w:jc w:val="center"/>
      <w:rPr>
        <w:rFonts w:hint="eastAsia"/>
      </w:rPr>
    </w:pPr>
    <w:r>
      <w:t xml:space="preserve">- </w:t>
    </w:r>
    <w:r>
      <w:fldChar w:fldCharType="begin"/>
    </w:r>
    <w:r>
      <w:instrText xml:space="preserve"> PAGE </w:instrText>
    </w:r>
    <w:r>
      <w:fldChar w:fldCharType="separate"/>
    </w:r>
    <w:r>
      <w:t>27</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E79CB">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7990BA29">
    <w:pPr>
      <w:pStyle w:val="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3217EDD1">
      <w:pPr>
        <w:pStyle w:val="9"/>
        <w:spacing w:line="240" w:lineRule="auto"/>
        <w:rPr>
          <w:rFonts w:hint="eastAsia" w:ascii="宋体" w:hAnsi="宋体"/>
        </w:rPr>
      </w:pPr>
      <w:r>
        <w:rPr>
          <w:rFonts w:hint="eastAsia" w:ascii="宋体" w:hAnsi="宋体"/>
        </w:rPr>
        <w:t>1.单位负责人是指单位的法定代表人或者法律、行政法规规定代表单位行使职权的主要负责人。</w:t>
      </w:r>
    </w:p>
    <w:p w14:paraId="4647623D">
      <w:pPr>
        <w:pStyle w:val="9"/>
        <w:spacing w:line="240" w:lineRule="auto"/>
        <w:rPr>
          <w:rFonts w:hint="eastAsia" w:ascii="宋体" w:hAnsi="宋体"/>
        </w:rPr>
      </w:pPr>
      <w:r>
        <w:rPr>
          <w:rFonts w:hint="eastAsia" w:ascii="宋体" w:hAnsi="宋体"/>
        </w:rPr>
        <w:t>2.控股是指出资额占有限责任公司资本总额 50%以上或者其持有的股份占股份有限公司股本总额 50%以上的，以及出资额或者持有股份的比例虽然不足 50%，但依其出资额或者持有的股份所享有的表决权已足以对股东会、股东大会的决议产生重大影响的。</w:t>
      </w:r>
    </w:p>
    <w:p w14:paraId="65F42AD4">
      <w:pPr>
        <w:pStyle w:val="9"/>
        <w:spacing w:line="240" w:lineRule="auto"/>
        <w:rPr>
          <w:rFonts w:ascii="宋体" w:hAnsi="宋体"/>
        </w:rPr>
      </w:pPr>
      <w:r>
        <w:rPr>
          <w:rFonts w:hint="eastAsia" w:ascii="宋体" w:hAnsi="宋体"/>
        </w:rPr>
        <w:t>3.管理关系是指不具有出资持股关系的其它单位之间存在的管理与被管理关系。</w:t>
      </w:r>
    </w:p>
  </w:footnote>
  <w:footnote w:id="1">
    <w:p w14:paraId="18D48A70">
      <w:pPr>
        <w:pStyle w:val="9"/>
        <w:spacing w:line="240" w:lineRule="auto"/>
        <w:rPr>
          <w:rFonts w:ascii="宋体" w:hAnsi="宋体"/>
        </w:rPr>
      </w:pPr>
    </w:p>
  </w:footnote>
  <w:footnote w:id="2">
    <w:p w14:paraId="0885B411">
      <w:pPr>
        <w:pStyle w:val="9"/>
        <w:spacing w:line="240" w:lineRule="auto"/>
        <w:rPr>
          <w:rFonts w:ascii="宋体" w:hAnsi="宋体"/>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A7DA3">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CC3FF">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04E906"/>
    <w:multiLevelType w:val="singleLevel"/>
    <w:tmpl w:val="E704E906"/>
    <w:lvl w:ilvl="0" w:tentative="0">
      <w:start w:val="1"/>
      <w:numFmt w:val="decimal"/>
      <w:suff w:val="space"/>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828C9"/>
    <w:rsid w:val="0464219C"/>
    <w:rsid w:val="09E63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2"/>
    <w:basedOn w:val="1"/>
    <w:next w:val="3"/>
    <w:qFormat/>
    <w:uiPriority w:val="0"/>
    <w:pPr>
      <w:keepNext/>
      <w:keepLines/>
      <w:spacing w:before="120" w:beforeLines="50" w:after="260"/>
      <w:jc w:val="center"/>
      <w:outlineLvl w:val="1"/>
    </w:pPr>
    <w:rPr>
      <w:rFonts w:ascii="Arial Narrow" w:hAnsi="Arial Narrow"/>
      <w:b/>
      <w:sz w:val="44"/>
      <w:szCs w:val="2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Body Text"/>
    <w:basedOn w:val="1"/>
    <w:uiPriority w:val="0"/>
    <w:pPr>
      <w:widowControl w:val="0"/>
      <w:spacing w:line="0" w:lineRule="atLeast"/>
      <w:jc w:val="both"/>
    </w:pPr>
    <w:rPr>
      <w:kern w:val="2"/>
      <w:sz w:val="30"/>
      <w:lang w:eastAsia="zh-CN"/>
    </w:rPr>
  </w:style>
  <w:style w:type="paragraph" w:styleId="5">
    <w:name w:val="Plain Text"/>
    <w:basedOn w:val="1"/>
    <w:uiPriority w:val="0"/>
    <w:pPr>
      <w:widowControl w:val="0"/>
      <w:jc w:val="both"/>
    </w:pPr>
    <w:rPr>
      <w:rFonts w:ascii="宋体" w:hAnsi="Courier New"/>
      <w:kern w:val="2"/>
      <w:sz w:val="21"/>
      <w:lang w:eastAsia="zh-CN"/>
    </w:rPr>
  </w:style>
  <w:style w:type="paragraph" w:styleId="6">
    <w:name w:val="Date"/>
    <w:basedOn w:val="1"/>
    <w:next w:val="1"/>
    <w:qFormat/>
    <w:uiPriority w:val="0"/>
    <w:pPr>
      <w:widowControl w:val="0"/>
      <w:jc w:val="both"/>
    </w:pPr>
    <w:rPr>
      <w:kern w:val="2"/>
      <w:sz w:val="24"/>
      <w:lang w:eastAsia="zh-CN"/>
    </w:rPr>
  </w:style>
  <w:style w:type="paragraph" w:styleId="7">
    <w:name w:val="footer"/>
    <w:basedOn w:val="1"/>
    <w:uiPriority w:val="0"/>
    <w:pPr>
      <w:tabs>
        <w:tab w:val="center" w:pos="4153"/>
        <w:tab w:val="right" w:pos="8306"/>
      </w:tabs>
      <w:snapToGrid w:val="0"/>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footnote text"/>
    <w:basedOn w:val="1"/>
    <w:semiHidden/>
    <w:uiPriority w:val="0"/>
    <w:pPr>
      <w:widowControl w:val="0"/>
      <w:adjustRightInd w:val="0"/>
      <w:spacing w:line="312" w:lineRule="atLeast"/>
      <w:textAlignment w:val="baseline"/>
    </w:pPr>
    <w:rPr>
      <w:sz w:val="18"/>
    </w:rPr>
  </w:style>
  <w:style w:type="paragraph" w:styleId="10">
    <w:name w:val="toc 2"/>
    <w:basedOn w:val="1"/>
    <w:next w:val="1"/>
    <w:qFormat/>
    <w:uiPriority w:val="39"/>
    <w:pPr>
      <w:tabs>
        <w:tab w:val="right" w:leader="dot" w:pos="9345"/>
      </w:tabs>
      <w:ind w:left="200"/>
    </w:pPr>
    <w:rPr>
      <w:rFonts w:ascii="宋体" w:hAnsi="宋体"/>
      <w:smallCaps/>
      <w:sz w:val="24"/>
      <w:szCs w:val="4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styleId="15">
    <w:name w:val="Hyperlink"/>
    <w:qFormat/>
    <w:uiPriority w:val="99"/>
    <w:rPr>
      <w:color w:val="0000FF"/>
      <w:u w:val="single"/>
    </w:rPr>
  </w:style>
  <w:style w:type="paragraph" w:customStyle="1" w:styleId="16">
    <w:name w:val="目录文字"/>
    <w:basedOn w:val="1"/>
    <w:qFormat/>
    <w:uiPriority w:val="0"/>
    <w:pPr>
      <w:spacing w:line="480" w:lineRule="auto"/>
    </w:pPr>
    <w:rPr>
      <w:rFonts w:ascii="宋体" w:hAnsi="宋体"/>
      <w:sz w:val="24"/>
    </w:rPr>
  </w:style>
  <w:style w:type="paragraph" w:customStyle="1" w:styleId="17">
    <w:name w:val="Table Text"/>
    <w:basedOn w:val="1"/>
    <w:semiHidden/>
    <w:qFormat/>
    <w:uiPriority w:val="0"/>
    <w:rPr>
      <w:rFonts w:ascii="宋体" w:hAnsi="宋体" w:eastAsia="宋体" w:cs="宋体"/>
      <w:sz w:val="16"/>
      <w:szCs w:val="16"/>
      <w:lang w:val="en-US" w:eastAsia="en-US" w:bidi="ar-SA"/>
    </w:rPr>
  </w:style>
  <w:style w:type="paragraph" w:customStyle="1" w:styleId="18">
    <w:name w:val="_Style 3"/>
    <w:qFormat/>
    <w:uiPriority w:val="1"/>
    <w:pPr>
      <w:widowControl w:val="0"/>
      <w:jc w:val="both"/>
    </w:pPr>
    <w:rPr>
      <w:rFonts w:ascii="Calibri" w:hAnsi="Calibri" w:eastAsia="宋体" w:cs="Times New Roman"/>
      <w:kern w:val="2"/>
      <w:sz w:val="21"/>
      <w:szCs w:val="22"/>
      <w:lang w:val="en-US" w:eastAsia="zh-CN" w:bidi="ar-SA"/>
    </w:rPr>
  </w:style>
  <w:style w:type="character" w:customStyle="1" w:styleId="19">
    <w:name w:val="正文文本 (2) + 10 pt37"/>
    <w:qFormat/>
    <w:uiPriority w:val="99"/>
    <w:rPr>
      <w:rFonts w:ascii="MingLiU" w:eastAsia="MingLiU" w:cs="MingLiU"/>
      <w:spacing w:val="0"/>
      <w:sz w:val="20"/>
      <w:szCs w:val="20"/>
      <w:u w:val="none"/>
    </w:rPr>
  </w:style>
  <w:style w:type="paragraph" w:customStyle="1" w:styleId="20">
    <w:name w:val="正文文本 (2)1"/>
    <w:basedOn w:val="1"/>
    <w:qFormat/>
    <w:uiPriority w:val="99"/>
    <w:pPr>
      <w:shd w:val="clear" w:color="auto" w:fill="FFFFFF"/>
      <w:spacing w:before="300" w:line="439" w:lineRule="exact"/>
      <w:jc w:val="distribute"/>
    </w:pPr>
    <w:rPr>
      <w:rFonts w:ascii="MingLiU" w:eastAsia="MingLiU" w:cs="Times New Roman"/>
      <w:color w:val="auto"/>
      <w:spacing w:val="20"/>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2661</Words>
  <Characters>2978</Characters>
  <Lines>0</Lines>
  <Paragraphs>0</Paragraphs>
  <TotalTime>0</TotalTime>
  <ScaleCrop>false</ScaleCrop>
  <LinksUpToDate>false</LinksUpToDate>
  <CharactersWithSpaces>3071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2025-12-12T06:04:00Z</dcterms:created>
  <dc:creator>Administrator</dc:creator>
  <cp:lastModifiedBy>FFFF</cp:lastModifiedBy>
  <dcterms:modified xsi:type="dcterms:W3CDTF">2025-12-12T06:52:29Z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eyJoZGlkIjoiYmM5OTk5Y2U4Yjc1NzU4Yjc4NTZlZTJkZThlYTQxMzEiLCJ1c2VySWQiOiI0NjIyNTc1NjAifQ==</vt:lpwstr>
  </property>
  <property fmtid="{D5CDD505-2E9C-101B-9397-08002B2CF9AE}" pid="4" name="ICV">
    <vt:lpwstr>84369B735C5D477CB01076AC2D79C767_12</vt:lpwstr>
  </property>
</Properties>
</file>