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080"/>
        </w:tabs>
        <w:topLinePunct/>
        <w:adjustRightInd w:val="0"/>
        <w:snapToGrid w:val="0"/>
        <w:spacing w:line="360" w:lineRule="auto"/>
        <w:jc w:val="left"/>
        <w:rPr>
          <w:rFonts w:ascii="黑体" w:hAnsi="宋体" w:eastAsia="黑体"/>
          <w:b/>
          <w:sz w:val="32"/>
          <w:szCs w:val="32"/>
          <w:highlight w:val="none"/>
        </w:rPr>
      </w:pPr>
      <w:r>
        <w:rPr>
          <w:rFonts w:hint="eastAsia" w:ascii="黑体" w:hAnsi="宋体" w:eastAsia="黑体"/>
          <w:b/>
          <w:sz w:val="32"/>
          <w:szCs w:val="32"/>
          <w:highlight w:val="none"/>
        </w:rPr>
        <w:t>附件1：</w:t>
      </w:r>
    </w:p>
    <w:p>
      <w:pPr>
        <w:spacing w:before="360" w:beforeLines="150" w:line="360" w:lineRule="auto"/>
        <w:jc w:val="center"/>
        <w:rPr>
          <w:rFonts w:ascii="黑体" w:eastAsia="黑体"/>
          <w:b/>
          <w:sz w:val="30"/>
          <w:szCs w:val="30"/>
          <w:highlight w:val="none"/>
        </w:rPr>
      </w:pPr>
      <w:r>
        <w:rPr>
          <w:rFonts w:hint="eastAsia" w:ascii="黑体" w:eastAsia="黑体"/>
          <w:b/>
          <w:sz w:val="30"/>
          <w:szCs w:val="30"/>
          <w:highlight w:val="none"/>
          <w:lang w:eastAsia="zh-CN"/>
        </w:rPr>
        <w:t>总公司</w:t>
      </w:r>
      <w:r>
        <w:rPr>
          <w:rFonts w:hint="eastAsia" w:ascii="黑体" w:eastAsia="黑体"/>
          <w:b/>
          <w:sz w:val="30"/>
          <w:szCs w:val="30"/>
          <w:highlight w:val="none"/>
        </w:rPr>
        <w:t>授权书</w:t>
      </w:r>
    </w:p>
    <w:p>
      <w:pPr>
        <w:adjustRightInd w:val="0"/>
        <w:snapToGrid w:val="0"/>
        <w:spacing w:before="360" w:beforeLines="150" w:line="360" w:lineRule="auto"/>
        <w:ind w:firstLine="480" w:firstLineChars="200"/>
        <w:rPr>
          <w:sz w:val="24"/>
          <w:szCs w:val="24"/>
          <w:highlight w:val="none"/>
        </w:rPr>
      </w:pPr>
      <w:r>
        <w:rPr>
          <w:sz w:val="24"/>
          <w:szCs w:val="24"/>
          <w:highlight w:val="none"/>
          <w:u w:val="single"/>
        </w:rPr>
        <w:t xml:space="preserve">  </w:t>
      </w:r>
      <w:r>
        <w:rPr>
          <w:b/>
          <w:sz w:val="24"/>
          <w:szCs w:val="24"/>
          <w:highlight w:val="none"/>
          <w:u w:val="single"/>
        </w:rPr>
        <w:t xml:space="preserve">  </w:t>
      </w:r>
      <w:r>
        <w:rPr>
          <w:rFonts w:hint="eastAsia"/>
          <w:b/>
          <w:i/>
          <w:sz w:val="24"/>
          <w:szCs w:val="24"/>
          <w:highlight w:val="none"/>
          <w:u w:val="single"/>
        </w:rPr>
        <w:t>投标人</w:t>
      </w:r>
      <w:r>
        <w:rPr>
          <w:rFonts w:hint="eastAsia"/>
          <w:b/>
          <w:i/>
          <w:sz w:val="24"/>
          <w:szCs w:val="24"/>
          <w:highlight w:val="none"/>
          <w:u w:val="single"/>
          <w:lang w:eastAsia="zh-CN"/>
        </w:rPr>
        <w:t>总公司</w:t>
      </w:r>
      <w:r>
        <w:rPr>
          <w:rFonts w:hint="eastAsia"/>
          <w:b/>
          <w:i/>
          <w:sz w:val="24"/>
          <w:szCs w:val="24"/>
          <w:highlight w:val="none"/>
          <w:u w:val="single"/>
        </w:rPr>
        <w:t>全称</w:t>
      </w:r>
      <w:r>
        <w:rPr>
          <w:b/>
          <w:sz w:val="24"/>
          <w:szCs w:val="24"/>
          <w:highlight w:val="none"/>
          <w:u w:val="single"/>
        </w:rPr>
        <w:t xml:space="preserve">   </w:t>
      </w:r>
      <w:r>
        <w:rPr>
          <w:sz w:val="24"/>
          <w:szCs w:val="24"/>
          <w:highlight w:val="none"/>
          <w:u w:val="single"/>
        </w:rPr>
        <w:t xml:space="preserve"> </w:t>
      </w:r>
      <w:r>
        <w:rPr>
          <w:rFonts w:hint="eastAsia"/>
          <w:sz w:val="24"/>
          <w:szCs w:val="24"/>
          <w:highlight w:val="none"/>
        </w:rPr>
        <w:t>现正式授权</w:t>
      </w:r>
      <w:r>
        <w:rPr>
          <w:b/>
          <w:sz w:val="24"/>
          <w:szCs w:val="24"/>
          <w:highlight w:val="none"/>
          <w:u w:val="single"/>
        </w:rPr>
        <w:t xml:space="preserve">     </w:t>
      </w:r>
      <w:r>
        <w:rPr>
          <w:rFonts w:hint="eastAsia"/>
          <w:b/>
          <w:i/>
          <w:sz w:val="24"/>
          <w:szCs w:val="24"/>
          <w:highlight w:val="none"/>
          <w:u w:val="single"/>
        </w:rPr>
        <w:t>投标人全称</w:t>
      </w:r>
      <w:r>
        <w:rPr>
          <w:b/>
          <w:sz w:val="24"/>
          <w:szCs w:val="24"/>
          <w:highlight w:val="none"/>
          <w:u w:val="single"/>
        </w:rPr>
        <w:t xml:space="preserve">    </w:t>
      </w:r>
      <w:r>
        <w:rPr>
          <w:rFonts w:hint="eastAsia"/>
          <w:sz w:val="24"/>
          <w:szCs w:val="24"/>
          <w:highlight w:val="none"/>
        </w:rPr>
        <w:t>为“</w:t>
      </w:r>
      <w:r>
        <w:rPr>
          <w:rFonts w:hint="eastAsia"/>
          <w:b/>
          <w:bCs/>
          <w:sz w:val="24"/>
          <w:szCs w:val="24"/>
          <w:highlight w:val="none"/>
          <w:u w:val="single"/>
          <w:lang w:eastAsia="zh-CN"/>
        </w:rPr>
        <w:t>广深公司2026-2028年度路产综合保险采购项目（</w:t>
      </w:r>
      <w:r>
        <w:rPr>
          <w:rFonts w:hint="eastAsia"/>
          <w:b/>
          <w:bCs/>
          <w:sz w:val="24"/>
          <w:szCs w:val="24"/>
          <w:highlight w:val="none"/>
          <w:u w:val="single"/>
          <w:lang w:val="en-US" w:eastAsia="zh-CN"/>
        </w:rPr>
        <w:t>第二次</w:t>
      </w:r>
      <w:r>
        <w:rPr>
          <w:rFonts w:hint="eastAsia"/>
          <w:b/>
          <w:bCs/>
          <w:sz w:val="24"/>
          <w:szCs w:val="24"/>
          <w:highlight w:val="none"/>
          <w:u w:val="single"/>
          <w:lang w:eastAsia="zh-CN"/>
        </w:rPr>
        <w:t>）</w:t>
      </w:r>
      <w:r>
        <w:rPr>
          <w:rFonts w:hint="eastAsia" w:eastAsia="宋体"/>
          <w:b/>
          <w:bCs/>
          <w:sz w:val="24"/>
          <w:szCs w:val="24"/>
          <w:highlight w:val="none"/>
          <w:u w:val="single"/>
          <w:lang w:val="en-US" w:eastAsia="zh-CN"/>
        </w:rPr>
        <w:t xml:space="preserve"> </w:t>
      </w:r>
      <w:r>
        <w:rPr>
          <w:rFonts w:hint="eastAsia"/>
          <w:sz w:val="24"/>
          <w:szCs w:val="24"/>
          <w:highlight w:val="none"/>
        </w:rPr>
        <w:t>”的唯一授权分支机构，作为投标人参加此次投标活动、提交投标文件、中标后的保险合同签订、执行和今后服务等一切与之有关的事务，</w:t>
      </w:r>
      <w:r>
        <w:rPr>
          <w:b/>
          <w:sz w:val="24"/>
          <w:szCs w:val="24"/>
          <w:highlight w:val="none"/>
          <w:u w:val="single"/>
        </w:rPr>
        <w:t xml:space="preserve">     </w:t>
      </w:r>
      <w:r>
        <w:rPr>
          <w:rFonts w:hint="eastAsia"/>
          <w:b/>
          <w:i/>
          <w:sz w:val="24"/>
          <w:szCs w:val="24"/>
          <w:highlight w:val="none"/>
          <w:u w:val="single"/>
        </w:rPr>
        <w:t>投标人全称</w:t>
      </w:r>
      <w:r>
        <w:rPr>
          <w:b/>
          <w:sz w:val="24"/>
          <w:szCs w:val="24"/>
          <w:highlight w:val="none"/>
          <w:u w:val="single"/>
        </w:rPr>
        <w:t xml:space="preserve">    </w:t>
      </w:r>
      <w:r>
        <w:rPr>
          <w:rFonts w:hint="eastAsia"/>
          <w:sz w:val="24"/>
          <w:szCs w:val="24"/>
          <w:highlight w:val="none"/>
        </w:rPr>
        <w:t>及其授权代理人作出的所有承诺说明，我司均予以认可并承担全部责任。</w:t>
      </w:r>
    </w:p>
    <w:p>
      <w:pPr>
        <w:adjustRightInd w:val="0"/>
        <w:snapToGrid w:val="0"/>
        <w:spacing w:before="480" w:line="360" w:lineRule="auto"/>
        <w:ind w:firstLine="480" w:firstLineChars="200"/>
        <w:rPr>
          <w:sz w:val="24"/>
          <w:szCs w:val="24"/>
          <w:highlight w:val="none"/>
        </w:rPr>
      </w:pPr>
      <w:r>
        <w:rPr>
          <w:rFonts w:hint="eastAsia"/>
          <w:sz w:val="24"/>
          <w:szCs w:val="24"/>
          <w:highlight w:val="none"/>
        </w:rPr>
        <w:t>我司同时证明</w:t>
      </w:r>
      <w:r>
        <w:rPr>
          <w:sz w:val="24"/>
          <w:szCs w:val="24"/>
          <w:highlight w:val="none"/>
          <w:u w:val="single"/>
        </w:rPr>
        <w:t xml:space="preserve">      </w:t>
      </w:r>
      <w:r>
        <w:rPr>
          <w:rFonts w:hint="eastAsia"/>
          <w:i/>
          <w:sz w:val="24"/>
          <w:szCs w:val="24"/>
          <w:highlight w:val="none"/>
          <w:u w:val="single"/>
        </w:rPr>
        <w:t>投标人全称</w:t>
      </w:r>
      <w:r>
        <w:rPr>
          <w:sz w:val="24"/>
          <w:szCs w:val="24"/>
          <w:highlight w:val="none"/>
          <w:u w:val="single"/>
        </w:rPr>
        <w:t xml:space="preserve">       </w:t>
      </w:r>
      <w:r>
        <w:rPr>
          <w:rFonts w:hint="eastAsia"/>
          <w:sz w:val="24"/>
          <w:szCs w:val="24"/>
          <w:highlight w:val="none"/>
        </w:rPr>
        <w:t>为省级分公司或以上的分支机构。</w:t>
      </w:r>
    </w:p>
    <w:p>
      <w:pPr>
        <w:spacing w:before="570" w:line="360" w:lineRule="auto"/>
        <w:ind w:firstLine="480" w:firstLineChars="200"/>
        <w:rPr>
          <w:sz w:val="24"/>
          <w:szCs w:val="24"/>
          <w:highlight w:val="none"/>
        </w:rPr>
      </w:pPr>
      <w:r>
        <w:rPr>
          <w:rFonts w:hint="eastAsia"/>
          <w:sz w:val="24"/>
          <w:szCs w:val="24"/>
          <w:highlight w:val="none"/>
        </w:rPr>
        <w:t>投标人</w:t>
      </w:r>
      <w:r>
        <w:rPr>
          <w:rFonts w:hint="eastAsia"/>
          <w:sz w:val="24"/>
          <w:szCs w:val="24"/>
          <w:highlight w:val="none"/>
          <w:lang w:eastAsia="zh-CN"/>
        </w:rPr>
        <w:t>总公司</w:t>
      </w:r>
      <w:r>
        <w:rPr>
          <w:rFonts w:hint="eastAsia"/>
          <w:sz w:val="24"/>
          <w:szCs w:val="24"/>
          <w:highlight w:val="none"/>
        </w:rPr>
        <w:t>名称：</w:t>
      </w:r>
      <w:r>
        <w:rPr>
          <w:sz w:val="24"/>
          <w:szCs w:val="24"/>
          <w:highlight w:val="none"/>
          <w:u w:val="single"/>
        </w:rPr>
        <w:t xml:space="preserve">                                </w:t>
      </w:r>
      <w:r>
        <w:rPr>
          <w:rFonts w:hint="eastAsia"/>
          <w:sz w:val="24"/>
          <w:szCs w:val="24"/>
          <w:highlight w:val="none"/>
        </w:rPr>
        <w:t>（公章）</w:t>
      </w:r>
    </w:p>
    <w:p>
      <w:pPr>
        <w:spacing w:before="570" w:line="360" w:lineRule="auto"/>
        <w:ind w:firstLine="480" w:firstLineChars="200"/>
        <w:rPr>
          <w:sz w:val="24"/>
          <w:szCs w:val="24"/>
          <w:highlight w:val="none"/>
          <w:u w:val="single"/>
        </w:rPr>
      </w:pPr>
      <w:r>
        <w:rPr>
          <w:rFonts w:hint="eastAsia"/>
          <w:sz w:val="24"/>
          <w:szCs w:val="24"/>
          <w:highlight w:val="none"/>
        </w:rPr>
        <w:t>授权日期：     年   月   日</w:t>
      </w:r>
    </w:p>
    <w:p>
      <w:pPr>
        <w:rPr>
          <w:rFonts w:hint="eastAsia" w:ascii="宋体" w:hAnsi="宋体" w:cs="宋体"/>
          <w:b/>
          <w:sz w:val="30"/>
          <w:szCs w:val="30"/>
          <w:highlight w:val="none"/>
        </w:rPr>
      </w:pPr>
      <w:r>
        <w:rPr>
          <w:rFonts w:hint="eastAsia" w:ascii="宋体" w:hAnsi="宋体"/>
          <w:kern w:val="0"/>
          <w:szCs w:val="21"/>
          <w:highlight w:val="none"/>
        </w:rPr>
        <w:br w:type="page"/>
      </w:r>
      <w:r>
        <w:rPr>
          <w:rFonts w:hint="eastAsia" w:ascii="宋体" w:hAnsi="宋体" w:cs="宋体"/>
          <w:b/>
          <w:sz w:val="30"/>
          <w:szCs w:val="30"/>
          <w:highlight w:val="none"/>
        </w:rPr>
        <w:t>附件2:</w:t>
      </w:r>
      <w:r>
        <w:rPr>
          <w:rFonts w:hint="eastAsia" w:ascii="宋体" w:hAnsi="宋体"/>
          <w:b/>
          <w:sz w:val="32"/>
          <w:szCs w:val="32"/>
          <w:highlight w:val="none"/>
          <w:lang w:val="en-US" w:eastAsia="zh-CN"/>
        </w:rPr>
        <w:t>项目概况</w:t>
      </w:r>
    </w:p>
    <w:p>
      <w:pPr>
        <w:keepNext w:val="0"/>
        <w:keepLines w:val="0"/>
        <w:pageBreakBefore w:val="0"/>
        <w:tabs>
          <w:tab w:val="left" w:pos="3240"/>
        </w:tabs>
        <w:kinsoku/>
        <w:wordWrap/>
        <w:overflowPunct/>
        <w:topLinePunct w:val="0"/>
        <w:autoSpaceDE/>
        <w:autoSpaceDN/>
        <w:bidi w:val="0"/>
        <w:adjustRightInd/>
        <w:snapToGrid w:val="0"/>
        <w:spacing w:line="360" w:lineRule="auto"/>
        <w:ind w:left="0" w:leftChars="0" w:right="0" w:rightChars="0" w:firstLine="435"/>
        <w:jc w:val="both"/>
        <w:textAlignment w:val="auto"/>
        <w:outlineLvl w:val="9"/>
        <w:rPr>
          <w:rFonts w:hint="eastAsia" w:ascii="宋体" w:hAnsi="宋体" w:eastAsia="宋体" w:cs="宋体"/>
          <w:b/>
          <w:bCs/>
          <w:color w:val="000000"/>
          <w:sz w:val="24"/>
          <w:szCs w:val="24"/>
          <w:highlight w:val="none"/>
          <w:lang w:val="en-US" w:eastAsia="zh-CN"/>
        </w:rPr>
      </w:pPr>
    </w:p>
    <w:p>
      <w:pPr>
        <w:keepNext w:val="0"/>
        <w:keepLines w:val="0"/>
        <w:pageBreakBefore w:val="0"/>
        <w:tabs>
          <w:tab w:val="left" w:pos="3240"/>
        </w:tabs>
        <w:kinsoku/>
        <w:wordWrap/>
        <w:overflowPunct/>
        <w:topLinePunct w:val="0"/>
        <w:autoSpaceDE/>
        <w:autoSpaceDN/>
        <w:bidi w:val="0"/>
        <w:adjustRightInd/>
        <w:snapToGrid w:val="0"/>
        <w:spacing w:line="360" w:lineRule="auto"/>
        <w:ind w:left="0" w:leftChars="0" w:right="0" w:rightChars="0" w:firstLine="435"/>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项目概况</w:t>
      </w:r>
    </w:p>
    <w:p>
      <w:pPr>
        <w:keepNext w:val="0"/>
        <w:keepLines w:val="0"/>
        <w:pageBreakBefore w:val="0"/>
        <w:tabs>
          <w:tab w:val="left" w:pos="3240"/>
        </w:tabs>
        <w:kinsoku/>
        <w:wordWrap/>
        <w:overflowPunct/>
        <w:topLinePunct w:val="0"/>
        <w:autoSpaceDE/>
        <w:autoSpaceDN/>
        <w:bidi w:val="0"/>
        <w:adjustRightInd/>
        <w:snapToGrid w:val="0"/>
        <w:spacing w:line="360" w:lineRule="auto"/>
        <w:ind w:left="0" w:leftChars="0" w:right="0" w:rightChars="0" w:firstLine="308" w:firstLineChars="147"/>
        <w:jc w:val="both"/>
        <w:textAlignment w:val="auto"/>
        <w:outlineLvl w:val="9"/>
        <w:rPr>
          <w:rFonts w:hint="eastAsia" w:ascii="宋体" w:hAnsi="宋体"/>
          <w:bCs/>
          <w:szCs w:val="21"/>
          <w:highlight w:val="none"/>
        </w:rPr>
      </w:pPr>
      <w:r>
        <w:rPr>
          <w:rFonts w:hint="eastAsia" w:ascii="宋体" w:hAnsi="宋体"/>
          <w:bCs/>
          <w:szCs w:val="21"/>
          <w:highlight w:val="none"/>
        </w:rPr>
        <w:t>广深高速公路全长122.8公里，是粤港澳大湾区的交通大动脉。公</w:t>
      </w:r>
      <w:r>
        <w:rPr>
          <w:rFonts w:hint="eastAsia" w:ascii="宋体" w:hAnsi="宋体"/>
          <w:bCs/>
          <w:szCs w:val="21"/>
          <w:highlight w:val="none"/>
          <w:lang w:eastAsia="zh-CN"/>
        </w:rPr>
        <w:t>路</w:t>
      </w:r>
      <w:r>
        <w:rPr>
          <w:rFonts w:hint="eastAsia" w:ascii="宋体" w:hAnsi="宋体"/>
          <w:bCs/>
          <w:szCs w:val="21"/>
          <w:highlight w:val="none"/>
        </w:rPr>
        <w:t>沿线设有二十个收费站，全线照明，并设有计算机化收费、交通监控、通讯系统及供配电系统等。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highlight w:val="none"/>
          <w:lang w:eastAsia="zh-CN"/>
        </w:rPr>
      </w:pPr>
      <w:r>
        <w:rPr>
          <w:rFonts w:hint="eastAsia" w:ascii="宋体" w:hAnsi="宋体"/>
          <w:b/>
          <w:bCs/>
          <w:szCs w:val="21"/>
          <w:highlight w:val="none"/>
          <w:lang w:eastAsia="zh-CN"/>
        </w:rPr>
        <w:t>本项目的服务期为202</w:t>
      </w:r>
      <w:r>
        <w:rPr>
          <w:rFonts w:hint="eastAsia" w:ascii="宋体" w:hAnsi="宋体"/>
          <w:b/>
          <w:bCs/>
          <w:szCs w:val="21"/>
          <w:highlight w:val="none"/>
          <w:lang w:val="en-US" w:eastAsia="zh-CN"/>
        </w:rPr>
        <w:t>6</w:t>
      </w:r>
      <w:r>
        <w:rPr>
          <w:rFonts w:hint="eastAsia" w:ascii="宋体" w:hAnsi="宋体"/>
          <w:b/>
          <w:bCs/>
          <w:szCs w:val="21"/>
          <w:highlight w:val="none"/>
          <w:lang w:eastAsia="zh-CN"/>
        </w:rPr>
        <w:t>-202</w:t>
      </w:r>
      <w:r>
        <w:rPr>
          <w:rFonts w:hint="eastAsia" w:ascii="宋体" w:hAnsi="宋体"/>
          <w:b/>
          <w:bCs/>
          <w:szCs w:val="21"/>
          <w:highlight w:val="none"/>
          <w:lang w:val="en-US" w:eastAsia="zh-CN"/>
        </w:rPr>
        <w:t>8</w:t>
      </w:r>
      <w:r>
        <w:rPr>
          <w:rFonts w:hint="eastAsia" w:ascii="宋体" w:hAnsi="宋体"/>
          <w:b/>
          <w:bCs/>
          <w:szCs w:val="21"/>
          <w:highlight w:val="none"/>
          <w:lang w:eastAsia="zh-CN"/>
        </w:rPr>
        <w:t>年，</w:t>
      </w:r>
      <w:r>
        <w:rPr>
          <w:rFonts w:hint="eastAsia" w:ascii="宋体" w:hAnsi="宋体"/>
          <w:szCs w:val="21"/>
          <w:highlight w:val="none"/>
        </w:rPr>
        <w:t>在</w:t>
      </w:r>
      <w:r>
        <w:rPr>
          <w:rFonts w:hint="eastAsia" w:ascii="宋体" w:hAnsi="宋体"/>
          <w:szCs w:val="21"/>
          <w:highlight w:val="none"/>
          <w:lang w:eastAsia="zh-CN"/>
        </w:rPr>
        <w:t>保险</w:t>
      </w:r>
      <w:r>
        <w:rPr>
          <w:rFonts w:hint="eastAsia" w:ascii="宋体" w:hAnsi="宋体"/>
          <w:szCs w:val="21"/>
          <w:highlight w:val="none"/>
        </w:rPr>
        <w:t>期限内，如因广深高速公路营运期</w:t>
      </w:r>
      <w:r>
        <w:rPr>
          <w:rFonts w:hint="eastAsia" w:ascii="宋体" w:hAnsi="宋体"/>
          <w:szCs w:val="21"/>
          <w:highlight w:val="none"/>
          <w:lang w:eastAsia="zh-CN"/>
        </w:rPr>
        <w:t>期</w:t>
      </w:r>
      <w:r>
        <w:rPr>
          <w:rFonts w:hint="eastAsia" w:ascii="宋体" w:hAnsi="宋体"/>
          <w:szCs w:val="21"/>
          <w:highlight w:val="none"/>
        </w:rPr>
        <w:t>满</w:t>
      </w:r>
      <w:r>
        <w:rPr>
          <w:rFonts w:hint="eastAsia" w:ascii="宋体" w:hAnsi="宋体"/>
          <w:szCs w:val="21"/>
          <w:highlight w:val="none"/>
          <w:lang w:eastAsia="zh-CN"/>
        </w:rPr>
        <w:t>等原因</w:t>
      </w:r>
      <w:r>
        <w:rPr>
          <w:rFonts w:hint="eastAsia" w:ascii="宋体" w:hAnsi="宋体"/>
          <w:szCs w:val="21"/>
          <w:highlight w:val="none"/>
        </w:rPr>
        <w:t>，导致甲方无法履</w:t>
      </w:r>
      <w:r>
        <w:rPr>
          <w:rFonts w:hint="eastAsia" w:ascii="宋体" w:hAnsi="宋体"/>
          <w:szCs w:val="21"/>
          <w:highlight w:val="none"/>
          <w:lang w:eastAsia="zh-CN"/>
        </w:rPr>
        <w:t>行</w:t>
      </w:r>
      <w:r>
        <w:rPr>
          <w:rFonts w:hint="eastAsia" w:ascii="宋体" w:hAnsi="宋体"/>
          <w:szCs w:val="21"/>
          <w:highlight w:val="none"/>
        </w:rPr>
        <w:t>本合同的，则甲方有权无条件提前</w:t>
      </w:r>
      <w:r>
        <w:rPr>
          <w:rFonts w:hint="eastAsia" w:ascii="宋体" w:hAnsi="宋体"/>
          <w:szCs w:val="21"/>
          <w:highlight w:val="none"/>
          <w:lang w:eastAsia="zh-CN"/>
        </w:rPr>
        <w:t>解除</w:t>
      </w:r>
      <w:r>
        <w:rPr>
          <w:rFonts w:hint="eastAsia" w:ascii="宋体" w:hAnsi="宋体"/>
          <w:szCs w:val="21"/>
          <w:highlight w:val="none"/>
        </w:rPr>
        <w:t>本合同，</w:t>
      </w:r>
      <w:r>
        <w:rPr>
          <w:rFonts w:hint="eastAsia" w:ascii="宋体" w:hAnsi="宋体"/>
          <w:szCs w:val="21"/>
          <w:highlight w:val="none"/>
          <w:lang w:eastAsia="zh-CN"/>
        </w:rPr>
        <w:t>保费结算至合同解除之日，</w:t>
      </w:r>
      <w:r>
        <w:rPr>
          <w:rFonts w:hint="eastAsia" w:ascii="宋体" w:hAnsi="宋体"/>
          <w:szCs w:val="21"/>
          <w:highlight w:val="none"/>
        </w:rPr>
        <w:t>甲方</w:t>
      </w:r>
      <w:r>
        <w:rPr>
          <w:rFonts w:hint="eastAsia" w:ascii="宋体" w:hAnsi="宋体"/>
          <w:szCs w:val="21"/>
          <w:highlight w:val="none"/>
          <w:lang w:eastAsia="zh-CN"/>
        </w:rPr>
        <w:t>无需向乙方承担违约和赔偿责任</w:t>
      </w:r>
      <w:r>
        <w:rPr>
          <w:rFonts w:hint="eastAsia" w:ascii="宋体" w:hAnsi="宋体"/>
          <w:szCs w:val="21"/>
          <w:highlight w:val="none"/>
        </w:rPr>
        <w:t>。</w:t>
      </w:r>
    </w:p>
    <w:p>
      <w:pPr>
        <w:keepNext w:val="0"/>
        <w:keepLines w:val="0"/>
        <w:pageBreakBefore w:val="0"/>
        <w:tabs>
          <w:tab w:val="left" w:pos="3240"/>
        </w:tabs>
        <w:kinsoku/>
        <w:wordWrap/>
        <w:overflowPunct/>
        <w:topLinePunct w:val="0"/>
        <w:autoSpaceDE/>
        <w:autoSpaceDN/>
        <w:bidi w:val="0"/>
        <w:adjustRightInd/>
        <w:snapToGrid w:val="0"/>
        <w:spacing w:line="360" w:lineRule="auto"/>
        <w:ind w:left="0" w:leftChars="0" w:right="0" w:rightChars="0" w:firstLine="435"/>
        <w:jc w:val="both"/>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2、招标险种内容</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outlineLvl w:val="9"/>
        <w:rPr>
          <w:rFonts w:hint="eastAsia" w:ascii="宋体" w:hAnsi="宋体"/>
          <w:szCs w:val="21"/>
          <w:highlight w:val="none"/>
        </w:rPr>
      </w:pPr>
      <w:r>
        <w:rPr>
          <w:rFonts w:hint="eastAsia" w:ascii="宋体" w:hAnsi="宋体"/>
          <w:szCs w:val="21"/>
          <w:highlight w:val="none"/>
        </w:rPr>
        <w:t>本项目招标险种为：</w:t>
      </w:r>
      <w:r>
        <w:rPr>
          <w:rFonts w:hint="eastAsia" w:ascii="宋体" w:hAnsi="宋体"/>
          <w:bCs/>
          <w:szCs w:val="21"/>
          <w:highlight w:val="none"/>
        </w:rPr>
        <w:t>营运期财产一切险、营业中断险、公众责任险、现金保险</w:t>
      </w:r>
      <w:r>
        <w:rPr>
          <w:rFonts w:hint="eastAsia" w:ascii="宋体" w:hAnsi="宋体"/>
          <w:szCs w:val="21"/>
          <w:highlight w:val="none"/>
        </w:rPr>
        <w:t>。</w:t>
      </w:r>
    </w:p>
    <w:p>
      <w:pPr>
        <w:widowControl/>
        <w:spacing w:line="360" w:lineRule="auto"/>
        <w:ind w:firstLine="480" w:firstLineChars="200"/>
        <w:rPr>
          <w:rFonts w:hint="eastAsia" w:ascii="宋体" w:hAnsi="宋体"/>
          <w:b/>
          <w:bCs/>
          <w:kern w:val="0"/>
          <w:sz w:val="24"/>
          <w:szCs w:val="24"/>
          <w:highlight w:val="none"/>
        </w:rPr>
      </w:pPr>
      <w:r>
        <w:rPr>
          <w:rFonts w:hint="eastAsia" w:ascii="宋体" w:hAnsi="宋体"/>
          <w:b/>
          <w:bCs/>
          <w:kern w:val="0"/>
          <w:sz w:val="24"/>
          <w:szCs w:val="24"/>
          <w:highlight w:val="none"/>
          <w:lang w:val="en-US" w:eastAsia="zh-CN"/>
        </w:rPr>
        <w:t>3、</w:t>
      </w:r>
      <w:r>
        <w:rPr>
          <w:rFonts w:hint="eastAsia" w:ascii="宋体" w:hAnsi="宋体"/>
          <w:b/>
          <w:bCs/>
          <w:kern w:val="0"/>
          <w:sz w:val="24"/>
          <w:szCs w:val="24"/>
          <w:highlight w:val="none"/>
        </w:rPr>
        <w:t>承保份额</w:t>
      </w:r>
    </w:p>
    <w:p>
      <w:pPr>
        <w:widowControl/>
        <w:spacing w:line="360" w:lineRule="auto"/>
        <w:ind w:firstLine="420" w:firstLineChars="200"/>
        <w:rPr>
          <w:rFonts w:hint="eastAsia"/>
        </w:rPr>
      </w:pPr>
      <w:r>
        <w:rPr>
          <w:rFonts w:hint="eastAsia" w:ascii="宋体" w:hAnsi="宋体"/>
          <w:kern w:val="0"/>
          <w:szCs w:val="21"/>
          <w:highlight w:val="none"/>
        </w:rPr>
        <w:t>本项目要求投标人需100%承保。</w:t>
      </w:r>
    </w:p>
    <w:p>
      <w:pPr>
        <w:keepNext w:val="0"/>
        <w:keepLines w:val="0"/>
        <w:pageBreakBefore w:val="0"/>
        <w:tabs>
          <w:tab w:val="left" w:pos="3240"/>
        </w:tabs>
        <w:kinsoku/>
        <w:wordWrap/>
        <w:overflowPunct/>
        <w:topLinePunct w:val="0"/>
        <w:autoSpaceDE/>
        <w:autoSpaceDN/>
        <w:bidi w:val="0"/>
        <w:adjustRightInd/>
        <w:snapToGrid w:val="0"/>
        <w:spacing w:line="360" w:lineRule="auto"/>
        <w:ind w:left="0" w:leftChars="0" w:right="0" w:rightChars="0" w:firstLine="435"/>
        <w:jc w:val="both"/>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4、本次招标标的为</w:t>
      </w:r>
    </w:p>
    <w:p>
      <w:pPr>
        <w:keepNext w:val="0"/>
        <w:keepLines w:val="0"/>
        <w:pageBreakBefore w:val="0"/>
        <w:widowControl/>
        <w:kinsoku/>
        <w:wordWrap/>
        <w:overflowPunct/>
        <w:topLinePunct w:val="0"/>
        <w:autoSpaceDE/>
        <w:autoSpaceDN/>
        <w:bidi w:val="0"/>
        <w:adjustRightInd/>
        <w:spacing w:line="360" w:lineRule="auto"/>
        <w:ind w:left="0" w:leftChars="0" w:right="0" w:rightChars="0" w:firstLine="420" w:firstLineChars="200"/>
        <w:jc w:val="both"/>
        <w:textAlignment w:val="auto"/>
        <w:outlineLvl w:val="9"/>
        <w:rPr>
          <w:rFonts w:hint="eastAsia" w:ascii="宋体" w:hAnsi="宋体"/>
          <w:kern w:val="0"/>
          <w:szCs w:val="21"/>
          <w:highlight w:val="none"/>
        </w:rPr>
      </w:pPr>
      <w:r>
        <w:rPr>
          <w:rFonts w:hint="eastAsia" w:ascii="宋体" w:hAnsi="宋体"/>
          <w:kern w:val="0"/>
          <w:szCs w:val="21"/>
          <w:highlight w:val="none"/>
        </w:rPr>
        <w:t>广深珠高速公路</w:t>
      </w:r>
      <w:r>
        <w:rPr>
          <w:rFonts w:hint="eastAsia" w:ascii="宋体" w:hAnsi="宋体" w:eastAsia="宋体"/>
          <w:kern w:val="0"/>
          <w:szCs w:val="21"/>
          <w:highlight w:val="none"/>
          <w:lang w:eastAsia="zh-CN"/>
        </w:rPr>
        <w:t>202</w:t>
      </w:r>
      <w:r>
        <w:rPr>
          <w:rFonts w:hint="eastAsia" w:ascii="宋体" w:hAnsi="宋体" w:eastAsia="宋体"/>
          <w:kern w:val="0"/>
          <w:szCs w:val="21"/>
          <w:highlight w:val="none"/>
          <w:lang w:val="en-US" w:eastAsia="zh-CN"/>
        </w:rPr>
        <w:t>6-</w:t>
      </w:r>
      <w:r>
        <w:rPr>
          <w:rFonts w:hint="eastAsia" w:ascii="宋体" w:hAnsi="宋体" w:eastAsia="宋体"/>
          <w:kern w:val="0"/>
          <w:szCs w:val="21"/>
          <w:highlight w:val="none"/>
          <w:lang w:eastAsia="zh-CN"/>
        </w:rPr>
        <w:t>202</w:t>
      </w:r>
      <w:r>
        <w:rPr>
          <w:rFonts w:hint="eastAsia" w:ascii="宋体" w:hAnsi="宋体" w:eastAsia="宋体"/>
          <w:kern w:val="0"/>
          <w:szCs w:val="21"/>
          <w:highlight w:val="none"/>
          <w:lang w:val="en-US" w:eastAsia="zh-CN"/>
        </w:rPr>
        <w:t>8</w:t>
      </w:r>
      <w:r>
        <w:rPr>
          <w:rFonts w:hint="eastAsia" w:ascii="宋体" w:hAnsi="宋体"/>
          <w:kern w:val="0"/>
          <w:szCs w:val="21"/>
          <w:highlight w:val="none"/>
        </w:rPr>
        <w:t>年营运期财产一切险、营业中断险、公众责任险、现金保险。</w:t>
      </w:r>
    </w:p>
    <w:tbl>
      <w:tblPr>
        <w:tblStyle w:val="11"/>
        <w:tblW w:w="8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643"/>
        <w:gridCol w:w="1644"/>
        <w:gridCol w:w="1643"/>
        <w:gridCol w:w="1643"/>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3" w:hRule="atLeast"/>
          <w:jc w:val="center"/>
        </w:trPr>
        <w:tc>
          <w:tcPr>
            <w:tcW w:w="8220" w:type="dxa"/>
            <w:gridSpan w:val="5"/>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sz w:val="21"/>
                <w:szCs w:val="21"/>
                <w:highlight w:val="none"/>
                <w:u w:val="none"/>
                <w:lang w:val="en-US"/>
              </w:rPr>
              <w:t>投保明细表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73" w:hRule="atLeast"/>
          <w:jc w:val="center"/>
        </w:trPr>
        <w:tc>
          <w:tcPr>
            <w:tcW w:w="1643" w:type="dxa"/>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21"/>
                <w:szCs w:val="21"/>
                <w:highlight w:val="none"/>
                <w:u w:val="none"/>
                <w:lang w:val="en-US" w:eastAsia="zh-CN" w:bidi="ar"/>
              </w:rPr>
            </w:pPr>
            <w:r>
              <w:rPr>
                <w:rFonts w:hint="eastAsia" w:ascii="宋体" w:hAnsi="宋体" w:eastAsia="宋体" w:cs="宋体"/>
                <w:b/>
                <w:bCs w:val="0"/>
                <w:i w:val="0"/>
                <w:color w:val="000000"/>
                <w:sz w:val="21"/>
                <w:szCs w:val="21"/>
                <w:highlight w:val="none"/>
                <w:u w:val="none"/>
                <w:lang w:val="en-US" w:eastAsia="zh-CN"/>
              </w:rPr>
              <w:t>项目</w:t>
            </w:r>
          </w:p>
        </w:tc>
        <w:tc>
          <w:tcPr>
            <w:tcW w:w="1644" w:type="dxa"/>
            <w:vAlign w:val="center"/>
          </w:tcPr>
          <w:p>
            <w:pPr>
              <w:keepNext w:val="0"/>
              <w:keepLines w:val="0"/>
              <w:pageBreakBefore w:val="0"/>
              <w:widowControl w:val="0"/>
              <w:kinsoku/>
              <w:wordWrap/>
              <w:overflowPunct/>
              <w:topLinePunct w:val="0"/>
              <w:autoSpaceDE/>
              <w:autoSpaceDN/>
              <w:bidi w:val="0"/>
              <w:adjustRightInd/>
              <w:snapToGrid w:val="0"/>
              <w:spacing w:before="0" w:beforeLines="0" w:line="240" w:lineRule="auto"/>
              <w:ind w:right="0" w:rightChars="0"/>
              <w:jc w:val="center"/>
              <w:textAlignment w:val="auto"/>
              <w:outlineLvl w:val="9"/>
              <w:rPr>
                <w:rFonts w:hint="eastAsia" w:ascii="宋体" w:hAnsi="宋体"/>
                <w:b/>
                <w:bCs w:val="0"/>
                <w:color w:val="000000"/>
                <w:sz w:val="21"/>
                <w:szCs w:val="21"/>
                <w:highlight w:val="none"/>
              </w:rPr>
            </w:pPr>
            <w:r>
              <w:rPr>
                <w:rFonts w:hint="eastAsia" w:ascii="宋体" w:hAnsi="宋体"/>
                <w:b/>
                <w:bCs w:val="0"/>
                <w:color w:val="000000"/>
                <w:sz w:val="21"/>
                <w:szCs w:val="21"/>
                <w:highlight w:val="none"/>
              </w:rPr>
              <w:t>财产一切险</w:t>
            </w:r>
          </w:p>
        </w:tc>
        <w:tc>
          <w:tcPr>
            <w:tcW w:w="1643" w:type="dxa"/>
            <w:vAlign w:val="center"/>
          </w:tcPr>
          <w:p>
            <w:pPr>
              <w:keepNext w:val="0"/>
              <w:keepLines w:val="0"/>
              <w:widowControl/>
              <w:suppressLineNumbers w:val="0"/>
              <w:jc w:val="center"/>
              <w:textAlignment w:val="center"/>
              <w:rPr>
                <w:rFonts w:hint="eastAsia" w:ascii="宋体" w:hAnsi="宋体"/>
                <w:b/>
                <w:bCs w:val="0"/>
                <w:color w:val="000000"/>
                <w:sz w:val="21"/>
                <w:szCs w:val="21"/>
                <w:highlight w:val="none"/>
              </w:rPr>
            </w:pPr>
            <w:r>
              <w:rPr>
                <w:rFonts w:hint="eastAsia" w:ascii="宋体" w:hAnsi="宋体"/>
                <w:b/>
                <w:bCs w:val="0"/>
                <w:color w:val="000000"/>
                <w:sz w:val="21"/>
                <w:szCs w:val="21"/>
                <w:highlight w:val="none"/>
              </w:rPr>
              <w:t>营业中断险</w:t>
            </w:r>
          </w:p>
        </w:tc>
        <w:tc>
          <w:tcPr>
            <w:tcW w:w="1643" w:type="dxa"/>
            <w:vAlign w:val="center"/>
          </w:tcPr>
          <w:p>
            <w:pPr>
              <w:keepNext w:val="0"/>
              <w:keepLines w:val="0"/>
              <w:widowControl/>
              <w:suppressLineNumbers w:val="0"/>
              <w:jc w:val="center"/>
              <w:textAlignment w:val="center"/>
              <w:rPr>
                <w:rFonts w:hint="eastAsia" w:ascii="宋体" w:hAnsi="宋体"/>
                <w:b/>
                <w:bCs w:val="0"/>
                <w:color w:val="000000"/>
                <w:sz w:val="21"/>
                <w:szCs w:val="21"/>
                <w:highlight w:val="none"/>
              </w:rPr>
            </w:pPr>
            <w:r>
              <w:rPr>
                <w:rFonts w:hint="eastAsia" w:ascii="宋体" w:hAnsi="宋体"/>
                <w:b/>
                <w:bCs w:val="0"/>
                <w:color w:val="000000"/>
                <w:sz w:val="21"/>
                <w:szCs w:val="21"/>
                <w:highlight w:val="none"/>
              </w:rPr>
              <w:t>公众责任险</w:t>
            </w:r>
          </w:p>
        </w:tc>
        <w:tc>
          <w:tcPr>
            <w:tcW w:w="1647" w:type="dxa"/>
            <w:vAlign w:val="center"/>
          </w:tcPr>
          <w:p>
            <w:pPr>
              <w:keepNext w:val="0"/>
              <w:keepLines w:val="0"/>
              <w:widowControl/>
              <w:suppressLineNumbers w:val="0"/>
              <w:jc w:val="center"/>
              <w:textAlignment w:val="center"/>
              <w:rPr>
                <w:rFonts w:hint="eastAsia" w:ascii="宋体" w:hAnsi="宋体"/>
                <w:b/>
                <w:bCs w:val="0"/>
                <w:color w:val="000000"/>
                <w:sz w:val="21"/>
                <w:szCs w:val="21"/>
                <w:highlight w:val="none"/>
              </w:rPr>
            </w:pPr>
            <w:r>
              <w:rPr>
                <w:rFonts w:hint="eastAsia" w:ascii="宋体" w:hAnsi="宋体"/>
                <w:b/>
                <w:bCs w:val="0"/>
                <w:color w:val="000000"/>
                <w:sz w:val="21"/>
                <w:szCs w:val="21"/>
                <w:highlight w:val="none"/>
              </w:rPr>
              <w:t>现金险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73" w:hRule="atLeast"/>
          <w:jc w:val="center"/>
        </w:trPr>
        <w:tc>
          <w:tcPr>
            <w:tcW w:w="1643" w:type="dxa"/>
            <w:vAlign w:val="center"/>
          </w:tcPr>
          <w:p>
            <w:pPr>
              <w:keepNext w:val="0"/>
              <w:keepLines w:val="0"/>
              <w:widowControl/>
              <w:suppressLineNumbers w:val="0"/>
              <w:jc w:val="center"/>
              <w:textAlignment w:val="center"/>
              <w:rPr>
                <w:rFonts w:hint="default" w:ascii="宋体" w:hAnsi="宋体" w:eastAsia="宋体" w:cs="宋体"/>
                <w:b/>
                <w:bCs w:val="0"/>
                <w:i w:val="0"/>
                <w:color w:val="000000"/>
                <w:sz w:val="21"/>
                <w:szCs w:val="21"/>
                <w:highlight w:val="none"/>
                <w:u w:val="none"/>
                <w:lang w:val="en-US"/>
              </w:rPr>
            </w:pPr>
            <w:r>
              <w:rPr>
                <w:rFonts w:hint="eastAsia" w:ascii="宋体" w:hAnsi="宋体" w:eastAsia="宋体" w:cs="宋体"/>
                <w:b/>
                <w:bCs w:val="0"/>
                <w:i w:val="0"/>
                <w:color w:val="000000"/>
                <w:kern w:val="0"/>
                <w:sz w:val="21"/>
                <w:szCs w:val="21"/>
                <w:highlight w:val="none"/>
                <w:u w:val="none"/>
                <w:lang w:val="en-US" w:eastAsia="zh-CN" w:bidi="ar"/>
              </w:rPr>
              <w:t>投保金额（元）</w:t>
            </w:r>
          </w:p>
        </w:tc>
        <w:tc>
          <w:tcPr>
            <w:tcW w:w="1644" w:type="dxa"/>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color w:val="000000"/>
                <w:sz w:val="21"/>
                <w:szCs w:val="21"/>
                <w:highlight w:val="none"/>
                <w:lang w:bidi="ar"/>
              </w:rPr>
              <w:t>75亿</w:t>
            </w:r>
          </w:p>
        </w:tc>
        <w:tc>
          <w:tcPr>
            <w:tcW w:w="1643" w:type="dxa"/>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color w:val="000000"/>
                <w:sz w:val="21"/>
                <w:szCs w:val="21"/>
                <w:highlight w:val="none"/>
                <w:lang w:bidi="ar"/>
              </w:rPr>
              <w:t>5亿</w:t>
            </w:r>
          </w:p>
        </w:tc>
        <w:tc>
          <w:tcPr>
            <w:tcW w:w="1643" w:type="dxa"/>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color w:val="000000"/>
                <w:sz w:val="21"/>
                <w:szCs w:val="21"/>
                <w:highlight w:val="none"/>
                <w:lang w:bidi="ar"/>
              </w:rPr>
              <w:t>5000万</w:t>
            </w:r>
          </w:p>
        </w:tc>
        <w:tc>
          <w:tcPr>
            <w:tcW w:w="1647" w:type="dxa"/>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color w:val="000000"/>
                <w:sz w:val="21"/>
                <w:szCs w:val="21"/>
                <w:highlight w:val="none"/>
                <w:lang w:eastAsia="zh-CN" w:bidi="ar"/>
              </w:rPr>
              <w:t>1</w:t>
            </w:r>
            <w:r>
              <w:rPr>
                <w:rFonts w:hint="eastAsia" w:ascii="宋体" w:hAnsi="宋体" w:eastAsia="宋体" w:cs="宋体"/>
                <w:color w:val="000000"/>
                <w:sz w:val="21"/>
                <w:szCs w:val="21"/>
                <w:highlight w:val="none"/>
                <w:lang w:bidi="ar"/>
              </w:rPr>
              <w:t>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05" w:hRule="atLeast"/>
          <w:jc w:val="center"/>
        </w:trPr>
        <w:tc>
          <w:tcPr>
            <w:tcW w:w="1643" w:type="dxa"/>
            <w:vAlign w:val="center"/>
          </w:tcPr>
          <w:p>
            <w:pPr>
              <w:keepNext w:val="0"/>
              <w:keepLines w:val="0"/>
              <w:widowControl/>
              <w:suppressLineNumbers w:val="0"/>
              <w:jc w:val="center"/>
              <w:textAlignment w:val="center"/>
              <w:rPr>
                <w:rFonts w:hint="default" w:ascii="宋体" w:hAnsi="宋体" w:eastAsia="宋体" w:cs="宋体"/>
                <w:b/>
                <w:bCs w:val="0"/>
                <w:i w:val="0"/>
                <w:color w:val="000000"/>
                <w:kern w:val="0"/>
                <w:sz w:val="21"/>
                <w:szCs w:val="21"/>
                <w:highlight w:val="none"/>
                <w:u w:val="none"/>
                <w:lang w:val="en-US" w:eastAsia="zh-CN" w:bidi="ar"/>
              </w:rPr>
            </w:pPr>
            <w:r>
              <w:rPr>
                <w:rFonts w:hint="eastAsia" w:ascii="宋体" w:hAnsi="宋体" w:eastAsia="宋体" w:cs="宋体"/>
                <w:b/>
                <w:bCs w:val="0"/>
                <w:i w:val="0"/>
                <w:color w:val="000000"/>
                <w:kern w:val="0"/>
                <w:sz w:val="21"/>
                <w:szCs w:val="21"/>
                <w:highlight w:val="none"/>
                <w:u w:val="none"/>
                <w:lang w:val="en-US" w:eastAsia="zh-CN" w:bidi="ar"/>
              </w:rPr>
              <w:t>其他条款</w:t>
            </w:r>
          </w:p>
        </w:tc>
        <w:tc>
          <w:tcPr>
            <w:tcW w:w="6577" w:type="dxa"/>
            <w:gridSpan w:val="4"/>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lang w:eastAsia="zh-CN"/>
              </w:rPr>
            </w:pPr>
            <w:r>
              <w:rPr>
                <w:rFonts w:hint="eastAsia" w:ascii="宋体" w:hAnsi="宋体"/>
                <w:kern w:val="0"/>
                <w:sz w:val="21"/>
                <w:szCs w:val="21"/>
                <w:highlight w:val="none"/>
              </w:rPr>
              <w:t>详见</w:t>
            </w:r>
            <w:r>
              <w:rPr>
                <w:rFonts w:hint="eastAsia" w:ascii="宋体" w:hAnsi="宋体"/>
                <w:kern w:val="0"/>
                <w:sz w:val="21"/>
                <w:szCs w:val="21"/>
                <w:highlight w:val="none"/>
                <w:lang w:eastAsia="zh-CN"/>
              </w:rPr>
              <w:t>《</w:t>
            </w:r>
            <w:r>
              <w:rPr>
                <w:rFonts w:hint="eastAsia" w:ascii="宋体" w:hAnsi="宋体"/>
                <w:kern w:val="0"/>
                <w:sz w:val="21"/>
                <w:szCs w:val="21"/>
                <w:highlight w:val="none"/>
                <w:lang w:val="en-US" w:eastAsia="zh-CN"/>
              </w:rPr>
              <w:t>第四章 保险承保条件及合同格式</w:t>
            </w:r>
            <w:r>
              <w:rPr>
                <w:rFonts w:hint="eastAsia" w:ascii="宋体" w:hAnsi="宋体"/>
                <w:kern w:val="0"/>
                <w:sz w:val="21"/>
                <w:szCs w:val="21"/>
                <w:highlight w:val="none"/>
                <w:lang w:eastAsia="zh-CN"/>
              </w:rPr>
              <w:t>》</w:t>
            </w:r>
            <w:r>
              <w:rPr>
                <w:rFonts w:hint="eastAsia" w:ascii="宋体" w:hAnsi="宋体" w:eastAsia="宋体"/>
                <w:kern w:val="0"/>
                <w:sz w:val="21"/>
                <w:szCs w:val="21"/>
                <w:highlight w:val="none"/>
                <w:lang w:val="en-US" w:eastAsia="zh-CN"/>
              </w:rPr>
              <w:t xml:space="preserve"> </w:t>
            </w:r>
          </w:p>
        </w:tc>
      </w:tr>
    </w:tbl>
    <w:p>
      <w:pPr>
        <w:widowControl/>
        <w:spacing w:line="360" w:lineRule="auto"/>
        <w:ind w:firstLine="420" w:firstLineChars="200"/>
        <w:rPr>
          <w:rFonts w:hint="eastAsia" w:ascii="宋体" w:hAnsi="宋体"/>
          <w:kern w:val="0"/>
          <w:szCs w:val="21"/>
          <w:highlight w:val="none"/>
        </w:rPr>
      </w:pPr>
    </w:p>
    <w:p>
      <w:pPr>
        <w:keepNext w:val="0"/>
        <w:keepLines w:val="0"/>
        <w:pageBreakBefore w:val="0"/>
        <w:tabs>
          <w:tab w:val="left" w:pos="3240"/>
        </w:tabs>
        <w:kinsoku/>
        <w:wordWrap/>
        <w:overflowPunct/>
        <w:topLinePunct w:val="0"/>
        <w:autoSpaceDE/>
        <w:autoSpaceDN/>
        <w:bidi w:val="0"/>
        <w:adjustRightInd/>
        <w:snapToGrid w:val="0"/>
        <w:spacing w:line="360" w:lineRule="auto"/>
        <w:ind w:left="0" w:leftChars="0" w:right="0" w:rightChars="0" w:firstLine="435"/>
        <w:jc w:val="both"/>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5、近三年来发生的大额保险案件赔付情况</w:t>
      </w:r>
      <w:r>
        <w:rPr>
          <w:rFonts w:hint="eastAsia" w:ascii="宋体" w:hAnsi="宋体" w:eastAsia="宋体" w:cs="宋体"/>
          <w:b/>
          <w:bCs/>
          <w:i w:val="0"/>
          <w:color w:val="000000"/>
          <w:kern w:val="2"/>
          <w:sz w:val="24"/>
          <w:szCs w:val="24"/>
          <w:highlight w:val="none"/>
          <w:u w:val="none"/>
          <w:lang w:val="en-US" w:eastAsia="zh-CN" w:bidi="ar"/>
        </w:rPr>
        <w:t>（超20万元）</w:t>
      </w:r>
    </w:p>
    <w:p>
      <w:pPr>
        <w:tabs>
          <w:tab w:val="left" w:pos="3240"/>
        </w:tabs>
        <w:snapToGrid w:val="0"/>
        <w:spacing w:line="360" w:lineRule="auto"/>
        <w:ind w:firstLine="435"/>
        <w:rPr>
          <w:rFonts w:hint="eastAsia"/>
          <w:lang w:val="en-US" w:eastAsia="zh-CN"/>
        </w:rPr>
      </w:pPr>
      <w:r>
        <w:rPr>
          <w:rFonts w:hint="eastAsia" w:ascii="宋体" w:hAnsi="宋体" w:eastAsia="宋体" w:cs="宋体"/>
          <w:b/>
          <w:bCs/>
          <w:color w:val="000000"/>
          <w:sz w:val="24"/>
          <w:szCs w:val="24"/>
          <w:highlight w:val="none"/>
          <w:lang w:val="en-US" w:eastAsia="zh-CN"/>
        </w:rPr>
        <w:t>无</w:t>
      </w:r>
    </w:p>
    <w:p>
      <w:pPr>
        <w:tabs>
          <w:tab w:val="left" w:pos="3240"/>
        </w:tabs>
        <w:snapToGrid w:val="0"/>
        <w:spacing w:line="360" w:lineRule="auto"/>
        <w:ind w:firstLine="435"/>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6、理赔时效要求</w:t>
      </w:r>
    </w:p>
    <w:p>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（1）10万元以下的赔案，3个工作日内作出赔付；</w:t>
      </w:r>
    </w:p>
    <w:p>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（2）10～50万元的赔案，7个工作日内作出赔付；</w:t>
      </w:r>
    </w:p>
    <w:p>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（3）50～150万元的赔案，10个工作日内作出赔付；</w:t>
      </w:r>
    </w:p>
    <w:p>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（4）150万元以上赔案，15个工作日内作出赔付。</w:t>
      </w:r>
    </w:p>
    <w:p>
      <w:pPr>
        <w:widowControl/>
        <w:spacing w:line="360" w:lineRule="auto"/>
        <w:ind w:firstLine="420" w:firstLineChars="200"/>
        <w:rPr>
          <w:rFonts w:hint="eastAsia"/>
        </w:rPr>
      </w:pPr>
      <w:r>
        <w:rPr>
          <w:rFonts w:hint="eastAsia" w:ascii="宋体" w:hAnsi="宋体"/>
          <w:bCs/>
          <w:kern w:val="0"/>
          <w:szCs w:val="21"/>
          <w:highlight w:val="none"/>
        </w:rPr>
        <w:t>发生案件理赔时，在</w:t>
      </w:r>
      <w:r>
        <w:rPr>
          <w:rFonts w:hint="eastAsia" w:ascii="宋体" w:hAnsi="宋体"/>
          <w:bCs/>
          <w:kern w:val="0"/>
          <w:szCs w:val="21"/>
          <w:highlight w:val="none"/>
          <w:lang w:val="en-US" w:eastAsia="zh-CN"/>
        </w:rPr>
        <w:t>被保险人</w:t>
      </w:r>
      <w:r>
        <w:rPr>
          <w:rFonts w:hint="eastAsia" w:ascii="宋体" w:hAnsi="宋体"/>
          <w:bCs/>
          <w:kern w:val="0"/>
          <w:szCs w:val="21"/>
          <w:highlight w:val="none"/>
        </w:rPr>
        <w:t>提交必要的所需资料后，保险单位</w:t>
      </w:r>
      <w:r>
        <w:rPr>
          <w:rFonts w:hint="eastAsia" w:ascii="宋体" w:hAnsi="宋体"/>
          <w:bCs/>
          <w:kern w:val="0"/>
          <w:szCs w:val="21"/>
          <w:highlight w:val="none"/>
          <w:lang w:val="en-US" w:eastAsia="zh-CN"/>
        </w:rPr>
        <w:t>审核通过，被保险人提交加盖公司印章的赔付确认函后须</w:t>
      </w:r>
      <w:r>
        <w:rPr>
          <w:rFonts w:hint="eastAsia" w:ascii="宋体" w:hAnsi="宋体"/>
          <w:bCs/>
          <w:kern w:val="0"/>
          <w:szCs w:val="21"/>
          <w:highlight w:val="none"/>
        </w:rPr>
        <w:t>按以上时间内进行赔付。如出现取证困难的案件，保险单位需协助</w:t>
      </w:r>
      <w:r>
        <w:rPr>
          <w:rFonts w:hint="eastAsia" w:ascii="宋体" w:hAnsi="宋体"/>
          <w:bCs/>
          <w:kern w:val="0"/>
          <w:szCs w:val="21"/>
          <w:highlight w:val="none"/>
          <w:lang w:val="en-US" w:eastAsia="zh-CN"/>
        </w:rPr>
        <w:t>被保险人</w:t>
      </w:r>
      <w:r>
        <w:rPr>
          <w:rFonts w:hint="eastAsia" w:ascii="宋体" w:hAnsi="宋体"/>
          <w:bCs/>
          <w:kern w:val="0"/>
          <w:szCs w:val="21"/>
          <w:highlight w:val="none"/>
        </w:rPr>
        <w:t>收集索赔资料。</w:t>
      </w:r>
    </w:p>
    <w:p>
      <w:pPr>
        <w:tabs>
          <w:tab w:val="left" w:pos="3240"/>
        </w:tabs>
        <w:snapToGrid w:val="0"/>
        <w:spacing w:line="360" w:lineRule="auto"/>
        <w:ind w:firstLine="435"/>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7、索赔资料要求</w:t>
      </w:r>
    </w:p>
    <w:tbl>
      <w:tblPr>
        <w:tblStyle w:val="12"/>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548" w:type="dxa"/>
            <w:vAlign w:val="center"/>
          </w:tcPr>
          <w:p>
            <w:pPr>
              <w:snapToGrid w:val="0"/>
              <w:jc w:val="center"/>
              <w:rPr>
                <w:rFonts w:hint="eastAsia" w:ascii="宋体" w:hAnsi="宋体"/>
                <w:highlight w:val="none"/>
              </w:rPr>
            </w:pPr>
            <w:r>
              <w:rPr>
                <w:rFonts w:hint="eastAsia" w:ascii="宋体" w:hAnsi="宋体"/>
                <w:highlight w:val="none"/>
              </w:rPr>
              <w:t>险种类型</w:t>
            </w:r>
          </w:p>
        </w:tc>
        <w:tc>
          <w:tcPr>
            <w:tcW w:w="6300" w:type="dxa"/>
            <w:vAlign w:val="center"/>
          </w:tcPr>
          <w:p>
            <w:pPr>
              <w:snapToGrid w:val="0"/>
              <w:jc w:val="center"/>
              <w:rPr>
                <w:rFonts w:hint="eastAsia" w:ascii="宋体" w:hAnsi="宋体"/>
                <w:highlight w:val="none"/>
              </w:rPr>
            </w:pPr>
            <w:r>
              <w:rPr>
                <w:rFonts w:hint="eastAsia" w:ascii="宋体" w:hAnsi="宋体"/>
                <w:highlight w:val="none"/>
              </w:rPr>
              <w:t>资料要求</w:t>
            </w:r>
          </w:p>
        </w:tc>
        <w:tc>
          <w:tcPr>
            <w:tcW w:w="1080" w:type="dxa"/>
            <w:vAlign w:val="center"/>
          </w:tcPr>
          <w:p>
            <w:pPr>
              <w:snapToGrid w:val="0"/>
              <w:jc w:val="center"/>
              <w:rPr>
                <w:rFonts w:hint="eastAsia" w:ascii="宋体" w:hAnsi="宋体"/>
                <w:highlight w:val="none"/>
              </w:rPr>
            </w:pPr>
            <w:r>
              <w:rPr>
                <w:rFonts w:hint="eastAsia" w:ascii="宋体" w:hAnsi="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1548" w:type="dxa"/>
            <w:vAlign w:val="center"/>
          </w:tcPr>
          <w:p>
            <w:pPr>
              <w:snapToGrid w:val="0"/>
              <w:jc w:val="center"/>
              <w:rPr>
                <w:rFonts w:hint="eastAsia" w:ascii="宋体" w:hAnsi="宋体"/>
                <w:highlight w:val="none"/>
              </w:rPr>
            </w:pPr>
            <w:r>
              <w:rPr>
                <w:rFonts w:hint="eastAsia" w:ascii="宋体" w:hAnsi="宋体"/>
                <w:highlight w:val="none"/>
              </w:rPr>
              <w:t>财产一切险</w:t>
            </w:r>
          </w:p>
        </w:tc>
        <w:tc>
          <w:tcPr>
            <w:tcW w:w="6300" w:type="dxa"/>
            <w:vAlign w:val="center"/>
          </w:tcPr>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(a)出险通知书（保险公司提供空白的该单证）；</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(b)索赔报告；</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(c)由第三者引起的责任事故，被保险人追偿未果向保险公司提出索赔时，填写权益转让书；</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(d)发生盗窃、肇事逃逸、火灾、雷击等造成被保险人财产损失的，被保险人应提供路段路政大队证明。</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(e)损失清单；</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(f)事故现场相片。</w:t>
            </w:r>
          </w:p>
        </w:tc>
        <w:tc>
          <w:tcPr>
            <w:tcW w:w="1080" w:type="dxa"/>
            <w:vAlign w:val="center"/>
          </w:tcPr>
          <w:p>
            <w:pPr>
              <w:snapToGrid w:val="0"/>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1548" w:type="dxa"/>
            <w:vAlign w:val="center"/>
          </w:tcPr>
          <w:p>
            <w:pPr>
              <w:snapToGrid w:val="0"/>
              <w:jc w:val="center"/>
              <w:rPr>
                <w:rFonts w:hint="eastAsia" w:ascii="宋体" w:hAnsi="宋体"/>
                <w:highlight w:val="none"/>
              </w:rPr>
            </w:pPr>
            <w:r>
              <w:rPr>
                <w:rFonts w:hint="eastAsia" w:ascii="宋体" w:hAnsi="宋体"/>
                <w:highlight w:val="none"/>
              </w:rPr>
              <w:t>公众责任险</w:t>
            </w:r>
          </w:p>
        </w:tc>
        <w:tc>
          <w:tcPr>
            <w:tcW w:w="6300" w:type="dxa"/>
            <w:vAlign w:val="center"/>
          </w:tcPr>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(a)保险单；</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(b)出险通知书及索赔报告；</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(c)现场照片或录像资料；</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(d)第三者向</w:t>
            </w:r>
            <w:r>
              <w:rPr>
                <w:rFonts w:hint="eastAsia" w:ascii="宋体" w:hAnsi="宋体" w:eastAsia="宋体" w:cs="Times New Roman"/>
                <w:kern w:val="0"/>
                <w:szCs w:val="21"/>
                <w:highlight w:val="none"/>
                <w:lang w:val="en-US" w:eastAsia="zh-CN"/>
              </w:rPr>
              <w:t>投保人</w:t>
            </w:r>
            <w:r>
              <w:rPr>
                <w:rFonts w:hint="eastAsia" w:ascii="宋体" w:hAnsi="宋体" w:eastAsia="宋体" w:cs="Times New Roman"/>
                <w:kern w:val="0"/>
                <w:szCs w:val="21"/>
                <w:highlight w:val="none"/>
                <w:lang w:eastAsia="zh-CN"/>
              </w:rPr>
              <w:t>提出索赔的报告；</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涉及第三者财产损失应提供：</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(a)受侵权人财产索赔清单；</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(b)财产购买发票、维修费用或重置发票。</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涉及第三者人身伤害应提供：</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(a）伤者病历或诊断书；</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(b）医疗费单据。</w:t>
            </w:r>
          </w:p>
        </w:tc>
        <w:tc>
          <w:tcPr>
            <w:tcW w:w="1080" w:type="dxa"/>
            <w:vAlign w:val="center"/>
          </w:tcPr>
          <w:p>
            <w:pPr>
              <w:snapToGrid w:val="0"/>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1548" w:type="dxa"/>
            <w:vAlign w:val="center"/>
          </w:tcPr>
          <w:p>
            <w:pPr>
              <w:snapToGrid w:val="0"/>
              <w:jc w:val="center"/>
              <w:rPr>
                <w:rFonts w:hint="eastAsia" w:ascii="宋体" w:hAnsi="宋体"/>
                <w:highlight w:val="none"/>
              </w:rPr>
            </w:pPr>
            <w:r>
              <w:rPr>
                <w:rFonts w:hint="eastAsia" w:ascii="宋体" w:hAnsi="宋体"/>
                <w:highlight w:val="none"/>
              </w:rPr>
              <w:t>现金保险</w:t>
            </w:r>
          </w:p>
        </w:tc>
        <w:tc>
          <w:tcPr>
            <w:tcW w:w="6300" w:type="dxa"/>
            <w:vAlign w:val="center"/>
          </w:tcPr>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(a)保险单；</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(b)出险通知书及索赔报告；</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(c)现场照片或录像资料；</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(d)现金损失清单。</w:t>
            </w:r>
          </w:p>
        </w:tc>
        <w:tc>
          <w:tcPr>
            <w:tcW w:w="1080" w:type="dxa"/>
            <w:vAlign w:val="center"/>
          </w:tcPr>
          <w:p>
            <w:pPr>
              <w:snapToGrid w:val="0"/>
              <w:jc w:val="center"/>
              <w:rPr>
                <w:rFonts w:hint="eastAsia" w:ascii="宋体" w:hAnsi="宋体"/>
                <w:highlight w:val="none"/>
              </w:rPr>
            </w:pPr>
          </w:p>
        </w:tc>
      </w:tr>
    </w:tbl>
    <w:p>
      <w:pPr>
        <w:pStyle w:val="3"/>
        <w:ind w:left="0" w:leftChars="0" w:firstLine="0" w:firstLineChars="0"/>
        <w:rPr>
          <w:rFonts w:hint="eastAsia" w:ascii="宋体" w:hAnsi="宋体" w:eastAsia="宋体" w:cs="宋体"/>
          <w:b/>
          <w:sz w:val="30"/>
          <w:szCs w:val="30"/>
          <w:highlight w:val="none"/>
          <w:lang w:val="en-US" w:eastAsia="zh-CN"/>
        </w:rPr>
      </w:pPr>
      <w:r>
        <w:rPr>
          <w:rFonts w:hint="eastAsia" w:ascii="宋体" w:hAnsi="宋体" w:cs="宋体"/>
          <w:b/>
          <w:sz w:val="30"/>
          <w:szCs w:val="30"/>
          <w:highlight w:val="none"/>
        </w:rPr>
        <w:br w:type="page"/>
      </w:r>
      <w:r>
        <w:rPr>
          <w:rFonts w:hint="eastAsia" w:ascii="宋体" w:hAnsi="宋体" w:cs="宋体"/>
          <w:b/>
          <w:sz w:val="30"/>
          <w:szCs w:val="30"/>
          <w:highlight w:val="none"/>
        </w:rPr>
        <w:t>附件</w:t>
      </w:r>
      <w:r>
        <w:rPr>
          <w:rFonts w:hint="eastAsia" w:ascii="宋体" w:hAnsi="宋体" w:eastAsia="宋体" w:cs="宋体"/>
          <w:b/>
          <w:sz w:val="30"/>
          <w:szCs w:val="30"/>
          <w:highlight w:val="none"/>
          <w:lang w:val="en-US" w:eastAsia="zh-CN"/>
        </w:rPr>
        <w:t>3</w:t>
      </w:r>
      <w:r>
        <w:rPr>
          <w:rFonts w:hint="eastAsia" w:ascii="宋体" w:hAnsi="宋体" w:cs="宋体"/>
          <w:b/>
          <w:sz w:val="30"/>
          <w:szCs w:val="30"/>
          <w:highlight w:val="none"/>
        </w:rPr>
        <w:t>:</w:t>
      </w:r>
      <w:r>
        <w:rPr>
          <w:rFonts w:ascii="宋体" w:hAnsi="宋体"/>
          <w:b/>
          <w:bCs/>
          <w:color w:val="000000"/>
          <w:sz w:val="28"/>
          <w:szCs w:val="28"/>
          <w:highlight w:val="none"/>
        </w:rPr>
        <w:t>资格审查条件</w:t>
      </w:r>
    </w:p>
    <w:p>
      <w:pPr>
        <w:snapToGrid w:val="0"/>
        <w:spacing w:line="360" w:lineRule="auto"/>
        <w:rPr>
          <w:rFonts w:hint="eastAsia" w:ascii="宋体" w:hAnsi="宋体"/>
          <w:sz w:val="24"/>
          <w:szCs w:val="24"/>
          <w:highlight w:val="none"/>
        </w:rPr>
      </w:pPr>
    </w:p>
    <w:p>
      <w:pPr>
        <w:adjustRightInd w:val="0"/>
        <w:snapToGrid w:val="0"/>
        <w:spacing w:line="360" w:lineRule="auto"/>
        <w:jc w:val="center"/>
        <w:rPr>
          <w:rFonts w:hint="eastAsia" w:ascii="宋体" w:hAnsi="宋体"/>
          <w:color w:val="000000"/>
          <w:sz w:val="24"/>
          <w:highlight w:val="none"/>
        </w:rPr>
      </w:pPr>
      <w:r>
        <w:rPr>
          <w:rFonts w:ascii="宋体" w:hAnsi="宋体"/>
          <w:b/>
          <w:bCs/>
          <w:color w:val="000000"/>
          <w:sz w:val="28"/>
          <w:szCs w:val="28"/>
          <w:highlight w:val="none"/>
        </w:rPr>
        <w:t>附录1</w:t>
      </w:r>
      <w:r>
        <w:rPr>
          <w:rFonts w:hint="eastAsia" w:ascii="宋体" w:hAnsi="宋体" w:eastAsia="宋体"/>
          <w:b/>
          <w:bCs/>
          <w:color w:val="000000"/>
          <w:sz w:val="28"/>
          <w:szCs w:val="28"/>
          <w:highlight w:val="none"/>
          <w:lang w:val="en-US" w:eastAsia="zh-CN"/>
        </w:rPr>
        <w:t>-1</w:t>
      </w:r>
      <w:r>
        <w:rPr>
          <w:rFonts w:ascii="宋体" w:hAnsi="宋体"/>
          <w:b/>
          <w:bCs/>
          <w:color w:val="000000"/>
          <w:sz w:val="28"/>
          <w:szCs w:val="28"/>
          <w:highlight w:val="none"/>
        </w:rPr>
        <w:t xml:space="preserve"> 资格审查条件(资质最低条件)</w:t>
      </w:r>
    </w:p>
    <w:tbl>
      <w:tblPr>
        <w:tblStyle w:val="11"/>
        <w:tblW w:w="9200"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9200" w:type="dxa"/>
            <w:vAlign w:val="center"/>
          </w:tcPr>
          <w:p>
            <w:pPr>
              <w:widowControl/>
              <w:snapToGrid w:val="0"/>
              <w:spacing w:line="360" w:lineRule="auto"/>
              <w:jc w:val="center"/>
              <w:rPr>
                <w:rFonts w:ascii="宋体" w:hAnsi="宋体" w:cs="宋体"/>
                <w:b/>
                <w:kern w:val="0"/>
                <w:szCs w:val="21"/>
                <w:highlight w:val="none"/>
              </w:rPr>
            </w:pPr>
            <w:r>
              <w:rPr>
                <w:rFonts w:ascii="宋体" w:hAnsi="宋体"/>
                <w:color w:val="000000"/>
                <w:sz w:val="24"/>
                <w:szCs w:val="24"/>
                <w:highlight w:val="none"/>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3" w:hRule="atLeast"/>
          <w:jc w:val="center"/>
        </w:trPr>
        <w:tc>
          <w:tcPr>
            <w:tcW w:w="9200" w:type="dxa"/>
            <w:vAlign w:val="center"/>
          </w:tcPr>
          <w:p>
            <w:pPr>
              <w:widowControl/>
              <w:numPr>
                <w:ilvl w:val="0"/>
                <w:numId w:val="0"/>
              </w:numPr>
              <w:snapToGrid w:val="0"/>
              <w:spacing w:line="360" w:lineRule="auto"/>
              <w:jc w:val="left"/>
              <w:rPr>
                <w:rFonts w:hint="eastAsia"/>
                <w:highlight w:val="none"/>
              </w:rPr>
            </w:pPr>
          </w:p>
          <w:p>
            <w:pPr>
              <w:widowControl/>
              <w:numPr>
                <w:ilvl w:val="0"/>
                <w:numId w:val="1"/>
              </w:numPr>
              <w:snapToGrid w:val="0"/>
              <w:spacing w:line="360" w:lineRule="auto"/>
              <w:jc w:val="left"/>
              <w:rPr>
                <w:rFonts w:hint="eastAsia"/>
                <w:highlight w:val="none"/>
              </w:rPr>
            </w:pPr>
            <w:r>
              <w:rPr>
                <w:rFonts w:hint="eastAsia"/>
                <w:highlight w:val="none"/>
              </w:rPr>
              <w:t>投标人</w:t>
            </w:r>
            <w:r>
              <w:rPr>
                <w:rFonts w:hint="eastAsia"/>
                <w:highlight w:val="none"/>
                <w:lang w:eastAsia="zh-CN"/>
              </w:rPr>
              <w:t>或其总公司</w:t>
            </w:r>
            <w:r>
              <w:rPr>
                <w:rFonts w:hint="eastAsia"/>
                <w:highlight w:val="none"/>
              </w:rPr>
              <w:t>必须是在国内成立并有效存续、由</w:t>
            </w:r>
            <w:r>
              <w:rPr>
                <w:rFonts w:hint="eastAsia"/>
                <w:highlight w:val="none"/>
                <w:lang w:val="en-US" w:eastAsia="zh-CN"/>
              </w:rPr>
              <w:t>国家金融监督管理总局（原</w:t>
            </w:r>
            <w:r>
              <w:rPr>
                <w:rFonts w:hint="eastAsia"/>
                <w:highlight w:val="none"/>
              </w:rPr>
              <w:t>中国</w:t>
            </w:r>
            <w:r>
              <w:rPr>
                <w:rFonts w:hint="eastAsia"/>
                <w:highlight w:val="none"/>
                <w:lang w:val="en-US" w:eastAsia="zh-CN"/>
              </w:rPr>
              <w:t>银行</w:t>
            </w:r>
            <w:r>
              <w:rPr>
                <w:rFonts w:hint="eastAsia"/>
                <w:highlight w:val="none"/>
              </w:rPr>
              <w:t>保险监督管理委员会</w:t>
            </w:r>
            <w:r>
              <w:rPr>
                <w:rFonts w:hint="eastAsia"/>
                <w:highlight w:val="none"/>
                <w:lang w:val="en-US" w:eastAsia="zh-CN"/>
              </w:rPr>
              <w:t>）</w:t>
            </w:r>
            <w:r>
              <w:rPr>
                <w:rFonts w:hint="eastAsia"/>
                <w:highlight w:val="none"/>
              </w:rPr>
              <w:t>批准开展财产保险业务、并具有独立法人资格的保险公司</w:t>
            </w:r>
            <w:r>
              <w:rPr>
                <w:rFonts w:hint="eastAsia"/>
                <w:highlight w:val="none"/>
                <w:lang w:eastAsia="zh-CN"/>
              </w:rPr>
              <w:t>。若投标人为该保险公司</w:t>
            </w:r>
            <w:r>
              <w:rPr>
                <w:rFonts w:hint="eastAsia"/>
                <w:highlight w:val="none"/>
                <w:lang w:val="en-US" w:eastAsia="zh-CN"/>
              </w:rPr>
              <w:t>的</w:t>
            </w:r>
            <w:r>
              <w:rPr>
                <w:rFonts w:hint="eastAsia"/>
                <w:highlight w:val="none"/>
                <w:lang w:eastAsia="zh-CN"/>
              </w:rPr>
              <w:t>省级</w:t>
            </w:r>
            <w:r>
              <w:rPr>
                <w:rFonts w:hint="eastAsia"/>
                <w:highlight w:val="none"/>
                <w:lang w:val="en-US" w:eastAsia="zh-CN"/>
              </w:rPr>
              <w:t>分公司</w:t>
            </w:r>
            <w:r>
              <w:rPr>
                <w:rFonts w:hint="eastAsia"/>
                <w:highlight w:val="none"/>
                <w:lang w:eastAsia="zh-CN"/>
              </w:rPr>
              <w:t>，</w:t>
            </w:r>
            <w:r>
              <w:rPr>
                <w:rFonts w:hint="eastAsia"/>
                <w:highlight w:val="none"/>
              </w:rPr>
              <w:t>须提供</w:t>
            </w:r>
            <w:r>
              <w:rPr>
                <w:rFonts w:hint="eastAsia"/>
                <w:highlight w:val="none"/>
                <w:lang w:eastAsia="zh-CN"/>
              </w:rPr>
              <w:t>投标人总公司</w:t>
            </w:r>
            <w:r>
              <w:rPr>
                <w:rFonts w:hint="eastAsia"/>
                <w:highlight w:val="none"/>
              </w:rPr>
              <w:t>开具的对本项目投标的唯一授权书，格式详见附件1。</w:t>
            </w:r>
          </w:p>
          <w:p>
            <w:pPr>
              <w:widowControl/>
              <w:numPr>
                <w:ilvl w:val="0"/>
                <w:numId w:val="1"/>
              </w:numPr>
              <w:snapToGrid w:val="0"/>
              <w:spacing w:line="360" w:lineRule="auto"/>
              <w:jc w:val="left"/>
              <w:rPr>
                <w:rFonts w:hint="eastAsia"/>
                <w:highlight w:val="none"/>
              </w:rPr>
            </w:pPr>
            <w:r>
              <w:rPr>
                <w:rFonts w:hint="eastAsia"/>
                <w:highlight w:val="none"/>
              </w:rPr>
              <w:t>投标人在广东省境内须设有分支机构</w:t>
            </w:r>
            <w:r>
              <w:rPr>
                <w:rFonts w:hint="eastAsia"/>
                <w:highlight w:val="none"/>
                <w:lang w:eastAsia="zh-CN"/>
              </w:rPr>
              <w:t>。</w:t>
            </w:r>
          </w:p>
          <w:p>
            <w:pPr>
              <w:pStyle w:val="4"/>
              <w:rPr>
                <w:rFonts w:hint="eastAsia"/>
                <w:highlight w:val="none"/>
              </w:rPr>
            </w:pPr>
          </w:p>
          <w:p>
            <w:pPr>
              <w:widowControl/>
              <w:adjustRightInd w:val="0"/>
              <w:snapToGrid w:val="0"/>
              <w:spacing w:beforeLines="0" w:line="400" w:lineRule="atLeast"/>
              <w:ind w:firstLine="270" w:firstLineChars="150"/>
              <w:jc w:val="left"/>
              <w:rPr>
                <w:rFonts w:hint="eastAsia" w:ascii="宋体" w:hAnsi="宋体" w:eastAsia="宋体" w:cs="宋体"/>
                <w:color w:val="000000"/>
                <w:sz w:val="18"/>
                <w:szCs w:val="18"/>
                <w:highlight w:val="none"/>
                <w:lang w:val="en-US" w:eastAsia="zh-CN"/>
              </w:rPr>
            </w:pPr>
            <w:r>
              <w:rPr>
                <w:rFonts w:hint="eastAsia" w:ascii="宋体" w:hAnsi="宋体" w:eastAsia="宋体" w:cs="宋体"/>
                <w:kern w:val="2"/>
                <w:sz w:val="18"/>
                <w:szCs w:val="18"/>
                <w:highlight w:val="none"/>
                <w:lang w:val="en-US" w:eastAsia="zh-CN"/>
              </w:rPr>
              <w:t>注：</w:t>
            </w:r>
            <w:r>
              <w:rPr>
                <w:rFonts w:hint="eastAsia" w:ascii="宋体" w:hAnsi="宋体" w:eastAsia="宋体" w:cs="宋体"/>
                <w:sz w:val="18"/>
                <w:szCs w:val="18"/>
                <w:highlight w:val="none"/>
                <w:lang w:val="en-US" w:eastAsia="zh-CN" w:bidi="ar"/>
              </w:rPr>
              <w:t>应附企业法人营业执照</w:t>
            </w:r>
            <w:r>
              <w:rPr>
                <w:rFonts w:hint="eastAsia" w:ascii="宋体" w:hAnsi="宋体" w:eastAsia="宋体" w:cs="宋体"/>
                <w:color w:val="000000"/>
                <w:kern w:val="2"/>
                <w:sz w:val="18"/>
                <w:szCs w:val="18"/>
                <w:highlight w:val="none"/>
                <w:lang w:val="en-US" w:eastAsia="zh-CN"/>
              </w:rPr>
              <w:t>（投标人为省级分公司，需再附省级营业执照副本及广东省内分支机构的营业执照副本（对应附录1-1第2点））</w:t>
            </w:r>
            <w:r>
              <w:rPr>
                <w:rFonts w:hint="eastAsia" w:ascii="宋体" w:hAnsi="宋体" w:eastAsia="宋体" w:cs="宋体"/>
                <w:sz w:val="18"/>
                <w:szCs w:val="18"/>
                <w:highlight w:val="none"/>
                <w:lang w:val="en-US" w:eastAsia="zh-CN" w:bidi="ar"/>
              </w:rPr>
              <w:t>、</w:t>
            </w:r>
            <w:r>
              <w:rPr>
                <w:rFonts w:hint="eastAsia" w:ascii="宋体" w:hAnsi="宋体" w:eastAsia="宋体" w:cs="宋体"/>
                <w:color w:val="000000"/>
                <w:kern w:val="2"/>
                <w:sz w:val="18"/>
                <w:szCs w:val="18"/>
                <w:highlight w:val="none"/>
                <w:lang w:val="en-US" w:eastAsia="zh-CN"/>
              </w:rPr>
              <w:t>保险许可证副本、</w:t>
            </w:r>
            <w:r>
              <w:rPr>
                <w:rFonts w:hint="eastAsia" w:ascii="宋体" w:hAnsi="宋体" w:eastAsia="宋体" w:cs="宋体"/>
                <w:sz w:val="18"/>
                <w:szCs w:val="18"/>
                <w:highlight w:val="none"/>
                <w:lang w:val="en-US" w:eastAsia="zh-CN" w:bidi="ar"/>
              </w:rPr>
              <w:t>基本账户开户许可证（如企业所在地已取消企业银行账户许可而无法提供开户许可证的， 则需附上开户银行出具的“基本存款账户信息” 或“人民银行账户管理系统查询的基本账户信息截图”，下同） 的复印件。</w:t>
            </w:r>
          </w:p>
          <w:p>
            <w:pPr>
              <w:rPr>
                <w:rFonts w:hint="eastAsia" w:eastAsia="宋体"/>
                <w:highlight w:val="none"/>
                <w:lang w:val="en-US" w:eastAsia="zh-CN"/>
              </w:rPr>
            </w:pPr>
          </w:p>
        </w:tc>
      </w:tr>
    </w:tbl>
    <w:p>
      <w:pPr>
        <w:snapToGrid w:val="0"/>
        <w:spacing w:line="360" w:lineRule="auto"/>
        <w:ind w:firstLine="420" w:firstLineChars="200"/>
        <w:rPr>
          <w:rFonts w:hint="eastAsia" w:ascii="宋体" w:hAnsi="宋体"/>
          <w:highlight w:val="none"/>
        </w:rPr>
      </w:pPr>
    </w:p>
    <w:p>
      <w:pPr>
        <w:snapToGrid w:val="0"/>
        <w:spacing w:line="360" w:lineRule="auto"/>
        <w:jc w:val="center"/>
        <w:rPr>
          <w:rFonts w:ascii="宋体" w:hAnsi="宋体"/>
          <w:sz w:val="24"/>
          <w:szCs w:val="24"/>
          <w:highlight w:val="none"/>
        </w:rPr>
      </w:pPr>
      <w:r>
        <w:rPr>
          <w:rFonts w:hint="eastAsia" w:ascii="宋体" w:hAnsi="宋体" w:eastAsia="Calibri" w:cs="宋体"/>
          <w:b/>
          <w:sz w:val="28"/>
          <w:szCs w:val="28"/>
          <w:highlight w:val="none"/>
        </w:rPr>
        <w:t>附录1-</w:t>
      </w:r>
      <w:r>
        <w:rPr>
          <w:rFonts w:hint="eastAsia" w:ascii="宋体" w:hAnsi="宋体" w:eastAsia="Calibri" w:cs="宋体"/>
          <w:b/>
          <w:sz w:val="28"/>
          <w:szCs w:val="28"/>
          <w:highlight w:val="none"/>
          <w:lang w:val="en-US" w:eastAsia="zh-CN"/>
        </w:rPr>
        <w:t>2</w:t>
      </w:r>
      <w:r>
        <w:rPr>
          <w:rFonts w:hint="eastAsia" w:ascii="宋体" w:hAnsi="宋体" w:eastAsia="Calibri" w:cs="宋体"/>
          <w:b/>
          <w:sz w:val="28"/>
          <w:szCs w:val="28"/>
          <w:highlight w:val="none"/>
        </w:rPr>
        <w:t xml:space="preserve"> </w:t>
      </w:r>
      <w:r>
        <w:rPr>
          <w:rFonts w:hint="eastAsia" w:ascii="宋体" w:hAnsi="宋体" w:eastAsia="Calibri" w:cs="宋体"/>
          <w:b/>
          <w:bCs w:val="0"/>
          <w:sz w:val="28"/>
          <w:szCs w:val="28"/>
          <w:highlight w:val="none"/>
        </w:rPr>
        <w:t>资格审查条件</w:t>
      </w:r>
      <w:r>
        <w:rPr>
          <w:rFonts w:hint="eastAsia" w:ascii="宋体" w:hAnsi="宋体" w:eastAsia="Calibri" w:cs="宋体"/>
          <w:b/>
          <w:bCs w:val="0"/>
          <w:sz w:val="28"/>
          <w:szCs w:val="28"/>
          <w:highlight w:val="none"/>
          <w:lang w:eastAsia="zh-CN"/>
        </w:rPr>
        <w:t>（</w:t>
      </w:r>
      <w:r>
        <w:rPr>
          <w:rFonts w:hint="eastAsia" w:ascii="宋体" w:hAnsi="宋体" w:eastAsia="Calibri" w:cs="宋体"/>
          <w:b/>
          <w:sz w:val="28"/>
          <w:szCs w:val="28"/>
          <w:highlight w:val="none"/>
        </w:rPr>
        <w:t>财务最低要求</w:t>
      </w:r>
      <w:r>
        <w:rPr>
          <w:rFonts w:hint="eastAsia" w:ascii="宋体" w:hAnsi="宋体" w:eastAsia="Calibri" w:cs="宋体"/>
          <w:b/>
          <w:bCs w:val="0"/>
          <w:sz w:val="28"/>
          <w:szCs w:val="28"/>
          <w:highlight w:val="none"/>
          <w:lang w:eastAsia="zh-CN"/>
        </w:rPr>
        <w:t>）</w:t>
      </w:r>
    </w:p>
    <w:tbl>
      <w:tblPr>
        <w:tblStyle w:val="11"/>
        <w:tblW w:w="9195"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9195" w:type="dxa"/>
            <w:vAlign w:val="center"/>
          </w:tcPr>
          <w:p>
            <w:pPr>
              <w:widowControl/>
              <w:snapToGrid w:val="0"/>
              <w:spacing w:line="360" w:lineRule="auto"/>
              <w:jc w:val="center"/>
              <w:rPr>
                <w:rFonts w:ascii="宋体" w:hAnsi="宋体" w:cs="宋体"/>
                <w:b/>
                <w:kern w:val="0"/>
                <w:szCs w:val="21"/>
                <w:highlight w:val="none"/>
              </w:rPr>
            </w:pPr>
            <w:r>
              <w:rPr>
                <w:rFonts w:ascii="宋体" w:hAnsi="宋体" w:eastAsia="Calibri" w:cs="Times New Roman"/>
                <w:color w:val="000000"/>
                <w:sz w:val="24"/>
                <w:szCs w:val="24"/>
                <w:highlight w:val="none"/>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0" w:hRule="atLeast"/>
          <w:jc w:val="center"/>
        </w:trPr>
        <w:tc>
          <w:tcPr>
            <w:tcW w:w="9195" w:type="dxa"/>
            <w:vAlign w:val="center"/>
          </w:tcPr>
          <w:p>
            <w:pPr>
              <w:widowControl/>
              <w:numPr>
                <w:ilvl w:val="0"/>
                <w:numId w:val="2"/>
              </w:numPr>
              <w:adjustRightInd/>
              <w:snapToGrid w:val="0"/>
              <w:spacing w:line="360" w:lineRule="auto"/>
              <w:ind w:firstLine="0" w:firstLineChars="0"/>
              <w:jc w:val="left"/>
              <w:rPr>
                <w:rFonts w:hint="eastAsia" w:ascii="宋体" w:hAnsi="宋体" w:eastAsia="Calibri" w:cs="Times New Roman"/>
                <w:b w:val="0"/>
                <w:bCs w:val="0"/>
                <w:kern w:val="2"/>
                <w:sz w:val="21"/>
                <w:szCs w:val="21"/>
                <w:highlight w:val="none"/>
                <w:lang w:val="en-US" w:eastAsia="zh-CN"/>
              </w:rPr>
            </w:pPr>
            <w:r>
              <w:rPr>
                <w:rFonts w:hint="eastAsia" w:ascii="宋体" w:hAnsi="宋体" w:eastAsia="Calibri" w:cs="Times New Roman"/>
                <w:b w:val="0"/>
                <w:bCs w:val="0"/>
                <w:kern w:val="2"/>
                <w:sz w:val="21"/>
                <w:szCs w:val="21"/>
                <w:highlight w:val="none"/>
              </w:rPr>
              <w:t>投标人</w:t>
            </w:r>
            <w:r>
              <w:rPr>
                <w:rFonts w:hint="eastAsia" w:ascii="宋体" w:hAnsi="宋体" w:eastAsia="Calibri" w:cs="Times New Roman"/>
                <w:b w:val="0"/>
                <w:bCs w:val="0"/>
                <w:kern w:val="2"/>
                <w:sz w:val="21"/>
                <w:szCs w:val="21"/>
                <w:highlight w:val="none"/>
                <w:lang w:eastAsia="zh-CN"/>
              </w:rPr>
              <w:t>或其总公司</w:t>
            </w:r>
            <w:r>
              <w:rPr>
                <w:rFonts w:hint="eastAsia" w:ascii="宋体" w:hAnsi="宋体" w:eastAsia="Calibri" w:cs="Times New Roman"/>
                <w:b w:val="0"/>
                <w:bCs w:val="0"/>
                <w:kern w:val="2"/>
                <w:sz w:val="21"/>
                <w:szCs w:val="21"/>
                <w:highlight w:val="none"/>
                <w:lang w:val="en-US" w:eastAsia="zh-CN"/>
              </w:rPr>
              <w:t>注册资本金等于或大于人民币50亿元。</w:t>
            </w:r>
          </w:p>
          <w:p>
            <w:pPr>
              <w:widowControl/>
              <w:numPr>
                <w:ilvl w:val="0"/>
                <w:numId w:val="2"/>
              </w:numPr>
              <w:adjustRightInd/>
              <w:snapToGrid w:val="0"/>
              <w:spacing w:before="0" w:beforeLines="0" w:line="360" w:lineRule="auto"/>
              <w:ind w:firstLine="0" w:firstLineChars="0"/>
              <w:jc w:val="left"/>
              <w:rPr>
                <w:rFonts w:hint="eastAsia" w:ascii="宋体" w:hAnsi="宋体" w:eastAsia="Calibri" w:cs="Times New Roman"/>
                <w:b w:val="0"/>
                <w:bCs w:val="0"/>
                <w:kern w:val="2"/>
                <w:sz w:val="21"/>
                <w:szCs w:val="21"/>
                <w:highlight w:val="none"/>
                <w:lang w:val="en-US" w:eastAsia="zh-CN"/>
              </w:rPr>
            </w:pPr>
            <w:r>
              <w:rPr>
                <w:rFonts w:hint="eastAsia" w:ascii="宋体" w:hAnsi="宋体" w:eastAsia="Calibri" w:cs="Times New Roman"/>
                <w:b w:val="0"/>
                <w:bCs w:val="0"/>
                <w:kern w:val="2"/>
                <w:sz w:val="21"/>
                <w:szCs w:val="21"/>
                <w:highlight w:val="none"/>
              </w:rPr>
              <w:t>投标人</w:t>
            </w:r>
            <w:r>
              <w:rPr>
                <w:rFonts w:hint="eastAsia" w:ascii="宋体" w:hAnsi="宋体" w:eastAsia="Calibri" w:cs="Times New Roman"/>
                <w:b w:val="0"/>
                <w:bCs w:val="0"/>
                <w:kern w:val="2"/>
                <w:sz w:val="21"/>
                <w:szCs w:val="21"/>
                <w:highlight w:val="none"/>
                <w:lang w:eastAsia="zh-CN"/>
              </w:rPr>
              <w:t>或其总公司</w:t>
            </w:r>
            <w:r>
              <w:rPr>
                <w:rFonts w:hint="eastAsia" w:ascii="宋体" w:hAnsi="宋体" w:eastAsia="Calibri" w:cs="Times New Roman"/>
                <w:b w:val="0"/>
                <w:bCs w:val="0"/>
                <w:kern w:val="2"/>
                <w:sz w:val="21"/>
                <w:szCs w:val="21"/>
                <w:highlight w:val="none"/>
                <w:lang w:val="en-US" w:eastAsia="zh-CN"/>
              </w:rPr>
              <w:t>2024年原保费收入等于或大于人民币300亿元。</w:t>
            </w:r>
          </w:p>
          <w:p>
            <w:pPr>
              <w:widowControl/>
              <w:numPr>
                <w:ilvl w:val="0"/>
                <w:numId w:val="2"/>
              </w:numPr>
              <w:adjustRightInd/>
              <w:snapToGrid w:val="0"/>
              <w:spacing w:before="0" w:beforeLines="0" w:line="360" w:lineRule="auto"/>
              <w:ind w:firstLine="0" w:firstLineChars="0"/>
              <w:jc w:val="left"/>
              <w:rPr>
                <w:rFonts w:hint="eastAsia" w:ascii="宋体" w:hAnsi="宋体" w:eastAsia="Calibri" w:cs="Times New Roman"/>
                <w:b w:val="0"/>
                <w:bCs w:val="0"/>
                <w:kern w:val="2"/>
                <w:sz w:val="21"/>
                <w:szCs w:val="21"/>
                <w:highlight w:val="none"/>
                <w:lang w:val="en-US" w:eastAsia="zh-CN"/>
              </w:rPr>
            </w:pPr>
            <w:r>
              <w:rPr>
                <w:rFonts w:hint="eastAsia" w:ascii="宋体" w:hAnsi="宋体" w:eastAsia="Calibri" w:cs="Times New Roman"/>
                <w:b w:val="0"/>
                <w:bCs w:val="0"/>
                <w:kern w:val="2"/>
                <w:sz w:val="21"/>
                <w:szCs w:val="21"/>
                <w:highlight w:val="none"/>
              </w:rPr>
              <w:t>投标人</w:t>
            </w:r>
            <w:r>
              <w:rPr>
                <w:rFonts w:hint="eastAsia" w:ascii="宋体" w:hAnsi="宋体" w:eastAsia="Calibri" w:cs="Times New Roman"/>
                <w:b w:val="0"/>
                <w:bCs w:val="0"/>
                <w:kern w:val="2"/>
                <w:sz w:val="21"/>
                <w:szCs w:val="21"/>
                <w:highlight w:val="none"/>
                <w:lang w:eastAsia="zh-CN"/>
              </w:rPr>
              <w:t>或其总公司</w:t>
            </w:r>
            <w:r>
              <w:rPr>
                <w:rFonts w:hint="eastAsia" w:ascii="宋体" w:hAnsi="宋体" w:eastAsia="Calibri" w:cs="Times New Roman"/>
                <w:b w:val="0"/>
                <w:bCs w:val="0"/>
                <w:kern w:val="2"/>
                <w:sz w:val="21"/>
                <w:szCs w:val="21"/>
                <w:highlight w:val="none"/>
                <w:lang w:val="en-US" w:eastAsia="zh-CN"/>
              </w:rPr>
              <w:t>2024年核心偿付能力充足率情况等于或大于1</w:t>
            </w:r>
            <w:r>
              <w:rPr>
                <w:rFonts w:hint="default" w:ascii="宋体" w:hAnsi="宋体" w:eastAsia="Calibri" w:cs="Times New Roman"/>
                <w:b w:val="0"/>
                <w:bCs w:val="0"/>
                <w:kern w:val="2"/>
                <w:sz w:val="21"/>
                <w:szCs w:val="21"/>
                <w:highlight w:val="none"/>
                <w:lang w:val="en-US" w:eastAsia="zh-CN"/>
              </w:rPr>
              <w:t>5</w:t>
            </w:r>
            <w:r>
              <w:rPr>
                <w:rFonts w:hint="eastAsia" w:ascii="宋体" w:hAnsi="宋体" w:eastAsia="Calibri" w:cs="Times New Roman"/>
                <w:b w:val="0"/>
                <w:bCs w:val="0"/>
                <w:kern w:val="2"/>
                <w:sz w:val="21"/>
                <w:szCs w:val="21"/>
                <w:highlight w:val="none"/>
                <w:lang w:val="en-US" w:eastAsia="zh-CN"/>
              </w:rPr>
              <w:t>0%。</w:t>
            </w:r>
          </w:p>
          <w:p>
            <w:pPr>
              <w:widowControl/>
              <w:numPr>
                <w:ilvl w:val="0"/>
                <w:numId w:val="2"/>
              </w:numPr>
              <w:adjustRightInd/>
              <w:snapToGrid w:val="0"/>
              <w:spacing w:before="0" w:beforeLines="0" w:line="360" w:lineRule="auto"/>
              <w:ind w:firstLine="0" w:firstLineChars="0"/>
              <w:jc w:val="left"/>
              <w:rPr>
                <w:rFonts w:hint="eastAsia" w:ascii="宋体" w:hAnsi="宋体" w:eastAsia="Calibri" w:cs="Times New Roman"/>
                <w:b w:val="0"/>
                <w:bCs w:val="0"/>
                <w:kern w:val="2"/>
                <w:sz w:val="21"/>
                <w:szCs w:val="21"/>
                <w:highlight w:val="none"/>
                <w:lang w:val="en-US" w:eastAsia="zh-CN"/>
              </w:rPr>
            </w:pPr>
            <w:r>
              <w:rPr>
                <w:rFonts w:hint="eastAsia" w:ascii="宋体" w:hAnsi="宋体" w:eastAsia="Calibri" w:cs="Times New Roman"/>
                <w:b w:val="0"/>
                <w:bCs w:val="0"/>
                <w:kern w:val="2"/>
                <w:sz w:val="21"/>
                <w:szCs w:val="21"/>
                <w:highlight w:val="none"/>
              </w:rPr>
              <w:t>投标人</w:t>
            </w:r>
            <w:r>
              <w:rPr>
                <w:rFonts w:hint="eastAsia" w:ascii="宋体" w:hAnsi="宋体" w:eastAsia="Calibri" w:cs="Times New Roman"/>
                <w:b w:val="0"/>
                <w:bCs w:val="0"/>
                <w:kern w:val="2"/>
                <w:sz w:val="21"/>
                <w:szCs w:val="21"/>
                <w:highlight w:val="none"/>
                <w:lang w:eastAsia="zh-CN"/>
              </w:rPr>
              <w:t>或其总公司</w:t>
            </w:r>
            <w:r>
              <w:rPr>
                <w:rFonts w:hint="eastAsia" w:ascii="宋体" w:hAnsi="宋体" w:eastAsia="Calibri" w:cs="Times New Roman"/>
                <w:b w:val="0"/>
                <w:bCs w:val="0"/>
                <w:kern w:val="2"/>
                <w:sz w:val="21"/>
                <w:szCs w:val="21"/>
                <w:highlight w:val="none"/>
                <w:lang w:val="en-US" w:eastAsia="zh-CN"/>
              </w:rPr>
              <w:t>2024年综合偿付能力充足率情况等于或大于180%。</w:t>
            </w:r>
          </w:p>
          <w:p>
            <w:pPr>
              <w:widowControl/>
              <w:numPr>
                <w:ilvl w:val="0"/>
                <w:numId w:val="0"/>
              </w:numPr>
              <w:adjustRightInd w:val="0"/>
              <w:snapToGrid w:val="0"/>
              <w:spacing w:line="400" w:lineRule="atLeast"/>
              <w:ind w:firstLine="315" w:firstLineChars="150"/>
              <w:jc w:val="left"/>
              <w:rPr>
                <w:rFonts w:hint="eastAsia" w:ascii="宋体" w:hAnsi="宋体" w:cs="宋体"/>
                <w:kern w:val="0"/>
                <w:szCs w:val="21"/>
                <w:highlight w:val="none"/>
              </w:rPr>
            </w:pPr>
          </w:p>
          <w:p>
            <w:pPr>
              <w:widowControl/>
              <w:numPr>
                <w:ilvl w:val="0"/>
                <w:numId w:val="0"/>
              </w:numPr>
              <w:adjustRightInd w:val="0"/>
              <w:snapToGrid w:val="0"/>
              <w:spacing w:before="0" w:beforeLines="0" w:line="400" w:lineRule="atLeast"/>
              <w:ind w:left="0" w:leftChars="0" w:firstLine="270" w:firstLineChars="15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kern w:val="2"/>
                <w:sz w:val="18"/>
                <w:szCs w:val="18"/>
                <w:highlight w:val="none"/>
                <w:lang w:val="en-US" w:eastAsia="zh-CN"/>
              </w:rPr>
              <w:t>注：</w:t>
            </w:r>
            <w:r>
              <w:rPr>
                <w:rFonts w:hint="eastAsia" w:ascii="宋体" w:hAnsi="宋体" w:eastAsia="宋体" w:cs="宋体"/>
                <w:b w:val="0"/>
                <w:bCs w:val="0"/>
                <w:sz w:val="18"/>
                <w:szCs w:val="18"/>
                <w:highlight w:val="none"/>
                <w:lang w:val="en-US" w:eastAsia="zh-CN"/>
              </w:rPr>
              <w:t>1.注册资本金以营业执照所列注册资本金或</w:t>
            </w:r>
            <w:r>
              <w:rPr>
                <w:rFonts w:hint="eastAsia"/>
                <w:highlight w:val="none"/>
                <w:lang w:val="en-US" w:eastAsia="zh-CN"/>
              </w:rPr>
              <w:t>国家金融监督管理总局（原</w:t>
            </w:r>
            <w:r>
              <w:rPr>
                <w:rFonts w:hint="eastAsia" w:ascii="宋体" w:hAnsi="宋体" w:eastAsia="宋体" w:cs="宋体"/>
                <w:b w:val="0"/>
                <w:bCs w:val="0"/>
                <w:sz w:val="18"/>
                <w:szCs w:val="18"/>
                <w:highlight w:val="none"/>
                <w:lang w:val="en-US" w:eastAsia="zh-CN"/>
              </w:rPr>
              <w:t>中国银行保险监督管理委员会</w:t>
            </w:r>
            <w:r>
              <w:rPr>
                <w:rFonts w:hint="eastAsia"/>
                <w:highlight w:val="none"/>
                <w:lang w:val="en-US" w:eastAsia="zh-CN"/>
              </w:rPr>
              <w:t>）</w:t>
            </w:r>
            <w:r>
              <w:rPr>
                <w:rFonts w:hint="eastAsia" w:ascii="宋体" w:hAnsi="宋体" w:eastAsia="宋体" w:cs="宋体"/>
                <w:b w:val="0"/>
                <w:bCs w:val="0"/>
                <w:sz w:val="18"/>
                <w:szCs w:val="18"/>
                <w:highlight w:val="none"/>
                <w:lang w:val="en-US" w:eastAsia="zh-CN"/>
              </w:rPr>
              <w:t>关于注册资本金的批复函为准，如不一致则以两者中最新的文件为准。</w:t>
            </w:r>
          </w:p>
          <w:p>
            <w:pPr>
              <w:widowControl/>
              <w:numPr>
                <w:ilvl w:val="0"/>
                <w:numId w:val="0"/>
              </w:numPr>
              <w:adjustRightInd w:val="0"/>
              <w:snapToGrid w:val="0"/>
              <w:spacing w:before="0" w:beforeLines="0" w:line="400" w:lineRule="atLeast"/>
              <w:ind w:firstLine="270" w:firstLineChars="150"/>
              <w:jc w:val="left"/>
              <w:rPr>
                <w:rFonts w:hint="eastAsia" w:ascii="宋体" w:hAnsi="宋体" w:eastAsia="宋体" w:cs="宋体"/>
                <w:b w:val="0"/>
                <w:bCs w:val="0"/>
                <w:sz w:val="18"/>
                <w:szCs w:val="18"/>
                <w:highlight w:val="none"/>
                <w:lang w:eastAsia="zh-CN"/>
              </w:rPr>
            </w:pPr>
            <w:r>
              <w:rPr>
                <w:rFonts w:hint="eastAsia" w:ascii="宋体" w:hAnsi="宋体" w:eastAsia="宋体" w:cs="宋体"/>
                <w:kern w:val="2"/>
                <w:sz w:val="18"/>
                <w:szCs w:val="18"/>
                <w:highlight w:val="none"/>
                <w:lang w:val="en-US" w:eastAsia="zh-CN"/>
              </w:rPr>
              <w:t>2.</w:t>
            </w:r>
            <w:r>
              <w:rPr>
                <w:rFonts w:hint="eastAsia" w:ascii="宋体" w:hAnsi="宋体" w:eastAsia="宋体" w:cs="宋体"/>
                <w:b w:val="0"/>
                <w:bCs w:val="0"/>
                <w:sz w:val="18"/>
                <w:szCs w:val="18"/>
                <w:highlight w:val="none"/>
                <w:lang w:val="en-US" w:eastAsia="zh-CN"/>
              </w:rPr>
              <w:t>原保费收入以2024年度</w:t>
            </w:r>
            <w:r>
              <w:rPr>
                <w:rFonts w:hint="eastAsia" w:ascii="宋体" w:hAnsi="宋体" w:eastAsia="宋体" w:cs="宋体"/>
                <w:sz w:val="18"/>
                <w:szCs w:val="18"/>
                <w:highlight w:val="none"/>
                <w:lang w:val="en-US" w:eastAsia="zh-CN"/>
              </w:rPr>
              <w:t>经会计师事务所或审计机构审计的财务会计报表为准</w:t>
            </w:r>
            <w:r>
              <w:rPr>
                <w:rFonts w:hint="eastAsia" w:ascii="宋体" w:hAnsi="宋体" w:eastAsia="宋体" w:cs="宋体"/>
                <w:b w:val="0"/>
                <w:bCs w:val="0"/>
                <w:sz w:val="18"/>
                <w:szCs w:val="18"/>
                <w:highlight w:val="none"/>
                <w:lang w:eastAsia="zh-CN"/>
              </w:rPr>
              <w:t>。</w:t>
            </w:r>
          </w:p>
          <w:p>
            <w:pPr>
              <w:widowControl/>
              <w:numPr>
                <w:ilvl w:val="0"/>
                <w:numId w:val="0"/>
              </w:numPr>
              <w:adjustRightInd w:val="0"/>
              <w:snapToGrid w:val="0"/>
              <w:spacing w:before="0" w:beforeLines="0" w:line="400" w:lineRule="atLeast"/>
              <w:ind w:left="0" w:leftChars="0" w:firstLine="270" w:firstLineChars="150"/>
              <w:jc w:val="left"/>
              <w:rPr>
                <w:rFonts w:hint="eastAsia" w:ascii="宋体" w:hAnsi="宋体" w:eastAsia="宋体" w:cs="宋体"/>
                <w:sz w:val="18"/>
                <w:szCs w:val="18"/>
                <w:highlight w:val="none"/>
                <w:lang w:val="en-US" w:eastAsia="zh-CN"/>
              </w:rPr>
            </w:pPr>
            <w:r>
              <w:rPr>
                <w:rFonts w:hint="eastAsia" w:ascii="宋体" w:hAnsi="宋体" w:eastAsia="宋体" w:cs="宋体"/>
                <w:b w:val="0"/>
                <w:bCs w:val="0"/>
                <w:sz w:val="18"/>
                <w:szCs w:val="18"/>
                <w:highlight w:val="none"/>
                <w:lang w:val="en-US" w:eastAsia="zh-CN"/>
              </w:rPr>
              <w:t>3.核心偿付能力充足率情况以2024年度</w:t>
            </w:r>
            <w:r>
              <w:rPr>
                <w:rFonts w:hint="eastAsia" w:ascii="宋体" w:hAnsi="宋体" w:eastAsia="宋体" w:cs="宋体"/>
                <w:sz w:val="18"/>
                <w:szCs w:val="18"/>
                <w:highlight w:val="none"/>
                <w:lang w:val="en-US" w:eastAsia="zh-CN"/>
              </w:rPr>
              <w:t>经会计师事务所或审计机构审计的偿付能力报表为准。</w:t>
            </w:r>
          </w:p>
          <w:p>
            <w:pPr>
              <w:widowControl/>
              <w:numPr>
                <w:ilvl w:val="0"/>
                <w:numId w:val="0"/>
              </w:numPr>
              <w:adjustRightInd w:val="0"/>
              <w:snapToGrid w:val="0"/>
              <w:spacing w:line="400" w:lineRule="atLeast"/>
              <w:ind w:firstLine="270" w:firstLineChars="150"/>
              <w:jc w:val="left"/>
              <w:rPr>
                <w:rFonts w:ascii="宋体" w:hAnsi="宋体" w:cs="宋体"/>
                <w:kern w:val="0"/>
                <w:szCs w:val="21"/>
                <w:highlight w:val="none"/>
              </w:rPr>
            </w:pPr>
            <w:r>
              <w:rPr>
                <w:rFonts w:hint="eastAsia" w:ascii="宋体" w:hAnsi="宋体" w:eastAsia="宋体" w:cs="宋体"/>
                <w:b w:val="0"/>
                <w:bCs w:val="0"/>
                <w:sz w:val="18"/>
                <w:szCs w:val="18"/>
                <w:highlight w:val="none"/>
                <w:lang w:val="en-US" w:eastAsia="zh-CN"/>
              </w:rPr>
              <w:t>4.综合偿付能力充足率情况以2024年度</w:t>
            </w:r>
            <w:r>
              <w:rPr>
                <w:rFonts w:hint="eastAsia" w:ascii="宋体" w:hAnsi="宋体" w:eastAsia="宋体" w:cs="宋体"/>
                <w:sz w:val="18"/>
                <w:szCs w:val="18"/>
                <w:highlight w:val="none"/>
                <w:lang w:val="en-US" w:eastAsia="zh-CN"/>
              </w:rPr>
              <w:t>经会计师事务所或审计机构审计的偿付能力报表为准。</w:t>
            </w:r>
          </w:p>
        </w:tc>
      </w:tr>
    </w:tbl>
    <w:p>
      <w:pPr>
        <w:snapToGrid w:val="0"/>
        <w:spacing w:line="360" w:lineRule="auto"/>
        <w:jc w:val="center"/>
        <w:rPr>
          <w:rFonts w:hint="eastAsia" w:ascii="宋体" w:hAnsi="宋体" w:eastAsia="Calibri" w:cs="宋体"/>
          <w:b/>
          <w:sz w:val="28"/>
          <w:szCs w:val="28"/>
          <w:highlight w:val="none"/>
        </w:rPr>
      </w:pPr>
    </w:p>
    <w:p>
      <w:pPr>
        <w:snapToGrid w:val="0"/>
        <w:spacing w:line="360" w:lineRule="auto"/>
        <w:jc w:val="center"/>
        <w:rPr>
          <w:rFonts w:hint="eastAsia" w:ascii="宋体" w:hAnsi="宋体" w:eastAsia="Calibri" w:cs="宋体"/>
          <w:b/>
          <w:sz w:val="28"/>
          <w:szCs w:val="28"/>
          <w:highlight w:val="none"/>
        </w:rPr>
      </w:pPr>
    </w:p>
    <w:p>
      <w:pPr>
        <w:snapToGrid w:val="0"/>
        <w:spacing w:line="360" w:lineRule="auto"/>
        <w:jc w:val="center"/>
        <w:rPr>
          <w:rFonts w:hint="eastAsia" w:ascii="宋体" w:hAnsi="宋体"/>
          <w:sz w:val="24"/>
          <w:szCs w:val="24"/>
          <w:highlight w:val="none"/>
        </w:rPr>
      </w:pPr>
      <w:r>
        <w:rPr>
          <w:rFonts w:hint="eastAsia" w:ascii="宋体" w:hAnsi="宋体" w:eastAsia="Calibri" w:cs="宋体"/>
          <w:b/>
          <w:sz w:val="28"/>
          <w:szCs w:val="28"/>
          <w:highlight w:val="none"/>
        </w:rPr>
        <w:t>附录1-</w:t>
      </w:r>
      <w:r>
        <w:rPr>
          <w:rFonts w:hint="eastAsia" w:ascii="宋体" w:hAnsi="宋体" w:eastAsia="宋体" w:cs="宋体"/>
          <w:b/>
          <w:sz w:val="28"/>
          <w:szCs w:val="28"/>
          <w:highlight w:val="none"/>
          <w:lang w:val="en-US" w:eastAsia="zh-CN"/>
        </w:rPr>
        <w:t>3</w:t>
      </w:r>
      <w:r>
        <w:rPr>
          <w:rFonts w:hint="eastAsia" w:ascii="宋体" w:hAnsi="宋体" w:eastAsia="Calibri" w:cs="宋体"/>
          <w:b/>
          <w:sz w:val="28"/>
          <w:szCs w:val="28"/>
          <w:highlight w:val="none"/>
        </w:rPr>
        <w:t xml:space="preserve"> </w:t>
      </w:r>
      <w:r>
        <w:rPr>
          <w:rFonts w:hint="eastAsia" w:ascii="宋体" w:hAnsi="宋体" w:eastAsia="Calibri" w:cs="宋体"/>
          <w:b/>
          <w:bCs w:val="0"/>
          <w:sz w:val="28"/>
          <w:szCs w:val="28"/>
          <w:highlight w:val="none"/>
        </w:rPr>
        <w:t>资格审查条件</w:t>
      </w:r>
      <w:r>
        <w:rPr>
          <w:rFonts w:hint="eastAsia" w:ascii="宋体" w:hAnsi="宋体" w:eastAsia="Calibri" w:cs="宋体"/>
          <w:b/>
          <w:bCs w:val="0"/>
          <w:sz w:val="28"/>
          <w:szCs w:val="28"/>
          <w:highlight w:val="none"/>
          <w:lang w:eastAsia="zh-CN"/>
        </w:rPr>
        <w:t>（</w:t>
      </w:r>
      <w:r>
        <w:rPr>
          <w:rFonts w:hint="eastAsia" w:ascii="宋体" w:hAnsi="宋体" w:eastAsia="Calibri" w:cs="宋体"/>
          <w:b/>
          <w:bCs w:val="0"/>
          <w:sz w:val="28"/>
          <w:szCs w:val="28"/>
          <w:highlight w:val="none"/>
          <w:lang w:val="en-US" w:eastAsia="zh-CN"/>
        </w:rPr>
        <w:t>业绩</w:t>
      </w:r>
      <w:r>
        <w:rPr>
          <w:rFonts w:hint="eastAsia" w:ascii="宋体" w:hAnsi="宋体" w:eastAsia="Calibri" w:cs="宋体"/>
          <w:b/>
          <w:sz w:val="28"/>
          <w:szCs w:val="28"/>
          <w:highlight w:val="none"/>
        </w:rPr>
        <w:t>最低要求</w:t>
      </w:r>
      <w:r>
        <w:rPr>
          <w:rFonts w:hint="eastAsia" w:ascii="宋体" w:hAnsi="宋体" w:eastAsia="Calibri" w:cs="宋体"/>
          <w:b/>
          <w:bCs w:val="0"/>
          <w:sz w:val="28"/>
          <w:szCs w:val="28"/>
          <w:highlight w:val="none"/>
          <w:lang w:eastAsia="zh-CN"/>
        </w:rPr>
        <w:t>）</w:t>
      </w:r>
    </w:p>
    <w:tbl>
      <w:tblPr>
        <w:tblStyle w:val="11"/>
        <w:tblW w:w="9195"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jc w:val="center"/>
        </w:trPr>
        <w:tc>
          <w:tcPr>
            <w:tcW w:w="9195" w:type="dxa"/>
            <w:vAlign w:val="center"/>
          </w:tcPr>
          <w:p>
            <w:pPr>
              <w:widowControl/>
              <w:snapToGrid w:val="0"/>
              <w:spacing w:line="360" w:lineRule="auto"/>
              <w:jc w:val="center"/>
              <w:rPr>
                <w:rFonts w:ascii="宋体" w:hAnsi="宋体" w:cs="宋体"/>
                <w:b/>
                <w:kern w:val="0"/>
                <w:szCs w:val="21"/>
                <w:highlight w:val="none"/>
              </w:rPr>
            </w:pPr>
            <w:r>
              <w:rPr>
                <w:rFonts w:hint="eastAsia" w:ascii="宋体" w:hAnsi="宋体" w:eastAsia="宋体" w:cs="宋体"/>
                <w:b/>
                <w:kern w:val="0"/>
                <w:szCs w:val="21"/>
                <w:highlight w:val="none"/>
                <w:lang w:val="en-US" w:eastAsia="zh-CN"/>
              </w:rPr>
              <w:t>业绩</w:t>
            </w:r>
            <w:r>
              <w:rPr>
                <w:rFonts w:hint="eastAsia" w:ascii="宋体" w:hAnsi="宋体" w:cs="宋体"/>
                <w:b/>
                <w:kern w:val="0"/>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9" w:hRule="atLeast"/>
          <w:jc w:val="center"/>
        </w:trPr>
        <w:tc>
          <w:tcPr>
            <w:tcW w:w="9195" w:type="dxa"/>
            <w:vAlign w:val="center"/>
          </w:tcPr>
          <w:p>
            <w:pPr>
              <w:widowControl/>
              <w:numPr>
                <w:ilvl w:val="0"/>
                <w:numId w:val="0"/>
              </w:numPr>
              <w:snapToGrid w:val="0"/>
              <w:spacing w:before="0" w:beforeLines="0" w:line="360" w:lineRule="auto"/>
              <w:ind w:firstLine="0" w:firstLineChars="0"/>
              <w:jc w:val="left"/>
              <w:rPr>
                <w:rFonts w:hint="eastAsia" w:ascii="宋体" w:hAnsi="宋体" w:eastAsia="Calibri" w:cs="Times New Roman"/>
                <w:sz w:val="21"/>
                <w:szCs w:val="21"/>
                <w:highlight w:val="none"/>
                <w:lang w:val="en-US" w:eastAsia="zh-CN"/>
              </w:rPr>
            </w:pPr>
          </w:p>
          <w:p>
            <w:pPr>
              <w:widowControl/>
              <w:numPr>
                <w:ilvl w:val="0"/>
                <w:numId w:val="0"/>
              </w:numPr>
              <w:snapToGrid w:val="0"/>
              <w:spacing w:before="0" w:beforeLines="0" w:line="360" w:lineRule="auto"/>
              <w:ind w:firstLine="0" w:firstLineChars="0"/>
              <w:jc w:val="left"/>
              <w:rPr>
                <w:rFonts w:hint="eastAsia" w:ascii="宋体" w:hAnsi="宋体" w:eastAsia="Calibri" w:cs="Times New Roman"/>
                <w:sz w:val="21"/>
                <w:szCs w:val="21"/>
                <w:highlight w:val="none"/>
                <w:lang w:eastAsia="zh-CN"/>
              </w:rPr>
            </w:pPr>
            <w:r>
              <w:rPr>
                <w:rFonts w:hint="eastAsia" w:ascii="宋体" w:hAnsi="宋体" w:eastAsia="Calibri" w:cs="Times New Roman"/>
                <w:sz w:val="21"/>
                <w:szCs w:val="21"/>
                <w:highlight w:val="none"/>
                <w:lang w:val="en-US" w:eastAsia="zh-CN"/>
              </w:rPr>
              <w:t>1、</w:t>
            </w:r>
            <w:r>
              <w:rPr>
                <w:rFonts w:hint="eastAsia" w:ascii="宋体" w:hAnsi="宋体" w:eastAsia="Calibri" w:cs="Times New Roman"/>
                <w:sz w:val="21"/>
                <w:szCs w:val="21"/>
                <w:highlight w:val="none"/>
                <w:lang w:eastAsia="zh-CN"/>
              </w:rPr>
              <w:t>承保业绩：</w:t>
            </w:r>
            <w:r>
              <w:rPr>
                <w:rFonts w:hint="eastAsia" w:ascii="宋体" w:hAnsi="宋体" w:eastAsia="Calibri" w:cs="Times New Roman"/>
                <w:b w:val="0"/>
                <w:bCs w:val="0"/>
                <w:sz w:val="21"/>
                <w:szCs w:val="21"/>
                <w:highlight w:val="none"/>
                <w:lang w:val="en-US" w:eastAsia="zh-CN"/>
              </w:rPr>
              <w:t>2022</w:t>
            </w:r>
            <w:r>
              <w:rPr>
                <w:rFonts w:hint="eastAsia" w:ascii="宋体" w:hAnsi="宋体" w:eastAsia="Calibri" w:cs="Times New Roman"/>
                <w:b w:val="0"/>
                <w:bCs w:val="0"/>
                <w:sz w:val="21"/>
                <w:szCs w:val="21"/>
                <w:highlight w:val="none"/>
                <w:lang w:eastAsia="zh-CN"/>
              </w:rPr>
              <w:t>年1月1日</w:t>
            </w:r>
            <w:r>
              <w:rPr>
                <w:rFonts w:hint="eastAsia" w:ascii="宋体" w:hAnsi="宋体" w:eastAsia="Calibri" w:cs="Times New Roman"/>
                <w:sz w:val="21"/>
                <w:szCs w:val="21"/>
                <w:highlight w:val="none"/>
                <w:lang w:eastAsia="zh-CN"/>
              </w:rPr>
              <w:t>至投标文件递交之日止，投标人或其总公司属下经营单位至少独家承保或首席承保过1个保额在人民币</w:t>
            </w:r>
            <w:r>
              <w:rPr>
                <w:rFonts w:hint="eastAsia" w:ascii="宋体" w:hAnsi="宋体" w:eastAsia="Calibri" w:cs="Times New Roman"/>
                <w:b w:val="0"/>
                <w:bCs w:val="0"/>
                <w:sz w:val="21"/>
                <w:szCs w:val="21"/>
                <w:highlight w:val="none"/>
                <w:lang w:val="en-US" w:eastAsia="zh-CN"/>
              </w:rPr>
              <w:t>50</w:t>
            </w:r>
            <w:r>
              <w:rPr>
                <w:rFonts w:hint="eastAsia" w:ascii="宋体" w:hAnsi="宋体" w:eastAsia="Calibri" w:cs="Times New Roman"/>
                <w:b w:val="0"/>
                <w:bCs w:val="0"/>
                <w:sz w:val="21"/>
                <w:szCs w:val="21"/>
                <w:highlight w:val="none"/>
                <w:lang w:eastAsia="zh-CN"/>
              </w:rPr>
              <w:t>亿</w:t>
            </w:r>
            <w:r>
              <w:rPr>
                <w:rFonts w:hint="eastAsia" w:ascii="宋体" w:hAnsi="宋体" w:eastAsia="Calibri" w:cs="Times New Roman"/>
                <w:sz w:val="21"/>
                <w:szCs w:val="21"/>
                <w:highlight w:val="none"/>
                <w:lang w:eastAsia="zh-CN"/>
              </w:rPr>
              <w:t>元</w:t>
            </w:r>
            <w:r>
              <w:rPr>
                <w:rFonts w:hint="eastAsia" w:ascii="宋体" w:hAnsi="宋体" w:eastAsia="Calibri" w:cs="Times New Roman"/>
                <w:sz w:val="21"/>
                <w:szCs w:val="21"/>
                <w:highlight w:val="none"/>
                <w:lang w:val="en-US" w:eastAsia="zh-CN"/>
              </w:rPr>
              <w:t>及</w:t>
            </w:r>
            <w:r>
              <w:rPr>
                <w:rFonts w:hint="eastAsia" w:ascii="宋体" w:hAnsi="宋体" w:eastAsia="Calibri" w:cs="Times New Roman"/>
                <w:sz w:val="21"/>
                <w:szCs w:val="21"/>
                <w:highlight w:val="none"/>
                <w:lang w:eastAsia="zh-CN"/>
              </w:rPr>
              <w:t>以上的国内高速公路路产保险项目。</w:t>
            </w:r>
          </w:p>
          <w:p>
            <w:pPr>
              <w:widowControl/>
              <w:numPr>
                <w:ilvl w:val="0"/>
                <w:numId w:val="0"/>
              </w:numPr>
              <w:snapToGrid w:val="0"/>
              <w:spacing w:before="0" w:beforeLines="0" w:line="360" w:lineRule="auto"/>
              <w:ind w:firstLine="0" w:firstLineChars="0"/>
              <w:jc w:val="left"/>
              <w:rPr>
                <w:rFonts w:hint="eastAsia" w:ascii="宋体" w:hAnsi="宋体" w:eastAsia="Calibri" w:cs="Times New Roman"/>
                <w:sz w:val="21"/>
                <w:szCs w:val="21"/>
                <w:highlight w:val="none"/>
                <w:lang w:val="en-US" w:eastAsia="zh-CN"/>
              </w:rPr>
            </w:pPr>
            <w:r>
              <w:rPr>
                <w:rFonts w:hint="eastAsia" w:ascii="宋体" w:hAnsi="宋体" w:eastAsia="Calibri" w:cs="Times New Roman"/>
                <w:sz w:val="21"/>
                <w:szCs w:val="21"/>
                <w:highlight w:val="none"/>
                <w:lang w:val="en-US" w:eastAsia="zh-CN"/>
              </w:rPr>
              <w:t>2、</w:t>
            </w:r>
            <w:r>
              <w:rPr>
                <w:rFonts w:hint="eastAsia" w:ascii="宋体" w:hAnsi="宋体" w:eastAsia="Calibri" w:cs="Times New Roman"/>
                <w:sz w:val="21"/>
                <w:szCs w:val="21"/>
                <w:highlight w:val="none"/>
                <w:lang w:eastAsia="zh-CN"/>
              </w:rPr>
              <w:t>理赔业绩：</w:t>
            </w:r>
            <w:r>
              <w:rPr>
                <w:rFonts w:hint="eastAsia" w:ascii="宋体" w:hAnsi="宋体" w:eastAsia="Calibri" w:cs="Times New Roman"/>
                <w:b w:val="0"/>
                <w:bCs w:val="0"/>
                <w:sz w:val="21"/>
                <w:szCs w:val="21"/>
                <w:highlight w:val="none"/>
                <w:lang w:val="en-US" w:eastAsia="zh-CN"/>
              </w:rPr>
              <w:t>2022</w:t>
            </w:r>
            <w:r>
              <w:rPr>
                <w:rFonts w:hint="eastAsia" w:ascii="宋体" w:hAnsi="宋体" w:eastAsia="Calibri" w:cs="Times New Roman"/>
                <w:b w:val="0"/>
                <w:bCs w:val="0"/>
                <w:sz w:val="21"/>
                <w:szCs w:val="21"/>
                <w:highlight w:val="none"/>
                <w:lang w:eastAsia="zh-CN"/>
              </w:rPr>
              <w:t>年1月1日</w:t>
            </w:r>
            <w:r>
              <w:rPr>
                <w:rFonts w:hint="eastAsia" w:ascii="宋体" w:hAnsi="宋体" w:eastAsia="Calibri" w:cs="Times New Roman"/>
                <w:sz w:val="21"/>
                <w:szCs w:val="21"/>
                <w:highlight w:val="none"/>
                <w:lang w:eastAsia="zh-CN"/>
              </w:rPr>
              <w:t>至投标文件递交之日止，投标人或其总公司属下经营单位至少</w:t>
            </w:r>
            <w:r>
              <w:rPr>
                <w:rFonts w:hint="eastAsia" w:ascii="宋体" w:hAnsi="宋体" w:eastAsia="Calibri" w:cs="Times New Roman"/>
                <w:sz w:val="21"/>
                <w:szCs w:val="21"/>
                <w:highlight w:val="none"/>
                <w:lang w:val="en-US" w:eastAsia="zh-CN"/>
              </w:rPr>
              <w:t>有</w:t>
            </w:r>
            <w:r>
              <w:rPr>
                <w:rFonts w:hint="eastAsia" w:ascii="宋体" w:hAnsi="宋体" w:eastAsia="Calibri" w:cs="Times New Roman"/>
                <w:sz w:val="21"/>
                <w:szCs w:val="21"/>
                <w:highlight w:val="none"/>
                <w:lang w:eastAsia="zh-CN"/>
              </w:rPr>
              <w:t>1个</w:t>
            </w:r>
            <w:r>
              <w:rPr>
                <w:rFonts w:hint="eastAsia" w:ascii="宋体" w:hAnsi="宋体" w:eastAsia="Calibri" w:cs="Times New Roman"/>
                <w:sz w:val="21"/>
                <w:szCs w:val="21"/>
                <w:highlight w:val="none"/>
                <w:lang w:val="en-US" w:eastAsia="zh-CN"/>
              </w:rPr>
              <w:t>在</w:t>
            </w:r>
            <w:r>
              <w:rPr>
                <w:rFonts w:hint="eastAsia" w:ascii="宋体" w:hAnsi="宋体" w:eastAsia="Calibri" w:cs="Times New Roman"/>
                <w:sz w:val="21"/>
                <w:szCs w:val="21"/>
                <w:highlight w:val="none"/>
                <w:lang w:eastAsia="zh-CN"/>
              </w:rPr>
              <w:t>国内高速公路路产保险项目中单次赔偿</w:t>
            </w:r>
            <w:r>
              <w:rPr>
                <w:rFonts w:hint="eastAsia" w:ascii="宋体" w:hAnsi="宋体" w:eastAsia="Calibri" w:cs="Times New Roman"/>
                <w:sz w:val="21"/>
                <w:szCs w:val="21"/>
                <w:highlight w:val="none"/>
                <w:lang w:val="en-US" w:eastAsia="zh-CN"/>
              </w:rPr>
              <w:t>金额人民币100万元及以上。</w:t>
            </w:r>
          </w:p>
          <w:p>
            <w:pPr>
              <w:pStyle w:val="2"/>
              <w:rPr>
                <w:highlight w:val="none"/>
              </w:rPr>
            </w:pPr>
          </w:p>
          <w:p>
            <w:pPr>
              <w:widowControl/>
              <w:numPr>
                <w:ilvl w:val="0"/>
                <w:numId w:val="0"/>
              </w:numPr>
              <w:adjustRightInd w:val="0"/>
              <w:snapToGrid w:val="0"/>
              <w:spacing w:line="400" w:lineRule="atLeast"/>
              <w:ind w:firstLine="270" w:firstLineChars="150"/>
              <w:jc w:val="left"/>
              <w:rPr>
                <w:rFonts w:hint="eastAsia" w:ascii="宋体" w:hAnsi="宋体" w:eastAsia="宋体" w:cs="宋体"/>
                <w:bCs w:val="0"/>
                <w:sz w:val="18"/>
                <w:szCs w:val="18"/>
                <w:highlight w:val="none"/>
                <w:lang w:val="en-US" w:eastAsia="zh-CN"/>
              </w:rPr>
            </w:pPr>
            <w:r>
              <w:rPr>
                <w:rFonts w:hint="eastAsia" w:ascii="宋体" w:hAnsi="宋体" w:eastAsia="宋体" w:cs="宋体"/>
                <w:sz w:val="18"/>
                <w:szCs w:val="18"/>
                <w:highlight w:val="none"/>
                <w:lang w:val="en-US" w:eastAsia="zh-CN"/>
              </w:rPr>
              <w:t>注：1.承保业绩应附中标通知书（如有）、合同或保险协议书或保单等</w:t>
            </w:r>
            <w:r>
              <w:rPr>
                <w:rFonts w:hint="eastAsia" w:ascii="宋体" w:hAnsi="宋体" w:eastAsia="宋体" w:cs="宋体"/>
                <w:bCs w:val="0"/>
                <w:sz w:val="18"/>
                <w:szCs w:val="18"/>
                <w:highlight w:val="none"/>
                <w:lang w:val="en-US" w:eastAsia="zh-CN"/>
              </w:rPr>
              <w:t>复印件。</w:t>
            </w:r>
          </w:p>
          <w:p>
            <w:pPr>
              <w:widowControl/>
              <w:numPr>
                <w:ilvl w:val="0"/>
                <w:numId w:val="0"/>
              </w:numPr>
              <w:adjustRightInd w:val="0"/>
              <w:snapToGrid w:val="0"/>
              <w:spacing w:line="400" w:lineRule="atLeast"/>
              <w:ind w:firstLine="270" w:firstLineChars="150"/>
              <w:jc w:val="left"/>
              <w:rPr>
                <w:rFonts w:hint="eastAsia" w:ascii="宋体" w:hAnsi="宋体" w:eastAsia="宋体" w:cs="宋体"/>
                <w:bCs w:val="0"/>
                <w:sz w:val="18"/>
                <w:szCs w:val="18"/>
                <w:highlight w:val="none"/>
                <w:lang w:val="en-US" w:eastAsia="zh-CN"/>
              </w:rPr>
            </w:pPr>
            <w:r>
              <w:rPr>
                <w:rFonts w:hint="eastAsia" w:ascii="宋体" w:hAnsi="宋体" w:eastAsia="宋体" w:cs="宋体"/>
                <w:bCs w:val="0"/>
                <w:sz w:val="18"/>
                <w:szCs w:val="18"/>
                <w:highlight w:val="none"/>
                <w:lang w:val="en-US" w:eastAsia="zh-CN"/>
              </w:rPr>
              <w:t>2.理赔业绩应附赔付协议书或理赔沟通函或理赔计算书或转账支付凭证等能证明理赔业绩的资料。</w:t>
            </w:r>
          </w:p>
          <w:p>
            <w:pPr>
              <w:widowControl/>
              <w:numPr>
                <w:ilvl w:val="0"/>
                <w:numId w:val="0"/>
              </w:numPr>
              <w:adjustRightInd w:val="0"/>
              <w:snapToGrid w:val="0"/>
              <w:spacing w:line="400" w:lineRule="atLeast"/>
              <w:ind w:firstLine="270" w:firstLineChars="15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3.如果上述要求的证明材料还不足以反映出全部业绩指标的内容，还应附上由被保险人出具的相关证明材料。</w:t>
            </w:r>
          </w:p>
          <w:p>
            <w:pPr>
              <w:widowControl/>
              <w:numPr>
                <w:ilvl w:val="0"/>
                <w:numId w:val="0"/>
              </w:numPr>
              <w:adjustRightInd w:val="0"/>
              <w:snapToGrid w:val="0"/>
              <w:spacing w:line="400" w:lineRule="atLeast"/>
              <w:ind w:firstLine="270" w:firstLineChars="15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4.如为投标人或其总公司参与共同承保的项目，必须是投标人或其总公司作为首席承保人的业绩，金额仅计投标人或其总公司的承保份额。</w:t>
            </w:r>
          </w:p>
          <w:p>
            <w:pPr>
              <w:widowControl/>
              <w:numPr>
                <w:ilvl w:val="0"/>
                <w:numId w:val="0"/>
              </w:numPr>
              <w:adjustRightInd w:val="0"/>
              <w:snapToGrid w:val="0"/>
              <w:spacing w:line="400" w:lineRule="atLeast"/>
              <w:ind w:firstLine="270" w:firstLineChars="15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5.承保业绩时间：指保险合同生效日；理赔业绩时间：指结案赔付的时间；两者均须在规定的年限内方被认可。</w:t>
            </w:r>
          </w:p>
          <w:p>
            <w:pPr>
              <w:pStyle w:val="2"/>
            </w:pPr>
          </w:p>
        </w:tc>
      </w:tr>
    </w:tbl>
    <w:p>
      <w:pPr>
        <w:snapToGrid w:val="0"/>
        <w:spacing w:line="360" w:lineRule="auto"/>
        <w:rPr>
          <w:rFonts w:hint="eastAsia" w:ascii="宋体" w:hAnsi="宋体"/>
          <w:sz w:val="24"/>
          <w:szCs w:val="24"/>
          <w:highlight w:val="none"/>
        </w:rPr>
      </w:pPr>
    </w:p>
    <w:p>
      <w:pPr>
        <w:snapToGrid w:val="0"/>
        <w:spacing w:line="360" w:lineRule="auto"/>
        <w:jc w:val="center"/>
        <w:rPr>
          <w:rFonts w:hint="eastAsia" w:ascii="宋体" w:hAnsi="宋体"/>
          <w:sz w:val="24"/>
          <w:szCs w:val="24"/>
          <w:highlight w:val="none"/>
        </w:rPr>
      </w:pPr>
    </w:p>
    <w:p>
      <w:pPr>
        <w:snapToGrid w:val="0"/>
        <w:spacing w:line="360" w:lineRule="auto"/>
        <w:jc w:val="center"/>
        <w:rPr>
          <w:rFonts w:hint="eastAsia" w:ascii="宋体" w:hAnsi="宋体"/>
          <w:sz w:val="24"/>
          <w:szCs w:val="24"/>
          <w:highlight w:val="none"/>
        </w:rPr>
      </w:pPr>
      <w:r>
        <w:rPr>
          <w:rFonts w:hint="eastAsia" w:ascii="宋体" w:hAnsi="宋体" w:eastAsia="Calibri" w:cs="宋体"/>
          <w:b/>
          <w:sz w:val="28"/>
          <w:szCs w:val="28"/>
          <w:highlight w:val="none"/>
        </w:rPr>
        <w:t>附录1-</w:t>
      </w:r>
      <w:r>
        <w:rPr>
          <w:rFonts w:hint="eastAsia" w:ascii="宋体" w:hAnsi="宋体" w:eastAsia="宋体" w:cs="宋体"/>
          <w:b/>
          <w:sz w:val="28"/>
          <w:szCs w:val="28"/>
          <w:highlight w:val="none"/>
          <w:lang w:val="en-US" w:eastAsia="zh-CN"/>
        </w:rPr>
        <w:t>4</w:t>
      </w:r>
      <w:r>
        <w:rPr>
          <w:rFonts w:hint="eastAsia" w:ascii="宋体" w:hAnsi="宋体" w:eastAsia="Calibri" w:cs="宋体"/>
          <w:b/>
          <w:sz w:val="28"/>
          <w:szCs w:val="28"/>
          <w:highlight w:val="none"/>
        </w:rPr>
        <w:t xml:space="preserve"> </w:t>
      </w:r>
      <w:r>
        <w:rPr>
          <w:rFonts w:hint="eastAsia" w:ascii="宋体" w:hAnsi="宋体" w:eastAsia="Calibri" w:cs="宋体"/>
          <w:b/>
          <w:bCs w:val="0"/>
          <w:sz w:val="28"/>
          <w:szCs w:val="28"/>
          <w:highlight w:val="none"/>
        </w:rPr>
        <w:t>资格审查条件</w:t>
      </w:r>
      <w:r>
        <w:rPr>
          <w:rFonts w:hint="eastAsia" w:ascii="宋体" w:hAnsi="宋体" w:eastAsia="Calibri" w:cs="宋体"/>
          <w:b/>
          <w:bCs w:val="0"/>
          <w:sz w:val="28"/>
          <w:szCs w:val="28"/>
          <w:highlight w:val="none"/>
          <w:lang w:eastAsia="zh-CN"/>
        </w:rPr>
        <w:t>（</w:t>
      </w:r>
      <w:r>
        <w:rPr>
          <w:rFonts w:hint="eastAsia" w:ascii="宋体" w:hAnsi="宋体" w:eastAsia="Calibri" w:cs="宋体"/>
          <w:b/>
          <w:bCs w:val="0"/>
          <w:sz w:val="28"/>
          <w:szCs w:val="28"/>
          <w:highlight w:val="none"/>
          <w:lang w:val="en-US" w:eastAsia="zh-CN"/>
        </w:rPr>
        <w:t>信誉</w:t>
      </w:r>
      <w:r>
        <w:rPr>
          <w:rFonts w:hint="eastAsia" w:ascii="宋体" w:hAnsi="宋体" w:eastAsia="Calibri" w:cs="宋体"/>
          <w:b/>
          <w:sz w:val="28"/>
          <w:szCs w:val="28"/>
          <w:highlight w:val="none"/>
        </w:rPr>
        <w:t>最低要求</w:t>
      </w:r>
      <w:r>
        <w:rPr>
          <w:rFonts w:hint="eastAsia" w:ascii="宋体" w:hAnsi="宋体" w:eastAsia="Calibri" w:cs="宋体"/>
          <w:b/>
          <w:bCs w:val="0"/>
          <w:sz w:val="28"/>
          <w:szCs w:val="28"/>
          <w:highlight w:val="none"/>
          <w:lang w:eastAsia="zh-CN"/>
        </w:rPr>
        <w:t>）</w:t>
      </w:r>
    </w:p>
    <w:tbl>
      <w:tblPr>
        <w:tblStyle w:val="11"/>
        <w:tblW w:w="9219" w:type="dxa"/>
        <w:jc w:val="center"/>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9219" w:type="dxa"/>
            <w:vAlign w:val="center"/>
          </w:tcPr>
          <w:p>
            <w:pPr>
              <w:widowControl/>
              <w:snapToGrid w:val="0"/>
              <w:spacing w:line="360" w:lineRule="auto"/>
              <w:jc w:val="center"/>
              <w:rPr>
                <w:rFonts w:ascii="宋体" w:hAnsi="宋体" w:cs="宋体"/>
                <w:b/>
                <w:kern w:val="0"/>
                <w:szCs w:val="21"/>
                <w:highlight w:val="none"/>
              </w:rPr>
            </w:pPr>
            <w:r>
              <w:rPr>
                <w:rFonts w:hint="eastAsia" w:ascii="宋体" w:hAnsi="宋体" w:eastAsia="宋体" w:cs="宋体"/>
                <w:b/>
                <w:kern w:val="0"/>
                <w:szCs w:val="21"/>
                <w:highlight w:val="none"/>
                <w:lang w:val="en-US" w:eastAsia="zh-CN"/>
              </w:rPr>
              <w:t>信誉</w:t>
            </w:r>
            <w:r>
              <w:rPr>
                <w:rFonts w:hint="eastAsia" w:ascii="宋体" w:hAnsi="宋体" w:cs="宋体"/>
                <w:b/>
                <w:kern w:val="0"/>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2" w:hRule="atLeast"/>
          <w:jc w:val="center"/>
        </w:trPr>
        <w:tc>
          <w:tcPr>
            <w:tcW w:w="9219" w:type="dxa"/>
            <w:vAlign w:val="center"/>
          </w:tcPr>
          <w:p>
            <w:pPr>
              <w:pStyle w:val="2"/>
              <w:spacing w:line="360" w:lineRule="auto"/>
              <w:rPr>
                <w:rFonts w:hint="eastAsia" w:ascii="Times New Roman" w:hAnsi="Times New Roman" w:eastAsia="宋体" w:cs="Times New Roman"/>
                <w:szCs w:val="22"/>
                <w:highlight w:val="none"/>
                <w:lang w:val="en-US" w:eastAsia="zh-CN"/>
              </w:rPr>
            </w:pPr>
          </w:p>
          <w:p>
            <w:pPr>
              <w:widowControl/>
              <w:numPr>
                <w:ilvl w:val="0"/>
                <w:numId w:val="0"/>
              </w:numPr>
              <w:snapToGrid w:val="0"/>
              <w:spacing w:before="0" w:beforeLines="0" w:line="360" w:lineRule="auto"/>
              <w:ind w:firstLine="0" w:firstLineChars="0"/>
              <w:jc w:val="left"/>
              <w:rPr>
                <w:rFonts w:hint="eastAsia" w:ascii="宋体" w:hAnsi="宋体" w:eastAsia="Calibri" w:cs="Times New Roman"/>
                <w:sz w:val="21"/>
                <w:szCs w:val="21"/>
                <w:highlight w:val="none"/>
                <w:lang w:val="en-US" w:eastAsia="zh-CN"/>
              </w:rPr>
            </w:pPr>
            <w:r>
              <w:rPr>
                <w:rFonts w:hint="eastAsia" w:ascii="宋体" w:hAnsi="宋体" w:eastAsia="Calibri" w:cs="Times New Roman"/>
                <w:sz w:val="21"/>
                <w:szCs w:val="21"/>
                <w:highlight w:val="none"/>
                <w:lang w:val="en-US" w:eastAsia="zh-CN"/>
              </w:rPr>
              <w:t>除了“投标人须知”第1.4.4项规定的内容外，投标人还需满足以下信誉要求：</w:t>
            </w:r>
          </w:p>
          <w:p>
            <w:pPr>
              <w:widowControl/>
              <w:numPr>
                <w:ilvl w:val="0"/>
                <w:numId w:val="0"/>
              </w:numPr>
              <w:snapToGrid w:val="0"/>
              <w:spacing w:before="0" w:beforeLines="0" w:line="360" w:lineRule="auto"/>
              <w:ind w:firstLine="0" w:firstLineChars="0"/>
              <w:jc w:val="left"/>
              <w:rPr>
                <w:rFonts w:hint="eastAsia" w:ascii="宋体" w:hAnsi="宋体" w:eastAsia="Calibri" w:cs="Times New Roman"/>
                <w:sz w:val="21"/>
                <w:szCs w:val="21"/>
                <w:highlight w:val="none"/>
                <w:lang w:val="en-US" w:eastAsia="zh-CN"/>
              </w:rPr>
            </w:pPr>
            <w:r>
              <w:rPr>
                <w:rFonts w:hint="eastAsia" w:ascii="宋体" w:hAnsi="宋体" w:eastAsia="Calibri" w:cs="Times New Roman"/>
                <w:sz w:val="21"/>
                <w:szCs w:val="21"/>
                <w:highlight w:val="none"/>
                <w:lang w:val="en-US" w:eastAsia="zh-CN"/>
              </w:rPr>
              <w:t>1</w:t>
            </w:r>
            <w:r>
              <w:rPr>
                <w:rFonts w:hint="eastAsia" w:ascii="宋体" w:hAnsi="宋体" w:eastAsia="Calibri" w:cs="Times New Roman"/>
                <w:sz w:val="21"/>
                <w:szCs w:val="21"/>
                <w:highlight w:val="none"/>
                <w:lang w:val="zh-CN" w:eastAsia="zh-CN"/>
              </w:rPr>
              <w:t>、</w:t>
            </w:r>
            <w:r>
              <w:rPr>
                <w:rFonts w:hint="eastAsia" w:ascii="宋体" w:hAnsi="宋体" w:eastAsia="Calibri" w:cs="Times New Roman"/>
                <w:sz w:val="21"/>
                <w:szCs w:val="21"/>
                <w:highlight w:val="none"/>
                <w:lang w:val="en-US" w:eastAsia="zh-CN"/>
              </w:rPr>
              <w:t>财务没有处于被接管、冻结、破产状态；</w:t>
            </w:r>
          </w:p>
          <w:p>
            <w:pPr>
              <w:widowControl/>
              <w:numPr>
                <w:ilvl w:val="0"/>
                <w:numId w:val="0"/>
              </w:numPr>
              <w:snapToGrid w:val="0"/>
              <w:spacing w:before="0" w:beforeLines="0" w:line="360" w:lineRule="auto"/>
              <w:ind w:firstLine="0" w:firstLineChars="0"/>
              <w:jc w:val="left"/>
              <w:rPr>
                <w:rFonts w:hint="default" w:ascii="宋体" w:hAnsi="宋体" w:eastAsia="Calibri" w:cs="Times New Roman"/>
                <w:sz w:val="21"/>
                <w:szCs w:val="21"/>
                <w:highlight w:val="none"/>
                <w:lang w:val="en-US" w:eastAsia="zh-CN"/>
              </w:rPr>
            </w:pPr>
            <w:r>
              <w:rPr>
                <w:rFonts w:hint="default" w:ascii="宋体" w:hAnsi="宋体" w:eastAsia="Calibri" w:cs="Times New Roman"/>
                <w:sz w:val="21"/>
                <w:szCs w:val="21"/>
                <w:highlight w:val="none"/>
                <w:lang w:val="en-US" w:eastAsia="zh-CN"/>
              </w:rPr>
              <w:t>2、投标人没有涉及正在诉讼的案件，或虽涉及正在诉讼的案件但经评标委员会认定不会对承担本项目造成重大影响；</w:t>
            </w:r>
          </w:p>
          <w:p>
            <w:pPr>
              <w:widowControl/>
              <w:numPr>
                <w:ilvl w:val="0"/>
                <w:numId w:val="0"/>
              </w:numPr>
              <w:snapToGrid w:val="0"/>
              <w:spacing w:before="0" w:beforeLines="0" w:line="360" w:lineRule="auto"/>
              <w:ind w:firstLine="0" w:firstLineChars="0"/>
              <w:jc w:val="left"/>
              <w:rPr>
                <w:rFonts w:hint="default" w:ascii="宋体" w:hAnsi="宋体" w:eastAsia="Calibri" w:cs="Times New Roman"/>
                <w:sz w:val="21"/>
                <w:szCs w:val="21"/>
                <w:highlight w:val="none"/>
                <w:lang w:val="en-US" w:eastAsia="zh-CN"/>
              </w:rPr>
            </w:pPr>
            <w:r>
              <w:rPr>
                <w:rFonts w:hint="eastAsia" w:ascii="宋体" w:hAnsi="宋体" w:eastAsia="Calibri" w:cs="Times New Roman"/>
                <w:sz w:val="21"/>
                <w:szCs w:val="21"/>
                <w:highlight w:val="none"/>
                <w:lang w:val="en-US" w:eastAsia="zh-CN"/>
              </w:rPr>
              <w:t>3、</w:t>
            </w:r>
            <w:r>
              <w:rPr>
                <w:rFonts w:hint="default" w:ascii="宋体" w:hAnsi="宋体" w:eastAsia="Calibri" w:cs="Times New Roman"/>
                <w:sz w:val="21"/>
                <w:szCs w:val="21"/>
                <w:highlight w:val="none"/>
                <w:lang w:val="en-US" w:eastAsia="zh-CN"/>
              </w:rPr>
              <w:t>投标人或其总公司202</w:t>
            </w:r>
            <w:r>
              <w:rPr>
                <w:rFonts w:hint="eastAsia" w:ascii="宋体" w:hAnsi="宋体" w:eastAsia="Calibri" w:cs="Times New Roman"/>
                <w:sz w:val="21"/>
                <w:szCs w:val="21"/>
                <w:highlight w:val="none"/>
                <w:lang w:val="en-US" w:eastAsia="zh-CN"/>
              </w:rPr>
              <w:t>4</w:t>
            </w:r>
            <w:r>
              <w:rPr>
                <w:rFonts w:hint="default" w:ascii="宋体" w:hAnsi="宋体" w:eastAsia="Calibri" w:cs="Times New Roman"/>
                <w:sz w:val="21"/>
                <w:szCs w:val="21"/>
                <w:highlight w:val="none"/>
                <w:lang w:val="en-US" w:eastAsia="zh-CN"/>
              </w:rPr>
              <w:t>年在</w:t>
            </w:r>
            <w:r>
              <w:rPr>
                <w:rFonts w:hint="eastAsia"/>
                <w:highlight w:val="none"/>
                <w:lang w:val="en-US" w:eastAsia="zh-CN"/>
              </w:rPr>
              <w:t>国家金融监督管理总局（原</w:t>
            </w:r>
            <w:r>
              <w:rPr>
                <w:rFonts w:hint="default" w:ascii="宋体" w:hAnsi="宋体" w:eastAsia="Calibri" w:cs="Times New Roman"/>
                <w:sz w:val="21"/>
                <w:szCs w:val="21"/>
                <w:highlight w:val="none"/>
                <w:lang w:val="en-US" w:eastAsia="zh-CN"/>
              </w:rPr>
              <w:t>中国银行保险监督管理委员会</w:t>
            </w:r>
            <w:r>
              <w:rPr>
                <w:rFonts w:hint="eastAsia" w:ascii="宋体" w:hAnsi="宋体" w:eastAsia="Calibri" w:cs="Times New Roman"/>
                <w:sz w:val="21"/>
                <w:szCs w:val="21"/>
                <w:highlight w:val="none"/>
                <w:lang w:val="en-US" w:eastAsia="zh-CN"/>
              </w:rPr>
              <w:t>）</w:t>
            </w:r>
            <w:r>
              <w:rPr>
                <w:rFonts w:hint="default" w:ascii="宋体" w:hAnsi="宋体" w:eastAsia="Calibri" w:cs="Times New Roman"/>
                <w:sz w:val="21"/>
                <w:szCs w:val="21"/>
                <w:highlight w:val="none"/>
                <w:lang w:val="en-US" w:eastAsia="zh-CN"/>
              </w:rPr>
              <w:t>偿二代监管信息系统</w:t>
            </w:r>
            <w:r>
              <w:rPr>
                <w:rFonts w:hint="eastAsia" w:ascii="宋体" w:hAnsi="宋体" w:eastAsia="Calibri" w:cs="Times New Roman"/>
                <w:sz w:val="21"/>
                <w:szCs w:val="21"/>
                <w:highlight w:val="none"/>
                <w:lang w:val="en-US" w:eastAsia="zh-CN"/>
              </w:rPr>
              <w:t>各个季度</w:t>
            </w:r>
            <w:r>
              <w:rPr>
                <w:rFonts w:hint="default" w:ascii="宋体" w:hAnsi="宋体" w:eastAsia="Calibri" w:cs="Times New Roman"/>
                <w:sz w:val="21"/>
                <w:szCs w:val="21"/>
                <w:highlight w:val="none"/>
                <w:lang w:val="en-US" w:eastAsia="zh-CN"/>
              </w:rPr>
              <w:t>的风险综合评级为B</w:t>
            </w:r>
            <w:r>
              <w:rPr>
                <w:rFonts w:hint="eastAsia" w:ascii="宋体" w:hAnsi="宋体" w:eastAsia="Calibri" w:cs="Times New Roman"/>
                <w:sz w:val="21"/>
                <w:szCs w:val="21"/>
                <w:highlight w:val="none"/>
                <w:lang w:val="en-US" w:eastAsia="zh-CN"/>
              </w:rPr>
              <w:t>类</w:t>
            </w:r>
            <w:r>
              <w:rPr>
                <w:rFonts w:hint="default" w:ascii="宋体" w:hAnsi="宋体" w:eastAsia="Calibri" w:cs="Times New Roman"/>
                <w:sz w:val="21"/>
                <w:szCs w:val="21"/>
                <w:highlight w:val="none"/>
                <w:lang w:val="en-US" w:eastAsia="zh-CN"/>
              </w:rPr>
              <w:t>或以上。</w:t>
            </w:r>
          </w:p>
          <w:p>
            <w:pPr>
              <w:pStyle w:val="4"/>
              <w:rPr>
                <w:rFonts w:hint="default"/>
                <w:highlight w:val="none"/>
                <w:lang w:val="en-US" w:eastAsia="zh-CN"/>
              </w:rPr>
            </w:pPr>
          </w:p>
          <w:p>
            <w:pPr>
              <w:pStyle w:val="2"/>
              <w:spacing w:line="360" w:lineRule="auto"/>
              <w:rPr>
                <w:rFonts w:hint="default" w:ascii="宋体" w:hAnsi="宋体" w:eastAsia="宋体" w:cs="宋体"/>
                <w:kern w:val="2"/>
                <w:sz w:val="18"/>
                <w:szCs w:val="18"/>
                <w:highlight w:val="none"/>
                <w:lang w:val="en-US" w:eastAsia="zh-CN"/>
              </w:rPr>
            </w:pPr>
            <w:r>
              <w:rPr>
                <w:rFonts w:hint="eastAsia" w:ascii="宋体" w:hAnsi="宋体" w:eastAsia="宋体" w:cs="宋体"/>
                <w:kern w:val="2"/>
                <w:sz w:val="18"/>
                <w:szCs w:val="18"/>
                <w:highlight w:val="none"/>
                <w:lang w:val="en-US" w:eastAsia="zh-CN"/>
              </w:rPr>
              <w:t>注：信誉的综合风险等级要求应附2024年投标人或其总公司在</w:t>
            </w:r>
            <w:r>
              <w:rPr>
                <w:rFonts w:hint="eastAsia" w:ascii="宋体" w:hAnsi="宋体" w:eastAsia="宋体" w:cs="宋体"/>
                <w:sz w:val="18"/>
                <w:szCs w:val="18"/>
                <w:highlight w:val="none"/>
                <w:lang w:val="en-US" w:eastAsia="zh-CN"/>
              </w:rPr>
              <w:t>国家金融监督管理总局（原</w:t>
            </w:r>
            <w:r>
              <w:rPr>
                <w:rFonts w:hint="eastAsia" w:ascii="宋体" w:hAnsi="宋体" w:eastAsia="宋体" w:cs="宋体"/>
                <w:kern w:val="2"/>
                <w:sz w:val="18"/>
                <w:szCs w:val="18"/>
                <w:highlight w:val="none"/>
                <w:lang w:val="en-US" w:eastAsia="zh-CN"/>
              </w:rPr>
              <w:t>中国银行保险监督管理委员会</w:t>
            </w:r>
            <w:r>
              <w:rPr>
                <w:rFonts w:hint="eastAsia"/>
                <w:highlight w:val="none"/>
                <w:lang w:val="en-US" w:eastAsia="zh-CN"/>
              </w:rPr>
              <w:t>）</w:t>
            </w:r>
            <w:r>
              <w:rPr>
                <w:rFonts w:hint="eastAsia" w:ascii="宋体" w:hAnsi="宋体" w:eastAsia="宋体" w:cs="宋体"/>
                <w:kern w:val="2"/>
                <w:sz w:val="18"/>
                <w:szCs w:val="18"/>
                <w:highlight w:val="none"/>
                <w:lang w:val="en-US" w:eastAsia="zh-CN"/>
              </w:rPr>
              <w:t>偿二代监管信息系统各季度的风险综合评级截图并加盖公章。</w:t>
            </w:r>
          </w:p>
        </w:tc>
      </w:tr>
    </w:tbl>
    <w:p>
      <w:pPr>
        <w:spacing w:line="360" w:lineRule="auto"/>
        <w:ind w:firstLine="480" w:firstLineChars="200"/>
        <w:rPr>
          <w:rFonts w:hint="eastAsia" w:ascii="宋体" w:hAnsi="宋体"/>
          <w:color w:val="000000"/>
          <w:sz w:val="24"/>
          <w:szCs w:val="24"/>
          <w:highlight w:val="none"/>
        </w:rPr>
      </w:pPr>
    </w:p>
    <w:p>
      <w:pPr>
        <w:jc w:val="center"/>
        <w:rPr>
          <w:rFonts w:ascii="宋体" w:hAnsi="宋体"/>
          <w:color w:val="000000"/>
          <w:sz w:val="30"/>
          <w:szCs w:val="30"/>
          <w:highlight w:val="none"/>
        </w:rPr>
      </w:pPr>
      <w:r>
        <w:rPr>
          <w:rFonts w:hint="eastAsia" w:ascii="宋体" w:hAnsi="宋体"/>
          <w:color w:val="000000"/>
          <w:sz w:val="30"/>
          <w:szCs w:val="30"/>
          <w:highlight w:val="none"/>
          <w:lang w:eastAsia="zh-CN"/>
        </w:rPr>
        <w:t>第</w:t>
      </w:r>
      <w:r>
        <w:rPr>
          <w:rFonts w:hint="eastAsia" w:ascii="宋体" w:hAnsi="宋体"/>
          <w:color w:val="000000"/>
          <w:sz w:val="30"/>
          <w:szCs w:val="30"/>
          <w:highlight w:val="none"/>
          <w:lang w:val="en-US" w:eastAsia="zh-CN"/>
        </w:rPr>
        <w:t>三</w:t>
      </w:r>
      <w:r>
        <w:rPr>
          <w:rFonts w:hint="eastAsia" w:ascii="宋体" w:hAnsi="宋体"/>
          <w:color w:val="000000"/>
          <w:sz w:val="30"/>
          <w:szCs w:val="30"/>
          <w:highlight w:val="none"/>
          <w:lang w:eastAsia="zh-CN"/>
        </w:rPr>
        <w:t>章</w:t>
      </w:r>
      <w:r>
        <w:rPr>
          <w:rFonts w:hint="eastAsia" w:ascii="宋体" w:hAnsi="宋体"/>
          <w:color w:val="000000"/>
          <w:sz w:val="30"/>
          <w:szCs w:val="30"/>
          <w:highlight w:val="none"/>
        </w:rPr>
        <w:t xml:space="preserve">  评标办法(双信封的合理低价法)</w:t>
      </w:r>
    </w:p>
    <w:p>
      <w:pPr>
        <w:spacing w:line="440" w:lineRule="exact"/>
        <w:jc w:val="center"/>
        <w:rPr>
          <w:rFonts w:hint="eastAsia" w:ascii="宋体" w:hAnsi="宋体"/>
          <w:color w:val="000000"/>
          <w:sz w:val="30"/>
          <w:szCs w:val="30"/>
          <w:highlight w:val="none"/>
        </w:rPr>
      </w:pPr>
      <w:r>
        <w:rPr>
          <w:rFonts w:hint="eastAsia" w:ascii="宋体" w:hAnsi="宋体"/>
          <w:color w:val="000000"/>
          <w:sz w:val="30"/>
          <w:szCs w:val="30"/>
          <w:highlight w:val="none"/>
        </w:rPr>
        <w:t>评标办法前附表</w:t>
      </w:r>
    </w:p>
    <w:tbl>
      <w:tblPr>
        <w:tblStyle w:val="11"/>
        <w:tblW w:w="93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919"/>
        <w:gridCol w:w="7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6" w:hRule="atLeast"/>
        </w:trPr>
        <w:tc>
          <w:tcPr>
            <w:tcW w:w="1764"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 w:val="30"/>
                <w:szCs w:val="30"/>
                <w:highlight w:val="none"/>
              </w:rPr>
            </w:pPr>
            <w:r>
              <w:rPr>
                <w:rFonts w:hint="eastAsia" w:ascii="宋体" w:hAnsi="宋体"/>
                <w:b/>
                <w:bCs/>
                <w:highlight w:val="none"/>
              </w:rPr>
              <w:t>条款号</w:t>
            </w:r>
          </w:p>
        </w:tc>
        <w:tc>
          <w:tcPr>
            <w:tcW w:w="7539" w:type="dxa"/>
            <w:tcBorders>
              <w:top w:val="single" w:color="000000" w:sz="4" w:space="0"/>
              <w:left w:val="nil"/>
              <w:bottom w:val="single" w:color="000000" w:sz="4" w:space="0"/>
              <w:right w:val="single" w:color="000000" w:sz="4" w:space="0"/>
            </w:tcBorders>
            <w:vAlign w:val="center"/>
          </w:tcPr>
          <w:p>
            <w:pPr>
              <w:spacing w:line="400" w:lineRule="exact"/>
              <w:jc w:val="center"/>
              <w:rPr>
                <w:rFonts w:ascii="宋体" w:hAnsi="宋体"/>
                <w:sz w:val="30"/>
                <w:szCs w:val="30"/>
                <w:highlight w:val="none"/>
              </w:rPr>
            </w:pPr>
            <w:r>
              <w:rPr>
                <w:rFonts w:hint="eastAsia" w:ascii="宋体" w:hAnsi="宋体"/>
                <w:b/>
                <w:bCs/>
                <w:highlight w:val="none"/>
              </w:rPr>
              <w:t>评审因素与评审标准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69" w:hRule="atLeast"/>
        </w:trPr>
        <w:tc>
          <w:tcPr>
            <w:tcW w:w="8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 w:val="30"/>
                <w:szCs w:val="30"/>
                <w:highlight w:val="none"/>
              </w:rPr>
            </w:pPr>
            <w:r>
              <w:rPr>
                <w:rFonts w:hint="eastAsia" w:ascii="宋体" w:hAnsi="宋体"/>
                <w:b/>
                <w:bCs/>
                <w:highlight w:val="none"/>
              </w:rPr>
              <w:t>1</w:t>
            </w:r>
          </w:p>
        </w:tc>
        <w:tc>
          <w:tcPr>
            <w:tcW w:w="919" w:type="dxa"/>
            <w:tcBorders>
              <w:top w:val="single" w:color="000000" w:sz="4" w:space="0"/>
              <w:left w:val="nil"/>
              <w:bottom w:val="single" w:color="000000" w:sz="4" w:space="0"/>
              <w:right w:val="single" w:color="000000" w:sz="4" w:space="0"/>
            </w:tcBorders>
            <w:vAlign w:val="center"/>
          </w:tcPr>
          <w:p>
            <w:pPr>
              <w:spacing w:line="400" w:lineRule="exact"/>
              <w:jc w:val="center"/>
              <w:rPr>
                <w:rFonts w:ascii="宋体" w:hAnsi="宋体"/>
                <w:b/>
                <w:bCs/>
                <w:szCs w:val="21"/>
                <w:highlight w:val="none"/>
              </w:rPr>
            </w:pPr>
            <w:r>
              <w:rPr>
                <w:rFonts w:hint="eastAsia" w:ascii="宋体" w:hAnsi="宋体"/>
                <w:b/>
                <w:bCs/>
                <w:highlight w:val="none"/>
              </w:rPr>
              <w:t>评标办法</w:t>
            </w:r>
          </w:p>
        </w:tc>
        <w:tc>
          <w:tcPr>
            <w:tcW w:w="7539" w:type="dxa"/>
            <w:tcBorders>
              <w:top w:val="single" w:color="000000" w:sz="4" w:space="0"/>
              <w:left w:val="nil"/>
              <w:bottom w:val="single" w:color="000000" w:sz="4" w:space="0"/>
              <w:right w:val="single" w:color="000000" w:sz="4" w:space="0"/>
            </w:tcBorders>
            <w:vAlign w:val="center"/>
          </w:tcPr>
          <w:p>
            <w:pPr>
              <w:spacing w:line="400" w:lineRule="exact"/>
              <w:ind w:firstLine="420" w:firstLineChars="200"/>
              <w:rPr>
                <w:highlight w:val="none"/>
              </w:rPr>
            </w:pPr>
            <w:r>
              <w:rPr>
                <w:rFonts w:hint="eastAsia"/>
                <w:highlight w:val="none"/>
              </w:rPr>
              <w:t>综合评分相等时，评标委员会依次按照以下优先顺序推荐中标候选人或确定中标人：</w:t>
            </w:r>
          </w:p>
          <w:p>
            <w:pPr>
              <w:spacing w:line="400" w:lineRule="exact"/>
              <w:ind w:firstLine="420" w:firstLineChars="200"/>
              <w:rPr>
                <w:rFonts w:hint="eastAsia" w:ascii="Calibri" w:hAnsi="Calibri" w:eastAsia="Calibri" w:cs="Times New Roman"/>
                <w:highlight w:val="none"/>
              </w:rPr>
            </w:pPr>
            <w:r>
              <w:rPr>
                <w:rFonts w:hint="eastAsia"/>
                <w:highlight w:val="none"/>
              </w:rPr>
              <w:t>（1）</w:t>
            </w:r>
            <w:r>
              <w:rPr>
                <w:rFonts w:hint="eastAsia" w:ascii="Calibri" w:hAnsi="Calibri" w:eastAsia="Calibri" w:cs="Times New Roman"/>
                <w:highlight w:val="none"/>
              </w:rPr>
              <w:t>评标价低的优先，当一家以上投标人综合得分相等且评标价也相等时，若各投标人各项费率也相同，视为串标，应否决其投标；</w:t>
            </w:r>
          </w:p>
          <w:p>
            <w:pPr>
              <w:spacing w:line="400" w:lineRule="exact"/>
              <w:ind w:firstLine="420" w:firstLineChars="200"/>
              <w:rPr>
                <w:rFonts w:hint="eastAsia" w:ascii="Calibri" w:hAnsi="Calibri" w:eastAsia="Calibri" w:cs="Times New Roman"/>
                <w:highlight w:val="none"/>
              </w:rPr>
            </w:pPr>
            <w:r>
              <w:rPr>
                <w:rFonts w:hint="eastAsia" w:ascii="Calibri" w:hAnsi="Calibri" w:eastAsia="Calibri" w:cs="Times New Roman"/>
                <w:highlight w:val="none"/>
              </w:rPr>
              <w:t>（</w:t>
            </w:r>
            <w:r>
              <w:rPr>
                <w:rFonts w:hint="eastAsia" w:ascii="Calibri" w:hAnsi="Calibri" w:eastAsia="宋体" w:cs="Times New Roman"/>
                <w:highlight w:val="none"/>
                <w:lang w:val="en-US" w:eastAsia="zh-CN"/>
              </w:rPr>
              <w:t>2</w:t>
            </w:r>
            <w:r>
              <w:rPr>
                <w:rFonts w:hint="eastAsia" w:ascii="Calibri" w:hAnsi="Calibri" w:eastAsia="Calibri" w:cs="Times New Roman"/>
                <w:highlight w:val="none"/>
              </w:rPr>
              <w:t>）以投标人企业最新年度（202</w:t>
            </w:r>
            <w:r>
              <w:rPr>
                <w:rFonts w:hint="eastAsia" w:ascii="Calibri" w:hAnsi="Calibri" w:eastAsia="宋体" w:cs="Times New Roman"/>
                <w:highlight w:val="none"/>
                <w:lang w:val="en-US" w:eastAsia="zh-CN"/>
              </w:rPr>
              <w:t>4</w:t>
            </w:r>
            <w:r>
              <w:rPr>
                <w:rFonts w:hint="eastAsia" w:ascii="Calibri" w:hAnsi="Calibri" w:eastAsia="Calibri" w:cs="Times New Roman"/>
                <w:highlight w:val="none"/>
              </w:rPr>
              <w:t>年财务报表为准）净资产较高的优先；</w:t>
            </w:r>
          </w:p>
          <w:p>
            <w:pPr>
              <w:spacing w:line="400" w:lineRule="exact"/>
              <w:ind w:firstLine="420" w:firstLineChars="200"/>
              <w:rPr>
                <w:highlight w:val="none"/>
              </w:rPr>
            </w:pPr>
            <w:r>
              <w:rPr>
                <w:rFonts w:hint="eastAsia" w:ascii="Calibri" w:hAnsi="Calibri" w:eastAsia="Calibri" w:cs="Times New Roman"/>
                <w:highlight w:val="none"/>
              </w:rPr>
              <w:t>（</w:t>
            </w:r>
            <w:r>
              <w:rPr>
                <w:rFonts w:hint="eastAsia" w:ascii="Calibri" w:hAnsi="Calibri" w:eastAsia="宋体" w:cs="Times New Roman"/>
                <w:highlight w:val="none"/>
                <w:lang w:val="en-US" w:eastAsia="zh-CN"/>
              </w:rPr>
              <w:t>3</w:t>
            </w:r>
            <w:r>
              <w:rPr>
                <w:rFonts w:hint="eastAsia" w:ascii="Calibri" w:hAnsi="Calibri" w:eastAsia="Calibri" w:cs="Times New Roman"/>
                <w:highlight w:val="none"/>
              </w:rPr>
              <w:t>）由评标委员会视投标人情况综合比较，投票确定其名次。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19" w:hRule="atLeast"/>
        </w:trPr>
        <w:tc>
          <w:tcPr>
            <w:tcW w:w="8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highlight w:val="none"/>
              </w:rPr>
            </w:pPr>
            <w:r>
              <w:rPr>
                <w:rFonts w:hint="eastAsia" w:ascii="宋体" w:hAnsi="宋体"/>
                <w:highlight w:val="none"/>
              </w:rPr>
              <w:t>2.1.1</w:t>
            </w:r>
          </w:p>
          <w:p>
            <w:pPr>
              <w:spacing w:line="400" w:lineRule="exact"/>
              <w:jc w:val="center"/>
              <w:rPr>
                <w:rFonts w:ascii="宋体" w:hAnsi="宋体"/>
                <w:sz w:val="30"/>
                <w:szCs w:val="30"/>
                <w:highlight w:val="none"/>
              </w:rPr>
            </w:pPr>
            <w:r>
              <w:rPr>
                <w:rFonts w:hint="eastAsia" w:ascii="宋体" w:hAnsi="宋体"/>
                <w:highlight w:val="none"/>
              </w:rPr>
              <w:t>2.1.3</w:t>
            </w:r>
          </w:p>
        </w:tc>
        <w:tc>
          <w:tcPr>
            <w:tcW w:w="919" w:type="dxa"/>
            <w:tcBorders>
              <w:top w:val="single" w:color="000000" w:sz="4" w:space="0"/>
              <w:left w:val="nil"/>
              <w:bottom w:val="single" w:color="000000" w:sz="4" w:space="0"/>
              <w:right w:val="single" w:color="000000" w:sz="4" w:space="0"/>
            </w:tcBorders>
            <w:vAlign w:val="center"/>
          </w:tcPr>
          <w:p>
            <w:pPr>
              <w:spacing w:line="400" w:lineRule="exact"/>
              <w:jc w:val="center"/>
              <w:rPr>
                <w:rFonts w:ascii="宋体" w:hAnsi="宋体"/>
                <w:sz w:val="30"/>
                <w:szCs w:val="30"/>
                <w:highlight w:val="none"/>
              </w:rPr>
            </w:pPr>
            <w:r>
              <w:rPr>
                <w:rFonts w:hint="eastAsia" w:ascii="宋体" w:hAnsi="宋体"/>
                <w:highlight w:val="none"/>
              </w:rPr>
              <w:t>形式评审与响应性评审标准</w:t>
            </w:r>
          </w:p>
        </w:tc>
        <w:tc>
          <w:tcPr>
            <w:tcW w:w="7539" w:type="dxa"/>
            <w:tcBorders>
              <w:top w:val="single" w:color="000000" w:sz="4" w:space="0"/>
              <w:left w:val="nil"/>
              <w:bottom w:val="single" w:color="000000" w:sz="4" w:space="0"/>
              <w:right w:val="single" w:color="000000" w:sz="4" w:space="0"/>
            </w:tcBorders>
            <w:vAlign w:val="center"/>
          </w:tcPr>
          <w:p>
            <w:pPr>
              <w:spacing w:line="400" w:lineRule="exact"/>
              <w:rPr>
                <w:rFonts w:ascii="宋体" w:hAnsi="宋体"/>
                <w:b/>
                <w:bCs/>
                <w:szCs w:val="21"/>
                <w:highlight w:val="none"/>
              </w:rPr>
            </w:pPr>
            <w:r>
              <w:rPr>
                <w:rFonts w:hint="eastAsia" w:ascii="宋体" w:hAnsi="宋体"/>
                <w:b/>
                <w:bCs/>
                <w:highlight w:val="none"/>
              </w:rPr>
              <w:t>第一个信封（商务及技术</w:t>
            </w:r>
            <w:r>
              <w:rPr>
                <w:rFonts w:hint="eastAsia" w:ascii="宋体" w:hAnsi="宋体"/>
                <w:b/>
                <w:bCs/>
                <w:highlight w:val="none"/>
                <w:lang w:val="en-US" w:eastAsia="zh-CN"/>
              </w:rPr>
              <w:t>文件</w:t>
            </w:r>
            <w:r>
              <w:rPr>
                <w:rFonts w:hint="eastAsia" w:ascii="宋体" w:hAnsi="宋体"/>
                <w:b/>
                <w:bCs/>
                <w:highlight w:val="none"/>
              </w:rPr>
              <w:t>）评审标准</w:t>
            </w:r>
          </w:p>
          <w:p>
            <w:pPr>
              <w:spacing w:line="400" w:lineRule="exact"/>
              <w:ind w:firstLine="420" w:firstLineChars="200"/>
              <w:rPr>
                <w:rFonts w:hint="eastAsia" w:ascii="宋体" w:hAnsi="宋体"/>
                <w:highlight w:val="none"/>
              </w:rPr>
            </w:pPr>
            <w:r>
              <w:rPr>
                <w:rFonts w:hint="eastAsia" w:ascii="宋体" w:hAnsi="宋体"/>
                <w:highlight w:val="none"/>
              </w:rPr>
              <w:t>(1)投标文件按照招标文件规定的格式、内容填写，字迹清晰可辨：</w:t>
            </w:r>
          </w:p>
          <w:p>
            <w:pPr>
              <w:spacing w:line="400" w:lineRule="exact"/>
              <w:ind w:firstLine="390"/>
              <w:rPr>
                <w:rFonts w:hint="eastAsia" w:ascii="宋体" w:hAnsi="宋体"/>
                <w:highlight w:val="none"/>
              </w:rPr>
            </w:pPr>
            <w:r>
              <w:rPr>
                <w:rFonts w:hint="eastAsia" w:ascii="宋体" w:hAnsi="宋体"/>
                <w:highlight w:val="none"/>
              </w:rPr>
              <w:t>a.投标函与招标文件规定一致，未进行修改和删减；</w:t>
            </w:r>
          </w:p>
          <w:p>
            <w:pPr>
              <w:spacing w:line="400" w:lineRule="exact"/>
              <w:ind w:firstLine="390"/>
              <w:rPr>
                <w:rFonts w:hint="eastAsia" w:ascii="宋体" w:hAnsi="宋体"/>
                <w:highlight w:val="none"/>
              </w:rPr>
            </w:pPr>
            <w:r>
              <w:rPr>
                <w:rFonts w:hint="eastAsia" w:ascii="宋体" w:hAnsi="宋体"/>
                <w:highlight w:val="none"/>
              </w:rPr>
              <w:t>b.投标文件（第一个信封）组成齐全完整，内容均按规定填写。</w:t>
            </w:r>
          </w:p>
          <w:p>
            <w:pPr>
              <w:spacing w:line="400" w:lineRule="exact"/>
              <w:ind w:left="-2" w:leftChars="-1" w:firstLine="420" w:firstLineChars="200"/>
              <w:rPr>
                <w:rFonts w:hint="eastAsia" w:ascii="宋体" w:hAnsi="宋体" w:eastAsia="宋体"/>
                <w:highlight w:val="none"/>
                <w:lang w:eastAsia="zh-CN"/>
              </w:rPr>
            </w:pPr>
            <w:r>
              <w:rPr>
                <w:rFonts w:hint="eastAsia" w:ascii="宋体" w:hAnsi="宋体"/>
                <w:highlight w:val="none"/>
              </w:rPr>
              <w:t>(2) 投标文件上法定代表人或其委托代理人的签字、投标人的单位章盖章齐全，符合招标文件规定</w:t>
            </w:r>
            <w:r>
              <w:rPr>
                <w:rFonts w:hint="eastAsia" w:ascii="宋体" w:hAnsi="宋体"/>
                <w:highlight w:val="none"/>
                <w:lang w:eastAsia="zh-CN"/>
              </w:rPr>
              <w:t>；</w:t>
            </w:r>
          </w:p>
          <w:p>
            <w:pPr>
              <w:spacing w:line="400" w:lineRule="exact"/>
              <w:ind w:firstLine="420"/>
              <w:rPr>
                <w:rFonts w:hint="eastAsia" w:ascii="宋体" w:hAnsi="宋体"/>
                <w:highlight w:val="none"/>
              </w:rPr>
            </w:pPr>
            <w:r>
              <w:rPr>
                <w:rFonts w:hint="eastAsia" w:ascii="宋体" w:hAnsi="宋体"/>
                <w:highlight w:val="none"/>
              </w:rPr>
              <w:t xml:space="preserve">(3) 投标人按照招标文件的规定提供了投标担保： </w:t>
            </w:r>
          </w:p>
          <w:p>
            <w:pPr>
              <w:spacing w:line="400" w:lineRule="exact"/>
              <w:ind w:firstLine="445" w:firstLineChars="212"/>
              <w:rPr>
                <w:rFonts w:hint="eastAsia" w:ascii="宋体" w:hAnsi="宋体"/>
                <w:highlight w:val="none"/>
              </w:rPr>
            </w:pPr>
            <w:r>
              <w:rPr>
                <w:rFonts w:hint="eastAsia" w:ascii="宋体" w:hAnsi="宋体"/>
                <w:highlight w:val="none"/>
              </w:rPr>
              <w:t>a.投标担保金额符合招标文件规定的金额，且投标保证金有效期不少于投标有效期；</w:t>
            </w:r>
          </w:p>
          <w:p>
            <w:pPr>
              <w:spacing w:line="400" w:lineRule="exact"/>
              <w:ind w:firstLine="445" w:firstLineChars="212"/>
              <w:rPr>
                <w:rFonts w:hint="eastAsia" w:ascii="宋体" w:hAnsi="宋体"/>
                <w:highlight w:val="none"/>
              </w:rPr>
            </w:pPr>
            <w:r>
              <w:rPr>
                <w:rFonts w:hint="eastAsia" w:ascii="宋体" w:hAnsi="宋体"/>
                <w:highlight w:val="none"/>
              </w:rPr>
              <w:t>b.</w:t>
            </w:r>
            <w:r>
              <w:rPr>
                <w:rFonts w:hint="eastAsia" w:ascii="宋体" w:hAnsi="宋体"/>
                <w:kern w:val="0"/>
                <w:highlight w:val="none"/>
              </w:rPr>
              <w:t> </w:t>
            </w:r>
            <w:r>
              <w:rPr>
                <w:rFonts w:hint="eastAsia" w:ascii="宋体" w:hAnsi="宋体"/>
                <w:highlight w:val="none"/>
              </w:rPr>
              <w:t>若投标保证金采用现金（银行电汇）或支票或汇票形式提交，投标人应在投标人须知前附表</w:t>
            </w:r>
            <w:r>
              <w:rPr>
                <w:rFonts w:hint="eastAsia" w:ascii="宋体" w:hAnsi="宋体" w:eastAsia="宋体"/>
                <w:highlight w:val="none"/>
                <w:lang w:val="en-US" w:eastAsia="zh-CN"/>
              </w:rPr>
              <w:t>3.4.1</w:t>
            </w:r>
            <w:r>
              <w:rPr>
                <w:rFonts w:hint="eastAsia" w:ascii="宋体" w:hAnsi="宋体"/>
                <w:highlight w:val="none"/>
              </w:rPr>
              <w:t>规定的时间，将投标保证金由投标人的基本账户一次性汇入（或开给）招标人指定账户；</w:t>
            </w:r>
          </w:p>
          <w:p>
            <w:pPr>
              <w:spacing w:line="400" w:lineRule="exact"/>
              <w:ind w:firstLine="445" w:firstLineChars="212"/>
              <w:rPr>
                <w:rFonts w:hint="eastAsia" w:ascii="宋体" w:hAnsi="宋体"/>
                <w:b/>
                <w:bCs/>
                <w:highlight w:val="none"/>
              </w:rPr>
            </w:pPr>
            <w:r>
              <w:rPr>
                <w:rFonts w:hint="eastAsia" w:ascii="宋体" w:hAnsi="宋体"/>
                <w:highlight w:val="none"/>
              </w:rPr>
              <w:t>c.若采用银行保函形式提交，银行保函的格式、开具保函的银行、银行保函的有效期均满足招标文件要求，</w:t>
            </w:r>
            <w:r>
              <w:rPr>
                <w:rFonts w:hint="eastAsia" w:ascii="宋体" w:hAnsi="宋体"/>
                <w:b/>
                <w:bCs/>
                <w:highlight w:val="none"/>
              </w:rPr>
              <w:t>且银行保函原件在递交投标文件时单独密封递交，其复印件装订在投标文件中。</w:t>
            </w:r>
          </w:p>
          <w:p>
            <w:pPr>
              <w:spacing w:line="400" w:lineRule="exact"/>
              <w:ind w:firstLine="420" w:firstLineChars="200"/>
              <w:rPr>
                <w:rFonts w:hint="eastAsia" w:ascii="宋体" w:hAnsi="宋体"/>
                <w:highlight w:val="none"/>
              </w:rPr>
            </w:pPr>
            <w:r>
              <w:rPr>
                <w:rFonts w:hint="eastAsia" w:ascii="宋体" w:hAnsi="宋体"/>
                <w:highlight w:val="none"/>
              </w:rPr>
              <w:t>(4)投标人法定代表人授权委托代理人签署投标文件的，须提交授权委托书，且授权人和被授权人均在授权委托书上签名，未使用印章、签名章或其他电子制版签名。</w:t>
            </w:r>
          </w:p>
          <w:p>
            <w:pPr>
              <w:spacing w:line="400" w:lineRule="exact"/>
              <w:ind w:firstLine="420" w:firstLineChars="200"/>
              <w:rPr>
                <w:rFonts w:hint="eastAsia" w:ascii="宋体" w:hAnsi="宋体"/>
                <w:highlight w:val="none"/>
              </w:rPr>
            </w:pPr>
            <w:r>
              <w:rPr>
                <w:rFonts w:hint="eastAsia" w:ascii="宋体" w:hAnsi="宋体"/>
                <w:highlight w:val="none"/>
              </w:rPr>
              <w:t>(5)投标人法定代表人若亲自签署投标文件的，提供了法定代表人身份证明，且法定代表人在法定代表人身份证明上签名，未使用印章、签名章或其他电子制版签名。</w:t>
            </w:r>
          </w:p>
          <w:p>
            <w:pPr>
              <w:spacing w:line="400" w:lineRule="exact"/>
              <w:ind w:firstLine="420" w:firstLineChars="200"/>
              <w:rPr>
                <w:rFonts w:hint="eastAsia" w:ascii="宋体" w:hAnsi="宋体"/>
                <w:highlight w:val="none"/>
              </w:rPr>
            </w:pPr>
            <w:r>
              <w:rPr>
                <w:rFonts w:hint="eastAsia" w:ascii="宋体" w:hAnsi="宋体"/>
                <w:highlight w:val="none"/>
              </w:rPr>
              <w:t>(6) 同一标段的同一投标人没有提交两个以上不同的投标文件，但招标文件要求提交备选投标的除外。</w:t>
            </w:r>
          </w:p>
          <w:p>
            <w:pPr>
              <w:spacing w:line="400" w:lineRule="exact"/>
              <w:ind w:firstLine="315" w:firstLineChars="150"/>
              <w:rPr>
                <w:rFonts w:hint="eastAsia" w:ascii="宋体" w:hAnsi="宋体"/>
                <w:highlight w:val="none"/>
              </w:rPr>
            </w:pPr>
            <w:r>
              <w:rPr>
                <w:rFonts w:hint="eastAsia" w:ascii="宋体" w:hAnsi="宋体"/>
                <w:highlight w:val="none"/>
              </w:rPr>
              <w:t>（7）投标文件第一个信封（商务及技术</w:t>
            </w:r>
            <w:r>
              <w:rPr>
                <w:rFonts w:hint="eastAsia" w:ascii="宋体" w:hAnsi="宋体"/>
                <w:highlight w:val="none"/>
                <w:lang w:val="en-US" w:eastAsia="zh-CN"/>
              </w:rPr>
              <w:t>文件</w:t>
            </w:r>
            <w:r>
              <w:rPr>
                <w:rFonts w:hint="eastAsia" w:ascii="宋体" w:hAnsi="宋体"/>
                <w:highlight w:val="none"/>
              </w:rPr>
              <w:t>）不得出现有关投标报价的内容。</w:t>
            </w:r>
          </w:p>
          <w:p>
            <w:pPr>
              <w:spacing w:line="400" w:lineRule="exact"/>
              <w:ind w:firstLine="420" w:firstLineChars="200"/>
              <w:rPr>
                <w:rFonts w:hint="eastAsia" w:ascii="宋体" w:hAnsi="宋体"/>
                <w:highlight w:val="none"/>
              </w:rPr>
            </w:pPr>
            <w:r>
              <w:rPr>
                <w:rFonts w:hint="eastAsia" w:ascii="宋体" w:hAnsi="宋体"/>
                <w:highlight w:val="none"/>
              </w:rPr>
              <w:t>(8)</w:t>
            </w:r>
            <w:r>
              <w:rPr>
                <w:rFonts w:hint="eastAsia" w:ascii="宋体" w:hAnsi="宋体"/>
                <w:szCs w:val="21"/>
                <w:highlight w:val="none"/>
              </w:rPr>
              <w:t xml:space="preserve"> 投标文件载明的招标项目保险期限未超过或少于招标文件规定的时限。</w:t>
            </w:r>
          </w:p>
          <w:p>
            <w:pPr>
              <w:spacing w:line="400" w:lineRule="exact"/>
              <w:ind w:firstLine="420" w:firstLineChars="200"/>
              <w:rPr>
                <w:rFonts w:hint="eastAsia" w:ascii="宋体" w:hAnsi="宋体"/>
                <w:highlight w:val="none"/>
              </w:rPr>
            </w:pPr>
            <w:r>
              <w:rPr>
                <w:rFonts w:hint="eastAsia" w:ascii="宋体" w:hAnsi="宋体"/>
                <w:highlight w:val="none"/>
              </w:rPr>
              <w:t>(9)投标文件对招标文件的实质性要求和条件作出响应。</w:t>
            </w:r>
          </w:p>
          <w:p>
            <w:pPr>
              <w:spacing w:line="400" w:lineRule="exact"/>
              <w:ind w:firstLine="420" w:firstLineChars="200"/>
              <w:rPr>
                <w:rFonts w:hint="eastAsia" w:ascii="宋体" w:hAnsi="宋体"/>
                <w:highlight w:val="none"/>
              </w:rPr>
            </w:pPr>
            <w:r>
              <w:rPr>
                <w:rFonts w:hint="eastAsia" w:ascii="宋体" w:hAnsi="宋体"/>
                <w:highlight w:val="none"/>
              </w:rPr>
              <w:t>(10)权利义务符合招标文件规定：</w:t>
            </w:r>
          </w:p>
          <w:p>
            <w:pPr>
              <w:spacing w:line="400" w:lineRule="exact"/>
              <w:ind w:firstLine="420" w:firstLineChars="200"/>
              <w:rPr>
                <w:rFonts w:hint="eastAsia" w:ascii="宋体" w:hAnsi="宋体"/>
                <w:highlight w:val="none"/>
              </w:rPr>
            </w:pPr>
            <w:r>
              <w:rPr>
                <w:rFonts w:hint="eastAsia" w:ascii="宋体" w:hAnsi="宋体"/>
                <w:highlight w:val="none"/>
              </w:rPr>
              <w:t>a.投标人应接受招标文件规定的风险划分原则，未提出新的风险划分办法；</w:t>
            </w:r>
          </w:p>
          <w:p>
            <w:pPr>
              <w:spacing w:line="400" w:lineRule="exact"/>
              <w:ind w:firstLine="420" w:firstLineChars="200"/>
              <w:rPr>
                <w:rFonts w:hint="eastAsia" w:ascii="宋体" w:hAnsi="宋体"/>
                <w:highlight w:val="none"/>
              </w:rPr>
            </w:pPr>
            <w:r>
              <w:rPr>
                <w:rFonts w:hint="eastAsia" w:ascii="宋体" w:hAnsi="宋体"/>
                <w:highlight w:val="none"/>
              </w:rPr>
              <w:t>b.投标人未增加发包人的责任范围，或减少投标人义务；</w:t>
            </w:r>
          </w:p>
          <w:p>
            <w:pPr>
              <w:spacing w:line="400" w:lineRule="exact"/>
              <w:ind w:firstLine="420" w:firstLineChars="200"/>
              <w:rPr>
                <w:rFonts w:hint="eastAsia" w:ascii="宋体" w:hAnsi="宋体"/>
                <w:highlight w:val="none"/>
              </w:rPr>
            </w:pPr>
            <w:r>
              <w:rPr>
                <w:rFonts w:hint="eastAsia" w:ascii="宋体" w:hAnsi="宋体"/>
                <w:highlight w:val="none"/>
              </w:rPr>
              <w:t>c.投标人未提出不同的支付办法；</w:t>
            </w:r>
          </w:p>
          <w:p>
            <w:pPr>
              <w:spacing w:line="400" w:lineRule="exact"/>
              <w:ind w:firstLine="420" w:firstLineChars="200"/>
              <w:rPr>
                <w:rFonts w:hint="eastAsia" w:ascii="宋体" w:hAnsi="宋体"/>
                <w:highlight w:val="none"/>
              </w:rPr>
            </w:pPr>
            <w:r>
              <w:rPr>
                <w:rFonts w:hint="eastAsia" w:ascii="宋体" w:hAnsi="宋体"/>
                <w:highlight w:val="none"/>
              </w:rPr>
              <w:t>d.投标人对合同纠纷、事故处理办法未提出异议；</w:t>
            </w:r>
          </w:p>
          <w:p>
            <w:pPr>
              <w:spacing w:line="400" w:lineRule="exact"/>
              <w:ind w:firstLine="420" w:firstLineChars="200"/>
              <w:rPr>
                <w:rFonts w:hint="eastAsia" w:ascii="宋体" w:hAnsi="宋体"/>
                <w:highlight w:val="none"/>
              </w:rPr>
            </w:pPr>
            <w:r>
              <w:rPr>
                <w:rFonts w:hint="eastAsia" w:ascii="宋体" w:hAnsi="宋体"/>
                <w:highlight w:val="none"/>
              </w:rPr>
              <w:t>e.投标人在投标活动中无欺诈行为；</w:t>
            </w:r>
          </w:p>
          <w:p>
            <w:pPr>
              <w:spacing w:line="400" w:lineRule="exact"/>
              <w:ind w:firstLine="420" w:firstLineChars="200"/>
              <w:rPr>
                <w:rFonts w:hint="eastAsia" w:ascii="宋体" w:hAnsi="宋体"/>
                <w:highlight w:val="none"/>
              </w:rPr>
            </w:pPr>
            <w:r>
              <w:rPr>
                <w:rFonts w:hint="eastAsia" w:ascii="宋体" w:hAnsi="宋体"/>
                <w:highlight w:val="none"/>
              </w:rPr>
              <w:t>f.投标人未对合同条款有重要保留；</w:t>
            </w:r>
          </w:p>
          <w:p>
            <w:pPr>
              <w:spacing w:line="400" w:lineRule="exact"/>
              <w:ind w:firstLine="420" w:firstLineChars="200"/>
              <w:rPr>
                <w:rFonts w:hint="eastAsia" w:ascii="宋体" w:hAnsi="宋体"/>
                <w:highlight w:val="none"/>
              </w:rPr>
            </w:pPr>
            <w:r>
              <w:rPr>
                <w:rFonts w:ascii="宋体" w:hAnsi="宋体"/>
                <w:highlight w:val="none"/>
              </w:rPr>
              <w:t>g.</w:t>
            </w:r>
            <w:r>
              <w:rPr>
                <w:rFonts w:hint="eastAsia" w:ascii="宋体" w:hAnsi="宋体"/>
                <w:highlight w:val="none"/>
              </w:rPr>
              <w:t>投标人编制的服务方案可行，符合招标文件的要求。</w:t>
            </w:r>
          </w:p>
          <w:p>
            <w:pPr>
              <w:spacing w:line="400" w:lineRule="exact"/>
              <w:ind w:firstLine="315" w:firstLineChars="150"/>
              <w:rPr>
                <w:rFonts w:hint="eastAsia" w:ascii="宋体" w:hAnsi="宋体"/>
                <w:highlight w:val="none"/>
              </w:rPr>
            </w:pPr>
            <w:r>
              <w:rPr>
                <w:rFonts w:hint="eastAsia" w:ascii="宋体" w:hAnsi="宋体"/>
                <w:highlight w:val="none"/>
              </w:rPr>
              <w:t>（11）投标文件正、副本份数符合招标文件第二章“投标人须知”第</w:t>
            </w:r>
            <w:r>
              <w:rPr>
                <w:rFonts w:hint="eastAsia" w:ascii="宋体" w:hAnsi="宋体"/>
                <w:highlight w:val="none"/>
                <w:lang w:eastAsia="zh-CN"/>
              </w:rPr>
              <w:t>3</w:t>
            </w:r>
            <w:r>
              <w:rPr>
                <w:rFonts w:hint="eastAsia" w:ascii="宋体" w:hAnsi="宋体"/>
                <w:highlight w:val="none"/>
                <w:lang w:val="en-US" w:eastAsia="zh-CN"/>
              </w:rPr>
              <w:t>.7.4</w:t>
            </w:r>
            <w:r>
              <w:rPr>
                <w:rFonts w:hint="eastAsia" w:ascii="宋体" w:hAnsi="宋体"/>
                <w:highlight w:val="none"/>
              </w:rPr>
              <w:t>项规定。</w:t>
            </w:r>
          </w:p>
          <w:p>
            <w:pPr>
              <w:spacing w:line="400" w:lineRule="exact"/>
              <w:ind w:firstLine="315" w:firstLineChars="150"/>
              <w:rPr>
                <w:rFonts w:hint="eastAsia" w:ascii="宋体" w:hAnsi="宋体"/>
                <w:b/>
                <w:bCs/>
                <w:highlight w:val="none"/>
                <w:lang w:val="en-US" w:eastAsia="zh-CN"/>
              </w:rPr>
            </w:pPr>
            <w:r>
              <w:rPr>
                <w:rFonts w:hint="eastAsia" w:ascii="宋体" w:hAnsi="宋体"/>
                <w:b/>
                <w:bCs/>
                <w:highlight w:val="none"/>
                <w:lang w:eastAsia="zh-CN"/>
              </w:rPr>
              <w:t>（</w:t>
            </w:r>
            <w:r>
              <w:rPr>
                <w:rFonts w:hint="eastAsia" w:ascii="宋体" w:hAnsi="宋体"/>
                <w:b/>
                <w:bCs/>
                <w:highlight w:val="none"/>
                <w:lang w:val="en-US" w:eastAsia="zh-CN"/>
              </w:rPr>
              <w:t>12</w:t>
            </w:r>
            <w:r>
              <w:rPr>
                <w:rFonts w:hint="eastAsia" w:ascii="宋体" w:hAnsi="宋体"/>
                <w:b/>
                <w:bCs/>
                <w:highlight w:val="none"/>
                <w:lang w:eastAsia="zh-CN"/>
              </w:rPr>
              <w:t>）</w:t>
            </w:r>
            <w:r>
              <w:rPr>
                <w:rFonts w:hint="eastAsia" w:ascii="宋体" w:hAnsi="宋体"/>
                <w:b/>
                <w:bCs/>
                <w:highlight w:val="none"/>
                <w:lang w:val="en-US" w:eastAsia="zh-CN"/>
              </w:rPr>
              <w:t>投标人应完全响应《</w:t>
            </w:r>
            <w:r>
              <w:rPr>
                <w:rFonts w:hint="eastAsia" w:ascii="宋体" w:hAnsi="宋体"/>
                <w:b/>
                <w:bCs/>
                <w:highlight w:val="none"/>
                <w:lang w:eastAsia="zh-CN"/>
              </w:rPr>
              <w:t>广深公司2026-2028年度路产综合保险采购项目保险方案</w:t>
            </w:r>
            <w:r>
              <w:rPr>
                <w:rFonts w:hint="eastAsia" w:ascii="宋体" w:hAnsi="宋体"/>
                <w:b/>
                <w:bCs/>
                <w:highlight w:val="none"/>
                <w:lang w:val="en-US" w:eastAsia="zh-CN"/>
              </w:rPr>
              <w:t>》的要求；</w:t>
            </w:r>
          </w:p>
          <w:p>
            <w:pPr>
              <w:spacing w:line="400" w:lineRule="exact"/>
              <w:ind w:firstLine="315" w:firstLineChars="150"/>
              <w:rPr>
                <w:rFonts w:hint="eastAsia" w:ascii="宋体" w:hAnsi="宋体"/>
                <w:b/>
                <w:bCs/>
                <w:highlight w:val="none"/>
                <w:lang w:val="en-US" w:eastAsia="zh-CN"/>
              </w:rPr>
            </w:pPr>
            <w:r>
              <w:rPr>
                <w:rFonts w:hint="eastAsia" w:ascii="宋体" w:hAnsi="宋体"/>
                <w:b/>
                <w:bCs/>
                <w:highlight w:val="none"/>
                <w:lang w:val="en-US" w:eastAsia="zh-CN"/>
              </w:rPr>
              <w:t>（13）投标人响应的理赔时效全部快于或等于“招标文件第四章 保险承保条件及合同格式”所要求的理赔时效；</w:t>
            </w:r>
          </w:p>
          <w:p>
            <w:pPr>
              <w:spacing w:line="400" w:lineRule="exact"/>
              <w:ind w:firstLine="315" w:firstLineChars="150"/>
              <w:rPr>
                <w:rFonts w:hint="eastAsia" w:ascii="宋体" w:hAnsi="宋体"/>
                <w:highlight w:val="none"/>
                <w:lang w:val="en-US" w:eastAsia="zh-CN"/>
              </w:rPr>
            </w:pPr>
            <w:r>
              <w:rPr>
                <w:rFonts w:hint="eastAsia" w:ascii="宋体" w:hAnsi="宋体"/>
                <w:b/>
                <w:bCs/>
                <w:highlight w:val="none"/>
                <w:lang w:val="en-US" w:eastAsia="zh-CN"/>
              </w:rPr>
              <w:t>（14）投标人应完全响应“招标文件第四章 保险承保条件及合同格式”所要求的索赔资料，不得增加任何资料要求。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trPr>
        <w:tc>
          <w:tcPr>
            <w:tcW w:w="8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highlight w:val="none"/>
              </w:rPr>
            </w:pPr>
            <w:r>
              <w:rPr>
                <w:rFonts w:hint="eastAsia" w:ascii="宋体" w:hAnsi="宋体"/>
                <w:highlight w:val="none"/>
              </w:rPr>
              <w:t>2.1.1</w:t>
            </w:r>
          </w:p>
          <w:p>
            <w:pPr>
              <w:spacing w:line="400" w:lineRule="exact"/>
              <w:jc w:val="center"/>
              <w:rPr>
                <w:rFonts w:ascii="宋体" w:hAnsi="宋体"/>
                <w:szCs w:val="21"/>
                <w:highlight w:val="none"/>
              </w:rPr>
            </w:pPr>
            <w:r>
              <w:rPr>
                <w:rFonts w:hint="eastAsia" w:ascii="宋体" w:hAnsi="宋体"/>
                <w:highlight w:val="none"/>
              </w:rPr>
              <w:t>2.1.3</w:t>
            </w:r>
          </w:p>
        </w:tc>
        <w:tc>
          <w:tcPr>
            <w:tcW w:w="919" w:type="dxa"/>
            <w:tcBorders>
              <w:top w:val="single" w:color="000000" w:sz="4" w:space="0"/>
              <w:left w:val="nil"/>
              <w:bottom w:val="single" w:color="000000" w:sz="4" w:space="0"/>
              <w:right w:val="single" w:color="000000" w:sz="4" w:space="0"/>
            </w:tcBorders>
            <w:vAlign w:val="center"/>
          </w:tcPr>
          <w:p>
            <w:pPr>
              <w:spacing w:line="400" w:lineRule="exact"/>
              <w:jc w:val="center"/>
              <w:rPr>
                <w:rFonts w:ascii="宋体" w:hAnsi="宋体"/>
                <w:color w:val="000000"/>
                <w:szCs w:val="21"/>
                <w:highlight w:val="none"/>
              </w:rPr>
            </w:pPr>
            <w:r>
              <w:rPr>
                <w:rFonts w:hint="eastAsia" w:ascii="宋体" w:hAnsi="宋体"/>
                <w:color w:val="000000"/>
                <w:highlight w:val="none"/>
              </w:rPr>
              <w:t>形式评审与响应性评审标准</w:t>
            </w:r>
          </w:p>
        </w:tc>
        <w:tc>
          <w:tcPr>
            <w:tcW w:w="7539" w:type="dxa"/>
            <w:tcBorders>
              <w:top w:val="single" w:color="000000" w:sz="4" w:space="0"/>
              <w:left w:val="nil"/>
              <w:bottom w:val="single" w:color="000000" w:sz="4" w:space="0"/>
              <w:right w:val="single" w:color="000000" w:sz="4" w:space="0"/>
            </w:tcBorders>
            <w:vAlign w:val="center"/>
          </w:tcPr>
          <w:p>
            <w:pPr>
              <w:spacing w:line="400" w:lineRule="exact"/>
              <w:ind w:firstLine="390"/>
              <w:jc w:val="left"/>
              <w:rPr>
                <w:rFonts w:ascii="宋体" w:hAnsi="宋体"/>
                <w:bCs/>
                <w:color w:val="000000"/>
                <w:szCs w:val="21"/>
                <w:highlight w:val="none"/>
              </w:rPr>
            </w:pPr>
            <w:r>
              <w:rPr>
                <w:rFonts w:hint="eastAsia" w:ascii="宋体" w:hAnsi="宋体"/>
                <w:bCs/>
                <w:color w:val="000000"/>
                <w:highlight w:val="none"/>
              </w:rPr>
              <w:t>第二信封（报价文件）评审标准：</w:t>
            </w:r>
          </w:p>
          <w:p>
            <w:pPr>
              <w:spacing w:line="400" w:lineRule="exact"/>
              <w:ind w:firstLine="390"/>
              <w:rPr>
                <w:rFonts w:hint="eastAsia" w:ascii="宋体" w:hAnsi="宋体"/>
                <w:color w:val="000000"/>
                <w:highlight w:val="none"/>
              </w:rPr>
            </w:pPr>
            <w:r>
              <w:rPr>
                <w:rFonts w:hint="eastAsia" w:ascii="宋体" w:hAnsi="宋体"/>
                <w:color w:val="000000"/>
                <w:highlight w:val="none"/>
              </w:rPr>
              <w:t>（1）投标文件按照招标文件规定的格式、内容填写，字迹清晰可辨：</w:t>
            </w:r>
          </w:p>
          <w:p>
            <w:pPr>
              <w:spacing w:line="400" w:lineRule="exact"/>
              <w:ind w:firstLine="390"/>
              <w:rPr>
                <w:rFonts w:hint="eastAsia" w:ascii="宋体" w:hAnsi="宋体"/>
                <w:color w:val="000000"/>
                <w:highlight w:val="none"/>
              </w:rPr>
            </w:pPr>
            <w:r>
              <w:rPr>
                <w:rFonts w:hint="eastAsia" w:ascii="宋体" w:hAnsi="宋体"/>
                <w:color w:val="000000"/>
                <w:highlight w:val="none"/>
              </w:rPr>
              <w:t>a.投标函按招标文件规定填报了项目名称、补遗书编号（如有）、</w:t>
            </w:r>
            <w:r>
              <w:rPr>
                <w:rFonts w:hint="eastAsia" w:ascii="宋体" w:hAnsi="宋体"/>
                <w:bCs/>
                <w:color w:val="000000"/>
                <w:highlight w:val="none"/>
              </w:rPr>
              <w:t>投标报价（包括大写金额和小写金额）</w:t>
            </w:r>
            <w:r>
              <w:rPr>
                <w:rFonts w:hint="eastAsia" w:ascii="宋体" w:hAnsi="宋体"/>
                <w:color w:val="000000"/>
                <w:highlight w:val="none"/>
              </w:rPr>
              <w:t>；</w:t>
            </w:r>
          </w:p>
          <w:p>
            <w:pPr>
              <w:spacing w:line="400" w:lineRule="exact"/>
              <w:ind w:firstLine="390"/>
              <w:rPr>
                <w:rFonts w:hint="eastAsia" w:ascii="宋体" w:hAnsi="宋体"/>
                <w:color w:val="000000"/>
                <w:highlight w:val="none"/>
              </w:rPr>
            </w:pPr>
            <w:r>
              <w:rPr>
                <w:rFonts w:hint="eastAsia" w:ascii="宋体" w:hAnsi="宋体"/>
                <w:color w:val="000000"/>
                <w:highlight w:val="none"/>
              </w:rPr>
              <w:t>b.投标文件（第二信封）组成齐全完整</w:t>
            </w:r>
            <w:r>
              <w:rPr>
                <w:rFonts w:hint="eastAsia" w:ascii="宋体" w:hAnsi="宋体" w:eastAsia="宋体" w:cs="Times New Roman"/>
                <w:color w:val="000000"/>
                <w:highlight w:val="none"/>
              </w:rPr>
              <w:t>，</w:t>
            </w:r>
            <w:r>
              <w:rPr>
                <w:rFonts w:hint="eastAsia" w:ascii="宋体" w:hAnsi="宋体" w:eastAsia="宋体" w:cs="Times New Roman"/>
                <w:b w:val="0"/>
                <w:bCs w:val="0"/>
                <w:color w:val="000000"/>
                <w:sz w:val="21"/>
                <w:szCs w:val="22"/>
                <w:highlight w:val="none"/>
                <w:lang w:val="en-US" w:eastAsia="zh-CN"/>
              </w:rPr>
              <w:t>内容均按规定填写</w:t>
            </w:r>
            <w:r>
              <w:rPr>
                <w:rFonts w:hint="eastAsia" w:ascii="宋体" w:hAnsi="宋体" w:eastAsia="宋体" w:cs="Times New Roman"/>
                <w:color w:val="000000"/>
                <w:highlight w:val="none"/>
              </w:rPr>
              <w:t>。</w:t>
            </w:r>
          </w:p>
          <w:p>
            <w:pPr>
              <w:spacing w:line="400" w:lineRule="exact"/>
              <w:ind w:firstLine="390"/>
              <w:rPr>
                <w:rFonts w:hint="eastAsia" w:ascii="宋体" w:hAnsi="宋体"/>
                <w:color w:val="000000"/>
                <w:highlight w:val="none"/>
              </w:rPr>
            </w:pPr>
            <w:r>
              <w:rPr>
                <w:rFonts w:hint="eastAsia" w:ascii="宋体" w:hAnsi="宋体"/>
                <w:color w:val="000000"/>
                <w:highlight w:val="none"/>
              </w:rPr>
              <w:t>（2）投标文件上法定代表人或其授权代理人的签字、投标人的单位章盖章齐全，符合招标文件的规定；</w:t>
            </w:r>
          </w:p>
          <w:p>
            <w:pPr>
              <w:spacing w:line="400" w:lineRule="exact"/>
              <w:ind w:firstLine="390"/>
              <w:rPr>
                <w:rFonts w:hint="eastAsia" w:ascii="宋体" w:hAnsi="宋体"/>
                <w:color w:val="000000"/>
                <w:highlight w:val="none"/>
              </w:rPr>
            </w:pPr>
            <w:r>
              <w:rPr>
                <w:rFonts w:hint="eastAsia" w:ascii="宋体" w:hAnsi="宋体"/>
                <w:color w:val="000000"/>
                <w:highlight w:val="none"/>
              </w:rPr>
              <w:t>（3）在投标函上填写了</w:t>
            </w:r>
            <w:r>
              <w:rPr>
                <w:rFonts w:hint="eastAsia" w:ascii="宋体" w:hAnsi="宋体"/>
                <w:bCs/>
                <w:color w:val="000000"/>
                <w:highlight w:val="none"/>
              </w:rPr>
              <w:t>投标报价</w:t>
            </w:r>
            <w:r>
              <w:rPr>
                <w:rFonts w:hint="eastAsia" w:ascii="宋体" w:hAnsi="宋体"/>
                <w:color w:val="000000"/>
                <w:highlight w:val="none"/>
              </w:rPr>
              <w:t>，</w:t>
            </w:r>
            <w:r>
              <w:rPr>
                <w:rFonts w:hint="eastAsia" w:ascii="宋体" w:hAnsi="宋体"/>
                <w:bCs/>
                <w:color w:val="000000"/>
                <w:highlight w:val="none"/>
              </w:rPr>
              <w:t>投标报价</w:t>
            </w:r>
            <w:r>
              <w:rPr>
                <w:rFonts w:hint="eastAsia" w:ascii="宋体" w:hAnsi="宋体"/>
                <w:bCs/>
                <w:color w:val="000000"/>
                <w:highlight w:val="none"/>
                <w:lang w:val="en-US" w:eastAsia="zh-CN"/>
              </w:rPr>
              <w:t>未超过</w:t>
            </w:r>
            <w:r>
              <w:rPr>
                <w:rFonts w:hint="eastAsia" w:ascii="宋体" w:hAnsi="宋体"/>
                <w:color w:val="000000"/>
                <w:highlight w:val="none"/>
              </w:rPr>
              <w:t>招标</w:t>
            </w:r>
            <w:r>
              <w:rPr>
                <w:rFonts w:hint="eastAsia" w:ascii="宋体" w:hAnsi="宋体"/>
                <w:color w:val="000000"/>
                <w:highlight w:val="none"/>
                <w:lang w:val="en-US" w:eastAsia="zh-CN"/>
              </w:rPr>
              <w:t>文件设定</w:t>
            </w:r>
            <w:r>
              <w:rPr>
                <w:rFonts w:hint="eastAsia" w:ascii="宋体" w:hAnsi="宋体"/>
                <w:color w:val="000000"/>
                <w:highlight w:val="none"/>
              </w:rPr>
              <w:t>的</w:t>
            </w:r>
            <w:r>
              <w:rPr>
                <w:rFonts w:hint="eastAsia" w:ascii="宋体" w:hAnsi="宋体"/>
                <w:bCs/>
                <w:color w:val="000000"/>
                <w:highlight w:val="none"/>
              </w:rPr>
              <w:t>最高投标</w:t>
            </w:r>
            <w:r>
              <w:rPr>
                <w:rFonts w:hint="eastAsia" w:ascii="宋体" w:hAnsi="宋体"/>
                <w:bCs/>
                <w:color w:val="000000"/>
                <w:highlight w:val="none"/>
                <w:lang w:val="en-US" w:eastAsia="zh-CN"/>
              </w:rPr>
              <w:t>限</w:t>
            </w:r>
            <w:r>
              <w:rPr>
                <w:rFonts w:hint="eastAsia" w:ascii="宋体" w:hAnsi="宋体"/>
                <w:bCs/>
                <w:color w:val="000000"/>
                <w:highlight w:val="none"/>
              </w:rPr>
              <w:t>价及最高评标限价</w:t>
            </w:r>
            <w:r>
              <w:rPr>
                <w:rFonts w:hint="eastAsia" w:ascii="宋体" w:hAnsi="宋体"/>
                <w:color w:val="000000"/>
                <w:highlight w:val="none"/>
              </w:rPr>
              <w:t>。</w:t>
            </w:r>
          </w:p>
          <w:p>
            <w:pPr>
              <w:spacing w:line="400" w:lineRule="exact"/>
              <w:ind w:firstLine="390"/>
              <w:rPr>
                <w:rFonts w:hint="eastAsia" w:ascii="宋体" w:hAnsi="宋体" w:eastAsia="宋体" w:cs="Times New Roman"/>
                <w:b w:val="0"/>
                <w:bCs w:val="0"/>
                <w:color w:val="000000"/>
                <w:sz w:val="21"/>
                <w:szCs w:val="22"/>
                <w:highlight w:val="none"/>
                <w:lang w:val="en-US" w:eastAsia="zh-CN"/>
              </w:rPr>
            </w:pPr>
            <w:r>
              <w:rPr>
                <w:rFonts w:hint="eastAsia" w:ascii="宋体" w:hAnsi="宋体"/>
                <w:color w:val="000000"/>
                <w:highlight w:val="none"/>
              </w:rPr>
              <w:t>（4</w:t>
            </w:r>
            <w:r>
              <w:rPr>
                <w:rFonts w:hint="eastAsia" w:ascii="宋体" w:hAnsi="宋体" w:eastAsia="宋体" w:cs="Times New Roman"/>
                <w:color w:val="000000"/>
                <w:highlight w:val="none"/>
              </w:rPr>
              <w:t>）</w:t>
            </w:r>
            <w:r>
              <w:rPr>
                <w:rFonts w:hint="eastAsia" w:ascii="宋体" w:hAnsi="宋体" w:eastAsia="宋体" w:cs="Times New Roman"/>
                <w:b w:val="0"/>
                <w:bCs w:val="0"/>
                <w:color w:val="000000"/>
                <w:sz w:val="21"/>
                <w:szCs w:val="22"/>
                <w:highlight w:val="none"/>
                <w:lang w:val="en-US" w:eastAsia="zh-CN"/>
              </w:rPr>
              <w:t>投标报价中报价的大写金额能够确定具体数值；</w:t>
            </w:r>
          </w:p>
          <w:p>
            <w:pPr>
              <w:spacing w:line="400" w:lineRule="exact"/>
              <w:ind w:firstLine="390"/>
              <w:rPr>
                <w:rFonts w:hint="eastAsia" w:ascii="宋体" w:hAnsi="宋体"/>
                <w:color w:val="000000"/>
                <w:highlight w:val="none"/>
              </w:rPr>
            </w:pPr>
            <w:r>
              <w:rPr>
                <w:rFonts w:hint="eastAsia" w:ascii="宋体" w:hAnsi="宋体" w:eastAsia="宋体" w:cs="Times New Roman"/>
                <w:b w:val="0"/>
                <w:bCs w:val="0"/>
                <w:color w:val="000000"/>
                <w:sz w:val="21"/>
                <w:szCs w:val="22"/>
                <w:highlight w:val="none"/>
                <w:lang w:val="en-US" w:eastAsia="zh-CN"/>
              </w:rPr>
              <w:t>（5）</w:t>
            </w:r>
            <w:r>
              <w:rPr>
                <w:rFonts w:hint="eastAsia" w:ascii="宋体" w:hAnsi="宋体"/>
                <w:color w:val="000000"/>
                <w:highlight w:val="none"/>
              </w:rPr>
              <w:t>同一投标人未提交两个以上不同的投标报价，但招标文件要求提交备选投标的除外。 </w:t>
            </w:r>
          </w:p>
          <w:p>
            <w:pPr>
              <w:spacing w:line="400" w:lineRule="exact"/>
              <w:ind w:firstLine="390"/>
              <w:rPr>
                <w:rFonts w:hint="eastAsia" w:ascii="宋体" w:hAnsi="宋体" w:eastAsia="宋体"/>
                <w:color w:val="000000"/>
                <w:highlight w:val="none"/>
                <w:lang w:eastAsia="zh-CN"/>
              </w:rPr>
            </w:pPr>
            <w:r>
              <w:rPr>
                <w:rFonts w:hint="eastAsia" w:ascii="宋体" w:hAnsi="宋体"/>
                <w:color w:val="000000"/>
                <w:highlight w:val="none"/>
                <w:lang w:eastAsia="zh-CN"/>
              </w:rPr>
              <w:t>（</w:t>
            </w:r>
            <w:r>
              <w:rPr>
                <w:rFonts w:hint="eastAsia" w:ascii="宋体" w:hAnsi="宋体"/>
                <w:color w:val="000000"/>
                <w:highlight w:val="none"/>
                <w:lang w:val="en-US" w:eastAsia="zh-CN"/>
              </w:rPr>
              <w:t>6</w:t>
            </w:r>
            <w:r>
              <w:rPr>
                <w:rFonts w:hint="eastAsia" w:ascii="宋体" w:hAnsi="宋体"/>
                <w:color w:val="000000"/>
                <w:highlight w:val="none"/>
                <w:lang w:eastAsia="zh-CN"/>
              </w:rPr>
              <w:t>）</w:t>
            </w:r>
            <w:r>
              <w:rPr>
                <w:rFonts w:hint="eastAsia" w:ascii="宋体" w:hAnsi="宋体"/>
                <w:highlight w:val="none"/>
              </w:rPr>
              <w:t>投标文件正、副本份数符合招标文件第二章“投标人须知”第</w:t>
            </w:r>
            <w:r>
              <w:rPr>
                <w:rFonts w:hint="eastAsia" w:ascii="宋体" w:hAnsi="宋体"/>
                <w:highlight w:val="none"/>
                <w:lang w:val="en-US" w:eastAsia="zh-CN"/>
              </w:rPr>
              <w:t>3.7.4</w:t>
            </w:r>
            <w:r>
              <w:rPr>
                <w:rFonts w:hint="eastAsia" w:ascii="宋体" w:hAnsi="宋体"/>
                <w:highlight w:val="none"/>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8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highlight w:val="none"/>
              </w:rPr>
            </w:pPr>
            <w:r>
              <w:rPr>
                <w:rFonts w:hint="eastAsia" w:ascii="宋体" w:hAnsi="宋体"/>
                <w:highlight w:val="none"/>
              </w:rPr>
              <w:t>2.1.2</w:t>
            </w:r>
          </w:p>
        </w:tc>
        <w:tc>
          <w:tcPr>
            <w:tcW w:w="919" w:type="dxa"/>
            <w:tcBorders>
              <w:top w:val="single" w:color="000000" w:sz="4" w:space="0"/>
              <w:left w:val="nil"/>
              <w:bottom w:val="single" w:color="000000" w:sz="4" w:space="0"/>
              <w:right w:val="single" w:color="000000" w:sz="4" w:space="0"/>
            </w:tcBorders>
            <w:vAlign w:val="center"/>
          </w:tcPr>
          <w:p>
            <w:pPr>
              <w:spacing w:line="400" w:lineRule="exact"/>
              <w:jc w:val="center"/>
              <w:rPr>
                <w:rFonts w:ascii="宋体" w:hAnsi="宋体"/>
                <w:szCs w:val="21"/>
                <w:highlight w:val="none"/>
              </w:rPr>
            </w:pPr>
            <w:r>
              <w:rPr>
                <w:rFonts w:hint="eastAsia" w:ascii="宋体" w:hAnsi="宋体"/>
                <w:highlight w:val="none"/>
              </w:rPr>
              <w:t>资格评审标准</w:t>
            </w:r>
          </w:p>
        </w:tc>
        <w:tc>
          <w:tcPr>
            <w:tcW w:w="7539" w:type="dxa"/>
            <w:tcBorders>
              <w:top w:val="single" w:color="000000" w:sz="4" w:space="0"/>
              <w:left w:val="nil"/>
              <w:bottom w:val="single" w:color="000000" w:sz="4" w:space="0"/>
              <w:right w:val="single" w:color="000000" w:sz="4" w:space="0"/>
            </w:tcBorders>
            <w:vAlign w:val="center"/>
          </w:tcPr>
          <w:p>
            <w:pPr>
              <w:spacing w:line="360" w:lineRule="exact"/>
              <w:ind w:firstLine="420" w:firstLineChars="200"/>
              <w:jc w:val="both"/>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投标人具备有效的营业执照、财产保险许可证、和基本账户开户许可证；（如企业所在地已取消企业银行账户许可证而无法提供开户许可证，须附上银行出具的基本存款账户信息资料</w:t>
            </w:r>
            <w:r>
              <w:rPr>
                <w:rFonts w:hint="eastAsia" w:ascii="Times New Roman" w:hAnsi="Times New Roman" w:eastAsia="宋体" w:cs="Times New Roman"/>
                <w:sz w:val="21"/>
                <w:szCs w:val="22"/>
                <w:highlight w:val="none"/>
                <w:lang w:val="en-US" w:eastAsia="zh-CN" w:bidi="ar"/>
              </w:rPr>
              <w:t>或“人民银行账户管理系统查询的基本账户信息截图”</w:t>
            </w:r>
            <w:r>
              <w:rPr>
                <w:rFonts w:hint="eastAsia"/>
                <w:highlight w:val="none"/>
              </w:rPr>
              <w:t>）；</w:t>
            </w:r>
          </w:p>
          <w:p>
            <w:pPr>
              <w:spacing w:line="360" w:lineRule="exact"/>
              <w:ind w:firstLine="390" w:firstLineChars="0"/>
              <w:jc w:val="both"/>
              <w:rPr>
                <w:rFonts w:hint="eastAsia"/>
                <w:highlight w:val="none"/>
              </w:rPr>
            </w:pPr>
            <w:r>
              <w:rPr>
                <w:rFonts w:hint="eastAsia"/>
                <w:highlight w:val="none"/>
              </w:rPr>
              <w:t>（2）投标人的资质等级符合招标文件规定；</w:t>
            </w:r>
          </w:p>
          <w:p>
            <w:pPr>
              <w:spacing w:line="360" w:lineRule="exact"/>
              <w:ind w:firstLine="390" w:firstLineChars="0"/>
              <w:jc w:val="both"/>
              <w:rPr>
                <w:rFonts w:hint="eastAsia"/>
                <w:highlight w:val="none"/>
              </w:rPr>
            </w:pPr>
            <w:r>
              <w:rPr>
                <w:rFonts w:hint="eastAsia"/>
                <w:highlight w:val="none"/>
              </w:rPr>
              <w:t>（3）投标人的财务状况符合招标文件规定；</w:t>
            </w:r>
          </w:p>
          <w:p>
            <w:pPr>
              <w:spacing w:line="360" w:lineRule="exact"/>
              <w:ind w:firstLine="390" w:firstLineChars="0"/>
              <w:jc w:val="both"/>
              <w:rPr>
                <w:rFonts w:hint="eastAsia"/>
                <w:highlight w:val="none"/>
              </w:rPr>
            </w:pPr>
            <w:r>
              <w:rPr>
                <w:rFonts w:hint="eastAsia"/>
                <w:highlight w:val="none"/>
              </w:rPr>
              <w:t>（4）投标人的承包业绩符合招标文件规定；</w:t>
            </w:r>
          </w:p>
          <w:p>
            <w:pPr>
              <w:spacing w:line="360" w:lineRule="exact"/>
              <w:ind w:firstLine="390" w:firstLineChars="0"/>
              <w:jc w:val="both"/>
              <w:rPr>
                <w:rFonts w:hint="eastAsia"/>
                <w:highlight w:val="none"/>
              </w:rPr>
            </w:pPr>
            <w:r>
              <w:rPr>
                <w:rFonts w:hint="eastAsia"/>
                <w:highlight w:val="none"/>
              </w:rPr>
              <w:t>（5）投标人的理赔业绩符合招标文件规定；</w:t>
            </w:r>
          </w:p>
          <w:p>
            <w:pPr>
              <w:spacing w:line="360" w:lineRule="exact"/>
              <w:ind w:firstLine="390" w:firstLineChars="0"/>
              <w:jc w:val="both"/>
              <w:rPr>
                <w:rFonts w:hint="eastAsia"/>
                <w:highlight w:val="none"/>
              </w:rPr>
            </w:pPr>
            <w:r>
              <w:rPr>
                <w:rFonts w:hint="eastAsia"/>
                <w:highlight w:val="none"/>
              </w:rPr>
              <w:t>（6）投标人的信誉符合招标文件规定；</w:t>
            </w:r>
          </w:p>
          <w:p>
            <w:pPr>
              <w:spacing w:line="360" w:lineRule="exact"/>
              <w:ind w:firstLine="390"/>
              <w:rPr>
                <w:highlight w:val="none"/>
              </w:rPr>
            </w:pPr>
            <w:r>
              <w:rPr>
                <w:rFonts w:hint="eastAsia"/>
                <w:highlight w:val="none"/>
              </w:rPr>
              <w:t>（</w:t>
            </w:r>
            <w:r>
              <w:rPr>
                <w:rFonts w:hint="eastAsia" w:eastAsia="宋体"/>
                <w:highlight w:val="none"/>
                <w:lang w:val="en-US" w:eastAsia="zh-CN"/>
              </w:rPr>
              <w:t>7</w:t>
            </w:r>
            <w:r>
              <w:rPr>
                <w:rFonts w:hint="eastAsia"/>
                <w:highlight w:val="none"/>
              </w:rPr>
              <w:t>）</w:t>
            </w:r>
            <w:r>
              <w:rPr>
                <w:rFonts w:ascii="宋体" w:hAnsi="宋体"/>
                <w:color w:val="000000"/>
                <w:szCs w:val="21"/>
                <w:highlight w:val="none"/>
              </w:rPr>
              <w:t>不存在第二章“投标人须知”第1.4.3项</w:t>
            </w:r>
            <w:r>
              <w:rPr>
                <w:rFonts w:hint="eastAsia" w:ascii="宋体" w:hAnsi="宋体"/>
                <w:color w:val="000000"/>
                <w:szCs w:val="21"/>
                <w:highlight w:val="none"/>
              </w:rPr>
              <w:t>或第1.4.4项</w:t>
            </w:r>
            <w:r>
              <w:rPr>
                <w:rFonts w:ascii="宋体" w:hAnsi="宋体"/>
                <w:color w:val="000000"/>
                <w:szCs w:val="21"/>
                <w:highlight w:val="none"/>
              </w:rPr>
              <w:t>规定的任何一种情形</w:t>
            </w:r>
            <w:r>
              <w:rPr>
                <w:rFonts w:hint="eastAsia" w:ascii="宋体" w:hAnsi="宋体"/>
                <w:color w:val="000000"/>
                <w:szCs w:val="21"/>
                <w:highlight w:val="none"/>
              </w:rPr>
              <w:t>。</w:t>
            </w:r>
            <w:r>
              <w:rPr>
                <w:rFonts w:ascii="宋体" w:hAnsi="宋体"/>
                <w:color w:val="000000"/>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30" w:hRule="atLeast"/>
        </w:trPr>
        <w:tc>
          <w:tcPr>
            <w:tcW w:w="8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highlight w:val="none"/>
              </w:rPr>
            </w:pPr>
            <w:r>
              <w:rPr>
                <w:rFonts w:hint="eastAsia" w:ascii="宋体" w:hAnsi="宋体"/>
                <w:highlight w:val="none"/>
              </w:rPr>
              <w:t>2.2.1</w:t>
            </w:r>
          </w:p>
        </w:tc>
        <w:tc>
          <w:tcPr>
            <w:tcW w:w="919" w:type="dxa"/>
            <w:tcBorders>
              <w:top w:val="single" w:color="000000" w:sz="4" w:space="0"/>
              <w:left w:val="nil"/>
              <w:bottom w:val="single" w:color="000000" w:sz="4" w:space="0"/>
              <w:right w:val="single" w:color="000000" w:sz="4" w:space="0"/>
            </w:tcBorders>
            <w:vAlign w:val="center"/>
          </w:tcPr>
          <w:p>
            <w:pPr>
              <w:spacing w:line="400" w:lineRule="exact"/>
              <w:jc w:val="center"/>
              <w:rPr>
                <w:rFonts w:ascii="宋体" w:hAnsi="宋体"/>
                <w:szCs w:val="21"/>
                <w:highlight w:val="none"/>
              </w:rPr>
            </w:pPr>
            <w:r>
              <w:rPr>
                <w:rFonts w:hint="eastAsia" w:ascii="宋体" w:hAnsi="宋体"/>
                <w:highlight w:val="none"/>
              </w:rPr>
              <w:t>分值构成(总分100分)</w:t>
            </w:r>
          </w:p>
        </w:tc>
        <w:tc>
          <w:tcPr>
            <w:tcW w:w="7539" w:type="dxa"/>
            <w:tcBorders>
              <w:top w:val="single" w:color="000000" w:sz="4" w:space="0"/>
              <w:left w:val="nil"/>
              <w:bottom w:val="single" w:color="000000" w:sz="4" w:space="0"/>
              <w:right w:val="single" w:color="000000" w:sz="4" w:space="0"/>
            </w:tcBorders>
            <w:vAlign w:val="center"/>
          </w:tcPr>
          <w:p>
            <w:pPr>
              <w:autoSpaceDE w:val="0"/>
              <w:autoSpaceDN w:val="0"/>
              <w:adjustRightInd w:val="0"/>
              <w:spacing w:line="400" w:lineRule="exact"/>
              <w:ind w:firstLine="0" w:firstLineChars="0"/>
              <w:jc w:val="left"/>
              <w:rPr>
                <w:highlight w:val="none"/>
              </w:rPr>
            </w:pPr>
            <w:r>
              <w:rPr>
                <w:rFonts w:hint="eastAsia" w:ascii="Times New Roman" w:hAnsi="Times New Roman" w:eastAsia="宋体" w:cs="Times New Roman"/>
                <w:b/>
                <w:bCs/>
                <w:kern w:val="2"/>
                <w:szCs w:val="22"/>
                <w:highlight w:val="none"/>
                <w:lang w:val="en-US" w:eastAsia="zh-CN"/>
              </w:rPr>
              <w:t>评标价：</w:t>
            </w:r>
            <w:r>
              <w:rPr>
                <w:rFonts w:hint="eastAsia" w:ascii="Times New Roman" w:hAnsi="Times New Roman" w:eastAsia="宋体" w:cs="Times New Roman"/>
                <w:b/>
                <w:bCs/>
                <w:kern w:val="2"/>
                <w:szCs w:val="22"/>
                <w:highlight w:val="none"/>
                <w:u w:val="none"/>
                <w:lang w:val="en-US" w:eastAsia="zh-CN"/>
              </w:rPr>
              <w:t xml:space="preserve"> </w:t>
            </w:r>
            <w:r>
              <w:rPr>
                <w:rFonts w:hint="default" w:ascii="Times New Roman" w:hAnsi="Times New Roman" w:eastAsia="宋体" w:cs="Times New Roman"/>
                <w:b/>
                <w:bCs/>
                <w:kern w:val="2"/>
                <w:szCs w:val="22"/>
                <w:highlight w:val="none"/>
                <w:u w:val="none"/>
                <w:lang w:val="en-US" w:eastAsia="zh-CN"/>
              </w:rPr>
              <w:t xml:space="preserve">100 </w:t>
            </w:r>
            <w:r>
              <w:rPr>
                <w:rFonts w:hint="eastAsia" w:ascii="Times New Roman" w:hAnsi="Times New Roman" w:eastAsia="宋体" w:cs="Times New Roman"/>
                <w:b/>
                <w:bCs/>
                <w:kern w:val="2"/>
                <w:szCs w:val="22"/>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7" w:hRule="atLeast"/>
        </w:trPr>
        <w:tc>
          <w:tcPr>
            <w:tcW w:w="8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highlight w:val="none"/>
              </w:rPr>
            </w:pPr>
            <w:r>
              <w:rPr>
                <w:rFonts w:hint="eastAsia" w:ascii="宋体" w:hAnsi="宋体"/>
                <w:highlight w:val="none"/>
              </w:rPr>
              <w:t>2.2.2</w:t>
            </w:r>
          </w:p>
        </w:tc>
        <w:tc>
          <w:tcPr>
            <w:tcW w:w="919" w:type="dxa"/>
            <w:tcBorders>
              <w:top w:val="single" w:color="000000" w:sz="4" w:space="0"/>
              <w:left w:val="nil"/>
              <w:bottom w:val="single" w:color="000000" w:sz="4" w:space="0"/>
              <w:right w:val="single" w:color="000000" w:sz="4" w:space="0"/>
            </w:tcBorders>
            <w:vAlign w:val="center"/>
          </w:tcPr>
          <w:p>
            <w:pPr>
              <w:spacing w:line="400" w:lineRule="exact"/>
              <w:jc w:val="center"/>
              <w:rPr>
                <w:rFonts w:ascii="宋体" w:hAnsi="宋体"/>
                <w:szCs w:val="21"/>
                <w:highlight w:val="none"/>
              </w:rPr>
            </w:pPr>
            <w:r>
              <w:rPr>
                <w:rFonts w:hint="eastAsia" w:ascii="宋体" w:hAnsi="宋体"/>
                <w:highlight w:val="none"/>
              </w:rPr>
              <w:t>评标基准价计算方法</w:t>
            </w:r>
          </w:p>
        </w:tc>
        <w:tc>
          <w:tcPr>
            <w:tcW w:w="7539" w:type="dxa"/>
            <w:tcBorders>
              <w:top w:val="single" w:color="000000" w:sz="4" w:space="0"/>
              <w:left w:val="nil"/>
              <w:bottom w:val="single" w:color="000000" w:sz="4" w:space="0"/>
              <w:right w:val="single" w:color="000000" w:sz="4" w:space="0"/>
            </w:tcBorders>
            <w:vAlign w:val="center"/>
          </w:tcPr>
          <w:p>
            <w:pPr>
              <w:spacing w:line="400" w:lineRule="exact"/>
              <w:rPr>
                <w:rFonts w:ascii="宋体" w:hAnsi="宋体"/>
                <w:b/>
                <w:bCs/>
                <w:szCs w:val="21"/>
                <w:highlight w:val="none"/>
              </w:rPr>
            </w:pPr>
            <w:r>
              <w:rPr>
                <w:rFonts w:hint="eastAsia" w:ascii="宋体" w:hAnsi="宋体"/>
                <w:b/>
                <w:bCs/>
                <w:highlight w:val="none"/>
              </w:rPr>
              <w:t>评标基准价的计算：</w:t>
            </w:r>
          </w:p>
          <w:p>
            <w:pPr>
              <w:spacing w:line="400" w:lineRule="exact"/>
              <w:ind w:firstLine="411" w:firstLineChars="196"/>
              <w:rPr>
                <w:rFonts w:hint="eastAsia" w:ascii="宋体" w:hAnsi="宋体"/>
                <w:b/>
                <w:bCs/>
                <w:highlight w:val="none"/>
              </w:rPr>
            </w:pPr>
            <w:r>
              <w:rPr>
                <w:rFonts w:hint="eastAsia" w:ascii="宋体" w:hAnsi="宋体"/>
                <w:b/>
                <w:bCs/>
                <w:highlight w:val="none"/>
              </w:rPr>
              <w:t>在开标现场，招标人将当场计算并宣布评标基准价。</w:t>
            </w:r>
          </w:p>
          <w:p>
            <w:pPr>
              <w:spacing w:line="400" w:lineRule="exact"/>
              <w:rPr>
                <w:rFonts w:hint="eastAsia" w:ascii="宋体" w:hAnsi="宋体"/>
                <w:b/>
                <w:bCs/>
                <w:highlight w:val="none"/>
              </w:rPr>
            </w:pPr>
            <w:r>
              <w:rPr>
                <w:rFonts w:hint="eastAsia" w:ascii="宋体" w:hAnsi="宋体"/>
                <w:b/>
                <w:bCs/>
                <w:highlight w:val="none"/>
              </w:rPr>
              <w:t>(1) 评标价的确定：</w:t>
            </w:r>
          </w:p>
          <w:p>
            <w:pPr>
              <w:spacing w:line="400" w:lineRule="exact"/>
              <w:ind w:firstLine="420" w:firstLineChars="200"/>
              <w:rPr>
                <w:rFonts w:hint="eastAsia" w:ascii="宋体" w:hAnsi="宋体"/>
                <w:highlight w:val="none"/>
              </w:rPr>
            </w:pPr>
            <w:r>
              <w:rPr>
                <w:rFonts w:hint="eastAsia" w:ascii="宋体" w:hAnsi="宋体"/>
                <w:highlight w:val="none"/>
              </w:rPr>
              <w:t>投标人评标价＝报价函文字报价</w:t>
            </w:r>
          </w:p>
          <w:p>
            <w:pPr>
              <w:spacing w:line="400" w:lineRule="exact"/>
              <w:rPr>
                <w:rFonts w:hint="eastAsia" w:ascii="宋体" w:hAnsi="宋体"/>
                <w:b/>
                <w:bCs/>
                <w:kern w:val="0"/>
                <w:highlight w:val="none"/>
              </w:rPr>
            </w:pPr>
            <w:r>
              <w:rPr>
                <w:rFonts w:hint="eastAsia" w:ascii="宋体" w:hAnsi="宋体"/>
                <w:b/>
                <w:bCs/>
                <w:kern w:val="0"/>
                <w:highlight w:val="none"/>
              </w:rPr>
              <w:t xml:space="preserve">(2) </w:t>
            </w:r>
            <w:r>
              <w:rPr>
                <w:rFonts w:hint="eastAsia" w:ascii="宋体" w:hAnsi="宋体"/>
                <w:b/>
                <w:bCs/>
                <w:highlight w:val="none"/>
              </w:rPr>
              <w:t>最高评标</w:t>
            </w:r>
            <w:r>
              <w:rPr>
                <w:rFonts w:hint="eastAsia" w:ascii="宋体" w:hAnsi="宋体"/>
                <w:b/>
                <w:bCs/>
                <w:highlight w:val="none"/>
                <w:lang w:val="en-US" w:eastAsia="zh-CN"/>
              </w:rPr>
              <w:t>限</w:t>
            </w:r>
            <w:r>
              <w:rPr>
                <w:rFonts w:hint="eastAsia" w:ascii="宋体" w:hAnsi="宋体"/>
                <w:b/>
                <w:bCs/>
                <w:highlight w:val="none"/>
              </w:rPr>
              <w:t>价</w:t>
            </w:r>
            <w:r>
              <w:rPr>
                <w:rFonts w:hint="eastAsia" w:ascii="宋体" w:hAnsi="宋体"/>
                <w:b/>
                <w:bCs/>
                <w:kern w:val="0"/>
                <w:highlight w:val="none"/>
              </w:rPr>
              <w:t>的计算</w:t>
            </w:r>
          </w:p>
          <w:p>
            <w:pPr>
              <w:spacing w:line="400" w:lineRule="exact"/>
              <w:rPr>
                <w:rFonts w:hint="eastAsia" w:ascii="宋体" w:hAnsi="宋体"/>
                <w:b/>
                <w:bCs/>
                <w:highlight w:val="none"/>
              </w:rPr>
            </w:pPr>
            <w:r>
              <w:rPr>
                <w:rFonts w:hint="eastAsia" w:ascii="宋体" w:hAnsi="宋体"/>
                <w:b/>
                <w:bCs/>
                <w:highlight w:val="none"/>
              </w:rPr>
              <w:t>①  最高投标</w:t>
            </w:r>
            <w:r>
              <w:rPr>
                <w:rFonts w:hint="eastAsia" w:ascii="宋体" w:hAnsi="宋体"/>
                <w:b/>
                <w:bCs/>
                <w:highlight w:val="none"/>
                <w:lang w:val="en-US" w:eastAsia="zh-CN"/>
              </w:rPr>
              <w:t>费率及</w:t>
            </w:r>
            <w:r>
              <w:rPr>
                <w:rFonts w:hint="eastAsia" w:ascii="宋体" w:hAnsi="宋体"/>
                <w:b/>
                <w:bCs/>
                <w:highlight w:val="none"/>
              </w:rPr>
              <w:t>最高投标限价</w:t>
            </w:r>
          </w:p>
          <w:tbl>
            <w:tblPr>
              <w:tblStyle w:val="12"/>
              <w:tblW w:w="6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906"/>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907" w:type="dxa"/>
                  <w:vAlign w:val="center"/>
                </w:tcPr>
                <w:p>
                  <w:pPr>
                    <w:spacing w:line="400" w:lineRule="exact"/>
                    <w:jc w:val="center"/>
                    <w:rPr>
                      <w:rFonts w:hint="eastAsia" w:ascii="宋体" w:hAnsi="宋体"/>
                      <w:b/>
                      <w:bCs/>
                      <w:highlight w:val="none"/>
                    </w:rPr>
                  </w:pPr>
                  <w:r>
                    <w:rPr>
                      <w:rFonts w:hint="default" w:ascii="宋体" w:hAnsi="宋体"/>
                      <w:b/>
                      <w:bCs/>
                      <w:highlight w:val="none"/>
                      <w:lang w:val="en-US" w:eastAsia="zh-CN"/>
                    </w:rPr>
                    <w:t>险种</w:t>
                  </w:r>
                </w:p>
              </w:tc>
              <w:tc>
                <w:tcPr>
                  <w:tcW w:w="1906" w:type="dxa"/>
                  <w:vAlign w:val="top"/>
                </w:tcPr>
                <w:p>
                  <w:pPr>
                    <w:spacing w:line="400" w:lineRule="exact"/>
                    <w:jc w:val="center"/>
                    <w:rPr>
                      <w:rFonts w:hint="eastAsia" w:ascii="宋体" w:hAnsi="宋体"/>
                      <w:b/>
                      <w:bCs/>
                      <w:highlight w:val="none"/>
                    </w:rPr>
                  </w:pPr>
                  <w:r>
                    <w:rPr>
                      <w:rFonts w:hint="eastAsia" w:ascii="宋体" w:hAnsi="宋体"/>
                      <w:b/>
                      <w:bCs/>
                      <w:highlight w:val="none"/>
                    </w:rPr>
                    <w:t>最高投标</w:t>
                  </w:r>
                  <w:r>
                    <w:rPr>
                      <w:rFonts w:hint="eastAsia" w:ascii="宋体" w:hAnsi="宋体"/>
                      <w:b/>
                      <w:bCs/>
                      <w:highlight w:val="none"/>
                      <w:lang w:val="en-US" w:eastAsia="zh-CN"/>
                    </w:rPr>
                    <w:t>费率</w:t>
                  </w:r>
                </w:p>
              </w:tc>
              <w:tc>
                <w:tcPr>
                  <w:tcW w:w="2337" w:type="dxa"/>
                  <w:vAlign w:val="top"/>
                </w:tcPr>
                <w:p>
                  <w:pPr>
                    <w:spacing w:line="400" w:lineRule="exact"/>
                    <w:jc w:val="center"/>
                    <w:rPr>
                      <w:rFonts w:hint="eastAsia" w:ascii="宋体" w:hAnsi="宋体" w:eastAsia="宋体"/>
                      <w:b/>
                      <w:bCs/>
                      <w:highlight w:val="none"/>
                      <w:lang w:eastAsia="zh-CN"/>
                    </w:rPr>
                  </w:pPr>
                  <w:r>
                    <w:rPr>
                      <w:rFonts w:hint="eastAsia" w:ascii="宋体" w:hAnsi="宋体"/>
                      <w:b/>
                      <w:bCs/>
                      <w:highlight w:val="none"/>
                    </w:rPr>
                    <w:t>最高投标限价</w:t>
                  </w:r>
                  <w:r>
                    <w:rPr>
                      <w:rFonts w:hint="eastAsia" w:ascii="宋体" w:hAnsi="宋体"/>
                      <w:b/>
                      <w:bCs/>
                      <w:highlight w:val="none"/>
                      <w:lang w:eastAsia="zh-CN"/>
                    </w:rPr>
                    <w:t>（</w:t>
                  </w:r>
                  <w:r>
                    <w:rPr>
                      <w:rFonts w:hint="eastAsia" w:ascii="宋体" w:hAnsi="宋体"/>
                      <w:b/>
                      <w:bCs/>
                      <w:highlight w:val="none"/>
                      <w:lang w:val="en-US" w:eastAsia="zh-CN"/>
                    </w:rPr>
                    <w:t>元/年</w:t>
                  </w:r>
                  <w:r>
                    <w:rPr>
                      <w:rFonts w:hint="eastAsia" w:ascii="宋体" w:hAnsi="宋体"/>
                      <w:b/>
                      <w:bCs/>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907" w:type="dxa"/>
                  <w:vAlign w:val="center"/>
                </w:tcPr>
                <w:p>
                  <w:pPr>
                    <w:spacing w:line="400" w:lineRule="exact"/>
                    <w:jc w:val="center"/>
                    <w:rPr>
                      <w:rFonts w:hint="eastAsia" w:ascii="宋体" w:hAnsi="宋体"/>
                      <w:b/>
                      <w:bCs/>
                      <w:highlight w:val="none"/>
                    </w:rPr>
                  </w:pPr>
                  <w:r>
                    <w:rPr>
                      <w:rFonts w:hint="default" w:ascii="宋体" w:hAnsi="宋体"/>
                      <w:b/>
                      <w:bCs/>
                      <w:highlight w:val="none"/>
                      <w:lang w:val="en-US" w:eastAsia="zh-CN"/>
                    </w:rPr>
                    <w:t>财产一切险</w:t>
                  </w:r>
                </w:p>
              </w:tc>
              <w:tc>
                <w:tcPr>
                  <w:tcW w:w="1906" w:type="dxa"/>
                  <w:vAlign w:val="top"/>
                </w:tcPr>
                <w:p>
                  <w:pPr>
                    <w:spacing w:line="400" w:lineRule="exact"/>
                    <w:jc w:val="center"/>
                    <w:rPr>
                      <w:rFonts w:hint="eastAsia" w:ascii="宋体" w:hAnsi="宋体"/>
                      <w:b/>
                      <w:bCs/>
                      <w:highlight w:val="none"/>
                    </w:rPr>
                  </w:pPr>
                  <w:r>
                    <w:rPr>
                      <w:rFonts w:hint="eastAsia" w:ascii="宋体" w:hAnsi="宋体"/>
                      <w:b/>
                      <w:bCs/>
                      <w:highlight w:val="none"/>
                    </w:rPr>
                    <w:t>0.2</w:t>
                  </w:r>
                  <w:r>
                    <w:rPr>
                      <w:rFonts w:hint="eastAsia" w:ascii="宋体" w:hAnsi="宋体"/>
                      <w:b/>
                      <w:bCs/>
                      <w:highlight w:val="none"/>
                      <w:lang w:val="en-US" w:eastAsia="zh-CN"/>
                    </w:rPr>
                    <w:t>7</w:t>
                  </w:r>
                  <w:r>
                    <w:rPr>
                      <w:rFonts w:hint="eastAsia" w:ascii="宋体" w:hAnsi="宋体"/>
                      <w:b/>
                      <w:bCs/>
                      <w:highlight w:val="none"/>
                    </w:rPr>
                    <w:t>‰</w:t>
                  </w:r>
                </w:p>
              </w:tc>
              <w:tc>
                <w:tcPr>
                  <w:tcW w:w="2337" w:type="dxa"/>
                  <w:vAlign w:val="top"/>
                </w:tcPr>
                <w:p>
                  <w:pPr>
                    <w:spacing w:line="400" w:lineRule="exact"/>
                    <w:jc w:val="center"/>
                    <w:rPr>
                      <w:rFonts w:hint="eastAsia" w:ascii="宋体" w:hAnsi="宋体"/>
                      <w:b/>
                      <w:bCs/>
                      <w:highlight w:val="none"/>
                    </w:rPr>
                  </w:pPr>
                  <w:r>
                    <w:rPr>
                      <w:rFonts w:hint="eastAsia" w:ascii="宋体" w:hAnsi="宋体"/>
                      <w:b/>
                      <w:bCs/>
                      <w:highlight w:val="none"/>
                      <w:lang w:eastAsia="zh-CN"/>
                    </w:rPr>
                    <w:t>￥</w:t>
                  </w:r>
                  <w:r>
                    <w:rPr>
                      <w:rFonts w:hint="eastAsia" w:ascii="宋体" w:hAnsi="宋体"/>
                      <w:b/>
                      <w:bCs/>
                      <w:highlight w:val="none"/>
                    </w:rPr>
                    <w:t>2</w:t>
                  </w:r>
                  <w:r>
                    <w:rPr>
                      <w:rFonts w:hint="eastAsia" w:ascii="宋体" w:hAnsi="宋体"/>
                      <w:b/>
                      <w:bCs/>
                      <w:highlight w:val="none"/>
                      <w:lang w:val="en-US" w:eastAsia="zh-CN"/>
                    </w:rPr>
                    <w:t>02</w:t>
                  </w:r>
                  <w:r>
                    <w:rPr>
                      <w:rFonts w:hint="eastAsia" w:ascii="宋体" w:hAnsi="宋体"/>
                      <w:b/>
                      <w:bCs/>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907" w:type="dxa"/>
                  <w:vAlign w:val="center"/>
                </w:tcPr>
                <w:p>
                  <w:pPr>
                    <w:spacing w:line="400" w:lineRule="exact"/>
                    <w:jc w:val="center"/>
                    <w:rPr>
                      <w:rFonts w:hint="eastAsia" w:ascii="宋体" w:hAnsi="宋体"/>
                      <w:b/>
                      <w:bCs/>
                      <w:highlight w:val="none"/>
                    </w:rPr>
                  </w:pPr>
                  <w:r>
                    <w:rPr>
                      <w:rFonts w:hint="default" w:ascii="宋体" w:hAnsi="宋体"/>
                      <w:b/>
                      <w:bCs/>
                      <w:highlight w:val="none"/>
                      <w:lang w:val="en-US" w:eastAsia="zh-CN"/>
                    </w:rPr>
                    <w:t>营业中断险</w:t>
                  </w:r>
                </w:p>
              </w:tc>
              <w:tc>
                <w:tcPr>
                  <w:tcW w:w="1906" w:type="dxa"/>
                  <w:vAlign w:val="top"/>
                </w:tcPr>
                <w:p>
                  <w:pPr>
                    <w:spacing w:line="400" w:lineRule="exact"/>
                    <w:jc w:val="center"/>
                    <w:rPr>
                      <w:rFonts w:hint="eastAsia" w:ascii="宋体" w:hAnsi="宋体"/>
                      <w:b/>
                      <w:bCs/>
                      <w:highlight w:val="none"/>
                    </w:rPr>
                  </w:pPr>
                  <w:r>
                    <w:rPr>
                      <w:rFonts w:hint="eastAsia" w:ascii="宋体" w:hAnsi="宋体"/>
                      <w:b/>
                      <w:bCs/>
                      <w:highlight w:val="none"/>
                    </w:rPr>
                    <w:t>0.4‰</w:t>
                  </w:r>
                </w:p>
              </w:tc>
              <w:tc>
                <w:tcPr>
                  <w:tcW w:w="2337" w:type="dxa"/>
                  <w:vAlign w:val="top"/>
                </w:tcPr>
                <w:p>
                  <w:pPr>
                    <w:spacing w:line="400" w:lineRule="exact"/>
                    <w:jc w:val="center"/>
                    <w:rPr>
                      <w:rFonts w:hint="default" w:ascii="宋体" w:hAnsi="宋体" w:eastAsia="宋体"/>
                      <w:b/>
                      <w:bCs/>
                      <w:highlight w:val="none"/>
                      <w:lang w:val="en-US" w:eastAsia="zh-CN"/>
                    </w:rPr>
                  </w:pPr>
                  <w:r>
                    <w:rPr>
                      <w:rFonts w:hint="eastAsia" w:ascii="宋体" w:hAnsi="宋体"/>
                      <w:b/>
                      <w:bCs/>
                      <w:highlight w:val="none"/>
                      <w:lang w:eastAsia="zh-CN"/>
                    </w:rPr>
                    <w:t>￥</w:t>
                  </w:r>
                  <w:r>
                    <w:rPr>
                      <w:rFonts w:hint="eastAsia" w:ascii="宋体" w:hAnsi="宋体"/>
                      <w:b/>
                      <w:bCs/>
                      <w:highlight w:val="none"/>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907" w:type="dxa"/>
                  <w:vAlign w:val="center"/>
                </w:tcPr>
                <w:p>
                  <w:pPr>
                    <w:spacing w:line="400" w:lineRule="exact"/>
                    <w:jc w:val="center"/>
                    <w:rPr>
                      <w:rFonts w:hint="eastAsia" w:ascii="宋体" w:hAnsi="宋体"/>
                      <w:b/>
                      <w:bCs/>
                      <w:highlight w:val="none"/>
                    </w:rPr>
                  </w:pPr>
                  <w:r>
                    <w:rPr>
                      <w:rFonts w:hint="default" w:ascii="宋体" w:hAnsi="宋体"/>
                      <w:b/>
                      <w:bCs/>
                      <w:highlight w:val="none"/>
                      <w:lang w:val="en-US" w:eastAsia="zh-CN"/>
                    </w:rPr>
                    <w:t>公众责任险</w:t>
                  </w:r>
                </w:p>
              </w:tc>
              <w:tc>
                <w:tcPr>
                  <w:tcW w:w="1906" w:type="dxa"/>
                  <w:vAlign w:val="top"/>
                </w:tcPr>
                <w:p>
                  <w:pPr>
                    <w:spacing w:line="400" w:lineRule="exact"/>
                    <w:jc w:val="center"/>
                    <w:rPr>
                      <w:rFonts w:hint="eastAsia" w:ascii="宋体" w:hAnsi="宋体"/>
                      <w:b/>
                      <w:bCs/>
                      <w:highlight w:val="none"/>
                    </w:rPr>
                  </w:pPr>
                  <w:r>
                    <w:rPr>
                      <w:rFonts w:hint="eastAsia" w:ascii="宋体" w:hAnsi="宋体"/>
                      <w:b/>
                      <w:bCs/>
                      <w:highlight w:val="none"/>
                    </w:rPr>
                    <w:t>1.54‰</w:t>
                  </w:r>
                </w:p>
              </w:tc>
              <w:tc>
                <w:tcPr>
                  <w:tcW w:w="2337" w:type="dxa"/>
                  <w:vAlign w:val="top"/>
                </w:tcPr>
                <w:p>
                  <w:pPr>
                    <w:spacing w:line="400" w:lineRule="exact"/>
                    <w:jc w:val="center"/>
                    <w:rPr>
                      <w:rFonts w:hint="eastAsia" w:ascii="宋体" w:hAnsi="宋体"/>
                      <w:b/>
                      <w:bCs/>
                      <w:highlight w:val="none"/>
                    </w:rPr>
                  </w:pPr>
                  <w:r>
                    <w:rPr>
                      <w:rFonts w:hint="eastAsia" w:ascii="宋体" w:hAnsi="宋体"/>
                      <w:b/>
                      <w:bCs/>
                      <w:highlight w:val="none"/>
                      <w:lang w:eastAsia="zh-CN"/>
                    </w:rPr>
                    <w:t>￥</w:t>
                  </w:r>
                  <w:r>
                    <w:rPr>
                      <w:rFonts w:hint="eastAsia" w:ascii="宋体" w:hAnsi="宋体"/>
                      <w:b/>
                      <w:bCs/>
                      <w:highlight w:val="none"/>
                    </w:rPr>
                    <w:t>77000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907" w:type="dxa"/>
                  <w:vAlign w:val="center"/>
                </w:tcPr>
                <w:p>
                  <w:pPr>
                    <w:spacing w:line="400" w:lineRule="exact"/>
                    <w:jc w:val="center"/>
                    <w:rPr>
                      <w:rFonts w:hint="eastAsia" w:ascii="宋体" w:hAnsi="宋体"/>
                      <w:b/>
                      <w:bCs/>
                      <w:highlight w:val="none"/>
                    </w:rPr>
                  </w:pPr>
                  <w:r>
                    <w:rPr>
                      <w:rFonts w:hint="default" w:ascii="宋体" w:hAnsi="宋体"/>
                      <w:b/>
                      <w:bCs/>
                      <w:highlight w:val="none"/>
                      <w:lang w:val="en-US" w:eastAsia="zh-CN"/>
                    </w:rPr>
                    <w:t>现金保险</w:t>
                  </w:r>
                </w:p>
              </w:tc>
              <w:tc>
                <w:tcPr>
                  <w:tcW w:w="1906" w:type="dxa"/>
                  <w:vAlign w:val="top"/>
                </w:tcPr>
                <w:p>
                  <w:pPr>
                    <w:spacing w:line="400" w:lineRule="exact"/>
                    <w:jc w:val="center"/>
                    <w:rPr>
                      <w:rFonts w:hint="eastAsia" w:ascii="宋体" w:hAnsi="宋体"/>
                      <w:b/>
                      <w:bCs/>
                      <w:highlight w:val="none"/>
                    </w:rPr>
                  </w:pPr>
                  <w:r>
                    <w:rPr>
                      <w:rFonts w:hint="eastAsia" w:ascii="宋体" w:hAnsi="宋体"/>
                      <w:b/>
                      <w:bCs/>
                      <w:highlight w:val="none"/>
                    </w:rPr>
                    <w:t>3.58‰</w:t>
                  </w:r>
                </w:p>
              </w:tc>
              <w:tc>
                <w:tcPr>
                  <w:tcW w:w="2337" w:type="dxa"/>
                  <w:vAlign w:val="top"/>
                </w:tcPr>
                <w:p>
                  <w:pPr>
                    <w:spacing w:line="400" w:lineRule="exact"/>
                    <w:jc w:val="center"/>
                    <w:rPr>
                      <w:rFonts w:hint="eastAsia" w:ascii="宋体" w:hAnsi="宋体"/>
                      <w:b/>
                      <w:bCs/>
                      <w:highlight w:val="none"/>
                    </w:rPr>
                  </w:pPr>
                  <w:r>
                    <w:rPr>
                      <w:rFonts w:hint="eastAsia" w:ascii="宋体" w:hAnsi="宋体"/>
                      <w:b/>
                      <w:bCs/>
                      <w:highlight w:val="none"/>
                      <w:lang w:eastAsia="zh-CN"/>
                    </w:rPr>
                    <w:t>￥</w:t>
                  </w:r>
                  <w:r>
                    <w:rPr>
                      <w:rFonts w:hint="eastAsia" w:ascii="宋体" w:hAnsi="宋体"/>
                      <w:b/>
                      <w:bCs/>
                      <w:highlight w:val="none"/>
                      <w:lang w:val="en-US" w:eastAsia="zh-CN"/>
                    </w:rPr>
                    <w:t>3580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907" w:type="dxa"/>
                  <w:vAlign w:val="center"/>
                </w:tcPr>
                <w:p>
                  <w:pPr>
                    <w:spacing w:line="400" w:lineRule="exact"/>
                    <w:jc w:val="center"/>
                    <w:rPr>
                      <w:rFonts w:hint="default" w:ascii="宋体" w:hAnsi="宋体"/>
                      <w:b/>
                      <w:bCs/>
                      <w:highlight w:val="none"/>
                      <w:lang w:val="en-US" w:eastAsia="zh-CN"/>
                    </w:rPr>
                  </w:pPr>
                  <w:r>
                    <w:rPr>
                      <w:rFonts w:hint="eastAsia" w:ascii="宋体" w:hAnsi="宋体"/>
                      <w:b/>
                      <w:bCs/>
                      <w:highlight w:val="none"/>
                      <w:lang w:val="en-US" w:eastAsia="zh-CN"/>
                    </w:rPr>
                    <w:t>合计（元/年）</w:t>
                  </w:r>
                </w:p>
              </w:tc>
              <w:tc>
                <w:tcPr>
                  <w:tcW w:w="1906" w:type="dxa"/>
                  <w:vAlign w:val="top"/>
                </w:tcPr>
                <w:p>
                  <w:pPr>
                    <w:spacing w:line="400" w:lineRule="exact"/>
                    <w:jc w:val="center"/>
                    <w:rPr>
                      <w:rFonts w:hint="eastAsia" w:ascii="宋体" w:hAnsi="宋体"/>
                      <w:b/>
                      <w:bCs/>
                      <w:highlight w:val="none"/>
                    </w:rPr>
                  </w:pPr>
                </w:p>
              </w:tc>
              <w:tc>
                <w:tcPr>
                  <w:tcW w:w="2337" w:type="dxa"/>
                  <w:vAlign w:val="top"/>
                </w:tcPr>
                <w:p>
                  <w:pPr>
                    <w:spacing w:line="400" w:lineRule="exact"/>
                    <w:jc w:val="center"/>
                    <w:rPr>
                      <w:rFonts w:hint="default" w:ascii="宋体" w:hAnsi="宋体" w:eastAsia="宋体"/>
                      <w:b/>
                      <w:bCs/>
                      <w:highlight w:val="none"/>
                      <w:lang w:val="en-US" w:eastAsia="zh-CN"/>
                    </w:rPr>
                  </w:pPr>
                  <w:r>
                    <w:rPr>
                      <w:rFonts w:hint="eastAsia" w:ascii="宋体" w:hAnsi="宋体"/>
                      <w:b/>
                      <w:bCs/>
                      <w:highlight w:val="none"/>
                      <w:lang w:eastAsia="zh-CN"/>
                    </w:rPr>
                    <w:t>￥</w:t>
                  </w:r>
                  <w:r>
                    <w:rPr>
                      <w:rFonts w:hint="eastAsia" w:ascii="宋体" w:hAnsi="宋体"/>
                      <w:b/>
                      <w:bCs/>
                      <w:highlight w:val="none"/>
                      <w:lang w:val="en-US" w:eastAsia="zh-CN"/>
                    </w:rPr>
                    <w:t>2305580</w:t>
                  </w:r>
                </w:p>
              </w:tc>
            </w:tr>
          </w:tbl>
          <w:p>
            <w:pPr>
              <w:spacing w:line="400" w:lineRule="exact"/>
              <w:ind w:firstLine="430" w:firstLineChars="205"/>
              <w:rPr>
                <w:rFonts w:hint="default" w:ascii="宋体" w:hAnsi="宋体" w:eastAsia="宋体"/>
                <w:b/>
                <w:bCs/>
                <w:kern w:val="0"/>
                <w:highlight w:val="none"/>
                <w:lang w:val="en-US" w:eastAsia="zh-CN"/>
              </w:rPr>
            </w:pPr>
            <w:r>
              <w:rPr>
                <w:rFonts w:hint="eastAsia" w:ascii="宋体" w:hAnsi="宋体"/>
                <w:b/>
                <w:bCs/>
                <w:kern w:val="0"/>
                <w:highlight w:val="none"/>
                <w:lang w:val="en-US" w:eastAsia="zh-CN"/>
              </w:rPr>
              <w:t>各险种投标费率及报价</w:t>
            </w:r>
            <w:r>
              <w:rPr>
                <w:rFonts w:hint="eastAsia" w:ascii="宋体" w:hAnsi="宋体"/>
                <w:b/>
                <w:bCs/>
                <w:kern w:val="0"/>
                <w:highlight w:val="none"/>
              </w:rPr>
              <w:t>高于招标人</w:t>
            </w:r>
            <w:r>
              <w:rPr>
                <w:rFonts w:hint="eastAsia" w:ascii="宋体" w:hAnsi="宋体"/>
                <w:b/>
                <w:bCs/>
                <w:kern w:val="0"/>
                <w:highlight w:val="none"/>
                <w:lang w:val="en-US" w:eastAsia="zh-CN"/>
              </w:rPr>
              <w:t>各险种</w:t>
            </w:r>
            <w:r>
              <w:rPr>
                <w:rFonts w:hint="eastAsia" w:ascii="宋体" w:hAnsi="宋体"/>
                <w:b/>
                <w:bCs/>
                <w:highlight w:val="none"/>
              </w:rPr>
              <w:t>最高投标</w:t>
            </w:r>
            <w:r>
              <w:rPr>
                <w:rFonts w:hint="eastAsia" w:ascii="宋体" w:hAnsi="宋体"/>
                <w:b/>
                <w:bCs/>
                <w:highlight w:val="none"/>
                <w:lang w:val="en-US" w:eastAsia="zh-CN"/>
              </w:rPr>
              <w:t>费率及</w:t>
            </w:r>
            <w:r>
              <w:rPr>
                <w:rFonts w:hint="eastAsia" w:ascii="宋体" w:hAnsi="宋体"/>
                <w:b/>
                <w:bCs/>
                <w:highlight w:val="none"/>
              </w:rPr>
              <w:t>最高投标限价</w:t>
            </w:r>
            <w:r>
              <w:rPr>
                <w:rFonts w:hint="eastAsia" w:ascii="宋体" w:hAnsi="宋体"/>
                <w:b/>
                <w:bCs/>
                <w:kern w:val="0"/>
                <w:highlight w:val="none"/>
              </w:rPr>
              <w:t>的，按否决其投标处理。</w:t>
            </w:r>
            <w:r>
              <w:rPr>
                <w:rFonts w:hint="eastAsia" w:ascii="宋体" w:hAnsi="宋体"/>
                <w:b/>
                <w:bCs/>
                <w:kern w:val="0"/>
                <w:highlight w:val="none"/>
                <w:lang w:val="en-US" w:eastAsia="zh-CN"/>
              </w:rPr>
              <w:t>仅投标总价参与后续计算。</w:t>
            </w:r>
          </w:p>
          <w:p>
            <w:pPr>
              <w:spacing w:line="400" w:lineRule="exact"/>
              <w:rPr>
                <w:rFonts w:hint="eastAsia" w:ascii="宋体" w:hAnsi="宋体"/>
                <w:b/>
                <w:bCs/>
                <w:highlight w:val="none"/>
              </w:rPr>
            </w:pPr>
            <w:r>
              <w:rPr>
                <w:rFonts w:hint="eastAsia" w:ascii="宋体" w:hAnsi="宋体"/>
                <w:b/>
                <w:bCs/>
                <w:highlight w:val="none"/>
              </w:rPr>
              <w:t>② 最高投标价下浮率的确定</w:t>
            </w:r>
          </w:p>
          <w:p>
            <w:pPr>
              <w:spacing w:line="400" w:lineRule="exact"/>
              <w:ind w:firstLine="420" w:firstLineChars="200"/>
              <w:rPr>
                <w:rFonts w:hint="eastAsia" w:ascii="宋体" w:hAnsi="宋体"/>
                <w:highlight w:val="none"/>
              </w:rPr>
            </w:pPr>
            <w:r>
              <w:rPr>
                <w:rFonts w:hint="eastAsia" w:ascii="宋体" w:hAnsi="宋体"/>
                <w:highlight w:val="none"/>
              </w:rPr>
              <w:t>下浮率在开标前在开标现场采取随机摇珠方式确定。</w:t>
            </w:r>
          </w:p>
          <w:p>
            <w:pPr>
              <w:spacing w:line="400" w:lineRule="exact"/>
              <w:ind w:firstLine="420" w:firstLineChars="200"/>
              <w:rPr>
                <w:rFonts w:hint="eastAsia" w:ascii="宋体" w:hAnsi="宋体"/>
                <w:highlight w:val="none"/>
              </w:rPr>
            </w:pPr>
            <w:r>
              <w:rPr>
                <w:rFonts w:hint="eastAsia" w:ascii="宋体" w:hAnsi="宋体"/>
                <w:highlight w:val="none"/>
              </w:rPr>
              <w:t>摇珠操作办法如下：在下浮率范围内，以0.1%为一档次增序确定摇珠号码，一共31个球，一次性摇出3个球（摇出的珠不放回），摇出3个球对应的下浮率的平均值即为本</w:t>
            </w:r>
            <w:r>
              <w:rPr>
                <w:rFonts w:hint="eastAsia" w:ascii="宋体" w:hAnsi="宋体"/>
                <w:highlight w:val="none"/>
                <w:lang w:val="en-US" w:eastAsia="zh-CN"/>
              </w:rPr>
              <w:t>项目</w:t>
            </w:r>
            <w:r>
              <w:rPr>
                <w:rFonts w:hint="eastAsia" w:ascii="宋体" w:hAnsi="宋体"/>
                <w:highlight w:val="none"/>
              </w:rPr>
              <w:t>招标的下浮率。</w:t>
            </w:r>
          </w:p>
          <w:p>
            <w:pPr>
              <w:spacing w:line="400" w:lineRule="exact"/>
              <w:ind w:firstLine="420" w:firstLineChars="200"/>
              <w:rPr>
                <w:rFonts w:hint="eastAsia" w:ascii="宋体" w:hAnsi="宋体"/>
                <w:highlight w:val="none"/>
              </w:rPr>
            </w:pPr>
            <w:r>
              <w:rPr>
                <w:rFonts w:hint="eastAsia" w:ascii="宋体" w:hAnsi="宋体"/>
                <w:highlight w:val="none"/>
              </w:rPr>
              <w:t>（注：下浮率摇珠区间在[3%，6%]（包含3%和6%），平均值四舍五入保留至0.01％）</w:t>
            </w:r>
          </w:p>
          <w:p>
            <w:pPr>
              <w:spacing w:line="400" w:lineRule="exact"/>
              <w:rPr>
                <w:rFonts w:hint="eastAsia" w:ascii="宋体" w:hAnsi="宋体"/>
                <w:b/>
                <w:bCs/>
                <w:highlight w:val="none"/>
              </w:rPr>
            </w:pPr>
            <w:r>
              <w:rPr>
                <w:rFonts w:ascii="宋体" w:hAnsi="宋体"/>
                <w:b/>
                <w:bCs/>
                <w:highlight w:val="none"/>
              </w:rPr>
              <w:fldChar w:fldCharType="begin"/>
            </w:r>
            <w:r>
              <w:rPr>
                <w:rFonts w:ascii="宋体" w:hAnsi="宋体"/>
                <w:b/>
                <w:bCs/>
                <w:highlight w:val="none"/>
              </w:rPr>
              <w:instrText xml:space="preserve"> </w:instrText>
            </w:r>
            <w:r>
              <w:rPr>
                <w:rFonts w:hint="eastAsia" w:ascii="宋体" w:hAnsi="宋体"/>
                <w:b/>
                <w:bCs/>
                <w:highlight w:val="none"/>
              </w:rPr>
              <w:instrText xml:space="preserve">= 3 \* GB3</w:instrText>
            </w:r>
            <w:r>
              <w:rPr>
                <w:rFonts w:ascii="宋体" w:hAnsi="宋体"/>
                <w:b/>
                <w:bCs/>
                <w:highlight w:val="none"/>
              </w:rPr>
              <w:instrText xml:space="preserve"> </w:instrText>
            </w:r>
            <w:r>
              <w:rPr>
                <w:rFonts w:ascii="宋体" w:hAnsi="宋体"/>
                <w:b/>
                <w:bCs/>
                <w:highlight w:val="none"/>
              </w:rPr>
              <w:fldChar w:fldCharType="separate"/>
            </w:r>
            <w:r>
              <w:rPr>
                <w:rFonts w:hint="eastAsia" w:ascii="宋体" w:hAnsi="宋体"/>
                <w:b/>
                <w:bCs/>
                <w:highlight w:val="none"/>
              </w:rPr>
              <w:t>③</w:t>
            </w:r>
            <w:r>
              <w:rPr>
                <w:rFonts w:ascii="宋体" w:hAnsi="宋体"/>
                <w:b/>
                <w:bCs/>
                <w:highlight w:val="none"/>
              </w:rPr>
              <w:fldChar w:fldCharType="end"/>
            </w:r>
            <w:r>
              <w:rPr>
                <w:rFonts w:hint="eastAsia" w:ascii="宋体" w:hAnsi="宋体"/>
                <w:b/>
                <w:bCs/>
                <w:highlight w:val="none"/>
              </w:rPr>
              <w:t xml:space="preserve">  最高评标</w:t>
            </w:r>
            <w:r>
              <w:rPr>
                <w:rFonts w:hint="eastAsia" w:ascii="宋体" w:hAnsi="宋体"/>
                <w:b/>
                <w:bCs/>
                <w:highlight w:val="none"/>
                <w:lang w:val="en-US" w:eastAsia="zh-CN"/>
              </w:rPr>
              <w:t>限</w:t>
            </w:r>
            <w:r>
              <w:rPr>
                <w:rFonts w:hint="eastAsia" w:ascii="宋体" w:hAnsi="宋体"/>
                <w:b/>
                <w:bCs/>
                <w:highlight w:val="none"/>
              </w:rPr>
              <w:t>价及有效评标价的范围</w:t>
            </w:r>
          </w:p>
          <w:p>
            <w:pPr>
              <w:spacing w:line="400" w:lineRule="exact"/>
              <w:ind w:firstLine="411" w:firstLineChars="196"/>
              <w:rPr>
                <w:rFonts w:hint="eastAsia" w:ascii="宋体" w:hAnsi="宋体"/>
                <w:b/>
                <w:bCs/>
                <w:highlight w:val="none"/>
              </w:rPr>
            </w:pPr>
            <w:r>
              <w:rPr>
                <w:rFonts w:hint="eastAsia" w:ascii="宋体" w:hAnsi="宋体"/>
                <w:b/>
                <w:bCs/>
                <w:highlight w:val="none"/>
              </w:rPr>
              <w:t>最高评标</w:t>
            </w:r>
            <w:r>
              <w:rPr>
                <w:rFonts w:hint="eastAsia" w:ascii="宋体" w:hAnsi="宋体"/>
                <w:b/>
                <w:bCs/>
                <w:highlight w:val="none"/>
                <w:lang w:val="en-US" w:eastAsia="zh-CN"/>
              </w:rPr>
              <w:t>限</w:t>
            </w:r>
            <w:r>
              <w:rPr>
                <w:rFonts w:hint="eastAsia" w:ascii="宋体" w:hAnsi="宋体"/>
                <w:b/>
                <w:bCs/>
                <w:highlight w:val="none"/>
              </w:rPr>
              <w:t>价=最高投标</w:t>
            </w:r>
            <w:r>
              <w:rPr>
                <w:rFonts w:hint="eastAsia" w:ascii="宋体" w:hAnsi="宋体"/>
                <w:b/>
                <w:bCs/>
                <w:highlight w:val="none"/>
                <w:lang w:val="en-US" w:eastAsia="zh-CN"/>
              </w:rPr>
              <w:t>限</w:t>
            </w:r>
            <w:r>
              <w:rPr>
                <w:rFonts w:hint="eastAsia" w:ascii="宋体" w:hAnsi="宋体"/>
                <w:b/>
                <w:bCs/>
                <w:highlight w:val="none"/>
              </w:rPr>
              <w:t>价×（1-下浮率）</w:t>
            </w:r>
          </w:p>
          <w:p>
            <w:pPr>
              <w:spacing w:line="400" w:lineRule="exact"/>
              <w:ind w:firstLine="420" w:firstLineChars="200"/>
              <w:rPr>
                <w:rFonts w:hint="eastAsia" w:ascii="宋体" w:hAnsi="宋体"/>
                <w:highlight w:val="none"/>
              </w:rPr>
            </w:pPr>
            <w:r>
              <w:rPr>
                <w:rFonts w:hint="eastAsia" w:ascii="宋体" w:hAnsi="宋体"/>
                <w:highlight w:val="none"/>
              </w:rPr>
              <w:t>（最高评标限价四舍五入</w:t>
            </w:r>
            <w:r>
              <w:rPr>
                <w:rFonts w:hint="eastAsia" w:ascii="宋体" w:hAnsi="宋体"/>
                <w:highlight w:val="none"/>
                <w:lang w:val="en-US" w:eastAsia="zh-CN"/>
              </w:rPr>
              <w:t>至个位整数元</w:t>
            </w:r>
            <w:r>
              <w:rPr>
                <w:rFonts w:hint="eastAsia" w:ascii="宋体" w:hAnsi="宋体"/>
                <w:highlight w:val="none"/>
              </w:rPr>
              <w:t>）</w:t>
            </w:r>
          </w:p>
          <w:p>
            <w:pPr>
              <w:spacing w:line="400" w:lineRule="exact"/>
              <w:ind w:firstLine="420" w:firstLineChars="200"/>
              <w:rPr>
                <w:rFonts w:hint="eastAsia" w:ascii="宋体" w:hAnsi="宋体"/>
                <w:highlight w:val="none"/>
              </w:rPr>
            </w:pPr>
            <w:r>
              <w:rPr>
                <w:rFonts w:hint="eastAsia" w:ascii="宋体" w:hAnsi="宋体"/>
                <w:highlight w:val="none"/>
              </w:rPr>
              <w:t xml:space="preserve">有效评标价范围为：不大于最高评标限价的评标价为有效评标价。若大于最高评标限价的评标价，按否决其投标处理。 </w:t>
            </w:r>
          </w:p>
          <w:p>
            <w:pPr>
              <w:snapToGrid w:val="0"/>
              <w:spacing w:line="400" w:lineRule="exact"/>
              <w:rPr>
                <w:rFonts w:hint="eastAsia" w:ascii="宋体" w:hAnsi="宋体"/>
                <w:b/>
                <w:bCs/>
                <w:highlight w:val="none"/>
              </w:rPr>
            </w:pPr>
            <w:r>
              <w:rPr>
                <w:rFonts w:hint="eastAsia" w:ascii="宋体" w:hAnsi="宋体"/>
                <w:b/>
                <w:bCs/>
                <w:highlight w:val="none"/>
              </w:rPr>
              <w:t>（3）评标基准价的确定：</w:t>
            </w:r>
          </w:p>
          <w:p>
            <w:pPr>
              <w:snapToGrid w:val="0"/>
              <w:spacing w:line="400" w:lineRule="exact"/>
              <w:ind w:firstLine="420" w:firstLineChars="200"/>
              <w:rPr>
                <w:rFonts w:hint="eastAsia" w:ascii="宋体" w:hAnsi="宋体"/>
                <w:highlight w:val="none"/>
              </w:rPr>
            </w:pPr>
            <w:r>
              <w:rPr>
                <w:rFonts w:hint="eastAsia" w:ascii="宋体" w:hAnsi="宋体"/>
                <w:highlight w:val="none"/>
              </w:rPr>
              <w:t>评标基准价=</w:t>
            </w:r>
            <w:r>
              <w:rPr>
                <w:rFonts w:hint="eastAsia" w:ascii="宋体" w:hAnsi="宋体"/>
                <w:b/>
                <w:bCs/>
                <w:highlight w:val="none"/>
              </w:rPr>
              <w:t>最高评标</w:t>
            </w:r>
            <w:r>
              <w:rPr>
                <w:rFonts w:hint="eastAsia" w:ascii="宋体" w:hAnsi="宋体"/>
                <w:b/>
                <w:bCs/>
                <w:highlight w:val="none"/>
                <w:lang w:val="en-US" w:eastAsia="zh-CN"/>
              </w:rPr>
              <w:t>限</w:t>
            </w:r>
            <w:r>
              <w:rPr>
                <w:rFonts w:hint="eastAsia" w:ascii="宋体" w:hAnsi="宋体"/>
                <w:b/>
                <w:bCs/>
                <w:highlight w:val="none"/>
              </w:rPr>
              <w:t>价</w:t>
            </w:r>
            <w:r>
              <w:rPr>
                <w:rFonts w:hint="eastAsia" w:ascii="宋体" w:hAnsi="宋体"/>
                <w:highlight w:val="none"/>
              </w:rPr>
              <w:t>×0.98。</w:t>
            </w:r>
          </w:p>
          <w:p>
            <w:pPr>
              <w:spacing w:line="400" w:lineRule="exact"/>
              <w:ind w:firstLine="420" w:firstLineChars="200"/>
              <w:rPr>
                <w:rFonts w:hint="eastAsia" w:ascii="宋体" w:hAnsi="宋体"/>
                <w:highlight w:val="none"/>
              </w:rPr>
            </w:pPr>
            <w:r>
              <w:rPr>
                <w:rFonts w:hint="eastAsia" w:ascii="宋体" w:hAnsi="宋体"/>
                <w:highlight w:val="none"/>
              </w:rPr>
              <w:t>评标基准价四舍五入</w:t>
            </w:r>
            <w:r>
              <w:rPr>
                <w:rFonts w:hint="eastAsia" w:ascii="宋体" w:hAnsi="宋体"/>
                <w:highlight w:val="none"/>
                <w:lang w:val="en-US" w:eastAsia="zh-CN"/>
              </w:rPr>
              <w:t>至个位整数元</w:t>
            </w:r>
            <w:r>
              <w:rPr>
                <w:rFonts w:hint="eastAsia" w:ascii="宋体" w:hAnsi="宋体"/>
                <w:highlight w:val="none"/>
              </w:rPr>
              <w:t>。</w:t>
            </w:r>
          </w:p>
          <w:p>
            <w:pPr>
              <w:spacing w:line="400" w:lineRule="exact"/>
              <w:ind w:firstLine="308" w:firstLineChars="147"/>
              <w:rPr>
                <w:rFonts w:ascii="宋体" w:hAnsi="宋体"/>
                <w:b/>
                <w:bCs/>
                <w:szCs w:val="21"/>
                <w:highlight w:val="none"/>
              </w:rPr>
            </w:pPr>
            <w:r>
              <w:rPr>
                <w:rFonts w:hint="eastAsia" w:ascii="宋体" w:hAnsi="宋体"/>
                <w:b/>
                <w:bCs/>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0" w:hRule="atLeast"/>
        </w:trPr>
        <w:tc>
          <w:tcPr>
            <w:tcW w:w="8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highlight w:val="none"/>
              </w:rPr>
            </w:pPr>
            <w:r>
              <w:rPr>
                <w:rFonts w:hint="eastAsia" w:ascii="宋体" w:hAnsi="宋体"/>
                <w:highlight w:val="none"/>
              </w:rPr>
              <w:t>2.2.3</w:t>
            </w:r>
          </w:p>
        </w:tc>
        <w:tc>
          <w:tcPr>
            <w:tcW w:w="919" w:type="dxa"/>
            <w:tcBorders>
              <w:top w:val="single" w:color="000000" w:sz="4" w:space="0"/>
              <w:left w:val="nil"/>
              <w:bottom w:val="single" w:color="000000" w:sz="4" w:space="0"/>
              <w:right w:val="single" w:color="000000" w:sz="4" w:space="0"/>
            </w:tcBorders>
            <w:vAlign w:val="center"/>
          </w:tcPr>
          <w:p>
            <w:pPr>
              <w:spacing w:line="400" w:lineRule="exact"/>
              <w:jc w:val="center"/>
              <w:rPr>
                <w:rFonts w:ascii="宋体" w:hAnsi="宋体"/>
                <w:szCs w:val="21"/>
                <w:highlight w:val="none"/>
              </w:rPr>
            </w:pPr>
            <w:r>
              <w:rPr>
                <w:rFonts w:hint="eastAsia" w:ascii="宋体" w:hAnsi="宋体"/>
                <w:highlight w:val="none"/>
              </w:rPr>
              <w:t>评标价的偏差率计算公式</w:t>
            </w:r>
          </w:p>
        </w:tc>
        <w:tc>
          <w:tcPr>
            <w:tcW w:w="7539" w:type="dxa"/>
            <w:tcBorders>
              <w:top w:val="single" w:color="000000" w:sz="4" w:space="0"/>
              <w:left w:val="nil"/>
              <w:bottom w:val="single" w:color="000000" w:sz="4" w:space="0"/>
              <w:right w:val="single" w:color="000000" w:sz="4" w:space="0"/>
            </w:tcBorders>
            <w:vAlign w:val="center"/>
          </w:tcPr>
          <w:p>
            <w:pPr>
              <w:spacing w:line="400" w:lineRule="exact"/>
              <w:rPr>
                <w:rFonts w:ascii="宋体" w:hAnsi="宋体"/>
                <w:b/>
                <w:bCs/>
                <w:szCs w:val="21"/>
                <w:highlight w:val="none"/>
              </w:rPr>
            </w:pPr>
            <w:r>
              <w:rPr>
                <w:rFonts w:hint="eastAsia" w:ascii="宋体" w:hAnsi="宋体"/>
                <w:highlight w:val="none"/>
              </w:rPr>
              <w:t>偏差率=100% ×(投标人评标价－评标基准价)/评标基准价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trPr>
        <w:tc>
          <w:tcPr>
            <w:tcW w:w="8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 w:hAnsi="仿宋" w:eastAsia="仿宋" w:cs="仿宋"/>
                <w:color w:val="auto"/>
                <w:kern w:val="2"/>
                <w:sz w:val="24"/>
                <w:szCs w:val="24"/>
                <w:highlight w:val="none"/>
                <w:lang w:val="en-US" w:eastAsia="zh-CN" w:bidi="ar-SA"/>
              </w:rPr>
            </w:pPr>
            <w:r>
              <w:rPr>
                <w:rFonts w:hint="eastAsia" w:ascii="宋体" w:hAnsi="宋体"/>
                <w:b/>
                <w:bCs/>
                <w:color w:val="000000"/>
                <w:szCs w:val="21"/>
                <w:highlight w:val="none"/>
              </w:rPr>
              <w:t>2.2.4（</w:t>
            </w:r>
            <w:r>
              <w:rPr>
                <w:rFonts w:hint="eastAsia" w:ascii="宋体" w:hAnsi="宋体"/>
                <w:b/>
                <w:bCs/>
                <w:color w:val="000000"/>
                <w:szCs w:val="21"/>
                <w:highlight w:val="none"/>
                <w:lang w:val="en-US" w:eastAsia="zh-CN"/>
              </w:rPr>
              <w:t>1</w:t>
            </w:r>
            <w:r>
              <w:rPr>
                <w:rFonts w:hint="eastAsia" w:ascii="宋体" w:hAnsi="宋体"/>
                <w:b/>
                <w:bCs/>
                <w:color w:val="000000"/>
                <w:szCs w:val="21"/>
                <w:highlight w:val="none"/>
              </w:rPr>
              <w:t>）</w:t>
            </w:r>
          </w:p>
        </w:tc>
        <w:tc>
          <w:tcPr>
            <w:tcW w:w="919" w:type="dxa"/>
            <w:tcBorders>
              <w:top w:val="single" w:color="000000" w:sz="4" w:space="0"/>
              <w:left w:val="nil"/>
              <w:bottom w:val="single" w:color="000000" w:sz="4" w:space="0"/>
              <w:right w:val="single" w:color="000000" w:sz="4" w:space="0"/>
            </w:tcBorders>
            <w:vAlign w:val="center"/>
          </w:tcPr>
          <w:p>
            <w:pPr>
              <w:numPr>
                <w:ilvl w:val="0"/>
                <w:numId w:val="0"/>
              </w:numPr>
              <w:snapToGrid/>
              <w:spacing w:before="0" w:beforeLines="0" w:line="360" w:lineRule="exact"/>
              <w:ind w:left="0" w:leftChars="0" w:firstLine="0" w:firstLineChars="0"/>
              <w:jc w:val="center"/>
              <w:rPr>
                <w:rFonts w:hint="eastAsia" w:ascii="宋体" w:hAnsi="宋体" w:eastAsia="宋体" w:cs="Times New Roman"/>
                <w:kern w:val="2"/>
                <w:sz w:val="21"/>
                <w:szCs w:val="22"/>
                <w:highlight w:val="none"/>
                <w:lang w:val="en-US" w:eastAsia="zh-CN" w:bidi="ar-SA"/>
              </w:rPr>
            </w:pPr>
            <w:r>
              <w:rPr>
                <w:rFonts w:hint="eastAsia" w:ascii="宋体" w:hAnsi="宋体"/>
                <w:b/>
                <w:bCs/>
                <w:color w:val="000000"/>
                <w:szCs w:val="21"/>
                <w:highlight w:val="none"/>
              </w:rPr>
              <w:t>评标价</w:t>
            </w:r>
          </w:p>
        </w:tc>
        <w:tc>
          <w:tcPr>
            <w:tcW w:w="7539" w:type="dxa"/>
            <w:tcBorders>
              <w:top w:val="single" w:color="000000" w:sz="4" w:space="0"/>
              <w:left w:val="nil"/>
              <w:bottom w:val="single" w:color="000000" w:sz="4" w:space="0"/>
              <w:right w:val="single" w:color="000000" w:sz="4" w:space="0"/>
            </w:tcBorders>
            <w:vAlign w:val="center"/>
          </w:tcPr>
          <w:p>
            <w:pPr>
              <w:pStyle w:val="5"/>
              <w:spacing w:line="360" w:lineRule="exact"/>
              <w:ind w:left="0" w:leftChars="0"/>
              <w:rPr>
                <w:rFonts w:hint="eastAsia" w:ascii="宋体" w:hAnsi="宋体"/>
                <w:b/>
                <w:color w:val="000000"/>
                <w:highlight w:val="none"/>
                <w:lang w:val="en-US" w:eastAsia="zh-CN"/>
              </w:rPr>
            </w:pPr>
            <w:r>
              <w:rPr>
                <w:rFonts w:hint="eastAsia" w:ascii="宋体" w:hAnsi="宋体"/>
                <w:b/>
                <w:color w:val="000000"/>
                <w:highlight w:val="none"/>
                <w:lang w:val="en-US" w:eastAsia="zh-CN"/>
              </w:rPr>
              <w:t>满分：</w:t>
            </w:r>
            <w:r>
              <w:rPr>
                <w:rFonts w:hint="default" w:ascii="宋体" w:hAnsi="宋体"/>
                <w:b/>
                <w:color w:val="000000"/>
                <w:highlight w:val="none"/>
                <w:lang w:val="en-US" w:eastAsia="zh-CN"/>
              </w:rPr>
              <w:t>100</w:t>
            </w:r>
            <w:r>
              <w:rPr>
                <w:rFonts w:hint="eastAsia" w:ascii="宋体" w:hAnsi="宋体"/>
                <w:b/>
                <w:color w:val="000000"/>
                <w:highlight w:val="none"/>
                <w:lang w:val="en-US" w:eastAsia="zh-CN"/>
              </w:rPr>
              <w:t>分；</w:t>
            </w:r>
          </w:p>
          <w:p>
            <w:pPr>
              <w:pStyle w:val="5"/>
              <w:spacing w:line="360" w:lineRule="exact"/>
              <w:rPr>
                <w:rFonts w:hint="eastAsia" w:ascii="宋体" w:hAnsi="宋体"/>
                <w:b/>
                <w:color w:val="000000"/>
                <w:highlight w:val="none"/>
              </w:rPr>
            </w:pPr>
            <w:r>
              <w:rPr>
                <w:rFonts w:hint="eastAsia" w:ascii="宋体" w:hAnsi="宋体"/>
                <w:b/>
                <w:color w:val="000000"/>
                <w:highlight w:val="none"/>
              </w:rPr>
              <w:t>评标价得分计算公式示例：</w:t>
            </w:r>
          </w:p>
          <w:p>
            <w:pPr>
              <w:pStyle w:val="5"/>
              <w:spacing w:line="360" w:lineRule="exact"/>
              <w:ind w:left="0" w:leftChars="0"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当报价人的</w:t>
            </w:r>
            <w:r>
              <w:rPr>
                <w:rFonts w:hint="eastAsia" w:ascii="宋体" w:hAnsi="宋体"/>
                <w:b/>
                <w:bCs/>
                <w:sz w:val="21"/>
                <w:szCs w:val="21"/>
                <w:highlight w:val="none"/>
                <w:lang w:val="en-US" w:eastAsia="zh-CN"/>
              </w:rPr>
              <w:t>评标价</w:t>
            </w:r>
            <w:r>
              <w:rPr>
                <w:rFonts w:hint="eastAsia" w:ascii="宋体" w:hAnsi="宋体"/>
                <w:sz w:val="21"/>
                <w:szCs w:val="21"/>
                <w:highlight w:val="none"/>
                <w:lang w:val="en-US" w:eastAsia="zh-CN"/>
              </w:rPr>
              <w:t>等于D时得满分，每高于D一个百分点扣</w:t>
            </w:r>
            <w:r>
              <w:rPr>
                <w:rFonts w:hint="default" w:ascii="宋体" w:hAnsi="宋体"/>
                <w:sz w:val="21"/>
                <w:szCs w:val="21"/>
                <w:highlight w:val="none"/>
                <w:lang w:val="en-US" w:eastAsia="zh-CN"/>
              </w:rPr>
              <w:t>3</w:t>
            </w:r>
            <w:r>
              <w:rPr>
                <w:rFonts w:hint="eastAsia" w:ascii="宋体" w:hAnsi="宋体"/>
                <w:sz w:val="21"/>
                <w:szCs w:val="21"/>
                <w:highlight w:val="none"/>
                <w:lang w:val="en-US" w:eastAsia="zh-CN"/>
              </w:rPr>
              <w:t>分，每低于D一个百分点扣</w:t>
            </w:r>
            <w:r>
              <w:rPr>
                <w:rFonts w:hint="default" w:ascii="宋体" w:hAnsi="宋体"/>
                <w:sz w:val="21"/>
                <w:szCs w:val="21"/>
                <w:highlight w:val="none"/>
                <w:lang w:val="en-US" w:eastAsia="zh-CN"/>
              </w:rPr>
              <w:t>1</w:t>
            </w:r>
            <w:r>
              <w:rPr>
                <w:rFonts w:hint="eastAsia" w:ascii="宋体" w:hAnsi="宋体"/>
                <w:sz w:val="21"/>
                <w:szCs w:val="21"/>
                <w:highlight w:val="none"/>
                <w:lang w:val="en-US" w:eastAsia="zh-CN"/>
              </w:rPr>
              <w:t>分，中间值按比例内插。用公式表示如下：</w:t>
            </w:r>
          </w:p>
          <w:p>
            <w:pPr>
              <w:pStyle w:val="5"/>
              <w:spacing w:line="360" w:lineRule="auto"/>
              <w:rPr>
                <w:rFonts w:hint="eastAsia" w:ascii="宋体" w:hAnsi="宋体" w:eastAsia="宋体" w:cs="宋体"/>
                <w:szCs w:val="21"/>
                <w:highlight w:val="none"/>
              </w:rPr>
            </w:pPr>
            <w:r>
              <w:rPr>
                <w:rFonts w:hint="eastAsia" w:ascii="宋体" w:hAnsi="宋体" w:eastAsia="宋体" w:cs="宋体"/>
                <w:position w:val="-24"/>
                <w:szCs w:val="21"/>
                <w:highlight w:val="none"/>
              </w:rPr>
              <w:object>
                <v:shape id="_x0000_i1025" o:spt="75" type="#_x0000_t75" style="height:38.9pt;width:156.55pt;" o:ole="t" filled="f" o:preferrelative="t" stroked="f" coordsize="21600,21600">
                  <v:path/>
                  <v:fill on="f" alignshape="1" focussize="0,0"/>
                  <v:stroke on="f"/>
                  <v:imagedata r:id="rId7" o:title=""/>
                  <o:lock v:ext="edit" aspectratio="t"/>
                  <w10:wrap type="none"/>
                  <w10:anchorlock/>
                </v:shape>
                <o:OLEObject Type="Embed" ProgID="Equation.3" ShapeID="_x0000_i1025" DrawAspect="Content" ObjectID="_1468075725" r:id="rId6">
                  <o:LockedField>false</o:LockedField>
                </o:OLEObject>
              </w:object>
            </w:r>
          </w:p>
          <w:p>
            <w:pPr>
              <w:pStyle w:val="5"/>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式中：</w:t>
            </w:r>
            <w:r>
              <w:rPr>
                <w:rFonts w:hint="eastAsia" w:ascii="宋体" w:hAnsi="宋体" w:eastAsia="宋体" w:cs="宋体"/>
                <w:sz w:val="21"/>
                <w:szCs w:val="21"/>
                <w:highlight w:val="none"/>
              </w:rPr>
              <w:object>
                <v:shape id="_x0000_i1026" o:spt="75" type="#_x0000_t75" style="height:18pt;width:13pt;" o:ole="t" filled="f" o:preferrelative="t" stroked="f" coordsize="21600,21600">
                  <v:path/>
                  <v:fill on="f" alignshape="1" focussize="0,0"/>
                  <v:stroke on="f"/>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的评标价</w:t>
            </w:r>
            <w:r>
              <w:rPr>
                <w:rFonts w:hint="eastAsia" w:ascii="宋体" w:hAnsi="宋体" w:eastAsia="宋体" w:cs="宋体"/>
                <w:sz w:val="21"/>
                <w:szCs w:val="21"/>
                <w:highlight w:val="none"/>
              </w:rPr>
              <w:t>得分（精确到小数点后</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rPr>
              <w:t>位）；</w:t>
            </w:r>
          </w:p>
          <w:p>
            <w:pPr>
              <w:pStyle w:val="5"/>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object>
                <v:shape id="_x0000_i1027" o:spt="75" type="#_x0000_t75" style="height:13pt;width:13pt;" o:ole="t" filled="f" stroked="f" coordsize="21600,21600">
                  <v:path/>
                  <v:fill on="f" alignshape="1" focussize="0,0"/>
                  <v:stroke on="f"/>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所占的百分比权重分值，F=</w:t>
            </w:r>
            <w:r>
              <w:rPr>
                <w:rFonts w:hint="default" w:ascii="宋体" w:hAnsi="宋体" w:eastAsia="宋体" w:cs="宋体"/>
                <w:sz w:val="21"/>
                <w:szCs w:val="21"/>
                <w:highlight w:val="none"/>
                <w:lang w:val="en-US" w:eastAsia="zh-CN"/>
              </w:rPr>
              <w:t>100</w:t>
            </w:r>
            <w:r>
              <w:rPr>
                <w:rFonts w:hint="eastAsia" w:ascii="宋体" w:hAnsi="宋体" w:eastAsia="宋体" w:cs="宋体"/>
                <w:sz w:val="21"/>
                <w:szCs w:val="21"/>
                <w:highlight w:val="none"/>
              </w:rPr>
              <w:t>；</w:t>
            </w:r>
          </w:p>
          <w:p>
            <w:pPr>
              <w:pStyle w:val="5"/>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object>
                <v:shape id="_x0000_i1028" o:spt="75" type="#_x0000_t75" style="height:18pt;width:15pt;" o:ole="t" filled="f" o:preferrelative="t" stroked="f" coordsize="21600,21600">
                  <v:path/>
                  <v:fill on="f" alignshape="1" focussize="0,0"/>
                  <v:stroke on="f"/>
                  <v:imagedata r:id="rId13" o:title=""/>
                  <o:lock v:ext="edit" aspectratio="t"/>
                  <w10:wrap type="none"/>
                  <w10:anchorlock/>
                </v:shape>
                <o:OLEObject Type="Embed" ProgID="Equation.3" ShapeID="_x0000_i1028" DrawAspect="Content" ObjectID="_1468075728" r:id="rId12">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报价人</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评标价</w:t>
            </w:r>
            <w:r>
              <w:rPr>
                <w:rFonts w:hint="eastAsia" w:ascii="宋体" w:hAnsi="宋体" w:eastAsia="宋体" w:cs="宋体"/>
                <w:sz w:val="21"/>
                <w:szCs w:val="21"/>
                <w:highlight w:val="none"/>
              </w:rPr>
              <w:t>；</w:t>
            </w:r>
          </w:p>
          <w:p>
            <w:pPr>
              <w:pStyle w:val="5"/>
              <w:spacing w:line="360" w:lineRule="exact"/>
              <w:rPr>
                <w:rFonts w:hint="eastAsia" w:ascii="宋体" w:hAnsi="宋体" w:eastAsia="宋体" w:cs="宋体"/>
                <w:sz w:val="21"/>
                <w:szCs w:val="21"/>
                <w:highlight w:val="none"/>
              </w:rPr>
            </w:pPr>
            <w:r>
              <w:rPr>
                <w:rFonts w:hint="eastAsia" w:ascii="宋体" w:hAnsi="宋体" w:eastAsia="宋体" w:cs="宋体"/>
                <w:position w:val="-4"/>
                <w:sz w:val="21"/>
                <w:szCs w:val="21"/>
                <w:highlight w:val="none"/>
              </w:rPr>
              <w:object>
                <v:shape id="_x0000_i1029" o:spt="75" type="#_x0000_t75" style="height:13pt;width:13pt;" o:ole="t" filled="f" o:preferrelative="t" stroked="f" coordsize="21600,21600">
                  <v:path/>
                  <v:fill on="f" focussize="0,0"/>
                  <v:stroke on="f"/>
                  <v:imagedata r:id="rId15" o:title=""/>
                  <o:lock v:ext="edit" aspectratio="t"/>
                  <w10:wrap type="none"/>
                  <w10:anchorlock/>
                </v:shape>
                <o:OLEObject Type="Embed" ProgID="Equation.KSEE3" ShapeID="_x0000_i1029" DrawAspect="Content" ObjectID="_1468075729" r:id="rId14">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评标基准价</w:t>
            </w:r>
            <w:r>
              <w:rPr>
                <w:rFonts w:hint="eastAsia" w:ascii="宋体" w:hAnsi="宋体" w:eastAsia="宋体" w:cs="宋体"/>
                <w:sz w:val="21"/>
                <w:szCs w:val="21"/>
                <w:highlight w:val="none"/>
              </w:rPr>
              <w:t>。</w:t>
            </w:r>
          </w:p>
          <w:p>
            <w:pPr>
              <w:pStyle w:val="5"/>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若</w:t>
            </w:r>
            <w:r>
              <w:rPr>
                <w:rFonts w:hint="eastAsia" w:ascii="宋体" w:hAnsi="宋体" w:eastAsia="宋体" w:cs="宋体"/>
                <w:sz w:val="21"/>
                <w:szCs w:val="21"/>
                <w:highlight w:val="none"/>
              </w:rPr>
              <w:object>
                <v:shape id="_x0000_i1030" o:spt="75" type="#_x0000_t75" style="height:18pt;width:15pt;" o:ole="t" filled="f" o:preferrelative="t" stroked="f" coordsize="21600,21600">
                  <v:path/>
                  <v:fill on="f" alignshape="1" focussize="0,0"/>
                  <v:stroke on="f"/>
                  <v:imagedata r:id="rId13" o:title=""/>
                  <o:lock v:ext="edit" aspectratio="t"/>
                  <w10:wrap type="none"/>
                  <w10:anchorlock/>
                </v:shape>
                <o:OLEObject Type="Embed" ProgID="Equation.3" ShapeID="_x0000_i1030" DrawAspect="Content" ObjectID="_1468075730" r:id="rId16">
                  <o:LockedField>false</o:LockedField>
                </o:OLEObject>
              </w:object>
            </w:r>
            <w:r>
              <w:rPr>
                <w:rFonts w:hint="eastAsia" w:ascii="宋体" w:hAnsi="宋体" w:eastAsia="宋体" w:cs="宋体"/>
                <w:sz w:val="21"/>
                <w:szCs w:val="21"/>
                <w:highlight w:val="none"/>
              </w:rPr>
              <w:t>≥</w:t>
            </w:r>
            <w:r>
              <w:rPr>
                <w:rFonts w:hint="eastAsia" w:ascii="宋体" w:hAnsi="宋体" w:eastAsia="宋体" w:cs="宋体"/>
                <w:position w:val="-4"/>
                <w:sz w:val="21"/>
                <w:szCs w:val="21"/>
                <w:highlight w:val="none"/>
              </w:rPr>
              <w:object>
                <v:shape id="_x0000_i1031" o:spt="75" type="#_x0000_t75" style="height:13pt;width:13pt;" o:ole="t" filled="f" o:preferrelative="t" stroked="f" coordsize="21600,21600">
                  <v:path/>
                  <v:fill on="f" focussize="0,0"/>
                  <v:stroke on="f"/>
                  <v:imagedata r:id="rId15" o:title=""/>
                  <o:lock v:ext="edit" aspectratio="t"/>
                  <w10:wrap type="none"/>
                  <w10:anchorlock/>
                </v:shape>
                <o:OLEObject Type="Embed" ProgID="Equation.KSEE3" ShapeID="_x0000_i1031" DrawAspect="Content" ObjectID="_1468075731" r:id="rId17">
                  <o:LockedField>false</o:LockedField>
                </o:OLEObject>
              </w:object>
            </w:r>
            <w:r>
              <w:rPr>
                <w:rFonts w:hint="eastAsia" w:ascii="宋体" w:hAnsi="宋体" w:eastAsia="宋体" w:cs="宋体"/>
                <w:sz w:val="21"/>
                <w:szCs w:val="21"/>
                <w:highlight w:val="none"/>
              </w:rPr>
              <w:t>,则</w:t>
            </w:r>
            <w:r>
              <w:rPr>
                <w:rFonts w:hint="eastAsia" w:ascii="宋体" w:hAnsi="宋体" w:eastAsia="宋体" w:cs="宋体"/>
                <w:sz w:val="21"/>
                <w:szCs w:val="21"/>
                <w:highlight w:val="none"/>
              </w:rPr>
              <w:object>
                <v:shape id="_x0000_i1032" o:spt="75" type="#_x0000_t75" style="height:13pt;width:12pt;" o:ole="t" filled="f" stroked="f" coordsize="21600,21600">
                  <v:path/>
                  <v:fill on="f" alignshape="1" focussize="0,0"/>
                  <v:stroke on="f"/>
                  <v:imagedata r:id="rId19" o:title=""/>
                  <o:lock v:ext="edit" aspectratio="t"/>
                  <w10:wrap type="none"/>
                  <w10:anchorlock/>
                </v:shape>
                <o:OLEObject Type="Embed" ProgID="Equation.3" ShapeID="_x0000_i1032" DrawAspect="Content" ObjectID="_1468075732" r:id="rId18">
                  <o:LockedField>false</o:LockedField>
                </o:OLEObject>
              </w:object>
            </w:r>
            <w:r>
              <w:rPr>
                <w:rFonts w:hint="eastAsia" w:ascii="宋体" w:hAnsi="宋体" w:eastAsia="宋体" w:cs="宋体"/>
                <w:sz w:val="21"/>
                <w:szCs w:val="21"/>
                <w:highlight w:val="none"/>
              </w:rPr>
              <w:t>=</w:t>
            </w:r>
            <w:r>
              <w:rPr>
                <w:rFonts w:hint="default" w:ascii="宋体" w:hAnsi="宋体" w:eastAsia="宋体" w:cs="宋体"/>
                <w:sz w:val="21"/>
                <w:szCs w:val="21"/>
                <w:highlight w:val="none"/>
                <w:lang w:val="en-US" w:eastAsia="zh-CN"/>
              </w:rPr>
              <w:t>3</w:t>
            </w:r>
            <w:r>
              <w:rPr>
                <w:rFonts w:hint="eastAsia" w:ascii="宋体" w:hAnsi="宋体" w:eastAsia="宋体" w:cs="宋体"/>
                <w:sz w:val="21"/>
                <w:szCs w:val="21"/>
                <w:highlight w:val="none"/>
              </w:rPr>
              <w:t>；若</w:t>
            </w:r>
            <w:r>
              <w:rPr>
                <w:rFonts w:hint="eastAsia" w:ascii="宋体" w:hAnsi="宋体" w:eastAsia="宋体" w:cs="宋体"/>
                <w:sz w:val="21"/>
                <w:szCs w:val="21"/>
                <w:highlight w:val="none"/>
              </w:rPr>
              <w:object>
                <v:shape id="_x0000_i1033" o:spt="75" type="#_x0000_t75" style="height:18pt;width:15pt;" o:ole="t" filled="f" o:preferrelative="t" stroked="f" coordsize="21600,21600">
                  <v:path/>
                  <v:fill on="f" alignshape="1" focussize="0,0"/>
                  <v:stroke on="f"/>
                  <v:imagedata r:id="rId13" o:title=""/>
                  <o:lock v:ext="edit" aspectratio="t"/>
                  <w10:wrap type="none"/>
                  <w10:anchorlock/>
                </v:shape>
                <o:OLEObject Type="Embed" ProgID="Equation.3" ShapeID="_x0000_i1033" DrawAspect="Content" ObjectID="_1468075733" r:id="rId20">
                  <o:LockedField>false</o:LockedField>
                </o:OLEObject>
              </w:object>
            </w:r>
            <w:r>
              <w:rPr>
                <w:rFonts w:hint="eastAsia" w:ascii="宋体" w:hAnsi="宋体" w:eastAsia="宋体" w:cs="宋体"/>
                <w:sz w:val="21"/>
                <w:szCs w:val="21"/>
                <w:highlight w:val="none"/>
              </w:rPr>
              <w:t>＜</w:t>
            </w:r>
            <w:r>
              <w:rPr>
                <w:rFonts w:hint="eastAsia" w:ascii="宋体" w:hAnsi="宋体" w:eastAsia="宋体" w:cs="宋体"/>
                <w:position w:val="-4"/>
                <w:sz w:val="21"/>
                <w:szCs w:val="21"/>
                <w:highlight w:val="none"/>
              </w:rPr>
              <w:object>
                <v:shape id="_x0000_i1034" o:spt="75" type="#_x0000_t75" style="height:13pt;width:13pt;" o:ole="t" filled="f" o:preferrelative="t" stroked="f" coordsize="21600,21600">
                  <v:path/>
                  <v:fill on="f" focussize="0,0"/>
                  <v:stroke on="f"/>
                  <v:imagedata r:id="rId15" o:title=""/>
                  <o:lock v:ext="edit" aspectratio="t"/>
                  <w10:wrap type="none"/>
                  <w10:anchorlock/>
                </v:shape>
                <o:OLEObject Type="Embed" ProgID="Equation.KSEE3" ShapeID="_x0000_i1034" DrawAspect="Content" ObjectID="_1468075734" r:id="rId21">
                  <o:LockedField>false</o:LockedField>
                </o:OLEObject>
              </w:object>
            </w:r>
            <w:r>
              <w:rPr>
                <w:rFonts w:hint="eastAsia" w:ascii="宋体" w:hAnsi="宋体" w:eastAsia="宋体" w:cs="宋体"/>
                <w:sz w:val="21"/>
                <w:szCs w:val="21"/>
                <w:highlight w:val="none"/>
              </w:rPr>
              <w:t>，则</w:t>
            </w:r>
            <w:r>
              <w:rPr>
                <w:rFonts w:hint="eastAsia" w:ascii="宋体" w:hAnsi="宋体" w:eastAsia="宋体" w:cs="宋体"/>
                <w:sz w:val="21"/>
                <w:szCs w:val="21"/>
                <w:highlight w:val="none"/>
              </w:rPr>
              <w:object>
                <v:shape id="_x0000_i1035" o:spt="75" type="#_x0000_t75" style="height:13pt;width:12pt;" o:ole="t" filled="f" stroked="f" coordsize="21600,21600">
                  <v:path/>
                  <v:fill on="f" alignshape="1" focussize="0,0"/>
                  <v:stroke on="f"/>
                  <v:imagedata r:id="rId19" o:title=""/>
                  <o:lock v:ext="edit" aspectratio="t"/>
                  <w10:wrap type="none"/>
                  <w10:anchorlock/>
                </v:shape>
                <o:OLEObject Type="Embed" ProgID="Equation.3" ShapeID="_x0000_i1035" DrawAspect="Content" ObjectID="_1468075735" r:id="rId22">
                  <o:LockedField>false</o:LockedField>
                </o:OLEObject>
              </w:object>
            </w:r>
            <w:r>
              <w:rPr>
                <w:rFonts w:hint="eastAsia" w:ascii="宋体" w:hAnsi="宋体" w:eastAsia="宋体" w:cs="宋体"/>
                <w:sz w:val="21"/>
                <w:szCs w:val="21"/>
                <w:highlight w:val="none"/>
              </w:rPr>
              <w:t>=</w:t>
            </w:r>
            <w:r>
              <w:rPr>
                <w:rFonts w:hint="default"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p>
          <w:p>
            <w:pPr>
              <w:pStyle w:val="5"/>
              <w:spacing w:line="360" w:lineRule="exact"/>
              <w:ind w:left="420" w:leftChars="200"/>
              <w:rPr>
                <w:rFonts w:hint="eastAsia" w:ascii="宋体" w:hAnsi="宋体" w:eastAsia="宋体" w:cs="Times New Roman"/>
                <w:kern w:val="2"/>
                <w:sz w:val="21"/>
                <w:szCs w:val="22"/>
                <w:highlight w:val="none"/>
                <w:lang w:val="en-US" w:eastAsia="zh-CN" w:bidi="ar-SA"/>
              </w:rPr>
            </w:pPr>
            <w:r>
              <w:rPr>
                <w:rFonts w:hint="eastAsia" w:ascii="宋体" w:hAnsi="宋体"/>
                <w:b/>
                <w:color w:val="000000"/>
                <w:highlight w:val="none"/>
              </w:rPr>
              <w:t>注：评标价得分分值计算保留小数点后</w:t>
            </w:r>
            <w:r>
              <w:rPr>
                <w:rFonts w:hint="eastAsia" w:ascii="宋体" w:hAnsi="宋体"/>
                <w:b/>
                <w:color w:val="000000"/>
                <w:highlight w:val="none"/>
                <w:lang w:val="en-US" w:eastAsia="zh-CN"/>
              </w:rPr>
              <w:t>四</w:t>
            </w:r>
            <w:r>
              <w:rPr>
                <w:rFonts w:hint="eastAsia" w:ascii="宋体" w:hAnsi="宋体"/>
                <w:b/>
                <w:color w:val="000000"/>
                <w:highlight w:val="none"/>
              </w:rPr>
              <w:t>位，小数点后第</w:t>
            </w:r>
            <w:r>
              <w:rPr>
                <w:rFonts w:hint="eastAsia" w:ascii="宋体" w:hAnsi="宋体"/>
                <w:b/>
                <w:color w:val="000000"/>
                <w:highlight w:val="none"/>
                <w:lang w:val="en-US" w:eastAsia="zh-CN"/>
              </w:rPr>
              <w:t>五</w:t>
            </w:r>
            <w:r>
              <w:rPr>
                <w:rFonts w:hint="eastAsia" w:ascii="宋体" w:hAnsi="宋体"/>
                <w:b/>
                <w:color w:val="000000"/>
                <w:highlight w:val="none"/>
              </w:rPr>
              <w:t>位“四舍五入”。</w:t>
            </w:r>
          </w:p>
        </w:tc>
      </w:tr>
    </w:tbl>
    <w:p>
      <w:pPr>
        <w:widowControl/>
        <w:spacing w:line="380" w:lineRule="exact"/>
        <w:rPr>
          <w:rFonts w:hint="eastAsia" w:ascii="宋体" w:hAnsi="宋体"/>
          <w:highlight w:val="none"/>
        </w:rPr>
      </w:pPr>
      <w:r>
        <w:rPr>
          <w:rFonts w:hint="eastAsia" w:ascii="宋体" w:hAnsi="宋体"/>
          <w:highlight w:val="none"/>
        </w:rPr>
        <w:t xml:space="preserve"> </w:t>
      </w:r>
    </w:p>
    <w:p>
      <w:pPr>
        <w:widowControl/>
        <w:spacing w:line="380" w:lineRule="exact"/>
        <w:rPr>
          <w:rFonts w:hint="eastAsia" w:ascii="宋体" w:hAnsi="宋体"/>
          <w:highlight w:val="none"/>
        </w:rPr>
      </w:pPr>
      <w:r>
        <w:rPr>
          <w:rFonts w:hint="eastAsia" w:ascii="宋体" w:hAnsi="宋体"/>
          <w:highlight w:val="none"/>
        </w:rPr>
        <w:t xml:space="preserve"> </w:t>
      </w:r>
    </w:p>
    <w:p>
      <w:pPr>
        <w:widowControl/>
        <w:jc w:val="left"/>
        <w:rPr>
          <w:rFonts w:ascii="宋体" w:hAnsi="宋体" w:cs="宋体"/>
          <w:highlight w:val="none"/>
        </w:rPr>
        <w:sectPr>
          <w:headerReference r:id="rId3" w:type="default"/>
          <w:footerReference r:id="rId4" w:type="default"/>
          <w:pgSz w:w="11906" w:h="16838"/>
          <w:pgMar w:top="1701" w:right="1457" w:bottom="1701" w:left="1457" w:header="720" w:footer="720" w:gutter="0"/>
          <w:pgNumType w:fmt="numberInDash"/>
          <w:cols w:space="720" w:num="1"/>
          <w:docGrid w:linePitch="312" w:charSpace="0"/>
        </w:sectPr>
      </w:pPr>
    </w:p>
    <w:p>
      <w:pPr>
        <w:jc w:val="right"/>
        <w:rPr>
          <w:rFonts w:hint="eastAsia" w:ascii="宋体" w:hAnsi="宋体"/>
          <w:highlight w:val="none"/>
        </w:rPr>
      </w:pPr>
      <w:r>
        <w:rPr>
          <w:rFonts w:hint="eastAsia" w:ascii="宋体" w:hAnsi="宋体"/>
          <w:highlight w:val="none"/>
        </w:rPr>
        <w:t>续上表</w:t>
      </w:r>
    </w:p>
    <w:tbl>
      <w:tblPr>
        <w:tblStyle w:val="11"/>
        <w:tblW w:w="88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7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889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b/>
                <w:bCs/>
                <w:sz w:val="32"/>
                <w:szCs w:val="32"/>
                <w:highlight w:val="none"/>
              </w:rPr>
            </w:pPr>
            <w:r>
              <w:rPr>
                <w:rFonts w:hint="eastAsia" w:ascii="宋体" w:hAnsi="宋体"/>
                <w:b/>
                <w:bCs/>
                <w:sz w:val="32"/>
                <w:szCs w:val="32"/>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b/>
                <w:bCs/>
                <w:szCs w:val="21"/>
                <w:highlight w:val="none"/>
              </w:rPr>
            </w:pPr>
            <w:r>
              <w:rPr>
                <w:rFonts w:hint="eastAsia" w:ascii="宋体" w:hAnsi="宋体"/>
                <w:b/>
                <w:bCs/>
                <w:highlight w:val="none"/>
              </w:rPr>
              <w:t>条款号</w:t>
            </w:r>
          </w:p>
        </w:tc>
        <w:tc>
          <w:tcPr>
            <w:tcW w:w="7914"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b/>
                <w:bCs/>
                <w:szCs w:val="21"/>
                <w:highlight w:val="none"/>
              </w:rPr>
            </w:pPr>
            <w:r>
              <w:rPr>
                <w:rFonts w:hint="eastAsia" w:ascii="宋体" w:hAnsi="宋体"/>
                <w:b/>
                <w:bCs/>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0"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b/>
                <w:bCs/>
                <w:szCs w:val="21"/>
                <w:highlight w:val="none"/>
              </w:rPr>
            </w:pPr>
            <w:r>
              <w:rPr>
                <w:rFonts w:hint="eastAsia" w:ascii="宋体" w:hAnsi="宋体"/>
                <w:b/>
                <w:bCs/>
                <w:highlight w:val="none"/>
              </w:rPr>
              <w:t>1</w:t>
            </w:r>
          </w:p>
        </w:tc>
        <w:tc>
          <w:tcPr>
            <w:tcW w:w="7914" w:type="dxa"/>
            <w:tcBorders>
              <w:top w:val="single" w:color="auto" w:sz="4" w:space="0"/>
              <w:left w:val="nil"/>
              <w:bottom w:val="single" w:color="auto" w:sz="4" w:space="0"/>
              <w:right w:val="single" w:color="auto" w:sz="4" w:space="0"/>
            </w:tcBorders>
            <w:vAlign w:val="center"/>
          </w:tcPr>
          <w:p>
            <w:pPr>
              <w:spacing w:line="340" w:lineRule="exact"/>
              <w:ind w:firstLine="420" w:firstLineChars="200"/>
              <w:rPr>
                <w:highlight w:val="none"/>
              </w:rPr>
            </w:pPr>
            <w:r>
              <w:rPr>
                <w:rFonts w:hint="eastAsia"/>
                <w:highlight w:val="none"/>
              </w:rPr>
              <w:t>将评标办法范本原文第1条“评标方法”改为“评标方法及评标组织”，并且原文内容修改如下：</w:t>
            </w:r>
          </w:p>
          <w:p>
            <w:pPr>
              <w:spacing w:line="340" w:lineRule="exact"/>
              <w:rPr>
                <w:rFonts w:hint="eastAsia"/>
                <w:highlight w:val="none"/>
              </w:rPr>
            </w:pPr>
            <w:r>
              <w:rPr>
                <w:rFonts w:hint="eastAsia"/>
                <w:highlight w:val="none"/>
              </w:rPr>
              <w:t>1.1评标方法</w:t>
            </w:r>
          </w:p>
          <w:p>
            <w:pPr>
              <w:spacing w:line="340" w:lineRule="exact"/>
              <w:ind w:firstLine="420" w:firstLineChars="200"/>
              <w:rPr>
                <w:rFonts w:hint="eastAsia"/>
                <w:highlight w:val="none"/>
              </w:rPr>
            </w:pPr>
            <w:r>
              <w:rPr>
                <w:rFonts w:hint="eastAsia"/>
                <w:highlight w:val="none"/>
              </w:rPr>
              <w:t>本次评标采用</w:t>
            </w:r>
            <w:r>
              <w:rPr>
                <w:rFonts w:hint="eastAsia"/>
                <w:highlight w:val="none"/>
                <w:lang w:val="en-US" w:eastAsia="zh-CN"/>
              </w:rPr>
              <w:t>双信封的合理低价法</w:t>
            </w:r>
            <w:r>
              <w:rPr>
                <w:rFonts w:hint="eastAsia"/>
                <w:highlight w:val="none"/>
              </w:rPr>
              <w:t>。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w:t>
            </w:r>
          </w:p>
          <w:p>
            <w:pPr>
              <w:spacing w:line="340" w:lineRule="exact"/>
              <w:rPr>
                <w:rFonts w:hint="eastAsia"/>
                <w:highlight w:val="none"/>
              </w:rPr>
            </w:pPr>
            <w:r>
              <w:rPr>
                <w:rFonts w:hint="eastAsia"/>
                <w:highlight w:val="none"/>
              </w:rPr>
              <w:t>1.2评标组织</w:t>
            </w:r>
          </w:p>
          <w:p>
            <w:pPr>
              <w:spacing w:line="340" w:lineRule="exact"/>
              <w:rPr>
                <w:rFonts w:hint="eastAsia"/>
                <w:highlight w:val="none"/>
              </w:rPr>
            </w:pPr>
            <w:r>
              <w:rPr>
                <w:rFonts w:hint="eastAsia"/>
                <w:highlight w:val="none"/>
              </w:rPr>
              <w:t>1.2.1协助工作组</w:t>
            </w:r>
          </w:p>
          <w:p>
            <w:pPr>
              <w:spacing w:line="340" w:lineRule="exact"/>
              <w:ind w:firstLine="420" w:firstLineChars="200"/>
              <w:rPr>
                <w:rFonts w:hint="eastAsia"/>
                <w:highlight w:val="none"/>
              </w:rPr>
            </w:pPr>
            <w:r>
              <w:rPr>
                <w:rFonts w:hint="eastAsia"/>
                <w:highlight w:val="none"/>
              </w:rPr>
              <w:t>招标人可在评标工作开始前成立协助工作组，选派熟悉招标工作、政治素质高的人员组成，协助评标委员会工作。协助工作组人员的具体数量由招标人视评标工作量确定。</w:t>
            </w:r>
          </w:p>
          <w:p>
            <w:pPr>
              <w:spacing w:line="340" w:lineRule="exact"/>
              <w:ind w:firstLine="420" w:firstLineChars="200"/>
              <w:rPr>
                <w:rFonts w:hint="eastAsia" w:ascii="宋体" w:hAnsi="宋体"/>
                <w:kern w:val="0"/>
                <w:highlight w:val="none"/>
              </w:rPr>
            </w:pPr>
            <w:r>
              <w:rPr>
                <w:rFonts w:hint="eastAsia" w:ascii="宋体" w:hAnsi="宋体"/>
                <w:kern w:val="0"/>
                <w:highlight w:val="none"/>
              </w:rPr>
              <w:t>招标人可以协助评标委员会开展下列工作并提供相关信息：</w:t>
            </w:r>
          </w:p>
          <w:p>
            <w:pPr>
              <w:spacing w:line="340" w:lineRule="exact"/>
              <w:ind w:firstLine="420" w:firstLineChars="200"/>
              <w:rPr>
                <w:rFonts w:hint="eastAsia" w:ascii="宋体" w:hAnsi="宋体"/>
                <w:highlight w:val="none"/>
              </w:rPr>
            </w:pPr>
            <w:r>
              <w:rPr>
                <w:rFonts w:hint="eastAsia" w:ascii="宋体" w:hAnsi="宋体"/>
                <w:highlight w:val="none"/>
              </w:rPr>
              <w:t>（1）根据招标文件，编制评标使用的相应表格；</w:t>
            </w:r>
          </w:p>
          <w:p>
            <w:pPr>
              <w:spacing w:line="340" w:lineRule="exact"/>
              <w:ind w:firstLine="420" w:firstLineChars="200"/>
              <w:rPr>
                <w:rFonts w:hint="eastAsia" w:ascii="宋体" w:hAnsi="宋体"/>
                <w:highlight w:val="none"/>
              </w:rPr>
            </w:pPr>
            <w:r>
              <w:rPr>
                <w:rFonts w:hint="eastAsia" w:ascii="宋体" w:hAnsi="宋体"/>
                <w:highlight w:val="none"/>
              </w:rPr>
              <w:t>（2）对投标报价进行算术性校核（如采用固化清单，本步骤省略）；</w:t>
            </w:r>
          </w:p>
          <w:p>
            <w:pPr>
              <w:spacing w:line="340" w:lineRule="exact"/>
              <w:ind w:firstLine="420" w:firstLineChars="200"/>
              <w:rPr>
                <w:rFonts w:hint="eastAsia" w:ascii="宋体" w:hAnsi="宋体"/>
                <w:highlight w:val="none"/>
              </w:rPr>
            </w:pPr>
            <w:r>
              <w:rPr>
                <w:rFonts w:hint="eastAsia" w:ascii="宋体" w:hAnsi="宋体"/>
                <w:highlight w:val="none"/>
              </w:rPr>
              <w:t>（3）以评标标准和方法为依据，列出投标文件相对于招标文件的所有偏差，并进行归类汇总；</w:t>
            </w:r>
          </w:p>
          <w:p>
            <w:pPr>
              <w:spacing w:line="340" w:lineRule="exact"/>
              <w:ind w:firstLine="420" w:firstLineChars="200"/>
              <w:rPr>
                <w:rFonts w:hint="eastAsia" w:ascii="宋体" w:hAnsi="宋体"/>
                <w:highlight w:val="none"/>
              </w:rPr>
            </w:pPr>
            <w:r>
              <w:rPr>
                <w:rFonts w:hint="eastAsia" w:ascii="宋体" w:hAnsi="宋体"/>
                <w:highlight w:val="none"/>
              </w:rPr>
              <w:t>（4）对投标人的资质、业绩、人员、</w:t>
            </w:r>
            <w:r>
              <w:rPr>
                <w:rFonts w:hint="eastAsia"/>
                <w:highlight w:val="none"/>
                <w:lang w:eastAsia="zh-CN"/>
              </w:rPr>
              <w:t>风险综合评级</w:t>
            </w:r>
            <w:r>
              <w:rPr>
                <w:rFonts w:hint="eastAsia"/>
                <w:highlight w:val="none"/>
                <w:lang w:val="en-US" w:eastAsia="zh-CN"/>
              </w:rPr>
              <w:t>等情况</w:t>
            </w:r>
            <w:r>
              <w:rPr>
                <w:rFonts w:hint="eastAsia" w:ascii="宋体" w:hAnsi="宋体"/>
                <w:highlight w:val="none"/>
              </w:rPr>
              <w:t>进行核实。</w:t>
            </w:r>
          </w:p>
          <w:p>
            <w:pPr>
              <w:spacing w:line="340" w:lineRule="exact"/>
              <w:ind w:firstLine="420" w:firstLineChars="200"/>
              <w:rPr>
                <w:rFonts w:hint="eastAsia" w:ascii="宋体" w:hAnsi="宋体"/>
                <w:highlight w:val="none"/>
              </w:rPr>
            </w:pPr>
            <w:r>
              <w:rPr>
                <w:rFonts w:hint="eastAsia" w:ascii="宋体" w:hAnsi="宋体"/>
                <w:highlight w:val="none"/>
              </w:rPr>
              <w:t>招标人不得对投标文件作出任何评价，不得故意遗漏或者片面摘录，不得在评标委员会对所有偏差定性之前透露存有偏差的投标人名称。</w:t>
            </w:r>
          </w:p>
          <w:p>
            <w:pPr>
              <w:spacing w:line="340" w:lineRule="exact"/>
              <w:rPr>
                <w:rFonts w:hint="eastAsia"/>
                <w:highlight w:val="none"/>
              </w:rPr>
            </w:pPr>
            <w:r>
              <w:rPr>
                <w:rFonts w:hint="eastAsia"/>
                <w:highlight w:val="none"/>
              </w:rPr>
              <w:t>1.2.2评标委员会</w:t>
            </w:r>
          </w:p>
          <w:p>
            <w:pPr>
              <w:spacing w:line="340" w:lineRule="exact"/>
              <w:ind w:firstLine="420" w:firstLineChars="200"/>
              <w:rPr>
                <w:rFonts w:hint="eastAsia"/>
                <w:highlight w:val="none"/>
              </w:rPr>
            </w:pPr>
            <w:r>
              <w:rPr>
                <w:rFonts w:hint="eastAsia"/>
                <w:highlight w:val="none"/>
              </w:rPr>
              <w:t xml:space="preserve">评标委员会由招标人按国家、广东省等有关规定依法组建。评标委员会的主要工作内容包括： </w:t>
            </w:r>
          </w:p>
          <w:p>
            <w:pPr>
              <w:spacing w:line="340" w:lineRule="exact"/>
              <w:ind w:firstLine="323" w:firstLineChars="154"/>
              <w:rPr>
                <w:rFonts w:hint="eastAsia" w:ascii="Times New Roman" w:hAnsi="Times New Roman" w:eastAsia="宋体" w:cs="Times New Roman"/>
                <w:highlight w:val="none"/>
              </w:rPr>
            </w:pPr>
            <w:r>
              <w:rPr>
                <w:rFonts w:hint="eastAsia" w:ascii="Times New Roman" w:hAnsi="Times New Roman" w:eastAsia="宋体" w:cs="Times New Roman"/>
                <w:highlight w:val="none"/>
              </w:rPr>
              <w:t>（1）评标委员会开始评标工作之前，首先听取招标人、协助工作组关于</w:t>
            </w:r>
            <w:r>
              <w:rPr>
                <w:rFonts w:hint="eastAsia" w:ascii="Times New Roman" w:hAnsi="Times New Roman" w:eastAsia="宋体" w:cs="Times New Roman"/>
                <w:highlight w:val="none"/>
                <w:lang w:eastAsia="zh-CN"/>
              </w:rPr>
              <w:t>项目</w:t>
            </w:r>
            <w:r>
              <w:rPr>
                <w:rFonts w:hint="eastAsia" w:ascii="Times New Roman" w:hAnsi="Times New Roman" w:eastAsia="宋体" w:cs="Times New Roman"/>
                <w:highlight w:val="none"/>
              </w:rPr>
              <w:t>情况和辅助工作的说明，并认真研读招标文件，获取评标所需的重要信息和数据；</w:t>
            </w:r>
          </w:p>
          <w:p>
            <w:pPr>
              <w:spacing w:line="340" w:lineRule="exact"/>
              <w:ind w:firstLine="323" w:firstLineChars="154"/>
              <w:rPr>
                <w:rFonts w:hint="eastAsia" w:ascii="Times New Roman" w:hAnsi="Times New Roman" w:eastAsia="宋体" w:cs="Times New Roman"/>
                <w:highlight w:val="none"/>
              </w:rPr>
            </w:pPr>
            <w:r>
              <w:rPr>
                <w:rFonts w:hint="eastAsia" w:ascii="Times New Roman" w:hAnsi="Times New Roman" w:eastAsia="宋体" w:cs="Times New Roman"/>
                <w:highlight w:val="none"/>
              </w:rPr>
              <w:t>（2）对协助工作组提供的评标工作用表和评标内容进行认真核对；</w:t>
            </w:r>
          </w:p>
          <w:p>
            <w:pPr>
              <w:spacing w:line="340" w:lineRule="exact"/>
              <w:ind w:firstLine="323" w:firstLineChars="154"/>
              <w:rPr>
                <w:rFonts w:hint="eastAsia" w:ascii="Times New Roman" w:hAnsi="Times New Roman" w:eastAsia="宋体" w:cs="Times New Roman"/>
                <w:highlight w:val="none"/>
              </w:rPr>
            </w:pPr>
            <w:r>
              <w:rPr>
                <w:rFonts w:hint="eastAsia" w:ascii="Times New Roman" w:hAnsi="Times New Roman" w:eastAsia="宋体" w:cs="Times New Roman"/>
                <w:highlight w:val="none"/>
              </w:rPr>
              <w:t>（3）按照以下1.3 款程序进行各项评审工作。</w:t>
            </w:r>
          </w:p>
          <w:p>
            <w:pPr>
              <w:spacing w:line="340" w:lineRule="exact"/>
              <w:rPr>
                <w:rFonts w:hint="eastAsia" w:ascii="Times New Roman" w:hAnsi="Times New Roman" w:eastAsia="宋体" w:cs="Times New Roman"/>
                <w:highlight w:val="none"/>
              </w:rPr>
            </w:pPr>
            <w:r>
              <w:rPr>
                <w:rFonts w:hint="eastAsia" w:ascii="Times New Roman" w:hAnsi="Times New Roman" w:eastAsia="宋体" w:cs="Times New Roman"/>
                <w:highlight w:val="none"/>
              </w:rPr>
              <w:t>1.3 评审工作程序</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评标委员会将按以下程序开展评标工作：</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（一）第一信封（商务文件和技术文件）的评审：</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1.初步评审：包括对投标文件进行形式评审与响应性评审、资格评审</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w:t>
            </w:r>
          </w:p>
          <w:p>
            <w:pPr>
              <w:spacing w:line="34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2.详细评审（评审打分）：评标委员会首先对通过初步评审的投标文件第一个信封（商务及技术文件）进行详细评审</w:t>
            </w:r>
            <w:r>
              <w:rPr>
                <w:rFonts w:hint="eastAsia" w:ascii="Times New Roman" w:hAnsi="Times New Roman" w:eastAsia="宋体" w:cs="Times New Roman"/>
                <w:highlight w:val="none"/>
                <w:lang w:val="en-US" w:eastAsia="zh-CN"/>
              </w:rPr>
              <w:t>与确认。</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（二）第二信封（报价文件）的评审：</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1. 初步评审</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（1）只有投标文件第一个信封通过详细评审的投标人才能继续参加第二信封报价文件的形式评审与响应性评审。对第一个信封不通过初步评审的投标人的第二信封直接退回，不再开启内层信封。</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（2）进行算术性修正（如采用固化清单，本步骤省略）。</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2. 详细评审：计算评标基准价、评标价得分及综合得分。</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（三）投标文件相关信息的核查。</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（四）对投标文件进行必要的澄清和说明（如有）；</w:t>
            </w:r>
          </w:p>
          <w:p>
            <w:pPr>
              <w:spacing w:line="340" w:lineRule="exact"/>
              <w:ind w:firstLine="420" w:firstLineChars="200"/>
              <w:rPr>
                <w:highlight w:val="none"/>
              </w:rPr>
            </w:pPr>
            <w:r>
              <w:rPr>
                <w:rFonts w:hint="eastAsia" w:ascii="Times New Roman" w:hAnsi="Times New Roman" w:eastAsia="宋体" w:cs="Times New Roman"/>
                <w:highlight w:val="none"/>
              </w:rPr>
              <w:t>（五）按评标办法规定推荐中标候选人，编写评标报告。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b/>
                <w:color w:val="000000"/>
                <w:szCs w:val="21"/>
                <w:highlight w:val="none"/>
                <w:lang w:val="en-US" w:eastAsia="zh-CN"/>
              </w:rPr>
            </w:pPr>
            <w:r>
              <w:rPr>
                <w:rFonts w:hint="eastAsia" w:ascii="宋体" w:hAnsi="宋体"/>
                <w:b/>
                <w:color w:val="000000"/>
                <w:szCs w:val="21"/>
                <w:highlight w:val="none"/>
                <w:lang w:val="en-US" w:eastAsia="zh-CN"/>
              </w:rPr>
              <w:t>3.1</w:t>
            </w:r>
          </w:p>
        </w:tc>
        <w:tc>
          <w:tcPr>
            <w:tcW w:w="7914" w:type="dxa"/>
            <w:tcBorders>
              <w:top w:val="single" w:color="auto" w:sz="4" w:space="0"/>
              <w:left w:val="nil"/>
              <w:bottom w:val="single" w:color="auto" w:sz="4" w:space="0"/>
              <w:right w:val="single" w:color="auto" w:sz="4" w:space="0"/>
            </w:tcBorders>
            <w:vAlign w:val="top"/>
          </w:tcPr>
          <w:p>
            <w:pPr>
              <w:widowControl/>
              <w:snapToGrid w:val="0"/>
              <w:spacing w:line="340" w:lineRule="exact"/>
              <w:ind w:firstLine="420" w:firstLineChars="200"/>
              <w:jc w:val="left"/>
              <w:rPr>
                <w:rFonts w:hint="eastAsia"/>
                <w:highlight w:val="none"/>
              </w:rPr>
            </w:pPr>
            <w:r>
              <w:rPr>
                <w:rFonts w:hint="default" w:ascii="Times New Roman" w:hAnsi="Times New Roman" w:eastAsia="宋体" w:cs="Times New Roman"/>
                <w:kern w:val="2"/>
                <w:sz w:val="21"/>
                <w:szCs w:val="22"/>
                <w:highlight w:val="none"/>
                <w:lang w:val="en-US" w:eastAsia="zh-CN" w:bidi="ar"/>
              </w:rPr>
              <w:t xml:space="preserve">将评标办法原文第 3.1 款修改为：3.1 第一个信封初步评审及详细评审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7"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b/>
                <w:bCs/>
                <w:szCs w:val="21"/>
                <w:highlight w:val="none"/>
              </w:rPr>
            </w:pPr>
            <w:r>
              <w:rPr>
                <w:rFonts w:hint="eastAsia" w:ascii="宋体" w:hAnsi="宋体"/>
                <w:b/>
                <w:bCs/>
                <w:highlight w:val="none"/>
              </w:rPr>
              <w:t>3.</w:t>
            </w:r>
            <w:r>
              <w:rPr>
                <w:rFonts w:hint="eastAsia" w:ascii="宋体" w:hAnsi="宋体"/>
                <w:b/>
                <w:bCs/>
                <w:highlight w:val="none"/>
                <w:lang w:val="en-US" w:eastAsia="zh-CN"/>
              </w:rPr>
              <w:t>5</w:t>
            </w:r>
            <w:r>
              <w:rPr>
                <w:rFonts w:hint="eastAsia" w:ascii="宋体" w:hAnsi="宋体"/>
                <w:b/>
                <w:bCs/>
                <w:highlight w:val="none"/>
              </w:rPr>
              <w:t>.3</w:t>
            </w:r>
          </w:p>
        </w:tc>
        <w:tc>
          <w:tcPr>
            <w:tcW w:w="7914" w:type="dxa"/>
            <w:tcBorders>
              <w:top w:val="single" w:color="auto" w:sz="4" w:space="0"/>
              <w:left w:val="nil"/>
              <w:bottom w:val="single" w:color="auto" w:sz="4" w:space="0"/>
              <w:right w:val="single" w:color="auto" w:sz="4" w:space="0"/>
            </w:tcBorders>
            <w:vAlign w:val="top"/>
          </w:tcPr>
          <w:p>
            <w:pPr>
              <w:spacing w:line="340" w:lineRule="exact"/>
              <w:rPr>
                <w:rFonts w:ascii="宋体" w:hAnsi="宋体"/>
                <w:b/>
                <w:bCs/>
                <w:szCs w:val="21"/>
                <w:highlight w:val="none"/>
              </w:rPr>
            </w:pPr>
            <w:r>
              <w:rPr>
                <w:rFonts w:hint="eastAsia" w:ascii="宋体" w:hAnsi="宋体"/>
                <w:b/>
                <w:bCs/>
                <w:highlight w:val="none"/>
              </w:rPr>
              <w:t>增加3.</w:t>
            </w:r>
            <w:r>
              <w:rPr>
                <w:rFonts w:hint="eastAsia" w:ascii="宋体" w:hAnsi="宋体"/>
                <w:b/>
                <w:bCs/>
                <w:highlight w:val="none"/>
                <w:lang w:val="en-US" w:eastAsia="zh-CN"/>
              </w:rPr>
              <w:t>5</w:t>
            </w:r>
            <w:r>
              <w:rPr>
                <w:rFonts w:hint="eastAsia" w:ascii="宋体" w:hAnsi="宋体"/>
                <w:b/>
                <w:bCs/>
                <w:highlight w:val="none"/>
              </w:rPr>
              <w:t>.3 款：</w:t>
            </w:r>
          </w:p>
          <w:p>
            <w:pPr>
              <w:spacing w:line="340" w:lineRule="exact"/>
              <w:ind w:firstLine="420" w:firstLineChars="200"/>
              <w:rPr>
                <w:rFonts w:ascii="宋体" w:hAnsi="宋体"/>
                <w:b/>
                <w:bCs/>
                <w:szCs w:val="21"/>
                <w:highlight w:val="none"/>
              </w:rPr>
            </w:pPr>
            <w:r>
              <w:rPr>
                <w:rFonts w:hint="eastAsia" w:ascii="宋体" w:hAnsi="宋体"/>
                <w:highlight w:val="none"/>
              </w:rPr>
              <w:t>3.</w:t>
            </w:r>
            <w:r>
              <w:rPr>
                <w:rFonts w:hint="eastAsia" w:ascii="宋体" w:hAnsi="宋体"/>
                <w:highlight w:val="none"/>
                <w:lang w:val="en-US" w:eastAsia="zh-CN"/>
              </w:rPr>
              <w:t>5</w:t>
            </w:r>
            <w:r>
              <w:rPr>
                <w:rFonts w:hint="eastAsia" w:ascii="宋体" w:hAnsi="宋体"/>
                <w:highlight w:val="none"/>
              </w:rPr>
              <w:t>.3 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b/>
                <w:bCs/>
                <w:szCs w:val="21"/>
                <w:highlight w:val="none"/>
              </w:rPr>
            </w:pPr>
            <w:r>
              <w:rPr>
                <w:rFonts w:hint="eastAsia" w:ascii="宋体" w:hAnsi="宋体"/>
                <w:b/>
                <w:bCs/>
                <w:highlight w:val="none"/>
              </w:rPr>
              <w:t>3.</w:t>
            </w:r>
            <w:r>
              <w:rPr>
                <w:rFonts w:hint="eastAsia" w:ascii="宋体" w:hAnsi="宋体"/>
                <w:b/>
                <w:bCs/>
                <w:highlight w:val="none"/>
                <w:lang w:val="en-US" w:eastAsia="zh-CN"/>
              </w:rPr>
              <w:t>8</w:t>
            </w:r>
          </w:p>
        </w:tc>
        <w:tc>
          <w:tcPr>
            <w:tcW w:w="7914" w:type="dxa"/>
            <w:tcBorders>
              <w:top w:val="single" w:color="auto" w:sz="4" w:space="0"/>
              <w:left w:val="nil"/>
              <w:bottom w:val="single" w:color="auto" w:sz="4" w:space="0"/>
              <w:right w:val="single" w:color="auto" w:sz="4" w:space="0"/>
            </w:tcBorders>
            <w:vAlign w:val="top"/>
          </w:tcPr>
          <w:p>
            <w:pPr>
              <w:pStyle w:val="6"/>
              <w:adjustRightInd w:val="0"/>
              <w:snapToGrid w:val="0"/>
              <w:spacing w:line="340" w:lineRule="exact"/>
              <w:ind w:left="44" w:leftChars="21" w:firstLine="432" w:firstLineChars="206"/>
              <w:rPr>
                <w:rFonts w:hAnsi="宋体"/>
                <w:b/>
                <w:bCs/>
                <w:szCs w:val="21"/>
                <w:highlight w:val="none"/>
              </w:rPr>
            </w:pPr>
            <w:r>
              <w:rPr>
                <w:rFonts w:hint="eastAsia" w:hAnsi="宋体"/>
                <w:b/>
                <w:bCs/>
                <w:highlight w:val="none"/>
              </w:rPr>
              <w:t>增加3.</w:t>
            </w:r>
            <w:r>
              <w:rPr>
                <w:rFonts w:hint="eastAsia" w:hAnsi="宋体"/>
                <w:b/>
                <w:bCs/>
                <w:highlight w:val="none"/>
                <w:lang w:val="en-US" w:eastAsia="zh-CN"/>
              </w:rPr>
              <w:t>8</w:t>
            </w:r>
            <w:r>
              <w:rPr>
                <w:rFonts w:hint="eastAsia" w:hAnsi="宋体"/>
                <w:b/>
                <w:bCs/>
                <w:highlight w:val="none"/>
              </w:rPr>
              <w:t>.3 -3.</w:t>
            </w:r>
            <w:r>
              <w:rPr>
                <w:rFonts w:hint="eastAsia" w:hAnsi="宋体"/>
                <w:b/>
                <w:bCs/>
                <w:highlight w:val="none"/>
                <w:lang w:val="en-US" w:eastAsia="zh-CN"/>
              </w:rPr>
              <w:t>8</w:t>
            </w:r>
            <w:r>
              <w:rPr>
                <w:rFonts w:hint="eastAsia" w:hAnsi="宋体"/>
                <w:b/>
                <w:bCs/>
                <w:highlight w:val="none"/>
              </w:rPr>
              <w:t>.</w:t>
            </w:r>
            <w:r>
              <w:rPr>
                <w:rFonts w:hint="eastAsia" w:hAnsi="宋体" w:eastAsia="宋体"/>
                <w:b/>
                <w:bCs/>
                <w:highlight w:val="none"/>
                <w:lang w:val="en-US" w:eastAsia="zh-CN"/>
              </w:rPr>
              <w:t>8</w:t>
            </w:r>
            <w:r>
              <w:rPr>
                <w:rFonts w:hint="eastAsia" w:hAnsi="宋体"/>
                <w:b/>
                <w:bCs/>
                <w:highlight w:val="none"/>
              </w:rPr>
              <w:t xml:space="preserve">款： </w:t>
            </w:r>
          </w:p>
          <w:p>
            <w:pPr>
              <w:spacing w:line="340" w:lineRule="exact"/>
              <w:ind w:firstLine="420" w:firstLineChars="200"/>
              <w:jc w:val="left"/>
              <w:rPr>
                <w:rFonts w:hint="eastAsia" w:ascii="宋体" w:hAnsi="宋体" w:eastAsia="宋体" w:cs="Times New Roman"/>
                <w:highlight w:val="none"/>
              </w:rPr>
            </w:pPr>
            <w:r>
              <w:rPr>
                <w:rFonts w:hint="eastAsia" w:ascii="宋体" w:hAnsi="宋体" w:eastAsia="宋体" w:cs="Times New Roman"/>
                <w:highlight w:val="none"/>
              </w:rPr>
              <w:t>3.</w:t>
            </w:r>
            <w:r>
              <w:rPr>
                <w:rFonts w:hint="eastAsia" w:ascii="宋体" w:hAnsi="宋体" w:eastAsia="宋体" w:cs="Times New Roman"/>
                <w:highlight w:val="none"/>
                <w:lang w:val="en-US" w:eastAsia="zh-CN"/>
              </w:rPr>
              <w:t>8</w:t>
            </w:r>
            <w:r>
              <w:rPr>
                <w:rFonts w:hint="eastAsia" w:ascii="宋体" w:hAnsi="宋体" w:eastAsia="宋体" w:cs="Times New Roman"/>
                <w:highlight w:val="none"/>
              </w:rPr>
              <w:t>.3通过第一信封商务文件和技术文件评审的投标人少于3 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spacing w:line="340" w:lineRule="exact"/>
              <w:ind w:firstLine="420" w:firstLineChars="200"/>
              <w:jc w:val="left"/>
              <w:rPr>
                <w:rFonts w:hint="eastAsia" w:ascii="宋体" w:hAnsi="宋体" w:eastAsia="宋体" w:cs="Times New Roman"/>
                <w:highlight w:val="none"/>
              </w:rPr>
            </w:pPr>
            <w:r>
              <w:rPr>
                <w:rFonts w:hint="eastAsia" w:ascii="宋体" w:hAnsi="宋体" w:eastAsia="宋体" w:cs="Times New Roman"/>
                <w:highlight w:val="none"/>
              </w:rPr>
              <w:t>3.</w:t>
            </w:r>
            <w:r>
              <w:rPr>
                <w:rFonts w:hint="eastAsia" w:ascii="宋体" w:hAnsi="宋体" w:eastAsia="宋体" w:cs="Times New Roman"/>
                <w:highlight w:val="none"/>
                <w:lang w:val="en-US" w:eastAsia="zh-CN"/>
              </w:rPr>
              <w:t>8</w:t>
            </w:r>
            <w:r>
              <w:rPr>
                <w:rFonts w:hint="eastAsia" w:ascii="宋体" w:hAnsi="宋体" w:eastAsia="宋体" w:cs="Times New Roman"/>
                <w:highlight w:val="none"/>
              </w:rPr>
              <w:t xml:space="preserve">.4 通过第一信封商务文件和技术文件评审的投标人在3 个及以上的，招标人应当按照招标文件规定的程序进行第二信封报价文件开标；在对报价文件进行评审后，有效投标不足3 个的，评标委员会可以否决全部投标。未否决全部投标的，评标委员会应当在评标报告中阐明理由并推荐中标候选人。 </w:t>
            </w:r>
          </w:p>
          <w:p>
            <w:pPr>
              <w:spacing w:line="340" w:lineRule="exact"/>
              <w:ind w:firstLine="420" w:firstLineChars="200"/>
              <w:jc w:val="left"/>
              <w:rPr>
                <w:rFonts w:hint="eastAsia" w:ascii="宋体" w:hAnsi="宋体" w:eastAsia="宋体" w:cs="Times New Roman"/>
                <w:highlight w:val="none"/>
              </w:rPr>
            </w:pPr>
            <w:r>
              <w:rPr>
                <w:rFonts w:hint="eastAsia" w:ascii="宋体" w:hAnsi="宋体" w:eastAsia="宋体" w:cs="Times New Roman"/>
                <w:highlight w:val="none"/>
              </w:rPr>
              <w:t>3.</w:t>
            </w:r>
            <w:r>
              <w:rPr>
                <w:rFonts w:hint="eastAsia" w:ascii="宋体" w:hAnsi="宋体" w:eastAsia="宋体" w:cs="Times New Roman"/>
                <w:highlight w:val="none"/>
                <w:lang w:val="en-US" w:eastAsia="zh-CN"/>
              </w:rPr>
              <w:t>8</w:t>
            </w:r>
            <w:r>
              <w:rPr>
                <w:rFonts w:hint="eastAsia" w:ascii="宋体" w:hAnsi="宋体" w:eastAsia="宋体" w:cs="Times New Roman"/>
                <w:highlight w:val="none"/>
              </w:rPr>
              <w:t>.5 如果发生无法确定推荐中标候选人的其它意外情况，由评标委员会研究处理，评标委员会有权决定本次招标无效，有权建议招标人重新招标。</w:t>
            </w:r>
          </w:p>
          <w:p>
            <w:pPr>
              <w:spacing w:line="340" w:lineRule="exact"/>
              <w:ind w:firstLine="420" w:firstLineChars="200"/>
              <w:jc w:val="left"/>
              <w:rPr>
                <w:rFonts w:hint="eastAsia" w:ascii="宋体" w:hAnsi="宋体" w:eastAsia="宋体" w:cs="Times New Roman"/>
                <w:b w:val="0"/>
                <w:bCs w:val="0"/>
                <w:highlight w:val="none"/>
              </w:rPr>
            </w:pPr>
            <w:r>
              <w:rPr>
                <w:rFonts w:hint="eastAsia" w:ascii="宋体" w:hAnsi="宋体" w:eastAsia="宋体" w:cs="Times New Roman"/>
                <w:b w:val="0"/>
                <w:bCs w:val="0"/>
                <w:highlight w:val="none"/>
              </w:rPr>
              <w:t>3.8.6 如果推荐的中标候选人因公示被投诉并查证属实存在造假行为的，按否决其投标处理，且没收其投标保证金；</w:t>
            </w:r>
          </w:p>
          <w:p>
            <w:pPr>
              <w:spacing w:line="340" w:lineRule="exact"/>
              <w:ind w:firstLine="420" w:firstLineChars="200"/>
              <w:jc w:val="left"/>
              <w:rPr>
                <w:rFonts w:hint="eastAsia" w:ascii="宋体" w:hAnsi="宋体" w:eastAsia="宋体" w:cs="Times New Roman"/>
                <w:b w:val="0"/>
                <w:bCs w:val="0"/>
                <w:highlight w:val="none"/>
              </w:rPr>
            </w:pPr>
            <w:r>
              <w:rPr>
                <w:rFonts w:hint="eastAsia" w:ascii="宋体" w:hAnsi="宋体" w:eastAsia="宋体" w:cs="Times New Roman"/>
                <w:b w:val="0"/>
                <w:bCs w:val="0"/>
                <w:highlight w:val="none"/>
              </w:rPr>
              <w:t>3.8.7 如果开标后至中标通知书发出前，中标候选人因违法、违规行为或重大质量、安全责任事故被</w:t>
            </w:r>
            <w:r>
              <w:rPr>
                <w:rFonts w:hint="eastAsia"/>
                <w:highlight w:val="none"/>
                <w:lang w:val="en-US" w:eastAsia="zh-CN"/>
              </w:rPr>
              <w:t>国家金融监督管理总局（原</w:t>
            </w:r>
            <w:r>
              <w:rPr>
                <w:rFonts w:hint="eastAsia" w:ascii="宋体" w:hAnsi="宋体" w:eastAsia="宋体" w:cs="Times New Roman"/>
                <w:b w:val="0"/>
                <w:bCs w:val="0"/>
                <w:highlight w:val="none"/>
              </w:rPr>
              <w:t>中国银行保险监督管理委员会</w:t>
            </w:r>
            <w:r>
              <w:rPr>
                <w:rFonts w:hint="eastAsia" w:ascii="宋体" w:hAnsi="宋体" w:eastAsia="宋体" w:cs="Times New Roman"/>
                <w:b w:val="0"/>
                <w:bCs w:val="0"/>
                <w:highlight w:val="none"/>
                <w:lang w:eastAsia="zh-CN"/>
              </w:rPr>
              <w:t>）</w:t>
            </w:r>
            <w:r>
              <w:rPr>
                <w:rFonts w:hint="eastAsia" w:ascii="宋体" w:hAnsi="宋体" w:eastAsia="宋体" w:cs="Times New Roman"/>
                <w:b w:val="0"/>
                <w:bCs w:val="0"/>
                <w:highlight w:val="none"/>
              </w:rPr>
              <w:t>通报批评而取消投标资格或信用等级降低等情况之一的，或有因行贿犯罪而被人民法院判决、裁定生效的行为，或投标人拟入本项目的项目</w:t>
            </w:r>
            <w:r>
              <w:rPr>
                <w:rFonts w:hint="eastAsia" w:ascii="宋体" w:hAnsi="宋体" w:eastAsia="宋体" w:cs="Times New Roman"/>
                <w:b w:val="0"/>
                <w:bCs w:val="0"/>
                <w:highlight w:val="none"/>
                <w:lang w:val="en-US" w:eastAsia="zh-CN"/>
              </w:rPr>
              <w:t>负责人</w:t>
            </w:r>
            <w:r>
              <w:rPr>
                <w:rFonts w:hint="eastAsia" w:ascii="宋体" w:hAnsi="宋体" w:eastAsia="宋体" w:cs="Times New Roman"/>
                <w:b w:val="0"/>
                <w:bCs w:val="0"/>
                <w:highlight w:val="none"/>
              </w:rPr>
              <w:t>有因行贿犯罪而被判刑的行为，则取消其中标资格，按否决其投标处理；</w:t>
            </w:r>
          </w:p>
          <w:p>
            <w:pPr>
              <w:spacing w:line="340" w:lineRule="exact"/>
              <w:ind w:firstLine="420" w:firstLineChars="200"/>
              <w:jc w:val="left"/>
              <w:rPr>
                <w:rFonts w:hint="eastAsia" w:ascii="宋体" w:hAnsi="宋体" w:eastAsia="宋体" w:cs="Times New Roman"/>
                <w:b w:val="0"/>
                <w:bCs w:val="0"/>
                <w:highlight w:val="none"/>
              </w:rPr>
            </w:pPr>
            <w:r>
              <w:rPr>
                <w:rFonts w:hint="eastAsia" w:ascii="宋体" w:hAnsi="宋体" w:eastAsia="宋体" w:cs="Times New Roman"/>
                <w:b w:val="0"/>
                <w:bCs w:val="0"/>
                <w:highlight w:val="none"/>
              </w:rPr>
              <w:t>发生以上情况时，招标人按推荐中标候选人排名顺序依次确定中标人，或重新组织招标。</w:t>
            </w:r>
          </w:p>
          <w:p>
            <w:pPr>
              <w:spacing w:line="340" w:lineRule="exact"/>
              <w:ind w:firstLine="420" w:firstLineChars="200"/>
              <w:jc w:val="left"/>
              <w:rPr>
                <w:rFonts w:hint="eastAsia" w:ascii="宋体" w:hAnsi="宋体" w:eastAsia="宋体" w:cs="Times New Roman"/>
                <w:b w:val="0"/>
                <w:bCs w:val="0"/>
                <w:highlight w:val="none"/>
              </w:rPr>
            </w:pPr>
            <w:r>
              <w:rPr>
                <w:rFonts w:hint="eastAsia" w:ascii="宋体" w:hAnsi="宋体" w:eastAsia="宋体" w:cs="Times New Roman"/>
                <w:b w:val="0"/>
                <w:bCs w:val="0"/>
                <w:highlight w:val="none"/>
              </w:rPr>
              <w:t>3.8.8 本招标文件规定的否决投标条款包含在以下条款：</w:t>
            </w:r>
          </w:p>
          <w:p>
            <w:pPr>
              <w:spacing w:line="340" w:lineRule="exact"/>
              <w:ind w:firstLine="420" w:firstLineChars="200"/>
              <w:jc w:val="left"/>
              <w:rPr>
                <w:rFonts w:hint="eastAsia" w:ascii="宋体" w:hAnsi="宋体" w:eastAsia="宋体" w:cs="Times New Roman"/>
                <w:b w:val="0"/>
                <w:bCs w:val="0"/>
                <w:highlight w:val="none"/>
              </w:rPr>
            </w:pPr>
            <w:r>
              <w:rPr>
                <w:rFonts w:hint="eastAsia" w:ascii="宋体" w:hAnsi="宋体" w:eastAsia="宋体" w:cs="Times New Roman"/>
                <w:b w:val="0"/>
                <w:bCs w:val="0"/>
                <w:highlight w:val="none"/>
              </w:rPr>
              <w:t>（1）招标公告第3点 投标人资格要求；</w:t>
            </w:r>
          </w:p>
          <w:p>
            <w:pPr>
              <w:spacing w:line="340" w:lineRule="exact"/>
              <w:ind w:firstLine="420" w:firstLineChars="200"/>
              <w:jc w:val="left"/>
              <w:rPr>
                <w:rFonts w:hint="eastAsia" w:ascii="宋体" w:hAnsi="宋体" w:eastAsia="宋体" w:cs="Times New Roman"/>
                <w:b w:val="0"/>
                <w:bCs w:val="0"/>
                <w:highlight w:val="none"/>
              </w:rPr>
            </w:pPr>
            <w:r>
              <w:rPr>
                <w:rFonts w:hint="eastAsia" w:ascii="宋体" w:hAnsi="宋体" w:eastAsia="宋体" w:cs="Times New Roman"/>
                <w:b w:val="0"/>
                <w:bCs w:val="0"/>
                <w:highlight w:val="none"/>
              </w:rPr>
              <w:t>（2）投标人须知</w:t>
            </w:r>
            <w:r>
              <w:rPr>
                <w:rFonts w:hint="eastAsia" w:ascii="宋体" w:hAnsi="宋体" w:eastAsia="宋体" w:cs="Times New Roman"/>
                <w:b w:val="0"/>
                <w:bCs w:val="0"/>
                <w:highlight w:val="none"/>
                <w:lang w:val="en-US" w:eastAsia="zh-CN"/>
              </w:rPr>
              <w:t>1.4.3款</w:t>
            </w:r>
            <w:r>
              <w:rPr>
                <w:rFonts w:hint="eastAsia" w:ascii="宋体" w:hAnsi="宋体" w:eastAsia="宋体" w:cs="Times New Roman"/>
                <w:b w:val="0"/>
                <w:bCs w:val="0"/>
                <w:highlight w:val="none"/>
              </w:rPr>
              <w:t>、</w:t>
            </w:r>
            <w:r>
              <w:rPr>
                <w:rFonts w:hint="eastAsia" w:ascii="宋体" w:hAnsi="宋体" w:eastAsia="宋体" w:cs="Times New Roman"/>
                <w:b w:val="0"/>
                <w:bCs w:val="0"/>
                <w:highlight w:val="none"/>
                <w:lang w:val="en-US" w:eastAsia="zh-CN"/>
              </w:rPr>
              <w:t>1.4.4款、1.4.5款、1.12款、3.2款、3.4款、3.5款、3.6款、10.4款、10.8款、10.9款</w:t>
            </w:r>
            <w:r>
              <w:rPr>
                <w:rFonts w:hint="eastAsia" w:ascii="宋体" w:hAnsi="宋体" w:eastAsia="宋体" w:cs="Times New Roman"/>
                <w:b w:val="0"/>
                <w:bCs w:val="0"/>
                <w:highlight w:val="none"/>
              </w:rPr>
              <w:t>；</w:t>
            </w:r>
          </w:p>
          <w:p>
            <w:pPr>
              <w:spacing w:line="340" w:lineRule="exact"/>
              <w:ind w:firstLine="420" w:firstLineChars="200"/>
              <w:jc w:val="left"/>
              <w:rPr>
                <w:rFonts w:hAnsi="宋体"/>
                <w:b/>
                <w:bCs/>
                <w:highlight w:val="none"/>
              </w:rPr>
            </w:pPr>
            <w:r>
              <w:rPr>
                <w:rFonts w:hint="eastAsia" w:ascii="宋体" w:hAnsi="宋体" w:eastAsia="宋体" w:cs="Times New Roman"/>
                <w:b w:val="0"/>
                <w:bCs w:val="0"/>
                <w:highlight w:val="none"/>
              </w:rPr>
              <w:t>（3）本评标办法否决条款。</w:t>
            </w:r>
          </w:p>
        </w:tc>
      </w:tr>
    </w:tbl>
    <w:p>
      <w:pPr>
        <w:widowControl/>
        <w:spacing w:line="380" w:lineRule="exact"/>
        <w:jc w:val="right"/>
        <w:rPr>
          <w:rFonts w:hint="eastAsia" w:ascii="宋体" w:hAnsi="宋体"/>
          <w:szCs w:val="21"/>
          <w:highlight w:val="none"/>
        </w:rPr>
      </w:pPr>
      <w:r>
        <w:rPr>
          <w:rFonts w:hint="eastAsia" w:ascii="宋体" w:hAnsi="宋体"/>
          <w:highlight w:val="none"/>
        </w:rPr>
        <w:t xml:space="preserve"> </w:t>
      </w:r>
    </w:p>
    <w:p>
      <w:pPr>
        <w:widowControl/>
        <w:spacing w:line="360" w:lineRule="auto"/>
        <w:rPr>
          <w:rFonts w:hint="eastAsia" w:ascii="宋体" w:hAnsi="宋体" w:cs="黑体"/>
          <w:b/>
          <w:bCs/>
          <w:kern w:val="0"/>
          <w:sz w:val="28"/>
          <w:szCs w:val="28"/>
          <w:highlight w:val="none"/>
        </w:rPr>
      </w:pPr>
      <w:r>
        <w:rPr>
          <w:rFonts w:hint="eastAsia" w:ascii="宋体" w:hAnsi="宋体" w:cs="黑体"/>
          <w:b/>
          <w:bCs/>
          <w:kern w:val="0"/>
          <w:sz w:val="28"/>
          <w:szCs w:val="28"/>
          <w:highlight w:val="none"/>
        </w:rPr>
        <w:t>1、评标方法</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kern w:val="0"/>
          <w:highlight w:val="none"/>
        </w:rPr>
        <w:t>本次评标采用</w:t>
      </w:r>
      <w:r>
        <w:rPr>
          <w:rFonts w:hint="eastAsia" w:ascii="宋体" w:hAnsi="宋体"/>
          <w:kern w:val="0"/>
          <w:highlight w:val="none"/>
          <w:lang w:val="en-US" w:eastAsia="zh-CN"/>
        </w:rPr>
        <w:t>合理低价法</w:t>
      </w:r>
      <w:r>
        <w:rPr>
          <w:rFonts w:hint="eastAsia" w:ascii="宋体" w:hAnsi="宋体"/>
          <w:kern w:val="0"/>
          <w:highlight w:val="none"/>
        </w:rPr>
        <w:t>。评标委员会对满足招标文件实质性要求的投标文件，按照本章第</w:t>
      </w:r>
      <w:r>
        <w:rPr>
          <w:rFonts w:hint="eastAsia" w:ascii="宋体" w:hAnsi="宋体" w:cs="Calibri"/>
          <w:kern w:val="0"/>
          <w:highlight w:val="none"/>
        </w:rPr>
        <w:t xml:space="preserve">2.2 </w:t>
      </w:r>
      <w:r>
        <w:rPr>
          <w:rFonts w:hint="eastAsia" w:ascii="宋体" w:hAnsi="宋体"/>
          <w:kern w:val="0"/>
          <w:highlight w:val="none"/>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widowControl/>
        <w:spacing w:line="360" w:lineRule="auto"/>
        <w:rPr>
          <w:rFonts w:hint="eastAsia" w:ascii="宋体" w:hAnsi="宋体" w:cs="黑体"/>
          <w:b/>
          <w:bCs/>
          <w:kern w:val="0"/>
          <w:sz w:val="28"/>
          <w:szCs w:val="28"/>
          <w:highlight w:val="none"/>
        </w:rPr>
      </w:pPr>
      <w:r>
        <w:rPr>
          <w:rFonts w:hint="eastAsia" w:ascii="宋体" w:hAnsi="宋体" w:cs="黑体"/>
          <w:b/>
          <w:bCs/>
          <w:kern w:val="0"/>
          <w:sz w:val="28"/>
          <w:szCs w:val="28"/>
          <w:highlight w:val="none"/>
        </w:rPr>
        <w:t>2、评审标准</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2.1 初步评审标准</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kern w:val="0"/>
          <w:highlight w:val="none"/>
        </w:rPr>
        <w:t>2.1.1 形式评审标准：见评标办法前附表。</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2.1.2 资格评审标准：</w:t>
      </w:r>
      <w:r>
        <w:rPr>
          <w:rFonts w:hint="eastAsia" w:ascii="宋体" w:hAnsi="宋体"/>
          <w:highlight w:val="none"/>
        </w:rPr>
        <w:t>见评标办法前附表（适用于未进行资格预审的）。</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2.1.3 响应性评审标准：见评标办法前附表。</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2.2 分值构成与评分标准</w:t>
      </w:r>
    </w:p>
    <w:p>
      <w:pPr>
        <w:autoSpaceDE w:val="0"/>
        <w:autoSpaceDN w:val="0"/>
        <w:adjustRightInd w:val="0"/>
        <w:spacing w:line="360" w:lineRule="auto"/>
        <w:ind w:firstLine="420" w:firstLineChars="200"/>
        <w:jc w:val="left"/>
        <w:rPr>
          <w:rFonts w:hint="eastAsia" w:ascii="宋体" w:hAnsi="宋体" w:cs="黑体"/>
          <w:kern w:val="0"/>
          <w:szCs w:val="21"/>
          <w:highlight w:val="none"/>
        </w:rPr>
      </w:pPr>
      <w:r>
        <w:rPr>
          <w:rFonts w:hint="eastAsia" w:ascii="宋体" w:hAnsi="宋体" w:cs="Calibri"/>
          <w:kern w:val="0"/>
          <w:highlight w:val="none"/>
        </w:rPr>
        <w:t xml:space="preserve">2.2.1 </w:t>
      </w:r>
      <w:r>
        <w:rPr>
          <w:rFonts w:hint="eastAsia" w:ascii="宋体" w:hAnsi="宋体" w:cs="黑体"/>
          <w:kern w:val="0"/>
          <w:highlight w:val="none"/>
        </w:rPr>
        <w:t>分值构成</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eastAsia="宋体" w:cs="Calibri"/>
          <w:kern w:val="0"/>
          <w:highlight w:val="none"/>
          <w:lang w:val="en-US" w:eastAsia="zh-CN"/>
        </w:rPr>
        <w:t>1</w:t>
      </w:r>
      <w:r>
        <w:rPr>
          <w:rFonts w:hint="eastAsia" w:ascii="宋体" w:hAnsi="宋体"/>
          <w:kern w:val="0"/>
          <w:highlight w:val="none"/>
        </w:rPr>
        <w:t>）评标价：见评标办法前附表；</w:t>
      </w:r>
    </w:p>
    <w:p>
      <w:pPr>
        <w:autoSpaceDE w:val="0"/>
        <w:autoSpaceDN w:val="0"/>
        <w:adjustRightInd w:val="0"/>
        <w:spacing w:line="360" w:lineRule="auto"/>
        <w:ind w:firstLine="420" w:firstLineChars="200"/>
        <w:jc w:val="left"/>
        <w:rPr>
          <w:rFonts w:hint="eastAsia" w:ascii="宋体" w:hAnsi="宋体" w:cs="黑体"/>
          <w:kern w:val="0"/>
          <w:highlight w:val="none"/>
        </w:rPr>
      </w:pPr>
      <w:r>
        <w:rPr>
          <w:rFonts w:hint="eastAsia" w:ascii="宋体" w:hAnsi="宋体" w:cs="Calibri"/>
          <w:kern w:val="0"/>
          <w:highlight w:val="none"/>
        </w:rPr>
        <w:t xml:space="preserve">2.2.2 </w:t>
      </w:r>
      <w:r>
        <w:rPr>
          <w:rFonts w:hint="eastAsia" w:ascii="宋体" w:hAnsi="宋体" w:cs="黑体"/>
          <w:kern w:val="0"/>
          <w:highlight w:val="none"/>
        </w:rPr>
        <w:t>评标基准价计算</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评标基准价计算方法：见评标办法前附表。</w:t>
      </w:r>
    </w:p>
    <w:p>
      <w:pPr>
        <w:autoSpaceDE w:val="0"/>
        <w:autoSpaceDN w:val="0"/>
        <w:adjustRightInd w:val="0"/>
        <w:spacing w:line="360" w:lineRule="auto"/>
        <w:ind w:firstLine="420" w:firstLineChars="200"/>
        <w:jc w:val="left"/>
        <w:rPr>
          <w:rFonts w:hint="eastAsia" w:ascii="宋体" w:hAnsi="宋体" w:cs="黑体"/>
          <w:kern w:val="0"/>
          <w:highlight w:val="none"/>
        </w:rPr>
      </w:pPr>
      <w:r>
        <w:rPr>
          <w:rFonts w:hint="eastAsia" w:ascii="宋体" w:hAnsi="宋体" w:cs="Calibri"/>
          <w:kern w:val="0"/>
          <w:highlight w:val="none"/>
        </w:rPr>
        <w:t xml:space="preserve">2.2.3 </w:t>
      </w:r>
      <w:r>
        <w:rPr>
          <w:rFonts w:hint="eastAsia" w:ascii="宋体" w:hAnsi="宋体" w:cs="黑体"/>
          <w:kern w:val="0"/>
          <w:highlight w:val="none"/>
        </w:rPr>
        <w:t>评标价的偏差率计算</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评标价的偏差率计算公式：见评标办法前附表。</w:t>
      </w:r>
    </w:p>
    <w:p>
      <w:pPr>
        <w:autoSpaceDE w:val="0"/>
        <w:autoSpaceDN w:val="0"/>
        <w:adjustRightInd w:val="0"/>
        <w:spacing w:line="360" w:lineRule="auto"/>
        <w:ind w:firstLine="420" w:firstLineChars="200"/>
        <w:jc w:val="left"/>
        <w:rPr>
          <w:rFonts w:hint="eastAsia" w:ascii="宋体" w:hAnsi="宋体" w:cs="黑体"/>
          <w:kern w:val="0"/>
          <w:highlight w:val="none"/>
        </w:rPr>
      </w:pPr>
      <w:r>
        <w:rPr>
          <w:rFonts w:hint="eastAsia" w:ascii="宋体" w:hAnsi="宋体" w:cs="Calibri"/>
          <w:kern w:val="0"/>
          <w:highlight w:val="none"/>
        </w:rPr>
        <w:t xml:space="preserve">2.2.4 </w:t>
      </w:r>
      <w:r>
        <w:rPr>
          <w:rFonts w:hint="eastAsia" w:ascii="宋体" w:hAnsi="宋体" w:cs="黑体"/>
          <w:kern w:val="0"/>
          <w:highlight w:val="none"/>
        </w:rPr>
        <w:t>评分标准</w:t>
      </w:r>
    </w:p>
    <w:p>
      <w:pPr>
        <w:autoSpaceDE w:val="0"/>
        <w:autoSpaceDN w:val="0"/>
        <w:adjustRightInd w:val="0"/>
        <w:spacing w:line="360" w:lineRule="auto"/>
        <w:ind w:firstLine="420" w:firstLineChars="200"/>
        <w:jc w:val="left"/>
        <w:rPr>
          <w:rFonts w:hint="eastAsia" w:ascii="宋体" w:hAnsi="宋体" w:eastAsia="宋体" w:cs="Times New Roman"/>
          <w:kern w:val="0"/>
          <w:highlight w:val="none"/>
        </w:rPr>
      </w:pPr>
      <w:r>
        <w:rPr>
          <w:rFonts w:hint="eastAsia" w:ascii="宋体" w:hAnsi="宋体" w:eastAsia="宋体" w:cs="Times New Roman"/>
          <w:kern w:val="0"/>
          <w:highlight w:val="none"/>
        </w:rPr>
        <w:t>（</w:t>
      </w:r>
      <w:r>
        <w:rPr>
          <w:rFonts w:hint="eastAsia" w:ascii="宋体" w:hAnsi="宋体" w:eastAsia="宋体" w:cs="Times New Roman"/>
          <w:kern w:val="0"/>
          <w:highlight w:val="none"/>
          <w:lang w:val="en-US" w:eastAsia="zh-CN"/>
        </w:rPr>
        <w:t>1</w:t>
      </w:r>
      <w:r>
        <w:rPr>
          <w:rFonts w:hint="eastAsia" w:ascii="宋体" w:hAnsi="宋体" w:eastAsia="宋体" w:cs="Times New Roman"/>
          <w:kern w:val="0"/>
          <w:highlight w:val="none"/>
        </w:rPr>
        <w:t>）评标价评分标准：见评标办法前附表；</w:t>
      </w:r>
    </w:p>
    <w:p>
      <w:pPr>
        <w:widowControl/>
        <w:spacing w:line="360" w:lineRule="auto"/>
        <w:rPr>
          <w:rFonts w:hint="eastAsia" w:ascii="宋体" w:hAnsi="宋体" w:cs="黑体"/>
          <w:b/>
          <w:bCs/>
          <w:kern w:val="0"/>
          <w:sz w:val="28"/>
          <w:szCs w:val="28"/>
          <w:highlight w:val="none"/>
        </w:rPr>
      </w:pPr>
      <w:r>
        <w:rPr>
          <w:rFonts w:hint="eastAsia" w:ascii="宋体" w:hAnsi="宋体" w:cs="黑体"/>
          <w:b/>
          <w:bCs/>
          <w:kern w:val="0"/>
          <w:sz w:val="28"/>
          <w:szCs w:val="28"/>
          <w:highlight w:val="none"/>
        </w:rPr>
        <w:t>3、评标程序</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3.1 第一个信封初步评审</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cs="Calibri"/>
          <w:kern w:val="0"/>
          <w:highlight w:val="none"/>
        </w:rPr>
        <w:t xml:space="preserve">3.1.1 </w:t>
      </w:r>
      <w:r>
        <w:rPr>
          <w:rFonts w:hint="eastAsia" w:ascii="宋体" w:hAnsi="宋体"/>
          <w:kern w:val="0"/>
          <w:highlight w:val="none"/>
        </w:rPr>
        <w:t>评标委员会可以要求投标人提交招标文件规定的有关证明和证件的原件，以便核验。评标委员会依据本章第</w:t>
      </w:r>
      <w:r>
        <w:rPr>
          <w:rFonts w:hint="eastAsia" w:ascii="宋体" w:hAnsi="宋体" w:cs="Calibri"/>
          <w:kern w:val="0"/>
          <w:highlight w:val="none"/>
        </w:rPr>
        <w:t>2.1</w:t>
      </w:r>
      <w:r>
        <w:rPr>
          <w:rFonts w:hint="eastAsia" w:ascii="宋体" w:hAnsi="宋体"/>
          <w:kern w:val="0"/>
          <w:highlight w:val="none"/>
        </w:rPr>
        <w:t>款规定的标准对投标文件第一个信封（商务及技术文件）进行初步评审。有一项不符合评审标准的，评标委员会应否决其投标。</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2</w:t>
      </w:r>
      <w:r>
        <w:rPr>
          <w:rFonts w:hint="eastAsia" w:ascii="宋体" w:hAnsi="宋体" w:cs="黑体"/>
          <w:b/>
          <w:bCs/>
          <w:kern w:val="0"/>
          <w:sz w:val="24"/>
          <w:szCs w:val="24"/>
          <w:highlight w:val="none"/>
        </w:rPr>
        <w:t xml:space="preserve"> 第二个信封开标</w:t>
      </w:r>
    </w:p>
    <w:p>
      <w:pPr>
        <w:overflowPunct/>
        <w:autoSpaceDE w:val="0"/>
        <w:autoSpaceDN w:val="0"/>
        <w:adjustRightInd w:val="0"/>
        <w:spacing w:line="360" w:lineRule="auto"/>
        <w:ind w:firstLine="420" w:firstLineChars="200"/>
        <w:jc w:val="left"/>
        <w:rPr>
          <w:rFonts w:hint="eastAsia" w:ascii="宋体" w:hAnsi="宋体" w:eastAsia="宋体" w:cs="Calibri"/>
          <w:kern w:val="0"/>
          <w:highlight w:val="none"/>
        </w:rPr>
      </w:pPr>
      <w:r>
        <w:rPr>
          <w:rFonts w:hint="eastAsia" w:ascii="宋体" w:hAnsi="宋体" w:eastAsia="宋体" w:cs="Calibri"/>
          <w:kern w:val="0"/>
          <w:highlight w:val="none"/>
        </w:rPr>
        <w:t>第一个信封（商务及技术</w:t>
      </w:r>
      <w:r>
        <w:rPr>
          <w:rFonts w:hint="eastAsia" w:ascii="宋体" w:hAnsi="宋体" w:eastAsia="宋体" w:cs="Calibri"/>
          <w:kern w:val="0"/>
          <w:highlight w:val="none"/>
          <w:lang w:val="en-US" w:eastAsia="zh-CN"/>
        </w:rPr>
        <w:t>文件</w:t>
      </w:r>
      <w:r>
        <w:rPr>
          <w:rFonts w:hint="eastAsia" w:ascii="宋体" w:hAnsi="宋体" w:eastAsia="宋体" w:cs="Calibri"/>
          <w:kern w:val="0"/>
          <w:highlight w:val="none"/>
        </w:rPr>
        <w:t xml:space="preserve">）评审结束后，招标人将按照第二章“投标人须知”第 </w:t>
      </w:r>
      <w:r>
        <w:rPr>
          <w:rFonts w:hint="eastAsia" w:ascii="宋体" w:hAnsi="宋体" w:eastAsia="宋体" w:cs="Calibri"/>
          <w:kern w:val="0"/>
          <w:highlight w:val="none"/>
          <w:lang w:val="en-US" w:eastAsia="zh-CN"/>
        </w:rPr>
        <w:t>19</w:t>
      </w:r>
      <w:r>
        <w:rPr>
          <w:rFonts w:hint="eastAsia" w:ascii="宋体" w:hAnsi="宋体" w:eastAsia="宋体" w:cs="Calibri"/>
          <w:kern w:val="0"/>
          <w:highlight w:val="none"/>
        </w:rPr>
        <w:t xml:space="preserve"> 款规定的时间和地点对通过投标文件第一个信封（商务及技术</w:t>
      </w:r>
      <w:r>
        <w:rPr>
          <w:rFonts w:hint="eastAsia" w:ascii="宋体" w:hAnsi="宋体" w:eastAsia="宋体" w:cs="Calibri"/>
          <w:kern w:val="0"/>
          <w:highlight w:val="none"/>
          <w:lang w:val="en-US" w:eastAsia="zh-CN"/>
        </w:rPr>
        <w:t>文件</w:t>
      </w:r>
      <w:r>
        <w:rPr>
          <w:rFonts w:hint="eastAsia" w:ascii="宋体" w:hAnsi="宋体" w:eastAsia="宋体" w:cs="Calibri"/>
          <w:kern w:val="0"/>
          <w:highlight w:val="none"/>
        </w:rPr>
        <w:t>）评审的投标文件第二个信封（报价文件）进行开标。</w:t>
      </w:r>
    </w:p>
    <w:p>
      <w:pPr>
        <w:autoSpaceDE w:val="0"/>
        <w:autoSpaceDN w:val="0"/>
        <w:adjustRightInd w:val="0"/>
        <w:spacing w:line="360" w:lineRule="auto"/>
        <w:ind w:firstLine="420" w:firstLineChars="200"/>
        <w:jc w:val="left"/>
        <w:rPr>
          <w:rFonts w:hint="eastAsia" w:ascii="宋体" w:hAnsi="宋体" w:eastAsia="宋体" w:cs="Calibri"/>
          <w:kern w:val="0"/>
          <w:szCs w:val="22"/>
          <w:highlight w:val="none"/>
        </w:rPr>
      </w:pPr>
      <w:r>
        <w:rPr>
          <w:rFonts w:hint="eastAsia" w:ascii="宋体" w:hAnsi="宋体" w:eastAsia="宋体" w:cs="Calibri"/>
          <w:kern w:val="0"/>
          <w:highlight w:val="none"/>
        </w:rPr>
        <w:t>只有通过第一个信封（</w:t>
      </w:r>
      <w:r>
        <w:rPr>
          <w:rFonts w:hint="eastAsia" w:ascii="宋体" w:hAnsi="宋体" w:eastAsia="宋体" w:cs="Calibri"/>
          <w:kern w:val="0"/>
          <w:highlight w:val="none"/>
          <w:lang w:eastAsia="zh-CN"/>
        </w:rPr>
        <w:t>商务及技术文件</w:t>
      </w:r>
      <w:r>
        <w:rPr>
          <w:rFonts w:hint="eastAsia" w:ascii="宋体" w:hAnsi="宋体" w:eastAsia="宋体" w:cs="Calibri"/>
          <w:kern w:val="0"/>
          <w:highlight w:val="none"/>
        </w:rPr>
        <w:t>）评审的投标人才能继续参加第二信封（报价文件）的评审。对不通过第一个信封（</w:t>
      </w:r>
      <w:r>
        <w:rPr>
          <w:rFonts w:hint="eastAsia" w:ascii="宋体" w:hAnsi="宋体" w:eastAsia="宋体" w:cs="Calibri"/>
          <w:kern w:val="0"/>
          <w:highlight w:val="none"/>
          <w:lang w:eastAsia="zh-CN"/>
        </w:rPr>
        <w:t>商务及技术文件</w:t>
      </w:r>
      <w:r>
        <w:rPr>
          <w:rFonts w:hint="eastAsia" w:ascii="宋体" w:hAnsi="宋体" w:eastAsia="宋体" w:cs="Calibri"/>
          <w:kern w:val="0"/>
          <w:highlight w:val="none"/>
        </w:rPr>
        <w:t>）评审的投标人的第二信封直接退回，不再开启内层信封。</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3</w:t>
      </w:r>
      <w:r>
        <w:rPr>
          <w:rFonts w:hint="eastAsia" w:ascii="宋体" w:hAnsi="宋体" w:cs="黑体"/>
          <w:b/>
          <w:bCs/>
          <w:kern w:val="0"/>
          <w:sz w:val="24"/>
          <w:szCs w:val="24"/>
          <w:highlight w:val="none"/>
        </w:rPr>
        <w:t xml:space="preserve"> 第二个信封初步评审</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cs="Calibri"/>
          <w:kern w:val="0"/>
          <w:highlight w:val="none"/>
        </w:rPr>
        <w:t>3.</w:t>
      </w:r>
      <w:r>
        <w:rPr>
          <w:rFonts w:hint="eastAsia" w:ascii="宋体" w:hAnsi="宋体" w:cs="Calibri"/>
          <w:kern w:val="0"/>
          <w:highlight w:val="none"/>
          <w:lang w:val="en-US" w:eastAsia="zh-CN"/>
        </w:rPr>
        <w:t>3</w:t>
      </w:r>
      <w:r>
        <w:rPr>
          <w:rFonts w:hint="eastAsia" w:ascii="宋体" w:hAnsi="宋体" w:cs="Calibri"/>
          <w:kern w:val="0"/>
          <w:highlight w:val="none"/>
        </w:rPr>
        <w:t xml:space="preserve">.1 </w:t>
      </w:r>
      <w:r>
        <w:rPr>
          <w:rFonts w:hint="eastAsia" w:ascii="宋体" w:hAnsi="宋体"/>
          <w:kern w:val="0"/>
          <w:highlight w:val="none"/>
        </w:rPr>
        <w:t>评标委员会依据本章第</w:t>
      </w:r>
      <w:r>
        <w:rPr>
          <w:rFonts w:hint="eastAsia" w:ascii="宋体" w:hAnsi="宋体" w:cs="Calibri"/>
          <w:kern w:val="0"/>
          <w:highlight w:val="none"/>
        </w:rPr>
        <w:t xml:space="preserve">2.1.1 </w:t>
      </w:r>
      <w:r>
        <w:rPr>
          <w:rFonts w:hint="eastAsia" w:ascii="宋体" w:hAnsi="宋体"/>
          <w:kern w:val="0"/>
          <w:highlight w:val="none"/>
        </w:rPr>
        <w:t>项、第</w:t>
      </w:r>
      <w:r>
        <w:rPr>
          <w:rFonts w:hint="eastAsia" w:ascii="宋体" w:hAnsi="宋体" w:cs="Calibri"/>
          <w:kern w:val="0"/>
          <w:highlight w:val="none"/>
        </w:rPr>
        <w:t xml:space="preserve">2.1.3 </w:t>
      </w:r>
      <w:r>
        <w:rPr>
          <w:rFonts w:hint="eastAsia" w:ascii="宋体" w:hAnsi="宋体"/>
          <w:kern w:val="0"/>
          <w:highlight w:val="none"/>
        </w:rPr>
        <w:t>项规定的评审标准对投标文件第二个信封（报价文件）进行初步评审。有一项不符合评审标准的，评标委员会应否决其投标。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3</w:t>
      </w:r>
      <w:r>
        <w:rPr>
          <w:rFonts w:hint="eastAsia" w:ascii="宋体" w:hAnsi="宋体" w:cs="Calibri"/>
          <w:kern w:val="0"/>
          <w:highlight w:val="none"/>
        </w:rPr>
        <w:t xml:space="preserve">.2 </w:t>
      </w:r>
      <w:r>
        <w:rPr>
          <w:rFonts w:hint="eastAsia" w:ascii="宋体" w:hAnsi="宋体"/>
          <w:kern w:val="0"/>
          <w:highlight w:val="none"/>
        </w:rPr>
        <w:t>投标报价有算术错误的，评标委员会按以下原则对投标报价进行修正，修正的价格经投标人书面确认后具有约束力。投标人不接受修正价格的，评标委员会应否决其投标。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cs="Calibri"/>
          <w:kern w:val="0"/>
          <w:highlight w:val="none"/>
        </w:rPr>
        <w:t>1</w:t>
      </w:r>
      <w:r>
        <w:rPr>
          <w:rFonts w:hint="eastAsia" w:ascii="宋体" w:hAnsi="宋体"/>
          <w:kern w:val="0"/>
          <w:highlight w:val="none"/>
        </w:rPr>
        <w:t>）投标文件中的大写金额与小写金额不一致的，以大写金额为准；</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cs="Calibri"/>
          <w:kern w:val="0"/>
          <w:highlight w:val="none"/>
        </w:rPr>
        <w:t>2</w:t>
      </w:r>
      <w:r>
        <w:rPr>
          <w:rFonts w:hint="eastAsia" w:ascii="宋体" w:hAnsi="宋体"/>
          <w:kern w:val="0"/>
          <w:highlight w:val="none"/>
        </w:rPr>
        <w:t>）总价金额与依据单价计算出的结果不一致的，以单价金额为准修正总价，但单价金额小数点有明显错误的除外；</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cs="Calibri"/>
          <w:kern w:val="0"/>
          <w:highlight w:val="none"/>
        </w:rPr>
        <w:t>3</w:t>
      </w:r>
      <w:r>
        <w:rPr>
          <w:rFonts w:hint="eastAsia" w:ascii="宋体" w:hAnsi="宋体"/>
          <w:kern w:val="0"/>
          <w:highlight w:val="none"/>
        </w:rPr>
        <w:t>）当单价与数量相乘不等于合价时，以单价计算为准，如果单价有明显的小数点位置差错，应以标出的合价为准，同时对单价予以修正；</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cs="Calibri"/>
          <w:kern w:val="0"/>
          <w:highlight w:val="none"/>
        </w:rPr>
        <w:t>4</w:t>
      </w:r>
      <w:r>
        <w:rPr>
          <w:rFonts w:hint="eastAsia" w:ascii="宋体" w:hAnsi="宋体"/>
          <w:kern w:val="0"/>
          <w:highlight w:val="none"/>
        </w:rPr>
        <w:t>）当各子目的合价累计不等于总价时，应以各子目合价累计数为准，修正总价。</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3</w:t>
      </w:r>
      <w:r>
        <w:rPr>
          <w:rFonts w:hint="eastAsia" w:ascii="宋体" w:hAnsi="宋体" w:cs="Calibri"/>
          <w:kern w:val="0"/>
          <w:highlight w:val="none"/>
        </w:rPr>
        <w:t xml:space="preserve">.3 </w:t>
      </w:r>
      <w:r>
        <w:rPr>
          <w:rFonts w:hint="eastAsia" w:ascii="宋体" w:hAnsi="宋体"/>
          <w:kern w:val="0"/>
          <w:highlight w:val="none"/>
        </w:rPr>
        <w:t>修正后的最终投标报价若超过最高投标限价（如有），评标委员会应否决其投标。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3</w:t>
      </w:r>
      <w:r>
        <w:rPr>
          <w:rFonts w:hint="eastAsia" w:ascii="宋体" w:hAnsi="宋体" w:cs="Calibri"/>
          <w:kern w:val="0"/>
          <w:highlight w:val="none"/>
        </w:rPr>
        <w:t xml:space="preserve">.4 </w:t>
      </w:r>
      <w:r>
        <w:rPr>
          <w:rFonts w:hint="eastAsia" w:ascii="宋体" w:hAnsi="宋体"/>
          <w:kern w:val="0"/>
          <w:highlight w:val="none"/>
        </w:rPr>
        <w:t>修正后的最终投标报价仅作为签订合同的一个依据，不参与评标价得分的计算。</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4</w:t>
      </w:r>
      <w:r>
        <w:rPr>
          <w:rFonts w:hint="eastAsia" w:ascii="宋体" w:hAnsi="宋体" w:cs="黑体"/>
          <w:b/>
          <w:bCs/>
          <w:kern w:val="0"/>
          <w:sz w:val="24"/>
          <w:szCs w:val="24"/>
          <w:highlight w:val="none"/>
        </w:rPr>
        <w:t xml:space="preserve"> 第二个信封详细评审</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cs="Calibri"/>
          <w:kern w:val="0"/>
          <w:highlight w:val="none"/>
        </w:rPr>
        <w:t>3.</w:t>
      </w:r>
      <w:r>
        <w:rPr>
          <w:rFonts w:hint="eastAsia" w:ascii="宋体" w:hAnsi="宋体" w:cs="Calibri"/>
          <w:kern w:val="0"/>
          <w:highlight w:val="none"/>
          <w:lang w:val="en-US" w:eastAsia="zh-CN"/>
        </w:rPr>
        <w:t>4</w:t>
      </w:r>
      <w:r>
        <w:rPr>
          <w:rFonts w:hint="eastAsia" w:ascii="宋体" w:hAnsi="宋体" w:cs="Calibri"/>
          <w:kern w:val="0"/>
          <w:highlight w:val="none"/>
        </w:rPr>
        <w:t xml:space="preserve">.1 </w:t>
      </w:r>
      <w:r>
        <w:rPr>
          <w:rFonts w:hint="eastAsia" w:ascii="宋体" w:hAnsi="宋体"/>
          <w:kern w:val="0"/>
          <w:highlight w:val="none"/>
        </w:rPr>
        <w:t>评标委员会按本章第</w:t>
      </w:r>
      <w:r>
        <w:rPr>
          <w:rFonts w:hint="eastAsia" w:ascii="宋体" w:hAnsi="宋体" w:cs="Calibri"/>
          <w:kern w:val="0"/>
          <w:highlight w:val="none"/>
        </w:rPr>
        <w:t xml:space="preserve">2.2.4 </w:t>
      </w:r>
      <w:r>
        <w:rPr>
          <w:rFonts w:hint="eastAsia" w:ascii="宋体" w:hAnsi="宋体"/>
          <w:kern w:val="0"/>
          <w:highlight w:val="none"/>
        </w:rPr>
        <w:t>项（</w:t>
      </w:r>
      <w:r>
        <w:rPr>
          <w:rFonts w:hint="eastAsia" w:ascii="宋体" w:hAnsi="宋体" w:cs="Calibri"/>
          <w:kern w:val="0"/>
          <w:highlight w:val="none"/>
          <w:lang w:val="en-US" w:eastAsia="zh-CN"/>
        </w:rPr>
        <w:t>1</w:t>
      </w:r>
      <w:r>
        <w:rPr>
          <w:rFonts w:hint="eastAsia" w:ascii="宋体" w:hAnsi="宋体"/>
          <w:kern w:val="0"/>
          <w:highlight w:val="none"/>
        </w:rPr>
        <w:t>）目规定的评审因素和分值对评标价计算出得分</w:t>
      </w:r>
      <w:r>
        <w:rPr>
          <w:rFonts w:hint="eastAsia" w:ascii="宋体" w:hAnsi="宋体" w:cs="Calibri"/>
          <w:kern w:val="0"/>
          <w:highlight w:val="none"/>
        </w:rPr>
        <w:t>C</w:t>
      </w:r>
      <w:r>
        <w:rPr>
          <w:rFonts w:hint="eastAsia" w:ascii="宋体" w:hAnsi="宋体"/>
          <w:kern w:val="0"/>
          <w:highlight w:val="none"/>
        </w:rPr>
        <w:t>。评标价得分分值计算保留小数点后</w:t>
      </w:r>
      <w:r>
        <w:rPr>
          <w:rFonts w:hint="eastAsia" w:ascii="宋体" w:hAnsi="宋体"/>
          <w:kern w:val="0"/>
          <w:highlight w:val="none"/>
          <w:lang w:val="en-US" w:eastAsia="zh-CN"/>
        </w:rPr>
        <w:t>四</w:t>
      </w:r>
      <w:r>
        <w:rPr>
          <w:rFonts w:hint="eastAsia" w:ascii="宋体" w:hAnsi="宋体"/>
          <w:kern w:val="0"/>
          <w:highlight w:val="none"/>
        </w:rPr>
        <w:t>位，小数点后第</w:t>
      </w:r>
      <w:r>
        <w:rPr>
          <w:rFonts w:hint="eastAsia" w:ascii="宋体" w:hAnsi="宋体"/>
          <w:kern w:val="0"/>
          <w:highlight w:val="none"/>
          <w:lang w:val="en-US" w:eastAsia="zh-CN"/>
        </w:rPr>
        <w:t>五</w:t>
      </w:r>
      <w:r>
        <w:rPr>
          <w:rFonts w:hint="eastAsia" w:ascii="宋体" w:hAnsi="宋体"/>
          <w:kern w:val="0"/>
          <w:highlight w:val="none"/>
        </w:rPr>
        <w:t>位</w:t>
      </w:r>
      <w:r>
        <w:rPr>
          <w:rFonts w:hint="eastAsia" w:ascii="宋体" w:hAnsi="宋体" w:cs="Calibri"/>
          <w:kern w:val="0"/>
          <w:highlight w:val="none"/>
        </w:rPr>
        <w:t>“</w:t>
      </w:r>
      <w:r>
        <w:rPr>
          <w:rFonts w:hint="eastAsia" w:ascii="宋体" w:hAnsi="宋体"/>
          <w:kern w:val="0"/>
          <w:highlight w:val="none"/>
        </w:rPr>
        <w:t>四舍五入</w:t>
      </w:r>
      <w:r>
        <w:rPr>
          <w:rFonts w:hint="eastAsia" w:ascii="宋体" w:hAnsi="宋体" w:cs="Calibri"/>
          <w:kern w:val="0"/>
          <w:highlight w:val="none"/>
        </w:rPr>
        <w:t>”</w:t>
      </w:r>
      <w:r>
        <w:rPr>
          <w:rFonts w:hint="eastAsia" w:ascii="宋体" w:hAnsi="宋体"/>
          <w:kern w:val="0"/>
          <w:highlight w:val="none"/>
        </w:rPr>
        <w:t>。</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4</w:t>
      </w:r>
      <w:r>
        <w:rPr>
          <w:rFonts w:hint="eastAsia" w:ascii="宋体" w:hAnsi="宋体" w:cs="Calibri"/>
          <w:kern w:val="0"/>
          <w:highlight w:val="none"/>
        </w:rPr>
        <w:t xml:space="preserve">.2 </w:t>
      </w:r>
      <w:r>
        <w:rPr>
          <w:rFonts w:hint="eastAsia" w:ascii="宋体" w:hAnsi="宋体"/>
          <w:kern w:val="0"/>
          <w:highlight w:val="none"/>
        </w:rPr>
        <w:t>投标人综合得分</w:t>
      </w:r>
      <w:r>
        <w:rPr>
          <w:rFonts w:hint="eastAsia" w:ascii="宋体" w:hAnsi="宋体" w:cs="Calibri"/>
          <w:kern w:val="0"/>
          <w:highlight w:val="none"/>
        </w:rPr>
        <w:t>=</w:t>
      </w:r>
      <w:r>
        <w:rPr>
          <w:rFonts w:hint="eastAsia" w:ascii="宋体" w:hAnsi="宋体"/>
          <w:kern w:val="0"/>
          <w:highlight w:val="none"/>
        </w:rPr>
        <w:t>投标人的商务和技术得分</w:t>
      </w:r>
      <w:r>
        <w:rPr>
          <w:rFonts w:hint="eastAsia" w:ascii="宋体" w:hAnsi="宋体" w:cs="Calibri"/>
          <w:kern w:val="0"/>
          <w:highlight w:val="none"/>
        </w:rPr>
        <w:t>+C</w:t>
      </w:r>
      <w:r>
        <w:rPr>
          <w:rFonts w:hint="eastAsia" w:ascii="宋体" w:hAnsi="宋体"/>
          <w:kern w:val="0"/>
          <w:highlight w:val="none"/>
        </w:rPr>
        <w:t>。</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4</w:t>
      </w:r>
      <w:r>
        <w:rPr>
          <w:rFonts w:hint="eastAsia" w:ascii="宋体" w:hAnsi="宋体" w:cs="Calibri"/>
          <w:kern w:val="0"/>
          <w:highlight w:val="none"/>
        </w:rPr>
        <w:t xml:space="preserve">.3 </w:t>
      </w:r>
      <w:r>
        <w:rPr>
          <w:rFonts w:hint="eastAsia" w:ascii="宋体" w:hAnsi="宋体"/>
          <w:kern w:val="0"/>
          <w:highlight w:val="none"/>
        </w:rPr>
        <w:t>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5</w:t>
      </w:r>
      <w:r>
        <w:rPr>
          <w:rFonts w:hint="eastAsia" w:ascii="宋体" w:hAnsi="宋体" w:cs="黑体"/>
          <w:b/>
          <w:bCs/>
          <w:kern w:val="0"/>
          <w:sz w:val="24"/>
          <w:szCs w:val="24"/>
          <w:highlight w:val="none"/>
        </w:rPr>
        <w:t xml:space="preserve"> 投标文件相关信息的核查</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3.</w:t>
      </w:r>
      <w:r>
        <w:rPr>
          <w:rFonts w:hint="eastAsia" w:ascii="宋体" w:hAnsi="宋体"/>
          <w:kern w:val="0"/>
          <w:szCs w:val="21"/>
          <w:highlight w:val="none"/>
          <w:lang w:val="en-US" w:eastAsia="zh-CN"/>
        </w:rPr>
        <w:t>5</w:t>
      </w:r>
      <w:r>
        <w:rPr>
          <w:rFonts w:hint="eastAsia" w:ascii="宋体" w:hAnsi="宋体"/>
          <w:kern w:val="0"/>
          <w:szCs w:val="21"/>
          <w:highlight w:val="none"/>
        </w:rPr>
        <w:t>.1 在评标过程中，评标委员会应对投标人的资质、业绩、主要人员资历和目前在岗情况、信用等级等信息进行核实。若投标文件载明的信息使得投标人的资格条件不符合招标文件规定的，评标委员会应否决其投标。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5</w:t>
      </w:r>
      <w:r>
        <w:rPr>
          <w:rFonts w:hint="eastAsia" w:ascii="宋体" w:hAnsi="宋体" w:cs="Calibri"/>
          <w:kern w:val="0"/>
          <w:highlight w:val="none"/>
        </w:rPr>
        <w:t xml:space="preserve">.2 </w:t>
      </w:r>
      <w:r>
        <w:rPr>
          <w:rFonts w:hint="eastAsia" w:ascii="宋体" w:hAnsi="宋体"/>
          <w:kern w:val="0"/>
          <w:highlight w:val="none"/>
        </w:rPr>
        <w:t>评标委员会应对在评标过程中发现的投标人与投标人之间、投标人与招标人之间存在的串通投标的情形进行评审和认定。投标人存在串通投标、弄虚作假、行贿等违法行为的，评标委员会应否决其投标。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cs="Calibri"/>
          <w:kern w:val="0"/>
          <w:highlight w:val="none"/>
        </w:rPr>
        <w:t>1</w:t>
      </w:r>
      <w:r>
        <w:rPr>
          <w:rFonts w:hint="eastAsia" w:ascii="宋体" w:hAnsi="宋体"/>
          <w:kern w:val="0"/>
          <w:highlight w:val="none"/>
        </w:rPr>
        <w:t>）有下列情形之一的，属于投标人相互串通投标：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a.</w:t>
      </w:r>
      <w:r>
        <w:rPr>
          <w:rFonts w:hint="eastAsia" w:ascii="宋体" w:hAnsi="宋体"/>
          <w:kern w:val="0"/>
          <w:highlight w:val="none"/>
        </w:rPr>
        <w:t>投标人之间协商投标报价等投标文件的实质性内容；</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b.</w:t>
      </w:r>
      <w:r>
        <w:rPr>
          <w:rFonts w:hint="eastAsia" w:ascii="宋体" w:hAnsi="宋体"/>
          <w:kern w:val="0"/>
          <w:highlight w:val="none"/>
        </w:rPr>
        <w:t>投标人之间约定中标人；</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c.</w:t>
      </w:r>
      <w:r>
        <w:rPr>
          <w:rFonts w:hint="eastAsia" w:ascii="宋体" w:hAnsi="宋体"/>
          <w:kern w:val="0"/>
          <w:highlight w:val="none"/>
        </w:rPr>
        <w:t>投标人之间约定部分投标人放弃投标或中标；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d.</w:t>
      </w:r>
      <w:r>
        <w:rPr>
          <w:rFonts w:hint="eastAsia" w:ascii="宋体" w:hAnsi="宋体"/>
          <w:kern w:val="0"/>
          <w:highlight w:val="none"/>
        </w:rPr>
        <w:t>属于同一集团、协会、商会等组织成员的投标人按照该组织要求协同投标；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e.</w:t>
      </w:r>
      <w:r>
        <w:rPr>
          <w:rFonts w:hint="eastAsia" w:ascii="宋体" w:hAnsi="宋体"/>
          <w:kern w:val="0"/>
          <w:highlight w:val="none"/>
        </w:rPr>
        <w:t>投标人之间为谋取中标或排斥特定投标人而采取的其他联合行动。</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cs="Calibri"/>
          <w:kern w:val="0"/>
          <w:highlight w:val="none"/>
        </w:rPr>
        <w:t>2</w:t>
      </w:r>
      <w:r>
        <w:rPr>
          <w:rFonts w:hint="eastAsia" w:ascii="宋体" w:hAnsi="宋体"/>
          <w:kern w:val="0"/>
          <w:highlight w:val="none"/>
        </w:rPr>
        <w:t>）有下列情形之一的，视为投标人相互串通投标：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a.</w:t>
      </w:r>
      <w:r>
        <w:rPr>
          <w:rFonts w:hint="eastAsia" w:ascii="宋体" w:hAnsi="宋体"/>
          <w:kern w:val="0"/>
          <w:highlight w:val="none"/>
        </w:rPr>
        <w:t>不同投标人的投标文件由同一单位或个人编制；</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b.</w:t>
      </w:r>
      <w:r>
        <w:rPr>
          <w:rFonts w:hint="eastAsia" w:ascii="宋体" w:hAnsi="宋体"/>
          <w:kern w:val="0"/>
          <w:highlight w:val="none"/>
        </w:rPr>
        <w:t>不同投标人委托同一单位或个人办理投标事宜；</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c.</w:t>
      </w:r>
      <w:r>
        <w:rPr>
          <w:rFonts w:hint="eastAsia" w:ascii="宋体" w:hAnsi="宋体"/>
          <w:kern w:val="0"/>
          <w:highlight w:val="none"/>
        </w:rPr>
        <w:t>不同投标人的投标文件载明的项目管理成员为同一人；</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d.</w:t>
      </w:r>
      <w:r>
        <w:rPr>
          <w:rFonts w:hint="eastAsia" w:ascii="宋体" w:hAnsi="宋体"/>
          <w:kern w:val="0"/>
          <w:highlight w:val="none"/>
        </w:rPr>
        <w:t>不同投标人的投标文件异常一致或投标报价呈规律性差异；</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e.</w:t>
      </w:r>
      <w:r>
        <w:rPr>
          <w:rFonts w:hint="eastAsia" w:ascii="宋体" w:hAnsi="宋体"/>
          <w:kern w:val="0"/>
          <w:highlight w:val="none"/>
        </w:rPr>
        <w:t>不同投标人的投标文件相互混装；</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f.</w:t>
      </w:r>
      <w:r>
        <w:rPr>
          <w:rFonts w:hint="eastAsia" w:ascii="宋体" w:hAnsi="宋体"/>
          <w:kern w:val="0"/>
          <w:highlight w:val="none"/>
        </w:rPr>
        <w:t>不同投标人的投标保证金从同一单位或个人的账户转出。</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cs="Calibri"/>
          <w:kern w:val="0"/>
          <w:highlight w:val="none"/>
        </w:rPr>
        <w:t>3</w:t>
      </w:r>
      <w:r>
        <w:rPr>
          <w:rFonts w:hint="eastAsia" w:ascii="宋体" w:hAnsi="宋体"/>
          <w:kern w:val="0"/>
          <w:highlight w:val="none"/>
        </w:rPr>
        <w:t>）有下列情形之一的，属于招标人与投标人串通投标：</w:t>
      </w:r>
    </w:p>
    <w:p>
      <w:pPr>
        <w:autoSpaceDE w:val="0"/>
        <w:autoSpaceDN w:val="0"/>
        <w:adjustRightInd w:val="0"/>
        <w:spacing w:line="360" w:lineRule="auto"/>
        <w:ind w:firstLine="420" w:firstLineChars="200"/>
        <w:jc w:val="left"/>
        <w:rPr>
          <w:rFonts w:hint="eastAsia" w:ascii="宋体" w:hAnsi="宋体" w:cs="Calibri"/>
          <w:kern w:val="0"/>
          <w:highlight w:val="none"/>
        </w:rPr>
      </w:pPr>
      <w:r>
        <w:rPr>
          <w:rFonts w:hint="eastAsia" w:ascii="宋体" w:hAnsi="宋体" w:cs="Calibri"/>
          <w:kern w:val="0"/>
          <w:highlight w:val="none"/>
        </w:rPr>
        <w:t>a.</w:t>
      </w:r>
      <w:r>
        <w:rPr>
          <w:rFonts w:hint="eastAsia" w:ascii="宋体" w:hAnsi="宋体"/>
          <w:kern w:val="0"/>
          <w:highlight w:val="none"/>
        </w:rPr>
        <w:t>招标人在开标前开启投标文件并将有关信息泄露给其他投标人</w:t>
      </w:r>
      <w:r>
        <w:rPr>
          <w:rFonts w:hint="eastAsia" w:ascii="宋体" w:hAnsi="宋体" w:cs="Calibri"/>
          <w:kern w:val="0"/>
          <w:highlight w:val="none"/>
        </w:rPr>
        <w:t>;</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b.</w:t>
      </w:r>
      <w:r>
        <w:rPr>
          <w:rFonts w:hint="eastAsia" w:ascii="宋体" w:hAnsi="宋体"/>
          <w:kern w:val="0"/>
          <w:highlight w:val="none"/>
        </w:rPr>
        <w:t>招标人直接或间接向投标人泄露标底、评标委员会成员等信息；</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c.</w:t>
      </w:r>
      <w:r>
        <w:rPr>
          <w:rFonts w:hint="eastAsia" w:ascii="宋体" w:hAnsi="宋体"/>
          <w:kern w:val="0"/>
          <w:highlight w:val="none"/>
        </w:rPr>
        <w:t>招标人明示或暗示投标人压低或抬高投标报价；</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d.</w:t>
      </w:r>
      <w:r>
        <w:rPr>
          <w:rFonts w:hint="eastAsia" w:ascii="宋体" w:hAnsi="宋体"/>
          <w:kern w:val="0"/>
          <w:highlight w:val="none"/>
        </w:rPr>
        <w:t>招标人授意投标人撤换、修改投标文件；</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e.</w:t>
      </w:r>
      <w:r>
        <w:rPr>
          <w:rFonts w:hint="eastAsia" w:ascii="宋体" w:hAnsi="宋体"/>
          <w:kern w:val="0"/>
          <w:highlight w:val="none"/>
        </w:rPr>
        <w:t>招标人明示或暗示投标人为特定投标人中标提供方便；</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f.</w:t>
      </w:r>
      <w:r>
        <w:rPr>
          <w:rFonts w:hint="eastAsia" w:ascii="宋体" w:hAnsi="宋体"/>
          <w:kern w:val="0"/>
          <w:highlight w:val="none"/>
        </w:rPr>
        <w:t>招标人与投标人为谋求特定投标人中标而采取的其他串通行为。</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cs="Calibri"/>
          <w:kern w:val="0"/>
          <w:highlight w:val="none"/>
        </w:rPr>
        <w:t>4</w:t>
      </w:r>
      <w:r>
        <w:rPr>
          <w:rFonts w:hint="eastAsia" w:ascii="宋体" w:hAnsi="宋体"/>
          <w:kern w:val="0"/>
          <w:highlight w:val="none"/>
        </w:rPr>
        <w:t>）投标人有下列情形之一的，属于弄虚作假的行为：</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a.</w:t>
      </w:r>
      <w:r>
        <w:rPr>
          <w:rFonts w:hint="eastAsia" w:ascii="宋体" w:hAnsi="宋体"/>
          <w:kern w:val="0"/>
          <w:highlight w:val="none"/>
        </w:rPr>
        <w:t>使用通过受让或租借等方式获取的资格、资质证书投标；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b.</w:t>
      </w:r>
      <w:r>
        <w:rPr>
          <w:rFonts w:hint="eastAsia" w:ascii="宋体" w:hAnsi="宋体"/>
          <w:kern w:val="0"/>
          <w:highlight w:val="none"/>
        </w:rPr>
        <w:t>使用伪造、变造的许可证件；</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c.</w:t>
      </w:r>
      <w:r>
        <w:rPr>
          <w:rFonts w:hint="eastAsia" w:ascii="宋体" w:hAnsi="宋体"/>
          <w:kern w:val="0"/>
          <w:highlight w:val="none"/>
        </w:rPr>
        <w:t>提供虚假的业绩；</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d.</w:t>
      </w:r>
      <w:r>
        <w:rPr>
          <w:rFonts w:hint="eastAsia" w:ascii="宋体" w:hAnsi="宋体"/>
          <w:kern w:val="0"/>
          <w:highlight w:val="none"/>
        </w:rPr>
        <w:t>提供虚假的项目负责人或主要技术人员简历、劳动关系证明；</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e.</w:t>
      </w:r>
      <w:r>
        <w:rPr>
          <w:rFonts w:hint="eastAsia" w:ascii="宋体" w:hAnsi="宋体"/>
          <w:kern w:val="0"/>
          <w:highlight w:val="none"/>
        </w:rPr>
        <w:t>提供虚假的信用状况；</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f.</w:t>
      </w:r>
      <w:r>
        <w:rPr>
          <w:rFonts w:hint="eastAsia" w:ascii="宋体" w:hAnsi="宋体"/>
          <w:kern w:val="0"/>
          <w:highlight w:val="none"/>
        </w:rPr>
        <w:t>其他弄虚作假的行为。</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6</w:t>
      </w:r>
      <w:r>
        <w:rPr>
          <w:rFonts w:hint="eastAsia" w:ascii="宋体" w:hAnsi="宋体" w:cs="黑体"/>
          <w:b/>
          <w:bCs/>
          <w:kern w:val="0"/>
          <w:sz w:val="24"/>
          <w:szCs w:val="24"/>
          <w:highlight w:val="none"/>
        </w:rPr>
        <w:t xml:space="preserve"> 投标文件的澄清和说明</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cs="Calibri"/>
          <w:kern w:val="0"/>
          <w:highlight w:val="none"/>
        </w:rPr>
        <w:t>3.</w:t>
      </w:r>
      <w:r>
        <w:rPr>
          <w:rFonts w:hint="eastAsia" w:ascii="宋体" w:hAnsi="宋体" w:cs="Calibri"/>
          <w:kern w:val="0"/>
          <w:highlight w:val="none"/>
          <w:lang w:val="en-US" w:eastAsia="zh-CN"/>
        </w:rPr>
        <w:t>6</w:t>
      </w:r>
      <w:r>
        <w:rPr>
          <w:rFonts w:hint="eastAsia" w:ascii="宋体" w:hAnsi="宋体" w:cs="Calibri"/>
          <w:kern w:val="0"/>
          <w:highlight w:val="none"/>
        </w:rPr>
        <w:t xml:space="preserve">.1 </w:t>
      </w:r>
      <w:r>
        <w:rPr>
          <w:rFonts w:hint="eastAsia" w:ascii="宋体" w:hAnsi="宋体"/>
          <w:kern w:val="0"/>
          <w:highlight w:val="none"/>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6</w:t>
      </w:r>
      <w:r>
        <w:rPr>
          <w:rFonts w:hint="eastAsia" w:ascii="宋体" w:hAnsi="宋体" w:cs="Calibri"/>
          <w:kern w:val="0"/>
          <w:highlight w:val="none"/>
        </w:rPr>
        <w:t xml:space="preserve">.2 </w:t>
      </w:r>
      <w:r>
        <w:rPr>
          <w:rFonts w:hint="eastAsia" w:ascii="宋体" w:hAnsi="宋体"/>
          <w:kern w:val="0"/>
          <w:highlight w:val="none"/>
        </w:rPr>
        <w:t>澄清和说明不得超出投标文件的范围或改变投标文件的实质性内容（算术性错误的修正除外）。投标人的书面澄清、说明属于投标文件的组成部分。</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6</w:t>
      </w:r>
      <w:r>
        <w:rPr>
          <w:rFonts w:hint="eastAsia" w:ascii="宋体" w:hAnsi="宋体" w:cs="Calibri"/>
          <w:kern w:val="0"/>
          <w:highlight w:val="none"/>
        </w:rPr>
        <w:t xml:space="preserve">.3 </w:t>
      </w:r>
      <w:r>
        <w:rPr>
          <w:rFonts w:hint="eastAsia" w:ascii="宋体" w:hAnsi="宋体"/>
          <w:kern w:val="0"/>
          <w:highlight w:val="none"/>
        </w:rPr>
        <w:t>评标委员会不得暗示或诱导投标人作出澄清、说明，对投标人提交的澄清、说明有疑问的，可以要求投标人进一步澄清或说明，直至满足评标委员会的要求。</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6</w:t>
      </w:r>
      <w:r>
        <w:rPr>
          <w:rFonts w:hint="eastAsia" w:ascii="宋体" w:hAnsi="宋体" w:cs="Calibri"/>
          <w:kern w:val="0"/>
          <w:highlight w:val="none"/>
        </w:rPr>
        <w:t xml:space="preserve">.4 </w:t>
      </w:r>
      <w:r>
        <w:rPr>
          <w:rFonts w:hint="eastAsia" w:ascii="宋体" w:hAnsi="宋体"/>
          <w:kern w:val="0"/>
          <w:highlight w:val="none"/>
        </w:rPr>
        <w:t>凡超出招标文件规定的或给发包人带来未曾要求的利益的变化、偏差或其他因素在评标时不予考虑。</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7</w:t>
      </w:r>
      <w:r>
        <w:rPr>
          <w:rFonts w:hint="eastAsia" w:ascii="宋体" w:hAnsi="宋体" w:cs="黑体"/>
          <w:b/>
          <w:bCs/>
          <w:kern w:val="0"/>
          <w:sz w:val="24"/>
          <w:szCs w:val="24"/>
          <w:highlight w:val="none"/>
        </w:rPr>
        <w:t xml:space="preserve"> 不得否决投标的情形</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color w:val="000000"/>
          <w:szCs w:val="21"/>
          <w:highlight w:val="none"/>
        </w:rPr>
        <w:t>投标文件</w:t>
      </w:r>
      <w:r>
        <w:rPr>
          <w:rFonts w:hint="eastAsia" w:ascii="宋体" w:hAnsi="宋体"/>
          <w:kern w:val="0"/>
          <w:szCs w:val="21"/>
          <w:highlight w:val="none"/>
        </w:rPr>
        <w:t>存在</w:t>
      </w:r>
      <w:r>
        <w:rPr>
          <w:rFonts w:hint="eastAsia" w:ascii="宋体" w:hAnsi="宋体"/>
          <w:color w:val="000000"/>
          <w:szCs w:val="21"/>
          <w:highlight w:val="none"/>
        </w:rPr>
        <w:t>页码不连续、采用活页夹装订、个别文字有遗漏错误等不影响投标文件实质性内容的偏差</w:t>
      </w:r>
      <w:r>
        <w:rPr>
          <w:rFonts w:hint="eastAsia" w:ascii="宋体" w:hAnsi="宋体"/>
          <w:kern w:val="0"/>
          <w:highlight w:val="none"/>
        </w:rPr>
        <w:t>的，视为细微偏差，评标委员会不得否决投标人的投标。</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8</w:t>
      </w:r>
      <w:r>
        <w:rPr>
          <w:rFonts w:hint="eastAsia" w:ascii="宋体" w:hAnsi="宋体" w:cs="黑体"/>
          <w:b/>
          <w:bCs/>
          <w:kern w:val="0"/>
          <w:sz w:val="24"/>
          <w:szCs w:val="24"/>
          <w:highlight w:val="none"/>
        </w:rPr>
        <w:t xml:space="preserve"> 评标结果</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cs="Calibri"/>
          <w:kern w:val="0"/>
          <w:highlight w:val="none"/>
        </w:rPr>
        <w:t>3.</w:t>
      </w:r>
      <w:r>
        <w:rPr>
          <w:rFonts w:hint="eastAsia" w:ascii="宋体" w:hAnsi="宋体" w:cs="Calibri"/>
          <w:kern w:val="0"/>
          <w:highlight w:val="none"/>
          <w:lang w:val="en-US" w:eastAsia="zh-CN"/>
        </w:rPr>
        <w:t>8</w:t>
      </w:r>
      <w:r>
        <w:rPr>
          <w:rFonts w:hint="eastAsia" w:ascii="宋体" w:hAnsi="宋体" w:cs="Calibri"/>
          <w:kern w:val="0"/>
          <w:highlight w:val="none"/>
        </w:rPr>
        <w:t xml:space="preserve">.1 </w:t>
      </w:r>
      <w:r>
        <w:rPr>
          <w:rFonts w:hint="eastAsia" w:ascii="宋体" w:hAnsi="宋体"/>
          <w:kern w:val="0"/>
          <w:highlight w:val="none"/>
        </w:rPr>
        <w:t>除第二章“投标人须知”前附表授权直接确定中标人外，评标委员会按照得分由高到低的顺序推荐中标候选人，并标明排序。</w:t>
      </w:r>
    </w:p>
    <w:p>
      <w:pPr>
        <w:widowControl/>
        <w:spacing w:line="360" w:lineRule="auto"/>
        <w:ind w:firstLine="420" w:firstLineChars="200"/>
        <w:jc w:val="left"/>
        <w:rPr>
          <w:rFonts w:hint="eastAsia" w:ascii="宋体" w:hAnsi="宋体"/>
          <w:highlight w:val="none"/>
        </w:rPr>
      </w:pPr>
      <w:r>
        <w:rPr>
          <w:rFonts w:hint="eastAsia" w:ascii="宋体" w:hAnsi="宋体" w:cs="Calibri"/>
          <w:kern w:val="0"/>
          <w:highlight w:val="none"/>
        </w:rPr>
        <w:t>3.</w:t>
      </w:r>
      <w:r>
        <w:rPr>
          <w:rFonts w:hint="eastAsia" w:ascii="宋体" w:hAnsi="宋体" w:cs="Calibri"/>
          <w:kern w:val="0"/>
          <w:highlight w:val="none"/>
          <w:lang w:val="en-US" w:eastAsia="zh-CN"/>
        </w:rPr>
        <w:t>8</w:t>
      </w:r>
      <w:r>
        <w:rPr>
          <w:rFonts w:hint="eastAsia" w:ascii="宋体" w:hAnsi="宋体" w:cs="Calibri"/>
          <w:kern w:val="0"/>
          <w:highlight w:val="none"/>
        </w:rPr>
        <w:t xml:space="preserve">.2 </w:t>
      </w:r>
      <w:r>
        <w:rPr>
          <w:rFonts w:hint="eastAsia" w:ascii="宋体" w:hAnsi="宋体"/>
          <w:kern w:val="0"/>
          <w:highlight w:val="none"/>
        </w:rPr>
        <w:t>评标委员会完成评标后，应向招标人提交书面评标报告。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简体">
    <w:altName w:val="宋体"/>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Futura Bk">
    <w:altName w:val="Lucida Sans Unicode"/>
    <w:panose1 w:val="020B0502020204020303"/>
    <w:charset w:val="00"/>
    <w:family w:val="swiss"/>
    <w:pitch w:val="default"/>
    <w:sig w:usb0="00000000" w:usb1="00000000" w:usb2="00000000" w:usb3="00000000" w:csb0="000000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華康中楷體">
    <w:altName w:val="Microsoft JhengHei"/>
    <w:panose1 w:val="00000000000000000000"/>
    <w:charset w:val="88"/>
    <w:family w:val="modern"/>
    <w:pitch w:val="default"/>
    <w:sig w:usb0="00000000" w:usb1="00000000" w:usb2="00000010" w:usb3="00000000" w:csb0="00100000" w:csb1="00000000"/>
  </w:font>
  <w:font w:name="全真簡中楷">
    <w:altName w:val="宋体"/>
    <w:panose1 w:val="00000000000000000000"/>
    <w:charset w:val="88"/>
    <w:family w:val="modern"/>
    <w:pitch w:val="default"/>
    <w:sig w:usb0="00000000" w:usb1="00000000" w:usb2="00000010" w:usb3="00000000" w:csb0="00100000" w:csb1="00000000"/>
  </w:font>
  <w:font w:name="Noto Sans CJK JP Regular">
    <w:altName w:val="Arial"/>
    <w:panose1 w:val="00000000000000000000"/>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TimesNewRomanPSMT">
    <w:altName w:val="Times New Roman"/>
    <w:panose1 w:val="00000000000000000000"/>
    <w:charset w:val="00"/>
    <w:family w:val="roman"/>
    <w:pitch w:val="default"/>
    <w:sig w:usb0="00000000" w:usb1="00000000" w:usb2="00000000" w:usb3="00000000" w:csb0="00000001" w:csb1="00000000"/>
  </w:font>
  <w:font w:name="Calibri">
    <w:panose1 w:val="020F0502020204030204"/>
    <w:charset w:val="86"/>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1" w:csb1="00000000"/>
  </w:font>
  <w:font w:name="SimSun-Identity-H">
    <w:altName w:val="MS Gothic"/>
    <w:panose1 w:val="00000000000000000000"/>
    <w:charset w:val="80"/>
    <w:family w:val="auto"/>
    <w:pitch w:val="default"/>
    <w:sig w:usb0="00000000" w:usb1="00000000" w:usb2="00000010" w:usb3="00000000" w:csb0="00020000" w:csb1="0000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path/>
              <v:fill on="f" focussize="0,0"/>
              <v:stroke on="f"/>
              <v:imagedata o:title=""/>
              <o:lock v:ext="edit" aspectratio="f"/>
              <v:textbox inset="0mm,0mm,0mm,0mm" style="mso-fit-shape-to-text:t;">
                <w:txbxContent>
                  <w:p>
                    <w:pPr>
                      <w:pStyle w:val="7"/>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D7A8B5"/>
    <w:multiLevelType w:val="singleLevel"/>
    <w:tmpl w:val="FFD7A8B5"/>
    <w:lvl w:ilvl="0" w:tentative="0">
      <w:start w:val="1"/>
      <w:numFmt w:val="decimal"/>
      <w:suff w:val="nothing"/>
      <w:lvlText w:val="%1、"/>
      <w:lvlJc w:val="left"/>
    </w:lvl>
  </w:abstractNum>
  <w:abstractNum w:abstractNumId="1">
    <w:nsid w:val="00000004"/>
    <w:multiLevelType w:val="multilevel"/>
    <w:tmpl w:val="00000004"/>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931FA"/>
    <w:rsid w:val="17D931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10">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after="120" w:afterLines="0"/>
    </w:pPr>
  </w:style>
  <w:style w:type="paragraph" w:styleId="3">
    <w:name w:val="Body Text First Indent"/>
    <w:basedOn w:val="2"/>
    <w:uiPriority w:val="0"/>
    <w:pPr>
      <w:widowControl w:val="0"/>
      <w:spacing w:line="312" w:lineRule="auto"/>
      <w:ind w:firstLine="420"/>
      <w:jc w:val="both"/>
    </w:pPr>
    <w:rPr>
      <w:rFonts w:ascii="Calibri" w:hAnsi="Calibri"/>
      <w:kern w:val="2"/>
      <w:szCs w:val="24"/>
    </w:rPr>
  </w:style>
  <w:style w:type="paragraph" w:styleId="4">
    <w:name w:val="Normal Indent"/>
    <w:basedOn w:val="1"/>
    <w:next w:val="1"/>
    <w:uiPriority w:val="0"/>
    <w:pPr>
      <w:adjustRightInd w:val="0"/>
      <w:spacing w:line="300" w:lineRule="auto"/>
      <w:ind w:firstLine="420"/>
      <w:textAlignment w:val="baseline"/>
    </w:pPr>
    <w:rPr>
      <w:rFonts w:ascii="Times New Roman" w:hAnsi="Times New Roman"/>
      <w:kern w:val="0"/>
      <w:szCs w:val="20"/>
    </w:rPr>
  </w:style>
  <w:style w:type="paragraph" w:styleId="5">
    <w:name w:val="Body Text Indent"/>
    <w:basedOn w:val="1"/>
    <w:uiPriority w:val="0"/>
    <w:pPr>
      <w:spacing w:after="120" w:afterLines="0"/>
      <w:ind w:left="420" w:leftChars="200"/>
    </w:pPr>
  </w:style>
  <w:style w:type="paragraph" w:styleId="6">
    <w:name w:val="Plain Text"/>
    <w:basedOn w:val="1"/>
    <w:uiPriority w:val="0"/>
    <w:rPr>
      <w:rFonts w:ascii="宋体" w:hAnsi="Courier New"/>
      <w:szCs w:val="20"/>
    </w:rPr>
  </w:style>
  <w:style w:type="paragraph" w:styleId="7">
    <w:name w:val="footer"/>
    <w:basedOn w:val="1"/>
    <w:next w:val="8"/>
    <w:uiPriority w:val="0"/>
    <w:rPr>
      <w:rFonts w:cs="Times New Roman"/>
      <w:color w:val="auto"/>
    </w:rPr>
  </w:style>
  <w:style w:type="paragraph" w:customStyle="1" w:styleId="8">
    <w:name w:val="Default"/>
    <w:uiPriority w:val="0"/>
    <w:pPr>
      <w:widowControl w:val="0"/>
      <w:autoSpaceDE w:val="0"/>
      <w:autoSpaceDN w:val="0"/>
      <w:adjustRightInd w:val="0"/>
    </w:pPr>
    <w:rPr>
      <w:rFonts w:ascii="宋体" w:cs="宋体"/>
      <w:color w:val="000000"/>
      <w:sz w:val="24"/>
      <w:szCs w:val="24"/>
      <w:lang w:val="en-US" w:eastAsia="zh-CN" w:bidi="ar-SA"/>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oleObject" Target="embeddings/oleObject11.bin"/><Relationship Id="rId21" Type="http://schemas.openxmlformats.org/officeDocument/2006/relationships/oleObject" Target="embeddings/oleObject10.bin"/><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8.bin"/><Relationship Id="rId17" Type="http://schemas.openxmlformats.org/officeDocument/2006/relationships/oleObject" Target="embeddings/oleObject7.bin"/><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2025-12-12T02:59:00Z</dcterms:created>
  <dc:creator>胡笛</dc:creator>
  <cp:lastModifiedBy>胡笛</cp:lastModifiedBy>
  <dcterms:modified xsi:type="dcterms:W3CDTF">2025-12-12T03:03:15Z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