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F4DED">
      <w:pPr>
        <w:spacing w:after="104"/>
        <w:jc w:val="center"/>
        <w:rPr>
          <w:rFonts w:hint="eastAsia" w:ascii="宋体" w:hAnsi="宋体" w:eastAsia="宋体" w:cs="宋体"/>
          <w:b/>
          <w:bCs/>
          <w:color w:val="auto"/>
          <w:sz w:val="36"/>
          <w:szCs w:val="36"/>
        </w:rPr>
      </w:pPr>
    </w:p>
    <w:p w14:paraId="42213780">
      <w:pPr>
        <w:spacing w:after="72"/>
        <w:ind w:right="66"/>
        <w:jc w:val="right"/>
        <w:rPr>
          <w:rFonts w:hint="eastAsia" w:ascii="宋体" w:hAnsi="宋体" w:eastAsia="宋体" w:cs="宋体"/>
          <w:b/>
          <w:bCs/>
          <w:color w:val="auto"/>
          <w:sz w:val="44"/>
          <w:szCs w:val="44"/>
        </w:rPr>
      </w:pPr>
    </w:p>
    <w:p w14:paraId="3A49828C">
      <w:pPr>
        <w:spacing w:after="72"/>
        <w:ind w:right="66"/>
        <w:jc w:val="center"/>
        <w:rPr>
          <w:rFonts w:hint="eastAsia" w:ascii="宋体" w:hAnsi="宋体" w:eastAsia="宋体" w:cs="宋体"/>
          <w:b/>
          <w:bCs/>
          <w:color w:val="auto"/>
          <w:sz w:val="44"/>
          <w:szCs w:val="44"/>
        </w:rPr>
      </w:pPr>
      <w:r>
        <w:rPr>
          <w:rFonts w:hint="default" w:ascii="宋体" w:hAnsi="宋体" w:eastAsia="宋体" w:cs="宋体"/>
          <w:b/>
          <w:bCs/>
          <w:color w:val="auto"/>
          <w:sz w:val="44"/>
          <w:szCs w:val="44"/>
          <w:lang w:val="en-US" w:eastAsia="zh-CN"/>
        </w:rPr>
        <w:t>吉祥路30号、32号地块改扩建教学楼工程勘察</w:t>
      </w:r>
    </w:p>
    <w:p w14:paraId="638AE89F">
      <w:pPr>
        <w:spacing w:after="72"/>
        <w:ind w:right="66"/>
        <w:jc w:val="center"/>
        <w:rPr>
          <w:rFonts w:hint="eastAsia" w:ascii="宋体" w:hAnsi="宋体" w:eastAsia="宋体" w:cs="宋体"/>
          <w:b/>
          <w:bCs/>
          <w:color w:val="auto"/>
          <w:sz w:val="44"/>
          <w:szCs w:val="44"/>
        </w:rPr>
      </w:pPr>
    </w:p>
    <w:p w14:paraId="4834A50A">
      <w:pPr>
        <w:spacing w:after="72"/>
        <w:ind w:right="66"/>
        <w:jc w:val="right"/>
        <w:rPr>
          <w:rFonts w:ascii="宋体" w:hAnsi="宋体" w:eastAsia="宋体"/>
          <w:color w:val="auto"/>
        </w:rPr>
      </w:pPr>
      <w:r>
        <w:rPr>
          <w:rFonts w:ascii="宋体" w:hAnsi="宋体" w:eastAsia="宋体"/>
          <w:color w:val="auto"/>
          <w:sz w:val="21"/>
        </w:rPr>
        <w:t xml:space="preserve"> </w:t>
      </w:r>
    </w:p>
    <w:p w14:paraId="400489D8">
      <w:pPr>
        <w:spacing w:after="0"/>
        <w:rPr>
          <w:rFonts w:hint="eastAsia" w:ascii="宋体" w:hAnsi="宋体" w:eastAsia="宋体"/>
          <w:color w:val="auto"/>
          <w:sz w:val="28"/>
        </w:rPr>
      </w:pPr>
      <w:r>
        <w:rPr>
          <w:rFonts w:ascii="宋体" w:hAnsi="宋体" w:eastAsia="宋体"/>
          <w:color w:val="auto"/>
          <w:sz w:val="28"/>
        </w:rPr>
        <w:t xml:space="preserve"> </w:t>
      </w:r>
    </w:p>
    <w:p w14:paraId="38CB083A">
      <w:pPr>
        <w:spacing w:after="0"/>
        <w:rPr>
          <w:rFonts w:hint="eastAsia" w:ascii="宋体" w:hAnsi="宋体" w:eastAsia="宋体"/>
          <w:color w:val="auto"/>
        </w:rPr>
      </w:pPr>
    </w:p>
    <w:p w14:paraId="5C101941">
      <w:pPr>
        <w:spacing w:after="0"/>
        <w:rPr>
          <w:rFonts w:hint="eastAsia" w:ascii="宋体" w:hAnsi="宋体" w:eastAsia="宋体"/>
          <w:color w:val="auto"/>
        </w:rPr>
      </w:pPr>
    </w:p>
    <w:p w14:paraId="384EDAAB">
      <w:pPr>
        <w:spacing w:after="0"/>
        <w:rPr>
          <w:rFonts w:hint="eastAsia" w:ascii="宋体" w:hAnsi="宋体" w:eastAsia="宋体"/>
          <w:color w:val="auto"/>
        </w:rPr>
      </w:pPr>
    </w:p>
    <w:p w14:paraId="0420BB45">
      <w:pPr>
        <w:spacing w:after="0"/>
        <w:rPr>
          <w:rFonts w:hint="eastAsia" w:ascii="宋体" w:hAnsi="宋体" w:eastAsia="宋体"/>
          <w:color w:val="auto"/>
        </w:rPr>
      </w:pPr>
    </w:p>
    <w:p w14:paraId="08B2D976">
      <w:pPr>
        <w:pStyle w:val="37"/>
        <w:rPr>
          <w:rFonts w:hint="eastAsia" w:ascii="宋体" w:hAnsi="宋体"/>
        </w:rPr>
      </w:pPr>
    </w:p>
    <w:p w14:paraId="381C8CFF">
      <w:pPr>
        <w:pStyle w:val="37"/>
        <w:rPr>
          <w:rFonts w:hint="eastAsia" w:ascii="宋体" w:hAnsi="宋体"/>
        </w:rPr>
      </w:pPr>
    </w:p>
    <w:p w14:paraId="2218C16E">
      <w:pPr>
        <w:spacing w:after="0"/>
        <w:rPr>
          <w:rFonts w:hint="eastAsia" w:ascii="宋体" w:hAnsi="宋体" w:eastAsia="宋体"/>
          <w:color w:val="auto"/>
        </w:rPr>
      </w:pPr>
    </w:p>
    <w:p w14:paraId="76E86059">
      <w:pPr>
        <w:spacing w:after="0"/>
        <w:rPr>
          <w:rFonts w:hint="eastAsia" w:ascii="宋体" w:hAnsi="宋体" w:eastAsia="宋体"/>
          <w:color w:val="auto"/>
        </w:rPr>
      </w:pPr>
    </w:p>
    <w:p w14:paraId="65F2E59D">
      <w:pPr>
        <w:spacing w:after="0"/>
        <w:rPr>
          <w:rFonts w:hint="eastAsia" w:ascii="宋体" w:hAnsi="宋体" w:eastAsia="宋体"/>
          <w:color w:val="auto"/>
        </w:rPr>
      </w:pPr>
    </w:p>
    <w:p w14:paraId="3D0E9283">
      <w:pPr>
        <w:spacing w:after="0" w:line="218" w:lineRule="auto"/>
        <w:jc w:val="center"/>
        <w:rPr>
          <w:rFonts w:ascii="宋体" w:hAnsi="宋体" w:eastAsia="宋体"/>
          <w:b/>
          <w:color w:val="auto"/>
          <w:sz w:val="84"/>
          <w:szCs w:val="84"/>
        </w:rPr>
      </w:pPr>
      <w:r>
        <w:rPr>
          <w:rFonts w:hint="eastAsia" w:ascii="宋体" w:hAnsi="宋体" w:eastAsia="宋体" w:cs="黑体"/>
          <w:b/>
          <w:color w:val="auto"/>
          <w:sz w:val="84"/>
          <w:szCs w:val="84"/>
        </w:rPr>
        <w:t>招标文件</w:t>
      </w:r>
    </w:p>
    <w:p w14:paraId="1351F37B">
      <w:pPr>
        <w:spacing w:after="137"/>
        <w:rPr>
          <w:rFonts w:ascii="宋体" w:hAnsi="宋体" w:eastAsia="宋体"/>
          <w:color w:val="auto"/>
        </w:rPr>
      </w:pPr>
      <w:r>
        <w:rPr>
          <w:rFonts w:ascii="宋体" w:hAnsi="宋体" w:eastAsia="宋体"/>
          <w:color w:val="auto"/>
          <w:sz w:val="21"/>
        </w:rPr>
        <w:t xml:space="preserve"> </w:t>
      </w:r>
    </w:p>
    <w:p w14:paraId="4CBFD4F4">
      <w:pPr>
        <w:spacing w:after="134"/>
        <w:rPr>
          <w:rFonts w:hint="eastAsia" w:ascii="宋体" w:hAnsi="宋体" w:eastAsia="宋体"/>
          <w:color w:val="auto"/>
          <w:sz w:val="21"/>
        </w:rPr>
      </w:pPr>
      <w:r>
        <w:rPr>
          <w:rFonts w:ascii="宋体" w:hAnsi="宋体" w:eastAsia="宋体"/>
          <w:color w:val="auto"/>
          <w:sz w:val="21"/>
        </w:rPr>
        <w:t xml:space="preserve"> </w:t>
      </w:r>
    </w:p>
    <w:p w14:paraId="5CAE6ABB">
      <w:pPr>
        <w:spacing w:after="134"/>
        <w:rPr>
          <w:rFonts w:hint="eastAsia" w:ascii="宋体" w:hAnsi="宋体" w:eastAsia="宋体"/>
          <w:color w:val="auto"/>
        </w:rPr>
      </w:pPr>
    </w:p>
    <w:p w14:paraId="638413A8">
      <w:pPr>
        <w:spacing w:after="137"/>
        <w:rPr>
          <w:rFonts w:hint="eastAsia" w:ascii="宋体" w:hAnsi="宋体" w:eastAsia="宋体"/>
          <w:color w:val="auto"/>
          <w:sz w:val="21"/>
        </w:rPr>
      </w:pPr>
      <w:r>
        <w:rPr>
          <w:rFonts w:ascii="宋体" w:hAnsi="宋体" w:eastAsia="宋体"/>
          <w:color w:val="auto"/>
          <w:sz w:val="21"/>
        </w:rPr>
        <w:t xml:space="preserve"> </w:t>
      </w:r>
    </w:p>
    <w:p w14:paraId="6301C0F8">
      <w:pPr>
        <w:spacing w:after="134"/>
        <w:rPr>
          <w:rFonts w:ascii="宋体" w:hAnsi="宋体" w:eastAsia="宋体"/>
          <w:color w:val="auto"/>
          <w:sz w:val="21"/>
        </w:rPr>
      </w:pPr>
      <w:r>
        <w:rPr>
          <w:rFonts w:ascii="宋体" w:hAnsi="宋体" w:eastAsia="宋体"/>
          <w:color w:val="auto"/>
          <w:sz w:val="21"/>
        </w:rPr>
        <w:t xml:space="preserve"> </w:t>
      </w:r>
    </w:p>
    <w:p w14:paraId="237497F8">
      <w:pPr>
        <w:pStyle w:val="37"/>
      </w:pPr>
    </w:p>
    <w:p w14:paraId="13BCBA70">
      <w:pPr>
        <w:spacing w:after="137"/>
        <w:rPr>
          <w:rFonts w:ascii="宋体" w:hAnsi="宋体" w:eastAsia="宋体"/>
          <w:color w:val="auto"/>
        </w:rPr>
      </w:pPr>
      <w:r>
        <w:rPr>
          <w:rFonts w:ascii="宋体" w:hAnsi="宋体" w:eastAsia="宋体"/>
          <w:color w:val="auto"/>
          <w:sz w:val="21"/>
        </w:rPr>
        <w:t xml:space="preserve"> </w:t>
      </w:r>
    </w:p>
    <w:p w14:paraId="16ACDBAE">
      <w:pPr>
        <w:spacing w:after="137"/>
        <w:rPr>
          <w:rFonts w:hint="eastAsia" w:ascii="宋体" w:hAnsi="宋体" w:eastAsia="宋体" w:cs="宋体"/>
          <w:color w:val="auto"/>
        </w:rPr>
      </w:pPr>
      <w:r>
        <w:rPr>
          <w:rFonts w:ascii="宋体" w:hAnsi="宋体" w:eastAsia="宋体"/>
          <w:color w:val="auto"/>
          <w:sz w:val="21"/>
        </w:rPr>
        <w:t xml:space="preserve">  </w:t>
      </w:r>
    </w:p>
    <w:p w14:paraId="00243742">
      <w:pPr>
        <w:spacing w:line="360" w:lineRule="auto"/>
        <w:ind w:firstLine="984" w:firstLineChars="350"/>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招 标  单 位：</w:t>
      </w:r>
      <w:r>
        <w:rPr>
          <w:rFonts w:hint="eastAsia" w:ascii="宋体" w:hAnsi="宋体" w:eastAsia="宋体" w:cs="宋体"/>
          <w:b/>
          <w:color w:val="auto"/>
          <w:kern w:val="0"/>
          <w:sz w:val="28"/>
          <w:szCs w:val="28"/>
          <w:lang w:eastAsia="zh-CN"/>
        </w:rPr>
        <w:t>广州市越秀区教育局</w:t>
      </w:r>
    </w:p>
    <w:p w14:paraId="7472FF16">
      <w:pPr>
        <w:spacing w:line="360" w:lineRule="auto"/>
        <w:ind w:firstLine="984" w:firstLineChars="350"/>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招标代理单位：</w:t>
      </w:r>
      <w:r>
        <w:rPr>
          <w:rFonts w:hint="eastAsia" w:ascii="宋体" w:hAnsi="宋体" w:eastAsia="宋体" w:cs="宋体"/>
          <w:b/>
          <w:color w:val="auto"/>
          <w:kern w:val="0"/>
          <w:sz w:val="28"/>
          <w:szCs w:val="28"/>
          <w:lang w:val="en-US" w:eastAsia="zh-Hans"/>
        </w:rPr>
        <w:t>广东省城规建设监理有限公司</w:t>
      </w:r>
    </w:p>
    <w:p w14:paraId="37156CC4">
      <w:pPr>
        <w:spacing w:line="360" w:lineRule="auto"/>
        <w:ind w:firstLine="984" w:firstLineChars="350"/>
        <w:rPr>
          <w:rFonts w:hint="eastAsia" w:ascii="宋体" w:hAnsi="宋体" w:eastAsia="宋体" w:cs="宋体"/>
          <w:b/>
          <w:color w:val="auto"/>
          <w:sz w:val="28"/>
        </w:rPr>
      </w:pPr>
      <w:r>
        <w:rPr>
          <w:rFonts w:hint="eastAsia" w:ascii="宋体" w:hAnsi="宋体" w:eastAsia="宋体" w:cs="宋体"/>
          <w:b/>
          <w:color w:val="auto"/>
          <w:sz w:val="28"/>
        </w:rPr>
        <w:t>日        期：2025年</w:t>
      </w:r>
      <w:r>
        <w:rPr>
          <w:rFonts w:hint="eastAsia" w:ascii="宋体" w:hAnsi="宋体" w:eastAsia="宋体" w:cs="宋体"/>
          <w:b/>
          <w:color w:val="auto"/>
          <w:sz w:val="28"/>
          <w:lang w:val="en-US" w:eastAsia="zh-CN"/>
        </w:rPr>
        <w:t>12</w:t>
      </w:r>
      <w:r>
        <w:rPr>
          <w:rFonts w:hint="eastAsia" w:ascii="宋体" w:hAnsi="宋体" w:eastAsia="宋体" w:cs="宋体"/>
          <w:b/>
          <w:color w:val="auto"/>
          <w:sz w:val="28"/>
        </w:rPr>
        <w:t>月</w:t>
      </w:r>
    </w:p>
    <w:p w14:paraId="0868FC47">
      <w:pPr>
        <w:spacing w:after="0" w:line="265" w:lineRule="auto"/>
        <w:ind w:left="10" w:right="119" w:hanging="10"/>
        <w:jc w:val="center"/>
        <w:rPr>
          <w:rFonts w:hint="eastAsia" w:ascii="宋体" w:hAnsi="宋体" w:eastAsia="宋体" w:cs="宋体"/>
          <w:color w:val="auto"/>
          <w:sz w:val="28"/>
        </w:rPr>
        <w:sectPr>
          <w:footerReference r:id="rId5" w:type="even"/>
          <w:pgSz w:w="11907" w:h="16840"/>
          <w:pgMar w:top="1361" w:right="1304" w:bottom="1361" w:left="1304" w:header="720" w:footer="720" w:gutter="0"/>
          <w:cols w:space="720" w:num="1"/>
        </w:sectPr>
      </w:pPr>
    </w:p>
    <w:p w14:paraId="7048F56C">
      <w:pPr>
        <w:spacing w:after="0" w:line="265" w:lineRule="auto"/>
        <w:ind w:left="10" w:right="119" w:hanging="10"/>
        <w:jc w:val="center"/>
        <w:rPr>
          <w:rFonts w:ascii="宋体" w:hAnsi="宋体" w:eastAsia="宋体"/>
          <w:color w:val="auto"/>
        </w:rPr>
      </w:pPr>
      <w:r>
        <w:rPr>
          <w:rFonts w:hint="eastAsia" w:ascii="宋体" w:hAnsi="宋体" w:eastAsia="宋体" w:cs="黑体"/>
          <w:color w:val="auto"/>
          <w:sz w:val="28"/>
        </w:rPr>
        <w:t>目</w:t>
      </w:r>
      <w:r>
        <w:rPr>
          <w:rFonts w:ascii="宋体" w:hAnsi="宋体" w:eastAsia="宋体"/>
          <w:color w:val="auto"/>
          <w:sz w:val="28"/>
        </w:rPr>
        <w:t xml:space="preserve">  </w:t>
      </w:r>
      <w:r>
        <w:rPr>
          <w:rFonts w:hint="eastAsia" w:ascii="宋体" w:hAnsi="宋体" w:eastAsia="宋体" w:cs="黑体"/>
          <w:color w:val="auto"/>
          <w:sz w:val="28"/>
        </w:rPr>
        <w:t>录</w:t>
      </w:r>
      <w:r>
        <w:rPr>
          <w:rFonts w:ascii="宋体" w:hAnsi="宋体" w:eastAsia="宋体"/>
          <w:color w:val="auto"/>
          <w:sz w:val="28"/>
        </w:rPr>
        <w:t xml:space="preserve"> </w:t>
      </w:r>
    </w:p>
    <w:p w14:paraId="3CD4F7F8">
      <w:pPr>
        <w:pStyle w:val="28"/>
        <w:tabs>
          <w:tab w:val="right" w:leader="dot" w:pos="9289"/>
        </w:tabs>
        <w:rPr>
          <w:rFonts w:hint="eastAsia" w:ascii="宋体" w:hAnsi="宋体" w:eastAsia="宋体" w:cs="Arial"/>
          <w:color w:val="auto"/>
          <w:sz w:val="28"/>
          <w:szCs w:val="32"/>
        </w:rPr>
      </w:pPr>
      <w:r>
        <w:rPr>
          <w:rFonts w:ascii="宋体" w:hAnsi="宋体" w:eastAsia="宋体"/>
          <w:color w:val="auto"/>
          <w:sz w:val="24"/>
          <w:szCs w:val="28"/>
        </w:rPr>
        <w:fldChar w:fldCharType="begin"/>
      </w:r>
      <w:r>
        <w:rPr>
          <w:rFonts w:ascii="宋体" w:hAnsi="宋体" w:eastAsia="宋体"/>
          <w:color w:val="auto"/>
          <w:sz w:val="24"/>
          <w:szCs w:val="28"/>
        </w:rPr>
        <w:instrText xml:space="preserve"> TOC \o "1-3" \h \z \u </w:instrText>
      </w:r>
      <w:r>
        <w:rPr>
          <w:rFonts w:ascii="宋体" w:hAnsi="宋体" w:eastAsia="宋体"/>
          <w:color w:val="auto"/>
          <w:sz w:val="24"/>
          <w:szCs w:val="28"/>
        </w:rPr>
        <w:fldChar w:fldCharType="separate"/>
      </w: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"_Toc190785891"</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cs="宋体"/>
          <w:sz w:val="24"/>
          <w:szCs w:val="28"/>
        </w:rPr>
        <w:t>第一卷</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_Toc190785891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2</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29BFDCA6">
      <w:pPr>
        <w:pStyle w:val="28"/>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"_Toc190785892"</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cs="宋体"/>
          <w:sz w:val="24"/>
          <w:szCs w:val="28"/>
        </w:rPr>
        <w:t>第一章招标公告</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_Toc190785892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2</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2489B17C">
      <w:pPr>
        <w:pStyle w:val="28"/>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"_Toc190785893"</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cs="宋体"/>
          <w:sz w:val="24"/>
          <w:szCs w:val="28"/>
        </w:rPr>
        <w:t>第二章投标人须知</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_Toc190785893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3</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6DF40CBD">
      <w:pPr>
        <w:pStyle w:val="31"/>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"_Toc190785894"</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sz w:val="24"/>
          <w:szCs w:val="28"/>
        </w:rPr>
        <w:t>投标人须知前附表</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_Toc190785894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3</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4FA32A29">
      <w:pPr>
        <w:pStyle w:val="31"/>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"_Toc190785895"</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sz w:val="24"/>
          <w:szCs w:val="28"/>
        </w:rPr>
        <w:t>1. 总则</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_Toc190785895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14</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6012634C">
      <w:pPr>
        <w:pStyle w:val="31"/>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"_Toc190785909"</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sz w:val="24"/>
          <w:szCs w:val="28"/>
        </w:rPr>
        <w:t>2. 招标文件</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_Toc190785909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18</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20ADD6C3">
      <w:pPr>
        <w:pStyle w:val="31"/>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"_Toc190785914"</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sz w:val="24"/>
          <w:szCs w:val="28"/>
        </w:rPr>
        <w:t>3. 投标文件</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_Toc190785914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20</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665B265B">
      <w:pPr>
        <w:pStyle w:val="31"/>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"_Toc190785921"</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sz w:val="24"/>
          <w:szCs w:val="28"/>
        </w:rPr>
        <w:t>4. 投标</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_Toc190785921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24</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1A98CB41">
      <w:pPr>
        <w:pStyle w:val="31"/>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"_Toc190785925"</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sz w:val="24"/>
          <w:szCs w:val="28"/>
        </w:rPr>
        <w:t>5. 开标</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_Toc190785925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25</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37EA98BE">
      <w:pPr>
        <w:pStyle w:val="31"/>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"_Toc190785930"</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sz w:val="24"/>
          <w:szCs w:val="28"/>
        </w:rPr>
        <w:t>6. 评标</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_Toc190785930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28</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1CAC0BF2">
      <w:pPr>
        <w:pStyle w:val="31"/>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"_Toc190785934"</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sz w:val="24"/>
          <w:szCs w:val="28"/>
        </w:rPr>
        <w:t>7. 合同授予</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_Toc190785934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29</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3A5627AD">
      <w:pPr>
        <w:pStyle w:val="31"/>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"_Toc190785941"</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sz w:val="24"/>
          <w:szCs w:val="28"/>
        </w:rPr>
        <w:t>8. 纪律和监督</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_Toc190785941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31</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1A1948D3">
      <w:pPr>
        <w:pStyle w:val="31"/>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"_Toc190785947"</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sz w:val="24"/>
          <w:szCs w:val="28"/>
        </w:rPr>
        <w:t>9. 是否采用电子招标投标</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_Toc190785947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32</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488CA5C5">
      <w:pPr>
        <w:pStyle w:val="31"/>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"_Toc190785948"</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sz w:val="24"/>
          <w:szCs w:val="28"/>
        </w:rPr>
        <w:t>10. 需要补充的其他内容</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_Toc190785948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32</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277658EF">
      <w:pPr>
        <w:pStyle w:val="28"/>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"_Toc190785950"</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cs="宋体"/>
          <w:sz w:val="24"/>
          <w:szCs w:val="28"/>
        </w:rPr>
        <w:t>第三章评标办法（综合评估法）</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_Toc190785950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35</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4F6D6A27">
      <w:pPr>
        <w:pStyle w:val="31"/>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"_Toc190785951"</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sz w:val="24"/>
          <w:szCs w:val="28"/>
        </w:rPr>
        <w:t>评标办法前附表</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_Toc190785951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35</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156C0C68">
      <w:pPr>
        <w:pStyle w:val="31"/>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"_Toc190785956"</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sz w:val="24"/>
          <w:szCs w:val="28"/>
        </w:rPr>
        <w:t>1. 评标方法</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_Toc190785956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43</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124BA3EA">
      <w:pPr>
        <w:pStyle w:val="31"/>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"_Toc190785957"</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sz w:val="24"/>
          <w:szCs w:val="28"/>
        </w:rPr>
        <w:t>2. 评审标准</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_Toc190785957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43</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20078DB5">
      <w:pPr>
        <w:pStyle w:val="31"/>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"_Toc190785958"</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sz w:val="24"/>
          <w:szCs w:val="28"/>
        </w:rPr>
        <w:t>3. 评标程序</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_Toc190785958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43</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14A3B727">
      <w:pPr>
        <w:pStyle w:val="28"/>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"_Toc190785959"</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cs="宋体"/>
          <w:sz w:val="24"/>
          <w:szCs w:val="28"/>
        </w:rPr>
        <w:t>第四章合同条款及格式</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_Toc190785959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46</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2E6A9AC1">
      <w:pPr>
        <w:pStyle w:val="28"/>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"_Toc190785961"</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cs="宋体"/>
          <w:sz w:val="24"/>
          <w:szCs w:val="28"/>
        </w:rPr>
        <w:t>第二卷</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_Toc190785961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47</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1C25E2CF">
      <w:pPr>
        <w:pStyle w:val="28"/>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"_Toc190785962"</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cs="宋体"/>
          <w:sz w:val="24"/>
          <w:szCs w:val="28"/>
        </w:rPr>
        <w:t>第五章 技术要求</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_Toc190785962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47</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6AE70E66">
      <w:pPr>
        <w:pStyle w:val="28"/>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"_Toc190785963"</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cs="宋体"/>
          <w:sz w:val="24"/>
          <w:szCs w:val="28"/>
        </w:rPr>
        <w:t>第三卷</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_Toc190785963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48</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65DF3D8B">
      <w:pPr>
        <w:pStyle w:val="28"/>
        <w:tabs>
          <w:tab w:val="right" w:leader="dot" w:pos="9289"/>
        </w:tabs>
        <w:rPr>
          <w:rFonts w:hint="eastAsia" w:ascii="宋体" w:hAnsi="宋体" w:eastAsia="宋体" w:cs="Arial"/>
          <w:color w:val="auto"/>
          <w:sz w:val="28"/>
          <w:szCs w:val="32"/>
        </w:rPr>
      </w:pPr>
      <w:r>
        <w:rPr>
          <w:rStyle w:val="45"/>
          <w:rFonts w:hint="eastAsia" w:ascii="宋体" w:hAnsi="宋体" w:eastAsia="宋体"/>
          <w:sz w:val="24"/>
          <w:szCs w:val="28"/>
        </w:rPr>
        <w:fldChar w:fldCharType="begin"/>
      </w:r>
      <w:r>
        <w:rPr>
          <w:rStyle w:val="45"/>
          <w:rFonts w:hint="eastAsia" w:ascii="宋体" w:hAnsi="宋体" w:eastAsia="宋体"/>
          <w:sz w:val="24"/>
          <w:szCs w:val="28"/>
        </w:rPr>
        <w:instrText xml:space="preserve"> </w:instrText>
      </w:r>
      <w:r>
        <w:rPr>
          <w:rFonts w:hint="eastAsia" w:ascii="宋体" w:hAnsi="宋体" w:eastAsia="宋体"/>
          <w:sz w:val="24"/>
          <w:szCs w:val="28"/>
        </w:rPr>
        <w:instrText xml:space="preserve">HYPERLINK \l "_Toc190785964"</w:instrText>
      </w:r>
      <w:r>
        <w:rPr>
          <w:rStyle w:val="45"/>
          <w:rFonts w:hint="eastAsia" w:ascii="宋体" w:hAnsi="宋体" w:eastAsia="宋体"/>
          <w:sz w:val="24"/>
          <w:szCs w:val="28"/>
        </w:rPr>
        <w:instrText xml:space="preserve"> </w:instrText>
      </w:r>
      <w:r>
        <w:rPr>
          <w:rStyle w:val="45"/>
          <w:rFonts w:hint="eastAsia" w:ascii="宋体" w:hAnsi="宋体" w:eastAsia="宋体"/>
          <w:sz w:val="24"/>
          <w:szCs w:val="28"/>
        </w:rPr>
        <w:fldChar w:fldCharType="separate"/>
      </w:r>
      <w:r>
        <w:rPr>
          <w:rStyle w:val="45"/>
          <w:rFonts w:hint="eastAsia" w:ascii="宋体" w:hAnsi="宋体" w:eastAsia="宋体" w:cs="宋体"/>
          <w:sz w:val="24"/>
          <w:szCs w:val="28"/>
        </w:rPr>
        <w:t>第六章 投标文件格式</w:t>
      </w:r>
      <w:r>
        <w:rPr>
          <w:rFonts w:hint="eastAsia" w:ascii="宋体" w:hAnsi="宋体" w:eastAsia="宋体"/>
          <w:sz w:val="24"/>
          <w:szCs w:val="28"/>
        </w:rPr>
        <w:tab/>
      </w:r>
      <w:r>
        <w:rPr>
          <w:rFonts w:hint="eastAsia" w:ascii="宋体" w:hAnsi="宋体" w:eastAsia="宋体"/>
          <w:sz w:val="24"/>
          <w:szCs w:val="28"/>
        </w:rPr>
        <w:fldChar w:fldCharType="begin"/>
      </w:r>
      <w:r>
        <w:rPr>
          <w:rFonts w:hint="eastAsia" w:ascii="宋体" w:hAnsi="宋体" w:eastAsia="宋体"/>
          <w:sz w:val="24"/>
          <w:szCs w:val="28"/>
        </w:rPr>
        <w:instrText xml:space="preserve"> </w:instrText>
      </w:r>
      <w:r>
        <w:rPr>
          <w:rFonts w:ascii="宋体" w:hAnsi="宋体" w:eastAsia="宋体"/>
          <w:sz w:val="24"/>
          <w:szCs w:val="28"/>
        </w:rPr>
        <w:instrText xml:space="preserve">PAGEREF _Toc190785964 \h</w:instrText>
      </w:r>
      <w:r>
        <w:rPr>
          <w:rFonts w:hint="eastAsia" w:ascii="宋体" w:hAnsi="宋体" w:eastAsia="宋体"/>
          <w:sz w:val="24"/>
          <w:szCs w:val="28"/>
        </w:rPr>
        <w:instrText xml:space="preserve"> </w:instrText>
      </w:r>
      <w:r>
        <w:rPr>
          <w:rFonts w:ascii="宋体" w:hAnsi="宋体" w:eastAsia="宋体"/>
          <w:sz w:val="24"/>
          <w:szCs w:val="28"/>
        </w:rPr>
        <w:fldChar w:fldCharType="separate"/>
      </w:r>
      <w:r>
        <w:rPr>
          <w:rFonts w:hint="eastAsia" w:ascii="宋体" w:hAnsi="宋体" w:eastAsia="宋体"/>
          <w:sz w:val="24"/>
          <w:szCs w:val="28"/>
        </w:rPr>
        <w:t>48</w:t>
      </w:r>
      <w:r>
        <w:rPr>
          <w:rFonts w:hint="eastAsia" w:ascii="宋体" w:hAnsi="宋体" w:eastAsia="宋体"/>
          <w:sz w:val="24"/>
          <w:szCs w:val="28"/>
        </w:rPr>
        <w:fldChar w:fldCharType="end"/>
      </w:r>
      <w:r>
        <w:rPr>
          <w:rStyle w:val="45"/>
          <w:rFonts w:hint="eastAsia" w:ascii="宋体" w:hAnsi="宋体" w:eastAsia="宋体"/>
          <w:sz w:val="24"/>
          <w:szCs w:val="28"/>
        </w:rPr>
        <w:fldChar w:fldCharType="end"/>
      </w:r>
    </w:p>
    <w:p w14:paraId="1BA74B85">
      <w:pPr>
        <w:pStyle w:val="28"/>
        <w:tabs>
          <w:tab w:val="right" w:leader="dot" w:pos="8750"/>
        </w:tabs>
        <w:rPr>
          <w:rFonts w:ascii="宋体" w:hAnsi="宋体" w:eastAsia="宋体"/>
          <w:color w:val="auto"/>
        </w:rPr>
        <w:sectPr>
          <w:footerReference r:id="rId6" w:type="default"/>
          <w:pgSz w:w="11907" w:h="16840"/>
          <w:pgMar w:top="1361" w:right="1304" w:bottom="1361" w:left="1304" w:header="720" w:footer="720" w:gutter="0"/>
          <w:pgNumType w:start="1"/>
          <w:cols w:space="720" w:num="1"/>
        </w:sectPr>
      </w:pPr>
      <w:r>
        <w:rPr>
          <w:rFonts w:ascii="宋体" w:hAnsi="宋体" w:eastAsia="宋体"/>
          <w:color w:val="auto"/>
          <w:sz w:val="24"/>
          <w:szCs w:val="28"/>
        </w:rPr>
        <w:fldChar w:fldCharType="end"/>
      </w:r>
    </w:p>
    <w:p w14:paraId="7E99308A">
      <w:pPr>
        <w:pStyle w:val="3"/>
        <w:spacing w:after="914" w:line="240" w:lineRule="auto"/>
        <w:ind w:right="0"/>
        <w:rPr>
          <w:rFonts w:ascii="宋体" w:hAnsi="宋体" w:eastAsia="宋体" w:cs="宋体"/>
          <w:color w:val="auto"/>
          <w:sz w:val="44"/>
        </w:rPr>
      </w:pPr>
      <w:bookmarkStart w:id="0" w:name="_Toc190785891"/>
      <w:bookmarkStart w:id="1" w:name="_Toc508382083"/>
      <w:r>
        <w:rPr>
          <w:rFonts w:hint="eastAsia" w:ascii="宋体" w:hAnsi="宋体" w:eastAsia="宋体" w:cs="宋体"/>
          <w:color w:val="auto"/>
          <w:sz w:val="44"/>
        </w:rPr>
        <w:t>第一卷</w:t>
      </w:r>
      <w:bookmarkEnd w:id="0"/>
      <w:bookmarkEnd w:id="1"/>
    </w:p>
    <w:p w14:paraId="47D12609">
      <w:pPr>
        <w:pStyle w:val="3"/>
        <w:spacing w:after="224" w:line="240" w:lineRule="auto"/>
        <w:ind w:left="0" w:right="0" w:firstLine="0"/>
        <w:rPr>
          <w:rFonts w:hint="eastAsia" w:ascii="宋体" w:hAnsi="宋体" w:eastAsia="宋体" w:cs="宋体"/>
          <w:color w:val="auto"/>
          <w:sz w:val="44"/>
        </w:rPr>
      </w:pPr>
      <w:bookmarkStart w:id="2" w:name="_Toc190785892"/>
      <w:bookmarkStart w:id="3" w:name="_Toc508382084"/>
      <w:r>
        <w:rPr>
          <w:rFonts w:hint="eastAsia" w:ascii="宋体" w:hAnsi="宋体" w:eastAsia="宋体" w:cs="宋体"/>
          <w:color w:val="auto"/>
          <w:sz w:val="44"/>
        </w:rPr>
        <w:t>第一章招标公告</w:t>
      </w:r>
      <w:bookmarkEnd w:id="2"/>
      <w:bookmarkEnd w:id="3"/>
    </w:p>
    <w:p w14:paraId="7205555A">
      <w:pPr>
        <w:jc w:val="center"/>
        <w:rPr>
          <w:rFonts w:eastAsia="宋体"/>
          <w:b/>
          <w:bCs/>
          <w:color w:val="auto"/>
          <w:sz w:val="24"/>
          <w:szCs w:val="24"/>
        </w:rPr>
      </w:pPr>
      <w:r>
        <w:rPr>
          <w:rFonts w:hint="eastAsia" w:ascii="宋体" w:hAnsi="宋体" w:eastAsia="宋体" w:cs="宋体"/>
          <w:b/>
          <w:bCs/>
          <w:color w:val="auto"/>
          <w:kern w:val="0"/>
          <w:sz w:val="44"/>
          <w:szCs w:val="20"/>
          <w:lang w:val="en-US" w:eastAsia="zh-CN" w:bidi="ar-SA"/>
        </w:rPr>
        <w:t>（另附）</w:t>
      </w:r>
    </w:p>
    <w:p w14:paraId="41868FBE">
      <w:pPr>
        <w:pStyle w:val="3"/>
        <w:adjustRightInd w:val="0"/>
        <w:spacing w:after="850" w:line="360" w:lineRule="auto"/>
        <w:ind w:right="2770" w:hanging="11"/>
        <w:jc w:val="right"/>
        <w:rPr>
          <w:rFonts w:ascii="宋体" w:hAnsi="宋体" w:eastAsia="宋体"/>
          <w:color w:val="auto"/>
        </w:rPr>
      </w:pPr>
      <w:bookmarkStart w:id="4" w:name="_Toc508382092"/>
      <w:r>
        <w:rPr>
          <w:rFonts w:ascii="宋体" w:hAnsi="宋体" w:eastAsia="宋体" w:cs="宋体"/>
          <w:color w:val="auto"/>
          <w:sz w:val="44"/>
        </w:rPr>
        <w:br w:type="page"/>
      </w:r>
      <w:bookmarkStart w:id="5" w:name="_Toc190785893"/>
      <w:r>
        <w:rPr>
          <w:rFonts w:hint="eastAsia" w:ascii="宋体" w:hAnsi="宋体" w:eastAsia="宋体" w:cs="宋体"/>
          <w:b/>
          <w:bCs/>
          <w:color w:val="auto"/>
          <w:sz w:val="44"/>
        </w:rPr>
        <w:t>第二章投标人须知</w:t>
      </w:r>
      <w:bookmarkEnd w:id="4"/>
      <w:bookmarkEnd w:id="5"/>
      <w:r>
        <w:rPr>
          <w:rFonts w:ascii="宋体" w:hAnsi="宋体" w:eastAsia="宋体"/>
          <w:b/>
          <w:bCs/>
          <w:color w:val="auto"/>
          <w:sz w:val="44"/>
        </w:rPr>
        <w:t xml:space="preserve"> </w:t>
      </w:r>
    </w:p>
    <w:p w14:paraId="61525E6B">
      <w:pPr>
        <w:pStyle w:val="4"/>
        <w:spacing w:after="155" w:line="360" w:lineRule="auto"/>
        <w:ind w:left="-5" w:right="0" w:hanging="11"/>
        <w:jc w:val="center"/>
        <w:rPr>
          <w:rFonts w:ascii="宋体" w:hAnsi="宋体" w:eastAsia="宋体"/>
          <w:b/>
          <w:bCs/>
          <w:color w:val="auto"/>
        </w:rPr>
      </w:pPr>
      <w:bookmarkStart w:id="6" w:name="_Toc190785894"/>
      <w:bookmarkStart w:id="7" w:name="_Toc508382093"/>
      <w:r>
        <w:rPr>
          <w:rFonts w:hint="eastAsia" w:ascii="宋体" w:hAnsi="宋体" w:eastAsia="宋体"/>
          <w:b/>
          <w:bCs/>
          <w:color w:val="auto"/>
          <w:sz w:val="32"/>
        </w:rPr>
        <w:t>投标人须知前附表</w:t>
      </w:r>
      <w:bookmarkEnd w:id="6"/>
      <w:bookmarkEnd w:id="7"/>
    </w:p>
    <w:tbl>
      <w:tblPr>
        <w:tblStyle w:val="39"/>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118" w:type="dxa"/>
        </w:tblCellMar>
      </w:tblPr>
      <w:tblGrid>
        <w:gridCol w:w="1223"/>
        <w:gridCol w:w="1822"/>
        <w:gridCol w:w="7156"/>
      </w:tblGrid>
      <w:tr w14:paraId="30CA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271" w:hRule="atLeast"/>
          <w:jc w:val="center"/>
        </w:trPr>
        <w:tc>
          <w:tcPr>
            <w:tcW w:w="1223" w:type="dxa"/>
            <w:noWrap w:val="0"/>
            <w:vAlign w:val="center"/>
          </w:tcPr>
          <w:p w14:paraId="141CB31D">
            <w:pPr>
              <w:keepNext w:val="0"/>
              <w:keepLines w:val="0"/>
              <w:widowControl/>
              <w:suppressLineNumbers w:val="0"/>
              <w:spacing w:before="0" w:beforeAutospacing="0" w:after="0" w:afterAutospacing="0" w:line="240" w:lineRule="auto"/>
              <w:ind w:left="156" w:right="0"/>
              <w:rPr>
                <w:rFonts w:hint="eastAsia" w:ascii="宋体" w:hAnsi="宋体" w:eastAsia="宋体" w:cs="宋体"/>
                <w:color w:val="auto"/>
                <w:sz w:val="24"/>
                <w:szCs w:val="24"/>
              </w:rPr>
            </w:pPr>
            <w:r>
              <w:rPr>
                <w:rFonts w:hint="eastAsia" w:ascii="宋体" w:hAnsi="宋体" w:eastAsia="宋体" w:cs="宋体"/>
                <w:color w:val="auto"/>
                <w:sz w:val="24"/>
                <w:szCs w:val="24"/>
              </w:rPr>
              <w:t>条款号</w:t>
            </w:r>
            <w:r>
              <w:rPr>
                <w:rFonts w:hint="eastAsia" w:ascii="宋体" w:hAnsi="宋体" w:eastAsia="宋体" w:cs="宋体"/>
                <w:b/>
                <w:color w:val="auto"/>
                <w:sz w:val="24"/>
                <w:szCs w:val="24"/>
              </w:rPr>
              <w:t xml:space="preserve"> </w:t>
            </w:r>
          </w:p>
        </w:tc>
        <w:tc>
          <w:tcPr>
            <w:tcW w:w="1822" w:type="dxa"/>
            <w:noWrap w:val="0"/>
            <w:vAlign w:val="center"/>
          </w:tcPr>
          <w:p w14:paraId="3AA7A0D5">
            <w:pPr>
              <w:keepNext w:val="0"/>
              <w:keepLines w:val="0"/>
              <w:widowControl/>
              <w:suppressLineNumbers w:val="0"/>
              <w:spacing w:before="0" w:beforeAutospacing="0" w:after="0" w:afterAutospacing="0" w:line="240" w:lineRule="auto"/>
              <w:ind w:left="1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条款名称</w:t>
            </w:r>
            <w:r>
              <w:rPr>
                <w:rFonts w:hint="eastAsia" w:ascii="宋体" w:hAnsi="宋体" w:eastAsia="宋体" w:cs="宋体"/>
                <w:b/>
                <w:color w:val="auto"/>
                <w:sz w:val="24"/>
                <w:szCs w:val="24"/>
              </w:rPr>
              <w:t xml:space="preserve"> </w:t>
            </w:r>
          </w:p>
        </w:tc>
        <w:tc>
          <w:tcPr>
            <w:tcW w:w="7156" w:type="dxa"/>
            <w:noWrap w:val="0"/>
            <w:vAlign w:val="center"/>
          </w:tcPr>
          <w:p w14:paraId="1C2AB346">
            <w:pPr>
              <w:keepNext w:val="0"/>
              <w:keepLines w:val="0"/>
              <w:widowControl/>
              <w:suppressLineNumbers w:val="0"/>
              <w:spacing w:before="0" w:beforeAutospacing="0" w:after="0" w:afterAutospacing="0" w:line="240" w:lineRule="auto"/>
              <w:ind w:left="11"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编列内容</w:t>
            </w:r>
            <w:r>
              <w:rPr>
                <w:rFonts w:hint="eastAsia" w:ascii="宋体" w:hAnsi="宋体" w:eastAsia="宋体" w:cs="宋体"/>
                <w:b/>
                <w:color w:val="auto"/>
                <w:sz w:val="24"/>
                <w:szCs w:val="24"/>
              </w:rPr>
              <w:t xml:space="preserve"> </w:t>
            </w:r>
          </w:p>
        </w:tc>
      </w:tr>
      <w:tr w14:paraId="18D1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1155" w:hRule="atLeast"/>
          <w:jc w:val="center"/>
        </w:trPr>
        <w:tc>
          <w:tcPr>
            <w:tcW w:w="1223" w:type="dxa"/>
            <w:noWrap w:val="0"/>
            <w:vAlign w:val="center"/>
          </w:tcPr>
          <w:p w14:paraId="09B24E7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1.1.2</w:t>
            </w:r>
          </w:p>
        </w:tc>
        <w:tc>
          <w:tcPr>
            <w:tcW w:w="1822" w:type="dxa"/>
            <w:noWrap w:val="0"/>
            <w:vAlign w:val="center"/>
          </w:tcPr>
          <w:p w14:paraId="17F3BD3C">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 xml:space="preserve">招标人 </w:t>
            </w:r>
          </w:p>
        </w:tc>
        <w:tc>
          <w:tcPr>
            <w:tcW w:w="7156" w:type="dxa"/>
            <w:noWrap w:val="0"/>
            <w:vAlign w:val="center"/>
          </w:tcPr>
          <w:p w14:paraId="49379552">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名称：</w:t>
            </w:r>
            <w:r>
              <w:rPr>
                <w:rFonts w:hint="eastAsia" w:ascii="宋体" w:hAnsi="宋体" w:cs="宋体"/>
                <w:kern w:val="2"/>
                <w:sz w:val="24"/>
                <w:szCs w:val="24"/>
                <w:lang w:eastAsia="zh-CN"/>
              </w:rPr>
              <w:t>广州市越秀区教育局</w:t>
            </w:r>
          </w:p>
          <w:p w14:paraId="200768D8">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地址：广州市越秀区吉祥路32号</w:t>
            </w:r>
          </w:p>
          <w:p w14:paraId="7667E90A">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联系人：</w:t>
            </w:r>
            <w:r>
              <w:rPr>
                <w:rFonts w:hint="eastAsia" w:ascii="宋体" w:hAnsi="宋体" w:cs="宋体"/>
                <w:kern w:val="2"/>
                <w:sz w:val="24"/>
                <w:szCs w:val="24"/>
                <w:lang w:eastAsia="zh-CN"/>
              </w:rPr>
              <w:t>莫老师</w:t>
            </w:r>
            <w:r>
              <w:rPr>
                <w:rFonts w:hint="eastAsia" w:ascii="宋体" w:hAnsi="宋体" w:cs="宋体"/>
                <w:kern w:val="2"/>
                <w:sz w:val="24"/>
                <w:szCs w:val="24"/>
              </w:rPr>
              <w:t xml:space="preserve">  </w:t>
            </w:r>
          </w:p>
          <w:p w14:paraId="6800E898">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 xml:space="preserve">电话：020-83387680 </w:t>
            </w:r>
          </w:p>
        </w:tc>
      </w:tr>
      <w:tr w14:paraId="5650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944" w:hRule="atLeast"/>
          <w:jc w:val="center"/>
        </w:trPr>
        <w:tc>
          <w:tcPr>
            <w:tcW w:w="1223" w:type="dxa"/>
            <w:noWrap w:val="0"/>
            <w:vAlign w:val="center"/>
          </w:tcPr>
          <w:p w14:paraId="20094F9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1.1.3</w:t>
            </w:r>
          </w:p>
        </w:tc>
        <w:tc>
          <w:tcPr>
            <w:tcW w:w="1822" w:type="dxa"/>
            <w:noWrap w:val="0"/>
            <w:vAlign w:val="center"/>
          </w:tcPr>
          <w:p w14:paraId="1C5BD2D2">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 xml:space="preserve">招标代理机构 </w:t>
            </w:r>
          </w:p>
        </w:tc>
        <w:tc>
          <w:tcPr>
            <w:tcW w:w="7156" w:type="dxa"/>
            <w:noWrap w:val="0"/>
            <w:vAlign w:val="center"/>
          </w:tcPr>
          <w:p w14:paraId="02DE3055">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名称:</w:t>
            </w:r>
            <w:r>
              <w:rPr>
                <w:rFonts w:hint="eastAsia" w:ascii="宋体" w:hAnsi="宋体" w:cs="宋体"/>
                <w:kern w:val="2"/>
                <w:sz w:val="24"/>
                <w:szCs w:val="24"/>
                <w:lang w:val="en-US" w:eastAsia="zh-CN"/>
              </w:rPr>
              <w:t>广东省城规建设监理有限公司</w:t>
            </w:r>
          </w:p>
          <w:p w14:paraId="2EA7341F">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地址：</w:t>
            </w:r>
            <w:r>
              <w:rPr>
                <w:rFonts w:hint="eastAsia" w:ascii="宋体" w:hAnsi="宋体" w:cs="宋体"/>
                <w:kern w:val="2"/>
                <w:sz w:val="24"/>
                <w:szCs w:val="24"/>
                <w:lang w:val="en-US" w:eastAsia="zh-CN"/>
              </w:rPr>
              <w:t>广州市白云区启德路77号广州法务大厦北塔6楼</w:t>
            </w:r>
          </w:p>
          <w:p w14:paraId="1BE39E32">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联系人：</w:t>
            </w:r>
            <w:r>
              <w:rPr>
                <w:rFonts w:hint="eastAsia" w:ascii="宋体" w:hAnsi="宋体" w:cs="宋体"/>
                <w:kern w:val="2"/>
                <w:sz w:val="24"/>
                <w:szCs w:val="24"/>
                <w:lang w:eastAsia="zh-CN"/>
              </w:rPr>
              <w:t>叶工、肖工</w:t>
            </w:r>
          </w:p>
          <w:p w14:paraId="137FDCC7">
            <w:pPr>
              <w:pStyle w:val="37"/>
              <w:keepNext w:val="0"/>
              <w:keepLines w:val="0"/>
              <w:suppressLineNumbers w:val="0"/>
              <w:spacing w:before="0" w:beforeAutospacing="0" w:after="0" w:afterAutospacing="0"/>
              <w:ind w:left="0" w:right="0" w:firstLine="0"/>
              <w:rPr>
                <w:rFonts w:hint="default" w:ascii="宋体" w:hAnsi="宋体" w:cs="宋体"/>
                <w:sz w:val="24"/>
                <w:szCs w:val="24"/>
              </w:rPr>
            </w:pPr>
            <w:r>
              <w:rPr>
                <w:rFonts w:hint="eastAsia" w:ascii="宋体" w:hAnsi="宋体" w:cs="宋体"/>
                <w:kern w:val="2"/>
                <w:sz w:val="24"/>
                <w:szCs w:val="24"/>
              </w:rPr>
              <w:t>电话：020-83560819</w:t>
            </w:r>
            <w:r>
              <w:rPr>
                <w:rFonts w:hint="eastAsia" w:ascii="宋体" w:hAnsi="宋体" w:cs="宋体"/>
                <w:kern w:val="2"/>
                <w:sz w:val="24"/>
                <w:szCs w:val="24"/>
                <w:lang w:eastAsia="zh-CN"/>
              </w:rPr>
              <w:t>、</w:t>
            </w:r>
            <w:r>
              <w:rPr>
                <w:rFonts w:hint="eastAsia" w:ascii="宋体" w:hAnsi="宋体" w:cs="宋体"/>
                <w:kern w:val="2"/>
                <w:sz w:val="24"/>
                <w:szCs w:val="24"/>
                <w:lang w:val="en-US" w:eastAsia="zh-CN"/>
              </w:rPr>
              <w:t>13824442101</w:t>
            </w:r>
          </w:p>
        </w:tc>
      </w:tr>
      <w:tr w14:paraId="1C5C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03" w:hRule="atLeast"/>
          <w:jc w:val="center"/>
        </w:trPr>
        <w:tc>
          <w:tcPr>
            <w:tcW w:w="1223" w:type="dxa"/>
            <w:noWrap w:val="0"/>
            <w:vAlign w:val="center"/>
          </w:tcPr>
          <w:p w14:paraId="3CE4ECC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1.1.4</w:t>
            </w:r>
          </w:p>
        </w:tc>
        <w:tc>
          <w:tcPr>
            <w:tcW w:w="1822" w:type="dxa"/>
            <w:noWrap w:val="0"/>
            <w:vAlign w:val="center"/>
          </w:tcPr>
          <w:p w14:paraId="65DE18C9">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 xml:space="preserve">招标项目名称 </w:t>
            </w:r>
          </w:p>
        </w:tc>
        <w:tc>
          <w:tcPr>
            <w:tcW w:w="7156" w:type="dxa"/>
            <w:noWrap w:val="0"/>
            <w:vAlign w:val="center"/>
          </w:tcPr>
          <w:p w14:paraId="718C8208">
            <w:pPr>
              <w:pStyle w:val="37"/>
              <w:keepNext w:val="0"/>
              <w:keepLines w:val="0"/>
              <w:suppressLineNumbers w:val="0"/>
              <w:spacing w:before="0" w:beforeAutospacing="0" w:after="0" w:afterAutospacing="0"/>
              <w:ind w:left="0" w:right="0" w:firstLine="0"/>
              <w:rPr>
                <w:rFonts w:hint="eastAsia" w:ascii="宋体" w:hAnsi="宋体" w:cs="宋体"/>
                <w:sz w:val="24"/>
                <w:szCs w:val="24"/>
                <w:u w:val="single"/>
              </w:rPr>
            </w:pPr>
            <w:r>
              <w:rPr>
                <w:rFonts w:hint="eastAsia" w:ascii="宋体" w:hAnsi="宋体" w:cs="宋体"/>
                <w:sz w:val="24"/>
                <w:szCs w:val="24"/>
                <w:u w:val="none"/>
              </w:rPr>
              <w:t>吉祥路30号、32号地块改扩建教学楼工程勘察</w:t>
            </w:r>
          </w:p>
        </w:tc>
      </w:tr>
      <w:tr w14:paraId="0300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90" w:hRule="atLeast"/>
          <w:jc w:val="center"/>
        </w:trPr>
        <w:tc>
          <w:tcPr>
            <w:tcW w:w="1223" w:type="dxa"/>
            <w:noWrap w:val="0"/>
            <w:vAlign w:val="center"/>
          </w:tcPr>
          <w:p w14:paraId="08A118C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1.1.5</w:t>
            </w:r>
          </w:p>
        </w:tc>
        <w:tc>
          <w:tcPr>
            <w:tcW w:w="1822" w:type="dxa"/>
            <w:noWrap w:val="0"/>
            <w:vAlign w:val="center"/>
          </w:tcPr>
          <w:p w14:paraId="4BA779C9">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 xml:space="preserve">项目建设地点 </w:t>
            </w:r>
          </w:p>
        </w:tc>
        <w:tc>
          <w:tcPr>
            <w:tcW w:w="7156" w:type="dxa"/>
            <w:noWrap w:val="0"/>
            <w:vAlign w:val="center"/>
          </w:tcPr>
          <w:p w14:paraId="1B3B6A0A">
            <w:pPr>
              <w:pStyle w:val="37"/>
              <w:keepNext w:val="0"/>
              <w:keepLines w:val="0"/>
              <w:suppressLineNumbers w:val="0"/>
              <w:spacing w:before="0" w:beforeAutospacing="0" w:after="0" w:afterAutospacing="0"/>
              <w:ind w:left="0" w:right="0" w:firstLine="0"/>
              <w:rPr>
                <w:rFonts w:hint="eastAsia" w:ascii="宋体" w:hAnsi="宋体" w:cs="宋体"/>
                <w:sz w:val="24"/>
                <w:szCs w:val="24"/>
                <w:u w:val="single"/>
              </w:rPr>
            </w:pPr>
            <w:r>
              <w:rPr>
                <w:rFonts w:hint="eastAsia" w:ascii="宋体" w:hAnsi="宋体" w:cs="宋体"/>
                <w:sz w:val="24"/>
                <w:szCs w:val="24"/>
                <w:u w:val="none"/>
              </w:rPr>
              <w:t>详见本项目招标公告</w:t>
            </w:r>
          </w:p>
        </w:tc>
      </w:tr>
      <w:tr w14:paraId="0CAB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90" w:hRule="atLeast"/>
          <w:jc w:val="center"/>
        </w:trPr>
        <w:tc>
          <w:tcPr>
            <w:tcW w:w="1223" w:type="dxa"/>
            <w:noWrap w:val="0"/>
            <w:vAlign w:val="center"/>
          </w:tcPr>
          <w:p w14:paraId="60801E1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1.1.6</w:t>
            </w:r>
          </w:p>
        </w:tc>
        <w:tc>
          <w:tcPr>
            <w:tcW w:w="1822" w:type="dxa"/>
            <w:noWrap w:val="0"/>
            <w:vAlign w:val="center"/>
          </w:tcPr>
          <w:p w14:paraId="2F8D5347">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 xml:space="preserve">项目建设规模 </w:t>
            </w:r>
          </w:p>
        </w:tc>
        <w:tc>
          <w:tcPr>
            <w:tcW w:w="7156" w:type="dxa"/>
            <w:noWrap w:val="0"/>
            <w:vAlign w:val="center"/>
          </w:tcPr>
          <w:p w14:paraId="36B12D04">
            <w:pPr>
              <w:pStyle w:val="37"/>
              <w:keepNext w:val="0"/>
              <w:keepLines w:val="0"/>
              <w:suppressLineNumbers w:val="0"/>
              <w:spacing w:before="0" w:beforeAutospacing="0" w:after="0" w:afterAutospacing="0"/>
              <w:ind w:left="0" w:right="0" w:firstLine="0"/>
              <w:rPr>
                <w:rFonts w:hint="eastAsia" w:ascii="宋体" w:hAnsi="宋体" w:cs="宋体"/>
                <w:sz w:val="24"/>
                <w:szCs w:val="24"/>
                <w:u w:val="single"/>
              </w:rPr>
            </w:pPr>
            <w:r>
              <w:rPr>
                <w:rFonts w:hint="eastAsia" w:ascii="宋体" w:hAnsi="宋体" w:cs="宋体"/>
                <w:sz w:val="24"/>
                <w:szCs w:val="24"/>
                <w:u w:val="none"/>
              </w:rPr>
              <w:t>详见本项目招标公告</w:t>
            </w:r>
          </w:p>
        </w:tc>
      </w:tr>
      <w:tr w14:paraId="7C71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720" w:hRule="atLeast"/>
          <w:jc w:val="center"/>
        </w:trPr>
        <w:tc>
          <w:tcPr>
            <w:tcW w:w="1223" w:type="dxa"/>
            <w:noWrap w:val="0"/>
            <w:vAlign w:val="center"/>
          </w:tcPr>
          <w:p w14:paraId="41FE0F7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1.1.7</w:t>
            </w:r>
          </w:p>
        </w:tc>
        <w:tc>
          <w:tcPr>
            <w:tcW w:w="1822" w:type="dxa"/>
            <w:noWrap w:val="0"/>
            <w:vAlign w:val="center"/>
          </w:tcPr>
          <w:p w14:paraId="20F9EF24">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工程项目施工预计开工日期</w:t>
            </w:r>
          </w:p>
        </w:tc>
        <w:tc>
          <w:tcPr>
            <w:tcW w:w="7156" w:type="dxa"/>
            <w:noWrap w:val="0"/>
            <w:vAlign w:val="center"/>
          </w:tcPr>
          <w:p w14:paraId="50CD7C6D">
            <w:pPr>
              <w:keepNext w:val="0"/>
              <w:keepLines w:val="0"/>
              <w:widowControl/>
              <w:suppressLineNumbers w:val="0"/>
              <w:spacing w:before="0" w:beforeAutospacing="0" w:after="0" w:afterAutospacing="0" w:line="240" w:lineRule="auto"/>
              <w:ind w:left="0" w:right="154"/>
              <w:rPr>
                <w:rFonts w:hint="eastAsia" w:ascii="宋体" w:hAnsi="宋体" w:eastAsia="宋体" w:cs="宋体"/>
                <w:color w:val="auto"/>
                <w:kern w:val="0"/>
                <w:sz w:val="24"/>
                <w:szCs w:val="24"/>
                <w:u w:val="single"/>
              </w:rPr>
            </w:pPr>
            <w:r>
              <w:rPr>
                <w:rFonts w:hint="eastAsia" w:ascii="宋体" w:hAnsi="宋体" w:cs="宋体"/>
                <w:color w:val="auto"/>
                <w:sz w:val="24"/>
                <w:szCs w:val="24"/>
                <w:u w:val="single"/>
              </w:rPr>
              <w:t>开工时间以招标人通知为准。</w:t>
            </w:r>
          </w:p>
        </w:tc>
      </w:tr>
      <w:tr w14:paraId="30A2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95" w:hRule="atLeast"/>
          <w:jc w:val="center"/>
        </w:trPr>
        <w:tc>
          <w:tcPr>
            <w:tcW w:w="1223" w:type="dxa"/>
            <w:noWrap w:val="0"/>
            <w:vAlign w:val="center"/>
          </w:tcPr>
          <w:p w14:paraId="4711F96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1.1.8</w:t>
            </w:r>
          </w:p>
        </w:tc>
        <w:tc>
          <w:tcPr>
            <w:tcW w:w="1822" w:type="dxa"/>
            <w:noWrap w:val="0"/>
            <w:vAlign w:val="center"/>
          </w:tcPr>
          <w:p w14:paraId="67C088E0">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sz w:val="24"/>
                <w:szCs w:val="24"/>
              </w:rPr>
              <w:t>工程总投资</w:t>
            </w:r>
          </w:p>
        </w:tc>
        <w:tc>
          <w:tcPr>
            <w:tcW w:w="7156" w:type="dxa"/>
            <w:noWrap w:val="0"/>
            <w:vAlign w:val="center"/>
          </w:tcPr>
          <w:p w14:paraId="2BCE513B">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sz w:val="24"/>
                <w:szCs w:val="24"/>
                <w:u w:val="none"/>
              </w:rPr>
              <w:t>详见本项目招标公告</w:t>
            </w:r>
          </w:p>
        </w:tc>
      </w:tr>
      <w:tr w14:paraId="12F5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03" w:hRule="atLeast"/>
          <w:jc w:val="center"/>
        </w:trPr>
        <w:tc>
          <w:tcPr>
            <w:tcW w:w="1223" w:type="dxa"/>
            <w:noWrap w:val="0"/>
            <w:vAlign w:val="center"/>
          </w:tcPr>
          <w:p w14:paraId="22B2FAF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1.2.1</w:t>
            </w:r>
          </w:p>
        </w:tc>
        <w:tc>
          <w:tcPr>
            <w:tcW w:w="1822" w:type="dxa"/>
            <w:noWrap w:val="0"/>
            <w:vAlign w:val="center"/>
          </w:tcPr>
          <w:p w14:paraId="5F7C224D">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资金来源及比例</w:t>
            </w:r>
          </w:p>
        </w:tc>
        <w:tc>
          <w:tcPr>
            <w:tcW w:w="7156" w:type="dxa"/>
            <w:noWrap w:val="0"/>
            <w:vAlign w:val="center"/>
          </w:tcPr>
          <w:p w14:paraId="358BC3D2">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sz w:val="24"/>
                <w:szCs w:val="24"/>
                <w:u w:val="none"/>
              </w:rPr>
              <w:t>详见本项目招标公告</w:t>
            </w:r>
          </w:p>
        </w:tc>
      </w:tr>
      <w:tr w14:paraId="1174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03" w:hRule="atLeast"/>
          <w:jc w:val="center"/>
        </w:trPr>
        <w:tc>
          <w:tcPr>
            <w:tcW w:w="1223" w:type="dxa"/>
            <w:noWrap w:val="0"/>
            <w:vAlign w:val="center"/>
          </w:tcPr>
          <w:p w14:paraId="29996FA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1822" w:type="dxa"/>
            <w:noWrap w:val="0"/>
            <w:vAlign w:val="center"/>
          </w:tcPr>
          <w:p w14:paraId="2FBDDD97">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资金落实情况</w:t>
            </w:r>
          </w:p>
        </w:tc>
        <w:tc>
          <w:tcPr>
            <w:tcW w:w="7156" w:type="dxa"/>
            <w:noWrap w:val="0"/>
            <w:vAlign w:val="center"/>
          </w:tcPr>
          <w:p w14:paraId="09AEC9E6">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已落实。</w:t>
            </w:r>
          </w:p>
        </w:tc>
      </w:tr>
      <w:tr w14:paraId="087F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03" w:hRule="atLeast"/>
          <w:jc w:val="center"/>
        </w:trPr>
        <w:tc>
          <w:tcPr>
            <w:tcW w:w="1223" w:type="dxa"/>
            <w:noWrap w:val="0"/>
            <w:vAlign w:val="center"/>
          </w:tcPr>
          <w:p w14:paraId="1916BD8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1.3.1</w:t>
            </w:r>
          </w:p>
        </w:tc>
        <w:tc>
          <w:tcPr>
            <w:tcW w:w="1822" w:type="dxa"/>
            <w:noWrap w:val="0"/>
            <w:vAlign w:val="center"/>
          </w:tcPr>
          <w:p w14:paraId="7DAB4C06">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招标范围</w:t>
            </w:r>
          </w:p>
        </w:tc>
        <w:tc>
          <w:tcPr>
            <w:tcW w:w="7156" w:type="dxa"/>
            <w:noWrap w:val="0"/>
            <w:vAlign w:val="center"/>
          </w:tcPr>
          <w:p w14:paraId="6BD0DA02">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sz w:val="24"/>
                <w:szCs w:val="24"/>
                <w:u w:val="none"/>
              </w:rPr>
              <w:t>详见本项目招标公告</w:t>
            </w:r>
            <w:r>
              <w:rPr>
                <w:rFonts w:hint="eastAsia" w:ascii="宋体" w:hAnsi="宋体" w:cs="宋体"/>
                <w:kern w:val="2"/>
                <w:sz w:val="24"/>
                <w:szCs w:val="24"/>
                <w:lang w:bidi="ar"/>
              </w:rPr>
              <w:t>。</w:t>
            </w:r>
          </w:p>
        </w:tc>
      </w:tr>
      <w:tr w14:paraId="1E24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31" w:hRule="atLeast"/>
          <w:jc w:val="center"/>
        </w:trPr>
        <w:tc>
          <w:tcPr>
            <w:tcW w:w="1223" w:type="dxa"/>
            <w:noWrap w:val="0"/>
            <w:vAlign w:val="center"/>
          </w:tcPr>
          <w:p w14:paraId="318AE76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1.3.2</w:t>
            </w:r>
          </w:p>
        </w:tc>
        <w:tc>
          <w:tcPr>
            <w:tcW w:w="1822" w:type="dxa"/>
            <w:noWrap w:val="0"/>
            <w:vAlign w:val="center"/>
          </w:tcPr>
          <w:p w14:paraId="6FBE43B9">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Times New Roman"/>
                <w:sz w:val="24"/>
                <w:szCs w:val="24"/>
              </w:rPr>
              <w:t>勘察</w:t>
            </w:r>
            <w:r>
              <w:rPr>
                <w:rFonts w:hint="eastAsia" w:ascii="宋体" w:hAnsi="宋体" w:cs="宋体"/>
                <w:kern w:val="2"/>
                <w:sz w:val="24"/>
                <w:szCs w:val="24"/>
              </w:rPr>
              <w:t>服务工期</w:t>
            </w:r>
          </w:p>
        </w:tc>
        <w:tc>
          <w:tcPr>
            <w:tcW w:w="7156" w:type="dxa"/>
            <w:noWrap w:val="0"/>
            <w:vAlign w:val="center"/>
          </w:tcPr>
          <w:p w14:paraId="4F2D48EE">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sz w:val="24"/>
                <w:szCs w:val="24"/>
                <w:u w:val="none"/>
              </w:rPr>
              <w:t>详见本项目招标公告</w:t>
            </w:r>
          </w:p>
        </w:tc>
      </w:tr>
      <w:tr w14:paraId="641A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374" w:hRule="atLeast"/>
          <w:jc w:val="center"/>
        </w:trPr>
        <w:tc>
          <w:tcPr>
            <w:tcW w:w="1223" w:type="dxa"/>
            <w:noWrap w:val="0"/>
            <w:vAlign w:val="center"/>
          </w:tcPr>
          <w:p w14:paraId="66B87A9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1.3.3</w:t>
            </w:r>
          </w:p>
        </w:tc>
        <w:tc>
          <w:tcPr>
            <w:tcW w:w="1822" w:type="dxa"/>
            <w:noWrap w:val="0"/>
            <w:vAlign w:val="center"/>
          </w:tcPr>
          <w:p w14:paraId="407C7554">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质量标准</w:t>
            </w:r>
          </w:p>
        </w:tc>
        <w:tc>
          <w:tcPr>
            <w:tcW w:w="7156" w:type="dxa"/>
            <w:noWrap w:val="0"/>
            <w:vAlign w:val="center"/>
          </w:tcPr>
          <w:p w14:paraId="3794391D">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sz w:val="24"/>
                <w:szCs w:val="24"/>
                <w:u w:val="single"/>
              </w:rPr>
              <w:t>符合国家及省、市、行业有关标准。</w:t>
            </w:r>
          </w:p>
        </w:tc>
      </w:tr>
      <w:tr w14:paraId="62DA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767" w:hRule="atLeast"/>
          <w:jc w:val="center"/>
        </w:trPr>
        <w:tc>
          <w:tcPr>
            <w:tcW w:w="1223" w:type="dxa"/>
            <w:noWrap w:val="0"/>
            <w:vAlign w:val="center"/>
          </w:tcPr>
          <w:p w14:paraId="4BAD99D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1.4.1</w:t>
            </w:r>
          </w:p>
        </w:tc>
        <w:tc>
          <w:tcPr>
            <w:tcW w:w="1822" w:type="dxa"/>
            <w:noWrap w:val="0"/>
            <w:vAlign w:val="center"/>
          </w:tcPr>
          <w:p w14:paraId="4C94C541">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投标人资质条件、能力、信誉</w:t>
            </w:r>
          </w:p>
        </w:tc>
        <w:tc>
          <w:tcPr>
            <w:tcW w:w="7156" w:type="dxa"/>
            <w:noWrap w:val="0"/>
            <w:vAlign w:val="center"/>
          </w:tcPr>
          <w:p w14:paraId="7489EB2F">
            <w:pPr>
              <w:pStyle w:val="75"/>
              <w:keepNext w:val="0"/>
              <w:keepLines w:val="0"/>
              <w:suppressLineNumbers w:val="0"/>
              <w:spacing w:before="0" w:beforeAutospacing="0" w:afterAutospacing="0" w:line="360" w:lineRule="exact"/>
              <w:ind w:left="142" w:right="106" w:firstLine="0" w:firstLineChars="0"/>
              <w:rPr>
                <w:rFonts w:hint="eastAsia" w:ascii="宋体" w:hAnsi="宋体" w:cs="宋体"/>
                <w:sz w:val="24"/>
                <w:szCs w:val="24"/>
              </w:rPr>
            </w:pPr>
            <w:r>
              <w:rPr>
                <w:rFonts w:hint="eastAsia" w:ascii="宋体" w:hAnsi="宋体" w:cs="宋体"/>
                <w:sz w:val="24"/>
                <w:szCs w:val="24"/>
              </w:rPr>
              <w:t>（1）资质要求：</w:t>
            </w:r>
            <w:r>
              <w:rPr>
                <w:rFonts w:hint="eastAsia" w:ascii="宋体" w:hAnsi="宋体" w:cs="宋体"/>
                <w:sz w:val="24"/>
                <w:szCs w:val="24"/>
                <w:u w:val="single"/>
              </w:rPr>
              <w:t>见招标公告投标人资格要求</w:t>
            </w:r>
          </w:p>
          <w:p w14:paraId="3EABE339">
            <w:pPr>
              <w:pStyle w:val="75"/>
              <w:keepNext w:val="0"/>
              <w:keepLines w:val="0"/>
              <w:suppressLineNumbers w:val="0"/>
              <w:spacing w:before="0" w:beforeAutospacing="0" w:afterAutospacing="0" w:line="360" w:lineRule="exact"/>
              <w:ind w:left="142" w:right="106" w:firstLine="0" w:firstLineChars="0"/>
              <w:rPr>
                <w:rFonts w:hint="eastAsia" w:ascii="宋体" w:hAnsi="宋体" w:cs="宋体"/>
                <w:sz w:val="24"/>
                <w:szCs w:val="24"/>
              </w:rPr>
            </w:pPr>
            <w:r>
              <w:rPr>
                <w:rFonts w:hint="eastAsia" w:ascii="宋体" w:hAnsi="宋体" w:cs="宋体"/>
                <w:sz w:val="24"/>
                <w:szCs w:val="24"/>
              </w:rPr>
              <w:t>（2）财务要求：</w:t>
            </w:r>
            <w:r>
              <w:rPr>
                <w:rFonts w:hint="eastAsia" w:ascii="宋体" w:hAnsi="宋体" w:cs="宋体"/>
                <w:sz w:val="24"/>
                <w:szCs w:val="24"/>
                <w:u w:val="single"/>
              </w:rPr>
              <w:t xml:space="preserve">/ </w:t>
            </w:r>
          </w:p>
          <w:p w14:paraId="5080664F">
            <w:pPr>
              <w:pStyle w:val="75"/>
              <w:keepNext w:val="0"/>
              <w:keepLines w:val="0"/>
              <w:suppressLineNumbers w:val="0"/>
              <w:spacing w:before="0" w:beforeAutospacing="0" w:afterAutospacing="0" w:line="360" w:lineRule="exact"/>
              <w:ind w:left="142" w:right="106" w:firstLine="0" w:firstLineChars="0"/>
              <w:rPr>
                <w:rFonts w:hint="eastAsia" w:ascii="宋体" w:hAnsi="宋体" w:cs="宋体"/>
                <w:sz w:val="24"/>
                <w:szCs w:val="24"/>
              </w:rPr>
            </w:pPr>
            <w:r>
              <w:rPr>
                <w:rFonts w:hint="eastAsia" w:ascii="宋体" w:hAnsi="宋体" w:cs="宋体"/>
                <w:sz w:val="24"/>
                <w:szCs w:val="24"/>
              </w:rPr>
              <w:t>（3）业绩要求：</w:t>
            </w:r>
            <w:r>
              <w:rPr>
                <w:rFonts w:hint="eastAsia" w:ascii="宋体" w:hAnsi="宋体" w:cs="宋体"/>
                <w:sz w:val="24"/>
                <w:szCs w:val="24"/>
                <w:u w:val="single"/>
              </w:rPr>
              <w:t xml:space="preserve">/ </w:t>
            </w:r>
          </w:p>
          <w:p w14:paraId="076DF17D">
            <w:pPr>
              <w:pStyle w:val="75"/>
              <w:keepNext w:val="0"/>
              <w:keepLines w:val="0"/>
              <w:suppressLineNumbers w:val="0"/>
              <w:spacing w:before="0" w:beforeAutospacing="0" w:afterAutospacing="0" w:line="360" w:lineRule="exact"/>
              <w:ind w:left="142" w:right="106" w:firstLine="0" w:firstLineChars="0"/>
              <w:rPr>
                <w:rFonts w:hint="eastAsia" w:ascii="宋体" w:hAnsi="宋体" w:eastAsia="宋体" w:cs="宋体"/>
                <w:sz w:val="24"/>
                <w:szCs w:val="24"/>
                <w:u w:val="single"/>
                <w:lang w:val="en-US" w:eastAsia="zh-CN"/>
              </w:rPr>
            </w:pPr>
            <w:r>
              <w:rPr>
                <w:rFonts w:hint="eastAsia" w:ascii="宋体" w:hAnsi="宋体" w:cs="宋体"/>
                <w:sz w:val="24"/>
                <w:szCs w:val="24"/>
              </w:rPr>
              <w:t>（4）信誉要求：</w:t>
            </w:r>
            <w:r>
              <w:rPr>
                <w:rFonts w:hint="eastAsia" w:ascii="宋体" w:hAnsi="宋体" w:cs="宋体"/>
                <w:sz w:val="24"/>
                <w:szCs w:val="24"/>
                <w:u w:val="single"/>
                <w:lang w:val="en-US" w:eastAsia="zh-CN"/>
              </w:rPr>
              <w:t>/</w:t>
            </w:r>
          </w:p>
          <w:p w14:paraId="419A4292">
            <w:pPr>
              <w:pStyle w:val="75"/>
              <w:keepNext w:val="0"/>
              <w:keepLines w:val="0"/>
              <w:suppressLineNumbers w:val="0"/>
              <w:spacing w:before="0" w:beforeAutospacing="0" w:afterAutospacing="0" w:line="360" w:lineRule="exact"/>
              <w:ind w:left="142" w:right="106" w:firstLine="0" w:firstLineChars="0"/>
              <w:rPr>
                <w:rFonts w:hint="eastAsia" w:ascii="宋体" w:hAnsi="宋体" w:cs="宋体"/>
                <w:sz w:val="24"/>
                <w:szCs w:val="24"/>
              </w:rPr>
            </w:pPr>
            <w:r>
              <w:rPr>
                <w:rFonts w:hint="eastAsia" w:ascii="宋体" w:hAnsi="宋体" w:cs="宋体"/>
                <w:sz w:val="24"/>
                <w:szCs w:val="24"/>
              </w:rPr>
              <w:t>（5）项目负责人的资格要求：</w:t>
            </w:r>
            <w:r>
              <w:rPr>
                <w:rFonts w:hint="eastAsia" w:ascii="宋体" w:hAnsi="宋体" w:cs="宋体"/>
                <w:sz w:val="24"/>
                <w:szCs w:val="24"/>
                <w:u w:val="single"/>
              </w:rPr>
              <w:t>见招标公告投标人资格要求</w:t>
            </w:r>
          </w:p>
          <w:p w14:paraId="6A2D5DDD">
            <w:pPr>
              <w:pStyle w:val="75"/>
              <w:keepNext w:val="0"/>
              <w:keepLines w:val="0"/>
              <w:suppressLineNumbers w:val="0"/>
              <w:spacing w:before="0" w:beforeAutospacing="0" w:afterAutospacing="0" w:line="360" w:lineRule="exact"/>
              <w:ind w:left="142" w:right="106" w:firstLine="0" w:firstLineChars="0"/>
              <w:rPr>
                <w:rFonts w:hint="eastAsia" w:ascii="宋体" w:hAnsi="宋体" w:cs="宋体"/>
                <w:sz w:val="24"/>
                <w:szCs w:val="24"/>
              </w:rPr>
            </w:pPr>
            <w:r>
              <w:rPr>
                <w:rFonts w:hint="eastAsia" w:ascii="宋体" w:hAnsi="宋体" w:cs="宋体"/>
                <w:sz w:val="24"/>
                <w:szCs w:val="24"/>
              </w:rPr>
              <w:t>（6）其他主要人员要求：</w:t>
            </w:r>
            <w:r>
              <w:rPr>
                <w:rFonts w:hint="eastAsia" w:ascii="宋体" w:hAnsi="宋体" w:cs="宋体"/>
                <w:sz w:val="24"/>
                <w:szCs w:val="24"/>
                <w:u w:val="single"/>
              </w:rPr>
              <w:t xml:space="preserve">/ </w:t>
            </w:r>
            <w:r>
              <w:rPr>
                <w:rFonts w:hint="eastAsia" w:ascii="宋体" w:hAnsi="宋体" w:cs="宋体"/>
                <w:sz w:val="24"/>
                <w:szCs w:val="24"/>
              </w:rPr>
              <w:t>。</w:t>
            </w:r>
          </w:p>
          <w:p w14:paraId="23037913">
            <w:pPr>
              <w:pStyle w:val="75"/>
              <w:keepNext w:val="0"/>
              <w:keepLines w:val="0"/>
              <w:suppressLineNumbers w:val="0"/>
              <w:spacing w:before="0" w:beforeAutospacing="0" w:afterAutospacing="0" w:line="360" w:lineRule="exact"/>
              <w:ind w:left="142" w:right="106" w:firstLine="0" w:firstLineChars="0"/>
              <w:rPr>
                <w:rFonts w:hint="eastAsia" w:ascii="宋体" w:hAnsi="宋体" w:cs="宋体"/>
                <w:sz w:val="24"/>
                <w:szCs w:val="24"/>
              </w:rPr>
            </w:pPr>
            <w:r>
              <w:rPr>
                <w:rFonts w:hint="eastAsia" w:ascii="宋体" w:hAnsi="宋体" w:cs="宋体"/>
                <w:sz w:val="24"/>
                <w:szCs w:val="24"/>
              </w:rPr>
              <w:t>（7）试验检测仪器设备要求：</w:t>
            </w:r>
            <w:r>
              <w:rPr>
                <w:rFonts w:hint="eastAsia" w:ascii="宋体" w:hAnsi="宋体" w:cs="宋体"/>
                <w:sz w:val="24"/>
                <w:szCs w:val="24"/>
                <w:u w:val="single"/>
              </w:rPr>
              <w:t xml:space="preserve">/ </w:t>
            </w:r>
            <w:r>
              <w:rPr>
                <w:rFonts w:hint="eastAsia" w:ascii="宋体" w:hAnsi="宋体" w:cs="宋体"/>
                <w:sz w:val="24"/>
                <w:szCs w:val="24"/>
              </w:rPr>
              <w:t>。</w:t>
            </w:r>
          </w:p>
          <w:p w14:paraId="726266EB">
            <w:pPr>
              <w:pStyle w:val="75"/>
              <w:keepNext w:val="0"/>
              <w:keepLines w:val="0"/>
              <w:suppressLineNumbers w:val="0"/>
              <w:spacing w:before="0" w:beforeAutospacing="0" w:afterAutospacing="0" w:line="360" w:lineRule="exact"/>
              <w:ind w:left="142" w:right="106" w:firstLine="0" w:firstLineChars="0"/>
              <w:rPr>
                <w:rFonts w:hint="eastAsia" w:ascii="宋体" w:hAnsi="宋体" w:cs="宋体"/>
                <w:sz w:val="24"/>
                <w:szCs w:val="24"/>
                <w:u w:val="single"/>
              </w:rPr>
            </w:pPr>
            <w:r>
              <w:rPr>
                <w:rFonts w:hint="eastAsia" w:ascii="宋体" w:hAnsi="宋体" w:cs="宋体"/>
                <w:sz w:val="24"/>
                <w:szCs w:val="24"/>
              </w:rPr>
              <w:t>（8）其他要求：</w:t>
            </w:r>
            <w:r>
              <w:rPr>
                <w:rFonts w:hint="eastAsia" w:ascii="宋体" w:hAnsi="宋体" w:cs="宋体"/>
                <w:sz w:val="24"/>
                <w:szCs w:val="24"/>
                <w:u w:val="single"/>
              </w:rPr>
              <w:t>见招标公告投标人资格要求</w:t>
            </w:r>
          </w:p>
        </w:tc>
      </w:tr>
      <w:tr w14:paraId="2366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538" w:hRule="atLeast"/>
          <w:jc w:val="center"/>
        </w:trPr>
        <w:tc>
          <w:tcPr>
            <w:tcW w:w="1223" w:type="dxa"/>
            <w:noWrap w:val="0"/>
            <w:vAlign w:val="center"/>
          </w:tcPr>
          <w:p w14:paraId="4A40A56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1.4.2</w:t>
            </w:r>
          </w:p>
        </w:tc>
        <w:tc>
          <w:tcPr>
            <w:tcW w:w="1822" w:type="dxa"/>
            <w:noWrap w:val="0"/>
            <w:vAlign w:val="center"/>
          </w:tcPr>
          <w:p w14:paraId="5EF81FF1">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是否接受联合体投标</w:t>
            </w:r>
          </w:p>
        </w:tc>
        <w:tc>
          <w:tcPr>
            <w:tcW w:w="7156" w:type="dxa"/>
            <w:noWrap w:val="0"/>
            <w:vAlign w:val="center"/>
          </w:tcPr>
          <w:p w14:paraId="02169CB8">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接受联合体投标。</w:t>
            </w:r>
          </w:p>
        </w:tc>
      </w:tr>
      <w:tr w14:paraId="1AAD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538" w:hRule="atLeast"/>
          <w:jc w:val="center"/>
        </w:trPr>
        <w:tc>
          <w:tcPr>
            <w:tcW w:w="1223" w:type="dxa"/>
            <w:noWrap w:val="0"/>
            <w:vAlign w:val="center"/>
          </w:tcPr>
          <w:p w14:paraId="3389FF14">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1.4.3</w:t>
            </w:r>
          </w:p>
        </w:tc>
        <w:tc>
          <w:tcPr>
            <w:tcW w:w="1822" w:type="dxa"/>
            <w:noWrap w:val="0"/>
            <w:vAlign w:val="center"/>
          </w:tcPr>
          <w:p w14:paraId="1FC1B97B">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投标人不得存在的其他情形</w:t>
            </w:r>
          </w:p>
        </w:tc>
        <w:tc>
          <w:tcPr>
            <w:tcW w:w="7156" w:type="dxa"/>
            <w:noWrap w:val="0"/>
            <w:vAlign w:val="center"/>
          </w:tcPr>
          <w:p w14:paraId="691A9ABA">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（1）为招标人不具有独立法人资格的附属机构（单位）；</w:t>
            </w:r>
          </w:p>
          <w:p w14:paraId="4A117640">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（2）与招标人存在利害关系且可能影响招标公正性；</w:t>
            </w:r>
          </w:p>
          <w:p w14:paraId="023E05E0">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（3）与本招标项目的其他投标人为同一个单位负责人；</w:t>
            </w:r>
          </w:p>
          <w:p w14:paraId="05CC3783">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（4）与本招标项目的其他投标人存在控股、管理关系；</w:t>
            </w:r>
          </w:p>
          <w:p w14:paraId="7EAE4DB9">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（5）为本招标项目的代建人；</w:t>
            </w:r>
          </w:p>
          <w:p w14:paraId="07A586A7">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（6）为本招标项目的招标代理机构；</w:t>
            </w:r>
          </w:p>
          <w:p w14:paraId="126FFA42">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（7）与本招标项目的代建人或招标代理机构同为一个法定代表人；</w:t>
            </w:r>
          </w:p>
          <w:p w14:paraId="721570C7">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（8）与本招标项目的代建人或招标代理机构存在控股或参股关系；</w:t>
            </w:r>
          </w:p>
          <w:p w14:paraId="1AED897B">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9）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6DB6A266">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（10）被责令停产停业、暂扣或者吊销许可证、暂扣或者吊销执照（本项事实应当以根据《中华人民共和国行政处罚法》依法作出并已经生效的行政处罚决定为认定依据。）；</w:t>
            </w:r>
          </w:p>
          <w:p w14:paraId="0AF173B6">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（11）进入清算程序，或被宣告破产，或其他丧失履约能力的情形；</w:t>
            </w:r>
          </w:p>
          <w:p w14:paraId="27AC987F">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（12）在最近三年内有严重违约或发生重大</w:t>
            </w:r>
            <w:r>
              <w:rPr>
                <w:rFonts w:hint="eastAsia" w:ascii="宋体" w:hAnsi="宋体" w:cs="宋体"/>
                <w:kern w:val="2"/>
                <w:sz w:val="24"/>
                <w:szCs w:val="24"/>
                <w:lang w:val="en-US" w:eastAsia="zh-CN"/>
              </w:rPr>
              <w:t>勘察</w:t>
            </w:r>
            <w:r>
              <w:rPr>
                <w:rFonts w:hint="eastAsia" w:ascii="宋体" w:hAnsi="宋体" w:cs="宋体"/>
                <w:kern w:val="2"/>
                <w:sz w:val="24"/>
                <w:szCs w:val="24"/>
              </w:rPr>
              <w:t>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7517D2F">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13）被人民法院列为失信被执行人或有其他失信行为（包括但不限于：在最近三年内有骗取中标或严重违约或重大工程质量问题的、法律规定的其他情形，下同），以本项目投标截止时在“信用中国”网站（www.creditchina.gov.cn）、“国家企业信用信息公示系统”（www.gsxt.gov.cn）查询为准（失信主体信息包括但不限于：失信被执行人、企业经营异常名录、重大税收违法案件当事人名单、列入严重违法失信企业名单（黑名单）等）。</w:t>
            </w:r>
          </w:p>
          <w:p w14:paraId="69EB8011">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（14）法律法规规定的其他情形。</w:t>
            </w:r>
          </w:p>
        </w:tc>
      </w:tr>
      <w:tr w14:paraId="7BD9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538" w:hRule="atLeast"/>
          <w:jc w:val="center"/>
        </w:trPr>
        <w:tc>
          <w:tcPr>
            <w:tcW w:w="1223" w:type="dxa"/>
            <w:noWrap w:val="0"/>
            <w:vAlign w:val="center"/>
          </w:tcPr>
          <w:p w14:paraId="2A8797C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1.9.1</w:t>
            </w:r>
          </w:p>
        </w:tc>
        <w:tc>
          <w:tcPr>
            <w:tcW w:w="1822" w:type="dxa"/>
            <w:noWrap w:val="0"/>
            <w:vAlign w:val="center"/>
          </w:tcPr>
          <w:p w14:paraId="08CCF69C">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踏勘现场</w:t>
            </w:r>
          </w:p>
        </w:tc>
        <w:tc>
          <w:tcPr>
            <w:tcW w:w="7156" w:type="dxa"/>
            <w:noWrap w:val="0"/>
            <w:vAlign w:val="center"/>
          </w:tcPr>
          <w:p w14:paraId="2898EF66">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■不组织。</w:t>
            </w:r>
            <w:r>
              <w:rPr>
                <w:rFonts w:hint="eastAsia" w:ascii="宋体" w:hAnsi="宋体" w:cs="宋体"/>
                <w:kern w:val="2"/>
                <w:sz w:val="24"/>
                <w:szCs w:val="24"/>
                <w:u w:val="single"/>
              </w:rPr>
              <w:t>投标人自行考察</w:t>
            </w:r>
          </w:p>
          <w:p w14:paraId="25504670">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□组织，踏勘时间：/</w:t>
            </w:r>
          </w:p>
          <w:p w14:paraId="19AA2A6A">
            <w:pPr>
              <w:pStyle w:val="37"/>
              <w:keepNext w:val="0"/>
              <w:keepLines w:val="0"/>
              <w:suppressLineNumbers w:val="0"/>
              <w:spacing w:before="0" w:beforeAutospacing="0" w:after="0" w:afterAutospacing="0"/>
              <w:ind w:left="0" w:right="0" w:firstLine="960" w:firstLineChars="400"/>
              <w:rPr>
                <w:rFonts w:hint="eastAsia" w:ascii="宋体" w:hAnsi="宋体" w:cs="宋体"/>
                <w:kern w:val="2"/>
                <w:sz w:val="24"/>
                <w:szCs w:val="24"/>
              </w:rPr>
            </w:pPr>
            <w:r>
              <w:rPr>
                <w:rFonts w:hint="eastAsia" w:ascii="宋体" w:hAnsi="宋体" w:cs="宋体"/>
                <w:kern w:val="2"/>
                <w:sz w:val="24"/>
                <w:szCs w:val="24"/>
              </w:rPr>
              <w:t>踏勘集中地点： /</w:t>
            </w:r>
          </w:p>
        </w:tc>
      </w:tr>
      <w:tr w14:paraId="558A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547" w:hRule="atLeast"/>
          <w:jc w:val="center"/>
        </w:trPr>
        <w:tc>
          <w:tcPr>
            <w:tcW w:w="1223" w:type="dxa"/>
            <w:noWrap w:val="0"/>
            <w:vAlign w:val="center"/>
          </w:tcPr>
          <w:p w14:paraId="673679E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1.10.1</w:t>
            </w:r>
          </w:p>
        </w:tc>
        <w:tc>
          <w:tcPr>
            <w:tcW w:w="1822" w:type="dxa"/>
            <w:noWrap w:val="0"/>
            <w:vAlign w:val="center"/>
          </w:tcPr>
          <w:p w14:paraId="1B54431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投标预备会</w:t>
            </w:r>
          </w:p>
        </w:tc>
        <w:tc>
          <w:tcPr>
            <w:tcW w:w="7156" w:type="dxa"/>
            <w:noWrap w:val="0"/>
            <w:vAlign w:val="center"/>
          </w:tcPr>
          <w:p w14:paraId="4B6E6608">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 xml:space="preserve">■不召开 </w:t>
            </w:r>
          </w:p>
          <w:p w14:paraId="45EB3FA6">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□召开，召开时间：</w:t>
            </w:r>
          </w:p>
          <w:p w14:paraId="62761086">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召开地点： /</w:t>
            </w:r>
          </w:p>
        </w:tc>
      </w:tr>
      <w:tr w14:paraId="566A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314" w:hRule="atLeast"/>
          <w:jc w:val="center"/>
        </w:trPr>
        <w:tc>
          <w:tcPr>
            <w:tcW w:w="1223" w:type="dxa"/>
            <w:vMerge w:val="restart"/>
            <w:noWrap w:val="0"/>
            <w:vAlign w:val="center"/>
          </w:tcPr>
          <w:p w14:paraId="2BEA816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1.10.2</w:t>
            </w:r>
          </w:p>
        </w:tc>
        <w:tc>
          <w:tcPr>
            <w:tcW w:w="1822" w:type="dxa"/>
            <w:vMerge w:val="restart"/>
            <w:noWrap w:val="0"/>
            <w:vAlign w:val="center"/>
          </w:tcPr>
          <w:p w14:paraId="0B10AB9E">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投标人在投标预备会前提出问题</w:t>
            </w:r>
          </w:p>
        </w:tc>
        <w:tc>
          <w:tcPr>
            <w:tcW w:w="7156" w:type="dxa"/>
            <w:noWrap w:val="0"/>
            <w:vAlign w:val="center"/>
          </w:tcPr>
          <w:p w14:paraId="0E188D0F">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时间：/</w:t>
            </w:r>
          </w:p>
        </w:tc>
      </w:tr>
      <w:tr w14:paraId="2EA5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314" w:hRule="atLeast"/>
          <w:jc w:val="center"/>
        </w:trPr>
        <w:tc>
          <w:tcPr>
            <w:tcW w:w="1223" w:type="dxa"/>
            <w:vMerge w:val="continue"/>
            <w:noWrap w:val="0"/>
            <w:vAlign w:val="center"/>
          </w:tcPr>
          <w:p w14:paraId="7E2AFA5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p>
        </w:tc>
        <w:tc>
          <w:tcPr>
            <w:tcW w:w="1822" w:type="dxa"/>
            <w:vMerge w:val="continue"/>
            <w:noWrap w:val="0"/>
            <w:vAlign w:val="center"/>
          </w:tcPr>
          <w:p w14:paraId="181CB52E">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p>
        </w:tc>
        <w:tc>
          <w:tcPr>
            <w:tcW w:w="7156" w:type="dxa"/>
            <w:noWrap w:val="0"/>
            <w:vAlign w:val="center"/>
          </w:tcPr>
          <w:p w14:paraId="5144D0D3">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形式：/</w:t>
            </w:r>
          </w:p>
        </w:tc>
      </w:tr>
      <w:tr w14:paraId="2E7A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538" w:hRule="atLeast"/>
          <w:jc w:val="center"/>
        </w:trPr>
        <w:tc>
          <w:tcPr>
            <w:tcW w:w="1223" w:type="dxa"/>
            <w:noWrap w:val="0"/>
            <w:vAlign w:val="center"/>
          </w:tcPr>
          <w:p w14:paraId="5DB77AA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1.10.3</w:t>
            </w:r>
          </w:p>
        </w:tc>
        <w:tc>
          <w:tcPr>
            <w:tcW w:w="1822" w:type="dxa"/>
            <w:noWrap w:val="0"/>
            <w:vAlign w:val="center"/>
          </w:tcPr>
          <w:p w14:paraId="5C718FA3">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招标文件澄清发出的形式</w:t>
            </w:r>
          </w:p>
        </w:tc>
        <w:tc>
          <w:tcPr>
            <w:tcW w:w="7156" w:type="dxa"/>
            <w:noWrap w:val="0"/>
            <w:vAlign w:val="center"/>
          </w:tcPr>
          <w:p w14:paraId="7EEEB486">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14:paraId="5FFC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538" w:hRule="atLeast"/>
          <w:jc w:val="center"/>
        </w:trPr>
        <w:tc>
          <w:tcPr>
            <w:tcW w:w="1223" w:type="dxa"/>
            <w:noWrap w:val="0"/>
            <w:vAlign w:val="center"/>
          </w:tcPr>
          <w:p w14:paraId="40405C6F">
            <w:pPr>
              <w:keepNext w:val="0"/>
              <w:keepLines w:val="0"/>
              <w:widowControl/>
              <w:suppressLineNumbers w:val="0"/>
              <w:spacing w:before="0" w:beforeAutospacing="0" w:afterAutospacing="0"/>
              <w:ind w:left="0" w:right="0"/>
              <w:jc w:val="center"/>
              <w:rPr>
                <w:rFonts w:hint="eastAsia" w:ascii="宋体" w:hAnsi="宋体" w:eastAsia="宋体" w:cs="宋体"/>
                <w:color w:val="auto"/>
                <w:sz w:val="24"/>
                <w:szCs w:val="24"/>
              </w:rPr>
            </w:pPr>
            <w:r>
              <w:rPr>
                <w:rFonts w:hint="default" w:ascii="宋体" w:hAnsi="宋体" w:cs="Times New Roman"/>
                <w:sz w:val="24"/>
                <w:szCs w:val="24"/>
              </w:rPr>
              <w:t>1.1</w:t>
            </w:r>
            <w:r>
              <w:rPr>
                <w:rFonts w:hint="eastAsia" w:ascii="宋体" w:hAnsi="宋体" w:cs="Times New Roman"/>
                <w:sz w:val="24"/>
                <w:szCs w:val="24"/>
              </w:rPr>
              <w:t>1</w:t>
            </w:r>
            <w:r>
              <w:rPr>
                <w:rFonts w:hint="default" w:ascii="宋体" w:hAnsi="宋体" w:cs="Times New Roman"/>
                <w:sz w:val="24"/>
                <w:szCs w:val="24"/>
              </w:rPr>
              <w:t>.</w:t>
            </w:r>
            <w:r>
              <w:rPr>
                <w:rFonts w:hint="eastAsia" w:ascii="宋体" w:hAnsi="宋体" w:cs="Times New Roman"/>
                <w:sz w:val="24"/>
                <w:szCs w:val="24"/>
              </w:rPr>
              <w:t>1</w:t>
            </w:r>
          </w:p>
        </w:tc>
        <w:tc>
          <w:tcPr>
            <w:tcW w:w="1822" w:type="dxa"/>
            <w:noWrap w:val="0"/>
            <w:vAlign w:val="center"/>
          </w:tcPr>
          <w:p w14:paraId="59518797">
            <w:pPr>
              <w:keepNext w:val="0"/>
              <w:keepLines w:val="0"/>
              <w:widowControl/>
              <w:suppressLineNumbers w:val="0"/>
              <w:spacing w:before="0" w:beforeAutospacing="0" w:afterAutospacing="0" w:line="240" w:lineRule="auto"/>
              <w:ind w:left="0" w:right="0"/>
              <w:jc w:val="center"/>
              <w:rPr>
                <w:rFonts w:hint="eastAsia" w:ascii="宋体" w:hAnsi="宋体" w:cs="宋体"/>
                <w:sz w:val="24"/>
                <w:szCs w:val="24"/>
              </w:rPr>
            </w:pPr>
            <w:r>
              <w:rPr>
                <w:rFonts w:hint="eastAsia" w:ascii="宋体" w:hAnsi="宋体" w:cs="Times New Roman"/>
                <w:sz w:val="24"/>
                <w:szCs w:val="24"/>
              </w:rPr>
              <w:t>分包</w:t>
            </w:r>
          </w:p>
        </w:tc>
        <w:tc>
          <w:tcPr>
            <w:tcW w:w="7156" w:type="dxa"/>
            <w:noWrap w:val="0"/>
            <w:vAlign w:val="center"/>
          </w:tcPr>
          <w:p w14:paraId="36BE7729">
            <w:pPr>
              <w:keepNext w:val="0"/>
              <w:keepLines w:val="0"/>
              <w:widowControl/>
              <w:suppressLineNumbers w:val="0"/>
              <w:spacing w:before="0" w:beforeAutospacing="0" w:afterAutospacing="0" w:line="240" w:lineRule="auto"/>
              <w:ind w:left="0" w:right="0"/>
              <w:rPr>
                <w:rFonts w:hint="eastAsia" w:ascii="宋体" w:hAnsi="宋体" w:cs="Times New Roman"/>
                <w:sz w:val="24"/>
                <w:szCs w:val="24"/>
              </w:rPr>
            </w:pPr>
            <w:r>
              <w:rPr>
                <w:rFonts w:hint="eastAsia" w:ascii="宋体" w:hAnsi="宋体" w:eastAsia="宋体" w:cs="宋体"/>
                <w:sz w:val="24"/>
                <w:szCs w:val="24"/>
                <w:lang w:eastAsia="zh-CN"/>
              </w:rPr>
              <w:t>□</w:t>
            </w:r>
            <w:r>
              <w:rPr>
                <w:rFonts w:hint="eastAsia" w:ascii="宋体" w:hAnsi="宋体" w:cs="Times New Roman"/>
                <w:sz w:val="24"/>
                <w:szCs w:val="24"/>
              </w:rPr>
              <w:t>不允许</w:t>
            </w:r>
          </w:p>
          <w:p w14:paraId="642DA3DF">
            <w:pPr>
              <w:keepNext w:val="0"/>
              <w:keepLines w:val="0"/>
              <w:widowControl/>
              <w:suppressLineNumbers w:val="0"/>
              <w:spacing w:before="0" w:beforeAutospacing="0" w:afterAutospacing="0" w:line="240" w:lineRule="auto"/>
              <w:ind w:left="0" w:right="0"/>
              <w:rPr>
                <w:rFonts w:hint="eastAsia" w:ascii="宋体" w:hAnsi="宋体" w:eastAsia="宋体" w:cs="宋体"/>
                <w:sz w:val="24"/>
                <w:szCs w:val="24"/>
                <w:u w:val="single"/>
              </w:rPr>
            </w:pPr>
            <w:r>
              <w:rPr>
                <w:rFonts w:hint="eastAsia" w:ascii="宋体" w:hAnsi="宋体" w:eastAsia="宋体" w:cs="宋体"/>
                <w:sz w:val="24"/>
                <w:szCs w:val="24"/>
                <w:highlight w:val="none"/>
              </w:rPr>
              <w:t>■允许，</w:t>
            </w:r>
            <w:r>
              <w:rPr>
                <w:rFonts w:hint="eastAsia" w:ascii="宋体" w:hAnsi="宋体" w:eastAsia="宋体" w:cs="宋体"/>
                <w:sz w:val="24"/>
                <w:szCs w:val="24"/>
              </w:rPr>
              <w:t>分包内容要求：</w:t>
            </w:r>
            <w:r>
              <w:rPr>
                <w:rFonts w:hint="eastAsia" w:ascii="宋体" w:hAnsi="宋体" w:eastAsia="宋体" w:cs="宋体"/>
                <w:sz w:val="24"/>
                <w:szCs w:val="24"/>
                <w:u w:val="single"/>
              </w:rPr>
              <w:t>按照合同约定并经招标人同意。</w:t>
            </w:r>
          </w:p>
          <w:p w14:paraId="24369BFB">
            <w:pPr>
              <w:keepNext w:val="0"/>
              <w:keepLines w:val="0"/>
              <w:widowControl/>
              <w:suppressLineNumbers w:val="0"/>
              <w:spacing w:before="0" w:beforeAutospacing="0" w:afterAutospacing="0" w:line="240" w:lineRule="auto"/>
              <w:ind w:left="0" w:right="0"/>
              <w:rPr>
                <w:rFonts w:hint="eastAsia" w:ascii="宋体" w:hAnsi="宋体" w:eastAsia="宋体" w:cs="宋体"/>
                <w:sz w:val="24"/>
                <w:szCs w:val="24"/>
              </w:rPr>
            </w:pPr>
            <w:r>
              <w:rPr>
                <w:rFonts w:hint="eastAsia" w:ascii="宋体" w:hAnsi="宋体" w:eastAsia="宋体" w:cs="宋体"/>
                <w:sz w:val="24"/>
                <w:szCs w:val="24"/>
              </w:rPr>
              <w:t xml:space="preserve">        分包金额要求：</w:t>
            </w:r>
            <w:r>
              <w:rPr>
                <w:rFonts w:hint="eastAsia" w:ascii="宋体" w:hAnsi="宋体" w:eastAsia="宋体" w:cs="宋体"/>
                <w:sz w:val="24"/>
                <w:szCs w:val="24"/>
                <w:u w:val="single"/>
              </w:rPr>
              <w:t>按照合同约定并经招标人同意。</w:t>
            </w:r>
          </w:p>
          <w:p w14:paraId="5C3B9514">
            <w:pPr>
              <w:keepNext w:val="0"/>
              <w:keepLines w:val="0"/>
              <w:widowControl/>
              <w:suppressLineNumbers w:val="0"/>
              <w:spacing w:before="0" w:beforeAutospacing="0" w:afterAutospacing="0" w:line="240" w:lineRule="auto"/>
              <w:ind w:left="0" w:right="0"/>
              <w:rPr>
                <w:rFonts w:hint="eastAsia" w:ascii="宋体" w:hAnsi="宋体" w:eastAsia="宋体" w:cs="宋体"/>
                <w:color w:val="auto"/>
                <w:sz w:val="24"/>
                <w:szCs w:val="24"/>
              </w:rPr>
            </w:pPr>
            <w:r>
              <w:rPr>
                <w:rFonts w:hint="eastAsia" w:ascii="宋体" w:hAnsi="宋体" w:eastAsia="宋体" w:cs="宋体"/>
                <w:sz w:val="24"/>
                <w:szCs w:val="24"/>
              </w:rPr>
              <w:t xml:space="preserve">        对分包人的资质要求：</w:t>
            </w:r>
            <w:r>
              <w:rPr>
                <w:rFonts w:hint="eastAsia" w:ascii="宋体" w:hAnsi="宋体" w:eastAsia="宋体" w:cs="宋体"/>
                <w:sz w:val="24"/>
                <w:szCs w:val="24"/>
                <w:u w:val="single"/>
              </w:rPr>
              <w:t>按国家规定。</w:t>
            </w:r>
          </w:p>
        </w:tc>
      </w:tr>
      <w:tr w14:paraId="591E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445" w:hRule="atLeast"/>
          <w:jc w:val="center"/>
        </w:trPr>
        <w:tc>
          <w:tcPr>
            <w:tcW w:w="1223" w:type="dxa"/>
            <w:noWrap w:val="0"/>
            <w:vAlign w:val="center"/>
          </w:tcPr>
          <w:p w14:paraId="1639A0A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1.12.1</w:t>
            </w:r>
          </w:p>
        </w:tc>
        <w:tc>
          <w:tcPr>
            <w:tcW w:w="1822" w:type="dxa"/>
            <w:noWrap w:val="0"/>
            <w:vAlign w:val="center"/>
          </w:tcPr>
          <w:p w14:paraId="7C4471D7">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实质性要求和条件</w:t>
            </w:r>
          </w:p>
        </w:tc>
        <w:tc>
          <w:tcPr>
            <w:tcW w:w="7156" w:type="dxa"/>
            <w:noWrap w:val="0"/>
            <w:vAlign w:val="center"/>
          </w:tcPr>
          <w:p w14:paraId="4F18D098">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w:t>
            </w:r>
          </w:p>
        </w:tc>
      </w:tr>
      <w:tr w14:paraId="5F4B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445" w:hRule="atLeast"/>
          <w:jc w:val="center"/>
        </w:trPr>
        <w:tc>
          <w:tcPr>
            <w:tcW w:w="1223" w:type="dxa"/>
            <w:noWrap w:val="0"/>
            <w:vAlign w:val="center"/>
          </w:tcPr>
          <w:p w14:paraId="26398B4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1.12.3</w:t>
            </w:r>
          </w:p>
        </w:tc>
        <w:tc>
          <w:tcPr>
            <w:tcW w:w="1822" w:type="dxa"/>
            <w:noWrap w:val="0"/>
            <w:vAlign w:val="center"/>
          </w:tcPr>
          <w:p w14:paraId="481F5F70">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偏差</w:t>
            </w:r>
          </w:p>
        </w:tc>
        <w:tc>
          <w:tcPr>
            <w:tcW w:w="7156" w:type="dxa"/>
            <w:noWrap w:val="0"/>
            <w:vAlign w:val="center"/>
          </w:tcPr>
          <w:p w14:paraId="6B80EB54">
            <w:pPr>
              <w:pStyle w:val="37"/>
              <w:keepNext w:val="0"/>
              <w:keepLines w:val="0"/>
              <w:suppressLineNumbers w:val="0"/>
              <w:spacing w:before="0" w:beforeAutospacing="0" w:after="0" w:afterAutospacing="0"/>
              <w:ind w:left="0" w:right="0" w:firstLine="0"/>
              <w:rPr>
                <w:rFonts w:hint="eastAsia" w:ascii="宋体" w:hAnsi="宋体" w:cs="宋体"/>
                <w:sz w:val="24"/>
                <w:szCs w:val="24"/>
              </w:rPr>
            </w:pPr>
            <w:r>
              <w:rPr>
                <w:rFonts w:hint="eastAsia" w:ascii="宋体" w:hAnsi="宋体" w:cs="宋体"/>
                <w:sz w:val="24"/>
                <w:szCs w:val="24"/>
              </w:rPr>
              <w:t>■不允许</w:t>
            </w:r>
          </w:p>
          <w:p w14:paraId="784F4E9F">
            <w:pPr>
              <w:pStyle w:val="37"/>
              <w:keepNext w:val="0"/>
              <w:keepLines w:val="0"/>
              <w:suppressLineNumbers w:val="0"/>
              <w:spacing w:before="0" w:beforeAutospacing="0" w:after="0" w:afterAutospacing="0"/>
              <w:ind w:left="0" w:right="0" w:firstLine="0"/>
              <w:rPr>
                <w:rFonts w:hint="eastAsia" w:ascii="宋体" w:hAnsi="宋体" w:cs="宋体"/>
                <w:sz w:val="24"/>
                <w:szCs w:val="24"/>
              </w:rPr>
            </w:pPr>
            <w:r>
              <w:rPr>
                <w:rFonts w:hint="eastAsia" w:ascii="宋体" w:hAnsi="宋体" w:cs="宋体"/>
                <w:sz w:val="24"/>
                <w:szCs w:val="24"/>
              </w:rPr>
              <w:t>□允许，偏差范围：</w:t>
            </w:r>
          </w:p>
          <w:p w14:paraId="2578CCBA">
            <w:pPr>
              <w:pStyle w:val="37"/>
              <w:keepNext w:val="0"/>
              <w:keepLines w:val="0"/>
              <w:suppressLineNumbers w:val="0"/>
              <w:spacing w:before="0" w:beforeAutospacing="0" w:after="0" w:afterAutospacing="0"/>
              <w:ind w:left="0" w:right="0" w:firstLine="0"/>
              <w:rPr>
                <w:rFonts w:hint="eastAsia" w:ascii="宋体" w:hAnsi="宋体" w:cs="宋体"/>
                <w:sz w:val="24"/>
                <w:szCs w:val="24"/>
              </w:rPr>
            </w:pPr>
            <w:r>
              <w:rPr>
                <w:rFonts w:hint="eastAsia" w:ascii="宋体" w:hAnsi="宋体" w:cs="宋体"/>
                <w:sz w:val="24"/>
                <w:szCs w:val="24"/>
              </w:rPr>
              <w:t>偏差幅度：</w:t>
            </w:r>
          </w:p>
        </w:tc>
      </w:tr>
      <w:tr w14:paraId="5D94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538" w:hRule="atLeast"/>
          <w:jc w:val="center"/>
        </w:trPr>
        <w:tc>
          <w:tcPr>
            <w:tcW w:w="1223" w:type="dxa"/>
            <w:noWrap w:val="0"/>
            <w:vAlign w:val="center"/>
          </w:tcPr>
          <w:p w14:paraId="66B4761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1822" w:type="dxa"/>
            <w:noWrap w:val="0"/>
            <w:vAlign w:val="center"/>
          </w:tcPr>
          <w:p w14:paraId="052DFBB1">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构成招标文件的其他资料</w:t>
            </w:r>
          </w:p>
        </w:tc>
        <w:tc>
          <w:tcPr>
            <w:tcW w:w="7156" w:type="dxa"/>
            <w:noWrap w:val="0"/>
            <w:vAlign w:val="center"/>
          </w:tcPr>
          <w:p w14:paraId="6ED49F93">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w:t>
            </w:r>
          </w:p>
        </w:tc>
      </w:tr>
      <w:tr w14:paraId="3BCF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320" w:hRule="atLeast"/>
          <w:jc w:val="center"/>
        </w:trPr>
        <w:tc>
          <w:tcPr>
            <w:tcW w:w="1223" w:type="dxa"/>
            <w:vMerge w:val="restart"/>
            <w:noWrap w:val="0"/>
            <w:vAlign w:val="center"/>
          </w:tcPr>
          <w:p w14:paraId="02C03F8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2.2.1</w:t>
            </w:r>
          </w:p>
        </w:tc>
        <w:tc>
          <w:tcPr>
            <w:tcW w:w="1822" w:type="dxa"/>
            <w:vMerge w:val="restart"/>
            <w:noWrap w:val="0"/>
            <w:vAlign w:val="center"/>
          </w:tcPr>
          <w:p w14:paraId="608F6EC3">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投标人要求澄清招标文件</w:t>
            </w:r>
          </w:p>
        </w:tc>
        <w:tc>
          <w:tcPr>
            <w:tcW w:w="7156" w:type="dxa"/>
            <w:noWrap w:val="0"/>
            <w:vAlign w:val="center"/>
          </w:tcPr>
          <w:p w14:paraId="03618900">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时间：在提交投标文件截止时间前18天提出</w:t>
            </w:r>
          </w:p>
        </w:tc>
      </w:tr>
      <w:tr w14:paraId="5538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575" w:hRule="atLeast"/>
          <w:jc w:val="center"/>
        </w:trPr>
        <w:tc>
          <w:tcPr>
            <w:tcW w:w="1223" w:type="dxa"/>
            <w:vMerge w:val="continue"/>
            <w:noWrap w:val="0"/>
            <w:vAlign w:val="center"/>
          </w:tcPr>
          <w:p w14:paraId="7E9E73B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p>
        </w:tc>
        <w:tc>
          <w:tcPr>
            <w:tcW w:w="1822" w:type="dxa"/>
            <w:vMerge w:val="continue"/>
            <w:noWrap w:val="0"/>
            <w:vAlign w:val="center"/>
          </w:tcPr>
          <w:p w14:paraId="31E12B0A">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p>
        </w:tc>
        <w:tc>
          <w:tcPr>
            <w:tcW w:w="7156" w:type="dxa"/>
            <w:noWrap w:val="0"/>
            <w:vAlign w:val="center"/>
          </w:tcPr>
          <w:p w14:paraId="104A870D">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形式：投标人的疑问通过广州交易集团有限公司（广州公共资源交易中心）数字交易平台提交。按照广州交易集团有限公司（广州公共资源交易中心）数字交易平台关于全流程电子化项目的相关指南进行操作，详见：《建设工程全流程电子化项目操作指南》。提问一律不得署名。</w:t>
            </w:r>
          </w:p>
        </w:tc>
      </w:tr>
      <w:tr w14:paraId="23A1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763" w:hRule="atLeast"/>
          <w:jc w:val="center"/>
        </w:trPr>
        <w:tc>
          <w:tcPr>
            <w:tcW w:w="1223" w:type="dxa"/>
            <w:noWrap w:val="0"/>
            <w:vAlign w:val="center"/>
          </w:tcPr>
          <w:p w14:paraId="67C741A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2.2.2</w:t>
            </w:r>
          </w:p>
        </w:tc>
        <w:tc>
          <w:tcPr>
            <w:tcW w:w="1822" w:type="dxa"/>
            <w:noWrap w:val="0"/>
            <w:vAlign w:val="center"/>
          </w:tcPr>
          <w:p w14:paraId="01A67E35">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招标文件澄清发出的形式</w:t>
            </w:r>
          </w:p>
        </w:tc>
        <w:tc>
          <w:tcPr>
            <w:tcW w:w="7156" w:type="dxa"/>
            <w:noWrap w:val="0"/>
            <w:vAlign w:val="center"/>
          </w:tcPr>
          <w:p w14:paraId="0DC14950">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招标人应在递交投标文件截止时间15日前将招标文件澄清文件在广州交易集团有限公司（广州公共资源交易中心）网站“招标答疑”专区发布。不足15日的，招标人应当顺延投标文件的截止时间。</w:t>
            </w:r>
          </w:p>
        </w:tc>
      </w:tr>
      <w:tr w14:paraId="567E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2046" w:hRule="atLeast"/>
          <w:jc w:val="center"/>
        </w:trPr>
        <w:tc>
          <w:tcPr>
            <w:tcW w:w="1223" w:type="dxa"/>
            <w:noWrap w:val="0"/>
            <w:vAlign w:val="center"/>
          </w:tcPr>
          <w:p w14:paraId="5F18BED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2.2.3</w:t>
            </w:r>
          </w:p>
        </w:tc>
        <w:tc>
          <w:tcPr>
            <w:tcW w:w="1822" w:type="dxa"/>
            <w:noWrap w:val="0"/>
            <w:vAlign w:val="center"/>
          </w:tcPr>
          <w:p w14:paraId="781119EE">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投标人确认收到招标文件澄清</w:t>
            </w:r>
          </w:p>
        </w:tc>
        <w:tc>
          <w:tcPr>
            <w:tcW w:w="7156" w:type="dxa"/>
            <w:noWrap w:val="0"/>
            <w:vAlign w:val="center"/>
          </w:tcPr>
          <w:p w14:paraId="5A879C7D">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招标文件的澄清或修改在广州交易集团有限公司（广州公共资源交易中心）网站答疑专区网上公开发布，发出即视作收到，以广州交易集团有限公司（广州公共资源交易中心）数字交易平台网站发布时间作为送达时间。无需投标人确认。投标人应自行关注，招标人不再一一通知。招标文件的澄清或修改内容作为招标文件的组成部分，具有约束作用。</w:t>
            </w:r>
          </w:p>
        </w:tc>
      </w:tr>
      <w:tr w14:paraId="3662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763" w:hRule="atLeast"/>
          <w:jc w:val="center"/>
        </w:trPr>
        <w:tc>
          <w:tcPr>
            <w:tcW w:w="1223" w:type="dxa"/>
            <w:noWrap w:val="0"/>
            <w:vAlign w:val="center"/>
          </w:tcPr>
          <w:p w14:paraId="0B60FFC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2.3.1</w:t>
            </w:r>
          </w:p>
        </w:tc>
        <w:tc>
          <w:tcPr>
            <w:tcW w:w="1822" w:type="dxa"/>
            <w:noWrap w:val="0"/>
            <w:vAlign w:val="center"/>
          </w:tcPr>
          <w:p w14:paraId="37C30951">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招标文件修改发出的形式</w:t>
            </w:r>
          </w:p>
        </w:tc>
        <w:tc>
          <w:tcPr>
            <w:tcW w:w="7156" w:type="dxa"/>
            <w:noWrap w:val="0"/>
            <w:vAlign w:val="center"/>
          </w:tcPr>
          <w:p w14:paraId="59E80FDD">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以补充公告或项目答疑澄清的方式在广州交易集团有限公司（广州公共资源交易中心）网站发布</w:t>
            </w:r>
          </w:p>
        </w:tc>
      </w:tr>
      <w:tr w14:paraId="3F49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612" w:hRule="atLeast"/>
          <w:jc w:val="center"/>
        </w:trPr>
        <w:tc>
          <w:tcPr>
            <w:tcW w:w="1223" w:type="dxa"/>
            <w:noWrap w:val="0"/>
            <w:vAlign w:val="center"/>
          </w:tcPr>
          <w:p w14:paraId="735A39C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2.3.2</w:t>
            </w:r>
          </w:p>
        </w:tc>
        <w:tc>
          <w:tcPr>
            <w:tcW w:w="1822" w:type="dxa"/>
            <w:noWrap w:val="0"/>
            <w:vAlign w:val="center"/>
          </w:tcPr>
          <w:p w14:paraId="48747E97">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投标人确认收到招标文件修改</w:t>
            </w:r>
          </w:p>
        </w:tc>
        <w:tc>
          <w:tcPr>
            <w:tcW w:w="7156" w:type="dxa"/>
            <w:noWrap w:val="0"/>
            <w:vAlign w:val="center"/>
          </w:tcPr>
          <w:p w14:paraId="5298541D">
            <w:pPr>
              <w:pStyle w:val="37"/>
              <w:keepNext w:val="0"/>
              <w:keepLines w:val="0"/>
              <w:suppressLineNumbers w:val="0"/>
              <w:spacing w:before="0" w:beforeAutospacing="0" w:after="0" w:afterAutospacing="0"/>
              <w:ind w:left="0" w:right="132" w:rightChars="60" w:firstLine="0"/>
              <w:rPr>
                <w:rFonts w:hint="eastAsia" w:ascii="宋体" w:hAnsi="宋体" w:cs="宋体"/>
                <w:kern w:val="2"/>
                <w:sz w:val="24"/>
                <w:szCs w:val="24"/>
              </w:rPr>
            </w:pPr>
            <w:r>
              <w:rPr>
                <w:rFonts w:hint="eastAsia" w:ascii="宋体" w:hAnsi="宋体" w:cs="宋体"/>
                <w:kern w:val="2"/>
                <w:sz w:val="24"/>
                <w:szCs w:val="24"/>
              </w:rPr>
              <w:t>招标文件的澄清或修改在广州交易集团有限公司（广州公共资源交易中心）网站答疑专区网上公开发布，发出即视作收到，以广州交易集团有限公司（广州公共资源交易中心）数字交易平台网站发布时间作为送达时间。无需投标人确认。投标人应自行关注，招标人不再一一通知。招标文件的澄清或修改内容作为招标文件的组成部分，具有约束作用。</w:t>
            </w:r>
          </w:p>
        </w:tc>
      </w:tr>
      <w:tr w14:paraId="08CA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603" w:hRule="atLeast"/>
          <w:jc w:val="center"/>
        </w:trPr>
        <w:tc>
          <w:tcPr>
            <w:tcW w:w="1223" w:type="dxa"/>
            <w:noWrap w:val="0"/>
            <w:vAlign w:val="center"/>
          </w:tcPr>
          <w:p w14:paraId="6C9719E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3.1.1</w:t>
            </w:r>
          </w:p>
        </w:tc>
        <w:tc>
          <w:tcPr>
            <w:tcW w:w="1822" w:type="dxa"/>
            <w:noWrap w:val="0"/>
            <w:vAlign w:val="center"/>
          </w:tcPr>
          <w:p w14:paraId="07CAB031">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构成投标文件的其他资料</w:t>
            </w:r>
          </w:p>
        </w:tc>
        <w:tc>
          <w:tcPr>
            <w:tcW w:w="7156" w:type="dxa"/>
            <w:noWrap w:val="0"/>
            <w:vAlign w:val="center"/>
          </w:tcPr>
          <w:p w14:paraId="503C1F05">
            <w:pPr>
              <w:pStyle w:val="37"/>
              <w:keepNext w:val="0"/>
              <w:keepLines w:val="0"/>
              <w:suppressLineNumbers w:val="0"/>
              <w:spacing w:before="0" w:beforeAutospacing="0" w:after="0" w:afterAutospacing="0"/>
              <w:ind w:left="0" w:right="132" w:rightChars="60" w:firstLine="0"/>
              <w:rPr>
                <w:rFonts w:hint="eastAsia" w:ascii="宋体" w:hAnsi="宋体" w:cs="宋体"/>
                <w:kern w:val="2"/>
                <w:sz w:val="24"/>
                <w:szCs w:val="24"/>
              </w:rPr>
            </w:pPr>
            <w:r>
              <w:rPr>
                <w:rFonts w:hint="eastAsia" w:ascii="宋体" w:hAnsi="宋体" w:cs="宋体"/>
                <w:kern w:val="2"/>
                <w:sz w:val="24"/>
                <w:szCs w:val="24"/>
              </w:rPr>
              <w:t>满足本项目评审要求的其他资料。</w:t>
            </w:r>
          </w:p>
        </w:tc>
      </w:tr>
      <w:tr w14:paraId="5CA0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47" w:hRule="atLeast"/>
          <w:jc w:val="center"/>
        </w:trPr>
        <w:tc>
          <w:tcPr>
            <w:tcW w:w="1223" w:type="dxa"/>
            <w:noWrap w:val="0"/>
            <w:vAlign w:val="center"/>
          </w:tcPr>
          <w:p w14:paraId="269AEB2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3.2.3</w:t>
            </w:r>
          </w:p>
        </w:tc>
        <w:tc>
          <w:tcPr>
            <w:tcW w:w="1822" w:type="dxa"/>
            <w:noWrap w:val="0"/>
            <w:vAlign w:val="center"/>
          </w:tcPr>
          <w:p w14:paraId="3C688533">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报价方式</w:t>
            </w:r>
          </w:p>
        </w:tc>
        <w:tc>
          <w:tcPr>
            <w:tcW w:w="7156" w:type="dxa"/>
            <w:noWrap w:val="0"/>
            <w:vAlign w:val="center"/>
          </w:tcPr>
          <w:p w14:paraId="05A0CC8B">
            <w:pPr>
              <w:pStyle w:val="37"/>
              <w:keepNext w:val="0"/>
              <w:keepLines w:val="0"/>
              <w:suppressLineNumbers w:val="0"/>
              <w:spacing w:before="0" w:beforeAutospacing="0" w:after="0" w:afterAutospacing="0"/>
              <w:ind w:left="0" w:right="132" w:rightChars="60" w:firstLine="0"/>
              <w:rPr>
                <w:rFonts w:hint="eastAsia" w:ascii="宋体" w:hAnsi="宋体" w:cs="宋体"/>
                <w:kern w:val="2"/>
                <w:sz w:val="24"/>
                <w:szCs w:val="24"/>
              </w:rPr>
            </w:pPr>
            <w:r>
              <w:rPr>
                <w:rFonts w:hint="eastAsia" w:ascii="宋体" w:hAnsi="宋体" w:cs="宋体"/>
                <w:sz w:val="24"/>
                <w:szCs w:val="24"/>
                <w:u w:val="single"/>
              </w:rPr>
              <w:t>自行报价（以元为单位，精确到小数位后2位）。投标报价不得超过最高投标限价或综合单价限价，由投标人根据招标文件要求以及企业自身情况填写报价</w:t>
            </w:r>
            <w:r>
              <w:rPr>
                <w:rFonts w:hint="eastAsia" w:ascii="宋体" w:hAnsi="宋体" w:cs="宋体"/>
                <w:sz w:val="22"/>
                <w:u w:val="single"/>
              </w:rPr>
              <w:t>，</w:t>
            </w:r>
            <w:r>
              <w:rPr>
                <w:rFonts w:hint="eastAsia" w:ascii="宋体" w:hAnsi="宋体" w:cs="宋体"/>
                <w:sz w:val="24"/>
                <w:szCs w:val="24"/>
                <w:u w:val="single"/>
              </w:rPr>
              <w:t>工程量按实结算。</w:t>
            </w:r>
          </w:p>
        </w:tc>
      </w:tr>
      <w:tr w14:paraId="1A15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742" w:hRule="atLeast"/>
          <w:jc w:val="center"/>
        </w:trPr>
        <w:tc>
          <w:tcPr>
            <w:tcW w:w="1223" w:type="dxa"/>
            <w:noWrap w:val="0"/>
            <w:vAlign w:val="center"/>
          </w:tcPr>
          <w:p w14:paraId="2D34E4A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3.2.4</w:t>
            </w:r>
          </w:p>
        </w:tc>
        <w:tc>
          <w:tcPr>
            <w:tcW w:w="1822" w:type="dxa"/>
            <w:noWrap w:val="0"/>
            <w:vAlign w:val="center"/>
          </w:tcPr>
          <w:p w14:paraId="3ACB7173">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最高投标限价</w:t>
            </w:r>
          </w:p>
        </w:tc>
        <w:tc>
          <w:tcPr>
            <w:tcW w:w="7156" w:type="dxa"/>
            <w:noWrap w:val="0"/>
            <w:vAlign w:val="center"/>
          </w:tcPr>
          <w:p w14:paraId="7464508F">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 xml:space="preserve">□无 </w:t>
            </w:r>
          </w:p>
          <w:p w14:paraId="0EF087D8">
            <w:pPr>
              <w:pStyle w:val="8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■有，</w:t>
            </w:r>
            <w:r>
              <w:rPr>
                <w:rFonts w:hint="eastAsia" w:ascii="宋体" w:hAnsi="宋体" w:eastAsia="宋体" w:cs="宋体"/>
                <w:color w:val="auto"/>
                <w:kern w:val="2"/>
                <w:sz w:val="24"/>
                <w:szCs w:val="24"/>
                <w:u w:val="single"/>
              </w:rPr>
              <w:t>最高投标限价为人民币</w:t>
            </w:r>
            <w:r>
              <w:rPr>
                <w:rFonts w:hint="eastAsia" w:ascii="宋体" w:hAnsi="宋体" w:eastAsia="宋体" w:cs="宋体"/>
                <w:color w:val="auto"/>
                <w:kern w:val="2"/>
                <w:sz w:val="24"/>
                <w:szCs w:val="24"/>
                <w:u w:val="single"/>
                <w:lang w:val="en-US" w:eastAsia="zh-CN"/>
              </w:rPr>
              <w:t>500500</w:t>
            </w:r>
            <w:r>
              <w:rPr>
                <w:rFonts w:hint="eastAsia" w:ascii="宋体" w:hAnsi="宋体" w:eastAsia="宋体" w:cs="宋体"/>
                <w:color w:val="auto"/>
                <w:kern w:val="2"/>
                <w:sz w:val="24"/>
                <w:szCs w:val="24"/>
                <w:u w:val="single"/>
              </w:rPr>
              <w:t>元</w:t>
            </w:r>
            <w:r>
              <w:rPr>
                <w:rFonts w:hint="eastAsia" w:ascii="宋体" w:hAnsi="宋体" w:eastAsia="宋体" w:cs="宋体"/>
                <w:color w:val="auto"/>
                <w:kern w:val="2"/>
                <w:sz w:val="24"/>
                <w:szCs w:val="24"/>
                <w:highlight w:val="none"/>
                <w:u w:val="single"/>
                <w:lang w:val="en-US" w:eastAsia="zh-CN"/>
              </w:rPr>
              <w:t>；</w:t>
            </w:r>
            <w:r>
              <w:rPr>
                <w:rFonts w:hint="eastAsia" w:ascii="宋体" w:hAnsi="宋体" w:eastAsia="宋体" w:cs="宋体"/>
                <w:color w:val="auto"/>
                <w:kern w:val="2"/>
                <w:sz w:val="24"/>
                <w:szCs w:val="24"/>
                <w:highlight w:val="none"/>
                <w:u w:val="single"/>
              </w:rPr>
              <w:t>具体详见招标文件附录4工程勘察费报价表。</w:t>
            </w:r>
          </w:p>
          <w:p w14:paraId="1651FBBD">
            <w:pPr>
              <w:pStyle w:val="8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注：投标报价不得超过项目的最高投标限价。</w:t>
            </w:r>
          </w:p>
        </w:tc>
      </w:tr>
      <w:tr w14:paraId="453C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52" w:hRule="atLeast"/>
          <w:jc w:val="center"/>
        </w:trPr>
        <w:tc>
          <w:tcPr>
            <w:tcW w:w="1223" w:type="dxa"/>
            <w:noWrap w:val="0"/>
            <w:vAlign w:val="center"/>
          </w:tcPr>
          <w:p w14:paraId="5008006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3.2.5</w:t>
            </w:r>
          </w:p>
        </w:tc>
        <w:tc>
          <w:tcPr>
            <w:tcW w:w="1822" w:type="dxa"/>
            <w:noWrap w:val="0"/>
            <w:vAlign w:val="center"/>
          </w:tcPr>
          <w:p w14:paraId="58E640C1">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投标报价的其他要求</w:t>
            </w:r>
          </w:p>
        </w:tc>
        <w:tc>
          <w:tcPr>
            <w:tcW w:w="7156" w:type="dxa"/>
            <w:noWrap w:val="0"/>
            <w:vAlign w:val="center"/>
          </w:tcPr>
          <w:p w14:paraId="283892CE">
            <w:pPr>
              <w:keepNext w:val="0"/>
              <w:keepLines w:val="0"/>
              <w:widowControl/>
              <w:suppressLineNumbers w:val="0"/>
              <w:spacing w:before="0" w:beforeAutospacing="0" w:after="0" w:afterAutospacing="0" w:line="360" w:lineRule="auto"/>
              <w:ind w:left="0" w:right="112" w:rightChars="51"/>
              <w:rPr>
                <w:rFonts w:hint="eastAsia" w:ascii="Calibri" w:hAnsi="Calibri" w:cs="Times New Roman"/>
                <w:color w:val="auto"/>
              </w:rPr>
            </w:pPr>
            <w:r>
              <w:rPr>
                <w:rFonts w:hint="eastAsia" w:ascii="宋体" w:hAnsi="宋体" w:eastAsia="宋体" w:cs="宋体"/>
                <w:color w:val="auto"/>
                <w:sz w:val="24"/>
                <w:szCs w:val="24"/>
                <w:u w:val="single"/>
              </w:rPr>
              <w:t>投标人必须详细审阅全部招标文件，充分考虑职责和义务，全面地理解招标文件对投标报价的要求，并按招标人提出的条件及内容进行报价。</w:t>
            </w:r>
          </w:p>
        </w:tc>
      </w:tr>
      <w:tr w14:paraId="0C2F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603" w:hRule="atLeast"/>
          <w:jc w:val="center"/>
        </w:trPr>
        <w:tc>
          <w:tcPr>
            <w:tcW w:w="1223" w:type="dxa"/>
            <w:noWrap w:val="0"/>
            <w:vAlign w:val="center"/>
          </w:tcPr>
          <w:p w14:paraId="7853F9E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3.3.1</w:t>
            </w:r>
          </w:p>
        </w:tc>
        <w:tc>
          <w:tcPr>
            <w:tcW w:w="1822" w:type="dxa"/>
            <w:noWrap w:val="0"/>
            <w:vAlign w:val="center"/>
          </w:tcPr>
          <w:p w14:paraId="35322649">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投标有效期</w:t>
            </w:r>
          </w:p>
        </w:tc>
        <w:tc>
          <w:tcPr>
            <w:tcW w:w="7156" w:type="dxa"/>
            <w:noWrap w:val="0"/>
            <w:vAlign w:val="center"/>
          </w:tcPr>
          <w:p w14:paraId="2F1786B2">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default" w:ascii="宋体" w:hAnsi="宋体" w:cs="宋体"/>
                <w:b/>
                <w:bCs/>
                <w:kern w:val="2"/>
                <w:sz w:val="24"/>
                <w:szCs w:val="24"/>
              </w:rPr>
              <w:t>90</w:t>
            </w:r>
            <w:r>
              <w:rPr>
                <w:rFonts w:hint="eastAsia" w:ascii="宋体" w:hAnsi="宋体" w:cs="宋体"/>
                <w:b/>
                <w:bCs/>
                <w:kern w:val="2"/>
                <w:sz w:val="24"/>
                <w:szCs w:val="24"/>
              </w:rPr>
              <w:t>日历天</w:t>
            </w:r>
            <w:r>
              <w:rPr>
                <w:rFonts w:hint="eastAsia" w:ascii="宋体" w:hAnsi="宋体" w:cs="宋体"/>
                <w:b w:val="0"/>
                <w:bCs w:val="0"/>
                <w:kern w:val="2"/>
                <w:sz w:val="24"/>
                <w:szCs w:val="24"/>
              </w:rPr>
              <w:t>（从提交投标截止之日起计算。如出现异议或投诉，则投标有效期自动延长至异议或投诉处理结束）</w:t>
            </w:r>
          </w:p>
        </w:tc>
      </w:tr>
      <w:tr w14:paraId="6D32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565" w:hRule="atLeast"/>
          <w:jc w:val="center"/>
        </w:trPr>
        <w:tc>
          <w:tcPr>
            <w:tcW w:w="1223" w:type="dxa"/>
            <w:noWrap w:val="0"/>
            <w:vAlign w:val="center"/>
          </w:tcPr>
          <w:p w14:paraId="354D44C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3.4.1</w:t>
            </w:r>
          </w:p>
        </w:tc>
        <w:tc>
          <w:tcPr>
            <w:tcW w:w="1822" w:type="dxa"/>
            <w:noWrap w:val="0"/>
            <w:vAlign w:val="center"/>
          </w:tcPr>
          <w:p w14:paraId="7FD99A6B">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投标保证金</w:t>
            </w:r>
          </w:p>
        </w:tc>
        <w:tc>
          <w:tcPr>
            <w:tcW w:w="7156" w:type="dxa"/>
            <w:noWrap w:val="0"/>
            <w:vAlign w:val="center"/>
          </w:tcPr>
          <w:p w14:paraId="32360ADD">
            <w:pPr>
              <w:pStyle w:val="17"/>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是否要求投标人递交投标保证金：</w:t>
            </w:r>
          </w:p>
          <w:p w14:paraId="76B176D5">
            <w:pPr>
              <w:pStyle w:val="17"/>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□要求：</w:t>
            </w:r>
          </w:p>
          <w:p w14:paraId="1A15317E">
            <w:pPr>
              <w:pStyle w:val="17"/>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b/>
                <w:bCs/>
                <w:color w:val="auto"/>
                <w:sz w:val="24"/>
                <w:szCs w:val="24"/>
              </w:rPr>
              <w:t>■不要求</w:t>
            </w:r>
            <w:r>
              <w:rPr>
                <w:rFonts w:hint="eastAsia" w:ascii="宋体" w:hAnsi="宋体" w:eastAsia="宋体" w:cs="宋体"/>
                <w:color w:val="auto"/>
                <w:sz w:val="24"/>
                <w:szCs w:val="24"/>
              </w:rPr>
              <w:t>。</w:t>
            </w:r>
          </w:p>
        </w:tc>
      </w:tr>
      <w:tr w14:paraId="0B98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667" w:hRule="atLeast"/>
          <w:jc w:val="center"/>
        </w:trPr>
        <w:tc>
          <w:tcPr>
            <w:tcW w:w="1223" w:type="dxa"/>
            <w:noWrap w:val="0"/>
            <w:vAlign w:val="center"/>
          </w:tcPr>
          <w:p w14:paraId="44F4228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3.4.4</w:t>
            </w:r>
          </w:p>
        </w:tc>
        <w:tc>
          <w:tcPr>
            <w:tcW w:w="1822" w:type="dxa"/>
            <w:noWrap w:val="0"/>
            <w:vAlign w:val="center"/>
          </w:tcPr>
          <w:p w14:paraId="1011CDF6">
            <w:pPr>
              <w:pStyle w:val="37"/>
              <w:keepNext w:val="0"/>
              <w:keepLines w:val="0"/>
              <w:suppressLineNumbers w:val="0"/>
              <w:spacing w:before="0" w:beforeAutospacing="0" w:after="0" w:afterAutospacing="0"/>
              <w:ind w:left="0" w:right="0" w:firstLine="0"/>
              <w:jc w:val="center"/>
              <w:rPr>
                <w:rFonts w:hint="eastAsia" w:ascii="宋体" w:hAnsi="宋体" w:cs="宋体"/>
                <w:sz w:val="24"/>
                <w:szCs w:val="24"/>
              </w:rPr>
            </w:pPr>
            <w:r>
              <w:rPr>
                <w:rFonts w:hint="eastAsia" w:ascii="宋体" w:hAnsi="宋体" w:cs="宋体"/>
                <w:kern w:val="2"/>
                <w:sz w:val="24"/>
                <w:szCs w:val="24"/>
              </w:rPr>
              <w:t>其他可以不予退还投标保证金的情形</w:t>
            </w:r>
          </w:p>
        </w:tc>
        <w:tc>
          <w:tcPr>
            <w:tcW w:w="7156" w:type="dxa"/>
            <w:noWrap w:val="0"/>
            <w:vAlign w:val="center"/>
          </w:tcPr>
          <w:p w14:paraId="67F45DCC">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sz w:val="21"/>
                <w:szCs w:val="21"/>
              </w:rPr>
              <w:t>/</w:t>
            </w:r>
            <w:r>
              <w:rPr>
                <w:rFonts w:hint="eastAsia" w:ascii="宋体" w:hAnsi="宋体" w:cs="宋体"/>
                <w:kern w:val="2"/>
                <w:sz w:val="24"/>
                <w:szCs w:val="24"/>
              </w:rPr>
              <w:t>。</w:t>
            </w:r>
          </w:p>
        </w:tc>
      </w:tr>
      <w:tr w14:paraId="3D1D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612" w:hRule="atLeast"/>
          <w:jc w:val="center"/>
        </w:trPr>
        <w:tc>
          <w:tcPr>
            <w:tcW w:w="1223" w:type="dxa"/>
            <w:noWrap w:val="0"/>
            <w:vAlign w:val="center"/>
          </w:tcPr>
          <w:p w14:paraId="25D3CDD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3.5</w:t>
            </w:r>
          </w:p>
        </w:tc>
        <w:tc>
          <w:tcPr>
            <w:tcW w:w="1822" w:type="dxa"/>
            <w:noWrap w:val="0"/>
            <w:vAlign w:val="center"/>
          </w:tcPr>
          <w:p w14:paraId="49BB148E">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资格审查资料的特殊要求</w:t>
            </w:r>
          </w:p>
        </w:tc>
        <w:tc>
          <w:tcPr>
            <w:tcW w:w="7156" w:type="dxa"/>
            <w:noWrap w:val="0"/>
            <w:vAlign w:val="center"/>
          </w:tcPr>
          <w:p w14:paraId="6BEACD8F">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 xml:space="preserve">■无 </w:t>
            </w:r>
          </w:p>
          <w:p w14:paraId="470DFB7D">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 xml:space="preserve">□有，具体要求： </w:t>
            </w:r>
          </w:p>
        </w:tc>
      </w:tr>
      <w:tr w14:paraId="31D1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90" w:hRule="atLeast"/>
          <w:jc w:val="center"/>
        </w:trPr>
        <w:tc>
          <w:tcPr>
            <w:tcW w:w="1223" w:type="dxa"/>
            <w:noWrap w:val="0"/>
            <w:vAlign w:val="center"/>
          </w:tcPr>
          <w:p w14:paraId="60CCFE6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3.5.2</w:t>
            </w:r>
          </w:p>
        </w:tc>
        <w:tc>
          <w:tcPr>
            <w:tcW w:w="1822" w:type="dxa"/>
            <w:noWrap w:val="0"/>
            <w:vAlign w:val="center"/>
          </w:tcPr>
          <w:p w14:paraId="59893694">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近年财务状况的年份要求</w:t>
            </w:r>
          </w:p>
        </w:tc>
        <w:tc>
          <w:tcPr>
            <w:tcW w:w="7156" w:type="dxa"/>
            <w:noWrap w:val="0"/>
            <w:vAlign w:val="center"/>
          </w:tcPr>
          <w:p w14:paraId="4895943D">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w:t>
            </w:r>
          </w:p>
        </w:tc>
      </w:tr>
      <w:tr w14:paraId="4707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837" w:hRule="atLeast"/>
          <w:jc w:val="center"/>
        </w:trPr>
        <w:tc>
          <w:tcPr>
            <w:tcW w:w="1223" w:type="dxa"/>
            <w:noWrap w:val="0"/>
            <w:vAlign w:val="center"/>
          </w:tcPr>
          <w:p w14:paraId="776810C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3.5.3</w:t>
            </w:r>
          </w:p>
        </w:tc>
        <w:tc>
          <w:tcPr>
            <w:tcW w:w="1822" w:type="dxa"/>
            <w:noWrap w:val="0"/>
            <w:vAlign w:val="center"/>
          </w:tcPr>
          <w:p w14:paraId="7DF55750">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近年完成的类似项目情况的时间要求</w:t>
            </w:r>
          </w:p>
        </w:tc>
        <w:tc>
          <w:tcPr>
            <w:tcW w:w="7156" w:type="dxa"/>
            <w:noWrap w:val="0"/>
            <w:vAlign w:val="center"/>
          </w:tcPr>
          <w:p w14:paraId="3A2FF96A">
            <w:pPr>
              <w:pStyle w:val="37"/>
              <w:keepNext w:val="0"/>
              <w:keepLines w:val="0"/>
              <w:suppressLineNumbers w:val="0"/>
              <w:spacing w:before="0" w:beforeAutospacing="0" w:after="0" w:afterAutospacing="0"/>
              <w:ind w:left="0" w:right="132" w:rightChars="60" w:firstLine="0"/>
              <w:rPr>
                <w:rFonts w:hint="eastAsia" w:ascii="宋体" w:hAnsi="宋体" w:cs="宋体"/>
                <w:kern w:val="2"/>
                <w:sz w:val="24"/>
                <w:szCs w:val="24"/>
              </w:rPr>
            </w:pPr>
            <w:r>
              <w:rPr>
                <w:rFonts w:hint="eastAsia" w:ascii="宋体" w:hAnsi="宋体" w:cs="宋体"/>
                <w:kern w:val="2"/>
                <w:sz w:val="24"/>
                <w:szCs w:val="24"/>
              </w:rPr>
              <w:t>/</w:t>
            </w:r>
          </w:p>
        </w:tc>
      </w:tr>
      <w:tr w14:paraId="1161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682" w:hRule="atLeast"/>
          <w:jc w:val="center"/>
        </w:trPr>
        <w:tc>
          <w:tcPr>
            <w:tcW w:w="1223" w:type="dxa"/>
            <w:noWrap w:val="0"/>
            <w:vAlign w:val="center"/>
          </w:tcPr>
          <w:p w14:paraId="5EF4615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3.5.5</w:t>
            </w:r>
          </w:p>
        </w:tc>
        <w:tc>
          <w:tcPr>
            <w:tcW w:w="1822" w:type="dxa"/>
            <w:noWrap w:val="0"/>
            <w:vAlign w:val="center"/>
          </w:tcPr>
          <w:p w14:paraId="35444EFA">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近年发生的诉讼及仲裁情况的时间要求</w:t>
            </w:r>
          </w:p>
        </w:tc>
        <w:tc>
          <w:tcPr>
            <w:tcW w:w="7156" w:type="dxa"/>
            <w:noWrap w:val="0"/>
            <w:vAlign w:val="center"/>
          </w:tcPr>
          <w:p w14:paraId="6391207B">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w:t>
            </w:r>
          </w:p>
        </w:tc>
      </w:tr>
      <w:tr w14:paraId="7CB3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612" w:hRule="atLeast"/>
          <w:jc w:val="center"/>
        </w:trPr>
        <w:tc>
          <w:tcPr>
            <w:tcW w:w="1223" w:type="dxa"/>
            <w:noWrap w:val="0"/>
            <w:vAlign w:val="center"/>
          </w:tcPr>
          <w:p w14:paraId="1EC333B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3.6.1</w:t>
            </w:r>
          </w:p>
        </w:tc>
        <w:tc>
          <w:tcPr>
            <w:tcW w:w="1822" w:type="dxa"/>
            <w:noWrap w:val="0"/>
            <w:vAlign w:val="center"/>
          </w:tcPr>
          <w:p w14:paraId="73B45F23">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是否允许递交备选投标方案</w:t>
            </w:r>
          </w:p>
        </w:tc>
        <w:tc>
          <w:tcPr>
            <w:tcW w:w="7156" w:type="dxa"/>
            <w:noWrap w:val="0"/>
            <w:vAlign w:val="center"/>
          </w:tcPr>
          <w:p w14:paraId="699E718D">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 xml:space="preserve">■不允许 </w:t>
            </w:r>
          </w:p>
          <w:p w14:paraId="02D738D9">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 xml:space="preserve">□允许 </w:t>
            </w:r>
          </w:p>
        </w:tc>
      </w:tr>
      <w:tr w14:paraId="0DAB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91" w:hRule="atLeast"/>
          <w:jc w:val="center"/>
        </w:trPr>
        <w:tc>
          <w:tcPr>
            <w:tcW w:w="1223" w:type="dxa"/>
            <w:noWrap w:val="0"/>
            <w:vAlign w:val="center"/>
          </w:tcPr>
          <w:p w14:paraId="3C26AD0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3.7.3A（2）</w:t>
            </w:r>
          </w:p>
        </w:tc>
        <w:tc>
          <w:tcPr>
            <w:tcW w:w="1822" w:type="dxa"/>
            <w:noWrap w:val="0"/>
            <w:vAlign w:val="center"/>
          </w:tcPr>
          <w:p w14:paraId="3C0C2F93">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投标文件副本份数及其他要求</w:t>
            </w:r>
          </w:p>
        </w:tc>
        <w:tc>
          <w:tcPr>
            <w:tcW w:w="7156" w:type="dxa"/>
            <w:noWrap w:val="0"/>
            <w:vAlign w:val="center"/>
          </w:tcPr>
          <w:p w14:paraId="641C439B">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w:t>
            </w:r>
          </w:p>
        </w:tc>
      </w:tr>
      <w:tr w14:paraId="2A5C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536" w:hRule="atLeast"/>
          <w:jc w:val="center"/>
        </w:trPr>
        <w:tc>
          <w:tcPr>
            <w:tcW w:w="1223" w:type="dxa"/>
            <w:noWrap w:val="0"/>
            <w:vAlign w:val="center"/>
          </w:tcPr>
          <w:p w14:paraId="45F14DB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3.7.3A（3）</w:t>
            </w:r>
          </w:p>
        </w:tc>
        <w:tc>
          <w:tcPr>
            <w:tcW w:w="1822" w:type="dxa"/>
            <w:noWrap w:val="0"/>
            <w:vAlign w:val="center"/>
          </w:tcPr>
          <w:p w14:paraId="67D0299A">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投标文件是否需分册装订</w:t>
            </w:r>
          </w:p>
        </w:tc>
        <w:tc>
          <w:tcPr>
            <w:tcW w:w="7156" w:type="dxa"/>
            <w:noWrap w:val="0"/>
            <w:vAlign w:val="center"/>
          </w:tcPr>
          <w:p w14:paraId="4C5BC55A">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kern w:val="2"/>
                <w:sz w:val="24"/>
                <w:szCs w:val="24"/>
              </w:rPr>
              <w:t>/</w:t>
            </w:r>
          </w:p>
        </w:tc>
      </w:tr>
      <w:tr w14:paraId="21D6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761" w:hRule="atLeast"/>
          <w:jc w:val="center"/>
        </w:trPr>
        <w:tc>
          <w:tcPr>
            <w:tcW w:w="1223" w:type="dxa"/>
            <w:noWrap w:val="0"/>
            <w:vAlign w:val="top"/>
          </w:tcPr>
          <w:p w14:paraId="72F5BEA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3.7.</w:t>
            </w:r>
            <w:r>
              <w:rPr>
                <w:rFonts w:hint="eastAsia" w:ascii="宋体" w:hAnsi="宋体" w:eastAsia="宋体" w:cs="宋体"/>
                <w:color w:val="auto"/>
                <w:spacing w:val="-1"/>
                <w:sz w:val="24"/>
                <w:szCs w:val="24"/>
              </w:rPr>
              <w:t>3</w:t>
            </w:r>
            <w:r>
              <w:rPr>
                <w:rFonts w:hint="eastAsia" w:ascii="宋体" w:hAnsi="宋体" w:eastAsia="宋体" w:cs="宋体"/>
                <w:color w:val="auto"/>
                <w:spacing w:val="-3"/>
                <w:sz w:val="24"/>
                <w:szCs w:val="24"/>
              </w:rPr>
              <w:t>（</w:t>
            </w:r>
            <w:r>
              <w:rPr>
                <w:rFonts w:hint="eastAsia" w:ascii="宋体" w:hAnsi="宋体" w:eastAsia="宋体" w:cs="宋体"/>
                <w:color w:val="auto"/>
                <w:spacing w:val="-2"/>
                <w:sz w:val="24"/>
                <w:szCs w:val="24"/>
              </w:rPr>
              <w:t>B</w:t>
            </w:r>
            <w:r>
              <w:rPr>
                <w:rFonts w:hint="eastAsia" w:ascii="宋体" w:hAnsi="宋体" w:eastAsia="宋体" w:cs="宋体"/>
                <w:color w:val="auto"/>
                <w:sz w:val="24"/>
                <w:szCs w:val="24"/>
              </w:rPr>
              <w:t>）</w:t>
            </w:r>
          </w:p>
        </w:tc>
        <w:tc>
          <w:tcPr>
            <w:tcW w:w="1822" w:type="dxa"/>
            <w:noWrap w:val="0"/>
            <w:vAlign w:val="center"/>
          </w:tcPr>
          <w:p w14:paraId="245A54D2">
            <w:pPr>
              <w:pStyle w:val="37"/>
              <w:keepNext w:val="0"/>
              <w:keepLines w:val="0"/>
              <w:suppressLineNumbers w:val="0"/>
              <w:spacing w:before="0" w:beforeAutospacing="0" w:after="0" w:afterAutospacing="0"/>
              <w:ind w:left="106" w:leftChars="48" w:right="0" w:firstLine="0"/>
              <w:jc w:val="center"/>
              <w:rPr>
                <w:rFonts w:hint="eastAsia" w:ascii="宋体" w:hAnsi="宋体" w:cs="宋体"/>
                <w:kern w:val="2"/>
                <w:sz w:val="24"/>
                <w:szCs w:val="24"/>
              </w:rPr>
            </w:pPr>
            <w:r>
              <w:rPr>
                <w:rFonts w:hint="eastAsia" w:ascii="宋体" w:hAnsi="宋体" w:cs="宋体"/>
                <w:kern w:val="2"/>
                <w:sz w:val="24"/>
                <w:szCs w:val="24"/>
              </w:rPr>
              <w:t>投标文件所附证书证件要求</w:t>
            </w:r>
          </w:p>
        </w:tc>
        <w:tc>
          <w:tcPr>
            <w:tcW w:w="7156" w:type="dxa"/>
            <w:noWrap w:val="0"/>
            <w:vAlign w:val="center"/>
          </w:tcPr>
          <w:p w14:paraId="0EE1F393">
            <w:pPr>
              <w:pStyle w:val="37"/>
              <w:keepNext w:val="0"/>
              <w:keepLines w:val="0"/>
              <w:suppressLineNumbers w:val="0"/>
              <w:spacing w:before="0" w:beforeAutospacing="0" w:after="0" w:afterAutospacing="0"/>
              <w:ind w:left="0" w:right="33" w:rightChars="15" w:firstLine="0"/>
              <w:jc w:val="left"/>
              <w:rPr>
                <w:rFonts w:hint="eastAsia" w:ascii="宋体" w:hAnsi="宋体" w:cs="宋体"/>
                <w:kern w:val="2"/>
                <w:sz w:val="24"/>
                <w:szCs w:val="24"/>
              </w:rPr>
            </w:pPr>
            <w:r>
              <w:rPr>
                <w:rFonts w:hint="eastAsia" w:ascii="宋体" w:hAnsi="宋体" w:cs="宋体"/>
                <w:kern w:val="2"/>
                <w:sz w:val="24"/>
                <w:szCs w:val="24"/>
              </w:rPr>
              <w:t>证书证件需为原件清晰扫描件，并采用单位数字证书，按照招标文件要求在相应位置加盖电子印章。</w:t>
            </w:r>
          </w:p>
        </w:tc>
      </w:tr>
      <w:tr w14:paraId="0F87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1209" w:hRule="atLeast"/>
          <w:jc w:val="center"/>
        </w:trPr>
        <w:tc>
          <w:tcPr>
            <w:tcW w:w="1223" w:type="dxa"/>
            <w:noWrap w:val="0"/>
            <w:vAlign w:val="top"/>
          </w:tcPr>
          <w:p w14:paraId="3DC1914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3.7.</w:t>
            </w:r>
            <w:r>
              <w:rPr>
                <w:rFonts w:hint="eastAsia" w:ascii="宋体" w:hAnsi="宋体" w:eastAsia="宋体" w:cs="宋体"/>
                <w:color w:val="auto"/>
                <w:spacing w:val="-1"/>
                <w:sz w:val="24"/>
                <w:szCs w:val="24"/>
              </w:rPr>
              <w:t>3</w:t>
            </w:r>
            <w:r>
              <w:rPr>
                <w:rFonts w:hint="eastAsia" w:ascii="宋体" w:hAnsi="宋体" w:eastAsia="宋体" w:cs="宋体"/>
                <w:color w:val="auto"/>
                <w:spacing w:val="-3"/>
                <w:sz w:val="24"/>
                <w:szCs w:val="24"/>
              </w:rPr>
              <w:t>（</w:t>
            </w:r>
            <w:r>
              <w:rPr>
                <w:rFonts w:hint="eastAsia" w:ascii="宋体" w:hAnsi="宋体" w:eastAsia="宋体" w:cs="宋体"/>
                <w:color w:val="auto"/>
                <w:spacing w:val="-2"/>
                <w:sz w:val="24"/>
                <w:szCs w:val="24"/>
              </w:rPr>
              <w:t>B</w:t>
            </w:r>
            <w:r>
              <w:rPr>
                <w:rFonts w:hint="eastAsia" w:ascii="宋体" w:hAnsi="宋体" w:eastAsia="宋体" w:cs="宋体"/>
                <w:color w:val="auto"/>
                <w:sz w:val="24"/>
                <w:szCs w:val="24"/>
              </w:rPr>
              <w:t>）</w:t>
            </w:r>
          </w:p>
        </w:tc>
        <w:tc>
          <w:tcPr>
            <w:tcW w:w="1822" w:type="dxa"/>
            <w:noWrap w:val="0"/>
            <w:vAlign w:val="center"/>
          </w:tcPr>
          <w:p w14:paraId="49C2A521">
            <w:pPr>
              <w:pStyle w:val="37"/>
              <w:keepNext w:val="0"/>
              <w:keepLines w:val="0"/>
              <w:suppressLineNumbers w:val="0"/>
              <w:spacing w:before="0" w:beforeAutospacing="0" w:after="0" w:afterAutospacing="0"/>
              <w:ind w:left="0" w:right="0" w:firstLine="120" w:firstLineChars="50"/>
              <w:jc w:val="center"/>
              <w:rPr>
                <w:rFonts w:hint="eastAsia" w:ascii="宋体" w:hAnsi="宋体" w:cs="宋体"/>
                <w:kern w:val="2"/>
                <w:sz w:val="24"/>
                <w:szCs w:val="24"/>
              </w:rPr>
            </w:pPr>
            <w:r>
              <w:rPr>
                <w:rFonts w:hint="eastAsia" w:ascii="宋体" w:hAnsi="宋体" w:cs="宋体"/>
                <w:kern w:val="2"/>
                <w:sz w:val="24"/>
                <w:szCs w:val="24"/>
              </w:rPr>
              <w:t>投标文件签字或盖章要求</w:t>
            </w:r>
          </w:p>
        </w:tc>
        <w:tc>
          <w:tcPr>
            <w:tcW w:w="7156" w:type="dxa"/>
            <w:noWrap w:val="0"/>
            <w:vAlign w:val="center"/>
          </w:tcPr>
          <w:p w14:paraId="0A3FBF7E">
            <w:pPr>
              <w:pStyle w:val="37"/>
              <w:keepNext w:val="0"/>
              <w:keepLines w:val="0"/>
              <w:suppressLineNumbers w:val="0"/>
              <w:spacing w:before="0" w:beforeAutospacing="0" w:after="0" w:afterAutospacing="0"/>
              <w:ind w:left="0" w:right="20" w:rightChars="9" w:firstLine="0"/>
              <w:jc w:val="left"/>
              <w:rPr>
                <w:rFonts w:hint="eastAsia" w:ascii="宋体" w:hAnsi="宋体" w:cs="宋体"/>
                <w:kern w:val="2"/>
                <w:sz w:val="24"/>
                <w:szCs w:val="24"/>
              </w:rPr>
            </w:pPr>
            <w:r>
              <w:rPr>
                <w:rFonts w:hint="eastAsia" w:ascii="宋体" w:hAnsi="宋体" w:cs="宋体"/>
                <w:kern w:val="2"/>
                <w:sz w:val="24"/>
                <w:szCs w:val="24"/>
              </w:rPr>
              <w:t>投标文件全部采用电子文档，投标文件所附证书证件均为清晰扫描件，并采用单位数字证书，按招标文件要求在相应位置加盖电子印章。投标文件中需个人签字或盖章的，应加盖个人电子印章或在线下完成后扫描上传。相关操作详见广州交易集团有限公司（广州公共资源交易中心）网站最新发布的建设工程全流程电子化项目操作指南。</w:t>
            </w:r>
          </w:p>
        </w:tc>
      </w:tr>
      <w:tr w14:paraId="2BDF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536" w:hRule="atLeast"/>
          <w:jc w:val="center"/>
        </w:trPr>
        <w:tc>
          <w:tcPr>
            <w:tcW w:w="1223" w:type="dxa"/>
            <w:noWrap w:val="0"/>
            <w:vAlign w:val="top"/>
          </w:tcPr>
          <w:p w14:paraId="6C98754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4.1.</w:t>
            </w:r>
            <w:r>
              <w:rPr>
                <w:rFonts w:hint="eastAsia" w:ascii="宋体" w:hAnsi="宋体" w:eastAsia="宋体" w:cs="宋体"/>
                <w:color w:val="auto"/>
                <w:spacing w:val="-1"/>
                <w:sz w:val="24"/>
                <w:szCs w:val="24"/>
              </w:rPr>
              <w:t>1</w:t>
            </w:r>
            <w:r>
              <w:rPr>
                <w:rFonts w:hint="eastAsia" w:ascii="宋体" w:hAnsi="宋体" w:eastAsia="宋体" w:cs="宋体"/>
                <w:color w:val="auto"/>
                <w:spacing w:val="-3"/>
                <w:sz w:val="24"/>
                <w:szCs w:val="24"/>
              </w:rPr>
              <w:t>（</w:t>
            </w:r>
            <w:r>
              <w:rPr>
                <w:rFonts w:hint="eastAsia" w:ascii="宋体" w:hAnsi="宋体" w:eastAsia="宋体" w:cs="宋体"/>
                <w:color w:val="auto"/>
                <w:spacing w:val="-2"/>
                <w:sz w:val="24"/>
                <w:szCs w:val="24"/>
              </w:rPr>
              <w:t>B</w:t>
            </w:r>
            <w:r>
              <w:rPr>
                <w:rFonts w:hint="eastAsia" w:ascii="宋体" w:hAnsi="宋体" w:eastAsia="宋体" w:cs="宋体"/>
                <w:color w:val="auto"/>
                <w:sz w:val="24"/>
                <w:szCs w:val="24"/>
              </w:rPr>
              <w:t>）</w:t>
            </w:r>
          </w:p>
        </w:tc>
        <w:tc>
          <w:tcPr>
            <w:tcW w:w="1822" w:type="dxa"/>
            <w:noWrap w:val="0"/>
            <w:vAlign w:val="center"/>
          </w:tcPr>
          <w:p w14:paraId="36399C9E">
            <w:pPr>
              <w:pStyle w:val="37"/>
              <w:keepNext w:val="0"/>
              <w:keepLines w:val="0"/>
              <w:suppressLineNumbers w:val="0"/>
              <w:spacing w:before="0" w:beforeAutospacing="0" w:after="0" w:afterAutospacing="0"/>
              <w:ind w:left="0" w:right="0" w:firstLine="120" w:firstLineChars="50"/>
              <w:jc w:val="center"/>
              <w:rPr>
                <w:rFonts w:hint="eastAsia" w:ascii="宋体" w:hAnsi="宋体" w:cs="宋体"/>
                <w:kern w:val="2"/>
                <w:sz w:val="24"/>
                <w:szCs w:val="24"/>
              </w:rPr>
            </w:pPr>
            <w:r>
              <w:rPr>
                <w:rFonts w:hint="eastAsia" w:ascii="宋体" w:hAnsi="宋体" w:cs="宋体"/>
                <w:kern w:val="2"/>
                <w:sz w:val="24"/>
                <w:szCs w:val="24"/>
              </w:rPr>
              <w:t>投标文件加密要求</w:t>
            </w:r>
          </w:p>
        </w:tc>
        <w:tc>
          <w:tcPr>
            <w:tcW w:w="7156" w:type="dxa"/>
            <w:noWrap w:val="0"/>
            <w:vAlign w:val="center"/>
          </w:tcPr>
          <w:p w14:paraId="630EBABE">
            <w:pPr>
              <w:pStyle w:val="37"/>
              <w:keepNext w:val="0"/>
              <w:keepLines w:val="0"/>
              <w:suppressLineNumbers w:val="0"/>
              <w:spacing w:before="0" w:beforeAutospacing="0" w:after="0" w:afterAutospacing="0"/>
              <w:ind w:left="0" w:right="0" w:firstLine="0"/>
              <w:jc w:val="left"/>
              <w:rPr>
                <w:rFonts w:hint="eastAsia" w:ascii="宋体" w:hAnsi="宋体" w:cs="宋体"/>
                <w:kern w:val="2"/>
                <w:sz w:val="24"/>
                <w:szCs w:val="24"/>
              </w:rPr>
            </w:pPr>
            <w:r>
              <w:rPr>
                <w:rFonts w:hint="eastAsia" w:ascii="宋体" w:hAnsi="宋体" w:cs="宋体"/>
                <w:kern w:val="2"/>
                <w:sz w:val="24"/>
                <w:szCs w:val="24"/>
              </w:rPr>
              <w:t>网上递交的电子投标文件须进行加密。相关操作详见广州交易集团有限公司（广州公共资源交易中心）网站最新发布的建设工程全流程电子化项目操作指南。</w:t>
            </w:r>
          </w:p>
        </w:tc>
      </w:tr>
      <w:tr w14:paraId="659B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507" w:hRule="atLeast"/>
          <w:jc w:val="center"/>
        </w:trPr>
        <w:tc>
          <w:tcPr>
            <w:tcW w:w="1223" w:type="dxa"/>
            <w:noWrap w:val="0"/>
            <w:vAlign w:val="center"/>
          </w:tcPr>
          <w:p w14:paraId="1A2E138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4.1.2</w:t>
            </w:r>
          </w:p>
        </w:tc>
        <w:tc>
          <w:tcPr>
            <w:tcW w:w="1822" w:type="dxa"/>
            <w:noWrap w:val="0"/>
            <w:vAlign w:val="center"/>
          </w:tcPr>
          <w:p w14:paraId="7A3B4F90">
            <w:pPr>
              <w:pStyle w:val="37"/>
              <w:keepNext w:val="0"/>
              <w:keepLines w:val="0"/>
              <w:suppressLineNumbers w:val="0"/>
              <w:spacing w:before="0" w:beforeAutospacing="0" w:after="0" w:afterAutospacing="0"/>
              <w:ind w:left="0" w:right="0" w:firstLine="120" w:firstLineChars="50"/>
              <w:jc w:val="center"/>
              <w:rPr>
                <w:rFonts w:hint="eastAsia" w:ascii="宋体" w:hAnsi="宋体" w:cs="宋体"/>
                <w:kern w:val="2"/>
                <w:sz w:val="24"/>
                <w:szCs w:val="24"/>
              </w:rPr>
            </w:pPr>
            <w:r>
              <w:rPr>
                <w:rFonts w:hint="eastAsia" w:ascii="宋体" w:hAnsi="宋体" w:cs="宋体"/>
                <w:kern w:val="2"/>
                <w:sz w:val="24"/>
                <w:szCs w:val="24"/>
              </w:rPr>
              <w:t>封套上应载明的信息</w:t>
            </w:r>
          </w:p>
        </w:tc>
        <w:tc>
          <w:tcPr>
            <w:tcW w:w="7156" w:type="dxa"/>
            <w:noWrap w:val="0"/>
            <w:vAlign w:val="center"/>
          </w:tcPr>
          <w:p w14:paraId="774050E4">
            <w:pPr>
              <w:pStyle w:val="16"/>
              <w:keepNext w:val="0"/>
              <w:keepLines w:val="0"/>
              <w:widowControl/>
              <w:suppressLineNumbers w:val="0"/>
              <w:spacing w:before="0" w:beforeAutospacing="0" w:after="0" w:afterAutospacing="0"/>
              <w:ind w:left="0" w:right="0"/>
              <w:contextualSpacing/>
              <w:rPr>
                <w:rFonts w:hint="eastAsia" w:ascii="宋体" w:hAnsi="宋体" w:eastAsia="宋体" w:cs="宋体"/>
                <w:color w:val="auto"/>
                <w:sz w:val="24"/>
                <w:szCs w:val="24"/>
              </w:rPr>
            </w:pPr>
            <w:r>
              <w:rPr>
                <w:rFonts w:hint="eastAsia" w:ascii="宋体" w:hAnsi="宋体" w:eastAsia="宋体" w:cs="宋体"/>
                <w:color w:val="auto"/>
                <w:sz w:val="24"/>
                <w:szCs w:val="24"/>
              </w:rPr>
              <w:t>如有提交投标文件光盘或U盘备用，封套上应注明如下信息：</w:t>
            </w:r>
          </w:p>
          <w:p w14:paraId="402A3AB7">
            <w:pPr>
              <w:keepNext w:val="0"/>
              <w:keepLines w:val="0"/>
              <w:widowControl/>
              <w:suppressLineNumbers w:val="0"/>
              <w:spacing w:before="0" w:beforeAutospacing="0" w:after="0" w:afterAutospacing="0"/>
              <w:ind w:left="0" w:right="0"/>
              <w:rPr>
                <w:rFonts w:hint="default" w:ascii="宋体" w:hAnsi="宋体" w:eastAsia="宋体" w:cs="宋体"/>
                <w:color w:val="auto"/>
                <w:sz w:val="24"/>
                <w:szCs w:val="24"/>
                <w:u w:val="single"/>
              </w:rPr>
            </w:pPr>
            <w:r>
              <w:rPr>
                <w:rFonts w:hint="eastAsia" w:ascii="宋体" w:hAnsi="宋体" w:cs="宋体"/>
                <w:color w:val="auto"/>
                <w:sz w:val="24"/>
                <w:szCs w:val="24"/>
              </w:rPr>
              <w:t>招标人名称：</w:t>
            </w:r>
            <w:r>
              <w:rPr>
                <w:rFonts w:hint="eastAsia" w:ascii="宋体" w:hAnsi="宋体" w:eastAsia="宋体" w:cs="宋体"/>
                <w:color w:val="auto"/>
                <w:sz w:val="24"/>
                <w:szCs w:val="24"/>
                <w:u w:val="single"/>
              </w:rPr>
              <w:t xml:space="preserve">        </w:t>
            </w:r>
          </w:p>
          <w:p w14:paraId="5C768ED8">
            <w:pPr>
              <w:keepNext w:val="0"/>
              <w:keepLines w:val="0"/>
              <w:widowControl/>
              <w:suppressLineNumbers w:val="0"/>
              <w:spacing w:before="0" w:beforeAutospacing="0" w:after="0" w:afterAutospacing="0"/>
              <w:ind w:left="0" w:right="0"/>
              <w:rPr>
                <w:rFonts w:hint="default" w:ascii="宋体" w:hAnsi="宋体" w:eastAsia="宋体" w:cs="宋体"/>
                <w:color w:val="auto"/>
                <w:sz w:val="24"/>
                <w:szCs w:val="24"/>
              </w:rPr>
            </w:pPr>
            <w:r>
              <w:rPr>
                <w:rFonts w:hint="eastAsia" w:ascii="宋体" w:hAnsi="宋体" w:eastAsia="宋体" w:cs="宋体"/>
                <w:color w:val="auto"/>
                <w:sz w:val="24"/>
                <w:szCs w:val="24"/>
              </w:rPr>
              <w:t>招标人地址：</w:t>
            </w:r>
          </w:p>
          <w:p w14:paraId="523C882F">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i/>
                <w:iCs/>
                <w:color w:val="auto"/>
                <w:sz w:val="24"/>
                <w:szCs w:val="24"/>
                <w:u w:val="single"/>
              </w:rPr>
              <w:t>（项目名称）</w:t>
            </w:r>
            <w:r>
              <w:rPr>
                <w:rFonts w:hint="eastAsia" w:ascii="宋体" w:hAnsi="宋体" w:eastAsia="宋体" w:cs="宋体"/>
                <w:color w:val="auto"/>
                <w:sz w:val="24"/>
                <w:szCs w:val="24"/>
              </w:rPr>
              <w:t>投标文件</w:t>
            </w:r>
          </w:p>
          <w:p w14:paraId="33736B3C">
            <w:pPr>
              <w:pStyle w:val="16"/>
              <w:keepNext w:val="0"/>
              <w:keepLines w:val="0"/>
              <w:widowControl/>
              <w:suppressLineNumbers w:val="0"/>
              <w:spacing w:before="0" w:beforeAutospacing="0" w:after="0" w:afterAutospacing="0"/>
              <w:ind w:left="0" w:right="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招标项目编号：</w:t>
            </w:r>
          </w:p>
          <w:p w14:paraId="7CDAC204">
            <w:pPr>
              <w:pStyle w:val="37"/>
              <w:keepNext w:val="0"/>
              <w:keepLines w:val="0"/>
              <w:suppressLineNumbers w:val="0"/>
              <w:spacing w:before="0" w:beforeAutospacing="0" w:after="0" w:afterAutospacing="0"/>
              <w:ind w:left="0" w:right="0" w:firstLine="0"/>
              <w:jc w:val="left"/>
              <w:rPr>
                <w:rFonts w:hint="eastAsia" w:ascii="宋体" w:hAnsi="宋体" w:cs="宋体"/>
                <w:kern w:val="2"/>
                <w:sz w:val="24"/>
                <w:szCs w:val="24"/>
              </w:rPr>
            </w:pPr>
            <w:r>
              <w:rPr>
                <w:rFonts w:hint="eastAsia" w:ascii="宋体" w:hAnsi="宋体" w:cs="宋体"/>
                <w:sz w:val="24"/>
                <w:szCs w:val="24"/>
              </w:rPr>
              <w:t>在</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日时前不得开启</w:t>
            </w:r>
          </w:p>
        </w:tc>
      </w:tr>
      <w:tr w14:paraId="214F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536" w:hRule="atLeast"/>
          <w:jc w:val="center"/>
        </w:trPr>
        <w:tc>
          <w:tcPr>
            <w:tcW w:w="1223" w:type="dxa"/>
            <w:noWrap w:val="0"/>
            <w:vAlign w:val="center"/>
          </w:tcPr>
          <w:p w14:paraId="2ACB829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4.2.1</w:t>
            </w:r>
          </w:p>
        </w:tc>
        <w:tc>
          <w:tcPr>
            <w:tcW w:w="1822" w:type="dxa"/>
            <w:noWrap w:val="0"/>
            <w:vAlign w:val="center"/>
          </w:tcPr>
          <w:p w14:paraId="511BDEE0">
            <w:pPr>
              <w:pStyle w:val="37"/>
              <w:keepNext w:val="0"/>
              <w:keepLines w:val="0"/>
              <w:suppressLineNumbers w:val="0"/>
              <w:spacing w:before="0" w:beforeAutospacing="0" w:after="0" w:afterAutospacing="0"/>
              <w:ind w:left="0" w:right="0" w:firstLine="120" w:firstLineChars="50"/>
              <w:jc w:val="center"/>
              <w:rPr>
                <w:rFonts w:hint="eastAsia" w:ascii="宋体" w:hAnsi="宋体" w:cs="宋体"/>
                <w:kern w:val="2"/>
                <w:sz w:val="24"/>
                <w:szCs w:val="24"/>
              </w:rPr>
            </w:pPr>
            <w:r>
              <w:rPr>
                <w:rFonts w:hint="eastAsia" w:ascii="宋体" w:hAnsi="宋体" w:cs="宋体"/>
                <w:kern w:val="2"/>
                <w:sz w:val="24"/>
                <w:szCs w:val="24"/>
              </w:rPr>
              <w:t>投标截止时间</w:t>
            </w:r>
          </w:p>
        </w:tc>
        <w:tc>
          <w:tcPr>
            <w:tcW w:w="7156" w:type="dxa"/>
            <w:noWrap w:val="0"/>
            <w:vAlign w:val="center"/>
          </w:tcPr>
          <w:p w14:paraId="6E2F5D3D">
            <w:pPr>
              <w:pStyle w:val="37"/>
              <w:keepNext w:val="0"/>
              <w:keepLines w:val="0"/>
              <w:suppressLineNumbers w:val="0"/>
              <w:spacing w:before="0" w:beforeAutospacing="0" w:after="0" w:afterAutospacing="0"/>
              <w:ind w:left="0" w:right="33" w:rightChars="15" w:firstLine="0"/>
              <w:jc w:val="left"/>
              <w:rPr>
                <w:rFonts w:hint="eastAsia" w:ascii="宋体" w:hAnsi="宋体" w:cs="宋体"/>
                <w:kern w:val="2"/>
                <w:sz w:val="24"/>
                <w:szCs w:val="24"/>
              </w:rPr>
            </w:pPr>
            <w:r>
              <w:rPr>
                <w:rFonts w:hint="eastAsia" w:ascii="宋体" w:hAnsi="宋体" w:cs="宋体"/>
                <w:kern w:val="2"/>
                <w:sz w:val="24"/>
                <w:szCs w:val="24"/>
              </w:rPr>
              <w:t>详见招标公告。</w:t>
            </w:r>
          </w:p>
          <w:p w14:paraId="4A2AC0A6">
            <w:pPr>
              <w:pStyle w:val="37"/>
              <w:keepNext w:val="0"/>
              <w:keepLines w:val="0"/>
              <w:suppressLineNumbers w:val="0"/>
              <w:spacing w:before="0" w:beforeAutospacing="0" w:after="0" w:afterAutospacing="0"/>
              <w:ind w:left="0" w:right="33" w:rightChars="15" w:firstLine="0"/>
              <w:jc w:val="left"/>
              <w:rPr>
                <w:rFonts w:hint="eastAsia" w:ascii="宋体" w:hAnsi="宋体" w:cs="宋体"/>
                <w:kern w:val="2"/>
                <w:sz w:val="24"/>
                <w:szCs w:val="24"/>
              </w:rPr>
            </w:pPr>
            <w:r>
              <w:rPr>
                <w:rFonts w:hint="eastAsia" w:ascii="宋体" w:hAnsi="宋体" w:cs="宋体"/>
                <w:kern w:val="2"/>
                <w:sz w:val="24"/>
                <w:szCs w:val="24"/>
              </w:rPr>
              <w:t>具体时间可以到广州交易集团有限公司（广州公共资源交易中心）交易平台“建设工程→项目查询（日程安排、答疑纪要）”输入本项目编号或项目名称进行查询。</w:t>
            </w:r>
          </w:p>
        </w:tc>
      </w:tr>
      <w:tr w14:paraId="0D03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505" w:hRule="atLeast"/>
          <w:jc w:val="center"/>
        </w:trPr>
        <w:tc>
          <w:tcPr>
            <w:tcW w:w="1223" w:type="dxa"/>
            <w:noWrap w:val="0"/>
            <w:vAlign w:val="center"/>
          </w:tcPr>
          <w:p w14:paraId="63C109A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4.2.2（B）</w:t>
            </w:r>
          </w:p>
        </w:tc>
        <w:tc>
          <w:tcPr>
            <w:tcW w:w="1822" w:type="dxa"/>
            <w:noWrap w:val="0"/>
            <w:vAlign w:val="center"/>
          </w:tcPr>
          <w:p w14:paraId="7C108129">
            <w:pPr>
              <w:pStyle w:val="37"/>
              <w:keepNext w:val="0"/>
              <w:keepLines w:val="0"/>
              <w:suppressLineNumbers w:val="0"/>
              <w:spacing w:before="0" w:beforeAutospacing="0" w:after="0" w:afterAutospacing="0"/>
              <w:ind w:left="0" w:right="0" w:firstLine="120" w:firstLineChars="50"/>
              <w:jc w:val="center"/>
              <w:rPr>
                <w:rFonts w:hint="eastAsia" w:ascii="宋体" w:hAnsi="宋体" w:cs="宋体"/>
                <w:kern w:val="2"/>
                <w:sz w:val="24"/>
                <w:szCs w:val="24"/>
              </w:rPr>
            </w:pPr>
            <w:r>
              <w:rPr>
                <w:rFonts w:hint="eastAsia" w:ascii="宋体" w:hAnsi="宋体" w:cs="宋体"/>
                <w:sz w:val="24"/>
                <w:szCs w:val="24"/>
              </w:rPr>
              <w:t>递交电子投标文件</w:t>
            </w:r>
          </w:p>
        </w:tc>
        <w:tc>
          <w:tcPr>
            <w:tcW w:w="7156" w:type="dxa"/>
            <w:noWrap w:val="0"/>
            <w:vAlign w:val="center"/>
          </w:tcPr>
          <w:p w14:paraId="4C545191">
            <w:pPr>
              <w:pStyle w:val="37"/>
              <w:keepNext w:val="0"/>
              <w:keepLines w:val="0"/>
              <w:suppressLineNumbers w:val="0"/>
              <w:spacing w:before="0" w:beforeAutospacing="0" w:after="0" w:afterAutospacing="0"/>
              <w:ind w:left="0" w:right="0" w:firstLine="0"/>
              <w:jc w:val="left"/>
              <w:rPr>
                <w:rFonts w:hint="eastAsia" w:ascii="宋体" w:hAnsi="宋体" w:cs="宋体"/>
                <w:sz w:val="24"/>
                <w:szCs w:val="24"/>
                <w:u w:val="single"/>
              </w:rPr>
            </w:pPr>
            <w:r>
              <w:rPr>
                <w:rFonts w:hint="eastAsia" w:ascii="宋体" w:hAnsi="宋体" w:cs="宋体"/>
                <w:sz w:val="24"/>
                <w:szCs w:val="24"/>
                <w:u w:val="single"/>
              </w:rPr>
              <w:t>1、投标人登录广州交易集团有限公司（广州公共资源交易中心）交易平台递交电子投标文件。</w:t>
            </w:r>
          </w:p>
          <w:p w14:paraId="5320440F">
            <w:pPr>
              <w:pStyle w:val="37"/>
              <w:keepNext w:val="0"/>
              <w:keepLines w:val="0"/>
              <w:suppressLineNumbers w:val="0"/>
              <w:spacing w:before="0" w:beforeAutospacing="0" w:after="0" w:afterAutospacing="0"/>
              <w:ind w:left="0" w:right="0" w:firstLine="0"/>
              <w:jc w:val="left"/>
              <w:rPr>
                <w:rFonts w:hint="eastAsia" w:ascii="宋体" w:hAnsi="宋体" w:cs="宋体"/>
                <w:sz w:val="24"/>
                <w:szCs w:val="24"/>
                <w:u w:val="single"/>
              </w:rPr>
            </w:pPr>
            <w:r>
              <w:rPr>
                <w:rFonts w:hint="eastAsia" w:ascii="宋体" w:hAnsi="宋体" w:cs="宋体"/>
                <w:sz w:val="24"/>
                <w:szCs w:val="24"/>
                <w:u w:val="single"/>
              </w:rPr>
              <w:t>2、投标人完成电子投标文件上传后，交易平台即时向投标人发出递交回执通知。递交时间以递交回执通知载明的传输完成时间为准。</w:t>
            </w:r>
          </w:p>
          <w:p w14:paraId="07C1FE35">
            <w:pPr>
              <w:pStyle w:val="37"/>
              <w:keepNext w:val="0"/>
              <w:keepLines w:val="0"/>
              <w:suppressLineNumbers w:val="0"/>
              <w:spacing w:before="0" w:beforeAutospacing="0" w:after="0" w:afterAutospacing="0"/>
              <w:ind w:left="0" w:right="0" w:firstLine="0"/>
              <w:jc w:val="left"/>
              <w:rPr>
                <w:rFonts w:hint="eastAsia" w:ascii="宋体" w:hAnsi="宋体" w:cs="宋体"/>
                <w:sz w:val="24"/>
                <w:szCs w:val="24"/>
                <w:u w:val="single"/>
              </w:rPr>
            </w:pPr>
            <w:r>
              <w:rPr>
                <w:rFonts w:hint="eastAsia" w:ascii="宋体" w:hAnsi="宋体" w:cs="宋体"/>
                <w:sz w:val="24"/>
                <w:szCs w:val="24"/>
                <w:u w:val="single"/>
              </w:rPr>
              <w:t>3、如按招标公告要求需要提交投标文件光盘或U盘（备用），备用光盘不得加密。如使用投标文件光盘或U盘（备用）时无法读取或导入的，则视为未提交投标文件。</w:t>
            </w:r>
          </w:p>
          <w:p w14:paraId="3C84ADCC">
            <w:pPr>
              <w:pStyle w:val="37"/>
              <w:keepNext w:val="0"/>
              <w:keepLines w:val="0"/>
              <w:suppressLineNumbers w:val="0"/>
              <w:spacing w:before="0" w:beforeAutospacing="0" w:after="0" w:afterAutospacing="0"/>
              <w:ind w:left="0" w:right="0" w:firstLine="0"/>
              <w:jc w:val="left"/>
              <w:rPr>
                <w:rFonts w:hint="eastAsia" w:ascii="宋体" w:hAnsi="宋体" w:cs="宋体"/>
                <w:sz w:val="24"/>
                <w:szCs w:val="24"/>
                <w:u w:val="single"/>
              </w:rPr>
            </w:pPr>
            <w:r>
              <w:rPr>
                <w:rFonts w:hint="eastAsia" w:ascii="宋体" w:hAnsi="宋体" w:cs="宋体"/>
                <w:sz w:val="24"/>
                <w:szCs w:val="24"/>
                <w:u w:val="single"/>
              </w:rPr>
              <w:t>4、逾期送达的投标文件，交易平台将予以拒收。</w:t>
            </w:r>
          </w:p>
          <w:p w14:paraId="53F19B40">
            <w:pPr>
              <w:pStyle w:val="37"/>
              <w:keepNext w:val="0"/>
              <w:keepLines w:val="0"/>
              <w:suppressLineNumbers w:val="0"/>
              <w:spacing w:before="0" w:beforeAutospacing="0" w:after="0" w:afterAutospacing="0"/>
              <w:ind w:left="0" w:right="0" w:firstLine="0"/>
              <w:jc w:val="left"/>
              <w:rPr>
                <w:rFonts w:hint="eastAsia" w:ascii="宋体" w:hAnsi="宋体" w:cs="宋体"/>
                <w:kern w:val="2"/>
                <w:sz w:val="24"/>
                <w:szCs w:val="24"/>
              </w:rPr>
            </w:pPr>
            <w:r>
              <w:rPr>
                <w:rFonts w:hint="eastAsia" w:ascii="宋体" w:hAnsi="宋体" w:cs="宋体"/>
                <w:sz w:val="24"/>
                <w:szCs w:val="24"/>
                <w:u w:val="single"/>
              </w:rPr>
              <w:t>5.上述时间及地点是否有改变，请密切留意招标答疑中的相关信息。也可登录广州交易集团有限公司（广州公共资源交易中心）网站首页，点击“项目查询（日程安排、答疑纪要）”专栏中的“项目查询”，输入项目编号或项目名称查询最新信息。</w:t>
            </w:r>
          </w:p>
        </w:tc>
      </w:tr>
      <w:tr w14:paraId="3984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536" w:hRule="atLeast"/>
          <w:jc w:val="center"/>
        </w:trPr>
        <w:tc>
          <w:tcPr>
            <w:tcW w:w="1223" w:type="dxa"/>
            <w:noWrap w:val="0"/>
            <w:vAlign w:val="center"/>
          </w:tcPr>
          <w:p w14:paraId="1604466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4.2.3</w:t>
            </w:r>
          </w:p>
        </w:tc>
        <w:tc>
          <w:tcPr>
            <w:tcW w:w="1822" w:type="dxa"/>
            <w:noWrap w:val="0"/>
            <w:vAlign w:val="center"/>
          </w:tcPr>
          <w:p w14:paraId="573752B4">
            <w:pPr>
              <w:pStyle w:val="37"/>
              <w:keepNext w:val="0"/>
              <w:keepLines w:val="0"/>
              <w:suppressLineNumbers w:val="0"/>
              <w:spacing w:before="0" w:beforeAutospacing="0" w:after="0" w:afterAutospacing="0"/>
              <w:ind w:left="0" w:right="0" w:firstLine="120" w:firstLineChars="50"/>
              <w:jc w:val="center"/>
              <w:rPr>
                <w:rFonts w:hint="eastAsia" w:ascii="宋体" w:hAnsi="宋体" w:cs="宋体"/>
                <w:kern w:val="2"/>
                <w:sz w:val="24"/>
                <w:szCs w:val="24"/>
              </w:rPr>
            </w:pPr>
            <w:r>
              <w:rPr>
                <w:rFonts w:hint="eastAsia" w:ascii="宋体" w:hAnsi="宋体" w:cs="宋体"/>
                <w:kern w:val="2"/>
                <w:sz w:val="24"/>
                <w:szCs w:val="24"/>
              </w:rPr>
              <w:t>投标文件是否退还</w:t>
            </w:r>
          </w:p>
        </w:tc>
        <w:tc>
          <w:tcPr>
            <w:tcW w:w="7156" w:type="dxa"/>
            <w:noWrap w:val="0"/>
            <w:vAlign w:val="center"/>
          </w:tcPr>
          <w:p w14:paraId="5DF5A4B3">
            <w:pPr>
              <w:pStyle w:val="37"/>
              <w:keepNext w:val="0"/>
              <w:keepLines w:val="0"/>
              <w:suppressLineNumbers w:val="0"/>
              <w:spacing w:before="0" w:beforeAutospacing="0" w:after="0" w:afterAutospacing="0"/>
              <w:ind w:left="0" w:right="0" w:firstLine="0"/>
              <w:jc w:val="left"/>
              <w:rPr>
                <w:rFonts w:hint="eastAsia" w:ascii="宋体" w:hAnsi="宋体" w:cs="宋体"/>
                <w:kern w:val="2"/>
                <w:sz w:val="24"/>
                <w:szCs w:val="24"/>
              </w:rPr>
            </w:pPr>
            <w:r>
              <w:rPr>
                <w:rFonts w:hint="eastAsia" w:ascii="宋体" w:hAnsi="宋体" w:cs="宋体"/>
                <w:kern w:val="2"/>
                <w:sz w:val="24"/>
                <w:szCs w:val="24"/>
              </w:rPr>
              <w:t xml:space="preserve">■否 </w:t>
            </w:r>
          </w:p>
          <w:p w14:paraId="6CCC90AD">
            <w:pPr>
              <w:pStyle w:val="37"/>
              <w:keepNext w:val="0"/>
              <w:keepLines w:val="0"/>
              <w:suppressLineNumbers w:val="0"/>
              <w:spacing w:before="0" w:beforeAutospacing="0" w:after="0" w:afterAutospacing="0"/>
              <w:ind w:left="0" w:right="0" w:firstLine="0"/>
              <w:jc w:val="left"/>
              <w:rPr>
                <w:rFonts w:hint="eastAsia" w:ascii="宋体" w:hAnsi="宋体" w:cs="宋体"/>
                <w:kern w:val="2"/>
                <w:sz w:val="24"/>
                <w:szCs w:val="24"/>
              </w:rPr>
            </w:pPr>
            <w:r>
              <w:rPr>
                <w:rFonts w:hint="eastAsia" w:ascii="宋体" w:hAnsi="宋体" w:cs="宋体"/>
                <w:kern w:val="2"/>
                <w:sz w:val="24"/>
                <w:szCs w:val="24"/>
              </w:rPr>
              <w:t xml:space="preserve">□是，退还时间： </w:t>
            </w:r>
          </w:p>
        </w:tc>
      </w:tr>
      <w:tr w14:paraId="291E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536" w:hRule="atLeast"/>
          <w:jc w:val="center"/>
        </w:trPr>
        <w:tc>
          <w:tcPr>
            <w:tcW w:w="1223" w:type="dxa"/>
            <w:noWrap w:val="0"/>
            <w:vAlign w:val="center"/>
          </w:tcPr>
          <w:p w14:paraId="5E439852">
            <w:pPr>
              <w:pStyle w:val="37"/>
              <w:keepNext w:val="0"/>
              <w:keepLines w:val="0"/>
              <w:suppressLineNumbers w:val="0"/>
              <w:spacing w:before="0" w:beforeAutospacing="0" w:after="0" w:afterAutospacing="0"/>
              <w:ind w:left="0" w:right="0" w:firstLine="120" w:firstLineChars="50"/>
              <w:jc w:val="center"/>
              <w:rPr>
                <w:rFonts w:hint="eastAsia" w:ascii="宋体" w:hAnsi="宋体" w:eastAsia="宋体" w:cs="宋体"/>
                <w:kern w:val="2"/>
                <w:sz w:val="24"/>
                <w:szCs w:val="24"/>
              </w:rPr>
            </w:pPr>
            <w:r>
              <w:rPr>
                <w:rFonts w:hint="eastAsia" w:ascii="宋体" w:hAnsi="宋体" w:eastAsia="宋体" w:cs="宋体"/>
                <w:kern w:val="2"/>
                <w:sz w:val="24"/>
                <w:szCs w:val="24"/>
              </w:rPr>
              <w:t>4.2.6（增加）</w:t>
            </w:r>
          </w:p>
        </w:tc>
        <w:tc>
          <w:tcPr>
            <w:tcW w:w="1822" w:type="dxa"/>
            <w:noWrap w:val="0"/>
            <w:vAlign w:val="center"/>
          </w:tcPr>
          <w:p w14:paraId="0D8F48EF">
            <w:pPr>
              <w:pStyle w:val="37"/>
              <w:keepNext w:val="0"/>
              <w:keepLines w:val="0"/>
              <w:suppressLineNumbers w:val="0"/>
              <w:spacing w:before="0" w:beforeAutospacing="0" w:after="0" w:afterAutospacing="0"/>
              <w:ind w:left="0" w:right="0" w:firstLine="120" w:firstLineChars="50"/>
              <w:jc w:val="center"/>
              <w:rPr>
                <w:rFonts w:hint="eastAsia" w:ascii="宋体" w:hAnsi="宋体" w:eastAsia="宋体" w:cs="宋体"/>
                <w:kern w:val="2"/>
                <w:sz w:val="24"/>
                <w:szCs w:val="24"/>
              </w:rPr>
            </w:pPr>
            <w:r>
              <w:rPr>
                <w:rFonts w:hint="eastAsia" w:ascii="宋体" w:hAnsi="宋体" w:eastAsia="宋体" w:cs="宋体"/>
                <w:kern w:val="2"/>
                <w:sz w:val="24"/>
                <w:szCs w:val="24"/>
              </w:rPr>
              <w:t>投标时间</w:t>
            </w:r>
          </w:p>
        </w:tc>
        <w:tc>
          <w:tcPr>
            <w:tcW w:w="7156" w:type="dxa"/>
            <w:noWrap w:val="0"/>
            <w:vAlign w:val="center"/>
          </w:tcPr>
          <w:p w14:paraId="43DAA005">
            <w:pPr>
              <w:pStyle w:val="94"/>
              <w:keepNext w:val="0"/>
              <w:keepLines w:val="0"/>
              <w:suppressLineNumbers w:val="0"/>
              <w:spacing w:before="0" w:beforeAutospacing="0" w:afterAutospacing="0"/>
              <w:ind w:left="0" w:right="0"/>
              <w:jc w:val="both"/>
              <w:rPr>
                <w:rFonts w:hint="eastAsia" w:ascii="宋体" w:hAnsi="宋体"/>
                <w:kern w:val="2"/>
                <w:sz w:val="24"/>
                <w:szCs w:val="24"/>
              </w:rPr>
            </w:pPr>
            <w:r>
              <w:rPr>
                <w:rFonts w:hint="eastAsia" w:ascii="宋体" w:hAnsi="宋体"/>
                <w:kern w:val="2"/>
                <w:sz w:val="24"/>
                <w:szCs w:val="24"/>
              </w:rPr>
              <w:t>1、投标截止时间自本工程招标公告发布之日起计。</w:t>
            </w:r>
          </w:p>
          <w:p w14:paraId="33A5CCC5">
            <w:pPr>
              <w:pStyle w:val="94"/>
              <w:keepNext w:val="0"/>
              <w:keepLines w:val="0"/>
              <w:suppressLineNumbers w:val="0"/>
              <w:spacing w:before="0" w:beforeAutospacing="0" w:afterAutospacing="0"/>
              <w:ind w:left="0" w:right="0"/>
              <w:jc w:val="both"/>
              <w:rPr>
                <w:rFonts w:hint="eastAsia" w:ascii="宋体" w:hAnsi="宋体"/>
                <w:kern w:val="2"/>
                <w:sz w:val="24"/>
                <w:szCs w:val="24"/>
              </w:rPr>
            </w:pPr>
            <w:r>
              <w:rPr>
                <w:rFonts w:hint="eastAsia" w:ascii="宋体" w:hAnsi="宋体"/>
                <w:kern w:val="2"/>
                <w:sz w:val="24"/>
                <w:szCs w:val="24"/>
              </w:rPr>
              <w:t>2、具体投标截止时间以招标人（招标代理机构）的最新通知为准，请各投标人留意交易平台网站发布的本工程相关信息。</w:t>
            </w:r>
          </w:p>
          <w:p w14:paraId="38A043A0">
            <w:pPr>
              <w:pStyle w:val="94"/>
              <w:keepNext w:val="0"/>
              <w:keepLines w:val="0"/>
              <w:suppressLineNumbers w:val="0"/>
              <w:spacing w:before="0" w:beforeAutospacing="0" w:afterAutospacing="0"/>
              <w:ind w:left="0" w:right="0"/>
              <w:jc w:val="both"/>
              <w:rPr>
                <w:rFonts w:hint="eastAsia" w:ascii="宋体" w:hAnsi="宋体" w:cs="宋体"/>
                <w:kern w:val="2"/>
                <w:sz w:val="24"/>
                <w:szCs w:val="24"/>
              </w:rPr>
            </w:pPr>
            <w:r>
              <w:rPr>
                <w:rFonts w:hint="eastAsia" w:ascii="宋体" w:hAnsi="宋体"/>
                <w:kern w:val="2"/>
                <w:sz w:val="24"/>
                <w:szCs w:val="24"/>
              </w:rPr>
              <w:t>3、到投标截止时间止，招标人收到的投标文件少于3家的，招标人将重新组织招标。</w:t>
            </w:r>
          </w:p>
        </w:tc>
      </w:tr>
      <w:tr w14:paraId="4BEA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536" w:hRule="atLeast"/>
          <w:jc w:val="center"/>
        </w:trPr>
        <w:tc>
          <w:tcPr>
            <w:tcW w:w="1223" w:type="dxa"/>
            <w:noWrap w:val="0"/>
            <w:vAlign w:val="center"/>
          </w:tcPr>
          <w:p w14:paraId="12BF59AB">
            <w:pPr>
              <w:pStyle w:val="37"/>
              <w:keepNext w:val="0"/>
              <w:keepLines w:val="0"/>
              <w:suppressLineNumbers w:val="0"/>
              <w:spacing w:before="0" w:beforeAutospacing="0" w:after="0" w:afterAutospacing="0"/>
              <w:ind w:left="0" w:right="0" w:firstLine="120" w:firstLineChars="50"/>
              <w:jc w:val="center"/>
              <w:rPr>
                <w:rFonts w:hint="eastAsia" w:ascii="宋体" w:hAnsi="宋体" w:eastAsia="宋体" w:cs="宋体"/>
                <w:kern w:val="2"/>
                <w:sz w:val="24"/>
                <w:szCs w:val="24"/>
              </w:rPr>
            </w:pPr>
            <w:r>
              <w:rPr>
                <w:rFonts w:hint="eastAsia" w:ascii="宋体" w:hAnsi="宋体" w:eastAsia="宋体" w:cs="宋体"/>
                <w:kern w:val="2"/>
                <w:sz w:val="24"/>
                <w:szCs w:val="24"/>
              </w:rPr>
              <w:t>4.3</w:t>
            </w:r>
          </w:p>
        </w:tc>
        <w:tc>
          <w:tcPr>
            <w:tcW w:w="1822" w:type="dxa"/>
            <w:noWrap w:val="0"/>
            <w:vAlign w:val="center"/>
          </w:tcPr>
          <w:p w14:paraId="1B12B83B">
            <w:pPr>
              <w:pStyle w:val="37"/>
              <w:keepNext w:val="0"/>
              <w:keepLines w:val="0"/>
              <w:suppressLineNumbers w:val="0"/>
              <w:spacing w:before="0" w:beforeAutospacing="0" w:after="0" w:afterAutospacing="0"/>
              <w:ind w:left="0" w:right="0" w:firstLine="120" w:firstLineChars="50"/>
              <w:jc w:val="center"/>
              <w:rPr>
                <w:rFonts w:hint="eastAsia" w:ascii="宋体" w:hAnsi="宋体" w:eastAsia="宋体" w:cs="宋体"/>
                <w:kern w:val="2"/>
                <w:sz w:val="24"/>
                <w:szCs w:val="24"/>
              </w:rPr>
            </w:pPr>
            <w:r>
              <w:rPr>
                <w:rFonts w:hint="eastAsia" w:ascii="宋体" w:hAnsi="宋体" w:eastAsia="宋体" w:cs="宋体"/>
                <w:kern w:val="2"/>
                <w:sz w:val="24"/>
                <w:szCs w:val="24"/>
              </w:rPr>
              <w:t>投标文件的修改与撤回</w:t>
            </w:r>
          </w:p>
        </w:tc>
        <w:tc>
          <w:tcPr>
            <w:tcW w:w="7156" w:type="dxa"/>
            <w:noWrap w:val="0"/>
            <w:vAlign w:val="center"/>
          </w:tcPr>
          <w:p w14:paraId="4CF10530">
            <w:pPr>
              <w:pStyle w:val="94"/>
              <w:keepNext w:val="0"/>
              <w:keepLines w:val="0"/>
              <w:suppressLineNumbers w:val="0"/>
              <w:spacing w:before="0" w:beforeAutospacing="0" w:afterAutospacing="0"/>
              <w:ind w:left="0" w:right="0"/>
              <w:jc w:val="both"/>
              <w:rPr>
                <w:rFonts w:hint="eastAsia" w:ascii="宋体" w:hAnsi="宋体"/>
                <w:kern w:val="2"/>
                <w:sz w:val="24"/>
                <w:szCs w:val="24"/>
              </w:rPr>
            </w:pPr>
            <w:r>
              <w:rPr>
                <w:rFonts w:hint="eastAsia" w:ascii="宋体" w:hAnsi="宋体"/>
                <w:kern w:val="2"/>
                <w:sz w:val="24"/>
                <w:szCs w:val="24"/>
              </w:rPr>
              <w:t>1、在规定的投标截止时间前，投标人可以修改或撤回已递交的投标文件。</w:t>
            </w:r>
          </w:p>
          <w:p w14:paraId="772A8E3E">
            <w:pPr>
              <w:pStyle w:val="94"/>
              <w:keepNext w:val="0"/>
              <w:keepLines w:val="0"/>
              <w:suppressLineNumbers w:val="0"/>
              <w:spacing w:before="0" w:beforeAutospacing="0" w:afterAutospacing="0"/>
              <w:ind w:left="0" w:right="0"/>
              <w:jc w:val="both"/>
              <w:rPr>
                <w:rFonts w:hint="eastAsia" w:ascii="宋体" w:hAnsi="宋体"/>
                <w:kern w:val="2"/>
                <w:sz w:val="24"/>
                <w:szCs w:val="24"/>
              </w:rPr>
            </w:pPr>
            <w:r>
              <w:rPr>
                <w:rFonts w:hint="eastAsia" w:ascii="宋体" w:hAnsi="宋体"/>
                <w:kern w:val="2"/>
                <w:sz w:val="24"/>
                <w:szCs w:val="24"/>
              </w:rPr>
              <w:t>2、投标人修改或撤回已递交的投标文件，需在交易平台发出撤回通知，并按要求加盖电子印章。电子招标投标交易平台收到通知后，即时向投标人发布确认回执通知。</w:t>
            </w:r>
          </w:p>
          <w:p w14:paraId="7EE4D3F3">
            <w:pPr>
              <w:pStyle w:val="94"/>
              <w:keepNext w:val="0"/>
              <w:keepLines w:val="0"/>
              <w:suppressLineNumbers w:val="0"/>
              <w:spacing w:before="0" w:beforeAutospacing="0" w:afterAutospacing="0"/>
              <w:ind w:left="0" w:right="0"/>
              <w:jc w:val="both"/>
              <w:rPr>
                <w:rFonts w:hint="eastAsia" w:ascii="宋体" w:hAnsi="宋体"/>
                <w:kern w:val="2"/>
                <w:sz w:val="24"/>
                <w:szCs w:val="24"/>
              </w:rPr>
            </w:pPr>
            <w:r>
              <w:rPr>
                <w:rFonts w:hint="eastAsia" w:ascii="宋体" w:hAnsi="宋体"/>
                <w:kern w:val="2"/>
                <w:sz w:val="24"/>
                <w:szCs w:val="24"/>
              </w:rPr>
              <w:t>3、修改后再次递交的，按4.2.2（B）的规定执行。</w:t>
            </w:r>
          </w:p>
          <w:p w14:paraId="211E95A7">
            <w:pPr>
              <w:pStyle w:val="94"/>
              <w:keepNext w:val="0"/>
              <w:keepLines w:val="0"/>
              <w:suppressLineNumbers w:val="0"/>
              <w:spacing w:before="0" w:beforeAutospacing="0" w:afterAutospacing="0"/>
              <w:ind w:left="0" w:right="0"/>
              <w:jc w:val="both"/>
              <w:rPr>
                <w:rFonts w:hint="eastAsia" w:ascii="宋体" w:hAnsi="宋体"/>
                <w:kern w:val="2"/>
                <w:sz w:val="24"/>
                <w:szCs w:val="24"/>
              </w:rPr>
            </w:pPr>
            <w:r>
              <w:rPr>
                <w:rFonts w:hint="eastAsia" w:ascii="宋体" w:hAnsi="宋体"/>
                <w:kern w:val="2"/>
                <w:sz w:val="24"/>
                <w:szCs w:val="24"/>
              </w:rPr>
              <w:t>4、在投标截止时间后，投标人不得补充、修改或更换投标文件。</w:t>
            </w:r>
          </w:p>
        </w:tc>
      </w:tr>
      <w:tr w14:paraId="4260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44" w:hRule="atLeast"/>
          <w:jc w:val="center"/>
        </w:trPr>
        <w:tc>
          <w:tcPr>
            <w:tcW w:w="1223" w:type="dxa"/>
            <w:noWrap w:val="0"/>
            <w:vAlign w:val="center"/>
          </w:tcPr>
          <w:p w14:paraId="347C1F6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5.1（A）</w:t>
            </w:r>
          </w:p>
        </w:tc>
        <w:tc>
          <w:tcPr>
            <w:tcW w:w="1822" w:type="dxa"/>
            <w:noWrap w:val="0"/>
            <w:vAlign w:val="center"/>
          </w:tcPr>
          <w:p w14:paraId="2F335704">
            <w:pPr>
              <w:pStyle w:val="37"/>
              <w:keepNext w:val="0"/>
              <w:keepLines w:val="0"/>
              <w:suppressLineNumbers w:val="0"/>
              <w:spacing w:before="0" w:beforeAutospacing="0" w:after="0" w:afterAutospacing="0"/>
              <w:ind w:left="0" w:right="0" w:firstLine="120" w:firstLineChars="50"/>
              <w:jc w:val="center"/>
              <w:rPr>
                <w:rFonts w:hint="eastAsia" w:ascii="宋体" w:hAnsi="宋体" w:cs="宋体"/>
                <w:kern w:val="2"/>
                <w:sz w:val="24"/>
                <w:szCs w:val="24"/>
              </w:rPr>
            </w:pPr>
            <w:r>
              <w:rPr>
                <w:rFonts w:hint="eastAsia" w:ascii="宋体" w:hAnsi="宋体" w:cs="宋体"/>
                <w:kern w:val="2"/>
                <w:sz w:val="24"/>
                <w:szCs w:val="24"/>
              </w:rPr>
              <w:t>开标时间和地点</w:t>
            </w:r>
          </w:p>
        </w:tc>
        <w:tc>
          <w:tcPr>
            <w:tcW w:w="7156" w:type="dxa"/>
            <w:noWrap w:val="0"/>
            <w:vAlign w:val="center"/>
          </w:tcPr>
          <w:p w14:paraId="5D2F6556">
            <w:pPr>
              <w:pStyle w:val="37"/>
              <w:keepNext w:val="0"/>
              <w:keepLines w:val="0"/>
              <w:suppressLineNumbers w:val="0"/>
              <w:spacing w:before="0" w:beforeAutospacing="0" w:after="0" w:afterAutospacing="0"/>
              <w:ind w:left="0" w:right="0" w:firstLine="0"/>
              <w:jc w:val="left"/>
              <w:rPr>
                <w:rFonts w:hint="eastAsia" w:ascii="宋体" w:hAnsi="宋体" w:cs="宋体"/>
                <w:kern w:val="2"/>
                <w:sz w:val="24"/>
                <w:szCs w:val="24"/>
              </w:rPr>
            </w:pPr>
            <w:r>
              <w:rPr>
                <w:rFonts w:hint="eastAsia" w:ascii="宋体" w:hAnsi="宋体" w:cs="宋体"/>
                <w:kern w:val="2"/>
                <w:sz w:val="24"/>
                <w:szCs w:val="24"/>
              </w:rPr>
              <w:t>/</w:t>
            </w:r>
          </w:p>
        </w:tc>
      </w:tr>
      <w:tr w14:paraId="7842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1117" w:hRule="atLeast"/>
          <w:jc w:val="center"/>
        </w:trPr>
        <w:tc>
          <w:tcPr>
            <w:tcW w:w="1223" w:type="dxa"/>
            <w:noWrap w:val="0"/>
            <w:vAlign w:val="center"/>
          </w:tcPr>
          <w:p w14:paraId="2955C1F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5.1（B）</w:t>
            </w:r>
          </w:p>
        </w:tc>
        <w:tc>
          <w:tcPr>
            <w:tcW w:w="1822" w:type="dxa"/>
            <w:noWrap w:val="0"/>
            <w:vAlign w:val="center"/>
          </w:tcPr>
          <w:p w14:paraId="0465255A">
            <w:pPr>
              <w:pStyle w:val="37"/>
              <w:keepNext w:val="0"/>
              <w:keepLines w:val="0"/>
              <w:suppressLineNumbers w:val="0"/>
              <w:spacing w:before="0" w:beforeAutospacing="0" w:after="0" w:afterAutospacing="0"/>
              <w:ind w:left="0" w:right="0" w:firstLine="120" w:firstLineChars="50"/>
              <w:jc w:val="center"/>
              <w:rPr>
                <w:rFonts w:hint="eastAsia" w:ascii="宋体" w:hAnsi="宋体" w:cs="宋体"/>
                <w:kern w:val="2"/>
                <w:sz w:val="24"/>
                <w:szCs w:val="24"/>
              </w:rPr>
            </w:pPr>
            <w:r>
              <w:rPr>
                <w:rFonts w:hint="eastAsia" w:ascii="宋体" w:hAnsi="宋体" w:cs="宋体"/>
                <w:kern w:val="2"/>
                <w:sz w:val="24"/>
                <w:szCs w:val="24"/>
              </w:rPr>
              <w:t>开标时间和地点</w:t>
            </w:r>
          </w:p>
        </w:tc>
        <w:tc>
          <w:tcPr>
            <w:tcW w:w="7156" w:type="dxa"/>
            <w:noWrap w:val="0"/>
            <w:vAlign w:val="center"/>
          </w:tcPr>
          <w:p w14:paraId="4F80A1E9">
            <w:pPr>
              <w:pStyle w:val="17"/>
              <w:keepNext w:val="0"/>
              <w:keepLines w:val="0"/>
              <w:widowControl/>
              <w:suppressLineNumbers w:val="0"/>
              <w:spacing w:before="0" w:beforeAutospacing="0" w:after="0" w:afterAutospacing="0"/>
              <w:ind w:left="0" w:right="0"/>
              <w:rPr>
                <w:rFonts w:hint="eastAsia" w:ascii="宋体" w:hAnsi="宋体" w:eastAsia="宋体" w:cs="Times New Roman"/>
                <w:color w:val="auto"/>
                <w:sz w:val="24"/>
                <w:szCs w:val="24"/>
              </w:rPr>
            </w:pPr>
            <w:r>
              <w:rPr>
                <w:rFonts w:hint="eastAsia" w:ascii="宋体" w:hAnsi="宋体" w:eastAsia="宋体" w:cs="Times New Roman"/>
                <w:color w:val="auto"/>
                <w:sz w:val="24"/>
                <w:szCs w:val="24"/>
              </w:rPr>
              <w:t>开标时间：同投标截止时间</w:t>
            </w:r>
          </w:p>
          <w:p w14:paraId="3D155633">
            <w:pPr>
              <w:pStyle w:val="17"/>
              <w:keepNext w:val="0"/>
              <w:keepLines w:val="0"/>
              <w:widowControl/>
              <w:suppressLineNumbers w:val="0"/>
              <w:spacing w:before="0" w:beforeAutospacing="0" w:after="0" w:afterAutospacing="0"/>
              <w:ind w:left="0" w:right="0"/>
              <w:rPr>
                <w:rFonts w:hint="eastAsia" w:ascii="Calibri" w:hAnsi="Calibri" w:cs="Times New Roman"/>
                <w:color w:val="auto"/>
              </w:rPr>
            </w:pPr>
            <w:r>
              <w:rPr>
                <w:rFonts w:hint="eastAsia" w:ascii="宋体" w:hAnsi="宋体" w:eastAsia="宋体" w:cs="Times New Roman"/>
                <w:color w:val="auto"/>
                <w:sz w:val="24"/>
                <w:szCs w:val="24"/>
              </w:rPr>
              <w:t>开标地点：具体时间和地点可以到广州交易集团有限公司（广州公共资源交易中心）交易平台“建设工程→项目查询（日程安排、答疑纪要）”输入本项目编号或项目名称进行查询。</w:t>
            </w:r>
          </w:p>
        </w:tc>
      </w:tr>
      <w:tr w14:paraId="3FAA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355" w:hRule="atLeast"/>
          <w:jc w:val="center"/>
        </w:trPr>
        <w:tc>
          <w:tcPr>
            <w:tcW w:w="1223" w:type="dxa"/>
            <w:noWrap w:val="0"/>
            <w:vAlign w:val="center"/>
          </w:tcPr>
          <w:p w14:paraId="0D7F78E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5.2（4）（A）</w:t>
            </w:r>
          </w:p>
        </w:tc>
        <w:tc>
          <w:tcPr>
            <w:tcW w:w="1822" w:type="dxa"/>
            <w:noWrap w:val="0"/>
            <w:vAlign w:val="center"/>
          </w:tcPr>
          <w:p w14:paraId="0CEC6530">
            <w:pPr>
              <w:pStyle w:val="37"/>
              <w:keepNext w:val="0"/>
              <w:keepLines w:val="0"/>
              <w:suppressLineNumbers w:val="0"/>
              <w:spacing w:before="0" w:beforeAutospacing="0" w:after="0" w:afterAutospacing="0"/>
              <w:ind w:left="0" w:right="0" w:firstLine="120" w:firstLineChars="50"/>
              <w:jc w:val="center"/>
              <w:rPr>
                <w:rFonts w:hint="eastAsia" w:ascii="宋体" w:hAnsi="宋体" w:cs="宋体"/>
                <w:kern w:val="2"/>
                <w:sz w:val="24"/>
                <w:szCs w:val="24"/>
              </w:rPr>
            </w:pPr>
            <w:r>
              <w:rPr>
                <w:rFonts w:hint="eastAsia" w:ascii="宋体" w:hAnsi="宋体" w:cs="宋体"/>
                <w:kern w:val="2"/>
                <w:sz w:val="24"/>
                <w:szCs w:val="24"/>
              </w:rPr>
              <w:t>开标程序</w:t>
            </w:r>
          </w:p>
        </w:tc>
        <w:tc>
          <w:tcPr>
            <w:tcW w:w="7156" w:type="dxa"/>
            <w:noWrap w:val="0"/>
            <w:vAlign w:val="center"/>
          </w:tcPr>
          <w:p w14:paraId="23D7E815">
            <w:pPr>
              <w:pStyle w:val="37"/>
              <w:keepNext w:val="0"/>
              <w:keepLines w:val="0"/>
              <w:suppressLineNumbers w:val="0"/>
              <w:spacing w:before="0" w:beforeAutospacing="0" w:after="0" w:afterAutospacing="0"/>
              <w:ind w:left="0" w:right="0" w:firstLine="0"/>
              <w:jc w:val="left"/>
              <w:rPr>
                <w:rFonts w:hint="eastAsia" w:ascii="宋体" w:hAnsi="宋体" w:cs="宋体"/>
                <w:kern w:val="2"/>
                <w:sz w:val="24"/>
                <w:szCs w:val="24"/>
              </w:rPr>
            </w:pPr>
            <w:r>
              <w:rPr>
                <w:rFonts w:hint="eastAsia" w:ascii="宋体" w:hAnsi="宋体" w:cs="宋体"/>
                <w:kern w:val="2"/>
                <w:sz w:val="24"/>
                <w:szCs w:val="24"/>
              </w:rPr>
              <w:t>/</w:t>
            </w:r>
          </w:p>
        </w:tc>
      </w:tr>
      <w:tr w14:paraId="6B35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551" w:hRule="atLeast"/>
          <w:jc w:val="center"/>
        </w:trPr>
        <w:tc>
          <w:tcPr>
            <w:tcW w:w="1223" w:type="dxa"/>
            <w:noWrap w:val="0"/>
            <w:vAlign w:val="center"/>
          </w:tcPr>
          <w:p w14:paraId="3C98819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default" w:ascii="宋体" w:hAnsi="宋体" w:eastAsia="宋体" w:cs="宋体"/>
                <w:color w:val="auto"/>
                <w:sz w:val="24"/>
                <w:szCs w:val="24"/>
              </w:rPr>
              <w:t>.1</w:t>
            </w:r>
          </w:p>
        </w:tc>
        <w:tc>
          <w:tcPr>
            <w:tcW w:w="1822" w:type="dxa"/>
            <w:noWrap w:val="0"/>
            <w:vAlign w:val="center"/>
          </w:tcPr>
          <w:p w14:paraId="62B88D45">
            <w:pPr>
              <w:pStyle w:val="37"/>
              <w:keepNext w:val="0"/>
              <w:keepLines w:val="0"/>
              <w:suppressLineNumbers w:val="0"/>
              <w:spacing w:before="0" w:beforeAutospacing="0" w:after="0" w:afterAutospacing="0"/>
              <w:ind w:left="0" w:right="0" w:firstLine="120" w:firstLineChars="50"/>
              <w:jc w:val="center"/>
              <w:rPr>
                <w:rFonts w:hint="eastAsia" w:ascii="宋体" w:hAnsi="宋体" w:cs="宋体"/>
                <w:kern w:val="2"/>
                <w:sz w:val="24"/>
                <w:szCs w:val="24"/>
              </w:rPr>
            </w:pPr>
            <w:r>
              <w:rPr>
                <w:rFonts w:hint="eastAsia" w:ascii="宋体" w:hAnsi="宋体" w:cs="宋体"/>
                <w:kern w:val="2"/>
                <w:sz w:val="24"/>
                <w:szCs w:val="24"/>
              </w:rPr>
              <w:t>开标程序</w:t>
            </w:r>
          </w:p>
        </w:tc>
        <w:tc>
          <w:tcPr>
            <w:tcW w:w="7156" w:type="dxa"/>
            <w:noWrap w:val="0"/>
            <w:vAlign w:val="center"/>
          </w:tcPr>
          <w:p w14:paraId="7B78FE76">
            <w:pPr>
              <w:pStyle w:val="17"/>
              <w:keepNext w:val="0"/>
              <w:keepLines w:val="0"/>
              <w:widowControl/>
              <w:suppressLineNumbers w:val="0"/>
              <w:spacing w:before="0" w:beforeAutospacing="0" w:afterAutospacing="0" w:line="240" w:lineRule="auto"/>
              <w:ind w:left="0" w:right="0"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主持人按下列程序进行开标：</w:t>
            </w:r>
          </w:p>
          <w:p w14:paraId="584499C9">
            <w:pPr>
              <w:pStyle w:val="17"/>
              <w:keepNext w:val="0"/>
              <w:keepLines w:val="0"/>
              <w:widowControl/>
              <w:suppressLineNumbers w:val="0"/>
              <w:spacing w:before="0" w:beforeAutospacing="0" w:afterAutospacing="0" w:line="240" w:lineRule="auto"/>
              <w:ind w:left="0" w:right="0" w:firstLine="480" w:firstLineChars="200"/>
              <w:rPr>
                <w:rFonts w:hint="default" w:ascii="Calibri" w:hAnsi="Calibri" w:cs="Times New Roman"/>
                <w:color w:val="auto"/>
                <w:sz w:val="24"/>
                <w:szCs w:val="24"/>
                <w:u w:val="single"/>
              </w:rPr>
            </w:pPr>
            <w:r>
              <w:rPr>
                <w:rFonts w:hint="eastAsia" w:ascii="Calibri" w:hAnsi="Calibri" w:cs="Times New Roman"/>
                <w:color w:val="auto"/>
                <w:sz w:val="24"/>
                <w:szCs w:val="24"/>
                <w:u w:val="single"/>
              </w:rPr>
              <w:t>（</w:t>
            </w:r>
            <w:r>
              <w:rPr>
                <w:rFonts w:hint="default" w:ascii="Calibri" w:hAnsi="Calibri" w:cs="Times New Roman"/>
                <w:color w:val="auto"/>
                <w:sz w:val="24"/>
                <w:szCs w:val="24"/>
                <w:u w:val="single"/>
              </w:rPr>
              <w:t>1</w:t>
            </w:r>
            <w:r>
              <w:rPr>
                <w:rFonts w:hint="eastAsia" w:ascii="Calibri" w:hAnsi="Calibri" w:cs="Times New Roman"/>
                <w:color w:val="auto"/>
                <w:sz w:val="24"/>
                <w:szCs w:val="24"/>
                <w:u w:val="single"/>
              </w:rPr>
              <w:t>）宣布开标纪律；</w:t>
            </w:r>
          </w:p>
          <w:p w14:paraId="3DF11BBE">
            <w:pPr>
              <w:pStyle w:val="17"/>
              <w:keepNext w:val="0"/>
              <w:keepLines w:val="0"/>
              <w:widowControl/>
              <w:suppressLineNumbers w:val="0"/>
              <w:spacing w:before="0" w:beforeAutospacing="0" w:afterAutospacing="0" w:line="240" w:lineRule="auto"/>
              <w:ind w:left="0" w:right="0" w:firstLine="480" w:firstLineChars="200"/>
              <w:rPr>
                <w:rFonts w:hint="default" w:ascii="Calibri" w:hAnsi="Calibri" w:cs="Times New Roman"/>
                <w:color w:val="auto"/>
                <w:sz w:val="24"/>
                <w:szCs w:val="24"/>
                <w:u w:val="single"/>
              </w:rPr>
            </w:pPr>
            <w:r>
              <w:rPr>
                <w:rFonts w:hint="eastAsia" w:ascii="Calibri" w:hAnsi="Calibri" w:cs="Times New Roman"/>
                <w:color w:val="auto"/>
                <w:sz w:val="24"/>
                <w:szCs w:val="24"/>
                <w:u w:val="single"/>
              </w:rPr>
              <w:t>（</w:t>
            </w:r>
            <w:r>
              <w:rPr>
                <w:rFonts w:hint="default" w:ascii="Calibri" w:hAnsi="Calibri" w:cs="Times New Roman"/>
                <w:color w:val="auto"/>
                <w:sz w:val="24"/>
                <w:szCs w:val="24"/>
                <w:u w:val="single"/>
              </w:rPr>
              <w:t>2</w:t>
            </w:r>
            <w:r>
              <w:rPr>
                <w:rFonts w:hint="eastAsia" w:ascii="Calibri" w:hAnsi="Calibri" w:cs="Times New Roman"/>
                <w:color w:val="auto"/>
                <w:sz w:val="24"/>
                <w:szCs w:val="24"/>
                <w:u w:val="single"/>
              </w:rPr>
              <w:t>）招标代理（招标人）登录交易平台</w:t>
            </w:r>
            <w:r>
              <w:rPr>
                <w:rFonts w:hint="default" w:ascii="Calibri" w:hAnsi="Calibri" w:cs="Times New Roman"/>
                <w:color w:val="auto"/>
                <w:sz w:val="24"/>
                <w:szCs w:val="24"/>
                <w:u w:val="single"/>
              </w:rPr>
              <w:t>-</w:t>
            </w:r>
            <w:r>
              <w:rPr>
                <w:rFonts w:hint="eastAsia" w:ascii="Calibri" w:hAnsi="Calibri" w:cs="Times New Roman"/>
                <w:color w:val="auto"/>
                <w:sz w:val="24"/>
                <w:szCs w:val="24"/>
                <w:u w:val="single"/>
              </w:rPr>
              <w:t>数字开标系统；</w:t>
            </w:r>
          </w:p>
          <w:p w14:paraId="39C6285B">
            <w:pPr>
              <w:pStyle w:val="17"/>
              <w:keepNext w:val="0"/>
              <w:keepLines w:val="0"/>
              <w:widowControl/>
              <w:suppressLineNumbers w:val="0"/>
              <w:spacing w:before="0" w:beforeAutospacing="0" w:afterAutospacing="0" w:line="240" w:lineRule="auto"/>
              <w:ind w:left="0" w:right="0" w:firstLine="480" w:firstLineChars="200"/>
              <w:rPr>
                <w:rFonts w:hint="default" w:ascii="Calibri" w:hAnsi="Calibri" w:cs="Times New Roman"/>
                <w:color w:val="auto"/>
                <w:sz w:val="24"/>
                <w:szCs w:val="24"/>
                <w:u w:val="single"/>
              </w:rPr>
            </w:pPr>
            <w:r>
              <w:rPr>
                <w:rFonts w:hint="eastAsia" w:ascii="Calibri" w:hAnsi="Calibri" w:cs="Times New Roman"/>
                <w:color w:val="auto"/>
                <w:sz w:val="24"/>
                <w:szCs w:val="24"/>
                <w:u w:val="single"/>
              </w:rPr>
              <w:t>（</w:t>
            </w:r>
            <w:r>
              <w:rPr>
                <w:rFonts w:hint="default" w:ascii="Calibri" w:hAnsi="Calibri" w:cs="Times New Roman"/>
                <w:color w:val="auto"/>
                <w:sz w:val="24"/>
                <w:szCs w:val="24"/>
                <w:u w:val="single"/>
              </w:rPr>
              <w:t>3</w:t>
            </w:r>
            <w:r>
              <w:rPr>
                <w:rFonts w:hint="eastAsia" w:ascii="Calibri" w:hAnsi="Calibri" w:cs="Times New Roman"/>
                <w:color w:val="auto"/>
                <w:sz w:val="24"/>
                <w:szCs w:val="24"/>
                <w:u w:val="single"/>
              </w:rPr>
              <w:t>）宣布开标人、唱标人、记录人、监标人等有关人员姓名；</w:t>
            </w:r>
          </w:p>
          <w:p w14:paraId="437102A1">
            <w:pPr>
              <w:pStyle w:val="17"/>
              <w:keepNext w:val="0"/>
              <w:keepLines w:val="0"/>
              <w:widowControl/>
              <w:suppressLineNumbers w:val="0"/>
              <w:spacing w:before="0" w:beforeAutospacing="0" w:afterAutospacing="0" w:line="240" w:lineRule="auto"/>
              <w:ind w:left="0" w:right="0" w:firstLine="480" w:firstLineChars="200"/>
              <w:rPr>
                <w:rFonts w:hint="default" w:ascii="Calibri" w:hAnsi="Calibri" w:cs="Times New Roman"/>
                <w:color w:val="auto"/>
                <w:sz w:val="24"/>
                <w:szCs w:val="24"/>
                <w:u w:val="single"/>
              </w:rPr>
            </w:pPr>
            <w:r>
              <w:rPr>
                <w:rFonts w:hint="eastAsia" w:ascii="Calibri" w:hAnsi="Calibri" w:cs="Times New Roman"/>
                <w:color w:val="auto"/>
                <w:sz w:val="24"/>
                <w:szCs w:val="24"/>
                <w:u w:val="single"/>
              </w:rPr>
              <w:t>（</w:t>
            </w:r>
            <w:r>
              <w:rPr>
                <w:rFonts w:hint="default" w:ascii="Calibri" w:hAnsi="Calibri" w:cs="Times New Roman"/>
                <w:color w:val="auto"/>
                <w:sz w:val="24"/>
                <w:szCs w:val="24"/>
                <w:u w:val="single"/>
              </w:rPr>
              <w:t>4</w:t>
            </w:r>
            <w:r>
              <w:rPr>
                <w:rFonts w:hint="eastAsia" w:ascii="Calibri" w:hAnsi="Calibri" w:cs="Times New Roman"/>
                <w:color w:val="auto"/>
                <w:sz w:val="24"/>
                <w:szCs w:val="24"/>
                <w:u w:val="single"/>
              </w:rPr>
              <w:t>）（</w:t>
            </w:r>
            <w:r>
              <w:rPr>
                <w:rFonts w:hint="default" w:ascii="Calibri" w:hAnsi="Calibri" w:cs="Times New Roman"/>
                <w:color w:val="auto"/>
                <w:sz w:val="24"/>
                <w:szCs w:val="24"/>
                <w:u w:val="single"/>
              </w:rPr>
              <w:t>B</w:t>
            </w:r>
            <w:r>
              <w:rPr>
                <w:rFonts w:hint="eastAsia" w:ascii="Calibri" w:hAnsi="Calibri" w:cs="Times New Roman"/>
                <w:color w:val="auto"/>
                <w:sz w:val="24"/>
                <w:szCs w:val="24"/>
                <w:u w:val="single"/>
              </w:rPr>
              <w:t>）投标人登录交易平台</w:t>
            </w:r>
            <w:r>
              <w:rPr>
                <w:rFonts w:hint="default" w:ascii="Calibri" w:hAnsi="Calibri" w:cs="Times New Roman"/>
                <w:color w:val="auto"/>
                <w:sz w:val="24"/>
                <w:szCs w:val="24"/>
                <w:u w:val="single"/>
              </w:rPr>
              <w:t>-</w:t>
            </w:r>
            <w:r>
              <w:rPr>
                <w:rFonts w:hint="eastAsia" w:ascii="Calibri" w:hAnsi="Calibri" w:cs="Times New Roman"/>
                <w:color w:val="auto"/>
                <w:sz w:val="24"/>
                <w:szCs w:val="24"/>
                <w:u w:val="single"/>
              </w:rPr>
              <w:t>数字开标系统，输入</w:t>
            </w:r>
            <w:r>
              <w:rPr>
                <w:rFonts w:hint="default" w:ascii="Calibri" w:hAnsi="Calibri" w:cs="Times New Roman"/>
                <w:color w:val="auto"/>
                <w:sz w:val="24"/>
                <w:szCs w:val="24"/>
                <w:u w:val="single"/>
              </w:rPr>
              <w:t>CA</w:t>
            </w:r>
            <w:r>
              <w:rPr>
                <w:rFonts w:hint="eastAsia" w:ascii="Calibri" w:hAnsi="Calibri" w:cs="Times New Roman"/>
                <w:color w:val="auto"/>
                <w:sz w:val="24"/>
                <w:szCs w:val="24"/>
                <w:u w:val="single"/>
              </w:rPr>
              <w:t>密码对已递交的电子投标文件进行解密，所有投标人需要在招标时设定的投标文件解密截止时间内进行解密，投标文件解密截止时间后不能再进行解密操作；</w:t>
            </w:r>
          </w:p>
          <w:p w14:paraId="57C2AD7E">
            <w:pPr>
              <w:pStyle w:val="17"/>
              <w:keepNext w:val="0"/>
              <w:keepLines w:val="0"/>
              <w:widowControl/>
              <w:suppressLineNumbers w:val="0"/>
              <w:spacing w:before="0" w:beforeAutospacing="0" w:afterAutospacing="0" w:line="240" w:lineRule="auto"/>
              <w:ind w:left="0" w:right="0" w:firstLine="480" w:firstLineChars="200"/>
              <w:rPr>
                <w:rFonts w:hint="default" w:ascii="Calibri" w:hAnsi="Calibri" w:cs="Times New Roman"/>
                <w:color w:val="auto"/>
                <w:sz w:val="24"/>
                <w:szCs w:val="24"/>
                <w:u w:val="single"/>
              </w:rPr>
            </w:pPr>
            <w:r>
              <w:rPr>
                <w:rFonts w:hint="eastAsia" w:ascii="Calibri" w:hAnsi="Calibri" w:cs="Times New Roman"/>
                <w:color w:val="auto"/>
                <w:sz w:val="24"/>
                <w:szCs w:val="24"/>
                <w:u w:val="single"/>
              </w:rPr>
              <w:t>所有投标人都已解密完成，或到了投标文件解密截止时间后，招标代理（招标人）可进行</w:t>
            </w:r>
            <w:r>
              <w:rPr>
                <w:rFonts w:hint="default" w:ascii="Calibri" w:hAnsi="Calibri" w:cs="Times New Roman"/>
                <w:color w:val="auto"/>
                <w:sz w:val="24"/>
                <w:szCs w:val="24"/>
                <w:u w:val="single"/>
              </w:rPr>
              <w:t>“</w:t>
            </w:r>
            <w:r>
              <w:rPr>
                <w:rFonts w:hint="eastAsia" w:ascii="Calibri" w:hAnsi="Calibri" w:cs="Times New Roman"/>
                <w:color w:val="auto"/>
                <w:sz w:val="24"/>
                <w:szCs w:val="24"/>
                <w:u w:val="single"/>
              </w:rPr>
              <w:t>招标人解密操作</w:t>
            </w:r>
            <w:r>
              <w:rPr>
                <w:rFonts w:hint="default" w:ascii="Calibri" w:hAnsi="Calibri" w:cs="Times New Roman"/>
                <w:color w:val="auto"/>
                <w:sz w:val="24"/>
                <w:szCs w:val="24"/>
                <w:u w:val="single"/>
              </w:rPr>
              <w:t>”</w:t>
            </w:r>
            <w:r>
              <w:rPr>
                <w:rFonts w:hint="eastAsia" w:ascii="Calibri" w:hAnsi="Calibri" w:cs="Times New Roman"/>
                <w:color w:val="auto"/>
                <w:sz w:val="24"/>
                <w:szCs w:val="24"/>
                <w:u w:val="single"/>
              </w:rPr>
              <w:t>，解密操作同样需要进行</w:t>
            </w:r>
            <w:r>
              <w:rPr>
                <w:rFonts w:hint="default" w:ascii="Calibri" w:hAnsi="Calibri" w:cs="Times New Roman"/>
                <w:color w:val="auto"/>
                <w:sz w:val="24"/>
                <w:szCs w:val="24"/>
                <w:u w:val="single"/>
              </w:rPr>
              <w:t>CA</w:t>
            </w:r>
            <w:r>
              <w:rPr>
                <w:rFonts w:hint="eastAsia" w:ascii="Calibri" w:hAnsi="Calibri" w:cs="Times New Roman"/>
                <w:color w:val="auto"/>
                <w:sz w:val="24"/>
                <w:szCs w:val="24"/>
                <w:u w:val="single"/>
              </w:rPr>
              <w:t>验证；</w:t>
            </w:r>
          </w:p>
          <w:p w14:paraId="560EDF73">
            <w:pPr>
              <w:pStyle w:val="17"/>
              <w:keepNext w:val="0"/>
              <w:keepLines w:val="0"/>
              <w:widowControl/>
              <w:suppressLineNumbers w:val="0"/>
              <w:spacing w:before="0" w:beforeAutospacing="0" w:afterAutospacing="0" w:line="240" w:lineRule="auto"/>
              <w:ind w:left="0" w:right="0" w:firstLine="480" w:firstLineChars="200"/>
              <w:rPr>
                <w:rFonts w:hint="default" w:ascii="Calibri" w:hAnsi="Calibri" w:cs="Times New Roman"/>
                <w:color w:val="auto"/>
                <w:sz w:val="24"/>
                <w:szCs w:val="24"/>
                <w:u w:val="single"/>
              </w:rPr>
            </w:pPr>
            <w:r>
              <w:rPr>
                <w:rFonts w:hint="eastAsia" w:ascii="Calibri" w:hAnsi="Calibri" w:cs="Times New Roman"/>
                <w:color w:val="auto"/>
                <w:sz w:val="24"/>
                <w:szCs w:val="24"/>
                <w:u w:val="single"/>
              </w:rPr>
              <w:t>投标人、招标代理（招标人）完成解密后，公布在投标截止时间前递交投标文件的投标人名称；招标代理开启电子唱标，公布招标项目名称、投标人名称、投标报价、服务期限及其他内容，并记录在案；</w:t>
            </w:r>
          </w:p>
          <w:p w14:paraId="1484B73D">
            <w:pPr>
              <w:pStyle w:val="17"/>
              <w:keepNext w:val="0"/>
              <w:keepLines w:val="0"/>
              <w:widowControl/>
              <w:suppressLineNumbers w:val="0"/>
              <w:spacing w:before="0" w:beforeAutospacing="0" w:afterAutospacing="0" w:line="240" w:lineRule="auto"/>
              <w:ind w:left="0" w:right="0" w:firstLine="480" w:firstLineChars="200"/>
              <w:rPr>
                <w:rFonts w:hint="default" w:ascii="Calibri" w:hAnsi="Calibri" w:cs="Times New Roman"/>
                <w:color w:val="auto"/>
                <w:sz w:val="24"/>
                <w:szCs w:val="24"/>
                <w:u w:val="single"/>
              </w:rPr>
            </w:pPr>
            <w:r>
              <w:rPr>
                <w:rFonts w:hint="eastAsia" w:ascii="Calibri" w:hAnsi="Calibri" w:cs="Times New Roman"/>
                <w:color w:val="auto"/>
                <w:sz w:val="24"/>
                <w:szCs w:val="24"/>
                <w:u w:val="single"/>
              </w:rPr>
              <w:t>唱标结束后，招标代理须开启</w:t>
            </w:r>
            <w:r>
              <w:rPr>
                <w:rFonts w:hint="default" w:ascii="Calibri" w:hAnsi="Calibri" w:cs="Times New Roman"/>
                <w:color w:val="auto"/>
                <w:sz w:val="24"/>
                <w:szCs w:val="24"/>
                <w:u w:val="single"/>
              </w:rPr>
              <w:t>“</w:t>
            </w:r>
            <w:r>
              <w:rPr>
                <w:rFonts w:hint="eastAsia" w:ascii="Calibri" w:hAnsi="Calibri" w:cs="Times New Roman"/>
                <w:color w:val="auto"/>
                <w:sz w:val="24"/>
                <w:szCs w:val="24"/>
                <w:u w:val="single"/>
              </w:rPr>
              <w:t>开始异议</w:t>
            </w:r>
            <w:r>
              <w:rPr>
                <w:rFonts w:hint="default" w:ascii="Calibri" w:hAnsi="Calibri" w:cs="Times New Roman"/>
                <w:color w:val="auto"/>
                <w:sz w:val="24"/>
                <w:szCs w:val="24"/>
                <w:u w:val="single"/>
              </w:rPr>
              <w:t>”</w:t>
            </w:r>
            <w:r>
              <w:rPr>
                <w:rFonts w:hint="eastAsia" w:ascii="Calibri" w:hAnsi="Calibri" w:cs="Times New Roman"/>
                <w:color w:val="auto"/>
                <w:sz w:val="24"/>
                <w:szCs w:val="24"/>
                <w:u w:val="single"/>
              </w:rPr>
              <w:t>，开启后，投标人若需要提问的可在</w:t>
            </w:r>
            <w:r>
              <w:rPr>
                <w:rFonts w:hint="default" w:ascii="Calibri" w:hAnsi="Calibri" w:cs="Times New Roman"/>
                <w:color w:val="auto"/>
                <w:sz w:val="24"/>
                <w:szCs w:val="24"/>
                <w:u w:val="single"/>
              </w:rPr>
              <w:t>15</w:t>
            </w:r>
            <w:r>
              <w:rPr>
                <w:rFonts w:hint="eastAsia" w:ascii="Calibri" w:hAnsi="Calibri" w:cs="Times New Roman"/>
                <w:color w:val="auto"/>
                <w:sz w:val="24"/>
                <w:szCs w:val="24"/>
                <w:u w:val="single"/>
              </w:rPr>
              <w:t>分钟内进行提问，招标代理（招标人）需要回答所有的投标人提问或等待</w:t>
            </w:r>
            <w:r>
              <w:rPr>
                <w:rFonts w:hint="default" w:ascii="Calibri" w:hAnsi="Calibri" w:cs="Times New Roman"/>
                <w:color w:val="auto"/>
                <w:sz w:val="24"/>
                <w:szCs w:val="24"/>
                <w:u w:val="single"/>
              </w:rPr>
              <w:t>15</w:t>
            </w:r>
            <w:r>
              <w:rPr>
                <w:rFonts w:hint="eastAsia" w:ascii="Calibri" w:hAnsi="Calibri" w:cs="Times New Roman"/>
                <w:color w:val="auto"/>
                <w:sz w:val="24"/>
                <w:szCs w:val="24"/>
                <w:u w:val="single"/>
              </w:rPr>
              <w:t>分钟才能结束异议，若所有投标人都回复了</w:t>
            </w:r>
            <w:r>
              <w:rPr>
                <w:rFonts w:hint="default" w:ascii="Calibri" w:hAnsi="Calibri" w:cs="Times New Roman"/>
                <w:color w:val="auto"/>
                <w:sz w:val="24"/>
                <w:szCs w:val="24"/>
                <w:u w:val="single"/>
              </w:rPr>
              <w:t>“</w:t>
            </w:r>
            <w:r>
              <w:rPr>
                <w:rFonts w:hint="eastAsia" w:ascii="Calibri" w:hAnsi="Calibri" w:cs="Times New Roman"/>
                <w:color w:val="auto"/>
                <w:sz w:val="24"/>
                <w:szCs w:val="24"/>
                <w:u w:val="single"/>
              </w:rPr>
              <w:t>无异议</w:t>
            </w:r>
            <w:r>
              <w:rPr>
                <w:rFonts w:hint="default" w:ascii="Calibri" w:hAnsi="Calibri" w:cs="Times New Roman"/>
                <w:color w:val="auto"/>
                <w:sz w:val="24"/>
                <w:szCs w:val="24"/>
                <w:u w:val="single"/>
              </w:rPr>
              <w:t>”</w:t>
            </w:r>
            <w:r>
              <w:rPr>
                <w:rFonts w:hint="eastAsia" w:ascii="Calibri" w:hAnsi="Calibri" w:cs="Times New Roman"/>
                <w:color w:val="auto"/>
                <w:sz w:val="24"/>
                <w:szCs w:val="24"/>
                <w:u w:val="single"/>
              </w:rPr>
              <w:t>，招标代理（招标人）可提前结束异议；</w:t>
            </w:r>
          </w:p>
          <w:p w14:paraId="3C0B346A">
            <w:pPr>
              <w:pStyle w:val="17"/>
              <w:keepNext w:val="0"/>
              <w:keepLines w:val="0"/>
              <w:widowControl/>
              <w:suppressLineNumbers w:val="0"/>
              <w:spacing w:before="0" w:beforeAutospacing="0" w:afterAutospacing="0" w:line="240" w:lineRule="auto"/>
              <w:ind w:left="0" w:right="0" w:firstLine="480" w:firstLineChars="200"/>
              <w:rPr>
                <w:rFonts w:hint="default" w:ascii="Calibri" w:hAnsi="Calibri" w:cs="Times New Roman"/>
                <w:color w:val="auto"/>
                <w:sz w:val="24"/>
                <w:szCs w:val="24"/>
                <w:u w:val="single"/>
              </w:rPr>
            </w:pPr>
            <w:r>
              <w:rPr>
                <w:rFonts w:hint="eastAsia" w:ascii="Calibri" w:hAnsi="Calibri" w:cs="Times New Roman"/>
                <w:color w:val="auto"/>
                <w:sz w:val="24"/>
                <w:szCs w:val="24"/>
                <w:u w:val="single"/>
              </w:rPr>
              <w:t>（</w:t>
            </w:r>
            <w:r>
              <w:rPr>
                <w:rFonts w:hint="default" w:ascii="Calibri" w:hAnsi="Calibri" w:cs="Times New Roman"/>
                <w:color w:val="auto"/>
                <w:sz w:val="24"/>
                <w:szCs w:val="24"/>
                <w:u w:val="single"/>
              </w:rPr>
              <w:t>5</w:t>
            </w:r>
            <w:r>
              <w:rPr>
                <w:rFonts w:hint="eastAsia" w:ascii="Calibri" w:hAnsi="Calibri" w:cs="Times New Roman"/>
                <w:color w:val="auto"/>
                <w:sz w:val="24"/>
                <w:szCs w:val="24"/>
                <w:u w:val="single"/>
              </w:rPr>
              <w:t>）（</w:t>
            </w:r>
            <w:r>
              <w:rPr>
                <w:rFonts w:hint="default" w:ascii="Calibri" w:hAnsi="Calibri" w:cs="Times New Roman"/>
                <w:color w:val="auto"/>
                <w:sz w:val="24"/>
                <w:szCs w:val="24"/>
                <w:u w:val="single"/>
              </w:rPr>
              <w:t>B</w:t>
            </w:r>
            <w:r>
              <w:rPr>
                <w:rFonts w:hint="eastAsia" w:ascii="Calibri" w:hAnsi="Calibri" w:cs="Times New Roman"/>
                <w:color w:val="auto"/>
                <w:sz w:val="24"/>
                <w:szCs w:val="24"/>
                <w:u w:val="single"/>
              </w:rPr>
              <w:t>）唱标环节结束后，招标代理、投标人都可以同时查看到</w:t>
            </w:r>
            <w:r>
              <w:rPr>
                <w:rFonts w:hint="default" w:ascii="Calibri" w:hAnsi="Calibri" w:cs="Times New Roman"/>
                <w:color w:val="auto"/>
                <w:sz w:val="24"/>
                <w:szCs w:val="24"/>
                <w:u w:val="single"/>
              </w:rPr>
              <w:t>“</w:t>
            </w:r>
            <w:r>
              <w:rPr>
                <w:rFonts w:hint="eastAsia" w:ascii="Calibri" w:hAnsi="Calibri" w:cs="Times New Roman"/>
                <w:color w:val="auto"/>
                <w:sz w:val="24"/>
                <w:szCs w:val="24"/>
                <w:u w:val="single"/>
              </w:rPr>
              <w:t>开标报表</w:t>
            </w:r>
            <w:r>
              <w:rPr>
                <w:rFonts w:hint="default" w:ascii="Calibri" w:hAnsi="Calibri" w:cs="Times New Roman"/>
                <w:color w:val="auto"/>
                <w:sz w:val="24"/>
                <w:szCs w:val="24"/>
                <w:u w:val="single"/>
              </w:rPr>
              <w:t>”</w:t>
            </w:r>
            <w:r>
              <w:rPr>
                <w:rFonts w:hint="eastAsia" w:ascii="Calibri" w:hAnsi="Calibri" w:cs="Times New Roman"/>
                <w:color w:val="auto"/>
                <w:sz w:val="24"/>
                <w:szCs w:val="24"/>
                <w:u w:val="single"/>
              </w:rPr>
              <w:t>；投标人代表、招标人代表、监标人（如有）、记录人等有关人员在开标记录上签字确认；若有关人员不签字的，不影响开标程序；</w:t>
            </w:r>
          </w:p>
          <w:p w14:paraId="44B8772B">
            <w:pPr>
              <w:pStyle w:val="17"/>
              <w:keepNext w:val="0"/>
              <w:keepLines w:val="0"/>
              <w:widowControl/>
              <w:suppressLineNumbers w:val="0"/>
              <w:spacing w:before="0" w:beforeAutospacing="0" w:afterAutospacing="0" w:line="240" w:lineRule="auto"/>
              <w:ind w:left="0" w:right="0" w:firstLine="480" w:firstLineChars="200"/>
              <w:rPr>
                <w:rFonts w:hint="eastAsia" w:ascii="宋体" w:hAnsi="宋体" w:cs="宋体"/>
                <w:sz w:val="24"/>
                <w:szCs w:val="24"/>
              </w:rPr>
            </w:pPr>
            <w:r>
              <w:rPr>
                <w:rFonts w:hint="eastAsia" w:ascii="Calibri" w:hAnsi="Calibri" w:cs="Times New Roman"/>
                <w:color w:val="auto"/>
                <w:sz w:val="24"/>
                <w:szCs w:val="24"/>
                <w:u w:val="single"/>
              </w:rPr>
              <w:t>（</w:t>
            </w:r>
            <w:r>
              <w:rPr>
                <w:rFonts w:hint="default" w:ascii="Calibri" w:hAnsi="Calibri" w:cs="Times New Roman"/>
                <w:color w:val="auto"/>
                <w:sz w:val="24"/>
                <w:szCs w:val="24"/>
                <w:u w:val="single"/>
              </w:rPr>
              <w:t>6</w:t>
            </w:r>
            <w:r>
              <w:rPr>
                <w:rFonts w:hint="eastAsia" w:ascii="Calibri" w:hAnsi="Calibri" w:cs="Times New Roman"/>
                <w:color w:val="auto"/>
                <w:sz w:val="24"/>
                <w:szCs w:val="24"/>
                <w:u w:val="single"/>
              </w:rPr>
              <w:t>）开标结束。</w:t>
            </w:r>
          </w:p>
        </w:tc>
      </w:tr>
      <w:tr w14:paraId="673A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90" w:hRule="atLeast"/>
          <w:jc w:val="center"/>
        </w:trPr>
        <w:tc>
          <w:tcPr>
            <w:tcW w:w="1223" w:type="dxa"/>
            <w:noWrap w:val="0"/>
            <w:vAlign w:val="center"/>
          </w:tcPr>
          <w:p w14:paraId="058FA5A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6.1.1</w:t>
            </w:r>
          </w:p>
        </w:tc>
        <w:tc>
          <w:tcPr>
            <w:tcW w:w="1822" w:type="dxa"/>
            <w:noWrap w:val="0"/>
            <w:vAlign w:val="center"/>
          </w:tcPr>
          <w:p w14:paraId="2380D617">
            <w:pPr>
              <w:pStyle w:val="37"/>
              <w:keepNext w:val="0"/>
              <w:keepLines w:val="0"/>
              <w:suppressLineNumbers w:val="0"/>
              <w:spacing w:before="0" w:beforeAutospacing="0" w:after="0" w:afterAutospacing="0"/>
              <w:ind w:left="0" w:right="0" w:firstLine="120" w:firstLineChars="50"/>
              <w:jc w:val="center"/>
              <w:rPr>
                <w:rFonts w:hint="eastAsia" w:ascii="宋体" w:hAnsi="宋体" w:cs="宋体"/>
                <w:kern w:val="2"/>
                <w:sz w:val="24"/>
                <w:szCs w:val="24"/>
              </w:rPr>
            </w:pPr>
            <w:r>
              <w:rPr>
                <w:rFonts w:hint="eastAsia" w:ascii="宋体" w:hAnsi="宋体" w:cs="宋体"/>
                <w:kern w:val="2"/>
                <w:sz w:val="24"/>
                <w:szCs w:val="24"/>
              </w:rPr>
              <w:t>评标委员会的组建</w:t>
            </w:r>
          </w:p>
        </w:tc>
        <w:tc>
          <w:tcPr>
            <w:tcW w:w="7156" w:type="dxa"/>
            <w:noWrap w:val="0"/>
            <w:vAlign w:val="center"/>
          </w:tcPr>
          <w:p w14:paraId="6FA6FAA1">
            <w:pPr>
              <w:keepNext w:val="0"/>
              <w:keepLines w:val="0"/>
              <w:widowControl/>
              <w:suppressLineNumbers w:val="0"/>
              <w:spacing w:before="0" w:beforeAutospacing="0" w:afterAutospacing="0" w:line="276" w:lineRule="auto"/>
              <w:ind w:left="1547" w:right="0" w:hanging="1687" w:hangingChars="703"/>
              <w:rPr>
                <w:rFonts w:hint="eastAsia" w:ascii="宋体" w:hAnsi="宋体" w:cs="宋体"/>
                <w:kern w:val="2"/>
                <w:sz w:val="24"/>
                <w:szCs w:val="24"/>
              </w:rPr>
            </w:pPr>
            <w:r>
              <w:rPr>
                <w:rFonts w:hint="eastAsia" w:ascii="宋体" w:hAnsi="宋体" w:eastAsia="宋体" w:cs="宋体"/>
                <w:color w:val="auto"/>
                <w:kern w:val="2"/>
                <w:sz w:val="24"/>
                <w:szCs w:val="24"/>
                <w:lang w:val="en-US" w:eastAsia="zh-CN" w:bidi="ar-SA"/>
              </w:rPr>
              <w:t>评标委员会由招标人依法组建。</w:t>
            </w:r>
          </w:p>
        </w:tc>
      </w:tr>
      <w:tr w14:paraId="41A3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97" w:hRule="atLeast"/>
          <w:jc w:val="center"/>
        </w:trPr>
        <w:tc>
          <w:tcPr>
            <w:tcW w:w="1223" w:type="dxa"/>
            <w:noWrap w:val="0"/>
            <w:vAlign w:val="center"/>
          </w:tcPr>
          <w:p w14:paraId="31BE6D7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6.3.2</w:t>
            </w:r>
          </w:p>
        </w:tc>
        <w:tc>
          <w:tcPr>
            <w:tcW w:w="1822" w:type="dxa"/>
            <w:noWrap w:val="0"/>
            <w:vAlign w:val="center"/>
          </w:tcPr>
          <w:p w14:paraId="71201CA1">
            <w:pPr>
              <w:pStyle w:val="37"/>
              <w:keepNext w:val="0"/>
              <w:keepLines w:val="0"/>
              <w:suppressLineNumbers w:val="0"/>
              <w:spacing w:before="0" w:beforeAutospacing="0" w:after="0" w:afterAutospacing="0"/>
              <w:ind w:left="0" w:right="0" w:firstLine="120" w:firstLineChars="50"/>
              <w:jc w:val="center"/>
              <w:rPr>
                <w:rFonts w:hint="eastAsia" w:ascii="宋体" w:hAnsi="宋体" w:cs="宋体"/>
                <w:kern w:val="2"/>
                <w:sz w:val="24"/>
                <w:szCs w:val="24"/>
              </w:rPr>
            </w:pPr>
            <w:r>
              <w:rPr>
                <w:rFonts w:hint="eastAsia" w:ascii="宋体" w:hAnsi="宋体" w:cs="宋体"/>
                <w:kern w:val="2"/>
                <w:sz w:val="24"/>
                <w:szCs w:val="24"/>
              </w:rPr>
              <w:t>评标委员会推荐中标候选人的人数</w:t>
            </w:r>
          </w:p>
        </w:tc>
        <w:tc>
          <w:tcPr>
            <w:tcW w:w="7156" w:type="dxa"/>
            <w:noWrap w:val="0"/>
            <w:vAlign w:val="center"/>
          </w:tcPr>
          <w:p w14:paraId="41890A12">
            <w:pPr>
              <w:pStyle w:val="37"/>
              <w:keepNext w:val="0"/>
              <w:keepLines w:val="0"/>
              <w:suppressLineNumbers w:val="0"/>
              <w:spacing w:before="0" w:beforeAutospacing="0" w:after="0" w:afterAutospacing="0"/>
              <w:ind w:left="0" w:right="0" w:firstLine="0"/>
              <w:jc w:val="left"/>
              <w:rPr>
                <w:rFonts w:hint="eastAsia" w:ascii="宋体" w:hAnsi="宋体" w:cs="宋体"/>
                <w:kern w:val="2"/>
                <w:sz w:val="24"/>
                <w:szCs w:val="24"/>
              </w:rPr>
            </w:pPr>
            <w:r>
              <w:rPr>
                <w:rFonts w:hint="eastAsia" w:ascii="宋体" w:hAnsi="宋体" w:cs="宋体"/>
                <w:sz w:val="24"/>
                <w:szCs w:val="24"/>
                <w:u w:val="single"/>
              </w:rPr>
              <w:t>推荐3名中标候选人。</w:t>
            </w:r>
          </w:p>
        </w:tc>
      </w:tr>
      <w:tr w14:paraId="67E9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90" w:hRule="atLeast"/>
          <w:jc w:val="center"/>
        </w:trPr>
        <w:tc>
          <w:tcPr>
            <w:tcW w:w="1223" w:type="dxa"/>
            <w:noWrap w:val="0"/>
            <w:vAlign w:val="center"/>
          </w:tcPr>
          <w:p w14:paraId="5572DE1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7.1</w:t>
            </w:r>
          </w:p>
        </w:tc>
        <w:tc>
          <w:tcPr>
            <w:tcW w:w="1822" w:type="dxa"/>
            <w:noWrap w:val="0"/>
            <w:vAlign w:val="center"/>
          </w:tcPr>
          <w:p w14:paraId="5A357939">
            <w:pPr>
              <w:pStyle w:val="37"/>
              <w:keepNext w:val="0"/>
              <w:keepLines w:val="0"/>
              <w:suppressLineNumbers w:val="0"/>
              <w:spacing w:before="0" w:beforeAutospacing="0" w:after="0" w:afterAutospacing="0"/>
              <w:ind w:left="0" w:right="0" w:firstLine="120" w:firstLineChars="50"/>
              <w:jc w:val="center"/>
              <w:rPr>
                <w:rFonts w:hint="eastAsia" w:ascii="宋体" w:hAnsi="宋体" w:cs="宋体"/>
                <w:kern w:val="2"/>
                <w:sz w:val="24"/>
                <w:szCs w:val="24"/>
              </w:rPr>
            </w:pPr>
            <w:r>
              <w:rPr>
                <w:rFonts w:hint="eastAsia" w:ascii="宋体" w:hAnsi="宋体" w:cs="宋体"/>
                <w:kern w:val="2"/>
                <w:sz w:val="24"/>
                <w:szCs w:val="24"/>
              </w:rPr>
              <w:t>中标候选人公示媒介及期限</w:t>
            </w:r>
          </w:p>
        </w:tc>
        <w:tc>
          <w:tcPr>
            <w:tcW w:w="7156" w:type="dxa"/>
            <w:noWrap w:val="0"/>
            <w:vAlign w:val="center"/>
          </w:tcPr>
          <w:p w14:paraId="68BE0C9A">
            <w:pPr>
              <w:pStyle w:val="37"/>
              <w:keepNext w:val="0"/>
              <w:keepLines w:val="0"/>
              <w:suppressLineNumbers w:val="0"/>
              <w:spacing w:before="0" w:beforeAutospacing="0" w:after="0" w:afterAutospacing="0"/>
              <w:ind w:left="0" w:right="0" w:firstLine="0"/>
              <w:jc w:val="left"/>
              <w:rPr>
                <w:rFonts w:hint="eastAsia" w:ascii="宋体" w:hAnsi="宋体" w:cs="宋体"/>
                <w:sz w:val="24"/>
                <w:szCs w:val="24"/>
                <w:u w:val="single"/>
              </w:rPr>
            </w:pPr>
            <w:r>
              <w:rPr>
                <w:rFonts w:hint="eastAsia" w:ascii="宋体" w:hAnsi="宋体" w:cs="宋体"/>
                <w:sz w:val="24"/>
                <w:szCs w:val="24"/>
              </w:rPr>
              <w:t>公示媒介：</w:t>
            </w:r>
            <w:r>
              <w:rPr>
                <w:rFonts w:hint="eastAsia" w:ascii="宋体" w:hAnsi="宋体" w:cs="宋体"/>
                <w:sz w:val="24"/>
                <w:szCs w:val="24"/>
                <w:u w:val="single"/>
              </w:rPr>
              <w:t>广州交易集团有限公司（广州公共资源交易中心）、广东省招标投标监管网、中国招标投标公共服务平台</w:t>
            </w:r>
          </w:p>
          <w:p w14:paraId="2C6807E4">
            <w:pPr>
              <w:pStyle w:val="37"/>
              <w:keepNext w:val="0"/>
              <w:keepLines w:val="0"/>
              <w:suppressLineNumbers w:val="0"/>
              <w:spacing w:before="0" w:beforeAutospacing="0" w:after="0" w:afterAutospacing="0"/>
              <w:ind w:left="0" w:right="0" w:firstLine="0"/>
              <w:jc w:val="left"/>
              <w:rPr>
                <w:rFonts w:hint="eastAsia" w:ascii="Calibri" w:hAnsi="Calibri" w:cs="Times New Roman"/>
              </w:rPr>
            </w:pPr>
            <w:r>
              <w:rPr>
                <w:rFonts w:hint="eastAsia" w:ascii="宋体" w:hAnsi="宋体" w:cs="宋体"/>
                <w:kern w:val="2"/>
                <w:sz w:val="24"/>
                <w:szCs w:val="24"/>
              </w:rPr>
              <w:t xml:space="preserve">公示期限：3日 </w:t>
            </w:r>
          </w:p>
        </w:tc>
      </w:tr>
      <w:tr w14:paraId="777B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372" w:hRule="atLeast"/>
          <w:jc w:val="center"/>
        </w:trPr>
        <w:tc>
          <w:tcPr>
            <w:tcW w:w="1223" w:type="dxa"/>
            <w:noWrap w:val="0"/>
            <w:vAlign w:val="center"/>
          </w:tcPr>
          <w:p w14:paraId="118FA96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7.4</w:t>
            </w:r>
          </w:p>
        </w:tc>
        <w:tc>
          <w:tcPr>
            <w:tcW w:w="1822" w:type="dxa"/>
            <w:noWrap w:val="0"/>
            <w:vAlign w:val="center"/>
          </w:tcPr>
          <w:p w14:paraId="2E6E6FB4">
            <w:pPr>
              <w:pStyle w:val="37"/>
              <w:keepNext w:val="0"/>
              <w:keepLines w:val="0"/>
              <w:suppressLineNumbers w:val="0"/>
              <w:spacing w:before="0" w:beforeAutospacing="0" w:after="0" w:afterAutospacing="0"/>
              <w:ind w:left="0" w:right="0" w:firstLine="120" w:firstLineChars="50"/>
              <w:jc w:val="center"/>
              <w:rPr>
                <w:rFonts w:hint="eastAsia" w:ascii="宋体" w:hAnsi="宋体" w:cs="宋体"/>
                <w:kern w:val="2"/>
                <w:sz w:val="24"/>
                <w:szCs w:val="24"/>
              </w:rPr>
            </w:pPr>
            <w:r>
              <w:rPr>
                <w:rFonts w:hint="eastAsia" w:ascii="宋体" w:hAnsi="宋体" w:cs="宋体"/>
                <w:kern w:val="2"/>
                <w:sz w:val="24"/>
                <w:szCs w:val="24"/>
              </w:rPr>
              <w:t>是否授权评标委员会确定中标人</w:t>
            </w:r>
          </w:p>
        </w:tc>
        <w:tc>
          <w:tcPr>
            <w:tcW w:w="7156" w:type="dxa"/>
            <w:noWrap w:val="0"/>
            <w:vAlign w:val="center"/>
          </w:tcPr>
          <w:p w14:paraId="40A051CD">
            <w:pPr>
              <w:pStyle w:val="37"/>
              <w:keepNext w:val="0"/>
              <w:keepLines w:val="0"/>
              <w:suppressLineNumbers w:val="0"/>
              <w:spacing w:before="0" w:beforeAutospacing="0" w:after="0" w:afterAutospacing="0"/>
              <w:ind w:left="0" w:right="0" w:firstLine="0"/>
              <w:jc w:val="left"/>
              <w:rPr>
                <w:rFonts w:hint="eastAsia" w:ascii="宋体" w:hAnsi="宋体" w:cs="宋体"/>
                <w:kern w:val="2"/>
                <w:sz w:val="24"/>
                <w:szCs w:val="24"/>
              </w:rPr>
            </w:pPr>
            <w:r>
              <w:rPr>
                <w:rFonts w:hint="eastAsia" w:ascii="宋体" w:hAnsi="宋体" w:cs="宋体"/>
                <w:kern w:val="2"/>
                <w:sz w:val="24"/>
                <w:szCs w:val="24"/>
              </w:rPr>
              <w:sym w:font="Wingdings 2" w:char="00A3"/>
            </w:r>
            <w:r>
              <w:rPr>
                <w:rFonts w:hint="eastAsia" w:ascii="宋体" w:hAnsi="宋体" w:cs="宋体"/>
                <w:kern w:val="2"/>
                <w:sz w:val="24"/>
                <w:szCs w:val="24"/>
              </w:rPr>
              <w:t xml:space="preserve">是 </w:t>
            </w:r>
          </w:p>
          <w:p w14:paraId="5227C8A2">
            <w:pPr>
              <w:pStyle w:val="37"/>
              <w:keepNext w:val="0"/>
              <w:keepLines w:val="0"/>
              <w:suppressLineNumbers w:val="0"/>
              <w:spacing w:before="0" w:beforeAutospacing="0" w:after="0" w:afterAutospacing="0"/>
              <w:ind w:left="0" w:right="0" w:firstLine="0"/>
              <w:jc w:val="left"/>
              <w:rPr>
                <w:rFonts w:hint="eastAsia" w:ascii="宋体" w:hAnsi="宋体" w:cs="宋体"/>
                <w:kern w:val="2"/>
                <w:sz w:val="24"/>
                <w:szCs w:val="24"/>
              </w:rPr>
            </w:pPr>
            <w:r>
              <w:rPr>
                <w:rFonts w:hint="eastAsia" w:ascii="宋体" w:hAnsi="宋体" w:cs="宋体"/>
                <w:kern w:val="2"/>
                <w:sz w:val="24"/>
                <w:szCs w:val="24"/>
              </w:rPr>
              <w:t>■否 ：（1）招标人的招标领导小组根据评标报告，最终审定中标人。</w:t>
            </w:r>
          </w:p>
          <w:p w14:paraId="024DA9CB">
            <w:pPr>
              <w:pStyle w:val="37"/>
              <w:keepNext w:val="0"/>
              <w:keepLines w:val="0"/>
              <w:suppressLineNumbers w:val="0"/>
              <w:spacing w:before="0" w:beforeAutospacing="0" w:after="0" w:afterAutospacing="0"/>
              <w:ind w:left="0" w:right="0" w:firstLine="0"/>
              <w:jc w:val="left"/>
              <w:rPr>
                <w:rFonts w:hint="eastAsia" w:ascii="宋体" w:hAnsi="宋体" w:cs="宋体"/>
                <w:kern w:val="2"/>
                <w:sz w:val="24"/>
                <w:szCs w:val="24"/>
              </w:rPr>
            </w:pPr>
            <w:r>
              <w:rPr>
                <w:rFonts w:hint="eastAsia" w:ascii="宋体" w:hAnsi="宋体" w:cs="宋体"/>
                <w:kern w:val="2"/>
                <w:sz w:val="24"/>
                <w:szCs w:val="24"/>
              </w:rPr>
              <w:t>（2）依法必须进行公开招标的项目，招标人应当确定排名第一的中标候选人为中标人。</w:t>
            </w:r>
          </w:p>
          <w:p w14:paraId="1E00C632">
            <w:pPr>
              <w:pStyle w:val="37"/>
              <w:keepNext w:val="0"/>
              <w:keepLines w:val="0"/>
              <w:suppressLineNumbers w:val="0"/>
              <w:spacing w:before="0" w:beforeAutospacing="0" w:after="0" w:afterAutospacing="0"/>
              <w:ind w:left="0" w:right="0" w:firstLine="0"/>
              <w:jc w:val="left"/>
              <w:rPr>
                <w:rFonts w:hint="eastAsia" w:ascii="宋体" w:hAnsi="宋体" w:cs="宋体"/>
                <w:kern w:val="2"/>
                <w:sz w:val="24"/>
                <w:szCs w:val="24"/>
              </w:rPr>
            </w:pPr>
            <w:r>
              <w:rPr>
                <w:rFonts w:hint="eastAsia" w:ascii="宋体" w:hAnsi="宋体" w:cs="宋体"/>
                <w:kern w:val="2"/>
                <w:sz w:val="24"/>
                <w:szCs w:val="24"/>
              </w:rPr>
              <w:t>（3）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14:paraId="75CB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372" w:hRule="atLeast"/>
          <w:jc w:val="center"/>
        </w:trPr>
        <w:tc>
          <w:tcPr>
            <w:tcW w:w="1223" w:type="dxa"/>
            <w:noWrap w:val="0"/>
            <w:vAlign w:val="center"/>
          </w:tcPr>
          <w:p w14:paraId="5BEE9DAA">
            <w:pPr>
              <w:pStyle w:val="94"/>
              <w:keepNext w:val="0"/>
              <w:keepLines w:val="0"/>
              <w:suppressLineNumbers w:val="0"/>
              <w:spacing w:before="0" w:beforeAutospacing="0" w:afterAutospacing="0" w:line="360" w:lineRule="auto"/>
              <w:ind w:left="0" w:right="0"/>
              <w:jc w:val="center"/>
              <w:rPr>
                <w:rFonts w:hint="eastAsia" w:ascii="宋体" w:hAnsi="宋体" w:cs="宋体"/>
                <w:sz w:val="24"/>
                <w:szCs w:val="24"/>
              </w:rPr>
            </w:pPr>
            <w:r>
              <w:rPr>
                <w:rFonts w:hint="eastAsia" w:ascii="宋体" w:hAnsi="宋体" w:eastAsia="Times New Roman" w:cs="宋体"/>
                <w:kern w:val="2"/>
                <w:sz w:val="24"/>
                <w:szCs w:val="24"/>
              </w:rPr>
              <w:t>7.6</w:t>
            </w:r>
          </w:p>
        </w:tc>
        <w:tc>
          <w:tcPr>
            <w:tcW w:w="1822" w:type="dxa"/>
            <w:noWrap w:val="0"/>
            <w:vAlign w:val="center"/>
          </w:tcPr>
          <w:p w14:paraId="119130A1">
            <w:pPr>
              <w:pStyle w:val="94"/>
              <w:keepNext w:val="0"/>
              <w:keepLines w:val="0"/>
              <w:suppressLineNumbers w:val="0"/>
              <w:spacing w:before="0" w:beforeAutospacing="0" w:afterAutospacing="0" w:line="360" w:lineRule="auto"/>
              <w:ind w:left="0" w:right="0"/>
              <w:jc w:val="center"/>
              <w:rPr>
                <w:rFonts w:hint="eastAsia" w:ascii="宋体" w:hAnsi="宋体" w:eastAsia="Times New Roman" w:cs="宋体"/>
                <w:kern w:val="2"/>
                <w:sz w:val="24"/>
                <w:szCs w:val="24"/>
              </w:rPr>
            </w:pPr>
            <w:r>
              <w:rPr>
                <w:rFonts w:hint="eastAsia" w:ascii="宋体" w:hAnsi="宋体" w:eastAsia="Times New Roman" w:cs="宋体"/>
                <w:kern w:val="2"/>
                <w:sz w:val="24"/>
                <w:szCs w:val="24"/>
              </w:rPr>
              <w:t>技术成果经济补偿</w:t>
            </w:r>
          </w:p>
        </w:tc>
        <w:tc>
          <w:tcPr>
            <w:tcW w:w="7156" w:type="dxa"/>
            <w:noWrap w:val="0"/>
            <w:vAlign w:val="center"/>
          </w:tcPr>
          <w:p w14:paraId="27909450">
            <w:pPr>
              <w:pStyle w:val="94"/>
              <w:keepNext w:val="0"/>
              <w:keepLines w:val="0"/>
              <w:suppressLineNumbers w:val="0"/>
              <w:spacing w:before="0" w:beforeAutospacing="0" w:afterAutospacing="0" w:line="360" w:lineRule="auto"/>
              <w:ind w:left="0" w:right="0"/>
              <w:jc w:val="both"/>
              <w:rPr>
                <w:rFonts w:hint="eastAsia" w:ascii="宋体" w:hAnsi="宋体" w:eastAsia="Times New Roman" w:cs="宋体"/>
                <w:kern w:val="2"/>
                <w:sz w:val="24"/>
                <w:szCs w:val="24"/>
              </w:rPr>
            </w:pPr>
            <w:r>
              <w:rPr>
                <w:rFonts w:hint="eastAsia" w:ascii="宋体" w:hAnsi="宋体" w:cs="宋体"/>
                <w:kern w:val="2"/>
                <w:sz w:val="24"/>
                <w:szCs w:val="24"/>
              </w:rPr>
              <w:t>■</w:t>
            </w:r>
            <w:r>
              <w:rPr>
                <w:rFonts w:hint="eastAsia" w:ascii="宋体" w:hAnsi="宋体" w:eastAsia="Times New Roman" w:cs="宋体"/>
                <w:kern w:val="2"/>
                <w:sz w:val="24"/>
                <w:szCs w:val="24"/>
              </w:rPr>
              <w:t>不补偿</w:t>
            </w:r>
          </w:p>
          <w:p w14:paraId="46010688">
            <w:pPr>
              <w:pStyle w:val="94"/>
              <w:keepNext w:val="0"/>
              <w:keepLines w:val="0"/>
              <w:suppressLineNumbers w:val="0"/>
              <w:spacing w:before="0" w:beforeAutospacing="0" w:afterAutospacing="0" w:line="360" w:lineRule="auto"/>
              <w:ind w:left="0" w:right="0"/>
              <w:jc w:val="both"/>
              <w:rPr>
                <w:rFonts w:hint="eastAsia" w:ascii="宋体" w:hAnsi="宋体" w:eastAsia="Times New Roman" w:cs="宋体"/>
                <w:kern w:val="2"/>
                <w:sz w:val="24"/>
                <w:szCs w:val="24"/>
              </w:rPr>
            </w:pPr>
            <w:r>
              <w:rPr>
                <w:rFonts w:hint="eastAsia" w:ascii="宋体" w:hAnsi="宋体" w:cs="宋体"/>
                <w:kern w:val="2"/>
                <w:sz w:val="24"/>
                <w:szCs w:val="24"/>
              </w:rPr>
              <w:sym w:font="Wingdings 2" w:char="00A3"/>
            </w:r>
            <w:r>
              <w:rPr>
                <w:rFonts w:hint="eastAsia" w:ascii="宋体" w:hAnsi="宋体" w:eastAsia="Times New Roman" w:cs="宋体"/>
                <w:kern w:val="2"/>
                <w:sz w:val="24"/>
                <w:szCs w:val="24"/>
              </w:rPr>
              <w:t xml:space="preserve">补偿，补偿标准： </w:t>
            </w:r>
          </w:p>
        </w:tc>
      </w:tr>
      <w:tr w14:paraId="356E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1149" w:hRule="atLeast"/>
          <w:jc w:val="center"/>
        </w:trPr>
        <w:tc>
          <w:tcPr>
            <w:tcW w:w="1223" w:type="dxa"/>
            <w:noWrap w:val="0"/>
            <w:vAlign w:val="center"/>
          </w:tcPr>
          <w:p w14:paraId="1D59EF2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7.7.1</w:t>
            </w:r>
          </w:p>
        </w:tc>
        <w:tc>
          <w:tcPr>
            <w:tcW w:w="1822" w:type="dxa"/>
            <w:noWrap w:val="0"/>
            <w:vAlign w:val="center"/>
          </w:tcPr>
          <w:p w14:paraId="44D040C6">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履约保证金</w:t>
            </w:r>
          </w:p>
        </w:tc>
        <w:tc>
          <w:tcPr>
            <w:tcW w:w="7156" w:type="dxa"/>
            <w:noWrap w:val="0"/>
            <w:vAlign w:val="center"/>
          </w:tcPr>
          <w:p w14:paraId="18DA1EDB">
            <w:pPr>
              <w:keepNext w:val="0"/>
              <w:keepLines w:val="0"/>
              <w:widowControl/>
              <w:suppressLineNumbers w:val="0"/>
              <w:spacing w:before="0" w:beforeAutospacing="0" w:after="0" w:afterAutospacing="0" w:line="240" w:lineRule="auto"/>
              <w:ind w:left="0" w:right="183" w:rightChars="83"/>
              <w:rPr>
                <w:rFonts w:hint="default" w:ascii="宋体" w:hAnsi="宋体" w:cs="宋体"/>
                <w:color w:val="auto"/>
                <w:sz w:val="24"/>
                <w:szCs w:val="24"/>
              </w:rPr>
            </w:pPr>
            <w:r>
              <w:rPr>
                <w:rFonts w:hint="default" w:ascii="宋体" w:hAnsi="宋体" w:cs="宋体"/>
                <w:color w:val="auto"/>
                <w:sz w:val="24"/>
                <w:szCs w:val="24"/>
              </w:rPr>
              <w:t>是否要求中标人提交履约保证金：</w:t>
            </w:r>
          </w:p>
          <w:p w14:paraId="736937E3">
            <w:pPr>
              <w:keepNext w:val="0"/>
              <w:keepLines w:val="0"/>
              <w:widowControl/>
              <w:suppressLineNumbers w:val="0"/>
              <w:spacing w:before="0" w:beforeAutospacing="0" w:after="0" w:afterAutospacing="0" w:line="240" w:lineRule="auto"/>
              <w:ind w:left="42" w:leftChars="19" w:right="112" w:rightChars="51"/>
              <w:rPr>
                <w:rFonts w:hint="eastAsia" w:ascii="宋体" w:hAnsi="宋体" w:eastAsia="宋体" w:cs="宋体"/>
                <w:color w:val="auto"/>
                <w:sz w:val="24"/>
                <w:szCs w:val="24"/>
              </w:rPr>
            </w:pPr>
            <w:r>
              <w:rPr>
                <w:rFonts w:hint="eastAsia" w:ascii="宋体" w:hAnsi="宋体" w:cs="宋体"/>
                <w:sz w:val="24"/>
                <w:szCs w:val="24"/>
              </w:rPr>
              <w:sym w:font="Wingdings 2" w:char="00A3"/>
            </w:r>
            <w:r>
              <w:rPr>
                <w:rFonts w:hint="eastAsia" w:ascii="宋体" w:hAnsi="宋体" w:eastAsia="宋体" w:cs="宋体"/>
                <w:color w:val="auto"/>
                <w:sz w:val="24"/>
                <w:szCs w:val="24"/>
              </w:rPr>
              <w:t>要求</w:t>
            </w:r>
          </w:p>
          <w:p w14:paraId="6C3A5373">
            <w:pPr>
              <w:pStyle w:val="37"/>
              <w:keepNext w:val="0"/>
              <w:keepLines w:val="0"/>
              <w:suppressLineNumbers w:val="0"/>
              <w:spacing w:before="0" w:beforeAutospacing="0" w:after="0" w:afterAutospacing="0"/>
              <w:ind w:left="0" w:right="0" w:firstLine="0"/>
              <w:rPr>
                <w:rFonts w:hint="eastAsia" w:ascii="宋体" w:hAnsi="宋体" w:cs="宋体"/>
                <w:kern w:val="2"/>
                <w:sz w:val="24"/>
                <w:szCs w:val="24"/>
              </w:rPr>
            </w:pPr>
            <w:r>
              <w:rPr>
                <w:rFonts w:hint="eastAsia" w:ascii="宋体" w:hAnsi="宋体" w:cs="宋体"/>
                <w:sz w:val="24"/>
                <w:szCs w:val="24"/>
              </w:rPr>
              <w:t>■</w:t>
            </w:r>
            <w:r>
              <w:rPr>
                <w:rFonts w:hint="default" w:ascii="宋体" w:hAnsi="宋体" w:cs="宋体"/>
                <w:sz w:val="24"/>
                <w:szCs w:val="24"/>
              </w:rPr>
              <w:t>不要求</w:t>
            </w:r>
          </w:p>
        </w:tc>
      </w:tr>
      <w:tr w14:paraId="0BCC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1121" w:hRule="atLeast"/>
          <w:jc w:val="center"/>
        </w:trPr>
        <w:tc>
          <w:tcPr>
            <w:tcW w:w="1223" w:type="dxa"/>
            <w:noWrap w:val="0"/>
            <w:vAlign w:val="center"/>
          </w:tcPr>
          <w:p w14:paraId="32047AB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822" w:type="dxa"/>
            <w:noWrap w:val="0"/>
            <w:vAlign w:val="center"/>
          </w:tcPr>
          <w:p w14:paraId="165BF82B">
            <w:pPr>
              <w:pStyle w:val="37"/>
              <w:keepNext w:val="0"/>
              <w:keepLines w:val="0"/>
              <w:suppressLineNumbers w:val="0"/>
              <w:spacing w:before="0" w:beforeAutospacing="0" w:after="0" w:afterAutospacing="0"/>
              <w:ind w:left="0" w:right="0" w:firstLine="0"/>
              <w:jc w:val="center"/>
              <w:rPr>
                <w:rFonts w:hint="eastAsia" w:ascii="宋体" w:hAnsi="宋体" w:cs="宋体"/>
                <w:kern w:val="2"/>
                <w:sz w:val="24"/>
                <w:szCs w:val="24"/>
              </w:rPr>
            </w:pPr>
            <w:r>
              <w:rPr>
                <w:rFonts w:hint="eastAsia" w:ascii="宋体" w:hAnsi="宋体" w:cs="宋体"/>
                <w:kern w:val="2"/>
                <w:sz w:val="24"/>
                <w:szCs w:val="24"/>
              </w:rPr>
              <w:t>是否采用电子招标投标</w:t>
            </w:r>
          </w:p>
        </w:tc>
        <w:tc>
          <w:tcPr>
            <w:tcW w:w="7156" w:type="dxa"/>
            <w:noWrap w:val="0"/>
            <w:vAlign w:val="center"/>
          </w:tcPr>
          <w:p w14:paraId="27F30B46">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□否</w:t>
            </w:r>
            <w:r>
              <w:rPr>
                <w:rFonts w:hint="eastAsia" w:ascii="宋体" w:hAnsi="宋体" w:eastAsia="宋体" w:cs="宋体"/>
                <w:color w:val="auto"/>
                <w:sz w:val="24"/>
                <w:szCs w:val="24"/>
              </w:rPr>
              <w:tab/>
            </w:r>
          </w:p>
          <w:p w14:paraId="56DCFE5C">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■是，具体要求：</w:t>
            </w:r>
          </w:p>
          <w:p w14:paraId="0283E9D5">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1、具体操作详见</w:t>
            </w:r>
            <w:r>
              <w:rPr>
                <w:rFonts w:hint="eastAsia" w:ascii="宋体" w:hAnsi="宋体" w:eastAsia="宋体" w:cs="宋体"/>
                <w:b/>
                <w:color w:val="auto"/>
                <w:sz w:val="24"/>
                <w:szCs w:val="24"/>
                <w:u w:val="single"/>
              </w:rPr>
              <w:t>《建设工程全流程电子化项目操作指南》，</w:t>
            </w:r>
            <w:r>
              <w:rPr>
                <w:rFonts w:hint="eastAsia" w:ascii="宋体" w:hAnsi="宋体" w:eastAsia="宋体" w:cs="宋体"/>
                <w:color w:val="auto"/>
                <w:sz w:val="24"/>
                <w:szCs w:val="24"/>
              </w:rPr>
              <w:t>投标文件应按《建设工程全流程电子化项目操作指南》编制。如不按上述要求编制引起系统无法检索、读取相关信息的，其后果由投标人承担。</w:t>
            </w:r>
          </w:p>
          <w:p w14:paraId="4C2B6F2E">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2、提交投标文件光盘或U盘备用</w:t>
            </w:r>
          </w:p>
          <w:p w14:paraId="50D2D898">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（1）投标人将按</w:t>
            </w:r>
            <w:r>
              <w:rPr>
                <w:rFonts w:hint="eastAsia" w:ascii="宋体" w:hAnsi="宋体" w:eastAsia="宋体" w:cs="宋体"/>
                <w:b/>
                <w:color w:val="auto"/>
                <w:sz w:val="24"/>
                <w:szCs w:val="24"/>
              </w:rPr>
              <w:t>《建设工程全流程电子化项目操作指南》</w:t>
            </w:r>
            <w:r>
              <w:rPr>
                <w:rFonts w:hint="eastAsia" w:ascii="宋体" w:hAnsi="宋体" w:eastAsia="宋体" w:cs="宋体"/>
                <w:color w:val="auto"/>
                <w:sz w:val="24"/>
                <w:szCs w:val="24"/>
              </w:rPr>
              <w:t>的操作方法制作非加密的电子投标文件刻入光盘或U盘（1份），在截至投标前15分钟提交至开标现场</w:t>
            </w:r>
            <w:r>
              <w:rPr>
                <w:rFonts w:hint="eastAsia" w:ascii="宋体" w:hAnsi="宋体" w:eastAsia="宋体" w:cs="宋体"/>
                <w:b/>
                <w:bCs/>
                <w:color w:val="auto"/>
                <w:sz w:val="24"/>
                <w:szCs w:val="24"/>
              </w:rPr>
              <w:t>。</w:t>
            </w:r>
            <w:r>
              <w:rPr>
                <w:rFonts w:hint="eastAsia" w:ascii="宋体" w:hAnsi="宋体" w:eastAsia="宋体" w:cs="宋体"/>
                <w:color w:val="auto"/>
                <w:sz w:val="24"/>
                <w:szCs w:val="24"/>
              </w:rPr>
              <w:t>刻录好的投标文件光盘或U盘密封在密封袋中，并在封口处加盖投标人单位公章。密封袋上应写明项目名称和招标人名称。</w:t>
            </w:r>
          </w:p>
          <w:p w14:paraId="1D272A7D">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递交的投标文件（光盘或U盘）不得加密。光盘或U盘（投标文件）无法读取或导入的，则视为未提交备用投标文件光盘或U盘。如果投标人没有按规定通过交易平台网上递交电子投标文件的，不再接受提交的光盘或U盘。投标人可选择不提交光盘或U盘备用。</w:t>
            </w:r>
          </w:p>
          <w:p w14:paraId="50111B46">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3、补救方案</w:t>
            </w:r>
          </w:p>
          <w:p w14:paraId="687BA916">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（1）投标文件解密失败的补救方案：</w:t>
            </w:r>
          </w:p>
          <w:p w14:paraId="58FC1623">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的，视为撤回投标文件。</w:t>
            </w:r>
          </w:p>
          <w:p w14:paraId="48574403">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（2）评标时突发情况的补救方案</w:t>
            </w:r>
          </w:p>
          <w:p w14:paraId="73CBC686">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若遇不可抗力发生（如：网络瘫痪、服务器损坏、交易系统故障短期无法恢复等因素），由评标委员会开启投标人递交的全部投标文件光盘或U盘，并按光盘或U盘内容进行评审。</w:t>
            </w:r>
          </w:p>
          <w:p w14:paraId="6EA3BBB7">
            <w:pPr>
              <w:pStyle w:val="37"/>
              <w:keepNext w:val="0"/>
              <w:keepLines w:val="0"/>
              <w:suppressLineNumbers w:val="0"/>
              <w:spacing w:before="0" w:beforeAutospacing="0" w:after="0" w:afterAutospacing="0"/>
              <w:ind w:left="0" w:right="0" w:firstLine="0"/>
              <w:jc w:val="left"/>
              <w:rPr>
                <w:rFonts w:hint="eastAsia" w:ascii="宋体" w:hAnsi="宋体" w:cs="宋体"/>
                <w:kern w:val="2"/>
                <w:sz w:val="24"/>
                <w:szCs w:val="24"/>
              </w:rPr>
            </w:pPr>
            <w:r>
              <w:rPr>
                <w:rFonts w:hint="eastAsia" w:ascii="宋体" w:hAnsi="宋体" w:cs="宋体"/>
                <w:sz w:val="24"/>
                <w:szCs w:val="24"/>
              </w:rPr>
              <w:t>（3）除发生上述情况外，开标评标均以投标人通过交易平台网上递交的电子投标文件为准。</w:t>
            </w:r>
          </w:p>
        </w:tc>
      </w:tr>
      <w:tr w14:paraId="5B24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674" w:hRule="atLeast"/>
          <w:jc w:val="center"/>
        </w:trPr>
        <w:tc>
          <w:tcPr>
            <w:tcW w:w="1223" w:type="dxa"/>
            <w:noWrap w:val="0"/>
            <w:vAlign w:val="center"/>
          </w:tcPr>
          <w:p w14:paraId="39BAE8D3">
            <w:pPr>
              <w:pStyle w:val="94"/>
              <w:keepNext w:val="0"/>
              <w:keepLines w:val="0"/>
              <w:suppressLineNumbers w:val="0"/>
              <w:spacing w:before="0" w:beforeAutospacing="0" w:afterAutospacing="0" w:line="360" w:lineRule="auto"/>
              <w:ind w:left="0" w:right="0"/>
              <w:jc w:val="center"/>
              <w:rPr>
                <w:rFonts w:hint="eastAsia" w:ascii="宋体" w:hAnsi="宋体" w:cs="宋体"/>
                <w:sz w:val="24"/>
                <w:szCs w:val="24"/>
              </w:rPr>
            </w:pPr>
            <w:r>
              <w:rPr>
                <w:rFonts w:hint="eastAsia" w:ascii="宋体" w:hAnsi="宋体" w:cs="宋体"/>
                <w:sz w:val="21"/>
                <w:szCs w:val="21"/>
              </w:rPr>
              <w:t>10</w:t>
            </w:r>
          </w:p>
        </w:tc>
        <w:tc>
          <w:tcPr>
            <w:tcW w:w="1822" w:type="dxa"/>
            <w:noWrap w:val="0"/>
            <w:vAlign w:val="center"/>
          </w:tcPr>
          <w:p w14:paraId="738D5049">
            <w:pPr>
              <w:pStyle w:val="94"/>
              <w:keepNext w:val="0"/>
              <w:keepLines w:val="0"/>
              <w:suppressLineNumbers w:val="0"/>
              <w:spacing w:before="0" w:beforeAutospacing="0" w:afterAutospacing="0" w:line="360" w:lineRule="auto"/>
              <w:ind w:left="0" w:right="0"/>
              <w:jc w:val="center"/>
              <w:rPr>
                <w:rFonts w:hint="eastAsia" w:ascii="宋体" w:hAnsi="宋体" w:cs="宋体"/>
                <w:kern w:val="2"/>
                <w:sz w:val="24"/>
                <w:szCs w:val="24"/>
              </w:rPr>
            </w:pPr>
            <w:r>
              <w:rPr>
                <w:rFonts w:hint="eastAsia" w:ascii="宋体" w:hAnsi="宋体" w:cs="宋体"/>
                <w:sz w:val="24"/>
                <w:szCs w:val="24"/>
              </w:rPr>
              <w:t>需要补充的其他内容</w:t>
            </w:r>
          </w:p>
        </w:tc>
        <w:tc>
          <w:tcPr>
            <w:tcW w:w="7156" w:type="dxa"/>
            <w:noWrap w:val="0"/>
            <w:vAlign w:val="center"/>
          </w:tcPr>
          <w:p w14:paraId="4402B6F5">
            <w:pPr>
              <w:pStyle w:val="37"/>
              <w:keepNext w:val="0"/>
              <w:keepLines w:val="0"/>
              <w:suppressLineNumbers w:val="0"/>
              <w:spacing w:before="0" w:beforeAutospacing="0" w:after="0" w:afterAutospacing="0"/>
              <w:ind w:left="0" w:right="0" w:firstLine="0"/>
              <w:jc w:val="left"/>
              <w:rPr>
                <w:rFonts w:hint="eastAsia" w:ascii="宋体" w:hAnsi="宋体" w:eastAsia="宋体" w:cs="宋体"/>
                <w:sz w:val="24"/>
                <w:szCs w:val="24"/>
                <w:lang w:val="en-US" w:eastAsia="zh-CN"/>
              </w:rPr>
            </w:pPr>
          </w:p>
        </w:tc>
      </w:tr>
      <w:tr w14:paraId="7844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55" w:hRule="atLeast"/>
          <w:jc w:val="center"/>
        </w:trPr>
        <w:tc>
          <w:tcPr>
            <w:tcW w:w="1223" w:type="dxa"/>
            <w:noWrap w:val="0"/>
            <w:vAlign w:val="center"/>
          </w:tcPr>
          <w:p w14:paraId="7F16E29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10.1</w:t>
            </w:r>
          </w:p>
        </w:tc>
        <w:tc>
          <w:tcPr>
            <w:tcW w:w="1822" w:type="dxa"/>
            <w:noWrap w:val="0"/>
            <w:vAlign w:val="center"/>
          </w:tcPr>
          <w:p w14:paraId="41C0A360">
            <w:pPr>
              <w:pStyle w:val="94"/>
              <w:keepNext w:val="0"/>
              <w:keepLines w:val="0"/>
              <w:suppressLineNumbers w:val="0"/>
              <w:spacing w:before="0" w:beforeAutospacing="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sz w:val="24"/>
                <w:szCs w:val="24"/>
                <w:highlight w:val="none"/>
              </w:rPr>
              <w:t>特别提示</w:t>
            </w:r>
          </w:p>
        </w:tc>
        <w:tc>
          <w:tcPr>
            <w:tcW w:w="7156" w:type="dxa"/>
            <w:noWrap w:val="0"/>
            <w:vAlign w:val="center"/>
          </w:tcPr>
          <w:p w14:paraId="68A3443E">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投标人在本项目招标人的工程项目中存在下列行为的，将被拒绝一定时期内参与招标人后续工程投标。（注：拒绝投标时限由招标人视严重程度确定，最低三个月起，自招标人发出通知之日起计）：</w:t>
            </w:r>
          </w:p>
          <w:p w14:paraId="0058E422">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1.将中标工程转包或者违法分包的;</w:t>
            </w:r>
          </w:p>
          <w:p w14:paraId="5937EF4D">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2.在中标工程中不执行质量、安全生产相关规定的，造成质量或安全事故的；</w:t>
            </w:r>
          </w:p>
          <w:p w14:paraId="58DEF59D">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3.出让投标资格的；</w:t>
            </w:r>
          </w:p>
          <w:p w14:paraId="5879AE05">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4.存在围标或串标情形的;</w:t>
            </w:r>
          </w:p>
          <w:p w14:paraId="58659848">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5.在投标文件中提供虚假材料的；</w:t>
            </w:r>
          </w:p>
          <w:p w14:paraId="6A849EAB">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6. 存在少放、不放业绩、奖项等客观评审资料，减少自身竞争力情形的；</w:t>
            </w:r>
          </w:p>
          <w:p w14:paraId="337BD1E5">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7.存在行贿情形的;</w:t>
            </w:r>
          </w:p>
          <w:p w14:paraId="1A8F77C0">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8.拖欠农民工工资的；</w:t>
            </w:r>
          </w:p>
          <w:p w14:paraId="6695FAED">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9.未按照国家、省、市有关建筑施工实名制管理和工人工资支付分账管理的规定执行，被行政监管部门处罚的；</w:t>
            </w:r>
          </w:p>
          <w:p w14:paraId="495AC871">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10.中标人在项目实施过程中选取的专业分包单位或劳务企业或劳务班组长与投标时不一致的（如有）；</w:t>
            </w:r>
          </w:p>
          <w:p w14:paraId="1CBB4AAA">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11.本项目投标时拟派的专职安全员在其他项目中有任职且在本项目开工前未完成更换确保专职安全员只在本项目上任职的；</w:t>
            </w:r>
          </w:p>
        </w:tc>
      </w:tr>
      <w:tr w14:paraId="462A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55" w:hRule="atLeast"/>
          <w:jc w:val="center"/>
        </w:trPr>
        <w:tc>
          <w:tcPr>
            <w:tcW w:w="1223" w:type="dxa"/>
            <w:noWrap w:val="0"/>
            <w:vAlign w:val="center"/>
          </w:tcPr>
          <w:p w14:paraId="6154E544">
            <w:pPr>
              <w:keepNext w:val="0"/>
              <w:keepLines w:val="0"/>
              <w:widowControl/>
              <w:suppressLineNumbers w:val="0"/>
              <w:spacing w:before="0" w:beforeAutospacing="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1"/>
                <w:szCs w:val="21"/>
              </w:rPr>
              <w:t>10.2</w:t>
            </w:r>
          </w:p>
        </w:tc>
        <w:tc>
          <w:tcPr>
            <w:tcW w:w="1822" w:type="dxa"/>
            <w:noWrap w:val="0"/>
            <w:vAlign w:val="center"/>
          </w:tcPr>
          <w:p w14:paraId="0BA236AB">
            <w:pPr>
              <w:pStyle w:val="94"/>
              <w:keepNext w:val="0"/>
              <w:keepLines w:val="0"/>
              <w:suppressLineNumbers w:val="0"/>
              <w:spacing w:before="0" w:beforeAutospacing="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sz w:val="24"/>
                <w:szCs w:val="24"/>
              </w:rPr>
              <w:t>送达</w:t>
            </w:r>
          </w:p>
        </w:tc>
        <w:tc>
          <w:tcPr>
            <w:tcW w:w="7156" w:type="dxa"/>
            <w:noWrap w:val="0"/>
            <w:vAlign w:val="center"/>
          </w:tcPr>
          <w:p w14:paraId="16065429">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《投诉处理决定书》和《行政处理决定书》在广州市住房和城乡建设局网站上公布的，视为送达其他与决定书有关的当事人。</w:t>
            </w:r>
          </w:p>
        </w:tc>
      </w:tr>
      <w:tr w14:paraId="6B40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55" w:hRule="atLeast"/>
          <w:jc w:val="center"/>
        </w:trPr>
        <w:tc>
          <w:tcPr>
            <w:tcW w:w="1223" w:type="dxa"/>
            <w:noWrap w:val="0"/>
            <w:vAlign w:val="center"/>
          </w:tcPr>
          <w:p w14:paraId="784AC2C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4"/>
                <w:szCs w:val="24"/>
              </w:rPr>
              <w:t>10.3</w:t>
            </w:r>
          </w:p>
        </w:tc>
        <w:tc>
          <w:tcPr>
            <w:tcW w:w="1822" w:type="dxa"/>
            <w:noWrap w:val="0"/>
            <w:vAlign w:val="center"/>
          </w:tcPr>
          <w:p w14:paraId="5B62582F">
            <w:pPr>
              <w:pStyle w:val="37"/>
              <w:keepNext w:val="0"/>
              <w:keepLines w:val="0"/>
              <w:suppressLineNumbers w:val="0"/>
              <w:spacing w:before="0" w:beforeAutospacing="0" w:after="0" w:afterAutospacing="0"/>
              <w:ind w:left="0" w:right="0" w:firstLine="0"/>
              <w:jc w:val="center"/>
              <w:rPr>
                <w:rFonts w:hint="eastAsia" w:ascii="宋体" w:hAnsi="宋体" w:cs="宋体"/>
                <w:sz w:val="21"/>
                <w:szCs w:val="21"/>
              </w:rPr>
            </w:pPr>
            <w:r>
              <w:rPr>
                <w:rFonts w:hint="eastAsia" w:ascii="宋体" w:hAnsi="宋体" w:cs="宋体"/>
                <w:kern w:val="2"/>
                <w:sz w:val="24"/>
                <w:szCs w:val="24"/>
              </w:rPr>
              <w:t>招标失败的情形</w:t>
            </w:r>
          </w:p>
        </w:tc>
        <w:tc>
          <w:tcPr>
            <w:tcW w:w="7156" w:type="dxa"/>
            <w:noWrap w:val="0"/>
            <w:vAlign w:val="center"/>
          </w:tcPr>
          <w:p w14:paraId="62A9473F">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本项目采用资格后审方式，满足资格审查合格条件或通过初步评审的投标申请人不足3名时为招标失败。招标人分析招标失败原因，修正招标方案，报有关管理部门核准后，重新组织招标。</w:t>
            </w:r>
          </w:p>
        </w:tc>
      </w:tr>
      <w:tr w14:paraId="15A7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55" w:hRule="atLeast"/>
          <w:jc w:val="center"/>
        </w:trPr>
        <w:tc>
          <w:tcPr>
            <w:tcW w:w="1223" w:type="dxa"/>
            <w:noWrap w:val="0"/>
            <w:vAlign w:val="center"/>
          </w:tcPr>
          <w:p w14:paraId="63B65A59">
            <w:pPr>
              <w:keepNext w:val="0"/>
              <w:keepLines w:val="0"/>
              <w:widowControl/>
              <w:suppressLineNumbers w:val="0"/>
              <w:spacing w:before="0" w:beforeAutospacing="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1"/>
                <w:szCs w:val="21"/>
              </w:rPr>
              <w:t>10.4</w:t>
            </w:r>
          </w:p>
        </w:tc>
        <w:tc>
          <w:tcPr>
            <w:tcW w:w="1822" w:type="dxa"/>
            <w:noWrap w:val="0"/>
            <w:vAlign w:val="center"/>
          </w:tcPr>
          <w:p w14:paraId="3138E80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招标人拒绝接收其投标文件情况</w:t>
            </w:r>
          </w:p>
        </w:tc>
        <w:tc>
          <w:tcPr>
            <w:tcW w:w="7156" w:type="dxa"/>
            <w:noWrap w:val="0"/>
            <w:vAlign w:val="center"/>
          </w:tcPr>
          <w:p w14:paraId="5B4DBC7A">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在投标截止期后逾期上传递交电子投标文件的。</w:t>
            </w:r>
          </w:p>
        </w:tc>
      </w:tr>
      <w:tr w14:paraId="170A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55" w:hRule="atLeast"/>
          <w:jc w:val="center"/>
        </w:trPr>
        <w:tc>
          <w:tcPr>
            <w:tcW w:w="1223" w:type="dxa"/>
            <w:noWrap w:val="0"/>
            <w:vAlign w:val="center"/>
          </w:tcPr>
          <w:p w14:paraId="5F8D47E0">
            <w:pPr>
              <w:keepNext w:val="0"/>
              <w:keepLines w:val="0"/>
              <w:widowControl/>
              <w:suppressLineNumbers w:val="0"/>
              <w:spacing w:before="0" w:beforeAutospacing="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10.5</w:t>
            </w:r>
          </w:p>
        </w:tc>
        <w:tc>
          <w:tcPr>
            <w:tcW w:w="1822" w:type="dxa"/>
            <w:noWrap w:val="0"/>
            <w:vAlign w:val="center"/>
          </w:tcPr>
          <w:p w14:paraId="154C50C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投标文件公开</w:t>
            </w:r>
          </w:p>
        </w:tc>
        <w:tc>
          <w:tcPr>
            <w:tcW w:w="7156" w:type="dxa"/>
            <w:noWrap w:val="0"/>
            <w:vAlign w:val="center"/>
          </w:tcPr>
          <w:p w14:paraId="0C339698">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在产生中标候选人后，招标人将中标候选人的投标文件商务部分的电子版（报价清单、方案等涉及商业秘密的内容除外）在广州交易集团有限公司（广州公共资源交易中心）网站等法定媒介公开。</w:t>
            </w:r>
          </w:p>
        </w:tc>
      </w:tr>
      <w:tr w14:paraId="4E15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55" w:hRule="atLeast"/>
          <w:jc w:val="center"/>
        </w:trPr>
        <w:tc>
          <w:tcPr>
            <w:tcW w:w="1223" w:type="dxa"/>
            <w:noWrap w:val="0"/>
            <w:vAlign w:val="center"/>
          </w:tcPr>
          <w:p w14:paraId="18AA0780">
            <w:pPr>
              <w:keepNext w:val="0"/>
              <w:keepLines w:val="0"/>
              <w:widowControl/>
              <w:suppressLineNumbers w:val="0"/>
              <w:spacing w:before="0" w:beforeAutospacing="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10.6</w:t>
            </w:r>
          </w:p>
        </w:tc>
        <w:tc>
          <w:tcPr>
            <w:tcW w:w="1822" w:type="dxa"/>
            <w:noWrap w:val="0"/>
            <w:vAlign w:val="center"/>
          </w:tcPr>
          <w:p w14:paraId="6224CD0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7156" w:type="dxa"/>
            <w:noWrap w:val="0"/>
            <w:vAlign w:val="center"/>
          </w:tcPr>
          <w:p w14:paraId="7E5A8701">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1、招标公告、招标文件、答疑纪要等招标资料全部发布在广州交易集团有限公司（广州公共资源交易中心）网站，由投标人自行下载查阅。</w:t>
            </w:r>
          </w:p>
          <w:p w14:paraId="4C072AC6">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2、投标截止时间、开标时间和地点：发布在广州交易集团有限公司（广州公共资源交易中心）网站（具体在网站主页“服务指南”中“交易活动安排”栏目上以“项目名称”或“项目编号”进行查询）。</w:t>
            </w:r>
          </w:p>
          <w:p w14:paraId="28D51746">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3、中标后，中标单位须提交与网上上传电子投标文件完全一致的纸质投标文件（1正</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副，加盖公章）给招标单位。</w:t>
            </w:r>
          </w:p>
          <w:p w14:paraId="2FAA0826">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4、本工程采用全电子化资格后审方式，具体要求详见《建设工程全流程电子化项目操作指南》。</w:t>
            </w:r>
          </w:p>
        </w:tc>
      </w:tr>
      <w:tr w14:paraId="7228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55" w:hRule="atLeast"/>
          <w:jc w:val="center"/>
        </w:trPr>
        <w:tc>
          <w:tcPr>
            <w:tcW w:w="1223" w:type="dxa"/>
            <w:noWrap w:val="0"/>
            <w:vAlign w:val="center"/>
          </w:tcPr>
          <w:p w14:paraId="6AF43D7D">
            <w:pPr>
              <w:keepNext w:val="0"/>
              <w:keepLines w:val="0"/>
              <w:widowControl/>
              <w:suppressLineNumbers w:val="0"/>
              <w:spacing w:before="0" w:beforeAutospacing="0" w:afterAutospacing="0" w:line="360" w:lineRule="auto"/>
              <w:ind w:left="0" w:right="0"/>
              <w:jc w:val="center"/>
              <w:rPr>
                <w:rFonts w:hint="default" w:ascii="宋体" w:hAnsi="宋体" w:eastAsia="宋体" w:cs="宋体"/>
                <w:color w:val="auto"/>
                <w:sz w:val="21"/>
                <w:szCs w:val="21"/>
              </w:rPr>
            </w:pPr>
            <w:r>
              <w:rPr>
                <w:rFonts w:hint="eastAsia" w:ascii="宋体" w:hAnsi="宋体" w:eastAsia="宋体" w:cs="宋体"/>
                <w:color w:val="auto"/>
                <w:sz w:val="21"/>
                <w:szCs w:val="21"/>
              </w:rPr>
              <w:t>10.7</w:t>
            </w:r>
          </w:p>
        </w:tc>
        <w:tc>
          <w:tcPr>
            <w:tcW w:w="1822" w:type="dxa"/>
            <w:noWrap w:val="0"/>
            <w:vAlign w:val="center"/>
          </w:tcPr>
          <w:p w14:paraId="1059B16B">
            <w:pPr>
              <w:keepNext w:val="0"/>
              <w:keepLines w:val="0"/>
              <w:widowControl/>
              <w:suppressLineNumbers w:val="0"/>
              <w:spacing w:before="0" w:beforeAutospacing="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4"/>
                <w:szCs w:val="24"/>
              </w:rPr>
              <w:t>否决投标</w:t>
            </w:r>
          </w:p>
        </w:tc>
        <w:tc>
          <w:tcPr>
            <w:tcW w:w="7156" w:type="dxa"/>
            <w:noWrap w:val="0"/>
            <w:vAlign w:val="center"/>
          </w:tcPr>
          <w:p w14:paraId="3EE27F18">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10.7.1投标人有下列情况之一的，评标委员会应当否决其投标：</w:t>
            </w:r>
          </w:p>
          <w:p w14:paraId="57C98E4D">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（1）投标人与招标人、评标委员会成员或者其他投标人串通投标；</w:t>
            </w:r>
          </w:p>
          <w:p w14:paraId="117D6A2A">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（2）投标人之间存在《广东省实施&lt;中华人民共和国招标投标法&gt;》第十六条所禁止的情形的；</w:t>
            </w:r>
          </w:p>
          <w:p w14:paraId="71840F54">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10.7.2有下列情况之一的，评标委员会应当否决其投标：</w:t>
            </w:r>
          </w:p>
          <w:p w14:paraId="3C1F5177">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（1）《投标书》未加盖投标人公章，也未经法定代表人或者其授权代表签字或盖章；</w:t>
            </w:r>
          </w:p>
          <w:p w14:paraId="7B261D53">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（2）《投标书》包含有招标人不能接受的偏差，并且投标人拒绝书面撤回偏差；</w:t>
            </w:r>
          </w:p>
          <w:p w14:paraId="05F843F6">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（3）《投标人声明》未按规定格式填写或未加盖投标人公章；</w:t>
            </w:r>
          </w:p>
          <w:p w14:paraId="15AC5205">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10.7.3投标文件有下列情况之一的，评标委员会应当否决其投标：</w:t>
            </w:r>
          </w:p>
          <w:p w14:paraId="712195F7">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（1）投标人与</w:t>
            </w:r>
            <w:r>
              <w:rPr>
                <w:rFonts w:hint="eastAsia" w:ascii="宋体" w:hAnsi="宋体" w:eastAsia="宋体" w:cs="宋体"/>
                <w:color w:val="auto"/>
                <w:sz w:val="24"/>
                <w:szCs w:val="24"/>
                <w:lang w:eastAsia="zh-CN"/>
              </w:rPr>
              <w:t>本项目</w:t>
            </w:r>
            <w:r>
              <w:rPr>
                <w:rFonts w:hint="eastAsia" w:ascii="宋体" w:hAnsi="宋体" w:eastAsia="宋体" w:cs="宋体"/>
                <w:color w:val="auto"/>
                <w:sz w:val="24"/>
                <w:szCs w:val="24"/>
              </w:rPr>
              <w:t>其他投标人加密打包投标文件电脑机器特征码一致的；</w:t>
            </w:r>
          </w:p>
          <w:p w14:paraId="12F3173A">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（2）投标人之间存在《广东省实施&lt;中华人民共和国招标投标法&gt;》第十六条所禁止的情形的；</w:t>
            </w:r>
          </w:p>
          <w:p w14:paraId="5C90AF21">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（3）投标报价高于最高投标限价总价的；</w:t>
            </w:r>
          </w:p>
          <w:p w14:paraId="6B61F6B4">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10.7.4投标人有下列情况之一的，视为串通投标：</w:t>
            </w:r>
          </w:p>
          <w:p w14:paraId="5D891EAB">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（1）递交投标文件前，投标人私下向招标人或其雇员出示或告知投标文件内容；</w:t>
            </w:r>
          </w:p>
          <w:p w14:paraId="573C48EF">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（2）评标表决结束前，投标人私下向评标委员会成员出示或告知投标文件内容；</w:t>
            </w:r>
          </w:p>
          <w:p w14:paraId="0C7DF2B0">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（3）评标结果揭晓前，投标人与招标人就投标价格、投标方案等实质性内容进行谈判。</w:t>
            </w:r>
          </w:p>
          <w:p w14:paraId="05757C8F">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10.7.5发生下列情形之一的，招标人应当重新组织招标：</w:t>
            </w:r>
          </w:p>
          <w:p w14:paraId="2E622C2C">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（1）递交投标文件或通过资格审查的投标人不足三人；</w:t>
            </w:r>
          </w:p>
          <w:p w14:paraId="1977E1B7">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（2）所有投标被否决，或者经评议有效投标的投标人少于三人；</w:t>
            </w:r>
          </w:p>
          <w:p w14:paraId="23249445">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（3）经项目审批部门会同行业主管部门裁定招标投标结果无效；</w:t>
            </w:r>
          </w:p>
          <w:p w14:paraId="0E8D56D5">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10.7.6否决投标的决定由评标委员会作出，其他投标人无权干涉。</w:t>
            </w:r>
          </w:p>
          <w:p w14:paraId="6EEC88A6">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10.7.7投标文件如果隐瞒不符合评审标准的事实，一切法律责任由投标人承担。</w:t>
            </w:r>
          </w:p>
        </w:tc>
      </w:tr>
    </w:tbl>
    <w:p w14:paraId="590BF6BF">
      <w:pPr>
        <w:pStyle w:val="4"/>
        <w:spacing w:after="500" w:line="262" w:lineRule="auto"/>
        <w:ind w:left="0" w:right="0" w:firstLine="0"/>
        <w:rPr>
          <w:rFonts w:hint="eastAsia" w:ascii="宋体" w:hAnsi="宋体" w:eastAsia="宋体"/>
          <w:b/>
          <w:color w:val="auto"/>
          <w:sz w:val="32"/>
        </w:rPr>
        <w:sectPr>
          <w:footerReference r:id="rId7" w:type="default"/>
          <w:pgSz w:w="11907" w:h="16840"/>
          <w:pgMar w:top="1446" w:right="1134" w:bottom="1469" w:left="1134" w:header="720" w:footer="720" w:gutter="0"/>
          <w:cols w:space="720" w:num="1"/>
        </w:sectPr>
      </w:pPr>
      <w:bookmarkStart w:id="8" w:name="_Toc508382094"/>
    </w:p>
    <w:p w14:paraId="3AF552C6">
      <w:pPr>
        <w:pStyle w:val="4"/>
        <w:spacing w:after="500" w:line="262" w:lineRule="auto"/>
        <w:ind w:left="-5" w:right="0"/>
        <w:rPr>
          <w:rFonts w:ascii="宋体" w:hAnsi="宋体" w:eastAsia="宋体"/>
          <w:color w:val="auto"/>
        </w:rPr>
      </w:pPr>
      <w:bookmarkStart w:id="9" w:name="_Toc190785895"/>
      <w:r>
        <w:rPr>
          <w:rFonts w:ascii="宋体" w:hAnsi="宋体" w:eastAsia="宋体"/>
          <w:b/>
          <w:color w:val="auto"/>
          <w:sz w:val="32"/>
        </w:rPr>
        <w:t xml:space="preserve">1. </w:t>
      </w:r>
      <w:r>
        <w:rPr>
          <w:rFonts w:hint="eastAsia" w:ascii="宋体" w:hAnsi="宋体" w:eastAsia="宋体"/>
          <w:color w:val="auto"/>
          <w:sz w:val="32"/>
        </w:rPr>
        <w:t>总则</w:t>
      </w:r>
      <w:bookmarkEnd w:id="8"/>
      <w:bookmarkEnd w:id="9"/>
      <w:r>
        <w:rPr>
          <w:rFonts w:ascii="宋体" w:hAnsi="宋体" w:eastAsia="宋体"/>
          <w:b/>
          <w:color w:val="auto"/>
          <w:sz w:val="32"/>
        </w:rPr>
        <w:t xml:space="preserve"> </w:t>
      </w:r>
    </w:p>
    <w:p w14:paraId="4F526782">
      <w:pPr>
        <w:pStyle w:val="5"/>
        <w:spacing w:after="283"/>
        <w:ind w:left="132" w:right="0"/>
        <w:rPr>
          <w:rFonts w:ascii="宋体" w:hAnsi="宋体" w:eastAsia="宋体"/>
          <w:color w:val="auto"/>
          <w:sz w:val="24"/>
          <w:szCs w:val="24"/>
        </w:rPr>
      </w:pPr>
      <w:bookmarkStart w:id="10" w:name="_Toc190785800"/>
      <w:bookmarkStart w:id="11" w:name="_Toc190785380"/>
      <w:bookmarkStart w:id="12" w:name="_Toc190785896"/>
      <w:bookmarkStart w:id="13" w:name="_Toc508788612"/>
      <w:bookmarkStart w:id="14" w:name="_Toc508382095"/>
      <w:r>
        <w:rPr>
          <w:rFonts w:ascii="宋体" w:hAnsi="宋体" w:eastAsia="宋体"/>
          <w:color w:val="auto"/>
          <w:sz w:val="24"/>
          <w:szCs w:val="24"/>
        </w:rPr>
        <w:t xml:space="preserve">1.1 </w:t>
      </w:r>
      <w:r>
        <w:rPr>
          <w:rFonts w:hint="eastAsia" w:ascii="宋体" w:hAnsi="宋体" w:eastAsia="宋体"/>
          <w:color w:val="auto"/>
          <w:sz w:val="24"/>
          <w:szCs w:val="24"/>
        </w:rPr>
        <w:t>招标项目概况</w:t>
      </w:r>
      <w:bookmarkEnd w:id="10"/>
      <w:bookmarkEnd w:id="11"/>
      <w:bookmarkEnd w:id="12"/>
      <w:bookmarkEnd w:id="13"/>
      <w:bookmarkEnd w:id="14"/>
      <w:r>
        <w:rPr>
          <w:rFonts w:ascii="宋体" w:hAnsi="宋体" w:eastAsia="宋体"/>
          <w:color w:val="auto"/>
          <w:sz w:val="24"/>
          <w:szCs w:val="24"/>
        </w:rPr>
        <w:t xml:space="preserve"> </w:t>
      </w:r>
    </w:p>
    <w:p w14:paraId="1D146B54">
      <w:pPr>
        <w:spacing w:after="0" w:line="372" w:lineRule="auto"/>
        <w:ind w:right="103" w:firstLine="420"/>
        <w:rPr>
          <w:rFonts w:ascii="宋体" w:hAnsi="宋体" w:eastAsia="宋体"/>
          <w:color w:val="auto"/>
          <w:sz w:val="24"/>
          <w:szCs w:val="24"/>
        </w:rPr>
      </w:pPr>
      <w:r>
        <w:rPr>
          <w:rFonts w:ascii="宋体" w:hAnsi="宋体" w:eastAsia="宋体"/>
          <w:color w:val="auto"/>
          <w:sz w:val="24"/>
          <w:szCs w:val="24"/>
        </w:rPr>
        <w:t xml:space="preserve">1.1.1 </w:t>
      </w:r>
      <w:r>
        <w:rPr>
          <w:rFonts w:hint="eastAsia" w:ascii="宋体" w:hAnsi="宋体" w:eastAsia="宋体" w:cs="宋体"/>
          <w:color w:val="auto"/>
          <w:sz w:val="24"/>
          <w:szCs w:val="24"/>
        </w:rPr>
        <w:t>根据《中华人民共和国招标投标法》、《中华人民共和国招标投标法实施条例》等有关法律、法规和规章的规定，本招标项目已具备招标条件，现对</w:t>
      </w:r>
      <w:r>
        <w:rPr>
          <w:rFonts w:hint="eastAsia" w:ascii="宋体" w:hAnsi="宋体" w:eastAsia="宋体" w:cs="宋体"/>
          <w:color w:val="auto"/>
          <w:kern w:val="2"/>
          <w:sz w:val="24"/>
          <w:szCs w:val="24"/>
          <w:highlight w:val="none"/>
          <w:u w:val="single"/>
          <w:lang w:val="en-US" w:eastAsia="zh-CN"/>
        </w:rPr>
        <w:t>吉祥路30号、32号地块改扩建教学楼工程</w:t>
      </w:r>
      <w:r>
        <w:rPr>
          <w:rFonts w:hint="eastAsia" w:ascii="宋体" w:hAnsi="宋体" w:eastAsia="宋体" w:cs="宋体"/>
          <w:color w:val="auto"/>
          <w:kern w:val="2"/>
          <w:sz w:val="24"/>
          <w:szCs w:val="24"/>
          <w:highlight w:val="none"/>
          <w:u w:val="single"/>
          <w:lang w:eastAsia="zh-CN"/>
        </w:rPr>
        <w:t>勘察</w:t>
      </w:r>
      <w:r>
        <w:rPr>
          <w:rFonts w:hint="eastAsia" w:ascii="宋体" w:hAnsi="宋体" w:eastAsia="宋体" w:cs="宋体"/>
          <w:color w:val="auto"/>
          <w:sz w:val="24"/>
          <w:szCs w:val="24"/>
        </w:rPr>
        <w:t>进行招标。</w:t>
      </w:r>
      <w:r>
        <w:rPr>
          <w:rFonts w:ascii="宋体" w:hAnsi="宋体" w:eastAsia="宋体"/>
          <w:color w:val="auto"/>
          <w:sz w:val="24"/>
          <w:szCs w:val="24"/>
        </w:rPr>
        <w:t xml:space="preserve"> </w:t>
      </w:r>
    </w:p>
    <w:p w14:paraId="233B31BC">
      <w:pPr>
        <w:spacing w:after="123" w:line="265" w:lineRule="auto"/>
        <w:ind w:left="417" w:right="103" w:hanging="10"/>
        <w:rPr>
          <w:rFonts w:ascii="宋体" w:hAnsi="宋体" w:eastAsia="宋体"/>
          <w:color w:val="auto"/>
          <w:sz w:val="24"/>
          <w:szCs w:val="24"/>
        </w:rPr>
      </w:pPr>
      <w:r>
        <w:rPr>
          <w:rFonts w:ascii="宋体" w:hAnsi="宋体" w:eastAsia="宋体"/>
          <w:color w:val="auto"/>
          <w:sz w:val="24"/>
          <w:szCs w:val="24"/>
        </w:rPr>
        <w:t xml:space="preserve">1.1.2 </w:t>
      </w:r>
      <w:r>
        <w:rPr>
          <w:rFonts w:hint="eastAsia" w:ascii="宋体" w:hAnsi="宋体" w:eastAsia="宋体" w:cs="宋体"/>
          <w:color w:val="auto"/>
          <w:sz w:val="24"/>
          <w:szCs w:val="24"/>
        </w:rPr>
        <w:t>招标人：见投标人须知前附表。</w:t>
      </w:r>
      <w:r>
        <w:rPr>
          <w:rFonts w:ascii="宋体" w:hAnsi="宋体" w:eastAsia="宋体"/>
          <w:color w:val="auto"/>
          <w:sz w:val="24"/>
          <w:szCs w:val="24"/>
        </w:rPr>
        <w:t xml:space="preserve"> </w:t>
      </w:r>
    </w:p>
    <w:p w14:paraId="2344510C">
      <w:pPr>
        <w:spacing w:after="123" w:line="265" w:lineRule="auto"/>
        <w:ind w:left="417" w:right="103" w:hanging="10"/>
        <w:rPr>
          <w:rFonts w:ascii="宋体" w:hAnsi="宋体" w:eastAsia="宋体"/>
          <w:color w:val="auto"/>
          <w:sz w:val="24"/>
          <w:szCs w:val="24"/>
        </w:rPr>
      </w:pPr>
      <w:r>
        <w:rPr>
          <w:rFonts w:ascii="宋体" w:hAnsi="宋体" w:eastAsia="宋体"/>
          <w:color w:val="auto"/>
          <w:sz w:val="24"/>
          <w:szCs w:val="24"/>
        </w:rPr>
        <w:t xml:space="preserve">1.1.3 </w:t>
      </w:r>
      <w:r>
        <w:rPr>
          <w:rFonts w:hint="eastAsia" w:ascii="宋体" w:hAnsi="宋体" w:eastAsia="宋体" w:cs="宋体"/>
          <w:color w:val="auto"/>
          <w:sz w:val="24"/>
          <w:szCs w:val="24"/>
        </w:rPr>
        <w:t>招标代理机构：见投标人须知前附表。</w:t>
      </w:r>
      <w:r>
        <w:rPr>
          <w:rFonts w:ascii="宋体" w:hAnsi="宋体" w:eastAsia="宋体"/>
          <w:color w:val="auto"/>
          <w:sz w:val="24"/>
          <w:szCs w:val="24"/>
        </w:rPr>
        <w:t xml:space="preserve"> </w:t>
      </w:r>
    </w:p>
    <w:p w14:paraId="75F1DAB3">
      <w:pPr>
        <w:spacing w:after="123" w:line="265" w:lineRule="auto"/>
        <w:ind w:left="417" w:right="103" w:hanging="10"/>
        <w:rPr>
          <w:rFonts w:ascii="宋体" w:hAnsi="宋体" w:eastAsia="宋体"/>
          <w:color w:val="auto"/>
          <w:sz w:val="24"/>
          <w:szCs w:val="24"/>
        </w:rPr>
      </w:pPr>
      <w:r>
        <w:rPr>
          <w:rFonts w:ascii="宋体" w:hAnsi="宋体" w:eastAsia="宋体"/>
          <w:color w:val="auto"/>
          <w:sz w:val="24"/>
          <w:szCs w:val="24"/>
        </w:rPr>
        <w:t xml:space="preserve">1.1.4 </w:t>
      </w:r>
      <w:r>
        <w:rPr>
          <w:rFonts w:hint="eastAsia" w:ascii="宋体" w:hAnsi="宋体" w:eastAsia="宋体" w:cs="宋体"/>
          <w:color w:val="auto"/>
          <w:sz w:val="24"/>
          <w:szCs w:val="24"/>
        </w:rPr>
        <w:t>招标项目名称：见投标人须知前附表。</w:t>
      </w:r>
      <w:r>
        <w:rPr>
          <w:rFonts w:ascii="宋体" w:hAnsi="宋体" w:eastAsia="宋体"/>
          <w:color w:val="auto"/>
          <w:sz w:val="24"/>
          <w:szCs w:val="24"/>
        </w:rPr>
        <w:t xml:space="preserve"> </w:t>
      </w:r>
    </w:p>
    <w:p w14:paraId="2FD27007">
      <w:pPr>
        <w:spacing w:after="123" w:line="265" w:lineRule="auto"/>
        <w:ind w:left="417" w:right="103" w:hanging="10"/>
        <w:rPr>
          <w:rFonts w:ascii="宋体" w:hAnsi="宋体" w:eastAsia="宋体"/>
          <w:color w:val="auto"/>
          <w:sz w:val="24"/>
          <w:szCs w:val="24"/>
        </w:rPr>
      </w:pPr>
      <w:r>
        <w:rPr>
          <w:rFonts w:ascii="宋体" w:hAnsi="宋体" w:eastAsia="宋体"/>
          <w:color w:val="auto"/>
          <w:sz w:val="24"/>
          <w:szCs w:val="24"/>
        </w:rPr>
        <w:t xml:space="preserve">1.1.5 </w:t>
      </w:r>
      <w:r>
        <w:rPr>
          <w:rFonts w:hint="eastAsia" w:ascii="宋体" w:hAnsi="宋体" w:eastAsia="宋体" w:cs="宋体"/>
          <w:color w:val="auto"/>
          <w:sz w:val="24"/>
          <w:szCs w:val="24"/>
        </w:rPr>
        <w:t>项目建设地点：见投标人须知前附表。</w:t>
      </w:r>
      <w:r>
        <w:rPr>
          <w:rFonts w:ascii="宋体" w:hAnsi="宋体" w:eastAsia="宋体"/>
          <w:color w:val="auto"/>
          <w:sz w:val="24"/>
          <w:szCs w:val="24"/>
        </w:rPr>
        <w:t xml:space="preserve"> </w:t>
      </w:r>
    </w:p>
    <w:p w14:paraId="7AEE4A17">
      <w:pPr>
        <w:spacing w:after="123" w:line="265" w:lineRule="auto"/>
        <w:ind w:left="417" w:right="103" w:hanging="10"/>
        <w:rPr>
          <w:rFonts w:ascii="宋体" w:hAnsi="宋体" w:eastAsia="宋体"/>
          <w:color w:val="auto"/>
          <w:sz w:val="24"/>
          <w:szCs w:val="24"/>
        </w:rPr>
      </w:pPr>
      <w:r>
        <w:rPr>
          <w:rFonts w:ascii="宋体" w:hAnsi="宋体" w:eastAsia="宋体"/>
          <w:color w:val="auto"/>
          <w:sz w:val="24"/>
          <w:szCs w:val="24"/>
        </w:rPr>
        <w:t xml:space="preserve">1.1.6 </w:t>
      </w:r>
      <w:r>
        <w:rPr>
          <w:rFonts w:hint="eastAsia" w:ascii="宋体" w:hAnsi="宋体" w:eastAsia="宋体" w:cs="宋体"/>
          <w:color w:val="auto"/>
          <w:sz w:val="24"/>
          <w:szCs w:val="24"/>
        </w:rPr>
        <w:t>项目建设规模：见投标人须知前附表。</w:t>
      </w:r>
      <w:r>
        <w:rPr>
          <w:rFonts w:ascii="宋体" w:hAnsi="宋体" w:eastAsia="宋体"/>
          <w:color w:val="auto"/>
          <w:sz w:val="24"/>
          <w:szCs w:val="24"/>
        </w:rPr>
        <w:t xml:space="preserve"> </w:t>
      </w:r>
    </w:p>
    <w:p w14:paraId="6E66B4FB">
      <w:pPr>
        <w:spacing w:after="123" w:line="265" w:lineRule="auto"/>
        <w:ind w:left="417" w:right="103" w:hanging="10"/>
        <w:rPr>
          <w:rFonts w:ascii="宋体" w:hAnsi="宋体" w:eastAsia="宋体"/>
          <w:color w:val="auto"/>
          <w:sz w:val="24"/>
          <w:szCs w:val="24"/>
        </w:rPr>
      </w:pPr>
      <w:r>
        <w:rPr>
          <w:rFonts w:ascii="宋体" w:hAnsi="宋体" w:eastAsia="宋体"/>
          <w:color w:val="auto"/>
          <w:sz w:val="24"/>
          <w:szCs w:val="24"/>
        </w:rPr>
        <w:t xml:space="preserve">1.1.7 </w:t>
      </w:r>
      <w:r>
        <w:rPr>
          <w:rFonts w:hint="eastAsia" w:ascii="宋体" w:hAnsi="宋体" w:eastAsia="宋体" w:cs="宋体"/>
          <w:color w:val="auto"/>
          <w:sz w:val="24"/>
          <w:szCs w:val="24"/>
        </w:rPr>
        <w:t>工程项目施工预计开工日期：见投标人须知前附表。</w:t>
      </w:r>
      <w:r>
        <w:rPr>
          <w:rFonts w:ascii="宋体" w:hAnsi="宋体" w:eastAsia="宋体"/>
          <w:color w:val="auto"/>
          <w:sz w:val="24"/>
          <w:szCs w:val="24"/>
        </w:rPr>
        <w:t xml:space="preserve"> </w:t>
      </w:r>
    </w:p>
    <w:p w14:paraId="6E344F6E">
      <w:pPr>
        <w:spacing w:after="342" w:line="265" w:lineRule="auto"/>
        <w:ind w:left="417" w:right="103" w:hanging="10"/>
        <w:rPr>
          <w:rFonts w:ascii="宋体" w:hAnsi="宋体" w:eastAsia="宋体"/>
          <w:color w:val="auto"/>
          <w:sz w:val="24"/>
          <w:szCs w:val="24"/>
        </w:rPr>
      </w:pPr>
      <w:r>
        <w:rPr>
          <w:rFonts w:ascii="宋体" w:hAnsi="宋体" w:eastAsia="宋体"/>
          <w:color w:val="auto"/>
          <w:sz w:val="24"/>
          <w:szCs w:val="24"/>
        </w:rPr>
        <w:t>1.1.8</w:t>
      </w:r>
      <w:r>
        <w:rPr>
          <w:rFonts w:hint="eastAsia" w:ascii="宋体" w:hAnsi="宋体" w:eastAsia="宋体"/>
          <w:color w:val="auto"/>
          <w:sz w:val="24"/>
          <w:szCs w:val="24"/>
        </w:rPr>
        <w:t xml:space="preserve"> </w:t>
      </w:r>
      <w:r>
        <w:rPr>
          <w:rFonts w:hint="eastAsia" w:ascii="宋体" w:hAnsi="宋体" w:cs="宋体"/>
          <w:color w:val="auto"/>
          <w:sz w:val="24"/>
        </w:rPr>
        <w:t>工程总投资</w:t>
      </w:r>
      <w:r>
        <w:rPr>
          <w:rFonts w:hint="eastAsia" w:ascii="宋体" w:hAnsi="宋体" w:eastAsia="宋体" w:cs="宋体"/>
          <w:color w:val="auto"/>
          <w:sz w:val="24"/>
          <w:szCs w:val="24"/>
        </w:rPr>
        <w:t>：见投标人须知前附表。</w:t>
      </w:r>
      <w:r>
        <w:rPr>
          <w:rFonts w:ascii="宋体" w:hAnsi="宋体" w:eastAsia="宋体"/>
          <w:color w:val="auto"/>
          <w:sz w:val="24"/>
          <w:szCs w:val="24"/>
        </w:rPr>
        <w:t xml:space="preserve"> </w:t>
      </w:r>
    </w:p>
    <w:p w14:paraId="4906BE88">
      <w:pPr>
        <w:pStyle w:val="5"/>
        <w:spacing w:after="286"/>
        <w:ind w:left="132" w:right="0"/>
        <w:rPr>
          <w:rFonts w:ascii="宋体" w:hAnsi="宋体" w:eastAsia="宋体"/>
          <w:color w:val="auto"/>
          <w:sz w:val="24"/>
          <w:szCs w:val="24"/>
        </w:rPr>
      </w:pPr>
      <w:bookmarkStart w:id="15" w:name="_Toc190785801"/>
      <w:bookmarkStart w:id="16" w:name="_Toc190785897"/>
      <w:bookmarkStart w:id="17" w:name="_Toc190785381"/>
      <w:bookmarkStart w:id="18" w:name="_Toc508788613"/>
      <w:bookmarkStart w:id="19" w:name="_Toc508382096"/>
      <w:r>
        <w:rPr>
          <w:rFonts w:ascii="宋体" w:hAnsi="宋体" w:eastAsia="宋体"/>
          <w:color w:val="auto"/>
          <w:sz w:val="24"/>
          <w:szCs w:val="24"/>
        </w:rPr>
        <w:t xml:space="preserve">1.2 </w:t>
      </w:r>
      <w:r>
        <w:rPr>
          <w:rFonts w:hint="eastAsia" w:ascii="宋体" w:hAnsi="宋体" w:eastAsia="宋体"/>
          <w:color w:val="auto"/>
          <w:sz w:val="24"/>
          <w:szCs w:val="24"/>
        </w:rPr>
        <w:t>招标项目的资金来源和落实情况</w:t>
      </w:r>
      <w:bookmarkEnd w:id="15"/>
      <w:bookmarkEnd w:id="16"/>
      <w:bookmarkEnd w:id="17"/>
      <w:bookmarkEnd w:id="18"/>
      <w:bookmarkEnd w:id="19"/>
      <w:r>
        <w:rPr>
          <w:rFonts w:ascii="宋体" w:hAnsi="宋体" w:eastAsia="宋体"/>
          <w:color w:val="auto"/>
          <w:sz w:val="24"/>
          <w:szCs w:val="24"/>
        </w:rPr>
        <w:t xml:space="preserve"> </w:t>
      </w:r>
    </w:p>
    <w:p w14:paraId="749C58EF">
      <w:pPr>
        <w:spacing w:after="123" w:line="265" w:lineRule="auto"/>
        <w:ind w:left="417" w:right="103" w:hanging="10"/>
        <w:rPr>
          <w:rFonts w:ascii="宋体" w:hAnsi="宋体" w:eastAsia="宋体"/>
          <w:color w:val="auto"/>
          <w:sz w:val="24"/>
          <w:szCs w:val="24"/>
        </w:rPr>
      </w:pPr>
      <w:r>
        <w:rPr>
          <w:rFonts w:ascii="宋体" w:hAnsi="宋体" w:eastAsia="宋体"/>
          <w:color w:val="auto"/>
          <w:sz w:val="24"/>
          <w:szCs w:val="24"/>
        </w:rPr>
        <w:t xml:space="preserve">1.2.1 </w:t>
      </w:r>
      <w:r>
        <w:rPr>
          <w:rFonts w:hint="eastAsia" w:ascii="宋体" w:hAnsi="宋体" w:eastAsia="宋体" w:cs="宋体"/>
          <w:color w:val="auto"/>
          <w:sz w:val="24"/>
          <w:szCs w:val="24"/>
        </w:rPr>
        <w:t>资金来源及比例：见投标人须知前附表。</w:t>
      </w:r>
      <w:r>
        <w:rPr>
          <w:rFonts w:ascii="宋体" w:hAnsi="宋体" w:eastAsia="宋体"/>
          <w:color w:val="auto"/>
          <w:sz w:val="24"/>
          <w:szCs w:val="24"/>
        </w:rPr>
        <w:t xml:space="preserve"> </w:t>
      </w:r>
    </w:p>
    <w:p w14:paraId="1EA5F6DE">
      <w:pPr>
        <w:spacing w:after="342" w:line="265" w:lineRule="auto"/>
        <w:ind w:left="417" w:right="103" w:hanging="10"/>
        <w:rPr>
          <w:rFonts w:ascii="宋体" w:hAnsi="宋体" w:eastAsia="宋体"/>
          <w:color w:val="auto"/>
          <w:sz w:val="24"/>
          <w:szCs w:val="24"/>
        </w:rPr>
      </w:pPr>
      <w:r>
        <w:rPr>
          <w:rFonts w:ascii="宋体" w:hAnsi="宋体" w:eastAsia="宋体"/>
          <w:color w:val="auto"/>
          <w:sz w:val="24"/>
          <w:szCs w:val="24"/>
        </w:rPr>
        <w:t xml:space="preserve">1.2.2 </w:t>
      </w:r>
      <w:r>
        <w:rPr>
          <w:rFonts w:hint="eastAsia" w:ascii="宋体" w:hAnsi="宋体" w:eastAsia="宋体" w:cs="宋体"/>
          <w:color w:val="auto"/>
          <w:sz w:val="24"/>
          <w:szCs w:val="24"/>
        </w:rPr>
        <w:t>资金落实情况：见投标人须知前附表。</w:t>
      </w:r>
      <w:r>
        <w:rPr>
          <w:rFonts w:ascii="宋体" w:hAnsi="宋体" w:eastAsia="宋体"/>
          <w:color w:val="auto"/>
          <w:sz w:val="24"/>
          <w:szCs w:val="24"/>
        </w:rPr>
        <w:t xml:space="preserve"> </w:t>
      </w:r>
    </w:p>
    <w:p w14:paraId="3DA502BF">
      <w:pPr>
        <w:pStyle w:val="5"/>
        <w:spacing w:after="293"/>
        <w:ind w:left="132" w:right="0"/>
        <w:rPr>
          <w:rFonts w:ascii="宋体" w:hAnsi="宋体" w:eastAsia="宋体"/>
          <w:color w:val="auto"/>
          <w:sz w:val="24"/>
          <w:szCs w:val="24"/>
        </w:rPr>
      </w:pPr>
      <w:bookmarkStart w:id="20" w:name="_Toc190785802"/>
      <w:bookmarkStart w:id="21" w:name="_Toc508382097"/>
      <w:bookmarkStart w:id="22" w:name="_Toc190785382"/>
      <w:bookmarkStart w:id="23" w:name="_Toc190785898"/>
      <w:bookmarkStart w:id="24" w:name="_Toc508788614"/>
      <w:r>
        <w:rPr>
          <w:rFonts w:ascii="宋体" w:hAnsi="宋体" w:eastAsia="宋体"/>
          <w:color w:val="auto"/>
          <w:sz w:val="24"/>
          <w:szCs w:val="24"/>
        </w:rPr>
        <w:t xml:space="preserve">1.3 </w:t>
      </w:r>
      <w:r>
        <w:rPr>
          <w:rFonts w:hint="eastAsia" w:ascii="宋体" w:hAnsi="宋体" w:eastAsia="宋体"/>
          <w:color w:val="auto"/>
          <w:sz w:val="24"/>
          <w:szCs w:val="24"/>
        </w:rPr>
        <w:t>招标范围、服务工期和质量标准</w:t>
      </w:r>
      <w:bookmarkEnd w:id="20"/>
      <w:bookmarkEnd w:id="21"/>
      <w:bookmarkEnd w:id="22"/>
      <w:bookmarkEnd w:id="23"/>
      <w:bookmarkEnd w:id="24"/>
      <w:r>
        <w:rPr>
          <w:rFonts w:ascii="宋体" w:hAnsi="宋体" w:eastAsia="宋体"/>
          <w:color w:val="auto"/>
          <w:sz w:val="24"/>
          <w:szCs w:val="24"/>
        </w:rPr>
        <w:t xml:space="preserve"> </w:t>
      </w:r>
    </w:p>
    <w:p w14:paraId="427BAD7C">
      <w:pPr>
        <w:spacing w:after="123" w:line="265" w:lineRule="auto"/>
        <w:ind w:left="417" w:right="103" w:hanging="10"/>
        <w:rPr>
          <w:rFonts w:ascii="宋体" w:hAnsi="宋体" w:eastAsia="宋体"/>
          <w:color w:val="auto"/>
          <w:sz w:val="24"/>
          <w:szCs w:val="24"/>
        </w:rPr>
      </w:pPr>
      <w:r>
        <w:rPr>
          <w:rFonts w:ascii="宋体" w:hAnsi="宋体" w:eastAsia="宋体"/>
          <w:color w:val="auto"/>
          <w:sz w:val="24"/>
          <w:szCs w:val="24"/>
        </w:rPr>
        <w:t xml:space="preserve">1.3.1 </w:t>
      </w:r>
      <w:r>
        <w:rPr>
          <w:rFonts w:hint="eastAsia" w:ascii="宋体" w:hAnsi="宋体" w:eastAsia="宋体" w:cs="宋体"/>
          <w:color w:val="auto"/>
          <w:sz w:val="24"/>
          <w:szCs w:val="24"/>
        </w:rPr>
        <w:t>招标范围：见投标人须知前附表。</w:t>
      </w:r>
      <w:r>
        <w:rPr>
          <w:rFonts w:ascii="宋体" w:hAnsi="宋体" w:eastAsia="宋体"/>
          <w:color w:val="auto"/>
          <w:sz w:val="24"/>
          <w:szCs w:val="24"/>
        </w:rPr>
        <w:t xml:space="preserve"> </w:t>
      </w:r>
    </w:p>
    <w:p w14:paraId="276AA10D">
      <w:pPr>
        <w:spacing w:after="123" w:line="265" w:lineRule="auto"/>
        <w:ind w:left="417" w:right="103" w:hanging="10"/>
        <w:rPr>
          <w:rFonts w:ascii="宋体" w:hAnsi="宋体" w:eastAsia="宋体"/>
          <w:color w:val="auto"/>
          <w:sz w:val="24"/>
          <w:szCs w:val="24"/>
        </w:rPr>
      </w:pPr>
      <w:r>
        <w:rPr>
          <w:rFonts w:ascii="宋体" w:hAnsi="宋体" w:eastAsia="宋体"/>
          <w:color w:val="auto"/>
          <w:sz w:val="24"/>
          <w:szCs w:val="24"/>
        </w:rPr>
        <w:t xml:space="preserve">1.3.2 </w:t>
      </w:r>
      <w:r>
        <w:rPr>
          <w:rFonts w:hint="eastAsia" w:ascii="宋体" w:hAnsi="宋体" w:eastAsia="宋体"/>
          <w:color w:val="auto"/>
          <w:sz w:val="24"/>
          <w:szCs w:val="24"/>
        </w:rPr>
        <w:t>勘察服务工期</w:t>
      </w:r>
      <w:r>
        <w:rPr>
          <w:rFonts w:hint="eastAsia" w:ascii="宋体" w:hAnsi="宋体" w:eastAsia="宋体" w:cs="宋体"/>
          <w:color w:val="auto"/>
          <w:sz w:val="24"/>
          <w:szCs w:val="24"/>
        </w:rPr>
        <w:t>：见投标人须知前附表。</w:t>
      </w:r>
      <w:r>
        <w:rPr>
          <w:rFonts w:ascii="宋体" w:hAnsi="宋体" w:eastAsia="宋体"/>
          <w:color w:val="auto"/>
          <w:sz w:val="24"/>
          <w:szCs w:val="24"/>
        </w:rPr>
        <w:t xml:space="preserve"> </w:t>
      </w:r>
    </w:p>
    <w:p w14:paraId="48EED535">
      <w:pPr>
        <w:spacing w:after="341" w:line="265" w:lineRule="auto"/>
        <w:ind w:left="417" w:right="103" w:hanging="10"/>
        <w:rPr>
          <w:rFonts w:ascii="宋体" w:hAnsi="宋体" w:eastAsia="宋体"/>
          <w:color w:val="auto"/>
          <w:sz w:val="24"/>
          <w:szCs w:val="24"/>
        </w:rPr>
      </w:pPr>
      <w:r>
        <w:rPr>
          <w:rFonts w:ascii="宋体" w:hAnsi="宋体" w:eastAsia="宋体"/>
          <w:color w:val="auto"/>
          <w:sz w:val="24"/>
          <w:szCs w:val="24"/>
        </w:rPr>
        <w:t xml:space="preserve">1.3.3 </w:t>
      </w:r>
      <w:r>
        <w:rPr>
          <w:rFonts w:hint="eastAsia" w:ascii="宋体" w:hAnsi="宋体" w:eastAsia="宋体" w:cs="宋体"/>
          <w:color w:val="auto"/>
          <w:sz w:val="24"/>
          <w:szCs w:val="24"/>
        </w:rPr>
        <w:t>质量标准：见投标人须知前附表。</w:t>
      </w:r>
      <w:r>
        <w:rPr>
          <w:rFonts w:ascii="宋体" w:hAnsi="宋体" w:eastAsia="宋体"/>
          <w:color w:val="auto"/>
          <w:sz w:val="24"/>
          <w:szCs w:val="24"/>
        </w:rPr>
        <w:t xml:space="preserve"> </w:t>
      </w:r>
    </w:p>
    <w:p w14:paraId="518C91FD">
      <w:pPr>
        <w:pStyle w:val="5"/>
        <w:spacing w:after="292"/>
        <w:ind w:left="132" w:right="0"/>
        <w:rPr>
          <w:rFonts w:ascii="宋体" w:hAnsi="宋体" w:eastAsia="宋体"/>
          <w:color w:val="auto"/>
          <w:sz w:val="24"/>
          <w:szCs w:val="24"/>
        </w:rPr>
      </w:pPr>
      <w:bookmarkStart w:id="25" w:name="_Toc508382098"/>
      <w:bookmarkStart w:id="26" w:name="_Toc190785383"/>
      <w:bookmarkStart w:id="27" w:name="_Toc190785899"/>
      <w:bookmarkStart w:id="28" w:name="_Toc508788615"/>
      <w:bookmarkStart w:id="29" w:name="_Toc190785803"/>
      <w:r>
        <w:rPr>
          <w:rFonts w:ascii="宋体" w:hAnsi="宋体" w:eastAsia="宋体"/>
          <w:color w:val="auto"/>
          <w:sz w:val="24"/>
          <w:szCs w:val="24"/>
        </w:rPr>
        <w:t xml:space="preserve">1.4 </w:t>
      </w:r>
      <w:r>
        <w:rPr>
          <w:rFonts w:hint="eastAsia" w:ascii="宋体" w:hAnsi="宋体" w:eastAsia="宋体"/>
          <w:color w:val="auto"/>
          <w:sz w:val="24"/>
          <w:szCs w:val="24"/>
        </w:rPr>
        <w:t>投标人资格要求</w:t>
      </w:r>
      <w:bookmarkEnd w:id="25"/>
      <w:bookmarkEnd w:id="26"/>
      <w:bookmarkEnd w:id="27"/>
      <w:bookmarkEnd w:id="28"/>
      <w:bookmarkEnd w:id="29"/>
      <w:r>
        <w:rPr>
          <w:rFonts w:ascii="宋体" w:hAnsi="宋体" w:eastAsia="宋体"/>
          <w:color w:val="auto"/>
          <w:sz w:val="24"/>
          <w:szCs w:val="24"/>
        </w:rPr>
        <w:t xml:space="preserve"> </w:t>
      </w:r>
    </w:p>
    <w:p w14:paraId="18C6E46B">
      <w:pPr>
        <w:spacing w:after="123" w:line="265" w:lineRule="auto"/>
        <w:ind w:left="417" w:right="103" w:hanging="10"/>
        <w:rPr>
          <w:rFonts w:ascii="宋体" w:hAnsi="宋体" w:eastAsia="宋体"/>
          <w:color w:val="auto"/>
          <w:sz w:val="24"/>
          <w:szCs w:val="24"/>
        </w:rPr>
      </w:pPr>
      <w:r>
        <w:rPr>
          <w:rFonts w:ascii="宋体" w:hAnsi="宋体" w:eastAsia="宋体"/>
          <w:color w:val="auto"/>
          <w:sz w:val="24"/>
          <w:szCs w:val="24"/>
        </w:rPr>
        <w:t xml:space="preserve">1.4.1 </w:t>
      </w:r>
      <w:r>
        <w:rPr>
          <w:rFonts w:hint="eastAsia" w:ascii="宋体" w:hAnsi="宋体" w:eastAsia="宋体" w:cs="宋体"/>
          <w:color w:val="auto"/>
          <w:sz w:val="24"/>
          <w:szCs w:val="24"/>
        </w:rPr>
        <w:t>投标人应具备承担本招标项目资质条件、能力和信誉：</w:t>
      </w:r>
      <w:r>
        <w:rPr>
          <w:rFonts w:ascii="宋体" w:hAnsi="宋体" w:eastAsia="宋体"/>
          <w:color w:val="auto"/>
          <w:sz w:val="24"/>
          <w:szCs w:val="24"/>
        </w:rPr>
        <w:t xml:space="preserve"> </w:t>
      </w:r>
    </w:p>
    <w:p w14:paraId="4EF91A68">
      <w:pPr>
        <w:numPr>
          <w:ilvl w:val="0"/>
          <w:numId w:val="2"/>
        </w:numPr>
        <w:spacing w:after="123" w:line="265" w:lineRule="auto"/>
        <w:ind w:right="103" w:firstLine="314"/>
        <w:rPr>
          <w:rFonts w:ascii="宋体" w:hAnsi="宋体" w:eastAsia="宋体"/>
          <w:color w:val="auto"/>
          <w:sz w:val="24"/>
          <w:szCs w:val="24"/>
        </w:rPr>
      </w:pPr>
      <w:r>
        <w:rPr>
          <w:rFonts w:hint="eastAsia" w:ascii="宋体" w:hAnsi="宋体" w:eastAsia="宋体" w:cs="宋体"/>
          <w:color w:val="auto"/>
          <w:sz w:val="24"/>
          <w:szCs w:val="24"/>
        </w:rPr>
        <w:t>资质要求：见投标人须知前附表；</w:t>
      </w:r>
      <w:r>
        <w:rPr>
          <w:rFonts w:ascii="宋体" w:hAnsi="宋体" w:eastAsia="宋体"/>
          <w:color w:val="auto"/>
          <w:sz w:val="24"/>
          <w:szCs w:val="24"/>
        </w:rPr>
        <w:t xml:space="preserve"> </w:t>
      </w:r>
    </w:p>
    <w:p w14:paraId="1E472327">
      <w:pPr>
        <w:numPr>
          <w:ilvl w:val="0"/>
          <w:numId w:val="2"/>
        </w:numPr>
        <w:spacing w:after="123" w:line="265" w:lineRule="auto"/>
        <w:ind w:right="103" w:firstLine="314"/>
        <w:rPr>
          <w:rFonts w:ascii="宋体" w:hAnsi="宋体" w:eastAsia="宋体"/>
          <w:strike/>
          <w:color w:val="auto"/>
          <w:sz w:val="24"/>
          <w:szCs w:val="24"/>
        </w:rPr>
      </w:pPr>
      <w:r>
        <w:rPr>
          <w:rFonts w:hint="eastAsia" w:ascii="宋体" w:hAnsi="宋体" w:eastAsia="宋体" w:cs="宋体"/>
          <w:strike/>
          <w:color w:val="auto"/>
          <w:sz w:val="24"/>
          <w:szCs w:val="24"/>
        </w:rPr>
        <w:t>财务要求：见投标人须知前附表；</w:t>
      </w:r>
      <w:r>
        <w:rPr>
          <w:rFonts w:ascii="宋体" w:hAnsi="宋体" w:eastAsia="宋体"/>
          <w:strike/>
          <w:color w:val="auto"/>
          <w:sz w:val="24"/>
          <w:szCs w:val="24"/>
        </w:rPr>
        <w:t xml:space="preserve"> </w:t>
      </w:r>
    </w:p>
    <w:p w14:paraId="3737A1A6">
      <w:pPr>
        <w:numPr>
          <w:ilvl w:val="0"/>
          <w:numId w:val="2"/>
        </w:numPr>
        <w:spacing w:after="123" w:line="265" w:lineRule="auto"/>
        <w:ind w:right="103" w:firstLine="314"/>
        <w:rPr>
          <w:rFonts w:ascii="宋体" w:hAnsi="宋体" w:eastAsia="宋体"/>
          <w:color w:val="auto"/>
          <w:sz w:val="24"/>
          <w:szCs w:val="24"/>
        </w:rPr>
      </w:pPr>
      <w:r>
        <w:rPr>
          <w:rFonts w:hint="eastAsia" w:ascii="宋体" w:hAnsi="宋体" w:eastAsia="宋体" w:cs="宋体"/>
          <w:strike/>
          <w:color w:val="auto"/>
          <w:sz w:val="24"/>
          <w:szCs w:val="24"/>
        </w:rPr>
        <w:t>业绩要求：见投标人须知前附表；</w:t>
      </w:r>
      <w:r>
        <w:rPr>
          <w:rFonts w:ascii="宋体" w:hAnsi="宋体" w:eastAsia="宋体"/>
          <w:color w:val="auto"/>
          <w:sz w:val="24"/>
          <w:szCs w:val="24"/>
        </w:rPr>
        <w:t xml:space="preserve"> </w:t>
      </w:r>
    </w:p>
    <w:p w14:paraId="4A3D8FEA">
      <w:pPr>
        <w:numPr>
          <w:ilvl w:val="0"/>
          <w:numId w:val="2"/>
        </w:numPr>
        <w:spacing w:after="123" w:line="265" w:lineRule="auto"/>
        <w:ind w:right="103" w:firstLine="314"/>
        <w:rPr>
          <w:rFonts w:ascii="宋体" w:hAnsi="宋体" w:eastAsia="宋体"/>
          <w:color w:val="auto"/>
          <w:sz w:val="24"/>
          <w:szCs w:val="24"/>
        </w:rPr>
      </w:pPr>
      <w:r>
        <w:rPr>
          <w:rFonts w:hint="eastAsia" w:ascii="宋体" w:hAnsi="宋体" w:eastAsia="宋体" w:cs="宋体"/>
          <w:color w:val="auto"/>
          <w:sz w:val="24"/>
          <w:szCs w:val="24"/>
        </w:rPr>
        <w:t>信誉要求：见投标人须知前附表；</w:t>
      </w:r>
      <w:r>
        <w:rPr>
          <w:rFonts w:ascii="宋体" w:hAnsi="宋体" w:eastAsia="宋体"/>
          <w:color w:val="auto"/>
          <w:sz w:val="24"/>
          <w:szCs w:val="24"/>
        </w:rPr>
        <w:t xml:space="preserve"> </w:t>
      </w:r>
    </w:p>
    <w:p w14:paraId="7CE1089A">
      <w:pPr>
        <w:numPr>
          <w:ilvl w:val="0"/>
          <w:numId w:val="2"/>
        </w:numPr>
        <w:spacing w:after="123" w:line="265" w:lineRule="auto"/>
        <w:ind w:right="103" w:firstLine="314"/>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项目负责人的资格要求：见投标人须知前附表； </w:t>
      </w:r>
    </w:p>
    <w:p w14:paraId="2B6B9B4F">
      <w:pPr>
        <w:numPr>
          <w:ilvl w:val="0"/>
          <w:numId w:val="2"/>
        </w:numPr>
        <w:spacing w:after="123" w:line="265" w:lineRule="auto"/>
        <w:ind w:right="103" w:firstLine="314"/>
        <w:rPr>
          <w:rFonts w:hint="eastAsia" w:ascii="宋体" w:hAnsi="宋体" w:eastAsia="宋体" w:cs="宋体"/>
          <w:strike/>
          <w:color w:val="auto"/>
          <w:sz w:val="24"/>
          <w:szCs w:val="24"/>
        </w:rPr>
      </w:pPr>
      <w:r>
        <w:rPr>
          <w:rFonts w:hint="eastAsia" w:ascii="宋体" w:hAnsi="宋体" w:eastAsia="宋体" w:cs="宋体"/>
          <w:strike/>
          <w:color w:val="auto"/>
          <w:sz w:val="24"/>
          <w:szCs w:val="24"/>
        </w:rPr>
        <w:t xml:space="preserve">其他主要人员要求：见投标人须知前附表。 </w:t>
      </w:r>
    </w:p>
    <w:p w14:paraId="2F8E2EA2">
      <w:pPr>
        <w:numPr>
          <w:ilvl w:val="0"/>
          <w:numId w:val="2"/>
        </w:numPr>
        <w:spacing w:after="123" w:line="265" w:lineRule="auto"/>
        <w:ind w:right="103" w:firstLine="314"/>
        <w:rPr>
          <w:rFonts w:hint="eastAsia" w:ascii="宋体" w:hAnsi="宋体" w:eastAsia="宋体" w:cs="宋体"/>
          <w:color w:val="auto"/>
          <w:sz w:val="24"/>
          <w:szCs w:val="24"/>
        </w:rPr>
      </w:pPr>
      <w:r>
        <w:rPr>
          <w:rFonts w:hint="eastAsia" w:ascii="宋体" w:hAnsi="宋体" w:eastAsia="宋体" w:cs="宋体"/>
          <w:strike/>
          <w:color w:val="auto"/>
          <w:sz w:val="24"/>
          <w:szCs w:val="24"/>
        </w:rPr>
        <w:t>试验检测仪器设备要求：见投标人须知前附表。</w:t>
      </w:r>
      <w:r>
        <w:rPr>
          <w:rFonts w:hint="eastAsia" w:ascii="宋体" w:hAnsi="宋体" w:eastAsia="宋体" w:cs="宋体"/>
          <w:color w:val="auto"/>
          <w:sz w:val="24"/>
          <w:szCs w:val="24"/>
        </w:rPr>
        <w:t xml:space="preserve"> </w:t>
      </w:r>
    </w:p>
    <w:p w14:paraId="31EEF8C1">
      <w:pPr>
        <w:numPr>
          <w:ilvl w:val="0"/>
          <w:numId w:val="2"/>
        </w:numPr>
        <w:spacing w:after="123" w:line="265" w:lineRule="auto"/>
        <w:ind w:right="103" w:firstLine="314"/>
        <w:rPr>
          <w:rFonts w:ascii="宋体" w:hAnsi="宋体" w:eastAsia="宋体"/>
          <w:color w:val="auto"/>
          <w:sz w:val="24"/>
          <w:szCs w:val="24"/>
        </w:rPr>
      </w:pPr>
      <w:r>
        <w:rPr>
          <w:rFonts w:hint="eastAsia" w:ascii="宋体" w:hAnsi="宋体" w:eastAsia="宋体" w:cs="宋体"/>
          <w:color w:val="auto"/>
          <w:sz w:val="24"/>
          <w:szCs w:val="24"/>
        </w:rPr>
        <w:t>其他要求：见投标人须知前附表。</w:t>
      </w:r>
      <w:r>
        <w:rPr>
          <w:rFonts w:ascii="宋体" w:hAnsi="宋体" w:eastAsia="宋体"/>
          <w:color w:val="auto"/>
          <w:sz w:val="24"/>
          <w:szCs w:val="24"/>
        </w:rPr>
        <w:t xml:space="preserve"> </w:t>
      </w:r>
    </w:p>
    <w:p w14:paraId="25E8359F">
      <w:pPr>
        <w:spacing w:after="123" w:line="265" w:lineRule="auto"/>
        <w:ind w:left="417" w:right="103" w:hanging="10"/>
        <w:rPr>
          <w:rFonts w:ascii="宋体" w:hAnsi="宋体" w:eastAsia="宋体"/>
          <w:color w:val="auto"/>
          <w:sz w:val="24"/>
          <w:szCs w:val="24"/>
        </w:rPr>
      </w:pPr>
      <w:r>
        <w:rPr>
          <w:rFonts w:hint="eastAsia" w:ascii="宋体" w:hAnsi="宋体" w:eastAsia="宋体" w:cs="宋体"/>
          <w:color w:val="auto"/>
          <w:sz w:val="24"/>
          <w:szCs w:val="24"/>
        </w:rPr>
        <w:t>需要提交的相关证明材料见本章第</w:t>
      </w:r>
      <w:r>
        <w:rPr>
          <w:rFonts w:ascii="宋体" w:hAnsi="宋体" w:eastAsia="宋体" w:cs="宋体"/>
          <w:color w:val="auto"/>
          <w:sz w:val="24"/>
          <w:szCs w:val="24"/>
        </w:rPr>
        <w:t xml:space="preserve"> </w:t>
      </w:r>
      <w:r>
        <w:rPr>
          <w:rFonts w:ascii="宋体" w:hAnsi="宋体" w:eastAsia="宋体"/>
          <w:color w:val="auto"/>
          <w:sz w:val="24"/>
          <w:szCs w:val="24"/>
        </w:rPr>
        <w:t xml:space="preserve">3.5 </w:t>
      </w:r>
      <w:r>
        <w:rPr>
          <w:rFonts w:hint="eastAsia" w:ascii="宋体" w:hAnsi="宋体" w:eastAsia="宋体" w:cs="宋体"/>
          <w:color w:val="auto"/>
          <w:sz w:val="24"/>
          <w:szCs w:val="24"/>
        </w:rPr>
        <w:t>款的规定。</w:t>
      </w:r>
      <w:r>
        <w:rPr>
          <w:rFonts w:ascii="宋体" w:hAnsi="宋体" w:eastAsia="宋体"/>
          <w:color w:val="auto"/>
          <w:sz w:val="24"/>
          <w:szCs w:val="24"/>
        </w:rPr>
        <w:t xml:space="preserve"> </w:t>
      </w:r>
    </w:p>
    <w:p w14:paraId="6892C86D">
      <w:pPr>
        <w:spacing w:after="0" w:line="371" w:lineRule="auto"/>
        <w:ind w:right="103" w:firstLine="420"/>
        <w:rPr>
          <w:rFonts w:ascii="宋体" w:hAnsi="宋体" w:eastAsia="宋体"/>
          <w:color w:val="auto"/>
          <w:sz w:val="24"/>
          <w:szCs w:val="24"/>
        </w:rPr>
      </w:pPr>
      <w:r>
        <w:rPr>
          <w:rFonts w:ascii="宋体" w:hAnsi="宋体" w:eastAsia="宋体"/>
          <w:color w:val="auto"/>
          <w:sz w:val="24"/>
          <w:szCs w:val="24"/>
        </w:rPr>
        <w:t xml:space="preserve">1.4.2 </w:t>
      </w:r>
      <w:r>
        <w:rPr>
          <w:rFonts w:hint="eastAsia" w:ascii="宋体" w:hAnsi="宋体" w:eastAsia="宋体" w:cs="宋体"/>
          <w:color w:val="auto"/>
          <w:sz w:val="24"/>
          <w:szCs w:val="24"/>
        </w:rPr>
        <w:t>投标人须知前附表规定接受联合体投标的，联合体除应符合本章第</w:t>
      </w:r>
      <w:r>
        <w:rPr>
          <w:rFonts w:ascii="宋体" w:hAnsi="宋体" w:eastAsia="宋体" w:cs="宋体"/>
          <w:color w:val="auto"/>
          <w:sz w:val="24"/>
          <w:szCs w:val="24"/>
        </w:rPr>
        <w:t xml:space="preserve"> </w:t>
      </w:r>
      <w:r>
        <w:rPr>
          <w:rFonts w:ascii="宋体" w:hAnsi="宋体" w:eastAsia="宋体"/>
          <w:color w:val="auto"/>
          <w:sz w:val="24"/>
          <w:szCs w:val="24"/>
        </w:rPr>
        <w:t xml:space="preserve">1.4.1 </w:t>
      </w:r>
      <w:r>
        <w:rPr>
          <w:rFonts w:hint="eastAsia" w:ascii="宋体" w:hAnsi="宋体" w:eastAsia="宋体" w:cs="宋体"/>
          <w:color w:val="auto"/>
          <w:sz w:val="24"/>
          <w:szCs w:val="24"/>
        </w:rPr>
        <w:t>项和投标人须知前附表的要求外，还应遵守以下规定：</w:t>
      </w:r>
      <w:r>
        <w:rPr>
          <w:rFonts w:ascii="宋体" w:hAnsi="宋体" w:eastAsia="宋体"/>
          <w:color w:val="auto"/>
          <w:sz w:val="24"/>
          <w:szCs w:val="24"/>
        </w:rPr>
        <w:t xml:space="preserve"> </w:t>
      </w:r>
    </w:p>
    <w:p w14:paraId="634843E6">
      <w:pPr>
        <w:numPr>
          <w:ilvl w:val="0"/>
          <w:numId w:val="3"/>
        </w:numPr>
        <w:spacing w:after="0" w:line="370" w:lineRule="auto"/>
        <w:ind w:right="103" w:firstLine="314"/>
        <w:rPr>
          <w:rFonts w:ascii="宋体" w:hAnsi="宋体" w:eastAsia="宋体"/>
          <w:color w:val="auto"/>
          <w:sz w:val="24"/>
          <w:szCs w:val="24"/>
        </w:rPr>
      </w:pPr>
      <w:r>
        <w:rPr>
          <w:rFonts w:hint="eastAsia" w:ascii="宋体" w:hAnsi="宋体" w:eastAsia="宋体" w:cs="宋体"/>
          <w:color w:val="auto"/>
          <w:sz w:val="24"/>
          <w:szCs w:val="24"/>
        </w:rPr>
        <w:t>联合体各方应按招标文件提供的格式签订联合体协议书，明确联合体牵头人和各方权利义务，并承诺就中标项目向招标人承担连带责任；</w:t>
      </w:r>
      <w:r>
        <w:rPr>
          <w:rFonts w:ascii="宋体" w:hAnsi="宋体" w:eastAsia="宋体"/>
          <w:color w:val="auto"/>
          <w:sz w:val="24"/>
          <w:szCs w:val="24"/>
        </w:rPr>
        <w:t xml:space="preserve"> </w:t>
      </w:r>
    </w:p>
    <w:p w14:paraId="5DCD97BC">
      <w:pPr>
        <w:numPr>
          <w:ilvl w:val="0"/>
          <w:numId w:val="3"/>
        </w:numPr>
        <w:spacing w:after="123" w:line="265" w:lineRule="auto"/>
        <w:ind w:right="103" w:firstLine="314"/>
        <w:rPr>
          <w:rFonts w:ascii="宋体" w:hAnsi="宋体" w:eastAsia="宋体"/>
          <w:color w:val="auto"/>
          <w:sz w:val="24"/>
          <w:szCs w:val="24"/>
        </w:rPr>
      </w:pPr>
      <w:r>
        <w:rPr>
          <w:rFonts w:hint="eastAsia" w:ascii="宋体" w:hAnsi="宋体" w:eastAsia="宋体" w:cs="宋体"/>
          <w:color w:val="auto"/>
          <w:sz w:val="24"/>
          <w:szCs w:val="24"/>
        </w:rPr>
        <w:t>由同一专业的单位组成的联合体，按照资质等级较低的单位确定资质等级；</w:t>
      </w:r>
      <w:r>
        <w:rPr>
          <w:rFonts w:ascii="宋体" w:hAnsi="宋体" w:eastAsia="宋体"/>
          <w:color w:val="auto"/>
          <w:sz w:val="24"/>
          <w:szCs w:val="24"/>
        </w:rPr>
        <w:t xml:space="preserve"> </w:t>
      </w:r>
    </w:p>
    <w:p w14:paraId="4991EE73">
      <w:pPr>
        <w:numPr>
          <w:ilvl w:val="0"/>
          <w:numId w:val="3"/>
        </w:numPr>
        <w:spacing w:after="0" w:line="369" w:lineRule="auto"/>
        <w:ind w:right="103" w:firstLine="314"/>
        <w:rPr>
          <w:rFonts w:ascii="宋体" w:hAnsi="宋体" w:eastAsia="宋体"/>
          <w:color w:val="auto"/>
          <w:sz w:val="24"/>
          <w:szCs w:val="24"/>
        </w:rPr>
      </w:pPr>
      <w:r>
        <w:rPr>
          <w:rFonts w:hint="eastAsia" w:ascii="宋体" w:hAnsi="宋体" w:eastAsia="宋体" w:cs="宋体"/>
          <w:color w:val="auto"/>
          <w:sz w:val="24"/>
          <w:szCs w:val="24"/>
        </w:rPr>
        <w:t>联合体各方不得再以自己名义单独或参加其他联合体在本招标项目中投标，否则各相关投标均无效。</w:t>
      </w:r>
      <w:r>
        <w:rPr>
          <w:rFonts w:ascii="宋体" w:hAnsi="宋体" w:eastAsia="宋体"/>
          <w:color w:val="auto"/>
          <w:sz w:val="24"/>
          <w:szCs w:val="24"/>
        </w:rPr>
        <w:t xml:space="preserve"> </w:t>
      </w:r>
    </w:p>
    <w:p w14:paraId="3B77A82F">
      <w:pPr>
        <w:spacing w:after="123" w:line="265" w:lineRule="auto"/>
        <w:ind w:left="417" w:right="103" w:hanging="10"/>
        <w:rPr>
          <w:rFonts w:ascii="宋体" w:hAnsi="宋体" w:eastAsia="宋体"/>
          <w:color w:val="auto"/>
          <w:sz w:val="24"/>
          <w:szCs w:val="24"/>
        </w:rPr>
      </w:pPr>
      <w:r>
        <w:rPr>
          <w:rFonts w:ascii="宋体" w:hAnsi="宋体" w:eastAsia="宋体"/>
          <w:color w:val="auto"/>
          <w:sz w:val="24"/>
          <w:szCs w:val="24"/>
        </w:rPr>
        <w:t xml:space="preserve">1.4.3 </w:t>
      </w:r>
      <w:r>
        <w:rPr>
          <w:rFonts w:hint="eastAsia" w:ascii="宋体" w:hAnsi="宋体" w:eastAsia="宋体" w:cs="宋体"/>
          <w:color w:val="auto"/>
          <w:sz w:val="24"/>
          <w:szCs w:val="24"/>
        </w:rPr>
        <w:t>投标人不得存在下列情形之一：</w:t>
      </w:r>
      <w:r>
        <w:rPr>
          <w:rFonts w:ascii="宋体" w:hAnsi="宋体" w:eastAsia="宋体"/>
          <w:color w:val="auto"/>
          <w:sz w:val="24"/>
          <w:szCs w:val="24"/>
        </w:rPr>
        <w:t xml:space="preserve"> </w:t>
      </w:r>
    </w:p>
    <w:p w14:paraId="09A42D97">
      <w:pPr>
        <w:spacing w:after="123" w:line="265" w:lineRule="auto"/>
        <w:ind w:left="417" w:right="103" w:hanging="10"/>
        <w:rPr>
          <w:rFonts w:hint="eastAsia" w:ascii="宋体" w:hAnsi="宋体" w:eastAsia="宋体" w:cs="宋体"/>
          <w:color w:val="auto"/>
          <w:sz w:val="24"/>
          <w:szCs w:val="24"/>
          <w:u w:val="none" w:color="000000"/>
        </w:rPr>
      </w:pPr>
      <w:r>
        <w:rPr>
          <w:rFonts w:hint="eastAsia" w:ascii="宋体" w:hAnsi="宋体" w:eastAsia="宋体" w:cs="宋体"/>
          <w:color w:val="auto"/>
          <w:sz w:val="24"/>
          <w:szCs w:val="24"/>
          <w:u w:val="none" w:color="000000"/>
        </w:rPr>
        <w:t>（1）为招标人不具有独立法人资格的附属机构（单位）；</w:t>
      </w:r>
    </w:p>
    <w:p w14:paraId="492B8F77">
      <w:pPr>
        <w:spacing w:after="123" w:line="265" w:lineRule="auto"/>
        <w:ind w:left="417" w:right="103" w:hanging="10"/>
        <w:rPr>
          <w:rFonts w:hint="eastAsia" w:ascii="宋体" w:hAnsi="宋体" w:eastAsia="宋体" w:cs="宋体"/>
          <w:color w:val="auto"/>
          <w:sz w:val="24"/>
          <w:szCs w:val="24"/>
          <w:u w:val="none" w:color="000000"/>
        </w:rPr>
      </w:pPr>
      <w:r>
        <w:rPr>
          <w:rFonts w:hint="eastAsia" w:ascii="宋体" w:hAnsi="宋体" w:eastAsia="宋体" w:cs="宋体"/>
          <w:color w:val="auto"/>
          <w:sz w:val="24"/>
          <w:szCs w:val="24"/>
          <w:u w:val="none" w:color="000000"/>
        </w:rPr>
        <w:t>（2）与招标人存在利害关系且可能影响招标公正性；</w:t>
      </w:r>
    </w:p>
    <w:p w14:paraId="245FD94D">
      <w:pPr>
        <w:spacing w:after="123" w:line="265" w:lineRule="auto"/>
        <w:ind w:left="417" w:right="103" w:hanging="10"/>
        <w:rPr>
          <w:rFonts w:hint="eastAsia" w:ascii="宋体" w:hAnsi="宋体" w:eastAsia="宋体" w:cs="宋体"/>
          <w:color w:val="auto"/>
          <w:sz w:val="24"/>
          <w:szCs w:val="24"/>
          <w:u w:val="none" w:color="000000"/>
        </w:rPr>
      </w:pPr>
      <w:r>
        <w:rPr>
          <w:rFonts w:hint="eastAsia" w:ascii="宋体" w:hAnsi="宋体" w:eastAsia="宋体" w:cs="宋体"/>
          <w:color w:val="auto"/>
          <w:sz w:val="24"/>
          <w:szCs w:val="24"/>
          <w:u w:val="none" w:color="000000"/>
        </w:rPr>
        <w:t>（3）与本招标项目的其他投标人为同一个单位负责人；</w:t>
      </w:r>
    </w:p>
    <w:p w14:paraId="60EEA594">
      <w:pPr>
        <w:spacing w:after="123" w:line="265" w:lineRule="auto"/>
        <w:ind w:left="417" w:right="103" w:hanging="10"/>
        <w:rPr>
          <w:rFonts w:hint="eastAsia" w:ascii="宋体" w:hAnsi="宋体" w:eastAsia="宋体" w:cs="宋体"/>
          <w:color w:val="auto"/>
          <w:sz w:val="24"/>
          <w:szCs w:val="24"/>
          <w:u w:val="none" w:color="000000"/>
        </w:rPr>
      </w:pPr>
      <w:r>
        <w:rPr>
          <w:rFonts w:hint="eastAsia" w:ascii="宋体" w:hAnsi="宋体" w:eastAsia="宋体" w:cs="宋体"/>
          <w:color w:val="auto"/>
          <w:sz w:val="24"/>
          <w:szCs w:val="24"/>
          <w:u w:val="none" w:color="000000"/>
        </w:rPr>
        <w:t>（4）与本招标项目的其他投标人存在控股、管理关系；</w:t>
      </w:r>
    </w:p>
    <w:p w14:paraId="3DC06C58">
      <w:pPr>
        <w:spacing w:after="123" w:line="265" w:lineRule="auto"/>
        <w:ind w:left="417" w:right="103" w:hanging="10"/>
        <w:rPr>
          <w:rFonts w:hint="eastAsia" w:ascii="宋体" w:hAnsi="宋体" w:eastAsia="宋体" w:cs="宋体"/>
          <w:color w:val="auto"/>
          <w:sz w:val="24"/>
          <w:szCs w:val="24"/>
          <w:u w:val="none" w:color="000000"/>
        </w:rPr>
      </w:pPr>
      <w:r>
        <w:rPr>
          <w:rFonts w:hint="eastAsia" w:ascii="宋体" w:hAnsi="宋体" w:eastAsia="宋体" w:cs="宋体"/>
          <w:color w:val="auto"/>
          <w:sz w:val="24"/>
          <w:szCs w:val="24"/>
          <w:u w:val="none" w:color="000000"/>
        </w:rPr>
        <w:t>（5）为本招标项目的代建人；</w:t>
      </w:r>
    </w:p>
    <w:p w14:paraId="4FFCE3F2">
      <w:pPr>
        <w:spacing w:after="123" w:line="265" w:lineRule="auto"/>
        <w:ind w:left="417" w:right="103" w:hanging="10"/>
        <w:rPr>
          <w:rFonts w:hint="eastAsia" w:ascii="宋体" w:hAnsi="宋体" w:eastAsia="宋体" w:cs="宋体"/>
          <w:color w:val="auto"/>
          <w:sz w:val="24"/>
          <w:szCs w:val="24"/>
          <w:u w:val="none" w:color="000000"/>
        </w:rPr>
      </w:pPr>
      <w:r>
        <w:rPr>
          <w:rFonts w:hint="eastAsia" w:ascii="宋体" w:hAnsi="宋体" w:eastAsia="宋体" w:cs="宋体"/>
          <w:color w:val="auto"/>
          <w:sz w:val="24"/>
          <w:szCs w:val="24"/>
          <w:u w:val="none" w:color="000000"/>
        </w:rPr>
        <w:t>（6）为本招标项目的招标代理机构；</w:t>
      </w:r>
    </w:p>
    <w:p w14:paraId="231C2395">
      <w:pPr>
        <w:spacing w:after="123" w:line="360" w:lineRule="auto"/>
        <w:ind w:left="417" w:right="103" w:hanging="10"/>
        <w:rPr>
          <w:rFonts w:hint="eastAsia" w:ascii="宋体" w:hAnsi="宋体" w:eastAsia="宋体" w:cs="宋体"/>
          <w:color w:val="auto"/>
          <w:sz w:val="24"/>
          <w:szCs w:val="24"/>
          <w:u w:val="none" w:color="000000"/>
        </w:rPr>
      </w:pPr>
      <w:r>
        <w:rPr>
          <w:rFonts w:hint="eastAsia" w:ascii="宋体" w:hAnsi="宋体" w:eastAsia="宋体" w:cs="宋体"/>
          <w:color w:val="auto"/>
          <w:sz w:val="24"/>
          <w:szCs w:val="24"/>
          <w:u w:val="none" w:color="000000"/>
        </w:rPr>
        <w:t>（7）与本招标项目的代建人或招标代理机构同为一个法定代表人；</w:t>
      </w:r>
    </w:p>
    <w:p w14:paraId="0A707942">
      <w:pPr>
        <w:spacing w:after="123" w:line="360" w:lineRule="auto"/>
        <w:ind w:left="417" w:right="103" w:hanging="10"/>
        <w:rPr>
          <w:rFonts w:hint="eastAsia" w:ascii="宋体" w:hAnsi="宋体" w:eastAsia="宋体" w:cs="宋体"/>
          <w:color w:val="auto"/>
          <w:sz w:val="24"/>
          <w:szCs w:val="24"/>
          <w:u w:val="none" w:color="000000"/>
        </w:rPr>
      </w:pPr>
      <w:r>
        <w:rPr>
          <w:rFonts w:hint="eastAsia" w:ascii="宋体" w:hAnsi="宋体" w:eastAsia="宋体" w:cs="宋体"/>
          <w:color w:val="auto"/>
          <w:sz w:val="24"/>
          <w:szCs w:val="24"/>
          <w:u w:val="none" w:color="000000"/>
        </w:rPr>
        <w:t>（8）与本招标项目的代建人或招标代理机构存在控股或参股关系；</w:t>
      </w:r>
    </w:p>
    <w:p w14:paraId="4C1446E6">
      <w:pPr>
        <w:spacing w:after="123" w:line="360" w:lineRule="auto"/>
        <w:ind w:left="417" w:right="103" w:hanging="10"/>
        <w:rPr>
          <w:rFonts w:hint="eastAsia" w:ascii="宋体" w:hAnsi="宋体" w:eastAsia="宋体" w:cs="宋体"/>
          <w:color w:val="auto"/>
          <w:sz w:val="24"/>
          <w:szCs w:val="24"/>
          <w:u w:val="none" w:color="000000"/>
        </w:rPr>
      </w:pPr>
      <w:r>
        <w:rPr>
          <w:rFonts w:hint="eastAsia" w:ascii="宋体" w:hAnsi="宋体" w:eastAsia="宋体" w:cs="宋体"/>
          <w:color w:val="auto"/>
          <w:sz w:val="24"/>
          <w:szCs w:val="24"/>
          <w:u w:val="none" w:color="000000"/>
        </w:rPr>
        <w:t>（9）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10）被责令停产停业、暂扣或者吊销许可证、暂扣或者吊销执照（本项事实应当以根据《中华人民共和国行政处罚法》依法作出并已经生效的行政处罚决定为认定依据。）；</w:t>
      </w:r>
    </w:p>
    <w:p w14:paraId="63DA8035">
      <w:pPr>
        <w:spacing w:after="123" w:line="360" w:lineRule="auto"/>
        <w:ind w:left="417" w:right="103" w:hanging="10"/>
        <w:rPr>
          <w:rFonts w:hint="eastAsia" w:ascii="宋体" w:hAnsi="宋体" w:eastAsia="宋体" w:cs="宋体"/>
          <w:color w:val="auto"/>
          <w:sz w:val="24"/>
          <w:szCs w:val="24"/>
          <w:u w:val="none" w:color="000000"/>
        </w:rPr>
      </w:pPr>
      <w:r>
        <w:rPr>
          <w:rFonts w:hint="eastAsia" w:ascii="宋体" w:hAnsi="宋体" w:eastAsia="宋体" w:cs="宋体"/>
          <w:color w:val="auto"/>
          <w:sz w:val="24"/>
          <w:szCs w:val="24"/>
          <w:u w:val="none" w:color="000000"/>
        </w:rPr>
        <w:t>（11）进入清算程序，或被宣告破产，或其他丧失履约能力的情形；</w:t>
      </w:r>
    </w:p>
    <w:p w14:paraId="110AE0AE">
      <w:pPr>
        <w:spacing w:after="123" w:line="360" w:lineRule="auto"/>
        <w:ind w:left="417" w:right="103" w:hanging="10"/>
        <w:rPr>
          <w:rFonts w:hint="eastAsia" w:ascii="宋体" w:hAnsi="宋体" w:eastAsia="宋体" w:cs="宋体"/>
          <w:color w:val="auto"/>
          <w:sz w:val="24"/>
          <w:szCs w:val="24"/>
          <w:u w:val="none" w:color="000000"/>
        </w:rPr>
      </w:pPr>
      <w:r>
        <w:rPr>
          <w:rFonts w:hint="eastAsia" w:ascii="宋体" w:hAnsi="宋体" w:eastAsia="宋体" w:cs="宋体"/>
          <w:color w:val="auto"/>
          <w:sz w:val="24"/>
          <w:szCs w:val="24"/>
          <w:u w:val="none" w:color="000000"/>
        </w:rPr>
        <w:t>（12）在最近三年内有严重违约或发生重大设计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B5D7DAB">
      <w:pPr>
        <w:spacing w:after="123" w:line="360" w:lineRule="auto"/>
        <w:ind w:left="417" w:right="103" w:hanging="10"/>
        <w:rPr>
          <w:rFonts w:hint="eastAsia" w:ascii="宋体" w:hAnsi="宋体" w:eastAsia="宋体" w:cs="宋体"/>
          <w:color w:val="auto"/>
          <w:sz w:val="24"/>
          <w:szCs w:val="24"/>
          <w:u w:val="none" w:color="000000"/>
        </w:rPr>
      </w:pPr>
      <w:r>
        <w:rPr>
          <w:rFonts w:hint="eastAsia" w:ascii="宋体" w:hAnsi="宋体" w:eastAsia="宋体" w:cs="宋体"/>
          <w:color w:val="auto"/>
          <w:sz w:val="24"/>
          <w:szCs w:val="24"/>
          <w:u w:val="none" w:color="000000"/>
        </w:rPr>
        <w:t>（13）被人民法院列为失信被执行人或有其他失信行为（包括但不限于：在最近三年内有骗取中标或严重违约或重大工程质量问题的、法律规定的其他情形，下同），以本项目投标截止时在“信用中国”网站（www.creditchina.gov.cn）、“国家企业信用信息公示系统”（www.gsxt.gov.cn）查询为准（失信主体信息包括但不限于：失信被执行人、企业经营异常名录、重大税收违法案件当事人名单、列入严重违法失信企业名单（黑名单）等）。</w:t>
      </w:r>
    </w:p>
    <w:p w14:paraId="73BB6EFF">
      <w:pPr>
        <w:pStyle w:val="5"/>
        <w:tabs>
          <w:tab w:val="left" w:pos="5160"/>
        </w:tabs>
        <w:spacing w:after="282"/>
        <w:ind w:left="350" w:leftChars="159" w:right="0" w:firstLine="228" w:firstLineChars="95"/>
        <w:rPr>
          <w:rFonts w:hint="eastAsia" w:ascii="宋体" w:hAnsi="宋体" w:eastAsia="宋体" w:cs="宋体"/>
          <w:color w:val="auto"/>
          <w:sz w:val="24"/>
          <w:szCs w:val="24"/>
          <w:u w:val="none" w:color="000000"/>
        </w:rPr>
      </w:pPr>
      <w:bookmarkStart w:id="30" w:name="_Toc190785384"/>
      <w:bookmarkStart w:id="31" w:name="_Toc190785900"/>
      <w:bookmarkStart w:id="32" w:name="_Toc190785804"/>
      <w:r>
        <w:rPr>
          <w:rFonts w:hint="eastAsia" w:ascii="宋体" w:hAnsi="宋体" w:eastAsia="宋体" w:cs="宋体"/>
          <w:color w:val="auto"/>
          <w:sz w:val="24"/>
          <w:szCs w:val="24"/>
          <w:u w:val="none" w:color="000000"/>
        </w:rPr>
        <w:t>（14）法律法规规定的其他情形。</w:t>
      </w:r>
      <w:bookmarkEnd w:id="30"/>
      <w:bookmarkEnd w:id="31"/>
      <w:bookmarkEnd w:id="32"/>
    </w:p>
    <w:p w14:paraId="59C2B6B0">
      <w:pPr>
        <w:pStyle w:val="5"/>
        <w:tabs>
          <w:tab w:val="left" w:pos="5160"/>
        </w:tabs>
        <w:spacing w:after="282"/>
        <w:ind w:left="132" w:right="0"/>
        <w:rPr>
          <w:rFonts w:ascii="宋体" w:hAnsi="宋体" w:eastAsia="宋体"/>
          <w:color w:val="auto"/>
          <w:sz w:val="24"/>
          <w:szCs w:val="24"/>
        </w:rPr>
      </w:pPr>
      <w:bookmarkStart w:id="33" w:name="_Toc190785901"/>
      <w:bookmarkStart w:id="34" w:name="_Toc190785805"/>
      <w:bookmarkStart w:id="35" w:name="_Toc508788616"/>
      <w:bookmarkStart w:id="36" w:name="_Toc508382099"/>
      <w:bookmarkStart w:id="37" w:name="_Toc190785385"/>
      <w:r>
        <w:rPr>
          <w:rFonts w:ascii="宋体" w:hAnsi="宋体" w:eastAsia="宋体"/>
          <w:color w:val="auto"/>
          <w:sz w:val="24"/>
          <w:szCs w:val="24"/>
        </w:rPr>
        <w:t xml:space="preserve">1.5 </w:t>
      </w:r>
      <w:r>
        <w:rPr>
          <w:rFonts w:hint="eastAsia" w:ascii="宋体" w:hAnsi="宋体" w:eastAsia="宋体"/>
          <w:color w:val="auto"/>
          <w:sz w:val="24"/>
          <w:szCs w:val="24"/>
        </w:rPr>
        <w:t>费用承担</w:t>
      </w:r>
      <w:bookmarkEnd w:id="33"/>
      <w:bookmarkEnd w:id="34"/>
      <w:bookmarkEnd w:id="35"/>
      <w:bookmarkEnd w:id="36"/>
      <w:bookmarkEnd w:id="37"/>
      <w:r>
        <w:rPr>
          <w:rFonts w:ascii="宋体" w:hAnsi="宋体" w:eastAsia="宋体"/>
          <w:color w:val="auto"/>
          <w:sz w:val="24"/>
          <w:szCs w:val="24"/>
        </w:rPr>
        <w:t xml:space="preserve"> </w:t>
      </w:r>
      <w:r>
        <w:rPr>
          <w:rFonts w:ascii="宋体" w:hAnsi="宋体" w:eastAsia="宋体"/>
          <w:color w:val="auto"/>
          <w:sz w:val="24"/>
          <w:szCs w:val="24"/>
        </w:rPr>
        <w:tab/>
      </w:r>
    </w:p>
    <w:p w14:paraId="32F5532E">
      <w:pPr>
        <w:spacing w:after="338" w:line="265" w:lineRule="auto"/>
        <w:ind w:left="417" w:right="103" w:hanging="10"/>
        <w:rPr>
          <w:rFonts w:hint="eastAsia" w:ascii="宋体" w:hAnsi="宋体" w:eastAsia="宋体" w:cs="宋体"/>
          <w:color w:val="auto"/>
          <w:sz w:val="24"/>
          <w:szCs w:val="24"/>
        </w:rPr>
      </w:pPr>
      <w:r>
        <w:rPr>
          <w:rFonts w:hint="eastAsia" w:ascii="宋体" w:hAnsi="宋体" w:eastAsia="宋体" w:cs="宋体"/>
          <w:color w:val="auto"/>
          <w:sz w:val="24"/>
          <w:szCs w:val="24"/>
        </w:rPr>
        <w:t>投标人准备和参加投标活动发生的费用自理。</w:t>
      </w:r>
      <w:r>
        <w:rPr>
          <w:rFonts w:ascii="宋体" w:hAnsi="宋体" w:eastAsia="宋体" w:cs="宋体"/>
          <w:color w:val="auto"/>
          <w:sz w:val="24"/>
          <w:szCs w:val="24"/>
        </w:rPr>
        <w:t xml:space="preserve"> </w:t>
      </w:r>
    </w:p>
    <w:p w14:paraId="2E58C474">
      <w:pPr>
        <w:pStyle w:val="5"/>
        <w:spacing w:after="286" w:line="259" w:lineRule="auto"/>
        <w:ind w:left="132" w:right="0"/>
        <w:rPr>
          <w:rFonts w:ascii="宋体" w:hAnsi="宋体" w:eastAsia="宋体"/>
          <w:color w:val="auto"/>
          <w:sz w:val="24"/>
          <w:szCs w:val="24"/>
        </w:rPr>
      </w:pPr>
      <w:bookmarkStart w:id="38" w:name="_Toc508788617"/>
      <w:bookmarkStart w:id="39" w:name="_Toc190785806"/>
      <w:bookmarkStart w:id="40" w:name="_Toc190785386"/>
      <w:bookmarkStart w:id="41" w:name="_Toc508382100"/>
      <w:bookmarkStart w:id="42" w:name="_Toc190785902"/>
      <w:r>
        <w:rPr>
          <w:rFonts w:ascii="宋体" w:hAnsi="宋体" w:eastAsia="宋体"/>
          <w:color w:val="auto"/>
          <w:sz w:val="24"/>
          <w:szCs w:val="24"/>
        </w:rPr>
        <w:t xml:space="preserve">1.6 </w:t>
      </w:r>
      <w:r>
        <w:rPr>
          <w:rFonts w:hint="eastAsia" w:ascii="宋体" w:hAnsi="宋体" w:eastAsia="宋体"/>
          <w:color w:val="auto"/>
          <w:sz w:val="24"/>
          <w:szCs w:val="24"/>
        </w:rPr>
        <w:t>保密</w:t>
      </w:r>
      <w:bookmarkEnd w:id="38"/>
      <w:bookmarkEnd w:id="39"/>
      <w:bookmarkEnd w:id="40"/>
      <w:bookmarkEnd w:id="41"/>
      <w:bookmarkEnd w:id="42"/>
      <w:r>
        <w:rPr>
          <w:rFonts w:ascii="宋体" w:hAnsi="宋体" w:eastAsia="宋体"/>
          <w:color w:val="auto"/>
          <w:sz w:val="24"/>
          <w:szCs w:val="24"/>
        </w:rPr>
        <w:t xml:space="preserve"> </w:t>
      </w:r>
    </w:p>
    <w:p w14:paraId="5753634E">
      <w:pPr>
        <w:spacing w:after="235" w:line="356" w:lineRule="auto"/>
        <w:ind w:right="103" w:firstLine="420"/>
        <w:rPr>
          <w:rFonts w:ascii="宋体" w:hAnsi="宋体" w:eastAsia="宋体"/>
          <w:color w:val="auto"/>
          <w:sz w:val="24"/>
          <w:szCs w:val="24"/>
        </w:rPr>
      </w:pPr>
      <w:r>
        <w:rPr>
          <w:rFonts w:hint="eastAsia" w:ascii="宋体" w:hAnsi="宋体" w:eastAsia="宋体" w:cs="宋体"/>
          <w:color w:val="auto"/>
          <w:sz w:val="24"/>
          <w:szCs w:val="24"/>
        </w:rPr>
        <w:t>参与招标投标活动的各方应对招标文件和投标文件中的商业和技术等秘密保密，否则应承担相应的法律责任。</w:t>
      </w:r>
      <w:r>
        <w:rPr>
          <w:rFonts w:ascii="宋体" w:hAnsi="宋体" w:eastAsia="宋体"/>
          <w:color w:val="auto"/>
          <w:sz w:val="24"/>
          <w:szCs w:val="24"/>
        </w:rPr>
        <w:t xml:space="preserve"> </w:t>
      </w:r>
    </w:p>
    <w:p w14:paraId="56D83682">
      <w:pPr>
        <w:pStyle w:val="5"/>
        <w:spacing w:after="282"/>
        <w:ind w:left="132" w:right="0"/>
        <w:rPr>
          <w:rFonts w:ascii="宋体" w:hAnsi="宋体" w:eastAsia="宋体"/>
          <w:color w:val="auto"/>
          <w:sz w:val="24"/>
          <w:szCs w:val="24"/>
        </w:rPr>
      </w:pPr>
      <w:bookmarkStart w:id="43" w:name="_Toc508788618"/>
      <w:bookmarkStart w:id="44" w:name="_Toc190785903"/>
      <w:bookmarkStart w:id="45" w:name="_Toc190785807"/>
      <w:bookmarkStart w:id="46" w:name="_Toc190785387"/>
      <w:bookmarkStart w:id="47" w:name="_Toc508382101"/>
      <w:r>
        <w:rPr>
          <w:rFonts w:ascii="宋体" w:hAnsi="宋体" w:eastAsia="宋体"/>
          <w:color w:val="auto"/>
          <w:sz w:val="24"/>
          <w:szCs w:val="24"/>
        </w:rPr>
        <w:t xml:space="preserve">1.7 </w:t>
      </w:r>
      <w:r>
        <w:rPr>
          <w:rFonts w:hint="eastAsia" w:ascii="宋体" w:hAnsi="宋体" w:eastAsia="宋体"/>
          <w:color w:val="auto"/>
          <w:sz w:val="24"/>
          <w:szCs w:val="24"/>
        </w:rPr>
        <w:t>语言文字</w:t>
      </w:r>
      <w:bookmarkEnd w:id="43"/>
      <w:bookmarkEnd w:id="44"/>
      <w:bookmarkEnd w:id="45"/>
      <w:bookmarkEnd w:id="46"/>
      <w:bookmarkEnd w:id="47"/>
      <w:r>
        <w:rPr>
          <w:rFonts w:ascii="宋体" w:hAnsi="宋体" w:eastAsia="宋体"/>
          <w:color w:val="auto"/>
          <w:sz w:val="24"/>
          <w:szCs w:val="24"/>
        </w:rPr>
        <w:t xml:space="preserve"> </w:t>
      </w:r>
    </w:p>
    <w:p w14:paraId="3A8D4A72">
      <w:pPr>
        <w:spacing w:after="339" w:line="265" w:lineRule="auto"/>
        <w:ind w:left="417" w:right="103" w:hanging="10"/>
        <w:rPr>
          <w:rFonts w:ascii="宋体" w:hAnsi="宋体" w:eastAsia="宋体"/>
          <w:color w:val="auto"/>
          <w:sz w:val="24"/>
          <w:szCs w:val="24"/>
        </w:rPr>
      </w:pPr>
      <w:r>
        <w:rPr>
          <w:rFonts w:hint="eastAsia" w:ascii="宋体" w:hAnsi="宋体" w:eastAsia="宋体" w:cs="宋体"/>
          <w:color w:val="auto"/>
          <w:sz w:val="24"/>
          <w:szCs w:val="24"/>
        </w:rPr>
        <w:t>招标投标文件使用的语言文字为中文。专用术语使用外文的，应附有中文注释。</w:t>
      </w:r>
      <w:r>
        <w:rPr>
          <w:rFonts w:ascii="宋体" w:hAnsi="宋体" w:eastAsia="宋体"/>
          <w:color w:val="auto"/>
          <w:sz w:val="24"/>
          <w:szCs w:val="24"/>
        </w:rPr>
        <w:t xml:space="preserve"> </w:t>
      </w:r>
    </w:p>
    <w:p w14:paraId="2C67CBBE">
      <w:pPr>
        <w:pStyle w:val="5"/>
        <w:spacing w:after="290"/>
        <w:ind w:left="132" w:right="0"/>
        <w:rPr>
          <w:rFonts w:ascii="宋体" w:hAnsi="宋体" w:eastAsia="宋体"/>
          <w:color w:val="auto"/>
          <w:sz w:val="24"/>
          <w:szCs w:val="24"/>
        </w:rPr>
      </w:pPr>
      <w:bookmarkStart w:id="48" w:name="_Toc508382102"/>
      <w:bookmarkStart w:id="49" w:name="_Toc190785388"/>
      <w:bookmarkStart w:id="50" w:name="_Toc190785904"/>
      <w:bookmarkStart w:id="51" w:name="_Toc508788619"/>
      <w:bookmarkStart w:id="52" w:name="_Toc190785808"/>
      <w:r>
        <w:rPr>
          <w:rFonts w:ascii="宋体" w:hAnsi="宋体" w:eastAsia="宋体"/>
          <w:color w:val="auto"/>
          <w:sz w:val="24"/>
          <w:szCs w:val="24"/>
        </w:rPr>
        <w:t xml:space="preserve">1.8 </w:t>
      </w:r>
      <w:r>
        <w:rPr>
          <w:rFonts w:hint="eastAsia" w:ascii="宋体" w:hAnsi="宋体" w:eastAsia="宋体"/>
          <w:color w:val="auto"/>
          <w:sz w:val="24"/>
          <w:szCs w:val="24"/>
        </w:rPr>
        <w:t>计量单位</w:t>
      </w:r>
      <w:bookmarkEnd w:id="48"/>
      <w:bookmarkEnd w:id="49"/>
      <w:bookmarkEnd w:id="50"/>
      <w:bookmarkEnd w:id="51"/>
      <w:bookmarkEnd w:id="52"/>
      <w:r>
        <w:rPr>
          <w:rFonts w:ascii="宋体" w:hAnsi="宋体" w:eastAsia="宋体"/>
          <w:color w:val="auto"/>
          <w:sz w:val="24"/>
          <w:szCs w:val="24"/>
        </w:rPr>
        <w:t xml:space="preserve"> </w:t>
      </w:r>
    </w:p>
    <w:p w14:paraId="55226AC4">
      <w:pPr>
        <w:spacing w:after="342" w:line="265" w:lineRule="auto"/>
        <w:ind w:left="417" w:right="103" w:hanging="10"/>
        <w:rPr>
          <w:rFonts w:ascii="宋体" w:hAnsi="宋体" w:eastAsia="宋体"/>
          <w:color w:val="auto"/>
          <w:sz w:val="24"/>
          <w:szCs w:val="24"/>
        </w:rPr>
      </w:pPr>
      <w:r>
        <w:rPr>
          <w:rFonts w:hint="eastAsia" w:ascii="宋体" w:hAnsi="宋体" w:eastAsia="宋体" w:cs="宋体"/>
          <w:color w:val="auto"/>
          <w:sz w:val="24"/>
          <w:szCs w:val="24"/>
        </w:rPr>
        <w:t>所有计量均采用中华人民共和国法定计量单位。</w:t>
      </w:r>
      <w:r>
        <w:rPr>
          <w:rFonts w:ascii="宋体" w:hAnsi="宋体" w:eastAsia="宋体"/>
          <w:color w:val="auto"/>
          <w:sz w:val="24"/>
          <w:szCs w:val="24"/>
        </w:rPr>
        <w:t xml:space="preserve"> </w:t>
      </w:r>
    </w:p>
    <w:p w14:paraId="5581E873">
      <w:pPr>
        <w:pStyle w:val="5"/>
        <w:spacing w:after="282"/>
        <w:ind w:left="132" w:right="0"/>
        <w:rPr>
          <w:rFonts w:hint="eastAsia" w:ascii="宋体" w:hAnsi="宋体" w:eastAsia="宋体"/>
          <w:color w:val="auto"/>
          <w:sz w:val="24"/>
          <w:szCs w:val="24"/>
        </w:rPr>
      </w:pPr>
      <w:bookmarkStart w:id="53" w:name="_Toc508788620"/>
      <w:bookmarkStart w:id="54" w:name="_Toc190785389"/>
      <w:bookmarkStart w:id="55" w:name="_Toc190785905"/>
      <w:bookmarkStart w:id="56" w:name="_Toc508382103"/>
      <w:bookmarkStart w:id="57" w:name="_Toc190785809"/>
      <w:r>
        <w:rPr>
          <w:rFonts w:ascii="宋体" w:hAnsi="宋体" w:eastAsia="宋体"/>
          <w:color w:val="auto"/>
          <w:sz w:val="24"/>
          <w:szCs w:val="24"/>
        </w:rPr>
        <w:t xml:space="preserve">1.9 </w:t>
      </w:r>
      <w:r>
        <w:rPr>
          <w:rFonts w:hint="eastAsia" w:ascii="宋体" w:hAnsi="宋体" w:eastAsia="宋体"/>
          <w:color w:val="auto"/>
          <w:sz w:val="24"/>
          <w:szCs w:val="24"/>
        </w:rPr>
        <w:t>踏勘现场</w:t>
      </w:r>
      <w:bookmarkEnd w:id="53"/>
      <w:bookmarkEnd w:id="54"/>
      <w:bookmarkEnd w:id="55"/>
      <w:bookmarkEnd w:id="56"/>
      <w:bookmarkEnd w:id="57"/>
      <w:r>
        <w:rPr>
          <w:rFonts w:ascii="宋体" w:hAnsi="宋体" w:eastAsia="宋体"/>
          <w:color w:val="auto"/>
          <w:sz w:val="24"/>
          <w:szCs w:val="24"/>
        </w:rPr>
        <w:t xml:space="preserve"> </w:t>
      </w:r>
    </w:p>
    <w:p w14:paraId="7E00A51C">
      <w:pPr>
        <w:spacing w:after="123" w:line="360" w:lineRule="auto"/>
        <w:ind w:right="102" w:firstLine="407"/>
        <w:rPr>
          <w:rFonts w:hint="eastAsia" w:ascii="宋体" w:hAnsi="宋体" w:eastAsia="宋体" w:cs="宋体"/>
          <w:color w:val="auto"/>
          <w:sz w:val="24"/>
          <w:szCs w:val="24"/>
        </w:rPr>
      </w:pPr>
      <w:r>
        <w:rPr>
          <w:rFonts w:ascii="宋体" w:hAnsi="宋体" w:eastAsia="宋体"/>
          <w:color w:val="auto"/>
          <w:sz w:val="24"/>
          <w:szCs w:val="24"/>
        </w:rPr>
        <w:t xml:space="preserve">1.9.1 </w:t>
      </w:r>
      <w:r>
        <w:rPr>
          <w:rFonts w:hint="eastAsia" w:ascii="宋体" w:hAnsi="宋体" w:eastAsia="宋体" w:cs="宋体"/>
          <w:color w:val="auto"/>
          <w:sz w:val="24"/>
          <w:szCs w:val="24"/>
        </w:rPr>
        <w:t xml:space="preserve">投标人须知前附表规定组织踏勘现场的，招标人按投标人须知前附表规定的时间、地点组织投标人踏勘项目现场。部分投标人未按时参加踏勘现场的，不影响踏勘现场的正常进行。 </w:t>
      </w:r>
    </w:p>
    <w:p w14:paraId="20B2AE9F">
      <w:pPr>
        <w:spacing w:after="123" w:line="360" w:lineRule="auto"/>
        <w:ind w:left="417" w:right="102" w:hanging="10"/>
        <w:rPr>
          <w:rFonts w:ascii="宋体" w:hAnsi="宋体" w:eastAsia="宋体"/>
          <w:color w:val="auto"/>
          <w:sz w:val="24"/>
          <w:szCs w:val="24"/>
        </w:rPr>
      </w:pPr>
      <w:r>
        <w:rPr>
          <w:rFonts w:ascii="宋体" w:hAnsi="宋体" w:eastAsia="宋体"/>
          <w:color w:val="auto"/>
          <w:sz w:val="24"/>
          <w:szCs w:val="24"/>
        </w:rPr>
        <w:t xml:space="preserve">1.9.2 </w:t>
      </w:r>
      <w:r>
        <w:rPr>
          <w:rFonts w:hint="eastAsia" w:ascii="宋体" w:hAnsi="宋体" w:eastAsia="宋体" w:cs="宋体"/>
          <w:color w:val="auto"/>
          <w:sz w:val="24"/>
          <w:szCs w:val="24"/>
        </w:rPr>
        <w:t>投标人踏勘现场发生的费用自理。</w:t>
      </w:r>
      <w:r>
        <w:rPr>
          <w:rFonts w:ascii="宋体" w:hAnsi="宋体" w:eastAsia="宋体"/>
          <w:color w:val="auto"/>
          <w:sz w:val="24"/>
          <w:szCs w:val="24"/>
        </w:rPr>
        <w:t xml:space="preserve"> </w:t>
      </w:r>
    </w:p>
    <w:p w14:paraId="4A6093EF">
      <w:pPr>
        <w:spacing w:after="123" w:line="360" w:lineRule="auto"/>
        <w:ind w:right="102" w:firstLine="407"/>
        <w:rPr>
          <w:rFonts w:ascii="宋体" w:hAnsi="宋体" w:eastAsia="宋体"/>
          <w:color w:val="auto"/>
          <w:sz w:val="24"/>
          <w:szCs w:val="24"/>
        </w:rPr>
      </w:pPr>
      <w:r>
        <w:rPr>
          <w:rFonts w:ascii="宋体" w:hAnsi="宋体" w:eastAsia="宋体"/>
          <w:color w:val="auto"/>
          <w:sz w:val="24"/>
          <w:szCs w:val="24"/>
        </w:rPr>
        <w:t xml:space="preserve">1.9.3 </w:t>
      </w:r>
      <w:r>
        <w:rPr>
          <w:rFonts w:hint="eastAsia" w:ascii="宋体" w:hAnsi="宋体" w:eastAsia="宋体" w:cs="宋体"/>
          <w:color w:val="auto"/>
          <w:sz w:val="24"/>
          <w:szCs w:val="24"/>
        </w:rPr>
        <w:t>除招标人的原因外，投标人自行负责在踏勘现场中所发生的人员伤亡和财产损失。</w:t>
      </w:r>
      <w:r>
        <w:rPr>
          <w:rFonts w:ascii="宋体" w:hAnsi="宋体" w:eastAsia="宋体"/>
          <w:color w:val="auto"/>
          <w:sz w:val="24"/>
          <w:szCs w:val="24"/>
        </w:rPr>
        <w:t xml:space="preserve"> </w:t>
      </w:r>
    </w:p>
    <w:p w14:paraId="4C2B462C">
      <w:pPr>
        <w:spacing w:after="223" w:line="360" w:lineRule="auto"/>
        <w:ind w:right="102" w:firstLine="420"/>
        <w:rPr>
          <w:rFonts w:ascii="宋体" w:hAnsi="宋体" w:eastAsia="宋体"/>
          <w:color w:val="auto"/>
          <w:sz w:val="24"/>
          <w:szCs w:val="24"/>
        </w:rPr>
      </w:pPr>
      <w:r>
        <w:rPr>
          <w:rFonts w:ascii="宋体" w:hAnsi="宋体" w:eastAsia="宋体"/>
          <w:color w:val="auto"/>
          <w:sz w:val="24"/>
          <w:szCs w:val="24"/>
        </w:rPr>
        <w:t xml:space="preserve">1.9.4 </w:t>
      </w:r>
      <w:r>
        <w:rPr>
          <w:rFonts w:hint="eastAsia" w:ascii="宋体" w:hAnsi="宋体" w:eastAsia="宋体" w:cs="宋体"/>
          <w:color w:val="auto"/>
          <w:sz w:val="24"/>
          <w:szCs w:val="24"/>
        </w:rPr>
        <w:t>招标人在踏勘现场中介绍的工程场地和相关的周边环境情况，供投标人在编制投标文件时参考，招标人不对投标人据此作出的判断和决策负责。</w:t>
      </w:r>
      <w:r>
        <w:rPr>
          <w:rFonts w:ascii="宋体" w:hAnsi="宋体" w:eastAsia="宋体"/>
          <w:color w:val="auto"/>
          <w:sz w:val="24"/>
          <w:szCs w:val="24"/>
        </w:rPr>
        <w:t xml:space="preserve"> </w:t>
      </w:r>
    </w:p>
    <w:p w14:paraId="61297662">
      <w:pPr>
        <w:pStyle w:val="5"/>
        <w:spacing w:after="290"/>
        <w:ind w:left="132" w:right="0"/>
        <w:rPr>
          <w:rFonts w:ascii="宋体" w:hAnsi="宋体" w:eastAsia="宋体"/>
          <w:color w:val="auto"/>
          <w:sz w:val="24"/>
          <w:szCs w:val="24"/>
        </w:rPr>
      </w:pPr>
      <w:bookmarkStart w:id="58" w:name="_Toc190785390"/>
      <w:bookmarkStart w:id="59" w:name="_Toc508788621"/>
      <w:bookmarkStart w:id="60" w:name="_Toc190785810"/>
      <w:bookmarkStart w:id="61" w:name="_Toc190785906"/>
      <w:bookmarkStart w:id="62" w:name="_Toc508382104"/>
      <w:r>
        <w:rPr>
          <w:rFonts w:ascii="宋体" w:hAnsi="宋体" w:eastAsia="宋体"/>
          <w:color w:val="auto"/>
          <w:sz w:val="24"/>
          <w:szCs w:val="24"/>
        </w:rPr>
        <w:t xml:space="preserve">1.10 </w:t>
      </w:r>
      <w:r>
        <w:rPr>
          <w:rFonts w:hint="eastAsia" w:ascii="宋体" w:hAnsi="宋体" w:eastAsia="宋体"/>
          <w:color w:val="auto"/>
          <w:sz w:val="24"/>
          <w:szCs w:val="24"/>
        </w:rPr>
        <w:t>投标预备会</w:t>
      </w:r>
      <w:bookmarkEnd w:id="58"/>
      <w:bookmarkEnd w:id="59"/>
      <w:bookmarkEnd w:id="60"/>
      <w:bookmarkEnd w:id="61"/>
      <w:bookmarkEnd w:id="62"/>
      <w:r>
        <w:rPr>
          <w:rFonts w:ascii="宋体" w:hAnsi="宋体" w:eastAsia="宋体"/>
          <w:color w:val="auto"/>
          <w:sz w:val="24"/>
          <w:szCs w:val="24"/>
        </w:rPr>
        <w:t xml:space="preserve"> </w:t>
      </w:r>
    </w:p>
    <w:p w14:paraId="3E1BAD7F">
      <w:pPr>
        <w:spacing w:after="3" w:line="367" w:lineRule="auto"/>
        <w:ind w:right="103" w:firstLine="420"/>
        <w:rPr>
          <w:rFonts w:ascii="宋体" w:hAnsi="宋体" w:eastAsia="宋体"/>
          <w:color w:val="auto"/>
          <w:sz w:val="24"/>
          <w:szCs w:val="24"/>
        </w:rPr>
      </w:pPr>
      <w:r>
        <w:rPr>
          <w:rFonts w:ascii="宋体" w:hAnsi="宋体" w:eastAsia="宋体"/>
          <w:color w:val="auto"/>
          <w:sz w:val="24"/>
          <w:szCs w:val="24"/>
        </w:rPr>
        <w:t xml:space="preserve">1.10.1 </w:t>
      </w:r>
      <w:r>
        <w:rPr>
          <w:rFonts w:hint="eastAsia" w:ascii="宋体" w:hAnsi="宋体" w:eastAsia="宋体" w:cs="宋体"/>
          <w:color w:val="auto"/>
          <w:sz w:val="24"/>
          <w:szCs w:val="24"/>
        </w:rPr>
        <w:t>投标人须知前附表规定召开投标预备会的，招标人按投标人须知前附表规定的时间和地点召开投标预备会，澄清投标人提出的问题。</w:t>
      </w:r>
      <w:r>
        <w:rPr>
          <w:rFonts w:ascii="宋体" w:hAnsi="宋体" w:eastAsia="宋体"/>
          <w:color w:val="auto"/>
          <w:sz w:val="24"/>
          <w:szCs w:val="24"/>
        </w:rPr>
        <w:t xml:space="preserve"> </w:t>
      </w:r>
    </w:p>
    <w:p w14:paraId="7FF492A5">
      <w:pPr>
        <w:spacing w:after="0" w:line="369" w:lineRule="auto"/>
        <w:ind w:right="103" w:firstLine="420"/>
        <w:rPr>
          <w:rFonts w:ascii="宋体" w:hAnsi="宋体" w:eastAsia="宋体"/>
          <w:color w:val="auto"/>
          <w:sz w:val="24"/>
          <w:szCs w:val="24"/>
        </w:rPr>
      </w:pPr>
      <w:r>
        <w:rPr>
          <w:rFonts w:ascii="宋体" w:hAnsi="宋体" w:eastAsia="宋体"/>
          <w:color w:val="auto"/>
          <w:sz w:val="24"/>
          <w:szCs w:val="24"/>
        </w:rPr>
        <w:t xml:space="preserve">1.10.2 </w:t>
      </w:r>
      <w:r>
        <w:rPr>
          <w:rFonts w:hint="eastAsia" w:ascii="宋体" w:hAnsi="宋体" w:eastAsia="宋体" w:cs="宋体"/>
          <w:color w:val="auto"/>
          <w:sz w:val="24"/>
          <w:szCs w:val="24"/>
        </w:rPr>
        <w:t>投标人应按投标人须知前附表规定的时间和形式将提出的问题送达招标人，以便招标人在会议期间澄清。</w:t>
      </w:r>
      <w:r>
        <w:rPr>
          <w:rFonts w:ascii="宋体" w:hAnsi="宋体" w:eastAsia="宋体"/>
          <w:color w:val="auto"/>
          <w:sz w:val="24"/>
          <w:szCs w:val="24"/>
        </w:rPr>
        <w:t xml:space="preserve"> </w:t>
      </w:r>
    </w:p>
    <w:p w14:paraId="7DC50890">
      <w:pPr>
        <w:spacing w:after="123" w:line="369" w:lineRule="auto"/>
        <w:ind w:right="103" w:firstLine="420"/>
        <w:rPr>
          <w:rFonts w:ascii="宋体" w:hAnsi="宋体" w:eastAsia="宋体"/>
          <w:color w:val="auto"/>
          <w:sz w:val="24"/>
          <w:szCs w:val="24"/>
        </w:rPr>
      </w:pPr>
      <w:r>
        <w:rPr>
          <w:rFonts w:ascii="宋体" w:hAnsi="宋体" w:eastAsia="宋体"/>
          <w:color w:val="auto"/>
          <w:sz w:val="24"/>
          <w:szCs w:val="24"/>
        </w:rPr>
        <w:t xml:space="preserve">1.10.3 </w:t>
      </w:r>
      <w:r>
        <w:rPr>
          <w:rFonts w:hint="eastAsia" w:ascii="宋体" w:hAnsi="宋体" w:eastAsia="宋体" w:cs="宋体"/>
          <w:color w:val="auto"/>
          <w:sz w:val="24"/>
          <w:szCs w:val="24"/>
        </w:rPr>
        <w:t>投标预备会后，招标人将对投标人所提问题的澄清，以投标人须知前附表规定的形式通知所有购买招标文件的投标人。该澄清内容为招标文件的组成部分。</w:t>
      </w:r>
      <w:r>
        <w:rPr>
          <w:rFonts w:ascii="宋体" w:hAnsi="宋体" w:eastAsia="宋体"/>
          <w:color w:val="auto"/>
          <w:sz w:val="24"/>
          <w:szCs w:val="24"/>
        </w:rPr>
        <w:t xml:space="preserve"> </w:t>
      </w:r>
    </w:p>
    <w:p w14:paraId="1F7CE77C">
      <w:pPr>
        <w:pStyle w:val="5"/>
        <w:spacing w:after="286" w:line="259" w:lineRule="auto"/>
        <w:ind w:left="132" w:right="0"/>
        <w:rPr>
          <w:rFonts w:ascii="宋体" w:hAnsi="宋体" w:eastAsia="宋体"/>
          <w:color w:val="auto"/>
          <w:sz w:val="24"/>
          <w:szCs w:val="24"/>
        </w:rPr>
      </w:pPr>
      <w:bookmarkStart w:id="63" w:name="_Toc508382105"/>
      <w:bookmarkStart w:id="64" w:name="_Toc190785391"/>
      <w:bookmarkStart w:id="65" w:name="_Toc190785811"/>
      <w:bookmarkStart w:id="66" w:name="_Toc190785907"/>
      <w:bookmarkStart w:id="67" w:name="_Toc508788622"/>
      <w:r>
        <w:rPr>
          <w:rFonts w:ascii="宋体" w:hAnsi="宋体" w:eastAsia="宋体"/>
          <w:color w:val="auto"/>
          <w:sz w:val="24"/>
          <w:szCs w:val="24"/>
        </w:rPr>
        <w:t xml:space="preserve">1.11 </w:t>
      </w:r>
      <w:r>
        <w:rPr>
          <w:rFonts w:hint="eastAsia" w:ascii="宋体" w:hAnsi="宋体" w:eastAsia="宋体"/>
          <w:color w:val="auto"/>
          <w:sz w:val="24"/>
          <w:szCs w:val="24"/>
        </w:rPr>
        <w:t>分包</w:t>
      </w:r>
      <w:bookmarkEnd w:id="63"/>
      <w:bookmarkEnd w:id="64"/>
      <w:bookmarkEnd w:id="65"/>
      <w:bookmarkEnd w:id="66"/>
      <w:bookmarkEnd w:id="67"/>
      <w:r>
        <w:rPr>
          <w:rFonts w:ascii="宋体" w:hAnsi="宋体" w:eastAsia="宋体"/>
          <w:color w:val="auto"/>
          <w:sz w:val="24"/>
          <w:szCs w:val="24"/>
        </w:rPr>
        <w:t xml:space="preserve">  </w:t>
      </w:r>
    </w:p>
    <w:p w14:paraId="5169EC11">
      <w:pPr>
        <w:spacing w:after="123" w:line="369" w:lineRule="auto"/>
        <w:ind w:right="103" w:firstLine="420"/>
        <w:rPr>
          <w:rFonts w:hint="eastAsia" w:ascii="宋体" w:hAnsi="宋体" w:eastAsia="宋体"/>
          <w:color w:val="auto"/>
          <w:sz w:val="24"/>
          <w:szCs w:val="24"/>
        </w:rPr>
      </w:pPr>
      <w:r>
        <w:rPr>
          <w:rFonts w:hint="eastAsia" w:ascii="宋体" w:hAnsi="宋体" w:eastAsia="宋体"/>
          <w:color w:val="auto"/>
          <w:sz w:val="24"/>
          <w:szCs w:val="24"/>
        </w:rPr>
        <w:t>1.11.1 投标人拟在中标后将中标项目的非主体、非关键性勘察工作进行分包的，应符合投标人须知前附表规定的分包内容、分包金额和资质要求等限制性条件，除投标人须知前附表规定的非主体、非关键性勘察工作外，其他工作不得分包。</w:t>
      </w:r>
    </w:p>
    <w:p w14:paraId="4A383CD8">
      <w:pPr>
        <w:spacing w:after="123" w:line="369" w:lineRule="auto"/>
        <w:ind w:right="103" w:firstLine="420"/>
        <w:rPr>
          <w:rFonts w:ascii="宋体" w:hAnsi="宋体" w:eastAsia="宋体"/>
          <w:strike/>
          <w:color w:val="auto"/>
          <w:sz w:val="24"/>
          <w:szCs w:val="24"/>
        </w:rPr>
      </w:pPr>
      <w:r>
        <w:rPr>
          <w:rFonts w:hint="eastAsia" w:ascii="宋体" w:hAnsi="宋体" w:eastAsia="宋体"/>
          <w:color w:val="auto"/>
          <w:sz w:val="24"/>
          <w:szCs w:val="24"/>
        </w:rPr>
        <w:t>1.11.2 中标人不得向他人转让中标项目，接受分包的人不得再次分包。中标人应当就分包项目向招标人负责，接受分包的人就分包项目承担连带责任。</w:t>
      </w:r>
    </w:p>
    <w:p w14:paraId="0EB9EBBC">
      <w:pPr>
        <w:pStyle w:val="5"/>
        <w:spacing w:after="290"/>
        <w:ind w:left="132" w:right="0"/>
        <w:rPr>
          <w:rFonts w:ascii="宋体" w:hAnsi="宋体" w:eastAsia="宋体"/>
          <w:color w:val="auto"/>
          <w:sz w:val="24"/>
          <w:szCs w:val="24"/>
        </w:rPr>
      </w:pPr>
      <w:bookmarkStart w:id="68" w:name="_Toc190785812"/>
      <w:bookmarkStart w:id="69" w:name="_Toc190785392"/>
      <w:bookmarkStart w:id="70" w:name="_Toc190785908"/>
      <w:bookmarkStart w:id="71" w:name="_Toc508382106"/>
      <w:bookmarkStart w:id="72" w:name="_Toc508788623"/>
      <w:r>
        <w:rPr>
          <w:rFonts w:ascii="宋体" w:hAnsi="宋体" w:eastAsia="宋体"/>
          <w:color w:val="auto"/>
          <w:sz w:val="24"/>
          <w:szCs w:val="24"/>
        </w:rPr>
        <w:t xml:space="preserve">1.12 </w:t>
      </w:r>
      <w:r>
        <w:rPr>
          <w:rFonts w:hint="eastAsia" w:ascii="宋体" w:hAnsi="宋体" w:eastAsia="宋体"/>
          <w:color w:val="auto"/>
          <w:sz w:val="24"/>
          <w:szCs w:val="24"/>
        </w:rPr>
        <w:t>响应和偏差</w:t>
      </w:r>
      <w:bookmarkEnd w:id="68"/>
      <w:bookmarkEnd w:id="69"/>
      <w:bookmarkEnd w:id="70"/>
      <w:bookmarkEnd w:id="71"/>
      <w:bookmarkEnd w:id="72"/>
      <w:r>
        <w:rPr>
          <w:rFonts w:ascii="宋体" w:hAnsi="宋体" w:eastAsia="宋体"/>
          <w:color w:val="auto"/>
          <w:sz w:val="24"/>
          <w:szCs w:val="24"/>
        </w:rPr>
        <w:t xml:space="preserve"> </w:t>
      </w:r>
    </w:p>
    <w:p w14:paraId="72131440">
      <w:pPr>
        <w:spacing w:after="0" w:line="369" w:lineRule="auto"/>
        <w:ind w:right="103" w:firstLine="420"/>
        <w:rPr>
          <w:rFonts w:ascii="宋体" w:hAnsi="宋体" w:eastAsia="宋体"/>
          <w:color w:val="auto"/>
          <w:sz w:val="24"/>
          <w:szCs w:val="24"/>
        </w:rPr>
      </w:pPr>
      <w:r>
        <w:rPr>
          <w:rFonts w:ascii="宋体" w:hAnsi="宋体" w:eastAsia="宋体"/>
          <w:color w:val="auto"/>
          <w:sz w:val="24"/>
          <w:szCs w:val="24"/>
        </w:rPr>
        <w:t>1.12.1</w:t>
      </w:r>
      <w:r>
        <w:rPr>
          <w:rFonts w:hint="eastAsia" w:ascii="宋体" w:hAnsi="宋体" w:eastAsia="宋体" w:cs="宋体"/>
          <w:color w:val="auto"/>
          <w:sz w:val="24"/>
          <w:szCs w:val="24"/>
        </w:rPr>
        <w:t>投标文件应当对招标文件的实质性要求和条件作出满足性或更有利于招标人的响应，否则，投标人的投标将被否决。实质性要求和条件见投标人须知前附表。</w:t>
      </w:r>
      <w:r>
        <w:rPr>
          <w:rFonts w:ascii="宋体" w:hAnsi="宋体" w:eastAsia="宋体"/>
          <w:color w:val="auto"/>
          <w:sz w:val="24"/>
          <w:szCs w:val="24"/>
        </w:rPr>
        <w:t xml:space="preserve"> </w:t>
      </w:r>
    </w:p>
    <w:p w14:paraId="11096C4E">
      <w:pPr>
        <w:spacing w:after="123" w:line="265" w:lineRule="auto"/>
        <w:ind w:right="103" w:firstLine="407"/>
        <w:rPr>
          <w:rFonts w:ascii="宋体" w:hAnsi="宋体" w:eastAsia="宋体"/>
          <w:color w:val="auto"/>
          <w:sz w:val="24"/>
          <w:szCs w:val="24"/>
        </w:rPr>
      </w:pPr>
      <w:r>
        <w:rPr>
          <w:rFonts w:ascii="宋体" w:hAnsi="宋体" w:eastAsia="宋体"/>
          <w:color w:val="auto"/>
          <w:sz w:val="24"/>
          <w:szCs w:val="24"/>
        </w:rPr>
        <w:t xml:space="preserve">1.12.2 </w:t>
      </w:r>
      <w:r>
        <w:rPr>
          <w:rFonts w:hint="eastAsia" w:ascii="宋体" w:hAnsi="宋体" w:eastAsia="宋体" w:cs="宋体"/>
          <w:color w:val="auto"/>
          <w:sz w:val="24"/>
          <w:szCs w:val="24"/>
        </w:rPr>
        <w:t>投标人应根据招标文件的要求提供投标文件等内容以对招标文件作出响应。</w:t>
      </w:r>
      <w:r>
        <w:rPr>
          <w:rFonts w:ascii="宋体" w:hAnsi="宋体" w:eastAsia="宋体"/>
          <w:color w:val="auto"/>
          <w:sz w:val="24"/>
          <w:szCs w:val="24"/>
        </w:rPr>
        <w:t xml:space="preserve"> </w:t>
      </w:r>
    </w:p>
    <w:p w14:paraId="33862CC4">
      <w:pPr>
        <w:spacing w:after="258" w:line="374" w:lineRule="auto"/>
        <w:ind w:right="103" w:firstLine="434"/>
        <w:rPr>
          <w:rFonts w:ascii="宋体" w:hAnsi="宋体" w:eastAsia="宋体"/>
          <w:color w:val="auto"/>
          <w:sz w:val="24"/>
          <w:szCs w:val="24"/>
        </w:rPr>
      </w:pPr>
      <w:r>
        <w:rPr>
          <w:rFonts w:ascii="宋体" w:hAnsi="宋体" w:eastAsia="宋体"/>
          <w:color w:val="auto"/>
          <w:sz w:val="24"/>
          <w:szCs w:val="24"/>
        </w:rPr>
        <w:t xml:space="preserve">1.12.3 </w:t>
      </w:r>
      <w:r>
        <w:rPr>
          <w:rFonts w:hint="eastAsia" w:ascii="宋体" w:hAnsi="宋体" w:eastAsia="宋体" w:cs="宋体"/>
          <w:color w:val="auto"/>
          <w:sz w:val="24"/>
          <w:szCs w:val="24"/>
        </w:rPr>
        <w:t>投标人须知前附表允许投标文件偏离招标文件某些要求的，偏差应当符合招标文件规定的偏差范围和幅度。</w:t>
      </w:r>
      <w:r>
        <w:rPr>
          <w:rFonts w:ascii="宋体" w:hAnsi="宋体" w:eastAsia="宋体"/>
          <w:color w:val="auto"/>
          <w:sz w:val="24"/>
          <w:szCs w:val="24"/>
        </w:rPr>
        <w:t xml:space="preserve"> </w:t>
      </w:r>
    </w:p>
    <w:p w14:paraId="53AB310A">
      <w:pPr>
        <w:pStyle w:val="4"/>
        <w:spacing w:after="503" w:line="264" w:lineRule="auto"/>
        <w:ind w:left="-5" w:right="0"/>
        <w:rPr>
          <w:rFonts w:ascii="宋体" w:hAnsi="宋体" w:eastAsia="宋体"/>
          <w:color w:val="auto"/>
          <w:sz w:val="24"/>
          <w:szCs w:val="24"/>
        </w:rPr>
      </w:pPr>
      <w:bookmarkStart w:id="73" w:name="_Toc508382107"/>
      <w:bookmarkStart w:id="74" w:name="_Toc190785909"/>
      <w:r>
        <w:rPr>
          <w:rFonts w:ascii="宋体" w:hAnsi="宋体" w:eastAsia="宋体"/>
          <w:b/>
          <w:color w:val="auto"/>
          <w:sz w:val="24"/>
          <w:szCs w:val="24"/>
        </w:rPr>
        <w:t xml:space="preserve">2. </w:t>
      </w:r>
      <w:r>
        <w:rPr>
          <w:rFonts w:hint="eastAsia" w:ascii="宋体" w:hAnsi="宋体" w:eastAsia="宋体"/>
          <w:color w:val="auto"/>
          <w:sz w:val="24"/>
          <w:szCs w:val="24"/>
        </w:rPr>
        <w:t>招标文件</w:t>
      </w:r>
      <w:bookmarkEnd w:id="73"/>
      <w:bookmarkEnd w:id="74"/>
      <w:r>
        <w:rPr>
          <w:rFonts w:ascii="宋体" w:hAnsi="宋体" w:eastAsia="宋体"/>
          <w:b/>
          <w:color w:val="auto"/>
          <w:sz w:val="24"/>
          <w:szCs w:val="24"/>
        </w:rPr>
        <w:t xml:space="preserve"> </w:t>
      </w:r>
    </w:p>
    <w:p w14:paraId="1EC0B91F">
      <w:pPr>
        <w:pStyle w:val="5"/>
        <w:spacing w:after="285"/>
        <w:ind w:left="132" w:right="0"/>
        <w:rPr>
          <w:rFonts w:ascii="宋体" w:hAnsi="宋体" w:eastAsia="宋体"/>
          <w:color w:val="auto"/>
          <w:sz w:val="24"/>
          <w:szCs w:val="24"/>
        </w:rPr>
      </w:pPr>
      <w:bookmarkStart w:id="75" w:name="_Toc508382108"/>
      <w:bookmarkStart w:id="76" w:name="_Toc190785910"/>
      <w:bookmarkStart w:id="77" w:name="_Toc508788625"/>
      <w:bookmarkStart w:id="78" w:name="_Toc190785394"/>
      <w:bookmarkStart w:id="79" w:name="_Toc190785814"/>
      <w:r>
        <w:rPr>
          <w:rFonts w:ascii="宋体" w:hAnsi="宋体" w:eastAsia="宋体"/>
          <w:color w:val="auto"/>
          <w:sz w:val="24"/>
          <w:szCs w:val="24"/>
        </w:rPr>
        <w:t xml:space="preserve">2.1 </w:t>
      </w:r>
      <w:r>
        <w:rPr>
          <w:rFonts w:hint="eastAsia" w:ascii="宋体" w:hAnsi="宋体" w:eastAsia="宋体"/>
          <w:color w:val="auto"/>
          <w:sz w:val="24"/>
          <w:szCs w:val="24"/>
        </w:rPr>
        <w:t>招标文件的组成</w:t>
      </w:r>
      <w:bookmarkEnd w:id="75"/>
      <w:bookmarkEnd w:id="76"/>
      <w:bookmarkEnd w:id="77"/>
      <w:bookmarkEnd w:id="78"/>
      <w:bookmarkEnd w:id="79"/>
      <w:r>
        <w:rPr>
          <w:rFonts w:ascii="宋体" w:hAnsi="宋体" w:eastAsia="宋体"/>
          <w:color w:val="auto"/>
          <w:sz w:val="24"/>
          <w:szCs w:val="24"/>
        </w:rPr>
        <w:t xml:space="preserve"> </w:t>
      </w:r>
    </w:p>
    <w:p w14:paraId="24BCA195">
      <w:pPr>
        <w:spacing w:after="123" w:line="265" w:lineRule="auto"/>
        <w:ind w:left="417" w:right="103" w:hanging="10"/>
        <w:rPr>
          <w:rFonts w:ascii="宋体" w:hAnsi="宋体" w:eastAsia="宋体"/>
          <w:color w:val="auto"/>
          <w:sz w:val="24"/>
          <w:szCs w:val="24"/>
        </w:rPr>
      </w:pPr>
      <w:r>
        <w:rPr>
          <w:rFonts w:hint="eastAsia" w:ascii="宋体" w:hAnsi="宋体" w:eastAsia="宋体" w:cs="宋体"/>
          <w:color w:val="auto"/>
          <w:sz w:val="24"/>
          <w:szCs w:val="24"/>
        </w:rPr>
        <w:t>本招标文件包括：</w:t>
      </w:r>
      <w:r>
        <w:rPr>
          <w:rFonts w:ascii="宋体" w:hAnsi="宋体" w:eastAsia="宋体"/>
          <w:color w:val="auto"/>
          <w:sz w:val="24"/>
          <w:szCs w:val="24"/>
        </w:rPr>
        <w:t xml:space="preserve"> </w:t>
      </w:r>
    </w:p>
    <w:p w14:paraId="4AE662BB">
      <w:pPr>
        <w:numPr>
          <w:ilvl w:val="0"/>
          <w:numId w:val="4"/>
        </w:numPr>
        <w:spacing w:after="123" w:line="240" w:lineRule="auto"/>
        <w:ind w:right="103" w:hanging="526"/>
        <w:rPr>
          <w:rFonts w:ascii="宋体" w:hAnsi="宋体" w:eastAsia="宋体"/>
          <w:color w:val="auto"/>
          <w:sz w:val="24"/>
          <w:szCs w:val="24"/>
        </w:rPr>
      </w:pPr>
      <w:r>
        <w:rPr>
          <w:rFonts w:hint="eastAsia" w:ascii="宋体" w:hAnsi="宋体" w:eastAsia="宋体" w:cs="宋体"/>
          <w:color w:val="auto"/>
          <w:sz w:val="24"/>
          <w:szCs w:val="24"/>
        </w:rPr>
        <w:t>招标公告；</w:t>
      </w:r>
      <w:r>
        <w:rPr>
          <w:rFonts w:ascii="宋体" w:hAnsi="宋体" w:eastAsia="宋体"/>
          <w:color w:val="auto"/>
          <w:sz w:val="24"/>
          <w:szCs w:val="24"/>
        </w:rPr>
        <w:t xml:space="preserve"> </w:t>
      </w:r>
    </w:p>
    <w:p w14:paraId="7A164880">
      <w:pPr>
        <w:numPr>
          <w:ilvl w:val="0"/>
          <w:numId w:val="4"/>
        </w:numPr>
        <w:spacing w:after="123" w:line="240" w:lineRule="auto"/>
        <w:ind w:right="103" w:hanging="526"/>
        <w:rPr>
          <w:rFonts w:ascii="宋体" w:hAnsi="宋体" w:eastAsia="宋体"/>
          <w:color w:val="auto"/>
          <w:sz w:val="24"/>
          <w:szCs w:val="24"/>
        </w:rPr>
      </w:pPr>
      <w:r>
        <w:rPr>
          <w:rFonts w:hint="eastAsia" w:ascii="宋体" w:hAnsi="宋体" w:eastAsia="宋体" w:cs="宋体"/>
          <w:color w:val="auto"/>
          <w:sz w:val="24"/>
          <w:szCs w:val="24"/>
        </w:rPr>
        <w:t>投标人须知；</w:t>
      </w:r>
      <w:r>
        <w:rPr>
          <w:rFonts w:ascii="宋体" w:hAnsi="宋体" w:eastAsia="宋体"/>
          <w:color w:val="auto"/>
          <w:sz w:val="24"/>
          <w:szCs w:val="24"/>
        </w:rPr>
        <w:t xml:space="preserve"> </w:t>
      </w:r>
    </w:p>
    <w:p w14:paraId="0497CAA1">
      <w:pPr>
        <w:numPr>
          <w:ilvl w:val="0"/>
          <w:numId w:val="4"/>
        </w:numPr>
        <w:spacing w:after="123" w:line="240" w:lineRule="auto"/>
        <w:ind w:right="103" w:hanging="526"/>
        <w:rPr>
          <w:rFonts w:ascii="宋体" w:hAnsi="宋体" w:eastAsia="宋体"/>
          <w:color w:val="auto"/>
          <w:sz w:val="24"/>
          <w:szCs w:val="24"/>
        </w:rPr>
      </w:pPr>
      <w:r>
        <w:rPr>
          <w:rFonts w:hint="eastAsia" w:ascii="宋体" w:hAnsi="宋体" w:eastAsia="宋体" w:cs="宋体"/>
          <w:color w:val="auto"/>
          <w:sz w:val="24"/>
          <w:szCs w:val="24"/>
        </w:rPr>
        <w:t>评标办法；</w:t>
      </w:r>
      <w:r>
        <w:rPr>
          <w:rFonts w:ascii="宋体" w:hAnsi="宋体" w:eastAsia="宋体"/>
          <w:color w:val="auto"/>
          <w:sz w:val="24"/>
          <w:szCs w:val="24"/>
        </w:rPr>
        <w:t xml:space="preserve"> </w:t>
      </w:r>
    </w:p>
    <w:p w14:paraId="15DCDDB3">
      <w:pPr>
        <w:numPr>
          <w:ilvl w:val="0"/>
          <w:numId w:val="4"/>
        </w:numPr>
        <w:spacing w:after="123" w:line="240" w:lineRule="auto"/>
        <w:ind w:right="103" w:hanging="526"/>
        <w:rPr>
          <w:rFonts w:ascii="宋体" w:hAnsi="宋体" w:eastAsia="宋体"/>
          <w:color w:val="auto"/>
          <w:sz w:val="24"/>
          <w:szCs w:val="24"/>
        </w:rPr>
      </w:pPr>
      <w:r>
        <w:rPr>
          <w:rFonts w:hint="eastAsia" w:ascii="宋体" w:hAnsi="宋体" w:eastAsia="宋体" w:cs="宋体"/>
          <w:color w:val="auto"/>
          <w:sz w:val="24"/>
          <w:szCs w:val="24"/>
        </w:rPr>
        <w:t>合同条款及格式（另册）；</w:t>
      </w:r>
      <w:r>
        <w:rPr>
          <w:rFonts w:ascii="宋体" w:hAnsi="宋体" w:eastAsia="宋体"/>
          <w:color w:val="auto"/>
          <w:sz w:val="24"/>
          <w:szCs w:val="24"/>
        </w:rPr>
        <w:t xml:space="preserve"> </w:t>
      </w:r>
    </w:p>
    <w:p w14:paraId="07D673D0">
      <w:pPr>
        <w:numPr>
          <w:ilvl w:val="0"/>
          <w:numId w:val="4"/>
        </w:numPr>
        <w:spacing w:after="123" w:line="240" w:lineRule="auto"/>
        <w:ind w:right="103" w:hanging="526"/>
        <w:rPr>
          <w:rFonts w:ascii="宋体" w:hAnsi="宋体" w:eastAsia="宋体"/>
          <w:color w:val="auto"/>
          <w:sz w:val="24"/>
          <w:szCs w:val="24"/>
        </w:rPr>
      </w:pPr>
      <w:r>
        <w:rPr>
          <w:rFonts w:hint="eastAsia" w:ascii="宋体" w:hAnsi="宋体" w:eastAsia="宋体" w:cs="宋体"/>
          <w:color w:val="auto"/>
          <w:sz w:val="24"/>
          <w:szCs w:val="24"/>
        </w:rPr>
        <w:t>技术要求；</w:t>
      </w:r>
      <w:r>
        <w:rPr>
          <w:rFonts w:ascii="宋体" w:hAnsi="宋体" w:eastAsia="宋体"/>
          <w:color w:val="auto"/>
          <w:sz w:val="24"/>
          <w:szCs w:val="24"/>
        </w:rPr>
        <w:t xml:space="preserve"> </w:t>
      </w:r>
    </w:p>
    <w:p w14:paraId="3C3E39AB">
      <w:pPr>
        <w:numPr>
          <w:ilvl w:val="0"/>
          <w:numId w:val="4"/>
        </w:numPr>
        <w:spacing w:after="123" w:line="240" w:lineRule="auto"/>
        <w:ind w:right="103" w:hanging="526"/>
        <w:rPr>
          <w:rFonts w:hint="eastAsia" w:ascii="宋体" w:hAnsi="宋体" w:eastAsia="宋体"/>
          <w:color w:val="auto"/>
          <w:sz w:val="24"/>
          <w:szCs w:val="24"/>
        </w:rPr>
      </w:pPr>
      <w:r>
        <w:rPr>
          <w:rFonts w:hint="eastAsia" w:ascii="宋体" w:hAnsi="宋体" w:eastAsia="宋体" w:cs="宋体"/>
          <w:color w:val="auto"/>
          <w:sz w:val="24"/>
          <w:szCs w:val="24"/>
        </w:rPr>
        <w:t>投标文件格式；</w:t>
      </w:r>
      <w:r>
        <w:rPr>
          <w:rFonts w:ascii="宋体" w:hAnsi="宋体" w:eastAsia="宋体"/>
          <w:color w:val="auto"/>
          <w:sz w:val="24"/>
          <w:szCs w:val="24"/>
        </w:rPr>
        <w:t xml:space="preserve"> </w:t>
      </w:r>
    </w:p>
    <w:p w14:paraId="65BA959C">
      <w:pPr>
        <w:pStyle w:val="2"/>
        <w:spacing w:line="360" w:lineRule="auto"/>
      </w:pPr>
      <w:r>
        <w:rPr>
          <w:rFonts w:hint="eastAsia"/>
        </w:rPr>
        <w:t xml:space="preserve">    （7）</w:t>
      </w:r>
      <w:r>
        <w:rPr>
          <w:rFonts w:hint="eastAsia" w:hAnsi="宋体" w:cs="宋体"/>
          <w:sz w:val="24"/>
        </w:rPr>
        <w:t>投标人须知前附表规定的其他资料。</w:t>
      </w:r>
    </w:p>
    <w:p w14:paraId="6ED7E408">
      <w:pPr>
        <w:spacing w:after="214" w:line="360" w:lineRule="auto"/>
        <w:ind w:right="103" w:firstLine="420"/>
        <w:rPr>
          <w:rFonts w:ascii="宋体" w:hAnsi="宋体" w:eastAsia="宋体"/>
          <w:color w:val="auto"/>
          <w:sz w:val="24"/>
          <w:szCs w:val="24"/>
        </w:rPr>
      </w:pPr>
      <w:r>
        <w:rPr>
          <w:rFonts w:hint="eastAsia" w:ascii="宋体" w:hAnsi="宋体" w:eastAsia="宋体" w:cs="宋体"/>
          <w:color w:val="auto"/>
          <w:sz w:val="24"/>
          <w:szCs w:val="24"/>
        </w:rPr>
        <w:t>根据本章第</w:t>
      </w:r>
      <w:r>
        <w:rPr>
          <w:rFonts w:ascii="宋体" w:hAnsi="宋体" w:eastAsia="宋体" w:cs="宋体"/>
          <w:color w:val="auto"/>
          <w:sz w:val="24"/>
          <w:szCs w:val="24"/>
        </w:rPr>
        <w:t xml:space="preserve"> </w:t>
      </w:r>
      <w:r>
        <w:rPr>
          <w:rFonts w:ascii="宋体" w:hAnsi="宋体" w:eastAsia="宋体"/>
          <w:color w:val="auto"/>
          <w:sz w:val="24"/>
          <w:szCs w:val="24"/>
        </w:rPr>
        <w:t xml:space="preserve">1.10 </w:t>
      </w:r>
      <w:r>
        <w:rPr>
          <w:rFonts w:hint="eastAsia" w:ascii="宋体" w:hAnsi="宋体" w:eastAsia="宋体" w:cs="宋体"/>
          <w:color w:val="auto"/>
          <w:sz w:val="24"/>
          <w:szCs w:val="24"/>
        </w:rPr>
        <w:t>款、第</w:t>
      </w:r>
      <w:r>
        <w:rPr>
          <w:rFonts w:ascii="宋体" w:hAnsi="宋体" w:eastAsia="宋体" w:cs="宋体"/>
          <w:color w:val="auto"/>
          <w:sz w:val="24"/>
          <w:szCs w:val="24"/>
        </w:rPr>
        <w:t xml:space="preserve"> </w:t>
      </w:r>
      <w:r>
        <w:rPr>
          <w:rFonts w:ascii="宋体" w:hAnsi="宋体" w:eastAsia="宋体"/>
          <w:color w:val="auto"/>
          <w:sz w:val="24"/>
          <w:szCs w:val="24"/>
        </w:rPr>
        <w:t xml:space="preserve">2.2 </w:t>
      </w:r>
      <w:r>
        <w:rPr>
          <w:rFonts w:hint="eastAsia" w:ascii="宋体" w:hAnsi="宋体" w:eastAsia="宋体" w:cs="宋体"/>
          <w:color w:val="auto"/>
          <w:sz w:val="24"/>
          <w:szCs w:val="24"/>
        </w:rPr>
        <w:t>款和第</w:t>
      </w:r>
      <w:r>
        <w:rPr>
          <w:rFonts w:ascii="宋体" w:hAnsi="宋体" w:eastAsia="宋体" w:cs="宋体"/>
          <w:color w:val="auto"/>
          <w:sz w:val="24"/>
          <w:szCs w:val="24"/>
        </w:rPr>
        <w:t xml:space="preserve"> </w:t>
      </w:r>
      <w:r>
        <w:rPr>
          <w:rFonts w:ascii="宋体" w:hAnsi="宋体" w:eastAsia="宋体"/>
          <w:color w:val="auto"/>
          <w:sz w:val="24"/>
          <w:szCs w:val="24"/>
        </w:rPr>
        <w:t xml:space="preserve">2.3 </w:t>
      </w:r>
      <w:r>
        <w:rPr>
          <w:rFonts w:hint="eastAsia" w:ascii="宋体" w:hAnsi="宋体" w:eastAsia="宋体" w:cs="宋体"/>
          <w:color w:val="auto"/>
          <w:sz w:val="24"/>
          <w:szCs w:val="24"/>
        </w:rPr>
        <w:t>款对招标文件所作的澄清、修改，构成招标文件的组成部分。</w:t>
      </w:r>
      <w:r>
        <w:rPr>
          <w:rFonts w:ascii="宋体" w:hAnsi="宋体" w:eastAsia="宋体"/>
          <w:color w:val="auto"/>
          <w:sz w:val="24"/>
          <w:szCs w:val="24"/>
        </w:rPr>
        <w:t xml:space="preserve"> </w:t>
      </w:r>
    </w:p>
    <w:p w14:paraId="7188F249">
      <w:pPr>
        <w:pStyle w:val="5"/>
        <w:spacing w:after="284"/>
        <w:ind w:left="132" w:right="0"/>
        <w:rPr>
          <w:rFonts w:ascii="宋体" w:hAnsi="宋体" w:eastAsia="宋体"/>
          <w:color w:val="auto"/>
          <w:sz w:val="24"/>
          <w:szCs w:val="24"/>
        </w:rPr>
      </w:pPr>
      <w:bookmarkStart w:id="80" w:name="_Toc190785395"/>
      <w:bookmarkStart w:id="81" w:name="_Toc508382109"/>
      <w:bookmarkStart w:id="82" w:name="_Toc508788626"/>
      <w:bookmarkStart w:id="83" w:name="_Toc190785815"/>
      <w:bookmarkStart w:id="84" w:name="_Toc190785911"/>
      <w:r>
        <w:rPr>
          <w:rFonts w:ascii="宋体" w:hAnsi="宋体" w:eastAsia="宋体"/>
          <w:color w:val="auto"/>
          <w:sz w:val="24"/>
          <w:szCs w:val="24"/>
        </w:rPr>
        <w:t xml:space="preserve">2.2 </w:t>
      </w:r>
      <w:r>
        <w:rPr>
          <w:rFonts w:hint="eastAsia" w:ascii="宋体" w:hAnsi="宋体" w:eastAsia="宋体"/>
          <w:color w:val="auto"/>
          <w:sz w:val="24"/>
          <w:szCs w:val="24"/>
        </w:rPr>
        <w:t>招标文件的澄清</w:t>
      </w:r>
      <w:bookmarkEnd w:id="80"/>
      <w:bookmarkEnd w:id="81"/>
      <w:bookmarkEnd w:id="82"/>
      <w:bookmarkEnd w:id="83"/>
      <w:bookmarkEnd w:id="84"/>
      <w:r>
        <w:rPr>
          <w:rFonts w:ascii="宋体" w:hAnsi="宋体" w:eastAsia="宋体"/>
          <w:color w:val="auto"/>
          <w:sz w:val="24"/>
          <w:szCs w:val="24"/>
        </w:rPr>
        <w:t xml:space="preserve"> </w:t>
      </w:r>
    </w:p>
    <w:p w14:paraId="7DB6EB87">
      <w:pPr>
        <w:pStyle w:val="17"/>
        <w:spacing w:line="360" w:lineRule="auto"/>
        <w:ind w:firstLine="480" w:firstLineChars="200"/>
        <w:rPr>
          <w:color w:val="auto"/>
          <w:sz w:val="24"/>
          <w:szCs w:val="24"/>
        </w:rPr>
      </w:pPr>
      <w:bookmarkStart w:id="85" w:name="_Toc508382110"/>
      <w:bookmarkStart w:id="86" w:name="_Toc508788627"/>
      <w:r>
        <w:rPr>
          <w:color w:val="auto"/>
          <w:sz w:val="24"/>
          <w:szCs w:val="24"/>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1D46F93">
      <w:pPr>
        <w:pStyle w:val="17"/>
        <w:spacing w:line="360" w:lineRule="auto"/>
        <w:ind w:firstLine="480" w:firstLineChars="200"/>
        <w:rPr>
          <w:color w:val="auto"/>
          <w:sz w:val="24"/>
          <w:szCs w:val="24"/>
        </w:rPr>
      </w:pPr>
      <w:r>
        <w:rPr>
          <w:color w:val="auto"/>
          <w:sz w:val="24"/>
          <w:szCs w:val="24"/>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464F5D10">
      <w:pPr>
        <w:pStyle w:val="17"/>
        <w:spacing w:line="360" w:lineRule="auto"/>
        <w:ind w:firstLine="480" w:firstLineChars="200"/>
        <w:rPr>
          <w:color w:val="auto"/>
          <w:sz w:val="24"/>
          <w:szCs w:val="24"/>
        </w:rPr>
      </w:pPr>
      <w:r>
        <w:rPr>
          <w:color w:val="auto"/>
          <w:sz w:val="24"/>
          <w:szCs w:val="24"/>
        </w:rPr>
        <w:t>2.2.3投标人在收到澄清后，应按投标人须知前附表规定的时间和形式通知招标人，确认已收到该澄清。</w:t>
      </w:r>
    </w:p>
    <w:p w14:paraId="5448D5EC">
      <w:pPr>
        <w:pStyle w:val="17"/>
        <w:spacing w:after="240" w:line="360" w:lineRule="auto"/>
        <w:ind w:firstLine="480" w:firstLineChars="200"/>
        <w:rPr>
          <w:color w:val="auto"/>
          <w:sz w:val="24"/>
          <w:szCs w:val="24"/>
        </w:rPr>
      </w:pPr>
      <w:r>
        <w:rPr>
          <w:color w:val="auto"/>
          <w:sz w:val="24"/>
          <w:szCs w:val="24"/>
        </w:rPr>
        <w:t>2.2.4 除非招标人认为确有必要答复，否则，招标人有权拒绝回复投标人在本章第 2.2.1项规定的时间后的任何澄清要求。</w:t>
      </w:r>
    </w:p>
    <w:p w14:paraId="14B89CAB">
      <w:pPr>
        <w:pStyle w:val="5"/>
        <w:spacing w:after="285"/>
        <w:ind w:left="132" w:right="0"/>
        <w:rPr>
          <w:rFonts w:ascii="宋体" w:hAnsi="宋体" w:eastAsia="宋体"/>
          <w:color w:val="auto"/>
          <w:sz w:val="24"/>
          <w:szCs w:val="24"/>
        </w:rPr>
      </w:pPr>
      <w:bookmarkStart w:id="87" w:name="_Toc190785396"/>
      <w:bookmarkStart w:id="88" w:name="_Toc190785912"/>
      <w:bookmarkStart w:id="89" w:name="_Toc190785816"/>
      <w:r>
        <w:rPr>
          <w:rFonts w:ascii="宋体" w:hAnsi="宋体" w:eastAsia="宋体"/>
          <w:color w:val="auto"/>
          <w:sz w:val="24"/>
          <w:szCs w:val="24"/>
        </w:rPr>
        <w:t xml:space="preserve">2.3 </w:t>
      </w:r>
      <w:r>
        <w:rPr>
          <w:rFonts w:hint="eastAsia" w:ascii="宋体" w:hAnsi="宋体" w:eastAsia="宋体"/>
          <w:color w:val="auto"/>
          <w:sz w:val="24"/>
          <w:szCs w:val="24"/>
        </w:rPr>
        <w:t>招标文件的修改</w:t>
      </w:r>
      <w:bookmarkEnd w:id="85"/>
      <w:bookmarkEnd w:id="86"/>
      <w:bookmarkEnd w:id="87"/>
      <w:bookmarkEnd w:id="88"/>
      <w:bookmarkEnd w:id="89"/>
      <w:r>
        <w:rPr>
          <w:rFonts w:ascii="宋体" w:hAnsi="宋体" w:eastAsia="宋体"/>
          <w:color w:val="auto"/>
          <w:sz w:val="24"/>
          <w:szCs w:val="24"/>
        </w:rPr>
        <w:t xml:space="preserve"> </w:t>
      </w:r>
    </w:p>
    <w:p w14:paraId="5C4802FC">
      <w:pPr>
        <w:pStyle w:val="17"/>
        <w:spacing w:line="360" w:lineRule="auto"/>
        <w:ind w:firstLine="480" w:firstLineChars="200"/>
        <w:rPr>
          <w:color w:val="auto"/>
          <w:sz w:val="24"/>
          <w:szCs w:val="24"/>
        </w:rPr>
      </w:pPr>
      <w:bookmarkStart w:id="90" w:name="_Toc508788628"/>
      <w:bookmarkStart w:id="91" w:name="_Toc508382111"/>
      <w:r>
        <w:rPr>
          <w:color w:val="auto"/>
          <w:sz w:val="24"/>
          <w:szCs w:val="24"/>
        </w:rPr>
        <w:t>2.3.1招标人以投标人须知前附表规定的形式修改招标文件，并通知所有已购买招标文件的</w:t>
      </w:r>
    </w:p>
    <w:p w14:paraId="1EBF2EC7">
      <w:pPr>
        <w:pStyle w:val="17"/>
        <w:spacing w:line="360" w:lineRule="auto"/>
        <w:ind w:firstLine="480" w:firstLineChars="200"/>
        <w:rPr>
          <w:color w:val="auto"/>
          <w:sz w:val="24"/>
          <w:szCs w:val="24"/>
        </w:rPr>
      </w:pPr>
      <w:r>
        <w:rPr>
          <w:color w:val="auto"/>
          <w:sz w:val="24"/>
          <w:szCs w:val="24"/>
        </w:rPr>
        <w:t>投标人。修改招标文件的时间距本章第4.2.1项规定的投标截止时间不足15日的，并且修改内容可能影响投标文件编制的，将相应延长投标截止时间。</w:t>
      </w:r>
    </w:p>
    <w:p w14:paraId="5370D734">
      <w:pPr>
        <w:pStyle w:val="17"/>
        <w:spacing w:after="240" w:line="360" w:lineRule="auto"/>
        <w:ind w:firstLine="480" w:firstLineChars="200"/>
        <w:rPr>
          <w:color w:val="auto"/>
          <w:sz w:val="24"/>
          <w:szCs w:val="24"/>
        </w:rPr>
      </w:pPr>
      <w:r>
        <w:rPr>
          <w:color w:val="auto"/>
          <w:sz w:val="24"/>
          <w:szCs w:val="24"/>
        </w:rPr>
        <w:t>2.3.2投标人收到修改内容后，应按投标人须知前附表规定的时间和形式通知招标人，确认已收到该修改。</w:t>
      </w:r>
    </w:p>
    <w:p w14:paraId="20BA73C2">
      <w:pPr>
        <w:pStyle w:val="5"/>
        <w:spacing w:after="285"/>
        <w:ind w:left="132" w:right="0"/>
        <w:rPr>
          <w:rFonts w:ascii="宋体" w:hAnsi="宋体" w:eastAsia="宋体"/>
          <w:color w:val="auto"/>
          <w:sz w:val="24"/>
          <w:szCs w:val="24"/>
        </w:rPr>
      </w:pPr>
      <w:bookmarkStart w:id="92" w:name="_Toc190785397"/>
      <w:bookmarkStart w:id="93" w:name="_Toc190785913"/>
      <w:bookmarkStart w:id="94" w:name="_Toc190785817"/>
      <w:r>
        <w:rPr>
          <w:rFonts w:ascii="宋体" w:hAnsi="宋体" w:eastAsia="宋体"/>
          <w:color w:val="auto"/>
          <w:sz w:val="24"/>
          <w:szCs w:val="24"/>
        </w:rPr>
        <w:t xml:space="preserve">2.4 </w:t>
      </w:r>
      <w:r>
        <w:rPr>
          <w:rFonts w:hint="eastAsia" w:ascii="宋体" w:hAnsi="宋体" w:eastAsia="宋体"/>
          <w:color w:val="auto"/>
          <w:sz w:val="24"/>
          <w:szCs w:val="24"/>
        </w:rPr>
        <w:t>招标文件的异议</w:t>
      </w:r>
      <w:bookmarkEnd w:id="90"/>
      <w:bookmarkEnd w:id="91"/>
      <w:bookmarkEnd w:id="92"/>
      <w:bookmarkEnd w:id="93"/>
      <w:bookmarkEnd w:id="94"/>
      <w:r>
        <w:rPr>
          <w:rFonts w:ascii="宋体" w:hAnsi="宋体" w:eastAsia="宋体"/>
          <w:color w:val="auto"/>
          <w:sz w:val="24"/>
          <w:szCs w:val="24"/>
        </w:rPr>
        <w:t xml:space="preserve"> </w:t>
      </w:r>
    </w:p>
    <w:p w14:paraId="592DD287">
      <w:pPr>
        <w:pStyle w:val="17"/>
        <w:spacing w:after="240" w:line="360" w:lineRule="auto"/>
        <w:ind w:firstLine="480" w:firstLineChars="200"/>
        <w:rPr>
          <w:rFonts w:ascii="宋体" w:hAnsi="宋体" w:eastAsia="宋体"/>
          <w:color w:val="auto"/>
          <w:sz w:val="24"/>
          <w:szCs w:val="24"/>
        </w:rPr>
      </w:pPr>
      <w:r>
        <w:rPr>
          <w:sz w:val="24"/>
          <w:szCs w:val="24"/>
        </w:rPr>
        <w:t>投标人或者其他利害关系人对招标文件有异议的，应当在投标截止时间10日前以书面形式提出。招标人将在收到异议之日起3日内作出答复；作出答复前，将暂停招标投标活动。</w:t>
      </w:r>
      <w:r>
        <w:rPr>
          <w:rFonts w:ascii="宋体" w:hAnsi="宋体" w:eastAsia="宋体"/>
          <w:color w:val="auto"/>
          <w:sz w:val="24"/>
          <w:szCs w:val="24"/>
        </w:rPr>
        <w:t xml:space="preserve"> </w:t>
      </w:r>
    </w:p>
    <w:p w14:paraId="44337190">
      <w:pPr>
        <w:pStyle w:val="4"/>
        <w:spacing w:after="503" w:line="264" w:lineRule="auto"/>
        <w:ind w:left="-5" w:right="0"/>
        <w:rPr>
          <w:rFonts w:ascii="宋体" w:hAnsi="宋体" w:eastAsia="宋体"/>
          <w:color w:val="auto"/>
          <w:sz w:val="24"/>
          <w:szCs w:val="24"/>
        </w:rPr>
      </w:pPr>
      <w:bookmarkStart w:id="95" w:name="_Toc508382112"/>
      <w:bookmarkStart w:id="96" w:name="_Toc190785914"/>
      <w:r>
        <w:rPr>
          <w:rFonts w:ascii="宋体" w:hAnsi="宋体" w:eastAsia="宋体"/>
          <w:b/>
          <w:color w:val="auto"/>
          <w:sz w:val="24"/>
          <w:szCs w:val="24"/>
        </w:rPr>
        <w:t xml:space="preserve">3. </w:t>
      </w:r>
      <w:r>
        <w:rPr>
          <w:rFonts w:hint="eastAsia" w:ascii="宋体" w:hAnsi="宋体" w:eastAsia="宋体"/>
          <w:color w:val="auto"/>
          <w:sz w:val="24"/>
          <w:szCs w:val="24"/>
        </w:rPr>
        <w:t>投标文件</w:t>
      </w:r>
      <w:bookmarkEnd w:id="95"/>
      <w:bookmarkEnd w:id="96"/>
      <w:r>
        <w:rPr>
          <w:rFonts w:ascii="宋体" w:hAnsi="宋体" w:eastAsia="宋体"/>
          <w:b/>
          <w:color w:val="auto"/>
          <w:sz w:val="24"/>
          <w:szCs w:val="24"/>
        </w:rPr>
        <w:t xml:space="preserve"> </w:t>
      </w:r>
    </w:p>
    <w:p w14:paraId="186C6AF4">
      <w:pPr>
        <w:pStyle w:val="5"/>
        <w:spacing w:after="283"/>
        <w:ind w:left="132" w:right="0"/>
        <w:rPr>
          <w:rFonts w:hint="eastAsia" w:ascii="宋体" w:hAnsi="宋体" w:eastAsia="宋体"/>
          <w:color w:val="auto"/>
          <w:sz w:val="24"/>
          <w:szCs w:val="24"/>
        </w:rPr>
      </w:pPr>
      <w:bookmarkStart w:id="97" w:name="_Toc190785819"/>
      <w:bookmarkStart w:id="98" w:name="_Toc508788630"/>
      <w:bookmarkStart w:id="99" w:name="_Toc508382113"/>
      <w:bookmarkStart w:id="100" w:name="_Toc190785915"/>
      <w:bookmarkStart w:id="101" w:name="_Toc190785399"/>
      <w:r>
        <w:rPr>
          <w:rFonts w:ascii="宋体" w:hAnsi="宋体" w:eastAsia="宋体"/>
          <w:color w:val="auto"/>
          <w:sz w:val="24"/>
          <w:szCs w:val="24"/>
        </w:rPr>
        <w:t xml:space="preserve">3.1 </w:t>
      </w:r>
      <w:r>
        <w:rPr>
          <w:rFonts w:hint="eastAsia" w:ascii="宋体" w:hAnsi="宋体" w:eastAsia="宋体"/>
          <w:color w:val="auto"/>
          <w:sz w:val="24"/>
          <w:szCs w:val="24"/>
        </w:rPr>
        <w:t>投标文件的组成</w:t>
      </w:r>
      <w:bookmarkEnd w:id="97"/>
      <w:bookmarkEnd w:id="98"/>
      <w:bookmarkEnd w:id="99"/>
      <w:bookmarkEnd w:id="100"/>
      <w:bookmarkEnd w:id="101"/>
    </w:p>
    <w:p w14:paraId="41B43CF4">
      <w:pPr>
        <w:pStyle w:val="17"/>
        <w:spacing w:line="360" w:lineRule="auto"/>
        <w:ind w:firstLine="480" w:firstLineChars="200"/>
        <w:rPr>
          <w:rFonts w:ascii="宋体" w:hAnsi="宋体" w:eastAsia="宋体"/>
          <w:color w:val="auto"/>
          <w:sz w:val="24"/>
          <w:szCs w:val="24"/>
        </w:rPr>
      </w:pPr>
      <w:r>
        <w:rPr>
          <w:rFonts w:ascii="宋体" w:hAnsi="宋体" w:eastAsia="宋体" w:cs="宋体"/>
          <w:color w:val="auto"/>
          <w:sz w:val="24"/>
          <w:szCs w:val="24"/>
        </w:rPr>
        <w:t xml:space="preserve">  </w:t>
      </w:r>
      <w:r>
        <w:rPr>
          <w:rFonts w:ascii="宋体" w:hAnsi="宋体" w:eastAsia="宋体"/>
          <w:color w:val="auto"/>
          <w:sz w:val="24"/>
          <w:szCs w:val="24"/>
        </w:rPr>
        <w:t xml:space="preserve">3.1.1 </w:t>
      </w:r>
      <w:r>
        <w:rPr>
          <w:rFonts w:hint="eastAsia" w:cs="宋体"/>
          <w:sz w:val="24"/>
          <w:szCs w:val="24"/>
        </w:rPr>
        <w:t>投标文件应包括下列内容：</w:t>
      </w:r>
    </w:p>
    <w:p w14:paraId="5BCCC501">
      <w:pPr>
        <w:pStyle w:val="17"/>
        <w:spacing w:line="360" w:lineRule="auto"/>
        <w:ind w:firstLine="480" w:firstLineChars="200"/>
        <w:rPr>
          <w:rFonts w:hint="eastAsia" w:cs="宋体"/>
          <w:b/>
          <w:sz w:val="24"/>
          <w:szCs w:val="24"/>
          <w:u w:val="single"/>
        </w:rPr>
      </w:pPr>
      <w:r>
        <w:rPr>
          <w:rFonts w:hint="eastAsia" w:ascii="宋体" w:hAnsi="宋体" w:eastAsia="宋体" w:cs="宋体"/>
          <w:color w:val="auto"/>
          <w:sz w:val="24"/>
          <w:szCs w:val="24"/>
        </w:rPr>
        <w:t>（1)投标文件由资信业绩部分（含资格审查文件）和技术部分两部分组成。各部分投标文件应分别编制。技术部分投标文件编制要求详见第六章投标文件格式“投标文件编制要求”。</w:t>
      </w:r>
    </w:p>
    <w:p w14:paraId="733D4BDA">
      <w:pPr>
        <w:spacing w:after="123" w:line="356" w:lineRule="auto"/>
        <w:ind w:right="103" w:firstLine="420"/>
        <w:rPr>
          <w:rFonts w:ascii="宋体" w:hAnsi="宋体" w:eastAsia="宋体"/>
          <w:color w:val="auto"/>
          <w:sz w:val="24"/>
          <w:szCs w:val="24"/>
        </w:rPr>
      </w:pPr>
      <w:r>
        <w:rPr>
          <w:rFonts w:hint="eastAsia" w:ascii="宋体" w:hAnsi="宋体" w:eastAsia="宋体" w:cs="宋体"/>
          <w:color w:val="auto"/>
          <w:sz w:val="24"/>
          <w:szCs w:val="24"/>
        </w:rPr>
        <w:t>投标人在评标过程中作出的符合法律法规和招标文件规定的澄清确认，构成投标文件的组成部分。</w:t>
      </w:r>
      <w:r>
        <w:rPr>
          <w:rFonts w:ascii="宋体" w:hAnsi="宋体" w:eastAsia="宋体"/>
          <w:color w:val="auto"/>
          <w:sz w:val="24"/>
          <w:szCs w:val="24"/>
        </w:rPr>
        <w:t xml:space="preserve"> </w:t>
      </w:r>
    </w:p>
    <w:p w14:paraId="34BD3974">
      <w:pPr>
        <w:spacing w:after="2" w:line="368" w:lineRule="auto"/>
        <w:ind w:right="103" w:firstLine="360"/>
        <w:rPr>
          <w:rFonts w:ascii="宋体" w:hAnsi="宋体" w:eastAsia="宋体"/>
          <w:color w:val="auto"/>
          <w:sz w:val="24"/>
          <w:szCs w:val="24"/>
        </w:rPr>
      </w:pPr>
      <w:r>
        <w:rPr>
          <w:rFonts w:ascii="宋体" w:hAnsi="宋体" w:eastAsia="宋体"/>
          <w:color w:val="auto"/>
          <w:sz w:val="24"/>
          <w:szCs w:val="24"/>
        </w:rPr>
        <w:t xml:space="preserve">3.1.2 </w:t>
      </w:r>
      <w:r>
        <w:rPr>
          <w:rFonts w:hint="eastAsia" w:ascii="宋体" w:hAnsi="宋体" w:eastAsia="宋体" w:cs="宋体"/>
          <w:color w:val="auto"/>
          <w:sz w:val="24"/>
          <w:szCs w:val="24"/>
        </w:rPr>
        <w:t>投标人须知前附表规定不接受联合体投标的，或投标人没有组成联合体的，投标文件不包括本章第</w:t>
      </w:r>
      <w:r>
        <w:rPr>
          <w:rFonts w:ascii="宋体" w:hAnsi="宋体" w:eastAsia="宋体" w:cs="宋体"/>
          <w:color w:val="auto"/>
          <w:sz w:val="24"/>
          <w:szCs w:val="24"/>
        </w:rPr>
        <w:t xml:space="preserve"> </w:t>
      </w:r>
      <w:r>
        <w:rPr>
          <w:rFonts w:ascii="宋体" w:hAnsi="宋体" w:eastAsia="宋体"/>
          <w:color w:val="auto"/>
          <w:sz w:val="24"/>
          <w:szCs w:val="24"/>
        </w:rPr>
        <w:t>3.1.1</w:t>
      </w:r>
      <w:r>
        <w:rPr>
          <w:rFonts w:hint="eastAsia" w:ascii="宋体" w:hAnsi="宋体" w:eastAsia="宋体" w:cs="宋体"/>
          <w:color w:val="auto"/>
          <w:sz w:val="24"/>
          <w:szCs w:val="24"/>
        </w:rPr>
        <w:t>（</w:t>
      </w:r>
      <w:r>
        <w:rPr>
          <w:rFonts w:ascii="宋体" w:hAnsi="宋体" w:eastAsia="宋体"/>
          <w:color w:val="auto"/>
          <w:sz w:val="24"/>
          <w:szCs w:val="24"/>
        </w:rPr>
        <w:t>3</w:t>
      </w:r>
      <w:r>
        <w:rPr>
          <w:rFonts w:hint="eastAsia" w:ascii="宋体" w:hAnsi="宋体" w:eastAsia="宋体" w:cs="宋体"/>
          <w:color w:val="auto"/>
          <w:sz w:val="24"/>
          <w:szCs w:val="24"/>
        </w:rPr>
        <w:t>）目所指的联合体协议书。</w:t>
      </w:r>
      <w:r>
        <w:rPr>
          <w:rFonts w:ascii="宋体" w:hAnsi="宋体" w:eastAsia="宋体"/>
          <w:color w:val="auto"/>
          <w:sz w:val="24"/>
          <w:szCs w:val="24"/>
        </w:rPr>
        <w:t xml:space="preserve"> </w:t>
      </w:r>
    </w:p>
    <w:p w14:paraId="3ECE4393">
      <w:pPr>
        <w:spacing w:after="216" w:line="373" w:lineRule="auto"/>
        <w:ind w:right="103" w:firstLine="360"/>
        <w:rPr>
          <w:rFonts w:ascii="宋体" w:hAnsi="宋体" w:eastAsia="宋体"/>
          <w:color w:val="auto"/>
          <w:sz w:val="24"/>
          <w:szCs w:val="24"/>
        </w:rPr>
      </w:pPr>
      <w:r>
        <w:rPr>
          <w:rFonts w:ascii="宋体" w:hAnsi="宋体" w:eastAsia="宋体"/>
          <w:color w:val="auto"/>
          <w:sz w:val="24"/>
          <w:szCs w:val="24"/>
        </w:rPr>
        <w:t>3.1.</w:t>
      </w:r>
      <w:r>
        <w:rPr>
          <w:rFonts w:hint="eastAsia" w:ascii="宋体" w:hAnsi="宋体" w:eastAsia="宋体"/>
          <w:color w:val="auto"/>
          <w:sz w:val="24"/>
          <w:szCs w:val="24"/>
        </w:rPr>
        <w:t>4</w:t>
      </w:r>
      <w:r>
        <w:rPr>
          <w:rFonts w:ascii="宋体" w:hAnsi="宋体" w:eastAsia="宋体"/>
          <w:color w:val="auto"/>
          <w:sz w:val="24"/>
          <w:szCs w:val="24"/>
        </w:rPr>
        <w:t xml:space="preserve"> </w:t>
      </w:r>
      <w:r>
        <w:rPr>
          <w:rFonts w:hint="eastAsia" w:ascii="宋体" w:hAnsi="宋体" w:eastAsia="宋体" w:cs="宋体"/>
          <w:color w:val="auto"/>
          <w:sz w:val="24"/>
          <w:szCs w:val="24"/>
        </w:rPr>
        <w:t>投标人须知前附表未要求提交投标保证金的，投标文件不包括本章第</w:t>
      </w:r>
      <w:r>
        <w:rPr>
          <w:rFonts w:ascii="宋体" w:hAnsi="宋体" w:eastAsia="宋体" w:cs="宋体"/>
          <w:color w:val="auto"/>
          <w:sz w:val="24"/>
          <w:szCs w:val="24"/>
        </w:rPr>
        <w:t xml:space="preserve"> </w:t>
      </w:r>
      <w:r>
        <w:rPr>
          <w:rFonts w:ascii="宋体" w:hAnsi="宋体" w:eastAsia="宋体"/>
          <w:color w:val="auto"/>
          <w:sz w:val="24"/>
          <w:szCs w:val="24"/>
        </w:rPr>
        <w:t>3.1.1</w:t>
      </w:r>
      <w:r>
        <w:rPr>
          <w:rFonts w:hint="eastAsia" w:ascii="宋体" w:hAnsi="宋体" w:eastAsia="宋体"/>
          <w:color w:val="auto"/>
          <w:sz w:val="24"/>
          <w:szCs w:val="24"/>
        </w:rPr>
        <w:t>.1</w:t>
      </w:r>
      <w:r>
        <w:rPr>
          <w:rFonts w:hint="eastAsia" w:ascii="宋体" w:hAnsi="宋体" w:eastAsia="宋体" w:cs="宋体"/>
          <w:color w:val="auto"/>
          <w:sz w:val="24"/>
          <w:szCs w:val="24"/>
        </w:rPr>
        <w:t>（</w:t>
      </w:r>
      <w:r>
        <w:rPr>
          <w:rFonts w:hint="eastAsia" w:ascii="宋体" w:hAnsi="宋体" w:eastAsia="宋体"/>
          <w:color w:val="auto"/>
          <w:sz w:val="24"/>
          <w:szCs w:val="24"/>
        </w:rPr>
        <w:t>13</w:t>
      </w:r>
      <w:r>
        <w:rPr>
          <w:rFonts w:hint="eastAsia" w:ascii="宋体" w:hAnsi="宋体" w:eastAsia="宋体" w:cs="宋体"/>
          <w:color w:val="auto"/>
          <w:sz w:val="24"/>
          <w:szCs w:val="24"/>
        </w:rPr>
        <w:t>）目所指的投标保证金。</w:t>
      </w:r>
      <w:r>
        <w:rPr>
          <w:rFonts w:ascii="宋体" w:hAnsi="宋体" w:eastAsia="宋体"/>
          <w:color w:val="auto"/>
          <w:sz w:val="24"/>
          <w:szCs w:val="24"/>
        </w:rPr>
        <w:t xml:space="preserve"> </w:t>
      </w:r>
      <w:bookmarkStart w:id="102" w:name="_Toc508382114"/>
      <w:bookmarkStart w:id="103" w:name="_Toc508788631"/>
    </w:p>
    <w:p w14:paraId="32276002">
      <w:pPr>
        <w:spacing w:after="216" w:line="373" w:lineRule="auto"/>
        <w:ind w:right="103" w:firstLine="360"/>
        <w:rPr>
          <w:rFonts w:ascii="宋体" w:hAnsi="宋体" w:eastAsia="宋体"/>
          <w:color w:val="auto"/>
          <w:sz w:val="24"/>
          <w:szCs w:val="24"/>
        </w:rPr>
      </w:pPr>
      <w:r>
        <w:rPr>
          <w:rFonts w:ascii="宋体" w:hAnsi="宋体" w:eastAsia="宋体"/>
          <w:color w:val="auto"/>
          <w:sz w:val="24"/>
          <w:szCs w:val="24"/>
        </w:rPr>
        <w:t xml:space="preserve">3.2 </w:t>
      </w:r>
      <w:r>
        <w:rPr>
          <w:rFonts w:hint="eastAsia" w:ascii="宋体" w:hAnsi="宋体" w:eastAsia="宋体"/>
          <w:color w:val="auto"/>
          <w:sz w:val="24"/>
          <w:szCs w:val="24"/>
        </w:rPr>
        <w:t>投标报价</w:t>
      </w:r>
      <w:bookmarkEnd w:id="102"/>
      <w:bookmarkEnd w:id="103"/>
      <w:r>
        <w:rPr>
          <w:rFonts w:ascii="宋体" w:hAnsi="宋体" w:eastAsia="宋体"/>
          <w:color w:val="auto"/>
          <w:sz w:val="24"/>
          <w:szCs w:val="24"/>
        </w:rPr>
        <w:t xml:space="preserve"> </w:t>
      </w:r>
    </w:p>
    <w:p w14:paraId="033629E9">
      <w:pPr>
        <w:spacing w:after="5" w:line="369" w:lineRule="auto"/>
        <w:ind w:left="-15" w:right="197" w:firstLine="410"/>
        <w:jc w:val="both"/>
        <w:rPr>
          <w:rFonts w:ascii="宋体" w:hAnsi="宋体" w:eastAsia="宋体"/>
          <w:color w:val="auto"/>
          <w:sz w:val="24"/>
          <w:szCs w:val="24"/>
        </w:rPr>
      </w:pPr>
      <w:r>
        <w:rPr>
          <w:rFonts w:ascii="宋体" w:hAnsi="宋体" w:eastAsia="宋体"/>
          <w:color w:val="auto"/>
          <w:sz w:val="24"/>
          <w:szCs w:val="24"/>
        </w:rPr>
        <w:t xml:space="preserve">3.2.1 </w:t>
      </w:r>
      <w:r>
        <w:rPr>
          <w:rFonts w:hint="eastAsia" w:ascii="宋体" w:hAnsi="宋体" w:eastAsia="宋体" w:cs="宋体"/>
          <w:color w:val="auto"/>
          <w:sz w:val="24"/>
          <w:szCs w:val="24"/>
        </w:rPr>
        <w:t>投标报价应包括国家规定的增值税税金，除投标人须知前附表另有规定外，增值税税金按一般计税方法计算。投标人应按第六章“投标文件格式”的要求在《工程勘察费报价表》中进行报价并填写。</w:t>
      </w:r>
      <w:r>
        <w:rPr>
          <w:rFonts w:ascii="宋体" w:hAnsi="宋体" w:eastAsia="宋体"/>
          <w:color w:val="auto"/>
          <w:sz w:val="24"/>
          <w:szCs w:val="24"/>
        </w:rPr>
        <w:t xml:space="preserve"> </w:t>
      </w:r>
    </w:p>
    <w:p w14:paraId="7F2B3B5E">
      <w:pPr>
        <w:spacing w:after="123" w:line="265" w:lineRule="auto"/>
        <w:ind w:left="417" w:right="103" w:hanging="10"/>
        <w:rPr>
          <w:rFonts w:ascii="宋体" w:hAnsi="宋体" w:eastAsia="宋体"/>
          <w:color w:val="auto"/>
          <w:sz w:val="24"/>
          <w:szCs w:val="24"/>
        </w:rPr>
      </w:pPr>
      <w:r>
        <w:rPr>
          <w:rFonts w:ascii="宋体" w:hAnsi="宋体" w:eastAsia="宋体"/>
          <w:color w:val="auto"/>
          <w:sz w:val="24"/>
          <w:szCs w:val="24"/>
        </w:rPr>
        <w:t xml:space="preserve">3.2.2 </w:t>
      </w:r>
      <w:r>
        <w:rPr>
          <w:rFonts w:hint="eastAsia" w:ascii="宋体" w:hAnsi="宋体" w:eastAsia="宋体" w:cs="宋体"/>
          <w:color w:val="auto"/>
          <w:sz w:val="24"/>
          <w:szCs w:val="24"/>
        </w:rPr>
        <w:t>投标人应充分了解该项目的总体情况以及影响投标报价的其他要素。</w:t>
      </w:r>
      <w:r>
        <w:rPr>
          <w:rFonts w:ascii="宋体" w:hAnsi="宋体" w:eastAsia="宋体"/>
          <w:color w:val="auto"/>
          <w:sz w:val="24"/>
          <w:szCs w:val="24"/>
        </w:rPr>
        <w:t xml:space="preserve"> </w:t>
      </w:r>
    </w:p>
    <w:p w14:paraId="4DB88048">
      <w:pPr>
        <w:spacing w:after="5" w:line="369" w:lineRule="auto"/>
        <w:ind w:left="-15" w:right="197" w:firstLine="410"/>
        <w:jc w:val="both"/>
        <w:rPr>
          <w:rFonts w:ascii="宋体" w:hAnsi="宋体" w:eastAsia="宋体"/>
          <w:color w:val="auto"/>
          <w:sz w:val="24"/>
          <w:szCs w:val="24"/>
        </w:rPr>
      </w:pPr>
      <w:r>
        <w:rPr>
          <w:rFonts w:ascii="宋体" w:hAnsi="宋体" w:eastAsia="宋体"/>
          <w:color w:val="auto"/>
          <w:sz w:val="24"/>
          <w:szCs w:val="24"/>
        </w:rPr>
        <w:t xml:space="preserve">3.2.3 </w:t>
      </w:r>
      <w:r>
        <w:rPr>
          <w:sz w:val="24"/>
          <w:szCs w:val="24"/>
        </w:rPr>
        <w:t>本项目的报价方式见投标人须知前附表。投标人在投标截止时间前修改投标函中的投标报价总额，应同时修改投标文件</w:t>
      </w:r>
      <w:r>
        <w:rPr>
          <w:rFonts w:hint="eastAsia"/>
          <w:sz w:val="24"/>
          <w:szCs w:val="24"/>
          <w:u w:val="single"/>
        </w:rPr>
        <w:t>相应的报价表</w:t>
      </w:r>
      <w:r>
        <w:rPr>
          <w:sz w:val="24"/>
          <w:szCs w:val="24"/>
        </w:rPr>
        <w:t>中的相应报价。此修改须符合本章第 4.3 款的有关要求</w:t>
      </w:r>
      <w:r>
        <w:rPr>
          <w:rFonts w:hint="eastAsia" w:ascii="宋体" w:hAnsi="宋体" w:eastAsia="宋体" w:cs="宋体"/>
          <w:color w:val="auto"/>
          <w:sz w:val="24"/>
          <w:szCs w:val="24"/>
        </w:rPr>
        <w:t>。</w:t>
      </w:r>
      <w:r>
        <w:rPr>
          <w:rFonts w:ascii="宋体" w:hAnsi="宋体" w:eastAsia="宋体"/>
          <w:color w:val="auto"/>
          <w:sz w:val="24"/>
          <w:szCs w:val="24"/>
        </w:rPr>
        <w:t xml:space="preserve"> </w:t>
      </w:r>
    </w:p>
    <w:p w14:paraId="338B06DE">
      <w:pPr>
        <w:spacing w:after="0" w:line="369" w:lineRule="auto"/>
        <w:ind w:right="103" w:firstLine="420"/>
        <w:rPr>
          <w:rFonts w:ascii="宋体" w:hAnsi="宋体" w:eastAsia="宋体"/>
          <w:color w:val="auto"/>
          <w:sz w:val="24"/>
          <w:szCs w:val="24"/>
        </w:rPr>
      </w:pPr>
      <w:r>
        <w:rPr>
          <w:rFonts w:ascii="宋体" w:hAnsi="宋体" w:eastAsia="宋体"/>
          <w:color w:val="auto"/>
          <w:sz w:val="24"/>
          <w:szCs w:val="24"/>
        </w:rPr>
        <w:t xml:space="preserve">3.2.4 </w:t>
      </w:r>
      <w:r>
        <w:rPr>
          <w:rFonts w:hint="eastAsia" w:ascii="宋体" w:hAnsi="宋体" w:eastAsia="宋体" w:cs="宋体"/>
          <w:color w:val="auto"/>
          <w:sz w:val="24"/>
          <w:szCs w:val="24"/>
        </w:rPr>
        <w:t>招标人设有最高投标限价的，投标人的投标报价不得超过最高投标限价，最高投标限价在投标人须知前附表中载明。</w:t>
      </w:r>
      <w:r>
        <w:rPr>
          <w:rFonts w:ascii="宋体" w:hAnsi="宋体" w:eastAsia="宋体"/>
          <w:color w:val="auto"/>
          <w:sz w:val="24"/>
          <w:szCs w:val="24"/>
        </w:rPr>
        <w:t xml:space="preserve"> </w:t>
      </w:r>
    </w:p>
    <w:p w14:paraId="7502BA90">
      <w:pPr>
        <w:pStyle w:val="37"/>
        <w:snapToGrid w:val="0"/>
        <w:spacing w:after="0" w:line="360" w:lineRule="auto"/>
        <w:ind w:firstLine="480" w:firstLineChars="200"/>
        <w:rPr>
          <w:rFonts w:ascii="宋体" w:hAnsi="宋体"/>
          <w:sz w:val="24"/>
          <w:szCs w:val="24"/>
          <w:u w:val="single"/>
        </w:rPr>
      </w:pPr>
      <w:r>
        <w:rPr>
          <w:rFonts w:ascii="宋体" w:hAnsi="宋体"/>
          <w:sz w:val="24"/>
          <w:szCs w:val="24"/>
        </w:rPr>
        <w:t>3.2.5投标报价的其他要求见投标人须知前附表。</w:t>
      </w:r>
    </w:p>
    <w:p w14:paraId="56044C2C">
      <w:pPr>
        <w:pStyle w:val="5"/>
        <w:spacing w:after="282"/>
        <w:ind w:left="132" w:right="0"/>
        <w:rPr>
          <w:rFonts w:ascii="宋体" w:hAnsi="宋体" w:eastAsia="宋体"/>
          <w:b/>
          <w:bCs/>
          <w:color w:val="auto"/>
          <w:sz w:val="24"/>
          <w:szCs w:val="24"/>
        </w:rPr>
      </w:pPr>
      <w:bookmarkStart w:id="104" w:name="_Toc190785916"/>
      <w:bookmarkStart w:id="105" w:name="_Toc508382115"/>
      <w:bookmarkStart w:id="106" w:name="_Toc190785820"/>
      <w:bookmarkStart w:id="107" w:name="_Toc508788632"/>
      <w:bookmarkStart w:id="108" w:name="_Toc190785400"/>
      <w:r>
        <w:rPr>
          <w:rFonts w:ascii="宋体" w:hAnsi="宋体" w:eastAsia="宋体"/>
          <w:b/>
          <w:bCs/>
          <w:color w:val="auto"/>
          <w:sz w:val="24"/>
          <w:szCs w:val="24"/>
        </w:rPr>
        <w:t xml:space="preserve">3.3 </w:t>
      </w:r>
      <w:r>
        <w:rPr>
          <w:rFonts w:hint="eastAsia" w:ascii="宋体" w:hAnsi="宋体" w:eastAsia="宋体"/>
          <w:b/>
          <w:bCs/>
          <w:color w:val="auto"/>
          <w:sz w:val="24"/>
          <w:szCs w:val="24"/>
        </w:rPr>
        <w:t>投标有效期</w:t>
      </w:r>
      <w:bookmarkEnd w:id="104"/>
      <w:bookmarkEnd w:id="105"/>
      <w:bookmarkEnd w:id="106"/>
      <w:bookmarkEnd w:id="107"/>
      <w:bookmarkEnd w:id="108"/>
      <w:r>
        <w:rPr>
          <w:rFonts w:ascii="宋体" w:hAnsi="宋体" w:eastAsia="宋体"/>
          <w:b/>
          <w:bCs/>
          <w:color w:val="auto"/>
          <w:sz w:val="24"/>
          <w:szCs w:val="24"/>
        </w:rPr>
        <w:t xml:space="preserve"> </w:t>
      </w:r>
    </w:p>
    <w:p w14:paraId="499A55E3">
      <w:pPr>
        <w:spacing w:after="123" w:line="265" w:lineRule="auto"/>
        <w:ind w:left="417" w:right="103" w:hanging="10"/>
        <w:rPr>
          <w:rFonts w:ascii="宋体" w:hAnsi="宋体" w:eastAsia="宋体"/>
          <w:color w:val="auto"/>
          <w:sz w:val="24"/>
          <w:szCs w:val="24"/>
        </w:rPr>
      </w:pPr>
      <w:r>
        <w:rPr>
          <w:rFonts w:ascii="宋体" w:hAnsi="宋体" w:eastAsia="宋体"/>
          <w:color w:val="auto"/>
          <w:sz w:val="24"/>
          <w:szCs w:val="24"/>
        </w:rPr>
        <w:t xml:space="preserve">3.3.1 </w:t>
      </w:r>
      <w:r>
        <w:rPr>
          <w:rFonts w:hint="eastAsia" w:ascii="宋体" w:hAnsi="宋体" w:eastAsia="宋体" w:cs="宋体"/>
          <w:color w:val="auto"/>
          <w:sz w:val="24"/>
          <w:szCs w:val="24"/>
        </w:rPr>
        <w:t xml:space="preserve">除投标人须知前附表另有规定外，投标有效期为90日历天。 </w:t>
      </w:r>
    </w:p>
    <w:p w14:paraId="13C15C3E">
      <w:pPr>
        <w:spacing w:after="123" w:line="265" w:lineRule="auto"/>
        <w:ind w:left="417" w:right="103" w:hanging="10"/>
        <w:rPr>
          <w:rFonts w:ascii="宋体" w:hAnsi="宋体" w:eastAsia="宋体"/>
          <w:color w:val="auto"/>
          <w:sz w:val="24"/>
          <w:szCs w:val="24"/>
        </w:rPr>
      </w:pPr>
      <w:r>
        <w:rPr>
          <w:rFonts w:ascii="宋体" w:hAnsi="宋体" w:eastAsia="宋体"/>
          <w:color w:val="auto"/>
          <w:sz w:val="24"/>
          <w:szCs w:val="24"/>
        </w:rPr>
        <w:t xml:space="preserve">3.3.2 </w:t>
      </w:r>
      <w:r>
        <w:rPr>
          <w:rFonts w:hint="eastAsia" w:ascii="宋体" w:hAnsi="宋体" w:eastAsia="宋体" w:cs="宋体"/>
          <w:color w:val="auto"/>
          <w:sz w:val="24"/>
          <w:szCs w:val="24"/>
        </w:rPr>
        <w:t>在投标有效期内，投标人撤销投标文件的，应承担招标文件和法律规定的责任。</w:t>
      </w:r>
      <w:r>
        <w:rPr>
          <w:rFonts w:ascii="宋体" w:hAnsi="宋体" w:eastAsia="宋体"/>
          <w:color w:val="auto"/>
          <w:sz w:val="24"/>
          <w:szCs w:val="24"/>
        </w:rPr>
        <w:t xml:space="preserve"> </w:t>
      </w:r>
    </w:p>
    <w:p w14:paraId="5EEE10BF">
      <w:pPr>
        <w:spacing w:after="234" w:line="356" w:lineRule="auto"/>
        <w:ind w:right="103" w:firstLine="420"/>
        <w:rPr>
          <w:rFonts w:ascii="宋体" w:hAnsi="宋体" w:eastAsia="宋体"/>
          <w:color w:val="auto"/>
          <w:sz w:val="24"/>
          <w:szCs w:val="24"/>
        </w:rPr>
      </w:pPr>
      <w:r>
        <w:rPr>
          <w:rFonts w:ascii="宋体" w:hAnsi="宋体" w:eastAsia="宋体"/>
          <w:color w:val="auto"/>
          <w:sz w:val="24"/>
          <w:szCs w:val="24"/>
        </w:rPr>
        <w:t xml:space="preserve">3.3.3 </w:t>
      </w:r>
      <w:r>
        <w:rPr>
          <w:sz w:val="24"/>
          <w:szCs w:val="24"/>
        </w:rPr>
        <w:t>出现特殊情况需要延长投标有效期的，招标人以书面形式通知所有投标人延长投标有效期</w:t>
      </w:r>
      <w:r>
        <w:rPr>
          <w:rFonts w:hint="eastAsia" w:ascii="宋体" w:hAnsi="宋体" w:eastAsia="宋体" w:cs="宋体"/>
          <w:color w:val="auto"/>
          <w:sz w:val="24"/>
          <w:szCs w:val="24"/>
        </w:rPr>
        <w:t>。</w:t>
      </w:r>
      <w:r>
        <w:rPr>
          <w:rFonts w:ascii="宋体" w:hAnsi="宋体" w:eastAsia="宋体"/>
          <w:color w:val="auto"/>
          <w:sz w:val="24"/>
          <w:szCs w:val="24"/>
        </w:rPr>
        <w:t xml:space="preserve"> </w:t>
      </w:r>
    </w:p>
    <w:p w14:paraId="603C2907">
      <w:pPr>
        <w:pStyle w:val="5"/>
        <w:spacing w:after="283"/>
        <w:ind w:left="132" w:right="0"/>
        <w:rPr>
          <w:rFonts w:ascii="宋体" w:hAnsi="宋体" w:eastAsia="宋体"/>
          <w:b/>
          <w:bCs/>
          <w:color w:val="auto"/>
          <w:sz w:val="24"/>
          <w:szCs w:val="24"/>
        </w:rPr>
      </w:pPr>
      <w:bookmarkStart w:id="109" w:name="_Toc190785821"/>
      <w:bookmarkStart w:id="110" w:name="_Toc508788633"/>
      <w:bookmarkStart w:id="111" w:name="_Toc508382116"/>
      <w:bookmarkStart w:id="112" w:name="_Toc190785917"/>
      <w:bookmarkStart w:id="113" w:name="_Toc190785401"/>
      <w:r>
        <w:rPr>
          <w:rFonts w:ascii="宋体" w:hAnsi="宋体" w:eastAsia="宋体"/>
          <w:b/>
          <w:bCs/>
          <w:color w:val="auto"/>
          <w:sz w:val="24"/>
          <w:szCs w:val="24"/>
        </w:rPr>
        <w:t xml:space="preserve">3.4 </w:t>
      </w:r>
      <w:r>
        <w:rPr>
          <w:rFonts w:hint="eastAsia" w:ascii="宋体" w:hAnsi="宋体" w:eastAsia="宋体"/>
          <w:b/>
          <w:bCs/>
          <w:color w:val="auto"/>
          <w:sz w:val="24"/>
          <w:szCs w:val="24"/>
        </w:rPr>
        <w:t>投标保证金</w:t>
      </w:r>
      <w:bookmarkEnd w:id="109"/>
      <w:bookmarkEnd w:id="110"/>
      <w:bookmarkEnd w:id="111"/>
      <w:bookmarkEnd w:id="112"/>
      <w:bookmarkEnd w:id="113"/>
      <w:r>
        <w:rPr>
          <w:rFonts w:ascii="宋体" w:hAnsi="宋体" w:eastAsia="宋体"/>
          <w:b/>
          <w:bCs/>
          <w:color w:val="auto"/>
          <w:sz w:val="24"/>
          <w:szCs w:val="24"/>
        </w:rPr>
        <w:t xml:space="preserve"> </w:t>
      </w:r>
    </w:p>
    <w:p w14:paraId="1CCE6B74">
      <w:pPr>
        <w:spacing w:after="123" w:line="358" w:lineRule="auto"/>
        <w:ind w:right="103" w:firstLine="420"/>
        <w:rPr>
          <w:rFonts w:ascii="宋体" w:hAnsi="宋体" w:eastAsia="宋体" w:cs="宋体"/>
          <w:color w:val="auto"/>
          <w:sz w:val="24"/>
          <w:szCs w:val="24"/>
        </w:rPr>
      </w:pPr>
      <w:r>
        <w:rPr>
          <w:rFonts w:hint="eastAsia"/>
          <w:sz w:val="24"/>
          <w:szCs w:val="24"/>
          <w:u w:val="single"/>
        </w:rPr>
        <w:t>本项目不要求提交。</w:t>
      </w:r>
    </w:p>
    <w:p w14:paraId="6B67C126">
      <w:pPr>
        <w:spacing w:after="123" w:line="358" w:lineRule="auto"/>
        <w:ind w:right="103" w:firstLine="420"/>
        <w:rPr>
          <w:rFonts w:ascii="宋体" w:hAnsi="宋体" w:eastAsia="宋体" w:cs="宋体"/>
          <w:strike/>
          <w:color w:val="auto"/>
          <w:sz w:val="24"/>
          <w:szCs w:val="24"/>
        </w:rPr>
      </w:pPr>
      <w:r>
        <w:rPr>
          <w:rFonts w:ascii="宋体" w:hAnsi="宋体" w:eastAsia="宋体" w:cs="宋体"/>
          <w:strike/>
          <w:color w:val="auto"/>
          <w:sz w:val="24"/>
          <w:szCs w:val="24"/>
        </w:rPr>
        <w:t xml:space="preserve">3.4.1 </w:t>
      </w:r>
      <w:r>
        <w:rPr>
          <w:rFonts w:hint="eastAsia" w:ascii="宋体" w:hAnsi="宋体" w:eastAsia="宋体" w:cs="宋体"/>
          <w:strike/>
          <w:color w:val="auto"/>
          <w:sz w:val="24"/>
          <w:szCs w:val="24"/>
        </w:rPr>
        <w:t>投标人在递交投标文件的同时，应按投标人须知前附表规定的金额、形式和第六章</w:t>
      </w:r>
      <w:r>
        <w:rPr>
          <w:rFonts w:ascii="宋体" w:hAnsi="宋体" w:eastAsia="宋体" w:cs="宋体"/>
          <w:strike/>
          <w:color w:val="auto"/>
          <w:sz w:val="24"/>
          <w:szCs w:val="24"/>
        </w:rPr>
        <w:t>“</w:t>
      </w:r>
      <w:r>
        <w:rPr>
          <w:rFonts w:hint="eastAsia" w:ascii="宋体" w:hAnsi="宋体" w:eastAsia="宋体" w:cs="宋体"/>
          <w:strike/>
          <w:color w:val="auto"/>
          <w:sz w:val="24"/>
          <w:szCs w:val="24"/>
        </w:rPr>
        <w:t>投标文件格式</w:t>
      </w:r>
      <w:r>
        <w:rPr>
          <w:rFonts w:ascii="宋体" w:hAnsi="宋体" w:eastAsia="宋体" w:cs="宋体"/>
          <w:strike/>
          <w:color w:val="auto"/>
          <w:sz w:val="24"/>
          <w:szCs w:val="24"/>
        </w:rPr>
        <w:t>”</w:t>
      </w:r>
      <w:r>
        <w:rPr>
          <w:rFonts w:hint="eastAsia" w:ascii="宋体" w:hAnsi="宋体" w:eastAsia="宋体" w:cs="宋体"/>
          <w:strike/>
          <w:color w:val="auto"/>
          <w:sz w:val="24"/>
          <w:szCs w:val="24"/>
        </w:rPr>
        <w:t>规定的投标保证金格式递交投标保证金，并作为其投标文件的组成部分。境内投标人的投标保证金可采用现金、支票、汇票、银行保函、保证保险、专业担保公司等能够实现保证目的的方式提交如采用现金或者支票形式提交的，投标保证金从投标人基本账户递交，由广州公共资源交易中心代收，到账情况以开标时广州公共资源交易中心数据库查询的信息为准；</w:t>
      </w:r>
    </w:p>
    <w:p w14:paraId="255547A5">
      <w:pPr>
        <w:spacing w:after="123" w:line="358" w:lineRule="auto"/>
        <w:ind w:right="103" w:firstLine="420"/>
        <w:rPr>
          <w:rFonts w:ascii="宋体" w:hAnsi="宋体" w:eastAsia="宋体"/>
          <w:strike/>
          <w:color w:val="auto"/>
          <w:sz w:val="24"/>
          <w:szCs w:val="24"/>
        </w:rPr>
      </w:pPr>
      <w:r>
        <w:rPr>
          <w:rFonts w:ascii="宋体" w:hAnsi="宋体" w:eastAsia="宋体"/>
          <w:strike/>
          <w:color w:val="auto"/>
          <w:sz w:val="24"/>
          <w:szCs w:val="24"/>
        </w:rPr>
        <w:t xml:space="preserve">3.4.2 </w:t>
      </w:r>
      <w:r>
        <w:rPr>
          <w:rFonts w:hint="eastAsia" w:ascii="宋体" w:hAnsi="宋体" w:eastAsia="宋体" w:cs="宋体"/>
          <w:strike/>
          <w:color w:val="auto"/>
          <w:sz w:val="24"/>
          <w:szCs w:val="24"/>
        </w:rPr>
        <w:t>投标人不按本章第</w:t>
      </w:r>
      <w:r>
        <w:rPr>
          <w:rFonts w:ascii="宋体" w:hAnsi="宋体" w:eastAsia="宋体" w:cs="宋体"/>
          <w:strike/>
          <w:color w:val="auto"/>
          <w:sz w:val="24"/>
          <w:szCs w:val="24"/>
        </w:rPr>
        <w:t xml:space="preserve"> </w:t>
      </w:r>
      <w:r>
        <w:rPr>
          <w:rFonts w:ascii="宋体" w:hAnsi="宋体" w:eastAsia="宋体"/>
          <w:strike/>
          <w:color w:val="auto"/>
          <w:sz w:val="24"/>
          <w:szCs w:val="24"/>
        </w:rPr>
        <w:t xml:space="preserve">3.4.1 </w:t>
      </w:r>
      <w:r>
        <w:rPr>
          <w:rFonts w:hint="eastAsia" w:ascii="宋体" w:hAnsi="宋体" w:eastAsia="宋体" w:cs="宋体"/>
          <w:strike/>
          <w:color w:val="auto"/>
          <w:sz w:val="24"/>
          <w:szCs w:val="24"/>
        </w:rPr>
        <w:t>项要求提交投标保证金的，评标委员会将否决其投标。</w:t>
      </w:r>
      <w:r>
        <w:rPr>
          <w:rFonts w:ascii="宋体" w:hAnsi="宋体" w:eastAsia="宋体"/>
          <w:strike/>
          <w:color w:val="auto"/>
          <w:sz w:val="24"/>
          <w:szCs w:val="24"/>
        </w:rPr>
        <w:t xml:space="preserve"> </w:t>
      </w:r>
    </w:p>
    <w:p w14:paraId="7471D1BE">
      <w:pPr>
        <w:spacing w:after="0" w:line="372" w:lineRule="auto"/>
        <w:ind w:right="103" w:firstLine="420"/>
        <w:rPr>
          <w:rFonts w:hint="eastAsia" w:ascii="宋体" w:hAnsi="宋体" w:eastAsia="宋体" w:cs="宋体"/>
          <w:strike/>
          <w:color w:val="auto"/>
          <w:sz w:val="24"/>
          <w:szCs w:val="24"/>
        </w:rPr>
      </w:pPr>
      <w:r>
        <w:rPr>
          <w:rFonts w:ascii="宋体" w:hAnsi="宋体" w:eastAsia="宋体"/>
          <w:strike/>
          <w:color w:val="auto"/>
          <w:sz w:val="24"/>
          <w:szCs w:val="24"/>
        </w:rPr>
        <w:t xml:space="preserve">3.4.3 </w:t>
      </w:r>
      <w:r>
        <w:rPr>
          <w:rFonts w:hint="eastAsia" w:ascii="宋体" w:hAnsi="宋体" w:eastAsia="宋体" w:cs="宋体"/>
          <w:strike/>
          <w:color w:val="auto"/>
          <w:sz w:val="24"/>
          <w:szCs w:val="24"/>
        </w:rPr>
        <w:t>招标人最迟将在与中标人签订合同后</w:t>
      </w:r>
      <w:r>
        <w:rPr>
          <w:rFonts w:ascii="宋体" w:hAnsi="宋体" w:eastAsia="宋体" w:cs="宋体"/>
          <w:strike/>
          <w:color w:val="auto"/>
          <w:sz w:val="24"/>
          <w:szCs w:val="24"/>
        </w:rPr>
        <w:t xml:space="preserve"> </w:t>
      </w:r>
      <w:r>
        <w:rPr>
          <w:rFonts w:ascii="宋体" w:hAnsi="宋体" w:eastAsia="宋体"/>
          <w:strike/>
          <w:color w:val="auto"/>
          <w:sz w:val="24"/>
          <w:szCs w:val="24"/>
        </w:rPr>
        <w:t xml:space="preserve">5 </w:t>
      </w:r>
      <w:r>
        <w:rPr>
          <w:rFonts w:hint="eastAsia" w:ascii="宋体" w:hAnsi="宋体" w:eastAsia="宋体" w:cs="宋体"/>
          <w:strike/>
          <w:color w:val="auto"/>
          <w:sz w:val="24"/>
          <w:szCs w:val="24"/>
        </w:rPr>
        <w:t>日内，向未中标的投标人和中标人退还投标保证金。投标保证金以现金或者支票形式递交的，还应退还银行同期存款利息。</w:t>
      </w:r>
      <w:r>
        <w:rPr>
          <w:rFonts w:hint="eastAsia"/>
          <w:strike/>
          <w:color w:val="auto"/>
          <w:sz w:val="24"/>
          <w:szCs w:val="24"/>
        </w:rPr>
        <w:t>如出现异议或投诉，则投标有效期自动延长至异议或投诉处理结束。在提交投标文件截止时间后到招标文件规定的投标有效期终止之前，投标人不得补充、修改或者撤回其投标文件，否则其保证金将不予退还。招标人因特殊情况需要延长提交投标文件截止时间，投标人可以拒绝投标，招标人对退出的投标人不作任何经济补偿。同意延长投标有效期的投标人，在延长期内本招标文件的规定仍然适用。</w:t>
      </w:r>
      <w:r>
        <w:rPr>
          <w:rFonts w:hint="eastAsia" w:ascii="宋体" w:hAnsi="宋体" w:eastAsia="宋体" w:cs="宋体"/>
          <w:strike/>
          <w:color w:val="auto"/>
          <w:sz w:val="24"/>
          <w:szCs w:val="24"/>
        </w:rPr>
        <w:t xml:space="preserve"> </w:t>
      </w:r>
    </w:p>
    <w:p w14:paraId="041DC604">
      <w:pPr>
        <w:spacing w:after="123" w:line="265" w:lineRule="auto"/>
        <w:ind w:left="417" w:right="103" w:hanging="10"/>
        <w:rPr>
          <w:rFonts w:hint="eastAsia" w:ascii="宋体" w:hAnsi="宋体" w:eastAsia="宋体" w:cs="宋体"/>
          <w:strike/>
          <w:color w:val="auto"/>
          <w:kern w:val="0"/>
          <w:sz w:val="24"/>
          <w:szCs w:val="24"/>
        </w:rPr>
      </w:pPr>
      <w:r>
        <w:rPr>
          <w:rFonts w:hint="eastAsia" w:ascii="宋体" w:hAnsi="宋体" w:eastAsia="宋体" w:cs="宋体"/>
          <w:strike/>
          <w:color w:val="auto"/>
          <w:sz w:val="24"/>
          <w:szCs w:val="24"/>
        </w:rPr>
        <w:t>3.4.4</w:t>
      </w:r>
      <w:r>
        <w:rPr>
          <w:rFonts w:hint="eastAsia" w:ascii="宋体" w:hAnsi="宋体" w:eastAsia="宋体" w:cs="宋体"/>
          <w:strike/>
          <w:color w:val="auto"/>
          <w:kern w:val="0"/>
          <w:sz w:val="24"/>
          <w:szCs w:val="24"/>
        </w:rPr>
        <w:t>如有下列情况之一的，将不予退还投标担保：</w:t>
      </w:r>
    </w:p>
    <w:p w14:paraId="0B650088">
      <w:pPr>
        <w:spacing w:line="360" w:lineRule="auto"/>
        <w:ind w:firstLine="480" w:firstLineChars="200"/>
        <w:rPr>
          <w:rFonts w:hint="eastAsia" w:ascii="宋体" w:hAnsi="宋体" w:eastAsia="宋体" w:cs="宋体"/>
          <w:strike/>
          <w:color w:val="auto"/>
          <w:sz w:val="24"/>
          <w:szCs w:val="24"/>
        </w:rPr>
      </w:pPr>
      <w:r>
        <w:rPr>
          <w:rFonts w:hint="eastAsia" w:ascii="宋体" w:hAnsi="宋体" w:eastAsia="宋体" w:cs="宋体"/>
          <w:strike/>
          <w:color w:val="auto"/>
          <w:sz w:val="24"/>
          <w:szCs w:val="24"/>
        </w:rPr>
        <w:t>（1）投标人在投标有效期内撤销投标文件；</w:t>
      </w:r>
    </w:p>
    <w:p w14:paraId="43CF2CC7">
      <w:pPr>
        <w:spacing w:line="360" w:lineRule="auto"/>
        <w:ind w:firstLine="480" w:firstLineChars="200"/>
        <w:rPr>
          <w:rFonts w:hint="eastAsia" w:ascii="宋体" w:hAnsi="宋体" w:eastAsia="宋体" w:cs="宋体"/>
          <w:strike/>
          <w:color w:val="auto"/>
          <w:sz w:val="24"/>
          <w:szCs w:val="24"/>
        </w:rPr>
      </w:pPr>
      <w:r>
        <w:rPr>
          <w:rFonts w:hint="eastAsia" w:ascii="宋体" w:hAnsi="宋体" w:eastAsia="宋体" w:cs="宋体"/>
          <w:strike/>
          <w:color w:val="auto"/>
          <w:sz w:val="24"/>
          <w:szCs w:val="24"/>
        </w:rPr>
        <w:t>（2）中标人在收到中标通知书后，无正当理由不与招标人订立合同，在签订合同时向招标人提出附加条件；</w:t>
      </w:r>
    </w:p>
    <w:p w14:paraId="36C6EBF8">
      <w:pPr>
        <w:spacing w:line="360" w:lineRule="auto"/>
        <w:ind w:firstLine="480" w:firstLineChars="200"/>
        <w:rPr>
          <w:rFonts w:hint="eastAsia" w:ascii="宋体" w:hAnsi="宋体" w:eastAsia="宋体" w:cs="宋体"/>
          <w:strike/>
          <w:color w:val="auto"/>
          <w:sz w:val="24"/>
          <w:szCs w:val="24"/>
        </w:rPr>
      </w:pPr>
      <w:r>
        <w:rPr>
          <w:rFonts w:hint="eastAsia" w:ascii="宋体" w:hAnsi="宋体" w:eastAsia="宋体" w:cs="宋体"/>
          <w:strike/>
          <w:color w:val="auto"/>
          <w:sz w:val="24"/>
          <w:szCs w:val="24"/>
        </w:rPr>
        <w:t>（3）发生投标人须知前附表规定的其他可以不予退还投标保证金的情形。</w:t>
      </w:r>
    </w:p>
    <w:p w14:paraId="614850B0">
      <w:pPr>
        <w:pStyle w:val="17"/>
        <w:kinsoku w:val="0"/>
        <w:overflowPunct w:val="0"/>
        <w:spacing w:line="310" w:lineRule="auto"/>
        <w:ind w:right="222"/>
        <w:jc w:val="both"/>
        <w:rPr>
          <w:rFonts w:hint="eastAsia" w:ascii="宋体" w:hAnsi="宋体" w:eastAsia="宋体" w:cs="宋体"/>
          <w:strike/>
          <w:color w:val="auto"/>
          <w:kern w:val="0"/>
          <w:sz w:val="24"/>
          <w:szCs w:val="24"/>
        </w:rPr>
      </w:pPr>
      <w:r>
        <w:rPr>
          <w:rFonts w:hint="eastAsia" w:ascii="宋体" w:hAnsi="宋体" w:eastAsia="宋体" w:cs="宋体"/>
          <w:strike/>
          <w:color w:val="auto"/>
          <w:kern w:val="0"/>
          <w:sz w:val="24"/>
          <w:szCs w:val="24"/>
        </w:rPr>
        <w:t>3.5资格审查资料（适用于已进行资格预审的）</w:t>
      </w:r>
    </w:p>
    <w:p w14:paraId="4B6C72AF">
      <w:pPr>
        <w:pStyle w:val="17"/>
        <w:kinsoku w:val="0"/>
        <w:overflowPunct w:val="0"/>
        <w:spacing w:line="310" w:lineRule="auto"/>
        <w:ind w:right="222" w:firstLine="484" w:firstLineChars="202"/>
        <w:jc w:val="both"/>
        <w:rPr>
          <w:rFonts w:hint="eastAsia" w:ascii="宋体" w:hAnsi="宋体" w:eastAsia="宋体" w:cs="宋体"/>
          <w:strike/>
          <w:color w:val="auto"/>
          <w:sz w:val="24"/>
          <w:szCs w:val="24"/>
        </w:rPr>
      </w:pPr>
      <w:r>
        <w:rPr>
          <w:rFonts w:hint="eastAsia" w:ascii="宋体" w:hAnsi="宋体" w:eastAsia="宋体" w:cs="宋体"/>
          <w:strike/>
          <w:color w:val="auto"/>
          <w:sz w:val="24"/>
          <w:szCs w:val="24"/>
        </w:rPr>
        <w:t>投标人在递交投标文件前，发生可能影响其投标资格的新情况的，应更新或补充其在申请 资格预审时提供的资料，以证实其各项资格条件仍能继续满足资格预审文件的要求，且没有实质性降低。</w:t>
      </w:r>
    </w:p>
    <w:p w14:paraId="06CB3B30">
      <w:pPr>
        <w:pStyle w:val="5"/>
        <w:spacing w:after="281"/>
        <w:ind w:left="132" w:right="0"/>
        <w:rPr>
          <w:rFonts w:hint="eastAsia" w:ascii="宋体" w:hAnsi="宋体" w:eastAsia="宋体" w:cs="宋体"/>
          <w:color w:val="auto"/>
          <w:sz w:val="24"/>
          <w:szCs w:val="24"/>
        </w:rPr>
      </w:pPr>
      <w:bookmarkStart w:id="114" w:name="_Toc508788634"/>
      <w:bookmarkStart w:id="115" w:name="_Toc190785918"/>
      <w:bookmarkStart w:id="116" w:name="_Toc508382117"/>
      <w:bookmarkStart w:id="117" w:name="_Toc190785402"/>
      <w:bookmarkStart w:id="118" w:name="_Toc190785822"/>
      <w:r>
        <w:rPr>
          <w:rFonts w:hint="eastAsia" w:ascii="宋体" w:hAnsi="宋体" w:eastAsia="宋体" w:cs="宋体"/>
          <w:color w:val="auto"/>
          <w:sz w:val="24"/>
          <w:szCs w:val="24"/>
        </w:rPr>
        <w:t>3.5 资格审查资料（适用于未进行资格预审的）</w:t>
      </w:r>
      <w:bookmarkEnd w:id="114"/>
      <w:bookmarkEnd w:id="115"/>
      <w:bookmarkEnd w:id="116"/>
      <w:bookmarkEnd w:id="117"/>
      <w:bookmarkEnd w:id="118"/>
      <w:r>
        <w:rPr>
          <w:rFonts w:hint="eastAsia" w:ascii="宋体" w:hAnsi="宋体" w:eastAsia="宋体" w:cs="宋体"/>
          <w:color w:val="auto"/>
          <w:sz w:val="24"/>
          <w:szCs w:val="24"/>
        </w:rPr>
        <w:t xml:space="preserve"> </w:t>
      </w:r>
    </w:p>
    <w:p w14:paraId="5CAE43AB">
      <w:pPr>
        <w:pStyle w:val="17"/>
        <w:spacing w:line="360" w:lineRule="auto"/>
        <w:ind w:firstLine="480" w:firstLineChars="200"/>
        <w:rPr>
          <w:color w:val="auto"/>
          <w:sz w:val="24"/>
          <w:szCs w:val="24"/>
        </w:rPr>
      </w:pPr>
      <w:bookmarkStart w:id="119" w:name="_Toc508382118"/>
      <w:bookmarkStart w:id="120" w:name="_Toc508788635"/>
      <w:r>
        <w:rPr>
          <w:rFonts w:hint="eastAsia" w:eastAsia="宋体"/>
          <w:color w:val="auto"/>
          <w:sz w:val="24"/>
          <w:szCs w:val="24"/>
        </w:rPr>
        <w:t>3.5.1</w:t>
      </w:r>
      <w:r>
        <w:rPr>
          <w:rFonts w:hint="eastAsia"/>
          <w:color w:val="auto"/>
          <w:sz w:val="24"/>
          <w:szCs w:val="24"/>
        </w:rPr>
        <w:t>除投标人须知前附表另有规定外，投标人应按招标公告“3.投标人资格要求”提供资格审查资料，以证明其满足本章第 1.4款规定的要求</w:t>
      </w:r>
      <w:r>
        <w:rPr>
          <w:color w:val="auto"/>
          <w:sz w:val="24"/>
          <w:szCs w:val="24"/>
        </w:rPr>
        <w:t>。</w:t>
      </w:r>
    </w:p>
    <w:p w14:paraId="3FA55D6B">
      <w:pPr>
        <w:pStyle w:val="17"/>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 xml:space="preserve">3.5.2本项目采用电子化资格后审，由评标委员会负责对投标人的资格进行审查，评标时只对通过资格审查的投标人进行下一阶段的评审。     </w:t>
      </w:r>
    </w:p>
    <w:p w14:paraId="2515D805">
      <w:pPr>
        <w:pStyle w:val="17"/>
        <w:spacing w:line="360" w:lineRule="auto"/>
        <w:ind w:firstLine="480"/>
        <w:rPr>
          <w:rFonts w:ascii="宋体" w:hAnsi="宋体" w:eastAsia="宋体"/>
          <w:color w:val="auto"/>
          <w:sz w:val="24"/>
          <w:szCs w:val="24"/>
        </w:rPr>
      </w:pPr>
      <w:r>
        <w:rPr>
          <w:rFonts w:ascii="宋体" w:hAnsi="宋体" w:eastAsia="宋体"/>
          <w:color w:val="auto"/>
          <w:sz w:val="24"/>
          <w:szCs w:val="24"/>
        </w:rPr>
        <w:t>3.5.3资审合格后，投标人的资格发生变化而不满足投标人合格条件，在发出中标通知书前，资格问题仍未解决的，招标人将取消其中标资格。</w:t>
      </w:r>
    </w:p>
    <w:p w14:paraId="268F44BF">
      <w:pPr>
        <w:pStyle w:val="5"/>
        <w:spacing w:after="284"/>
        <w:ind w:left="132" w:right="0"/>
        <w:rPr>
          <w:rFonts w:ascii="宋体" w:hAnsi="宋体" w:eastAsia="宋体"/>
          <w:color w:val="auto"/>
          <w:sz w:val="24"/>
          <w:szCs w:val="24"/>
        </w:rPr>
      </w:pPr>
      <w:bookmarkStart w:id="121" w:name="_Toc190785919"/>
      <w:bookmarkStart w:id="122" w:name="_Toc190785403"/>
      <w:bookmarkStart w:id="123" w:name="_Toc190785823"/>
      <w:r>
        <w:rPr>
          <w:rFonts w:ascii="宋体" w:hAnsi="宋体" w:eastAsia="宋体"/>
          <w:color w:val="auto"/>
          <w:sz w:val="24"/>
          <w:szCs w:val="24"/>
        </w:rPr>
        <w:t xml:space="preserve">3.6 </w:t>
      </w:r>
      <w:r>
        <w:rPr>
          <w:rFonts w:hint="eastAsia" w:ascii="宋体" w:hAnsi="宋体" w:eastAsia="宋体"/>
          <w:color w:val="auto"/>
          <w:sz w:val="24"/>
          <w:szCs w:val="24"/>
        </w:rPr>
        <w:t>备选投标方案</w:t>
      </w:r>
      <w:bookmarkEnd w:id="119"/>
      <w:bookmarkEnd w:id="120"/>
      <w:bookmarkEnd w:id="121"/>
      <w:bookmarkEnd w:id="122"/>
      <w:bookmarkEnd w:id="123"/>
      <w:r>
        <w:rPr>
          <w:rFonts w:ascii="宋体" w:hAnsi="宋体" w:eastAsia="宋体"/>
          <w:color w:val="auto"/>
          <w:sz w:val="24"/>
          <w:szCs w:val="24"/>
        </w:rPr>
        <w:t xml:space="preserve"> </w:t>
      </w:r>
    </w:p>
    <w:p w14:paraId="1E1F2F7E">
      <w:pPr>
        <w:spacing w:after="0" w:line="368" w:lineRule="auto"/>
        <w:ind w:right="103" w:firstLine="420"/>
        <w:rPr>
          <w:rFonts w:hint="eastAsia" w:ascii="宋体" w:hAnsi="宋体" w:eastAsia="宋体"/>
          <w:color w:val="auto"/>
          <w:sz w:val="24"/>
          <w:szCs w:val="24"/>
        </w:rPr>
      </w:pPr>
      <w:r>
        <w:rPr>
          <w:rFonts w:hint="eastAsia" w:ascii="宋体" w:hAnsi="宋体" w:eastAsia="宋体"/>
          <w:color w:val="auto"/>
          <w:sz w:val="24"/>
          <w:szCs w:val="24"/>
        </w:rPr>
        <w:t>不允许递交备选投标方案。</w:t>
      </w:r>
    </w:p>
    <w:p w14:paraId="0A7276BF">
      <w:pPr>
        <w:spacing w:after="0" w:line="368" w:lineRule="auto"/>
        <w:ind w:right="103" w:firstLine="420"/>
        <w:rPr>
          <w:rFonts w:ascii="宋体" w:hAnsi="宋体" w:eastAsia="宋体"/>
          <w:strike/>
          <w:color w:val="auto"/>
          <w:sz w:val="24"/>
          <w:szCs w:val="24"/>
        </w:rPr>
      </w:pPr>
      <w:r>
        <w:rPr>
          <w:rFonts w:ascii="宋体" w:hAnsi="宋体" w:eastAsia="宋体"/>
          <w:strike/>
          <w:color w:val="auto"/>
          <w:sz w:val="24"/>
          <w:szCs w:val="24"/>
        </w:rPr>
        <w:t xml:space="preserve">3.6.1 </w:t>
      </w:r>
      <w:r>
        <w:rPr>
          <w:rFonts w:hint="eastAsia" w:ascii="宋体" w:hAnsi="宋体" w:eastAsia="宋体" w:cs="宋体"/>
          <w:strike/>
          <w:color w:val="auto"/>
          <w:sz w:val="24"/>
          <w:szCs w:val="24"/>
        </w:rPr>
        <w:t>除投标人须知前附表规定允许外，投标人不得递交备选投标方案，否则其投标将被否决。</w:t>
      </w:r>
      <w:r>
        <w:rPr>
          <w:rFonts w:ascii="宋体" w:hAnsi="宋体" w:eastAsia="宋体"/>
          <w:strike/>
          <w:color w:val="auto"/>
          <w:sz w:val="24"/>
          <w:szCs w:val="24"/>
        </w:rPr>
        <w:t xml:space="preserve"> </w:t>
      </w:r>
    </w:p>
    <w:p w14:paraId="5A49F82C">
      <w:pPr>
        <w:spacing w:after="9" w:line="359" w:lineRule="auto"/>
        <w:ind w:right="103" w:firstLine="420"/>
        <w:rPr>
          <w:rFonts w:ascii="宋体" w:hAnsi="宋体" w:eastAsia="宋体"/>
          <w:strike/>
          <w:color w:val="auto"/>
          <w:sz w:val="24"/>
          <w:szCs w:val="24"/>
        </w:rPr>
      </w:pPr>
      <w:r>
        <w:rPr>
          <w:rFonts w:ascii="宋体" w:hAnsi="宋体" w:eastAsia="宋体"/>
          <w:strike/>
          <w:color w:val="auto"/>
          <w:sz w:val="24"/>
          <w:szCs w:val="24"/>
        </w:rPr>
        <w:t xml:space="preserve">3.6.2 </w:t>
      </w:r>
      <w:r>
        <w:rPr>
          <w:rFonts w:hint="eastAsia" w:ascii="宋体" w:hAnsi="宋体" w:eastAsia="宋体" w:cs="宋体"/>
          <w:strike/>
          <w:color w:val="auto"/>
          <w:sz w:val="24"/>
          <w:szCs w:val="24"/>
        </w:rPr>
        <w:t>允许投标人递交备选投标方案的，只有中标人所递交的备选投标方案方可予以考虑。评标委员会认为中标人的备选投标方案优于其按照招标文件要求编制的投标方案的，招标人可以接受该备选投标方案。</w:t>
      </w:r>
      <w:r>
        <w:rPr>
          <w:rFonts w:ascii="宋体" w:hAnsi="宋体" w:eastAsia="宋体"/>
          <w:strike/>
          <w:color w:val="auto"/>
          <w:sz w:val="24"/>
          <w:szCs w:val="24"/>
        </w:rPr>
        <w:t xml:space="preserve"> </w:t>
      </w:r>
    </w:p>
    <w:p w14:paraId="68F5986C">
      <w:pPr>
        <w:spacing w:after="222" w:line="369" w:lineRule="auto"/>
        <w:ind w:right="103" w:firstLine="420"/>
        <w:rPr>
          <w:rFonts w:ascii="宋体" w:hAnsi="宋体" w:eastAsia="宋体"/>
          <w:strike/>
          <w:color w:val="auto"/>
          <w:sz w:val="24"/>
          <w:szCs w:val="24"/>
        </w:rPr>
      </w:pPr>
      <w:r>
        <w:rPr>
          <w:rFonts w:ascii="宋体" w:hAnsi="宋体" w:eastAsia="宋体"/>
          <w:strike/>
          <w:color w:val="auto"/>
          <w:sz w:val="24"/>
          <w:szCs w:val="24"/>
        </w:rPr>
        <w:t xml:space="preserve">3.6.3 </w:t>
      </w:r>
      <w:r>
        <w:rPr>
          <w:rFonts w:hint="eastAsia" w:ascii="宋体" w:hAnsi="宋体" w:eastAsia="宋体" w:cs="宋体"/>
          <w:strike/>
          <w:color w:val="auto"/>
          <w:sz w:val="24"/>
          <w:szCs w:val="24"/>
        </w:rPr>
        <w:t>投标人提供两个或两个以上投标报价，或者在投标文件中提供一个报价，但同时提供两个或两个以上技术方案的，视为提供备选方案。</w:t>
      </w:r>
      <w:r>
        <w:rPr>
          <w:rFonts w:ascii="宋体" w:hAnsi="宋体" w:eastAsia="宋体"/>
          <w:strike/>
          <w:color w:val="auto"/>
          <w:sz w:val="24"/>
          <w:szCs w:val="24"/>
        </w:rPr>
        <w:t xml:space="preserve"> </w:t>
      </w:r>
    </w:p>
    <w:p w14:paraId="56EE843E">
      <w:pPr>
        <w:pStyle w:val="5"/>
        <w:spacing w:after="285"/>
        <w:ind w:left="132" w:right="0"/>
        <w:rPr>
          <w:rFonts w:ascii="宋体" w:hAnsi="宋体" w:eastAsia="宋体"/>
          <w:color w:val="auto"/>
          <w:sz w:val="24"/>
          <w:szCs w:val="24"/>
        </w:rPr>
      </w:pPr>
      <w:bookmarkStart w:id="124" w:name="_Toc508788636"/>
      <w:bookmarkStart w:id="125" w:name="_Toc190785404"/>
      <w:bookmarkStart w:id="126" w:name="_Toc190785920"/>
      <w:bookmarkStart w:id="127" w:name="_Toc508382119"/>
      <w:bookmarkStart w:id="128" w:name="_Toc190785824"/>
      <w:r>
        <w:rPr>
          <w:rFonts w:ascii="宋体" w:hAnsi="宋体" w:eastAsia="宋体"/>
          <w:color w:val="auto"/>
          <w:sz w:val="24"/>
          <w:szCs w:val="24"/>
        </w:rPr>
        <w:t xml:space="preserve">3.7 </w:t>
      </w:r>
      <w:r>
        <w:rPr>
          <w:rFonts w:hint="eastAsia" w:ascii="宋体" w:hAnsi="宋体" w:eastAsia="宋体"/>
          <w:color w:val="auto"/>
          <w:sz w:val="24"/>
          <w:szCs w:val="24"/>
        </w:rPr>
        <w:t>投标文件的编制</w:t>
      </w:r>
      <w:bookmarkEnd w:id="124"/>
      <w:bookmarkEnd w:id="125"/>
      <w:bookmarkEnd w:id="126"/>
      <w:bookmarkEnd w:id="127"/>
      <w:bookmarkEnd w:id="128"/>
      <w:r>
        <w:rPr>
          <w:rFonts w:ascii="宋体" w:hAnsi="宋体" w:eastAsia="宋体"/>
          <w:color w:val="auto"/>
          <w:sz w:val="24"/>
          <w:szCs w:val="24"/>
        </w:rPr>
        <w:t xml:space="preserve"> </w:t>
      </w:r>
    </w:p>
    <w:p w14:paraId="21BE32F4">
      <w:pPr>
        <w:spacing w:after="13" w:line="358" w:lineRule="auto"/>
        <w:ind w:right="103" w:firstLine="420"/>
        <w:rPr>
          <w:rFonts w:ascii="宋体" w:hAnsi="宋体" w:eastAsia="宋体"/>
          <w:color w:val="auto"/>
          <w:sz w:val="24"/>
          <w:szCs w:val="24"/>
        </w:rPr>
      </w:pPr>
      <w:r>
        <w:rPr>
          <w:rFonts w:ascii="宋体" w:hAnsi="宋体" w:eastAsia="宋体"/>
          <w:color w:val="auto"/>
          <w:sz w:val="24"/>
          <w:szCs w:val="24"/>
        </w:rPr>
        <w:t xml:space="preserve">3.7.1 </w:t>
      </w:r>
      <w:r>
        <w:rPr>
          <w:rFonts w:hint="eastAsia" w:ascii="宋体" w:hAnsi="宋体" w:eastAsia="宋体" w:cs="宋体"/>
          <w:color w:val="auto"/>
          <w:sz w:val="24"/>
          <w:szCs w:val="24"/>
        </w:rPr>
        <w:t>投标文件应按第六章</w:t>
      </w:r>
      <w:r>
        <w:rPr>
          <w:rFonts w:ascii="宋体" w:hAnsi="宋体" w:eastAsia="宋体"/>
          <w:color w:val="auto"/>
          <w:sz w:val="24"/>
          <w:szCs w:val="24"/>
        </w:rPr>
        <w:t>“</w:t>
      </w:r>
      <w:r>
        <w:rPr>
          <w:rFonts w:hint="eastAsia" w:ascii="宋体" w:hAnsi="宋体" w:eastAsia="宋体" w:cs="宋体"/>
          <w:color w:val="auto"/>
          <w:sz w:val="24"/>
          <w:szCs w:val="24"/>
        </w:rPr>
        <w:t>投标文件格式</w:t>
      </w:r>
      <w:r>
        <w:rPr>
          <w:rFonts w:ascii="宋体" w:hAnsi="宋体" w:eastAsia="宋体"/>
          <w:color w:val="auto"/>
          <w:sz w:val="24"/>
          <w:szCs w:val="24"/>
        </w:rPr>
        <w:t>”</w:t>
      </w:r>
      <w:r>
        <w:rPr>
          <w:rFonts w:hint="eastAsia" w:ascii="宋体" w:hAnsi="宋体" w:eastAsia="宋体" w:cs="宋体"/>
          <w:color w:val="auto"/>
          <w:sz w:val="24"/>
          <w:szCs w:val="24"/>
        </w:rPr>
        <w:t>进行编写，如有必要，可以增加附页，作为投标文件的组成部分。其中，投标函附录在满足招标文件实质性要求的基础上，可以提出比招标文件要求更有利于招标人的承诺。</w:t>
      </w:r>
      <w:r>
        <w:rPr>
          <w:rFonts w:ascii="宋体" w:hAnsi="宋体" w:eastAsia="宋体"/>
          <w:color w:val="auto"/>
          <w:sz w:val="24"/>
          <w:szCs w:val="24"/>
        </w:rPr>
        <w:t xml:space="preserve"> </w:t>
      </w:r>
    </w:p>
    <w:p w14:paraId="1924F906">
      <w:pPr>
        <w:spacing w:after="3" w:line="367" w:lineRule="auto"/>
        <w:ind w:right="103" w:firstLine="420"/>
        <w:rPr>
          <w:rFonts w:ascii="宋体" w:hAnsi="宋体" w:eastAsia="宋体"/>
          <w:color w:val="auto"/>
          <w:sz w:val="24"/>
          <w:szCs w:val="24"/>
        </w:rPr>
      </w:pPr>
      <w:r>
        <w:rPr>
          <w:rFonts w:ascii="宋体" w:hAnsi="宋体" w:eastAsia="宋体"/>
          <w:color w:val="auto"/>
          <w:sz w:val="24"/>
          <w:szCs w:val="24"/>
        </w:rPr>
        <w:t xml:space="preserve">3.7.2 </w:t>
      </w:r>
      <w:r>
        <w:rPr>
          <w:rFonts w:hint="eastAsia" w:ascii="宋体" w:hAnsi="宋体" w:eastAsia="宋体" w:cs="宋体"/>
          <w:color w:val="auto"/>
          <w:sz w:val="24"/>
          <w:szCs w:val="24"/>
        </w:rPr>
        <w:t>投标文件应当对招标文件有关勘察服务工期、投标有效期、发包人要求、招标范围等实质性内容作出响应。</w:t>
      </w:r>
      <w:r>
        <w:rPr>
          <w:rFonts w:ascii="宋体" w:hAnsi="宋体" w:eastAsia="宋体"/>
          <w:color w:val="auto"/>
          <w:sz w:val="24"/>
          <w:szCs w:val="24"/>
        </w:rPr>
        <w:t xml:space="preserve"> </w:t>
      </w:r>
    </w:p>
    <w:p w14:paraId="49FC93A5">
      <w:pPr>
        <w:spacing w:after="14" w:line="356" w:lineRule="auto"/>
        <w:ind w:right="103" w:firstLine="420"/>
        <w:rPr>
          <w:rFonts w:ascii="宋体" w:hAnsi="宋体" w:eastAsia="宋体"/>
          <w:strike/>
          <w:color w:val="auto"/>
          <w:sz w:val="24"/>
          <w:szCs w:val="24"/>
        </w:rPr>
      </w:pPr>
      <w:r>
        <w:rPr>
          <w:rFonts w:ascii="宋体" w:hAnsi="宋体" w:eastAsia="宋体"/>
          <w:strike/>
          <w:color w:val="auto"/>
          <w:sz w:val="24"/>
          <w:szCs w:val="24"/>
        </w:rPr>
        <w:t>3.7.3</w:t>
      </w:r>
      <w:r>
        <w:rPr>
          <w:rFonts w:hint="eastAsia" w:ascii="宋体" w:hAnsi="宋体" w:eastAsia="宋体" w:cs="宋体"/>
          <w:strike/>
          <w:color w:val="auto"/>
          <w:sz w:val="24"/>
          <w:szCs w:val="24"/>
        </w:rPr>
        <w:t>（</w:t>
      </w:r>
      <w:r>
        <w:rPr>
          <w:rFonts w:ascii="宋体" w:hAnsi="宋体" w:eastAsia="宋体"/>
          <w:strike/>
          <w:color w:val="auto"/>
          <w:sz w:val="24"/>
          <w:szCs w:val="24"/>
        </w:rPr>
        <w:t>A</w:t>
      </w:r>
      <w:r>
        <w:rPr>
          <w:rFonts w:hint="eastAsia" w:ascii="宋体" w:hAnsi="宋体" w:eastAsia="宋体" w:cs="宋体"/>
          <w:strike/>
          <w:color w:val="auto"/>
          <w:sz w:val="24"/>
          <w:szCs w:val="24"/>
        </w:rPr>
        <w:t>）（</w:t>
      </w:r>
      <w:r>
        <w:rPr>
          <w:rFonts w:ascii="宋体" w:hAnsi="宋体" w:eastAsia="宋体"/>
          <w:strike/>
          <w:color w:val="auto"/>
          <w:sz w:val="24"/>
          <w:szCs w:val="24"/>
        </w:rPr>
        <w:t>1</w:t>
      </w:r>
      <w:r>
        <w:rPr>
          <w:rFonts w:hint="eastAsia" w:ascii="宋体" w:hAnsi="宋体" w:eastAsia="宋体" w:cs="宋体"/>
          <w:strike/>
          <w:color w:val="auto"/>
          <w:sz w:val="24"/>
          <w:szCs w:val="24"/>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w:t>
      </w:r>
      <w:r>
        <w:rPr>
          <w:rFonts w:ascii="宋体" w:hAnsi="宋体" w:eastAsia="宋体"/>
          <w:strike/>
          <w:color w:val="auto"/>
          <w:sz w:val="24"/>
          <w:szCs w:val="24"/>
        </w:rPr>
        <w:t>“</w:t>
      </w:r>
      <w:r>
        <w:rPr>
          <w:rFonts w:hint="eastAsia" w:ascii="宋体" w:hAnsi="宋体" w:eastAsia="宋体" w:cs="宋体"/>
          <w:strike/>
          <w:color w:val="auto"/>
          <w:sz w:val="24"/>
          <w:szCs w:val="24"/>
        </w:rPr>
        <w:t>投标文件格式</w:t>
      </w:r>
      <w:r>
        <w:rPr>
          <w:rFonts w:ascii="宋体" w:hAnsi="宋体" w:eastAsia="宋体"/>
          <w:strike/>
          <w:color w:val="auto"/>
          <w:sz w:val="24"/>
          <w:szCs w:val="24"/>
        </w:rPr>
        <w:t>”</w:t>
      </w:r>
      <w:r>
        <w:rPr>
          <w:rFonts w:hint="eastAsia" w:ascii="宋体" w:hAnsi="宋体" w:eastAsia="宋体" w:cs="宋体"/>
          <w:strike/>
          <w:color w:val="auto"/>
          <w:sz w:val="24"/>
          <w:szCs w:val="24"/>
        </w:rPr>
        <w:t>的要求。投标文件应尽量避免涂改、行间插字或删除。如果出现上述情况，改动之处应由投标人的法定代表人或其授权的代理人签字或盖单位章。</w:t>
      </w:r>
      <w:r>
        <w:rPr>
          <w:rFonts w:ascii="宋体" w:hAnsi="宋体" w:eastAsia="宋体"/>
          <w:strike/>
          <w:color w:val="auto"/>
          <w:sz w:val="24"/>
          <w:szCs w:val="24"/>
        </w:rPr>
        <w:t xml:space="preserve"> </w:t>
      </w:r>
    </w:p>
    <w:p w14:paraId="7967FF18">
      <w:pPr>
        <w:spacing w:after="0" w:line="366" w:lineRule="auto"/>
        <w:ind w:right="103" w:firstLine="420"/>
        <w:rPr>
          <w:rFonts w:hint="eastAsia" w:ascii="宋体" w:hAnsi="宋体" w:eastAsia="宋体" w:cs="宋体"/>
          <w:strike/>
          <w:color w:val="auto"/>
          <w:sz w:val="24"/>
          <w:szCs w:val="24"/>
        </w:rPr>
      </w:pPr>
      <w:r>
        <w:rPr>
          <w:rFonts w:hint="eastAsia" w:ascii="宋体" w:hAnsi="宋体" w:eastAsia="宋体" w:cs="宋体"/>
          <w:strike/>
          <w:color w:val="auto"/>
          <w:sz w:val="24"/>
          <w:szCs w:val="24"/>
        </w:rPr>
        <w:t>（</w:t>
      </w:r>
      <w:r>
        <w:rPr>
          <w:rFonts w:ascii="宋体" w:hAnsi="宋体" w:eastAsia="宋体"/>
          <w:strike/>
          <w:color w:val="auto"/>
          <w:sz w:val="24"/>
          <w:szCs w:val="24"/>
        </w:rPr>
        <w:t>2</w:t>
      </w:r>
      <w:r>
        <w:rPr>
          <w:rFonts w:hint="eastAsia" w:ascii="宋体" w:hAnsi="宋体" w:eastAsia="宋体" w:cs="宋体"/>
          <w:strike/>
          <w:color w:val="auto"/>
          <w:sz w:val="24"/>
          <w:szCs w:val="24"/>
        </w:rPr>
        <w:t>）投标文件正本一份，副本份数见投标人须知前附表。正本和副本的封面右上角上应清楚地标记</w:t>
      </w:r>
      <w:r>
        <w:rPr>
          <w:rFonts w:ascii="宋体" w:hAnsi="宋体" w:eastAsia="宋体"/>
          <w:strike/>
          <w:color w:val="auto"/>
          <w:sz w:val="24"/>
          <w:szCs w:val="24"/>
        </w:rPr>
        <w:t>“</w:t>
      </w:r>
      <w:r>
        <w:rPr>
          <w:rFonts w:hint="eastAsia" w:ascii="宋体" w:hAnsi="宋体" w:eastAsia="宋体" w:cs="宋体"/>
          <w:strike/>
          <w:color w:val="auto"/>
          <w:sz w:val="24"/>
          <w:szCs w:val="24"/>
        </w:rPr>
        <w:t>正本</w:t>
      </w:r>
      <w:r>
        <w:rPr>
          <w:rFonts w:ascii="宋体" w:hAnsi="宋体" w:eastAsia="宋体"/>
          <w:strike/>
          <w:color w:val="auto"/>
          <w:sz w:val="24"/>
          <w:szCs w:val="24"/>
        </w:rPr>
        <w:t>”</w:t>
      </w:r>
      <w:r>
        <w:rPr>
          <w:rFonts w:hint="eastAsia" w:ascii="宋体" w:hAnsi="宋体" w:eastAsia="宋体" w:cs="宋体"/>
          <w:strike/>
          <w:color w:val="auto"/>
          <w:sz w:val="24"/>
          <w:szCs w:val="24"/>
        </w:rPr>
        <w:t>或</w:t>
      </w:r>
      <w:r>
        <w:rPr>
          <w:rFonts w:ascii="宋体" w:hAnsi="宋体" w:eastAsia="宋体"/>
          <w:strike/>
          <w:color w:val="auto"/>
          <w:sz w:val="24"/>
          <w:szCs w:val="24"/>
        </w:rPr>
        <w:t>“</w:t>
      </w:r>
      <w:r>
        <w:rPr>
          <w:rFonts w:hint="eastAsia" w:ascii="宋体" w:hAnsi="宋体" w:eastAsia="宋体" w:cs="宋体"/>
          <w:strike/>
          <w:color w:val="auto"/>
          <w:sz w:val="24"/>
          <w:szCs w:val="24"/>
        </w:rPr>
        <w:t>副本</w:t>
      </w:r>
      <w:r>
        <w:rPr>
          <w:rFonts w:ascii="宋体" w:hAnsi="宋体" w:eastAsia="宋体"/>
          <w:strike/>
          <w:color w:val="auto"/>
          <w:sz w:val="24"/>
          <w:szCs w:val="24"/>
        </w:rPr>
        <w:t>”</w:t>
      </w:r>
      <w:r>
        <w:rPr>
          <w:rFonts w:hint="eastAsia" w:ascii="宋体" w:hAnsi="宋体" w:eastAsia="宋体" w:cs="宋体"/>
          <w:strike/>
          <w:color w:val="auto"/>
          <w:sz w:val="24"/>
          <w:szCs w:val="24"/>
        </w:rPr>
        <w:t>的字样。投标人应根据投标人须知前附表要求提供电子版文件。当副本和正本不一致或电子版文件和纸质正本文件不一致时，以纸质正本文件为准。</w:t>
      </w:r>
    </w:p>
    <w:p w14:paraId="3A0F786D">
      <w:pPr>
        <w:spacing w:after="0" w:line="366" w:lineRule="auto"/>
        <w:ind w:right="103" w:firstLine="420"/>
        <w:rPr>
          <w:rFonts w:hint="eastAsia" w:ascii="宋体" w:hAnsi="宋体" w:eastAsia="宋体"/>
          <w:strike/>
          <w:color w:val="auto"/>
          <w:sz w:val="24"/>
          <w:szCs w:val="24"/>
        </w:rPr>
      </w:pPr>
      <w:r>
        <w:rPr>
          <w:rFonts w:hint="eastAsia" w:ascii="宋体" w:hAnsi="宋体" w:eastAsia="宋体" w:cs="宋体"/>
          <w:strike/>
          <w:color w:val="auto"/>
          <w:sz w:val="24"/>
          <w:szCs w:val="24"/>
        </w:rPr>
        <w:t>（</w:t>
      </w:r>
      <w:r>
        <w:rPr>
          <w:rFonts w:ascii="宋体" w:hAnsi="宋体" w:eastAsia="宋体"/>
          <w:strike/>
          <w:color w:val="auto"/>
          <w:sz w:val="24"/>
          <w:szCs w:val="24"/>
        </w:rPr>
        <w:t>3</w:t>
      </w:r>
      <w:r>
        <w:rPr>
          <w:rFonts w:hint="eastAsia" w:ascii="宋体" w:hAnsi="宋体" w:eastAsia="宋体" w:cs="宋体"/>
          <w:strike/>
          <w:color w:val="auto"/>
          <w:sz w:val="24"/>
          <w:szCs w:val="24"/>
        </w:rPr>
        <w:t>）投标文件的正本与副本应分别装订，并编制目录，投标文件需分册装订的，具体分册装订要求见投标人须知前附表规定。</w:t>
      </w:r>
      <w:r>
        <w:rPr>
          <w:rFonts w:ascii="宋体" w:hAnsi="宋体" w:eastAsia="宋体"/>
          <w:strike/>
          <w:color w:val="auto"/>
          <w:sz w:val="24"/>
          <w:szCs w:val="24"/>
        </w:rPr>
        <w:t xml:space="preserve"> </w:t>
      </w:r>
    </w:p>
    <w:p w14:paraId="3167E4FD">
      <w:pPr>
        <w:spacing w:after="0" w:line="366" w:lineRule="auto"/>
        <w:ind w:right="103" w:firstLine="420"/>
        <w:rPr>
          <w:rFonts w:hint="eastAsia" w:ascii="宋体" w:hAnsi="宋体" w:eastAsia="宋体" w:cs="宋体"/>
          <w:color w:val="auto"/>
          <w:sz w:val="24"/>
          <w:szCs w:val="24"/>
        </w:rPr>
      </w:pPr>
      <w:r>
        <w:rPr>
          <w:rFonts w:ascii="宋体" w:hAnsi="宋体" w:eastAsia="宋体" w:cs="宋体"/>
          <w:color w:val="auto"/>
          <w:sz w:val="24"/>
          <w:szCs w:val="24"/>
        </w:rPr>
        <w:t>3.7.3</w:t>
      </w:r>
      <w:r>
        <w:rPr>
          <w:rFonts w:hint="eastAsia" w:ascii="宋体" w:hAnsi="宋体" w:eastAsia="宋体" w:cs="宋体"/>
          <w:color w:val="auto"/>
          <w:sz w:val="24"/>
          <w:szCs w:val="24"/>
        </w:rPr>
        <w:t>（</w:t>
      </w:r>
      <w:r>
        <w:rPr>
          <w:rFonts w:ascii="宋体" w:hAnsi="宋体" w:eastAsia="宋体" w:cs="宋体"/>
          <w:color w:val="auto"/>
          <w:sz w:val="24"/>
          <w:szCs w:val="24"/>
        </w:rPr>
        <w:t>B</w:t>
      </w:r>
      <w:r>
        <w:rPr>
          <w:rFonts w:hint="eastAsia" w:ascii="宋体" w:hAnsi="宋体" w:eastAsia="宋体" w:cs="宋体"/>
          <w:color w:val="auto"/>
          <w:sz w:val="24"/>
          <w:szCs w:val="24"/>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45963979">
      <w:pPr>
        <w:spacing w:after="0" w:line="366" w:lineRule="auto"/>
        <w:ind w:right="103" w:firstLine="420"/>
        <w:rPr>
          <w:rFonts w:ascii="宋体" w:hAnsi="宋体" w:eastAsia="宋体"/>
          <w:color w:val="auto"/>
          <w:sz w:val="24"/>
          <w:szCs w:val="24"/>
        </w:rPr>
      </w:pPr>
    </w:p>
    <w:p w14:paraId="4BCD00CC">
      <w:pPr>
        <w:pStyle w:val="4"/>
        <w:spacing w:after="500" w:line="262" w:lineRule="auto"/>
        <w:ind w:left="-5" w:right="0"/>
        <w:rPr>
          <w:rFonts w:ascii="宋体" w:hAnsi="宋体" w:eastAsia="宋体"/>
          <w:color w:val="auto"/>
          <w:sz w:val="24"/>
          <w:szCs w:val="24"/>
        </w:rPr>
      </w:pPr>
      <w:bookmarkStart w:id="129" w:name="_Toc508382120"/>
      <w:bookmarkStart w:id="130" w:name="_Toc190785921"/>
      <w:r>
        <w:rPr>
          <w:rFonts w:ascii="宋体" w:hAnsi="宋体" w:eastAsia="宋体"/>
          <w:b/>
          <w:color w:val="auto"/>
          <w:sz w:val="24"/>
          <w:szCs w:val="24"/>
        </w:rPr>
        <w:t xml:space="preserve">4. </w:t>
      </w:r>
      <w:r>
        <w:rPr>
          <w:rFonts w:hint="eastAsia" w:ascii="宋体" w:hAnsi="宋体" w:eastAsia="宋体"/>
          <w:color w:val="auto"/>
          <w:sz w:val="24"/>
          <w:szCs w:val="24"/>
        </w:rPr>
        <w:t>投标</w:t>
      </w:r>
      <w:bookmarkEnd w:id="129"/>
      <w:bookmarkEnd w:id="130"/>
      <w:r>
        <w:rPr>
          <w:rFonts w:ascii="宋体" w:hAnsi="宋体" w:eastAsia="宋体"/>
          <w:b/>
          <w:color w:val="auto"/>
          <w:sz w:val="24"/>
          <w:szCs w:val="24"/>
        </w:rPr>
        <w:t xml:space="preserve"> </w:t>
      </w:r>
    </w:p>
    <w:p w14:paraId="3AFD36E7">
      <w:pPr>
        <w:pStyle w:val="5"/>
        <w:spacing w:after="285"/>
        <w:ind w:left="132" w:right="0"/>
        <w:rPr>
          <w:rFonts w:ascii="宋体" w:hAnsi="宋体" w:eastAsia="宋体"/>
          <w:color w:val="auto"/>
          <w:sz w:val="24"/>
          <w:szCs w:val="24"/>
        </w:rPr>
      </w:pPr>
      <w:bookmarkStart w:id="131" w:name="_Toc190785826"/>
      <w:bookmarkStart w:id="132" w:name="_Toc190785922"/>
      <w:bookmarkStart w:id="133" w:name="_Toc508382121"/>
      <w:bookmarkStart w:id="134" w:name="_Toc190785406"/>
      <w:bookmarkStart w:id="135" w:name="_Toc508788638"/>
      <w:r>
        <w:rPr>
          <w:rFonts w:ascii="宋体" w:hAnsi="宋体" w:eastAsia="宋体"/>
          <w:color w:val="auto"/>
          <w:sz w:val="24"/>
          <w:szCs w:val="24"/>
        </w:rPr>
        <w:t xml:space="preserve">4.1 </w:t>
      </w:r>
      <w:r>
        <w:rPr>
          <w:rFonts w:hint="eastAsia" w:ascii="宋体" w:hAnsi="宋体" w:eastAsia="宋体"/>
          <w:color w:val="auto"/>
          <w:sz w:val="24"/>
          <w:szCs w:val="24"/>
        </w:rPr>
        <w:t>投标文件的密封和标记</w:t>
      </w:r>
      <w:bookmarkEnd w:id="131"/>
      <w:bookmarkEnd w:id="132"/>
      <w:bookmarkEnd w:id="133"/>
      <w:bookmarkEnd w:id="134"/>
      <w:bookmarkEnd w:id="135"/>
      <w:r>
        <w:rPr>
          <w:rFonts w:ascii="宋体" w:hAnsi="宋体" w:eastAsia="宋体"/>
          <w:color w:val="auto"/>
          <w:sz w:val="24"/>
          <w:szCs w:val="24"/>
        </w:rPr>
        <w:t xml:space="preserve"> </w:t>
      </w:r>
    </w:p>
    <w:p w14:paraId="17801EED">
      <w:pPr>
        <w:spacing w:after="3" w:line="366" w:lineRule="auto"/>
        <w:ind w:right="103" w:firstLine="420"/>
        <w:rPr>
          <w:rFonts w:hint="eastAsia" w:ascii="宋体" w:hAnsi="宋体" w:eastAsia="宋体"/>
          <w:strike/>
          <w:color w:val="auto"/>
          <w:sz w:val="24"/>
          <w:szCs w:val="24"/>
        </w:rPr>
      </w:pPr>
      <w:r>
        <w:rPr>
          <w:rFonts w:ascii="宋体" w:hAnsi="宋体" w:eastAsia="宋体"/>
          <w:strike/>
          <w:color w:val="auto"/>
          <w:sz w:val="24"/>
          <w:szCs w:val="24"/>
        </w:rPr>
        <w:t xml:space="preserve">4.1.1 </w:t>
      </w:r>
      <w:r>
        <w:rPr>
          <w:rFonts w:hint="eastAsia" w:ascii="宋体" w:hAnsi="宋体" w:eastAsia="宋体" w:cs="宋体"/>
          <w:strike/>
          <w:color w:val="auto"/>
          <w:sz w:val="24"/>
          <w:szCs w:val="24"/>
        </w:rPr>
        <w:t>（</w:t>
      </w:r>
      <w:r>
        <w:rPr>
          <w:rFonts w:ascii="宋体" w:hAnsi="宋体" w:eastAsia="宋体"/>
          <w:strike/>
          <w:color w:val="auto"/>
          <w:sz w:val="24"/>
          <w:szCs w:val="24"/>
        </w:rPr>
        <w:t>A</w:t>
      </w:r>
      <w:r>
        <w:rPr>
          <w:rFonts w:hint="eastAsia" w:ascii="宋体" w:hAnsi="宋体" w:eastAsia="宋体" w:cs="宋体"/>
          <w:strike/>
          <w:color w:val="auto"/>
          <w:sz w:val="24"/>
          <w:szCs w:val="24"/>
        </w:rPr>
        <w:t>）投标文件应密封包装，并在封套的封口处加盖投标人单位章或由投标人的法定代表人或其授权的代理人签字。</w:t>
      </w:r>
      <w:r>
        <w:rPr>
          <w:rFonts w:ascii="宋体" w:hAnsi="宋体" w:eastAsia="宋体"/>
          <w:strike/>
          <w:color w:val="auto"/>
          <w:sz w:val="24"/>
          <w:szCs w:val="24"/>
        </w:rPr>
        <w:t xml:space="preserve"> </w:t>
      </w:r>
    </w:p>
    <w:p w14:paraId="390067D5">
      <w:pPr>
        <w:pStyle w:val="17"/>
        <w:kinsoku w:val="0"/>
        <w:overflowPunct w:val="0"/>
        <w:spacing w:before="44" w:line="295" w:lineRule="auto"/>
        <w:ind w:left="100" w:right="113" w:firstLine="419"/>
        <w:rPr>
          <w:rFonts w:hint="eastAsia" w:ascii="宋体" w:hAnsi="宋体" w:eastAsia="宋体" w:cs="宋体"/>
          <w:color w:val="auto"/>
          <w:sz w:val="24"/>
          <w:szCs w:val="24"/>
        </w:rPr>
      </w:pPr>
      <w:r>
        <w:rPr>
          <w:rFonts w:ascii="宋体" w:hAnsi="宋体" w:eastAsia="宋体" w:cs="宋体"/>
          <w:color w:val="auto"/>
          <w:sz w:val="24"/>
          <w:szCs w:val="24"/>
        </w:rPr>
        <w:t xml:space="preserve">4.1.1 </w:t>
      </w:r>
      <w:r>
        <w:rPr>
          <w:rFonts w:hint="eastAsia" w:ascii="宋体" w:hAnsi="宋体" w:eastAsia="宋体" w:cs="宋体"/>
          <w:color w:val="auto"/>
          <w:sz w:val="24"/>
          <w:szCs w:val="24"/>
        </w:rPr>
        <w:t>（</w:t>
      </w:r>
      <w:r>
        <w:rPr>
          <w:rFonts w:ascii="宋体" w:hAnsi="宋体" w:eastAsia="宋体" w:cs="宋体"/>
          <w:color w:val="auto"/>
          <w:sz w:val="24"/>
          <w:szCs w:val="24"/>
        </w:rPr>
        <w:t>B</w:t>
      </w:r>
      <w:r>
        <w:rPr>
          <w:rFonts w:hint="eastAsia" w:ascii="宋体" w:hAnsi="宋体" w:eastAsia="宋体" w:cs="宋体"/>
          <w:color w:val="auto"/>
          <w:sz w:val="24"/>
          <w:szCs w:val="24"/>
        </w:rPr>
        <w:t>）投标人应当按照招标文件和电子招标投标交易平台的要求加密投标文件，具体要求见投标人须知前附表。</w:t>
      </w:r>
    </w:p>
    <w:p w14:paraId="01C7EBF0">
      <w:pPr>
        <w:spacing w:after="123" w:line="265" w:lineRule="auto"/>
        <w:ind w:left="417" w:right="103" w:hanging="10"/>
        <w:rPr>
          <w:rFonts w:ascii="宋体" w:hAnsi="宋体" w:eastAsia="宋体"/>
          <w:color w:val="auto"/>
          <w:sz w:val="24"/>
          <w:szCs w:val="24"/>
        </w:rPr>
      </w:pPr>
      <w:r>
        <w:rPr>
          <w:rFonts w:ascii="宋体" w:hAnsi="宋体" w:eastAsia="宋体"/>
          <w:color w:val="auto"/>
          <w:sz w:val="24"/>
          <w:szCs w:val="24"/>
        </w:rPr>
        <w:t xml:space="preserve">4.1.2 </w:t>
      </w:r>
      <w:r>
        <w:rPr>
          <w:rFonts w:hint="eastAsia" w:ascii="宋体" w:hAnsi="宋体" w:eastAsia="宋体" w:cs="宋体"/>
          <w:color w:val="auto"/>
          <w:sz w:val="24"/>
          <w:szCs w:val="24"/>
        </w:rPr>
        <w:t>投标文件</w:t>
      </w:r>
      <w:r>
        <w:rPr>
          <w:rFonts w:hint="eastAsia"/>
          <w:b/>
          <w:color w:val="auto"/>
          <w:sz w:val="24"/>
          <w:szCs w:val="24"/>
          <w:u w:val="single"/>
        </w:rPr>
        <w:t>备用光盘/U盘</w:t>
      </w:r>
      <w:r>
        <w:rPr>
          <w:rFonts w:hint="eastAsia" w:ascii="宋体" w:hAnsi="宋体" w:eastAsia="宋体" w:cs="宋体"/>
          <w:color w:val="auto"/>
          <w:sz w:val="24"/>
          <w:szCs w:val="24"/>
        </w:rPr>
        <w:t>封套上应写明的内容见投标人须知前附表。</w:t>
      </w:r>
      <w:r>
        <w:rPr>
          <w:rFonts w:ascii="宋体" w:hAnsi="宋体" w:eastAsia="宋体"/>
          <w:color w:val="auto"/>
          <w:sz w:val="24"/>
          <w:szCs w:val="24"/>
        </w:rPr>
        <w:t xml:space="preserve"> </w:t>
      </w:r>
    </w:p>
    <w:p w14:paraId="472C0CCD">
      <w:pPr>
        <w:spacing w:after="346" w:line="265" w:lineRule="auto"/>
        <w:ind w:left="417" w:right="103" w:hanging="10"/>
        <w:rPr>
          <w:rFonts w:hint="eastAsia" w:ascii="宋体" w:hAnsi="宋体" w:eastAsia="宋体"/>
          <w:color w:val="auto"/>
          <w:sz w:val="24"/>
          <w:szCs w:val="24"/>
        </w:rPr>
      </w:pPr>
      <w:r>
        <w:rPr>
          <w:rFonts w:ascii="宋体" w:hAnsi="宋体" w:eastAsia="宋体"/>
          <w:color w:val="auto"/>
          <w:sz w:val="24"/>
          <w:szCs w:val="24"/>
        </w:rPr>
        <w:t xml:space="preserve">4.1.3 </w:t>
      </w:r>
      <w:r>
        <w:rPr>
          <w:rFonts w:hint="eastAsia" w:ascii="宋体" w:hAnsi="宋体" w:eastAsia="宋体" w:cs="宋体"/>
          <w:color w:val="auto"/>
          <w:sz w:val="24"/>
          <w:szCs w:val="24"/>
        </w:rPr>
        <w:t>未按本章第</w:t>
      </w:r>
      <w:r>
        <w:rPr>
          <w:rFonts w:ascii="宋体" w:hAnsi="宋体" w:eastAsia="宋体" w:cs="宋体"/>
          <w:color w:val="auto"/>
          <w:sz w:val="24"/>
          <w:szCs w:val="24"/>
        </w:rPr>
        <w:t xml:space="preserve"> </w:t>
      </w:r>
      <w:r>
        <w:rPr>
          <w:rFonts w:ascii="宋体" w:hAnsi="宋体" w:eastAsia="宋体"/>
          <w:color w:val="auto"/>
          <w:sz w:val="24"/>
          <w:szCs w:val="24"/>
        </w:rPr>
        <w:t xml:space="preserve">4.1.1 </w:t>
      </w:r>
      <w:r>
        <w:rPr>
          <w:rFonts w:hint="eastAsia" w:ascii="宋体" w:hAnsi="宋体" w:eastAsia="宋体" w:cs="宋体"/>
          <w:color w:val="auto"/>
          <w:sz w:val="24"/>
          <w:szCs w:val="24"/>
        </w:rPr>
        <w:t>项要求密封的投标文件，招标人将予以拒收。</w:t>
      </w:r>
      <w:r>
        <w:rPr>
          <w:rFonts w:ascii="宋体" w:hAnsi="宋体" w:eastAsia="宋体"/>
          <w:color w:val="auto"/>
          <w:sz w:val="24"/>
          <w:szCs w:val="24"/>
        </w:rPr>
        <w:t xml:space="preserve"> </w:t>
      </w:r>
    </w:p>
    <w:p w14:paraId="2F48F7DC">
      <w:pPr>
        <w:pStyle w:val="5"/>
        <w:spacing w:after="284"/>
        <w:ind w:left="132" w:right="0"/>
        <w:rPr>
          <w:rFonts w:ascii="宋体" w:hAnsi="宋体" w:eastAsia="宋体"/>
          <w:color w:val="auto"/>
          <w:sz w:val="24"/>
          <w:szCs w:val="24"/>
        </w:rPr>
      </w:pPr>
      <w:bookmarkStart w:id="136" w:name="_Toc190785923"/>
      <w:bookmarkStart w:id="137" w:name="_Toc508382122"/>
      <w:bookmarkStart w:id="138" w:name="_Toc190785407"/>
      <w:bookmarkStart w:id="139" w:name="_Toc190785827"/>
      <w:bookmarkStart w:id="140" w:name="_Toc508788639"/>
      <w:r>
        <w:rPr>
          <w:rFonts w:ascii="宋体" w:hAnsi="宋体" w:eastAsia="宋体"/>
          <w:color w:val="auto"/>
          <w:sz w:val="24"/>
          <w:szCs w:val="24"/>
        </w:rPr>
        <w:t xml:space="preserve">4.2 </w:t>
      </w:r>
      <w:r>
        <w:rPr>
          <w:rFonts w:hint="eastAsia" w:ascii="宋体" w:hAnsi="宋体" w:eastAsia="宋体"/>
          <w:color w:val="auto"/>
          <w:sz w:val="24"/>
          <w:szCs w:val="24"/>
        </w:rPr>
        <w:t>投标文件的递交</w:t>
      </w:r>
      <w:bookmarkEnd w:id="136"/>
      <w:bookmarkEnd w:id="137"/>
      <w:bookmarkEnd w:id="138"/>
      <w:bookmarkEnd w:id="139"/>
      <w:bookmarkEnd w:id="140"/>
      <w:r>
        <w:rPr>
          <w:rFonts w:ascii="宋体" w:hAnsi="宋体" w:eastAsia="宋体"/>
          <w:color w:val="auto"/>
          <w:sz w:val="24"/>
          <w:szCs w:val="24"/>
        </w:rPr>
        <w:t xml:space="preserve"> </w:t>
      </w:r>
    </w:p>
    <w:p w14:paraId="35C4D574">
      <w:pPr>
        <w:pStyle w:val="17"/>
        <w:kinsoku w:val="0"/>
        <w:overflowPunct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ascii="宋体" w:hAnsi="宋体" w:eastAsia="宋体" w:cs="宋体"/>
          <w:color w:val="auto"/>
          <w:sz w:val="24"/>
          <w:szCs w:val="24"/>
        </w:rPr>
        <w:t xml:space="preserve">4.2.1 </w:t>
      </w:r>
      <w:r>
        <w:rPr>
          <w:rFonts w:hint="eastAsia" w:ascii="宋体" w:hAnsi="宋体" w:eastAsia="宋体" w:cs="宋体"/>
          <w:color w:val="auto"/>
          <w:sz w:val="24"/>
          <w:szCs w:val="24"/>
        </w:rPr>
        <w:t>投标人应在投标人须知前附表规定的投标截止时间前递交投标文件。</w:t>
      </w:r>
    </w:p>
    <w:p w14:paraId="6DE5120B">
      <w:pPr>
        <w:pStyle w:val="17"/>
        <w:kinsoku w:val="0"/>
        <w:overflowPunct w:val="0"/>
        <w:spacing w:before="73"/>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ascii="宋体" w:hAnsi="宋体" w:eastAsia="宋体" w:cs="宋体"/>
          <w:strike/>
          <w:color w:val="auto"/>
          <w:sz w:val="24"/>
          <w:szCs w:val="24"/>
        </w:rPr>
        <w:t xml:space="preserve">4.2.2 </w:t>
      </w:r>
      <w:r>
        <w:rPr>
          <w:rFonts w:hint="eastAsia" w:ascii="宋体" w:hAnsi="宋体" w:eastAsia="宋体" w:cs="宋体"/>
          <w:strike/>
          <w:color w:val="auto"/>
          <w:sz w:val="24"/>
          <w:szCs w:val="24"/>
        </w:rPr>
        <w:t>（</w:t>
      </w:r>
      <w:r>
        <w:rPr>
          <w:rFonts w:ascii="宋体" w:hAnsi="宋体" w:eastAsia="宋体" w:cs="宋体"/>
          <w:strike/>
          <w:color w:val="auto"/>
          <w:sz w:val="24"/>
          <w:szCs w:val="24"/>
        </w:rPr>
        <w:t>A</w:t>
      </w:r>
      <w:r>
        <w:rPr>
          <w:rFonts w:hint="eastAsia" w:ascii="宋体" w:hAnsi="宋体" w:eastAsia="宋体" w:cs="宋体"/>
          <w:strike/>
          <w:color w:val="auto"/>
          <w:sz w:val="24"/>
          <w:szCs w:val="24"/>
        </w:rPr>
        <w:t>）投标人递交投标文件的地点：见投标人须知前附表。</w:t>
      </w:r>
    </w:p>
    <w:p w14:paraId="773ADFFF">
      <w:pPr>
        <w:pStyle w:val="17"/>
        <w:kinsoku w:val="0"/>
        <w:overflowPunct w:val="0"/>
        <w:spacing w:before="75"/>
        <w:rPr>
          <w:rFonts w:hint="eastAsia" w:ascii="宋体" w:hAnsi="宋体" w:eastAsia="宋体" w:cs="宋体"/>
          <w:dstrike/>
          <w:color w:val="auto"/>
          <w:sz w:val="24"/>
          <w:szCs w:val="24"/>
        </w:rPr>
      </w:pPr>
      <w:r>
        <w:rPr>
          <w:rFonts w:hint="eastAsia" w:ascii="宋体" w:hAnsi="宋体" w:eastAsia="宋体" w:cs="宋体"/>
          <w:color w:val="auto"/>
          <w:sz w:val="24"/>
          <w:szCs w:val="24"/>
        </w:rPr>
        <w:t xml:space="preserve">    </w:t>
      </w:r>
      <w:r>
        <w:rPr>
          <w:rFonts w:ascii="宋体" w:hAnsi="宋体" w:eastAsia="宋体" w:cs="宋体"/>
          <w:color w:val="auto"/>
          <w:sz w:val="24"/>
          <w:szCs w:val="24"/>
        </w:rPr>
        <w:t xml:space="preserve">4.2.2 </w:t>
      </w:r>
      <w:r>
        <w:rPr>
          <w:rFonts w:hint="eastAsia" w:ascii="宋体" w:hAnsi="宋体" w:eastAsia="宋体" w:cs="宋体"/>
          <w:color w:val="auto"/>
          <w:sz w:val="24"/>
          <w:szCs w:val="24"/>
        </w:rPr>
        <w:t>（</w:t>
      </w:r>
      <w:r>
        <w:rPr>
          <w:rFonts w:ascii="宋体" w:hAnsi="宋体" w:eastAsia="宋体" w:cs="宋体"/>
          <w:color w:val="auto"/>
          <w:sz w:val="24"/>
          <w:szCs w:val="24"/>
        </w:rPr>
        <w:t>B</w:t>
      </w:r>
      <w:r>
        <w:rPr>
          <w:rFonts w:hint="eastAsia" w:ascii="宋体" w:hAnsi="宋体" w:eastAsia="宋体" w:cs="宋体"/>
          <w:color w:val="auto"/>
          <w:sz w:val="24"/>
          <w:szCs w:val="24"/>
        </w:rPr>
        <w:t>）投标人通过下载招标文件的电子招标投标交易平台递交电子投标文件。</w:t>
      </w:r>
    </w:p>
    <w:p w14:paraId="288153B6">
      <w:pPr>
        <w:pStyle w:val="17"/>
        <w:kinsoku w:val="0"/>
        <w:overflowPunct w:val="0"/>
        <w:spacing w:before="75"/>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ascii="宋体" w:hAnsi="宋体" w:eastAsia="宋体" w:cs="宋体"/>
          <w:color w:val="auto"/>
          <w:sz w:val="24"/>
          <w:szCs w:val="24"/>
        </w:rPr>
        <w:t xml:space="preserve">4.2.3 </w:t>
      </w:r>
      <w:r>
        <w:rPr>
          <w:rFonts w:hint="eastAsia" w:ascii="宋体" w:hAnsi="宋体" w:eastAsia="宋体" w:cs="宋体"/>
          <w:color w:val="auto"/>
          <w:sz w:val="24"/>
          <w:szCs w:val="24"/>
        </w:rPr>
        <w:t>除投标人须知前附表另有规定外，投标人所递交的投标文件不予退还。</w:t>
      </w:r>
    </w:p>
    <w:p w14:paraId="7562F3D4">
      <w:pPr>
        <w:pStyle w:val="17"/>
        <w:kinsoku w:val="0"/>
        <w:overflowPunct w:val="0"/>
        <w:spacing w:before="72"/>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ascii="宋体" w:hAnsi="宋体" w:eastAsia="宋体" w:cs="宋体"/>
          <w:strike/>
          <w:color w:val="auto"/>
          <w:sz w:val="24"/>
          <w:szCs w:val="24"/>
        </w:rPr>
        <w:t xml:space="preserve">4.2.4 </w:t>
      </w:r>
      <w:r>
        <w:rPr>
          <w:rFonts w:hint="eastAsia" w:ascii="宋体" w:hAnsi="宋体" w:eastAsia="宋体" w:cs="宋体"/>
          <w:strike/>
          <w:color w:val="auto"/>
          <w:sz w:val="24"/>
          <w:szCs w:val="24"/>
        </w:rPr>
        <w:t>（</w:t>
      </w:r>
      <w:r>
        <w:rPr>
          <w:rFonts w:ascii="宋体" w:hAnsi="宋体" w:eastAsia="宋体" w:cs="宋体"/>
          <w:strike/>
          <w:color w:val="auto"/>
          <w:sz w:val="24"/>
          <w:szCs w:val="24"/>
        </w:rPr>
        <w:t>A</w:t>
      </w:r>
      <w:r>
        <w:rPr>
          <w:rFonts w:hint="eastAsia" w:ascii="宋体" w:hAnsi="宋体" w:eastAsia="宋体" w:cs="宋体"/>
          <w:strike/>
          <w:color w:val="auto"/>
          <w:sz w:val="24"/>
          <w:szCs w:val="24"/>
        </w:rPr>
        <w:t>）招标人收到投标文件后，向投标人出具签收凭证。</w:t>
      </w:r>
    </w:p>
    <w:p w14:paraId="2B102CD4">
      <w:pPr>
        <w:pStyle w:val="17"/>
        <w:kinsoku w:val="0"/>
        <w:overflowPunct w:val="0"/>
        <w:spacing w:before="72" w:line="260" w:lineRule="auto"/>
        <w:rPr>
          <w:rFonts w:hint="eastAsia" w:ascii="宋体" w:hAnsi="宋体" w:eastAsia="宋体" w:cs="宋体"/>
          <w:dstrike/>
          <w:color w:val="auto"/>
          <w:sz w:val="24"/>
          <w:szCs w:val="24"/>
        </w:rPr>
      </w:pPr>
      <w:r>
        <w:rPr>
          <w:rFonts w:hint="eastAsia" w:ascii="宋体" w:hAnsi="宋体" w:eastAsia="宋体" w:cs="宋体"/>
          <w:color w:val="auto"/>
          <w:sz w:val="24"/>
          <w:szCs w:val="24"/>
        </w:rPr>
        <w:t xml:space="preserve">    </w:t>
      </w:r>
      <w:r>
        <w:rPr>
          <w:rFonts w:ascii="宋体" w:hAnsi="宋体" w:eastAsia="宋体" w:cs="宋体"/>
          <w:color w:val="auto"/>
          <w:sz w:val="24"/>
          <w:szCs w:val="24"/>
        </w:rPr>
        <w:t xml:space="preserve">4.2.4 </w:t>
      </w:r>
      <w:r>
        <w:rPr>
          <w:rFonts w:hint="eastAsia" w:ascii="宋体" w:hAnsi="宋体" w:eastAsia="宋体" w:cs="宋体"/>
          <w:color w:val="auto"/>
          <w:sz w:val="24"/>
          <w:szCs w:val="24"/>
        </w:rPr>
        <w:t>（</w:t>
      </w:r>
      <w:r>
        <w:rPr>
          <w:rFonts w:ascii="宋体" w:hAnsi="宋体" w:eastAsia="宋体" w:cs="宋体"/>
          <w:color w:val="auto"/>
          <w:sz w:val="24"/>
          <w:szCs w:val="24"/>
        </w:rPr>
        <w:t>B</w:t>
      </w:r>
      <w:r>
        <w:rPr>
          <w:rFonts w:hint="eastAsia" w:ascii="宋体" w:hAnsi="宋体" w:eastAsia="宋体" w:cs="宋体"/>
          <w:color w:val="auto"/>
          <w:sz w:val="24"/>
          <w:szCs w:val="24"/>
        </w:rPr>
        <w:t>）投标人完成电子投标文件上传后，电子招标投标交易平台即时向投标人发出递交回执通知。递交时间以递交回执通知载明的传输完成时间为准。</w:t>
      </w:r>
    </w:p>
    <w:p w14:paraId="3F87D5E7">
      <w:pPr>
        <w:pStyle w:val="17"/>
        <w:kinsoku w:val="0"/>
        <w:overflowPunct w:val="0"/>
        <w:spacing w:before="4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strike/>
          <w:color w:val="auto"/>
          <w:sz w:val="24"/>
          <w:szCs w:val="24"/>
        </w:rPr>
        <w:t xml:space="preserve"> </w:t>
      </w:r>
      <w:r>
        <w:rPr>
          <w:rFonts w:ascii="宋体" w:hAnsi="宋体" w:eastAsia="宋体" w:cs="宋体"/>
          <w:strike/>
          <w:color w:val="auto"/>
          <w:sz w:val="24"/>
          <w:szCs w:val="24"/>
        </w:rPr>
        <w:t xml:space="preserve">4.2.5 </w:t>
      </w:r>
      <w:r>
        <w:rPr>
          <w:rFonts w:hint="eastAsia" w:ascii="宋体" w:hAnsi="宋体" w:eastAsia="宋体" w:cs="宋体"/>
          <w:strike/>
          <w:color w:val="auto"/>
          <w:sz w:val="24"/>
          <w:szCs w:val="24"/>
        </w:rPr>
        <w:t>（</w:t>
      </w:r>
      <w:r>
        <w:rPr>
          <w:rFonts w:ascii="宋体" w:hAnsi="宋体" w:eastAsia="宋体" w:cs="宋体"/>
          <w:strike/>
          <w:color w:val="auto"/>
          <w:sz w:val="24"/>
          <w:szCs w:val="24"/>
        </w:rPr>
        <w:t>A</w:t>
      </w:r>
      <w:r>
        <w:rPr>
          <w:rFonts w:hint="eastAsia" w:ascii="宋体" w:hAnsi="宋体" w:eastAsia="宋体" w:cs="宋体"/>
          <w:strike/>
          <w:color w:val="auto"/>
          <w:sz w:val="24"/>
          <w:szCs w:val="24"/>
        </w:rPr>
        <w:t>）逾期送达的投标文件，招标人将予以拒收。</w:t>
      </w:r>
    </w:p>
    <w:p w14:paraId="79D2B658">
      <w:pPr>
        <w:pStyle w:val="17"/>
        <w:kinsoku w:val="0"/>
        <w:overflowPunct w:val="0"/>
        <w:spacing w:before="75"/>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ascii="宋体" w:hAnsi="宋体" w:eastAsia="宋体" w:cs="宋体"/>
          <w:color w:val="auto"/>
          <w:sz w:val="24"/>
          <w:szCs w:val="24"/>
        </w:rPr>
        <w:t xml:space="preserve">4.2.5 </w:t>
      </w:r>
      <w:r>
        <w:rPr>
          <w:rFonts w:hint="eastAsia" w:ascii="宋体" w:hAnsi="宋体" w:eastAsia="宋体" w:cs="宋体"/>
          <w:color w:val="auto"/>
          <w:sz w:val="24"/>
          <w:szCs w:val="24"/>
        </w:rPr>
        <w:t>（</w:t>
      </w:r>
      <w:r>
        <w:rPr>
          <w:rFonts w:ascii="宋体" w:hAnsi="宋体" w:eastAsia="宋体" w:cs="宋体"/>
          <w:color w:val="auto"/>
          <w:sz w:val="24"/>
          <w:szCs w:val="24"/>
        </w:rPr>
        <w:t>B</w:t>
      </w:r>
      <w:r>
        <w:rPr>
          <w:rFonts w:hint="eastAsia" w:ascii="宋体" w:hAnsi="宋体" w:eastAsia="宋体" w:cs="宋体"/>
          <w:color w:val="auto"/>
          <w:sz w:val="24"/>
          <w:szCs w:val="24"/>
        </w:rPr>
        <w:t>）逾期送达的投标文件，电子招标投标交易平台将予以拒收。</w:t>
      </w:r>
    </w:p>
    <w:p w14:paraId="6CB34781">
      <w:pPr>
        <w:spacing w:after="0"/>
        <w:ind w:left="420"/>
        <w:rPr>
          <w:rFonts w:ascii="宋体" w:hAnsi="宋体" w:eastAsia="宋体"/>
          <w:color w:val="auto"/>
          <w:sz w:val="24"/>
          <w:szCs w:val="24"/>
        </w:rPr>
      </w:pPr>
    </w:p>
    <w:p w14:paraId="25045E75">
      <w:pPr>
        <w:pStyle w:val="5"/>
        <w:spacing w:after="285"/>
        <w:ind w:left="132" w:right="0"/>
        <w:rPr>
          <w:rFonts w:ascii="宋体" w:hAnsi="宋体" w:eastAsia="宋体"/>
          <w:color w:val="auto"/>
          <w:sz w:val="24"/>
          <w:szCs w:val="24"/>
        </w:rPr>
      </w:pPr>
      <w:bookmarkStart w:id="141" w:name="_Toc190785408"/>
      <w:bookmarkStart w:id="142" w:name="_Toc508382123"/>
      <w:bookmarkStart w:id="143" w:name="_Toc508788640"/>
      <w:bookmarkStart w:id="144" w:name="_Toc190785828"/>
      <w:bookmarkStart w:id="145" w:name="_Toc190785924"/>
      <w:r>
        <w:rPr>
          <w:rFonts w:ascii="宋体" w:hAnsi="宋体" w:eastAsia="宋体"/>
          <w:color w:val="auto"/>
          <w:sz w:val="24"/>
          <w:szCs w:val="24"/>
        </w:rPr>
        <w:t xml:space="preserve">4.3 </w:t>
      </w:r>
      <w:r>
        <w:rPr>
          <w:rFonts w:hint="eastAsia" w:ascii="宋体" w:hAnsi="宋体" w:eastAsia="宋体"/>
          <w:color w:val="auto"/>
          <w:sz w:val="24"/>
          <w:szCs w:val="24"/>
        </w:rPr>
        <w:t>投标文件的修改与撤回</w:t>
      </w:r>
      <w:bookmarkEnd w:id="141"/>
      <w:bookmarkEnd w:id="142"/>
      <w:bookmarkEnd w:id="143"/>
      <w:bookmarkEnd w:id="144"/>
      <w:bookmarkEnd w:id="145"/>
      <w:r>
        <w:rPr>
          <w:rFonts w:ascii="宋体" w:hAnsi="宋体" w:eastAsia="宋体"/>
          <w:color w:val="auto"/>
          <w:sz w:val="24"/>
          <w:szCs w:val="24"/>
        </w:rPr>
        <w:t xml:space="preserve"> </w:t>
      </w:r>
    </w:p>
    <w:p w14:paraId="06876075">
      <w:pPr>
        <w:spacing w:after="0" w:line="371" w:lineRule="auto"/>
        <w:ind w:right="103" w:firstLine="420"/>
        <w:rPr>
          <w:rFonts w:ascii="宋体" w:hAnsi="宋体" w:eastAsia="宋体"/>
          <w:color w:val="auto"/>
          <w:sz w:val="24"/>
          <w:szCs w:val="24"/>
        </w:rPr>
      </w:pPr>
      <w:r>
        <w:rPr>
          <w:rFonts w:ascii="宋体" w:hAnsi="宋体" w:eastAsia="宋体"/>
          <w:color w:val="auto"/>
          <w:sz w:val="24"/>
          <w:szCs w:val="24"/>
        </w:rPr>
        <w:t xml:space="preserve">4.3.1 </w:t>
      </w:r>
      <w:r>
        <w:rPr>
          <w:rFonts w:hint="eastAsia" w:ascii="宋体" w:hAnsi="宋体" w:eastAsia="宋体" w:cs="宋体"/>
          <w:color w:val="auto"/>
          <w:sz w:val="24"/>
          <w:szCs w:val="24"/>
        </w:rPr>
        <w:t>在本章第</w:t>
      </w:r>
      <w:r>
        <w:rPr>
          <w:rFonts w:ascii="宋体" w:hAnsi="宋体" w:eastAsia="宋体" w:cs="宋体"/>
          <w:color w:val="auto"/>
          <w:sz w:val="24"/>
          <w:szCs w:val="24"/>
        </w:rPr>
        <w:t xml:space="preserve"> </w:t>
      </w:r>
      <w:r>
        <w:rPr>
          <w:rFonts w:ascii="宋体" w:hAnsi="宋体" w:eastAsia="宋体"/>
          <w:color w:val="auto"/>
          <w:sz w:val="24"/>
          <w:szCs w:val="24"/>
        </w:rPr>
        <w:t xml:space="preserve">4.2.1 </w:t>
      </w:r>
      <w:r>
        <w:rPr>
          <w:rFonts w:hint="eastAsia" w:ascii="宋体" w:hAnsi="宋体" w:eastAsia="宋体" w:cs="宋体"/>
          <w:color w:val="auto"/>
          <w:sz w:val="24"/>
          <w:szCs w:val="24"/>
        </w:rPr>
        <w:t>项规定的投标截止时间前，投标人可以修改或撤回已递交的投标文件，但应以书面形式通知招标人。</w:t>
      </w:r>
      <w:r>
        <w:rPr>
          <w:rFonts w:ascii="宋体" w:hAnsi="宋体" w:eastAsia="宋体"/>
          <w:color w:val="auto"/>
          <w:sz w:val="24"/>
          <w:szCs w:val="24"/>
        </w:rPr>
        <w:t xml:space="preserve"> </w:t>
      </w:r>
    </w:p>
    <w:p w14:paraId="674A8128">
      <w:pPr>
        <w:spacing w:after="0" w:line="373" w:lineRule="auto"/>
        <w:ind w:right="103" w:firstLine="420"/>
        <w:rPr>
          <w:rFonts w:hint="eastAsia" w:ascii="宋体" w:hAnsi="宋体" w:eastAsia="宋体"/>
          <w:color w:val="auto"/>
          <w:sz w:val="24"/>
          <w:szCs w:val="24"/>
        </w:rPr>
      </w:pPr>
      <w:r>
        <w:rPr>
          <w:rFonts w:ascii="宋体" w:hAnsi="宋体" w:eastAsia="宋体"/>
          <w:strike/>
          <w:color w:val="auto"/>
          <w:sz w:val="24"/>
          <w:szCs w:val="24"/>
        </w:rPr>
        <w:t xml:space="preserve">4.3.2 </w:t>
      </w:r>
      <w:r>
        <w:rPr>
          <w:rFonts w:hint="eastAsia" w:ascii="宋体" w:hAnsi="宋体" w:eastAsia="宋体" w:cs="宋体"/>
          <w:strike/>
          <w:color w:val="auto"/>
          <w:sz w:val="24"/>
          <w:szCs w:val="24"/>
        </w:rPr>
        <w:t>（</w:t>
      </w:r>
      <w:r>
        <w:rPr>
          <w:rFonts w:ascii="宋体" w:hAnsi="宋体" w:eastAsia="宋体"/>
          <w:strike/>
          <w:color w:val="auto"/>
          <w:sz w:val="24"/>
          <w:szCs w:val="24"/>
        </w:rPr>
        <w:t>A</w:t>
      </w:r>
      <w:r>
        <w:rPr>
          <w:rFonts w:hint="eastAsia" w:ascii="宋体" w:hAnsi="宋体" w:eastAsia="宋体" w:cs="宋体"/>
          <w:strike/>
          <w:color w:val="auto"/>
          <w:sz w:val="24"/>
          <w:szCs w:val="24"/>
        </w:rPr>
        <w:t>）投标人修改或撤回已递交投标文件的书面通知应按照本章第</w:t>
      </w:r>
      <w:r>
        <w:rPr>
          <w:rFonts w:ascii="宋体" w:hAnsi="宋体" w:eastAsia="宋体" w:cs="宋体"/>
          <w:strike/>
          <w:color w:val="auto"/>
          <w:sz w:val="24"/>
          <w:szCs w:val="24"/>
        </w:rPr>
        <w:t xml:space="preserve"> </w:t>
      </w:r>
      <w:r>
        <w:rPr>
          <w:rFonts w:ascii="宋体" w:hAnsi="宋体" w:eastAsia="宋体"/>
          <w:strike/>
          <w:color w:val="auto"/>
          <w:sz w:val="24"/>
          <w:szCs w:val="24"/>
        </w:rPr>
        <w:t>3.7.3</w:t>
      </w:r>
      <w:r>
        <w:rPr>
          <w:rFonts w:hint="eastAsia" w:ascii="宋体" w:hAnsi="宋体" w:eastAsia="宋体" w:cs="宋体"/>
          <w:strike/>
          <w:color w:val="auto"/>
          <w:sz w:val="24"/>
          <w:szCs w:val="24"/>
        </w:rPr>
        <w:t>（</w:t>
      </w:r>
      <w:r>
        <w:rPr>
          <w:rFonts w:ascii="宋体" w:hAnsi="宋体" w:eastAsia="宋体"/>
          <w:strike/>
          <w:color w:val="auto"/>
          <w:sz w:val="24"/>
          <w:szCs w:val="24"/>
        </w:rPr>
        <w:t>A</w:t>
      </w:r>
      <w:r>
        <w:rPr>
          <w:rFonts w:hint="eastAsia" w:ascii="宋体" w:hAnsi="宋体" w:eastAsia="宋体" w:cs="宋体"/>
          <w:strike/>
          <w:color w:val="auto"/>
          <w:sz w:val="24"/>
          <w:szCs w:val="24"/>
        </w:rPr>
        <w:t>）项的要求签字或盖章。招标人收到书面通知后，向投标人出具签收凭证。</w:t>
      </w:r>
      <w:r>
        <w:rPr>
          <w:rFonts w:ascii="宋体" w:hAnsi="宋体" w:eastAsia="宋体"/>
          <w:color w:val="auto"/>
          <w:sz w:val="24"/>
          <w:szCs w:val="24"/>
        </w:rPr>
        <w:t xml:space="preserve"> </w:t>
      </w:r>
    </w:p>
    <w:p w14:paraId="552C8D88">
      <w:pPr>
        <w:pStyle w:val="17"/>
        <w:kinsoku w:val="0"/>
        <w:overflowPunct w:val="0"/>
        <w:spacing w:before="40" w:line="295" w:lineRule="auto"/>
        <w:ind w:left="100" w:firstLine="419"/>
        <w:rPr>
          <w:rFonts w:hint="eastAsia" w:ascii="宋体" w:hAnsi="宋体" w:eastAsia="宋体" w:cs="宋体"/>
          <w:color w:val="auto"/>
          <w:sz w:val="24"/>
          <w:szCs w:val="24"/>
        </w:rPr>
      </w:pPr>
      <w:r>
        <w:rPr>
          <w:rFonts w:ascii="宋体" w:hAnsi="宋体" w:eastAsia="宋体" w:cs="宋体"/>
          <w:color w:val="auto"/>
          <w:sz w:val="24"/>
          <w:szCs w:val="24"/>
        </w:rPr>
        <w:t xml:space="preserve">4.3.2 </w:t>
      </w:r>
      <w:r>
        <w:rPr>
          <w:rFonts w:hint="eastAsia" w:ascii="宋体" w:hAnsi="宋体" w:eastAsia="宋体" w:cs="宋体"/>
          <w:color w:val="auto"/>
          <w:sz w:val="24"/>
          <w:szCs w:val="24"/>
        </w:rPr>
        <w:t>（</w:t>
      </w:r>
      <w:r>
        <w:rPr>
          <w:rFonts w:ascii="宋体" w:hAnsi="宋体" w:eastAsia="宋体" w:cs="宋体"/>
          <w:color w:val="auto"/>
          <w:sz w:val="24"/>
          <w:szCs w:val="24"/>
        </w:rPr>
        <w:t>B</w:t>
      </w:r>
      <w:r>
        <w:rPr>
          <w:rFonts w:hint="eastAsia" w:ascii="宋体" w:hAnsi="宋体" w:eastAsia="宋体" w:cs="宋体"/>
          <w:color w:val="auto"/>
          <w:sz w:val="24"/>
          <w:szCs w:val="24"/>
        </w:rPr>
        <w:t xml:space="preserve">）投标人修改或撤回已递交投标文件的通知，应按照本章第 </w:t>
      </w:r>
      <w:r>
        <w:rPr>
          <w:rFonts w:ascii="宋体" w:hAnsi="宋体" w:eastAsia="宋体" w:cs="宋体"/>
          <w:color w:val="auto"/>
          <w:sz w:val="24"/>
          <w:szCs w:val="24"/>
        </w:rPr>
        <w:t>3.7.3</w:t>
      </w:r>
      <w:r>
        <w:rPr>
          <w:rFonts w:hint="eastAsia" w:ascii="宋体" w:hAnsi="宋体" w:eastAsia="宋体" w:cs="宋体"/>
          <w:color w:val="auto"/>
          <w:sz w:val="24"/>
          <w:szCs w:val="24"/>
        </w:rPr>
        <w:t>（</w:t>
      </w:r>
      <w:r>
        <w:rPr>
          <w:rFonts w:ascii="宋体" w:hAnsi="宋体" w:eastAsia="宋体" w:cs="宋体"/>
          <w:color w:val="auto"/>
          <w:sz w:val="24"/>
          <w:szCs w:val="24"/>
        </w:rPr>
        <w:t>B</w:t>
      </w:r>
      <w:r>
        <w:rPr>
          <w:rFonts w:hint="eastAsia" w:ascii="宋体" w:hAnsi="宋体" w:eastAsia="宋体" w:cs="宋体"/>
          <w:color w:val="auto"/>
          <w:sz w:val="24"/>
          <w:szCs w:val="24"/>
        </w:rPr>
        <w:t>）项的要求加盖电子印章。电子招标投标交易平台收到通知后，即时向投标人发出确认回执通知。</w:t>
      </w:r>
    </w:p>
    <w:p w14:paraId="40871ACC">
      <w:pPr>
        <w:spacing w:after="0" w:line="371" w:lineRule="auto"/>
        <w:ind w:right="103" w:firstLine="420"/>
        <w:rPr>
          <w:rFonts w:ascii="宋体" w:hAnsi="宋体" w:eastAsia="宋体"/>
          <w:color w:val="auto"/>
          <w:sz w:val="24"/>
          <w:szCs w:val="24"/>
        </w:rPr>
      </w:pPr>
      <w:r>
        <w:rPr>
          <w:rFonts w:ascii="宋体" w:hAnsi="宋体" w:eastAsia="宋体"/>
          <w:strike/>
          <w:color w:val="auto"/>
          <w:sz w:val="24"/>
          <w:szCs w:val="24"/>
        </w:rPr>
        <w:t xml:space="preserve">4.3.3 </w:t>
      </w:r>
      <w:r>
        <w:rPr>
          <w:rFonts w:hint="eastAsia" w:ascii="宋体" w:hAnsi="宋体" w:eastAsia="宋体" w:cs="宋体"/>
          <w:strike/>
          <w:color w:val="auto"/>
          <w:sz w:val="24"/>
          <w:szCs w:val="24"/>
        </w:rPr>
        <w:t>投标人撤回投标文件的，招标人自收到投标人书面撤回通知之日起</w:t>
      </w:r>
      <w:r>
        <w:rPr>
          <w:rFonts w:ascii="宋体" w:hAnsi="宋体" w:eastAsia="宋体" w:cs="宋体"/>
          <w:strike/>
          <w:color w:val="auto"/>
          <w:sz w:val="24"/>
          <w:szCs w:val="24"/>
        </w:rPr>
        <w:t xml:space="preserve"> </w:t>
      </w:r>
      <w:r>
        <w:rPr>
          <w:rFonts w:ascii="宋体" w:hAnsi="宋体" w:eastAsia="宋体"/>
          <w:strike/>
          <w:color w:val="auto"/>
          <w:sz w:val="24"/>
          <w:szCs w:val="24"/>
        </w:rPr>
        <w:t xml:space="preserve">5 </w:t>
      </w:r>
      <w:r>
        <w:rPr>
          <w:rFonts w:hint="eastAsia" w:ascii="宋体" w:hAnsi="宋体" w:eastAsia="宋体" w:cs="宋体"/>
          <w:strike/>
          <w:color w:val="auto"/>
          <w:sz w:val="24"/>
          <w:szCs w:val="24"/>
        </w:rPr>
        <w:t>日内退还已收取的投标保证金。</w:t>
      </w:r>
      <w:r>
        <w:rPr>
          <w:rFonts w:ascii="宋体" w:hAnsi="宋体" w:eastAsia="宋体"/>
          <w:color w:val="auto"/>
          <w:sz w:val="24"/>
          <w:szCs w:val="24"/>
        </w:rPr>
        <w:t xml:space="preserve"> </w:t>
      </w:r>
    </w:p>
    <w:p w14:paraId="1349FD1D">
      <w:pPr>
        <w:spacing w:after="252" w:line="375" w:lineRule="auto"/>
        <w:ind w:right="103" w:firstLine="420"/>
        <w:rPr>
          <w:rFonts w:ascii="宋体" w:hAnsi="宋体" w:eastAsia="宋体"/>
          <w:color w:val="auto"/>
          <w:sz w:val="24"/>
          <w:szCs w:val="24"/>
        </w:rPr>
      </w:pPr>
      <w:r>
        <w:rPr>
          <w:rFonts w:ascii="宋体" w:hAnsi="宋体" w:eastAsia="宋体"/>
          <w:color w:val="auto"/>
          <w:sz w:val="24"/>
          <w:szCs w:val="24"/>
        </w:rPr>
        <w:t xml:space="preserve">4.3.4 </w:t>
      </w:r>
      <w:r>
        <w:rPr>
          <w:rFonts w:hint="eastAsia" w:ascii="宋体" w:hAnsi="宋体" w:eastAsia="宋体" w:cs="宋体"/>
          <w:color w:val="auto"/>
          <w:sz w:val="24"/>
          <w:szCs w:val="24"/>
        </w:rPr>
        <w:t>修改的内容为投标文件的组成部分。修改的投标文件应按照本章第</w:t>
      </w:r>
      <w:r>
        <w:rPr>
          <w:rFonts w:ascii="宋体" w:hAnsi="宋体" w:eastAsia="宋体" w:cs="宋体"/>
          <w:color w:val="auto"/>
          <w:sz w:val="24"/>
          <w:szCs w:val="24"/>
        </w:rPr>
        <w:t xml:space="preserve"> </w:t>
      </w:r>
      <w:r>
        <w:rPr>
          <w:rFonts w:ascii="宋体" w:hAnsi="宋体" w:eastAsia="宋体"/>
          <w:color w:val="auto"/>
          <w:sz w:val="24"/>
          <w:szCs w:val="24"/>
        </w:rPr>
        <w:t xml:space="preserve">3 </w:t>
      </w:r>
      <w:r>
        <w:rPr>
          <w:rFonts w:hint="eastAsia" w:ascii="宋体" w:hAnsi="宋体" w:eastAsia="宋体" w:cs="宋体"/>
          <w:color w:val="auto"/>
          <w:sz w:val="24"/>
          <w:szCs w:val="24"/>
        </w:rPr>
        <w:t>条、第</w:t>
      </w:r>
      <w:r>
        <w:rPr>
          <w:rFonts w:ascii="宋体" w:hAnsi="宋体" w:eastAsia="宋体" w:cs="宋体"/>
          <w:color w:val="auto"/>
          <w:sz w:val="24"/>
          <w:szCs w:val="24"/>
        </w:rPr>
        <w:t xml:space="preserve"> </w:t>
      </w:r>
      <w:r>
        <w:rPr>
          <w:rFonts w:ascii="宋体" w:hAnsi="宋体" w:eastAsia="宋体"/>
          <w:color w:val="auto"/>
          <w:sz w:val="24"/>
          <w:szCs w:val="24"/>
        </w:rPr>
        <w:t xml:space="preserve">4 </w:t>
      </w:r>
      <w:r>
        <w:rPr>
          <w:rFonts w:hint="eastAsia" w:ascii="宋体" w:hAnsi="宋体" w:eastAsia="宋体" w:cs="宋体"/>
          <w:color w:val="auto"/>
          <w:sz w:val="24"/>
          <w:szCs w:val="24"/>
        </w:rPr>
        <w:t>条的规定进行编制、密封、标记和递交，并标明</w:t>
      </w:r>
      <w:r>
        <w:rPr>
          <w:rFonts w:ascii="宋体" w:hAnsi="宋体" w:eastAsia="宋体"/>
          <w:color w:val="auto"/>
          <w:sz w:val="24"/>
          <w:szCs w:val="24"/>
        </w:rPr>
        <w:t>“</w:t>
      </w:r>
      <w:r>
        <w:rPr>
          <w:rFonts w:hint="eastAsia" w:ascii="宋体" w:hAnsi="宋体" w:eastAsia="宋体" w:cs="宋体"/>
          <w:color w:val="auto"/>
          <w:sz w:val="24"/>
          <w:szCs w:val="24"/>
        </w:rPr>
        <w:t>修改</w:t>
      </w:r>
      <w:r>
        <w:rPr>
          <w:rFonts w:ascii="宋体" w:hAnsi="宋体" w:eastAsia="宋体"/>
          <w:color w:val="auto"/>
          <w:sz w:val="24"/>
          <w:szCs w:val="24"/>
        </w:rPr>
        <w:t>”</w:t>
      </w:r>
      <w:r>
        <w:rPr>
          <w:rFonts w:hint="eastAsia" w:ascii="宋体" w:hAnsi="宋体" w:eastAsia="宋体" w:cs="宋体"/>
          <w:color w:val="auto"/>
          <w:sz w:val="24"/>
          <w:szCs w:val="24"/>
        </w:rPr>
        <w:t>字样。</w:t>
      </w:r>
      <w:r>
        <w:rPr>
          <w:rFonts w:ascii="宋体" w:hAnsi="宋体" w:eastAsia="宋体"/>
          <w:color w:val="auto"/>
          <w:sz w:val="24"/>
          <w:szCs w:val="24"/>
        </w:rPr>
        <w:t xml:space="preserve"> </w:t>
      </w:r>
    </w:p>
    <w:p w14:paraId="6A8D9DA7">
      <w:pPr>
        <w:pStyle w:val="4"/>
        <w:spacing w:after="500" w:line="262" w:lineRule="auto"/>
        <w:ind w:left="-5" w:right="0"/>
        <w:rPr>
          <w:rFonts w:ascii="宋体" w:hAnsi="宋体" w:eastAsia="宋体"/>
          <w:color w:val="auto"/>
          <w:sz w:val="24"/>
          <w:szCs w:val="24"/>
        </w:rPr>
      </w:pPr>
      <w:bookmarkStart w:id="146" w:name="_Toc508382124"/>
      <w:bookmarkStart w:id="147" w:name="_Toc190785925"/>
      <w:r>
        <w:rPr>
          <w:rFonts w:ascii="宋体" w:hAnsi="宋体" w:eastAsia="宋体"/>
          <w:b/>
          <w:color w:val="auto"/>
          <w:sz w:val="24"/>
          <w:szCs w:val="24"/>
        </w:rPr>
        <w:t xml:space="preserve">5. </w:t>
      </w:r>
      <w:r>
        <w:rPr>
          <w:rFonts w:hint="eastAsia" w:ascii="宋体" w:hAnsi="宋体" w:eastAsia="宋体"/>
          <w:color w:val="auto"/>
          <w:sz w:val="24"/>
          <w:szCs w:val="24"/>
        </w:rPr>
        <w:t>开标</w:t>
      </w:r>
      <w:bookmarkEnd w:id="146"/>
      <w:bookmarkEnd w:id="147"/>
      <w:r>
        <w:rPr>
          <w:rFonts w:ascii="宋体" w:hAnsi="宋体" w:eastAsia="宋体"/>
          <w:b/>
          <w:color w:val="auto"/>
          <w:sz w:val="24"/>
          <w:szCs w:val="24"/>
        </w:rPr>
        <w:t xml:space="preserve"> </w:t>
      </w:r>
    </w:p>
    <w:p w14:paraId="3A1AFB70">
      <w:pPr>
        <w:pStyle w:val="5"/>
        <w:spacing w:after="281"/>
        <w:ind w:left="132" w:right="0"/>
        <w:rPr>
          <w:rFonts w:ascii="宋体" w:hAnsi="宋体" w:eastAsia="宋体"/>
          <w:strike/>
          <w:color w:val="auto"/>
          <w:sz w:val="24"/>
          <w:szCs w:val="24"/>
        </w:rPr>
      </w:pPr>
      <w:bookmarkStart w:id="148" w:name="_Toc508788642"/>
      <w:bookmarkStart w:id="149" w:name="_Toc508382125"/>
      <w:bookmarkStart w:id="150" w:name="_Toc190785830"/>
      <w:bookmarkStart w:id="151" w:name="_Toc190785410"/>
      <w:bookmarkStart w:id="152" w:name="_Toc190785926"/>
      <w:r>
        <w:rPr>
          <w:rFonts w:ascii="宋体" w:hAnsi="宋体" w:eastAsia="宋体"/>
          <w:strike/>
          <w:color w:val="auto"/>
          <w:sz w:val="24"/>
          <w:szCs w:val="24"/>
        </w:rPr>
        <w:t xml:space="preserve">5.1 </w:t>
      </w:r>
      <w:r>
        <w:rPr>
          <w:rFonts w:hint="eastAsia" w:ascii="宋体" w:hAnsi="宋体" w:eastAsia="宋体"/>
          <w:strike/>
          <w:color w:val="auto"/>
          <w:sz w:val="24"/>
          <w:szCs w:val="24"/>
        </w:rPr>
        <w:t>开标时间和地点（</w:t>
      </w:r>
      <w:r>
        <w:rPr>
          <w:rFonts w:ascii="宋体" w:hAnsi="宋体" w:eastAsia="宋体"/>
          <w:strike/>
          <w:color w:val="auto"/>
          <w:sz w:val="24"/>
          <w:szCs w:val="24"/>
        </w:rPr>
        <w:t>A</w:t>
      </w:r>
      <w:r>
        <w:rPr>
          <w:rFonts w:hint="eastAsia" w:ascii="宋体" w:hAnsi="宋体" w:eastAsia="宋体"/>
          <w:strike/>
          <w:color w:val="auto"/>
          <w:sz w:val="24"/>
          <w:szCs w:val="24"/>
        </w:rPr>
        <w:t>）</w:t>
      </w:r>
      <w:bookmarkEnd w:id="148"/>
      <w:bookmarkEnd w:id="149"/>
      <w:bookmarkEnd w:id="150"/>
      <w:bookmarkEnd w:id="151"/>
      <w:bookmarkEnd w:id="152"/>
      <w:r>
        <w:rPr>
          <w:rFonts w:ascii="宋体" w:hAnsi="宋体" w:eastAsia="宋体"/>
          <w:strike/>
          <w:color w:val="auto"/>
          <w:sz w:val="24"/>
          <w:szCs w:val="24"/>
        </w:rPr>
        <w:t xml:space="preserve"> </w:t>
      </w:r>
    </w:p>
    <w:p w14:paraId="66BB9FDB">
      <w:pPr>
        <w:spacing w:after="216" w:line="374" w:lineRule="auto"/>
        <w:ind w:right="103" w:firstLine="420"/>
        <w:rPr>
          <w:rFonts w:hint="eastAsia" w:ascii="宋体" w:hAnsi="宋体" w:eastAsia="宋体"/>
          <w:strike/>
          <w:color w:val="auto"/>
          <w:sz w:val="24"/>
          <w:szCs w:val="24"/>
        </w:rPr>
      </w:pPr>
      <w:r>
        <w:rPr>
          <w:rFonts w:hint="eastAsia" w:ascii="宋体" w:hAnsi="宋体" w:eastAsia="宋体" w:cs="宋体"/>
          <w:strike/>
          <w:color w:val="auto"/>
          <w:sz w:val="24"/>
          <w:szCs w:val="24"/>
        </w:rPr>
        <w:t>招标人在本章第</w:t>
      </w:r>
      <w:r>
        <w:rPr>
          <w:rFonts w:ascii="宋体" w:hAnsi="宋体" w:eastAsia="宋体" w:cs="宋体"/>
          <w:strike/>
          <w:color w:val="auto"/>
          <w:sz w:val="24"/>
          <w:szCs w:val="24"/>
        </w:rPr>
        <w:t xml:space="preserve"> </w:t>
      </w:r>
      <w:r>
        <w:rPr>
          <w:rFonts w:ascii="宋体" w:hAnsi="宋体" w:eastAsia="宋体"/>
          <w:strike/>
          <w:color w:val="auto"/>
          <w:sz w:val="24"/>
          <w:szCs w:val="24"/>
        </w:rPr>
        <w:t xml:space="preserve">4.2.1 </w:t>
      </w:r>
      <w:r>
        <w:rPr>
          <w:rFonts w:hint="eastAsia" w:ascii="宋体" w:hAnsi="宋体" w:eastAsia="宋体" w:cs="宋体"/>
          <w:strike/>
          <w:color w:val="auto"/>
          <w:sz w:val="24"/>
          <w:szCs w:val="24"/>
        </w:rPr>
        <w:t>项规定的投标截止时间（开标时间）和投标人须知前附表规定的地点公开开标，并邀请所有投标人的法定代表人或其委托代理人准时参加。</w:t>
      </w:r>
      <w:r>
        <w:rPr>
          <w:rFonts w:ascii="宋体" w:hAnsi="宋体" w:eastAsia="宋体"/>
          <w:strike/>
          <w:color w:val="auto"/>
          <w:sz w:val="24"/>
          <w:szCs w:val="24"/>
        </w:rPr>
        <w:t xml:space="preserve"> </w:t>
      </w:r>
    </w:p>
    <w:p w14:paraId="4BF9194B">
      <w:pPr>
        <w:pStyle w:val="80"/>
        <w:kinsoku w:val="0"/>
        <w:overflowPunct w:val="0"/>
        <w:rPr>
          <w:sz w:val="24"/>
          <w:szCs w:val="24"/>
        </w:rPr>
      </w:pPr>
      <w:bookmarkStart w:id="153" w:name="_Toc190785927"/>
      <w:bookmarkStart w:id="154" w:name="_Toc190785831"/>
      <w:bookmarkStart w:id="155" w:name="_Toc190785411"/>
      <w:r>
        <w:rPr>
          <w:rFonts w:hint="default"/>
          <w:sz w:val="24"/>
          <w:szCs w:val="24"/>
        </w:rPr>
        <w:t>5.1</w:t>
      </w:r>
      <w:r>
        <w:rPr>
          <w:rFonts w:hint="default"/>
          <w:spacing w:val="67"/>
          <w:sz w:val="24"/>
          <w:szCs w:val="24"/>
        </w:rPr>
        <w:t xml:space="preserve"> </w:t>
      </w:r>
      <w:r>
        <w:rPr>
          <w:sz w:val="24"/>
          <w:szCs w:val="24"/>
        </w:rPr>
        <w:t>开标时间</w:t>
      </w:r>
      <w:r>
        <w:rPr>
          <w:spacing w:val="-3"/>
          <w:sz w:val="24"/>
          <w:szCs w:val="24"/>
        </w:rPr>
        <w:t>和</w:t>
      </w:r>
      <w:r>
        <w:rPr>
          <w:sz w:val="24"/>
          <w:szCs w:val="24"/>
        </w:rPr>
        <w:t>地</w:t>
      </w:r>
      <w:r>
        <w:rPr>
          <w:spacing w:val="-3"/>
          <w:sz w:val="24"/>
          <w:szCs w:val="24"/>
        </w:rPr>
        <w:t>点</w:t>
      </w:r>
      <w:r>
        <w:rPr>
          <w:sz w:val="24"/>
          <w:szCs w:val="24"/>
        </w:rPr>
        <w:t>（</w:t>
      </w:r>
      <w:r>
        <w:rPr>
          <w:rFonts w:hint="default"/>
          <w:spacing w:val="-3"/>
          <w:sz w:val="24"/>
          <w:szCs w:val="24"/>
        </w:rPr>
        <w:t>B</w:t>
      </w:r>
      <w:r>
        <w:rPr>
          <w:sz w:val="24"/>
          <w:szCs w:val="24"/>
        </w:rPr>
        <w:t>）</w:t>
      </w:r>
      <w:bookmarkEnd w:id="153"/>
      <w:bookmarkEnd w:id="154"/>
      <w:bookmarkEnd w:id="155"/>
    </w:p>
    <w:p w14:paraId="34690F09">
      <w:pPr>
        <w:kinsoku w:val="0"/>
        <w:overflowPunct w:val="0"/>
        <w:spacing w:after="0" w:line="360" w:lineRule="auto"/>
        <w:rPr>
          <w:rFonts w:ascii="宋体" w:hAnsi="宋体" w:eastAsia="宋体"/>
          <w:color w:val="auto"/>
          <w:sz w:val="24"/>
          <w:szCs w:val="24"/>
        </w:rPr>
      </w:pPr>
    </w:p>
    <w:p w14:paraId="0201D3DF">
      <w:pPr>
        <w:kinsoku w:val="0"/>
        <w:overflowPunct w:val="0"/>
        <w:spacing w:after="0" w:line="360" w:lineRule="auto"/>
        <w:ind w:firstLine="600" w:firstLineChars="250"/>
        <w:rPr>
          <w:color w:val="auto"/>
          <w:sz w:val="24"/>
          <w:szCs w:val="24"/>
        </w:rPr>
      </w:pPr>
      <w:bookmarkStart w:id="156" w:name="_Toc508788643"/>
      <w:bookmarkStart w:id="157" w:name="_Toc508382126"/>
      <w:r>
        <w:rPr>
          <w:rFonts w:hint="eastAsia" w:ascii="宋体" w:hAnsi="宋体" w:eastAsia="宋体" w:cs="宋体"/>
          <w:color w:val="auto"/>
          <w:sz w:val="24"/>
          <w:szCs w:val="24"/>
        </w:rPr>
        <w:t>招标人在本章第</w:t>
      </w:r>
      <w:r>
        <w:rPr>
          <w:color w:val="auto"/>
          <w:sz w:val="24"/>
          <w:szCs w:val="24"/>
        </w:rPr>
        <w:t>4.2.1</w:t>
      </w:r>
      <w:r>
        <w:rPr>
          <w:rFonts w:hint="eastAsia" w:ascii="宋体" w:hAnsi="宋体" w:eastAsia="宋体" w:cs="宋体"/>
          <w:color w:val="auto"/>
          <w:sz w:val="24"/>
          <w:szCs w:val="24"/>
        </w:rPr>
        <w:t>项规定的投标截止时间（开标时间）</w:t>
      </w:r>
      <w:r>
        <w:rPr>
          <w:color w:val="auto"/>
          <w:sz w:val="24"/>
          <w:szCs w:val="24"/>
        </w:rPr>
        <w:t>,</w:t>
      </w:r>
      <w:r>
        <w:rPr>
          <w:rFonts w:hint="eastAsia" w:ascii="宋体" w:hAnsi="宋体" w:eastAsia="宋体" w:cs="宋体"/>
          <w:color w:val="auto"/>
          <w:sz w:val="24"/>
          <w:szCs w:val="24"/>
        </w:rPr>
        <w:t>在广州交易集团有限公司（广州公共资源交易中心）公开开标，</w:t>
      </w:r>
      <w:r>
        <w:rPr>
          <w:rFonts w:hint="eastAsia"/>
          <w:sz w:val="24"/>
          <w:szCs w:val="24"/>
          <w:u w:val="single"/>
        </w:rPr>
        <w:t>邀请</w:t>
      </w:r>
      <w:r>
        <w:rPr>
          <w:rFonts w:hint="eastAsia"/>
          <w:spacing w:val="-2"/>
          <w:sz w:val="24"/>
          <w:szCs w:val="24"/>
          <w:u w:val="single"/>
        </w:rPr>
        <w:t>所</w:t>
      </w:r>
      <w:r>
        <w:rPr>
          <w:rFonts w:hint="eastAsia"/>
          <w:sz w:val="24"/>
          <w:szCs w:val="24"/>
          <w:u w:val="single"/>
        </w:rPr>
        <w:t>有</w:t>
      </w:r>
      <w:r>
        <w:rPr>
          <w:rFonts w:hint="eastAsia"/>
          <w:spacing w:val="-2"/>
          <w:sz w:val="24"/>
          <w:szCs w:val="24"/>
          <w:u w:val="single"/>
        </w:rPr>
        <w:t>投</w:t>
      </w:r>
      <w:r>
        <w:rPr>
          <w:rFonts w:hint="eastAsia"/>
          <w:sz w:val="24"/>
          <w:szCs w:val="24"/>
          <w:u w:val="single"/>
        </w:rPr>
        <w:t>标</w:t>
      </w:r>
      <w:r>
        <w:rPr>
          <w:rFonts w:hint="eastAsia"/>
          <w:spacing w:val="-2"/>
          <w:sz w:val="24"/>
          <w:szCs w:val="24"/>
          <w:u w:val="single"/>
        </w:rPr>
        <w:t>人</w:t>
      </w:r>
      <w:r>
        <w:rPr>
          <w:rFonts w:hint="eastAsia"/>
          <w:sz w:val="24"/>
          <w:szCs w:val="24"/>
          <w:u w:val="single"/>
        </w:rPr>
        <w:t>的</w:t>
      </w:r>
      <w:r>
        <w:rPr>
          <w:rFonts w:hint="eastAsia"/>
          <w:spacing w:val="-2"/>
          <w:sz w:val="24"/>
          <w:szCs w:val="24"/>
          <w:u w:val="single"/>
        </w:rPr>
        <w:t>法</w:t>
      </w:r>
      <w:r>
        <w:rPr>
          <w:rFonts w:hint="eastAsia"/>
          <w:sz w:val="24"/>
          <w:szCs w:val="24"/>
          <w:u w:val="single"/>
        </w:rPr>
        <w:t>定代</w:t>
      </w:r>
      <w:r>
        <w:rPr>
          <w:rFonts w:hint="eastAsia"/>
          <w:spacing w:val="-2"/>
          <w:sz w:val="24"/>
          <w:szCs w:val="24"/>
          <w:u w:val="single"/>
        </w:rPr>
        <w:t>表</w:t>
      </w:r>
      <w:r>
        <w:rPr>
          <w:rFonts w:hint="eastAsia"/>
          <w:sz w:val="24"/>
          <w:szCs w:val="24"/>
          <w:u w:val="single"/>
        </w:rPr>
        <w:t>人</w:t>
      </w:r>
      <w:r>
        <w:rPr>
          <w:rFonts w:hint="eastAsia"/>
          <w:spacing w:val="-2"/>
          <w:sz w:val="24"/>
          <w:szCs w:val="24"/>
          <w:u w:val="single"/>
        </w:rPr>
        <w:t>或</w:t>
      </w:r>
      <w:r>
        <w:rPr>
          <w:rFonts w:hint="eastAsia"/>
          <w:sz w:val="24"/>
          <w:szCs w:val="24"/>
          <w:u w:val="single"/>
        </w:rPr>
        <w:t>其</w:t>
      </w:r>
      <w:r>
        <w:rPr>
          <w:rFonts w:hint="eastAsia"/>
          <w:spacing w:val="-2"/>
          <w:sz w:val="24"/>
          <w:szCs w:val="24"/>
          <w:u w:val="single"/>
        </w:rPr>
        <w:t>委</w:t>
      </w:r>
      <w:r>
        <w:rPr>
          <w:rFonts w:hint="eastAsia"/>
          <w:sz w:val="24"/>
          <w:szCs w:val="24"/>
          <w:u w:val="single"/>
        </w:rPr>
        <w:t>托</w:t>
      </w:r>
      <w:r>
        <w:rPr>
          <w:rFonts w:hint="eastAsia"/>
          <w:spacing w:val="-2"/>
          <w:sz w:val="24"/>
          <w:szCs w:val="24"/>
          <w:u w:val="single"/>
        </w:rPr>
        <w:t>代</w:t>
      </w:r>
      <w:r>
        <w:rPr>
          <w:rFonts w:hint="eastAsia"/>
          <w:sz w:val="24"/>
          <w:szCs w:val="24"/>
          <w:u w:val="single"/>
        </w:rPr>
        <w:t>理</w:t>
      </w:r>
      <w:r>
        <w:rPr>
          <w:rFonts w:hint="eastAsia"/>
          <w:spacing w:val="-2"/>
          <w:sz w:val="24"/>
          <w:szCs w:val="24"/>
          <w:u w:val="single"/>
        </w:rPr>
        <w:t>人准</w:t>
      </w:r>
      <w:r>
        <w:rPr>
          <w:rFonts w:hint="eastAsia"/>
          <w:sz w:val="24"/>
          <w:szCs w:val="24"/>
          <w:u w:val="single"/>
        </w:rPr>
        <w:t>时</w:t>
      </w:r>
      <w:r>
        <w:rPr>
          <w:rFonts w:hint="eastAsia"/>
          <w:spacing w:val="-2"/>
          <w:sz w:val="24"/>
          <w:szCs w:val="24"/>
          <w:u w:val="single"/>
        </w:rPr>
        <w:t>参</w:t>
      </w:r>
      <w:r>
        <w:rPr>
          <w:rFonts w:hint="eastAsia"/>
          <w:sz w:val="24"/>
          <w:szCs w:val="24"/>
          <w:u w:val="single"/>
        </w:rPr>
        <w:t>加。投标人可</w:t>
      </w:r>
      <w:r>
        <w:rPr>
          <w:sz w:val="24"/>
          <w:szCs w:val="24"/>
          <w:u w:val="single"/>
        </w:rPr>
        <w:t>选择在开标室参</w:t>
      </w:r>
      <w:r>
        <w:rPr>
          <w:rFonts w:hint="eastAsia"/>
          <w:sz w:val="24"/>
          <w:szCs w:val="24"/>
          <w:u w:val="single"/>
        </w:rPr>
        <w:t>与现场</w:t>
      </w:r>
      <w:r>
        <w:rPr>
          <w:sz w:val="24"/>
          <w:szCs w:val="24"/>
          <w:u w:val="single"/>
        </w:rPr>
        <w:t>开标或</w:t>
      </w:r>
      <w:r>
        <w:rPr>
          <w:rFonts w:hint="eastAsia"/>
          <w:sz w:val="24"/>
          <w:szCs w:val="24"/>
          <w:u w:val="single"/>
        </w:rPr>
        <w:t>准时在线参加开标，</w:t>
      </w:r>
      <w:r>
        <w:rPr>
          <w:sz w:val="24"/>
          <w:szCs w:val="24"/>
          <w:u w:val="single"/>
        </w:rPr>
        <w:t>也可不参加开标</w:t>
      </w:r>
      <w:r>
        <w:rPr>
          <w:rFonts w:hint="eastAsia"/>
          <w:sz w:val="24"/>
          <w:szCs w:val="24"/>
          <w:u w:val="single"/>
        </w:rPr>
        <w:t>。参加</w:t>
      </w:r>
      <w:r>
        <w:rPr>
          <w:sz w:val="24"/>
          <w:szCs w:val="24"/>
          <w:u w:val="single"/>
        </w:rPr>
        <w:t>在线开标的投标人登录交易平台实时查看开标</w:t>
      </w:r>
      <w:r>
        <w:rPr>
          <w:rFonts w:hint="eastAsia"/>
          <w:sz w:val="24"/>
          <w:szCs w:val="24"/>
          <w:u w:val="single"/>
        </w:rPr>
        <w:t>、</w:t>
      </w:r>
      <w:r>
        <w:rPr>
          <w:sz w:val="24"/>
          <w:szCs w:val="24"/>
          <w:u w:val="single"/>
        </w:rPr>
        <w:t>唱标情况</w:t>
      </w:r>
      <w:r>
        <w:rPr>
          <w:rFonts w:hint="eastAsia"/>
          <w:sz w:val="24"/>
          <w:szCs w:val="24"/>
          <w:u w:val="single"/>
        </w:rPr>
        <w:t>。</w:t>
      </w:r>
    </w:p>
    <w:p w14:paraId="10F20D97">
      <w:pPr>
        <w:spacing w:after="0" w:line="360" w:lineRule="auto"/>
        <w:ind w:firstLine="480" w:firstLineChars="200"/>
        <w:rPr>
          <w:color w:val="auto"/>
          <w:sz w:val="24"/>
          <w:szCs w:val="24"/>
        </w:rPr>
      </w:pPr>
      <w:r>
        <w:rPr>
          <w:rFonts w:hint="eastAsia" w:ascii="宋体" w:hAnsi="宋体" w:eastAsia="宋体" w:cs="宋体"/>
          <w:color w:val="auto"/>
          <w:sz w:val="24"/>
          <w:szCs w:val="24"/>
        </w:rPr>
        <w:t>若投标人代表对开标过程提出异议，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76831E37">
      <w:pPr>
        <w:pStyle w:val="5"/>
        <w:spacing w:after="282"/>
        <w:ind w:left="132" w:right="0"/>
        <w:rPr>
          <w:rFonts w:ascii="宋体" w:hAnsi="宋体" w:eastAsia="宋体"/>
          <w:color w:val="auto"/>
          <w:sz w:val="24"/>
          <w:szCs w:val="24"/>
        </w:rPr>
      </w:pPr>
      <w:bookmarkStart w:id="158" w:name="_Toc190785412"/>
      <w:bookmarkStart w:id="159" w:name="_Toc190785832"/>
      <w:bookmarkStart w:id="160" w:name="_Toc190785928"/>
      <w:r>
        <w:rPr>
          <w:rFonts w:ascii="宋体" w:hAnsi="宋体" w:eastAsia="宋体"/>
          <w:color w:val="auto"/>
          <w:sz w:val="24"/>
          <w:szCs w:val="24"/>
        </w:rPr>
        <w:t xml:space="preserve">5.2 </w:t>
      </w:r>
      <w:r>
        <w:rPr>
          <w:rFonts w:hint="eastAsia" w:ascii="宋体" w:hAnsi="宋体" w:eastAsia="宋体"/>
          <w:color w:val="auto"/>
          <w:sz w:val="24"/>
          <w:szCs w:val="24"/>
        </w:rPr>
        <w:t>开标程序</w:t>
      </w:r>
      <w:bookmarkEnd w:id="156"/>
      <w:bookmarkEnd w:id="157"/>
      <w:bookmarkEnd w:id="158"/>
      <w:bookmarkEnd w:id="159"/>
      <w:bookmarkEnd w:id="160"/>
      <w:r>
        <w:rPr>
          <w:rFonts w:ascii="宋体" w:hAnsi="宋体" w:eastAsia="宋体"/>
          <w:color w:val="auto"/>
          <w:sz w:val="24"/>
          <w:szCs w:val="24"/>
        </w:rPr>
        <w:t xml:space="preserve"> </w:t>
      </w:r>
    </w:p>
    <w:p w14:paraId="100FB240">
      <w:pPr>
        <w:pStyle w:val="17"/>
        <w:spacing w:line="360" w:lineRule="auto"/>
        <w:ind w:firstLine="480" w:firstLineChars="200"/>
        <w:rPr>
          <w:color w:val="auto"/>
          <w:sz w:val="24"/>
          <w:szCs w:val="24"/>
          <w:u w:val="single"/>
        </w:rPr>
      </w:pPr>
      <w:r>
        <w:rPr>
          <w:rFonts w:hint="eastAsia" w:ascii="宋体" w:hAnsi="宋体" w:eastAsia="宋体"/>
          <w:color w:val="auto"/>
          <w:sz w:val="24"/>
          <w:szCs w:val="24"/>
        </w:rPr>
        <w:t>5.2.1</w:t>
      </w:r>
      <w:r>
        <w:rPr>
          <w:color w:val="auto"/>
          <w:sz w:val="24"/>
          <w:szCs w:val="24"/>
          <w:u w:val="single"/>
        </w:rPr>
        <w:t>主持人按下列程序进行开标：</w:t>
      </w:r>
    </w:p>
    <w:p w14:paraId="333F52D8">
      <w:pPr>
        <w:pStyle w:val="17"/>
        <w:spacing w:line="360" w:lineRule="auto"/>
        <w:ind w:firstLine="480" w:firstLineChars="200"/>
        <w:rPr>
          <w:color w:val="auto"/>
          <w:sz w:val="24"/>
          <w:szCs w:val="24"/>
          <w:u w:val="single"/>
        </w:rPr>
      </w:pPr>
      <w:r>
        <w:rPr>
          <w:rFonts w:hint="eastAsia"/>
          <w:color w:val="auto"/>
          <w:sz w:val="24"/>
          <w:szCs w:val="24"/>
          <w:u w:val="single"/>
        </w:rPr>
        <w:t>（</w:t>
      </w:r>
      <w:r>
        <w:rPr>
          <w:color w:val="auto"/>
          <w:sz w:val="24"/>
          <w:szCs w:val="24"/>
          <w:u w:val="single"/>
        </w:rPr>
        <w:t>1</w:t>
      </w:r>
      <w:r>
        <w:rPr>
          <w:rFonts w:hint="eastAsia"/>
          <w:color w:val="auto"/>
          <w:sz w:val="24"/>
          <w:szCs w:val="24"/>
          <w:u w:val="single"/>
        </w:rPr>
        <w:t>）宣布开标纪律；</w:t>
      </w:r>
    </w:p>
    <w:p w14:paraId="23238E75">
      <w:pPr>
        <w:pStyle w:val="17"/>
        <w:spacing w:line="360" w:lineRule="auto"/>
        <w:ind w:firstLine="480" w:firstLineChars="200"/>
        <w:rPr>
          <w:color w:val="auto"/>
          <w:sz w:val="24"/>
          <w:szCs w:val="24"/>
          <w:u w:val="single"/>
        </w:rPr>
      </w:pPr>
      <w:r>
        <w:rPr>
          <w:rFonts w:hint="eastAsia"/>
          <w:color w:val="auto"/>
          <w:sz w:val="24"/>
          <w:szCs w:val="24"/>
          <w:u w:val="single"/>
        </w:rPr>
        <w:t>（</w:t>
      </w:r>
      <w:r>
        <w:rPr>
          <w:color w:val="auto"/>
          <w:sz w:val="24"/>
          <w:szCs w:val="24"/>
          <w:u w:val="single"/>
        </w:rPr>
        <w:t>2</w:t>
      </w:r>
      <w:r>
        <w:rPr>
          <w:rFonts w:hint="eastAsia"/>
          <w:color w:val="auto"/>
          <w:sz w:val="24"/>
          <w:szCs w:val="24"/>
          <w:u w:val="single"/>
        </w:rPr>
        <w:t>）招标代理（招标人）登录交易平台</w:t>
      </w:r>
      <w:r>
        <w:rPr>
          <w:color w:val="auto"/>
          <w:sz w:val="24"/>
          <w:szCs w:val="24"/>
          <w:u w:val="single"/>
        </w:rPr>
        <w:t>-</w:t>
      </w:r>
      <w:r>
        <w:rPr>
          <w:rFonts w:hint="eastAsia"/>
          <w:color w:val="auto"/>
          <w:sz w:val="24"/>
          <w:szCs w:val="24"/>
          <w:u w:val="single"/>
        </w:rPr>
        <w:t>数字开标系统；</w:t>
      </w:r>
    </w:p>
    <w:p w14:paraId="3B3C0274">
      <w:pPr>
        <w:pStyle w:val="17"/>
        <w:spacing w:line="360" w:lineRule="auto"/>
        <w:ind w:firstLine="480" w:firstLineChars="200"/>
        <w:rPr>
          <w:color w:val="auto"/>
          <w:sz w:val="24"/>
          <w:szCs w:val="24"/>
          <w:u w:val="single"/>
        </w:rPr>
      </w:pPr>
      <w:r>
        <w:rPr>
          <w:rFonts w:hint="eastAsia"/>
          <w:color w:val="auto"/>
          <w:sz w:val="24"/>
          <w:szCs w:val="24"/>
          <w:u w:val="single"/>
        </w:rPr>
        <w:t>（</w:t>
      </w:r>
      <w:r>
        <w:rPr>
          <w:color w:val="auto"/>
          <w:sz w:val="24"/>
          <w:szCs w:val="24"/>
          <w:u w:val="single"/>
        </w:rPr>
        <w:t>3</w:t>
      </w:r>
      <w:r>
        <w:rPr>
          <w:rFonts w:hint="eastAsia"/>
          <w:color w:val="auto"/>
          <w:sz w:val="24"/>
          <w:szCs w:val="24"/>
          <w:u w:val="single"/>
        </w:rPr>
        <w:t>）宣布开标人、唱标人、记录人、监标人等有关人员姓名；</w:t>
      </w:r>
    </w:p>
    <w:p w14:paraId="684E27E1">
      <w:pPr>
        <w:pStyle w:val="17"/>
        <w:spacing w:line="360" w:lineRule="auto"/>
        <w:ind w:firstLine="480" w:firstLineChars="200"/>
        <w:rPr>
          <w:color w:val="auto"/>
          <w:sz w:val="24"/>
          <w:szCs w:val="24"/>
          <w:u w:val="single"/>
        </w:rPr>
      </w:pPr>
      <w:r>
        <w:rPr>
          <w:rFonts w:hint="eastAsia"/>
          <w:color w:val="auto"/>
          <w:sz w:val="24"/>
          <w:szCs w:val="24"/>
          <w:u w:val="single"/>
        </w:rPr>
        <w:t>（</w:t>
      </w:r>
      <w:r>
        <w:rPr>
          <w:color w:val="auto"/>
          <w:sz w:val="24"/>
          <w:szCs w:val="24"/>
          <w:u w:val="single"/>
        </w:rPr>
        <w:t>4</w:t>
      </w:r>
      <w:r>
        <w:rPr>
          <w:rFonts w:hint="eastAsia"/>
          <w:color w:val="auto"/>
          <w:sz w:val="24"/>
          <w:szCs w:val="24"/>
          <w:u w:val="single"/>
        </w:rPr>
        <w:t>）（</w:t>
      </w:r>
      <w:r>
        <w:rPr>
          <w:color w:val="auto"/>
          <w:sz w:val="24"/>
          <w:szCs w:val="24"/>
          <w:u w:val="single"/>
        </w:rPr>
        <w:t>B</w:t>
      </w:r>
      <w:r>
        <w:rPr>
          <w:rFonts w:hint="eastAsia"/>
          <w:color w:val="auto"/>
          <w:sz w:val="24"/>
          <w:szCs w:val="24"/>
          <w:u w:val="single"/>
        </w:rPr>
        <w:t>）投标人登录交易平台</w:t>
      </w:r>
      <w:r>
        <w:rPr>
          <w:color w:val="auto"/>
          <w:sz w:val="24"/>
          <w:szCs w:val="24"/>
          <w:u w:val="single"/>
        </w:rPr>
        <w:t>-</w:t>
      </w:r>
      <w:r>
        <w:rPr>
          <w:rFonts w:hint="eastAsia"/>
          <w:color w:val="auto"/>
          <w:sz w:val="24"/>
          <w:szCs w:val="24"/>
          <w:u w:val="single"/>
        </w:rPr>
        <w:t>数字开标系统，输入</w:t>
      </w:r>
      <w:r>
        <w:rPr>
          <w:color w:val="auto"/>
          <w:sz w:val="24"/>
          <w:szCs w:val="24"/>
          <w:u w:val="single"/>
        </w:rPr>
        <w:t>CA</w:t>
      </w:r>
      <w:r>
        <w:rPr>
          <w:rFonts w:hint="eastAsia"/>
          <w:color w:val="auto"/>
          <w:sz w:val="24"/>
          <w:szCs w:val="24"/>
          <w:u w:val="single"/>
        </w:rPr>
        <w:t>密码对已递交的电子投标文件进行解密，所有投标人需要在招标时设定的投标文件解密截止时间内进行解密，投标文件解密截止时间后不能再进行解密操作；</w:t>
      </w:r>
    </w:p>
    <w:p w14:paraId="22789349">
      <w:pPr>
        <w:pStyle w:val="17"/>
        <w:spacing w:line="360" w:lineRule="auto"/>
        <w:ind w:firstLine="480" w:firstLineChars="200"/>
        <w:rPr>
          <w:color w:val="auto"/>
          <w:sz w:val="24"/>
          <w:szCs w:val="24"/>
          <w:u w:val="single"/>
        </w:rPr>
      </w:pPr>
      <w:r>
        <w:rPr>
          <w:rFonts w:hint="eastAsia"/>
          <w:color w:val="auto"/>
          <w:sz w:val="24"/>
          <w:szCs w:val="24"/>
          <w:u w:val="single"/>
        </w:rPr>
        <w:t>所有投标人都已解密完成，或到了投标文件解密截止时间后，招标代理（招标人）可进行</w:t>
      </w:r>
      <w:r>
        <w:rPr>
          <w:color w:val="auto"/>
          <w:sz w:val="24"/>
          <w:szCs w:val="24"/>
          <w:u w:val="single"/>
        </w:rPr>
        <w:t>“</w:t>
      </w:r>
      <w:r>
        <w:rPr>
          <w:rFonts w:hint="eastAsia"/>
          <w:color w:val="auto"/>
          <w:sz w:val="24"/>
          <w:szCs w:val="24"/>
          <w:u w:val="single"/>
        </w:rPr>
        <w:t>招标人解密操作</w:t>
      </w:r>
      <w:r>
        <w:rPr>
          <w:color w:val="auto"/>
          <w:sz w:val="24"/>
          <w:szCs w:val="24"/>
          <w:u w:val="single"/>
        </w:rPr>
        <w:t>”</w:t>
      </w:r>
      <w:r>
        <w:rPr>
          <w:rFonts w:hint="eastAsia"/>
          <w:color w:val="auto"/>
          <w:sz w:val="24"/>
          <w:szCs w:val="24"/>
          <w:u w:val="single"/>
        </w:rPr>
        <w:t>，解密操作同样需要进行</w:t>
      </w:r>
      <w:r>
        <w:rPr>
          <w:color w:val="auto"/>
          <w:sz w:val="24"/>
          <w:szCs w:val="24"/>
          <w:u w:val="single"/>
        </w:rPr>
        <w:t>CA</w:t>
      </w:r>
      <w:r>
        <w:rPr>
          <w:rFonts w:hint="eastAsia"/>
          <w:color w:val="auto"/>
          <w:sz w:val="24"/>
          <w:szCs w:val="24"/>
          <w:u w:val="single"/>
        </w:rPr>
        <w:t>验证；</w:t>
      </w:r>
    </w:p>
    <w:p w14:paraId="3EA4157F">
      <w:pPr>
        <w:pStyle w:val="17"/>
        <w:spacing w:line="360" w:lineRule="auto"/>
        <w:ind w:firstLine="480" w:firstLineChars="200"/>
        <w:rPr>
          <w:color w:val="auto"/>
          <w:sz w:val="24"/>
          <w:szCs w:val="24"/>
          <w:u w:val="single"/>
        </w:rPr>
      </w:pPr>
      <w:r>
        <w:rPr>
          <w:rFonts w:hint="eastAsia"/>
          <w:color w:val="auto"/>
          <w:sz w:val="24"/>
          <w:szCs w:val="24"/>
          <w:u w:val="single"/>
        </w:rPr>
        <w:t>投标人、招标代理（招标人）完成解密后，公布在投标截止时间前递交投标文件的投标人名称；招标代理开启电子唱标，公布招标项目名称、投标人名称、投标报价、服务期限及其他内容，并记录在案；</w:t>
      </w:r>
    </w:p>
    <w:p w14:paraId="28A28B3A">
      <w:pPr>
        <w:pStyle w:val="17"/>
        <w:spacing w:line="360" w:lineRule="auto"/>
        <w:ind w:firstLine="480" w:firstLineChars="200"/>
        <w:rPr>
          <w:color w:val="auto"/>
          <w:sz w:val="24"/>
          <w:szCs w:val="24"/>
          <w:u w:val="single"/>
        </w:rPr>
      </w:pPr>
      <w:r>
        <w:rPr>
          <w:rFonts w:hint="eastAsia"/>
          <w:color w:val="auto"/>
          <w:sz w:val="24"/>
          <w:szCs w:val="24"/>
          <w:u w:val="single"/>
        </w:rPr>
        <w:t>唱标结束后，招标代理须开启</w:t>
      </w:r>
      <w:r>
        <w:rPr>
          <w:color w:val="auto"/>
          <w:sz w:val="24"/>
          <w:szCs w:val="24"/>
          <w:u w:val="single"/>
        </w:rPr>
        <w:t>“</w:t>
      </w:r>
      <w:r>
        <w:rPr>
          <w:rFonts w:hint="eastAsia"/>
          <w:color w:val="auto"/>
          <w:sz w:val="24"/>
          <w:szCs w:val="24"/>
          <w:u w:val="single"/>
        </w:rPr>
        <w:t>开始异议</w:t>
      </w:r>
      <w:r>
        <w:rPr>
          <w:color w:val="auto"/>
          <w:sz w:val="24"/>
          <w:szCs w:val="24"/>
          <w:u w:val="single"/>
        </w:rPr>
        <w:t>”</w:t>
      </w:r>
      <w:r>
        <w:rPr>
          <w:rFonts w:hint="eastAsia"/>
          <w:color w:val="auto"/>
          <w:sz w:val="24"/>
          <w:szCs w:val="24"/>
          <w:u w:val="single"/>
        </w:rPr>
        <w:t>，开启后，投标人若需要提问的可在</w:t>
      </w:r>
      <w:r>
        <w:rPr>
          <w:color w:val="auto"/>
          <w:sz w:val="24"/>
          <w:szCs w:val="24"/>
          <w:u w:val="single"/>
        </w:rPr>
        <w:t>15</w:t>
      </w:r>
      <w:r>
        <w:rPr>
          <w:rFonts w:hint="eastAsia"/>
          <w:color w:val="auto"/>
          <w:sz w:val="24"/>
          <w:szCs w:val="24"/>
          <w:u w:val="single"/>
        </w:rPr>
        <w:t>分钟内进行提问，招标代理（招标人）需要回答所有的投标人提问或等待</w:t>
      </w:r>
      <w:r>
        <w:rPr>
          <w:color w:val="auto"/>
          <w:sz w:val="24"/>
          <w:szCs w:val="24"/>
          <w:u w:val="single"/>
        </w:rPr>
        <w:t>15</w:t>
      </w:r>
      <w:r>
        <w:rPr>
          <w:rFonts w:hint="eastAsia"/>
          <w:color w:val="auto"/>
          <w:sz w:val="24"/>
          <w:szCs w:val="24"/>
          <w:u w:val="single"/>
        </w:rPr>
        <w:t>分钟才能结束异议，若所有投标人都回复了</w:t>
      </w:r>
      <w:r>
        <w:rPr>
          <w:color w:val="auto"/>
          <w:sz w:val="24"/>
          <w:szCs w:val="24"/>
          <w:u w:val="single"/>
        </w:rPr>
        <w:t>“</w:t>
      </w:r>
      <w:r>
        <w:rPr>
          <w:rFonts w:hint="eastAsia"/>
          <w:color w:val="auto"/>
          <w:sz w:val="24"/>
          <w:szCs w:val="24"/>
          <w:u w:val="single"/>
        </w:rPr>
        <w:t>无异议</w:t>
      </w:r>
      <w:r>
        <w:rPr>
          <w:color w:val="auto"/>
          <w:sz w:val="24"/>
          <w:szCs w:val="24"/>
          <w:u w:val="single"/>
        </w:rPr>
        <w:t>”</w:t>
      </w:r>
      <w:r>
        <w:rPr>
          <w:rFonts w:hint="eastAsia"/>
          <w:color w:val="auto"/>
          <w:sz w:val="24"/>
          <w:szCs w:val="24"/>
          <w:u w:val="single"/>
        </w:rPr>
        <w:t>，招标代理（招标人）可提前结束异议；</w:t>
      </w:r>
    </w:p>
    <w:p w14:paraId="15B3435F">
      <w:pPr>
        <w:pStyle w:val="17"/>
        <w:spacing w:line="360" w:lineRule="auto"/>
        <w:ind w:firstLine="480" w:firstLineChars="200"/>
        <w:rPr>
          <w:color w:val="auto"/>
          <w:sz w:val="24"/>
          <w:szCs w:val="24"/>
          <w:u w:val="single"/>
        </w:rPr>
      </w:pPr>
      <w:r>
        <w:rPr>
          <w:rFonts w:hint="eastAsia"/>
          <w:color w:val="auto"/>
          <w:sz w:val="24"/>
          <w:szCs w:val="24"/>
          <w:u w:val="single"/>
        </w:rPr>
        <w:t>（</w:t>
      </w:r>
      <w:r>
        <w:rPr>
          <w:color w:val="auto"/>
          <w:sz w:val="24"/>
          <w:szCs w:val="24"/>
          <w:u w:val="single"/>
        </w:rPr>
        <w:t>5</w:t>
      </w:r>
      <w:r>
        <w:rPr>
          <w:rFonts w:hint="eastAsia"/>
          <w:color w:val="auto"/>
          <w:sz w:val="24"/>
          <w:szCs w:val="24"/>
          <w:u w:val="single"/>
        </w:rPr>
        <w:t>）（</w:t>
      </w:r>
      <w:r>
        <w:rPr>
          <w:color w:val="auto"/>
          <w:sz w:val="24"/>
          <w:szCs w:val="24"/>
          <w:u w:val="single"/>
        </w:rPr>
        <w:t>B</w:t>
      </w:r>
      <w:r>
        <w:rPr>
          <w:rFonts w:hint="eastAsia"/>
          <w:color w:val="auto"/>
          <w:sz w:val="24"/>
          <w:szCs w:val="24"/>
          <w:u w:val="single"/>
        </w:rPr>
        <w:t>）唱标环节结束后，招标代理、投标人都可以同时查看到</w:t>
      </w:r>
      <w:r>
        <w:rPr>
          <w:color w:val="auto"/>
          <w:sz w:val="24"/>
          <w:szCs w:val="24"/>
          <w:u w:val="single"/>
        </w:rPr>
        <w:t>“</w:t>
      </w:r>
      <w:r>
        <w:rPr>
          <w:rFonts w:hint="eastAsia"/>
          <w:color w:val="auto"/>
          <w:sz w:val="24"/>
          <w:szCs w:val="24"/>
          <w:u w:val="single"/>
        </w:rPr>
        <w:t>开标报表</w:t>
      </w:r>
      <w:r>
        <w:rPr>
          <w:color w:val="auto"/>
          <w:sz w:val="24"/>
          <w:szCs w:val="24"/>
          <w:u w:val="single"/>
        </w:rPr>
        <w:t>”</w:t>
      </w:r>
      <w:r>
        <w:rPr>
          <w:rFonts w:hint="eastAsia"/>
          <w:color w:val="auto"/>
          <w:sz w:val="24"/>
          <w:szCs w:val="24"/>
          <w:u w:val="single"/>
        </w:rPr>
        <w:t>；投标人代表、招标人代表、监标人（如有）、记录人等有关人员在开标记录上签字确认；若有关人员不签字的，不影响开标程序；</w:t>
      </w:r>
    </w:p>
    <w:p w14:paraId="5D8D869D">
      <w:pPr>
        <w:pStyle w:val="17"/>
        <w:spacing w:line="360" w:lineRule="auto"/>
        <w:ind w:firstLine="480" w:firstLineChars="200"/>
        <w:rPr>
          <w:color w:val="auto"/>
          <w:sz w:val="24"/>
          <w:szCs w:val="24"/>
          <w:u w:val="single"/>
        </w:rPr>
      </w:pPr>
      <w:r>
        <w:rPr>
          <w:rFonts w:hint="eastAsia"/>
          <w:color w:val="auto"/>
          <w:sz w:val="24"/>
          <w:szCs w:val="24"/>
          <w:u w:val="single"/>
        </w:rPr>
        <w:t>（</w:t>
      </w:r>
      <w:r>
        <w:rPr>
          <w:color w:val="auto"/>
          <w:sz w:val="24"/>
          <w:szCs w:val="24"/>
          <w:u w:val="single"/>
        </w:rPr>
        <w:t>6</w:t>
      </w:r>
      <w:r>
        <w:rPr>
          <w:rFonts w:hint="eastAsia"/>
          <w:color w:val="auto"/>
          <w:sz w:val="24"/>
          <w:szCs w:val="24"/>
          <w:u w:val="single"/>
        </w:rPr>
        <w:t>）开标结束。</w:t>
      </w:r>
    </w:p>
    <w:p w14:paraId="37B41DA9">
      <w:pPr>
        <w:pStyle w:val="17"/>
        <w:spacing w:line="360" w:lineRule="auto"/>
        <w:ind w:firstLine="480" w:firstLineChars="200"/>
        <w:rPr>
          <w:rFonts w:hint="eastAsia"/>
          <w:color w:val="auto"/>
          <w:sz w:val="24"/>
          <w:szCs w:val="24"/>
          <w:u w:val="single"/>
        </w:rPr>
      </w:pPr>
      <w:r>
        <w:rPr>
          <w:color w:val="auto"/>
          <w:sz w:val="24"/>
          <w:szCs w:val="24"/>
          <w:u w:val="single"/>
        </w:rPr>
        <w:t>5.2.2</w:t>
      </w:r>
      <w:r>
        <w:rPr>
          <w:rFonts w:hint="eastAsia"/>
          <w:color w:val="auto"/>
          <w:sz w:val="24"/>
          <w:szCs w:val="24"/>
          <w:u w:val="single"/>
        </w:rPr>
        <w:t>投标截止时间前未完成投标文件传输的或因投标人之外的原因造成投标文件未解密的或未在投标截止时间后</w:t>
      </w:r>
      <w:r>
        <w:rPr>
          <w:rFonts w:hint="eastAsia" w:eastAsia="宋体"/>
          <w:color w:val="auto"/>
          <w:sz w:val="24"/>
          <w:szCs w:val="24"/>
          <w:u w:val="single"/>
          <w:lang w:val="en-US" w:eastAsia="zh-CN"/>
        </w:rPr>
        <w:t>1</w:t>
      </w:r>
      <w:r>
        <w:rPr>
          <w:rFonts w:hint="eastAsia"/>
          <w:color w:val="auto"/>
          <w:sz w:val="24"/>
          <w:szCs w:val="24"/>
          <w:u w:val="single"/>
        </w:rPr>
        <w:t>小时解密的，视为投标人其撤回投标文件。因投标人原因造成投标文件未解密的，或因投标人原因解密失败且未递交电子光盘或递交的电子光盘不能读取的，视为撤销其投标文件。</w:t>
      </w:r>
    </w:p>
    <w:p w14:paraId="5FB3C9E5">
      <w:pPr>
        <w:pStyle w:val="17"/>
        <w:spacing w:line="360" w:lineRule="auto"/>
        <w:ind w:firstLine="480" w:firstLineChars="200"/>
        <w:rPr>
          <w:rFonts w:hint="eastAsia"/>
          <w:color w:val="auto"/>
          <w:sz w:val="24"/>
          <w:szCs w:val="24"/>
          <w:u w:val="single"/>
        </w:rPr>
      </w:pPr>
      <w:r>
        <w:rPr>
          <w:color w:val="auto"/>
          <w:sz w:val="24"/>
          <w:szCs w:val="24"/>
          <w:u w:val="single"/>
        </w:rPr>
        <w:t>5.2.3</w:t>
      </w:r>
      <w:r>
        <w:rPr>
          <w:rFonts w:hint="eastAsia"/>
          <w:color w:val="auto"/>
          <w:sz w:val="24"/>
          <w:szCs w:val="24"/>
          <w:u w:val="single"/>
        </w:rPr>
        <w:t>开标时，</w:t>
      </w:r>
      <w:r>
        <w:rPr>
          <w:rFonts w:hint="eastAsia" w:eastAsia="宋体"/>
          <w:color w:val="auto"/>
          <w:sz w:val="24"/>
          <w:szCs w:val="24"/>
          <w:u w:val="single"/>
          <w:lang w:eastAsia="zh-CN"/>
        </w:rPr>
        <w:t>本项目</w:t>
      </w:r>
      <w:r>
        <w:rPr>
          <w:rFonts w:hint="eastAsia"/>
          <w:color w:val="auto"/>
          <w:sz w:val="24"/>
          <w:szCs w:val="24"/>
          <w:u w:val="single"/>
        </w:rPr>
        <w:t>两个（含两个）以上的投标人加密打包投标文件电脑机器特征码一致的，不参与下一程序，并由评标委员会否决其投标。</w:t>
      </w:r>
    </w:p>
    <w:p w14:paraId="3E6ED944">
      <w:pPr>
        <w:pStyle w:val="17"/>
        <w:kinsoku w:val="0"/>
        <w:overflowPunct w:val="0"/>
        <w:spacing w:line="360" w:lineRule="auto"/>
        <w:ind w:left="408"/>
        <w:rPr>
          <w:rFonts w:ascii="宋体" w:hAnsi="宋体" w:eastAsia="宋体"/>
          <w:color w:val="auto"/>
          <w:sz w:val="24"/>
          <w:szCs w:val="24"/>
        </w:rPr>
      </w:pPr>
    </w:p>
    <w:p w14:paraId="39D71C1A">
      <w:pPr>
        <w:pStyle w:val="5"/>
        <w:spacing w:after="282"/>
        <w:ind w:left="132" w:right="0"/>
        <w:rPr>
          <w:rFonts w:ascii="宋体" w:hAnsi="宋体" w:eastAsia="宋体"/>
          <w:color w:val="auto"/>
          <w:sz w:val="24"/>
          <w:szCs w:val="24"/>
        </w:rPr>
      </w:pPr>
      <w:bookmarkStart w:id="161" w:name="_Toc508788644"/>
      <w:bookmarkStart w:id="162" w:name="_Toc508382127"/>
      <w:bookmarkStart w:id="163" w:name="_Toc190785929"/>
      <w:bookmarkStart w:id="164" w:name="_Toc190785413"/>
      <w:bookmarkStart w:id="165" w:name="_Toc190785833"/>
      <w:r>
        <w:rPr>
          <w:rFonts w:ascii="宋体" w:hAnsi="宋体" w:eastAsia="宋体"/>
          <w:color w:val="auto"/>
          <w:sz w:val="24"/>
          <w:szCs w:val="24"/>
        </w:rPr>
        <w:t xml:space="preserve">5.3 </w:t>
      </w:r>
      <w:r>
        <w:rPr>
          <w:rFonts w:hint="eastAsia" w:ascii="宋体" w:hAnsi="宋体" w:eastAsia="宋体"/>
          <w:color w:val="auto"/>
          <w:sz w:val="24"/>
          <w:szCs w:val="24"/>
        </w:rPr>
        <w:t>开标异议</w:t>
      </w:r>
      <w:bookmarkEnd w:id="161"/>
      <w:bookmarkEnd w:id="162"/>
      <w:bookmarkEnd w:id="163"/>
      <w:bookmarkEnd w:id="164"/>
      <w:bookmarkEnd w:id="165"/>
      <w:r>
        <w:rPr>
          <w:rFonts w:ascii="宋体" w:hAnsi="宋体" w:eastAsia="宋体"/>
          <w:color w:val="auto"/>
          <w:sz w:val="24"/>
          <w:szCs w:val="24"/>
        </w:rPr>
        <w:t xml:space="preserve"> </w:t>
      </w:r>
    </w:p>
    <w:p w14:paraId="72AE8F49">
      <w:pPr>
        <w:spacing w:after="0" w:line="360" w:lineRule="auto"/>
        <w:ind w:left="238" w:leftChars="108" w:firstLine="465" w:firstLineChars="194"/>
        <w:rPr>
          <w:rFonts w:ascii="宋体" w:hAnsi="宋体" w:eastAsia="宋体"/>
          <w:color w:val="auto"/>
          <w:sz w:val="24"/>
          <w:szCs w:val="24"/>
          <w:u w:val="single"/>
        </w:rPr>
      </w:pPr>
      <w:r>
        <w:rPr>
          <w:rFonts w:hint="eastAsia" w:ascii="宋体" w:hAnsi="宋体" w:eastAsia="宋体" w:cs="宋体"/>
          <w:color w:val="auto"/>
          <w:sz w:val="24"/>
          <w:szCs w:val="24"/>
        </w:rPr>
        <w:t>投标人对开标有异议的，应当在开标现场提出，招标人当场作出答复，并制作记录。</w:t>
      </w:r>
      <w:r>
        <w:rPr>
          <w:rFonts w:hint="eastAsia" w:ascii="宋体" w:hAnsi="宋体" w:eastAsia="宋体"/>
          <w:color w:val="auto"/>
          <w:sz w:val="24"/>
          <w:szCs w:val="24"/>
          <w:u w:val="single"/>
        </w:rPr>
        <w:t>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66BFC425">
      <w:pPr>
        <w:pStyle w:val="4"/>
        <w:spacing w:after="0" w:line="262" w:lineRule="auto"/>
        <w:ind w:left="-6" w:right="0" w:hanging="11"/>
        <w:rPr>
          <w:rFonts w:ascii="宋体" w:hAnsi="宋体" w:eastAsia="宋体"/>
          <w:color w:val="auto"/>
          <w:sz w:val="24"/>
          <w:szCs w:val="24"/>
        </w:rPr>
      </w:pPr>
      <w:bookmarkStart w:id="166" w:name="_Toc508382128"/>
      <w:bookmarkStart w:id="167" w:name="_Toc190785930"/>
      <w:r>
        <w:rPr>
          <w:rFonts w:ascii="宋体" w:hAnsi="宋体" w:eastAsia="宋体"/>
          <w:b/>
          <w:color w:val="auto"/>
          <w:sz w:val="24"/>
          <w:szCs w:val="24"/>
        </w:rPr>
        <w:t xml:space="preserve">6. </w:t>
      </w:r>
      <w:r>
        <w:rPr>
          <w:rFonts w:hint="eastAsia" w:ascii="宋体" w:hAnsi="宋体" w:eastAsia="宋体"/>
          <w:color w:val="auto"/>
          <w:sz w:val="24"/>
          <w:szCs w:val="24"/>
        </w:rPr>
        <w:t>评标</w:t>
      </w:r>
      <w:bookmarkEnd w:id="166"/>
      <w:bookmarkEnd w:id="167"/>
      <w:r>
        <w:rPr>
          <w:rFonts w:ascii="宋体" w:hAnsi="宋体" w:eastAsia="宋体"/>
          <w:b/>
          <w:color w:val="auto"/>
          <w:sz w:val="24"/>
          <w:szCs w:val="24"/>
        </w:rPr>
        <w:t xml:space="preserve"> </w:t>
      </w:r>
    </w:p>
    <w:p w14:paraId="70CF074D">
      <w:pPr>
        <w:pStyle w:val="5"/>
        <w:spacing w:after="281"/>
        <w:ind w:left="132" w:right="0"/>
        <w:rPr>
          <w:rFonts w:ascii="宋体" w:hAnsi="宋体" w:eastAsia="宋体"/>
          <w:color w:val="auto"/>
          <w:sz w:val="24"/>
          <w:szCs w:val="24"/>
        </w:rPr>
      </w:pPr>
      <w:bookmarkStart w:id="168" w:name="_Toc508788646"/>
      <w:bookmarkStart w:id="169" w:name="_Toc508382129"/>
      <w:bookmarkStart w:id="170" w:name="_Toc190785931"/>
      <w:bookmarkStart w:id="171" w:name="_Toc190785835"/>
      <w:bookmarkStart w:id="172" w:name="_Toc190785415"/>
      <w:r>
        <w:rPr>
          <w:rFonts w:ascii="宋体" w:hAnsi="宋体" w:eastAsia="宋体"/>
          <w:color w:val="auto"/>
          <w:sz w:val="24"/>
          <w:szCs w:val="24"/>
        </w:rPr>
        <w:t xml:space="preserve">6.1 </w:t>
      </w:r>
      <w:r>
        <w:rPr>
          <w:rFonts w:hint="eastAsia" w:ascii="宋体" w:hAnsi="宋体" w:eastAsia="宋体"/>
          <w:color w:val="auto"/>
          <w:sz w:val="24"/>
          <w:szCs w:val="24"/>
        </w:rPr>
        <w:t>评标委员会</w:t>
      </w:r>
      <w:bookmarkEnd w:id="168"/>
      <w:bookmarkEnd w:id="169"/>
      <w:bookmarkEnd w:id="170"/>
      <w:bookmarkEnd w:id="171"/>
      <w:bookmarkEnd w:id="172"/>
      <w:r>
        <w:rPr>
          <w:rFonts w:ascii="宋体" w:hAnsi="宋体" w:eastAsia="宋体"/>
          <w:color w:val="auto"/>
          <w:sz w:val="24"/>
          <w:szCs w:val="24"/>
        </w:rPr>
        <w:t xml:space="preserve"> </w:t>
      </w:r>
    </w:p>
    <w:p w14:paraId="2F53E497">
      <w:pPr>
        <w:spacing w:after="9" w:line="359" w:lineRule="auto"/>
        <w:ind w:right="103" w:firstLine="420"/>
        <w:rPr>
          <w:rFonts w:ascii="宋体" w:hAnsi="宋体" w:eastAsia="宋体"/>
          <w:color w:val="auto"/>
          <w:sz w:val="24"/>
          <w:szCs w:val="24"/>
        </w:rPr>
      </w:pPr>
      <w:r>
        <w:rPr>
          <w:rFonts w:ascii="宋体" w:hAnsi="宋体" w:eastAsia="宋体"/>
          <w:color w:val="auto"/>
          <w:sz w:val="24"/>
          <w:szCs w:val="24"/>
        </w:rPr>
        <w:t xml:space="preserve">6.1.1 </w:t>
      </w:r>
      <w:r>
        <w:rPr>
          <w:rFonts w:hint="eastAsia" w:ascii="宋体" w:hAnsi="宋体" w:eastAsia="宋体" w:cs="宋体"/>
          <w:color w:val="auto"/>
          <w:sz w:val="24"/>
          <w:szCs w:val="24"/>
        </w:rPr>
        <w:t>评标由招标人依法组建的评标委员会负责。</w:t>
      </w:r>
      <w:r>
        <w:rPr>
          <w:rFonts w:hint="eastAsia" w:ascii="宋体" w:hAnsi="宋体" w:eastAsia="宋体" w:cs="宋体"/>
          <w:strike/>
          <w:color w:val="auto"/>
          <w:sz w:val="24"/>
          <w:szCs w:val="24"/>
        </w:rPr>
        <w:t>评标委员会由招标人或其委托的招标代理机构熟悉相关业务的代表，以及有关技术、经济等方面的专家组成。</w:t>
      </w:r>
      <w:r>
        <w:rPr>
          <w:rFonts w:hint="eastAsia" w:ascii="宋体" w:hAnsi="宋体" w:eastAsia="宋体" w:cs="宋体"/>
          <w:color w:val="auto"/>
          <w:sz w:val="24"/>
          <w:szCs w:val="24"/>
        </w:rPr>
        <w:t>评标委员会成员人数以及技术、经济等方面专家的确定方式见投标人须知前附表。</w:t>
      </w:r>
      <w:r>
        <w:rPr>
          <w:rFonts w:ascii="宋体" w:hAnsi="宋体" w:eastAsia="宋体"/>
          <w:color w:val="auto"/>
          <w:sz w:val="24"/>
          <w:szCs w:val="24"/>
        </w:rPr>
        <w:t xml:space="preserve"> </w:t>
      </w:r>
    </w:p>
    <w:p w14:paraId="494F1FF4">
      <w:pPr>
        <w:spacing w:after="123" w:line="265" w:lineRule="auto"/>
        <w:ind w:left="417" w:right="103" w:hanging="10"/>
        <w:rPr>
          <w:rFonts w:ascii="宋体" w:hAnsi="宋体" w:eastAsia="宋体"/>
          <w:color w:val="auto"/>
          <w:sz w:val="24"/>
          <w:szCs w:val="24"/>
        </w:rPr>
      </w:pPr>
      <w:r>
        <w:rPr>
          <w:rFonts w:ascii="宋体" w:hAnsi="宋体" w:eastAsia="宋体"/>
          <w:color w:val="auto"/>
          <w:sz w:val="24"/>
          <w:szCs w:val="24"/>
        </w:rPr>
        <w:t xml:space="preserve">6.1.2 </w:t>
      </w:r>
      <w:r>
        <w:rPr>
          <w:rFonts w:hint="eastAsia" w:ascii="宋体" w:hAnsi="宋体" w:eastAsia="宋体" w:cs="宋体"/>
          <w:color w:val="auto"/>
          <w:sz w:val="24"/>
          <w:szCs w:val="24"/>
        </w:rPr>
        <w:t>评标委员会成员有下列情形之一的，应当回避：</w:t>
      </w:r>
      <w:r>
        <w:rPr>
          <w:rFonts w:ascii="宋体" w:hAnsi="宋体" w:eastAsia="宋体"/>
          <w:color w:val="auto"/>
          <w:sz w:val="24"/>
          <w:szCs w:val="24"/>
        </w:rPr>
        <w:t xml:space="preserve"> </w:t>
      </w:r>
    </w:p>
    <w:p w14:paraId="3AB37D6B">
      <w:pPr>
        <w:spacing w:after="123" w:line="265" w:lineRule="auto"/>
        <w:ind w:right="103" w:firstLine="480" w:firstLineChars="200"/>
        <w:rPr>
          <w:rFonts w:ascii="宋体" w:hAnsi="宋体" w:eastAsia="宋体"/>
          <w:color w:val="auto"/>
          <w:sz w:val="24"/>
          <w:szCs w:val="24"/>
        </w:rPr>
      </w:pPr>
      <w:r>
        <w:rPr>
          <w:rFonts w:hint="eastAsia" w:ascii="宋体" w:hAnsi="宋体" w:eastAsia="宋体" w:cs="宋体"/>
          <w:color w:val="auto"/>
          <w:sz w:val="24"/>
          <w:szCs w:val="24"/>
        </w:rPr>
        <w:t>（1）投标人或投标人主要负责人的近亲属；</w:t>
      </w:r>
      <w:r>
        <w:rPr>
          <w:rFonts w:ascii="宋体" w:hAnsi="宋体" w:eastAsia="宋体"/>
          <w:color w:val="auto"/>
          <w:sz w:val="24"/>
          <w:szCs w:val="24"/>
        </w:rPr>
        <w:t xml:space="preserve"> </w:t>
      </w:r>
    </w:p>
    <w:p w14:paraId="1B9F9F25">
      <w:pPr>
        <w:spacing w:after="123" w:line="265" w:lineRule="auto"/>
        <w:ind w:right="103" w:firstLine="480" w:firstLineChars="200"/>
        <w:rPr>
          <w:rFonts w:ascii="宋体" w:hAnsi="宋体" w:eastAsia="宋体"/>
          <w:color w:val="auto"/>
          <w:sz w:val="24"/>
          <w:szCs w:val="24"/>
        </w:rPr>
      </w:pPr>
      <w:r>
        <w:rPr>
          <w:rFonts w:hint="eastAsia" w:ascii="宋体" w:hAnsi="宋体" w:eastAsia="宋体" w:cs="宋体"/>
          <w:color w:val="auto"/>
          <w:sz w:val="24"/>
          <w:szCs w:val="24"/>
        </w:rPr>
        <w:t>（2）项目主管部门或者行政监督部门的人员；</w:t>
      </w:r>
      <w:r>
        <w:rPr>
          <w:rFonts w:ascii="宋体" w:hAnsi="宋体" w:eastAsia="宋体"/>
          <w:color w:val="auto"/>
          <w:sz w:val="24"/>
          <w:szCs w:val="24"/>
        </w:rPr>
        <w:t xml:space="preserve"> </w:t>
      </w:r>
    </w:p>
    <w:p w14:paraId="66064FFB">
      <w:pPr>
        <w:spacing w:after="123" w:line="265" w:lineRule="auto"/>
        <w:ind w:right="103" w:firstLine="480" w:firstLineChars="200"/>
        <w:rPr>
          <w:rFonts w:ascii="宋体" w:hAnsi="宋体" w:eastAsia="宋体"/>
          <w:color w:val="auto"/>
          <w:sz w:val="24"/>
          <w:szCs w:val="24"/>
        </w:rPr>
      </w:pPr>
      <w:r>
        <w:rPr>
          <w:rFonts w:hint="eastAsia" w:ascii="宋体" w:hAnsi="宋体" w:eastAsia="宋体" w:cs="宋体"/>
          <w:color w:val="auto"/>
          <w:sz w:val="24"/>
          <w:szCs w:val="24"/>
        </w:rPr>
        <w:t>（3）与投标人有经济利益关系，可能影响对投标公正评审的；</w:t>
      </w:r>
      <w:r>
        <w:rPr>
          <w:rFonts w:ascii="宋体" w:hAnsi="宋体" w:eastAsia="宋体"/>
          <w:color w:val="auto"/>
          <w:sz w:val="24"/>
          <w:szCs w:val="24"/>
        </w:rPr>
        <w:t xml:space="preserve"> </w:t>
      </w:r>
    </w:p>
    <w:p w14:paraId="32FCAA30">
      <w:pPr>
        <w:spacing w:after="0" w:line="370" w:lineRule="auto"/>
        <w:ind w:right="103" w:firstLine="480" w:firstLineChars="200"/>
        <w:rPr>
          <w:rFonts w:ascii="宋体" w:hAnsi="宋体" w:eastAsia="宋体"/>
          <w:color w:val="auto"/>
          <w:sz w:val="24"/>
          <w:szCs w:val="24"/>
        </w:rPr>
      </w:pPr>
      <w:r>
        <w:rPr>
          <w:rFonts w:hint="eastAsia" w:ascii="宋体" w:hAnsi="宋体" w:eastAsia="宋体" w:cs="宋体"/>
          <w:color w:val="auto"/>
          <w:sz w:val="24"/>
          <w:szCs w:val="24"/>
        </w:rPr>
        <w:t>（4）曾因在招标、评标以及其他与招标投标有关活动中从事违法行为而受过行政处罚或刑事处罚的；</w:t>
      </w:r>
      <w:r>
        <w:rPr>
          <w:rFonts w:ascii="宋体" w:hAnsi="宋体" w:eastAsia="宋体"/>
          <w:color w:val="auto"/>
          <w:sz w:val="24"/>
          <w:szCs w:val="24"/>
        </w:rPr>
        <w:t xml:space="preserve"> </w:t>
      </w:r>
    </w:p>
    <w:p w14:paraId="31D5698F">
      <w:pPr>
        <w:spacing w:after="123" w:line="265" w:lineRule="auto"/>
        <w:ind w:right="103" w:firstLine="480" w:firstLineChars="200"/>
        <w:rPr>
          <w:rFonts w:ascii="宋体" w:hAnsi="宋体" w:eastAsia="宋体"/>
          <w:color w:val="auto"/>
          <w:sz w:val="24"/>
          <w:szCs w:val="24"/>
        </w:rPr>
      </w:pPr>
      <w:r>
        <w:rPr>
          <w:rFonts w:hint="eastAsia" w:ascii="宋体" w:hAnsi="宋体" w:eastAsia="宋体" w:cs="宋体"/>
          <w:color w:val="auto"/>
          <w:sz w:val="24"/>
          <w:szCs w:val="24"/>
        </w:rPr>
        <w:t>（5）与投标人有其他利害关系。</w:t>
      </w:r>
      <w:r>
        <w:rPr>
          <w:rFonts w:ascii="宋体" w:hAnsi="宋体" w:eastAsia="宋体"/>
          <w:color w:val="auto"/>
          <w:sz w:val="24"/>
          <w:szCs w:val="24"/>
        </w:rPr>
        <w:t xml:space="preserve"> </w:t>
      </w:r>
    </w:p>
    <w:p w14:paraId="687B74F2">
      <w:pPr>
        <w:spacing w:after="233" w:line="358" w:lineRule="auto"/>
        <w:ind w:right="103" w:firstLine="420"/>
        <w:rPr>
          <w:rFonts w:ascii="宋体" w:hAnsi="宋体" w:eastAsia="宋体"/>
          <w:color w:val="auto"/>
          <w:sz w:val="24"/>
          <w:szCs w:val="24"/>
        </w:rPr>
      </w:pPr>
      <w:r>
        <w:rPr>
          <w:rFonts w:ascii="宋体" w:hAnsi="宋体" w:eastAsia="宋体"/>
          <w:color w:val="auto"/>
          <w:sz w:val="24"/>
          <w:szCs w:val="24"/>
        </w:rPr>
        <w:t xml:space="preserve">6.1.3 </w:t>
      </w:r>
      <w:r>
        <w:rPr>
          <w:rFonts w:hint="eastAsia" w:ascii="宋体" w:hAnsi="宋体" w:eastAsia="宋体" w:cs="宋体"/>
          <w:color w:val="auto"/>
          <w:sz w:val="24"/>
          <w:szCs w:val="24"/>
        </w:rPr>
        <w:t>评标过程中，评标委员会成员有回避事由、擅离职守或者因健康等原因不能继续评标的，招标人有权更换。被更换的评标委员会成员作出的评审结论无效，由更换后的评标委员会成员重新进行评审。</w:t>
      </w:r>
      <w:r>
        <w:rPr>
          <w:rFonts w:ascii="宋体" w:hAnsi="宋体" w:eastAsia="宋体"/>
          <w:color w:val="auto"/>
          <w:sz w:val="24"/>
          <w:szCs w:val="24"/>
        </w:rPr>
        <w:t xml:space="preserve"> </w:t>
      </w:r>
    </w:p>
    <w:p w14:paraId="27EF1972">
      <w:pPr>
        <w:pStyle w:val="5"/>
        <w:spacing w:after="282"/>
        <w:ind w:left="132" w:right="0"/>
        <w:rPr>
          <w:rFonts w:ascii="宋体" w:hAnsi="宋体" w:eastAsia="宋体"/>
          <w:color w:val="auto"/>
          <w:sz w:val="24"/>
          <w:szCs w:val="24"/>
        </w:rPr>
      </w:pPr>
      <w:bookmarkStart w:id="173" w:name="_Toc508788647"/>
      <w:bookmarkStart w:id="174" w:name="_Toc508382130"/>
      <w:bookmarkStart w:id="175" w:name="_Toc190785932"/>
      <w:bookmarkStart w:id="176" w:name="_Toc190785836"/>
      <w:bookmarkStart w:id="177" w:name="_Toc190785416"/>
      <w:r>
        <w:rPr>
          <w:rFonts w:ascii="宋体" w:hAnsi="宋体" w:eastAsia="宋体"/>
          <w:color w:val="auto"/>
          <w:sz w:val="24"/>
          <w:szCs w:val="24"/>
        </w:rPr>
        <w:t xml:space="preserve">6.2 </w:t>
      </w:r>
      <w:r>
        <w:rPr>
          <w:rFonts w:hint="eastAsia" w:ascii="宋体" w:hAnsi="宋体" w:eastAsia="宋体"/>
          <w:color w:val="auto"/>
          <w:sz w:val="24"/>
          <w:szCs w:val="24"/>
        </w:rPr>
        <w:t>评标原则</w:t>
      </w:r>
      <w:bookmarkEnd w:id="173"/>
      <w:bookmarkEnd w:id="174"/>
      <w:bookmarkEnd w:id="175"/>
      <w:bookmarkEnd w:id="176"/>
      <w:bookmarkEnd w:id="177"/>
      <w:r>
        <w:rPr>
          <w:rFonts w:ascii="宋体" w:hAnsi="宋体" w:eastAsia="宋体"/>
          <w:color w:val="auto"/>
          <w:sz w:val="24"/>
          <w:szCs w:val="24"/>
        </w:rPr>
        <w:t xml:space="preserve"> </w:t>
      </w:r>
    </w:p>
    <w:p w14:paraId="01FDD3FD">
      <w:pPr>
        <w:spacing w:after="123" w:line="265" w:lineRule="auto"/>
        <w:ind w:left="417" w:right="103" w:hanging="10"/>
        <w:rPr>
          <w:rFonts w:ascii="宋体" w:hAnsi="宋体" w:eastAsia="宋体"/>
          <w:color w:val="auto"/>
          <w:sz w:val="24"/>
          <w:szCs w:val="24"/>
        </w:rPr>
      </w:pPr>
      <w:r>
        <w:rPr>
          <w:rFonts w:hint="eastAsia" w:ascii="宋体" w:hAnsi="宋体" w:eastAsia="宋体" w:cs="宋体"/>
          <w:color w:val="auto"/>
          <w:sz w:val="24"/>
          <w:szCs w:val="24"/>
        </w:rPr>
        <w:t>评标活动遵循公平、公正、科学和择优的原则。</w:t>
      </w:r>
      <w:r>
        <w:rPr>
          <w:rFonts w:ascii="宋体" w:hAnsi="宋体" w:eastAsia="宋体"/>
          <w:color w:val="auto"/>
          <w:sz w:val="24"/>
          <w:szCs w:val="24"/>
        </w:rPr>
        <w:t xml:space="preserve"> </w:t>
      </w:r>
    </w:p>
    <w:p w14:paraId="26116E24">
      <w:pPr>
        <w:pStyle w:val="5"/>
        <w:spacing w:after="286" w:line="259" w:lineRule="auto"/>
        <w:ind w:left="132" w:right="0"/>
        <w:rPr>
          <w:rFonts w:ascii="宋体" w:hAnsi="宋体" w:eastAsia="宋体"/>
          <w:color w:val="auto"/>
          <w:sz w:val="24"/>
          <w:szCs w:val="24"/>
        </w:rPr>
      </w:pPr>
      <w:bookmarkStart w:id="178" w:name="_Toc190785837"/>
      <w:bookmarkStart w:id="179" w:name="_Toc508382131"/>
      <w:bookmarkStart w:id="180" w:name="_Toc190785417"/>
      <w:bookmarkStart w:id="181" w:name="_Toc190785933"/>
      <w:bookmarkStart w:id="182" w:name="_Toc508788648"/>
      <w:r>
        <w:rPr>
          <w:rFonts w:ascii="宋体" w:hAnsi="宋体" w:eastAsia="宋体"/>
          <w:color w:val="auto"/>
          <w:sz w:val="24"/>
          <w:szCs w:val="24"/>
        </w:rPr>
        <w:t xml:space="preserve">6.3 </w:t>
      </w:r>
      <w:r>
        <w:rPr>
          <w:rFonts w:hint="eastAsia" w:ascii="宋体" w:hAnsi="宋体" w:eastAsia="宋体"/>
          <w:color w:val="auto"/>
          <w:sz w:val="24"/>
          <w:szCs w:val="24"/>
        </w:rPr>
        <w:t>评标</w:t>
      </w:r>
      <w:bookmarkEnd w:id="178"/>
      <w:bookmarkEnd w:id="179"/>
      <w:bookmarkEnd w:id="180"/>
      <w:bookmarkEnd w:id="181"/>
      <w:bookmarkEnd w:id="182"/>
      <w:r>
        <w:rPr>
          <w:rFonts w:ascii="宋体" w:hAnsi="宋体" w:eastAsia="宋体"/>
          <w:color w:val="auto"/>
          <w:sz w:val="24"/>
          <w:szCs w:val="24"/>
        </w:rPr>
        <w:t xml:space="preserve"> </w:t>
      </w:r>
    </w:p>
    <w:p w14:paraId="56ACFCC7">
      <w:pPr>
        <w:spacing w:after="0" w:line="372" w:lineRule="auto"/>
        <w:ind w:right="103" w:firstLine="420"/>
        <w:rPr>
          <w:rFonts w:ascii="宋体" w:hAnsi="宋体" w:eastAsia="宋体"/>
          <w:color w:val="auto"/>
          <w:sz w:val="24"/>
          <w:szCs w:val="24"/>
        </w:rPr>
      </w:pPr>
      <w:r>
        <w:rPr>
          <w:rFonts w:ascii="宋体" w:hAnsi="宋体" w:eastAsia="宋体"/>
          <w:color w:val="auto"/>
          <w:sz w:val="24"/>
          <w:szCs w:val="24"/>
        </w:rPr>
        <w:t xml:space="preserve">6.3.1 </w:t>
      </w:r>
      <w:r>
        <w:rPr>
          <w:rFonts w:hint="eastAsia" w:ascii="宋体" w:hAnsi="宋体" w:eastAsia="宋体" w:cs="宋体"/>
          <w:color w:val="auto"/>
          <w:sz w:val="24"/>
          <w:szCs w:val="24"/>
        </w:rPr>
        <w:t>评标委员会按照第三章</w:t>
      </w:r>
      <w:r>
        <w:rPr>
          <w:rFonts w:ascii="宋体" w:hAnsi="宋体" w:eastAsia="宋体"/>
          <w:color w:val="auto"/>
          <w:sz w:val="24"/>
          <w:szCs w:val="24"/>
        </w:rPr>
        <w:t>“</w:t>
      </w:r>
      <w:r>
        <w:rPr>
          <w:rFonts w:hint="eastAsia" w:ascii="宋体" w:hAnsi="宋体" w:eastAsia="宋体" w:cs="宋体"/>
          <w:color w:val="auto"/>
          <w:sz w:val="24"/>
          <w:szCs w:val="24"/>
        </w:rPr>
        <w:t>评标办法</w:t>
      </w:r>
      <w:r>
        <w:rPr>
          <w:rFonts w:ascii="宋体" w:hAnsi="宋体" w:eastAsia="宋体"/>
          <w:color w:val="auto"/>
          <w:sz w:val="24"/>
          <w:szCs w:val="24"/>
        </w:rPr>
        <w:t>”</w:t>
      </w:r>
      <w:r>
        <w:rPr>
          <w:rFonts w:hint="eastAsia" w:ascii="宋体" w:hAnsi="宋体" w:eastAsia="宋体" w:cs="宋体"/>
          <w:color w:val="auto"/>
          <w:sz w:val="24"/>
          <w:szCs w:val="24"/>
        </w:rPr>
        <w:t>规定的方法、评审因素、标准和程序对投标文件进行评审。第三章</w:t>
      </w:r>
      <w:r>
        <w:rPr>
          <w:rFonts w:ascii="宋体" w:hAnsi="宋体" w:eastAsia="宋体"/>
          <w:color w:val="auto"/>
          <w:sz w:val="24"/>
          <w:szCs w:val="24"/>
        </w:rPr>
        <w:t>“</w:t>
      </w:r>
      <w:r>
        <w:rPr>
          <w:rFonts w:hint="eastAsia" w:ascii="宋体" w:hAnsi="宋体" w:eastAsia="宋体" w:cs="宋体"/>
          <w:color w:val="auto"/>
          <w:sz w:val="24"/>
          <w:szCs w:val="24"/>
        </w:rPr>
        <w:t>评标办法</w:t>
      </w:r>
      <w:r>
        <w:rPr>
          <w:rFonts w:ascii="宋体" w:hAnsi="宋体" w:eastAsia="宋体"/>
          <w:color w:val="auto"/>
          <w:sz w:val="24"/>
          <w:szCs w:val="24"/>
        </w:rPr>
        <w:t>”</w:t>
      </w:r>
      <w:r>
        <w:rPr>
          <w:rFonts w:hint="eastAsia" w:ascii="宋体" w:hAnsi="宋体" w:eastAsia="宋体" w:cs="宋体"/>
          <w:color w:val="auto"/>
          <w:sz w:val="24"/>
          <w:szCs w:val="24"/>
        </w:rPr>
        <w:t>没有规定的方法、评审因素和标准，不作为评标依据。</w:t>
      </w:r>
      <w:r>
        <w:rPr>
          <w:rFonts w:ascii="宋体" w:hAnsi="宋体" w:eastAsia="宋体"/>
          <w:color w:val="auto"/>
          <w:sz w:val="24"/>
          <w:szCs w:val="24"/>
        </w:rPr>
        <w:t xml:space="preserve"> </w:t>
      </w:r>
    </w:p>
    <w:p w14:paraId="336EFAA2">
      <w:pPr>
        <w:spacing w:after="0" w:line="360" w:lineRule="auto"/>
        <w:ind w:right="102" w:firstLine="420"/>
        <w:rPr>
          <w:rFonts w:ascii="宋体" w:hAnsi="宋体" w:eastAsia="宋体"/>
          <w:color w:val="auto"/>
          <w:sz w:val="24"/>
          <w:szCs w:val="24"/>
          <w:u w:val="single"/>
        </w:rPr>
      </w:pPr>
      <w:r>
        <w:rPr>
          <w:rFonts w:ascii="宋体" w:hAnsi="宋体" w:eastAsia="宋体"/>
          <w:color w:val="auto"/>
          <w:sz w:val="24"/>
          <w:szCs w:val="24"/>
          <w:u w:val="single"/>
        </w:rPr>
        <w:t xml:space="preserve">6.3.2 </w:t>
      </w:r>
      <w:r>
        <w:rPr>
          <w:rFonts w:hint="eastAsia" w:ascii="宋体" w:hAnsi="宋体" w:eastAsia="宋体"/>
          <w:color w:val="auto"/>
          <w:sz w:val="24"/>
          <w:szCs w:val="24"/>
          <w:u w:val="single"/>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7CC7AE48">
      <w:pPr>
        <w:spacing w:after="0" w:line="360" w:lineRule="auto"/>
        <w:ind w:right="102" w:firstLine="420"/>
        <w:rPr>
          <w:rFonts w:ascii="宋体" w:hAnsi="宋体" w:eastAsia="宋体"/>
          <w:color w:val="auto"/>
          <w:sz w:val="24"/>
          <w:szCs w:val="24"/>
        </w:rPr>
      </w:pPr>
      <w:r>
        <w:rPr>
          <w:rFonts w:ascii="宋体" w:hAnsi="宋体" w:eastAsia="宋体"/>
          <w:color w:val="auto"/>
          <w:sz w:val="24"/>
          <w:szCs w:val="24"/>
        </w:rPr>
        <w:t>6.3.3</w:t>
      </w:r>
      <w:r>
        <w:rPr>
          <w:rFonts w:hint="eastAsia" w:ascii="宋体" w:hAnsi="宋体" w:eastAsia="宋体" w:cs="宋体"/>
          <w:color w:val="auto"/>
          <w:sz w:val="24"/>
          <w:szCs w:val="24"/>
        </w:rPr>
        <w:t>评标完成后，评标委员会应当向招标人提交书面评标报告和中标候选人名单。评标委员会推荐中标候选人的人数见投标人须知前附表。</w:t>
      </w:r>
      <w:r>
        <w:rPr>
          <w:rFonts w:ascii="宋体" w:hAnsi="宋体" w:eastAsia="宋体"/>
          <w:color w:val="auto"/>
          <w:sz w:val="24"/>
          <w:szCs w:val="24"/>
        </w:rPr>
        <w:t xml:space="preserve"> </w:t>
      </w:r>
    </w:p>
    <w:p w14:paraId="4EC7F934">
      <w:pPr>
        <w:pStyle w:val="4"/>
        <w:spacing w:after="0" w:line="360" w:lineRule="auto"/>
        <w:ind w:left="-6" w:right="0" w:hanging="11"/>
        <w:rPr>
          <w:rFonts w:ascii="宋体" w:hAnsi="宋体" w:eastAsia="宋体"/>
          <w:color w:val="auto"/>
          <w:sz w:val="24"/>
          <w:szCs w:val="24"/>
        </w:rPr>
      </w:pPr>
      <w:bookmarkStart w:id="183" w:name="_Toc190785934"/>
      <w:bookmarkStart w:id="184" w:name="_Toc508382132"/>
      <w:r>
        <w:rPr>
          <w:rFonts w:ascii="宋体" w:hAnsi="宋体" w:eastAsia="宋体"/>
          <w:b/>
          <w:color w:val="auto"/>
          <w:sz w:val="24"/>
          <w:szCs w:val="24"/>
        </w:rPr>
        <w:t xml:space="preserve">7. </w:t>
      </w:r>
      <w:r>
        <w:rPr>
          <w:rFonts w:hint="eastAsia" w:ascii="宋体" w:hAnsi="宋体" w:eastAsia="宋体"/>
          <w:color w:val="auto"/>
          <w:sz w:val="24"/>
          <w:szCs w:val="24"/>
        </w:rPr>
        <w:t>合同授予</w:t>
      </w:r>
      <w:bookmarkEnd w:id="183"/>
      <w:bookmarkEnd w:id="184"/>
      <w:r>
        <w:rPr>
          <w:rFonts w:ascii="宋体" w:hAnsi="宋体" w:eastAsia="宋体"/>
          <w:b/>
          <w:color w:val="auto"/>
          <w:sz w:val="24"/>
          <w:szCs w:val="24"/>
        </w:rPr>
        <w:t xml:space="preserve"> </w:t>
      </w:r>
    </w:p>
    <w:p w14:paraId="30294CEC">
      <w:pPr>
        <w:pStyle w:val="5"/>
        <w:spacing w:after="0" w:line="360" w:lineRule="auto"/>
        <w:ind w:left="130" w:right="0" w:hanging="11"/>
        <w:rPr>
          <w:rFonts w:ascii="宋体" w:hAnsi="宋体" w:eastAsia="宋体"/>
          <w:color w:val="auto"/>
          <w:sz w:val="24"/>
          <w:szCs w:val="24"/>
        </w:rPr>
      </w:pPr>
      <w:bookmarkStart w:id="185" w:name="_Toc190785935"/>
      <w:bookmarkStart w:id="186" w:name="_Toc508382133"/>
      <w:bookmarkStart w:id="187" w:name="_Toc190785419"/>
      <w:bookmarkStart w:id="188" w:name="_Toc508788650"/>
      <w:bookmarkStart w:id="189" w:name="_Toc190785839"/>
      <w:r>
        <w:rPr>
          <w:rFonts w:ascii="宋体" w:hAnsi="宋体" w:eastAsia="宋体"/>
          <w:color w:val="auto"/>
          <w:sz w:val="24"/>
          <w:szCs w:val="24"/>
        </w:rPr>
        <w:t xml:space="preserve">7.1 </w:t>
      </w:r>
      <w:r>
        <w:rPr>
          <w:rFonts w:hint="eastAsia" w:ascii="宋体" w:hAnsi="宋体" w:eastAsia="宋体"/>
          <w:color w:val="auto"/>
          <w:sz w:val="24"/>
          <w:szCs w:val="24"/>
        </w:rPr>
        <w:t>中标候选人公示</w:t>
      </w:r>
      <w:bookmarkEnd w:id="185"/>
      <w:bookmarkEnd w:id="186"/>
      <w:bookmarkEnd w:id="187"/>
      <w:bookmarkEnd w:id="188"/>
      <w:bookmarkEnd w:id="189"/>
      <w:r>
        <w:rPr>
          <w:rFonts w:ascii="宋体" w:hAnsi="宋体" w:eastAsia="宋体"/>
          <w:color w:val="auto"/>
          <w:sz w:val="24"/>
          <w:szCs w:val="24"/>
        </w:rPr>
        <w:t xml:space="preserve"> </w:t>
      </w:r>
    </w:p>
    <w:p w14:paraId="7B2041A6">
      <w:pPr>
        <w:spacing w:after="0" w:line="360" w:lineRule="auto"/>
        <w:ind w:right="102" w:firstLine="420"/>
        <w:rPr>
          <w:rFonts w:ascii="宋体" w:hAnsi="宋体" w:eastAsia="宋体"/>
          <w:color w:val="auto"/>
          <w:sz w:val="24"/>
          <w:szCs w:val="24"/>
        </w:rPr>
      </w:pPr>
      <w:r>
        <w:rPr>
          <w:rFonts w:hint="eastAsia" w:ascii="宋体" w:hAnsi="宋体" w:eastAsia="宋体" w:cs="宋体"/>
          <w:color w:val="auto"/>
          <w:sz w:val="24"/>
          <w:szCs w:val="24"/>
        </w:rPr>
        <w:t>招标人在收到评标报告之日起</w:t>
      </w:r>
      <w:r>
        <w:rPr>
          <w:rFonts w:ascii="宋体" w:hAnsi="宋体" w:eastAsia="宋体" w:cs="宋体"/>
          <w:color w:val="auto"/>
          <w:sz w:val="24"/>
          <w:szCs w:val="24"/>
        </w:rPr>
        <w:t xml:space="preserve"> </w:t>
      </w:r>
      <w:r>
        <w:rPr>
          <w:rFonts w:ascii="宋体" w:hAnsi="宋体" w:eastAsia="宋体"/>
          <w:color w:val="auto"/>
          <w:sz w:val="24"/>
          <w:szCs w:val="24"/>
        </w:rPr>
        <w:t xml:space="preserve">3 </w:t>
      </w:r>
      <w:r>
        <w:rPr>
          <w:rFonts w:hint="eastAsia" w:ascii="宋体" w:hAnsi="宋体" w:eastAsia="宋体" w:cs="宋体"/>
          <w:color w:val="auto"/>
          <w:sz w:val="24"/>
          <w:szCs w:val="24"/>
        </w:rPr>
        <w:t>日内，按照投标人须知前附表规定的公示媒介和期限公示中标候选人，公示期不得少于</w:t>
      </w:r>
      <w:r>
        <w:rPr>
          <w:rFonts w:ascii="宋体" w:hAnsi="宋体" w:eastAsia="宋体" w:cs="宋体"/>
          <w:color w:val="auto"/>
          <w:sz w:val="24"/>
          <w:szCs w:val="24"/>
        </w:rPr>
        <w:t xml:space="preserve"> </w:t>
      </w:r>
      <w:r>
        <w:rPr>
          <w:rFonts w:hint="eastAsia" w:ascii="宋体" w:hAnsi="宋体" w:eastAsia="宋体"/>
          <w:color w:val="auto"/>
          <w:sz w:val="24"/>
          <w:szCs w:val="24"/>
        </w:rPr>
        <w:t>3</w:t>
      </w:r>
      <w:r>
        <w:rPr>
          <w:rFonts w:ascii="宋体" w:hAnsi="宋体" w:eastAsia="宋体"/>
          <w:color w:val="auto"/>
          <w:sz w:val="24"/>
          <w:szCs w:val="24"/>
        </w:rPr>
        <w:t xml:space="preserve"> </w:t>
      </w:r>
      <w:r>
        <w:rPr>
          <w:rFonts w:hint="eastAsia" w:ascii="宋体" w:hAnsi="宋体" w:eastAsia="宋体" w:cs="宋体"/>
          <w:color w:val="auto"/>
          <w:sz w:val="24"/>
          <w:szCs w:val="24"/>
        </w:rPr>
        <w:t>天。</w:t>
      </w:r>
      <w:r>
        <w:rPr>
          <w:rFonts w:ascii="宋体" w:hAnsi="宋体" w:eastAsia="宋体"/>
          <w:color w:val="auto"/>
          <w:sz w:val="24"/>
          <w:szCs w:val="24"/>
        </w:rPr>
        <w:t xml:space="preserve"> </w:t>
      </w:r>
    </w:p>
    <w:p w14:paraId="61C9DE1D">
      <w:pPr>
        <w:spacing w:after="0" w:line="360" w:lineRule="auto"/>
        <w:ind w:right="102" w:firstLine="420"/>
        <w:rPr>
          <w:rFonts w:ascii="宋体" w:hAnsi="宋体" w:eastAsia="宋体"/>
          <w:color w:val="auto"/>
          <w:sz w:val="24"/>
          <w:szCs w:val="24"/>
          <w:u w:val="single"/>
        </w:rPr>
      </w:pPr>
      <w:r>
        <w:rPr>
          <w:rFonts w:hint="eastAsia" w:ascii="宋体" w:hAnsi="宋体" w:eastAsia="宋体"/>
          <w:color w:val="auto"/>
          <w:sz w:val="24"/>
          <w:szCs w:val="24"/>
          <w:u w:val="single"/>
        </w:rPr>
        <w:t>在产生中标候选人后，招标人将中标候选人的投标文件商务部分的电子版（报价清单、方案等涉及商业秘密的内容除外）在广东省招标投标监管网、广州交易集团有限公司（广州公共资源交易中心）网站等法定媒介公开。</w:t>
      </w:r>
    </w:p>
    <w:p w14:paraId="1DDBE19B">
      <w:pPr>
        <w:pStyle w:val="5"/>
        <w:spacing w:after="278"/>
        <w:ind w:left="132" w:right="0"/>
        <w:rPr>
          <w:rFonts w:ascii="宋体" w:hAnsi="宋体" w:eastAsia="宋体"/>
          <w:color w:val="auto"/>
          <w:sz w:val="24"/>
          <w:szCs w:val="24"/>
        </w:rPr>
      </w:pPr>
      <w:bookmarkStart w:id="190" w:name="_Toc190785420"/>
      <w:bookmarkStart w:id="191" w:name="_Toc190785936"/>
      <w:bookmarkStart w:id="192" w:name="_Toc508382134"/>
      <w:bookmarkStart w:id="193" w:name="_Toc508788651"/>
      <w:bookmarkStart w:id="194" w:name="_Toc190785840"/>
      <w:r>
        <w:rPr>
          <w:rFonts w:ascii="宋体" w:hAnsi="宋体" w:eastAsia="宋体"/>
          <w:color w:val="auto"/>
          <w:sz w:val="24"/>
          <w:szCs w:val="24"/>
        </w:rPr>
        <w:t xml:space="preserve">7.2 </w:t>
      </w:r>
      <w:r>
        <w:rPr>
          <w:rFonts w:hint="eastAsia" w:ascii="宋体" w:hAnsi="宋体" w:eastAsia="宋体"/>
          <w:color w:val="auto"/>
          <w:sz w:val="24"/>
          <w:szCs w:val="24"/>
        </w:rPr>
        <w:t>评标结果异议</w:t>
      </w:r>
      <w:bookmarkEnd w:id="190"/>
      <w:bookmarkEnd w:id="191"/>
      <w:bookmarkEnd w:id="192"/>
      <w:bookmarkEnd w:id="193"/>
      <w:bookmarkEnd w:id="194"/>
      <w:r>
        <w:rPr>
          <w:rFonts w:ascii="宋体" w:hAnsi="宋体" w:eastAsia="宋体"/>
          <w:color w:val="auto"/>
          <w:sz w:val="24"/>
          <w:szCs w:val="24"/>
        </w:rPr>
        <w:t xml:space="preserve"> </w:t>
      </w:r>
    </w:p>
    <w:p w14:paraId="04AFF90E">
      <w:pPr>
        <w:spacing w:after="246" w:line="354" w:lineRule="auto"/>
        <w:ind w:right="103" w:firstLine="420"/>
        <w:rPr>
          <w:rFonts w:ascii="宋体" w:hAnsi="宋体" w:eastAsia="宋体"/>
          <w:color w:val="auto"/>
          <w:sz w:val="24"/>
          <w:szCs w:val="24"/>
        </w:rPr>
      </w:pPr>
      <w:r>
        <w:rPr>
          <w:rFonts w:hint="eastAsia" w:ascii="宋体" w:hAnsi="宋体" w:eastAsia="宋体" w:cs="宋体"/>
          <w:color w:val="auto"/>
          <w:sz w:val="24"/>
          <w:szCs w:val="24"/>
        </w:rPr>
        <w:t>投标人或者其他利害关系人对评标结果有异议的，应当在中标候选人公示期间提出。</w:t>
      </w:r>
      <w:r>
        <w:rPr>
          <w:rFonts w:hint="eastAsia" w:ascii="宋体" w:hAnsi="宋体" w:eastAsia="宋体" w:cs="宋体"/>
          <w:color w:val="auto"/>
          <w:sz w:val="24"/>
          <w:szCs w:val="24"/>
          <w:u w:val="single"/>
        </w:rPr>
        <w:t>投标人或者其他利害关系人可以通过线下或线上的形式提出异议。线上提交的，应通过交易平台进行，招标人也应通过交易平台答复线上提交的异议。</w:t>
      </w:r>
      <w:r>
        <w:rPr>
          <w:rFonts w:hint="eastAsia" w:ascii="宋体" w:hAnsi="宋体" w:eastAsia="宋体" w:cs="宋体"/>
          <w:color w:val="auto"/>
          <w:sz w:val="24"/>
          <w:szCs w:val="24"/>
        </w:rPr>
        <w:t>招标人将在收到异议之日起</w:t>
      </w:r>
      <w:r>
        <w:rPr>
          <w:rFonts w:ascii="宋体" w:hAnsi="宋体" w:eastAsia="宋体" w:cs="宋体"/>
          <w:color w:val="auto"/>
          <w:sz w:val="24"/>
          <w:szCs w:val="24"/>
        </w:rPr>
        <w:t xml:space="preserve"> </w:t>
      </w:r>
      <w:r>
        <w:rPr>
          <w:rFonts w:ascii="宋体" w:hAnsi="宋体" w:eastAsia="宋体"/>
          <w:color w:val="auto"/>
          <w:sz w:val="24"/>
          <w:szCs w:val="24"/>
        </w:rPr>
        <w:t xml:space="preserve">3 </w:t>
      </w:r>
      <w:r>
        <w:rPr>
          <w:rFonts w:hint="eastAsia" w:ascii="宋体" w:hAnsi="宋体" w:eastAsia="宋体" w:cs="宋体"/>
          <w:color w:val="auto"/>
          <w:sz w:val="24"/>
          <w:szCs w:val="24"/>
        </w:rPr>
        <w:t>日内作出答复；作出答复前，将暂停招标投标活动。</w:t>
      </w:r>
      <w:r>
        <w:rPr>
          <w:rFonts w:ascii="宋体" w:hAnsi="宋体" w:eastAsia="宋体"/>
          <w:color w:val="auto"/>
          <w:sz w:val="24"/>
          <w:szCs w:val="24"/>
        </w:rPr>
        <w:t xml:space="preserve"> </w:t>
      </w:r>
    </w:p>
    <w:p w14:paraId="7867F7D9">
      <w:pPr>
        <w:pStyle w:val="5"/>
        <w:spacing w:after="279"/>
        <w:ind w:left="132" w:right="0"/>
        <w:rPr>
          <w:rFonts w:ascii="宋体" w:hAnsi="宋体" w:eastAsia="宋体"/>
          <w:color w:val="auto"/>
          <w:sz w:val="24"/>
          <w:szCs w:val="24"/>
        </w:rPr>
      </w:pPr>
      <w:bookmarkStart w:id="195" w:name="_Toc508788652"/>
      <w:bookmarkStart w:id="196" w:name="_Toc190785841"/>
      <w:bookmarkStart w:id="197" w:name="_Toc508382135"/>
      <w:bookmarkStart w:id="198" w:name="_Toc190785421"/>
      <w:bookmarkStart w:id="199" w:name="_Toc190785937"/>
      <w:r>
        <w:rPr>
          <w:rFonts w:ascii="宋体" w:hAnsi="宋体" w:eastAsia="宋体"/>
          <w:color w:val="auto"/>
          <w:sz w:val="24"/>
          <w:szCs w:val="24"/>
        </w:rPr>
        <w:t xml:space="preserve">7.3 </w:t>
      </w:r>
      <w:r>
        <w:rPr>
          <w:rFonts w:hint="eastAsia" w:ascii="宋体" w:hAnsi="宋体" w:eastAsia="宋体"/>
          <w:color w:val="auto"/>
          <w:sz w:val="24"/>
          <w:szCs w:val="24"/>
        </w:rPr>
        <w:t>中标候选人履约能力审查</w:t>
      </w:r>
      <w:bookmarkEnd w:id="195"/>
      <w:bookmarkEnd w:id="196"/>
      <w:bookmarkEnd w:id="197"/>
      <w:bookmarkEnd w:id="198"/>
      <w:bookmarkEnd w:id="199"/>
      <w:r>
        <w:rPr>
          <w:rFonts w:ascii="宋体" w:hAnsi="宋体" w:eastAsia="宋体"/>
          <w:color w:val="auto"/>
          <w:sz w:val="24"/>
          <w:szCs w:val="24"/>
        </w:rPr>
        <w:t xml:space="preserve"> </w:t>
      </w:r>
    </w:p>
    <w:p w14:paraId="37F398EB">
      <w:pPr>
        <w:spacing w:after="223" w:line="369" w:lineRule="auto"/>
        <w:ind w:left="-15" w:right="197" w:firstLine="410"/>
        <w:jc w:val="both"/>
        <w:rPr>
          <w:rFonts w:ascii="宋体" w:hAnsi="宋体" w:eastAsia="宋体"/>
          <w:color w:val="auto"/>
          <w:sz w:val="24"/>
          <w:szCs w:val="24"/>
        </w:rPr>
      </w:pPr>
      <w:r>
        <w:rPr>
          <w:rFonts w:hint="eastAsia" w:ascii="宋体" w:hAnsi="宋体" w:eastAsia="宋体" w:cs="宋体"/>
          <w:color w:val="auto"/>
          <w:sz w:val="24"/>
          <w:szCs w:val="24"/>
        </w:rPr>
        <w:t>中标候选人的经营、财务状况发生较大变化或存在违法行为，招标人认为可能影响其履约能力的，将在发出中标通知书前提请原评标委员会按照招标文件规定的标准和方法进行审查确认。</w:t>
      </w:r>
      <w:r>
        <w:rPr>
          <w:rFonts w:ascii="宋体" w:hAnsi="宋体" w:eastAsia="宋体"/>
          <w:color w:val="auto"/>
          <w:sz w:val="24"/>
          <w:szCs w:val="24"/>
        </w:rPr>
        <w:t xml:space="preserve"> </w:t>
      </w:r>
    </w:p>
    <w:p w14:paraId="2D3CF077">
      <w:pPr>
        <w:pStyle w:val="5"/>
        <w:spacing w:after="286" w:line="259" w:lineRule="auto"/>
        <w:ind w:left="132" w:right="0"/>
        <w:rPr>
          <w:rFonts w:ascii="宋体" w:hAnsi="宋体" w:eastAsia="宋体"/>
          <w:color w:val="auto"/>
          <w:sz w:val="24"/>
          <w:szCs w:val="24"/>
        </w:rPr>
      </w:pPr>
      <w:bookmarkStart w:id="200" w:name="_Toc508788653"/>
      <w:bookmarkStart w:id="201" w:name="_Toc508382136"/>
      <w:bookmarkStart w:id="202" w:name="_Toc190785938"/>
      <w:bookmarkStart w:id="203" w:name="_Toc190785842"/>
      <w:bookmarkStart w:id="204" w:name="_Toc190785422"/>
      <w:r>
        <w:rPr>
          <w:rFonts w:ascii="宋体" w:hAnsi="宋体" w:eastAsia="宋体"/>
          <w:color w:val="auto"/>
          <w:sz w:val="24"/>
          <w:szCs w:val="24"/>
        </w:rPr>
        <w:t xml:space="preserve">7.4 </w:t>
      </w:r>
      <w:r>
        <w:rPr>
          <w:rFonts w:hint="eastAsia" w:ascii="宋体" w:hAnsi="宋体" w:eastAsia="宋体"/>
          <w:color w:val="auto"/>
          <w:sz w:val="24"/>
          <w:szCs w:val="24"/>
        </w:rPr>
        <w:t>定标</w:t>
      </w:r>
      <w:bookmarkEnd w:id="200"/>
      <w:bookmarkEnd w:id="201"/>
      <w:bookmarkEnd w:id="202"/>
      <w:bookmarkEnd w:id="203"/>
      <w:bookmarkEnd w:id="204"/>
      <w:r>
        <w:rPr>
          <w:rFonts w:ascii="宋体" w:hAnsi="宋体" w:eastAsia="宋体"/>
          <w:color w:val="auto"/>
          <w:sz w:val="24"/>
          <w:szCs w:val="24"/>
        </w:rPr>
        <w:t xml:space="preserve"> </w:t>
      </w:r>
    </w:p>
    <w:p w14:paraId="56A8852A">
      <w:pPr>
        <w:spacing w:after="347"/>
        <w:ind w:right="27" w:firstLine="480" w:firstLineChars="200"/>
        <w:jc w:val="both"/>
        <w:rPr>
          <w:rFonts w:ascii="宋体" w:hAnsi="宋体" w:eastAsia="宋体"/>
          <w:color w:val="auto"/>
          <w:sz w:val="24"/>
          <w:szCs w:val="24"/>
        </w:rPr>
      </w:pPr>
      <w:r>
        <w:rPr>
          <w:rFonts w:hint="eastAsia" w:ascii="宋体" w:hAnsi="宋体" w:eastAsia="宋体" w:cs="宋体"/>
          <w:color w:val="auto"/>
          <w:sz w:val="24"/>
          <w:szCs w:val="24"/>
        </w:rPr>
        <w:t>按照投标人须知前附表的规定，招标人或招标人授权的评标委员会依法确定中标人。</w:t>
      </w:r>
      <w:r>
        <w:rPr>
          <w:rFonts w:ascii="宋体" w:hAnsi="宋体" w:eastAsia="宋体"/>
          <w:color w:val="auto"/>
          <w:sz w:val="24"/>
          <w:szCs w:val="24"/>
        </w:rPr>
        <w:t xml:space="preserve"> </w:t>
      </w:r>
    </w:p>
    <w:p w14:paraId="3387FEB3">
      <w:pPr>
        <w:pStyle w:val="5"/>
        <w:spacing w:after="282"/>
        <w:ind w:left="132" w:right="0"/>
        <w:rPr>
          <w:rFonts w:ascii="宋体" w:hAnsi="宋体" w:eastAsia="宋体"/>
          <w:color w:val="auto"/>
          <w:sz w:val="24"/>
          <w:szCs w:val="24"/>
        </w:rPr>
      </w:pPr>
      <w:bookmarkStart w:id="205" w:name="_Toc190785939"/>
      <w:bookmarkStart w:id="206" w:name="_Toc508788654"/>
      <w:bookmarkStart w:id="207" w:name="_Toc190785843"/>
      <w:bookmarkStart w:id="208" w:name="_Toc190785423"/>
      <w:bookmarkStart w:id="209" w:name="_Toc508382137"/>
      <w:r>
        <w:rPr>
          <w:rFonts w:ascii="宋体" w:hAnsi="宋体" w:eastAsia="宋体"/>
          <w:color w:val="auto"/>
          <w:sz w:val="24"/>
          <w:szCs w:val="24"/>
        </w:rPr>
        <w:t xml:space="preserve">7.5 </w:t>
      </w:r>
      <w:r>
        <w:rPr>
          <w:rFonts w:hint="eastAsia" w:ascii="宋体" w:hAnsi="宋体" w:eastAsia="宋体"/>
          <w:color w:val="auto"/>
          <w:sz w:val="24"/>
          <w:szCs w:val="24"/>
        </w:rPr>
        <w:t>中标通知</w:t>
      </w:r>
      <w:bookmarkEnd w:id="205"/>
      <w:bookmarkEnd w:id="206"/>
      <w:bookmarkEnd w:id="207"/>
      <w:bookmarkEnd w:id="208"/>
      <w:bookmarkEnd w:id="209"/>
      <w:r>
        <w:rPr>
          <w:rFonts w:ascii="宋体" w:hAnsi="宋体" w:eastAsia="宋体"/>
          <w:color w:val="auto"/>
          <w:sz w:val="24"/>
          <w:szCs w:val="24"/>
        </w:rPr>
        <w:t xml:space="preserve"> </w:t>
      </w:r>
    </w:p>
    <w:p w14:paraId="0808286B">
      <w:pPr>
        <w:spacing w:after="218" w:line="372" w:lineRule="auto"/>
        <w:ind w:right="103" w:firstLine="420"/>
        <w:rPr>
          <w:rFonts w:ascii="宋体" w:hAnsi="宋体" w:eastAsia="宋体"/>
          <w:color w:val="auto"/>
          <w:sz w:val="24"/>
          <w:szCs w:val="24"/>
        </w:rPr>
      </w:pPr>
      <w:r>
        <w:rPr>
          <w:rFonts w:hint="eastAsia" w:ascii="宋体" w:hAnsi="宋体" w:eastAsia="宋体" w:cs="宋体"/>
          <w:color w:val="auto"/>
          <w:sz w:val="24"/>
          <w:szCs w:val="24"/>
        </w:rPr>
        <w:t>在本章第</w:t>
      </w:r>
      <w:r>
        <w:rPr>
          <w:rFonts w:ascii="宋体" w:hAnsi="宋体" w:eastAsia="宋体" w:cs="宋体"/>
          <w:color w:val="auto"/>
          <w:sz w:val="24"/>
          <w:szCs w:val="24"/>
        </w:rPr>
        <w:t xml:space="preserve"> </w:t>
      </w:r>
      <w:r>
        <w:rPr>
          <w:rFonts w:ascii="宋体" w:hAnsi="宋体" w:eastAsia="宋体"/>
          <w:color w:val="auto"/>
          <w:sz w:val="24"/>
          <w:szCs w:val="24"/>
        </w:rPr>
        <w:t xml:space="preserve">3.3 </w:t>
      </w:r>
      <w:r>
        <w:rPr>
          <w:rFonts w:hint="eastAsia" w:ascii="宋体" w:hAnsi="宋体" w:eastAsia="宋体" w:cs="宋体"/>
          <w:color w:val="auto"/>
          <w:sz w:val="24"/>
          <w:szCs w:val="24"/>
        </w:rPr>
        <w:t>款规定的投标有效期内，招标人以书面形式向中标人发出中标通知书，同时将中标结果通知未中标的投标人。</w:t>
      </w:r>
    </w:p>
    <w:p w14:paraId="18E366FC">
      <w:pPr>
        <w:pStyle w:val="6"/>
        <w:spacing w:after="240"/>
        <w:ind w:right="44"/>
        <w:rPr>
          <w:rFonts w:hint="eastAsia" w:ascii="宋体" w:hAnsi="宋体" w:eastAsia="宋体"/>
          <w:color w:val="auto"/>
          <w:sz w:val="24"/>
          <w:szCs w:val="24"/>
        </w:rPr>
      </w:pPr>
      <w:r>
        <w:rPr>
          <w:rFonts w:hint="eastAsia" w:ascii="宋体" w:hAnsi="宋体" w:eastAsia="宋体"/>
          <w:color w:val="auto"/>
          <w:sz w:val="24"/>
          <w:szCs w:val="24"/>
        </w:rPr>
        <w:t>7.6技术成果经济补偿</w:t>
      </w:r>
    </w:p>
    <w:p w14:paraId="4CBEECBB">
      <w:pPr>
        <w:pStyle w:val="17"/>
        <w:spacing w:line="360" w:lineRule="auto"/>
        <w:ind w:firstLine="480" w:firstLineChars="200"/>
        <w:rPr>
          <w:color w:val="auto"/>
          <w:sz w:val="24"/>
          <w:szCs w:val="24"/>
          <w:u w:val="single"/>
        </w:rPr>
      </w:pPr>
      <w:r>
        <w:rPr>
          <w:rFonts w:hint="eastAsia"/>
          <w:color w:val="auto"/>
          <w:sz w:val="24"/>
          <w:szCs w:val="24"/>
          <w:u w:val="single"/>
        </w:rPr>
        <w:t>本工程不设未中标单位经济补偿，投标费用由投标人自理。</w:t>
      </w:r>
    </w:p>
    <w:p w14:paraId="607B588B">
      <w:pPr>
        <w:pStyle w:val="17"/>
        <w:spacing w:after="240" w:line="360" w:lineRule="auto"/>
        <w:ind w:firstLine="480" w:firstLineChars="200"/>
        <w:rPr>
          <w:strike/>
          <w:color w:val="auto"/>
          <w:sz w:val="24"/>
          <w:szCs w:val="24"/>
        </w:rPr>
      </w:pPr>
      <w:r>
        <w:rPr>
          <w:rFonts w:hint="eastAsia"/>
          <w:strike/>
          <w:color w:val="auto"/>
          <w:sz w:val="24"/>
          <w:szCs w:val="24"/>
        </w:rPr>
        <w:t>招标</w:t>
      </w:r>
      <w:r>
        <w:rPr>
          <w:strike/>
          <w:color w:val="auto"/>
          <w:sz w:val="24"/>
          <w:szCs w:val="24"/>
        </w:rPr>
        <w:t>人对符合招标文件规定的未中标人的技术成果进行补偿的，</w:t>
      </w:r>
      <w:r>
        <w:rPr>
          <w:rFonts w:hint="eastAsia"/>
          <w:strike/>
          <w:color w:val="auto"/>
          <w:sz w:val="24"/>
          <w:szCs w:val="24"/>
        </w:rPr>
        <w:t>招标</w:t>
      </w:r>
      <w:r>
        <w:rPr>
          <w:strike/>
          <w:color w:val="auto"/>
          <w:sz w:val="24"/>
          <w:szCs w:val="24"/>
        </w:rPr>
        <w:t>人将按投标人须知前附表规定的标准给予经济补偿，未中标人在投标文件中声明放弃技术成果经济补偿费的除外。</w:t>
      </w:r>
      <w:r>
        <w:rPr>
          <w:rFonts w:hint="eastAsia"/>
          <w:strike/>
          <w:color w:val="auto"/>
          <w:sz w:val="24"/>
          <w:szCs w:val="24"/>
        </w:rPr>
        <w:t>中标人按招标公告要求</w:t>
      </w:r>
      <w:r>
        <w:rPr>
          <w:strike/>
          <w:color w:val="auto"/>
          <w:sz w:val="24"/>
          <w:szCs w:val="24"/>
        </w:rPr>
        <w:t>向未中标人支付技术成果经济补偿费。</w:t>
      </w:r>
    </w:p>
    <w:p w14:paraId="0B543C09">
      <w:pPr>
        <w:pStyle w:val="17"/>
        <w:spacing w:after="0" w:line="360" w:lineRule="auto"/>
        <w:ind w:firstLine="480" w:firstLineChars="200"/>
        <w:rPr>
          <w:rFonts w:ascii="宋体" w:hAnsi="宋体" w:eastAsia="宋体"/>
          <w:color w:val="auto"/>
          <w:sz w:val="24"/>
          <w:szCs w:val="24"/>
        </w:rPr>
      </w:pPr>
      <w:r>
        <w:rPr>
          <w:rFonts w:hint="eastAsia" w:ascii="宋体" w:hAnsi="宋体" w:eastAsia="宋体"/>
          <w:color w:val="auto"/>
          <w:kern w:val="0"/>
          <w:sz w:val="24"/>
          <w:szCs w:val="24"/>
        </w:rPr>
        <w:t>7.7履约保证金</w:t>
      </w:r>
    </w:p>
    <w:p w14:paraId="738CA073">
      <w:pPr>
        <w:pStyle w:val="17"/>
        <w:spacing w:line="360" w:lineRule="auto"/>
        <w:ind w:firstLine="480" w:firstLineChars="200"/>
        <w:rPr>
          <w:rFonts w:ascii="宋体" w:hAnsi="宋体" w:eastAsia="宋体"/>
          <w:color w:val="auto"/>
          <w:sz w:val="24"/>
          <w:szCs w:val="24"/>
        </w:rPr>
      </w:pPr>
      <w:r>
        <w:rPr>
          <w:rFonts w:hint="eastAsia"/>
          <w:sz w:val="24"/>
          <w:szCs w:val="24"/>
          <w:u w:val="single"/>
        </w:rPr>
        <w:t>本项目不要求提交履约保证金。</w:t>
      </w:r>
    </w:p>
    <w:p w14:paraId="60A5E914">
      <w:pPr>
        <w:pStyle w:val="17"/>
        <w:spacing w:line="360" w:lineRule="auto"/>
        <w:ind w:firstLine="480" w:firstLineChars="200"/>
        <w:rPr>
          <w:strike/>
          <w:sz w:val="24"/>
          <w:szCs w:val="24"/>
        </w:rPr>
      </w:pPr>
      <w:r>
        <w:rPr>
          <w:rFonts w:ascii="宋体" w:hAnsi="宋体" w:eastAsia="宋体"/>
          <w:strike/>
          <w:color w:val="auto"/>
          <w:sz w:val="24"/>
          <w:szCs w:val="24"/>
        </w:rPr>
        <w:t>7.</w:t>
      </w:r>
      <w:r>
        <w:rPr>
          <w:rFonts w:hint="eastAsia" w:ascii="宋体" w:hAnsi="宋体" w:eastAsia="宋体"/>
          <w:strike/>
          <w:color w:val="auto"/>
          <w:sz w:val="24"/>
          <w:szCs w:val="24"/>
        </w:rPr>
        <w:t>7</w:t>
      </w:r>
      <w:r>
        <w:rPr>
          <w:rFonts w:ascii="宋体" w:hAnsi="宋体" w:eastAsia="宋体"/>
          <w:strike/>
          <w:color w:val="auto"/>
          <w:sz w:val="24"/>
          <w:szCs w:val="24"/>
        </w:rPr>
        <w:t xml:space="preserve">.1 </w:t>
      </w:r>
      <w:r>
        <w:rPr>
          <w:strike/>
          <w:sz w:val="24"/>
          <w:szCs w:val="24"/>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3079E21F">
      <w:pPr>
        <w:spacing w:after="14" w:line="357" w:lineRule="auto"/>
        <w:ind w:right="103" w:firstLine="420"/>
        <w:rPr>
          <w:rFonts w:ascii="宋体" w:hAnsi="宋体" w:eastAsia="宋体"/>
          <w:strike/>
          <w:color w:val="auto"/>
          <w:sz w:val="24"/>
          <w:szCs w:val="24"/>
        </w:rPr>
      </w:pPr>
      <w:r>
        <w:rPr>
          <w:rFonts w:ascii="宋体" w:hAnsi="宋体" w:eastAsia="宋体"/>
          <w:strike/>
          <w:color w:val="auto"/>
          <w:sz w:val="24"/>
          <w:szCs w:val="24"/>
        </w:rPr>
        <w:t>7.</w:t>
      </w:r>
      <w:r>
        <w:rPr>
          <w:rFonts w:hint="eastAsia" w:ascii="宋体" w:hAnsi="宋体" w:eastAsia="宋体"/>
          <w:strike/>
          <w:color w:val="auto"/>
          <w:sz w:val="24"/>
          <w:szCs w:val="24"/>
        </w:rPr>
        <w:t>7</w:t>
      </w:r>
      <w:r>
        <w:rPr>
          <w:rFonts w:ascii="宋体" w:hAnsi="宋体" w:eastAsia="宋体"/>
          <w:strike/>
          <w:color w:val="auto"/>
          <w:sz w:val="24"/>
          <w:szCs w:val="24"/>
        </w:rPr>
        <w:t>.2 中标人不能按本章第 7.</w:t>
      </w:r>
      <w:r>
        <w:rPr>
          <w:rFonts w:hint="eastAsia" w:ascii="宋体" w:hAnsi="宋体" w:eastAsia="宋体"/>
          <w:strike/>
          <w:color w:val="auto"/>
          <w:sz w:val="24"/>
          <w:szCs w:val="24"/>
        </w:rPr>
        <w:t>7</w:t>
      </w:r>
      <w:r>
        <w:rPr>
          <w:rFonts w:ascii="宋体" w:hAnsi="宋体" w:eastAsia="宋体"/>
          <w:strike/>
          <w:color w:val="auto"/>
          <w:sz w:val="24"/>
          <w:szCs w:val="24"/>
        </w:rPr>
        <w:t xml:space="preserve">.1 项要求提交履约保证金的，视为放弃中标，其投标保证金不予退还，给招标人造成的损失超过投标保证金数额的，中标人还应当对超过部分予以赔偿。 </w:t>
      </w:r>
    </w:p>
    <w:p w14:paraId="2BEE5064">
      <w:pPr>
        <w:pStyle w:val="5"/>
        <w:spacing w:after="282"/>
        <w:ind w:left="132" w:right="0"/>
        <w:rPr>
          <w:rFonts w:ascii="宋体" w:hAnsi="宋体" w:eastAsia="宋体"/>
          <w:color w:val="auto"/>
          <w:sz w:val="24"/>
          <w:szCs w:val="24"/>
        </w:rPr>
      </w:pPr>
      <w:bookmarkStart w:id="210" w:name="_Toc190785844"/>
      <w:bookmarkStart w:id="211" w:name="_Toc508788656"/>
      <w:bookmarkStart w:id="212" w:name="_Toc190785940"/>
      <w:bookmarkStart w:id="213" w:name="_Toc190785424"/>
      <w:bookmarkStart w:id="214" w:name="_Toc508382139"/>
      <w:r>
        <w:rPr>
          <w:rFonts w:ascii="宋体" w:hAnsi="宋体" w:eastAsia="宋体"/>
          <w:color w:val="auto"/>
          <w:sz w:val="24"/>
          <w:szCs w:val="24"/>
        </w:rPr>
        <w:t>7.</w:t>
      </w:r>
      <w:r>
        <w:rPr>
          <w:rFonts w:hint="eastAsia" w:ascii="宋体" w:hAnsi="宋体" w:eastAsia="宋体"/>
          <w:color w:val="auto"/>
          <w:sz w:val="24"/>
          <w:szCs w:val="24"/>
        </w:rPr>
        <w:t>8</w:t>
      </w:r>
      <w:r>
        <w:rPr>
          <w:rFonts w:ascii="宋体" w:hAnsi="宋体" w:eastAsia="宋体"/>
          <w:color w:val="auto"/>
          <w:sz w:val="24"/>
          <w:szCs w:val="24"/>
        </w:rPr>
        <w:t xml:space="preserve"> </w:t>
      </w:r>
      <w:r>
        <w:rPr>
          <w:rFonts w:hint="eastAsia" w:ascii="宋体" w:hAnsi="宋体" w:eastAsia="宋体"/>
          <w:color w:val="auto"/>
          <w:sz w:val="24"/>
          <w:szCs w:val="24"/>
        </w:rPr>
        <w:t>签订合同</w:t>
      </w:r>
      <w:bookmarkEnd w:id="210"/>
      <w:bookmarkEnd w:id="211"/>
      <w:bookmarkEnd w:id="212"/>
      <w:bookmarkEnd w:id="213"/>
      <w:bookmarkEnd w:id="214"/>
      <w:r>
        <w:rPr>
          <w:rFonts w:ascii="宋体" w:hAnsi="宋体" w:eastAsia="宋体"/>
          <w:color w:val="auto"/>
          <w:sz w:val="24"/>
          <w:szCs w:val="24"/>
        </w:rPr>
        <w:t xml:space="preserve"> </w:t>
      </w:r>
    </w:p>
    <w:p w14:paraId="2457EA7B">
      <w:pPr>
        <w:spacing w:after="14" w:line="357" w:lineRule="auto"/>
        <w:ind w:right="103" w:firstLine="420"/>
        <w:rPr>
          <w:rFonts w:ascii="宋体" w:hAnsi="宋体" w:eastAsia="宋体"/>
          <w:color w:val="auto"/>
          <w:sz w:val="24"/>
          <w:szCs w:val="24"/>
        </w:rPr>
      </w:pPr>
      <w:r>
        <w:rPr>
          <w:rFonts w:ascii="宋体" w:hAnsi="宋体" w:eastAsia="宋体"/>
          <w:color w:val="auto"/>
          <w:sz w:val="24"/>
          <w:szCs w:val="24"/>
        </w:rPr>
        <w:t>7.</w:t>
      </w:r>
      <w:r>
        <w:rPr>
          <w:rFonts w:hint="eastAsia" w:ascii="宋体" w:hAnsi="宋体" w:eastAsia="宋体"/>
          <w:color w:val="auto"/>
          <w:sz w:val="24"/>
          <w:szCs w:val="24"/>
        </w:rPr>
        <w:t>8</w:t>
      </w:r>
      <w:r>
        <w:rPr>
          <w:rFonts w:ascii="宋体" w:hAnsi="宋体" w:eastAsia="宋体"/>
          <w:color w:val="auto"/>
          <w:sz w:val="24"/>
          <w:szCs w:val="24"/>
        </w:rPr>
        <w:t>.1</w:t>
      </w:r>
      <w:r>
        <w:rPr>
          <w:sz w:val="24"/>
          <w:szCs w:val="24"/>
        </w:rPr>
        <w:t>招标人和中标人应当在中标通知书发出之日起 30日内，根据招标文件和中标人的投标文件订立书面合同。中标人无正当理由拒签合同，在签订合同时向招标人提出附加条件，</w:t>
      </w:r>
      <w:r>
        <w:rPr>
          <w:strike/>
          <w:sz w:val="24"/>
          <w:szCs w:val="24"/>
        </w:rPr>
        <w:t>或者不按照招标文件要求提交履约保证金的，</w:t>
      </w:r>
      <w:r>
        <w:rPr>
          <w:sz w:val="24"/>
          <w:szCs w:val="24"/>
        </w:rPr>
        <w:t>招标人有权取消其中标资格</w:t>
      </w:r>
      <w:r>
        <w:rPr>
          <w:strike/>
          <w:sz w:val="24"/>
          <w:szCs w:val="24"/>
        </w:rPr>
        <w:t>，其投标保证金不予退还；</w:t>
      </w:r>
      <w:r>
        <w:rPr>
          <w:sz w:val="24"/>
          <w:szCs w:val="24"/>
        </w:rPr>
        <w:t>给招标人造成的损失</w:t>
      </w:r>
      <w:r>
        <w:rPr>
          <w:strike/>
          <w:sz w:val="24"/>
          <w:szCs w:val="24"/>
        </w:rPr>
        <w:t>超过投标保证金数额的</w:t>
      </w:r>
      <w:r>
        <w:rPr>
          <w:sz w:val="24"/>
          <w:szCs w:val="24"/>
        </w:rPr>
        <w:t>，中标人还应当对超过部分予以赔偿。</w:t>
      </w:r>
      <w:r>
        <w:rPr>
          <w:rFonts w:ascii="宋体" w:hAnsi="宋体" w:eastAsia="宋体"/>
          <w:color w:val="auto"/>
          <w:sz w:val="24"/>
          <w:szCs w:val="24"/>
        </w:rPr>
        <w:t xml:space="preserve"> </w:t>
      </w:r>
    </w:p>
    <w:p w14:paraId="5B82244B">
      <w:pPr>
        <w:spacing w:after="0" w:line="369" w:lineRule="auto"/>
        <w:ind w:right="103" w:firstLine="420"/>
        <w:rPr>
          <w:rFonts w:ascii="宋体" w:hAnsi="宋体" w:eastAsia="宋体"/>
          <w:color w:val="auto"/>
          <w:sz w:val="24"/>
          <w:szCs w:val="24"/>
        </w:rPr>
      </w:pPr>
      <w:r>
        <w:rPr>
          <w:rFonts w:ascii="宋体" w:hAnsi="宋体" w:eastAsia="宋体"/>
          <w:color w:val="auto"/>
          <w:sz w:val="24"/>
          <w:szCs w:val="24"/>
        </w:rPr>
        <w:t>7.</w:t>
      </w:r>
      <w:r>
        <w:rPr>
          <w:rFonts w:hint="eastAsia" w:ascii="宋体" w:hAnsi="宋体" w:eastAsia="宋体"/>
          <w:color w:val="auto"/>
          <w:sz w:val="24"/>
          <w:szCs w:val="24"/>
        </w:rPr>
        <w:t>8</w:t>
      </w:r>
      <w:r>
        <w:rPr>
          <w:rFonts w:ascii="宋体" w:hAnsi="宋体" w:eastAsia="宋体"/>
          <w:color w:val="auto"/>
          <w:sz w:val="24"/>
          <w:szCs w:val="24"/>
        </w:rPr>
        <w:t xml:space="preserve">.2 </w:t>
      </w:r>
      <w:r>
        <w:rPr>
          <w:rFonts w:hint="eastAsia" w:ascii="宋体" w:hAnsi="宋体" w:eastAsia="宋体" w:cs="宋体"/>
          <w:color w:val="auto"/>
          <w:sz w:val="24"/>
          <w:szCs w:val="24"/>
        </w:rPr>
        <w:t>发出中标通知书后，招标人无正当理由拒签合同，或者在签订合同时向中标人提出附加条件的，</w:t>
      </w:r>
      <w:r>
        <w:rPr>
          <w:rFonts w:hint="eastAsia" w:ascii="宋体" w:hAnsi="宋体" w:eastAsia="宋体" w:cs="宋体"/>
          <w:strike/>
          <w:color w:val="auto"/>
          <w:sz w:val="24"/>
          <w:szCs w:val="24"/>
        </w:rPr>
        <w:t>招标人向中标人退还投标保证金；</w:t>
      </w:r>
      <w:r>
        <w:rPr>
          <w:rFonts w:hint="eastAsia" w:ascii="宋体" w:hAnsi="宋体" w:eastAsia="宋体" w:cs="宋体"/>
          <w:color w:val="auto"/>
          <w:sz w:val="24"/>
          <w:szCs w:val="24"/>
        </w:rPr>
        <w:t>给中标人造成损失的，还应当赔偿损失。</w:t>
      </w:r>
      <w:r>
        <w:rPr>
          <w:rFonts w:ascii="宋体" w:hAnsi="宋体" w:eastAsia="宋体"/>
          <w:color w:val="auto"/>
          <w:sz w:val="24"/>
          <w:szCs w:val="24"/>
        </w:rPr>
        <w:t xml:space="preserve"> </w:t>
      </w:r>
    </w:p>
    <w:p w14:paraId="7AE0D296">
      <w:pPr>
        <w:spacing w:after="0" w:line="360" w:lineRule="auto"/>
        <w:ind w:right="102" w:firstLine="420"/>
        <w:rPr>
          <w:rFonts w:ascii="宋体" w:hAnsi="宋体" w:eastAsia="宋体"/>
          <w:color w:val="auto"/>
          <w:sz w:val="24"/>
          <w:szCs w:val="24"/>
        </w:rPr>
      </w:pPr>
      <w:r>
        <w:rPr>
          <w:rFonts w:ascii="宋体" w:hAnsi="宋体" w:eastAsia="宋体"/>
          <w:color w:val="auto"/>
          <w:sz w:val="24"/>
          <w:szCs w:val="24"/>
        </w:rPr>
        <w:t>7.</w:t>
      </w:r>
      <w:r>
        <w:rPr>
          <w:rFonts w:hint="eastAsia" w:ascii="宋体" w:hAnsi="宋体" w:eastAsia="宋体"/>
          <w:color w:val="auto"/>
          <w:sz w:val="24"/>
          <w:szCs w:val="24"/>
        </w:rPr>
        <w:t>8</w:t>
      </w:r>
      <w:r>
        <w:rPr>
          <w:rFonts w:ascii="宋体" w:hAnsi="宋体" w:eastAsia="宋体"/>
          <w:color w:val="auto"/>
          <w:sz w:val="24"/>
          <w:szCs w:val="24"/>
        </w:rPr>
        <w:t xml:space="preserve">.3 </w:t>
      </w:r>
      <w:r>
        <w:rPr>
          <w:rFonts w:hint="eastAsia" w:ascii="宋体" w:hAnsi="宋体" w:eastAsia="宋体" w:cs="宋体"/>
          <w:color w:val="auto"/>
          <w:sz w:val="24"/>
          <w:szCs w:val="24"/>
        </w:rPr>
        <w:t>联合体中标的，联合体各方应当共同与招标人签订合同，就中标项目向招标人承担连带责任。</w:t>
      </w:r>
      <w:r>
        <w:rPr>
          <w:rFonts w:ascii="宋体" w:hAnsi="宋体" w:eastAsia="宋体"/>
          <w:color w:val="auto"/>
          <w:sz w:val="24"/>
          <w:szCs w:val="24"/>
        </w:rPr>
        <w:t xml:space="preserve"> </w:t>
      </w:r>
      <w:bookmarkStart w:id="215" w:name="_Toc508382140"/>
      <w:bookmarkStart w:id="216" w:name="_Toc190785941"/>
    </w:p>
    <w:p w14:paraId="6B91C11B">
      <w:pPr>
        <w:spacing w:after="0" w:line="360" w:lineRule="auto"/>
        <w:ind w:firstLine="420"/>
        <w:rPr>
          <w:rFonts w:ascii="宋体" w:hAnsi="宋体" w:eastAsia="宋体"/>
          <w:b/>
          <w:color w:val="auto"/>
          <w:sz w:val="24"/>
          <w:szCs w:val="24"/>
        </w:rPr>
      </w:pPr>
      <w:r>
        <w:rPr>
          <w:rFonts w:ascii="宋体" w:hAnsi="宋体" w:eastAsia="宋体"/>
          <w:b/>
          <w:color w:val="auto"/>
          <w:sz w:val="24"/>
          <w:szCs w:val="24"/>
        </w:rPr>
        <w:t>8.</w:t>
      </w:r>
      <w:r>
        <w:rPr>
          <w:rFonts w:hint="eastAsia" w:ascii="宋体" w:hAnsi="宋体" w:eastAsia="宋体"/>
          <w:color w:val="auto"/>
          <w:sz w:val="24"/>
          <w:szCs w:val="24"/>
        </w:rPr>
        <w:t>纪律和监督</w:t>
      </w:r>
      <w:bookmarkEnd w:id="215"/>
      <w:bookmarkEnd w:id="216"/>
      <w:r>
        <w:rPr>
          <w:rFonts w:ascii="宋体" w:hAnsi="宋体" w:eastAsia="宋体"/>
          <w:b/>
          <w:color w:val="auto"/>
          <w:sz w:val="24"/>
          <w:szCs w:val="24"/>
        </w:rPr>
        <w:t xml:space="preserve"> </w:t>
      </w:r>
      <w:bookmarkStart w:id="217" w:name="_Toc190785426"/>
      <w:bookmarkStart w:id="218" w:name="_Toc508788658"/>
      <w:bookmarkStart w:id="219" w:name="_Toc190785942"/>
      <w:bookmarkStart w:id="220" w:name="_Toc190785846"/>
      <w:bookmarkStart w:id="221" w:name="_Toc508382141"/>
    </w:p>
    <w:p w14:paraId="579C497C">
      <w:pPr>
        <w:spacing w:after="0" w:line="360" w:lineRule="auto"/>
        <w:ind w:firstLine="420"/>
        <w:rPr>
          <w:rFonts w:ascii="宋体" w:hAnsi="宋体" w:eastAsia="宋体"/>
          <w:color w:val="auto"/>
          <w:sz w:val="24"/>
          <w:szCs w:val="24"/>
        </w:rPr>
      </w:pPr>
      <w:r>
        <w:rPr>
          <w:rFonts w:ascii="宋体" w:hAnsi="宋体" w:eastAsia="宋体"/>
          <w:color w:val="auto"/>
          <w:sz w:val="24"/>
          <w:szCs w:val="24"/>
        </w:rPr>
        <w:t xml:space="preserve">8.1 </w:t>
      </w:r>
      <w:r>
        <w:rPr>
          <w:rFonts w:hint="eastAsia" w:ascii="宋体" w:hAnsi="宋体" w:eastAsia="宋体"/>
          <w:color w:val="auto"/>
          <w:sz w:val="24"/>
          <w:szCs w:val="24"/>
        </w:rPr>
        <w:t>对招标人的纪律要求</w:t>
      </w:r>
      <w:bookmarkEnd w:id="217"/>
      <w:bookmarkEnd w:id="218"/>
      <w:bookmarkEnd w:id="219"/>
      <w:bookmarkEnd w:id="220"/>
      <w:bookmarkEnd w:id="221"/>
      <w:r>
        <w:rPr>
          <w:rFonts w:ascii="宋体" w:hAnsi="宋体" w:eastAsia="宋体"/>
          <w:color w:val="auto"/>
          <w:sz w:val="24"/>
          <w:szCs w:val="24"/>
        </w:rPr>
        <w:t xml:space="preserve"> </w:t>
      </w:r>
    </w:p>
    <w:p w14:paraId="659A8541">
      <w:pPr>
        <w:spacing w:after="240" w:line="354" w:lineRule="auto"/>
        <w:ind w:right="103" w:firstLine="420"/>
        <w:rPr>
          <w:rFonts w:ascii="宋体" w:hAnsi="宋体" w:eastAsia="宋体"/>
          <w:color w:val="auto"/>
          <w:sz w:val="24"/>
          <w:szCs w:val="24"/>
        </w:rPr>
      </w:pPr>
      <w:r>
        <w:rPr>
          <w:rFonts w:hint="eastAsia" w:ascii="宋体" w:hAnsi="宋体" w:eastAsia="宋体" w:cs="宋体"/>
          <w:color w:val="auto"/>
          <w:sz w:val="24"/>
          <w:szCs w:val="24"/>
        </w:rPr>
        <w:t>招标人不得泄露招标投标活动中应当保密的情况和资料，不得与投标人串通损害国家利益、社会公共利益或者他人合法权益。</w:t>
      </w:r>
      <w:r>
        <w:rPr>
          <w:rFonts w:ascii="宋体" w:hAnsi="宋体" w:eastAsia="宋体"/>
          <w:color w:val="auto"/>
          <w:sz w:val="24"/>
          <w:szCs w:val="24"/>
        </w:rPr>
        <w:t xml:space="preserve"> </w:t>
      </w:r>
    </w:p>
    <w:p w14:paraId="62CDB332">
      <w:pPr>
        <w:pStyle w:val="5"/>
        <w:spacing w:after="278"/>
        <w:ind w:left="132" w:right="0"/>
        <w:rPr>
          <w:rFonts w:ascii="宋体" w:hAnsi="宋体" w:eastAsia="宋体"/>
          <w:color w:val="auto"/>
          <w:sz w:val="24"/>
          <w:szCs w:val="24"/>
        </w:rPr>
      </w:pPr>
      <w:bookmarkStart w:id="222" w:name="_Toc508788659"/>
      <w:bookmarkStart w:id="223" w:name="_Toc190785943"/>
      <w:bookmarkStart w:id="224" w:name="_Toc190785847"/>
      <w:bookmarkStart w:id="225" w:name="_Toc190785427"/>
      <w:bookmarkStart w:id="226" w:name="_Toc508382142"/>
      <w:r>
        <w:rPr>
          <w:rFonts w:ascii="宋体" w:hAnsi="宋体" w:eastAsia="宋体"/>
          <w:color w:val="auto"/>
          <w:sz w:val="24"/>
          <w:szCs w:val="24"/>
        </w:rPr>
        <w:t xml:space="preserve">8.2 </w:t>
      </w:r>
      <w:r>
        <w:rPr>
          <w:rFonts w:hint="eastAsia" w:ascii="宋体" w:hAnsi="宋体" w:eastAsia="宋体"/>
          <w:color w:val="auto"/>
          <w:sz w:val="24"/>
          <w:szCs w:val="24"/>
        </w:rPr>
        <w:t>对投标人的纪律要求</w:t>
      </w:r>
      <w:bookmarkEnd w:id="222"/>
      <w:bookmarkEnd w:id="223"/>
      <w:bookmarkEnd w:id="224"/>
      <w:bookmarkEnd w:id="225"/>
      <w:bookmarkEnd w:id="226"/>
      <w:r>
        <w:rPr>
          <w:rFonts w:ascii="宋体" w:hAnsi="宋体" w:eastAsia="宋体"/>
          <w:color w:val="auto"/>
          <w:sz w:val="24"/>
          <w:szCs w:val="24"/>
        </w:rPr>
        <w:t xml:space="preserve"> </w:t>
      </w:r>
    </w:p>
    <w:p w14:paraId="276884E9">
      <w:pPr>
        <w:spacing w:after="242" w:line="352" w:lineRule="auto"/>
        <w:ind w:right="103" w:firstLine="420"/>
        <w:rPr>
          <w:rFonts w:ascii="宋体" w:hAnsi="宋体" w:eastAsia="宋体"/>
          <w:color w:val="auto"/>
          <w:sz w:val="24"/>
          <w:szCs w:val="24"/>
        </w:rPr>
      </w:pPr>
      <w:r>
        <w:rPr>
          <w:rFonts w:hint="eastAsia" w:ascii="宋体" w:hAnsi="宋体" w:eastAsia="宋体" w:cs="宋体"/>
          <w:color w:val="auto"/>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ascii="宋体" w:hAnsi="宋体" w:eastAsia="宋体"/>
          <w:color w:val="auto"/>
          <w:sz w:val="24"/>
          <w:szCs w:val="24"/>
        </w:rPr>
        <w:t xml:space="preserve"> </w:t>
      </w:r>
    </w:p>
    <w:p w14:paraId="182D1D82">
      <w:pPr>
        <w:pStyle w:val="5"/>
        <w:spacing w:after="279"/>
        <w:ind w:left="132" w:right="0"/>
        <w:rPr>
          <w:rFonts w:hint="eastAsia" w:ascii="宋体" w:hAnsi="宋体" w:eastAsia="宋体"/>
          <w:color w:val="auto"/>
          <w:sz w:val="24"/>
          <w:szCs w:val="24"/>
        </w:rPr>
      </w:pPr>
      <w:bookmarkStart w:id="227" w:name="_Toc190785848"/>
      <w:bookmarkStart w:id="228" w:name="_Toc190785944"/>
      <w:bookmarkStart w:id="229" w:name="_Toc508788660"/>
      <w:bookmarkStart w:id="230" w:name="_Toc190785428"/>
      <w:bookmarkStart w:id="231" w:name="_Toc508382143"/>
      <w:r>
        <w:rPr>
          <w:rFonts w:ascii="宋体" w:hAnsi="宋体" w:eastAsia="宋体"/>
          <w:color w:val="auto"/>
          <w:sz w:val="24"/>
          <w:szCs w:val="24"/>
        </w:rPr>
        <w:t xml:space="preserve">8.3 </w:t>
      </w:r>
      <w:r>
        <w:rPr>
          <w:rFonts w:hint="eastAsia" w:ascii="宋体" w:hAnsi="宋体" w:eastAsia="宋体"/>
          <w:color w:val="auto"/>
          <w:sz w:val="24"/>
          <w:szCs w:val="24"/>
        </w:rPr>
        <w:t>对评标委员会成员的纪律要求</w:t>
      </w:r>
      <w:bookmarkEnd w:id="227"/>
      <w:bookmarkEnd w:id="228"/>
      <w:bookmarkEnd w:id="229"/>
      <w:bookmarkEnd w:id="230"/>
      <w:bookmarkEnd w:id="231"/>
      <w:r>
        <w:rPr>
          <w:rFonts w:ascii="宋体" w:hAnsi="宋体" w:eastAsia="宋体"/>
          <w:color w:val="auto"/>
          <w:sz w:val="24"/>
          <w:szCs w:val="24"/>
        </w:rPr>
        <w:t xml:space="preserve"> </w:t>
      </w:r>
    </w:p>
    <w:p w14:paraId="37C2721B">
      <w:pPr>
        <w:spacing w:after="348" w:line="349" w:lineRule="auto"/>
        <w:ind w:right="103" w:firstLine="420"/>
        <w:rPr>
          <w:rFonts w:ascii="宋体" w:hAnsi="宋体" w:eastAsia="宋体"/>
          <w:color w:val="auto"/>
          <w:sz w:val="24"/>
          <w:szCs w:val="24"/>
        </w:rPr>
      </w:pPr>
      <w:r>
        <w:rPr>
          <w:rFonts w:hint="eastAsia" w:ascii="宋体" w:hAnsi="宋体" w:eastAsia="宋体" w:cs="宋体"/>
          <w:color w:val="auto"/>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rFonts w:ascii="宋体" w:hAnsi="宋体" w:eastAsia="宋体"/>
          <w:color w:val="auto"/>
          <w:sz w:val="24"/>
          <w:szCs w:val="24"/>
        </w:rPr>
        <w:t>“</w:t>
      </w:r>
      <w:r>
        <w:rPr>
          <w:rFonts w:hint="eastAsia" w:ascii="宋体" w:hAnsi="宋体" w:eastAsia="宋体" w:cs="宋体"/>
          <w:color w:val="auto"/>
          <w:sz w:val="24"/>
          <w:szCs w:val="24"/>
        </w:rPr>
        <w:t>评标办法</w:t>
      </w:r>
      <w:r>
        <w:rPr>
          <w:rFonts w:ascii="宋体" w:hAnsi="宋体" w:eastAsia="宋体"/>
          <w:color w:val="auto"/>
          <w:sz w:val="24"/>
          <w:szCs w:val="24"/>
        </w:rPr>
        <w:t>”</w:t>
      </w:r>
      <w:r>
        <w:rPr>
          <w:rFonts w:hint="eastAsia" w:ascii="宋体" w:hAnsi="宋体" w:eastAsia="宋体" w:cs="宋体"/>
          <w:color w:val="auto"/>
          <w:sz w:val="24"/>
          <w:szCs w:val="24"/>
        </w:rPr>
        <w:t>没有规定的评审因素和标准进行评标。</w:t>
      </w:r>
      <w:r>
        <w:rPr>
          <w:rFonts w:ascii="宋体" w:hAnsi="宋体" w:eastAsia="宋体"/>
          <w:color w:val="auto"/>
          <w:sz w:val="24"/>
          <w:szCs w:val="24"/>
        </w:rPr>
        <w:t xml:space="preserve"> </w:t>
      </w:r>
    </w:p>
    <w:p w14:paraId="160950CA">
      <w:pPr>
        <w:pStyle w:val="5"/>
        <w:spacing w:after="280"/>
        <w:ind w:left="132" w:right="0"/>
        <w:rPr>
          <w:rFonts w:ascii="宋体" w:hAnsi="宋体" w:eastAsia="宋体"/>
          <w:color w:val="auto"/>
          <w:sz w:val="24"/>
          <w:szCs w:val="24"/>
        </w:rPr>
      </w:pPr>
      <w:bookmarkStart w:id="232" w:name="_Toc190785429"/>
      <w:bookmarkStart w:id="233" w:name="_Toc190785849"/>
      <w:bookmarkStart w:id="234" w:name="_Toc190785945"/>
      <w:bookmarkStart w:id="235" w:name="_Toc508382144"/>
      <w:bookmarkStart w:id="236" w:name="_Toc508788661"/>
      <w:r>
        <w:rPr>
          <w:rFonts w:ascii="宋体" w:hAnsi="宋体" w:eastAsia="宋体"/>
          <w:color w:val="auto"/>
          <w:sz w:val="24"/>
          <w:szCs w:val="24"/>
        </w:rPr>
        <w:t xml:space="preserve">8.4 </w:t>
      </w:r>
      <w:r>
        <w:rPr>
          <w:rFonts w:hint="eastAsia" w:ascii="宋体" w:hAnsi="宋体" w:eastAsia="宋体"/>
          <w:color w:val="auto"/>
          <w:sz w:val="24"/>
          <w:szCs w:val="24"/>
        </w:rPr>
        <w:t>对与评标活动有关的工作人员的纪律要求</w:t>
      </w:r>
      <w:bookmarkEnd w:id="232"/>
      <w:bookmarkEnd w:id="233"/>
      <w:bookmarkEnd w:id="234"/>
      <w:bookmarkEnd w:id="235"/>
      <w:bookmarkEnd w:id="236"/>
      <w:r>
        <w:rPr>
          <w:rFonts w:ascii="宋体" w:hAnsi="宋体" w:eastAsia="宋体"/>
          <w:color w:val="auto"/>
          <w:sz w:val="24"/>
          <w:szCs w:val="24"/>
        </w:rPr>
        <w:t xml:space="preserve"> </w:t>
      </w:r>
    </w:p>
    <w:p w14:paraId="3DA7F86D">
      <w:pPr>
        <w:spacing w:after="239" w:line="352" w:lineRule="auto"/>
        <w:ind w:right="103" w:firstLine="420"/>
        <w:rPr>
          <w:rFonts w:ascii="宋体" w:hAnsi="宋体" w:eastAsia="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rFonts w:ascii="宋体" w:hAnsi="宋体" w:eastAsia="宋体"/>
          <w:color w:val="auto"/>
          <w:sz w:val="24"/>
          <w:szCs w:val="24"/>
        </w:rPr>
        <w:t xml:space="preserve"> </w:t>
      </w:r>
    </w:p>
    <w:p w14:paraId="7A2E32AF">
      <w:pPr>
        <w:pStyle w:val="5"/>
        <w:spacing w:after="286" w:line="259" w:lineRule="auto"/>
        <w:ind w:left="132" w:right="0"/>
        <w:rPr>
          <w:rFonts w:ascii="宋体" w:hAnsi="宋体" w:eastAsia="宋体"/>
          <w:color w:val="auto"/>
          <w:sz w:val="24"/>
          <w:szCs w:val="24"/>
        </w:rPr>
      </w:pPr>
      <w:bookmarkStart w:id="237" w:name="_Toc508382145"/>
      <w:bookmarkStart w:id="238" w:name="_Toc190785946"/>
      <w:bookmarkStart w:id="239" w:name="_Toc508788662"/>
      <w:bookmarkStart w:id="240" w:name="_Toc190785430"/>
      <w:bookmarkStart w:id="241" w:name="_Toc190785850"/>
      <w:r>
        <w:rPr>
          <w:rFonts w:ascii="宋体" w:hAnsi="宋体" w:eastAsia="宋体"/>
          <w:color w:val="auto"/>
          <w:sz w:val="24"/>
          <w:szCs w:val="24"/>
        </w:rPr>
        <w:t xml:space="preserve">8.5 </w:t>
      </w:r>
      <w:r>
        <w:rPr>
          <w:rFonts w:hint="eastAsia" w:ascii="宋体" w:hAnsi="宋体" w:eastAsia="宋体"/>
          <w:color w:val="auto"/>
          <w:sz w:val="24"/>
          <w:szCs w:val="24"/>
        </w:rPr>
        <w:t>投诉</w:t>
      </w:r>
      <w:bookmarkEnd w:id="237"/>
      <w:bookmarkEnd w:id="238"/>
      <w:bookmarkEnd w:id="239"/>
      <w:bookmarkEnd w:id="240"/>
      <w:bookmarkEnd w:id="241"/>
      <w:r>
        <w:rPr>
          <w:rFonts w:ascii="宋体" w:hAnsi="宋体" w:eastAsia="宋体"/>
          <w:color w:val="auto"/>
          <w:sz w:val="24"/>
          <w:szCs w:val="24"/>
        </w:rPr>
        <w:t xml:space="preserve"> </w:t>
      </w:r>
    </w:p>
    <w:p w14:paraId="6AE4FA14">
      <w:pPr>
        <w:spacing w:after="5" w:line="369" w:lineRule="auto"/>
        <w:ind w:left="-15" w:right="197" w:firstLine="410"/>
        <w:jc w:val="both"/>
        <w:rPr>
          <w:rFonts w:ascii="宋体" w:hAnsi="宋体" w:eastAsia="宋体"/>
          <w:color w:val="auto"/>
          <w:sz w:val="24"/>
          <w:szCs w:val="24"/>
        </w:rPr>
      </w:pPr>
      <w:r>
        <w:rPr>
          <w:rFonts w:ascii="宋体" w:hAnsi="宋体" w:eastAsia="宋体"/>
          <w:color w:val="auto"/>
          <w:sz w:val="24"/>
          <w:szCs w:val="24"/>
        </w:rPr>
        <w:t xml:space="preserve">8.5.1 </w:t>
      </w:r>
      <w:r>
        <w:rPr>
          <w:rFonts w:hint="eastAsia" w:ascii="宋体" w:hAnsi="宋体" w:eastAsia="宋体" w:cs="宋体"/>
          <w:color w:val="auto"/>
          <w:sz w:val="24"/>
          <w:szCs w:val="24"/>
        </w:rPr>
        <w:t>投标人或者其他利害关系人认为招标投标活动不符合法律、行政法规规定的，可以自知道或者应当知道之日起</w:t>
      </w:r>
      <w:r>
        <w:rPr>
          <w:rFonts w:ascii="宋体" w:hAnsi="宋体" w:eastAsia="宋体" w:cs="宋体"/>
          <w:color w:val="auto"/>
          <w:sz w:val="24"/>
          <w:szCs w:val="24"/>
        </w:rPr>
        <w:t xml:space="preserve"> </w:t>
      </w:r>
      <w:r>
        <w:rPr>
          <w:rFonts w:ascii="宋体" w:hAnsi="宋体" w:eastAsia="宋体"/>
          <w:color w:val="auto"/>
          <w:sz w:val="24"/>
          <w:szCs w:val="24"/>
        </w:rPr>
        <w:t xml:space="preserve">10 </w:t>
      </w:r>
      <w:r>
        <w:rPr>
          <w:rFonts w:hint="eastAsia" w:ascii="宋体" w:hAnsi="宋体" w:eastAsia="宋体" w:cs="宋体"/>
          <w:color w:val="auto"/>
          <w:sz w:val="24"/>
          <w:szCs w:val="24"/>
        </w:rPr>
        <w:t>日内向有关行政监督部门投诉。投诉应当有明确的请求和必要的证明材料。</w:t>
      </w:r>
      <w:r>
        <w:rPr>
          <w:rFonts w:ascii="宋体" w:hAnsi="宋体" w:eastAsia="宋体"/>
          <w:color w:val="auto"/>
          <w:sz w:val="24"/>
          <w:szCs w:val="24"/>
        </w:rPr>
        <w:t xml:space="preserve"> </w:t>
      </w:r>
    </w:p>
    <w:p w14:paraId="2D3BE638">
      <w:pPr>
        <w:spacing w:after="0" w:line="360" w:lineRule="auto"/>
        <w:ind w:left="-17" w:right="198" w:firstLine="408"/>
        <w:jc w:val="both"/>
        <w:rPr>
          <w:rFonts w:ascii="宋体" w:hAnsi="宋体" w:eastAsia="宋体"/>
          <w:color w:val="auto"/>
          <w:sz w:val="24"/>
          <w:szCs w:val="24"/>
        </w:rPr>
      </w:pPr>
      <w:r>
        <w:rPr>
          <w:rFonts w:ascii="宋体" w:hAnsi="宋体" w:eastAsia="宋体"/>
          <w:color w:val="auto"/>
          <w:sz w:val="24"/>
          <w:szCs w:val="24"/>
        </w:rPr>
        <w:t xml:space="preserve">8.5.2 </w:t>
      </w:r>
      <w:r>
        <w:rPr>
          <w:rFonts w:hint="eastAsia" w:ascii="宋体" w:hAnsi="宋体" w:eastAsia="宋体" w:cs="宋体"/>
          <w:color w:val="auto"/>
          <w:sz w:val="24"/>
          <w:szCs w:val="24"/>
        </w:rPr>
        <w:t>投标人或者其他利害关系人对招标文件、开标和评标结果提出投诉的，应当按照投标人须知第</w:t>
      </w:r>
      <w:r>
        <w:rPr>
          <w:rFonts w:ascii="宋体" w:hAnsi="宋体" w:eastAsia="宋体" w:cs="宋体"/>
          <w:color w:val="auto"/>
          <w:sz w:val="24"/>
          <w:szCs w:val="24"/>
        </w:rPr>
        <w:t xml:space="preserve"> </w:t>
      </w:r>
      <w:r>
        <w:rPr>
          <w:rFonts w:ascii="宋体" w:hAnsi="宋体" w:eastAsia="宋体"/>
          <w:color w:val="auto"/>
          <w:sz w:val="24"/>
          <w:szCs w:val="24"/>
        </w:rPr>
        <w:t xml:space="preserve">2.4 </w:t>
      </w:r>
      <w:r>
        <w:rPr>
          <w:rFonts w:hint="eastAsia" w:ascii="宋体" w:hAnsi="宋体" w:eastAsia="宋体" w:cs="宋体"/>
          <w:color w:val="auto"/>
          <w:sz w:val="24"/>
          <w:szCs w:val="24"/>
        </w:rPr>
        <w:t>款、第</w:t>
      </w:r>
      <w:r>
        <w:rPr>
          <w:rFonts w:ascii="宋体" w:hAnsi="宋体" w:eastAsia="宋体" w:cs="宋体"/>
          <w:color w:val="auto"/>
          <w:sz w:val="24"/>
          <w:szCs w:val="24"/>
        </w:rPr>
        <w:t xml:space="preserve"> </w:t>
      </w:r>
      <w:r>
        <w:rPr>
          <w:rFonts w:ascii="宋体" w:hAnsi="宋体" w:eastAsia="宋体"/>
          <w:color w:val="auto"/>
          <w:sz w:val="24"/>
          <w:szCs w:val="24"/>
        </w:rPr>
        <w:t xml:space="preserve">5.3 </w:t>
      </w:r>
      <w:r>
        <w:rPr>
          <w:rFonts w:hint="eastAsia" w:ascii="宋体" w:hAnsi="宋体" w:eastAsia="宋体" w:cs="宋体"/>
          <w:color w:val="auto"/>
          <w:sz w:val="24"/>
          <w:szCs w:val="24"/>
        </w:rPr>
        <w:t>款和第</w:t>
      </w:r>
      <w:r>
        <w:rPr>
          <w:rFonts w:ascii="宋体" w:hAnsi="宋体" w:eastAsia="宋体" w:cs="宋体"/>
          <w:color w:val="auto"/>
          <w:sz w:val="24"/>
          <w:szCs w:val="24"/>
        </w:rPr>
        <w:t xml:space="preserve"> </w:t>
      </w:r>
      <w:r>
        <w:rPr>
          <w:rFonts w:ascii="宋体" w:hAnsi="宋体" w:eastAsia="宋体"/>
          <w:color w:val="auto"/>
          <w:sz w:val="24"/>
          <w:szCs w:val="24"/>
        </w:rPr>
        <w:t xml:space="preserve">7.2 </w:t>
      </w:r>
      <w:r>
        <w:rPr>
          <w:rFonts w:hint="eastAsia" w:ascii="宋体" w:hAnsi="宋体" w:eastAsia="宋体" w:cs="宋体"/>
          <w:color w:val="auto"/>
          <w:sz w:val="24"/>
          <w:szCs w:val="24"/>
        </w:rPr>
        <w:t>款的规定先向招标人提出异议。异议答复期间不计算在第</w:t>
      </w:r>
      <w:r>
        <w:rPr>
          <w:rFonts w:ascii="宋体" w:hAnsi="宋体" w:eastAsia="宋体" w:cs="宋体"/>
          <w:color w:val="auto"/>
          <w:sz w:val="24"/>
          <w:szCs w:val="24"/>
        </w:rPr>
        <w:t xml:space="preserve"> </w:t>
      </w:r>
      <w:r>
        <w:rPr>
          <w:rFonts w:ascii="宋体" w:hAnsi="宋体" w:eastAsia="宋体"/>
          <w:color w:val="auto"/>
          <w:sz w:val="24"/>
          <w:szCs w:val="24"/>
        </w:rPr>
        <w:t xml:space="preserve">8.5.1 </w:t>
      </w:r>
      <w:r>
        <w:rPr>
          <w:rFonts w:hint="eastAsia" w:ascii="宋体" w:hAnsi="宋体" w:eastAsia="宋体" w:cs="宋体"/>
          <w:color w:val="auto"/>
          <w:sz w:val="24"/>
          <w:szCs w:val="24"/>
        </w:rPr>
        <w:t>项规定的期限内。</w:t>
      </w:r>
      <w:r>
        <w:rPr>
          <w:rFonts w:ascii="宋体" w:hAnsi="宋体" w:eastAsia="宋体"/>
          <w:color w:val="auto"/>
          <w:sz w:val="24"/>
          <w:szCs w:val="24"/>
        </w:rPr>
        <w:t xml:space="preserve"> </w:t>
      </w:r>
    </w:p>
    <w:p w14:paraId="31D5F8C9">
      <w:pPr>
        <w:pStyle w:val="4"/>
        <w:spacing w:after="245" w:line="264" w:lineRule="auto"/>
        <w:ind w:left="-5" w:right="0"/>
        <w:rPr>
          <w:rFonts w:ascii="宋体" w:hAnsi="宋体" w:eastAsia="宋体"/>
          <w:color w:val="auto"/>
          <w:sz w:val="24"/>
          <w:szCs w:val="24"/>
        </w:rPr>
      </w:pPr>
      <w:bookmarkStart w:id="242" w:name="_Toc508382146"/>
      <w:bookmarkStart w:id="243" w:name="_Toc190785947"/>
      <w:r>
        <w:rPr>
          <w:rFonts w:ascii="宋体" w:hAnsi="宋体" w:eastAsia="宋体"/>
          <w:b/>
          <w:color w:val="auto"/>
          <w:sz w:val="24"/>
          <w:szCs w:val="24"/>
        </w:rPr>
        <w:t xml:space="preserve">9. </w:t>
      </w:r>
      <w:r>
        <w:rPr>
          <w:rFonts w:hint="eastAsia" w:ascii="宋体" w:hAnsi="宋体" w:eastAsia="宋体"/>
          <w:color w:val="auto"/>
          <w:sz w:val="24"/>
          <w:szCs w:val="24"/>
        </w:rPr>
        <w:t>是否采用电子招标投标</w:t>
      </w:r>
      <w:bookmarkEnd w:id="242"/>
      <w:bookmarkEnd w:id="243"/>
      <w:r>
        <w:rPr>
          <w:rFonts w:ascii="宋体" w:hAnsi="宋体" w:eastAsia="宋体"/>
          <w:b/>
          <w:color w:val="auto"/>
          <w:sz w:val="24"/>
          <w:szCs w:val="24"/>
        </w:rPr>
        <w:t xml:space="preserve"> </w:t>
      </w:r>
    </w:p>
    <w:p w14:paraId="43EF1354">
      <w:pPr>
        <w:spacing w:after="385" w:line="265" w:lineRule="auto"/>
        <w:ind w:left="417" w:right="103" w:hanging="10"/>
        <w:rPr>
          <w:rFonts w:ascii="宋体" w:hAnsi="宋体" w:eastAsia="宋体"/>
          <w:color w:val="auto"/>
          <w:sz w:val="24"/>
          <w:szCs w:val="24"/>
        </w:rPr>
      </w:pPr>
      <w:r>
        <w:rPr>
          <w:rFonts w:hint="eastAsia" w:ascii="宋体" w:hAnsi="宋体" w:eastAsia="宋体" w:cs="宋体"/>
          <w:color w:val="auto"/>
          <w:sz w:val="24"/>
          <w:szCs w:val="24"/>
        </w:rPr>
        <w:t>本招标项目是否采用电子招标投标方式，见投标人须知前附表。</w:t>
      </w:r>
      <w:r>
        <w:rPr>
          <w:rFonts w:ascii="宋体" w:hAnsi="宋体" w:eastAsia="宋体"/>
          <w:color w:val="auto"/>
          <w:sz w:val="24"/>
          <w:szCs w:val="24"/>
        </w:rPr>
        <w:t xml:space="preserve"> </w:t>
      </w:r>
    </w:p>
    <w:p w14:paraId="37A10E6B">
      <w:pPr>
        <w:pStyle w:val="4"/>
        <w:spacing w:after="244" w:line="264" w:lineRule="auto"/>
        <w:ind w:left="-5" w:right="0"/>
        <w:rPr>
          <w:rFonts w:ascii="宋体" w:hAnsi="宋体" w:eastAsia="宋体"/>
          <w:color w:val="auto"/>
          <w:sz w:val="24"/>
          <w:szCs w:val="24"/>
        </w:rPr>
      </w:pPr>
      <w:bookmarkStart w:id="244" w:name="_Toc508382147"/>
      <w:bookmarkStart w:id="245" w:name="_Toc190785948"/>
      <w:r>
        <w:rPr>
          <w:rFonts w:ascii="宋体" w:hAnsi="宋体" w:eastAsia="宋体"/>
          <w:b/>
          <w:color w:val="auto"/>
          <w:sz w:val="24"/>
          <w:szCs w:val="24"/>
        </w:rPr>
        <w:t xml:space="preserve">10. </w:t>
      </w:r>
      <w:r>
        <w:rPr>
          <w:rFonts w:hint="eastAsia" w:ascii="宋体" w:hAnsi="宋体" w:eastAsia="宋体"/>
          <w:color w:val="auto"/>
          <w:sz w:val="24"/>
          <w:szCs w:val="24"/>
        </w:rPr>
        <w:t>需要补充的其他内容</w:t>
      </w:r>
      <w:bookmarkEnd w:id="244"/>
      <w:bookmarkEnd w:id="245"/>
      <w:r>
        <w:rPr>
          <w:rFonts w:ascii="宋体" w:hAnsi="宋体" w:eastAsia="宋体"/>
          <w:b/>
          <w:color w:val="auto"/>
          <w:sz w:val="24"/>
          <w:szCs w:val="24"/>
        </w:rPr>
        <w:t xml:space="preserve"> </w:t>
      </w:r>
    </w:p>
    <w:p w14:paraId="340871AC">
      <w:pPr>
        <w:spacing w:after="123" w:line="265" w:lineRule="auto"/>
        <w:ind w:left="417" w:right="103" w:hanging="10"/>
        <w:rPr>
          <w:rFonts w:hint="eastAsia" w:ascii="宋体" w:hAnsi="宋体" w:eastAsia="宋体"/>
          <w:color w:val="auto"/>
          <w:sz w:val="24"/>
          <w:szCs w:val="24"/>
        </w:rPr>
      </w:pPr>
      <w:r>
        <w:rPr>
          <w:rFonts w:hint="eastAsia" w:ascii="宋体" w:hAnsi="宋体" w:eastAsia="宋体" w:cs="宋体"/>
          <w:color w:val="auto"/>
          <w:sz w:val="24"/>
          <w:szCs w:val="24"/>
        </w:rPr>
        <w:t>需要补充的其他内容：见投标人须知前附表。</w:t>
      </w:r>
      <w:r>
        <w:rPr>
          <w:rFonts w:ascii="宋体" w:hAnsi="宋体" w:eastAsia="宋体"/>
          <w:color w:val="auto"/>
          <w:sz w:val="24"/>
          <w:szCs w:val="24"/>
        </w:rPr>
        <w:t xml:space="preserve"> </w:t>
      </w:r>
    </w:p>
    <w:p w14:paraId="71226ACD">
      <w:pPr>
        <w:spacing w:line="360" w:lineRule="auto"/>
        <w:rPr>
          <w:rFonts w:ascii="宋体" w:hAnsi="宋体" w:eastAsia="宋体"/>
          <w:b/>
          <w:color w:val="auto"/>
          <w:sz w:val="28"/>
          <w:szCs w:val="28"/>
        </w:rPr>
      </w:pPr>
      <w:bookmarkStart w:id="246" w:name="_Toc508788665"/>
      <w:bookmarkStart w:id="247" w:name="_Toc508382148"/>
      <w:r>
        <w:rPr>
          <w:rFonts w:ascii="宋体" w:hAnsi="宋体" w:eastAsia="宋体"/>
          <w:color w:val="auto"/>
          <w:sz w:val="24"/>
          <w:szCs w:val="24"/>
        </w:rPr>
        <w:br w:type="page"/>
      </w:r>
      <w:r>
        <w:rPr>
          <w:rFonts w:ascii="宋体" w:hAnsi="宋体" w:eastAsia="宋体"/>
          <w:b/>
          <w:color w:val="auto"/>
          <w:sz w:val="28"/>
          <w:szCs w:val="28"/>
        </w:rPr>
        <w:t>附件一：开标记录表</w:t>
      </w:r>
    </w:p>
    <w:p w14:paraId="41A2A20E">
      <w:pPr>
        <w:spacing w:line="360" w:lineRule="auto"/>
        <w:jc w:val="center"/>
        <w:rPr>
          <w:rFonts w:hint="eastAsia" w:ascii="宋体" w:hAnsi="宋体"/>
          <w:b/>
          <w:sz w:val="32"/>
          <w:szCs w:val="32"/>
        </w:rPr>
      </w:pPr>
      <w:r>
        <w:rPr>
          <w:rFonts w:hint="eastAsia" w:ascii="宋体" w:hAnsi="宋体"/>
          <w:b/>
          <w:sz w:val="32"/>
          <w:szCs w:val="32"/>
        </w:rPr>
        <w:t>开标记录表</w:t>
      </w:r>
    </w:p>
    <w:p w14:paraId="332E08B7">
      <w:pPr>
        <w:spacing w:line="360" w:lineRule="auto"/>
        <w:jc w:val="right"/>
        <w:rPr>
          <w:rFonts w:hint="eastAsia" w:ascii="宋体" w:hAnsi="宋体"/>
        </w:rPr>
      </w:pPr>
      <w:r>
        <w:rPr>
          <w:rFonts w:hint="eastAsia" w:ascii="宋体" w:hAnsi="宋体"/>
        </w:rPr>
        <w:t>开标时间：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hint="eastAsia" w:ascii="宋体" w:hAnsi="宋体"/>
          <w:u w:val="single"/>
        </w:rPr>
        <w:t xml:space="preserve">         </w:t>
      </w:r>
      <w:r>
        <w:rPr>
          <w:rFonts w:hint="eastAsia" w:ascii="宋体" w:hAnsi="宋体"/>
        </w:rPr>
        <w:t>时</w:t>
      </w:r>
      <w:r>
        <w:rPr>
          <w:rFonts w:hint="eastAsia" w:ascii="宋体" w:hAnsi="宋体"/>
          <w:u w:val="single"/>
        </w:rPr>
        <w:t xml:space="preserve">         </w:t>
      </w:r>
      <w:r>
        <w:rPr>
          <w:rFonts w:hint="eastAsia" w:ascii="宋体" w:hAnsi="宋体"/>
        </w:rPr>
        <w:t>分</w:t>
      </w:r>
    </w:p>
    <w:tbl>
      <w:tblPr>
        <w:tblStyle w:val="39"/>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15"/>
        <w:gridCol w:w="1464"/>
        <w:gridCol w:w="1181"/>
        <w:gridCol w:w="947"/>
        <w:gridCol w:w="1253"/>
        <w:gridCol w:w="964"/>
        <w:gridCol w:w="1222"/>
      </w:tblGrid>
      <w:tr w14:paraId="233B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3DD97E0D">
            <w:pPr>
              <w:keepNext w:val="0"/>
              <w:keepLines w:val="0"/>
              <w:widowControl/>
              <w:suppressLineNumbers w:val="0"/>
              <w:spacing w:before="0" w:beforeAutospacing="0" w:afterAutospacing="0" w:line="360" w:lineRule="auto"/>
              <w:ind w:left="0" w:right="0"/>
              <w:jc w:val="center"/>
              <w:rPr>
                <w:rFonts w:hint="eastAsia" w:ascii="宋体" w:hAnsi="宋体" w:cs="Times New Roman"/>
              </w:rPr>
            </w:pPr>
            <w:r>
              <w:rPr>
                <w:rFonts w:hint="eastAsia" w:ascii="宋体" w:hAnsi="宋体" w:cs="Times New Roman"/>
              </w:rPr>
              <w:t>序号</w:t>
            </w:r>
          </w:p>
        </w:tc>
        <w:tc>
          <w:tcPr>
            <w:tcW w:w="1015" w:type="dxa"/>
            <w:noWrap w:val="0"/>
            <w:vAlign w:val="center"/>
          </w:tcPr>
          <w:p w14:paraId="00B1EF0B">
            <w:pPr>
              <w:keepNext w:val="0"/>
              <w:keepLines w:val="0"/>
              <w:widowControl/>
              <w:suppressLineNumbers w:val="0"/>
              <w:spacing w:before="0" w:beforeAutospacing="0" w:afterAutospacing="0" w:line="360" w:lineRule="auto"/>
              <w:ind w:left="0" w:right="0"/>
              <w:jc w:val="center"/>
              <w:rPr>
                <w:rFonts w:hint="eastAsia" w:ascii="宋体" w:hAnsi="宋体" w:cs="Times New Roman"/>
              </w:rPr>
            </w:pPr>
            <w:r>
              <w:rPr>
                <w:rFonts w:hint="eastAsia" w:ascii="宋体" w:hAnsi="宋体" w:cs="Times New Roman"/>
              </w:rPr>
              <w:t>投标人</w:t>
            </w:r>
          </w:p>
        </w:tc>
        <w:tc>
          <w:tcPr>
            <w:tcW w:w="1464" w:type="dxa"/>
            <w:noWrap w:val="0"/>
            <w:vAlign w:val="center"/>
          </w:tcPr>
          <w:p w14:paraId="2597ECC0">
            <w:pPr>
              <w:keepNext w:val="0"/>
              <w:keepLines w:val="0"/>
              <w:widowControl/>
              <w:suppressLineNumbers w:val="0"/>
              <w:spacing w:before="0" w:beforeAutospacing="0" w:afterAutospacing="0" w:line="360" w:lineRule="auto"/>
              <w:ind w:left="0" w:right="0"/>
              <w:jc w:val="center"/>
              <w:rPr>
                <w:rFonts w:hint="eastAsia" w:ascii="宋体" w:hAnsi="宋体" w:cs="Times New Roman"/>
                <w:strike/>
              </w:rPr>
            </w:pPr>
            <w:r>
              <w:rPr>
                <w:rFonts w:hint="eastAsia" w:ascii="宋体" w:hAnsi="宋体" w:eastAsia="宋体" w:cs="Times New Roman"/>
                <w:lang w:eastAsia="zh-CN"/>
              </w:rPr>
              <w:t>解</w:t>
            </w:r>
            <w:r>
              <w:rPr>
                <w:rFonts w:hint="eastAsia" w:ascii="宋体" w:hAnsi="宋体" w:cs="Times New Roman"/>
              </w:rPr>
              <w:t>密情况</w:t>
            </w:r>
          </w:p>
        </w:tc>
        <w:tc>
          <w:tcPr>
            <w:tcW w:w="1181" w:type="dxa"/>
            <w:noWrap w:val="0"/>
            <w:vAlign w:val="center"/>
          </w:tcPr>
          <w:p w14:paraId="3C89C585">
            <w:pPr>
              <w:keepNext w:val="0"/>
              <w:keepLines w:val="0"/>
              <w:widowControl/>
              <w:suppressLineNumbers w:val="0"/>
              <w:spacing w:before="0" w:beforeAutospacing="0" w:afterAutospacing="0" w:line="360" w:lineRule="auto"/>
              <w:ind w:left="0" w:right="0"/>
              <w:jc w:val="center"/>
              <w:rPr>
                <w:rFonts w:hint="eastAsia" w:ascii="宋体" w:hAnsi="宋体" w:cs="Times New Roman"/>
              </w:rPr>
            </w:pPr>
            <w:r>
              <w:rPr>
                <w:rFonts w:hint="eastAsia" w:ascii="宋体" w:hAnsi="宋体" w:cs="Times New Roman"/>
              </w:rPr>
              <w:t>投标报价（元）</w:t>
            </w:r>
          </w:p>
        </w:tc>
        <w:tc>
          <w:tcPr>
            <w:tcW w:w="947" w:type="dxa"/>
            <w:noWrap w:val="0"/>
            <w:vAlign w:val="center"/>
          </w:tcPr>
          <w:p w14:paraId="41203272">
            <w:pPr>
              <w:keepNext w:val="0"/>
              <w:keepLines w:val="0"/>
              <w:widowControl/>
              <w:suppressLineNumbers w:val="0"/>
              <w:spacing w:before="0" w:beforeAutospacing="0" w:afterAutospacing="0" w:line="360" w:lineRule="auto"/>
              <w:ind w:left="0" w:right="0"/>
              <w:jc w:val="center"/>
              <w:rPr>
                <w:rFonts w:hint="eastAsia" w:ascii="宋体" w:hAnsi="宋体" w:cs="Times New Roman"/>
              </w:rPr>
            </w:pPr>
            <w:r>
              <w:rPr>
                <w:rFonts w:hint="eastAsia" w:ascii="宋体" w:hAnsi="宋体" w:cs="Times New Roman"/>
              </w:rPr>
              <w:t>项目负责人</w:t>
            </w:r>
          </w:p>
        </w:tc>
        <w:tc>
          <w:tcPr>
            <w:tcW w:w="1253" w:type="dxa"/>
            <w:noWrap w:val="0"/>
            <w:vAlign w:val="center"/>
          </w:tcPr>
          <w:p w14:paraId="6BD881BF">
            <w:pPr>
              <w:keepNext w:val="0"/>
              <w:keepLines w:val="0"/>
              <w:widowControl/>
              <w:suppressLineNumbers w:val="0"/>
              <w:spacing w:before="0" w:beforeAutospacing="0" w:afterAutospacing="0" w:line="360" w:lineRule="auto"/>
              <w:ind w:left="0" w:right="0"/>
              <w:jc w:val="center"/>
              <w:rPr>
                <w:rFonts w:hint="eastAsia" w:ascii="宋体" w:hAnsi="宋体" w:cs="Times New Roman"/>
              </w:rPr>
            </w:pPr>
            <w:r>
              <w:rPr>
                <w:rFonts w:hint="eastAsia" w:ascii="宋体" w:hAnsi="宋体" w:eastAsia="Times New Roman" w:cs="Times New Roman"/>
                <w:lang w:val="en-US" w:eastAsia="zh-CN"/>
              </w:rPr>
              <w:t>勘察</w:t>
            </w:r>
            <w:r>
              <w:rPr>
                <w:rFonts w:hint="eastAsia" w:ascii="宋体" w:hAnsi="宋体" w:eastAsia="Times New Roman" w:cs="Times New Roman"/>
              </w:rPr>
              <w:t>服务期</w:t>
            </w:r>
          </w:p>
        </w:tc>
        <w:tc>
          <w:tcPr>
            <w:tcW w:w="964" w:type="dxa"/>
            <w:noWrap w:val="0"/>
            <w:vAlign w:val="center"/>
          </w:tcPr>
          <w:p w14:paraId="3C2A9E0E">
            <w:pPr>
              <w:keepNext w:val="0"/>
              <w:keepLines w:val="0"/>
              <w:widowControl/>
              <w:suppressLineNumbers w:val="0"/>
              <w:spacing w:before="0" w:beforeAutospacing="0" w:afterAutospacing="0" w:line="360" w:lineRule="auto"/>
              <w:ind w:left="0" w:right="0"/>
              <w:jc w:val="center"/>
              <w:rPr>
                <w:rFonts w:hint="eastAsia" w:ascii="宋体" w:hAnsi="宋体" w:cs="Times New Roman"/>
              </w:rPr>
            </w:pPr>
            <w:r>
              <w:rPr>
                <w:rFonts w:hint="eastAsia" w:ascii="宋体" w:hAnsi="宋体" w:cs="Times New Roman"/>
              </w:rPr>
              <w:t>备注</w:t>
            </w:r>
          </w:p>
        </w:tc>
        <w:tc>
          <w:tcPr>
            <w:tcW w:w="1222" w:type="dxa"/>
            <w:noWrap w:val="0"/>
            <w:vAlign w:val="center"/>
          </w:tcPr>
          <w:p w14:paraId="4C47E1FA">
            <w:pPr>
              <w:keepNext w:val="0"/>
              <w:keepLines w:val="0"/>
              <w:widowControl/>
              <w:suppressLineNumbers w:val="0"/>
              <w:spacing w:before="0" w:beforeAutospacing="0" w:afterAutospacing="0" w:line="360" w:lineRule="auto"/>
              <w:ind w:left="0" w:right="0"/>
              <w:jc w:val="center"/>
              <w:rPr>
                <w:rFonts w:hint="eastAsia" w:ascii="宋体" w:hAnsi="宋体" w:cs="Times New Roman"/>
              </w:rPr>
            </w:pPr>
            <w:r>
              <w:rPr>
                <w:rFonts w:hint="eastAsia" w:ascii="宋体" w:hAnsi="宋体" w:cs="Times New Roman"/>
              </w:rPr>
              <w:t>投标人代表签名</w:t>
            </w:r>
          </w:p>
        </w:tc>
      </w:tr>
      <w:tr w14:paraId="3C4B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14:paraId="5A1B31CE">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015" w:type="dxa"/>
            <w:noWrap w:val="0"/>
            <w:vAlign w:val="top"/>
          </w:tcPr>
          <w:p w14:paraId="3759D8FB">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464" w:type="dxa"/>
            <w:noWrap w:val="0"/>
            <w:vAlign w:val="top"/>
          </w:tcPr>
          <w:p w14:paraId="36186C1C">
            <w:pPr>
              <w:keepNext w:val="0"/>
              <w:keepLines w:val="0"/>
              <w:widowControl/>
              <w:suppressLineNumbers w:val="0"/>
              <w:spacing w:before="0" w:beforeAutospacing="0" w:afterAutospacing="0" w:line="360" w:lineRule="auto"/>
              <w:ind w:left="0" w:right="0"/>
              <w:rPr>
                <w:rFonts w:hint="eastAsia" w:ascii="宋体" w:hAnsi="宋体" w:cs="Times New Roman"/>
                <w:strike/>
              </w:rPr>
            </w:pPr>
          </w:p>
        </w:tc>
        <w:tc>
          <w:tcPr>
            <w:tcW w:w="1181" w:type="dxa"/>
            <w:noWrap w:val="0"/>
            <w:vAlign w:val="top"/>
          </w:tcPr>
          <w:p w14:paraId="63CF6CD5">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947" w:type="dxa"/>
            <w:noWrap w:val="0"/>
            <w:vAlign w:val="top"/>
          </w:tcPr>
          <w:p w14:paraId="12049124">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253" w:type="dxa"/>
            <w:noWrap w:val="0"/>
            <w:vAlign w:val="top"/>
          </w:tcPr>
          <w:p w14:paraId="1B2AB65A">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964" w:type="dxa"/>
            <w:noWrap w:val="0"/>
            <w:vAlign w:val="top"/>
          </w:tcPr>
          <w:p w14:paraId="3F066A54">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222" w:type="dxa"/>
            <w:noWrap w:val="0"/>
            <w:vAlign w:val="top"/>
          </w:tcPr>
          <w:p w14:paraId="395CAB55">
            <w:pPr>
              <w:keepNext w:val="0"/>
              <w:keepLines w:val="0"/>
              <w:widowControl/>
              <w:suppressLineNumbers w:val="0"/>
              <w:spacing w:before="0" w:beforeAutospacing="0" w:afterAutospacing="0" w:line="360" w:lineRule="auto"/>
              <w:ind w:left="0" w:right="0"/>
              <w:rPr>
                <w:rFonts w:hint="eastAsia" w:ascii="宋体" w:hAnsi="宋体" w:cs="Times New Roman"/>
              </w:rPr>
            </w:pPr>
          </w:p>
        </w:tc>
      </w:tr>
      <w:tr w14:paraId="37EB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14:paraId="3FC5B756">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015" w:type="dxa"/>
            <w:noWrap w:val="0"/>
            <w:vAlign w:val="top"/>
          </w:tcPr>
          <w:p w14:paraId="7C32B908">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464" w:type="dxa"/>
            <w:noWrap w:val="0"/>
            <w:vAlign w:val="top"/>
          </w:tcPr>
          <w:p w14:paraId="583465E6">
            <w:pPr>
              <w:keepNext w:val="0"/>
              <w:keepLines w:val="0"/>
              <w:widowControl/>
              <w:suppressLineNumbers w:val="0"/>
              <w:spacing w:before="0" w:beforeAutospacing="0" w:afterAutospacing="0" w:line="360" w:lineRule="auto"/>
              <w:ind w:left="0" w:right="0"/>
              <w:rPr>
                <w:rFonts w:hint="eastAsia" w:ascii="宋体" w:hAnsi="宋体" w:cs="Times New Roman"/>
                <w:strike/>
              </w:rPr>
            </w:pPr>
          </w:p>
        </w:tc>
        <w:tc>
          <w:tcPr>
            <w:tcW w:w="1181" w:type="dxa"/>
            <w:noWrap w:val="0"/>
            <w:vAlign w:val="top"/>
          </w:tcPr>
          <w:p w14:paraId="7207FD13">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947" w:type="dxa"/>
            <w:noWrap w:val="0"/>
            <w:vAlign w:val="top"/>
          </w:tcPr>
          <w:p w14:paraId="0A1C37AC">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253" w:type="dxa"/>
            <w:noWrap w:val="0"/>
            <w:vAlign w:val="top"/>
          </w:tcPr>
          <w:p w14:paraId="3E9A1FC8">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964" w:type="dxa"/>
            <w:noWrap w:val="0"/>
            <w:vAlign w:val="top"/>
          </w:tcPr>
          <w:p w14:paraId="62A12455">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222" w:type="dxa"/>
            <w:noWrap w:val="0"/>
            <w:vAlign w:val="top"/>
          </w:tcPr>
          <w:p w14:paraId="2D739C94">
            <w:pPr>
              <w:keepNext w:val="0"/>
              <w:keepLines w:val="0"/>
              <w:widowControl/>
              <w:suppressLineNumbers w:val="0"/>
              <w:spacing w:before="0" w:beforeAutospacing="0" w:afterAutospacing="0" w:line="360" w:lineRule="auto"/>
              <w:ind w:left="0" w:right="0"/>
              <w:rPr>
                <w:rFonts w:hint="eastAsia" w:ascii="宋体" w:hAnsi="宋体" w:cs="Times New Roman"/>
              </w:rPr>
            </w:pPr>
          </w:p>
        </w:tc>
      </w:tr>
      <w:tr w14:paraId="7C4A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14:paraId="64B30217">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015" w:type="dxa"/>
            <w:noWrap w:val="0"/>
            <w:vAlign w:val="top"/>
          </w:tcPr>
          <w:p w14:paraId="3D29D8B0">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464" w:type="dxa"/>
            <w:noWrap w:val="0"/>
            <w:vAlign w:val="top"/>
          </w:tcPr>
          <w:p w14:paraId="0E852D15">
            <w:pPr>
              <w:keepNext w:val="0"/>
              <w:keepLines w:val="0"/>
              <w:widowControl/>
              <w:suppressLineNumbers w:val="0"/>
              <w:spacing w:before="0" w:beforeAutospacing="0" w:afterAutospacing="0" w:line="360" w:lineRule="auto"/>
              <w:ind w:left="0" w:right="0"/>
              <w:rPr>
                <w:rFonts w:hint="eastAsia" w:ascii="宋体" w:hAnsi="宋体" w:cs="Times New Roman"/>
                <w:strike/>
              </w:rPr>
            </w:pPr>
          </w:p>
        </w:tc>
        <w:tc>
          <w:tcPr>
            <w:tcW w:w="1181" w:type="dxa"/>
            <w:noWrap w:val="0"/>
            <w:vAlign w:val="top"/>
          </w:tcPr>
          <w:p w14:paraId="34BBA3BD">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947" w:type="dxa"/>
            <w:noWrap w:val="0"/>
            <w:vAlign w:val="top"/>
          </w:tcPr>
          <w:p w14:paraId="2FB524A1">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253" w:type="dxa"/>
            <w:noWrap w:val="0"/>
            <w:vAlign w:val="top"/>
          </w:tcPr>
          <w:p w14:paraId="365042AF">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964" w:type="dxa"/>
            <w:noWrap w:val="0"/>
            <w:vAlign w:val="top"/>
          </w:tcPr>
          <w:p w14:paraId="48B3922C">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222" w:type="dxa"/>
            <w:noWrap w:val="0"/>
            <w:vAlign w:val="top"/>
          </w:tcPr>
          <w:p w14:paraId="45B85D19">
            <w:pPr>
              <w:keepNext w:val="0"/>
              <w:keepLines w:val="0"/>
              <w:widowControl/>
              <w:suppressLineNumbers w:val="0"/>
              <w:spacing w:before="0" w:beforeAutospacing="0" w:afterAutospacing="0" w:line="360" w:lineRule="auto"/>
              <w:ind w:left="0" w:right="0"/>
              <w:rPr>
                <w:rFonts w:hint="eastAsia" w:ascii="宋体" w:hAnsi="宋体" w:cs="Times New Roman"/>
              </w:rPr>
            </w:pPr>
          </w:p>
        </w:tc>
      </w:tr>
      <w:tr w14:paraId="22CB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14:paraId="27BE0DA4">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015" w:type="dxa"/>
            <w:noWrap w:val="0"/>
            <w:vAlign w:val="top"/>
          </w:tcPr>
          <w:p w14:paraId="178022CA">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464" w:type="dxa"/>
            <w:noWrap w:val="0"/>
            <w:vAlign w:val="top"/>
          </w:tcPr>
          <w:p w14:paraId="09ADF133">
            <w:pPr>
              <w:keepNext w:val="0"/>
              <w:keepLines w:val="0"/>
              <w:widowControl/>
              <w:suppressLineNumbers w:val="0"/>
              <w:spacing w:before="0" w:beforeAutospacing="0" w:afterAutospacing="0" w:line="360" w:lineRule="auto"/>
              <w:ind w:left="0" w:right="0"/>
              <w:rPr>
                <w:rFonts w:hint="eastAsia" w:ascii="宋体" w:hAnsi="宋体" w:cs="Times New Roman"/>
                <w:strike/>
              </w:rPr>
            </w:pPr>
          </w:p>
        </w:tc>
        <w:tc>
          <w:tcPr>
            <w:tcW w:w="1181" w:type="dxa"/>
            <w:noWrap w:val="0"/>
            <w:vAlign w:val="top"/>
          </w:tcPr>
          <w:p w14:paraId="649A7749">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947" w:type="dxa"/>
            <w:noWrap w:val="0"/>
            <w:vAlign w:val="top"/>
          </w:tcPr>
          <w:p w14:paraId="58EC5EB0">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253" w:type="dxa"/>
            <w:noWrap w:val="0"/>
            <w:vAlign w:val="top"/>
          </w:tcPr>
          <w:p w14:paraId="2D551D0A">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964" w:type="dxa"/>
            <w:noWrap w:val="0"/>
            <w:vAlign w:val="top"/>
          </w:tcPr>
          <w:p w14:paraId="375376D8">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222" w:type="dxa"/>
            <w:noWrap w:val="0"/>
            <w:vAlign w:val="top"/>
          </w:tcPr>
          <w:p w14:paraId="68AFAD67">
            <w:pPr>
              <w:keepNext w:val="0"/>
              <w:keepLines w:val="0"/>
              <w:widowControl/>
              <w:suppressLineNumbers w:val="0"/>
              <w:spacing w:before="0" w:beforeAutospacing="0" w:afterAutospacing="0" w:line="360" w:lineRule="auto"/>
              <w:ind w:left="0" w:right="0"/>
              <w:rPr>
                <w:rFonts w:hint="eastAsia" w:ascii="宋体" w:hAnsi="宋体" w:cs="Times New Roman"/>
              </w:rPr>
            </w:pPr>
          </w:p>
        </w:tc>
      </w:tr>
      <w:tr w14:paraId="73D8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14:paraId="65A6A4DD">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015" w:type="dxa"/>
            <w:noWrap w:val="0"/>
            <w:vAlign w:val="top"/>
          </w:tcPr>
          <w:p w14:paraId="683AC03D">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464" w:type="dxa"/>
            <w:noWrap w:val="0"/>
            <w:vAlign w:val="top"/>
          </w:tcPr>
          <w:p w14:paraId="7A25D48F">
            <w:pPr>
              <w:keepNext w:val="0"/>
              <w:keepLines w:val="0"/>
              <w:widowControl/>
              <w:suppressLineNumbers w:val="0"/>
              <w:spacing w:before="0" w:beforeAutospacing="0" w:afterAutospacing="0" w:line="360" w:lineRule="auto"/>
              <w:ind w:left="0" w:right="0"/>
              <w:rPr>
                <w:rFonts w:hint="eastAsia" w:ascii="宋体" w:hAnsi="宋体" w:cs="Times New Roman"/>
                <w:strike/>
              </w:rPr>
            </w:pPr>
          </w:p>
        </w:tc>
        <w:tc>
          <w:tcPr>
            <w:tcW w:w="1181" w:type="dxa"/>
            <w:noWrap w:val="0"/>
            <w:vAlign w:val="top"/>
          </w:tcPr>
          <w:p w14:paraId="31C40EA0">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947" w:type="dxa"/>
            <w:noWrap w:val="0"/>
            <w:vAlign w:val="top"/>
          </w:tcPr>
          <w:p w14:paraId="34A54875">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253" w:type="dxa"/>
            <w:noWrap w:val="0"/>
            <w:vAlign w:val="top"/>
          </w:tcPr>
          <w:p w14:paraId="2C86C5FF">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964" w:type="dxa"/>
            <w:noWrap w:val="0"/>
            <w:vAlign w:val="top"/>
          </w:tcPr>
          <w:p w14:paraId="499C8647">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222" w:type="dxa"/>
            <w:noWrap w:val="0"/>
            <w:vAlign w:val="top"/>
          </w:tcPr>
          <w:p w14:paraId="42527176">
            <w:pPr>
              <w:keepNext w:val="0"/>
              <w:keepLines w:val="0"/>
              <w:widowControl/>
              <w:suppressLineNumbers w:val="0"/>
              <w:spacing w:before="0" w:beforeAutospacing="0" w:afterAutospacing="0" w:line="360" w:lineRule="auto"/>
              <w:ind w:left="0" w:right="0"/>
              <w:rPr>
                <w:rFonts w:hint="eastAsia" w:ascii="宋体" w:hAnsi="宋体" w:cs="Times New Roman"/>
              </w:rPr>
            </w:pPr>
          </w:p>
        </w:tc>
      </w:tr>
      <w:tr w14:paraId="320E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14:paraId="57831ECA">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015" w:type="dxa"/>
            <w:noWrap w:val="0"/>
            <w:vAlign w:val="top"/>
          </w:tcPr>
          <w:p w14:paraId="283534AD">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464" w:type="dxa"/>
            <w:noWrap w:val="0"/>
            <w:vAlign w:val="top"/>
          </w:tcPr>
          <w:p w14:paraId="6EFFAB52">
            <w:pPr>
              <w:keepNext w:val="0"/>
              <w:keepLines w:val="0"/>
              <w:widowControl/>
              <w:suppressLineNumbers w:val="0"/>
              <w:spacing w:before="0" w:beforeAutospacing="0" w:afterAutospacing="0" w:line="360" w:lineRule="auto"/>
              <w:ind w:left="0" w:right="0"/>
              <w:rPr>
                <w:rFonts w:hint="eastAsia" w:ascii="宋体" w:hAnsi="宋体" w:cs="Times New Roman"/>
                <w:strike/>
              </w:rPr>
            </w:pPr>
          </w:p>
        </w:tc>
        <w:tc>
          <w:tcPr>
            <w:tcW w:w="1181" w:type="dxa"/>
            <w:noWrap w:val="0"/>
            <w:vAlign w:val="top"/>
          </w:tcPr>
          <w:p w14:paraId="457DA3D3">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947" w:type="dxa"/>
            <w:noWrap w:val="0"/>
            <w:vAlign w:val="top"/>
          </w:tcPr>
          <w:p w14:paraId="14AFC00B">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253" w:type="dxa"/>
            <w:noWrap w:val="0"/>
            <w:vAlign w:val="top"/>
          </w:tcPr>
          <w:p w14:paraId="4A815813">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964" w:type="dxa"/>
            <w:noWrap w:val="0"/>
            <w:vAlign w:val="top"/>
          </w:tcPr>
          <w:p w14:paraId="2A5881B6">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222" w:type="dxa"/>
            <w:noWrap w:val="0"/>
            <w:vAlign w:val="top"/>
          </w:tcPr>
          <w:p w14:paraId="789E64C0">
            <w:pPr>
              <w:keepNext w:val="0"/>
              <w:keepLines w:val="0"/>
              <w:widowControl/>
              <w:suppressLineNumbers w:val="0"/>
              <w:spacing w:before="0" w:beforeAutospacing="0" w:afterAutospacing="0" w:line="360" w:lineRule="auto"/>
              <w:ind w:left="0" w:right="0"/>
              <w:rPr>
                <w:rFonts w:hint="eastAsia" w:ascii="宋体" w:hAnsi="宋体" w:cs="Times New Roman"/>
              </w:rPr>
            </w:pPr>
          </w:p>
        </w:tc>
      </w:tr>
      <w:tr w14:paraId="3693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14:paraId="171DDC8F">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015" w:type="dxa"/>
            <w:noWrap w:val="0"/>
            <w:vAlign w:val="top"/>
          </w:tcPr>
          <w:p w14:paraId="0358A1E7">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464" w:type="dxa"/>
            <w:noWrap w:val="0"/>
            <w:vAlign w:val="top"/>
          </w:tcPr>
          <w:p w14:paraId="22E7E1BA">
            <w:pPr>
              <w:keepNext w:val="0"/>
              <w:keepLines w:val="0"/>
              <w:widowControl/>
              <w:suppressLineNumbers w:val="0"/>
              <w:spacing w:before="0" w:beforeAutospacing="0" w:afterAutospacing="0" w:line="360" w:lineRule="auto"/>
              <w:ind w:left="0" w:right="0"/>
              <w:rPr>
                <w:rFonts w:hint="eastAsia" w:ascii="宋体" w:hAnsi="宋体" w:cs="Times New Roman"/>
                <w:strike/>
              </w:rPr>
            </w:pPr>
          </w:p>
        </w:tc>
        <w:tc>
          <w:tcPr>
            <w:tcW w:w="1181" w:type="dxa"/>
            <w:noWrap w:val="0"/>
            <w:vAlign w:val="top"/>
          </w:tcPr>
          <w:p w14:paraId="255D5333">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947" w:type="dxa"/>
            <w:noWrap w:val="0"/>
            <w:vAlign w:val="top"/>
          </w:tcPr>
          <w:p w14:paraId="6061E0C1">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253" w:type="dxa"/>
            <w:noWrap w:val="0"/>
            <w:vAlign w:val="top"/>
          </w:tcPr>
          <w:p w14:paraId="44E690C7">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964" w:type="dxa"/>
            <w:noWrap w:val="0"/>
            <w:vAlign w:val="top"/>
          </w:tcPr>
          <w:p w14:paraId="1D10707E">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222" w:type="dxa"/>
            <w:noWrap w:val="0"/>
            <w:vAlign w:val="top"/>
          </w:tcPr>
          <w:p w14:paraId="1F291A63">
            <w:pPr>
              <w:keepNext w:val="0"/>
              <w:keepLines w:val="0"/>
              <w:widowControl/>
              <w:suppressLineNumbers w:val="0"/>
              <w:spacing w:before="0" w:beforeAutospacing="0" w:afterAutospacing="0" w:line="360" w:lineRule="auto"/>
              <w:ind w:left="0" w:right="0"/>
              <w:rPr>
                <w:rFonts w:hint="eastAsia" w:ascii="宋体" w:hAnsi="宋体" w:cs="Times New Roman"/>
              </w:rPr>
            </w:pPr>
          </w:p>
        </w:tc>
      </w:tr>
      <w:tr w14:paraId="2478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7" w:type="dxa"/>
            <w:gridSpan w:val="3"/>
            <w:noWrap w:val="0"/>
            <w:vAlign w:val="top"/>
          </w:tcPr>
          <w:p w14:paraId="4CFAB779">
            <w:pPr>
              <w:keepNext w:val="0"/>
              <w:keepLines w:val="0"/>
              <w:widowControl/>
              <w:suppressLineNumbers w:val="0"/>
              <w:spacing w:before="0" w:beforeAutospacing="0" w:afterAutospacing="0" w:line="360" w:lineRule="auto"/>
              <w:ind w:left="0" w:right="0"/>
              <w:rPr>
                <w:rFonts w:hint="eastAsia" w:ascii="宋体" w:hAnsi="宋体" w:cs="Times New Roman"/>
              </w:rPr>
            </w:pPr>
            <w:r>
              <w:rPr>
                <w:rFonts w:hint="eastAsia" w:ascii="宋体" w:hAnsi="宋体" w:cs="Times New Roman"/>
              </w:rPr>
              <w:t>最高投标限价：</w:t>
            </w:r>
          </w:p>
        </w:tc>
        <w:tc>
          <w:tcPr>
            <w:tcW w:w="1181" w:type="dxa"/>
            <w:noWrap w:val="0"/>
            <w:vAlign w:val="top"/>
          </w:tcPr>
          <w:p w14:paraId="6E1EF939">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947" w:type="dxa"/>
            <w:noWrap w:val="0"/>
            <w:vAlign w:val="top"/>
          </w:tcPr>
          <w:p w14:paraId="75CFD909">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253" w:type="dxa"/>
            <w:noWrap w:val="0"/>
            <w:vAlign w:val="top"/>
          </w:tcPr>
          <w:p w14:paraId="4976D747">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964" w:type="dxa"/>
            <w:noWrap w:val="0"/>
            <w:vAlign w:val="top"/>
          </w:tcPr>
          <w:p w14:paraId="69C0CB23">
            <w:pPr>
              <w:keepNext w:val="0"/>
              <w:keepLines w:val="0"/>
              <w:widowControl/>
              <w:suppressLineNumbers w:val="0"/>
              <w:spacing w:before="0" w:beforeAutospacing="0" w:afterAutospacing="0" w:line="360" w:lineRule="auto"/>
              <w:ind w:left="0" w:right="0"/>
              <w:rPr>
                <w:rFonts w:hint="eastAsia" w:ascii="宋体" w:hAnsi="宋体" w:cs="Times New Roman"/>
              </w:rPr>
            </w:pPr>
          </w:p>
        </w:tc>
        <w:tc>
          <w:tcPr>
            <w:tcW w:w="1222" w:type="dxa"/>
            <w:noWrap w:val="0"/>
            <w:vAlign w:val="top"/>
          </w:tcPr>
          <w:p w14:paraId="5CD9F5AE">
            <w:pPr>
              <w:keepNext w:val="0"/>
              <w:keepLines w:val="0"/>
              <w:widowControl/>
              <w:suppressLineNumbers w:val="0"/>
              <w:spacing w:before="0" w:beforeAutospacing="0" w:afterAutospacing="0" w:line="360" w:lineRule="auto"/>
              <w:ind w:left="0" w:right="0"/>
              <w:rPr>
                <w:rFonts w:hint="eastAsia" w:ascii="宋体" w:hAnsi="宋体" w:cs="Times New Roman"/>
              </w:rPr>
            </w:pPr>
          </w:p>
        </w:tc>
      </w:tr>
    </w:tbl>
    <w:p w14:paraId="30050516">
      <w:pPr>
        <w:spacing w:line="360" w:lineRule="auto"/>
        <w:rPr>
          <w:rFonts w:hint="eastAsia" w:ascii="宋体" w:hAnsi="宋体"/>
        </w:rPr>
      </w:pPr>
    </w:p>
    <w:p w14:paraId="2DABD024">
      <w:pPr>
        <w:spacing w:line="360" w:lineRule="auto"/>
        <w:rPr>
          <w:rFonts w:hint="eastAsia" w:ascii="宋体" w:hAnsi="宋体"/>
        </w:rPr>
      </w:pPr>
      <w:r>
        <w:rPr>
          <w:rFonts w:hint="eastAsia" w:ascii="宋体" w:hAnsi="宋体"/>
        </w:rPr>
        <w:t>招标人代表：</w:t>
      </w:r>
      <w:r>
        <w:rPr>
          <w:rFonts w:hint="eastAsia" w:ascii="宋体" w:hAnsi="宋体"/>
          <w:u w:val="single"/>
        </w:rPr>
        <w:t xml:space="preserve">          </w:t>
      </w:r>
      <w:r>
        <w:rPr>
          <w:rFonts w:hint="eastAsia" w:ascii="宋体" w:hAnsi="宋体"/>
        </w:rPr>
        <w:t xml:space="preserve">         记录人：</w:t>
      </w:r>
      <w:r>
        <w:rPr>
          <w:rFonts w:hint="eastAsia" w:ascii="宋体" w:hAnsi="宋体"/>
          <w:u w:val="single"/>
        </w:rPr>
        <w:t xml:space="preserve">          </w:t>
      </w:r>
      <w:r>
        <w:rPr>
          <w:rFonts w:hint="eastAsia" w:ascii="宋体" w:hAnsi="宋体"/>
        </w:rPr>
        <w:t xml:space="preserve">        </w:t>
      </w:r>
    </w:p>
    <w:p w14:paraId="43194958">
      <w:pPr>
        <w:spacing w:line="360" w:lineRule="auto"/>
        <w:ind w:firstLine="440" w:firstLineChars="200"/>
        <w:jc w:val="right"/>
        <w:rPr>
          <w:rFonts w:hint="eastAsia" w:ascii="宋体" w:hAnsi="宋体"/>
        </w:rPr>
      </w:pP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05A0BBAD">
      <w:pPr>
        <w:pStyle w:val="5"/>
        <w:spacing w:after="580"/>
        <w:ind w:left="132" w:right="0"/>
        <w:rPr>
          <w:rFonts w:ascii="宋体" w:hAnsi="宋体" w:eastAsia="宋体"/>
          <w:b/>
          <w:color w:val="auto"/>
          <w:kern w:val="2"/>
          <w:sz w:val="28"/>
          <w:szCs w:val="28"/>
        </w:rPr>
      </w:pPr>
      <w:bookmarkStart w:id="248" w:name="_Toc190785433"/>
      <w:bookmarkStart w:id="249" w:name="_Toc190785949"/>
      <w:bookmarkStart w:id="250" w:name="_Toc190785853"/>
      <w:r>
        <w:rPr>
          <w:rFonts w:hint="eastAsia"/>
          <w:b/>
          <w:u w:val="single"/>
        </w:rPr>
        <w:t>本表仅供参考，具体以开标时的开标记录表为准。</w:t>
      </w:r>
      <w:bookmarkEnd w:id="248"/>
      <w:bookmarkEnd w:id="249"/>
      <w:bookmarkEnd w:id="250"/>
      <w:bookmarkStart w:id="251" w:name="_Toc530470625"/>
      <w:bookmarkStart w:id="252" w:name="_Toc534552066"/>
    </w:p>
    <w:p w14:paraId="0C6DDDC5">
      <w:pPr>
        <w:spacing w:after="580" w:line="360" w:lineRule="auto"/>
        <w:ind w:left="132"/>
        <w:rPr>
          <w:rFonts w:hint="eastAsia" w:ascii="宋体" w:hAnsi="宋体" w:eastAsia="宋体"/>
          <w:b/>
          <w:color w:val="auto"/>
          <w:sz w:val="28"/>
          <w:szCs w:val="28"/>
        </w:rPr>
      </w:pPr>
      <w:r>
        <w:rPr>
          <w:rFonts w:ascii="宋体" w:hAnsi="宋体" w:eastAsia="宋体"/>
          <w:b/>
          <w:color w:val="auto"/>
          <w:sz w:val="28"/>
          <w:szCs w:val="28"/>
        </w:rPr>
        <w:br w:type="page"/>
      </w:r>
      <w:r>
        <w:rPr>
          <w:rFonts w:ascii="宋体" w:hAnsi="宋体" w:eastAsia="宋体"/>
          <w:b/>
          <w:color w:val="auto"/>
          <w:sz w:val="28"/>
          <w:szCs w:val="28"/>
        </w:rPr>
        <w:t>附件二：问题澄清通知</w:t>
      </w:r>
      <w:r>
        <w:rPr>
          <w:rFonts w:hint="eastAsia" w:ascii="宋体" w:hAnsi="宋体" w:eastAsia="宋体"/>
          <w:b/>
          <w:color w:val="auto"/>
          <w:sz w:val="28"/>
          <w:szCs w:val="28"/>
        </w:rPr>
        <w:t>（按广州交易集团有限公司（广州公共资源交易中心）格式）</w:t>
      </w:r>
      <w:bookmarkEnd w:id="251"/>
      <w:bookmarkEnd w:id="252"/>
      <w:bookmarkStart w:id="253" w:name="_Toc152042355"/>
      <w:bookmarkStart w:id="254" w:name="_Toc534552067"/>
      <w:bookmarkStart w:id="255" w:name="_Toc530470626"/>
      <w:bookmarkStart w:id="256" w:name="_Toc144974546"/>
      <w:bookmarkStart w:id="257" w:name="_Toc529196578"/>
    </w:p>
    <w:p w14:paraId="435CE2E4">
      <w:pPr>
        <w:spacing w:after="580" w:line="360" w:lineRule="auto"/>
        <w:ind w:left="132"/>
        <w:rPr>
          <w:rFonts w:hint="eastAsia" w:ascii="宋体" w:hAnsi="宋体" w:eastAsia="宋体"/>
          <w:b/>
          <w:color w:val="auto"/>
          <w:sz w:val="28"/>
          <w:szCs w:val="28"/>
        </w:rPr>
      </w:pPr>
      <w:r>
        <w:rPr>
          <w:rFonts w:hint="eastAsia" w:ascii="宋体" w:hAnsi="宋体" w:eastAsia="宋体"/>
          <w:b/>
          <w:color w:val="auto"/>
          <w:sz w:val="28"/>
          <w:szCs w:val="28"/>
        </w:rPr>
        <w:t>附</w:t>
      </w:r>
      <w:r>
        <w:rPr>
          <w:rFonts w:ascii="宋体" w:hAnsi="宋体" w:eastAsia="宋体"/>
          <w:b/>
          <w:color w:val="auto"/>
          <w:sz w:val="28"/>
          <w:szCs w:val="28"/>
        </w:rPr>
        <w:t>件三：问题的澄清</w:t>
      </w:r>
      <w:bookmarkEnd w:id="253"/>
      <w:bookmarkStart w:id="258" w:name="_Toc247527604"/>
      <w:bookmarkStart w:id="259" w:name="_Toc384308263"/>
      <w:bookmarkStart w:id="260" w:name="_Toc152042356"/>
      <w:bookmarkStart w:id="261" w:name="_Toc352691524"/>
      <w:bookmarkStart w:id="262" w:name="_Toc152045579"/>
      <w:bookmarkStart w:id="263" w:name="_Toc247514003"/>
      <w:bookmarkStart w:id="264" w:name="_Toc369531568"/>
      <w:bookmarkStart w:id="265" w:name="_Toc300834999"/>
      <w:bookmarkStart w:id="266" w:name="_Toc361508637"/>
      <w:bookmarkStart w:id="267" w:name="_Toc3622"/>
      <w:r>
        <w:rPr>
          <w:rFonts w:hint="eastAsia" w:ascii="宋体" w:hAnsi="宋体" w:eastAsia="宋体"/>
          <w:b/>
          <w:color w:val="auto"/>
          <w:sz w:val="28"/>
          <w:szCs w:val="28"/>
        </w:rPr>
        <w:t>（按广州交易集团有限公司（广州公共资源交易中心）格式）</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Start w:id="268" w:name="_Toc534552068"/>
      <w:bookmarkStart w:id="269" w:name="_Toc492300623"/>
      <w:bookmarkStart w:id="270" w:name="_Toc530470627"/>
      <w:bookmarkStart w:id="271" w:name="_Toc529196579"/>
    </w:p>
    <w:bookmarkEnd w:id="246"/>
    <w:bookmarkEnd w:id="247"/>
    <w:bookmarkEnd w:id="268"/>
    <w:bookmarkEnd w:id="269"/>
    <w:bookmarkEnd w:id="270"/>
    <w:bookmarkEnd w:id="271"/>
    <w:p w14:paraId="2B73C564">
      <w:pPr>
        <w:pStyle w:val="6"/>
        <w:spacing w:line="363" w:lineRule="exact"/>
        <w:ind w:left="357"/>
        <w:rPr>
          <w:rFonts w:ascii="宋体" w:hAnsi="宋体" w:eastAsia="宋体" w:cs="宋体"/>
          <w:sz w:val="28"/>
          <w:szCs w:val="28"/>
        </w:rPr>
      </w:pPr>
      <w:r>
        <w:rPr>
          <w:rFonts w:ascii="宋体" w:hAnsi="宋体" w:eastAsia="宋体"/>
          <w:color w:val="auto"/>
          <w:sz w:val="24"/>
          <w:szCs w:val="24"/>
        </w:rPr>
        <w:br w:type="page"/>
      </w:r>
      <w:bookmarkStart w:id="272" w:name="_Toc508382154"/>
      <w:bookmarkStart w:id="273" w:name="_Toc190785950"/>
      <w:r>
        <w:rPr>
          <w:b/>
          <w:bCs/>
          <w:sz w:val="28"/>
          <w:szCs w:val="28"/>
        </w:rPr>
        <w:t>附件四：</w:t>
      </w:r>
      <w:r>
        <w:rPr>
          <w:rFonts w:hint="eastAsia" w:cs="宋体"/>
          <w:b/>
          <w:bCs/>
          <w:sz w:val="28"/>
          <w:szCs w:val="28"/>
        </w:rPr>
        <w:t>评标委员会成员声明</w:t>
      </w:r>
    </w:p>
    <w:p w14:paraId="0266E6D5">
      <w:pPr>
        <w:spacing w:line="360" w:lineRule="auto"/>
        <w:rPr>
          <w:rFonts w:hint="eastAsia" w:ascii="宋体" w:hAnsi="宋体" w:cs="宋体"/>
          <w:sz w:val="24"/>
        </w:rPr>
      </w:pPr>
      <w:r>
        <w:rPr>
          <w:rFonts w:hint="eastAsia" w:ascii="宋体" w:hAnsi="宋体" w:cs="宋体"/>
          <w:sz w:val="24"/>
          <w:u w:val="single"/>
        </w:rPr>
        <w:t xml:space="preserve">  </w:t>
      </w:r>
      <w:r>
        <w:rPr>
          <w:rFonts w:hint="eastAsia" w:ascii="宋体" w:hAnsi="宋体" w:cs="宋体"/>
          <w:i/>
          <w:iCs/>
          <w:sz w:val="24"/>
          <w:u w:val="single"/>
        </w:rPr>
        <w:t>本项目招标人</w:t>
      </w:r>
      <w:r>
        <w:rPr>
          <w:rFonts w:hint="eastAsia" w:ascii="宋体" w:hAnsi="宋体" w:cs="宋体"/>
          <w:sz w:val="24"/>
          <w:u w:val="single"/>
        </w:rPr>
        <w:t xml:space="preserve">  </w:t>
      </w:r>
      <w:r>
        <w:rPr>
          <w:rFonts w:hint="eastAsia" w:ascii="宋体" w:hAnsi="宋体" w:cs="宋体"/>
          <w:sz w:val="24"/>
        </w:rPr>
        <w:t>：</w:t>
      </w:r>
    </w:p>
    <w:p w14:paraId="39528593">
      <w:pPr>
        <w:spacing w:line="360" w:lineRule="auto"/>
        <w:ind w:firstLine="480" w:firstLineChars="200"/>
        <w:rPr>
          <w:rFonts w:hint="eastAsia" w:ascii="宋体" w:hAnsi="宋体" w:cs="宋体"/>
          <w:sz w:val="24"/>
        </w:rPr>
      </w:pPr>
      <w:r>
        <w:rPr>
          <w:rFonts w:hint="eastAsia" w:ascii="宋体" w:hAnsi="宋体" w:cs="宋体"/>
          <w:sz w:val="24"/>
        </w:rPr>
        <w:t>本人就参与</w:t>
      </w:r>
      <w:r>
        <w:rPr>
          <w:rFonts w:hint="eastAsia" w:ascii="宋体" w:hAnsi="宋体" w:cs="宋体"/>
          <w:sz w:val="24"/>
          <w:u w:val="single"/>
        </w:rPr>
        <w:t xml:space="preserve">               </w:t>
      </w:r>
      <w:r>
        <w:rPr>
          <w:rFonts w:hint="eastAsia" w:ascii="宋体" w:hAnsi="宋体" w:cs="宋体"/>
          <w:sz w:val="24"/>
        </w:rPr>
        <w:t>项目的评标工作，作出郑重声明：</w:t>
      </w:r>
    </w:p>
    <w:p w14:paraId="524CFCAC">
      <w:pPr>
        <w:spacing w:line="360" w:lineRule="auto"/>
        <w:ind w:firstLine="480" w:firstLineChars="200"/>
        <w:rPr>
          <w:rFonts w:hint="eastAsia" w:ascii="宋体" w:hAnsi="宋体" w:cs="宋体"/>
          <w:sz w:val="24"/>
        </w:rPr>
      </w:pPr>
      <w:r>
        <w:rPr>
          <w:rFonts w:hint="eastAsia" w:ascii="宋体" w:hAnsi="宋体" w:cs="宋体"/>
          <w:sz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9E92813">
      <w:pPr>
        <w:spacing w:line="360" w:lineRule="auto"/>
        <w:ind w:firstLine="480" w:firstLineChars="200"/>
        <w:rPr>
          <w:rFonts w:hint="eastAsia" w:ascii="宋体" w:hAnsi="宋体" w:cs="宋体"/>
          <w:sz w:val="24"/>
        </w:rPr>
      </w:pPr>
      <w:r>
        <w:rPr>
          <w:rFonts w:hint="eastAsia" w:ascii="宋体" w:hAnsi="宋体" w:cs="宋体"/>
          <w:sz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DFAAA1A">
      <w:pPr>
        <w:spacing w:line="360" w:lineRule="auto"/>
        <w:ind w:firstLine="480" w:firstLineChars="200"/>
        <w:rPr>
          <w:rFonts w:hint="eastAsia" w:ascii="宋体" w:hAnsi="宋体" w:cs="宋体"/>
          <w:sz w:val="24"/>
        </w:rPr>
      </w:pPr>
      <w:r>
        <w:rPr>
          <w:rFonts w:hint="eastAsia" w:ascii="宋体" w:hAnsi="宋体" w:cs="宋体"/>
          <w:sz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71A5352">
      <w:pPr>
        <w:spacing w:line="360" w:lineRule="auto"/>
        <w:ind w:firstLine="480" w:firstLineChars="200"/>
        <w:rPr>
          <w:rFonts w:hint="eastAsia" w:ascii="宋体" w:hAnsi="宋体" w:cs="宋体"/>
          <w:sz w:val="24"/>
        </w:rPr>
      </w:pPr>
      <w:r>
        <w:rPr>
          <w:rFonts w:hint="eastAsia" w:ascii="宋体" w:hAnsi="宋体" w:cs="宋体"/>
          <w:sz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D498CF6">
      <w:pPr>
        <w:spacing w:line="360" w:lineRule="auto"/>
        <w:ind w:firstLine="480" w:firstLineChars="200"/>
        <w:rPr>
          <w:rFonts w:hint="eastAsia" w:ascii="宋体" w:hAnsi="宋体" w:cs="宋体"/>
          <w:sz w:val="24"/>
        </w:rPr>
      </w:pPr>
      <w:r>
        <w:rPr>
          <w:rFonts w:hint="eastAsia" w:ascii="宋体" w:hAnsi="宋体" w:cs="宋体"/>
          <w:sz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9C7E53C">
      <w:pPr>
        <w:spacing w:line="360" w:lineRule="auto"/>
        <w:ind w:firstLine="480" w:firstLineChars="200"/>
        <w:rPr>
          <w:rFonts w:hint="eastAsia" w:ascii="宋体" w:hAnsi="宋体" w:cs="宋体"/>
          <w:sz w:val="24"/>
        </w:rPr>
      </w:pPr>
      <w:r>
        <w:rPr>
          <w:rFonts w:hint="eastAsia" w:ascii="宋体" w:hAnsi="宋体" w:cs="宋体"/>
          <w:sz w:val="24"/>
        </w:rPr>
        <w:t>如果本人违反上述声明内容，造成的后果由本人自行承担。</w:t>
      </w:r>
    </w:p>
    <w:p w14:paraId="2AE37F08">
      <w:pPr>
        <w:rPr>
          <w:rFonts w:hint="eastAsia" w:ascii="宋体" w:hAnsi="宋体" w:cs="宋体"/>
          <w:sz w:val="24"/>
          <w:szCs w:val="24"/>
          <w:u w:val="single"/>
        </w:rPr>
      </w:pPr>
      <w:r>
        <w:rPr>
          <w:rFonts w:hint="eastAsia" w:ascii="宋体" w:hAnsi="宋体" w:cs="宋体"/>
          <w:sz w:val="24"/>
          <w:szCs w:val="24"/>
        </w:rPr>
        <w:t xml:space="preserve">                             </w:t>
      </w:r>
      <w:r>
        <w:rPr>
          <w:rFonts w:hint="eastAsia" w:ascii="宋体" w:hAnsi="宋体" w:eastAsia="宋体" w:cs="宋体"/>
          <w:sz w:val="24"/>
          <w:szCs w:val="24"/>
        </w:rPr>
        <w:t xml:space="preserve">  </w:t>
      </w:r>
      <w:r>
        <w:rPr>
          <w:rFonts w:hint="eastAsia" w:ascii="宋体" w:hAnsi="宋体" w:cs="宋体"/>
          <w:sz w:val="24"/>
          <w:szCs w:val="24"/>
        </w:rPr>
        <w:t>声明人：</w:t>
      </w:r>
      <w:r>
        <w:rPr>
          <w:rFonts w:hint="eastAsia" w:ascii="宋体" w:hAnsi="宋体" w:cs="宋体"/>
          <w:sz w:val="24"/>
          <w:szCs w:val="24"/>
          <w:u w:val="single"/>
        </w:rPr>
        <w:t xml:space="preserve">（签名）  </w:t>
      </w:r>
    </w:p>
    <w:p w14:paraId="17AD2E5C">
      <w:pPr>
        <w:ind w:firstLine="3840" w:firstLineChars="1600"/>
        <w:rPr>
          <w:sz w:val="24"/>
          <w:szCs w:val="24"/>
        </w:rPr>
      </w:pPr>
      <w:r>
        <w:rPr>
          <w:rFonts w:hint="eastAsia" w:ascii="宋体" w:hAnsi="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cs="宋体"/>
          <w:sz w:val="24"/>
          <w:szCs w:val="24"/>
        </w:rPr>
        <w:t xml:space="preserve"> 期：</w:t>
      </w:r>
    </w:p>
    <w:p w14:paraId="6825C67B">
      <w:pPr>
        <w:pStyle w:val="3"/>
        <w:spacing w:after="224" w:line="240" w:lineRule="auto"/>
        <w:ind w:left="0" w:right="0" w:firstLine="0"/>
        <w:rPr>
          <w:rFonts w:ascii="宋体" w:hAnsi="宋体" w:eastAsia="宋体"/>
          <w:color w:val="auto"/>
          <w:sz w:val="24"/>
          <w:szCs w:val="24"/>
        </w:rPr>
      </w:pPr>
    </w:p>
    <w:p w14:paraId="13877491">
      <w:pPr>
        <w:pStyle w:val="3"/>
        <w:spacing w:after="224" w:line="240" w:lineRule="auto"/>
        <w:ind w:left="0" w:right="0" w:firstLine="0"/>
        <w:rPr>
          <w:rFonts w:ascii="宋体" w:hAnsi="宋体" w:eastAsia="宋体" w:cs="宋体"/>
          <w:color w:val="auto"/>
          <w:sz w:val="44"/>
        </w:rPr>
      </w:pPr>
      <w:r>
        <w:rPr>
          <w:rFonts w:hint="eastAsia" w:ascii="宋体" w:hAnsi="宋体" w:eastAsia="宋体" w:cs="宋体"/>
          <w:color w:val="auto"/>
          <w:sz w:val="44"/>
        </w:rPr>
        <w:t>第三章评标办法（综合评估法）</w:t>
      </w:r>
      <w:bookmarkEnd w:id="272"/>
      <w:bookmarkEnd w:id="273"/>
    </w:p>
    <w:p w14:paraId="3E3B1ACF">
      <w:pPr>
        <w:pStyle w:val="4"/>
        <w:spacing w:after="240" w:afterLines="100" w:line="264" w:lineRule="auto"/>
        <w:ind w:left="0" w:right="0" w:firstLine="0"/>
        <w:jc w:val="center"/>
        <w:rPr>
          <w:rFonts w:hint="eastAsia" w:eastAsia="宋体"/>
          <w:color w:val="auto"/>
        </w:rPr>
      </w:pPr>
      <w:bookmarkStart w:id="274" w:name="_Toc508382155"/>
      <w:bookmarkStart w:id="275" w:name="_Toc190785951"/>
      <w:r>
        <w:rPr>
          <w:rFonts w:hint="eastAsia" w:ascii="宋体" w:hAnsi="宋体" w:eastAsia="宋体"/>
          <w:color w:val="auto"/>
          <w:sz w:val="32"/>
        </w:rPr>
        <w:t>评标办法前附表</w:t>
      </w:r>
      <w:bookmarkEnd w:id="274"/>
      <w:bookmarkEnd w:id="275"/>
    </w:p>
    <w:tbl>
      <w:tblPr>
        <w:tblStyle w:val="39"/>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357"/>
        <w:gridCol w:w="1527"/>
        <w:gridCol w:w="5628"/>
      </w:tblGrid>
      <w:tr w14:paraId="2F0D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41" w:type="dxa"/>
            <w:gridSpan w:val="2"/>
            <w:noWrap w:val="0"/>
            <w:vAlign w:val="center"/>
          </w:tcPr>
          <w:p w14:paraId="0F218599">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color w:val="auto"/>
                <w:sz w:val="24"/>
                <w:szCs w:val="24"/>
              </w:rPr>
            </w:pPr>
            <w:r>
              <w:rPr>
                <w:rFonts w:hint="eastAsia" w:ascii="宋体" w:hAnsi="宋体" w:eastAsia="宋体" w:cs="宋体"/>
                <w:b/>
                <w:color w:val="auto"/>
                <w:sz w:val="24"/>
                <w:szCs w:val="24"/>
              </w:rPr>
              <w:t>条款号</w:t>
            </w:r>
          </w:p>
        </w:tc>
        <w:tc>
          <w:tcPr>
            <w:tcW w:w="1527" w:type="dxa"/>
            <w:noWrap w:val="0"/>
            <w:vAlign w:val="center"/>
          </w:tcPr>
          <w:p w14:paraId="2A03A38E">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color w:val="auto"/>
                <w:sz w:val="24"/>
                <w:szCs w:val="24"/>
              </w:rPr>
            </w:pPr>
            <w:r>
              <w:rPr>
                <w:rFonts w:hint="eastAsia" w:ascii="宋体" w:hAnsi="宋体" w:eastAsia="宋体" w:cs="宋体"/>
                <w:b/>
                <w:color w:val="auto"/>
                <w:sz w:val="24"/>
                <w:szCs w:val="24"/>
              </w:rPr>
              <w:t>评审因素</w:t>
            </w:r>
          </w:p>
        </w:tc>
        <w:tc>
          <w:tcPr>
            <w:tcW w:w="5628" w:type="dxa"/>
            <w:noWrap w:val="0"/>
            <w:vAlign w:val="center"/>
          </w:tcPr>
          <w:p w14:paraId="341DFE74">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color w:val="auto"/>
                <w:sz w:val="24"/>
                <w:szCs w:val="24"/>
              </w:rPr>
            </w:pPr>
            <w:r>
              <w:rPr>
                <w:rFonts w:hint="eastAsia" w:ascii="宋体" w:hAnsi="宋体" w:eastAsia="宋体" w:cs="宋体"/>
                <w:b/>
                <w:color w:val="auto"/>
                <w:sz w:val="24"/>
                <w:szCs w:val="24"/>
              </w:rPr>
              <w:t>评审标准</w:t>
            </w:r>
          </w:p>
        </w:tc>
      </w:tr>
      <w:tr w14:paraId="76F9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jc w:val="center"/>
        </w:trPr>
        <w:tc>
          <w:tcPr>
            <w:tcW w:w="884" w:type="dxa"/>
            <w:noWrap w:val="0"/>
            <w:vAlign w:val="center"/>
          </w:tcPr>
          <w:p w14:paraId="0246D757">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sz w:val="24"/>
                <w:szCs w:val="24"/>
              </w:rPr>
            </w:pPr>
            <w:r>
              <w:rPr>
                <w:rFonts w:hint="eastAsia" w:ascii="宋体" w:hAnsi="宋体" w:eastAsia="宋体" w:cs="宋体"/>
                <w:color w:val="auto"/>
                <w:sz w:val="24"/>
                <w:szCs w:val="24"/>
              </w:rPr>
              <w:t>1</w:t>
            </w:r>
          </w:p>
        </w:tc>
        <w:tc>
          <w:tcPr>
            <w:tcW w:w="1357" w:type="dxa"/>
            <w:noWrap w:val="0"/>
            <w:vAlign w:val="center"/>
          </w:tcPr>
          <w:p w14:paraId="396E320E">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评标方法</w:t>
            </w:r>
          </w:p>
        </w:tc>
        <w:tc>
          <w:tcPr>
            <w:tcW w:w="1527" w:type="dxa"/>
            <w:noWrap w:val="0"/>
            <w:vAlign w:val="center"/>
          </w:tcPr>
          <w:p w14:paraId="0D71C92D">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中标候选人排序方法</w:t>
            </w:r>
          </w:p>
        </w:tc>
        <w:tc>
          <w:tcPr>
            <w:tcW w:w="5628" w:type="dxa"/>
            <w:noWrap w:val="0"/>
            <w:vAlign w:val="center"/>
          </w:tcPr>
          <w:p w14:paraId="65414D46">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auto"/>
                <w:sz w:val="24"/>
                <w:szCs w:val="24"/>
              </w:rPr>
            </w:pPr>
            <w:r>
              <w:rPr>
                <w:rFonts w:hint="eastAsia" w:ascii="宋体" w:hAnsi="宋体" w:eastAsia="宋体" w:cs="宋体"/>
                <w:color w:val="auto"/>
                <w:sz w:val="24"/>
                <w:szCs w:val="24"/>
              </w:rPr>
              <w:t>本次评标采用综合评估法。评标委员会对满足招标文件实质性要求的投标文件，按照本章第2.2款规定的评分标准进行打分，并按得分由高到低顺序推荐中标候选人，但投标报价低于其成本的除外。综合评分相等时，以投标报价低的优先；投标报价也相等的，以技术得分高的优先；如果技术得分也相等，以企业资信业绩得分高的优先；如仍存在相同情况，则对具有相同情况的投标人，按中标候选人数量规定，由评标委员会采用记名投票的方式（不得弃权），确定中标候选人的排序。</w:t>
            </w:r>
          </w:p>
        </w:tc>
      </w:tr>
      <w:tr w14:paraId="0DED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84" w:type="dxa"/>
            <w:vMerge w:val="restart"/>
            <w:noWrap w:val="0"/>
            <w:vAlign w:val="center"/>
          </w:tcPr>
          <w:p w14:paraId="2827FEFA">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sz w:val="24"/>
                <w:szCs w:val="24"/>
              </w:rPr>
            </w:pPr>
            <w:r>
              <w:rPr>
                <w:rFonts w:hint="eastAsia" w:ascii="宋体" w:hAnsi="宋体" w:eastAsia="宋体" w:cs="宋体"/>
                <w:color w:val="auto"/>
                <w:sz w:val="24"/>
                <w:szCs w:val="24"/>
              </w:rPr>
              <w:t>2.1.1</w:t>
            </w:r>
          </w:p>
        </w:tc>
        <w:tc>
          <w:tcPr>
            <w:tcW w:w="1357" w:type="dxa"/>
            <w:vMerge w:val="restart"/>
            <w:noWrap w:val="0"/>
            <w:vAlign w:val="center"/>
          </w:tcPr>
          <w:p w14:paraId="2F559ADF">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形式评审标准</w:t>
            </w:r>
          </w:p>
        </w:tc>
        <w:tc>
          <w:tcPr>
            <w:tcW w:w="1527" w:type="dxa"/>
            <w:noWrap w:val="0"/>
            <w:vAlign w:val="center"/>
          </w:tcPr>
          <w:p w14:paraId="3B278123">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投标人名称</w:t>
            </w:r>
          </w:p>
        </w:tc>
        <w:tc>
          <w:tcPr>
            <w:tcW w:w="5628" w:type="dxa"/>
            <w:noWrap w:val="0"/>
            <w:vAlign w:val="center"/>
          </w:tcPr>
          <w:p w14:paraId="43DBB7C5">
            <w:pPr>
              <w:keepNext w:val="0"/>
              <w:keepLines w:val="0"/>
              <w:widowControl/>
              <w:suppressLineNumbers w:val="0"/>
              <w:spacing w:before="0" w:beforeAutospacing="0" w:after="0" w:afterAutospacing="0" w:line="240" w:lineRule="auto"/>
              <w:ind w:left="0" w:right="0"/>
              <w:jc w:val="both"/>
              <w:rPr>
                <w:rFonts w:hint="default" w:ascii="宋体" w:hAnsi="宋体" w:eastAsia="宋体" w:cs="宋体"/>
                <w:color w:val="auto"/>
                <w:sz w:val="24"/>
                <w:szCs w:val="24"/>
              </w:rPr>
            </w:pPr>
            <w:r>
              <w:rPr>
                <w:rFonts w:hint="eastAsia" w:ascii="宋体" w:hAnsi="宋体" w:eastAsia="宋体" w:cs="宋体"/>
                <w:color w:val="auto"/>
                <w:sz w:val="24"/>
                <w:szCs w:val="24"/>
              </w:rPr>
              <w:t>与营业执照或事业单位法人证书、资质证书一致</w:t>
            </w:r>
          </w:p>
        </w:tc>
      </w:tr>
      <w:tr w14:paraId="4CF6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884" w:type="dxa"/>
            <w:vMerge w:val="continue"/>
            <w:noWrap w:val="0"/>
            <w:vAlign w:val="center"/>
          </w:tcPr>
          <w:p w14:paraId="00E1B3A6">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sz w:val="24"/>
                <w:szCs w:val="24"/>
              </w:rPr>
            </w:pPr>
          </w:p>
        </w:tc>
        <w:tc>
          <w:tcPr>
            <w:tcW w:w="1357" w:type="dxa"/>
            <w:vMerge w:val="continue"/>
            <w:noWrap w:val="0"/>
            <w:vAlign w:val="center"/>
          </w:tcPr>
          <w:p w14:paraId="7F90F926">
            <w:pPr>
              <w:keepNext/>
              <w:keepLines/>
              <w:widowControl/>
              <w:suppressLineNumbers w:val="0"/>
              <w:spacing w:before="0" w:beforeAutospacing="0" w:after="0" w:afterAutospacing="0" w:line="240" w:lineRule="auto"/>
              <w:ind w:left="0" w:right="0" w:firstLine="117" w:firstLineChars="49"/>
              <w:jc w:val="center"/>
              <w:outlineLvl w:val="2"/>
              <w:rPr>
                <w:rFonts w:hint="default" w:ascii="宋体" w:hAnsi="宋体" w:eastAsia="宋体" w:cs="宋体"/>
                <w:color w:val="auto"/>
                <w:sz w:val="24"/>
                <w:szCs w:val="24"/>
              </w:rPr>
            </w:pPr>
          </w:p>
        </w:tc>
        <w:tc>
          <w:tcPr>
            <w:tcW w:w="1527" w:type="dxa"/>
            <w:noWrap w:val="0"/>
            <w:vAlign w:val="center"/>
          </w:tcPr>
          <w:p w14:paraId="7371E6C8">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投标书及投标书附录签字盖章</w:t>
            </w:r>
          </w:p>
        </w:tc>
        <w:tc>
          <w:tcPr>
            <w:tcW w:w="5628" w:type="dxa"/>
            <w:noWrap w:val="0"/>
            <w:vAlign w:val="center"/>
          </w:tcPr>
          <w:p w14:paraId="32C9876B">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sz w:val="24"/>
                <w:szCs w:val="24"/>
              </w:rPr>
            </w:pPr>
            <w:r>
              <w:rPr>
                <w:rFonts w:hint="eastAsia" w:ascii="宋体" w:hAnsi="宋体" w:eastAsia="宋体" w:cs="宋体"/>
                <w:color w:val="auto"/>
                <w:sz w:val="24"/>
                <w:szCs w:val="24"/>
              </w:rPr>
              <w:t>有法定代表人或其委托代理人及项目负责人签字（或盖章），并加盖单位公章。由法定代表人签字（或盖章）的，应附法定代表人证明书，由代理人签字（或盖章）的，应附法定代表人证明书及授权委托书。</w:t>
            </w:r>
          </w:p>
        </w:tc>
      </w:tr>
      <w:tr w14:paraId="430A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884" w:type="dxa"/>
            <w:vMerge w:val="continue"/>
            <w:noWrap w:val="0"/>
            <w:vAlign w:val="center"/>
          </w:tcPr>
          <w:p w14:paraId="5DE6D4CB">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sz w:val="24"/>
                <w:szCs w:val="24"/>
              </w:rPr>
            </w:pPr>
          </w:p>
        </w:tc>
        <w:tc>
          <w:tcPr>
            <w:tcW w:w="1357" w:type="dxa"/>
            <w:vMerge w:val="continue"/>
            <w:noWrap w:val="0"/>
            <w:vAlign w:val="center"/>
          </w:tcPr>
          <w:p w14:paraId="56AD6CAD">
            <w:pPr>
              <w:keepNext/>
              <w:keepLines/>
              <w:widowControl/>
              <w:suppressLineNumbers w:val="0"/>
              <w:spacing w:before="0" w:beforeAutospacing="0" w:after="0" w:afterAutospacing="0" w:line="240" w:lineRule="auto"/>
              <w:ind w:left="0" w:right="0" w:firstLine="117" w:firstLineChars="49"/>
              <w:jc w:val="center"/>
              <w:outlineLvl w:val="2"/>
              <w:rPr>
                <w:rFonts w:hint="default" w:ascii="宋体" w:hAnsi="宋体" w:eastAsia="宋体" w:cs="宋体"/>
                <w:color w:val="auto"/>
                <w:sz w:val="24"/>
                <w:szCs w:val="24"/>
              </w:rPr>
            </w:pPr>
          </w:p>
        </w:tc>
        <w:tc>
          <w:tcPr>
            <w:tcW w:w="1527" w:type="dxa"/>
            <w:noWrap w:val="0"/>
            <w:vAlign w:val="center"/>
          </w:tcPr>
          <w:p w14:paraId="73C8AA90">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投标文件格式</w:t>
            </w:r>
          </w:p>
        </w:tc>
        <w:tc>
          <w:tcPr>
            <w:tcW w:w="5628" w:type="dxa"/>
            <w:noWrap w:val="0"/>
            <w:vAlign w:val="center"/>
          </w:tcPr>
          <w:p w14:paraId="74C8891C">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val="en-US" w:eastAsia="zh-CN"/>
              </w:rPr>
            </w:pPr>
            <w:r>
              <w:rPr>
                <w:rFonts w:hint="eastAsia" w:ascii="宋体" w:hAnsi="宋体" w:eastAsia="宋体" w:cs="宋体"/>
                <w:sz w:val="24"/>
                <w:szCs w:val="24"/>
              </w:rPr>
              <w:t>投标书格式</w:t>
            </w:r>
            <w:r>
              <w:rPr>
                <w:rFonts w:hint="default" w:ascii="宋体" w:hAnsi="宋体" w:eastAsia="宋体" w:cs="宋体"/>
                <w:sz w:val="24"/>
                <w:szCs w:val="24"/>
              </w:rPr>
              <w:t>符合第六章</w:t>
            </w:r>
            <w:r>
              <w:rPr>
                <w:rFonts w:hint="default" w:ascii="宋体" w:hAnsi="宋体" w:eastAsia="宋体" w:cs="Times New Roman"/>
                <w:sz w:val="24"/>
                <w:szCs w:val="24"/>
              </w:rPr>
              <w:t>“</w:t>
            </w:r>
            <w:r>
              <w:rPr>
                <w:rFonts w:hint="default" w:ascii="宋体" w:hAnsi="宋体" w:eastAsia="宋体" w:cs="宋体"/>
                <w:sz w:val="24"/>
                <w:szCs w:val="24"/>
              </w:rPr>
              <w:t>投标文件格式</w:t>
            </w:r>
            <w:r>
              <w:rPr>
                <w:rFonts w:hint="default" w:ascii="宋体" w:hAnsi="宋体" w:eastAsia="宋体" w:cs="Times New Roman"/>
                <w:sz w:val="24"/>
                <w:szCs w:val="24"/>
              </w:rPr>
              <w:t>”</w:t>
            </w:r>
            <w:r>
              <w:rPr>
                <w:rFonts w:hint="default" w:ascii="宋体" w:hAnsi="宋体" w:eastAsia="宋体" w:cs="宋体"/>
                <w:sz w:val="24"/>
                <w:szCs w:val="24"/>
              </w:rPr>
              <w:t>的规定</w:t>
            </w:r>
            <w:r>
              <w:rPr>
                <w:rFonts w:hint="eastAsia" w:ascii="Times New Roman" w:hAnsi="Times New Roman" w:eastAsia="宋体" w:cs="Times New Roman"/>
                <w:color w:val="auto"/>
                <w:sz w:val="24"/>
                <w:szCs w:val="24"/>
                <w:lang w:eastAsia="zh-CN"/>
              </w:rPr>
              <w:t>。</w:t>
            </w:r>
          </w:p>
        </w:tc>
      </w:tr>
      <w:tr w14:paraId="2513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884" w:type="dxa"/>
            <w:vMerge w:val="continue"/>
            <w:noWrap w:val="0"/>
            <w:vAlign w:val="center"/>
          </w:tcPr>
          <w:p w14:paraId="2782740E">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sz w:val="24"/>
                <w:szCs w:val="24"/>
              </w:rPr>
            </w:pPr>
          </w:p>
        </w:tc>
        <w:tc>
          <w:tcPr>
            <w:tcW w:w="1357" w:type="dxa"/>
            <w:vMerge w:val="continue"/>
            <w:noWrap w:val="0"/>
            <w:vAlign w:val="center"/>
          </w:tcPr>
          <w:p w14:paraId="3DD2DD0B">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auto"/>
                <w:sz w:val="24"/>
                <w:szCs w:val="24"/>
              </w:rPr>
            </w:pPr>
          </w:p>
        </w:tc>
        <w:tc>
          <w:tcPr>
            <w:tcW w:w="1527" w:type="dxa"/>
            <w:noWrap w:val="0"/>
            <w:vAlign w:val="center"/>
          </w:tcPr>
          <w:p w14:paraId="75F8F40F">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strike/>
                <w:dstrike w:val="0"/>
                <w:color w:val="auto"/>
                <w:sz w:val="24"/>
                <w:szCs w:val="24"/>
              </w:rPr>
            </w:pPr>
            <w:r>
              <w:rPr>
                <w:rFonts w:hint="default" w:ascii="Times New Roman" w:hAnsi="Times New Roman" w:eastAsia="宋体" w:cs="Times New Roman"/>
                <w:color w:val="auto"/>
                <w:sz w:val="24"/>
                <w:szCs w:val="24"/>
              </w:rPr>
              <w:t>投标书</w:t>
            </w:r>
          </w:p>
        </w:tc>
        <w:tc>
          <w:tcPr>
            <w:tcW w:w="5628" w:type="dxa"/>
            <w:noWrap w:val="0"/>
            <w:vAlign w:val="center"/>
          </w:tcPr>
          <w:p w14:paraId="7C9929FE">
            <w:pPr>
              <w:keepNext w:val="0"/>
              <w:keepLines w:val="0"/>
              <w:widowControl/>
              <w:suppressLineNumbers w:val="0"/>
              <w:spacing w:before="0" w:beforeAutospacing="0" w:after="0" w:afterAutospacing="0" w:line="240" w:lineRule="auto"/>
              <w:ind w:left="0" w:right="0"/>
              <w:rPr>
                <w:rFonts w:hint="default" w:ascii="宋体" w:hAnsi="宋体" w:eastAsia="宋体" w:cs="宋体"/>
                <w:strike/>
                <w:dstrike w:val="0"/>
                <w:color w:val="auto"/>
                <w:sz w:val="24"/>
                <w:szCs w:val="24"/>
              </w:rPr>
            </w:pPr>
            <w:r>
              <w:rPr>
                <w:rFonts w:hint="default" w:ascii="Times New Roman" w:hAnsi="Times New Roman" w:eastAsia="宋体" w:cs="Times New Roman"/>
                <w:color w:val="auto"/>
                <w:sz w:val="24"/>
                <w:szCs w:val="24"/>
                <w:lang w:eastAsia="zh-CN"/>
              </w:rPr>
              <w:t>《投标书》按招标文件规定的格式填写，没有出现内容不全或者关键字迹模糊无法辨认</w:t>
            </w:r>
            <w:r>
              <w:rPr>
                <w:rFonts w:hint="eastAsia" w:ascii="Times New Roman" w:hAnsi="Times New Roman" w:eastAsia="宋体" w:cs="Times New Roman"/>
                <w:color w:val="auto"/>
                <w:sz w:val="24"/>
                <w:szCs w:val="24"/>
                <w:lang w:eastAsia="zh-CN"/>
              </w:rPr>
              <w:t>。</w:t>
            </w:r>
          </w:p>
        </w:tc>
      </w:tr>
      <w:tr w14:paraId="278B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884" w:type="dxa"/>
            <w:vMerge w:val="continue"/>
            <w:noWrap w:val="0"/>
            <w:vAlign w:val="center"/>
          </w:tcPr>
          <w:p w14:paraId="41D14A5F">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sz w:val="24"/>
                <w:szCs w:val="24"/>
              </w:rPr>
            </w:pPr>
          </w:p>
        </w:tc>
        <w:tc>
          <w:tcPr>
            <w:tcW w:w="1357" w:type="dxa"/>
            <w:vMerge w:val="continue"/>
            <w:noWrap w:val="0"/>
            <w:vAlign w:val="center"/>
          </w:tcPr>
          <w:p w14:paraId="63D06CDE">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auto"/>
                <w:sz w:val="24"/>
                <w:szCs w:val="24"/>
              </w:rPr>
            </w:pPr>
          </w:p>
        </w:tc>
        <w:tc>
          <w:tcPr>
            <w:tcW w:w="1527" w:type="dxa"/>
            <w:noWrap w:val="0"/>
            <w:vAlign w:val="center"/>
          </w:tcPr>
          <w:p w14:paraId="4FEF686B">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投标人机器码</w:t>
            </w:r>
          </w:p>
        </w:tc>
        <w:tc>
          <w:tcPr>
            <w:tcW w:w="5628" w:type="dxa"/>
            <w:noWrap w:val="0"/>
            <w:vAlign w:val="center"/>
          </w:tcPr>
          <w:p w14:paraId="43130316">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sz w:val="24"/>
                <w:szCs w:val="24"/>
              </w:rPr>
            </w:pPr>
            <w:r>
              <w:rPr>
                <w:rFonts w:hint="eastAsia" w:ascii="宋体" w:hAnsi="宋体" w:eastAsia="宋体" w:cs="宋体"/>
                <w:color w:val="auto"/>
                <w:sz w:val="24"/>
                <w:szCs w:val="24"/>
              </w:rPr>
              <w:t>投标人与</w:t>
            </w:r>
            <w:r>
              <w:rPr>
                <w:rFonts w:hint="eastAsia" w:ascii="宋体" w:hAnsi="宋体" w:eastAsia="宋体" w:cs="宋体"/>
                <w:color w:val="auto"/>
                <w:sz w:val="24"/>
                <w:szCs w:val="24"/>
                <w:lang w:eastAsia="zh-CN"/>
              </w:rPr>
              <w:t>本项目</w:t>
            </w:r>
            <w:r>
              <w:rPr>
                <w:rFonts w:hint="eastAsia" w:ascii="宋体" w:hAnsi="宋体" w:eastAsia="宋体" w:cs="宋体"/>
                <w:color w:val="auto"/>
                <w:sz w:val="24"/>
                <w:szCs w:val="24"/>
              </w:rPr>
              <w:t>其他投标人加密打包投标文件电脑特征码不一致（以</w:t>
            </w:r>
            <w:r>
              <w:rPr>
                <w:rFonts w:hint="eastAsia" w:ascii="宋体" w:hAnsi="宋体" w:eastAsia="宋体" w:cs="宋体"/>
                <w:sz w:val="24"/>
                <w:szCs w:val="24"/>
              </w:rPr>
              <w:t>广州交易集团有限公司（广州公共资源交易中心）</w:t>
            </w:r>
            <w:r>
              <w:rPr>
                <w:rFonts w:hint="eastAsia" w:ascii="宋体" w:hAnsi="宋体" w:eastAsia="宋体" w:cs="宋体"/>
                <w:color w:val="auto"/>
                <w:sz w:val="24"/>
                <w:szCs w:val="24"/>
              </w:rPr>
              <w:t>评标系统的检索信息为准）。</w:t>
            </w:r>
          </w:p>
        </w:tc>
      </w:tr>
      <w:tr w14:paraId="73EB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884" w:type="dxa"/>
            <w:vMerge w:val="restart"/>
            <w:noWrap w:val="0"/>
            <w:vAlign w:val="center"/>
          </w:tcPr>
          <w:p w14:paraId="56B0CB27">
            <w:pPr>
              <w:keepNext w:val="0"/>
              <w:keepLines w:val="0"/>
              <w:widowControl/>
              <w:suppressLineNumbers w:val="0"/>
              <w:spacing w:before="0" w:beforeAutospacing="0" w:after="0" w:afterAutospacing="0" w:line="240" w:lineRule="auto"/>
              <w:ind w:left="0" w:right="0"/>
              <w:rPr>
                <w:rFonts w:hint="default" w:ascii="宋体" w:hAnsi="宋体" w:eastAsia="宋体" w:cs="宋体"/>
                <w:strike/>
                <w:color w:val="auto"/>
                <w:sz w:val="24"/>
                <w:szCs w:val="24"/>
              </w:rPr>
            </w:pPr>
            <w:r>
              <w:rPr>
                <w:rFonts w:hint="eastAsia" w:ascii="宋体" w:hAnsi="宋体" w:eastAsia="宋体" w:cs="宋体"/>
                <w:color w:val="auto"/>
                <w:sz w:val="24"/>
                <w:szCs w:val="24"/>
              </w:rPr>
              <w:t>2.1.2</w:t>
            </w:r>
          </w:p>
        </w:tc>
        <w:tc>
          <w:tcPr>
            <w:tcW w:w="1357" w:type="dxa"/>
            <w:vMerge w:val="restart"/>
            <w:noWrap w:val="0"/>
            <w:vAlign w:val="center"/>
          </w:tcPr>
          <w:p w14:paraId="03F5466A">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资格评审标准</w:t>
            </w:r>
          </w:p>
        </w:tc>
        <w:tc>
          <w:tcPr>
            <w:tcW w:w="1527" w:type="dxa"/>
            <w:noWrap w:val="0"/>
            <w:vAlign w:val="center"/>
          </w:tcPr>
          <w:p w14:paraId="1F6B1830">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auto"/>
                <w:sz w:val="24"/>
                <w:szCs w:val="24"/>
              </w:rPr>
            </w:pPr>
            <w:r>
              <w:rPr>
                <w:rFonts w:hint="eastAsia" w:ascii="宋体" w:hAnsi="宋体" w:eastAsia="宋体" w:cs="宋体"/>
                <w:color w:val="auto"/>
                <w:sz w:val="24"/>
                <w:szCs w:val="24"/>
              </w:rPr>
              <w:t>资质要求</w:t>
            </w:r>
          </w:p>
        </w:tc>
        <w:tc>
          <w:tcPr>
            <w:tcW w:w="5628" w:type="dxa"/>
            <w:noWrap w:val="0"/>
            <w:vAlign w:val="center"/>
          </w:tcPr>
          <w:p w14:paraId="6BDE6EC6">
            <w:pPr>
              <w:keepNext w:val="0"/>
              <w:keepLines w:val="0"/>
              <w:widowControl/>
              <w:suppressLineNumbers w:val="0"/>
              <w:spacing w:before="0" w:beforeAutospacing="0" w:after="0" w:afterAutospacing="0" w:line="240" w:lineRule="auto"/>
              <w:ind w:left="0" w:leftChars="0" w:right="0" w:rightChars="0"/>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符合第二章“投标人须知”第1.4.1项规定 。</w:t>
            </w:r>
          </w:p>
        </w:tc>
      </w:tr>
      <w:tr w14:paraId="1EB1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84" w:type="dxa"/>
            <w:vMerge w:val="continue"/>
            <w:noWrap w:val="0"/>
            <w:vAlign w:val="center"/>
          </w:tcPr>
          <w:p w14:paraId="16B0D113">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p>
        </w:tc>
        <w:tc>
          <w:tcPr>
            <w:tcW w:w="1357" w:type="dxa"/>
            <w:vMerge w:val="continue"/>
            <w:noWrap w:val="0"/>
            <w:vAlign w:val="center"/>
          </w:tcPr>
          <w:p w14:paraId="705EC81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p>
        </w:tc>
        <w:tc>
          <w:tcPr>
            <w:tcW w:w="1527" w:type="dxa"/>
            <w:noWrap w:val="0"/>
            <w:vAlign w:val="center"/>
          </w:tcPr>
          <w:p w14:paraId="745983E0">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项目负责人</w:t>
            </w:r>
          </w:p>
        </w:tc>
        <w:tc>
          <w:tcPr>
            <w:tcW w:w="5628" w:type="dxa"/>
            <w:noWrap w:val="0"/>
            <w:vAlign w:val="center"/>
          </w:tcPr>
          <w:p w14:paraId="42D77B07">
            <w:pPr>
              <w:keepNext w:val="0"/>
              <w:keepLines w:val="0"/>
              <w:widowControl/>
              <w:suppressLineNumbers w:val="0"/>
              <w:spacing w:before="0" w:beforeAutospacing="0" w:after="0" w:afterAutospacing="0" w:line="240" w:lineRule="auto"/>
              <w:ind w:left="0" w:leftChars="0" w:right="0" w:rightChars="0"/>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符合第二章“投标人须知”第1.4.1项规定 。</w:t>
            </w:r>
          </w:p>
        </w:tc>
      </w:tr>
      <w:tr w14:paraId="3413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84" w:type="dxa"/>
            <w:vMerge w:val="continue"/>
            <w:noWrap w:val="0"/>
            <w:vAlign w:val="center"/>
          </w:tcPr>
          <w:p w14:paraId="1AF00B43">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p>
        </w:tc>
        <w:tc>
          <w:tcPr>
            <w:tcW w:w="1357" w:type="dxa"/>
            <w:vMerge w:val="continue"/>
            <w:noWrap w:val="0"/>
            <w:vAlign w:val="center"/>
          </w:tcPr>
          <w:p w14:paraId="52C2D0D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p>
        </w:tc>
        <w:tc>
          <w:tcPr>
            <w:tcW w:w="1527" w:type="dxa"/>
            <w:noWrap w:val="0"/>
            <w:vAlign w:val="center"/>
          </w:tcPr>
          <w:p w14:paraId="483A88D0">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联合体投标人（如有）</w:t>
            </w:r>
          </w:p>
        </w:tc>
        <w:tc>
          <w:tcPr>
            <w:tcW w:w="5628" w:type="dxa"/>
            <w:noWrap w:val="0"/>
            <w:vAlign w:val="center"/>
          </w:tcPr>
          <w:p w14:paraId="77F59FD2">
            <w:pPr>
              <w:keepNext w:val="0"/>
              <w:keepLines w:val="0"/>
              <w:widowControl/>
              <w:suppressLineNumbers w:val="0"/>
              <w:spacing w:before="0" w:beforeAutospacing="0" w:after="0" w:afterAutospacing="0" w:line="240" w:lineRule="auto"/>
              <w:ind w:left="0" w:leftChars="0" w:right="0" w:righ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符合第二章“投标人须知”第1.4.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项规定 。</w:t>
            </w:r>
          </w:p>
        </w:tc>
      </w:tr>
      <w:tr w14:paraId="6DC8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884" w:type="dxa"/>
            <w:vMerge w:val="continue"/>
            <w:noWrap w:val="0"/>
            <w:vAlign w:val="center"/>
          </w:tcPr>
          <w:p w14:paraId="25143062">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p>
        </w:tc>
        <w:tc>
          <w:tcPr>
            <w:tcW w:w="1357" w:type="dxa"/>
            <w:vMerge w:val="continue"/>
            <w:noWrap w:val="0"/>
            <w:vAlign w:val="center"/>
          </w:tcPr>
          <w:p w14:paraId="1F57CB6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p>
        </w:tc>
        <w:tc>
          <w:tcPr>
            <w:tcW w:w="1527" w:type="dxa"/>
            <w:noWrap w:val="0"/>
            <w:vAlign w:val="center"/>
          </w:tcPr>
          <w:p w14:paraId="78AC6B6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其他要求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p>
        </w:tc>
        <w:tc>
          <w:tcPr>
            <w:tcW w:w="5628" w:type="dxa"/>
            <w:noWrap w:val="0"/>
            <w:vAlign w:val="center"/>
          </w:tcPr>
          <w:p w14:paraId="612757C1">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投标人参加投标的意思表达清楚，投标人代表被授权有效。</w:t>
            </w:r>
          </w:p>
        </w:tc>
      </w:tr>
      <w:tr w14:paraId="1CCB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884" w:type="dxa"/>
            <w:vMerge w:val="continue"/>
            <w:noWrap w:val="0"/>
            <w:vAlign w:val="center"/>
          </w:tcPr>
          <w:p w14:paraId="1EB4122D">
            <w:pPr>
              <w:keepNext/>
              <w:keepLines/>
              <w:widowControl/>
              <w:suppressLineNumbers w:val="0"/>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rPr>
            </w:pPr>
          </w:p>
        </w:tc>
        <w:tc>
          <w:tcPr>
            <w:tcW w:w="1357" w:type="dxa"/>
            <w:vMerge w:val="continue"/>
            <w:noWrap w:val="0"/>
            <w:vAlign w:val="center"/>
          </w:tcPr>
          <w:p w14:paraId="5EA29220">
            <w:pPr>
              <w:keepNext/>
              <w:keepLines/>
              <w:widowControl/>
              <w:suppressLineNumbers w:val="0"/>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rPr>
            </w:pPr>
          </w:p>
        </w:tc>
        <w:tc>
          <w:tcPr>
            <w:tcW w:w="1527" w:type="dxa"/>
            <w:noWrap w:val="0"/>
            <w:vAlign w:val="center"/>
          </w:tcPr>
          <w:p w14:paraId="48E1D2F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p>
        </w:tc>
        <w:tc>
          <w:tcPr>
            <w:tcW w:w="5628" w:type="dxa"/>
            <w:noWrap w:val="0"/>
            <w:vAlign w:val="center"/>
          </w:tcPr>
          <w:p w14:paraId="4E3DC8D7">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投标人（若为联合体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指</w:t>
            </w:r>
            <w:r>
              <w:rPr>
                <w:rFonts w:hint="eastAsia" w:ascii="宋体" w:hAnsi="宋体" w:eastAsia="宋体" w:cs="宋体"/>
                <w:color w:val="auto"/>
                <w:sz w:val="24"/>
                <w:szCs w:val="24"/>
              </w:rPr>
              <w:t>联合体各成员）具有独立法人资格，持有工商行政管理部门核发的法人营业执照或各级政府事业单位登记管理机关颁发的事业单位法人证书，按国家法律经营。</w:t>
            </w:r>
          </w:p>
        </w:tc>
      </w:tr>
      <w:tr w14:paraId="1F5A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884" w:type="dxa"/>
            <w:vMerge w:val="continue"/>
            <w:noWrap w:val="0"/>
            <w:vAlign w:val="center"/>
          </w:tcPr>
          <w:p w14:paraId="18543FB2">
            <w:pPr>
              <w:keepNext/>
              <w:keepLines/>
              <w:widowControl/>
              <w:suppressLineNumbers w:val="0"/>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rPr>
            </w:pPr>
          </w:p>
        </w:tc>
        <w:tc>
          <w:tcPr>
            <w:tcW w:w="1357" w:type="dxa"/>
            <w:vMerge w:val="continue"/>
            <w:noWrap w:val="0"/>
            <w:vAlign w:val="center"/>
          </w:tcPr>
          <w:p w14:paraId="74FCFD0D">
            <w:pPr>
              <w:keepNext/>
              <w:keepLines/>
              <w:widowControl/>
              <w:suppressLineNumbers w:val="0"/>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rPr>
            </w:pPr>
          </w:p>
        </w:tc>
        <w:tc>
          <w:tcPr>
            <w:tcW w:w="1527" w:type="dxa"/>
            <w:noWrap w:val="0"/>
            <w:vAlign w:val="center"/>
          </w:tcPr>
          <w:p w14:paraId="7E9233D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p>
        </w:tc>
        <w:tc>
          <w:tcPr>
            <w:tcW w:w="5628" w:type="dxa"/>
            <w:noWrap w:val="0"/>
            <w:vAlign w:val="center"/>
          </w:tcPr>
          <w:p w14:paraId="2EDC864A">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投标人已按规定格式签名盖章《投标人声明》（详见本招标</w:t>
            </w:r>
            <w:r>
              <w:rPr>
                <w:rFonts w:hint="eastAsia" w:ascii="宋体" w:hAnsi="宋体" w:eastAsia="宋体" w:cs="宋体"/>
                <w:color w:val="auto"/>
                <w:sz w:val="24"/>
                <w:szCs w:val="24"/>
                <w:lang w:val="en-US" w:eastAsia="zh-CN"/>
              </w:rPr>
              <w:t>公告格式一</w:t>
            </w:r>
            <w:r>
              <w:rPr>
                <w:rFonts w:hint="eastAsia" w:ascii="宋体" w:hAnsi="宋体" w:eastAsia="宋体" w:cs="宋体"/>
                <w:color w:val="auto"/>
                <w:sz w:val="24"/>
                <w:szCs w:val="24"/>
              </w:rPr>
              <w:t>要求）。</w:t>
            </w:r>
          </w:p>
        </w:tc>
      </w:tr>
      <w:tr w14:paraId="4664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884" w:type="dxa"/>
            <w:vMerge w:val="continue"/>
            <w:noWrap w:val="0"/>
            <w:vAlign w:val="center"/>
          </w:tcPr>
          <w:p w14:paraId="3ABF737A">
            <w:pPr>
              <w:keepNext/>
              <w:keepLines/>
              <w:widowControl/>
              <w:suppressLineNumbers w:val="0"/>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rPr>
            </w:pPr>
          </w:p>
        </w:tc>
        <w:tc>
          <w:tcPr>
            <w:tcW w:w="1357" w:type="dxa"/>
            <w:vMerge w:val="continue"/>
            <w:noWrap w:val="0"/>
            <w:vAlign w:val="center"/>
          </w:tcPr>
          <w:p w14:paraId="2B528125">
            <w:pPr>
              <w:keepNext/>
              <w:keepLines/>
              <w:widowControl/>
              <w:suppressLineNumbers w:val="0"/>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rPr>
            </w:pPr>
          </w:p>
        </w:tc>
        <w:tc>
          <w:tcPr>
            <w:tcW w:w="1527" w:type="dxa"/>
            <w:noWrap w:val="0"/>
            <w:vAlign w:val="center"/>
          </w:tcPr>
          <w:p w14:paraId="2E11162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p>
        </w:tc>
        <w:tc>
          <w:tcPr>
            <w:tcW w:w="5628" w:type="dxa"/>
            <w:noWrap w:val="0"/>
            <w:vAlign w:val="center"/>
          </w:tcPr>
          <w:p w14:paraId="5BDF9C93">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投标人（若为联合体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指</w:t>
            </w:r>
            <w:r>
              <w:rPr>
                <w:rFonts w:hint="eastAsia" w:ascii="宋体" w:hAnsi="宋体" w:eastAsia="宋体" w:cs="宋体"/>
                <w:color w:val="auto"/>
                <w:sz w:val="24"/>
                <w:szCs w:val="24"/>
              </w:rPr>
              <w:t>联合体各成员）未出现以下情形：与其它投标人的单位负责人为同一人或者存在控股、管理关系的（按投标人提供的《投标人声明》第六条内容进行评审），否则相关投标均无效。</w:t>
            </w:r>
          </w:p>
        </w:tc>
      </w:tr>
      <w:tr w14:paraId="57C7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884" w:type="dxa"/>
            <w:vMerge w:val="continue"/>
            <w:noWrap w:val="0"/>
            <w:vAlign w:val="center"/>
          </w:tcPr>
          <w:p w14:paraId="0BD3D663">
            <w:pPr>
              <w:keepNext/>
              <w:keepLines/>
              <w:widowControl/>
              <w:suppressLineNumbers w:val="0"/>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rPr>
            </w:pPr>
          </w:p>
        </w:tc>
        <w:tc>
          <w:tcPr>
            <w:tcW w:w="1357" w:type="dxa"/>
            <w:vMerge w:val="continue"/>
            <w:noWrap w:val="0"/>
            <w:vAlign w:val="center"/>
          </w:tcPr>
          <w:p w14:paraId="6F2617A3">
            <w:pPr>
              <w:keepNext/>
              <w:keepLines/>
              <w:widowControl/>
              <w:suppressLineNumbers w:val="0"/>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rPr>
            </w:pPr>
          </w:p>
        </w:tc>
        <w:tc>
          <w:tcPr>
            <w:tcW w:w="1527" w:type="dxa"/>
            <w:noWrap w:val="0"/>
            <w:vAlign w:val="center"/>
          </w:tcPr>
          <w:p w14:paraId="3BDBCA8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p>
        </w:tc>
        <w:tc>
          <w:tcPr>
            <w:tcW w:w="5628" w:type="dxa"/>
            <w:noWrap w:val="0"/>
            <w:vAlign w:val="center"/>
          </w:tcPr>
          <w:p w14:paraId="485C0677">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投标人（若为联合体，指联合体各成员）</w:t>
            </w:r>
            <w:bookmarkStart w:id="344" w:name="_GoBack"/>
            <w:r>
              <w:rPr>
                <w:rFonts w:hint="eastAsia" w:ascii="宋体" w:hAnsi="宋体" w:eastAsia="宋体" w:cs="宋体"/>
                <w:b/>
                <w:bCs/>
                <w:color w:val="auto"/>
                <w:sz w:val="24"/>
                <w:szCs w:val="24"/>
                <w:lang w:val="en-US" w:eastAsia="zh-CN"/>
              </w:rPr>
              <w:t>未被列入拖欠农民工工资失信联合惩戒对象名单和失信被执行人。</w:t>
            </w:r>
            <w:bookmarkEnd w:id="344"/>
            <w:r>
              <w:rPr>
                <w:rFonts w:hint="eastAsia" w:ascii="宋体" w:hAnsi="宋体" w:eastAsia="宋体" w:cs="宋体"/>
                <w:color w:val="auto"/>
                <w:sz w:val="24"/>
                <w:szCs w:val="24"/>
                <w:lang w:val="en-US" w:eastAsia="zh-CN"/>
              </w:rPr>
              <w:t>（本项评审投标人无需提供资料，按投标截止时间广州交易集团有限公司（广州公共资源交易中心）交易系统比对的结果进行评审）</w:t>
            </w:r>
          </w:p>
        </w:tc>
      </w:tr>
      <w:tr w14:paraId="579D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884" w:type="dxa"/>
            <w:vMerge w:val="continue"/>
            <w:noWrap w:val="0"/>
            <w:vAlign w:val="center"/>
          </w:tcPr>
          <w:p w14:paraId="34021A9D">
            <w:pPr>
              <w:keepNext/>
              <w:keepLines/>
              <w:widowControl/>
              <w:suppressLineNumbers w:val="0"/>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rPr>
            </w:pPr>
          </w:p>
        </w:tc>
        <w:tc>
          <w:tcPr>
            <w:tcW w:w="1357" w:type="dxa"/>
            <w:vMerge w:val="continue"/>
            <w:noWrap w:val="0"/>
            <w:vAlign w:val="center"/>
          </w:tcPr>
          <w:p w14:paraId="127629B3">
            <w:pPr>
              <w:keepNext/>
              <w:keepLines/>
              <w:widowControl/>
              <w:suppressLineNumbers w:val="0"/>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rPr>
            </w:pPr>
          </w:p>
        </w:tc>
        <w:tc>
          <w:tcPr>
            <w:tcW w:w="1527" w:type="dxa"/>
            <w:noWrap w:val="0"/>
            <w:vAlign w:val="center"/>
          </w:tcPr>
          <w:p w14:paraId="11ADC3C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p>
        </w:tc>
        <w:tc>
          <w:tcPr>
            <w:tcW w:w="5628" w:type="dxa"/>
            <w:noWrap w:val="0"/>
            <w:vAlign w:val="center"/>
          </w:tcPr>
          <w:p w14:paraId="4CDC90F1">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投标人（若为联合体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指</w:t>
            </w:r>
            <w:r>
              <w:rPr>
                <w:rFonts w:hint="eastAsia" w:ascii="宋体" w:hAnsi="宋体" w:eastAsia="宋体" w:cs="宋体"/>
                <w:color w:val="auto"/>
                <w:sz w:val="24"/>
                <w:szCs w:val="24"/>
              </w:rPr>
              <w:t>联合体各成员）已在</w:t>
            </w:r>
            <w:r>
              <w:rPr>
                <w:rFonts w:hint="eastAsia" w:ascii="宋体" w:hAnsi="宋体" w:eastAsia="宋体" w:cs="宋体"/>
                <w:color w:val="auto"/>
                <w:sz w:val="24"/>
                <w:szCs w:val="24"/>
                <w:lang w:eastAsia="zh-CN"/>
              </w:rPr>
              <w:t>广州市住建行业信用管理平台</w:t>
            </w:r>
            <w:r>
              <w:rPr>
                <w:rFonts w:hint="eastAsia" w:ascii="宋体" w:hAnsi="宋体" w:eastAsia="宋体" w:cs="宋体"/>
                <w:color w:val="auto"/>
                <w:sz w:val="24"/>
                <w:szCs w:val="24"/>
              </w:rPr>
              <w:t>建立企业信用档案，拟委派的项目负责人须是本企业信用档案中的在册人员。</w:t>
            </w:r>
          </w:p>
        </w:tc>
      </w:tr>
      <w:tr w14:paraId="4251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884" w:type="dxa"/>
            <w:vMerge w:val="continue"/>
            <w:noWrap w:val="0"/>
            <w:vAlign w:val="center"/>
          </w:tcPr>
          <w:p w14:paraId="64F17D77">
            <w:pPr>
              <w:keepNext/>
              <w:keepLines/>
              <w:widowControl/>
              <w:suppressLineNumbers w:val="0"/>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rPr>
            </w:pPr>
          </w:p>
        </w:tc>
        <w:tc>
          <w:tcPr>
            <w:tcW w:w="1357" w:type="dxa"/>
            <w:vMerge w:val="continue"/>
            <w:noWrap w:val="0"/>
            <w:vAlign w:val="center"/>
          </w:tcPr>
          <w:p w14:paraId="71E31653">
            <w:pPr>
              <w:keepNext/>
              <w:keepLines/>
              <w:widowControl/>
              <w:suppressLineNumbers w:val="0"/>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rPr>
            </w:pPr>
          </w:p>
        </w:tc>
        <w:tc>
          <w:tcPr>
            <w:tcW w:w="1527" w:type="dxa"/>
            <w:noWrap w:val="0"/>
            <w:vAlign w:val="center"/>
          </w:tcPr>
          <w:p w14:paraId="22CD01F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其他要求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p>
        </w:tc>
        <w:tc>
          <w:tcPr>
            <w:tcW w:w="5628" w:type="dxa"/>
            <w:noWrap w:val="0"/>
            <w:vAlign w:val="center"/>
          </w:tcPr>
          <w:p w14:paraId="5D0B2F4C">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投标人须保证授权的委托代理人及项目负责人均为本单位的正式职工，必须具有离投标截止时间最近至少一个月（即2025年11月）在本单位缴纳的社保证明文件。</w:t>
            </w:r>
          </w:p>
        </w:tc>
      </w:tr>
      <w:tr w14:paraId="6A38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884" w:type="dxa"/>
            <w:vMerge w:val="continue"/>
            <w:noWrap w:val="0"/>
            <w:vAlign w:val="center"/>
          </w:tcPr>
          <w:p w14:paraId="6760EFAA">
            <w:pPr>
              <w:keepNext/>
              <w:keepLines/>
              <w:widowControl/>
              <w:suppressLineNumbers w:val="0"/>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rPr>
            </w:pPr>
          </w:p>
        </w:tc>
        <w:tc>
          <w:tcPr>
            <w:tcW w:w="1357" w:type="dxa"/>
            <w:vMerge w:val="restart"/>
            <w:noWrap w:val="0"/>
            <w:vAlign w:val="center"/>
          </w:tcPr>
          <w:p w14:paraId="319E355B">
            <w:pPr>
              <w:keepNext/>
              <w:keepLines/>
              <w:widowControl/>
              <w:suppressLineNumbers w:val="0"/>
              <w:spacing w:before="0" w:beforeAutospacing="0" w:after="0" w:afterAutospacing="0" w:line="240" w:lineRule="auto"/>
              <w:ind w:left="0" w:right="0" w:firstLine="117" w:firstLineChars="49"/>
              <w:jc w:val="center"/>
              <w:outlineLvl w:val="2"/>
              <w:rPr>
                <w:rFonts w:hint="default" w:ascii="宋体" w:hAnsi="宋体" w:eastAsia="宋体" w:cs="宋体"/>
                <w:strike/>
                <w:color w:val="auto"/>
                <w:sz w:val="24"/>
                <w:szCs w:val="24"/>
              </w:rPr>
            </w:pPr>
            <w:r>
              <w:rPr>
                <w:rFonts w:hint="eastAsia" w:ascii="宋体" w:hAnsi="宋体" w:eastAsia="宋体" w:cs="宋体"/>
                <w:sz w:val="24"/>
                <w:szCs w:val="24"/>
              </w:rPr>
              <w:t>响应性评审标准</w:t>
            </w:r>
          </w:p>
        </w:tc>
        <w:tc>
          <w:tcPr>
            <w:tcW w:w="1527" w:type="dxa"/>
            <w:noWrap w:val="0"/>
            <w:vAlign w:val="center"/>
          </w:tcPr>
          <w:p w14:paraId="6095FBAD">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投标报价</w:t>
            </w:r>
          </w:p>
        </w:tc>
        <w:tc>
          <w:tcPr>
            <w:tcW w:w="5628" w:type="dxa"/>
            <w:noWrap w:val="0"/>
            <w:vAlign w:val="center"/>
          </w:tcPr>
          <w:p w14:paraId="44DD7330">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lang w:val="en-US" w:eastAsia="zh-CN" w:bidi="ar-SA"/>
              </w:rPr>
            </w:pPr>
            <w:r>
              <w:rPr>
                <w:rFonts w:hint="default" w:ascii="宋体" w:hAnsi="宋体" w:eastAsia="宋体" w:cs="宋体"/>
                <w:sz w:val="24"/>
                <w:szCs w:val="24"/>
              </w:rPr>
              <w:t>符合第二章</w:t>
            </w:r>
            <w:r>
              <w:rPr>
                <w:rFonts w:hint="default" w:ascii="宋体" w:hAnsi="宋体" w:eastAsia="宋体" w:cs="Times New Roman"/>
                <w:sz w:val="24"/>
                <w:szCs w:val="24"/>
              </w:rPr>
              <w:t>“</w:t>
            </w:r>
            <w:r>
              <w:rPr>
                <w:rFonts w:hint="default" w:ascii="宋体" w:hAnsi="宋体" w:eastAsia="宋体" w:cs="宋体"/>
                <w:sz w:val="24"/>
                <w:szCs w:val="24"/>
              </w:rPr>
              <w:t>投标人须知</w:t>
            </w:r>
            <w:r>
              <w:rPr>
                <w:rFonts w:hint="default" w:ascii="宋体" w:hAnsi="宋体" w:eastAsia="宋体" w:cs="Times New Roman"/>
                <w:sz w:val="24"/>
                <w:szCs w:val="24"/>
              </w:rPr>
              <w:t>”</w:t>
            </w:r>
            <w:r>
              <w:rPr>
                <w:rFonts w:hint="default" w:ascii="宋体" w:hAnsi="宋体" w:eastAsia="宋体" w:cs="宋体"/>
                <w:sz w:val="24"/>
                <w:szCs w:val="24"/>
              </w:rPr>
              <w:t>第</w:t>
            </w:r>
            <w:r>
              <w:rPr>
                <w:rFonts w:hint="default" w:ascii="宋体" w:hAnsi="宋体" w:eastAsia="宋体" w:cs="Times New Roman"/>
                <w:sz w:val="24"/>
                <w:szCs w:val="24"/>
              </w:rPr>
              <w:t>3.2</w:t>
            </w:r>
            <w:r>
              <w:rPr>
                <w:rFonts w:hint="eastAsia" w:ascii="宋体" w:hAnsi="宋体" w:eastAsia="宋体" w:cs="Times New Roman"/>
                <w:sz w:val="24"/>
                <w:szCs w:val="24"/>
                <w:lang w:val="en-US" w:eastAsia="zh-CN"/>
              </w:rPr>
              <w:t>.4</w:t>
            </w:r>
            <w:r>
              <w:rPr>
                <w:rFonts w:hint="default" w:ascii="宋体" w:hAnsi="宋体" w:eastAsia="宋体" w:cs="宋体"/>
                <w:sz w:val="24"/>
                <w:szCs w:val="24"/>
              </w:rPr>
              <w:t>款规定</w:t>
            </w:r>
          </w:p>
        </w:tc>
      </w:tr>
      <w:tr w14:paraId="66A9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884" w:type="dxa"/>
            <w:vMerge w:val="continue"/>
            <w:noWrap w:val="0"/>
            <w:vAlign w:val="center"/>
          </w:tcPr>
          <w:p w14:paraId="548D9643">
            <w:pPr>
              <w:keepNext/>
              <w:keepLines/>
              <w:widowControl/>
              <w:suppressLineNumbers w:val="0"/>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rPr>
            </w:pPr>
          </w:p>
        </w:tc>
        <w:tc>
          <w:tcPr>
            <w:tcW w:w="1357" w:type="dxa"/>
            <w:vMerge w:val="continue"/>
            <w:noWrap w:val="0"/>
            <w:vAlign w:val="center"/>
          </w:tcPr>
          <w:p w14:paraId="04E215F1">
            <w:pPr>
              <w:keepNext/>
              <w:keepLines/>
              <w:widowControl/>
              <w:suppressLineNumbers w:val="0"/>
              <w:spacing w:before="0" w:beforeAutospacing="0" w:after="0" w:afterAutospacing="0" w:line="240" w:lineRule="auto"/>
              <w:ind w:left="0" w:right="0" w:firstLine="117" w:firstLineChars="49"/>
              <w:outlineLvl w:val="2"/>
              <w:rPr>
                <w:rFonts w:hint="default" w:ascii="宋体" w:hAnsi="宋体" w:eastAsia="宋体" w:cs="宋体"/>
                <w:strike/>
                <w:color w:val="auto"/>
                <w:sz w:val="24"/>
                <w:szCs w:val="24"/>
              </w:rPr>
            </w:pPr>
          </w:p>
        </w:tc>
        <w:tc>
          <w:tcPr>
            <w:tcW w:w="1527" w:type="dxa"/>
            <w:noWrap w:val="0"/>
            <w:vAlign w:val="center"/>
          </w:tcPr>
          <w:p w14:paraId="2B5B20DB">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auto"/>
                <w:kern w:val="2"/>
                <w:sz w:val="24"/>
                <w:szCs w:val="24"/>
                <w:lang w:val="en-US" w:eastAsia="zh-CN" w:bidi="ar-SA"/>
              </w:rPr>
            </w:pPr>
            <w:r>
              <w:rPr>
                <w:rFonts w:hint="default" w:ascii="宋体" w:hAnsi="宋体" w:eastAsia="宋体" w:cs="宋体"/>
                <w:sz w:val="24"/>
                <w:szCs w:val="24"/>
              </w:rPr>
              <w:t>服务期限</w:t>
            </w:r>
          </w:p>
        </w:tc>
        <w:tc>
          <w:tcPr>
            <w:tcW w:w="5628" w:type="dxa"/>
            <w:noWrap w:val="0"/>
            <w:vAlign w:val="center"/>
          </w:tcPr>
          <w:p w14:paraId="27D551B8">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符合第二章“投标人须知前附表”第1.3.2项规定。</w:t>
            </w:r>
          </w:p>
        </w:tc>
      </w:tr>
      <w:tr w14:paraId="1608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884" w:type="dxa"/>
            <w:vMerge w:val="continue"/>
            <w:noWrap w:val="0"/>
            <w:vAlign w:val="center"/>
          </w:tcPr>
          <w:p w14:paraId="41AF45EA">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sz w:val="24"/>
                <w:szCs w:val="24"/>
              </w:rPr>
            </w:pPr>
          </w:p>
        </w:tc>
        <w:tc>
          <w:tcPr>
            <w:tcW w:w="1357" w:type="dxa"/>
            <w:vMerge w:val="continue"/>
            <w:noWrap w:val="0"/>
            <w:vAlign w:val="center"/>
          </w:tcPr>
          <w:p w14:paraId="72E3C7DD">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sz w:val="24"/>
                <w:szCs w:val="24"/>
              </w:rPr>
            </w:pPr>
          </w:p>
        </w:tc>
        <w:tc>
          <w:tcPr>
            <w:tcW w:w="1527" w:type="dxa"/>
            <w:noWrap w:val="0"/>
            <w:vAlign w:val="center"/>
          </w:tcPr>
          <w:p w14:paraId="407FCCE9">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质量标准</w:t>
            </w:r>
          </w:p>
        </w:tc>
        <w:tc>
          <w:tcPr>
            <w:tcW w:w="5628" w:type="dxa"/>
            <w:noWrap w:val="0"/>
            <w:vAlign w:val="center"/>
          </w:tcPr>
          <w:p w14:paraId="77A235D3">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符合第二章“投标人须知前附表”第1.3.3项规定。</w:t>
            </w:r>
          </w:p>
        </w:tc>
      </w:tr>
      <w:tr w14:paraId="5F3D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884" w:type="dxa"/>
            <w:vMerge w:val="continue"/>
            <w:noWrap w:val="0"/>
            <w:vAlign w:val="center"/>
          </w:tcPr>
          <w:p w14:paraId="4F3D06F2">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sz w:val="24"/>
                <w:szCs w:val="24"/>
              </w:rPr>
            </w:pPr>
          </w:p>
        </w:tc>
        <w:tc>
          <w:tcPr>
            <w:tcW w:w="1357" w:type="dxa"/>
            <w:vMerge w:val="continue"/>
            <w:noWrap w:val="0"/>
            <w:vAlign w:val="center"/>
          </w:tcPr>
          <w:p w14:paraId="7A7D3B87">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sz w:val="24"/>
                <w:szCs w:val="24"/>
              </w:rPr>
            </w:pPr>
          </w:p>
        </w:tc>
        <w:tc>
          <w:tcPr>
            <w:tcW w:w="1527" w:type="dxa"/>
            <w:noWrap w:val="0"/>
            <w:vAlign w:val="center"/>
          </w:tcPr>
          <w:p w14:paraId="0B7A0BB5">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投标有效期</w:t>
            </w:r>
          </w:p>
        </w:tc>
        <w:tc>
          <w:tcPr>
            <w:tcW w:w="5628" w:type="dxa"/>
            <w:noWrap w:val="0"/>
            <w:vAlign w:val="center"/>
          </w:tcPr>
          <w:p w14:paraId="3A8F81B7">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符合第二章“投标人须知前附表”第3.3.1项规定。</w:t>
            </w:r>
          </w:p>
        </w:tc>
      </w:tr>
      <w:tr w14:paraId="7937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884" w:type="dxa"/>
            <w:vMerge w:val="continue"/>
            <w:noWrap w:val="0"/>
            <w:vAlign w:val="center"/>
          </w:tcPr>
          <w:p w14:paraId="074FDE7F">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sz w:val="24"/>
                <w:szCs w:val="24"/>
              </w:rPr>
            </w:pPr>
          </w:p>
        </w:tc>
        <w:tc>
          <w:tcPr>
            <w:tcW w:w="1357" w:type="dxa"/>
            <w:vMerge w:val="continue"/>
            <w:noWrap w:val="0"/>
            <w:vAlign w:val="center"/>
          </w:tcPr>
          <w:p w14:paraId="5ABFB2FB">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sz w:val="24"/>
                <w:szCs w:val="24"/>
              </w:rPr>
            </w:pPr>
          </w:p>
        </w:tc>
        <w:tc>
          <w:tcPr>
            <w:tcW w:w="1527" w:type="dxa"/>
            <w:noWrap w:val="0"/>
            <w:vAlign w:val="center"/>
          </w:tcPr>
          <w:p w14:paraId="355FF252">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auto"/>
                <w:kern w:val="2"/>
                <w:sz w:val="24"/>
                <w:szCs w:val="24"/>
                <w:lang w:val="en-US" w:eastAsia="zh-CN" w:bidi="ar-SA"/>
              </w:rPr>
            </w:pPr>
            <w:r>
              <w:rPr>
                <w:rFonts w:hint="eastAsia" w:ascii="宋体" w:hAnsi="宋体" w:eastAsia="宋体" w:cs="Times New Roman"/>
                <w:color w:val="auto"/>
                <w:sz w:val="24"/>
                <w:szCs w:val="24"/>
              </w:rPr>
              <w:t>串通投标情形</w:t>
            </w:r>
          </w:p>
        </w:tc>
        <w:tc>
          <w:tcPr>
            <w:tcW w:w="5628" w:type="dxa"/>
            <w:noWrap w:val="0"/>
            <w:vAlign w:val="center"/>
          </w:tcPr>
          <w:p w14:paraId="79F87C0A">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lang w:val="en-US" w:eastAsia="zh-CN" w:bidi="ar-SA"/>
              </w:rPr>
            </w:pPr>
            <w:r>
              <w:rPr>
                <w:rFonts w:hint="eastAsia"/>
                <w:shd w:val="clear" w:color="auto" w:fill="FFFFFF"/>
              </w:rPr>
              <w:t>不存在串通投标情形（串通投标情形以《广东省实施</w:t>
            </w:r>
            <w:r>
              <w:rPr>
                <w:rFonts w:hint="eastAsia" w:ascii="微软雅黑" w:hAnsi="微软雅黑" w:eastAsia="微软雅黑"/>
                <w:shd w:val="clear" w:color="auto" w:fill="FFFFFF"/>
              </w:rPr>
              <w:t>&lt;</w:t>
            </w:r>
            <w:r>
              <w:rPr>
                <w:rFonts w:hint="eastAsia"/>
                <w:shd w:val="clear" w:color="auto" w:fill="FFFFFF"/>
              </w:rPr>
              <w:t>中华人民共和国招标投标法</w:t>
            </w:r>
            <w:r>
              <w:rPr>
                <w:rFonts w:hint="eastAsia" w:ascii="微软雅黑" w:hAnsi="微软雅黑" w:eastAsia="微软雅黑"/>
                <w:shd w:val="clear" w:color="auto" w:fill="FFFFFF"/>
              </w:rPr>
              <w:t>&gt;</w:t>
            </w:r>
            <w:r>
              <w:rPr>
                <w:rFonts w:hint="eastAsia"/>
                <w:shd w:val="clear" w:color="auto" w:fill="FFFFFF"/>
              </w:rPr>
              <w:t>》第十六条的规定准）</w:t>
            </w:r>
            <w:r>
              <w:rPr>
                <w:rFonts w:hint="eastAsia" w:ascii="宋体" w:hAnsi="宋体" w:cs="宋体"/>
                <w:kern w:val="0"/>
              </w:rPr>
              <w:t>。</w:t>
            </w:r>
          </w:p>
        </w:tc>
      </w:tr>
      <w:tr w14:paraId="6A84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241" w:type="dxa"/>
            <w:gridSpan w:val="2"/>
            <w:noWrap w:val="0"/>
            <w:vAlign w:val="center"/>
          </w:tcPr>
          <w:p w14:paraId="50462C82">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color w:val="auto"/>
                <w:sz w:val="24"/>
                <w:szCs w:val="24"/>
              </w:rPr>
            </w:pPr>
            <w:r>
              <w:rPr>
                <w:rFonts w:hint="eastAsia" w:ascii="宋体" w:hAnsi="宋体" w:eastAsia="宋体" w:cs="宋体"/>
                <w:b/>
                <w:color w:val="auto"/>
                <w:sz w:val="24"/>
                <w:szCs w:val="24"/>
              </w:rPr>
              <w:t>条款号</w:t>
            </w:r>
          </w:p>
        </w:tc>
        <w:tc>
          <w:tcPr>
            <w:tcW w:w="1527" w:type="dxa"/>
            <w:noWrap w:val="0"/>
            <w:vAlign w:val="center"/>
          </w:tcPr>
          <w:p w14:paraId="36FB2788">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color w:val="auto"/>
                <w:sz w:val="24"/>
                <w:szCs w:val="24"/>
              </w:rPr>
            </w:pPr>
            <w:r>
              <w:rPr>
                <w:rFonts w:hint="eastAsia" w:ascii="宋体" w:hAnsi="宋体" w:eastAsia="宋体" w:cs="宋体"/>
                <w:b/>
                <w:color w:val="auto"/>
                <w:sz w:val="24"/>
                <w:szCs w:val="24"/>
              </w:rPr>
              <w:t>条款内容</w:t>
            </w:r>
          </w:p>
        </w:tc>
        <w:tc>
          <w:tcPr>
            <w:tcW w:w="5628" w:type="dxa"/>
            <w:noWrap w:val="0"/>
            <w:vAlign w:val="center"/>
          </w:tcPr>
          <w:p w14:paraId="500994EB">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color w:val="auto"/>
                <w:sz w:val="24"/>
                <w:szCs w:val="24"/>
              </w:rPr>
            </w:pPr>
            <w:r>
              <w:rPr>
                <w:rFonts w:hint="eastAsia" w:ascii="宋体" w:hAnsi="宋体" w:eastAsia="宋体" w:cs="宋体"/>
                <w:b/>
                <w:color w:val="auto"/>
                <w:sz w:val="24"/>
                <w:szCs w:val="24"/>
              </w:rPr>
              <w:t>编列内容</w:t>
            </w:r>
          </w:p>
        </w:tc>
      </w:tr>
      <w:tr w14:paraId="7B54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2241" w:type="dxa"/>
            <w:gridSpan w:val="2"/>
            <w:noWrap w:val="0"/>
            <w:vAlign w:val="center"/>
          </w:tcPr>
          <w:p w14:paraId="5DCFA63D">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sz w:val="24"/>
                <w:szCs w:val="24"/>
              </w:rPr>
            </w:pPr>
            <w:r>
              <w:rPr>
                <w:rFonts w:hint="eastAsia" w:ascii="宋体" w:hAnsi="宋体" w:eastAsia="宋体" w:cs="宋体"/>
                <w:color w:val="auto"/>
                <w:sz w:val="24"/>
                <w:szCs w:val="24"/>
              </w:rPr>
              <w:t>2.2.1</w:t>
            </w:r>
          </w:p>
        </w:tc>
        <w:tc>
          <w:tcPr>
            <w:tcW w:w="1527" w:type="dxa"/>
            <w:noWrap w:val="0"/>
            <w:vAlign w:val="center"/>
          </w:tcPr>
          <w:p w14:paraId="7EB72BE2">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分值构成</w:t>
            </w:r>
          </w:p>
          <w:p w14:paraId="017626E7">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(总分100分)</w:t>
            </w:r>
          </w:p>
        </w:tc>
        <w:tc>
          <w:tcPr>
            <w:tcW w:w="5628" w:type="dxa"/>
            <w:noWrap w:val="0"/>
            <w:vAlign w:val="center"/>
          </w:tcPr>
          <w:p w14:paraId="78D3719E">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资信业绩部分：100分（权重</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p w14:paraId="18764DBB">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技术部分：100分（权重</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w:t>
            </w:r>
          </w:p>
          <w:p w14:paraId="5FBAFE05">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投标报价：100分（权重10%）</w:t>
            </w:r>
          </w:p>
          <w:p w14:paraId="46399B82">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sz w:val="24"/>
                <w:szCs w:val="24"/>
              </w:rPr>
            </w:pPr>
            <w:r>
              <w:rPr>
                <w:rFonts w:hint="eastAsia" w:ascii="宋体" w:hAnsi="宋体" w:eastAsia="宋体" w:cs="宋体"/>
                <w:color w:val="auto"/>
                <w:sz w:val="24"/>
                <w:szCs w:val="24"/>
              </w:rPr>
              <w:t>投标人的综合得分（满分100分）＝企业资信业绩得分×</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0％+技术文件得分×</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0％+报价文件得分×10％</w:t>
            </w:r>
          </w:p>
        </w:tc>
      </w:tr>
      <w:tr w14:paraId="3DC5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241" w:type="dxa"/>
            <w:gridSpan w:val="2"/>
            <w:noWrap w:val="0"/>
            <w:vAlign w:val="center"/>
          </w:tcPr>
          <w:p w14:paraId="7437744D">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sz w:val="24"/>
                <w:szCs w:val="24"/>
              </w:rPr>
            </w:pPr>
            <w:r>
              <w:rPr>
                <w:rFonts w:hint="eastAsia" w:ascii="宋体" w:hAnsi="宋体" w:eastAsia="宋体" w:cs="宋体"/>
                <w:color w:val="auto"/>
                <w:sz w:val="24"/>
                <w:szCs w:val="24"/>
              </w:rPr>
              <w:t>2.2.2</w:t>
            </w:r>
          </w:p>
        </w:tc>
        <w:tc>
          <w:tcPr>
            <w:tcW w:w="1527" w:type="dxa"/>
            <w:noWrap w:val="0"/>
            <w:vAlign w:val="center"/>
          </w:tcPr>
          <w:p w14:paraId="0466EE7D">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评标基准价计算方法</w:t>
            </w:r>
          </w:p>
        </w:tc>
        <w:tc>
          <w:tcPr>
            <w:tcW w:w="5628" w:type="dxa"/>
            <w:noWrap w:val="0"/>
            <w:vAlign w:val="center"/>
          </w:tcPr>
          <w:p w14:paraId="2D3F0DB0">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通过形式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资格</w:t>
            </w:r>
            <w:r>
              <w:rPr>
                <w:rFonts w:hint="eastAsia" w:ascii="宋体" w:hAnsi="宋体" w:eastAsia="宋体" w:cs="宋体"/>
                <w:color w:val="auto"/>
                <w:sz w:val="24"/>
                <w:szCs w:val="24"/>
                <w:lang w:eastAsia="zh-CN"/>
              </w:rPr>
              <w:t>、</w:t>
            </w:r>
            <w:r>
              <w:rPr>
                <w:rFonts w:hint="eastAsia" w:ascii="宋体" w:hAnsi="宋体" w:eastAsia="宋体" w:cs="宋体"/>
                <w:sz w:val="24"/>
                <w:szCs w:val="24"/>
              </w:rPr>
              <w:t>响应性</w:t>
            </w:r>
            <w:r>
              <w:rPr>
                <w:rFonts w:hint="eastAsia" w:ascii="宋体" w:hAnsi="宋体" w:eastAsia="宋体" w:cs="宋体"/>
                <w:color w:val="auto"/>
                <w:sz w:val="24"/>
                <w:szCs w:val="24"/>
              </w:rPr>
              <w:t>评审在位于[最高投标限价×90%，最高投标限价]区间的投标价中的有效投标人大于5名时，所有入围的有效投标价中去掉一个最高价和一个最低价，取余下有效投标价的算术平均值的作为评标基准价。</w:t>
            </w:r>
          </w:p>
          <w:p w14:paraId="66FCEFDA">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2.通过形式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资格</w:t>
            </w:r>
            <w:r>
              <w:rPr>
                <w:rFonts w:hint="eastAsia" w:ascii="宋体" w:hAnsi="宋体" w:eastAsia="宋体" w:cs="宋体"/>
                <w:color w:val="auto"/>
                <w:sz w:val="24"/>
                <w:szCs w:val="24"/>
                <w:lang w:eastAsia="zh-CN"/>
              </w:rPr>
              <w:t>、</w:t>
            </w:r>
            <w:r>
              <w:rPr>
                <w:rFonts w:hint="eastAsia" w:ascii="宋体" w:hAnsi="宋体" w:eastAsia="宋体" w:cs="宋体"/>
                <w:sz w:val="24"/>
                <w:szCs w:val="24"/>
              </w:rPr>
              <w:t>响应性</w:t>
            </w:r>
            <w:r>
              <w:rPr>
                <w:rFonts w:hint="eastAsia" w:ascii="宋体" w:hAnsi="宋体" w:eastAsia="宋体" w:cs="宋体"/>
                <w:color w:val="auto"/>
                <w:sz w:val="24"/>
                <w:szCs w:val="24"/>
              </w:rPr>
              <w:t>评审在位于[最高投标限价×90%，最高投标限价]区间的投标价中的有效投标人小于或等于5名（不包含0）时，取所有入围的有效投标价的算术平均值的作为评标基准价。</w:t>
            </w:r>
          </w:p>
          <w:p w14:paraId="021CA7A3">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sz w:val="24"/>
                <w:szCs w:val="24"/>
              </w:rPr>
            </w:pPr>
            <w:r>
              <w:rPr>
                <w:rFonts w:hint="eastAsia" w:ascii="宋体" w:hAnsi="宋体" w:eastAsia="宋体" w:cs="宋体"/>
                <w:color w:val="auto"/>
                <w:sz w:val="24"/>
                <w:szCs w:val="24"/>
              </w:rPr>
              <w:t>3.通过形式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资格</w:t>
            </w:r>
            <w:r>
              <w:rPr>
                <w:rFonts w:hint="eastAsia" w:ascii="宋体" w:hAnsi="宋体" w:eastAsia="宋体" w:cs="宋体"/>
                <w:color w:val="auto"/>
                <w:sz w:val="24"/>
                <w:szCs w:val="24"/>
                <w:lang w:eastAsia="zh-CN"/>
              </w:rPr>
              <w:t>、</w:t>
            </w:r>
            <w:r>
              <w:rPr>
                <w:rFonts w:hint="eastAsia" w:ascii="宋体" w:hAnsi="宋体" w:eastAsia="宋体" w:cs="宋体"/>
                <w:sz w:val="24"/>
                <w:szCs w:val="24"/>
              </w:rPr>
              <w:t>响应性</w:t>
            </w:r>
            <w:r>
              <w:rPr>
                <w:rFonts w:hint="eastAsia" w:ascii="宋体" w:hAnsi="宋体" w:eastAsia="宋体" w:cs="宋体"/>
                <w:color w:val="auto"/>
                <w:sz w:val="24"/>
                <w:szCs w:val="24"/>
              </w:rPr>
              <w:t>评审没有投标价位于[最高投标限价×90%，最高投标限价]区间的有效投标人，以“最高投标限价×90%”作为评标基准价。</w:t>
            </w:r>
          </w:p>
        </w:tc>
      </w:tr>
      <w:tr w14:paraId="051A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2241" w:type="dxa"/>
            <w:gridSpan w:val="2"/>
            <w:noWrap w:val="0"/>
            <w:vAlign w:val="center"/>
          </w:tcPr>
          <w:p w14:paraId="223B0A11">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sz w:val="24"/>
                <w:szCs w:val="24"/>
              </w:rPr>
            </w:pPr>
            <w:r>
              <w:rPr>
                <w:rFonts w:hint="eastAsia" w:ascii="宋体" w:hAnsi="宋体" w:eastAsia="宋体" w:cs="宋体"/>
                <w:color w:val="auto"/>
                <w:sz w:val="24"/>
                <w:szCs w:val="24"/>
              </w:rPr>
              <w:t>2.2.3</w:t>
            </w:r>
          </w:p>
        </w:tc>
        <w:tc>
          <w:tcPr>
            <w:tcW w:w="1527" w:type="dxa"/>
            <w:noWrap w:val="0"/>
            <w:vAlign w:val="center"/>
          </w:tcPr>
          <w:p w14:paraId="0E3E8FEE">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投标报价的偏差率计算公式</w:t>
            </w:r>
          </w:p>
        </w:tc>
        <w:tc>
          <w:tcPr>
            <w:tcW w:w="5628" w:type="dxa"/>
            <w:noWrap w:val="0"/>
            <w:vAlign w:val="center"/>
          </w:tcPr>
          <w:p w14:paraId="5B688681">
            <w:pPr>
              <w:keepNext w:val="0"/>
              <w:keepLines w:val="0"/>
              <w:widowControl/>
              <w:suppressLineNumbers w:val="0"/>
              <w:spacing w:before="0" w:beforeAutospacing="0" w:afterAutospacing="0"/>
              <w:ind w:left="0" w:right="0"/>
              <w:rPr>
                <w:rFonts w:hint="default" w:ascii="宋体" w:hAnsi="宋体" w:eastAsia="宋体" w:cs="宋体"/>
                <w:sz w:val="24"/>
                <w:szCs w:val="24"/>
              </w:rPr>
            </w:pPr>
            <w:r>
              <w:rPr>
                <w:rFonts w:hint="eastAsia" w:ascii="宋体" w:hAnsi="宋体" w:eastAsia="宋体" w:cs="宋体"/>
                <w:sz w:val="24"/>
                <w:szCs w:val="24"/>
              </w:rPr>
              <w:t>偏差率= ∣投标报价—评标基准价∣/评标基准价*100%</w:t>
            </w:r>
          </w:p>
          <w:p w14:paraId="63F72E1E">
            <w:pPr>
              <w:keepNext w:val="0"/>
              <w:keepLines w:val="0"/>
              <w:widowControl/>
              <w:suppressLineNumbers w:val="0"/>
              <w:spacing w:before="0" w:beforeAutospacing="0" w:afterAutospacing="0"/>
              <w:ind w:left="0" w:right="0"/>
              <w:rPr>
                <w:rFonts w:hint="default" w:ascii="宋体" w:hAnsi="宋体" w:eastAsia="宋体" w:cs="宋体"/>
                <w:color w:val="auto"/>
                <w:sz w:val="24"/>
                <w:szCs w:val="24"/>
              </w:rPr>
            </w:pPr>
            <w:r>
              <w:rPr>
                <w:rFonts w:hint="eastAsia" w:ascii="宋体" w:hAnsi="宋体" w:eastAsia="宋体" w:cs="宋体"/>
                <w:sz w:val="24"/>
                <w:szCs w:val="24"/>
              </w:rPr>
              <w:t>（偏差率四舍五入保留2位小数，报价偏差率不足1%的，按直线内插法计算投标报价得分）</w:t>
            </w:r>
          </w:p>
        </w:tc>
      </w:tr>
      <w:tr w14:paraId="41F5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241" w:type="dxa"/>
            <w:gridSpan w:val="2"/>
            <w:noWrap w:val="0"/>
            <w:vAlign w:val="center"/>
          </w:tcPr>
          <w:p w14:paraId="6C7FF41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2.2.4（1）</w:t>
            </w:r>
          </w:p>
        </w:tc>
        <w:tc>
          <w:tcPr>
            <w:tcW w:w="1527" w:type="dxa"/>
            <w:noWrap w:val="0"/>
            <w:vAlign w:val="center"/>
          </w:tcPr>
          <w:p w14:paraId="39B19C0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资信业绩评分标准 </w:t>
            </w:r>
          </w:p>
        </w:tc>
        <w:tc>
          <w:tcPr>
            <w:tcW w:w="5628" w:type="dxa"/>
            <w:noWrap w:val="0"/>
            <w:vAlign w:val="center"/>
          </w:tcPr>
          <w:p w14:paraId="025BF76E">
            <w:pPr>
              <w:keepNext w:val="0"/>
              <w:keepLines w:val="0"/>
              <w:widowControl/>
              <w:suppressLineNumbers w:val="0"/>
              <w:spacing w:before="0" w:beforeAutospacing="0" w:afterAutospacing="0"/>
              <w:ind w:left="0" w:right="0"/>
              <w:rPr>
                <w:rFonts w:hint="eastAsia" w:ascii="宋体" w:hAnsi="宋体" w:eastAsia="宋体" w:cs="宋体"/>
                <w:sz w:val="24"/>
                <w:szCs w:val="24"/>
              </w:rPr>
            </w:pPr>
            <w:r>
              <w:rPr>
                <w:rFonts w:hint="eastAsia" w:ascii="宋体" w:hAnsi="宋体" w:eastAsia="宋体" w:cs="宋体"/>
                <w:sz w:val="24"/>
                <w:szCs w:val="24"/>
              </w:rPr>
              <w:t>附表一《资信业绩部分综合评分表》</w:t>
            </w:r>
          </w:p>
        </w:tc>
      </w:tr>
      <w:tr w14:paraId="523C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241" w:type="dxa"/>
            <w:gridSpan w:val="2"/>
            <w:noWrap w:val="0"/>
            <w:vAlign w:val="center"/>
          </w:tcPr>
          <w:p w14:paraId="0264FB6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2.2.4（2）</w:t>
            </w:r>
          </w:p>
        </w:tc>
        <w:tc>
          <w:tcPr>
            <w:tcW w:w="1527" w:type="dxa"/>
            <w:noWrap w:val="0"/>
            <w:vAlign w:val="center"/>
          </w:tcPr>
          <w:p w14:paraId="76EF4B9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技术评分标准</w:t>
            </w:r>
          </w:p>
        </w:tc>
        <w:tc>
          <w:tcPr>
            <w:tcW w:w="5628" w:type="dxa"/>
            <w:noWrap w:val="0"/>
            <w:vAlign w:val="center"/>
          </w:tcPr>
          <w:p w14:paraId="0E3C9150">
            <w:pPr>
              <w:keepNext w:val="0"/>
              <w:keepLines w:val="0"/>
              <w:widowControl/>
              <w:suppressLineNumbers w:val="0"/>
              <w:spacing w:before="0" w:beforeAutospacing="0" w:afterAutospacing="0"/>
              <w:ind w:left="0" w:right="0"/>
              <w:rPr>
                <w:rFonts w:hint="eastAsia" w:ascii="宋体" w:hAnsi="宋体" w:eastAsia="宋体" w:cs="宋体"/>
                <w:sz w:val="24"/>
                <w:szCs w:val="24"/>
              </w:rPr>
            </w:pPr>
            <w:r>
              <w:rPr>
                <w:rFonts w:hint="eastAsia" w:ascii="宋体" w:hAnsi="宋体" w:eastAsia="宋体" w:cs="宋体"/>
                <w:sz w:val="24"/>
                <w:szCs w:val="24"/>
              </w:rPr>
              <w:t>附表二《技术部分综合评分表》</w:t>
            </w:r>
          </w:p>
        </w:tc>
      </w:tr>
      <w:tr w14:paraId="0E33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241" w:type="dxa"/>
            <w:gridSpan w:val="2"/>
            <w:noWrap w:val="0"/>
            <w:vAlign w:val="center"/>
          </w:tcPr>
          <w:p w14:paraId="78C0897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b/>
                <w:color w:val="auto"/>
                <w:sz w:val="24"/>
                <w:szCs w:val="24"/>
              </w:rPr>
              <w:t>条款号</w:t>
            </w:r>
          </w:p>
        </w:tc>
        <w:tc>
          <w:tcPr>
            <w:tcW w:w="1527" w:type="dxa"/>
            <w:noWrap w:val="0"/>
            <w:vAlign w:val="center"/>
          </w:tcPr>
          <w:p w14:paraId="71187A9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b/>
                <w:color w:val="auto"/>
                <w:sz w:val="24"/>
                <w:szCs w:val="24"/>
              </w:rPr>
              <w:t>评分因素</w:t>
            </w:r>
          </w:p>
        </w:tc>
        <w:tc>
          <w:tcPr>
            <w:tcW w:w="5628" w:type="dxa"/>
            <w:noWrap w:val="0"/>
            <w:vAlign w:val="center"/>
          </w:tcPr>
          <w:p w14:paraId="0FF4EA9A">
            <w:pPr>
              <w:keepNext w:val="0"/>
              <w:keepLines w:val="0"/>
              <w:widowControl/>
              <w:suppressLineNumbers w:val="0"/>
              <w:spacing w:before="0" w:beforeAutospacing="0" w:after="0" w:afterAutospacing="0" w:line="240" w:lineRule="auto"/>
              <w:ind w:left="0" w:right="0"/>
              <w:jc w:val="center"/>
              <w:rPr>
                <w:rFonts w:hint="eastAsia" w:ascii="宋体" w:hAnsi="宋体" w:cs="宋体"/>
                <w:color w:val="auto"/>
                <w:szCs w:val="21"/>
                <w:lang w:bidi="ar"/>
              </w:rPr>
            </w:pPr>
            <w:r>
              <w:rPr>
                <w:rFonts w:hint="eastAsia" w:ascii="宋体" w:hAnsi="宋体" w:eastAsia="宋体" w:cs="宋体"/>
                <w:b/>
                <w:color w:val="auto"/>
                <w:sz w:val="24"/>
                <w:szCs w:val="24"/>
              </w:rPr>
              <w:t>评分标准</w:t>
            </w:r>
          </w:p>
        </w:tc>
      </w:tr>
      <w:tr w14:paraId="7CE2F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2"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1DE1F95D">
            <w:pPr>
              <w:keepNext w:val="0"/>
              <w:keepLines w:val="0"/>
              <w:widowControl/>
              <w:suppressLineNumbers w:val="0"/>
              <w:spacing w:before="0" w:beforeAutospacing="0" w:after="0" w:afterAutospacing="0" w:line="240" w:lineRule="auto"/>
              <w:ind w:left="0" w:right="0"/>
              <w:jc w:val="both"/>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2.2.4（3）</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4106A67E">
            <w:pPr>
              <w:keepNext w:val="0"/>
              <w:keepLines w:val="0"/>
              <w:widowControl/>
              <w:suppressLineNumbers w:val="0"/>
              <w:spacing w:before="0" w:beforeAutospacing="0" w:after="0" w:afterAutospacing="0" w:line="240" w:lineRule="auto"/>
              <w:ind w:left="0" w:right="0"/>
              <w:jc w:val="both"/>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投标报价评分标准（100分）</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0C49D28B">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偏差率</w:t>
            </w:r>
          </w:p>
        </w:tc>
        <w:tc>
          <w:tcPr>
            <w:tcW w:w="5628" w:type="dxa"/>
            <w:tcBorders>
              <w:top w:val="single" w:color="auto" w:sz="4" w:space="0"/>
              <w:left w:val="single" w:color="auto" w:sz="4" w:space="0"/>
              <w:bottom w:val="single" w:color="auto" w:sz="4" w:space="0"/>
              <w:right w:val="single" w:color="auto" w:sz="4" w:space="0"/>
            </w:tcBorders>
            <w:noWrap w:val="0"/>
            <w:vAlign w:val="top"/>
          </w:tcPr>
          <w:p w14:paraId="7766663E">
            <w:pPr>
              <w:keepNext w:val="0"/>
              <w:keepLines w:val="0"/>
              <w:widowControl/>
              <w:suppressLineNumbers w:val="0"/>
              <w:spacing w:before="0" w:beforeAutospacing="0" w:after="0" w:afterAutospacing="0" w:line="240" w:lineRule="auto"/>
              <w:ind w:left="0" w:right="0"/>
              <w:jc w:val="both"/>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以评标基准价作为计算各有效投标总价得分的基础，当有效投标总价等于评标基准价时得100分；投标有效投标总价与评标基准价相比，每上偏1 %扣</w:t>
            </w:r>
            <w:r>
              <w:rPr>
                <w:rFonts w:hint="eastAsia" w:ascii="Times New Roman" w:hAnsi="Times New Roman" w:eastAsia="宋体" w:cs="Times New Roman"/>
                <w:color w:val="auto"/>
                <w:sz w:val="24"/>
                <w:szCs w:val="24"/>
                <w:lang w:val="en-US" w:eastAsia="zh-CN"/>
              </w:rPr>
              <w:t>1.5</w:t>
            </w:r>
            <w:r>
              <w:rPr>
                <w:rFonts w:hint="eastAsia" w:ascii="Times New Roman" w:hAnsi="Times New Roman" w:eastAsia="宋体" w:cs="Times New Roman"/>
                <w:color w:val="auto"/>
                <w:sz w:val="24"/>
                <w:szCs w:val="24"/>
              </w:rPr>
              <w:t>分，每下偏 1 %扣</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分。最多扣100分。</w:t>
            </w:r>
          </w:p>
        </w:tc>
      </w:tr>
      <w:tr w14:paraId="14CC6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8"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78F50B5F">
            <w:pPr>
              <w:pStyle w:val="94"/>
              <w:keepNext w:val="0"/>
              <w:keepLines w:val="0"/>
              <w:suppressLineNumbers w:val="0"/>
              <w:spacing w:before="0" w:beforeAutospacing="0" w:afterAutospacing="0"/>
              <w:ind w:left="0" w:right="0"/>
              <w:jc w:val="center"/>
              <w:rPr>
                <w:rFonts w:hint="eastAsia"/>
                <w:kern w:val="2"/>
                <w:sz w:val="24"/>
                <w:szCs w:val="24"/>
              </w:rPr>
            </w:pPr>
            <w:r>
              <w:rPr>
                <w:rFonts w:hint="eastAsia"/>
                <w:kern w:val="2"/>
                <w:sz w:val="24"/>
                <w:szCs w:val="24"/>
              </w:rPr>
              <w:t>2.2.4（4）</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00E24AE6">
            <w:pPr>
              <w:pStyle w:val="94"/>
              <w:keepNext w:val="0"/>
              <w:keepLines w:val="0"/>
              <w:suppressLineNumbers w:val="0"/>
              <w:spacing w:before="0" w:beforeAutospacing="0" w:afterAutospacing="0"/>
              <w:ind w:left="0" w:right="0"/>
              <w:jc w:val="center"/>
              <w:rPr>
                <w:rFonts w:hint="eastAsia"/>
                <w:kern w:val="2"/>
                <w:sz w:val="24"/>
                <w:szCs w:val="24"/>
              </w:rPr>
            </w:pPr>
            <w:r>
              <w:rPr>
                <w:rFonts w:hint="eastAsia"/>
                <w:kern w:val="2"/>
                <w:sz w:val="24"/>
                <w:szCs w:val="24"/>
              </w:rPr>
              <w:t>其他因素评分标准</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4EB557CA">
            <w:pPr>
              <w:pStyle w:val="94"/>
              <w:keepNext w:val="0"/>
              <w:keepLines w:val="0"/>
              <w:suppressLineNumbers w:val="0"/>
              <w:spacing w:before="0" w:beforeAutospacing="0" w:afterAutospacing="0"/>
              <w:ind w:left="0" w:right="0"/>
              <w:jc w:val="center"/>
              <w:rPr>
                <w:rFonts w:hint="eastAsia" w:ascii="宋体" w:hAnsi="宋体" w:cs="宋体"/>
                <w:sz w:val="21"/>
                <w:szCs w:val="21"/>
              </w:rPr>
            </w:pPr>
            <w:r>
              <w:rPr>
                <w:rFonts w:hint="eastAsia" w:ascii="宋体" w:hAnsi="宋体" w:cs="宋体"/>
                <w:sz w:val="21"/>
                <w:szCs w:val="21"/>
              </w:rPr>
              <w:t>/</w:t>
            </w:r>
          </w:p>
        </w:tc>
        <w:tc>
          <w:tcPr>
            <w:tcW w:w="5628" w:type="dxa"/>
            <w:tcBorders>
              <w:top w:val="single" w:color="auto" w:sz="4" w:space="0"/>
              <w:left w:val="single" w:color="auto" w:sz="4" w:space="0"/>
              <w:bottom w:val="single" w:color="auto" w:sz="4" w:space="0"/>
              <w:right w:val="single" w:color="auto" w:sz="4" w:space="0"/>
            </w:tcBorders>
            <w:noWrap w:val="0"/>
            <w:vAlign w:val="center"/>
          </w:tcPr>
          <w:p w14:paraId="7775E01A">
            <w:pPr>
              <w:pStyle w:val="11"/>
              <w:keepNext w:val="0"/>
              <w:keepLines w:val="0"/>
              <w:widowControl/>
              <w:suppressLineNumbers w:val="0"/>
              <w:spacing w:before="0" w:beforeAutospacing="0" w:afterAutospacing="0" w:line="276" w:lineRule="auto"/>
              <w:ind w:left="130" w:right="99" w:rightChars="45" w:firstLine="0"/>
              <w:rPr>
                <w:rFonts w:hint="eastAsia" w:ascii="Times New Roman" w:hAnsi="Times New Roman" w:eastAsia="宋体" w:cs="Times New Roman"/>
                <w:color w:val="auto"/>
                <w:sz w:val="24"/>
                <w:szCs w:val="24"/>
              </w:rPr>
            </w:pPr>
            <w:r>
              <w:rPr>
                <w:rFonts w:hint="eastAsia" w:ascii="宋体" w:hAnsi="宋体" w:cs="宋体"/>
                <w:color w:val="auto"/>
                <w:sz w:val="21"/>
                <w:szCs w:val="21"/>
              </w:rPr>
              <w:t>/</w:t>
            </w:r>
          </w:p>
        </w:tc>
      </w:tr>
    </w:tbl>
    <w:p w14:paraId="5ADEAA81">
      <w:pPr>
        <w:spacing w:after="0" w:line="240" w:lineRule="auto"/>
        <w:jc w:val="both"/>
        <w:rPr>
          <w:rFonts w:hint="eastAsia" w:ascii="宋体" w:hAnsi="宋体" w:eastAsia="宋体"/>
          <w:color w:val="auto"/>
          <w:sz w:val="21"/>
          <w:szCs w:val="21"/>
        </w:rPr>
      </w:pPr>
    </w:p>
    <w:p w14:paraId="555D1BE3">
      <w:pPr>
        <w:pStyle w:val="35"/>
        <w:jc w:val="left"/>
        <w:rPr>
          <w:color w:val="auto"/>
        </w:rPr>
      </w:pPr>
      <w:bookmarkStart w:id="276" w:name="_Toc508382156"/>
      <w:r>
        <w:rPr>
          <w:rFonts w:hint="eastAsia"/>
          <w:color w:val="auto"/>
        </w:rPr>
        <w:br w:type="page"/>
      </w:r>
      <w:bookmarkStart w:id="277" w:name="_Toc190785856"/>
      <w:bookmarkStart w:id="278" w:name="_Toc190785952"/>
      <w:r>
        <w:rPr>
          <w:rFonts w:hint="eastAsia"/>
          <w:color w:val="auto"/>
          <w:sz w:val="24"/>
          <w:szCs w:val="24"/>
        </w:rPr>
        <w:t>附表一：资信业绩部分综合评分表</w:t>
      </w:r>
      <w:bookmarkEnd w:id="277"/>
      <w:bookmarkEnd w:id="278"/>
    </w:p>
    <w:p w14:paraId="532CA0AD">
      <w:pPr>
        <w:pStyle w:val="35"/>
        <w:rPr>
          <w:rFonts w:hint="eastAsia" w:ascii="宋体" w:hAnsi="宋体" w:eastAsia="宋体" w:cs="宋体"/>
          <w:color w:val="auto"/>
          <w:sz w:val="30"/>
          <w:szCs w:val="30"/>
        </w:rPr>
      </w:pPr>
      <w:bookmarkStart w:id="279" w:name="_Toc190785857"/>
      <w:bookmarkStart w:id="280" w:name="_Toc190785953"/>
      <w:r>
        <w:rPr>
          <w:rFonts w:hint="eastAsia" w:ascii="宋体" w:hAnsi="宋体" w:eastAsia="宋体" w:cs="宋体"/>
          <w:color w:val="auto"/>
          <w:sz w:val="30"/>
          <w:szCs w:val="30"/>
        </w:rPr>
        <w:t>资信业绩部分综合评分表</w:t>
      </w:r>
      <w:bookmarkEnd w:id="279"/>
      <w:bookmarkEnd w:id="280"/>
    </w:p>
    <w:tbl>
      <w:tblPr>
        <w:tblStyle w:val="3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973"/>
        <w:gridCol w:w="1306"/>
        <w:gridCol w:w="7620"/>
      </w:tblGrid>
      <w:tr w14:paraId="639C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blHeader/>
          <w:jc w:val="center"/>
        </w:trPr>
        <w:tc>
          <w:tcPr>
            <w:tcW w:w="246" w:type="pct"/>
            <w:noWrap w:val="0"/>
            <w:vAlign w:val="center"/>
          </w:tcPr>
          <w:p w14:paraId="0FDA8277">
            <w:pPr>
              <w:keepNext w:val="0"/>
              <w:keepLines w:val="0"/>
              <w:widowControl/>
              <w:suppressLineNumbers w:val="0"/>
              <w:autoSpaceDE w:val="0"/>
              <w:autoSpaceDN w:val="0"/>
              <w:adjustRightInd w:val="0"/>
              <w:spacing w:before="0" w:beforeAutospacing="0" w:afterAutospacing="0"/>
              <w:ind w:left="0" w:right="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467" w:type="pct"/>
            <w:noWrap w:val="0"/>
            <w:vAlign w:val="center"/>
          </w:tcPr>
          <w:p w14:paraId="0BE38F28">
            <w:pPr>
              <w:keepNext w:val="0"/>
              <w:keepLines w:val="0"/>
              <w:widowControl/>
              <w:suppressLineNumbers w:val="0"/>
              <w:autoSpaceDE w:val="0"/>
              <w:autoSpaceDN w:val="0"/>
              <w:adjustRightInd w:val="0"/>
              <w:spacing w:before="0" w:beforeAutospacing="0" w:afterAutospacing="0"/>
              <w:ind w:left="0" w:right="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w:t>
            </w:r>
          </w:p>
        </w:tc>
        <w:tc>
          <w:tcPr>
            <w:tcW w:w="627" w:type="pct"/>
            <w:noWrap w:val="0"/>
            <w:vAlign w:val="center"/>
          </w:tcPr>
          <w:p w14:paraId="51B5A19A">
            <w:pPr>
              <w:keepNext w:val="0"/>
              <w:keepLines w:val="0"/>
              <w:widowControl/>
              <w:suppressLineNumbers w:val="0"/>
              <w:autoSpaceDE w:val="0"/>
              <w:autoSpaceDN w:val="0"/>
              <w:adjustRightInd w:val="0"/>
              <w:spacing w:before="0" w:beforeAutospacing="0" w:afterAutospacing="0"/>
              <w:ind w:left="0" w:right="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分值分配</w:t>
            </w:r>
          </w:p>
        </w:tc>
        <w:tc>
          <w:tcPr>
            <w:tcW w:w="3658" w:type="pct"/>
            <w:noWrap w:val="0"/>
            <w:vAlign w:val="center"/>
          </w:tcPr>
          <w:p w14:paraId="2CABFAE6">
            <w:pPr>
              <w:keepNext w:val="0"/>
              <w:keepLines w:val="0"/>
              <w:widowControl/>
              <w:suppressLineNumbers w:val="0"/>
              <w:autoSpaceDE w:val="0"/>
              <w:autoSpaceDN w:val="0"/>
              <w:adjustRightInd w:val="0"/>
              <w:spacing w:before="0" w:beforeAutospacing="0" w:afterAutospacing="0"/>
              <w:ind w:left="0" w:right="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内</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容</w:t>
            </w:r>
          </w:p>
        </w:tc>
      </w:tr>
      <w:tr w14:paraId="7BD4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46" w:type="pct"/>
            <w:noWrap w:val="0"/>
            <w:vAlign w:val="center"/>
          </w:tcPr>
          <w:p w14:paraId="0461AB18">
            <w:pPr>
              <w:keepNext w:val="0"/>
              <w:keepLines w:val="0"/>
              <w:widowControl/>
              <w:suppressLineNumbers w:val="0"/>
              <w:autoSpaceDE w:val="0"/>
              <w:autoSpaceDN w:val="0"/>
              <w:adjustRightInd w:val="0"/>
              <w:spacing w:before="0" w:beforeAutospacing="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一</w:t>
            </w:r>
          </w:p>
        </w:tc>
        <w:tc>
          <w:tcPr>
            <w:tcW w:w="467" w:type="pct"/>
            <w:noWrap w:val="0"/>
            <w:vAlign w:val="center"/>
          </w:tcPr>
          <w:p w14:paraId="557D7A17">
            <w:pPr>
              <w:keepNext w:val="0"/>
              <w:keepLines w:val="0"/>
              <w:widowControl/>
              <w:suppressLineNumbers w:val="0"/>
              <w:autoSpaceDE w:val="0"/>
              <w:autoSpaceDN w:val="0"/>
              <w:adjustRightInd w:val="0"/>
              <w:spacing w:before="0" w:beforeAutospacing="0" w:afterAutospacing="0"/>
              <w:ind w:left="0" w:right="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eastAsia="zh-CN"/>
              </w:rPr>
              <w:t>企业</w:t>
            </w:r>
            <w:r>
              <w:rPr>
                <w:rFonts w:hint="eastAsia" w:ascii="宋体" w:hAnsi="宋体" w:eastAsia="宋体" w:cs="宋体"/>
                <w:color w:val="auto"/>
                <w:sz w:val="24"/>
                <w:szCs w:val="24"/>
              </w:rPr>
              <w:t>类似业绩</w:t>
            </w:r>
          </w:p>
        </w:tc>
        <w:tc>
          <w:tcPr>
            <w:tcW w:w="627" w:type="pct"/>
            <w:noWrap w:val="0"/>
            <w:vAlign w:val="center"/>
          </w:tcPr>
          <w:p w14:paraId="5B224E0B">
            <w:pPr>
              <w:keepNext w:val="0"/>
              <w:keepLines w:val="0"/>
              <w:widowControl/>
              <w:suppressLineNumbers w:val="0"/>
              <w:autoSpaceDE w:val="0"/>
              <w:autoSpaceDN w:val="0"/>
              <w:adjustRightInd w:val="0"/>
              <w:spacing w:before="0" w:beforeAutospacing="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40分</w:t>
            </w:r>
          </w:p>
        </w:tc>
        <w:tc>
          <w:tcPr>
            <w:tcW w:w="3658" w:type="pct"/>
            <w:noWrap w:val="0"/>
            <w:vAlign w:val="center"/>
          </w:tcPr>
          <w:p w14:paraId="6D78BB9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Calibri" w:hAnsi="宋体" w:cs="Times New Roman"/>
                <w:color w:val="auto"/>
                <w:sz w:val="24"/>
                <w:szCs w:val="24"/>
                <w:lang w:val="zh-CN"/>
              </w:rPr>
            </w:pPr>
            <w:r>
              <w:rPr>
                <w:rFonts w:hint="eastAsia" w:ascii="宋体" w:hAnsi="宋体" w:eastAsia="宋体" w:cs="宋体"/>
                <w:color w:val="auto"/>
                <w:sz w:val="24"/>
                <w:szCs w:val="24"/>
              </w:rPr>
              <w:t>投标人(若为联合体，指联合体牵头方)自2021年1月1日至投标截止时间止，</w:t>
            </w:r>
            <w:r>
              <w:rPr>
                <w:rFonts w:hint="eastAsia" w:ascii="宋体" w:hAnsi="宋体" w:eastAsia="宋体" w:cs="宋体"/>
                <w:color w:val="auto"/>
                <w:sz w:val="24"/>
                <w:szCs w:val="24"/>
                <w:lang w:eastAsia="zh-CN"/>
              </w:rPr>
              <w:t>承接过总建筑面积</w:t>
            </w:r>
            <w:r>
              <w:rPr>
                <w:rFonts w:hint="eastAsia" w:ascii="宋体" w:hAnsi="宋体" w:eastAsia="宋体" w:cs="宋体"/>
                <w:color w:val="auto"/>
                <w:sz w:val="24"/>
                <w:szCs w:val="24"/>
                <w:lang w:val="en-US" w:eastAsia="zh-CN"/>
              </w:rPr>
              <w:t>1000</w:t>
            </w:r>
            <w:r>
              <w:rPr>
                <w:rFonts w:hint="eastAsia" w:ascii="宋体" w:hAnsi="宋体" w:eastAsia="宋体" w:cs="宋体"/>
                <w:color w:val="auto"/>
                <w:sz w:val="24"/>
                <w:szCs w:val="24"/>
                <w:lang w:eastAsia="zh-CN"/>
              </w:rPr>
              <w:t>平方米或以上</w:t>
            </w:r>
            <w:r>
              <w:rPr>
                <w:rFonts w:hint="eastAsia" w:ascii="宋体" w:hAnsi="宋体" w:eastAsia="宋体" w:cs="宋体"/>
                <w:color w:val="auto"/>
                <w:sz w:val="24"/>
                <w:szCs w:val="24"/>
                <w:lang w:val="en-US" w:eastAsia="zh-CN"/>
              </w:rPr>
              <w:t>建筑工程</w:t>
            </w:r>
            <w:r>
              <w:rPr>
                <w:rFonts w:hint="eastAsia" w:ascii="宋体" w:hAnsi="宋体" w:eastAsia="宋体" w:cs="宋体"/>
                <w:color w:val="auto"/>
                <w:sz w:val="24"/>
                <w:szCs w:val="24"/>
              </w:rPr>
              <w:t>勘察项目</w:t>
            </w:r>
            <w:r>
              <w:rPr>
                <w:rFonts w:hint="eastAsia" w:ascii="宋体" w:hAnsi="宋体" w:eastAsia="宋体" w:cs="宋体"/>
                <w:color w:val="auto"/>
                <w:sz w:val="24"/>
                <w:szCs w:val="24"/>
                <w:lang w:eastAsia="zh-CN"/>
              </w:rPr>
              <w:t>业绩的，每提供一项业绩得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分，最高得</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rPr>
              <w:t>。</w:t>
            </w:r>
          </w:p>
        </w:tc>
      </w:tr>
      <w:tr w14:paraId="688A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246" w:type="pct"/>
            <w:noWrap w:val="0"/>
            <w:vAlign w:val="center"/>
          </w:tcPr>
          <w:p w14:paraId="791A99D0">
            <w:pPr>
              <w:keepNext w:val="0"/>
              <w:keepLines w:val="0"/>
              <w:widowControl/>
              <w:suppressLineNumbers w:val="0"/>
              <w:autoSpaceDE w:val="0"/>
              <w:autoSpaceDN w:val="0"/>
              <w:adjustRightInd w:val="0"/>
              <w:spacing w:before="0" w:beforeAutospacing="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二</w:t>
            </w:r>
          </w:p>
        </w:tc>
        <w:tc>
          <w:tcPr>
            <w:tcW w:w="467" w:type="pct"/>
            <w:noWrap w:val="0"/>
            <w:vAlign w:val="center"/>
          </w:tcPr>
          <w:p w14:paraId="14E412AC">
            <w:pPr>
              <w:keepNext w:val="0"/>
              <w:keepLines w:val="0"/>
              <w:widowControl/>
              <w:suppressLineNumbers w:val="0"/>
              <w:autoSpaceDE w:val="0"/>
              <w:autoSpaceDN w:val="0"/>
              <w:adjustRightInd w:val="0"/>
              <w:spacing w:before="0" w:beforeAutospacing="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企业业绩获奖</w:t>
            </w:r>
          </w:p>
        </w:tc>
        <w:tc>
          <w:tcPr>
            <w:tcW w:w="627" w:type="pct"/>
            <w:noWrap w:val="0"/>
            <w:vAlign w:val="center"/>
          </w:tcPr>
          <w:p w14:paraId="46A4F1E9">
            <w:pPr>
              <w:keepNext w:val="0"/>
              <w:keepLines w:val="0"/>
              <w:widowControl/>
              <w:suppressLineNumbers w:val="0"/>
              <w:autoSpaceDE w:val="0"/>
              <w:autoSpaceDN w:val="0"/>
              <w:adjustRightInd w:val="0"/>
              <w:spacing w:before="0" w:beforeAutospacing="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p>
        </w:tc>
        <w:tc>
          <w:tcPr>
            <w:tcW w:w="3658" w:type="pct"/>
            <w:noWrap w:val="0"/>
            <w:vAlign w:val="center"/>
          </w:tcPr>
          <w:p w14:paraId="3320878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(若为联合体，指联合体牵头方)</w:t>
            </w:r>
            <w:r>
              <w:rPr>
                <w:rFonts w:hint="eastAsia" w:ascii="宋体" w:hAnsi="宋体" w:eastAsia="宋体" w:cs="宋体"/>
                <w:color w:val="auto"/>
                <w:sz w:val="24"/>
                <w:szCs w:val="24"/>
                <w:lang w:val="en-US" w:eastAsia="zh-CN"/>
              </w:rPr>
              <w:t>自2021年1月1日至投标截止时间，承接的建筑工程勘察项目获省级或以上奖项的，每项得15分；获市级奖项的，每项得5分。</w:t>
            </w:r>
          </w:p>
          <w:p w14:paraId="143DA58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本项累计最高得30分。</w:t>
            </w:r>
          </w:p>
        </w:tc>
      </w:tr>
      <w:tr w14:paraId="6AC5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46" w:type="pct"/>
            <w:noWrap w:val="0"/>
            <w:vAlign w:val="center"/>
          </w:tcPr>
          <w:p w14:paraId="5A0521C1">
            <w:pPr>
              <w:keepNext w:val="0"/>
              <w:keepLines w:val="0"/>
              <w:widowControl/>
              <w:suppressLineNumbers w:val="0"/>
              <w:autoSpaceDE w:val="0"/>
              <w:autoSpaceDN w:val="0"/>
              <w:adjustRightInd w:val="0"/>
              <w:spacing w:before="0" w:beforeAutospacing="0" w:afterAutospacing="0"/>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w:t>
            </w:r>
          </w:p>
        </w:tc>
        <w:tc>
          <w:tcPr>
            <w:tcW w:w="467" w:type="pct"/>
            <w:noWrap w:val="0"/>
            <w:vAlign w:val="center"/>
          </w:tcPr>
          <w:p w14:paraId="417673F9">
            <w:pPr>
              <w:keepNext w:val="0"/>
              <w:keepLines w:val="0"/>
              <w:widowControl/>
              <w:suppressLineNumbers w:val="0"/>
              <w:autoSpaceDE w:val="0"/>
              <w:autoSpaceDN w:val="0"/>
              <w:adjustRightInd w:val="0"/>
              <w:spacing w:before="0" w:beforeAutospacing="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企业信誉</w:t>
            </w:r>
          </w:p>
        </w:tc>
        <w:tc>
          <w:tcPr>
            <w:tcW w:w="627" w:type="pct"/>
            <w:noWrap w:val="0"/>
            <w:vAlign w:val="center"/>
          </w:tcPr>
          <w:p w14:paraId="471DE0AD">
            <w:pPr>
              <w:keepNext w:val="0"/>
              <w:keepLines w:val="0"/>
              <w:widowControl/>
              <w:suppressLineNumbers w:val="0"/>
              <w:autoSpaceDE w:val="0"/>
              <w:autoSpaceDN w:val="0"/>
              <w:adjustRightInd w:val="0"/>
              <w:spacing w:before="0" w:beforeAutospacing="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15分</w:t>
            </w:r>
          </w:p>
        </w:tc>
        <w:tc>
          <w:tcPr>
            <w:tcW w:w="3658" w:type="pct"/>
            <w:noWrap w:val="0"/>
            <w:vAlign w:val="center"/>
          </w:tcPr>
          <w:p w14:paraId="0293477E">
            <w:pPr>
              <w:keepNext w:val="0"/>
              <w:keepLines w:val="0"/>
              <w:widowControl/>
              <w:suppressLineNumbers w:val="0"/>
              <w:autoSpaceDE w:val="0"/>
              <w:autoSpaceDN w:val="0"/>
              <w:adjustRightInd w:val="0"/>
              <w:spacing w:before="0" w:beforeAutospacing="0" w:afterAutospacing="0"/>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1、投标人</w:t>
            </w:r>
            <w:r>
              <w:rPr>
                <w:rFonts w:hint="eastAsia" w:ascii="宋体" w:hAnsi="宋体" w:eastAsia="宋体" w:cs="宋体"/>
                <w:color w:val="auto"/>
                <w:sz w:val="24"/>
                <w:szCs w:val="24"/>
              </w:rPr>
              <w:t>(若为联合体，指联合体牵头方)</w:t>
            </w:r>
            <w:r>
              <w:rPr>
                <w:rFonts w:hint="eastAsia" w:ascii="宋体" w:hAnsi="宋体" w:eastAsia="宋体" w:cs="宋体"/>
                <w:color w:val="auto"/>
                <w:sz w:val="24"/>
                <w:szCs w:val="24"/>
                <w:lang w:val="en-US" w:eastAsia="zh-CN"/>
              </w:rPr>
              <w:t>具有质量管理体系认证证书、环境管理体系认证证书、职业健康安全管理体系认证证书的，每项得3分，最高得9分。</w:t>
            </w:r>
          </w:p>
          <w:p w14:paraId="6B0AAE2A">
            <w:pPr>
              <w:keepNext w:val="0"/>
              <w:keepLines w:val="0"/>
              <w:widowControl/>
              <w:suppressLineNumbers w:val="0"/>
              <w:autoSpaceDE w:val="0"/>
              <w:autoSpaceDN w:val="0"/>
              <w:adjustRightInd w:val="0"/>
              <w:spacing w:before="0" w:beforeAutospacing="0" w:afterAutospacing="0"/>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须提供在有效期内的相应证书扫描件和全国认证认可信息公共服务平台（http://cx.cnca.cn/CertECloud/index/index/page）的网络查询截图并加盖公章（只计算计算投标人自身，不计算投标人的子公司和分公司）,不符合上述条件或未提供相关证明材料的不得分。</w:t>
            </w:r>
          </w:p>
          <w:p w14:paraId="41023DB8">
            <w:pPr>
              <w:keepNext w:val="0"/>
              <w:keepLines w:val="0"/>
              <w:widowControl/>
              <w:suppressLineNumbers w:val="0"/>
              <w:autoSpaceDE w:val="0"/>
              <w:autoSpaceDN w:val="0"/>
              <w:adjustRightInd w:val="0"/>
              <w:spacing w:before="0" w:beforeAutospacing="0" w:afterAutospacing="0"/>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2、投标人</w:t>
            </w:r>
            <w:r>
              <w:rPr>
                <w:rFonts w:hint="eastAsia" w:ascii="宋体" w:hAnsi="宋体" w:eastAsia="宋体" w:cs="宋体"/>
                <w:color w:val="auto"/>
                <w:sz w:val="24"/>
                <w:szCs w:val="24"/>
              </w:rPr>
              <w:t>(若为联合体，指联合体牵头方)</w:t>
            </w:r>
            <w:r>
              <w:rPr>
                <w:rFonts w:hint="eastAsia" w:ascii="宋体" w:hAnsi="宋体" w:eastAsia="宋体" w:cs="宋体"/>
                <w:color w:val="auto"/>
                <w:sz w:val="24"/>
                <w:szCs w:val="24"/>
                <w:lang w:val="en-US" w:eastAsia="zh-CN"/>
              </w:rPr>
              <w:t xml:space="preserve">自 2020 年1月1日起至投标截止时间（须含2024年度），被评定为“纳税信用 A 级”：连续5个年度或以上的，得6分；3至4个年度的，得4分；1至2个年度的，得2分。 </w:t>
            </w:r>
          </w:p>
          <w:p w14:paraId="320F247F">
            <w:pPr>
              <w:keepNext w:val="0"/>
              <w:keepLines w:val="0"/>
              <w:widowControl/>
              <w:suppressLineNumbers w:val="0"/>
              <w:autoSpaceDE w:val="0"/>
              <w:autoSpaceDN w:val="0"/>
              <w:adjustRightInd w:val="0"/>
              <w:spacing w:before="0" w:beforeAutospacing="0" w:afterAutospacing="0"/>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注：本小项最高得6分。提供相关证书或国家税务总局网站公布的截图证明资料；未提供或提供的资料不符合要求的不得分。</w:t>
            </w:r>
          </w:p>
        </w:tc>
      </w:tr>
      <w:tr w14:paraId="4828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46" w:type="pct"/>
            <w:noWrap w:val="0"/>
            <w:vAlign w:val="center"/>
          </w:tcPr>
          <w:p w14:paraId="669B747E">
            <w:pPr>
              <w:keepNext w:val="0"/>
              <w:keepLines w:val="0"/>
              <w:widowControl/>
              <w:suppressLineNumbers w:val="0"/>
              <w:autoSpaceDE w:val="0"/>
              <w:autoSpaceDN w:val="0"/>
              <w:adjustRightInd w:val="0"/>
              <w:spacing w:before="0" w:beforeAutospacing="0" w:afterAutospacing="0"/>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w:t>
            </w:r>
          </w:p>
        </w:tc>
        <w:tc>
          <w:tcPr>
            <w:tcW w:w="467" w:type="pct"/>
            <w:noWrap w:val="0"/>
            <w:vAlign w:val="center"/>
          </w:tcPr>
          <w:p w14:paraId="560E04D0">
            <w:pPr>
              <w:keepNext w:val="0"/>
              <w:keepLines w:val="0"/>
              <w:widowControl/>
              <w:suppressLineNumbers w:val="0"/>
              <w:autoSpaceDE w:val="0"/>
              <w:autoSpaceDN w:val="0"/>
              <w:adjustRightInd w:val="0"/>
              <w:spacing w:before="0" w:beforeAutospacing="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人员配备及技术水平</w:t>
            </w:r>
          </w:p>
        </w:tc>
        <w:tc>
          <w:tcPr>
            <w:tcW w:w="627" w:type="pct"/>
            <w:noWrap w:val="0"/>
            <w:vAlign w:val="center"/>
          </w:tcPr>
          <w:p w14:paraId="42083766">
            <w:pPr>
              <w:keepNext w:val="0"/>
              <w:keepLines w:val="0"/>
              <w:widowControl/>
              <w:suppressLineNumbers w:val="0"/>
              <w:autoSpaceDE w:val="0"/>
              <w:autoSpaceDN w:val="0"/>
              <w:adjustRightInd w:val="0"/>
              <w:spacing w:before="0" w:beforeAutospacing="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15分</w:t>
            </w:r>
          </w:p>
        </w:tc>
        <w:tc>
          <w:tcPr>
            <w:tcW w:w="3658" w:type="pct"/>
            <w:noWrap w:val="0"/>
            <w:vAlign w:val="center"/>
          </w:tcPr>
          <w:p w14:paraId="6C78F1F1">
            <w:pPr>
              <w:keepNext w:val="0"/>
              <w:keepLines w:val="0"/>
              <w:widowControl/>
              <w:suppressLineNumbers w:val="0"/>
              <w:autoSpaceDE w:val="0"/>
              <w:autoSpaceDN w:val="0"/>
              <w:adjustRightInd w:val="0"/>
              <w:spacing w:before="0" w:beforeAutospacing="0" w:afterAutospacing="0"/>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(若为联合体，指联合体牵头方)</w:t>
            </w:r>
            <w:r>
              <w:rPr>
                <w:rFonts w:hint="eastAsia" w:ascii="宋体" w:hAnsi="宋体" w:eastAsia="宋体" w:cs="宋体"/>
                <w:color w:val="auto"/>
                <w:sz w:val="24"/>
                <w:szCs w:val="24"/>
                <w:lang w:val="en-US" w:eastAsia="zh-CN"/>
              </w:rPr>
              <w:t>项目负责人经历及业务能力（本项最高得15分）</w:t>
            </w:r>
          </w:p>
          <w:p w14:paraId="4CB575B2">
            <w:pPr>
              <w:keepNext w:val="0"/>
              <w:keepLines w:val="0"/>
              <w:widowControl/>
              <w:suppressLineNumbers w:val="0"/>
              <w:autoSpaceDE w:val="0"/>
              <w:autoSpaceDN w:val="0"/>
              <w:adjustRightInd w:val="0"/>
              <w:spacing w:before="0" w:beforeAutospacing="0" w:afterAutospacing="0"/>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①拟派的项目负责人具有高级工程师或以上职称的得10分；具有中级工程师职称的得5分。其他情况不得分，本小项最高得10分；</w:t>
            </w:r>
          </w:p>
          <w:p w14:paraId="2CEEAB41">
            <w:pPr>
              <w:keepNext w:val="0"/>
              <w:keepLines w:val="0"/>
              <w:widowControl/>
              <w:suppressLineNumbers w:val="0"/>
              <w:autoSpaceDE w:val="0"/>
              <w:autoSpaceDN w:val="0"/>
              <w:adjustRightInd w:val="0"/>
              <w:spacing w:before="0" w:beforeAutospacing="0" w:afterAutospacing="0"/>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②拟派的项目负责人具有10年（含10年）或以上工作经历的，得5分；具有5-9年工作经历的（含5年），得3分；具有1-4年工作经历的（含1年），得1分，其他情况不得分，本小项最高得5分。</w:t>
            </w:r>
          </w:p>
          <w:p w14:paraId="0738199D">
            <w:pPr>
              <w:keepNext w:val="0"/>
              <w:keepLines w:val="0"/>
              <w:widowControl/>
              <w:suppressLineNumbers w:val="0"/>
              <w:autoSpaceDE w:val="0"/>
              <w:autoSpaceDN w:val="0"/>
              <w:adjustRightInd w:val="0"/>
              <w:spacing w:before="0" w:beforeAutospacing="0" w:afterAutospacing="0"/>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注：①按要求提供职称证、毕业证（工作经验时间以专科（或以上）毕业证发证日期起算）、近一个月（即2025年11月）在本单位交纳的社保证明的扫描件；②不符合上述条件或未按上述要求提供资料的不得分。</w:t>
            </w:r>
          </w:p>
        </w:tc>
      </w:tr>
      <w:tr w14:paraId="60ED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3" w:type="pct"/>
            <w:gridSpan w:val="2"/>
            <w:noWrap w:val="0"/>
            <w:vAlign w:val="center"/>
          </w:tcPr>
          <w:p w14:paraId="0FFEC251">
            <w:pPr>
              <w:keepNext w:val="0"/>
              <w:keepLines w:val="0"/>
              <w:widowControl/>
              <w:suppressLineNumbers w:val="0"/>
              <w:autoSpaceDE w:val="0"/>
              <w:autoSpaceDN w:val="0"/>
              <w:adjustRightInd w:val="0"/>
              <w:spacing w:before="0" w:beforeAutospacing="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627" w:type="pct"/>
            <w:noWrap w:val="0"/>
            <w:vAlign w:val="center"/>
          </w:tcPr>
          <w:p w14:paraId="678B9CD2">
            <w:pPr>
              <w:keepNext w:val="0"/>
              <w:keepLines w:val="0"/>
              <w:widowControl/>
              <w:suppressLineNumbers w:val="0"/>
              <w:autoSpaceDE w:val="0"/>
              <w:autoSpaceDN w:val="0"/>
              <w:adjustRightInd w:val="0"/>
              <w:spacing w:before="0" w:beforeAutospacing="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100分</w:t>
            </w:r>
          </w:p>
        </w:tc>
        <w:tc>
          <w:tcPr>
            <w:tcW w:w="3658" w:type="pct"/>
            <w:noWrap w:val="0"/>
            <w:vAlign w:val="center"/>
          </w:tcPr>
          <w:p w14:paraId="51B2F546">
            <w:pPr>
              <w:pStyle w:val="15"/>
              <w:keepNext w:val="0"/>
              <w:keepLines w:val="0"/>
              <w:suppressLineNumbers w:val="0"/>
              <w:spacing w:before="0" w:beforeAutospacing="0" w:afterAutospacing="0"/>
              <w:ind w:left="2520" w:right="0"/>
              <w:rPr>
                <w:rFonts w:hint="default"/>
                <w:sz w:val="24"/>
                <w:szCs w:val="24"/>
              </w:rPr>
            </w:pPr>
          </w:p>
        </w:tc>
      </w:tr>
    </w:tbl>
    <w:p w14:paraId="6B3468E1">
      <w:pPr>
        <w:pStyle w:val="75"/>
        <w:spacing w:line="360" w:lineRule="auto"/>
        <w:rPr>
          <w:rFonts w:hint="eastAsia" w:ascii="宋体" w:hAnsi="宋体"/>
        </w:rPr>
      </w:pPr>
      <w:r>
        <w:rPr>
          <w:rFonts w:hint="eastAsia" w:ascii="宋体" w:hAnsi="宋体"/>
        </w:rPr>
        <w:t xml:space="preserve">           </w:t>
      </w:r>
    </w:p>
    <w:p w14:paraId="498D428D">
      <w:pPr>
        <w:snapToGrid w:val="0"/>
        <w:spacing w:line="240" w:lineRule="auto"/>
        <w:rPr>
          <w:rFonts w:ascii="宋体" w:hAnsi="宋体" w:cs="宋体"/>
          <w:lang w:eastAsia="zh-CN"/>
        </w:rPr>
      </w:pPr>
      <w:r>
        <w:rPr>
          <w:rFonts w:hint="eastAsia" w:ascii="宋体" w:hAnsi="宋体" w:cs="宋体"/>
          <w:lang w:eastAsia="zh-CN"/>
        </w:rPr>
        <w:t>注：</w:t>
      </w:r>
    </w:p>
    <w:p w14:paraId="66D425FE">
      <w:pPr>
        <w:numPr>
          <w:ilvl w:val="0"/>
          <w:numId w:val="5"/>
        </w:numPr>
        <w:snapToGrid w:val="0"/>
        <w:spacing w:line="240" w:lineRule="auto"/>
        <w:ind w:firstLine="440" w:firstLineChars="200"/>
        <w:rPr>
          <w:rFonts w:hint="eastAsia" w:ascii="宋体" w:hAnsi="宋体" w:eastAsia="宋体" w:cs="宋体"/>
          <w:szCs w:val="21"/>
          <w:lang w:eastAsia="zh-CN"/>
        </w:rPr>
      </w:pPr>
      <w:r>
        <w:rPr>
          <w:rFonts w:hint="eastAsia" w:ascii="宋体" w:hAnsi="宋体" w:eastAsia="宋体" w:cs="宋体"/>
          <w:szCs w:val="21"/>
          <w:lang w:eastAsia="zh-CN"/>
        </w:rPr>
        <w:t>企业类似业绩</w:t>
      </w:r>
    </w:p>
    <w:p w14:paraId="5F498B40">
      <w:pPr>
        <w:snapToGrid w:val="0"/>
        <w:spacing w:line="240" w:lineRule="auto"/>
        <w:ind w:firstLine="440" w:firstLineChars="200"/>
        <w:rPr>
          <w:rFonts w:hint="eastAsia" w:ascii="宋体" w:hAnsi="宋体" w:eastAsia="宋体" w:cs="宋体"/>
          <w:szCs w:val="21"/>
          <w:lang w:eastAsia="zh-CN"/>
        </w:rPr>
      </w:pPr>
      <w:r>
        <w:rPr>
          <w:rFonts w:hint="eastAsia" w:ascii="宋体" w:hAnsi="宋体" w:eastAsia="宋体" w:cs="宋体"/>
          <w:szCs w:val="21"/>
          <w:lang w:eastAsia="zh-CN"/>
        </w:rPr>
        <w:t>须提供中标通知书（或免招标证明）及合同关键页及扫描件施工图审查合格证明文件。时间以合同文件签订时间为准，若合同文件无签订时间的，以中标通知书（或免招标证明）的时间为准。总建筑面积：以合同载明的建筑面积为准，若合同上没有载明，可提供能反映建筑面积的初步设计批复、或初步设计复函、或工程规划许可证、或施工图审查合格证明文件、或全国（或各省）建筑市场监管公共服务平台的截图作为证明材料，如均不能证明，可提供经该项目业主盖章确认的可证明业绩总建筑面积的其他证明文件，不符合上述条件或未提供相关证明材料的不得分。</w:t>
      </w:r>
    </w:p>
    <w:p w14:paraId="25C5008A">
      <w:pPr>
        <w:numPr>
          <w:ilvl w:val="0"/>
          <w:numId w:val="5"/>
        </w:numPr>
        <w:snapToGrid w:val="0"/>
        <w:spacing w:line="240" w:lineRule="auto"/>
        <w:ind w:firstLine="44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企业业绩获奖</w:t>
      </w:r>
    </w:p>
    <w:p w14:paraId="024C66DB">
      <w:pPr>
        <w:jc w:val="left"/>
        <w:rPr>
          <w:rFonts w:hint="default" w:ascii="宋体" w:hAnsi="宋体" w:eastAsia="宋体" w:cs="宋体"/>
          <w:szCs w:val="21"/>
          <w:lang w:val="en-US" w:eastAsia="zh-CN"/>
        </w:rPr>
      </w:pPr>
      <w:r>
        <w:rPr>
          <w:rFonts w:hint="default" w:ascii="宋体" w:hAnsi="宋体" w:eastAsia="宋体" w:cs="宋体"/>
          <w:szCs w:val="21"/>
          <w:lang w:val="en-US" w:eastAsia="zh-CN"/>
        </w:rPr>
        <w:t>（1）投标人须提供获奖证书或获奖公示文件扫描件，时间以获奖证书颁发时间或公示文件落款日期为准。如获奖证书上没有日期的，以住建部门或协会公布奖项评选结果的通知日期为准。同一工程项目获得多个奖项的，只计算其符合要求的最高奖项得分，不重复计分。</w:t>
      </w:r>
    </w:p>
    <w:p w14:paraId="3D25D29C">
      <w:pPr>
        <w:jc w:val="left"/>
        <w:rPr>
          <w:rFonts w:hint="default" w:ascii="宋体" w:hAnsi="宋体" w:eastAsia="宋体" w:cs="宋体"/>
          <w:szCs w:val="21"/>
          <w:highlight w:val="none"/>
          <w:lang w:val="en-US" w:eastAsia="zh-CN"/>
        </w:rPr>
      </w:pPr>
      <w:r>
        <w:rPr>
          <w:rFonts w:hint="default" w:ascii="宋体" w:hAnsi="宋体" w:eastAsia="宋体" w:cs="宋体"/>
          <w:szCs w:val="21"/>
          <w:lang w:val="en-US" w:eastAsia="zh-CN"/>
        </w:rPr>
        <w:t>（2）</w:t>
      </w:r>
      <w:r>
        <w:rPr>
          <w:rFonts w:hint="default" w:ascii="宋体" w:hAnsi="宋体" w:eastAsia="宋体" w:cs="宋体"/>
          <w:b/>
          <w:bCs/>
          <w:color w:val="auto"/>
          <w:szCs w:val="21"/>
          <w:lang w:val="en-US" w:eastAsia="zh-CN"/>
        </w:rPr>
        <w:t>国家级或行业级奖项是指由住建部</w:t>
      </w:r>
      <w:r>
        <w:rPr>
          <w:rFonts w:hint="eastAsia" w:ascii="宋体" w:hAnsi="宋体" w:cs="宋体"/>
          <w:b/>
          <w:bCs/>
          <w:color w:val="auto"/>
          <w:szCs w:val="21"/>
          <w:lang w:val="en-US" w:eastAsia="zh-CN"/>
        </w:rPr>
        <w:t>及其他部委</w:t>
      </w:r>
      <w:r>
        <w:rPr>
          <w:rFonts w:hint="default" w:ascii="宋体" w:hAnsi="宋体" w:eastAsia="宋体" w:cs="宋体"/>
          <w:b/>
          <w:bCs/>
          <w:color w:val="auto"/>
          <w:szCs w:val="21"/>
          <w:lang w:val="en-US" w:eastAsia="zh-CN"/>
        </w:rPr>
        <w:t>颁发的全国优秀工程勘察设计奖、中国勘察设计协会颁发的全国优秀工程勘察设计行业奖或行业优秀勘察设计奖、国务院颁发的国家科学技术奖、住建部的华夏建设科学技术奖励委员会颁发的华夏建设科学技术奖；</w:t>
      </w:r>
      <w:r>
        <w:rPr>
          <w:rFonts w:hint="default" w:ascii="宋体" w:hAnsi="宋体" w:eastAsia="宋体" w:cs="宋体"/>
          <w:szCs w:val="21"/>
          <w:highlight w:val="none"/>
          <w:lang w:val="en-US" w:eastAsia="zh-CN"/>
        </w:rPr>
        <w:t>省级奖项指由省级建设行政主管部门、省级工程勘察设计行业协会颁发的省级优秀勘察设计奖、省级人民政府颁发的省科学技术奖；市级（含副省级）奖项指由市级（含副省级）建设行政主管部门、市级（含副省级）工程勘察设计行业协会颁发的市级（含副省级）优秀勘察设计奖、市级（含副省级）人民政府颁发的市（含副省级）科学技术奖。</w:t>
      </w:r>
    </w:p>
    <w:p w14:paraId="12125276">
      <w:pPr>
        <w:jc w:val="left"/>
        <w:rPr>
          <w:rFonts w:hint="default" w:ascii="宋体" w:hAnsi="宋体" w:eastAsia="宋体" w:cs="宋体"/>
          <w:szCs w:val="21"/>
          <w:lang w:val="en-US" w:eastAsia="zh-CN"/>
        </w:rPr>
      </w:pPr>
      <w:r>
        <w:rPr>
          <w:rFonts w:hint="default" w:ascii="宋体" w:hAnsi="宋体" w:eastAsia="宋体" w:cs="宋体"/>
          <w:szCs w:val="21"/>
          <w:highlight w:val="none"/>
          <w:lang w:val="en-US" w:eastAsia="zh-CN"/>
        </w:rPr>
        <w:t>（3）如颁发单位为社会组织机构或</w:t>
      </w:r>
      <w:r>
        <w:rPr>
          <w:rFonts w:hint="default" w:ascii="宋体" w:hAnsi="宋体" w:eastAsia="宋体" w:cs="宋体"/>
          <w:szCs w:val="21"/>
          <w:lang w:val="en-US" w:eastAsia="zh-CN"/>
        </w:rPr>
        <w:t>协会的须同时提供该奖项颁发单位在“全国社会组织信用信息公示平台”登记的网页截图。</w:t>
      </w:r>
    </w:p>
    <w:p w14:paraId="17E8495F">
      <w:pPr>
        <w:jc w:val="left"/>
        <w:rPr>
          <w:rFonts w:hint="default" w:ascii="宋体" w:hAnsi="宋体" w:eastAsia="宋体" w:cs="宋体"/>
          <w:szCs w:val="21"/>
          <w:lang w:val="en-US" w:eastAsia="zh-CN"/>
        </w:rPr>
      </w:pPr>
      <w:r>
        <w:rPr>
          <w:rFonts w:hint="default" w:ascii="宋体" w:hAnsi="宋体" w:eastAsia="宋体" w:cs="宋体"/>
          <w:szCs w:val="21"/>
          <w:lang w:val="en-US" w:eastAsia="zh-CN"/>
        </w:rPr>
        <w:t>（4）不符合上述条件或未提供上述资料的奖项不得分。</w:t>
      </w:r>
    </w:p>
    <w:p w14:paraId="3AD3CD06">
      <w:pPr>
        <w:jc w:val="left"/>
        <w:rPr>
          <w:rFonts w:hint="default" w:ascii="宋体" w:hAnsi="宋体" w:eastAsia="宋体" w:cs="宋体"/>
          <w:szCs w:val="21"/>
          <w:lang w:val="en-US" w:eastAsia="zh-CN"/>
        </w:rPr>
      </w:pPr>
      <w:r>
        <w:rPr>
          <w:rFonts w:hint="default" w:ascii="宋体" w:hAnsi="宋体" w:eastAsia="宋体" w:cs="宋体"/>
          <w:szCs w:val="21"/>
          <w:lang w:val="en-US" w:eastAsia="zh-CN"/>
        </w:rPr>
        <w:t>3、本表中所有要求提供的证明资料扫描件需加盖投标人电子印章。未提供证明资料或提供的证明材料不齐全、不符合要求的，不得分。</w:t>
      </w:r>
    </w:p>
    <w:p w14:paraId="51F409C4">
      <w:pPr>
        <w:jc w:val="left"/>
        <w:rPr>
          <w:rFonts w:hint="default" w:ascii="宋体" w:hAnsi="宋体" w:eastAsia="宋体" w:cs="宋体"/>
          <w:szCs w:val="21"/>
          <w:lang w:val="en-US" w:eastAsia="zh-CN"/>
        </w:rPr>
      </w:pPr>
      <w:r>
        <w:rPr>
          <w:rFonts w:hint="default" w:ascii="宋体" w:hAnsi="宋体" w:eastAsia="宋体" w:cs="宋体"/>
          <w:szCs w:val="21"/>
          <w:lang w:val="en-US" w:eastAsia="zh-CN"/>
        </w:rPr>
        <w:t>4、投标人的得分为各评委评分的算术平均值（若分数出现小数点时，保留小数点后二位，第三位小数四舍五入）。</w:t>
      </w:r>
    </w:p>
    <w:p w14:paraId="4B5C3D46">
      <w:pPr>
        <w:spacing w:line="240" w:lineRule="auto"/>
        <w:jc w:val="center"/>
        <w:rPr>
          <w:rFonts w:hint="eastAsia" w:ascii="仿宋" w:hAnsi="仿宋" w:eastAsia="仿宋"/>
          <w:kern w:val="2"/>
          <w:sz w:val="24"/>
          <w:szCs w:val="24"/>
          <w:lang w:eastAsia="zh-CN"/>
        </w:rPr>
        <w:sectPr>
          <w:footerReference r:id="rId8" w:type="default"/>
          <w:pgSz w:w="11905" w:h="16838"/>
          <w:pgMar w:top="850" w:right="850" w:bottom="850" w:left="850" w:header="567" w:footer="567" w:gutter="0"/>
          <w:cols w:space="720" w:num="1"/>
        </w:sectPr>
      </w:pPr>
    </w:p>
    <w:p w14:paraId="35BDC802">
      <w:pPr>
        <w:pStyle w:val="35"/>
        <w:jc w:val="left"/>
        <w:rPr>
          <w:color w:val="auto"/>
        </w:rPr>
      </w:pPr>
      <w:bookmarkStart w:id="281" w:name="_Toc190785954"/>
      <w:bookmarkStart w:id="282" w:name="_Toc190785858"/>
      <w:r>
        <w:rPr>
          <w:rFonts w:hint="eastAsia"/>
          <w:color w:val="auto"/>
          <w:sz w:val="24"/>
          <w:szCs w:val="24"/>
        </w:rPr>
        <w:t>附表二：技术部分综合评分表</w:t>
      </w:r>
      <w:bookmarkEnd w:id="281"/>
      <w:bookmarkEnd w:id="282"/>
    </w:p>
    <w:p w14:paraId="7C4221E7">
      <w:pPr>
        <w:pStyle w:val="35"/>
        <w:rPr>
          <w:rFonts w:hint="eastAsia" w:ascii="宋体" w:hAnsi="宋体" w:eastAsia="宋体" w:cs="宋体"/>
          <w:color w:val="auto"/>
          <w:sz w:val="32"/>
          <w:szCs w:val="32"/>
        </w:rPr>
      </w:pPr>
      <w:bookmarkStart w:id="283" w:name="_Toc190785955"/>
      <w:bookmarkStart w:id="284" w:name="_Toc190785859"/>
      <w:r>
        <w:rPr>
          <w:rFonts w:hint="eastAsia" w:ascii="宋体" w:hAnsi="宋体" w:eastAsia="宋体" w:cs="宋体"/>
          <w:color w:val="auto"/>
          <w:sz w:val="32"/>
          <w:szCs w:val="32"/>
        </w:rPr>
        <w:t>技术部分综合评分表</w:t>
      </w:r>
      <w:bookmarkEnd w:id="283"/>
      <w:bookmarkEnd w:id="284"/>
    </w:p>
    <w:tbl>
      <w:tblPr>
        <w:tblStyle w:val="3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09"/>
        <w:gridCol w:w="1559"/>
        <w:gridCol w:w="1312"/>
        <w:gridCol w:w="5067"/>
      </w:tblGrid>
      <w:tr w14:paraId="6946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trPr>
        <w:tc>
          <w:tcPr>
            <w:tcW w:w="3227" w:type="dxa"/>
            <w:gridSpan w:val="3"/>
            <w:noWrap w:val="0"/>
            <w:vAlign w:val="center"/>
          </w:tcPr>
          <w:p w14:paraId="699EC1E2">
            <w:pPr>
              <w:keepNext w:val="0"/>
              <w:keepLines w:val="0"/>
              <w:widowControl/>
              <w:suppressLineNumbers w:val="0"/>
              <w:spacing w:before="0" w:beforeAutospacing="0" w:afterAutospacing="0" w:line="360" w:lineRule="auto"/>
              <w:ind w:left="0" w:right="0"/>
              <w:jc w:val="center"/>
              <w:rPr>
                <w:rFonts w:hint="eastAsia" w:ascii="宋体" w:hAnsi="宋体" w:eastAsia="宋体" w:cs="微软雅黑"/>
                <w:color w:val="auto"/>
                <w:sz w:val="24"/>
                <w:szCs w:val="24"/>
              </w:rPr>
            </w:pPr>
            <w:r>
              <w:rPr>
                <w:rFonts w:hint="eastAsia" w:ascii="宋体" w:hAnsi="宋体" w:eastAsia="宋体" w:cs="微软雅黑"/>
                <w:color w:val="auto"/>
                <w:sz w:val="24"/>
                <w:szCs w:val="24"/>
              </w:rPr>
              <w:t>评分项内容</w:t>
            </w:r>
          </w:p>
        </w:tc>
        <w:tc>
          <w:tcPr>
            <w:tcW w:w="1312" w:type="dxa"/>
            <w:noWrap w:val="0"/>
            <w:vAlign w:val="center"/>
          </w:tcPr>
          <w:p w14:paraId="741C7DC6">
            <w:pPr>
              <w:keepNext w:val="0"/>
              <w:keepLines w:val="0"/>
              <w:widowControl/>
              <w:suppressLineNumbers w:val="0"/>
              <w:spacing w:before="0" w:beforeAutospacing="0" w:afterAutospacing="0" w:line="360" w:lineRule="auto"/>
              <w:ind w:left="0" w:right="0"/>
              <w:jc w:val="center"/>
              <w:rPr>
                <w:rFonts w:hint="eastAsia" w:ascii="宋体" w:hAnsi="宋体" w:eastAsia="宋体" w:cs="微软雅黑"/>
                <w:color w:val="auto"/>
                <w:sz w:val="24"/>
                <w:szCs w:val="24"/>
              </w:rPr>
            </w:pPr>
            <w:r>
              <w:rPr>
                <w:rFonts w:hint="default" w:ascii="宋体" w:hAnsi="宋体" w:eastAsia="宋体" w:cs="微软雅黑"/>
                <w:color w:val="auto"/>
                <w:sz w:val="24"/>
                <w:szCs w:val="24"/>
              </w:rPr>
              <w:t>分值分配</w:t>
            </w:r>
          </w:p>
        </w:tc>
        <w:tc>
          <w:tcPr>
            <w:tcW w:w="5067" w:type="dxa"/>
            <w:noWrap w:val="0"/>
            <w:vAlign w:val="center"/>
          </w:tcPr>
          <w:p w14:paraId="4837AF75">
            <w:pPr>
              <w:keepNext w:val="0"/>
              <w:keepLines w:val="0"/>
              <w:widowControl/>
              <w:suppressLineNumbers w:val="0"/>
              <w:spacing w:before="0" w:beforeAutospacing="0" w:afterAutospacing="0" w:line="360" w:lineRule="auto"/>
              <w:ind w:left="0" w:right="0"/>
              <w:jc w:val="center"/>
              <w:rPr>
                <w:rFonts w:hint="eastAsia" w:ascii="宋体" w:hAnsi="宋体" w:eastAsia="宋体" w:cs="微软雅黑"/>
                <w:color w:val="auto"/>
                <w:sz w:val="24"/>
                <w:szCs w:val="24"/>
              </w:rPr>
            </w:pPr>
            <w:r>
              <w:rPr>
                <w:rFonts w:hint="eastAsia" w:ascii="宋体" w:hAnsi="宋体" w:eastAsia="宋体" w:cs="微软雅黑"/>
                <w:color w:val="auto"/>
                <w:sz w:val="24"/>
                <w:szCs w:val="24"/>
              </w:rPr>
              <w:t>主要评判因素</w:t>
            </w:r>
          </w:p>
        </w:tc>
      </w:tr>
      <w:tr w14:paraId="6574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trPr>
        <w:tc>
          <w:tcPr>
            <w:tcW w:w="959" w:type="dxa"/>
            <w:vMerge w:val="restart"/>
            <w:noWrap w:val="0"/>
            <w:vAlign w:val="center"/>
          </w:tcPr>
          <w:p w14:paraId="25DB0D10">
            <w:pPr>
              <w:keepNext w:val="0"/>
              <w:keepLines w:val="0"/>
              <w:widowControl/>
              <w:suppressLineNumbers w:val="0"/>
              <w:spacing w:before="0" w:beforeAutospacing="0" w:afterAutospacing="0" w:line="360" w:lineRule="auto"/>
              <w:ind w:left="0" w:right="0"/>
              <w:rPr>
                <w:rFonts w:hint="eastAsia" w:ascii="宋体" w:hAnsi="宋体" w:eastAsia="宋体" w:cs="微软雅黑"/>
                <w:color w:val="auto"/>
                <w:sz w:val="24"/>
                <w:szCs w:val="24"/>
              </w:rPr>
            </w:pPr>
            <w:r>
              <w:rPr>
                <w:rFonts w:hint="eastAsia" w:ascii="宋体" w:hAnsi="宋体" w:eastAsia="宋体" w:cs="宋体"/>
                <w:sz w:val="24"/>
                <w:szCs w:val="24"/>
              </w:rPr>
              <w:t>技术部分评分标准</w:t>
            </w:r>
          </w:p>
        </w:tc>
        <w:tc>
          <w:tcPr>
            <w:tcW w:w="709" w:type="dxa"/>
            <w:noWrap w:val="0"/>
            <w:vAlign w:val="center"/>
          </w:tcPr>
          <w:p w14:paraId="3D2E1BEC">
            <w:pPr>
              <w:keepNext w:val="0"/>
              <w:keepLines w:val="0"/>
              <w:widowControl/>
              <w:suppressLineNumbers w:val="0"/>
              <w:spacing w:before="0" w:beforeAutospacing="0" w:afterAutospacing="0" w:line="360" w:lineRule="auto"/>
              <w:ind w:left="0" w:right="0"/>
              <w:jc w:val="center"/>
              <w:rPr>
                <w:rFonts w:hint="eastAsia" w:ascii="宋体" w:hAnsi="宋体" w:eastAsia="宋体" w:cs="微软雅黑"/>
                <w:color w:val="auto"/>
                <w:sz w:val="24"/>
                <w:szCs w:val="24"/>
              </w:rPr>
            </w:pPr>
            <w:r>
              <w:rPr>
                <w:rFonts w:hint="eastAsia" w:ascii="宋体" w:hAnsi="宋体" w:eastAsia="宋体" w:cs="微软雅黑"/>
                <w:color w:val="auto"/>
                <w:sz w:val="24"/>
                <w:szCs w:val="24"/>
              </w:rPr>
              <w:t>1</w:t>
            </w:r>
          </w:p>
        </w:tc>
        <w:tc>
          <w:tcPr>
            <w:tcW w:w="1559" w:type="dxa"/>
            <w:noWrap w:val="0"/>
            <w:vAlign w:val="center"/>
          </w:tcPr>
          <w:p w14:paraId="0A69AE64">
            <w:pPr>
              <w:keepNext w:val="0"/>
              <w:keepLines w:val="0"/>
              <w:widowControl/>
              <w:suppressLineNumbers w:val="0"/>
              <w:spacing w:before="0" w:beforeAutospacing="0" w:afterAutospacing="0"/>
              <w:ind w:left="0" w:right="0"/>
              <w:jc w:val="center"/>
              <w:rPr>
                <w:rFonts w:hint="eastAsia" w:ascii="宋体" w:hAnsi="宋体" w:eastAsia="宋体" w:cs="微软雅黑"/>
                <w:color w:val="auto"/>
                <w:sz w:val="24"/>
                <w:szCs w:val="24"/>
              </w:rPr>
            </w:pPr>
            <w:r>
              <w:rPr>
                <w:rFonts w:hint="eastAsia" w:ascii="宋体" w:hAnsi="宋体" w:eastAsia="宋体" w:cs="宋体"/>
                <w:bCs/>
                <w:sz w:val="24"/>
                <w:szCs w:val="24"/>
                <w:lang w:eastAsia="zh-CN"/>
              </w:rPr>
              <w:t>对本项目的认识、理解</w:t>
            </w:r>
            <w:r>
              <w:rPr>
                <w:rFonts w:hint="eastAsia" w:ascii="宋体" w:hAnsi="宋体" w:eastAsia="宋体" w:cs="宋体"/>
                <w:bCs/>
                <w:sz w:val="24"/>
                <w:szCs w:val="24"/>
              </w:rPr>
              <w:t xml:space="preserve"> </w:t>
            </w:r>
          </w:p>
        </w:tc>
        <w:tc>
          <w:tcPr>
            <w:tcW w:w="1312" w:type="dxa"/>
            <w:noWrap w:val="0"/>
            <w:vAlign w:val="center"/>
          </w:tcPr>
          <w:p w14:paraId="06C3A99C">
            <w:pPr>
              <w:keepNext w:val="0"/>
              <w:keepLines w:val="0"/>
              <w:widowControl/>
              <w:suppressLineNumbers w:val="0"/>
              <w:spacing w:before="0" w:beforeAutospacing="0" w:afterAutospacing="0" w:line="360" w:lineRule="auto"/>
              <w:ind w:left="0" w:right="0"/>
              <w:jc w:val="center"/>
              <w:rPr>
                <w:rFonts w:hint="eastAsia" w:ascii="宋体" w:hAnsi="宋体" w:eastAsia="宋体" w:cs="微软雅黑"/>
                <w:color w:val="auto"/>
                <w:sz w:val="24"/>
                <w:szCs w:val="24"/>
              </w:rPr>
            </w:pPr>
            <w:r>
              <w:rPr>
                <w:rFonts w:hint="eastAsia" w:ascii="宋体" w:hAnsi="宋体" w:eastAsia="宋体" w:cs="微软雅黑"/>
                <w:color w:val="auto"/>
                <w:sz w:val="24"/>
                <w:szCs w:val="24"/>
                <w:lang w:eastAsia="zh-CN"/>
              </w:rPr>
              <w:t>20</w:t>
            </w:r>
            <w:r>
              <w:rPr>
                <w:rFonts w:hint="eastAsia" w:ascii="宋体" w:hAnsi="宋体" w:eastAsia="宋体" w:cs="微软雅黑"/>
                <w:color w:val="auto"/>
                <w:sz w:val="24"/>
                <w:szCs w:val="24"/>
              </w:rPr>
              <w:t>分</w:t>
            </w:r>
          </w:p>
        </w:tc>
        <w:tc>
          <w:tcPr>
            <w:tcW w:w="5067" w:type="dxa"/>
            <w:noWrap w:val="0"/>
            <w:vAlign w:val="center"/>
          </w:tcPr>
          <w:p w14:paraId="334D0BB7">
            <w:pPr>
              <w:keepNext w:val="0"/>
              <w:keepLines w:val="0"/>
              <w:widowControl/>
              <w:suppressLineNumbers w:val="0"/>
              <w:spacing w:before="0" w:beforeAutospacing="0" w:afterAutospacing="0"/>
              <w:ind w:left="0" w:right="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对本项目勘察内容的理解充分、分析准确；对勘察范围的把握准确；对勘察任务书的理解和分析准确。横向对比各投标人情况：</w:t>
            </w:r>
          </w:p>
          <w:p w14:paraId="7AAA240F">
            <w:pPr>
              <w:keepNext w:val="0"/>
              <w:keepLines w:val="0"/>
              <w:widowControl/>
              <w:suppressLineNumbers w:val="0"/>
              <w:spacing w:before="0" w:beforeAutospacing="0" w:afterAutospacing="0"/>
              <w:ind w:left="0" w:right="0"/>
              <w:jc w:val="left"/>
              <w:rPr>
                <w:rFonts w:hint="eastAsia" w:ascii="Calibri" w:hAnsi="Calibri" w:cs="Times New Roman"/>
                <w:color w:val="auto"/>
              </w:rPr>
            </w:pPr>
            <w:r>
              <w:rPr>
                <w:rFonts w:hint="eastAsia" w:ascii="宋体" w:hAnsi="宋体" w:eastAsia="宋体" w:cs="宋体"/>
                <w:bCs/>
                <w:sz w:val="24"/>
                <w:szCs w:val="24"/>
                <w:lang w:eastAsia="zh-CN"/>
              </w:rPr>
              <w:t>优得(15,20]分，良得(10,15]分，一般得(5,10]分，差或没有此内容得[0,5]分。</w:t>
            </w:r>
          </w:p>
        </w:tc>
      </w:tr>
      <w:tr w14:paraId="7CAC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3" w:hRule="atLeast"/>
        </w:trPr>
        <w:tc>
          <w:tcPr>
            <w:tcW w:w="959" w:type="dxa"/>
            <w:vMerge w:val="continue"/>
            <w:noWrap w:val="0"/>
            <w:vAlign w:val="center"/>
          </w:tcPr>
          <w:p w14:paraId="7D7B3649">
            <w:pPr>
              <w:keepNext w:val="0"/>
              <w:keepLines w:val="0"/>
              <w:widowControl/>
              <w:suppressLineNumbers w:val="0"/>
              <w:spacing w:before="0" w:beforeAutospacing="0" w:afterAutospacing="0" w:line="360" w:lineRule="auto"/>
              <w:ind w:left="0" w:right="0"/>
              <w:jc w:val="center"/>
              <w:rPr>
                <w:rFonts w:hint="eastAsia" w:ascii="宋体" w:hAnsi="宋体" w:eastAsia="宋体" w:cs="微软雅黑"/>
                <w:color w:val="auto"/>
                <w:sz w:val="24"/>
                <w:szCs w:val="24"/>
              </w:rPr>
            </w:pPr>
          </w:p>
        </w:tc>
        <w:tc>
          <w:tcPr>
            <w:tcW w:w="709" w:type="dxa"/>
            <w:noWrap w:val="0"/>
            <w:vAlign w:val="center"/>
          </w:tcPr>
          <w:p w14:paraId="25664523">
            <w:pPr>
              <w:keepNext w:val="0"/>
              <w:keepLines w:val="0"/>
              <w:widowControl/>
              <w:suppressLineNumbers w:val="0"/>
              <w:spacing w:before="0" w:beforeAutospacing="0" w:afterAutospacing="0" w:line="360" w:lineRule="auto"/>
              <w:ind w:left="0" w:right="0"/>
              <w:jc w:val="center"/>
              <w:rPr>
                <w:rFonts w:hint="eastAsia" w:ascii="宋体" w:hAnsi="宋体" w:eastAsia="宋体" w:cs="微软雅黑"/>
                <w:color w:val="auto"/>
                <w:sz w:val="24"/>
                <w:szCs w:val="24"/>
              </w:rPr>
            </w:pPr>
            <w:r>
              <w:rPr>
                <w:rFonts w:hint="eastAsia" w:ascii="宋体" w:hAnsi="宋体" w:eastAsia="宋体" w:cs="微软雅黑"/>
                <w:color w:val="auto"/>
                <w:sz w:val="24"/>
                <w:szCs w:val="24"/>
              </w:rPr>
              <w:t>2</w:t>
            </w:r>
          </w:p>
        </w:tc>
        <w:tc>
          <w:tcPr>
            <w:tcW w:w="1559" w:type="dxa"/>
            <w:noWrap w:val="0"/>
            <w:vAlign w:val="center"/>
          </w:tcPr>
          <w:p w14:paraId="19DD7D25">
            <w:pPr>
              <w:keepNext w:val="0"/>
              <w:keepLines w:val="0"/>
              <w:widowControl/>
              <w:suppressLineNumbers w:val="0"/>
              <w:spacing w:before="0" w:beforeAutospacing="0" w:afterAutospacing="0" w:line="0" w:lineRule="atLeast"/>
              <w:ind w:left="0" w:right="0"/>
              <w:jc w:val="center"/>
              <w:rPr>
                <w:rFonts w:hint="eastAsia" w:ascii="宋体" w:hAnsi="宋体" w:eastAsia="宋体" w:cs="微软雅黑"/>
                <w:color w:val="auto"/>
                <w:sz w:val="24"/>
                <w:szCs w:val="24"/>
              </w:rPr>
            </w:pPr>
            <w:r>
              <w:rPr>
                <w:rFonts w:hint="eastAsia" w:ascii="宋体" w:hAnsi="宋体" w:eastAsia="宋体" w:cs="微软雅黑"/>
                <w:color w:val="auto"/>
                <w:sz w:val="24"/>
                <w:szCs w:val="24"/>
                <w:lang w:eastAsia="zh-CN"/>
              </w:rPr>
              <w:t>勘察工作重点、难点分析及解决措施</w:t>
            </w:r>
          </w:p>
        </w:tc>
        <w:tc>
          <w:tcPr>
            <w:tcW w:w="1312" w:type="dxa"/>
            <w:noWrap w:val="0"/>
            <w:vAlign w:val="center"/>
          </w:tcPr>
          <w:p w14:paraId="3CE0F6A7">
            <w:pPr>
              <w:keepNext w:val="0"/>
              <w:keepLines w:val="0"/>
              <w:widowControl/>
              <w:suppressLineNumbers w:val="0"/>
              <w:spacing w:before="0" w:beforeAutospacing="0" w:afterAutospacing="0" w:line="360" w:lineRule="auto"/>
              <w:ind w:left="0" w:right="0"/>
              <w:jc w:val="center"/>
              <w:rPr>
                <w:rFonts w:hint="eastAsia" w:ascii="宋体" w:hAnsi="宋体" w:eastAsia="宋体" w:cs="微软雅黑"/>
                <w:color w:val="auto"/>
                <w:sz w:val="24"/>
                <w:szCs w:val="24"/>
              </w:rPr>
            </w:pPr>
            <w:r>
              <w:rPr>
                <w:rFonts w:hint="eastAsia" w:ascii="宋体" w:hAnsi="宋体" w:eastAsia="宋体" w:cs="微软雅黑"/>
                <w:color w:val="auto"/>
                <w:sz w:val="24"/>
                <w:szCs w:val="24"/>
                <w:lang w:eastAsia="zh-CN"/>
              </w:rPr>
              <w:t>25</w:t>
            </w:r>
            <w:r>
              <w:rPr>
                <w:rFonts w:hint="eastAsia" w:ascii="宋体" w:hAnsi="宋体" w:eastAsia="宋体" w:cs="微软雅黑"/>
                <w:color w:val="auto"/>
                <w:sz w:val="24"/>
                <w:szCs w:val="24"/>
              </w:rPr>
              <w:t>分</w:t>
            </w:r>
          </w:p>
        </w:tc>
        <w:tc>
          <w:tcPr>
            <w:tcW w:w="5067" w:type="dxa"/>
            <w:noWrap w:val="0"/>
            <w:vAlign w:val="center"/>
          </w:tcPr>
          <w:p w14:paraId="0EE0B5A3">
            <w:pPr>
              <w:keepNext w:val="0"/>
              <w:keepLines w:val="0"/>
              <w:widowControl/>
              <w:suppressLineNumbers w:val="0"/>
              <w:spacing w:before="0" w:beforeAutospacing="0" w:afterAutospacing="0"/>
              <w:ind w:left="0" w:right="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充分分析本项目勘察工作的重点、难点，针对本项目勘察工作的重点、难点，提出针对性的解决措施，合理化建议切实可行。横向对比各投标人情况：</w:t>
            </w:r>
          </w:p>
          <w:p w14:paraId="5CB0316F">
            <w:pPr>
              <w:keepNext w:val="0"/>
              <w:keepLines w:val="0"/>
              <w:widowControl/>
              <w:suppressLineNumbers w:val="0"/>
              <w:spacing w:before="0" w:beforeAutospacing="0" w:afterAutospacing="0"/>
              <w:ind w:left="0" w:right="0"/>
              <w:jc w:val="left"/>
              <w:rPr>
                <w:rFonts w:hint="eastAsia" w:ascii="Calibri" w:hAnsi="Calibri" w:cs="Times New Roman"/>
                <w:color w:val="auto"/>
              </w:rPr>
            </w:pPr>
            <w:r>
              <w:rPr>
                <w:rFonts w:hint="eastAsia" w:ascii="宋体" w:hAnsi="宋体" w:eastAsia="宋体" w:cs="宋体"/>
                <w:bCs/>
                <w:sz w:val="24"/>
                <w:szCs w:val="24"/>
                <w:lang w:eastAsia="zh-CN"/>
              </w:rPr>
              <w:t>优得(18,25]分，良得(12,18]分，一般得(6,12]分，差或没有此内容得[0,6]分。</w:t>
            </w:r>
          </w:p>
        </w:tc>
      </w:tr>
      <w:tr w14:paraId="0A14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3" w:hRule="atLeast"/>
        </w:trPr>
        <w:tc>
          <w:tcPr>
            <w:tcW w:w="959" w:type="dxa"/>
            <w:vMerge w:val="continue"/>
            <w:noWrap w:val="0"/>
            <w:vAlign w:val="center"/>
          </w:tcPr>
          <w:p w14:paraId="322DC263">
            <w:pPr>
              <w:keepNext w:val="0"/>
              <w:keepLines w:val="0"/>
              <w:widowControl/>
              <w:suppressLineNumbers w:val="0"/>
              <w:spacing w:before="0" w:beforeAutospacing="0" w:afterAutospacing="0" w:line="360" w:lineRule="auto"/>
              <w:ind w:left="0" w:right="0"/>
              <w:jc w:val="center"/>
              <w:rPr>
                <w:rFonts w:hint="eastAsia" w:ascii="宋体" w:hAnsi="宋体" w:eastAsia="宋体" w:cs="微软雅黑"/>
                <w:color w:val="auto"/>
                <w:sz w:val="24"/>
                <w:szCs w:val="24"/>
              </w:rPr>
            </w:pPr>
          </w:p>
        </w:tc>
        <w:tc>
          <w:tcPr>
            <w:tcW w:w="709" w:type="dxa"/>
            <w:noWrap w:val="0"/>
            <w:vAlign w:val="center"/>
          </w:tcPr>
          <w:p w14:paraId="16C7EC15">
            <w:pPr>
              <w:keepNext w:val="0"/>
              <w:keepLines w:val="0"/>
              <w:widowControl/>
              <w:suppressLineNumbers w:val="0"/>
              <w:spacing w:before="0" w:beforeAutospacing="0" w:afterAutospacing="0" w:line="360" w:lineRule="auto"/>
              <w:ind w:left="0" w:right="0"/>
              <w:jc w:val="center"/>
              <w:rPr>
                <w:rFonts w:hint="eastAsia" w:ascii="宋体" w:hAnsi="宋体" w:eastAsia="宋体" w:cs="微软雅黑"/>
                <w:color w:val="auto"/>
                <w:sz w:val="24"/>
                <w:szCs w:val="24"/>
              </w:rPr>
            </w:pPr>
            <w:r>
              <w:rPr>
                <w:rFonts w:hint="eastAsia" w:ascii="宋体" w:hAnsi="宋体" w:eastAsia="宋体" w:cs="微软雅黑"/>
                <w:color w:val="auto"/>
                <w:sz w:val="24"/>
                <w:szCs w:val="24"/>
              </w:rPr>
              <w:t>3</w:t>
            </w:r>
          </w:p>
        </w:tc>
        <w:tc>
          <w:tcPr>
            <w:tcW w:w="1559" w:type="dxa"/>
            <w:noWrap w:val="0"/>
            <w:vAlign w:val="center"/>
          </w:tcPr>
          <w:p w14:paraId="48B8FA5E">
            <w:pPr>
              <w:keepNext w:val="0"/>
              <w:keepLines w:val="0"/>
              <w:widowControl/>
              <w:suppressLineNumbers w:val="0"/>
              <w:spacing w:before="0" w:beforeAutospacing="0" w:afterAutospacing="0"/>
              <w:ind w:left="0" w:right="0"/>
              <w:jc w:val="center"/>
              <w:rPr>
                <w:rFonts w:hint="eastAsia" w:ascii="宋体" w:hAnsi="宋体" w:eastAsia="宋体" w:cs="微软雅黑"/>
                <w:color w:val="auto"/>
                <w:sz w:val="24"/>
                <w:szCs w:val="24"/>
              </w:rPr>
            </w:pPr>
            <w:r>
              <w:rPr>
                <w:rFonts w:hint="eastAsia" w:ascii="宋体" w:hAnsi="宋体" w:eastAsia="宋体" w:cs="微软雅黑"/>
                <w:color w:val="auto"/>
                <w:sz w:val="24"/>
                <w:szCs w:val="24"/>
                <w:lang w:eastAsia="zh-CN"/>
              </w:rPr>
              <w:t>勘察进度安排及保障措施</w:t>
            </w:r>
          </w:p>
        </w:tc>
        <w:tc>
          <w:tcPr>
            <w:tcW w:w="1312" w:type="dxa"/>
            <w:noWrap w:val="0"/>
            <w:vAlign w:val="center"/>
          </w:tcPr>
          <w:p w14:paraId="5550360A">
            <w:pPr>
              <w:keepNext w:val="0"/>
              <w:keepLines w:val="0"/>
              <w:widowControl/>
              <w:suppressLineNumbers w:val="0"/>
              <w:spacing w:before="0" w:beforeAutospacing="0" w:afterAutospacing="0" w:line="360" w:lineRule="auto"/>
              <w:ind w:left="0" w:right="0"/>
              <w:jc w:val="center"/>
              <w:rPr>
                <w:rFonts w:hint="eastAsia" w:ascii="宋体" w:hAnsi="宋体" w:eastAsia="宋体" w:cs="微软雅黑"/>
                <w:color w:val="auto"/>
                <w:sz w:val="24"/>
                <w:szCs w:val="24"/>
              </w:rPr>
            </w:pPr>
            <w:r>
              <w:rPr>
                <w:rFonts w:hint="eastAsia" w:ascii="宋体" w:hAnsi="宋体" w:eastAsia="宋体" w:cs="微软雅黑"/>
                <w:color w:val="auto"/>
                <w:sz w:val="24"/>
                <w:szCs w:val="24"/>
                <w:lang w:eastAsia="zh-CN"/>
              </w:rPr>
              <w:t>25</w:t>
            </w:r>
            <w:r>
              <w:rPr>
                <w:rFonts w:hint="eastAsia" w:ascii="宋体" w:hAnsi="宋体" w:eastAsia="宋体" w:cs="微软雅黑"/>
                <w:color w:val="auto"/>
                <w:sz w:val="24"/>
                <w:szCs w:val="24"/>
              </w:rPr>
              <w:t>分</w:t>
            </w:r>
          </w:p>
        </w:tc>
        <w:tc>
          <w:tcPr>
            <w:tcW w:w="5067" w:type="dxa"/>
            <w:noWrap w:val="0"/>
            <w:vAlign w:val="center"/>
          </w:tcPr>
          <w:p w14:paraId="7B3E2903">
            <w:pPr>
              <w:keepNext w:val="0"/>
              <w:keepLines w:val="0"/>
              <w:widowControl/>
              <w:suppressLineNumbers w:val="0"/>
              <w:spacing w:before="0" w:beforeAutospacing="0" w:afterAutospacing="0"/>
              <w:ind w:left="0" w:right="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根据本项目勘察服务工期要求，结合自身的管理经验及实际情况，制定依据充分的勘察工作计划安排，并从各阶段勘察工作安排、各专业之间的配合、统筹管理等方面提出相应的进度保证措施。进度保证措施满足工期要求、技术服务保障措施得力、有针对性。横向对比各投标人情况：</w:t>
            </w:r>
          </w:p>
          <w:p w14:paraId="68765458">
            <w:pPr>
              <w:keepNext w:val="0"/>
              <w:keepLines w:val="0"/>
              <w:widowControl/>
              <w:suppressLineNumbers w:val="0"/>
              <w:spacing w:before="0" w:beforeAutospacing="0" w:afterAutospacing="0"/>
              <w:ind w:left="0" w:right="0"/>
              <w:jc w:val="left"/>
              <w:rPr>
                <w:rFonts w:hint="eastAsia" w:ascii="Calibri" w:hAnsi="Calibri" w:cs="Times New Roman"/>
                <w:color w:val="auto"/>
              </w:rPr>
            </w:pPr>
            <w:r>
              <w:rPr>
                <w:rFonts w:hint="eastAsia" w:ascii="宋体" w:hAnsi="宋体" w:eastAsia="宋体" w:cs="宋体"/>
                <w:bCs/>
                <w:sz w:val="24"/>
                <w:szCs w:val="24"/>
                <w:lang w:eastAsia="zh-CN"/>
              </w:rPr>
              <w:t>优得(18,25]分，良得(12,18]分，一般得(6,12]分，差或没有此内容得[0,6]分。</w:t>
            </w:r>
          </w:p>
        </w:tc>
      </w:tr>
      <w:tr w14:paraId="75F6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8" w:hRule="atLeast"/>
        </w:trPr>
        <w:tc>
          <w:tcPr>
            <w:tcW w:w="959" w:type="dxa"/>
            <w:vMerge w:val="continue"/>
            <w:noWrap w:val="0"/>
            <w:vAlign w:val="center"/>
          </w:tcPr>
          <w:p w14:paraId="6F82973F">
            <w:pPr>
              <w:keepNext w:val="0"/>
              <w:keepLines w:val="0"/>
              <w:widowControl/>
              <w:suppressLineNumbers w:val="0"/>
              <w:spacing w:before="0" w:beforeAutospacing="0" w:afterAutospacing="0" w:line="360" w:lineRule="auto"/>
              <w:ind w:left="0" w:right="0"/>
              <w:jc w:val="center"/>
              <w:rPr>
                <w:rFonts w:hint="eastAsia" w:ascii="宋体" w:hAnsi="宋体" w:eastAsia="宋体" w:cs="微软雅黑"/>
                <w:color w:val="auto"/>
                <w:sz w:val="24"/>
                <w:szCs w:val="24"/>
              </w:rPr>
            </w:pPr>
          </w:p>
        </w:tc>
        <w:tc>
          <w:tcPr>
            <w:tcW w:w="709" w:type="dxa"/>
            <w:noWrap w:val="0"/>
            <w:vAlign w:val="center"/>
          </w:tcPr>
          <w:p w14:paraId="263B02F9">
            <w:pPr>
              <w:keepNext w:val="0"/>
              <w:keepLines w:val="0"/>
              <w:widowControl/>
              <w:suppressLineNumbers w:val="0"/>
              <w:spacing w:before="0" w:beforeAutospacing="0" w:afterAutospacing="0" w:line="360" w:lineRule="auto"/>
              <w:ind w:left="0" w:right="0"/>
              <w:jc w:val="center"/>
              <w:rPr>
                <w:rFonts w:hint="eastAsia" w:ascii="宋体" w:hAnsi="宋体" w:eastAsia="宋体" w:cs="微软雅黑"/>
                <w:color w:val="auto"/>
                <w:sz w:val="24"/>
                <w:szCs w:val="24"/>
                <w:lang w:val="en-US" w:eastAsia="zh-CN"/>
              </w:rPr>
            </w:pPr>
            <w:r>
              <w:rPr>
                <w:rFonts w:hint="eastAsia" w:ascii="宋体" w:hAnsi="宋体" w:eastAsia="宋体" w:cs="微软雅黑"/>
                <w:color w:val="auto"/>
                <w:sz w:val="24"/>
                <w:szCs w:val="24"/>
                <w:lang w:val="en-US" w:eastAsia="zh-CN"/>
              </w:rPr>
              <w:t>4</w:t>
            </w:r>
          </w:p>
        </w:tc>
        <w:tc>
          <w:tcPr>
            <w:tcW w:w="1559" w:type="dxa"/>
            <w:noWrap w:val="0"/>
            <w:vAlign w:val="center"/>
          </w:tcPr>
          <w:p w14:paraId="39F77252">
            <w:pPr>
              <w:keepNext w:val="0"/>
              <w:keepLines w:val="0"/>
              <w:widowControl/>
              <w:suppressLineNumbers w:val="0"/>
              <w:spacing w:before="0" w:beforeAutospacing="0" w:afterAutospacing="0"/>
              <w:ind w:left="0" w:right="0"/>
              <w:jc w:val="center"/>
              <w:rPr>
                <w:rFonts w:hint="eastAsia" w:ascii="宋体" w:hAnsi="宋体" w:eastAsia="宋体" w:cs="微软雅黑"/>
                <w:color w:val="auto"/>
                <w:sz w:val="24"/>
                <w:szCs w:val="24"/>
                <w:lang w:val="en-US" w:eastAsia="zh-CN"/>
              </w:rPr>
            </w:pPr>
            <w:r>
              <w:rPr>
                <w:rFonts w:hint="eastAsia" w:ascii="宋体" w:hAnsi="宋体" w:eastAsia="宋体" w:cs="微软雅黑"/>
                <w:color w:val="auto"/>
                <w:sz w:val="24"/>
                <w:szCs w:val="24"/>
                <w:lang w:val="en-US" w:eastAsia="zh-CN"/>
              </w:rPr>
              <w:t>质量管理及质量保证措施</w:t>
            </w:r>
          </w:p>
        </w:tc>
        <w:tc>
          <w:tcPr>
            <w:tcW w:w="1312" w:type="dxa"/>
            <w:noWrap w:val="0"/>
            <w:vAlign w:val="center"/>
          </w:tcPr>
          <w:p w14:paraId="4F28B4BE">
            <w:pPr>
              <w:keepNext w:val="0"/>
              <w:keepLines w:val="0"/>
              <w:widowControl/>
              <w:suppressLineNumbers w:val="0"/>
              <w:spacing w:before="0" w:beforeAutospacing="0" w:afterAutospacing="0" w:line="360" w:lineRule="auto"/>
              <w:ind w:left="0" w:right="0"/>
              <w:jc w:val="center"/>
              <w:rPr>
                <w:rFonts w:hint="eastAsia" w:ascii="宋体" w:hAnsi="宋体" w:eastAsia="宋体" w:cs="微软雅黑"/>
                <w:color w:val="auto"/>
                <w:sz w:val="24"/>
                <w:szCs w:val="24"/>
                <w:lang w:val="en-US" w:eastAsia="zh-CN"/>
              </w:rPr>
            </w:pPr>
            <w:r>
              <w:rPr>
                <w:rFonts w:hint="eastAsia" w:ascii="宋体" w:hAnsi="宋体" w:eastAsia="宋体" w:cs="微软雅黑"/>
                <w:color w:val="auto"/>
                <w:sz w:val="24"/>
                <w:szCs w:val="24"/>
                <w:lang w:val="en-US" w:eastAsia="zh-CN"/>
              </w:rPr>
              <w:t>15</w:t>
            </w:r>
            <w:r>
              <w:rPr>
                <w:rFonts w:hint="eastAsia" w:ascii="宋体" w:hAnsi="宋体" w:eastAsia="宋体" w:cs="微软雅黑"/>
                <w:color w:val="auto"/>
                <w:sz w:val="24"/>
                <w:szCs w:val="24"/>
              </w:rPr>
              <w:t>分</w:t>
            </w:r>
          </w:p>
        </w:tc>
        <w:tc>
          <w:tcPr>
            <w:tcW w:w="5067" w:type="dxa"/>
            <w:noWrap w:val="0"/>
            <w:vAlign w:val="center"/>
          </w:tcPr>
          <w:p w14:paraId="3F2697E9">
            <w:pPr>
              <w:keepNext w:val="0"/>
              <w:keepLines w:val="0"/>
              <w:widowControl/>
              <w:suppressLineNumbers w:val="0"/>
              <w:spacing w:before="0" w:beforeAutospacing="0" w:afterAutospacing="0"/>
              <w:ind w:left="0" w:right="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勘察质量管理体系完善，针对本项目特点，如何避免自身原因引起的错漏，提出切实可行的勘察质量管理及质量保证措施，确保实现勘察工作的质量目标。横向对比各投标人情况：</w:t>
            </w:r>
          </w:p>
          <w:p w14:paraId="435736EB">
            <w:pPr>
              <w:keepNext w:val="0"/>
              <w:keepLines w:val="0"/>
              <w:widowControl/>
              <w:suppressLineNumbers w:val="0"/>
              <w:spacing w:before="0" w:beforeAutospacing="0" w:afterAutospacing="0"/>
              <w:ind w:left="0" w:right="0"/>
              <w:jc w:val="left"/>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优得(11,15]分，良得(7,11]分，一般得(3,7]分，差或没有此内容得[0,3]分。</w:t>
            </w:r>
          </w:p>
        </w:tc>
      </w:tr>
      <w:tr w14:paraId="4F1D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8" w:hRule="atLeast"/>
        </w:trPr>
        <w:tc>
          <w:tcPr>
            <w:tcW w:w="959" w:type="dxa"/>
            <w:vMerge w:val="continue"/>
            <w:noWrap w:val="0"/>
            <w:vAlign w:val="center"/>
          </w:tcPr>
          <w:p w14:paraId="7E272F68">
            <w:pPr>
              <w:keepNext w:val="0"/>
              <w:keepLines w:val="0"/>
              <w:widowControl/>
              <w:suppressLineNumbers w:val="0"/>
              <w:spacing w:before="0" w:beforeAutospacing="0" w:afterAutospacing="0" w:line="360" w:lineRule="auto"/>
              <w:ind w:left="0" w:right="0"/>
              <w:jc w:val="center"/>
              <w:rPr>
                <w:rFonts w:hint="eastAsia" w:ascii="宋体" w:hAnsi="宋体" w:eastAsia="宋体" w:cs="微软雅黑"/>
                <w:color w:val="auto"/>
                <w:sz w:val="24"/>
                <w:szCs w:val="24"/>
              </w:rPr>
            </w:pPr>
          </w:p>
        </w:tc>
        <w:tc>
          <w:tcPr>
            <w:tcW w:w="709" w:type="dxa"/>
            <w:noWrap w:val="0"/>
            <w:vAlign w:val="center"/>
          </w:tcPr>
          <w:p w14:paraId="50968248">
            <w:pPr>
              <w:keepNext w:val="0"/>
              <w:keepLines w:val="0"/>
              <w:widowControl/>
              <w:suppressLineNumbers w:val="0"/>
              <w:spacing w:before="0" w:beforeAutospacing="0" w:afterAutospacing="0" w:line="360" w:lineRule="auto"/>
              <w:ind w:left="0" w:right="0"/>
              <w:jc w:val="center"/>
              <w:rPr>
                <w:rFonts w:hint="eastAsia" w:ascii="宋体" w:hAnsi="宋体" w:eastAsia="宋体" w:cs="微软雅黑"/>
                <w:color w:val="auto"/>
                <w:sz w:val="24"/>
                <w:szCs w:val="24"/>
                <w:lang w:eastAsia="zh-CN"/>
              </w:rPr>
            </w:pPr>
            <w:r>
              <w:rPr>
                <w:rFonts w:hint="eastAsia" w:ascii="宋体" w:hAnsi="宋体" w:eastAsia="宋体" w:cs="微软雅黑"/>
                <w:color w:val="auto"/>
                <w:sz w:val="24"/>
                <w:szCs w:val="24"/>
                <w:lang w:val="en-US" w:eastAsia="zh-CN"/>
              </w:rPr>
              <w:t>5</w:t>
            </w:r>
          </w:p>
        </w:tc>
        <w:tc>
          <w:tcPr>
            <w:tcW w:w="1559" w:type="dxa"/>
            <w:noWrap w:val="0"/>
            <w:vAlign w:val="center"/>
          </w:tcPr>
          <w:p w14:paraId="21E99CC9">
            <w:pPr>
              <w:keepNext w:val="0"/>
              <w:keepLines w:val="0"/>
              <w:widowControl/>
              <w:suppressLineNumbers w:val="0"/>
              <w:spacing w:before="0" w:beforeAutospacing="0" w:afterAutospacing="0"/>
              <w:ind w:left="0" w:right="0"/>
              <w:jc w:val="center"/>
              <w:rPr>
                <w:rFonts w:hint="eastAsia" w:ascii="宋体" w:hAnsi="宋体" w:eastAsia="宋体" w:cs="微软雅黑"/>
                <w:color w:val="auto"/>
                <w:sz w:val="24"/>
                <w:szCs w:val="24"/>
              </w:rPr>
            </w:pPr>
            <w:r>
              <w:rPr>
                <w:rFonts w:hint="eastAsia" w:ascii="宋体" w:hAnsi="宋体" w:eastAsia="宋体" w:cs="微软雅黑"/>
                <w:color w:val="auto"/>
                <w:sz w:val="24"/>
                <w:szCs w:val="24"/>
                <w:lang w:eastAsia="zh-CN"/>
              </w:rPr>
              <w:t>为本项目提供服务的优势、承诺和保证措施</w:t>
            </w:r>
          </w:p>
        </w:tc>
        <w:tc>
          <w:tcPr>
            <w:tcW w:w="1312" w:type="dxa"/>
            <w:noWrap w:val="0"/>
            <w:vAlign w:val="center"/>
          </w:tcPr>
          <w:p w14:paraId="706FBBC9">
            <w:pPr>
              <w:keepNext w:val="0"/>
              <w:keepLines w:val="0"/>
              <w:widowControl/>
              <w:suppressLineNumbers w:val="0"/>
              <w:spacing w:before="0" w:beforeAutospacing="0" w:afterAutospacing="0" w:line="360" w:lineRule="auto"/>
              <w:ind w:left="0" w:right="0"/>
              <w:jc w:val="center"/>
              <w:rPr>
                <w:rFonts w:hint="eastAsia" w:ascii="宋体" w:hAnsi="宋体" w:eastAsia="宋体" w:cs="微软雅黑"/>
                <w:color w:val="auto"/>
                <w:sz w:val="24"/>
                <w:szCs w:val="24"/>
              </w:rPr>
            </w:pPr>
            <w:r>
              <w:rPr>
                <w:rFonts w:hint="eastAsia" w:ascii="宋体" w:hAnsi="宋体" w:eastAsia="宋体" w:cs="微软雅黑"/>
                <w:color w:val="auto"/>
                <w:sz w:val="24"/>
                <w:szCs w:val="24"/>
                <w:lang w:eastAsia="zh-CN"/>
              </w:rPr>
              <w:t>15</w:t>
            </w:r>
            <w:r>
              <w:rPr>
                <w:rFonts w:hint="eastAsia" w:ascii="宋体" w:hAnsi="宋体" w:eastAsia="宋体" w:cs="微软雅黑"/>
                <w:color w:val="auto"/>
                <w:sz w:val="24"/>
                <w:szCs w:val="24"/>
              </w:rPr>
              <w:t>分</w:t>
            </w:r>
          </w:p>
        </w:tc>
        <w:tc>
          <w:tcPr>
            <w:tcW w:w="5067" w:type="dxa"/>
            <w:noWrap w:val="0"/>
            <w:vAlign w:val="center"/>
          </w:tcPr>
          <w:p w14:paraId="13C9E4C6">
            <w:pPr>
              <w:keepNext w:val="0"/>
              <w:keepLines w:val="0"/>
              <w:widowControl/>
              <w:suppressLineNumbers w:val="0"/>
              <w:spacing w:before="0" w:beforeAutospacing="0" w:afterAutospacing="0"/>
              <w:ind w:left="0" w:right="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提供明确具体的服务优势、全过程服务承诺及保证措施。</w:t>
            </w:r>
          </w:p>
          <w:p w14:paraId="716853C5">
            <w:pPr>
              <w:keepNext w:val="0"/>
              <w:keepLines w:val="0"/>
              <w:widowControl/>
              <w:suppressLineNumbers w:val="0"/>
              <w:spacing w:before="0" w:beforeAutospacing="0" w:afterAutospacing="0"/>
              <w:ind w:left="0" w:right="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优：针对性强、思路清晰、服务优势、承诺和保证措施明确具体，得(11,15]分；</w:t>
            </w:r>
          </w:p>
          <w:p w14:paraId="4D2579ED">
            <w:pPr>
              <w:keepNext w:val="0"/>
              <w:keepLines w:val="0"/>
              <w:widowControl/>
              <w:suppressLineNumbers w:val="0"/>
              <w:spacing w:before="0" w:beforeAutospacing="0" w:afterAutospacing="0"/>
              <w:ind w:left="0" w:right="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良：针对性较强、思路较清晰、服务优势、承诺和保证措施较明确，得(7,11]分；</w:t>
            </w:r>
          </w:p>
          <w:p w14:paraId="58BC1FEB">
            <w:pPr>
              <w:keepNext w:val="0"/>
              <w:keepLines w:val="0"/>
              <w:widowControl/>
              <w:suppressLineNumbers w:val="0"/>
              <w:spacing w:before="0" w:beforeAutospacing="0" w:afterAutospacing="0"/>
              <w:ind w:left="0" w:right="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一般：针对性一般、服务优势、承诺和保证施措一般，得(3,7]分；</w:t>
            </w:r>
          </w:p>
          <w:p w14:paraId="147A555F">
            <w:pPr>
              <w:keepNext w:val="0"/>
              <w:keepLines w:val="0"/>
              <w:widowControl/>
              <w:suppressLineNumbers w:val="0"/>
              <w:spacing w:before="0" w:beforeAutospacing="0" w:afterAutospacing="0"/>
              <w:ind w:left="0" w:right="0"/>
              <w:jc w:val="left"/>
              <w:rPr>
                <w:rFonts w:hint="eastAsia" w:ascii="Calibri" w:hAnsi="Calibri" w:cs="Times New Roman"/>
                <w:color w:val="auto"/>
              </w:rPr>
            </w:pPr>
            <w:r>
              <w:rPr>
                <w:rFonts w:hint="eastAsia" w:ascii="宋体" w:hAnsi="宋体" w:eastAsia="宋体" w:cs="宋体"/>
                <w:bCs/>
                <w:sz w:val="24"/>
                <w:szCs w:val="24"/>
                <w:lang w:eastAsia="zh-CN"/>
              </w:rPr>
              <w:t>差：没有针对性，服务优势、承诺和保证措施不明确，得[0,3]分。</w:t>
            </w:r>
          </w:p>
        </w:tc>
      </w:tr>
      <w:tr w14:paraId="7BF4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59" w:type="dxa"/>
            <w:noWrap w:val="0"/>
            <w:vAlign w:val="center"/>
          </w:tcPr>
          <w:p w14:paraId="3D12457C">
            <w:pPr>
              <w:keepNext w:val="0"/>
              <w:keepLines w:val="0"/>
              <w:widowControl/>
              <w:suppressLineNumbers w:val="0"/>
              <w:spacing w:before="0" w:beforeAutospacing="0" w:afterAutospacing="0" w:line="360" w:lineRule="auto"/>
              <w:ind w:left="0" w:right="0"/>
              <w:jc w:val="center"/>
              <w:rPr>
                <w:rFonts w:hint="eastAsia" w:ascii="宋体" w:hAnsi="宋体" w:eastAsia="宋体" w:cs="Times New Roman"/>
                <w:color w:val="auto"/>
                <w:sz w:val="24"/>
                <w:szCs w:val="24"/>
              </w:rPr>
            </w:pPr>
            <w:r>
              <w:rPr>
                <w:rFonts w:hint="eastAsia" w:ascii="宋体" w:hAnsi="宋体" w:eastAsia="宋体" w:cs="微软雅黑"/>
                <w:color w:val="auto"/>
                <w:sz w:val="24"/>
                <w:szCs w:val="24"/>
              </w:rPr>
              <w:t>总计</w:t>
            </w:r>
          </w:p>
        </w:tc>
        <w:tc>
          <w:tcPr>
            <w:tcW w:w="709" w:type="dxa"/>
            <w:noWrap w:val="0"/>
            <w:vAlign w:val="top"/>
          </w:tcPr>
          <w:p w14:paraId="4CB2BD5B">
            <w:pPr>
              <w:keepNext w:val="0"/>
              <w:keepLines w:val="0"/>
              <w:widowControl/>
              <w:suppressLineNumbers w:val="0"/>
              <w:spacing w:before="0" w:beforeAutospacing="0" w:afterAutospacing="0" w:line="360" w:lineRule="auto"/>
              <w:ind w:left="0" w:right="0"/>
              <w:jc w:val="center"/>
              <w:rPr>
                <w:rFonts w:hint="eastAsia" w:ascii="宋体" w:hAnsi="宋体" w:eastAsia="宋体" w:cs="Times New Roman"/>
                <w:color w:val="auto"/>
                <w:sz w:val="24"/>
                <w:szCs w:val="24"/>
              </w:rPr>
            </w:pPr>
          </w:p>
        </w:tc>
        <w:tc>
          <w:tcPr>
            <w:tcW w:w="1559" w:type="dxa"/>
            <w:noWrap w:val="0"/>
            <w:vAlign w:val="center"/>
          </w:tcPr>
          <w:p w14:paraId="0961F6FB">
            <w:pPr>
              <w:keepNext w:val="0"/>
              <w:keepLines w:val="0"/>
              <w:widowControl/>
              <w:suppressLineNumbers w:val="0"/>
              <w:spacing w:before="0" w:beforeAutospacing="0" w:afterAutospacing="0" w:line="360" w:lineRule="auto"/>
              <w:ind w:left="0" w:right="0"/>
              <w:jc w:val="center"/>
              <w:rPr>
                <w:rFonts w:hint="eastAsia" w:ascii="宋体" w:hAnsi="宋体" w:eastAsia="宋体" w:cs="Times New Roman"/>
                <w:color w:val="auto"/>
                <w:sz w:val="24"/>
                <w:szCs w:val="24"/>
              </w:rPr>
            </w:pPr>
          </w:p>
        </w:tc>
        <w:tc>
          <w:tcPr>
            <w:tcW w:w="1312" w:type="dxa"/>
            <w:noWrap w:val="0"/>
            <w:vAlign w:val="center"/>
          </w:tcPr>
          <w:p w14:paraId="26B47797">
            <w:pPr>
              <w:keepNext w:val="0"/>
              <w:keepLines w:val="0"/>
              <w:widowControl/>
              <w:suppressLineNumbers w:val="0"/>
              <w:spacing w:before="0" w:beforeAutospacing="0" w:afterAutospacing="0" w:line="360" w:lineRule="auto"/>
              <w:ind w:left="0" w:right="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100</w:t>
            </w:r>
            <w:r>
              <w:rPr>
                <w:rFonts w:hint="eastAsia" w:ascii="宋体" w:hAnsi="宋体" w:eastAsia="宋体" w:cs="微软雅黑"/>
                <w:color w:val="auto"/>
                <w:sz w:val="24"/>
                <w:szCs w:val="24"/>
              </w:rPr>
              <w:t>分</w:t>
            </w:r>
          </w:p>
        </w:tc>
        <w:tc>
          <w:tcPr>
            <w:tcW w:w="5067" w:type="dxa"/>
            <w:noWrap w:val="0"/>
            <w:vAlign w:val="center"/>
          </w:tcPr>
          <w:p w14:paraId="273FBF7B">
            <w:pPr>
              <w:keepNext w:val="0"/>
              <w:keepLines w:val="0"/>
              <w:widowControl/>
              <w:suppressLineNumbers w:val="0"/>
              <w:spacing w:before="0" w:beforeAutospacing="0" w:afterAutospacing="0" w:line="360" w:lineRule="auto"/>
              <w:ind w:left="0" w:right="0"/>
              <w:jc w:val="center"/>
              <w:rPr>
                <w:rFonts w:hint="eastAsia" w:ascii="宋体" w:hAnsi="宋体" w:eastAsia="宋体" w:cs="Times New Roman"/>
                <w:color w:val="auto"/>
                <w:sz w:val="24"/>
                <w:szCs w:val="24"/>
              </w:rPr>
            </w:pPr>
          </w:p>
        </w:tc>
      </w:tr>
    </w:tbl>
    <w:p w14:paraId="58140C07">
      <w:pPr>
        <w:spacing w:after="0" w:line="360" w:lineRule="auto"/>
        <w:ind w:firstLine="400" w:firstLineChars="200"/>
        <w:rPr>
          <w:rFonts w:hint="eastAsia" w:eastAsia="宋体"/>
          <w:bCs/>
          <w:color w:val="auto"/>
          <w:sz w:val="20"/>
          <w:szCs w:val="20"/>
        </w:rPr>
      </w:pPr>
    </w:p>
    <w:p w14:paraId="2CBDB9FC">
      <w:pPr>
        <w:spacing w:line="360" w:lineRule="auto"/>
        <w:rPr>
          <w:rFonts w:hint="eastAsia" w:ascii="宋体" w:hAnsi="宋体" w:eastAsia="宋体" w:cs="宋体"/>
          <w:color w:val="auto"/>
          <w:sz w:val="21"/>
          <w:szCs w:val="21"/>
          <w:lang w:eastAsia="zh-CN"/>
        </w:rPr>
        <w:sectPr>
          <w:pgSz w:w="11905" w:h="16838"/>
          <w:pgMar w:top="850" w:right="850" w:bottom="850" w:left="850" w:header="567" w:footer="567" w:gutter="0"/>
          <w:cols w:space="720" w:num="1"/>
        </w:sectPr>
      </w:pPr>
      <w:r>
        <w:rPr>
          <w:rFonts w:hint="eastAsia" w:ascii="宋体" w:hAnsi="宋体" w:eastAsia="宋体" w:cs="宋体"/>
          <w:color w:val="auto"/>
          <w:sz w:val="21"/>
          <w:szCs w:val="21"/>
          <w:lang w:eastAsia="zh-CN"/>
        </w:rPr>
        <w:t>注：评分标准中“(”表示不包含本数，“</w:t>
      </w:r>
      <w:r>
        <w:rPr>
          <w:rFonts w:hint="eastAsia" w:ascii="宋体" w:hAnsi="宋体" w:eastAsia="宋体" w:cs="宋体"/>
          <w:snapToGrid w:val="0"/>
          <w:color w:val="auto"/>
          <w:szCs w:val="21"/>
          <w:lang w:eastAsia="zh-CN"/>
        </w:rPr>
        <w:t>]</w:t>
      </w:r>
      <w:r>
        <w:rPr>
          <w:rFonts w:ascii="宋体" w:hAnsi="宋体" w:eastAsia="宋体" w:cs="宋体"/>
          <w:snapToGrid w:val="0"/>
          <w:color w:val="auto"/>
          <w:szCs w:val="21"/>
          <w:lang w:eastAsia="zh-CN"/>
        </w:rPr>
        <w:t>”</w:t>
      </w:r>
      <w:r>
        <w:rPr>
          <w:rFonts w:hint="eastAsia" w:ascii="宋体" w:hAnsi="宋体" w:eastAsia="宋体" w:cs="宋体"/>
          <w:snapToGrid w:val="0"/>
          <w:color w:val="auto"/>
          <w:szCs w:val="21"/>
          <w:lang w:eastAsia="zh-CN"/>
        </w:rPr>
        <w:t>表示包含本数。</w:t>
      </w:r>
      <w:r>
        <w:rPr>
          <w:rFonts w:hint="eastAsia" w:ascii="宋体" w:hAnsi="宋体" w:eastAsia="宋体" w:cs="宋体"/>
          <w:color w:val="auto"/>
          <w:sz w:val="21"/>
          <w:szCs w:val="21"/>
          <w:lang w:eastAsia="zh-CN"/>
        </w:rPr>
        <w:t>投标人的得分为各评委评分的算术平均值（若分数出现小数点时，保留小数点后二位，第三位小数四舍五入）</w:t>
      </w:r>
    </w:p>
    <w:p w14:paraId="7AF3574C">
      <w:pPr>
        <w:pStyle w:val="4"/>
        <w:spacing w:after="0" w:line="360" w:lineRule="auto"/>
        <w:ind w:left="0" w:leftChars="0" w:right="0" w:firstLine="0" w:firstLineChars="0"/>
        <w:rPr>
          <w:rFonts w:ascii="宋体" w:hAnsi="宋体" w:eastAsia="宋体"/>
          <w:b/>
          <w:color w:val="auto"/>
          <w:sz w:val="24"/>
          <w:szCs w:val="24"/>
        </w:rPr>
      </w:pPr>
      <w:bookmarkStart w:id="285" w:name="_Toc190785956"/>
      <w:r>
        <w:rPr>
          <w:rFonts w:ascii="宋体" w:hAnsi="宋体" w:eastAsia="宋体"/>
          <w:b/>
          <w:color w:val="auto"/>
          <w:sz w:val="24"/>
          <w:szCs w:val="24"/>
        </w:rPr>
        <w:t xml:space="preserve">1. </w:t>
      </w:r>
      <w:r>
        <w:rPr>
          <w:rFonts w:hint="eastAsia" w:ascii="宋体" w:hAnsi="宋体" w:eastAsia="宋体"/>
          <w:b/>
          <w:color w:val="auto"/>
          <w:sz w:val="24"/>
          <w:szCs w:val="24"/>
        </w:rPr>
        <w:t>评标方法</w:t>
      </w:r>
      <w:bookmarkEnd w:id="276"/>
      <w:bookmarkEnd w:id="285"/>
      <w:r>
        <w:rPr>
          <w:rFonts w:ascii="宋体" w:hAnsi="宋体" w:eastAsia="宋体"/>
          <w:b/>
          <w:color w:val="auto"/>
          <w:sz w:val="24"/>
          <w:szCs w:val="24"/>
        </w:rPr>
        <w:t xml:space="preserve"> </w:t>
      </w:r>
    </w:p>
    <w:p w14:paraId="6B4AF5CB">
      <w:pPr>
        <w:spacing w:after="0" w:line="360" w:lineRule="auto"/>
        <w:ind w:firstLine="480" w:firstLineChars="200"/>
        <w:rPr>
          <w:rFonts w:hint="eastAsia" w:ascii="宋体" w:hAnsi="宋体" w:eastAsia="宋体"/>
          <w:color w:val="auto"/>
          <w:sz w:val="24"/>
          <w:szCs w:val="24"/>
        </w:rPr>
      </w:pPr>
      <w:bookmarkStart w:id="286" w:name="_Toc508382157"/>
      <w:r>
        <w:rPr>
          <w:rFonts w:hint="eastAsia" w:ascii="宋体" w:hAnsi="宋体" w:eastAsia="宋体"/>
          <w:color w:val="auto"/>
          <w:sz w:val="24"/>
          <w:szCs w:val="24"/>
        </w:rPr>
        <w:t>本次评标采用综合评估法。评标委员会对满足招标文件实质性要求的投标文件，按照本章第2.2款规定的评分标准进行打分，并按得分由高到低顺序推荐中标候选人，但投标报价低于其成本的除</w:t>
      </w:r>
      <w:bookmarkStart w:id="287" w:name="_Toc300835008"/>
      <w:bookmarkStart w:id="288" w:name="_Toc369531577"/>
      <w:bookmarkStart w:id="289" w:name="_Toc247527623"/>
      <w:bookmarkStart w:id="290" w:name="_Toc144974565"/>
      <w:bookmarkStart w:id="291" w:name="_Toc152042375"/>
      <w:bookmarkStart w:id="292" w:name="_Toc247514022"/>
      <w:bookmarkStart w:id="293" w:name="_Toc352691533"/>
      <w:bookmarkStart w:id="294" w:name="_Toc384308272"/>
      <w:bookmarkStart w:id="295" w:name="_Toc4497"/>
      <w:bookmarkStart w:id="296" w:name="_Toc152045598"/>
      <w:bookmarkStart w:id="297" w:name="_Toc361508646"/>
      <w:r>
        <w:rPr>
          <w:rFonts w:hint="eastAsia" w:ascii="宋体" w:hAnsi="宋体" w:eastAsia="宋体"/>
          <w:color w:val="auto"/>
          <w:sz w:val="24"/>
          <w:szCs w:val="24"/>
        </w:rPr>
        <w:t>外。</w:t>
      </w:r>
      <w:bookmarkEnd w:id="287"/>
      <w:bookmarkEnd w:id="288"/>
      <w:bookmarkEnd w:id="289"/>
      <w:bookmarkEnd w:id="290"/>
      <w:bookmarkEnd w:id="291"/>
      <w:bookmarkEnd w:id="292"/>
      <w:bookmarkEnd w:id="293"/>
      <w:bookmarkEnd w:id="294"/>
      <w:bookmarkEnd w:id="295"/>
      <w:bookmarkEnd w:id="296"/>
      <w:bookmarkEnd w:id="297"/>
      <w:r>
        <w:rPr>
          <w:rFonts w:hint="eastAsia" w:ascii="宋体" w:hAnsi="宋体" w:eastAsia="宋体"/>
          <w:color w:val="auto"/>
          <w:sz w:val="24"/>
          <w:szCs w:val="24"/>
        </w:rPr>
        <w:t>综合评分相等的，</w:t>
      </w:r>
      <w:r>
        <w:rPr>
          <w:rFonts w:hint="eastAsia" w:ascii="宋体" w:hAnsi="宋体" w:eastAsia="宋体" w:cs="宋体"/>
          <w:sz w:val="24"/>
          <w:szCs w:val="24"/>
          <w:u w:val="single"/>
        </w:rPr>
        <w:t>以投标报价低的优先；投标报价也相等的，以技术得分高的优先；如果技术得分也相等，以企业资信业绩得分高的优先；如仍存在相同情况，则对具有相同情况的投标人，按中标候选人数量规定，由评标委员会采用记名投票的方式（不得弃权），确定中标候选人的排序。</w:t>
      </w:r>
    </w:p>
    <w:p w14:paraId="6F389ED7">
      <w:pPr>
        <w:pStyle w:val="4"/>
        <w:spacing w:after="0" w:line="360" w:lineRule="auto"/>
        <w:ind w:left="0" w:right="0" w:firstLine="482" w:firstLineChars="200"/>
        <w:rPr>
          <w:rFonts w:ascii="宋体" w:hAnsi="宋体" w:eastAsia="宋体"/>
          <w:b/>
          <w:color w:val="auto"/>
          <w:sz w:val="24"/>
          <w:szCs w:val="24"/>
        </w:rPr>
      </w:pPr>
      <w:bookmarkStart w:id="298" w:name="_Toc190785957"/>
      <w:r>
        <w:rPr>
          <w:rFonts w:ascii="宋体" w:hAnsi="宋体" w:eastAsia="宋体"/>
          <w:b/>
          <w:color w:val="auto"/>
          <w:sz w:val="24"/>
          <w:szCs w:val="24"/>
        </w:rPr>
        <w:t xml:space="preserve">2. </w:t>
      </w:r>
      <w:r>
        <w:rPr>
          <w:rFonts w:hint="eastAsia" w:ascii="宋体" w:hAnsi="宋体" w:eastAsia="宋体"/>
          <w:b/>
          <w:color w:val="auto"/>
          <w:sz w:val="24"/>
          <w:szCs w:val="24"/>
        </w:rPr>
        <w:t>评审标准</w:t>
      </w:r>
      <w:bookmarkEnd w:id="286"/>
      <w:bookmarkEnd w:id="298"/>
      <w:r>
        <w:rPr>
          <w:rFonts w:ascii="宋体" w:hAnsi="宋体" w:eastAsia="宋体"/>
          <w:b/>
          <w:color w:val="auto"/>
          <w:sz w:val="24"/>
          <w:szCs w:val="24"/>
        </w:rPr>
        <w:t xml:space="preserve"> </w:t>
      </w:r>
    </w:p>
    <w:p w14:paraId="58CB2811">
      <w:pPr>
        <w:ind w:firstLine="480" w:firstLineChars="200"/>
        <w:rPr>
          <w:rFonts w:ascii="宋体" w:hAnsi="宋体" w:eastAsia="宋体"/>
          <w:sz w:val="24"/>
          <w:szCs w:val="24"/>
        </w:rPr>
      </w:pPr>
      <w:bookmarkStart w:id="299" w:name="_Toc508788675"/>
      <w:bookmarkStart w:id="300" w:name="_Toc508382158"/>
      <w:r>
        <w:rPr>
          <w:rFonts w:ascii="宋体" w:hAnsi="宋体" w:eastAsia="宋体"/>
          <w:sz w:val="24"/>
          <w:szCs w:val="24"/>
        </w:rPr>
        <w:t xml:space="preserve">2.1 </w:t>
      </w:r>
      <w:r>
        <w:rPr>
          <w:rFonts w:hint="eastAsia" w:ascii="宋体" w:hAnsi="宋体" w:eastAsia="宋体"/>
          <w:sz w:val="24"/>
          <w:szCs w:val="24"/>
        </w:rPr>
        <w:t>初步评审标准</w:t>
      </w:r>
      <w:bookmarkEnd w:id="299"/>
      <w:bookmarkEnd w:id="300"/>
      <w:r>
        <w:rPr>
          <w:rFonts w:ascii="宋体" w:hAnsi="宋体" w:eastAsia="宋体"/>
          <w:sz w:val="24"/>
          <w:szCs w:val="24"/>
        </w:rPr>
        <w:t xml:space="preserve"> </w:t>
      </w:r>
    </w:p>
    <w:p w14:paraId="3199A1D6">
      <w:pPr>
        <w:ind w:firstLine="480" w:firstLineChars="200"/>
        <w:rPr>
          <w:rFonts w:ascii="宋体" w:hAnsi="宋体" w:eastAsia="宋体"/>
          <w:sz w:val="24"/>
          <w:szCs w:val="24"/>
        </w:rPr>
      </w:pPr>
      <w:r>
        <w:rPr>
          <w:rFonts w:ascii="宋体" w:hAnsi="宋体" w:eastAsia="宋体"/>
          <w:sz w:val="24"/>
          <w:szCs w:val="24"/>
        </w:rPr>
        <w:t xml:space="preserve">2.1.1 </w:t>
      </w:r>
      <w:r>
        <w:rPr>
          <w:rFonts w:hint="eastAsia" w:ascii="宋体" w:hAnsi="宋体" w:eastAsia="宋体" w:cs="宋体"/>
          <w:sz w:val="24"/>
          <w:szCs w:val="24"/>
        </w:rPr>
        <w:t>形式评审标准：见评标办法前附表。</w:t>
      </w:r>
      <w:r>
        <w:rPr>
          <w:rFonts w:ascii="宋体" w:hAnsi="宋体" w:eastAsia="宋体"/>
          <w:sz w:val="24"/>
          <w:szCs w:val="24"/>
        </w:rPr>
        <w:t xml:space="preserve"> </w:t>
      </w:r>
    </w:p>
    <w:p w14:paraId="16E153A9">
      <w:pPr>
        <w:ind w:firstLine="480" w:firstLineChars="200"/>
        <w:rPr>
          <w:rFonts w:ascii="宋体" w:hAnsi="宋体" w:eastAsia="宋体"/>
          <w:sz w:val="24"/>
          <w:szCs w:val="24"/>
        </w:rPr>
      </w:pPr>
      <w:r>
        <w:rPr>
          <w:rFonts w:ascii="宋体" w:hAnsi="宋体" w:eastAsia="宋体"/>
          <w:sz w:val="24"/>
          <w:szCs w:val="24"/>
        </w:rPr>
        <w:t xml:space="preserve">2.1.2 </w:t>
      </w:r>
      <w:r>
        <w:rPr>
          <w:rFonts w:hint="eastAsia" w:ascii="宋体" w:hAnsi="宋体" w:eastAsia="宋体" w:cs="宋体"/>
          <w:sz w:val="24"/>
          <w:szCs w:val="24"/>
        </w:rPr>
        <w:t>资格评审标准：见评标办法前附表。</w:t>
      </w:r>
      <w:r>
        <w:rPr>
          <w:rFonts w:ascii="宋体" w:hAnsi="宋体" w:eastAsia="宋体"/>
          <w:sz w:val="24"/>
          <w:szCs w:val="24"/>
        </w:rPr>
        <w:t xml:space="preserve"> </w:t>
      </w:r>
    </w:p>
    <w:p w14:paraId="1CA70F2A">
      <w:pPr>
        <w:ind w:firstLine="480" w:firstLineChars="200"/>
        <w:rPr>
          <w:rFonts w:ascii="宋体" w:hAnsi="宋体" w:eastAsia="宋体"/>
          <w:sz w:val="24"/>
          <w:szCs w:val="24"/>
        </w:rPr>
      </w:pPr>
      <w:r>
        <w:rPr>
          <w:rFonts w:ascii="宋体" w:hAnsi="宋体" w:eastAsia="宋体"/>
          <w:sz w:val="24"/>
          <w:szCs w:val="24"/>
        </w:rPr>
        <w:t xml:space="preserve">2.1.3 </w:t>
      </w:r>
      <w:r>
        <w:rPr>
          <w:rFonts w:hint="eastAsia" w:ascii="宋体" w:hAnsi="宋体" w:eastAsia="宋体" w:cs="宋体"/>
          <w:sz w:val="24"/>
          <w:szCs w:val="24"/>
        </w:rPr>
        <w:t>响应性评审标准：见评标办法前附表。</w:t>
      </w:r>
      <w:r>
        <w:rPr>
          <w:rFonts w:ascii="宋体" w:hAnsi="宋体" w:eastAsia="宋体"/>
          <w:sz w:val="24"/>
          <w:szCs w:val="24"/>
        </w:rPr>
        <w:t xml:space="preserve"> </w:t>
      </w:r>
    </w:p>
    <w:p w14:paraId="2A43F9B7">
      <w:pPr>
        <w:ind w:firstLine="480" w:firstLineChars="200"/>
        <w:rPr>
          <w:rFonts w:ascii="宋体" w:hAnsi="宋体" w:eastAsia="宋体"/>
          <w:sz w:val="24"/>
          <w:szCs w:val="24"/>
        </w:rPr>
      </w:pPr>
      <w:bookmarkStart w:id="301" w:name="_Toc508788676"/>
      <w:bookmarkStart w:id="302" w:name="_Toc508382159"/>
      <w:r>
        <w:rPr>
          <w:rFonts w:ascii="宋体" w:hAnsi="宋体" w:eastAsia="宋体"/>
          <w:sz w:val="24"/>
          <w:szCs w:val="24"/>
        </w:rPr>
        <w:t xml:space="preserve">2.2 </w:t>
      </w:r>
      <w:r>
        <w:rPr>
          <w:rFonts w:hint="eastAsia" w:ascii="宋体" w:hAnsi="宋体" w:eastAsia="宋体"/>
          <w:sz w:val="24"/>
          <w:szCs w:val="24"/>
        </w:rPr>
        <w:t>分值构成与评分标准</w:t>
      </w:r>
      <w:bookmarkEnd w:id="301"/>
      <w:bookmarkEnd w:id="302"/>
      <w:r>
        <w:rPr>
          <w:rFonts w:ascii="宋体" w:hAnsi="宋体" w:eastAsia="宋体"/>
          <w:sz w:val="24"/>
          <w:szCs w:val="24"/>
        </w:rPr>
        <w:t xml:space="preserve"> </w:t>
      </w:r>
    </w:p>
    <w:p w14:paraId="5A839F0D">
      <w:pPr>
        <w:ind w:firstLine="480" w:firstLineChars="200"/>
        <w:rPr>
          <w:rFonts w:ascii="宋体" w:hAnsi="宋体" w:eastAsia="宋体"/>
          <w:sz w:val="24"/>
          <w:szCs w:val="24"/>
        </w:rPr>
      </w:pPr>
      <w:r>
        <w:rPr>
          <w:rFonts w:ascii="宋体" w:hAnsi="宋体" w:eastAsia="宋体"/>
          <w:sz w:val="24"/>
          <w:szCs w:val="24"/>
        </w:rPr>
        <w:t xml:space="preserve">2.2.1 </w:t>
      </w:r>
      <w:r>
        <w:rPr>
          <w:rFonts w:hint="eastAsia" w:ascii="宋体" w:hAnsi="宋体" w:eastAsia="宋体" w:cs="宋体"/>
          <w:sz w:val="24"/>
          <w:szCs w:val="24"/>
        </w:rPr>
        <w:t>分值构成</w:t>
      </w:r>
      <w:r>
        <w:rPr>
          <w:rFonts w:ascii="宋体" w:hAnsi="宋体" w:eastAsia="宋体"/>
          <w:sz w:val="24"/>
          <w:szCs w:val="24"/>
        </w:rPr>
        <w:t xml:space="preserve"> </w:t>
      </w:r>
    </w:p>
    <w:p w14:paraId="183378C3">
      <w:pPr>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sz w:val="24"/>
          <w:szCs w:val="24"/>
        </w:rPr>
        <w:t>1</w:t>
      </w:r>
      <w:r>
        <w:rPr>
          <w:rFonts w:hint="eastAsia" w:ascii="宋体" w:hAnsi="宋体" w:eastAsia="宋体" w:cs="宋体"/>
          <w:sz w:val="24"/>
          <w:szCs w:val="24"/>
        </w:rPr>
        <w:t>）资信业绩部分：见评标办法前附表；</w:t>
      </w:r>
    </w:p>
    <w:p w14:paraId="49490FCB">
      <w:pPr>
        <w:ind w:firstLine="480" w:firstLineChars="200"/>
        <w:rPr>
          <w:rFonts w:ascii="宋体" w:hAnsi="宋体" w:eastAsia="宋体"/>
          <w:sz w:val="24"/>
          <w:szCs w:val="24"/>
        </w:rPr>
      </w:pPr>
      <w:r>
        <w:rPr>
          <w:rFonts w:hint="eastAsia" w:ascii="宋体" w:hAnsi="宋体" w:eastAsia="宋体" w:cs="宋体"/>
          <w:sz w:val="24"/>
          <w:szCs w:val="24"/>
        </w:rPr>
        <w:t>（</w:t>
      </w:r>
      <w:r>
        <w:rPr>
          <w:rFonts w:ascii="宋体" w:hAnsi="宋体" w:eastAsia="宋体"/>
          <w:sz w:val="24"/>
          <w:szCs w:val="24"/>
        </w:rPr>
        <w:t>2</w:t>
      </w:r>
      <w:r>
        <w:rPr>
          <w:rFonts w:hint="eastAsia" w:ascii="宋体" w:hAnsi="宋体" w:eastAsia="宋体" w:cs="宋体"/>
          <w:sz w:val="24"/>
          <w:szCs w:val="24"/>
        </w:rPr>
        <w:t>）技术方案部分：见评标办法前附表；</w:t>
      </w:r>
      <w:r>
        <w:rPr>
          <w:rFonts w:ascii="宋体" w:hAnsi="宋体" w:eastAsia="宋体"/>
          <w:sz w:val="24"/>
          <w:szCs w:val="24"/>
        </w:rPr>
        <w:t xml:space="preserve"> </w:t>
      </w:r>
    </w:p>
    <w:p w14:paraId="04ED9E55">
      <w:pPr>
        <w:ind w:firstLine="480" w:firstLineChars="200"/>
        <w:rPr>
          <w:rFonts w:ascii="宋体" w:hAnsi="宋体" w:eastAsia="宋体"/>
          <w:strike/>
          <w:sz w:val="24"/>
          <w:szCs w:val="24"/>
        </w:rPr>
      </w:pPr>
      <w:r>
        <w:rPr>
          <w:rFonts w:hint="eastAsia" w:ascii="宋体" w:hAnsi="宋体" w:eastAsia="宋体" w:cs="宋体"/>
          <w:sz w:val="24"/>
          <w:szCs w:val="24"/>
        </w:rPr>
        <w:t>投标报价：见评标办法前附表；</w:t>
      </w:r>
      <w:r>
        <w:rPr>
          <w:rFonts w:ascii="宋体" w:hAnsi="宋体" w:eastAsia="宋体"/>
          <w:sz w:val="24"/>
          <w:szCs w:val="24"/>
        </w:rPr>
        <w:t xml:space="preserve"> </w:t>
      </w:r>
    </w:p>
    <w:p w14:paraId="6506DE0B">
      <w:pPr>
        <w:ind w:firstLine="480" w:firstLineChars="200"/>
        <w:rPr>
          <w:rFonts w:ascii="宋体" w:hAnsi="宋体" w:eastAsia="宋体"/>
          <w:sz w:val="24"/>
          <w:szCs w:val="24"/>
        </w:rPr>
      </w:pPr>
      <w:r>
        <w:rPr>
          <w:rFonts w:ascii="宋体" w:hAnsi="宋体" w:eastAsia="宋体"/>
          <w:sz w:val="24"/>
          <w:szCs w:val="24"/>
        </w:rPr>
        <w:t xml:space="preserve">2.2.2 </w:t>
      </w:r>
      <w:r>
        <w:rPr>
          <w:rFonts w:hint="eastAsia" w:ascii="宋体" w:hAnsi="宋体" w:eastAsia="宋体" w:cs="宋体"/>
          <w:sz w:val="24"/>
          <w:szCs w:val="24"/>
        </w:rPr>
        <w:t>评标基准价计算</w:t>
      </w:r>
      <w:r>
        <w:rPr>
          <w:rFonts w:ascii="宋体" w:hAnsi="宋体" w:eastAsia="宋体"/>
          <w:sz w:val="24"/>
          <w:szCs w:val="24"/>
        </w:rPr>
        <w:t xml:space="preserve"> </w:t>
      </w:r>
    </w:p>
    <w:p w14:paraId="489FA2B0">
      <w:pPr>
        <w:ind w:firstLine="480" w:firstLineChars="200"/>
        <w:rPr>
          <w:rFonts w:ascii="宋体" w:hAnsi="宋体" w:eastAsia="宋体"/>
          <w:sz w:val="24"/>
          <w:szCs w:val="24"/>
        </w:rPr>
      </w:pPr>
      <w:r>
        <w:rPr>
          <w:rFonts w:hint="eastAsia" w:ascii="宋体" w:hAnsi="宋体" w:eastAsia="宋体" w:cs="宋体"/>
          <w:sz w:val="24"/>
          <w:szCs w:val="24"/>
        </w:rPr>
        <w:t>评标基准价计算方法：见评标办法前附表。</w:t>
      </w:r>
      <w:r>
        <w:rPr>
          <w:rFonts w:ascii="宋体" w:hAnsi="宋体" w:eastAsia="宋体"/>
          <w:sz w:val="24"/>
          <w:szCs w:val="24"/>
        </w:rPr>
        <w:t xml:space="preserve"> </w:t>
      </w:r>
    </w:p>
    <w:p w14:paraId="60073AB1">
      <w:pPr>
        <w:ind w:firstLine="480" w:firstLineChars="200"/>
        <w:rPr>
          <w:rFonts w:ascii="宋体" w:hAnsi="宋体" w:eastAsia="宋体"/>
          <w:sz w:val="24"/>
          <w:szCs w:val="24"/>
        </w:rPr>
      </w:pPr>
      <w:r>
        <w:rPr>
          <w:rFonts w:ascii="宋体" w:hAnsi="宋体" w:eastAsia="宋体"/>
          <w:sz w:val="24"/>
          <w:szCs w:val="24"/>
        </w:rPr>
        <w:t xml:space="preserve">2.2.3 </w:t>
      </w:r>
      <w:r>
        <w:rPr>
          <w:rFonts w:hint="eastAsia" w:ascii="宋体" w:hAnsi="宋体" w:eastAsia="宋体" w:cs="宋体"/>
          <w:sz w:val="24"/>
          <w:szCs w:val="24"/>
        </w:rPr>
        <w:t>投标报价的偏差率计算</w:t>
      </w:r>
      <w:r>
        <w:rPr>
          <w:rFonts w:ascii="宋体" w:hAnsi="宋体" w:eastAsia="宋体"/>
          <w:sz w:val="24"/>
          <w:szCs w:val="24"/>
        </w:rPr>
        <w:t xml:space="preserve"> </w:t>
      </w:r>
    </w:p>
    <w:p w14:paraId="211F0568">
      <w:pPr>
        <w:ind w:firstLine="480" w:firstLineChars="200"/>
        <w:rPr>
          <w:rFonts w:ascii="宋体" w:hAnsi="宋体" w:eastAsia="宋体"/>
          <w:sz w:val="24"/>
          <w:szCs w:val="24"/>
        </w:rPr>
      </w:pPr>
      <w:r>
        <w:rPr>
          <w:rFonts w:hint="eastAsia" w:ascii="宋体" w:hAnsi="宋体" w:eastAsia="宋体" w:cs="宋体"/>
          <w:sz w:val="24"/>
          <w:szCs w:val="24"/>
        </w:rPr>
        <w:t>投标报价的偏差率计算公式：见评标办法前附表。</w:t>
      </w:r>
      <w:r>
        <w:rPr>
          <w:rFonts w:ascii="宋体" w:hAnsi="宋体" w:eastAsia="宋体"/>
          <w:sz w:val="24"/>
          <w:szCs w:val="24"/>
        </w:rPr>
        <w:t xml:space="preserve"> </w:t>
      </w:r>
    </w:p>
    <w:p w14:paraId="6DA22F12">
      <w:pPr>
        <w:ind w:firstLine="480" w:firstLineChars="200"/>
        <w:rPr>
          <w:rFonts w:ascii="宋体" w:hAnsi="宋体" w:eastAsia="宋体"/>
          <w:sz w:val="24"/>
          <w:szCs w:val="24"/>
        </w:rPr>
      </w:pPr>
      <w:r>
        <w:rPr>
          <w:rFonts w:ascii="宋体" w:hAnsi="宋体" w:eastAsia="宋体"/>
          <w:sz w:val="24"/>
          <w:szCs w:val="24"/>
        </w:rPr>
        <w:t xml:space="preserve">2.2.4 </w:t>
      </w:r>
      <w:r>
        <w:rPr>
          <w:rFonts w:hint="eastAsia" w:ascii="宋体" w:hAnsi="宋体" w:eastAsia="宋体" w:cs="宋体"/>
          <w:sz w:val="24"/>
          <w:szCs w:val="24"/>
        </w:rPr>
        <w:t>评分标准</w:t>
      </w:r>
      <w:r>
        <w:rPr>
          <w:rFonts w:ascii="宋体" w:hAnsi="宋体" w:eastAsia="宋体"/>
          <w:sz w:val="24"/>
          <w:szCs w:val="24"/>
        </w:rPr>
        <w:t xml:space="preserve"> </w:t>
      </w:r>
    </w:p>
    <w:p w14:paraId="008D9617">
      <w:pPr>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sz w:val="24"/>
          <w:szCs w:val="24"/>
        </w:rPr>
        <w:t>1</w:t>
      </w:r>
      <w:r>
        <w:rPr>
          <w:rFonts w:hint="eastAsia" w:ascii="宋体" w:hAnsi="宋体" w:eastAsia="宋体" w:cs="宋体"/>
          <w:sz w:val="24"/>
          <w:szCs w:val="24"/>
        </w:rPr>
        <w:t>）资信业绩评分标准：见评标办法前附表；</w:t>
      </w:r>
    </w:p>
    <w:p w14:paraId="04DC27E5">
      <w:pPr>
        <w:ind w:firstLine="480" w:firstLineChars="200"/>
        <w:rPr>
          <w:rFonts w:ascii="宋体" w:hAnsi="宋体" w:eastAsia="宋体"/>
          <w:sz w:val="24"/>
          <w:szCs w:val="24"/>
        </w:rPr>
      </w:pPr>
      <w:r>
        <w:rPr>
          <w:rFonts w:hint="eastAsia" w:ascii="宋体" w:hAnsi="宋体" w:eastAsia="宋体" w:cs="宋体"/>
          <w:sz w:val="24"/>
          <w:szCs w:val="24"/>
        </w:rPr>
        <w:t>（</w:t>
      </w:r>
      <w:r>
        <w:rPr>
          <w:rFonts w:ascii="宋体" w:hAnsi="宋体" w:eastAsia="宋体"/>
          <w:sz w:val="24"/>
          <w:szCs w:val="24"/>
        </w:rPr>
        <w:t>2</w:t>
      </w:r>
      <w:r>
        <w:rPr>
          <w:rFonts w:hint="eastAsia" w:ascii="宋体" w:hAnsi="宋体" w:eastAsia="宋体" w:cs="宋体"/>
          <w:sz w:val="24"/>
          <w:szCs w:val="24"/>
        </w:rPr>
        <w:t>）技术方案评分标准：见评标办法前附表；</w:t>
      </w:r>
      <w:r>
        <w:rPr>
          <w:rFonts w:ascii="宋体" w:hAnsi="宋体" w:eastAsia="宋体"/>
          <w:sz w:val="24"/>
          <w:szCs w:val="24"/>
        </w:rPr>
        <w:t xml:space="preserve"> </w:t>
      </w:r>
    </w:p>
    <w:p w14:paraId="1D77B743">
      <w:pPr>
        <w:ind w:firstLine="480" w:firstLineChars="200"/>
        <w:rPr>
          <w:rFonts w:ascii="宋体" w:hAnsi="宋体" w:eastAsia="宋体"/>
          <w:sz w:val="24"/>
          <w:szCs w:val="24"/>
        </w:rPr>
      </w:pPr>
      <w:r>
        <w:rPr>
          <w:rFonts w:hint="eastAsia" w:ascii="宋体" w:hAnsi="宋体" w:eastAsia="宋体" w:cs="宋体"/>
          <w:sz w:val="24"/>
          <w:szCs w:val="24"/>
        </w:rPr>
        <w:t>（3）投标报价评分标准：见评标办法前附表；</w:t>
      </w:r>
      <w:r>
        <w:rPr>
          <w:rFonts w:ascii="宋体" w:hAnsi="宋体" w:eastAsia="宋体"/>
          <w:sz w:val="24"/>
          <w:szCs w:val="24"/>
        </w:rPr>
        <w:t xml:space="preserve"> </w:t>
      </w:r>
      <w:bookmarkStart w:id="303" w:name="_Toc508382160"/>
    </w:p>
    <w:p w14:paraId="0656B99E">
      <w:pPr>
        <w:pStyle w:val="4"/>
        <w:spacing w:after="0" w:line="360" w:lineRule="auto"/>
        <w:ind w:left="0" w:right="0" w:firstLine="482" w:firstLineChars="200"/>
        <w:rPr>
          <w:rFonts w:hint="eastAsia" w:ascii="宋体" w:hAnsi="宋体" w:eastAsia="宋体"/>
          <w:b/>
          <w:color w:val="auto"/>
          <w:sz w:val="24"/>
          <w:szCs w:val="24"/>
        </w:rPr>
      </w:pPr>
      <w:bookmarkStart w:id="304" w:name="_Toc190785958"/>
      <w:r>
        <w:rPr>
          <w:rFonts w:hint="eastAsia" w:ascii="宋体" w:hAnsi="宋体" w:eastAsia="宋体"/>
          <w:b/>
          <w:color w:val="auto"/>
          <w:sz w:val="24"/>
          <w:szCs w:val="24"/>
        </w:rPr>
        <w:t>3.评标程序</w:t>
      </w:r>
      <w:bookmarkEnd w:id="303"/>
      <w:bookmarkEnd w:id="304"/>
      <w:bookmarkStart w:id="305" w:name="_Toc508382161"/>
      <w:bookmarkStart w:id="306" w:name="_Toc508788678"/>
    </w:p>
    <w:p w14:paraId="1E7A772F">
      <w:pPr>
        <w:ind w:firstLine="480" w:firstLineChars="200"/>
        <w:rPr>
          <w:rFonts w:ascii="宋体" w:hAnsi="宋体" w:eastAsia="宋体"/>
          <w:sz w:val="24"/>
          <w:szCs w:val="24"/>
        </w:rPr>
      </w:pPr>
      <w:r>
        <w:rPr>
          <w:rFonts w:ascii="宋体" w:hAnsi="宋体" w:eastAsia="宋体"/>
          <w:sz w:val="24"/>
          <w:szCs w:val="24"/>
        </w:rPr>
        <w:t xml:space="preserve">3.1 </w:t>
      </w:r>
      <w:r>
        <w:rPr>
          <w:rFonts w:hint="eastAsia" w:ascii="宋体" w:hAnsi="宋体" w:eastAsia="宋体"/>
          <w:sz w:val="24"/>
          <w:szCs w:val="24"/>
        </w:rPr>
        <w:t>初步评审</w:t>
      </w:r>
      <w:bookmarkEnd w:id="305"/>
      <w:bookmarkEnd w:id="306"/>
      <w:r>
        <w:rPr>
          <w:rFonts w:ascii="宋体" w:hAnsi="宋体" w:eastAsia="宋体"/>
          <w:sz w:val="24"/>
          <w:szCs w:val="24"/>
        </w:rPr>
        <w:t xml:space="preserve"> </w:t>
      </w:r>
    </w:p>
    <w:p w14:paraId="62BE015C">
      <w:pPr>
        <w:spacing w:after="0" w:line="360" w:lineRule="auto"/>
        <w:ind w:firstLine="480" w:firstLineChars="200"/>
        <w:rPr>
          <w:rFonts w:ascii="宋体" w:hAnsi="宋体" w:eastAsia="宋体"/>
          <w:color w:val="auto"/>
          <w:sz w:val="24"/>
          <w:szCs w:val="24"/>
        </w:rPr>
      </w:pPr>
      <w:r>
        <w:rPr>
          <w:rFonts w:ascii="宋体" w:hAnsi="宋体" w:eastAsia="宋体"/>
          <w:color w:val="auto"/>
          <w:sz w:val="24"/>
          <w:szCs w:val="24"/>
        </w:rPr>
        <w:t xml:space="preserve">3.1.1 </w:t>
      </w:r>
      <w:r>
        <w:rPr>
          <w:rFonts w:hint="eastAsia" w:ascii="宋体" w:hAnsi="宋体" w:eastAsia="宋体" w:cs="宋体"/>
          <w:color w:val="auto"/>
          <w:sz w:val="24"/>
          <w:szCs w:val="24"/>
        </w:rPr>
        <w:t>评标委员会可以要求投标人提交第二章</w:t>
      </w:r>
      <w:r>
        <w:rPr>
          <w:rFonts w:ascii="宋体" w:hAnsi="宋体" w:eastAsia="宋体"/>
          <w:color w:val="auto"/>
          <w:sz w:val="24"/>
          <w:szCs w:val="24"/>
        </w:rPr>
        <w:t>“</w:t>
      </w:r>
      <w:r>
        <w:rPr>
          <w:rFonts w:hint="eastAsia" w:ascii="宋体" w:hAnsi="宋体" w:eastAsia="宋体" w:cs="宋体"/>
          <w:color w:val="auto"/>
          <w:sz w:val="24"/>
          <w:szCs w:val="24"/>
        </w:rPr>
        <w:t>投标人须知</w:t>
      </w:r>
      <w:r>
        <w:rPr>
          <w:rFonts w:ascii="宋体" w:hAnsi="宋体" w:eastAsia="宋体"/>
          <w:color w:val="auto"/>
          <w:sz w:val="24"/>
          <w:szCs w:val="24"/>
        </w:rPr>
        <w:t>”</w:t>
      </w:r>
      <w:r>
        <w:rPr>
          <w:rFonts w:hint="eastAsia" w:ascii="宋体" w:hAnsi="宋体" w:eastAsia="宋体" w:cs="宋体"/>
          <w:color w:val="auto"/>
          <w:sz w:val="24"/>
          <w:szCs w:val="24"/>
        </w:rPr>
        <w:t>规定的有关证明和证件的原件，以便核验。评标委员会依据本章第</w:t>
      </w:r>
      <w:r>
        <w:rPr>
          <w:rFonts w:ascii="宋体" w:hAnsi="宋体" w:eastAsia="宋体" w:cs="宋体"/>
          <w:color w:val="auto"/>
          <w:sz w:val="24"/>
          <w:szCs w:val="24"/>
        </w:rPr>
        <w:t xml:space="preserve"> </w:t>
      </w:r>
      <w:r>
        <w:rPr>
          <w:rFonts w:ascii="宋体" w:hAnsi="宋体" w:eastAsia="宋体"/>
          <w:color w:val="auto"/>
          <w:sz w:val="24"/>
          <w:szCs w:val="24"/>
        </w:rPr>
        <w:t xml:space="preserve">2.1 </w:t>
      </w:r>
      <w:r>
        <w:rPr>
          <w:rFonts w:hint="eastAsia" w:ascii="宋体" w:hAnsi="宋体" w:eastAsia="宋体" w:cs="宋体"/>
          <w:color w:val="auto"/>
          <w:sz w:val="24"/>
          <w:szCs w:val="24"/>
        </w:rPr>
        <w:t>款规定的标准对投标文件进行初步评审。有一项不符合评审标准的，评标委员会应当否决其投标。</w:t>
      </w:r>
      <w:r>
        <w:rPr>
          <w:rFonts w:ascii="宋体" w:hAnsi="宋体" w:eastAsia="宋体"/>
          <w:color w:val="auto"/>
          <w:sz w:val="24"/>
          <w:szCs w:val="24"/>
        </w:rPr>
        <w:t xml:space="preserve"> </w:t>
      </w:r>
      <w:r>
        <w:rPr>
          <w:rFonts w:hint="eastAsia" w:ascii="宋体" w:hAnsi="宋体" w:eastAsia="宋体"/>
          <w:color w:val="auto"/>
          <w:sz w:val="24"/>
          <w:szCs w:val="24"/>
        </w:rPr>
        <w:t>初步评审包括形式评审、资格评审及响应性评审三部分。评标委员会首先按本章第2.1.1项形式评审标准对投标人进行形式评审，通过形式评审的投标人方可进入资格评审；然后按本章第2.1.2项资格评审标准对投标人进行资格评审，通过资格评审的投标人方可进入响应性评审；按本章第2.1.3项响应性评审标准对通过资格评审的投标人进行响应性评审，通过响应性评审的投标人方可进入下一阶段评审。如评标委员会成员的评审意见不一致时，以评标委员会过半数成员的意见作为评标委员会对该情形的认定结论。</w:t>
      </w:r>
    </w:p>
    <w:p w14:paraId="3AA8B674">
      <w:pPr>
        <w:spacing w:after="0" w:line="360" w:lineRule="auto"/>
        <w:ind w:firstLine="480" w:firstLineChars="200"/>
        <w:rPr>
          <w:rFonts w:ascii="宋体" w:hAnsi="宋体" w:eastAsia="宋体"/>
          <w:color w:val="auto"/>
          <w:sz w:val="24"/>
          <w:szCs w:val="24"/>
        </w:rPr>
      </w:pPr>
      <w:r>
        <w:rPr>
          <w:rFonts w:ascii="宋体" w:hAnsi="宋体" w:eastAsia="宋体"/>
          <w:color w:val="auto"/>
          <w:sz w:val="24"/>
          <w:szCs w:val="24"/>
        </w:rPr>
        <w:t xml:space="preserve">3.1.2 </w:t>
      </w:r>
      <w:r>
        <w:rPr>
          <w:rFonts w:hint="eastAsia" w:ascii="宋体" w:hAnsi="宋体" w:eastAsia="宋体" w:cs="宋体"/>
          <w:color w:val="auto"/>
          <w:sz w:val="24"/>
          <w:szCs w:val="24"/>
        </w:rPr>
        <w:t>投标人有以下情形之一的，评标委员会应当否决其投标：</w:t>
      </w:r>
      <w:r>
        <w:rPr>
          <w:rFonts w:ascii="宋体" w:hAnsi="宋体" w:eastAsia="宋体"/>
          <w:color w:val="auto"/>
          <w:sz w:val="24"/>
          <w:szCs w:val="24"/>
        </w:rPr>
        <w:t xml:space="preserve"> </w:t>
      </w:r>
    </w:p>
    <w:p w14:paraId="7EC88B2B">
      <w:pPr>
        <w:numPr>
          <w:ilvl w:val="0"/>
          <w:numId w:val="6"/>
        </w:numPr>
        <w:spacing w:after="0" w:line="360" w:lineRule="auto"/>
        <w:ind w:left="0" w:firstLine="480" w:firstLineChars="200"/>
        <w:jc w:val="both"/>
        <w:rPr>
          <w:rFonts w:ascii="宋体" w:hAnsi="宋体" w:eastAsia="宋体"/>
          <w:color w:val="auto"/>
          <w:sz w:val="24"/>
          <w:szCs w:val="24"/>
        </w:rPr>
      </w:pPr>
      <w:r>
        <w:rPr>
          <w:rFonts w:hint="eastAsia" w:ascii="宋体" w:hAnsi="宋体" w:eastAsia="宋体" w:cs="宋体"/>
          <w:color w:val="auto"/>
          <w:sz w:val="24"/>
          <w:szCs w:val="24"/>
        </w:rPr>
        <w:t>投标文件没有对招标文件的实质性要求和条件作出响应，或者对招标文件的偏   差超出招标文件规定的偏差范围或最高项数；</w:t>
      </w:r>
      <w:r>
        <w:rPr>
          <w:rFonts w:ascii="宋体" w:hAnsi="宋体" w:eastAsia="宋体"/>
          <w:color w:val="auto"/>
          <w:sz w:val="24"/>
          <w:szCs w:val="24"/>
        </w:rPr>
        <w:t xml:space="preserve"> </w:t>
      </w:r>
    </w:p>
    <w:p w14:paraId="609A5F3C">
      <w:pPr>
        <w:numPr>
          <w:ilvl w:val="0"/>
          <w:numId w:val="6"/>
        </w:numPr>
        <w:spacing w:after="0" w:line="360" w:lineRule="auto"/>
        <w:ind w:left="0" w:firstLine="480" w:firstLineChars="200"/>
        <w:rPr>
          <w:rFonts w:hint="eastAsia" w:ascii="宋体" w:hAnsi="宋体" w:eastAsia="宋体"/>
          <w:color w:val="auto"/>
          <w:sz w:val="24"/>
          <w:szCs w:val="24"/>
        </w:rPr>
      </w:pPr>
      <w:r>
        <w:rPr>
          <w:rFonts w:hint="eastAsia" w:ascii="宋体" w:hAnsi="宋体" w:eastAsia="宋体" w:cs="宋体"/>
          <w:color w:val="auto"/>
          <w:sz w:val="24"/>
          <w:szCs w:val="24"/>
        </w:rPr>
        <w:t>有串通投标、弄虚作假、行贿等违法行为。</w:t>
      </w:r>
      <w:r>
        <w:rPr>
          <w:rFonts w:ascii="宋体" w:hAnsi="宋体" w:eastAsia="宋体"/>
          <w:color w:val="auto"/>
          <w:sz w:val="24"/>
          <w:szCs w:val="24"/>
        </w:rPr>
        <w:t xml:space="preserve"> </w:t>
      </w:r>
    </w:p>
    <w:p w14:paraId="40143478">
      <w:pPr>
        <w:spacing w:after="0" w:line="360" w:lineRule="auto"/>
        <w:ind w:firstLine="480" w:firstLineChars="200"/>
        <w:rPr>
          <w:rFonts w:hint="eastAsia" w:ascii="宋体" w:hAnsi="宋体" w:eastAsia="宋体"/>
          <w:color w:val="auto"/>
          <w:sz w:val="24"/>
          <w:szCs w:val="24"/>
        </w:rPr>
      </w:pPr>
      <w:r>
        <w:rPr>
          <w:rFonts w:ascii="宋体" w:hAnsi="宋体" w:eastAsia="宋体"/>
          <w:color w:val="auto"/>
          <w:sz w:val="24"/>
          <w:szCs w:val="24"/>
        </w:rPr>
        <w:t xml:space="preserve">3.1.3 </w:t>
      </w:r>
      <w:bookmarkStart w:id="307" w:name="_Toc508382162"/>
      <w:bookmarkStart w:id="308" w:name="_Toc508788679"/>
      <w:r>
        <w:rPr>
          <w:rFonts w:hint="eastAsia" w:ascii="宋体" w:hAnsi="宋体" w:eastAsia="宋体"/>
          <w:color w:val="auto"/>
          <w:sz w:val="24"/>
          <w:szCs w:val="24"/>
        </w:rPr>
        <w:t>投标报价有算术错误的，评标委员会按以下原则对投标报价进行修正，修正的价格经投标人书面确认后具有约束力。投标人不接受修正价格的，评标委员会应当否决其投标。</w:t>
      </w:r>
    </w:p>
    <w:p w14:paraId="3F29BA3F">
      <w:pPr>
        <w:spacing w:after="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（1）投标文件中的大写金额与小写金额不一致的，以大写金额为准。</w:t>
      </w:r>
    </w:p>
    <w:p w14:paraId="4397008C">
      <w:pPr>
        <w:spacing w:after="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（2）如果投标单价与数量的乘积不等于投标报价的，以投标单价为准，修正投标报价，但投标单价金额小数点有明显错误的除外。</w:t>
      </w:r>
    </w:p>
    <w:p w14:paraId="65136D89">
      <w:pPr>
        <w:spacing w:after="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（3）按上述修正原则修正后的投标报价超过相应投标限价的，由评标委员会做否决投 标处理。</w:t>
      </w:r>
    </w:p>
    <w:p w14:paraId="13B6BC85">
      <w:pPr>
        <w:spacing w:after="0"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（4）按上述修正错误的原则及方法调整或修正投标文件的投标报价，调整后的投标报价对投标人起约束作用。如果投标人不接受修正后的报价，则取消其投标资格或中标资格。</w:t>
      </w:r>
    </w:p>
    <w:p w14:paraId="76D05CAF">
      <w:pPr>
        <w:spacing w:after="0" w:line="360" w:lineRule="auto"/>
        <w:ind w:firstLine="480" w:firstLineChars="200"/>
        <w:rPr>
          <w:rFonts w:ascii="宋体" w:hAnsi="宋体" w:eastAsia="宋体"/>
          <w:sz w:val="24"/>
          <w:szCs w:val="24"/>
        </w:rPr>
      </w:pPr>
    </w:p>
    <w:p w14:paraId="62E4AD35">
      <w:pPr>
        <w:spacing w:after="0" w:line="360" w:lineRule="auto"/>
        <w:ind w:firstLine="480" w:firstLineChars="200"/>
        <w:rPr>
          <w:rFonts w:ascii="宋体" w:hAnsi="宋体" w:eastAsia="宋体"/>
          <w:sz w:val="24"/>
          <w:szCs w:val="24"/>
        </w:rPr>
      </w:pPr>
      <w:r>
        <w:rPr>
          <w:rFonts w:ascii="宋体" w:hAnsi="宋体" w:eastAsia="宋体"/>
          <w:sz w:val="24"/>
          <w:szCs w:val="24"/>
        </w:rPr>
        <w:t xml:space="preserve">3.2 </w:t>
      </w:r>
      <w:r>
        <w:rPr>
          <w:rFonts w:hint="eastAsia" w:ascii="宋体" w:hAnsi="宋体" w:eastAsia="宋体"/>
          <w:sz w:val="24"/>
          <w:szCs w:val="24"/>
        </w:rPr>
        <w:t>详细评审</w:t>
      </w:r>
      <w:bookmarkEnd w:id="307"/>
      <w:bookmarkEnd w:id="308"/>
      <w:r>
        <w:rPr>
          <w:rFonts w:ascii="宋体" w:hAnsi="宋体" w:eastAsia="宋体"/>
          <w:sz w:val="24"/>
          <w:szCs w:val="24"/>
        </w:rPr>
        <w:t xml:space="preserve"> </w:t>
      </w:r>
    </w:p>
    <w:p w14:paraId="099D6C92">
      <w:pPr>
        <w:spacing w:after="0" w:line="360" w:lineRule="auto"/>
        <w:ind w:firstLine="480" w:firstLineChars="200"/>
        <w:rPr>
          <w:rFonts w:ascii="宋体" w:hAnsi="宋体" w:eastAsia="宋体"/>
          <w:color w:val="auto"/>
          <w:sz w:val="24"/>
          <w:szCs w:val="24"/>
          <w:u w:val="single"/>
        </w:rPr>
      </w:pPr>
      <w:bookmarkStart w:id="309" w:name="_Toc508382163"/>
      <w:bookmarkStart w:id="310" w:name="_Toc508788680"/>
      <w:r>
        <w:rPr>
          <w:rFonts w:ascii="宋体" w:hAnsi="宋体" w:eastAsia="宋体"/>
          <w:color w:val="auto"/>
          <w:sz w:val="24"/>
          <w:szCs w:val="24"/>
          <w:u w:val="single"/>
        </w:rPr>
        <w:t>3.2.1评标委员会按本章第2.2款规定的量化因素和分值进行打分，并计算出综合评估得分。</w:t>
      </w:r>
    </w:p>
    <w:p w14:paraId="068DFF65">
      <w:pPr>
        <w:spacing w:after="0"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u w:val="single"/>
        </w:rPr>
        <w:t>（1）按本章第2.2.4（1）目规定的评审因素和分值对资信业绩部分计算出得分A；</w:t>
      </w:r>
    </w:p>
    <w:p w14:paraId="6B5F8E9C">
      <w:pPr>
        <w:spacing w:after="0"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u w:val="single"/>
        </w:rPr>
        <w:t>（2）按本章第2.2.4（2）目规定的评审因素和分值对</w:t>
      </w:r>
      <w:r>
        <w:rPr>
          <w:rFonts w:hint="eastAsia" w:ascii="宋体" w:hAnsi="宋体" w:eastAsia="宋体"/>
          <w:color w:val="auto"/>
          <w:sz w:val="24"/>
          <w:szCs w:val="24"/>
          <w:highlight w:val="none"/>
          <w:u w:val="single"/>
        </w:rPr>
        <w:t>技术</w:t>
      </w:r>
      <w:r>
        <w:rPr>
          <w:rFonts w:ascii="宋体" w:hAnsi="宋体" w:eastAsia="宋体"/>
          <w:color w:val="auto"/>
          <w:sz w:val="24"/>
          <w:szCs w:val="24"/>
          <w:highlight w:val="none"/>
          <w:u w:val="single"/>
        </w:rPr>
        <w:t>部分计算出得分B；</w:t>
      </w:r>
    </w:p>
    <w:p w14:paraId="73C7879B">
      <w:pPr>
        <w:spacing w:after="0" w:line="360" w:lineRule="auto"/>
        <w:ind w:firstLine="480" w:firstLineChars="200"/>
        <w:rPr>
          <w:rFonts w:ascii="宋体" w:hAnsi="宋体" w:eastAsia="宋体"/>
          <w:color w:val="auto"/>
          <w:sz w:val="24"/>
          <w:szCs w:val="24"/>
          <w:u w:val="single"/>
        </w:rPr>
      </w:pPr>
      <w:r>
        <w:rPr>
          <w:rFonts w:ascii="宋体" w:hAnsi="宋体" w:eastAsia="宋体"/>
          <w:color w:val="auto"/>
          <w:sz w:val="24"/>
          <w:szCs w:val="24"/>
          <w:u w:val="single"/>
        </w:rPr>
        <w:t>（3）按本章第2.2.4（3）目规定的评审因素和</w:t>
      </w:r>
      <w:bookmarkStart w:id="311" w:name="_Toc369531583"/>
      <w:bookmarkStart w:id="312" w:name="_Toc300835014"/>
      <w:bookmarkStart w:id="313" w:name="_Toc247527629"/>
      <w:bookmarkStart w:id="314" w:name="_Toc384308278"/>
      <w:bookmarkStart w:id="315" w:name="_Toc152042381"/>
      <w:bookmarkStart w:id="316" w:name="_Toc144974571"/>
      <w:bookmarkStart w:id="317" w:name="_Toc352691539"/>
      <w:bookmarkStart w:id="318" w:name="_Toc361508652"/>
      <w:bookmarkStart w:id="319" w:name="_Toc24330"/>
      <w:bookmarkStart w:id="320" w:name="_Toc247514028"/>
      <w:bookmarkStart w:id="321" w:name="_Toc152045604"/>
      <w:r>
        <w:rPr>
          <w:rFonts w:ascii="宋体" w:hAnsi="宋体" w:eastAsia="宋体"/>
          <w:color w:val="auto"/>
          <w:sz w:val="24"/>
          <w:szCs w:val="24"/>
          <w:u w:val="single"/>
        </w:rPr>
        <w:t>分值对投标报价</w:t>
      </w:r>
      <w:bookmarkEnd w:id="311"/>
      <w:bookmarkEnd w:id="312"/>
      <w:bookmarkEnd w:id="313"/>
      <w:bookmarkEnd w:id="314"/>
      <w:bookmarkEnd w:id="315"/>
      <w:bookmarkEnd w:id="316"/>
      <w:bookmarkEnd w:id="317"/>
      <w:bookmarkEnd w:id="318"/>
      <w:bookmarkEnd w:id="319"/>
      <w:bookmarkEnd w:id="320"/>
      <w:bookmarkEnd w:id="321"/>
      <w:r>
        <w:rPr>
          <w:rFonts w:ascii="宋体" w:hAnsi="宋体" w:eastAsia="宋体"/>
          <w:color w:val="auto"/>
          <w:sz w:val="24"/>
          <w:szCs w:val="24"/>
          <w:u w:val="single"/>
        </w:rPr>
        <w:t>计</w:t>
      </w:r>
      <w:bookmarkStart w:id="322" w:name="_Toc18141"/>
      <w:bookmarkStart w:id="323" w:name="_Toc144974572"/>
      <w:bookmarkStart w:id="324" w:name="_Toc361508653"/>
      <w:bookmarkStart w:id="325" w:name="_Toc384308279"/>
      <w:bookmarkStart w:id="326" w:name="_Toc152042382"/>
      <w:bookmarkStart w:id="327" w:name="_Toc247514029"/>
      <w:bookmarkStart w:id="328" w:name="_Toc247527630"/>
      <w:bookmarkStart w:id="329" w:name="_Toc369531584"/>
      <w:bookmarkStart w:id="330" w:name="_Toc300835015"/>
      <w:bookmarkStart w:id="331" w:name="_Toc152045605"/>
      <w:bookmarkStart w:id="332" w:name="_Toc352691540"/>
      <w:r>
        <w:rPr>
          <w:rFonts w:ascii="宋体" w:hAnsi="宋体" w:eastAsia="宋体"/>
          <w:color w:val="auto"/>
          <w:sz w:val="24"/>
          <w:szCs w:val="24"/>
          <w:u w:val="single"/>
        </w:rPr>
        <w:t>算出得分C；</w:t>
      </w:r>
    </w:p>
    <w:bookmarkEnd w:id="322"/>
    <w:bookmarkEnd w:id="323"/>
    <w:bookmarkEnd w:id="324"/>
    <w:bookmarkEnd w:id="325"/>
    <w:bookmarkEnd w:id="326"/>
    <w:bookmarkEnd w:id="327"/>
    <w:bookmarkEnd w:id="328"/>
    <w:bookmarkEnd w:id="329"/>
    <w:bookmarkEnd w:id="330"/>
    <w:bookmarkEnd w:id="331"/>
    <w:bookmarkEnd w:id="332"/>
    <w:p w14:paraId="170B1449">
      <w:pPr>
        <w:spacing w:after="0" w:line="360" w:lineRule="auto"/>
        <w:ind w:firstLine="480" w:firstLineChars="200"/>
        <w:rPr>
          <w:rFonts w:ascii="宋体" w:hAnsi="宋体" w:eastAsia="宋体"/>
          <w:color w:val="auto"/>
          <w:sz w:val="24"/>
          <w:szCs w:val="24"/>
          <w:u w:val="single"/>
        </w:rPr>
      </w:pPr>
      <w:r>
        <w:rPr>
          <w:rFonts w:ascii="宋体" w:hAnsi="宋体" w:eastAsia="宋体"/>
          <w:color w:val="auto"/>
          <w:sz w:val="24"/>
          <w:szCs w:val="24"/>
          <w:u w:val="single"/>
        </w:rPr>
        <w:t>3.2.2评分分值计算保留小数点后两位，小数点后第三位“四舍五入”。</w:t>
      </w:r>
    </w:p>
    <w:p w14:paraId="6E37831B">
      <w:pPr>
        <w:spacing w:after="0" w:line="360" w:lineRule="auto"/>
        <w:ind w:firstLine="480" w:firstLineChars="200"/>
        <w:rPr>
          <w:rFonts w:ascii="宋体" w:hAnsi="宋体" w:eastAsia="宋体"/>
          <w:color w:val="auto"/>
          <w:sz w:val="24"/>
          <w:szCs w:val="24"/>
          <w:u w:val="single"/>
        </w:rPr>
      </w:pPr>
      <w:r>
        <w:rPr>
          <w:rFonts w:ascii="宋体" w:hAnsi="宋体" w:eastAsia="宋体"/>
          <w:color w:val="auto"/>
          <w:sz w:val="24"/>
          <w:szCs w:val="24"/>
          <w:u w:val="single"/>
        </w:rPr>
        <w:t>3.2.3投标人</w:t>
      </w:r>
      <w:r>
        <w:rPr>
          <w:rFonts w:hint="eastAsia" w:ascii="宋体" w:hAnsi="宋体" w:eastAsia="宋体"/>
          <w:color w:val="auto"/>
          <w:sz w:val="24"/>
          <w:szCs w:val="24"/>
          <w:u w:val="single"/>
        </w:rPr>
        <w:t>综合</w:t>
      </w:r>
      <w:r>
        <w:rPr>
          <w:rFonts w:ascii="宋体" w:hAnsi="宋体" w:eastAsia="宋体"/>
          <w:color w:val="auto"/>
          <w:sz w:val="24"/>
          <w:szCs w:val="24"/>
          <w:u w:val="single"/>
        </w:rPr>
        <w:t>得分=A</w:t>
      </w:r>
      <w:r>
        <w:rPr>
          <w:rFonts w:hint="eastAsia" w:ascii="宋体" w:hAnsi="宋体" w:eastAsia="宋体"/>
          <w:color w:val="auto"/>
          <w:sz w:val="24"/>
          <w:szCs w:val="24"/>
          <w:u w:val="single"/>
        </w:rPr>
        <w:t>×</w:t>
      </w:r>
      <w:r>
        <w:rPr>
          <w:rFonts w:hint="eastAsia" w:ascii="宋体" w:hAnsi="宋体" w:eastAsia="宋体"/>
          <w:color w:val="auto"/>
          <w:sz w:val="24"/>
          <w:szCs w:val="24"/>
          <w:u w:val="single"/>
          <w:lang w:val="en-US" w:eastAsia="zh-CN"/>
        </w:rPr>
        <w:t>3</w:t>
      </w:r>
      <w:r>
        <w:rPr>
          <w:rFonts w:hint="eastAsia" w:ascii="宋体" w:hAnsi="宋体" w:eastAsia="宋体"/>
          <w:color w:val="auto"/>
          <w:sz w:val="24"/>
          <w:szCs w:val="24"/>
          <w:u w:val="single"/>
        </w:rPr>
        <w:t>0％+B×</w:t>
      </w:r>
      <w:r>
        <w:rPr>
          <w:rFonts w:hint="eastAsia" w:ascii="宋体" w:hAnsi="宋体" w:eastAsia="宋体"/>
          <w:color w:val="auto"/>
          <w:sz w:val="24"/>
          <w:szCs w:val="24"/>
          <w:u w:val="single"/>
          <w:lang w:val="en-US" w:eastAsia="zh-CN"/>
        </w:rPr>
        <w:t>6</w:t>
      </w:r>
      <w:r>
        <w:rPr>
          <w:rFonts w:hint="eastAsia" w:ascii="宋体" w:hAnsi="宋体" w:eastAsia="宋体"/>
          <w:color w:val="auto"/>
          <w:sz w:val="24"/>
          <w:szCs w:val="24"/>
          <w:u w:val="single"/>
        </w:rPr>
        <w:t>0％+C×10％。</w:t>
      </w:r>
    </w:p>
    <w:p w14:paraId="7627F59B">
      <w:pPr>
        <w:spacing w:after="0" w:line="360" w:lineRule="auto"/>
        <w:ind w:firstLine="480" w:firstLineChars="200"/>
        <w:jc w:val="both"/>
        <w:rPr>
          <w:rFonts w:ascii="宋体" w:hAnsi="宋体" w:eastAsia="宋体"/>
          <w:color w:val="auto"/>
          <w:sz w:val="24"/>
          <w:szCs w:val="24"/>
        </w:rPr>
      </w:pPr>
      <w:r>
        <w:rPr>
          <w:rFonts w:hint="eastAsia" w:ascii="宋体" w:hAnsi="宋体" w:eastAsia="宋体" w:cs="宋体"/>
          <w:color w:val="auto"/>
          <w:sz w:val="24"/>
          <w:szCs w:val="24"/>
        </w:rPr>
        <w:t>注：</w:t>
      </w:r>
      <w:r>
        <w:rPr>
          <w:rFonts w:hint="eastAsia" w:ascii="宋体" w:hAnsi="宋体" w:eastAsia="宋体"/>
          <w:color w:val="auto"/>
          <w:sz w:val="24"/>
          <w:szCs w:val="24"/>
        </w:rPr>
        <w:t>投标人的综合得分为将各评委的评分汇总后取算术平均分，</w:t>
      </w:r>
      <w:r>
        <w:rPr>
          <w:rFonts w:hAnsi="宋体"/>
          <w:color w:val="auto"/>
          <w:sz w:val="24"/>
          <w:szCs w:val="24"/>
        </w:rPr>
        <w:t>分数出现小数点，保留小数点后二位，第三位小数四舍五入。</w:t>
      </w:r>
    </w:p>
    <w:p w14:paraId="16B918CE">
      <w:pPr>
        <w:spacing w:after="0"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155F05EA">
      <w:pPr>
        <w:spacing w:after="0" w:line="360" w:lineRule="auto"/>
        <w:ind w:firstLine="480" w:firstLineChars="200"/>
        <w:rPr>
          <w:rFonts w:ascii="宋体" w:hAnsi="宋体" w:eastAsia="宋体"/>
          <w:sz w:val="24"/>
          <w:szCs w:val="24"/>
        </w:rPr>
      </w:pPr>
    </w:p>
    <w:p w14:paraId="0492F3E3">
      <w:pPr>
        <w:spacing w:after="0" w:line="360" w:lineRule="auto"/>
        <w:ind w:firstLine="480" w:firstLineChars="200"/>
        <w:rPr>
          <w:rFonts w:ascii="宋体" w:hAnsi="宋体" w:eastAsia="宋体"/>
          <w:sz w:val="24"/>
          <w:szCs w:val="24"/>
        </w:rPr>
      </w:pPr>
      <w:r>
        <w:rPr>
          <w:rFonts w:ascii="宋体" w:hAnsi="宋体" w:eastAsia="宋体"/>
          <w:sz w:val="24"/>
          <w:szCs w:val="24"/>
        </w:rPr>
        <w:t xml:space="preserve">3.3 </w:t>
      </w:r>
      <w:r>
        <w:rPr>
          <w:rFonts w:hint="eastAsia" w:ascii="宋体" w:hAnsi="宋体" w:eastAsia="宋体"/>
          <w:sz w:val="24"/>
          <w:szCs w:val="24"/>
        </w:rPr>
        <w:t>投标文件的澄清</w:t>
      </w:r>
      <w:bookmarkEnd w:id="309"/>
      <w:bookmarkEnd w:id="310"/>
      <w:r>
        <w:rPr>
          <w:rFonts w:ascii="宋体" w:hAnsi="宋体" w:eastAsia="宋体"/>
          <w:sz w:val="24"/>
          <w:szCs w:val="24"/>
        </w:rPr>
        <w:t xml:space="preserve"> </w:t>
      </w:r>
    </w:p>
    <w:p w14:paraId="1C9C56BC">
      <w:pPr>
        <w:spacing w:after="0" w:line="360" w:lineRule="auto"/>
        <w:ind w:firstLine="480" w:firstLineChars="200"/>
        <w:rPr>
          <w:rFonts w:ascii="宋体" w:hAnsi="宋体" w:eastAsia="宋体"/>
          <w:color w:val="auto"/>
          <w:sz w:val="24"/>
          <w:szCs w:val="24"/>
        </w:rPr>
      </w:pPr>
      <w:r>
        <w:rPr>
          <w:rFonts w:ascii="宋体" w:hAnsi="宋体" w:eastAsia="宋体"/>
          <w:color w:val="auto"/>
          <w:sz w:val="24"/>
          <w:szCs w:val="24"/>
        </w:rPr>
        <w:t xml:space="preserve">3.3.1 </w:t>
      </w:r>
      <w:r>
        <w:rPr>
          <w:rFonts w:hint="eastAsia" w:ascii="宋体" w:hAnsi="宋体" w:eastAsia="宋体" w:cs="宋体"/>
          <w:color w:val="auto"/>
          <w:sz w:val="24"/>
          <w:szCs w:val="24"/>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r>
        <w:rPr>
          <w:rFonts w:ascii="宋体" w:hAnsi="宋体" w:eastAsia="宋体"/>
          <w:color w:val="auto"/>
          <w:sz w:val="24"/>
          <w:szCs w:val="24"/>
        </w:rPr>
        <w:t xml:space="preserve"> </w:t>
      </w:r>
    </w:p>
    <w:p w14:paraId="56E2106C">
      <w:pPr>
        <w:spacing w:after="0" w:line="360" w:lineRule="auto"/>
        <w:ind w:firstLine="480" w:firstLineChars="200"/>
        <w:rPr>
          <w:rFonts w:ascii="宋体" w:hAnsi="宋体" w:eastAsia="宋体"/>
          <w:color w:val="auto"/>
          <w:sz w:val="24"/>
          <w:szCs w:val="24"/>
        </w:rPr>
      </w:pPr>
      <w:r>
        <w:rPr>
          <w:rFonts w:ascii="宋体" w:hAnsi="宋体" w:eastAsia="宋体"/>
          <w:color w:val="auto"/>
          <w:sz w:val="24"/>
          <w:szCs w:val="24"/>
        </w:rPr>
        <w:t xml:space="preserve">3.3.2 </w:t>
      </w:r>
      <w:r>
        <w:rPr>
          <w:rFonts w:hint="eastAsia" w:ascii="宋体" w:hAnsi="宋体" w:eastAsia="宋体" w:cs="宋体"/>
          <w:color w:val="auto"/>
          <w:sz w:val="24"/>
          <w:szCs w:val="24"/>
        </w:rPr>
        <w:t>澄清、说明或补正不得超出投标文件的范围且不得改变投标文件的实质性内容，并构成投标文件的组成部分。</w:t>
      </w:r>
      <w:r>
        <w:rPr>
          <w:rFonts w:ascii="宋体" w:hAnsi="宋体" w:eastAsia="宋体"/>
          <w:color w:val="auto"/>
          <w:sz w:val="24"/>
          <w:szCs w:val="24"/>
        </w:rPr>
        <w:t xml:space="preserve"> </w:t>
      </w:r>
    </w:p>
    <w:p w14:paraId="360BB2C6">
      <w:pPr>
        <w:spacing w:after="0" w:line="360" w:lineRule="auto"/>
        <w:ind w:firstLine="480" w:firstLineChars="200"/>
        <w:rPr>
          <w:rFonts w:ascii="宋体" w:hAnsi="宋体" w:eastAsia="宋体"/>
          <w:color w:val="auto"/>
          <w:sz w:val="24"/>
          <w:szCs w:val="24"/>
        </w:rPr>
      </w:pPr>
      <w:r>
        <w:rPr>
          <w:rFonts w:ascii="宋体" w:hAnsi="宋体" w:eastAsia="宋体"/>
          <w:color w:val="auto"/>
          <w:sz w:val="24"/>
          <w:szCs w:val="24"/>
        </w:rPr>
        <w:t xml:space="preserve">3.3.3 </w:t>
      </w:r>
      <w:r>
        <w:rPr>
          <w:rFonts w:hint="eastAsia" w:ascii="宋体" w:hAnsi="宋体" w:eastAsia="宋体" w:cs="宋体"/>
          <w:color w:val="auto"/>
          <w:sz w:val="24"/>
          <w:szCs w:val="24"/>
        </w:rPr>
        <w:t>评标委员会对投标人提交的澄清、说明或补正有疑问的，可以要求投标人进一步澄清、说明或补正，直至满足评标委员会的要求。</w:t>
      </w:r>
      <w:r>
        <w:rPr>
          <w:rFonts w:ascii="宋体" w:hAnsi="宋体" w:eastAsia="宋体"/>
          <w:color w:val="auto"/>
          <w:sz w:val="24"/>
          <w:szCs w:val="24"/>
        </w:rPr>
        <w:t xml:space="preserve"> </w:t>
      </w:r>
    </w:p>
    <w:p w14:paraId="2F800292">
      <w:pPr>
        <w:spacing w:after="0" w:line="360" w:lineRule="auto"/>
        <w:ind w:firstLine="480" w:firstLineChars="200"/>
        <w:rPr>
          <w:rFonts w:ascii="宋体" w:hAnsi="宋体" w:eastAsia="宋体"/>
          <w:sz w:val="24"/>
          <w:szCs w:val="24"/>
        </w:rPr>
      </w:pPr>
      <w:bookmarkStart w:id="333" w:name="_Toc508788681"/>
      <w:bookmarkStart w:id="334" w:name="_Toc508382164"/>
    </w:p>
    <w:p w14:paraId="5958221A">
      <w:pPr>
        <w:spacing w:after="0" w:line="360" w:lineRule="auto"/>
        <w:ind w:firstLine="480" w:firstLineChars="200"/>
        <w:rPr>
          <w:rFonts w:ascii="宋体" w:hAnsi="宋体" w:eastAsia="宋体"/>
          <w:sz w:val="24"/>
          <w:szCs w:val="24"/>
        </w:rPr>
      </w:pPr>
      <w:r>
        <w:rPr>
          <w:rFonts w:ascii="宋体" w:hAnsi="宋体" w:eastAsia="宋体"/>
          <w:sz w:val="24"/>
          <w:szCs w:val="24"/>
        </w:rPr>
        <w:t xml:space="preserve">3.4 </w:t>
      </w:r>
      <w:r>
        <w:rPr>
          <w:rFonts w:hint="eastAsia" w:ascii="宋体" w:hAnsi="宋体" w:eastAsia="宋体"/>
          <w:sz w:val="24"/>
          <w:szCs w:val="24"/>
        </w:rPr>
        <w:t>评标结果</w:t>
      </w:r>
      <w:bookmarkEnd w:id="333"/>
      <w:bookmarkEnd w:id="334"/>
      <w:r>
        <w:rPr>
          <w:rFonts w:ascii="宋体" w:hAnsi="宋体" w:eastAsia="宋体"/>
          <w:sz w:val="24"/>
          <w:szCs w:val="24"/>
        </w:rPr>
        <w:t xml:space="preserve"> </w:t>
      </w:r>
    </w:p>
    <w:p w14:paraId="5E902F3D">
      <w:pPr>
        <w:spacing w:after="0" w:line="360" w:lineRule="auto"/>
        <w:ind w:firstLine="480" w:firstLineChars="200"/>
        <w:rPr>
          <w:rFonts w:ascii="宋体" w:hAnsi="宋体" w:eastAsia="宋体"/>
          <w:color w:val="auto"/>
          <w:sz w:val="24"/>
          <w:szCs w:val="24"/>
        </w:rPr>
      </w:pPr>
      <w:r>
        <w:rPr>
          <w:rFonts w:ascii="宋体" w:hAnsi="宋体" w:eastAsia="宋体"/>
          <w:color w:val="auto"/>
          <w:sz w:val="24"/>
          <w:szCs w:val="24"/>
        </w:rPr>
        <w:t xml:space="preserve">3.4.1 </w:t>
      </w:r>
      <w:r>
        <w:rPr>
          <w:rFonts w:hint="eastAsia" w:ascii="宋体" w:hAnsi="宋体" w:eastAsia="宋体" w:cs="宋体"/>
          <w:color w:val="auto"/>
          <w:sz w:val="24"/>
          <w:szCs w:val="24"/>
        </w:rPr>
        <w:t>除第二章</w:t>
      </w:r>
      <w:r>
        <w:rPr>
          <w:rFonts w:ascii="宋体" w:hAnsi="宋体" w:eastAsia="宋体"/>
          <w:color w:val="auto"/>
          <w:sz w:val="24"/>
          <w:szCs w:val="24"/>
        </w:rPr>
        <w:t>“</w:t>
      </w:r>
      <w:r>
        <w:rPr>
          <w:rFonts w:hint="eastAsia" w:ascii="宋体" w:hAnsi="宋体" w:eastAsia="宋体" w:cs="宋体"/>
          <w:color w:val="auto"/>
          <w:sz w:val="24"/>
          <w:szCs w:val="24"/>
        </w:rPr>
        <w:t>投标人须知</w:t>
      </w:r>
      <w:r>
        <w:rPr>
          <w:rFonts w:ascii="宋体" w:hAnsi="宋体" w:eastAsia="宋体"/>
          <w:color w:val="auto"/>
          <w:sz w:val="24"/>
          <w:szCs w:val="24"/>
        </w:rPr>
        <w:t>”</w:t>
      </w:r>
      <w:r>
        <w:rPr>
          <w:rFonts w:hint="eastAsia" w:ascii="宋体" w:hAnsi="宋体" w:eastAsia="宋体" w:cs="宋体"/>
          <w:color w:val="auto"/>
          <w:sz w:val="24"/>
          <w:szCs w:val="24"/>
        </w:rPr>
        <w:t>前附表授权直接确定中标人外，评标委员会按照得分由高到低的顺序推荐中标候选人，并标明排序。</w:t>
      </w:r>
      <w:r>
        <w:rPr>
          <w:rFonts w:ascii="宋体" w:hAnsi="宋体" w:eastAsia="宋体"/>
          <w:color w:val="auto"/>
          <w:sz w:val="24"/>
          <w:szCs w:val="24"/>
        </w:rPr>
        <w:t xml:space="preserve"> </w:t>
      </w:r>
    </w:p>
    <w:p w14:paraId="20C2DC27">
      <w:pPr>
        <w:spacing w:after="0" w:line="360" w:lineRule="auto"/>
        <w:ind w:firstLine="480" w:firstLineChars="200"/>
        <w:rPr>
          <w:rFonts w:ascii="宋体" w:hAnsi="宋体" w:eastAsia="宋体"/>
          <w:color w:val="auto"/>
          <w:sz w:val="24"/>
          <w:szCs w:val="24"/>
        </w:rPr>
      </w:pPr>
      <w:r>
        <w:rPr>
          <w:rFonts w:ascii="宋体" w:hAnsi="宋体" w:eastAsia="宋体"/>
          <w:color w:val="auto"/>
          <w:sz w:val="24"/>
          <w:szCs w:val="24"/>
        </w:rPr>
        <w:t xml:space="preserve">3.4.2 </w:t>
      </w:r>
      <w:r>
        <w:rPr>
          <w:rFonts w:hint="eastAsia" w:ascii="宋体" w:hAnsi="宋体" w:eastAsia="宋体" w:cs="宋体"/>
          <w:color w:val="auto"/>
          <w:sz w:val="24"/>
          <w:szCs w:val="24"/>
        </w:rPr>
        <w:t>评标委员会完成评标后，应当向招标人提交书面评标报告和中标候选人名单。</w:t>
      </w:r>
      <w:r>
        <w:rPr>
          <w:rFonts w:ascii="宋体" w:hAnsi="宋体" w:eastAsia="宋体"/>
          <w:color w:val="auto"/>
          <w:sz w:val="24"/>
          <w:szCs w:val="24"/>
        </w:rPr>
        <w:t xml:space="preserve"> </w:t>
      </w:r>
    </w:p>
    <w:p w14:paraId="2521060D">
      <w:pPr>
        <w:spacing w:after="0"/>
        <w:ind w:left="4321"/>
        <w:rPr>
          <w:rFonts w:ascii="宋体" w:hAnsi="宋体" w:eastAsia="宋体"/>
          <w:color w:val="auto"/>
        </w:rPr>
      </w:pPr>
      <w:r>
        <w:rPr>
          <w:rFonts w:ascii="宋体" w:hAnsi="宋体" w:eastAsia="宋体"/>
          <w:b/>
          <w:color w:val="auto"/>
          <w:sz w:val="44"/>
        </w:rPr>
        <w:t xml:space="preserve"> </w:t>
      </w:r>
      <w:r>
        <w:rPr>
          <w:rFonts w:ascii="宋体" w:hAnsi="宋体" w:eastAsia="宋体"/>
          <w:b/>
          <w:color w:val="auto"/>
          <w:sz w:val="44"/>
        </w:rPr>
        <w:tab/>
      </w:r>
      <w:r>
        <w:rPr>
          <w:rFonts w:ascii="宋体" w:hAnsi="宋体" w:eastAsia="宋体"/>
          <w:b/>
          <w:color w:val="auto"/>
          <w:sz w:val="44"/>
        </w:rPr>
        <w:t xml:space="preserve"> </w:t>
      </w:r>
      <w:r>
        <w:rPr>
          <w:rFonts w:ascii="宋体" w:hAnsi="宋体" w:eastAsia="宋体"/>
          <w:color w:val="auto"/>
        </w:rPr>
        <w:br w:type="page"/>
      </w:r>
    </w:p>
    <w:p w14:paraId="0AAD7CEE">
      <w:pPr>
        <w:pStyle w:val="3"/>
        <w:spacing w:after="1017" w:line="259" w:lineRule="auto"/>
        <w:ind w:left="0" w:right="217" w:firstLine="0"/>
        <w:rPr>
          <w:rFonts w:hint="eastAsia" w:ascii="宋体" w:hAnsi="宋体" w:eastAsia="宋体"/>
          <w:b/>
          <w:color w:val="auto"/>
          <w:sz w:val="44"/>
        </w:rPr>
      </w:pPr>
      <w:bookmarkStart w:id="335" w:name="_Toc190785959"/>
      <w:bookmarkStart w:id="336" w:name="_Toc508382165"/>
      <w:r>
        <w:rPr>
          <w:rFonts w:hint="eastAsia" w:ascii="宋体" w:hAnsi="宋体" w:eastAsia="宋体" w:cs="宋体"/>
          <w:color w:val="auto"/>
          <w:sz w:val="44"/>
        </w:rPr>
        <w:t>第四章合同条款及格式</w:t>
      </w:r>
      <w:bookmarkEnd w:id="335"/>
      <w:bookmarkEnd w:id="336"/>
      <w:r>
        <w:rPr>
          <w:rFonts w:ascii="宋体" w:hAnsi="宋体" w:eastAsia="宋体"/>
          <w:b/>
          <w:color w:val="auto"/>
          <w:sz w:val="44"/>
        </w:rPr>
        <w:t xml:space="preserve"> </w:t>
      </w:r>
    </w:p>
    <w:p w14:paraId="6BD2D11C">
      <w:pPr>
        <w:pStyle w:val="3"/>
        <w:spacing w:after="1017" w:line="259" w:lineRule="auto"/>
        <w:ind w:left="0" w:right="217" w:firstLine="0"/>
        <w:rPr>
          <w:rFonts w:hint="eastAsia" w:ascii="宋体" w:hAnsi="宋体" w:eastAsia="宋体"/>
          <w:color w:val="auto"/>
        </w:rPr>
      </w:pPr>
      <w:bookmarkStart w:id="337" w:name="_Toc190785960"/>
      <w:r>
        <w:rPr>
          <w:rFonts w:hint="eastAsia" w:ascii="宋体" w:hAnsi="宋体" w:eastAsia="宋体"/>
          <w:b/>
          <w:color w:val="auto"/>
          <w:sz w:val="28"/>
          <w:szCs w:val="28"/>
        </w:rPr>
        <w:t>（另册）</w:t>
      </w:r>
      <w:bookmarkEnd w:id="337"/>
    </w:p>
    <w:p w14:paraId="2EC42755">
      <w:pPr>
        <w:spacing w:line="400" w:lineRule="exact"/>
        <w:jc w:val="center"/>
        <w:rPr>
          <w:rFonts w:hint="eastAsia" w:ascii="宋体" w:hAnsi="宋体" w:eastAsia="宋体"/>
          <w:b/>
          <w:color w:val="auto"/>
          <w:sz w:val="52"/>
          <w:szCs w:val="52"/>
        </w:rPr>
      </w:pPr>
    </w:p>
    <w:p w14:paraId="6FEA745D">
      <w:pPr>
        <w:spacing w:line="400" w:lineRule="exact"/>
        <w:jc w:val="center"/>
        <w:rPr>
          <w:rFonts w:hint="eastAsia" w:ascii="宋体" w:hAnsi="宋体" w:eastAsia="宋体"/>
          <w:b/>
          <w:color w:val="auto"/>
          <w:sz w:val="52"/>
          <w:szCs w:val="52"/>
        </w:rPr>
      </w:pPr>
    </w:p>
    <w:p w14:paraId="7E38CB32">
      <w:pPr>
        <w:spacing w:line="400" w:lineRule="exact"/>
        <w:jc w:val="center"/>
        <w:rPr>
          <w:rFonts w:hint="eastAsia" w:ascii="宋体" w:hAnsi="宋体" w:eastAsia="宋体"/>
          <w:b/>
          <w:color w:val="auto"/>
          <w:sz w:val="52"/>
          <w:szCs w:val="52"/>
        </w:rPr>
      </w:pPr>
    </w:p>
    <w:p w14:paraId="3F6ED615">
      <w:pPr>
        <w:spacing w:line="400" w:lineRule="exact"/>
        <w:jc w:val="center"/>
        <w:rPr>
          <w:rFonts w:hint="eastAsia" w:ascii="宋体" w:hAnsi="宋体" w:eastAsia="宋体"/>
          <w:b/>
          <w:color w:val="auto"/>
          <w:sz w:val="52"/>
          <w:szCs w:val="52"/>
        </w:rPr>
      </w:pPr>
    </w:p>
    <w:p w14:paraId="73404EB9">
      <w:pPr>
        <w:pStyle w:val="3"/>
        <w:spacing w:after="914" w:line="240" w:lineRule="auto"/>
        <w:ind w:right="0"/>
        <w:rPr>
          <w:rFonts w:hint="eastAsia" w:ascii="宋体" w:hAnsi="宋体" w:eastAsia="宋体" w:cs="宋体"/>
          <w:color w:val="auto"/>
          <w:sz w:val="44"/>
        </w:rPr>
      </w:pPr>
      <w:r>
        <w:rPr>
          <w:rFonts w:ascii="宋体" w:hAnsi="宋体" w:eastAsia="宋体"/>
          <w:color w:val="auto"/>
          <w:sz w:val="48"/>
        </w:rPr>
        <w:br w:type="page"/>
      </w:r>
      <w:bookmarkStart w:id="338" w:name="_Toc190785961"/>
      <w:r>
        <w:rPr>
          <w:rFonts w:hint="eastAsia" w:ascii="宋体" w:hAnsi="宋体" w:eastAsia="宋体" w:cs="宋体"/>
          <w:color w:val="auto"/>
          <w:sz w:val="44"/>
        </w:rPr>
        <w:t>第二卷</w:t>
      </w:r>
      <w:bookmarkEnd w:id="338"/>
    </w:p>
    <w:p w14:paraId="371F3C5C">
      <w:pPr>
        <w:pStyle w:val="3"/>
        <w:spacing w:after="914" w:line="240" w:lineRule="auto"/>
        <w:ind w:right="0"/>
        <w:rPr>
          <w:rFonts w:ascii="宋体" w:hAnsi="宋体" w:eastAsia="宋体" w:cs="宋体"/>
          <w:b/>
          <w:bCs/>
          <w:color w:val="auto"/>
          <w:sz w:val="44"/>
        </w:rPr>
      </w:pPr>
      <w:bookmarkStart w:id="339" w:name="_Toc190785962"/>
      <w:r>
        <w:rPr>
          <w:rFonts w:hint="eastAsia" w:ascii="宋体" w:hAnsi="宋体" w:eastAsia="宋体" w:cs="宋体"/>
          <w:b/>
          <w:bCs/>
          <w:color w:val="auto"/>
          <w:sz w:val="44"/>
        </w:rPr>
        <w:t>第五章 发包人要求</w:t>
      </w:r>
      <w:bookmarkEnd w:id="339"/>
    </w:p>
    <w:p w14:paraId="0EDF0018">
      <w:pPr>
        <w:jc w:val="center"/>
        <w:rPr>
          <w:rFonts w:hint="eastAsia" w:eastAsia="宋体"/>
          <w:b/>
          <w:bCs/>
          <w:sz w:val="30"/>
          <w:szCs w:val="30"/>
        </w:rPr>
      </w:pPr>
      <w:r>
        <w:rPr>
          <w:rFonts w:hint="eastAsia" w:eastAsia="宋体"/>
          <w:b/>
          <w:bCs/>
          <w:sz w:val="30"/>
          <w:szCs w:val="30"/>
        </w:rPr>
        <w:t>勘察</w:t>
      </w:r>
      <w:r>
        <w:rPr>
          <w:rFonts w:hint="eastAsia" w:ascii="宋体" w:hAnsi="宋体" w:eastAsia="宋体"/>
          <w:b/>
          <w:bCs/>
          <w:sz w:val="30"/>
          <w:szCs w:val="30"/>
        </w:rPr>
        <w:t>任务书</w:t>
      </w:r>
      <w:r>
        <w:rPr>
          <w:rFonts w:hint="eastAsia" w:eastAsia="宋体"/>
          <w:b/>
          <w:bCs/>
          <w:sz w:val="30"/>
          <w:szCs w:val="30"/>
        </w:rPr>
        <w:t>（另册）</w:t>
      </w:r>
    </w:p>
    <w:p w14:paraId="37FD5FA0">
      <w:pPr>
        <w:spacing w:after="202" w:line="360" w:lineRule="auto"/>
        <w:ind w:left="417" w:right="103" w:hanging="10"/>
        <w:rPr>
          <w:rFonts w:ascii="宋体" w:hAnsi="宋体" w:eastAsia="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0"/>
          <w:szCs w:val="20"/>
        </w:rPr>
        <w:t xml:space="preserve">  </w:t>
      </w:r>
      <w:r>
        <w:rPr>
          <w:rFonts w:ascii="宋体" w:hAnsi="宋体" w:eastAsia="宋体"/>
          <w:color w:val="auto"/>
        </w:rPr>
        <w:br w:type="page"/>
      </w:r>
    </w:p>
    <w:p w14:paraId="69B31BD2">
      <w:pPr>
        <w:spacing w:after="0"/>
        <w:ind w:right="1601"/>
        <w:jc w:val="right"/>
        <w:rPr>
          <w:rFonts w:ascii="宋体" w:hAnsi="宋体" w:eastAsia="宋体"/>
          <w:color w:val="auto"/>
          <w:sz w:val="21"/>
        </w:rPr>
      </w:pPr>
      <w:r>
        <w:rPr>
          <w:rFonts w:ascii="宋体" w:hAnsi="宋体" w:eastAsia="宋体"/>
          <w:color w:val="auto"/>
          <w:sz w:val="21"/>
        </w:rPr>
        <w:tab/>
      </w:r>
      <w:r>
        <w:rPr>
          <w:rFonts w:ascii="宋体" w:hAnsi="宋体" w:eastAsia="宋体"/>
          <w:color w:val="auto"/>
          <w:sz w:val="21"/>
        </w:rPr>
        <w:t xml:space="preserve"> </w:t>
      </w:r>
    </w:p>
    <w:p w14:paraId="1A20257C">
      <w:pPr>
        <w:pStyle w:val="3"/>
        <w:spacing w:after="914" w:line="240" w:lineRule="auto"/>
        <w:ind w:right="0"/>
        <w:rPr>
          <w:rFonts w:hint="eastAsia" w:ascii="宋体" w:hAnsi="宋体" w:eastAsia="宋体" w:cs="宋体"/>
          <w:color w:val="auto"/>
          <w:sz w:val="44"/>
        </w:rPr>
      </w:pPr>
      <w:bookmarkStart w:id="340" w:name="_Toc190785963"/>
      <w:r>
        <w:rPr>
          <w:rFonts w:hint="eastAsia" w:ascii="宋体" w:hAnsi="宋体" w:eastAsia="宋体" w:cs="宋体"/>
          <w:color w:val="auto"/>
          <w:sz w:val="44"/>
        </w:rPr>
        <w:t>第三卷</w:t>
      </w:r>
      <w:bookmarkEnd w:id="340"/>
    </w:p>
    <w:p w14:paraId="118147FD">
      <w:pPr>
        <w:pStyle w:val="3"/>
        <w:spacing w:after="850" w:line="345" w:lineRule="auto"/>
        <w:ind w:left="0" w:right="2550" w:firstLine="0"/>
        <w:rPr>
          <w:rFonts w:hint="eastAsia" w:ascii="宋体" w:hAnsi="宋体" w:eastAsia="宋体"/>
          <w:color w:val="auto"/>
        </w:rPr>
      </w:pPr>
      <w:r>
        <w:rPr>
          <w:rFonts w:hint="eastAsia" w:ascii="宋体" w:hAnsi="宋体" w:eastAsia="宋体" w:cs="宋体"/>
          <w:color w:val="auto"/>
          <w:sz w:val="44"/>
        </w:rPr>
        <w:br w:type="textWrapping"/>
      </w:r>
      <w:r>
        <w:rPr>
          <w:rFonts w:hint="eastAsia" w:ascii="宋体" w:hAnsi="宋体" w:eastAsia="宋体" w:cs="宋体"/>
          <w:color w:val="auto"/>
          <w:sz w:val="44"/>
        </w:rPr>
        <w:t xml:space="preserve">           </w:t>
      </w:r>
      <w:bookmarkStart w:id="341" w:name="_Toc190785964"/>
      <w:r>
        <w:rPr>
          <w:rFonts w:hint="eastAsia" w:ascii="宋体" w:hAnsi="宋体" w:eastAsia="宋体" w:cs="宋体"/>
          <w:color w:val="auto"/>
          <w:sz w:val="44"/>
        </w:rPr>
        <w:t>第六章 投标文件格式</w:t>
      </w:r>
      <w:bookmarkEnd w:id="341"/>
    </w:p>
    <w:p w14:paraId="0BD70820">
      <w:pPr>
        <w:rPr>
          <w:rFonts w:eastAsia="黑体"/>
          <w:sz w:val="20"/>
        </w:rPr>
      </w:pPr>
      <w:r>
        <w:rPr>
          <w:rFonts w:ascii="宋体" w:hAnsi="宋体" w:eastAsia="宋体"/>
          <w:color w:val="auto"/>
          <w:sz w:val="21"/>
        </w:rPr>
        <w:br w:type="page"/>
      </w:r>
      <w:r>
        <w:rPr>
          <w:rFonts w:ascii="宋体" w:hAnsi="宋体" w:eastAsia="宋体"/>
          <w:color w:val="auto"/>
          <w:sz w:val="21"/>
        </w:rPr>
        <w:tab/>
      </w:r>
    </w:p>
    <w:p w14:paraId="65638DAB">
      <w:pPr>
        <w:jc w:val="center"/>
        <w:rPr>
          <w:rFonts w:ascii="宋体" w:hAnsi="宋体" w:cs="宋体"/>
          <w:b/>
          <w:bCs/>
          <w:color w:val="auto"/>
          <w:sz w:val="32"/>
          <w:szCs w:val="32"/>
        </w:rPr>
      </w:pPr>
      <w:r>
        <w:rPr>
          <w:rFonts w:hint="eastAsia" w:ascii="宋体" w:hAnsi="宋体" w:cs="宋体"/>
          <w:b/>
          <w:bCs/>
          <w:color w:val="auto"/>
          <w:sz w:val="32"/>
          <w:szCs w:val="32"/>
        </w:rPr>
        <w:t>投标文件编制要求</w:t>
      </w:r>
    </w:p>
    <w:p w14:paraId="4347641D">
      <w:pPr>
        <w:numPr>
          <w:ilvl w:val="1"/>
          <w:numId w:val="0"/>
        </w:numPr>
        <w:spacing w:line="276" w:lineRule="auto"/>
        <w:ind w:firstLine="221" w:firstLineChars="100"/>
        <w:rPr>
          <w:rFonts w:ascii="宋体" w:hAnsi="宋体" w:cs="宋体"/>
          <w:b/>
          <w:bCs/>
          <w:color w:val="auto"/>
          <w:szCs w:val="21"/>
          <w:u w:val="single"/>
        </w:rPr>
      </w:pPr>
      <w:r>
        <w:rPr>
          <w:rFonts w:hint="eastAsia" w:ascii="宋体" w:hAnsi="宋体" w:eastAsia="宋体" w:cs="宋体"/>
          <w:b/>
          <w:bCs/>
          <w:color w:val="auto"/>
          <w:szCs w:val="21"/>
          <w:u w:val="single"/>
        </w:rPr>
        <w:t>一、</w:t>
      </w:r>
      <w:r>
        <w:rPr>
          <w:rFonts w:hint="eastAsia" w:ascii="宋体" w:hAnsi="宋体" w:cs="宋体"/>
          <w:b/>
          <w:bCs/>
          <w:color w:val="auto"/>
          <w:szCs w:val="21"/>
          <w:u w:val="single"/>
        </w:rPr>
        <w:t>投标文件</w:t>
      </w:r>
    </w:p>
    <w:p w14:paraId="7F4ED59A">
      <w:pPr>
        <w:pStyle w:val="18"/>
        <w:spacing w:line="276" w:lineRule="auto"/>
        <w:ind w:left="440"/>
        <w:rPr>
          <w:rFonts w:hAnsi="宋体" w:cs="宋体"/>
          <w:szCs w:val="21"/>
          <w:u w:val="single"/>
        </w:rPr>
      </w:pPr>
      <w:r>
        <w:rPr>
          <w:rFonts w:hint="eastAsia" w:hAnsi="宋体" w:cs="宋体"/>
          <w:szCs w:val="21"/>
          <w:u w:val="single"/>
        </w:rPr>
        <w:t>1、投标文件由资信业绩部分（含资格审查文件）和技术部分两部分组成。</w:t>
      </w:r>
    </w:p>
    <w:p w14:paraId="68591C90">
      <w:pPr>
        <w:pStyle w:val="18"/>
        <w:spacing w:line="276" w:lineRule="auto"/>
        <w:ind w:left="440"/>
        <w:rPr>
          <w:rFonts w:hAnsi="宋体" w:cs="宋体"/>
          <w:szCs w:val="21"/>
          <w:u w:val="single"/>
        </w:rPr>
      </w:pPr>
      <w:r>
        <w:rPr>
          <w:rFonts w:hint="eastAsia" w:hAnsi="宋体" w:cs="宋体"/>
          <w:szCs w:val="21"/>
          <w:u w:val="single"/>
        </w:rPr>
        <w:t>2、本项目为全流程电子化，投标文件所附证书证件均为原件扫描件，并按要求加盖电子印章，投标文件应做到清晰、完整、规格应当尽量统一。除非另有规定，否则投标文件的计量单位宜采用国际标准计量单位，尺寸齐全、准确，所有文字说明和文字标注以中文为准，报价均为人民币，时间均为北京时间。</w:t>
      </w:r>
    </w:p>
    <w:p w14:paraId="656100C3">
      <w:pPr>
        <w:numPr>
          <w:ilvl w:val="1"/>
          <w:numId w:val="0"/>
        </w:numPr>
        <w:spacing w:line="276" w:lineRule="auto"/>
        <w:ind w:firstLine="221" w:firstLineChars="100"/>
        <w:rPr>
          <w:rFonts w:ascii="宋体" w:hAnsi="宋体" w:cs="宋体"/>
          <w:b/>
          <w:bCs/>
          <w:color w:val="auto"/>
          <w:szCs w:val="21"/>
          <w:u w:val="single"/>
        </w:rPr>
      </w:pPr>
      <w:r>
        <w:rPr>
          <w:rFonts w:hint="eastAsia" w:ascii="宋体" w:hAnsi="宋体" w:eastAsia="宋体" w:cs="宋体"/>
          <w:b/>
          <w:bCs/>
          <w:color w:val="auto"/>
          <w:szCs w:val="21"/>
          <w:u w:val="single"/>
        </w:rPr>
        <w:t>二、资信业绩部分</w:t>
      </w:r>
      <w:r>
        <w:rPr>
          <w:rFonts w:hint="eastAsia" w:ascii="宋体" w:hAnsi="宋体" w:cs="宋体"/>
          <w:b/>
          <w:bCs/>
          <w:color w:val="auto"/>
          <w:szCs w:val="21"/>
          <w:u w:val="single"/>
        </w:rPr>
        <w:t>（含资格审查文件）</w:t>
      </w:r>
      <w:r>
        <w:rPr>
          <w:rFonts w:hint="eastAsia" w:ascii="宋体" w:hAnsi="宋体" w:eastAsia="宋体" w:cs="宋体"/>
          <w:b/>
          <w:bCs/>
          <w:color w:val="auto"/>
          <w:szCs w:val="21"/>
          <w:u w:val="single"/>
        </w:rPr>
        <w:t>文件</w:t>
      </w:r>
      <w:r>
        <w:rPr>
          <w:rFonts w:hint="eastAsia" w:ascii="宋体" w:hAnsi="宋体" w:cs="宋体"/>
          <w:b/>
          <w:bCs/>
          <w:color w:val="auto"/>
          <w:szCs w:val="21"/>
          <w:u w:val="single"/>
        </w:rPr>
        <w:t>编制要求</w:t>
      </w:r>
    </w:p>
    <w:p w14:paraId="2CABFE8C">
      <w:pPr>
        <w:pStyle w:val="18"/>
        <w:spacing w:line="276" w:lineRule="auto"/>
        <w:ind w:left="440"/>
        <w:rPr>
          <w:rFonts w:hAnsi="宋体" w:cs="宋体"/>
          <w:szCs w:val="21"/>
          <w:u w:val="single"/>
        </w:rPr>
      </w:pPr>
      <w:r>
        <w:rPr>
          <w:rFonts w:hint="eastAsia" w:hAnsi="宋体" w:cs="宋体"/>
          <w:szCs w:val="21"/>
          <w:u w:val="single"/>
        </w:rPr>
        <w:t>1、资信业绩部分文件（含资格审查文件）包括但不限于以下资料：</w:t>
      </w:r>
    </w:p>
    <w:p w14:paraId="0C385C8E">
      <w:pPr>
        <w:pStyle w:val="18"/>
        <w:spacing w:line="276" w:lineRule="auto"/>
        <w:ind w:left="440" w:firstLine="210" w:firstLineChars="100"/>
        <w:rPr>
          <w:rFonts w:hAnsi="宋体" w:cs="宋体"/>
          <w:szCs w:val="21"/>
          <w:u w:val="single"/>
        </w:rPr>
      </w:pPr>
      <w:r>
        <w:rPr>
          <w:rFonts w:hint="eastAsia" w:hAnsi="宋体" w:cs="宋体"/>
          <w:szCs w:val="21"/>
          <w:u w:val="single"/>
        </w:rPr>
        <w:t>（1）评分索引表及目录（格式自拟）。</w:t>
      </w:r>
    </w:p>
    <w:p w14:paraId="2B92CF39">
      <w:pPr>
        <w:pStyle w:val="18"/>
        <w:spacing w:line="276" w:lineRule="auto"/>
        <w:ind w:left="440" w:firstLine="210" w:firstLineChars="100"/>
        <w:rPr>
          <w:rFonts w:hAnsi="宋体" w:cs="宋体"/>
          <w:szCs w:val="21"/>
          <w:u w:val="single"/>
        </w:rPr>
      </w:pPr>
      <w:r>
        <w:rPr>
          <w:rFonts w:hint="eastAsia" w:hAnsi="宋体" w:cs="宋体"/>
          <w:szCs w:val="21"/>
          <w:u w:val="single"/>
        </w:rPr>
        <w:t>（2）填妥并签字盖章的《投标书》、《投标书附录》（格式见附录1）。</w:t>
      </w:r>
    </w:p>
    <w:p w14:paraId="2BA2B5C2">
      <w:pPr>
        <w:pStyle w:val="18"/>
        <w:spacing w:line="276" w:lineRule="auto"/>
        <w:ind w:left="440" w:firstLine="210" w:firstLineChars="100"/>
        <w:rPr>
          <w:rFonts w:hAnsi="宋体" w:cs="宋体"/>
          <w:szCs w:val="21"/>
          <w:u w:val="single"/>
        </w:rPr>
      </w:pPr>
      <w:r>
        <w:rPr>
          <w:rFonts w:hint="eastAsia" w:hAnsi="宋体" w:cs="宋体"/>
          <w:szCs w:val="21"/>
          <w:u w:val="single"/>
        </w:rPr>
        <w:t>（3）填妥并签字盖章的《投标人声明》（格式见附录2）。</w:t>
      </w:r>
    </w:p>
    <w:p w14:paraId="02571BA7">
      <w:pPr>
        <w:pStyle w:val="18"/>
        <w:spacing w:line="276" w:lineRule="auto"/>
        <w:ind w:left="440" w:firstLine="210" w:firstLineChars="100"/>
        <w:rPr>
          <w:rFonts w:hAnsi="宋体" w:cs="宋体"/>
          <w:szCs w:val="21"/>
          <w:u w:val="single"/>
        </w:rPr>
      </w:pPr>
      <w:r>
        <w:rPr>
          <w:rFonts w:hint="eastAsia" w:hAnsi="宋体" w:cs="宋体"/>
          <w:szCs w:val="21"/>
          <w:u w:val="single"/>
        </w:rPr>
        <w:t>（4）法定代表人身份证明、授权委托书</w:t>
      </w:r>
      <w:r>
        <w:rPr>
          <w:rFonts w:hint="eastAsia" w:ascii="宋体" w:hAnsi="宋体"/>
          <w:color w:val="000000"/>
          <w:sz w:val="24"/>
          <w:szCs w:val="24"/>
          <w:u w:val="single"/>
        </w:rPr>
        <w:t>（非法定代表人投标的出具）</w:t>
      </w:r>
      <w:r>
        <w:rPr>
          <w:rFonts w:hint="eastAsia" w:hAnsi="宋体" w:cs="宋体"/>
          <w:szCs w:val="21"/>
          <w:u w:val="single"/>
        </w:rPr>
        <w:t>（格式见附录3）。</w:t>
      </w:r>
    </w:p>
    <w:p w14:paraId="5271B92F">
      <w:pPr>
        <w:pStyle w:val="18"/>
        <w:spacing w:line="276" w:lineRule="auto"/>
        <w:ind w:left="440" w:firstLine="210" w:firstLineChars="100"/>
        <w:rPr>
          <w:rFonts w:hint="eastAsia" w:hAnsi="宋体" w:cs="宋体"/>
          <w:szCs w:val="21"/>
          <w:u w:val="single"/>
        </w:rPr>
      </w:pPr>
      <w:r>
        <w:rPr>
          <w:rFonts w:hint="eastAsia" w:hAnsi="宋体" w:cs="宋体"/>
          <w:szCs w:val="21"/>
          <w:u w:val="single"/>
        </w:rPr>
        <w:t>（5</w:t>
      </w:r>
      <w:r>
        <w:rPr>
          <w:rFonts w:hint="eastAsia" w:hAnsi="宋体" w:cs="宋体"/>
          <w:szCs w:val="21"/>
          <w:highlight w:val="none"/>
          <w:u w:val="single"/>
        </w:rPr>
        <w:t>）《工程勘察费报价表》</w:t>
      </w:r>
      <w:r>
        <w:rPr>
          <w:rFonts w:hint="eastAsia" w:hAnsi="宋体" w:cs="宋体"/>
          <w:szCs w:val="21"/>
          <w:u w:val="single"/>
        </w:rPr>
        <w:t>（格式见附录4）。</w:t>
      </w:r>
    </w:p>
    <w:p w14:paraId="231F1CCF">
      <w:pPr>
        <w:pStyle w:val="18"/>
        <w:spacing w:line="276" w:lineRule="auto"/>
        <w:ind w:left="440" w:firstLine="210" w:firstLineChars="100"/>
        <w:rPr>
          <w:rFonts w:hAnsi="宋体" w:cs="宋体"/>
          <w:szCs w:val="21"/>
          <w:u w:val="single"/>
        </w:rPr>
      </w:pPr>
      <w:r>
        <w:rPr>
          <w:rFonts w:hint="eastAsia" w:hAnsi="宋体" w:cs="宋体"/>
          <w:szCs w:val="21"/>
          <w:u w:val="single"/>
        </w:rPr>
        <w:t>（6）企业营业执照或事业单位法人证书扫描件（香港企业参加投标的，提供在香港进行商业登记的证明文书扫描件）。</w:t>
      </w:r>
    </w:p>
    <w:p w14:paraId="55C3C3D2">
      <w:pPr>
        <w:pStyle w:val="18"/>
        <w:spacing w:line="276" w:lineRule="auto"/>
        <w:ind w:left="440" w:firstLine="210" w:firstLineChars="100"/>
        <w:rPr>
          <w:rFonts w:hAnsi="宋体" w:cs="宋体"/>
          <w:szCs w:val="21"/>
          <w:u w:val="single"/>
        </w:rPr>
      </w:pPr>
      <w:r>
        <w:rPr>
          <w:rFonts w:hint="eastAsia" w:hAnsi="宋体" w:cs="宋体"/>
          <w:szCs w:val="21"/>
          <w:u w:val="single"/>
        </w:rPr>
        <w:t>（7）企业资质证书副本扫描件（香港企业参加投标的，须提供在广东省住房和城乡建设主管部门备案文件且备案的业务范围满足本项目资质要求）。</w:t>
      </w:r>
    </w:p>
    <w:p w14:paraId="1AF292FD">
      <w:pPr>
        <w:pStyle w:val="18"/>
        <w:spacing w:line="276" w:lineRule="auto"/>
        <w:ind w:left="440" w:firstLine="210" w:firstLineChars="100"/>
        <w:rPr>
          <w:rFonts w:hint="eastAsia" w:hAnsi="宋体" w:cs="宋体"/>
          <w:szCs w:val="21"/>
          <w:u w:val="single"/>
        </w:rPr>
      </w:pPr>
      <w:r>
        <w:rPr>
          <w:rFonts w:hint="eastAsia" w:hAnsi="宋体" w:cs="宋体"/>
          <w:szCs w:val="21"/>
          <w:u w:val="single"/>
        </w:rPr>
        <w:t>（8）投标人及项目负责人已在广州市住建行业信用管理平台建立诚信档案的网页截图。</w:t>
      </w:r>
    </w:p>
    <w:p w14:paraId="51426C5E">
      <w:pPr>
        <w:pStyle w:val="18"/>
        <w:spacing w:line="276" w:lineRule="auto"/>
        <w:ind w:left="440" w:firstLine="210" w:firstLineChars="100"/>
        <w:rPr>
          <w:rFonts w:hint="eastAsia" w:hAnsi="宋体" w:cs="宋体"/>
          <w:szCs w:val="21"/>
          <w:u w:val="single"/>
        </w:rPr>
      </w:pPr>
      <w:r>
        <w:rPr>
          <w:rFonts w:hint="eastAsia" w:hAnsi="宋体" w:cs="宋体"/>
          <w:szCs w:val="21"/>
          <w:u w:val="single"/>
        </w:rPr>
        <w:t>（9）拟派项目负责人相关证书扫描件。</w:t>
      </w:r>
    </w:p>
    <w:p w14:paraId="606C286B">
      <w:pPr>
        <w:pStyle w:val="18"/>
        <w:spacing w:line="276" w:lineRule="auto"/>
        <w:ind w:left="440" w:firstLine="210" w:firstLineChars="100"/>
        <w:rPr>
          <w:rFonts w:hAnsi="宋体" w:cs="宋体"/>
          <w:szCs w:val="21"/>
          <w:u w:val="single"/>
        </w:rPr>
      </w:pPr>
      <w:r>
        <w:rPr>
          <w:rFonts w:hint="eastAsia" w:hAnsi="宋体" w:cs="宋体"/>
          <w:szCs w:val="21"/>
          <w:u w:val="single"/>
        </w:rPr>
        <w:t>（10）项目负责人资历情况（格式见附录6）。</w:t>
      </w:r>
    </w:p>
    <w:p w14:paraId="0516E94E">
      <w:pPr>
        <w:pStyle w:val="18"/>
        <w:spacing w:line="276" w:lineRule="auto"/>
        <w:ind w:left="440" w:firstLine="210" w:firstLineChars="100"/>
        <w:rPr>
          <w:rFonts w:hint="eastAsia" w:hAnsi="宋体" w:cs="宋体"/>
          <w:szCs w:val="21"/>
          <w:u w:val="single"/>
        </w:rPr>
      </w:pPr>
      <w:r>
        <w:rPr>
          <w:rFonts w:hint="eastAsia" w:hAnsi="宋体" w:cs="宋体"/>
          <w:szCs w:val="21"/>
          <w:u w:val="single"/>
        </w:rPr>
        <w:t>（11）投标人完成过的项目业绩（格式见附录5）。</w:t>
      </w:r>
    </w:p>
    <w:p w14:paraId="32626290">
      <w:pPr>
        <w:pStyle w:val="18"/>
        <w:spacing w:line="276" w:lineRule="auto"/>
        <w:ind w:left="440" w:firstLine="210" w:firstLineChars="100"/>
      </w:pPr>
      <w:r>
        <w:rPr>
          <w:rFonts w:hint="eastAsia" w:hAnsi="宋体" w:cs="宋体"/>
          <w:szCs w:val="21"/>
          <w:u w:val="single"/>
        </w:rPr>
        <w:t>（12）</w:t>
      </w:r>
      <w:r>
        <w:rPr>
          <w:rFonts w:hint="eastAsia"/>
          <w:u w:val="single"/>
        </w:rPr>
        <w:t>投入主要人员汇总表（格式见附录7）。</w:t>
      </w:r>
    </w:p>
    <w:p w14:paraId="10E2A450">
      <w:pPr>
        <w:pStyle w:val="18"/>
        <w:spacing w:line="276" w:lineRule="auto"/>
        <w:ind w:left="440" w:firstLine="210" w:firstLineChars="100"/>
        <w:rPr>
          <w:rFonts w:hint="eastAsia" w:hAnsi="宋体" w:cs="宋体"/>
          <w:szCs w:val="21"/>
          <w:u w:val="single"/>
        </w:rPr>
      </w:pPr>
      <w:r>
        <w:rPr>
          <w:rFonts w:hint="eastAsia" w:hAnsi="宋体" w:cs="宋体"/>
          <w:szCs w:val="21"/>
          <w:u w:val="single"/>
        </w:rPr>
        <w:t>（13）投标人资信评分项证明材料扫描件。</w:t>
      </w:r>
    </w:p>
    <w:p w14:paraId="4CEA2BAA">
      <w:pPr>
        <w:pStyle w:val="18"/>
        <w:spacing w:line="276" w:lineRule="auto"/>
        <w:ind w:left="220" w:leftChars="100" w:firstLine="428" w:firstLineChars="204"/>
        <w:rPr>
          <w:rFonts w:hint="eastAsia" w:hAnsi="宋体" w:cs="宋体"/>
          <w:szCs w:val="21"/>
          <w:u w:val="single"/>
        </w:rPr>
      </w:pPr>
      <w:r>
        <w:rPr>
          <w:rFonts w:hint="eastAsia" w:hAnsi="宋体" w:cs="宋体"/>
          <w:szCs w:val="21"/>
          <w:u w:val="single"/>
        </w:rPr>
        <w:t>（14）投标人认为有必要提供的其他资料。</w:t>
      </w:r>
      <w:r>
        <w:rPr>
          <w:rFonts w:hint="eastAsia" w:hAnsi="宋体" w:cs="宋体"/>
          <w:szCs w:val="21"/>
          <w:u w:val="single"/>
        </w:rPr>
        <w:br w:type="textWrapping"/>
      </w:r>
      <w:r>
        <w:rPr>
          <w:rFonts w:hint="eastAsia" w:ascii="宋体" w:hAnsi="宋体" w:cs="宋体"/>
          <w:b/>
          <w:bCs/>
          <w:szCs w:val="21"/>
        </w:rPr>
        <w:t>三、技术部分文件编制要求</w:t>
      </w:r>
    </w:p>
    <w:p w14:paraId="28CB9C2C">
      <w:pPr>
        <w:pStyle w:val="18"/>
        <w:spacing w:line="276" w:lineRule="auto"/>
        <w:ind w:left="220" w:leftChars="100" w:firstLine="428" w:firstLineChars="204"/>
        <w:rPr>
          <w:rFonts w:hint="eastAsia" w:hAnsi="宋体" w:cs="宋体"/>
          <w:szCs w:val="21"/>
          <w:u w:val="single"/>
        </w:rPr>
      </w:pPr>
      <w:r>
        <w:rPr>
          <w:rFonts w:hint="eastAsia" w:hAnsi="宋体" w:cs="宋体"/>
          <w:szCs w:val="21"/>
          <w:u w:val="single"/>
        </w:rPr>
        <w:t>（1）目录。</w:t>
      </w:r>
    </w:p>
    <w:p w14:paraId="1733DC84">
      <w:pPr>
        <w:pStyle w:val="18"/>
        <w:spacing w:line="276" w:lineRule="auto"/>
        <w:ind w:left="220" w:leftChars="100" w:firstLine="428" w:firstLineChars="204"/>
        <w:rPr>
          <w:rFonts w:hint="eastAsia" w:hAnsi="宋体" w:cs="宋体"/>
          <w:szCs w:val="21"/>
          <w:u w:val="single"/>
        </w:rPr>
      </w:pPr>
      <w:r>
        <w:rPr>
          <w:rFonts w:hint="eastAsia" w:hAnsi="宋体" w:cs="宋体"/>
          <w:szCs w:val="21"/>
          <w:u w:val="single"/>
        </w:rPr>
        <w:t>（2）技术方案。</w:t>
      </w:r>
    </w:p>
    <w:p w14:paraId="5943873F">
      <w:pPr>
        <w:pStyle w:val="18"/>
        <w:spacing w:line="276" w:lineRule="auto"/>
        <w:ind w:left="440" w:firstLine="210" w:firstLineChars="100"/>
        <w:rPr>
          <w:rFonts w:hAnsi="宋体" w:cs="宋体"/>
          <w:szCs w:val="21"/>
          <w:u w:val="single"/>
        </w:rPr>
      </w:pPr>
      <w:r>
        <w:rPr>
          <w:rFonts w:hint="eastAsia" w:hAnsi="宋体" w:cs="宋体"/>
          <w:szCs w:val="21"/>
          <w:u w:val="single"/>
        </w:rPr>
        <w:t>（3）投标人认为有必要提供的其他资料。</w:t>
      </w:r>
      <w:r>
        <w:rPr>
          <w:rFonts w:hint="eastAsia" w:hAnsi="宋体" w:cs="宋体"/>
          <w:szCs w:val="21"/>
        </w:rPr>
        <w:br w:type="textWrapping"/>
      </w:r>
    </w:p>
    <w:p w14:paraId="5080A946">
      <w:pPr>
        <w:pStyle w:val="19"/>
        <w:ind w:firstLine="221" w:firstLineChars="100"/>
        <w:rPr>
          <w:rFonts w:hint="eastAsia"/>
          <w:color w:val="auto"/>
        </w:rPr>
      </w:pPr>
      <w:r>
        <w:rPr>
          <w:rFonts w:hint="eastAsia" w:ascii="宋体" w:hAnsi="宋体" w:cs="宋体"/>
          <w:b/>
          <w:bCs/>
          <w:color w:val="auto"/>
          <w:szCs w:val="21"/>
        </w:rPr>
        <w:t>四、其他资料：投标人认为需递交的其他资料。</w:t>
      </w:r>
    </w:p>
    <w:p w14:paraId="7C2E0457">
      <w:pPr>
        <w:rPr>
          <w:rFonts w:hint="eastAsia" w:ascii="宋体" w:hAnsi="宋体" w:eastAsia="宋体"/>
          <w:b/>
          <w:bCs/>
          <w:color w:val="auto"/>
        </w:rPr>
      </w:pPr>
      <w:r>
        <w:rPr>
          <w:rFonts w:hAnsi="宋体"/>
          <w:color w:val="auto"/>
          <w:u w:val="single"/>
        </w:rPr>
        <w:br w:type="page"/>
      </w:r>
      <w:r>
        <w:rPr>
          <w:rFonts w:hint="eastAsia" w:hAnsi="宋体"/>
          <w:b/>
          <w:bCs/>
          <w:color w:val="auto"/>
        </w:rPr>
        <w:t>附录1</w:t>
      </w:r>
      <w:r>
        <w:rPr>
          <w:rFonts w:hint="eastAsia" w:hAnsi="宋体" w:eastAsia="宋体"/>
          <w:b/>
          <w:bCs/>
          <w:color w:val="auto"/>
        </w:rPr>
        <w:t>：投标书</w:t>
      </w:r>
    </w:p>
    <w:p w14:paraId="409193BE">
      <w:pPr>
        <w:jc w:val="center"/>
        <w:rPr>
          <w:rFonts w:ascii="宋体" w:hAnsi="宋体"/>
          <w:b/>
          <w:bCs/>
          <w:color w:val="auto"/>
          <w:sz w:val="32"/>
        </w:rPr>
      </w:pPr>
      <w:r>
        <w:rPr>
          <w:rFonts w:hint="eastAsia" w:ascii="宋体" w:hAnsi="宋体"/>
          <w:b/>
          <w:bCs/>
          <w:color w:val="auto"/>
          <w:sz w:val="32"/>
        </w:rPr>
        <w:t>投标书</w:t>
      </w:r>
    </w:p>
    <w:p w14:paraId="45CF4D26">
      <w:pPr>
        <w:pStyle w:val="2"/>
        <w:spacing w:line="360" w:lineRule="auto"/>
        <w:rPr>
          <w:rFonts w:hint="default" w:hAnsi="宋体" w:eastAsia="宋体"/>
          <w:sz w:val="24"/>
          <w:szCs w:val="24"/>
          <w:lang w:val="en-US" w:eastAsia="zh-CN"/>
        </w:rPr>
      </w:pPr>
      <w:r>
        <w:rPr>
          <w:rFonts w:hint="eastAsia" w:hAnsi="宋体"/>
          <w:sz w:val="24"/>
          <w:szCs w:val="24"/>
        </w:rPr>
        <w:t>致：</w:t>
      </w:r>
      <w:r>
        <w:rPr>
          <w:rFonts w:hint="eastAsia" w:hAnsi="宋体"/>
          <w:sz w:val="24"/>
          <w:szCs w:val="24"/>
          <w:u w:val="single"/>
          <w:lang w:val="en-US" w:eastAsia="zh-CN"/>
        </w:rPr>
        <w:t xml:space="preserve">                              </w:t>
      </w:r>
    </w:p>
    <w:p w14:paraId="55821515">
      <w:pPr>
        <w:pStyle w:val="2"/>
        <w:spacing w:line="360" w:lineRule="auto"/>
        <w:ind w:firstLine="420"/>
        <w:rPr>
          <w:rFonts w:hAnsi="宋体"/>
          <w:sz w:val="24"/>
          <w:szCs w:val="24"/>
        </w:rPr>
      </w:pPr>
      <w:r>
        <w:rPr>
          <w:rFonts w:hint="eastAsia" w:hAnsi="宋体"/>
          <w:sz w:val="24"/>
          <w:szCs w:val="24"/>
        </w:rPr>
        <w:t>我方</w:t>
      </w:r>
      <w:r>
        <w:rPr>
          <w:rFonts w:hint="eastAsia" w:hAnsi="宋体"/>
          <w:sz w:val="24"/>
          <w:szCs w:val="24"/>
          <w:u w:val="single"/>
        </w:rPr>
        <w:t xml:space="preserve">    </w:t>
      </w:r>
      <w:r>
        <w:rPr>
          <w:rFonts w:hint="eastAsia" w:hAnsi="宋体"/>
          <w:i/>
          <w:iCs/>
          <w:sz w:val="24"/>
          <w:szCs w:val="24"/>
          <w:u w:val="single"/>
        </w:rPr>
        <w:t>（投标人的名称）</w:t>
      </w:r>
      <w:r>
        <w:rPr>
          <w:rFonts w:hint="eastAsia" w:hAnsi="宋体"/>
          <w:sz w:val="24"/>
          <w:szCs w:val="24"/>
          <w:u w:val="single"/>
          <w:lang w:val="en-US" w:eastAsia="zh-CN"/>
        </w:rPr>
        <w:t xml:space="preserve">    </w:t>
      </w:r>
      <w:r>
        <w:rPr>
          <w:rFonts w:hint="eastAsia" w:hAnsi="宋体"/>
          <w:sz w:val="24"/>
          <w:szCs w:val="24"/>
        </w:rPr>
        <w:t>已收到并研究了</w:t>
      </w:r>
      <w:r>
        <w:rPr>
          <w:rFonts w:hint="eastAsia" w:hAnsi="宋体"/>
          <w:sz w:val="24"/>
          <w:szCs w:val="24"/>
          <w:u w:val="single"/>
          <w:lang w:val="en-US" w:eastAsia="zh-CN"/>
        </w:rPr>
        <w:t>吉祥路30号、32号地块改扩建教学楼工程</w:t>
      </w:r>
      <w:r>
        <w:rPr>
          <w:rFonts w:hint="eastAsia" w:hAnsi="宋体"/>
          <w:sz w:val="24"/>
          <w:szCs w:val="24"/>
          <w:u w:val="single"/>
          <w:lang w:eastAsia="zh-CN"/>
        </w:rPr>
        <w:t>勘察</w:t>
      </w:r>
      <w:r>
        <w:rPr>
          <w:rFonts w:hint="eastAsia" w:hAnsi="宋体"/>
          <w:sz w:val="24"/>
          <w:szCs w:val="24"/>
        </w:rPr>
        <w:t>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14:paraId="6B76AC3E">
      <w:pPr>
        <w:pStyle w:val="2"/>
        <w:spacing w:line="360" w:lineRule="auto"/>
        <w:ind w:firstLine="420"/>
        <w:rPr>
          <w:rFonts w:hAnsi="宋体"/>
          <w:sz w:val="24"/>
          <w:szCs w:val="24"/>
        </w:rPr>
      </w:pPr>
      <w:r>
        <w:rPr>
          <w:rFonts w:hint="eastAsia" w:hAnsi="宋体"/>
          <w:sz w:val="24"/>
          <w:szCs w:val="24"/>
        </w:rPr>
        <w:t>我方愿以《工程勘察费报价表》的投标总报价，承包本次招标所包含的工作，并承担质量缺陷责任。我方项目负责人是</w:t>
      </w:r>
      <w:r>
        <w:rPr>
          <w:rFonts w:hint="eastAsia" w:hAnsi="宋体"/>
          <w:sz w:val="24"/>
          <w:szCs w:val="24"/>
          <w:u w:val="single"/>
        </w:rPr>
        <w:t xml:space="preserve">       </w:t>
      </w:r>
      <w:r>
        <w:rPr>
          <w:rFonts w:hint="eastAsia" w:hAnsi="宋体"/>
          <w:sz w:val="24"/>
          <w:szCs w:val="24"/>
        </w:rPr>
        <w:t>。如我司成为本项目中标候选人，我司同意并授权招标人将我司投标文件资信业绩部分的人员、业绩、奖项等资料进行公开。</w:t>
      </w:r>
    </w:p>
    <w:p w14:paraId="7EBF834C">
      <w:pPr>
        <w:pStyle w:val="2"/>
        <w:spacing w:line="360" w:lineRule="auto"/>
        <w:ind w:firstLine="420"/>
        <w:rPr>
          <w:rFonts w:hAnsi="宋体"/>
          <w:sz w:val="24"/>
          <w:szCs w:val="24"/>
        </w:rPr>
      </w:pPr>
      <w:r>
        <w:rPr>
          <w:rFonts w:hint="eastAsia" w:hAnsi="宋体"/>
          <w:sz w:val="24"/>
          <w:szCs w:val="24"/>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26BDC6A6">
      <w:pPr>
        <w:pStyle w:val="2"/>
        <w:spacing w:line="360" w:lineRule="auto"/>
        <w:ind w:firstLine="420"/>
        <w:rPr>
          <w:rFonts w:hAnsi="宋体"/>
          <w:sz w:val="24"/>
          <w:szCs w:val="24"/>
        </w:rPr>
      </w:pPr>
      <w:r>
        <w:rPr>
          <w:rFonts w:hint="eastAsia" w:hAnsi="宋体"/>
          <w:sz w:val="24"/>
          <w:szCs w:val="24"/>
        </w:rPr>
        <w:t>我方认同招标文件规定的评审规则，遵守评标委员会的裁决结果，并且不会采取妨碍项目进展的行为。我方理解你方没有必须接受你方可能收到的最低标或任何投标的义务。</w:t>
      </w:r>
    </w:p>
    <w:p w14:paraId="6CF51B05">
      <w:pPr>
        <w:pStyle w:val="2"/>
        <w:spacing w:line="360" w:lineRule="auto"/>
        <w:ind w:firstLine="420"/>
        <w:rPr>
          <w:rFonts w:hAnsi="宋体"/>
          <w:sz w:val="24"/>
          <w:szCs w:val="24"/>
        </w:rPr>
      </w:pPr>
      <w:r>
        <w:rPr>
          <w:rFonts w:hint="eastAsia" w:hAnsi="宋体"/>
          <w:sz w:val="24"/>
          <w:szCs w:val="24"/>
        </w:rPr>
        <w:t>如果我方中标，我方将按规定在合同规定的日期开工，并在竣工时间内，按照上述文件完成项目。</w:t>
      </w:r>
    </w:p>
    <w:p w14:paraId="07029CAC">
      <w:pPr>
        <w:pStyle w:val="2"/>
        <w:spacing w:line="360" w:lineRule="auto"/>
        <w:ind w:firstLine="420"/>
        <w:rPr>
          <w:rFonts w:hAnsi="宋体"/>
          <w:sz w:val="24"/>
          <w:szCs w:val="24"/>
        </w:rPr>
      </w:pPr>
      <w:r>
        <w:rPr>
          <w:rFonts w:hint="eastAsia" w:hAnsi="宋体"/>
          <w:sz w:val="24"/>
          <w:szCs w:val="24"/>
        </w:rPr>
        <w:t>除非制订正式合同协议书并生效，本投标书以及你方中标通知书，应构成你我双方间具有约束力的合同。</w:t>
      </w:r>
    </w:p>
    <w:p w14:paraId="027CB8F7">
      <w:pPr>
        <w:spacing w:line="360" w:lineRule="auto"/>
        <w:rPr>
          <w:rFonts w:hAnsi="宋体"/>
          <w:color w:val="auto"/>
          <w:sz w:val="24"/>
          <w:szCs w:val="24"/>
        </w:rPr>
      </w:pPr>
      <w:r>
        <w:rPr>
          <w:rFonts w:hint="eastAsia" w:hAnsi="宋体"/>
          <w:color w:val="auto"/>
          <w:sz w:val="24"/>
          <w:szCs w:val="24"/>
        </w:rPr>
        <w:t xml:space="preserve">    投标人：（盖章）</w:t>
      </w:r>
      <w:r>
        <w:rPr>
          <w:rFonts w:hint="eastAsia" w:hAnsi="宋体"/>
          <w:color w:val="auto"/>
          <w:sz w:val="24"/>
          <w:szCs w:val="24"/>
          <w:u w:val="single"/>
        </w:rPr>
        <w:t xml:space="preserve">                                  </w:t>
      </w:r>
    </w:p>
    <w:p w14:paraId="3DA10749">
      <w:pPr>
        <w:spacing w:line="360" w:lineRule="auto"/>
        <w:ind w:firstLine="408"/>
        <w:rPr>
          <w:rFonts w:hint="eastAsia" w:hAnsi="宋体" w:eastAsia="宋体"/>
          <w:color w:val="auto"/>
          <w:sz w:val="24"/>
          <w:szCs w:val="24"/>
        </w:rPr>
      </w:pPr>
      <w:r>
        <w:rPr>
          <w:rFonts w:hint="eastAsia" w:hAnsi="宋体"/>
          <w:color w:val="auto"/>
          <w:sz w:val="24"/>
          <w:szCs w:val="24"/>
        </w:rPr>
        <w:t>法定代表人：（签字或盖章）</w:t>
      </w:r>
      <w:r>
        <w:rPr>
          <w:rFonts w:hint="eastAsia" w:hAnsi="宋体"/>
          <w:color w:val="auto"/>
          <w:sz w:val="24"/>
          <w:szCs w:val="24"/>
          <w:u w:val="single"/>
        </w:rPr>
        <w:t xml:space="preserve">                        </w:t>
      </w:r>
    </w:p>
    <w:p w14:paraId="0ECA6791">
      <w:pPr>
        <w:spacing w:line="360" w:lineRule="auto"/>
        <w:ind w:firstLine="408"/>
        <w:rPr>
          <w:rFonts w:hint="eastAsia" w:hAnsi="宋体" w:eastAsia="宋体"/>
          <w:color w:val="auto"/>
          <w:sz w:val="24"/>
          <w:szCs w:val="24"/>
        </w:rPr>
      </w:pPr>
      <w:r>
        <w:rPr>
          <w:rFonts w:hint="eastAsia" w:hAnsi="宋体" w:eastAsia="宋体"/>
          <w:color w:val="auto"/>
          <w:sz w:val="24"/>
          <w:szCs w:val="24"/>
        </w:rPr>
        <w:t>委托代理人</w:t>
      </w:r>
      <w:r>
        <w:rPr>
          <w:rFonts w:hint="eastAsia" w:hAnsi="宋体"/>
          <w:color w:val="auto"/>
          <w:sz w:val="24"/>
          <w:szCs w:val="24"/>
        </w:rPr>
        <w:t>：（签字或盖章）</w:t>
      </w:r>
      <w:r>
        <w:rPr>
          <w:rFonts w:hint="eastAsia" w:hAnsi="宋体"/>
          <w:color w:val="auto"/>
          <w:sz w:val="24"/>
          <w:szCs w:val="24"/>
          <w:u w:val="single"/>
        </w:rPr>
        <w:t xml:space="preserve">                        </w:t>
      </w:r>
    </w:p>
    <w:p w14:paraId="3D7E3C7E">
      <w:pPr>
        <w:rPr>
          <w:rFonts w:hint="eastAsia" w:hAnsi="宋体"/>
          <w:color w:val="auto"/>
          <w:sz w:val="24"/>
          <w:szCs w:val="24"/>
          <w:u w:val="single"/>
        </w:rPr>
      </w:pPr>
      <w:r>
        <w:rPr>
          <w:rFonts w:hint="eastAsia" w:hAnsi="宋体"/>
          <w:color w:val="auto"/>
          <w:sz w:val="24"/>
          <w:szCs w:val="24"/>
        </w:rPr>
        <w:t xml:space="preserve">    项目负责人：（签字或盖章）</w:t>
      </w:r>
      <w:r>
        <w:rPr>
          <w:rFonts w:hint="eastAsia" w:hAnsi="宋体"/>
          <w:color w:val="auto"/>
          <w:sz w:val="24"/>
          <w:szCs w:val="24"/>
          <w:u w:val="single"/>
        </w:rPr>
        <w:t xml:space="preserve">                        </w:t>
      </w:r>
    </w:p>
    <w:p w14:paraId="5E31A63D">
      <w:pPr>
        <w:jc w:val="center"/>
        <w:rPr>
          <w:rFonts w:ascii="宋体" w:hAnsi="宋体"/>
          <w:b/>
          <w:bCs/>
          <w:color w:val="auto"/>
          <w:sz w:val="32"/>
        </w:rPr>
      </w:pPr>
      <w:r>
        <w:rPr>
          <w:rFonts w:hint="eastAsia" w:hAnsi="宋体"/>
          <w:color w:val="auto"/>
          <w:sz w:val="21"/>
          <w:szCs w:val="21"/>
          <w:u w:val="single"/>
        </w:rPr>
        <w:br w:type="page"/>
      </w:r>
      <w:r>
        <w:rPr>
          <w:rFonts w:hint="eastAsia" w:ascii="宋体" w:hAnsi="宋体"/>
          <w:b/>
          <w:bCs/>
          <w:color w:val="auto"/>
          <w:sz w:val="32"/>
        </w:rPr>
        <w:t>投标书附录</w:t>
      </w:r>
    </w:p>
    <w:p w14:paraId="66938CB8">
      <w:pPr>
        <w:pStyle w:val="17"/>
        <w:kinsoku w:val="0"/>
        <w:overflowPunct w:val="0"/>
        <w:rPr>
          <w:color w:val="auto"/>
          <w:sz w:val="20"/>
          <w:szCs w:val="20"/>
        </w:rPr>
      </w:pPr>
    </w:p>
    <w:p w14:paraId="6F28D171">
      <w:pPr>
        <w:pStyle w:val="17"/>
        <w:kinsoku w:val="0"/>
        <w:overflowPunct w:val="0"/>
        <w:spacing w:before="3"/>
        <w:rPr>
          <w:color w:val="auto"/>
          <w:sz w:val="23"/>
          <w:szCs w:val="23"/>
        </w:rPr>
      </w:pPr>
    </w:p>
    <w:tbl>
      <w:tblPr>
        <w:tblStyle w:val="39"/>
        <w:tblW w:w="0" w:type="auto"/>
        <w:tblInd w:w="112" w:type="dxa"/>
        <w:tblLayout w:type="fixed"/>
        <w:tblCellMar>
          <w:top w:w="0" w:type="dxa"/>
          <w:left w:w="0" w:type="dxa"/>
          <w:bottom w:w="0" w:type="dxa"/>
          <w:right w:w="0" w:type="dxa"/>
        </w:tblCellMar>
      </w:tblPr>
      <w:tblGrid>
        <w:gridCol w:w="1356"/>
        <w:gridCol w:w="3073"/>
        <w:gridCol w:w="3648"/>
        <w:gridCol w:w="1314"/>
      </w:tblGrid>
      <w:tr w14:paraId="7BD31077">
        <w:tblPrEx>
          <w:tblCellMar>
            <w:top w:w="0" w:type="dxa"/>
            <w:left w:w="0" w:type="dxa"/>
            <w:bottom w:w="0" w:type="dxa"/>
            <w:right w:w="0" w:type="dxa"/>
          </w:tblCellMar>
        </w:tblPrEx>
        <w:trPr>
          <w:trHeight w:val="538" w:hRule="exact"/>
        </w:trPr>
        <w:tc>
          <w:tcPr>
            <w:tcW w:w="1356" w:type="dxa"/>
            <w:tcBorders>
              <w:top w:val="single" w:color="000000" w:sz="4" w:space="0"/>
              <w:left w:val="single" w:color="000000" w:sz="4" w:space="0"/>
              <w:bottom w:val="single" w:color="000000" w:sz="4" w:space="0"/>
              <w:right w:val="single" w:color="000000" w:sz="4" w:space="0"/>
            </w:tcBorders>
            <w:noWrap w:val="0"/>
            <w:vAlign w:val="top"/>
          </w:tcPr>
          <w:p w14:paraId="62E2B780">
            <w:pPr>
              <w:pStyle w:val="94"/>
              <w:keepNext w:val="0"/>
              <w:keepLines w:val="0"/>
              <w:suppressLineNumbers w:val="0"/>
              <w:kinsoku w:val="0"/>
              <w:overflowPunct w:val="0"/>
              <w:spacing w:before="92" w:beforeAutospacing="0" w:afterAutospacing="0"/>
              <w:ind w:left="0" w:right="0"/>
              <w:jc w:val="center"/>
              <w:rPr>
                <w:rFonts w:hint="default"/>
                <w:sz w:val="24"/>
                <w:szCs w:val="24"/>
              </w:rPr>
            </w:pPr>
            <w:r>
              <w:rPr>
                <w:rFonts w:hint="eastAsia" w:ascii="宋体" w:cs="宋体"/>
                <w:sz w:val="24"/>
                <w:szCs w:val="24"/>
              </w:rPr>
              <w:t>序号</w:t>
            </w:r>
          </w:p>
        </w:tc>
        <w:tc>
          <w:tcPr>
            <w:tcW w:w="3073" w:type="dxa"/>
            <w:tcBorders>
              <w:top w:val="single" w:color="000000" w:sz="4" w:space="0"/>
              <w:left w:val="single" w:color="000000" w:sz="4" w:space="0"/>
              <w:bottom w:val="single" w:color="000000" w:sz="4" w:space="0"/>
              <w:right w:val="single" w:color="000000" w:sz="4" w:space="0"/>
            </w:tcBorders>
            <w:noWrap w:val="0"/>
            <w:vAlign w:val="top"/>
          </w:tcPr>
          <w:p w14:paraId="3219E41A">
            <w:pPr>
              <w:pStyle w:val="94"/>
              <w:keepNext w:val="0"/>
              <w:keepLines w:val="0"/>
              <w:suppressLineNumbers w:val="0"/>
              <w:kinsoku w:val="0"/>
              <w:overflowPunct w:val="0"/>
              <w:spacing w:before="92" w:beforeAutospacing="0" w:afterAutospacing="0"/>
              <w:ind w:left="0" w:right="0"/>
              <w:jc w:val="center"/>
              <w:rPr>
                <w:rFonts w:hint="default"/>
                <w:sz w:val="24"/>
                <w:szCs w:val="24"/>
              </w:rPr>
            </w:pPr>
            <w:r>
              <w:rPr>
                <w:rFonts w:hint="eastAsia" w:ascii="宋体" w:cs="宋体"/>
                <w:sz w:val="24"/>
                <w:szCs w:val="24"/>
              </w:rPr>
              <w:t>条款名称</w:t>
            </w:r>
          </w:p>
        </w:tc>
        <w:tc>
          <w:tcPr>
            <w:tcW w:w="3648" w:type="dxa"/>
            <w:tcBorders>
              <w:top w:val="single" w:color="000000" w:sz="4" w:space="0"/>
              <w:left w:val="single" w:color="000000" w:sz="4" w:space="0"/>
              <w:bottom w:val="single" w:color="000000" w:sz="4" w:space="0"/>
              <w:right w:val="single" w:color="000000" w:sz="4" w:space="0"/>
            </w:tcBorders>
            <w:noWrap w:val="0"/>
            <w:vAlign w:val="top"/>
          </w:tcPr>
          <w:p w14:paraId="2EE92294">
            <w:pPr>
              <w:pStyle w:val="94"/>
              <w:keepNext w:val="0"/>
              <w:keepLines w:val="0"/>
              <w:suppressLineNumbers w:val="0"/>
              <w:kinsoku w:val="0"/>
              <w:overflowPunct w:val="0"/>
              <w:spacing w:before="92" w:beforeAutospacing="0" w:afterAutospacing="0"/>
              <w:ind w:left="0" w:right="0"/>
              <w:jc w:val="center"/>
              <w:rPr>
                <w:rFonts w:hint="default"/>
                <w:sz w:val="24"/>
                <w:szCs w:val="24"/>
              </w:rPr>
            </w:pPr>
            <w:r>
              <w:rPr>
                <w:rFonts w:hint="eastAsia" w:ascii="宋体" w:cs="宋体"/>
                <w:sz w:val="24"/>
                <w:szCs w:val="24"/>
              </w:rPr>
              <w:t>约定内容</w:t>
            </w:r>
          </w:p>
        </w:tc>
        <w:tc>
          <w:tcPr>
            <w:tcW w:w="1314" w:type="dxa"/>
            <w:tcBorders>
              <w:top w:val="single" w:color="000000" w:sz="4" w:space="0"/>
              <w:left w:val="single" w:color="000000" w:sz="4" w:space="0"/>
              <w:bottom w:val="single" w:color="000000" w:sz="4" w:space="0"/>
              <w:right w:val="single" w:color="000000" w:sz="4" w:space="0"/>
            </w:tcBorders>
            <w:noWrap w:val="0"/>
            <w:vAlign w:val="top"/>
          </w:tcPr>
          <w:p w14:paraId="748591A5">
            <w:pPr>
              <w:pStyle w:val="94"/>
              <w:keepNext w:val="0"/>
              <w:keepLines w:val="0"/>
              <w:suppressLineNumbers w:val="0"/>
              <w:kinsoku w:val="0"/>
              <w:overflowPunct w:val="0"/>
              <w:spacing w:before="92" w:beforeAutospacing="0" w:afterAutospacing="0"/>
              <w:ind w:left="0" w:right="3"/>
              <w:jc w:val="center"/>
              <w:rPr>
                <w:rFonts w:hint="default"/>
                <w:sz w:val="24"/>
                <w:szCs w:val="24"/>
              </w:rPr>
            </w:pPr>
            <w:r>
              <w:rPr>
                <w:rFonts w:hint="eastAsia" w:ascii="宋体" w:cs="宋体"/>
                <w:sz w:val="24"/>
                <w:szCs w:val="24"/>
              </w:rPr>
              <w:t>备注</w:t>
            </w:r>
          </w:p>
        </w:tc>
      </w:tr>
      <w:tr w14:paraId="1C86ACEF">
        <w:tblPrEx>
          <w:tblCellMar>
            <w:top w:w="0" w:type="dxa"/>
            <w:left w:w="0" w:type="dxa"/>
            <w:bottom w:w="0" w:type="dxa"/>
            <w:right w:w="0"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3BE2283">
            <w:pPr>
              <w:pStyle w:val="94"/>
              <w:keepNext w:val="0"/>
              <w:keepLines w:val="0"/>
              <w:suppressLineNumbers w:val="0"/>
              <w:kinsoku w:val="0"/>
              <w:overflowPunct w:val="0"/>
              <w:spacing w:before="93" w:beforeAutospacing="0" w:afterAutospacing="0"/>
              <w:ind w:left="0" w:right="0"/>
              <w:jc w:val="center"/>
              <w:rPr>
                <w:rFonts w:hint="default"/>
                <w:sz w:val="24"/>
                <w:szCs w:val="24"/>
              </w:rPr>
            </w:pPr>
            <w:r>
              <w:rPr>
                <w:rFonts w:hint="default"/>
                <w:sz w:val="24"/>
                <w:szCs w:val="24"/>
              </w:rPr>
              <w:t>1</w:t>
            </w:r>
          </w:p>
        </w:tc>
        <w:tc>
          <w:tcPr>
            <w:tcW w:w="3073" w:type="dxa"/>
            <w:tcBorders>
              <w:top w:val="single" w:color="000000" w:sz="4" w:space="0"/>
              <w:left w:val="single" w:color="000000" w:sz="4" w:space="0"/>
              <w:bottom w:val="single" w:color="000000" w:sz="4" w:space="0"/>
              <w:right w:val="single" w:color="000000" w:sz="4" w:space="0"/>
            </w:tcBorders>
            <w:noWrap w:val="0"/>
            <w:vAlign w:val="center"/>
          </w:tcPr>
          <w:p w14:paraId="43D869A5">
            <w:pPr>
              <w:pStyle w:val="94"/>
              <w:keepNext w:val="0"/>
              <w:keepLines w:val="0"/>
              <w:suppressLineNumbers w:val="0"/>
              <w:kinsoku w:val="0"/>
              <w:overflowPunct w:val="0"/>
              <w:spacing w:before="106" w:beforeAutospacing="0" w:afterAutospacing="0"/>
              <w:ind w:left="0" w:right="0"/>
              <w:jc w:val="center"/>
              <w:rPr>
                <w:rFonts w:hint="eastAsia" w:ascii="宋体" w:cs="宋体"/>
                <w:spacing w:val="-1"/>
                <w:sz w:val="24"/>
                <w:szCs w:val="24"/>
              </w:rPr>
            </w:pPr>
            <w:r>
              <w:rPr>
                <w:rFonts w:hint="eastAsia" w:ascii="宋体" w:cs="宋体"/>
                <w:spacing w:val="-1"/>
                <w:sz w:val="24"/>
                <w:szCs w:val="24"/>
              </w:rPr>
              <w:t>项目负责人</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14:paraId="1A062FB8">
            <w:pPr>
              <w:pStyle w:val="94"/>
              <w:keepNext w:val="0"/>
              <w:keepLines w:val="0"/>
              <w:suppressLineNumbers w:val="0"/>
              <w:kinsoku w:val="0"/>
              <w:overflowPunct w:val="0"/>
              <w:spacing w:before="106" w:beforeAutospacing="0" w:afterAutospacing="0"/>
              <w:ind w:left="0" w:right="0" w:firstLine="952" w:firstLineChars="400"/>
              <w:jc w:val="both"/>
              <w:rPr>
                <w:rFonts w:hint="eastAsia" w:ascii="宋体" w:cs="宋体"/>
                <w:spacing w:val="-1"/>
                <w:sz w:val="24"/>
                <w:szCs w:val="24"/>
              </w:rPr>
            </w:pPr>
            <w:r>
              <w:rPr>
                <w:rFonts w:hint="eastAsia" w:ascii="宋体" w:cs="宋体"/>
                <w:spacing w:val="-1"/>
                <w:sz w:val="24"/>
                <w:szCs w:val="24"/>
              </w:rPr>
              <w:t>姓名：</w:t>
            </w:r>
          </w:p>
        </w:tc>
        <w:tc>
          <w:tcPr>
            <w:tcW w:w="1314" w:type="dxa"/>
            <w:tcBorders>
              <w:top w:val="single" w:color="000000" w:sz="4" w:space="0"/>
              <w:left w:val="single" w:color="000000" w:sz="4" w:space="0"/>
              <w:bottom w:val="single" w:color="000000" w:sz="4" w:space="0"/>
              <w:right w:val="single" w:color="000000" w:sz="4" w:space="0"/>
            </w:tcBorders>
            <w:noWrap w:val="0"/>
            <w:vAlign w:val="top"/>
          </w:tcPr>
          <w:p w14:paraId="32EFE6D0">
            <w:pPr>
              <w:keepNext w:val="0"/>
              <w:keepLines w:val="0"/>
              <w:widowControl/>
              <w:suppressLineNumbers w:val="0"/>
              <w:spacing w:before="0" w:beforeAutospacing="0" w:afterAutospacing="0"/>
              <w:ind w:left="0" w:right="0"/>
              <w:rPr>
                <w:rFonts w:hint="default" w:ascii="Calibri" w:hAnsi="Calibri" w:cs="Times New Roman"/>
                <w:color w:val="auto"/>
                <w:sz w:val="24"/>
                <w:szCs w:val="24"/>
              </w:rPr>
            </w:pPr>
          </w:p>
        </w:tc>
      </w:tr>
      <w:tr w14:paraId="0E2199E0">
        <w:tblPrEx>
          <w:tblCellMar>
            <w:top w:w="0" w:type="dxa"/>
            <w:left w:w="0" w:type="dxa"/>
            <w:bottom w:w="0" w:type="dxa"/>
            <w:right w:w="0"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059C56D">
            <w:pPr>
              <w:pStyle w:val="94"/>
              <w:keepNext w:val="0"/>
              <w:keepLines w:val="0"/>
              <w:suppressLineNumbers w:val="0"/>
              <w:kinsoku w:val="0"/>
              <w:overflowPunct w:val="0"/>
              <w:spacing w:before="91" w:beforeAutospacing="0" w:afterAutospacing="0"/>
              <w:ind w:left="0" w:right="0"/>
              <w:jc w:val="center"/>
              <w:rPr>
                <w:rFonts w:hint="default"/>
                <w:sz w:val="24"/>
                <w:szCs w:val="24"/>
              </w:rPr>
            </w:pPr>
            <w:r>
              <w:rPr>
                <w:rFonts w:hint="default"/>
                <w:sz w:val="24"/>
                <w:szCs w:val="24"/>
              </w:rPr>
              <w:t>2</w:t>
            </w:r>
          </w:p>
        </w:tc>
        <w:tc>
          <w:tcPr>
            <w:tcW w:w="3073" w:type="dxa"/>
            <w:tcBorders>
              <w:top w:val="single" w:color="000000" w:sz="4" w:space="0"/>
              <w:left w:val="single" w:color="000000" w:sz="4" w:space="0"/>
              <w:bottom w:val="single" w:color="000000" w:sz="4" w:space="0"/>
              <w:right w:val="single" w:color="000000" w:sz="4" w:space="0"/>
            </w:tcBorders>
            <w:noWrap w:val="0"/>
            <w:vAlign w:val="center"/>
          </w:tcPr>
          <w:p w14:paraId="7BEDD0D7">
            <w:pPr>
              <w:pStyle w:val="94"/>
              <w:keepNext w:val="0"/>
              <w:keepLines w:val="0"/>
              <w:suppressLineNumbers w:val="0"/>
              <w:kinsoku w:val="0"/>
              <w:overflowPunct w:val="0"/>
              <w:spacing w:before="106" w:beforeAutospacing="0" w:afterAutospacing="0"/>
              <w:ind w:left="0" w:right="0"/>
              <w:jc w:val="center"/>
              <w:rPr>
                <w:rFonts w:hint="default" w:ascii="宋体" w:cs="宋体"/>
                <w:spacing w:val="-1"/>
                <w:sz w:val="24"/>
                <w:szCs w:val="24"/>
              </w:rPr>
            </w:pPr>
            <w:r>
              <w:rPr>
                <w:rFonts w:hint="eastAsia" w:ascii="宋体" w:cs="宋体"/>
                <w:spacing w:val="-1"/>
                <w:sz w:val="24"/>
                <w:szCs w:val="24"/>
              </w:rPr>
              <w:t>投标内容</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14:paraId="02AD12C1">
            <w:pPr>
              <w:pStyle w:val="94"/>
              <w:keepNext w:val="0"/>
              <w:keepLines w:val="0"/>
              <w:suppressLineNumbers w:val="0"/>
              <w:kinsoku w:val="0"/>
              <w:overflowPunct w:val="0"/>
              <w:spacing w:before="106" w:beforeAutospacing="0" w:afterAutospacing="0"/>
              <w:ind w:left="0" w:right="0"/>
              <w:jc w:val="center"/>
              <w:rPr>
                <w:rFonts w:hint="eastAsia" w:ascii="宋体" w:cs="宋体"/>
                <w:spacing w:val="-1"/>
                <w:sz w:val="24"/>
                <w:szCs w:val="24"/>
              </w:rPr>
            </w:pPr>
            <w:r>
              <w:rPr>
                <w:rFonts w:hint="eastAsia" w:ascii="宋体" w:cs="宋体"/>
                <w:spacing w:val="-1"/>
                <w:sz w:val="24"/>
                <w:szCs w:val="24"/>
              </w:rPr>
              <w:t>按招标文件要求</w:t>
            </w:r>
          </w:p>
        </w:tc>
        <w:tc>
          <w:tcPr>
            <w:tcW w:w="1314" w:type="dxa"/>
            <w:tcBorders>
              <w:top w:val="single" w:color="000000" w:sz="4" w:space="0"/>
              <w:left w:val="single" w:color="000000" w:sz="4" w:space="0"/>
              <w:bottom w:val="single" w:color="000000" w:sz="4" w:space="0"/>
              <w:right w:val="single" w:color="000000" w:sz="4" w:space="0"/>
            </w:tcBorders>
            <w:noWrap w:val="0"/>
            <w:vAlign w:val="top"/>
          </w:tcPr>
          <w:p w14:paraId="64D604F1">
            <w:pPr>
              <w:keepNext w:val="0"/>
              <w:keepLines w:val="0"/>
              <w:widowControl/>
              <w:suppressLineNumbers w:val="0"/>
              <w:spacing w:before="0" w:beforeAutospacing="0" w:afterAutospacing="0"/>
              <w:ind w:left="0" w:right="0"/>
              <w:rPr>
                <w:rFonts w:hint="default" w:ascii="Calibri" w:hAnsi="Calibri" w:cs="Times New Roman"/>
                <w:color w:val="auto"/>
                <w:sz w:val="24"/>
                <w:szCs w:val="24"/>
              </w:rPr>
            </w:pPr>
          </w:p>
        </w:tc>
      </w:tr>
      <w:tr w14:paraId="09FC479D">
        <w:tblPrEx>
          <w:tblCellMar>
            <w:top w:w="0" w:type="dxa"/>
            <w:left w:w="0" w:type="dxa"/>
            <w:bottom w:w="0" w:type="dxa"/>
            <w:right w:w="0"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E8AAFB2">
            <w:pPr>
              <w:pStyle w:val="94"/>
              <w:keepNext w:val="0"/>
              <w:keepLines w:val="0"/>
              <w:suppressLineNumbers w:val="0"/>
              <w:kinsoku w:val="0"/>
              <w:overflowPunct w:val="0"/>
              <w:spacing w:before="93" w:beforeAutospacing="0" w:afterAutospacing="0"/>
              <w:ind w:left="0" w:right="0"/>
              <w:jc w:val="center"/>
              <w:rPr>
                <w:rFonts w:hint="default"/>
                <w:sz w:val="24"/>
                <w:szCs w:val="24"/>
              </w:rPr>
            </w:pPr>
            <w:r>
              <w:rPr>
                <w:rFonts w:hint="default"/>
                <w:sz w:val="24"/>
                <w:szCs w:val="24"/>
              </w:rPr>
              <w:t>3</w:t>
            </w:r>
          </w:p>
        </w:tc>
        <w:tc>
          <w:tcPr>
            <w:tcW w:w="3073" w:type="dxa"/>
            <w:tcBorders>
              <w:top w:val="single" w:color="000000" w:sz="4" w:space="0"/>
              <w:left w:val="single" w:color="000000" w:sz="4" w:space="0"/>
              <w:bottom w:val="single" w:color="000000" w:sz="4" w:space="0"/>
              <w:right w:val="single" w:color="000000" w:sz="4" w:space="0"/>
            </w:tcBorders>
            <w:noWrap w:val="0"/>
            <w:vAlign w:val="center"/>
          </w:tcPr>
          <w:p w14:paraId="5E49F782">
            <w:pPr>
              <w:pStyle w:val="94"/>
              <w:keepNext w:val="0"/>
              <w:keepLines w:val="0"/>
              <w:suppressLineNumbers w:val="0"/>
              <w:kinsoku w:val="0"/>
              <w:overflowPunct w:val="0"/>
              <w:spacing w:before="106" w:beforeAutospacing="0" w:afterAutospacing="0"/>
              <w:ind w:left="0" w:right="0"/>
              <w:jc w:val="center"/>
              <w:rPr>
                <w:rFonts w:hint="eastAsia" w:ascii="宋体" w:cs="宋体"/>
                <w:spacing w:val="-1"/>
                <w:sz w:val="24"/>
                <w:szCs w:val="24"/>
              </w:rPr>
            </w:pPr>
            <w:r>
              <w:rPr>
                <w:rFonts w:hint="eastAsia" w:ascii="宋体" w:cs="宋体"/>
                <w:spacing w:val="-1"/>
                <w:sz w:val="24"/>
                <w:szCs w:val="24"/>
              </w:rPr>
              <w:t>服务工期</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14:paraId="6A3AF0C7">
            <w:pPr>
              <w:pStyle w:val="94"/>
              <w:keepNext w:val="0"/>
              <w:keepLines w:val="0"/>
              <w:suppressLineNumbers w:val="0"/>
              <w:kinsoku w:val="0"/>
              <w:overflowPunct w:val="0"/>
              <w:spacing w:before="106" w:beforeAutospacing="0" w:afterAutospacing="0"/>
              <w:ind w:left="0" w:right="0"/>
              <w:jc w:val="center"/>
              <w:rPr>
                <w:rFonts w:hint="eastAsia" w:ascii="宋体" w:cs="宋体"/>
                <w:spacing w:val="-1"/>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1480EAA1">
            <w:pPr>
              <w:keepNext w:val="0"/>
              <w:keepLines w:val="0"/>
              <w:widowControl/>
              <w:suppressLineNumbers w:val="0"/>
              <w:spacing w:before="0" w:beforeAutospacing="0" w:afterAutospacing="0"/>
              <w:ind w:left="0" w:right="0"/>
              <w:jc w:val="center"/>
              <w:rPr>
                <w:rFonts w:hint="default" w:ascii="Calibri" w:hAnsi="Calibri" w:cs="Times New Roman"/>
                <w:color w:val="auto"/>
                <w:sz w:val="24"/>
                <w:szCs w:val="24"/>
              </w:rPr>
            </w:pPr>
          </w:p>
        </w:tc>
      </w:tr>
      <w:tr w14:paraId="58B826D5">
        <w:tblPrEx>
          <w:tblCellMar>
            <w:top w:w="0" w:type="dxa"/>
            <w:left w:w="0" w:type="dxa"/>
            <w:bottom w:w="0" w:type="dxa"/>
            <w:right w:w="0"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1CB2080">
            <w:pPr>
              <w:pStyle w:val="94"/>
              <w:keepNext w:val="0"/>
              <w:keepLines w:val="0"/>
              <w:suppressLineNumbers w:val="0"/>
              <w:kinsoku w:val="0"/>
              <w:overflowPunct w:val="0"/>
              <w:spacing w:before="0" w:beforeAutospacing="0" w:afterAutospacing="0" w:line="234" w:lineRule="exact"/>
              <w:ind w:left="0" w:right="0"/>
              <w:jc w:val="center"/>
              <w:rPr>
                <w:rFonts w:hint="default"/>
                <w:sz w:val="24"/>
                <w:szCs w:val="24"/>
              </w:rPr>
            </w:pPr>
            <w:r>
              <w:rPr>
                <w:rFonts w:hint="eastAsia"/>
                <w:sz w:val="24"/>
                <w:szCs w:val="24"/>
              </w:rPr>
              <w:t>4</w:t>
            </w:r>
          </w:p>
        </w:tc>
        <w:tc>
          <w:tcPr>
            <w:tcW w:w="3073" w:type="dxa"/>
            <w:tcBorders>
              <w:top w:val="single" w:color="000000" w:sz="4" w:space="0"/>
              <w:left w:val="single" w:color="000000" w:sz="4" w:space="0"/>
              <w:bottom w:val="single" w:color="000000" w:sz="4" w:space="0"/>
              <w:right w:val="single" w:color="000000" w:sz="4" w:space="0"/>
            </w:tcBorders>
            <w:noWrap w:val="0"/>
            <w:vAlign w:val="center"/>
          </w:tcPr>
          <w:p w14:paraId="4BF202A0">
            <w:pPr>
              <w:pStyle w:val="94"/>
              <w:keepNext w:val="0"/>
              <w:keepLines w:val="0"/>
              <w:suppressLineNumbers w:val="0"/>
              <w:kinsoku w:val="0"/>
              <w:overflowPunct w:val="0"/>
              <w:spacing w:before="0" w:beforeAutospacing="0" w:afterAutospacing="0" w:line="234" w:lineRule="exact"/>
              <w:ind w:left="0" w:right="0"/>
              <w:jc w:val="center"/>
              <w:rPr>
                <w:rFonts w:hint="default" w:ascii="宋体" w:cs="宋体"/>
                <w:spacing w:val="-1"/>
                <w:sz w:val="24"/>
                <w:szCs w:val="24"/>
              </w:rPr>
            </w:pPr>
            <w:r>
              <w:rPr>
                <w:rFonts w:hint="eastAsia" w:ascii="宋体" w:cs="宋体"/>
                <w:spacing w:val="-1"/>
                <w:sz w:val="24"/>
                <w:szCs w:val="24"/>
              </w:rPr>
              <w:t>质量标准</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14:paraId="03B25267">
            <w:pPr>
              <w:pStyle w:val="94"/>
              <w:keepNext w:val="0"/>
              <w:keepLines w:val="0"/>
              <w:suppressLineNumbers w:val="0"/>
              <w:kinsoku w:val="0"/>
              <w:overflowPunct w:val="0"/>
              <w:spacing w:before="106" w:beforeAutospacing="0" w:afterAutospacing="0"/>
              <w:ind w:left="0" w:right="0"/>
              <w:jc w:val="center"/>
              <w:rPr>
                <w:rFonts w:hint="eastAsia" w:ascii="宋体" w:cs="宋体"/>
                <w:spacing w:val="-1"/>
                <w:sz w:val="24"/>
                <w:szCs w:val="24"/>
              </w:rPr>
            </w:pPr>
            <w:r>
              <w:rPr>
                <w:rFonts w:hint="eastAsia" w:ascii="宋体" w:cs="宋体"/>
                <w:spacing w:val="-1"/>
                <w:sz w:val="24"/>
                <w:szCs w:val="24"/>
              </w:rPr>
              <w:t>按招标文件要求</w:t>
            </w:r>
          </w:p>
        </w:tc>
        <w:tc>
          <w:tcPr>
            <w:tcW w:w="1314" w:type="dxa"/>
            <w:tcBorders>
              <w:top w:val="single" w:color="000000" w:sz="4" w:space="0"/>
              <w:left w:val="single" w:color="000000" w:sz="4" w:space="0"/>
              <w:bottom w:val="single" w:color="000000" w:sz="4" w:space="0"/>
              <w:right w:val="single" w:color="000000" w:sz="4" w:space="0"/>
            </w:tcBorders>
            <w:noWrap w:val="0"/>
            <w:vAlign w:val="top"/>
          </w:tcPr>
          <w:p w14:paraId="28AEDAB0">
            <w:pPr>
              <w:keepNext w:val="0"/>
              <w:keepLines w:val="0"/>
              <w:widowControl/>
              <w:suppressLineNumbers w:val="0"/>
              <w:spacing w:before="106" w:beforeAutospacing="0" w:afterAutospacing="0"/>
              <w:ind w:left="548" w:right="0"/>
              <w:rPr>
                <w:rFonts w:hint="default" w:ascii="Calibri" w:hAnsi="Calibri" w:cs="Times New Roman"/>
                <w:color w:val="auto"/>
                <w:sz w:val="24"/>
                <w:szCs w:val="24"/>
              </w:rPr>
            </w:pPr>
          </w:p>
        </w:tc>
      </w:tr>
      <w:tr w14:paraId="784F2F98">
        <w:tblPrEx>
          <w:tblCellMar>
            <w:top w:w="0" w:type="dxa"/>
            <w:left w:w="0" w:type="dxa"/>
            <w:bottom w:w="0" w:type="dxa"/>
            <w:right w:w="0"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F6D6944">
            <w:pPr>
              <w:pStyle w:val="94"/>
              <w:keepNext w:val="0"/>
              <w:keepLines w:val="0"/>
              <w:suppressLineNumbers w:val="0"/>
              <w:kinsoku w:val="0"/>
              <w:overflowPunct w:val="0"/>
              <w:spacing w:before="0" w:beforeAutospacing="0" w:afterAutospacing="0" w:line="234" w:lineRule="exact"/>
              <w:ind w:left="0" w:right="0"/>
              <w:jc w:val="center"/>
              <w:rPr>
                <w:rFonts w:hint="default"/>
                <w:sz w:val="24"/>
                <w:szCs w:val="24"/>
              </w:rPr>
            </w:pPr>
            <w:r>
              <w:rPr>
                <w:rFonts w:hint="eastAsia"/>
                <w:sz w:val="24"/>
                <w:szCs w:val="24"/>
              </w:rPr>
              <w:t>5</w:t>
            </w:r>
          </w:p>
        </w:tc>
        <w:tc>
          <w:tcPr>
            <w:tcW w:w="3073" w:type="dxa"/>
            <w:tcBorders>
              <w:top w:val="single" w:color="000000" w:sz="4" w:space="0"/>
              <w:left w:val="single" w:color="000000" w:sz="4" w:space="0"/>
              <w:bottom w:val="single" w:color="000000" w:sz="4" w:space="0"/>
              <w:right w:val="single" w:color="000000" w:sz="4" w:space="0"/>
            </w:tcBorders>
            <w:noWrap w:val="0"/>
            <w:vAlign w:val="center"/>
          </w:tcPr>
          <w:p w14:paraId="4E81B92C">
            <w:pPr>
              <w:pStyle w:val="94"/>
              <w:keepNext w:val="0"/>
              <w:keepLines w:val="0"/>
              <w:suppressLineNumbers w:val="0"/>
              <w:kinsoku w:val="0"/>
              <w:overflowPunct w:val="0"/>
              <w:spacing w:before="106" w:beforeAutospacing="0" w:afterAutospacing="0"/>
              <w:ind w:left="0" w:right="0"/>
              <w:jc w:val="center"/>
              <w:rPr>
                <w:rFonts w:hint="default" w:ascii="宋体" w:cs="宋体"/>
                <w:spacing w:val="-1"/>
                <w:sz w:val="24"/>
                <w:szCs w:val="24"/>
              </w:rPr>
            </w:pPr>
            <w:r>
              <w:rPr>
                <w:rFonts w:hint="eastAsia" w:ascii="宋体" w:cs="宋体"/>
                <w:spacing w:val="-1"/>
                <w:sz w:val="24"/>
                <w:szCs w:val="24"/>
              </w:rPr>
              <w:t>投标有效期</w:t>
            </w:r>
          </w:p>
        </w:tc>
        <w:tc>
          <w:tcPr>
            <w:tcW w:w="3648" w:type="dxa"/>
            <w:tcBorders>
              <w:top w:val="single" w:color="000000" w:sz="4" w:space="0"/>
              <w:left w:val="single" w:color="000000" w:sz="4" w:space="0"/>
              <w:bottom w:val="single" w:color="000000" w:sz="4" w:space="0"/>
              <w:right w:val="single" w:color="000000" w:sz="4" w:space="0"/>
            </w:tcBorders>
            <w:noWrap w:val="0"/>
            <w:vAlign w:val="center"/>
          </w:tcPr>
          <w:p w14:paraId="6E033071">
            <w:pPr>
              <w:pStyle w:val="94"/>
              <w:keepNext w:val="0"/>
              <w:keepLines w:val="0"/>
              <w:suppressLineNumbers w:val="0"/>
              <w:kinsoku w:val="0"/>
              <w:overflowPunct w:val="0"/>
              <w:spacing w:before="106" w:beforeAutospacing="0" w:afterAutospacing="0"/>
              <w:ind w:left="0" w:right="0"/>
              <w:jc w:val="center"/>
              <w:rPr>
                <w:rFonts w:hint="default" w:ascii="宋体" w:cs="宋体"/>
                <w:spacing w:val="-1"/>
                <w:sz w:val="24"/>
                <w:szCs w:val="24"/>
              </w:rPr>
            </w:pPr>
            <w:r>
              <w:rPr>
                <w:rFonts w:hint="eastAsia" w:ascii="宋体" w:cs="宋体"/>
                <w:spacing w:val="-1"/>
                <w:sz w:val="24"/>
                <w:szCs w:val="24"/>
              </w:rPr>
              <w:t>按招标文件要求</w:t>
            </w:r>
          </w:p>
        </w:tc>
        <w:tc>
          <w:tcPr>
            <w:tcW w:w="1314" w:type="dxa"/>
            <w:tcBorders>
              <w:top w:val="single" w:color="000000" w:sz="4" w:space="0"/>
              <w:left w:val="single" w:color="000000" w:sz="4" w:space="0"/>
              <w:bottom w:val="single" w:color="000000" w:sz="4" w:space="0"/>
              <w:right w:val="single" w:color="000000" w:sz="4" w:space="0"/>
            </w:tcBorders>
            <w:noWrap w:val="0"/>
            <w:vAlign w:val="top"/>
          </w:tcPr>
          <w:p w14:paraId="348CCE1F">
            <w:pPr>
              <w:keepNext w:val="0"/>
              <w:keepLines w:val="0"/>
              <w:widowControl/>
              <w:suppressLineNumbers w:val="0"/>
              <w:spacing w:before="0" w:beforeAutospacing="0" w:afterAutospacing="0"/>
              <w:ind w:left="0" w:right="0"/>
              <w:rPr>
                <w:rFonts w:hint="default" w:ascii="Calibri" w:hAnsi="Calibri" w:cs="Times New Roman"/>
                <w:color w:val="auto"/>
                <w:sz w:val="24"/>
                <w:szCs w:val="24"/>
              </w:rPr>
            </w:pPr>
          </w:p>
        </w:tc>
      </w:tr>
    </w:tbl>
    <w:p w14:paraId="4E3A5812">
      <w:pPr>
        <w:pStyle w:val="17"/>
        <w:kinsoku w:val="0"/>
        <w:overflowPunct w:val="0"/>
        <w:rPr>
          <w:color w:val="auto"/>
          <w:sz w:val="20"/>
          <w:szCs w:val="20"/>
        </w:rPr>
      </w:pPr>
    </w:p>
    <w:p w14:paraId="46041532">
      <w:pPr>
        <w:pStyle w:val="17"/>
        <w:kinsoku w:val="0"/>
        <w:overflowPunct w:val="0"/>
        <w:spacing w:before="6"/>
        <w:rPr>
          <w:color w:val="auto"/>
          <w:sz w:val="18"/>
          <w:szCs w:val="18"/>
        </w:rPr>
      </w:pPr>
    </w:p>
    <w:p w14:paraId="59DF2740">
      <w:pPr>
        <w:pStyle w:val="17"/>
        <w:tabs>
          <w:tab w:val="left" w:pos="7321"/>
        </w:tabs>
        <w:kinsoku w:val="0"/>
        <w:overflowPunct w:val="0"/>
        <w:spacing w:before="36"/>
        <w:ind w:left="2701" w:right="-1093" w:rightChars="-497"/>
        <w:rPr>
          <w:color w:val="auto"/>
          <w:spacing w:val="-1"/>
          <w:sz w:val="24"/>
          <w:szCs w:val="24"/>
        </w:rPr>
      </w:pPr>
      <w:r>
        <w:rPr>
          <w:rFonts w:hint="eastAsia"/>
          <w:color w:val="auto"/>
          <w:sz w:val="24"/>
          <w:szCs w:val="24"/>
        </w:rPr>
        <w:t>投</w:t>
      </w:r>
      <w:r>
        <w:rPr>
          <w:color w:val="auto"/>
          <w:sz w:val="24"/>
          <w:szCs w:val="24"/>
        </w:rPr>
        <w:t xml:space="preserve"> </w:t>
      </w:r>
      <w:r>
        <w:rPr>
          <w:rFonts w:hint="eastAsia"/>
          <w:color w:val="auto"/>
          <w:sz w:val="24"/>
          <w:szCs w:val="24"/>
        </w:rPr>
        <w:t>标</w:t>
      </w:r>
      <w:r>
        <w:rPr>
          <w:color w:val="auto"/>
          <w:spacing w:val="-2"/>
          <w:sz w:val="24"/>
          <w:szCs w:val="24"/>
        </w:rPr>
        <w:t xml:space="preserve"> </w:t>
      </w:r>
      <w:r>
        <w:rPr>
          <w:rFonts w:hint="eastAsia"/>
          <w:color w:val="auto"/>
          <w:spacing w:val="-2"/>
          <w:sz w:val="24"/>
          <w:szCs w:val="24"/>
        </w:rPr>
        <w:t>人：</w:t>
      </w:r>
      <w:r>
        <w:rPr>
          <w:color w:val="auto"/>
          <w:spacing w:val="-2"/>
          <w:sz w:val="24"/>
          <w:szCs w:val="24"/>
          <w:u w:val="single"/>
        </w:rPr>
        <w:tab/>
      </w:r>
      <w:r>
        <w:rPr>
          <w:rFonts w:hint="eastAsia"/>
          <w:color w:val="auto"/>
          <w:spacing w:val="-1"/>
          <w:sz w:val="24"/>
          <w:szCs w:val="24"/>
        </w:rPr>
        <w:t>（盖单位章）</w:t>
      </w:r>
    </w:p>
    <w:p w14:paraId="7E07F479">
      <w:pPr>
        <w:pStyle w:val="17"/>
        <w:kinsoku w:val="0"/>
        <w:overflowPunct w:val="0"/>
        <w:spacing w:before="13"/>
        <w:rPr>
          <w:color w:val="auto"/>
          <w:sz w:val="24"/>
          <w:szCs w:val="24"/>
        </w:rPr>
      </w:pPr>
    </w:p>
    <w:p w14:paraId="77B00F45">
      <w:pPr>
        <w:pStyle w:val="17"/>
        <w:tabs>
          <w:tab w:val="left" w:pos="6481"/>
        </w:tabs>
        <w:kinsoku w:val="0"/>
        <w:overflowPunct w:val="0"/>
        <w:spacing w:before="36"/>
        <w:ind w:left="2701" w:right="-944" w:rightChars="-429"/>
        <w:rPr>
          <w:color w:val="auto"/>
          <w:spacing w:val="-1"/>
          <w:sz w:val="24"/>
          <w:szCs w:val="24"/>
        </w:rPr>
      </w:pPr>
      <w:r>
        <w:rPr>
          <w:rFonts w:hint="eastAsia"/>
          <w:color w:val="auto"/>
          <w:spacing w:val="-2"/>
          <w:sz w:val="24"/>
          <w:szCs w:val="24"/>
        </w:rPr>
        <w:t>法定代表人或其委托代理人：</w:t>
      </w:r>
      <w:r>
        <w:rPr>
          <w:color w:val="auto"/>
          <w:spacing w:val="-2"/>
          <w:sz w:val="24"/>
          <w:szCs w:val="24"/>
          <w:u w:val="single"/>
        </w:rPr>
        <w:tab/>
      </w:r>
      <w:r>
        <w:rPr>
          <w:rFonts w:hint="eastAsia"/>
          <w:color w:val="auto"/>
          <w:spacing w:val="-1"/>
          <w:sz w:val="24"/>
          <w:szCs w:val="24"/>
        </w:rPr>
        <w:t>（签字或盖章）</w:t>
      </w:r>
    </w:p>
    <w:p w14:paraId="27B316A8">
      <w:pPr>
        <w:pStyle w:val="17"/>
        <w:kinsoku w:val="0"/>
        <w:overflowPunct w:val="0"/>
        <w:spacing w:before="10"/>
        <w:rPr>
          <w:color w:val="auto"/>
          <w:sz w:val="24"/>
          <w:szCs w:val="24"/>
        </w:rPr>
      </w:pPr>
    </w:p>
    <w:p w14:paraId="41B09675">
      <w:pPr>
        <w:spacing w:line="360" w:lineRule="auto"/>
        <w:jc w:val="center"/>
        <w:rPr>
          <w:color w:val="auto"/>
          <w:sz w:val="24"/>
          <w:szCs w:val="24"/>
        </w:rPr>
      </w:pPr>
      <w:r>
        <w:rPr>
          <w:rFonts w:hint="eastAsia" w:eastAsia="宋体"/>
          <w:color w:val="auto"/>
          <w:sz w:val="24"/>
          <w:szCs w:val="24"/>
          <w:u w:val="single"/>
        </w:rPr>
        <w:t xml:space="preserve">    </w:t>
      </w:r>
      <w:r>
        <w:rPr>
          <w:rFonts w:hint="eastAsia"/>
          <w:color w:val="auto"/>
          <w:sz w:val="24"/>
          <w:szCs w:val="24"/>
        </w:rPr>
        <w:t>年</w:t>
      </w:r>
      <w:r>
        <w:rPr>
          <w:color w:val="auto"/>
          <w:sz w:val="24"/>
          <w:szCs w:val="24"/>
          <w:u w:val="single"/>
        </w:rPr>
        <w:tab/>
      </w:r>
      <w:r>
        <w:rPr>
          <w:rFonts w:hint="eastAsia" w:eastAsia="宋体"/>
          <w:color w:val="auto"/>
          <w:sz w:val="24"/>
          <w:szCs w:val="24"/>
          <w:u w:val="single"/>
        </w:rPr>
        <w:t xml:space="preserve">  </w:t>
      </w:r>
      <w:r>
        <w:rPr>
          <w:rFonts w:hint="eastAsia"/>
          <w:color w:val="auto"/>
          <w:sz w:val="24"/>
          <w:szCs w:val="24"/>
        </w:rPr>
        <w:t>月</w:t>
      </w:r>
      <w:r>
        <w:rPr>
          <w:color w:val="auto"/>
          <w:sz w:val="24"/>
          <w:szCs w:val="24"/>
          <w:u w:val="single"/>
        </w:rPr>
        <w:tab/>
      </w:r>
      <w:r>
        <w:rPr>
          <w:rFonts w:hint="eastAsia" w:eastAsia="宋体"/>
          <w:color w:val="auto"/>
          <w:sz w:val="24"/>
          <w:szCs w:val="24"/>
          <w:u w:val="single"/>
        </w:rPr>
        <w:t xml:space="preserve"> </w:t>
      </w:r>
      <w:r>
        <w:rPr>
          <w:rFonts w:hint="eastAsia"/>
          <w:color w:val="auto"/>
          <w:sz w:val="24"/>
          <w:szCs w:val="24"/>
        </w:rPr>
        <w:t>日</w:t>
      </w:r>
    </w:p>
    <w:p w14:paraId="130162B5">
      <w:pPr>
        <w:rPr>
          <w:rFonts w:hint="eastAsia" w:ascii="宋体" w:hAnsi="宋体" w:eastAsia="宋体"/>
          <w:color w:val="auto"/>
        </w:rPr>
      </w:pPr>
      <w:r>
        <w:rPr>
          <w:rFonts w:hint="eastAsia" w:ascii="宋体" w:hAnsi="宋体"/>
          <w:color w:val="auto"/>
        </w:rPr>
        <w:br w:type="page"/>
      </w:r>
      <w:r>
        <w:rPr>
          <w:rFonts w:hint="eastAsia" w:ascii="宋体" w:hAnsi="宋体" w:eastAsia="宋体"/>
          <w:b/>
          <w:bCs/>
          <w:color w:val="auto"/>
        </w:rPr>
        <w:t>附录2：投标人声明</w:t>
      </w:r>
      <w:r>
        <w:rPr>
          <w:rFonts w:hint="eastAsia" w:ascii="宋体" w:hAnsi="宋体" w:eastAsia="宋体"/>
          <w:color w:val="auto"/>
        </w:rPr>
        <w:br w:type="textWrapping"/>
      </w:r>
    </w:p>
    <w:p w14:paraId="513BBEB1">
      <w:pPr>
        <w:spacing w:line="360" w:lineRule="auto"/>
        <w:rPr>
          <w:rFonts w:ascii="宋体" w:hAnsi="宋体" w:eastAsia="宋体"/>
          <w:color w:val="auto"/>
        </w:rPr>
      </w:pPr>
      <w:r>
        <w:rPr>
          <w:rFonts w:hint="eastAsia" w:ascii="宋体" w:hAnsi="宋体" w:eastAsia="宋体"/>
        </w:rPr>
        <w:t>格式详见公告附件</w:t>
      </w:r>
      <w:r>
        <w:rPr>
          <w:rFonts w:hint="eastAsia" w:ascii="宋体" w:hAnsi="宋体"/>
          <w:color w:val="auto"/>
        </w:rPr>
        <w:br w:type="page"/>
      </w:r>
      <w:r>
        <w:rPr>
          <w:rFonts w:hint="eastAsia" w:ascii="宋体" w:hAnsi="宋体" w:eastAsia="宋体"/>
          <w:b/>
          <w:bCs/>
          <w:color w:val="auto"/>
        </w:rPr>
        <w:t>附录3：法定代表人身份证明、授权委托书</w:t>
      </w:r>
    </w:p>
    <w:p w14:paraId="16DF5BAE">
      <w:pPr>
        <w:spacing w:line="360" w:lineRule="auto"/>
        <w:jc w:val="center"/>
        <w:rPr>
          <w:rFonts w:ascii="宋体" w:hAnsi="宋体"/>
          <w:b/>
          <w:color w:val="auto"/>
          <w:sz w:val="28"/>
        </w:rPr>
      </w:pPr>
    </w:p>
    <w:p w14:paraId="41E6E73A">
      <w:pPr>
        <w:spacing w:line="360" w:lineRule="auto"/>
        <w:jc w:val="center"/>
        <w:rPr>
          <w:rFonts w:ascii="宋体" w:hAnsi="宋体"/>
          <w:b/>
          <w:color w:val="auto"/>
          <w:sz w:val="28"/>
        </w:rPr>
      </w:pPr>
      <w:r>
        <w:rPr>
          <w:rFonts w:ascii="宋体" w:hAnsi="宋体"/>
          <w:b/>
          <w:color w:val="auto"/>
          <w:sz w:val="28"/>
        </w:rPr>
        <w:t>法定代表人证明书</w:t>
      </w:r>
    </w:p>
    <w:p w14:paraId="72235157">
      <w:pPr>
        <w:spacing w:line="240" w:lineRule="auto"/>
        <w:jc w:val="center"/>
        <w:rPr>
          <w:rFonts w:ascii="宋体" w:hAnsi="宋体"/>
          <w:color w:val="auto"/>
          <w:sz w:val="24"/>
        </w:rPr>
      </w:pPr>
      <w:r>
        <w:rPr>
          <w:rFonts w:hint="eastAsia" w:ascii="宋体" w:hAnsi="宋体" w:eastAsia="宋体"/>
          <w:color w:val="auto"/>
        </w:rPr>
        <w:t xml:space="preserve">                                                               </w:t>
      </w:r>
      <w:r>
        <w:rPr>
          <w:rFonts w:ascii="宋体" w:hAnsi="宋体"/>
          <w:color w:val="auto"/>
        </w:rPr>
        <w:t>（　 ）第　号</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14:paraId="7934F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noWrap w:val="0"/>
            <w:vAlign w:val="top"/>
          </w:tcPr>
          <w:p w14:paraId="3BCA7064">
            <w:pPr>
              <w:keepNext w:val="0"/>
              <w:keepLines w:val="0"/>
              <w:widowControl/>
              <w:suppressLineNumbers w:val="0"/>
              <w:pBdr>
                <w:top w:val="single" w:color="auto" w:sz="4" w:space="1"/>
                <w:left w:val="single" w:color="auto" w:sz="4" w:space="4"/>
                <w:bottom w:val="single" w:color="auto" w:sz="4" w:space="1"/>
                <w:right w:val="single" w:color="auto" w:sz="4" w:space="4"/>
              </w:pBdr>
              <w:spacing w:before="0" w:beforeAutospacing="0" w:afterAutospacing="0" w:line="240" w:lineRule="auto"/>
              <w:ind w:left="0" w:right="0"/>
              <w:rPr>
                <w:rFonts w:hint="default" w:ascii="宋体" w:hAnsi="宋体" w:cs="Times New Roman"/>
                <w:color w:val="auto"/>
                <w:sz w:val="24"/>
                <w:szCs w:val="24"/>
              </w:rPr>
            </w:pPr>
            <w:r>
              <w:rPr>
                <w:rFonts w:hint="eastAsia" w:ascii="宋体" w:hAnsi="宋体" w:cs="Times New Roman"/>
                <w:color w:val="auto"/>
                <w:sz w:val="24"/>
                <w:szCs w:val="24"/>
                <w:u w:val="single"/>
              </w:rPr>
              <w:t>　　　　　　</w:t>
            </w:r>
            <w:r>
              <w:rPr>
                <w:rFonts w:hint="eastAsia" w:ascii="宋体" w:hAnsi="宋体" w:cs="Times New Roman"/>
                <w:color w:val="auto"/>
                <w:sz w:val="24"/>
                <w:szCs w:val="24"/>
              </w:rPr>
              <w:t>现任我单位</w:t>
            </w:r>
            <w:r>
              <w:rPr>
                <w:rFonts w:hint="eastAsia" w:ascii="宋体" w:hAnsi="宋体" w:cs="Times New Roman"/>
                <w:color w:val="auto"/>
                <w:sz w:val="24"/>
                <w:szCs w:val="24"/>
                <w:u w:val="single"/>
              </w:rPr>
              <w:t>　　　　　</w:t>
            </w:r>
            <w:r>
              <w:rPr>
                <w:rFonts w:hint="eastAsia" w:ascii="宋体" w:hAnsi="宋体" w:cs="Times New Roman"/>
                <w:color w:val="auto"/>
                <w:sz w:val="24"/>
                <w:szCs w:val="24"/>
              </w:rPr>
              <w:t>职务，为法定代表人，特此证明。</w:t>
            </w:r>
          </w:p>
          <w:p w14:paraId="1717981D">
            <w:pPr>
              <w:keepNext w:val="0"/>
              <w:keepLines w:val="0"/>
              <w:widowControl/>
              <w:suppressLineNumbers w:val="0"/>
              <w:pBdr>
                <w:top w:val="single" w:color="auto" w:sz="4" w:space="1"/>
                <w:left w:val="single" w:color="auto" w:sz="4" w:space="4"/>
                <w:bottom w:val="single" w:color="auto" w:sz="4" w:space="1"/>
                <w:right w:val="single" w:color="auto" w:sz="4" w:space="4"/>
              </w:pBdr>
              <w:spacing w:before="0" w:beforeAutospacing="0" w:afterAutospacing="0" w:line="240" w:lineRule="auto"/>
              <w:ind w:left="0" w:right="0"/>
              <w:rPr>
                <w:rFonts w:hint="default" w:ascii="宋体" w:hAnsi="宋体" w:cs="Times New Roman"/>
                <w:color w:val="auto"/>
                <w:sz w:val="24"/>
                <w:szCs w:val="24"/>
                <w:u w:val="single"/>
              </w:rPr>
            </w:pPr>
            <w:r>
              <w:rPr>
                <w:rFonts w:hint="eastAsia" w:ascii="宋体" w:hAnsi="宋体" w:cs="Times New Roman"/>
                <w:color w:val="auto"/>
                <w:sz w:val="24"/>
                <w:szCs w:val="24"/>
              </w:rPr>
              <w:t>有效期限：</w:t>
            </w:r>
            <w:r>
              <w:rPr>
                <w:rFonts w:hint="eastAsia" w:ascii="宋体" w:hAnsi="宋体" w:cs="Times New Roman"/>
                <w:color w:val="auto"/>
                <w:sz w:val="24"/>
                <w:szCs w:val="24"/>
                <w:u w:val="single"/>
              </w:rPr>
              <w:t xml:space="preserve">                                </w:t>
            </w:r>
          </w:p>
          <w:p w14:paraId="3D0C6F22">
            <w:pPr>
              <w:keepNext w:val="0"/>
              <w:keepLines w:val="0"/>
              <w:widowControl/>
              <w:suppressLineNumbers w:val="0"/>
              <w:pBdr>
                <w:top w:val="single" w:color="auto" w:sz="4" w:space="1"/>
                <w:left w:val="single" w:color="auto" w:sz="4" w:space="4"/>
                <w:bottom w:val="single" w:color="auto" w:sz="4" w:space="1"/>
                <w:right w:val="single" w:color="auto" w:sz="4" w:space="4"/>
              </w:pBdr>
              <w:spacing w:before="0" w:beforeAutospacing="0" w:afterAutospacing="0" w:line="240" w:lineRule="auto"/>
              <w:ind w:left="0" w:right="0"/>
              <w:rPr>
                <w:rFonts w:hint="default" w:ascii="宋体" w:hAnsi="宋体" w:cs="Times New Roman"/>
                <w:color w:val="auto"/>
                <w:sz w:val="24"/>
                <w:szCs w:val="24"/>
                <w:u w:val="single"/>
              </w:rPr>
            </w:pPr>
            <w:r>
              <w:rPr>
                <w:rFonts w:hint="eastAsia" w:ascii="宋体" w:hAnsi="宋体" w:cs="Times New Roman"/>
                <w:color w:val="auto"/>
                <w:sz w:val="24"/>
                <w:szCs w:val="24"/>
              </w:rPr>
              <w:t>附：法定代表人性别：</w:t>
            </w:r>
            <w:r>
              <w:rPr>
                <w:rFonts w:hint="eastAsia" w:ascii="宋体" w:hAnsi="宋体" w:cs="Times New Roman"/>
                <w:color w:val="auto"/>
                <w:sz w:val="24"/>
                <w:szCs w:val="24"/>
                <w:u w:val="single"/>
              </w:rPr>
              <w:t>　　</w:t>
            </w:r>
            <w:r>
              <w:rPr>
                <w:rFonts w:hint="eastAsia" w:ascii="宋体" w:hAnsi="宋体" w:cs="Times New Roman"/>
                <w:color w:val="auto"/>
                <w:sz w:val="24"/>
                <w:szCs w:val="24"/>
              </w:rPr>
              <w:t>年龄：</w:t>
            </w:r>
            <w:r>
              <w:rPr>
                <w:rFonts w:hint="eastAsia" w:ascii="宋体" w:hAnsi="宋体" w:cs="Times New Roman"/>
                <w:color w:val="auto"/>
                <w:sz w:val="24"/>
                <w:szCs w:val="24"/>
                <w:u w:val="single"/>
              </w:rPr>
              <w:t>　　</w:t>
            </w:r>
            <w:r>
              <w:rPr>
                <w:rFonts w:hint="eastAsia" w:ascii="宋体" w:hAnsi="宋体" w:cs="Times New Roman"/>
                <w:color w:val="auto"/>
                <w:sz w:val="24"/>
                <w:szCs w:val="24"/>
              </w:rPr>
              <w:t>身份证号码：</w:t>
            </w:r>
            <w:r>
              <w:rPr>
                <w:rFonts w:hint="eastAsia" w:ascii="宋体" w:hAnsi="宋体" w:cs="Times New Roman"/>
                <w:color w:val="auto"/>
                <w:sz w:val="24"/>
                <w:szCs w:val="24"/>
                <w:u w:val="single"/>
              </w:rPr>
              <w:t xml:space="preserve">         </w:t>
            </w:r>
          </w:p>
          <w:p w14:paraId="303221CA">
            <w:pPr>
              <w:keepNext w:val="0"/>
              <w:keepLines w:val="0"/>
              <w:widowControl/>
              <w:suppressLineNumbers w:val="0"/>
              <w:pBdr>
                <w:top w:val="single" w:color="auto" w:sz="4" w:space="1"/>
                <w:left w:val="single" w:color="auto" w:sz="4" w:space="4"/>
                <w:bottom w:val="single" w:color="auto" w:sz="4" w:space="1"/>
                <w:right w:val="single" w:color="auto" w:sz="4" w:space="4"/>
              </w:pBdr>
              <w:spacing w:before="0" w:beforeAutospacing="0" w:afterAutospacing="0" w:line="240" w:lineRule="auto"/>
              <w:ind w:left="0" w:right="0"/>
              <w:rPr>
                <w:rFonts w:hint="default" w:ascii="宋体" w:hAnsi="宋体" w:cs="Times New Roman"/>
                <w:color w:val="auto"/>
                <w:sz w:val="24"/>
                <w:szCs w:val="24"/>
                <w:u w:val="single"/>
              </w:rPr>
            </w:pPr>
            <w:r>
              <w:rPr>
                <w:rFonts w:hint="eastAsia" w:ascii="宋体" w:hAnsi="宋体" w:cs="Times New Roman"/>
                <w:color w:val="auto"/>
                <w:sz w:val="24"/>
                <w:szCs w:val="24"/>
              </w:rPr>
              <w:t>注册号码：</w:t>
            </w:r>
            <w:r>
              <w:rPr>
                <w:rFonts w:hint="eastAsia" w:ascii="宋体" w:hAnsi="宋体" w:cs="Times New Roman"/>
                <w:color w:val="auto"/>
                <w:sz w:val="24"/>
                <w:szCs w:val="24"/>
                <w:u w:val="single"/>
              </w:rPr>
              <w:t>　　　　　　　　　　</w:t>
            </w:r>
            <w:r>
              <w:rPr>
                <w:rFonts w:hint="eastAsia" w:ascii="宋体" w:hAnsi="宋体" w:cs="Times New Roman"/>
                <w:color w:val="auto"/>
                <w:sz w:val="24"/>
                <w:szCs w:val="24"/>
              </w:rPr>
              <w:t>企业类型：</w:t>
            </w:r>
            <w:r>
              <w:rPr>
                <w:rFonts w:hint="eastAsia" w:ascii="宋体" w:hAnsi="宋体" w:cs="Times New Roman"/>
                <w:color w:val="auto"/>
                <w:sz w:val="24"/>
                <w:szCs w:val="24"/>
                <w:u w:val="single"/>
              </w:rPr>
              <w:t xml:space="preserve">                   </w:t>
            </w:r>
          </w:p>
          <w:p w14:paraId="42CFA979">
            <w:pPr>
              <w:keepNext w:val="0"/>
              <w:keepLines w:val="0"/>
              <w:widowControl/>
              <w:suppressLineNumbers w:val="0"/>
              <w:pBdr>
                <w:top w:val="single" w:color="auto" w:sz="4" w:space="1"/>
                <w:left w:val="single" w:color="auto" w:sz="4" w:space="4"/>
                <w:bottom w:val="single" w:color="auto" w:sz="4" w:space="1"/>
                <w:right w:val="single" w:color="auto" w:sz="4" w:space="4"/>
              </w:pBdr>
              <w:spacing w:before="0" w:beforeAutospacing="0" w:afterAutospacing="0" w:line="240" w:lineRule="auto"/>
              <w:ind w:left="0" w:right="0"/>
              <w:rPr>
                <w:rFonts w:hint="default" w:ascii="宋体" w:hAnsi="宋体" w:cs="Times New Roman"/>
                <w:color w:val="auto"/>
                <w:sz w:val="24"/>
                <w:szCs w:val="24"/>
                <w:u w:val="single"/>
              </w:rPr>
            </w:pPr>
            <w:r>
              <w:rPr>
                <w:rFonts w:hint="eastAsia" w:ascii="宋体" w:hAnsi="宋体" w:cs="Times New Roman"/>
                <w:color w:val="auto"/>
                <w:sz w:val="24"/>
                <w:szCs w:val="24"/>
              </w:rPr>
              <w:t>经营范围：</w:t>
            </w:r>
            <w:r>
              <w:rPr>
                <w:rFonts w:hint="eastAsia" w:ascii="宋体" w:hAnsi="宋体" w:cs="Times New Roman"/>
                <w:color w:val="auto"/>
                <w:sz w:val="24"/>
                <w:szCs w:val="24"/>
                <w:u w:val="single"/>
              </w:rPr>
              <w:t xml:space="preserve">                          </w:t>
            </w:r>
          </w:p>
          <w:p w14:paraId="10A15CC0">
            <w:pPr>
              <w:keepNext w:val="0"/>
              <w:keepLines w:val="0"/>
              <w:widowControl/>
              <w:suppressLineNumbers w:val="0"/>
              <w:pBdr>
                <w:top w:val="single" w:color="auto" w:sz="4" w:space="1"/>
                <w:left w:val="single" w:color="auto" w:sz="4" w:space="4"/>
                <w:bottom w:val="single" w:color="auto" w:sz="4" w:space="1"/>
                <w:right w:val="single" w:color="auto" w:sz="4" w:space="4"/>
              </w:pBdr>
              <w:spacing w:before="0" w:beforeAutospacing="0" w:afterAutospacing="0" w:line="240" w:lineRule="auto"/>
              <w:ind w:left="0" w:right="0"/>
              <w:rPr>
                <w:rFonts w:hint="default" w:ascii="宋体" w:hAnsi="宋体" w:cs="Times New Roman"/>
                <w:color w:val="auto"/>
                <w:sz w:val="24"/>
                <w:szCs w:val="24"/>
              </w:rPr>
            </w:pPr>
            <w:r>
              <w:rPr>
                <w:rFonts w:hint="eastAsia" w:ascii="宋体" w:hAnsi="宋体" w:cs="Times New Roman"/>
                <w:color w:val="auto"/>
                <w:sz w:val="24"/>
                <w:szCs w:val="24"/>
                <w:u w:val="single"/>
              </w:rPr>
              <w:t>　　　　　　　　　　　　　　　　</w:t>
            </w:r>
            <w:r>
              <w:rPr>
                <w:rFonts w:hint="eastAsia" w:ascii="宋体" w:hAnsi="宋体" w:cs="Times New Roman"/>
                <w:color w:val="auto"/>
                <w:sz w:val="24"/>
                <w:szCs w:val="24"/>
              </w:rPr>
              <w:t>单位：　　　　　　（盖章）</w:t>
            </w:r>
          </w:p>
          <w:p w14:paraId="04A4BE02">
            <w:pPr>
              <w:keepNext w:val="0"/>
              <w:keepLines w:val="0"/>
              <w:widowControl/>
              <w:suppressLineNumbers w:val="0"/>
              <w:pBdr>
                <w:top w:val="single" w:color="auto" w:sz="4" w:space="1"/>
                <w:left w:val="single" w:color="auto" w:sz="4" w:space="4"/>
                <w:bottom w:val="single" w:color="auto" w:sz="4" w:space="1"/>
                <w:right w:val="single" w:color="auto" w:sz="4" w:space="4"/>
              </w:pBdr>
              <w:spacing w:before="0" w:beforeAutospacing="0" w:afterAutospacing="0" w:line="240" w:lineRule="auto"/>
              <w:ind w:left="0" w:right="0"/>
              <w:rPr>
                <w:rFonts w:hint="default" w:ascii="宋体" w:hAnsi="宋体" w:cs="Times New Roman"/>
                <w:color w:val="auto"/>
                <w:sz w:val="24"/>
                <w:szCs w:val="24"/>
              </w:rPr>
            </w:pPr>
            <w:r>
              <w:rPr>
                <w:rFonts w:hint="eastAsia" w:ascii="宋体" w:hAnsi="宋体" w:cs="Times New Roman"/>
                <w:color w:val="auto"/>
                <w:sz w:val="24"/>
                <w:szCs w:val="24"/>
                <w:u w:val="single"/>
              </w:rPr>
              <w:t>　　　　　　　　　　　　　　　　</w:t>
            </w:r>
            <w:r>
              <w:rPr>
                <w:rFonts w:hint="eastAsia" w:ascii="宋体" w:hAnsi="宋体" w:cs="Times New Roman"/>
                <w:color w:val="auto"/>
                <w:sz w:val="24"/>
                <w:szCs w:val="24"/>
              </w:rPr>
              <w:t>　　　　　    年　月　　日</w:t>
            </w:r>
          </w:p>
        </w:tc>
      </w:tr>
    </w:tbl>
    <w:p w14:paraId="058D4650">
      <w:pPr>
        <w:spacing w:line="240" w:lineRule="auto"/>
        <w:rPr>
          <w:rFonts w:ascii="宋体" w:hAnsi="宋体"/>
          <w:b/>
          <w:color w:val="auto"/>
          <w:sz w:val="21"/>
          <w:szCs w:val="21"/>
        </w:rPr>
      </w:pPr>
      <w:r>
        <w:rPr>
          <w:rFonts w:hint="eastAsia" w:ascii="宋体" w:hAnsi="宋体"/>
          <w:color w:val="auto"/>
          <w:sz w:val="21"/>
          <w:szCs w:val="21"/>
        </w:rPr>
        <w:t>注：法定代表人证明书也可以采用工商行政管理局统一印制的格式。</w:t>
      </w:r>
    </w:p>
    <w:p w14:paraId="59D5F291">
      <w:pPr>
        <w:spacing w:line="240" w:lineRule="auto"/>
        <w:jc w:val="center"/>
        <w:rPr>
          <w:rFonts w:hint="eastAsia" w:ascii="宋体" w:hAnsi="宋体"/>
          <w:b/>
          <w:color w:val="auto"/>
          <w:sz w:val="28"/>
          <w:szCs w:val="28"/>
        </w:rPr>
      </w:pPr>
    </w:p>
    <w:p w14:paraId="12A0BC27">
      <w:pPr>
        <w:spacing w:line="240" w:lineRule="auto"/>
        <w:jc w:val="center"/>
        <w:rPr>
          <w:rFonts w:ascii="宋体" w:hAnsi="宋体"/>
          <w:b/>
          <w:color w:val="auto"/>
          <w:sz w:val="28"/>
          <w:szCs w:val="28"/>
        </w:rPr>
      </w:pPr>
      <w:r>
        <w:rPr>
          <w:rFonts w:hint="eastAsia" w:ascii="宋体" w:hAnsi="宋体"/>
          <w:b/>
          <w:color w:val="auto"/>
          <w:sz w:val="28"/>
          <w:szCs w:val="28"/>
        </w:rPr>
        <w:t>法定代表人授权委托</w:t>
      </w:r>
      <w:r>
        <w:rPr>
          <w:rFonts w:ascii="宋体" w:hAnsi="宋体"/>
          <w:b/>
          <w:color w:val="auto"/>
          <w:sz w:val="28"/>
          <w:szCs w:val="28"/>
        </w:rPr>
        <w:t>书</w:t>
      </w:r>
    </w:p>
    <w:p w14:paraId="14649948">
      <w:pPr>
        <w:spacing w:line="240" w:lineRule="auto"/>
        <w:jc w:val="center"/>
        <w:rPr>
          <w:rFonts w:ascii="宋体" w:hAnsi="宋体"/>
          <w:b/>
          <w:color w:val="auto"/>
          <w:sz w:val="28"/>
          <w:szCs w:val="28"/>
        </w:rPr>
      </w:pPr>
      <w:r>
        <w:rPr>
          <w:rFonts w:hint="eastAsia" w:ascii="宋体" w:hAnsi="宋体" w:eastAsia="宋体"/>
          <w:color w:val="auto"/>
          <w:sz w:val="21"/>
          <w:szCs w:val="21"/>
        </w:rPr>
        <w:t xml:space="preserve">                                                                     </w:t>
      </w:r>
      <w:r>
        <w:rPr>
          <w:rFonts w:ascii="宋体" w:hAnsi="宋体"/>
          <w:color w:val="auto"/>
          <w:sz w:val="21"/>
          <w:szCs w:val="21"/>
        </w:rPr>
        <w:t>（　 ）第　号</w:t>
      </w:r>
    </w:p>
    <w:tbl>
      <w:tblPr>
        <w:tblStyle w:val="39"/>
        <w:tblpPr w:leftFromText="180" w:rightFromText="180" w:vertAnchor="text" w:horzAnchor="page" w:tblpX="1342" w:tblpY="42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0"/>
      </w:tblGrid>
      <w:tr w14:paraId="7F336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9400" w:type="dxa"/>
            <w:noWrap w:val="0"/>
            <w:vAlign w:val="top"/>
          </w:tcPr>
          <w:p w14:paraId="56E1CFFA">
            <w:pPr>
              <w:keepNext w:val="0"/>
              <w:keepLines w:val="0"/>
              <w:widowControl/>
              <w:suppressLineNumbers w:val="0"/>
              <w:spacing w:before="0" w:beforeAutospacing="0" w:afterAutospacing="0" w:line="240" w:lineRule="auto"/>
              <w:ind w:left="0" w:right="0" w:firstLine="480" w:firstLineChars="200"/>
              <w:rPr>
                <w:rFonts w:hint="default" w:ascii="宋体" w:hAnsi="宋体" w:cs="Times New Roman"/>
                <w:color w:val="auto"/>
                <w:sz w:val="24"/>
                <w:szCs w:val="24"/>
                <w:u w:val="single"/>
              </w:rPr>
            </w:pPr>
            <w:r>
              <w:rPr>
                <w:rFonts w:hint="eastAsia" w:ascii="宋体" w:hAnsi="宋体" w:cs="Times New Roman"/>
                <w:color w:val="auto"/>
                <w:sz w:val="24"/>
                <w:szCs w:val="24"/>
              </w:rPr>
              <w:t>兹授权</w:t>
            </w:r>
            <w:r>
              <w:rPr>
                <w:rFonts w:hint="default" w:ascii="宋体" w:hAnsi="宋体" w:cs="Times New Roman"/>
                <w:color w:val="auto"/>
                <w:sz w:val="24"/>
                <w:szCs w:val="24"/>
                <w:u w:val="single"/>
              </w:rPr>
              <w:t xml:space="preserve">                </w:t>
            </w:r>
            <w:r>
              <w:rPr>
                <w:rFonts w:hint="eastAsia" w:ascii="宋体" w:hAnsi="宋体" w:cs="Times New Roman"/>
                <w:color w:val="auto"/>
                <w:sz w:val="24"/>
                <w:szCs w:val="24"/>
              </w:rPr>
              <w:t>为我方委托代理人，其权限是：</w:t>
            </w:r>
            <w:r>
              <w:rPr>
                <w:rFonts w:hint="default"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p>
          <w:p w14:paraId="2CF05984">
            <w:pPr>
              <w:keepNext w:val="0"/>
              <w:keepLines w:val="0"/>
              <w:widowControl/>
              <w:suppressLineNumbers w:val="0"/>
              <w:spacing w:before="0" w:beforeAutospacing="0" w:afterAutospacing="0" w:line="240" w:lineRule="auto"/>
              <w:ind w:left="0" w:right="0"/>
              <w:rPr>
                <w:rFonts w:hint="default" w:ascii="宋体" w:hAnsi="宋体" w:cs="Times New Roman"/>
                <w:color w:val="auto"/>
                <w:sz w:val="24"/>
                <w:szCs w:val="24"/>
                <w:u w:val="single"/>
              </w:rPr>
            </w:pPr>
            <w:r>
              <w:rPr>
                <w:rFonts w:hint="default"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p>
          <w:p w14:paraId="547B02F6">
            <w:pPr>
              <w:keepNext w:val="0"/>
              <w:keepLines w:val="0"/>
              <w:widowControl/>
              <w:suppressLineNumbers w:val="0"/>
              <w:spacing w:before="0" w:beforeAutospacing="0" w:afterAutospacing="0" w:line="240" w:lineRule="auto"/>
              <w:ind w:left="0" w:right="0"/>
              <w:rPr>
                <w:rFonts w:hint="eastAsia" w:ascii="宋体" w:hAnsi="宋体" w:eastAsia="宋体" w:cs="Times New Roman"/>
                <w:color w:val="auto"/>
                <w:sz w:val="24"/>
                <w:szCs w:val="24"/>
                <w:u w:val="single"/>
              </w:rPr>
            </w:pPr>
            <w:r>
              <w:rPr>
                <w:rFonts w:hint="eastAsia" w:ascii="宋体" w:hAnsi="宋体" w:cs="Times New Roman"/>
                <w:color w:val="auto"/>
                <w:sz w:val="24"/>
                <w:szCs w:val="24"/>
              </w:rPr>
              <w:t>有效期限：</w:t>
            </w:r>
            <w:r>
              <w:rPr>
                <w:rFonts w:hint="eastAsia" w:ascii="宋体" w:hAnsi="宋体" w:eastAsia="宋体" w:cs="Times New Roman"/>
                <w:color w:val="auto"/>
                <w:sz w:val="24"/>
                <w:szCs w:val="24"/>
                <w:u w:val="single"/>
              </w:rPr>
              <w:t>自本委托书签署之日起至投标有效期期满。</w:t>
            </w:r>
          </w:p>
          <w:p w14:paraId="19A1B428">
            <w:pPr>
              <w:keepNext w:val="0"/>
              <w:keepLines w:val="0"/>
              <w:widowControl/>
              <w:suppressLineNumbers w:val="0"/>
              <w:spacing w:before="0" w:beforeAutospacing="0" w:afterAutospacing="0" w:line="240" w:lineRule="auto"/>
              <w:ind w:left="0" w:right="0"/>
              <w:rPr>
                <w:rFonts w:hint="default" w:ascii="宋体" w:hAnsi="宋体" w:cs="Times New Roman"/>
                <w:color w:val="auto"/>
                <w:sz w:val="24"/>
                <w:szCs w:val="24"/>
              </w:rPr>
            </w:pPr>
            <w:r>
              <w:rPr>
                <w:rFonts w:hint="eastAsia" w:ascii="宋体" w:hAnsi="宋体" w:cs="Times New Roman"/>
                <w:color w:val="auto"/>
                <w:sz w:val="24"/>
                <w:szCs w:val="24"/>
              </w:rPr>
              <w:t>附：代理人性别：</w:t>
            </w:r>
            <w:r>
              <w:rPr>
                <w:rFonts w:hint="default" w:ascii="宋体" w:hAnsi="宋体" w:cs="Times New Roman"/>
                <w:color w:val="auto"/>
                <w:sz w:val="24"/>
                <w:szCs w:val="24"/>
                <w:u w:val="single"/>
              </w:rPr>
              <w:t xml:space="preserve">     </w:t>
            </w:r>
            <w:r>
              <w:rPr>
                <w:rFonts w:hint="eastAsia" w:ascii="宋体" w:hAnsi="宋体" w:cs="Times New Roman"/>
                <w:color w:val="auto"/>
                <w:sz w:val="24"/>
                <w:szCs w:val="24"/>
              </w:rPr>
              <w:t>年龄：</w:t>
            </w:r>
            <w:r>
              <w:rPr>
                <w:rFonts w:hint="default" w:ascii="宋体" w:hAnsi="宋体" w:cs="Times New Roman"/>
                <w:color w:val="auto"/>
                <w:sz w:val="24"/>
                <w:szCs w:val="24"/>
                <w:u w:val="single"/>
              </w:rPr>
              <w:t xml:space="preserve">     </w:t>
            </w:r>
            <w:r>
              <w:rPr>
                <w:rFonts w:hint="eastAsia" w:ascii="宋体" w:hAnsi="宋体" w:cs="Times New Roman"/>
                <w:color w:val="auto"/>
                <w:sz w:val="24"/>
                <w:szCs w:val="24"/>
              </w:rPr>
              <w:t>身份证号码：</w:t>
            </w:r>
            <w:r>
              <w:rPr>
                <w:rFonts w:hint="default" w:ascii="宋体" w:hAnsi="宋体" w:cs="Times New Roman"/>
                <w:color w:val="auto"/>
                <w:sz w:val="24"/>
                <w:szCs w:val="24"/>
                <w:u w:val="single"/>
              </w:rPr>
              <w:t xml:space="preserve">                    </w:t>
            </w:r>
          </w:p>
          <w:p w14:paraId="65E2799E">
            <w:pPr>
              <w:keepNext w:val="0"/>
              <w:keepLines w:val="0"/>
              <w:widowControl/>
              <w:suppressLineNumbers w:val="0"/>
              <w:spacing w:before="0" w:beforeAutospacing="0" w:afterAutospacing="0" w:line="240" w:lineRule="auto"/>
              <w:ind w:left="0" w:right="0"/>
              <w:rPr>
                <w:rFonts w:hint="default" w:ascii="宋体" w:hAnsi="宋体" w:cs="Times New Roman"/>
                <w:color w:val="auto"/>
                <w:sz w:val="24"/>
                <w:szCs w:val="24"/>
                <w:u w:val="single"/>
              </w:rPr>
            </w:pPr>
            <w:r>
              <w:rPr>
                <w:rFonts w:hint="eastAsia" w:ascii="宋体" w:hAnsi="宋体" w:cs="Times New Roman"/>
                <w:color w:val="auto"/>
                <w:sz w:val="24"/>
                <w:szCs w:val="24"/>
              </w:rPr>
              <w:t>注册号码：</w:t>
            </w:r>
            <w:r>
              <w:rPr>
                <w:rFonts w:hint="default" w:ascii="宋体" w:hAnsi="宋体" w:cs="Times New Roman"/>
                <w:color w:val="auto"/>
                <w:sz w:val="24"/>
                <w:szCs w:val="24"/>
                <w:u w:val="single"/>
              </w:rPr>
              <w:t xml:space="preserve">                  </w:t>
            </w:r>
            <w:r>
              <w:rPr>
                <w:rFonts w:hint="eastAsia" w:ascii="宋体" w:hAnsi="宋体" w:cs="Times New Roman"/>
                <w:color w:val="auto"/>
                <w:sz w:val="24"/>
                <w:szCs w:val="24"/>
              </w:rPr>
              <w:t>企业类型：</w:t>
            </w:r>
            <w:r>
              <w:rPr>
                <w:rFonts w:hint="default" w:ascii="宋体" w:hAnsi="宋体" w:cs="Times New Roman"/>
                <w:color w:val="auto"/>
                <w:sz w:val="24"/>
                <w:szCs w:val="24"/>
                <w:u w:val="single"/>
              </w:rPr>
              <w:t xml:space="preserve">                      </w:t>
            </w:r>
          </w:p>
          <w:p w14:paraId="6BD00265">
            <w:pPr>
              <w:keepNext w:val="0"/>
              <w:keepLines w:val="0"/>
              <w:widowControl/>
              <w:suppressLineNumbers w:val="0"/>
              <w:spacing w:before="0" w:beforeAutospacing="0" w:afterAutospacing="0" w:line="240" w:lineRule="auto"/>
              <w:ind w:left="0" w:right="0"/>
              <w:rPr>
                <w:rFonts w:hint="default" w:ascii="宋体" w:hAnsi="宋体" w:cs="Times New Roman"/>
                <w:color w:val="auto"/>
                <w:sz w:val="24"/>
                <w:szCs w:val="24"/>
                <w:u w:val="single"/>
              </w:rPr>
            </w:pPr>
            <w:r>
              <w:rPr>
                <w:rFonts w:hint="eastAsia" w:ascii="宋体" w:hAnsi="宋体" w:cs="Times New Roman"/>
                <w:color w:val="auto"/>
                <w:sz w:val="24"/>
                <w:szCs w:val="24"/>
              </w:rPr>
              <w:t>经营范围：</w:t>
            </w:r>
            <w:r>
              <w:rPr>
                <w:rFonts w:hint="default" w:ascii="宋体" w:hAnsi="宋体" w:cs="Times New Roman"/>
                <w:color w:val="auto"/>
                <w:sz w:val="24"/>
                <w:szCs w:val="24"/>
                <w:u w:val="single"/>
              </w:rPr>
              <w:t xml:space="preserve">                                                  </w:t>
            </w:r>
          </w:p>
          <w:p w14:paraId="56E5B2BD">
            <w:pPr>
              <w:keepNext w:val="0"/>
              <w:keepLines w:val="0"/>
              <w:widowControl/>
              <w:suppressLineNumbers w:val="0"/>
              <w:spacing w:before="0" w:beforeAutospacing="0" w:afterAutospacing="0" w:line="240" w:lineRule="auto"/>
              <w:ind w:left="0" w:right="0"/>
              <w:rPr>
                <w:rFonts w:hint="default" w:ascii="宋体" w:hAnsi="宋体" w:cs="Times New Roman"/>
                <w:color w:val="auto"/>
                <w:sz w:val="24"/>
                <w:szCs w:val="24"/>
              </w:rPr>
            </w:pPr>
            <w:r>
              <w:rPr>
                <w:rFonts w:hint="eastAsia" w:ascii="宋体" w:hAnsi="宋体" w:cs="Times New Roman"/>
                <w:color w:val="auto"/>
                <w:sz w:val="24"/>
                <w:szCs w:val="24"/>
              </w:rPr>
              <w:t>法定代表人（负责人）：</w:t>
            </w:r>
            <w:r>
              <w:rPr>
                <w:rFonts w:hint="default" w:ascii="宋体" w:hAnsi="宋体" w:cs="Times New Roman"/>
                <w:color w:val="auto"/>
                <w:sz w:val="24"/>
                <w:szCs w:val="24"/>
                <w:u w:val="single"/>
              </w:rPr>
              <w:t xml:space="preserve">                 </w:t>
            </w:r>
            <w:r>
              <w:rPr>
                <w:rFonts w:hint="eastAsia" w:ascii="宋体" w:hAnsi="宋体" w:cs="Times New Roman"/>
                <w:color w:val="auto"/>
                <w:sz w:val="24"/>
                <w:szCs w:val="24"/>
              </w:rPr>
              <w:t>（签名或盖章）</w:t>
            </w:r>
          </w:p>
          <w:p w14:paraId="40D8935B">
            <w:pPr>
              <w:keepNext w:val="0"/>
              <w:keepLines w:val="0"/>
              <w:widowControl/>
              <w:suppressLineNumbers w:val="0"/>
              <w:spacing w:before="0" w:beforeAutospacing="0" w:afterAutospacing="0" w:line="240" w:lineRule="auto"/>
              <w:ind w:left="0" w:right="0"/>
              <w:rPr>
                <w:rFonts w:hint="default" w:ascii="宋体" w:hAnsi="宋体" w:cs="Times New Roman"/>
                <w:color w:val="auto"/>
                <w:sz w:val="24"/>
                <w:szCs w:val="24"/>
              </w:rPr>
            </w:pPr>
            <w:r>
              <w:rPr>
                <w:rFonts w:hint="eastAsia" w:ascii="宋体" w:hAnsi="宋体" w:cs="Times New Roman"/>
                <w:color w:val="auto"/>
                <w:sz w:val="24"/>
                <w:szCs w:val="24"/>
              </w:rPr>
              <w:t>授权单位：（盖章）</w:t>
            </w:r>
            <w:r>
              <w:rPr>
                <w:rFonts w:hint="default" w:ascii="宋体" w:hAnsi="宋体" w:cs="Times New Roman"/>
                <w:color w:val="auto"/>
                <w:sz w:val="24"/>
                <w:szCs w:val="24"/>
                <w:u w:val="single"/>
              </w:rPr>
              <w:t xml:space="preserve">                     </w:t>
            </w:r>
            <w:r>
              <w:rPr>
                <w:rFonts w:hint="default" w:ascii="宋体" w:hAnsi="宋体" w:cs="Times New Roman"/>
                <w:color w:val="auto"/>
                <w:sz w:val="24"/>
                <w:szCs w:val="24"/>
              </w:rPr>
              <w:t xml:space="preserve"> </w:t>
            </w:r>
          </w:p>
          <w:p w14:paraId="32D21458">
            <w:pPr>
              <w:keepNext w:val="0"/>
              <w:keepLines w:val="0"/>
              <w:widowControl/>
              <w:suppressLineNumbers w:val="0"/>
              <w:spacing w:before="0" w:beforeAutospacing="0" w:afterAutospacing="0" w:line="240" w:lineRule="auto"/>
              <w:ind w:left="0" w:right="0" w:firstLine="5880" w:firstLineChars="2450"/>
              <w:rPr>
                <w:rFonts w:hint="default" w:ascii="宋体" w:hAnsi="宋体" w:cs="Times New Roman"/>
                <w:color w:val="auto"/>
                <w:sz w:val="24"/>
                <w:szCs w:val="24"/>
              </w:rPr>
            </w:pPr>
            <w:r>
              <w:rPr>
                <w:rFonts w:hint="eastAsia" w:ascii="宋体" w:hAnsi="宋体" w:cs="Times New Roman"/>
                <w:color w:val="auto"/>
                <w:sz w:val="24"/>
                <w:szCs w:val="24"/>
              </w:rPr>
              <w:t>年</w:t>
            </w:r>
            <w:r>
              <w:rPr>
                <w:rFonts w:hint="default" w:ascii="宋体" w:hAnsi="宋体" w:cs="Times New Roman"/>
                <w:color w:val="auto"/>
                <w:sz w:val="24"/>
                <w:szCs w:val="24"/>
              </w:rPr>
              <w:t xml:space="preserve">  </w:t>
            </w:r>
            <w:r>
              <w:rPr>
                <w:rFonts w:hint="eastAsia" w:ascii="宋体" w:hAnsi="宋体" w:cs="Times New Roman"/>
                <w:color w:val="auto"/>
                <w:sz w:val="24"/>
                <w:szCs w:val="24"/>
              </w:rPr>
              <w:t>月</w:t>
            </w:r>
            <w:r>
              <w:rPr>
                <w:rFonts w:hint="default" w:ascii="宋体" w:hAnsi="宋体" w:cs="Times New Roman"/>
                <w:color w:val="auto"/>
                <w:sz w:val="24"/>
                <w:szCs w:val="24"/>
              </w:rPr>
              <w:t xml:space="preserve">   </w:t>
            </w:r>
            <w:r>
              <w:rPr>
                <w:rFonts w:hint="eastAsia" w:ascii="宋体" w:hAnsi="宋体" w:cs="Times New Roman"/>
                <w:color w:val="auto"/>
                <w:sz w:val="24"/>
                <w:szCs w:val="24"/>
              </w:rPr>
              <w:t>日</w:t>
            </w:r>
          </w:p>
        </w:tc>
      </w:tr>
    </w:tbl>
    <w:p w14:paraId="4C0A451E">
      <w:pPr>
        <w:spacing w:line="240" w:lineRule="auto"/>
        <w:jc w:val="center"/>
        <w:rPr>
          <w:rFonts w:ascii="宋体" w:hAnsi="宋体"/>
          <w:color w:val="auto"/>
          <w:sz w:val="21"/>
          <w:szCs w:val="21"/>
        </w:rPr>
      </w:pPr>
      <w:r>
        <w:rPr>
          <w:rFonts w:hint="eastAsia" w:ascii="宋体" w:hAnsi="宋体" w:eastAsia="宋体"/>
          <w:color w:val="auto"/>
          <w:sz w:val="21"/>
          <w:szCs w:val="21"/>
        </w:rPr>
        <w:t xml:space="preserve">                                                                  </w:t>
      </w:r>
    </w:p>
    <w:p w14:paraId="4B6D461F">
      <w:pPr>
        <w:spacing w:line="240" w:lineRule="auto"/>
        <w:ind w:firstLine="420" w:firstLineChars="200"/>
        <w:rPr>
          <w:rFonts w:hint="eastAsia" w:ascii="宋体" w:hAnsi="宋体"/>
          <w:color w:val="auto"/>
          <w:sz w:val="21"/>
          <w:szCs w:val="21"/>
        </w:rPr>
      </w:pPr>
      <w:r>
        <w:rPr>
          <w:rFonts w:hint="eastAsia" w:ascii="宋体" w:hAnsi="宋体"/>
          <w:color w:val="auto"/>
          <w:sz w:val="21"/>
          <w:szCs w:val="21"/>
        </w:rPr>
        <w:t>注：</w:t>
      </w:r>
      <w:r>
        <w:rPr>
          <w:rFonts w:hint="eastAsia" w:ascii="宋体" w:hAnsi="宋体" w:eastAsia="宋体"/>
          <w:color w:val="auto"/>
          <w:sz w:val="21"/>
          <w:szCs w:val="21"/>
        </w:rPr>
        <w:t>1.</w:t>
      </w:r>
      <w:r>
        <w:rPr>
          <w:rFonts w:hint="eastAsia" w:ascii="宋体" w:hAnsi="宋体"/>
          <w:color w:val="auto"/>
          <w:sz w:val="21"/>
          <w:szCs w:val="21"/>
        </w:rPr>
        <w:t>法定代表人授权委托书也可以采用工商行政管理局统一印制的格式。</w:t>
      </w:r>
    </w:p>
    <w:p w14:paraId="3AF299A4">
      <w:pPr>
        <w:pStyle w:val="95"/>
        <w:ind w:firstLine="840" w:firstLineChars="400"/>
        <w:rPr>
          <w:rFonts w:hint="eastAsia"/>
          <w:color w:val="auto"/>
          <w:sz w:val="21"/>
          <w:szCs w:val="21"/>
        </w:rPr>
      </w:pPr>
      <w:r>
        <w:rPr>
          <w:rFonts w:hint="eastAsia"/>
          <w:color w:val="auto"/>
          <w:sz w:val="21"/>
          <w:szCs w:val="21"/>
        </w:rPr>
        <w:t>2.</w:t>
      </w:r>
      <w:r>
        <w:rPr>
          <w:rFonts w:hint="eastAsia"/>
          <w:b/>
          <w:bCs/>
          <w:color w:val="auto"/>
          <w:sz w:val="21"/>
          <w:szCs w:val="21"/>
        </w:rPr>
        <w:t>后附法定代表人及委托代理人身份证扫描件加盖电子签章。</w:t>
      </w:r>
    </w:p>
    <w:p w14:paraId="692CC26F">
      <w:pPr>
        <w:pStyle w:val="95"/>
        <w:rPr>
          <w:rFonts w:hint="eastAsia"/>
          <w:b/>
          <w:bCs/>
          <w:color w:val="auto"/>
          <w:sz w:val="21"/>
          <w:szCs w:val="21"/>
        </w:rPr>
      </w:pPr>
      <w:r>
        <w:rPr>
          <w:rFonts w:hint="eastAsia"/>
          <w:color w:val="auto"/>
        </w:rPr>
        <w:br w:type="page"/>
      </w:r>
      <w:r>
        <w:rPr>
          <w:rFonts w:hint="eastAsia"/>
          <w:b/>
          <w:bCs/>
          <w:color w:val="auto"/>
          <w:sz w:val="21"/>
          <w:szCs w:val="21"/>
        </w:rPr>
        <w:t>附录4：工程勘察费报价表</w:t>
      </w:r>
    </w:p>
    <w:p w14:paraId="7C4CBD96">
      <w:pPr>
        <w:rPr>
          <w:rFonts w:hint="eastAsia" w:ascii="宋体" w:hAnsi="宋体" w:eastAsia="宋体"/>
          <w:bCs/>
          <w:color w:val="auto"/>
        </w:rPr>
      </w:pPr>
    </w:p>
    <w:p w14:paraId="5E3EED48">
      <w:pPr>
        <w:jc w:val="center"/>
        <w:rPr>
          <w:b/>
          <w:bCs/>
          <w:lang w:val="zh-CN"/>
        </w:rPr>
      </w:pPr>
      <w:r>
        <w:rPr>
          <w:rFonts w:hint="eastAsia"/>
          <w:b/>
          <w:bCs/>
          <w:lang w:val="zh-CN"/>
        </w:rPr>
        <w:t>勘察费</w:t>
      </w:r>
      <w:r>
        <w:rPr>
          <w:rFonts w:hint="eastAsia"/>
          <w:b/>
          <w:bCs/>
        </w:rPr>
        <w:t>分项</w:t>
      </w:r>
      <w:r>
        <w:rPr>
          <w:rFonts w:hint="eastAsia"/>
          <w:b/>
          <w:bCs/>
          <w:lang w:val="zh-CN"/>
        </w:rPr>
        <w:t>报价表</w:t>
      </w:r>
    </w:p>
    <w:tbl>
      <w:tblPr>
        <w:tblStyle w:val="39"/>
        <w:tblW w:w="7724" w:type="dxa"/>
        <w:jc w:val="center"/>
        <w:tblLayout w:type="fixed"/>
        <w:tblCellMar>
          <w:top w:w="0" w:type="dxa"/>
          <w:left w:w="108" w:type="dxa"/>
          <w:bottom w:w="0" w:type="dxa"/>
          <w:right w:w="108" w:type="dxa"/>
        </w:tblCellMar>
      </w:tblPr>
      <w:tblGrid>
        <w:gridCol w:w="687"/>
        <w:gridCol w:w="1878"/>
        <w:gridCol w:w="687"/>
        <w:gridCol w:w="1052"/>
        <w:gridCol w:w="962"/>
        <w:gridCol w:w="1160"/>
        <w:gridCol w:w="1298"/>
      </w:tblGrid>
      <w:tr w14:paraId="1D26E3B1">
        <w:tblPrEx>
          <w:tblCellMar>
            <w:top w:w="0" w:type="dxa"/>
            <w:left w:w="108" w:type="dxa"/>
            <w:bottom w:w="0" w:type="dxa"/>
            <w:right w:w="108" w:type="dxa"/>
          </w:tblCellMar>
        </w:tblPrEx>
        <w:trPr>
          <w:trHeight w:val="92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283279E0">
            <w:pPr>
              <w:keepNext w:val="0"/>
              <w:keepLines w:val="0"/>
              <w:widowControl/>
              <w:suppressLineNumbers w:val="0"/>
              <w:spacing w:before="0" w:beforeAutospacing="0" w:afterAutospacing="0"/>
              <w:ind w:left="0" w:right="0"/>
              <w:rPr>
                <w:rFonts w:hint="default" w:ascii="Calibri" w:hAnsi="Calibri" w:cs="Times New Roman"/>
              </w:rPr>
            </w:pPr>
            <w:r>
              <w:rPr>
                <w:rFonts w:hint="eastAsia" w:ascii="Calibri" w:hAnsi="Calibri" w:cs="Times New Roman"/>
              </w:rPr>
              <w:t>序号</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09DE7579">
            <w:pPr>
              <w:keepNext w:val="0"/>
              <w:keepLines w:val="0"/>
              <w:widowControl/>
              <w:suppressLineNumbers w:val="0"/>
              <w:spacing w:before="0" w:beforeAutospacing="0" w:afterAutospacing="0"/>
              <w:ind w:left="0" w:right="0"/>
              <w:rPr>
                <w:rFonts w:hint="default" w:ascii="Calibri" w:hAnsi="Calibri" w:cs="Times New Roman"/>
              </w:rPr>
            </w:pPr>
            <w:r>
              <w:rPr>
                <w:rFonts w:hint="eastAsia" w:ascii="Calibri" w:hAnsi="Calibri" w:cs="Times New Roman"/>
              </w:rPr>
              <w:t>项目</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BA9D528">
            <w:pPr>
              <w:keepNext w:val="0"/>
              <w:keepLines w:val="0"/>
              <w:widowControl/>
              <w:suppressLineNumbers w:val="0"/>
              <w:spacing w:before="0" w:beforeAutospacing="0" w:afterAutospacing="0"/>
              <w:ind w:left="0" w:right="0"/>
              <w:rPr>
                <w:rFonts w:hint="default" w:ascii="Calibri" w:hAnsi="Calibri" w:cs="Times New Roman"/>
              </w:rPr>
            </w:pPr>
            <w:r>
              <w:rPr>
                <w:rFonts w:hint="eastAsia" w:ascii="Calibri" w:hAnsi="Calibri" w:cs="Times New Roman"/>
              </w:rPr>
              <w:t>单位名称</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306C103F">
            <w:pPr>
              <w:keepNext w:val="0"/>
              <w:keepLines w:val="0"/>
              <w:widowControl/>
              <w:suppressLineNumbers w:val="0"/>
              <w:spacing w:before="0" w:beforeAutospacing="0" w:afterAutospacing="0"/>
              <w:ind w:left="0" w:right="0"/>
              <w:rPr>
                <w:rFonts w:hint="default" w:ascii="Calibri" w:hAnsi="Calibri" w:cs="Times New Roman"/>
              </w:rPr>
            </w:pPr>
            <w:r>
              <w:rPr>
                <w:rFonts w:hint="eastAsia" w:ascii="Calibri" w:hAnsi="Calibri" w:cs="Times New Roman"/>
              </w:rPr>
              <w:t>暂定工程量</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3EBC5E8">
            <w:pPr>
              <w:keepNext w:val="0"/>
              <w:keepLines w:val="0"/>
              <w:widowControl/>
              <w:suppressLineNumbers w:val="0"/>
              <w:spacing w:before="0" w:beforeAutospacing="0" w:afterAutospacing="0"/>
              <w:ind w:left="0" w:right="0"/>
              <w:rPr>
                <w:rFonts w:hint="default" w:ascii="Calibri" w:hAnsi="Calibri" w:cs="Times New Roman"/>
              </w:rPr>
            </w:pPr>
            <w:r>
              <w:rPr>
                <w:rFonts w:hint="eastAsia" w:ascii="Calibri" w:hAnsi="Calibri" w:cs="Times New Roman"/>
              </w:rPr>
              <w:t>投标</w:t>
            </w:r>
          </w:p>
          <w:p w14:paraId="198E5F52">
            <w:pPr>
              <w:keepNext w:val="0"/>
              <w:keepLines w:val="0"/>
              <w:widowControl/>
              <w:suppressLineNumbers w:val="0"/>
              <w:spacing w:before="0" w:beforeAutospacing="0" w:afterAutospacing="0"/>
              <w:ind w:left="0" w:right="0"/>
              <w:rPr>
                <w:rFonts w:hint="default" w:ascii="Calibri" w:hAnsi="Calibri" w:cs="Times New Roman"/>
              </w:rPr>
            </w:pPr>
            <w:r>
              <w:rPr>
                <w:rFonts w:hint="eastAsia" w:ascii="Calibri" w:hAnsi="Calibri" w:cs="Times New Roman"/>
              </w:rPr>
              <w:t>单价（元）</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671E6B0">
            <w:pPr>
              <w:keepNext w:val="0"/>
              <w:keepLines w:val="0"/>
              <w:widowControl/>
              <w:suppressLineNumbers w:val="0"/>
              <w:spacing w:before="0" w:beforeAutospacing="0" w:afterAutospacing="0"/>
              <w:ind w:left="0" w:right="0"/>
              <w:rPr>
                <w:rFonts w:hint="default" w:ascii="Calibri" w:hAnsi="Calibri" w:cs="Times New Roman"/>
              </w:rPr>
            </w:pPr>
            <w:r>
              <w:rPr>
                <w:rFonts w:hint="eastAsia" w:ascii="Calibri" w:hAnsi="Calibri" w:cs="Times New Roman"/>
              </w:rPr>
              <w:t>合计（元）</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14:paraId="67E27A59">
            <w:pPr>
              <w:keepNext w:val="0"/>
              <w:keepLines w:val="0"/>
              <w:widowControl/>
              <w:suppressLineNumbers w:val="0"/>
              <w:spacing w:before="0" w:beforeAutospacing="0" w:afterAutospacing="0"/>
              <w:ind w:left="0" w:right="0"/>
              <w:rPr>
                <w:rFonts w:hint="default" w:ascii="Calibri" w:hAnsi="Calibri" w:cs="Times New Roman"/>
              </w:rPr>
            </w:pPr>
            <w:r>
              <w:rPr>
                <w:rFonts w:hint="eastAsia" w:ascii="Calibri" w:hAnsi="Calibri" w:cs="Times New Roman"/>
              </w:rPr>
              <w:t>备注</w:t>
            </w:r>
          </w:p>
        </w:tc>
      </w:tr>
      <w:tr w14:paraId="74BD04CC">
        <w:tblPrEx>
          <w:tblCellMar>
            <w:top w:w="0" w:type="dxa"/>
            <w:left w:w="108" w:type="dxa"/>
            <w:bottom w:w="0" w:type="dxa"/>
            <w:right w:w="108" w:type="dxa"/>
          </w:tblCellMar>
        </w:tblPrEx>
        <w:trPr>
          <w:trHeight w:val="485"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53F9FF1F">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1</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1755042A">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岩土工程勘察费</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14D77E6">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m</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6F7881D2">
            <w:pPr>
              <w:keepNext w:val="0"/>
              <w:keepLines w:val="0"/>
              <w:widowControl/>
              <w:suppressLineNumbers w:val="0"/>
              <w:spacing w:before="0" w:beforeAutospacing="0" w:afterAutospacing="0"/>
              <w:ind w:left="0" w:right="0"/>
              <w:jc w:val="center"/>
              <w:rPr>
                <w:rFonts w:hint="eastAsia" w:ascii="Calibri" w:hAnsi="Calibri" w:cs="Times New Roman"/>
              </w:rPr>
            </w:pPr>
            <w:r>
              <w:rPr>
                <w:rFonts w:hint="eastAsia" w:ascii="Calibri" w:hAnsi="Calibri" w:cs="Times New Roman"/>
              </w:rPr>
              <w:t>1050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6302BD5D">
            <w:pPr>
              <w:keepNext w:val="0"/>
              <w:keepLines w:val="0"/>
              <w:widowControl/>
              <w:suppressLineNumbers w:val="0"/>
              <w:spacing w:before="0" w:beforeAutospacing="0" w:afterAutospacing="0"/>
              <w:ind w:left="0" w:right="0"/>
              <w:jc w:val="center"/>
              <w:rPr>
                <w:rFonts w:hint="default" w:ascii="Calibri" w:hAnsi="Calibri" w:cs="Times New Roman"/>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D922491">
            <w:pPr>
              <w:keepNext w:val="0"/>
              <w:keepLines w:val="0"/>
              <w:widowControl/>
              <w:suppressLineNumbers w:val="0"/>
              <w:spacing w:before="0" w:beforeAutospacing="0" w:afterAutospacing="0"/>
              <w:ind w:left="0" w:right="0"/>
              <w:jc w:val="center"/>
              <w:rPr>
                <w:rFonts w:hint="default" w:ascii="Calibri" w:hAnsi="Calibri" w:cs="Times New Roman"/>
              </w:rPr>
            </w:pPr>
          </w:p>
        </w:tc>
        <w:tc>
          <w:tcPr>
            <w:tcW w:w="1298" w:type="dxa"/>
            <w:tcBorders>
              <w:top w:val="single" w:color="000000" w:sz="4" w:space="0"/>
              <w:left w:val="single" w:color="000000" w:sz="4" w:space="0"/>
              <w:bottom w:val="single" w:color="000000" w:sz="4" w:space="0"/>
              <w:right w:val="single" w:color="000000" w:sz="4" w:space="0"/>
            </w:tcBorders>
            <w:noWrap w:val="0"/>
            <w:vAlign w:val="center"/>
          </w:tcPr>
          <w:p w14:paraId="18768083">
            <w:pPr>
              <w:keepNext w:val="0"/>
              <w:keepLines w:val="0"/>
              <w:widowControl/>
              <w:suppressLineNumbers w:val="0"/>
              <w:spacing w:before="0" w:beforeAutospacing="0" w:afterAutospacing="0"/>
              <w:ind w:left="0" w:right="0"/>
              <w:jc w:val="center"/>
              <w:rPr>
                <w:rFonts w:hint="default" w:ascii="Calibri" w:hAnsi="Calibri" w:cs="Times New Roman"/>
              </w:rPr>
            </w:pPr>
          </w:p>
        </w:tc>
      </w:tr>
      <w:tr w14:paraId="1274A27B">
        <w:tblPrEx>
          <w:tblCellMar>
            <w:top w:w="0" w:type="dxa"/>
            <w:left w:w="108" w:type="dxa"/>
            <w:bottom w:w="0" w:type="dxa"/>
            <w:right w:w="108" w:type="dxa"/>
          </w:tblCellMar>
        </w:tblPrEx>
        <w:trPr>
          <w:trHeight w:val="485"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38109BA5">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2</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7364515C">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超前钻费用</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DF2ECFD">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m</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1C72B8D3">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800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C54C0D0">
            <w:pPr>
              <w:keepNext w:val="0"/>
              <w:keepLines w:val="0"/>
              <w:widowControl/>
              <w:suppressLineNumbers w:val="0"/>
              <w:spacing w:before="0" w:beforeAutospacing="0" w:afterAutospacing="0"/>
              <w:ind w:left="0" w:right="0"/>
              <w:jc w:val="center"/>
              <w:rPr>
                <w:rFonts w:hint="default" w:ascii="Calibri" w:hAnsi="Calibri" w:cs="Times New Roman"/>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A14E2A3">
            <w:pPr>
              <w:keepNext w:val="0"/>
              <w:keepLines w:val="0"/>
              <w:widowControl/>
              <w:suppressLineNumbers w:val="0"/>
              <w:spacing w:before="0" w:beforeAutospacing="0" w:afterAutospacing="0"/>
              <w:ind w:left="0" w:right="0"/>
              <w:jc w:val="center"/>
              <w:rPr>
                <w:rFonts w:hint="default" w:ascii="Calibri" w:hAnsi="Calibri" w:cs="Times New Roman"/>
              </w:rPr>
            </w:pPr>
          </w:p>
        </w:tc>
        <w:tc>
          <w:tcPr>
            <w:tcW w:w="1298" w:type="dxa"/>
            <w:tcBorders>
              <w:top w:val="single" w:color="000000" w:sz="4" w:space="0"/>
              <w:left w:val="single" w:color="000000" w:sz="4" w:space="0"/>
              <w:bottom w:val="single" w:color="000000" w:sz="4" w:space="0"/>
              <w:right w:val="single" w:color="000000" w:sz="4" w:space="0"/>
            </w:tcBorders>
            <w:noWrap w:val="0"/>
            <w:vAlign w:val="center"/>
          </w:tcPr>
          <w:p w14:paraId="12A09FBA">
            <w:pPr>
              <w:keepNext w:val="0"/>
              <w:keepLines w:val="0"/>
              <w:widowControl/>
              <w:suppressLineNumbers w:val="0"/>
              <w:spacing w:before="0" w:beforeAutospacing="0" w:afterAutospacing="0"/>
              <w:ind w:left="0" w:right="0"/>
              <w:jc w:val="center"/>
              <w:rPr>
                <w:rFonts w:hint="default" w:ascii="Calibri" w:hAnsi="Calibri" w:cs="Times New Roman"/>
              </w:rPr>
            </w:pPr>
          </w:p>
        </w:tc>
      </w:tr>
      <w:tr w14:paraId="2212928C">
        <w:tblPrEx>
          <w:tblCellMar>
            <w:top w:w="0" w:type="dxa"/>
            <w:left w:w="108" w:type="dxa"/>
            <w:bottom w:w="0" w:type="dxa"/>
            <w:right w:w="108" w:type="dxa"/>
          </w:tblCellMar>
        </w:tblPrEx>
        <w:trPr>
          <w:trHeight w:val="575"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53114E23">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3</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1E9900CE">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工程物探费</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396A1A7">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536FAC48">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2796.2</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5FD9D6E">
            <w:pPr>
              <w:keepNext w:val="0"/>
              <w:keepLines w:val="0"/>
              <w:widowControl/>
              <w:suppressLineNumbers w:val="0"/>
              <w:spacing w:before="0" w:beforeAutospacing="0" w:afterAutospacing="0"/>
              <w:ind w:left="0" w:right="0"/>
              <w:jc w:val="center"/>
              <w:rPr>
                <w:rFonts w:hint="default" w:ascii="Calibri" w:hAnsi="Calibri" w:cs="Times New Roman"/>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0015D47">
            <w:pPr>
              <w:keepNext w:val="0"/>
              <w:keepLines w:val="0"/>
              <w:widowControl/>
              <w:suppressLineNumbers w:val="0"/>
              <w:spacing w:before="0" w:beforeAutospacing="0" w:afterAutospacing="0"/>
              <w:ind w:left="0" w:right="0"/>
              <w:jc w:val="center"/>
              <w:rPr>
                <w:rFonts w:hint="default" w:ascii="Calibri" w:hAnsi="Calibri" w:cs="Times New Roman"/>
              </w:rPr>
            </w:pPr>
          </w:p>
        </w:tc>
        <w:tc>
          <w:tcPr>
            <w:tcW w:w="1298" w:type="dxa"/>
            <w:tcBorders>
              <w:top w:val="single" w:color="000000" w:sz="4" w:space="0"/>
              <w:left w:val="single" w:color="000000" w:sz="4" w:space="0"/>
              <w:bottom w:val="single" w:color="000000" w:sz="4" w:space="0"/>
              <w:right w:val="single" w:color="000000" w:sz="4" w:space="0"/>
            </w:tcBorders>
            <w:noWrap w:val="0"/>
            <w:vAlign w:val="center"/>
          </w:tcPr>
          <w:p w14:paraId="06301304">
            <w:pPr>
              <w:keepNext w:val="0"/>
              <w:keepLines w:val="0"/>
              <w:widowControl/>
              <w:suppressLineNumbers w:val="0"/>
              <w:spacing w:before="0" w:beforeAutospacing="0" w:afterAutospacing="0"/>
              <w:ind w:left="0" w:right="0"/>
              <w:jc w:val="center"/>
              <w:rPr>
                <w:rFonts w:hint="default" w:ascii="Calibri" w:hAnsi="Calibri" w:cs="Times New Roman"/>
              </w:rPr>
            </w:pPr>
          </w:p>
        </w:tc>
      </w:tr>
      <w:tr w14:paraId="5A3107EC">
        <w:tblPrEx>
          <w:tblCellMar>
            <w:top w:w="0" w:type="dxa"/>
            <w:left w:w="108" w:type="dxa"/>
            <w:bottom w:w="0" w:type="dxa"/>
            <w:right w:w="108" w:type="dxa"/>
          </w:tblCellMar>
        </w:tblPrEx>
        <w:trPr>
          <w:trHeight w:val="49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0DAAA61E">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4</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6478B460">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工程测量</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6CF50BF">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2BD14C23">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1</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0192824">
            <w:pPr>
              <w:keepNext w:val="0"/>
              <w:keepLines w:val="0"/>
              <w:widowControl/>
              <w:suppressLineNumbers w:val="0"/>
              <w:spacing w:before="0" w:beforeAutospacing="0" w:afterAutospacing="0"/>
              <w:ind w:left="0" w:right="0"/>
              <w:jc w:val="center"/>
              <w:rPr>
                <w:rFonts w:hint="default" w:ascii="Calibri" w:hAnsi="Calibri" w:cs="Times New Roman"/>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414CFE8">
            <w:pPr>
              <w:keepNext w:val="0"/>
              <w:keepLines w:val="0"/>
              <w:widowControl/>
              <w:suppressLineNumbers w:val="0"/>
              <w:spacing w:before="0" w:beforeAutospacing="0" w:afterAutospacing="0"/>
              <w:ind w:left="0" w:right="0"/>
              <w:jc w:val="center"/>
              <w:rPr>
                <w:rFonts w:hint="default" w:ascii="Calibri" w:hAnsi="Calibri" w:cs="Times New Roman"/>
              </w:rPr>
            </w:pPr>
          </w:p>
        </w:tc>
        <w:tc>
          <w:tcPr>
            <w:tcW w:w="1298" w:type="dxa"/>
            <w:tcBorders>
              <w:top w:val="single" w:color="000000" w:sz="4" w:space="0"/>
              <w:left w:val="single" w:color="000000" w:sz="4" w:space="0"/>
              <w:bottom w:val="single" w:color="000000" w:sz="4" w:space="0"/>
              <w:right w:val="single" w:color="000000" w:sz="4" w:space="0"/>
            </w:tcBorders>
            <w:noWrap w:val="0"/>
            <w:vAlign w:val="center"/>
          </w:tcPr>
          <w:p w14:paraId="36754C9A">
            <w:pPr>
              <w:keepNext w:val="0"/>
              <w:keepLines w:val="0"/>
              <w:widowControl/>
              <w:suppressLineNumbers w:val="0"/>
              <w:spacing w:before="0" w:beforeAutospacing="0" w:afterAutospacing="0"/>
              <w:ind w:left="0" w:right="0"/>
              <w:jc w:val="center"/>
              <w:rPr>
                <w:rFonts w:hint="default" w:ascii="Calibri" w:hAnsi="Calibri" w:cs="Times New Roman"/>
              </w:rPr>
            </w:pPr>
          </w:p>
        </w:tc>
      </w:tr>
      <w:tr w14:paraId="02898D9C">
        <w:tblPrEx>
          <w:tblCellMar>
            <w:top w:w="0" w:type="dxa"/>
            <w:left w:w="108" w:type="dxa"/>
            <w:bottom w:w="0" w:type="dxa"/>
            <w:right w:w="108" w:type="dxa"/>
          </w:tblCellMar>
        </w:tblPrEx>
        <w:trPr>
          <w:trHeight w:val="49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2079E774">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5</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2C7F383F">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抽水试验</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55A5239">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个</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13440ED0">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2</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1A07266A">
            <w:pPr>
              <w:keepNext w:val="0"/>
              <w:keepLines w:val="0"/>
              <w:widowControl/>
              <w:suppressLineNumbers w:val="0"/>
              <w:spacing w:before="0" w:beforeAutospacing="0" w:afterAutospacing="0"/>
              <w:ind w:left="0" w:right="0"/>
              <w:jc w:val="center"/>
              <w:rPr>
                <w:rFonts w:hint="default" w:ascii="Calibri" w:hAnsi="Calibri" w:cs="Times New Roman"/>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8A5B831">
            <w:pPr>
              <w:keepNext w:val="0"/>
              <w:keepLines w:val="0"/>
              <w:widowControl/>
              <w:suppressLineNumbers w:val="0"/>
              <w:spacing w:before="0" w:beforeAutospacing="0" w:afterAutospacing="0"/>
              <w:ind w:left="0" w:right="0"/>
              <w:jc w:val="center"/>
              <w:rPr>
                <w:rFonts w:hint="default" w:ascii="Calibri" w:hAnsi="Calibri" w:cs="Times New Roman"/>
              </w:rPr>
            </w:pPr>
          </w:p>
        </w:tc>
        <w:tc>
          <w:tcPr>
            <w:tcW w:w="1298" w:type="dxa"/>
            <w:tcBorders>
              <w:top w:val="single" w:color="000000" w:sz="4" w:space="0"/>
              <w:left w:val="single" w:color="000000" w:sz="4" w:space="0"/>
              <w:bottom w:val="single" w:color="000000" w:sz="4" w:space="0"/>
              <w:right w:val="single" w:color="000000" w:sz="4" w:space="0"/>
            </w:tcBorders>
            <w:noWrap w:val="0"/>
            <w:vAlign w:val="center"/>
          </w:tcPr>
          <w:p w14:paraId="06998954">
            <w:pPr>
              <w:keepNext w:val="0"/>
              <w:keepLines w:val="0"/>
              <w:widowControl/>
              <w:suppressLineNumbers w:val="0"/>
              <w:spacing w:before="0" w:beforeAutospacing="0" w:afterAutospacing="0"/>
              <w:ind w:left="0" w:right="0"/>
              <w:jc w:val="center"/>
              <w:rPr>
                <w:rFonts w:hint="default" w:ascii="Calibri" w:hAnsi="Calibri" w:cs="Times New Roman"/>
              </w:rPr>
            </w:pPr>
          </w:p>
        </w:tc>
      </w:tr>
      <w:tr w14:paraId="4FEC380A">
        <w:tblPrEx>
          <w:tblCellMar>
            <w:top w:w="0" w:type="dxa"/>
            <w:left w:w="108" w:type="dxa"/>
            <w:bottom w:w="0" w:type="dxa"/>
            <w:right w:w="108" w:type="dxa"/>
          </w:tblCellMar>
        </w:tblPrEx>
        <w:trPr>
          <w:trHeight w:val="49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46CB6151">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6</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62ADA6E4">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剪切波速</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52B8BB7">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个</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037C4A57">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2</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038F67C">
            <w:pPr>
              <w:keepNext w:val="0"/>
              <w:keepLines w:val="0"/>
              <w:widowControl/>
              <w:suppressLineNumbers w:val="0"/>
              <w:spacing w:before="0" w:beforeAutospacing="0" w:afterAutospacing="0"/>
              <w:ind w:left="0" w:right="0"/>
              <w:jc w:val="center"/>
              <w:rPr>
                <w:rFonts w:hint="default" w:ascii="Calibri" w:hAnsi="Calibri" w:cs="Times New Roman"/>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E248F46">
            <w:pPr>
              <w:keepNext w:val="0"/>
              <w:keepLines w:val="0"/>
              <w:widowControl/>
              <w:suppressLineNumbers w:val="0"/>
              <w:spacing w:before="0" w:beforeAutospacing="0" w:afterAutospacing="0"/>
              <w:ind w:left="0" w:right="0"/>
              <w:jc w:val="center"/>
              <w:rPr>
                <w:rFonts w:hint="default" w:ascii="Calibri" w:hAnsi="Calibri" w:cs="Times New Roman"/>
              </w:rPr>
            </w:pPr>
          </w:p>
        </w:tc>
        <w:tc>
          <w:tcPr>
            <w:tcW w:w="1298" w:type="dxa"/>
            <w:tcBorders>
              <w:top w:val="single" w:color="000000" w:sz="4" w:space="0"/>
              <w:left w:val="single" w:color="000000" w:sz="4" w:space="0"/>
              <w:bottom w:val="single" w:color="000000" w:sz="4" w:space="0"/>
              <w:right w:val="single" w:color="000000" w:sz="4" w:space="0"/>
            </w:tcBorders>
            <w:noWrap w:val="0"/>
            <w:vAlign w:val="center"/>
          </w:tcPr>
          <w:p w14:paraId="35575B7D">
            <w:pPr>
              <w:keepNext w:val="0"/>
              <w:keepLines w:val="0"/>
              <w:widowControl/>
              <w:suppressLineNumbers w:val="0"/>
              <w:spacing w:before="0" w:beforeAutospacing="0" w:afterAutospacing="0"/>
              <w:ind w:left="0" w:right="0"/>
              <w:jc w:val="center"/>
              <w:rPr>
                <w:rFonts w:hint="default" w:ascii="Calibri" w:hAnsi="Calibri" w:cs="Times New Roman"/>
              </w:rPr>
            </w:pPr>
          </w:p>
        </w:tc>
      </w:tr>
      <w:tr w14:paraId="4772408A">
        <w:tblPrEx>
          <w:tblCellMar>
            <w:top w:w="0" w:type="dxa"/>
            <w:left w:w="108" w:type="dxa"/>
            <w:bottom w:w="0" w:type="dxa"/>
            <w:right w:w="108" w:type="dxa"/>
          </w:tblCellMar>
        </w:tblPrEx>
        <w:trPr>
          <w:trHeight w:val="545"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690EA9CA">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7</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41BD3EA8">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土壤氡浓度测试</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A08AE50">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51617253">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50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518FFCD">
            <w:pPr>
              <w:keepNext w:val="0"/>
              <w:keepLines w:val="0"/>
              <w:widowControl/>
              <w:suppressLineNumbers w:val="0"/>
              <w:spacing w:before="0" w:beforeAutospacing="0" w:afterAutospacing="0"/>
              <w:ind w:left="0" w:right="0"/>
              <w:jc w:val="center"/>
              <w:rPr>
                <w:rFonts w:hint="default" w:ascii="Calibri" w:hAnsi="Calibri" w:cs="Times New Roman"/>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617118C">
            <w:pPr>
              <w:keepNext w:val="0"/>
              <w:keepLines w:val="0"/>
              <w:widowControl/>
              <w:suppressLineNumbers w:val="0"/>
              <w:spacing w:before="0" w:beforeAutospacing="0" w:afterAutospacing="0"/>
              <w:ind w:left="0" w:right="0"/>
              <w:jc w:val="center"/>
              <w:rPr>
                <w:rFonts w:hint="default" w:ascii="Calibri" w:hAnsi="Calibri" w:cs="Times New Roman"/>
              </w:rPr>
            </w:pPr>
          </w:p>
        </w:tc>
        <w:tc>
          <w:tcPr>
            <w:tcW w:w="1298" w:type="dxa"/>
            <w:tcBorders>
              <w:top w:val="single" w:color="000000" w:sz="4" w:space="0"/>
              <w:left w:val="single" w:color="000000" w:sz="4" w:space="0"/>
              <w:bottom w:val="single" w:color="000000" w:sz="4" w:space="0"/>
              <w:right w:val="single" w:color="000000" w:sz="4" w:space="0"/>
            </w:tcBorders>
            <w:noWrap w:val="0"/>
            <w:vAlign w:val="center"/>
          </w:tcPr>
          <w:p w14:paraId="1679B871">
            <w:pPr>
              <w:keepNext w:val="0"/>
              <w:keepLines w:val="0"/>
              <w:widowControl/>
              <w:suppressLineNumbers w:val="0"/>
              <w:spacing w:before="0" w:beforeAutospacing="0" w:afterAutospacing="0"/>
              <w:ind w:left="0" w:right="0"/>
              <w:jc w:val="center"/>
              <w:rPr>
                <w:rFonts w:hint="default" w:ascii="Calibri" w:hAnsi="Calibri" w:cs="Times New Roman"/>
              </w:rPr>
            </w:pPr>
          </w:p>
        </w:tc>
      </w:tr>
      <w:tr w14:paraId="4767A8F9">
        <w:tblPrEx>
          <w:tblCellMar>
            <w:top w:w="0" w:type="dxa"/>
            <w:left w:w="108" w:type="dxa"/>
            <w:bottom w:w="0" w:type="dxa"/>
            <w:right w:w="108" w:type="dxa"/>
          </w:tblCellMar>
        </w:tblPrEx>
        <w:trPr>
          <w:trHeight w:val="475"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504F083B">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8</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04C252A2">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噪声测试</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C228713">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点</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24290988">
            <w:pPr>
              <w:keepNext w:val="0"/>
              <w:keepLines w:val="0"/>
              <w:widowControl/>
              <w:suppressLineNumbers w:val="0"/>
              <w:spacing w:before="0" w:beforeAutospacing="0" w:afterAutospacing="0"/>
              <w:ind w:left="0" w:right="0"/>
              <w:jc w:val="center"/>
              <w:rPr>
                <w:rFonts w:hint="default" w:ascii="Calibri" w:hAnsi="Calibri" w:cs="Times New Roman"/>
              </w:rPr>
            </w:pPr>
            <w:r>
              <w:rPr>
                <w:rFonts w:hint="eastAsia" w:ascii="Calibri" w:hAnsi="Calibri" w:cs="Times New Roman"/>
              </w:rPr>
              <w:t>4</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BDD58EA">
            <w:pPr>
              <w:keepNext w:val="0"/>
              <w:keepLines w:val="0"/>
              <w:widowControl/>
              <w:suppressLineNumbers w:val="0"/>
              <w:spacing w:before="0" w:beforeAutospacing="0" w:afterAutospacing="0"/>
              <w:ind w:left="0" w:right="0"/>
              <w:jc w:val="center"/>
              <w:rPr>
                <w:rFonts w:hint="default" w:ascii="Calibri" w:hAnsi="Calibri" w:cs="Times New Roman"/>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3A7EB17">
            <w:pPr>
              <w:keepNext w:val="0"/>
              <w:keepLines w:val="0"/>
              <w:widowControl/>
              <w:suppressLineNumbers w:val="0"/>
              <w:spacing w:before="0" w:beforeAutospacing="0" w:afterAutospacing="0"/>
              <w:ind w:left="0" w:right="0"/>
              <w:jc w:val="center"/>
              <w:rPr>
                <w:rFonts w:hint="default" w:ascii="Calibri" w:hAnsi="Calibri" w:cs="Times New Roman"/>
              </w:rPr>
            </w:pPr>
          </w:p>
        </w:tc>
        <w:tc>
          <w:tcPr>
            <w:tcW w:w="1298" w:type="dxa"/>
            <w:tcBorders>
              <w:top w:val="single" w:color="000000" w:sz="4" w:space="0"/>
              <w:left w:val="single" w:color="000000" w:sz="4" w:space="0"/>
              <w:bottom w:val="single" w:color="000000" w:sz="4" w:space="0"/>
              <w:right w:val="single" w:color="000000" w:sz="4" w:space="0"/>
            </w:tcBorders>
            <w:noWrap w:val="0"/>
            <w:vAlign w:val="center"/>
          </w:tcPr>
          <w:p w14:paraId="01915ADB">
            <w:pPr>
              <w:keepNext w:val="0"/>
              <w:keepLines w:val="0"/>
              <w:widowControl/>
              <w:suppressLineNumbers w:val="0"/>
              <w:spacing w:before="0" w:beforeAutospacing="0" w:afterAutospacing="0"/>
              <w:ind w:left="0" w:right="0"/>
              <w:jc w:val="center"/>
              <w:rPr>
                <w:rFonts w:hint="default" w:ascii="Calibri" w:hAnsi="Calibri" w:cs="Times New Roman"/>
              </w:rPr>
            </w:pPr>
          </w:p>
        </w:tc>
      </w:tr>
      <w:tr w14:paraId="5294FCC2">
        <w:tblPrEx>
          <w:tblCellMar>
            <w:top w:w="0" w:type="dxa"/>
            <w:left w:w="108" w:type="dxa"/>
            <w:bottom w:w="0" w:type="dxa"/>
            <w:right w:w="108" w:type="dxa"/>
          </w:tblCellMar>
        </w:tblPrEx>
        <w:trPr>
          <w:trHeight w:val="88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1710DE8E">
            <w:pPr>
              <w:keepNext w:val="0"/>
              <w:keepLines w:val="0"/>
              <w:widowControl/>
              <w:suppressLineNumbers w:val="0"/>
              <w:spacing w:before="0" w:beforeAutospacing="0" w:afterAutospacing="0"/>
              <w:ind w:left="0" w:right="0"/>
              <w:jc w:val="center"/>
              <w:rPr>
                <w:rFonts w:hint="eastAsia" w:ascii="Calibri" w:hAnsi="Calibri" w:cs="Times New Roman"/>
              </w:rPr>
            </w:pPr>
            <w:r>
              <w:rPr>
                <w:rFonts w:hint="eastAsia" w:ascii="Calibri" w:hAnsi="Calibri" w:cs="Times New Roman"/>
              </w:rPr>
              <w:t>9</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15B6745D">
            <w:pPr>
              <w:keepNext w:val="0"/>
              <w:keepLines w:val="0"/>
              <w:widowControl/>
              <w:suppressLineNumbers w:val="0"/>
              <w:spacing w:before="0" w:beforeAutospacing="0" w:afterAutospacing="0"/>
              <w:ind w:left="0" w:right="0"/>
              <w:jc w:val="center"/>
              <w:rPr>
                <w:rFonts w:hint="eastAsia" w:ascii="Calibri" w:hAnsi="Calibri" w:cs="Times New Roman"/>
              </w:rPr>
            </w:pPr>
            <w:r>
              <w:rPr>
                <w:rFonts w:hint="eastAsia" w:ascii="Calibri" w:hAnsi="Calibri" w:cs="Times New Roman"/>
              </w:rPr>
              <w:t>勘察费小计(元)</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28C215B">
            <w:pPr>
              <w:keepNext w:val="0"/>
              <w:keepLines w:val="0"/>
              <w:widowControl/>
              <w:suppressLineNumbers w:val="0"/>
              <w:spacing w:before="0" w:beforeAutospacing="0" w:afterAutospacing="0"/>
              <w:ind w:left="0" w:right="0"/>
              <w:jc w:val="center"/>
              <w:rPr>
                <w:rFonts w:hint="eastAsia" w:ascii="Calibri" w:hAnsi="Calibri" w:cs="Times New Roman"/>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5AAA0ECA">
            <w:pPr>
              <w:keepNext w:val="0"/>
              <w:keepLines w:val="0"/>
              <w:widowControl/>
              <w:suppressLineNumbers w:val="0"/>
              <w:spacing w:before="0" w:beforeAutospacing="0" w:afterAutospacing="0"/>
              <w:ind w:left="0" w:right="0"/>
              <w:jc w:val="center"/>
              <w:rPr>
                <w:rFonts w:hint="eastAsia" w:ascii="Calibri" w:hAnsi="Calibri" w:cs="Times New Roman"/>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565D9D2E">
            <w:pPr>
              <w:keepNext w:val="0"/>
              <w:keepLines w:val="0"/>
              <w:widowControl/>
              <w:suppressLineNumbers w:val="0"/>
              <w:spacing w:before="0" w:beforeAutospacing="0" w:afterAutospacing="0"/>
              <w:ind w:left="0" w:right="0"/>
              <w:jc w:val="center"/>
              <w:rPr>
                <w:rFonts w:hint="default" w:ascii="Calibri" w:hAnsi="Calibri" w:cs="Times New Roman"/>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831AC53">
            <w:pPr>
              <w:keepNext w:val="0"/>
              <w:keepLines w:val="0"/>
              <w:widowControl/>
              <w:suppressLineNumbers w:val="0"/>
              <w:spacing w:before="0" w:beforeAutospacing="0" w:afterAutospacing="0"/>
              <w:ind w:left="0" w:right="0"/>
              <w:jc w:val="center"/>
              <w:rPr>
                <w:rFonts w:hint="default" w:ascii="Calibri" w:hAnsi="Calibri" w:cs="Times New Roman"/>
              </w:rPr>
            </w:pPr>
          </w:p>
        </w:tc>
        <w:tc>
          <w:tcPr>
            <w:tcW w:w="1298" w:type="dxa"/>
            <w:tcBorders>
              <w:top w:val="single" w:color="000000" w:sz="4" w:space="0"/>
              <w:left w:val="single" w:color="000000" w:sz="4" w:space="0"/>
              <w:bottom w:val="single" w:color="000000" w:sz="4" w:space="0"/>
              <w:right w:val="single" w:color="000000" w:sz="4" w:space="0"/>
            </w:tcBorders>
            <w:noWrap w:val="0"/>
            <w:vAlign w:val="center"/>
          </w:tcPr>
          <w:p w14:paraId="26480A94">
            <w:pPr>
              <w:keepNext w:val="0"/>
              <w:keepLines w:val="0"/>
              <w:widowControl/>
              <w:suppressLineNumbers w:val="0"/>
              <w:spacing w:before="0" w:beforeAutospacing="0" w:afterAutospacing="0"/>
              <w:ind w:left="0" w:right="0"/>
              <w:jc w:val="center"/>
              <w:rPr>
                <w:rFonts w:hint="default" w:ascii="Calibri" w:hAnsi="Calibri" w:cs="Times New Roman"/>
              </w:rPr>
            </w:pPr>
          </w:p>
        </w:tc>
      </w:tr>
    </w:tbl>
    <w:p w14:paraId="40C91197">
      <w:bookmarkStart w:id="342" w:name="OLE_LINK3"/>
      <w:bookmarkStart w:id="343" w:name="OLE_LINK2"/>
      <w:r>
        <w:rPr>
          <w:rFonts w:hint="eastAsia"/>
        </w:rPr>
        <w:t>注：1、勘察费各单项投标报价的单价与数量的乘积和合计不一致的，以单价为准，各项单价投标报价精确到小数点后两位。勘察费各项投标报价超过其单价最高投标限价及总价最高投标限价的为无效标，各单价最高投标限价及总价最高投标限价以《勘察费最高限价表》及分项报价表列明为准。</w:t>
      </w:r>
    </w:p>
    <w:p w14:paraId="627FA186">
      <w:r>
        <w:rPr>
          <w:rFonts w:hint="eastAsia"/>
        </w:rPr>
        <w:t>2、投标人应注意元及万元的填写要求，勘察费投标报价小计精确到分位。</w:t>
      </w:r>
      <w:bookmarkEnd w:id="342"/>
      <w:bookmarkEnd w:id="343"/>
    </w:p>
    <w:p w14:paraId="7AA69F51">
      <w:pPr>
        <w:rPr>
          <w:lang w:val="zh-CN"/>
        </w:rPr>
      </w:pPr>
      <w:r>
        <w:rPr>
          <w:rFonts w:hint="eastAsia"/>
          <w:lang w:val="zh-CN"/>
        </w:rPr>
        <w:t xml:space="preserve">                           投标人：</w:t>
      </w:r>
      <w:r>
        <w:rPr>
          <w:rFonts w:hint="eastAsia"/>
        </w:rPr>
        <w:t xml:space="preserve">      </w:t>
      </w:r>
      <w:r>
        <w:rPr>
          <w:rFonts w:hint="eastAsia"/>
          <w:lang w:val="zh-CN"/>
        </w:rPr>
        <w:t xml:space="preserve">(盖公章) </w:t>
      </w:r>
    </w:p>
    <w:p w14:paraId="53D72234">
      <w:r>
        <w:rPr>
          <w:rFonts w:hint="eastAsia"/>
        </w:rPr>
        <w:t xml:space="preserve">                              </w:t>
      </w:r>
      <w:r>
        <w:rPr>
          <w:rFonts w:hint="eastAsia"/>
          <w:lang w:val="zh-CN"/>
        </w:rPr>
        <w:t>日期：</w:t>
      </w:r>
      <w:r>
        <w:rPr>
          <w:rFonts w:hint="eastAsia"/>
        </w:rPr>
        <w:t xml:space="preserve">   </w:t>
      </w:r>
      <w:r>
        <w:rPr>
          <w:rFonts w:hint="eastAsia"/>
          <w:lang w:val="zh-CN"/>
        </w:rPr>
        <w:t>年</w:t>
      </w:r>
      <w:r>
        <w:rPr>
          <w:rFonts w:hint="eastAsia"/>
        </w:rPr>
        <w:t xml:space="preserve">   </w:t>
      </w:r>
      <w:r>
        <w:rPr>
          <w:rFonts w:hint="eastAsia"/>
          <w:lang w:val="zh-CN"/>
        </w:rPr>
        <w:t>月</w:t>
      </w:r>
      <w:r>
        <w:rPr>
          <w:rFonts w:hint="eastAsia"/>
        </w:rPr>
        <w:t xml:space="preserve">   </w:t>
      </w:r>
      <w:r>
        <w:rPr>
          <w:rFonts w:hint="eastAsia"/>
          <w:lang w:val="zh-CN"/>
        </w:rPr>
        <w:t>日</w:t>
      </w:r>
    </w:p>
    <w:p w14:paraId="6DB5C0B6">
      <w:pPr>
        <w:pStyle w:val="17"/>
        <w:ind w:firstLine="480"/>
      </w:pPr>
    </w:p>
    <w:p w14:paraId="5BD78296">
      <w:pPr>
        <w:pStyle w:val="17"/>
        <w:ind w:firstLine="480"/>
      </w:pPr>
    </w:p>
    <w:p w14:paraId="39E148E6">
      <w:pPr>
        <w:pStyle w:val="17"/>
        <w:ind w:firstLine="480"/>
      </w:pPr>
    </w:p>
    <w:p w14:paraId="2276B323">
      <w:pPr>
        <w:pStyle w:val="17"/>
        <w:ind w:firstLine="480"/>
      </w:pPr>
    </w:p>
    <w:p w14:paraId="0783B675">
      <w:pPr>
        <w:pStyle w:val="17"/>
        <w:ind w:firstLine="480"/>
      </w:pPr>
    </w:p>
    <w:p w14:paraId="3B07197E">
      <w:pPr>
        <w:pStyle w:val="17"/>
        <w:ind w:firstLine="480"/>
      </w:pPr>
    </w:p>
    <w:p w14:paraId="0753F6AD">
      <w:pPr>
        <w:pStyle w:val="17"/>
        <w:ind w:firstLine="480"/>
      </w:pPr>
    </w:p>
    <w:p w14:paraId="1648A800">
      <w:pPr>
        <w:pStyle w:val="17"/>
        <w:ind w:firstLine="480"/>
      </w:pPr>
    </w:p>
    <w:p w14:paraId="7381A397">
      <w:pPr>
        <w:pStyle w:val="17"/>
        <w:ind w:firstLine="480"/>
      </w:pPr>
    </w:p>
    <w:p w14:paraId="3F6CA1CF">
      <w:pPr>
        <w:pStyle w:val="17"/>
        <w:ind w:firstLine="480"/>
      </w:pPr>
    </w:p>
    <w:p w14:paraId="617328D6">
      <w:pPr>
        <w:pStyle w:val="17"/>
        <w:ind w:firstLine="480"/>
      </w:pPr>
    </w:p>
    <w:p w14:paraId="0CA1B174">
      <w:pPr>
        <w:rPr>
          <w:rFonts w:hint="eastAsia" w:ascii="宋体" w:hAnsi="宋体" w:eastAsia="宋体"/>
          <w:color w:val="auto"/>
          <w:szCs w:val="21"/>
        </w:rPr>
      </w:pPr>
      <w:r>
        <w:rPr>
          <w:rFonts w:ascii="宋体" w:hAnsi="宋体" w:eastAsia="宋体"/>
          <w:color w:val="auto"/>
          <w:sz w:val="21"/>
        </w:rPr>
        <w:t xml:space="preserve"> </w:t>
      </w:r>
      <w:r>
        <w:rPr>
          <w:rFonts w:hint="eastAsia" w:ascii="宋体" w:hAnsi="宋体"/>
          <w:b/>
          <w:bCs/>
          <w:color w:val="auto"/>
          <w:szCs w:val="21"/>
        </w:rPr>
        <w:t>附录</w:t>
      </w:r>
      <w:r>
        <w:rPr>
          <w:rFonts w:hint="eastAsia" w:ascii="宋体" w:hAnsi="宋体" w:eastAsia="宋体"/>
          <w:b/>
          <w:bCs/>
          <w:color w:val="auto"/>
          <w:szCs w:val="21"/>
        </w:rPr>
        <w:t>5：投标人完成过的项目业绩</w:t>
      </w:r>
    </w:p>
    <w:p w14:paraId="4EDE8B04">
      <w:pPr>
        <w:jc w:val="center"/>
        <w:rPr>
          <w:rFonts w:hint="eastAsia" w:ascii="宋体" w:hAnsi="宋体"/>
          <w:b/>
          <w:bCs/>
          <w:color w:val="auto"/>
          <w:sz w:val="32"/>
          <w:szCs w:val="32"/>
        </w:rPr>
      </w:pPr>
    </w:p>
    <w:p w14:paraId="67E1545B">
      <w:pPr>
        <w:jc w:val="center"/>
        <w:rPr>
          <w:rFonts w:ascii="宋体" w:hAnsi="宋体" w:eastAsia="宋体"/>
          <w:b/>
          <w:bCs/>
          <w:color w:val="auto"/>
          <w:sz w:val="28"/>
          <w:szCs w:val="28"/>
        </w:rPr>
      </w:pPr>
      <w:r>
        <w:rPr>
          <w:rFonts w:hint="eastAsia" w:ascii="宋体" w:hAnsi="宋体"/>
          <w:b/>
          <w:bCs/>
          <w:color w:val="auto"/>
          <w:sz w:val="28"/>
          <w:szCs w:val="28"/>
        </w:rPr>
        <w:t>投标人</w:t>
      </w:r>
      <w:r>
        <w:rPr>
          <w:rFonts w:hint="eastAsia" w:ascii="宋体" w:hAnsi="宋体" w:eastAsia="宋体"/>
          <w:b/>
          <w:bCs/>
          <w:color w:val="auto"/>
          <w:sz w:val="28"/>
          <w:szCs w:val="28"/>
        </w:rPr>
        <w:t>承接过的</w:t>
      </w:r>
      <w:r>
        <w:rPr>
          <w:rFonts w:hint="eastAsia" w:ascii="宋体" w:hAnsi="宋体"/>
          <w:b/>
          <w:bCs/>
          <w:color w:val="auto"/>
          <w:sz w:val="28"/>
          <w:szCs w:val="28"/>
        </w:rPr>
        <w:t>项目</w:t>
      </w:r>
      <w:r>
        <w:rPr>
          <w:rFonts w:hint="eastAsia" w:ascii="宋体" w:hAnsi="宋体" w:eastAsia="宋体"/>
          <w:b/>
          <w:bCs/>
          <w:color w:val="auto"/>
          <w:sz w:val="28"/>
          <w:szCs w:val="28"/>
        </w:rPr>
        <w:t>业绩</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1824"/>
        <w:gridCol w:w="1824"/>
        <w:gridCol w:w="1824"/>
        <w:gridCol w:w="1824"/>
      </w:tblGrid>
      <w:tr w14:paraId="1689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822" w:type="dxa"/>
            <w:noWrap w:val="0"/>
            <w:vAlign w:val="center"/>
          </w:tcPr>
          <w:p w14:paraId="30ECFD48">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r>
              <w:rPr>
                <w:rFonts w:hint="eastAsia" w:ascii="宋体" w:hAnsi="宋体" w:cs="Times New Roman"/>
                <w:color w:val="auto"/>
                <w:sz w:val="21"/>
                <w:szCs w:val="21"/>
              </w:rPr>
              <w:t>项目</w:t>
            </w:r>
            <w:r>
              <w:rPr>
                <w:rFonts w:hint="eastAsia" w:ascii="宋体" w:hAnsi="宋体" w:eastAsia="宋体" w:cs="Times New Roman"/>
                <w:color w:val="auto"/>
                <w:sz w:val="21"/>
                <w:szCs w:val="21"/>
              </w:rPr>
              <w:t>名称</w:t>
            </w:r>
          </w:p>
        </w:tc>
        <w:tc>
          <w:tcPr>
            <w:tcW w:w="1824" w:type="dxa"/>
            <w:noWrap w:val="0"/>
            <w:vAlign w:val="center"/>
          </w:tcPr>
          <w:p w14:paraId="0D294AF6">
            <w:pPr>
              <w:keepNext w:val="0"/>
              <w:keepLines w:val="0"/>
              <w:widowControl/>
              <w:suppressLineNumbers w:val="0"/>
              <w:spacing w:before="0" w:beforeAutospacing="0" w:afterAutospacing="0"/>
              <w:ind w:left="0" w:right="0"/>
              <w:jc w:val="center"/>
              <w:rPr>
                <w:rFonts w:hint="eastAsia" w:ascii="宋体" w:hAnsi="宋体" w:eastAsia="宋体" w:cs="Times New Roman"/>
                <w:color w:val="auto"/>
                <w:sz w:val="21"/>
                <w:szCs w:val="21"/>
              </w:rPr>
            </w:pPr>
            <w:r>
              <w:rPr>
                <w:rFonts w:hint="eastAsia" w:ascii="宋体" w:hAnsi="宋体" w:cs="Times New Roman"/>
                <w:color w:val="auto"/>
                <w:sz w:val="21"/>
                <w:szCs w:val="21"/>
              </w:rPr>
              <w:t>业主单位</w:t>
            </w:r>
          </w:p>
        </w:tc>
        <w:tc>
          <w:tcPr>
            <w:tcW w:w="1824" w:type="dxa"/>
            <w:noWrap w:val="0"/>
            <w:vAlign w:val="center"/>
          </w:tcPr>
          <w:p w14:paraId="2C2A8E8D">
            <w:pPr>
              <w:keepNext w:val="0"/>
              <w:keepLines w:val="0"/>
              <w:widowControl/>
              <w:suppressLineNumbers w:val="0"/>
              <w:spacing w:before="0" w:beforeAutospacing="0" w:afterAutospacing="0"/>
              <w:ind w:left="0" w:right="0"/>
              <w:jc w:val="center"/>
              <w:rPr>
                <w:rFonts w:hint="eastAsia" w:ascii="宋体" w:hAnsi="宋体" w:eastAsia="宋体" w:cs="Times New Roman"/>
                <w:color w:val="auto"/>
                <w:sz w:val="21"/>
                <w:szCs w:val="21"/>
              </w:rPr>
            </w:pPr>
            <w:r>
              <w:rPr>
                <w:rFonts w:hint="eastAsia" w:ascii="宋体" w:hAnsi="宋体" w:eastAsia="宋体" w:cs="Times New Roman"/>
                <w:color w:val="auto"/>
                <w:sz w:val="21"/>
                <w:szCs w:val="21"/>
              </w:rPr>
              <w:t>合同金额</w:t>
            </w:r>
          </w:p>
          <w:p w14:paraId="132E133E">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r>
              <w:rPr>
                <w:rFonts w:hint="eastAsia" w:ascii="宋体" w:hAnsi="宋体" w:eastAsia="宋体" w:cs="Times New Roman"/>
                <w:color w:val="auto"/>
                <w:sz w:val="21"/>
                <w:szCs w:val="21"/>
              </w:rPr>
              <w:t>（万元）</w:t>
            </w:r>
          </w:p>
        </w:tc>
        <w:tc>
          <w:tcPr>
            <w:tcW w:w="1824" w:type="dxa"/>
            <w:noWrap w:val="0"/>
            <w:vAlign w:val="center"/>
          </w:tcPr>
          <w:p w14:paraId="6830FA38">
            <w:pPr>
              <w:keepNext w:val="0"/>
              <w:keepLines w:val="0"/>
              <w:widowControl/>
              <w:suppressLineNumbers w:val="0"/>
              <w:spacing w:before="0" w:beforeAutospacing="0" w:afterAutospacing="0"/>
              <w:ind w:left="0" w:right="0"/>
              <w:jc w:val="center"/>
              <w:rPr>
                <w:rFonts w:hint="default" w:ascii="宋体" w:hAnsi="宋体" w:eastAsia="宋体" w:cs="Times New Roman"/>
                <w:color w:val="auto"/>
                <w:sz w:val="21"/>
                <w:szCs w:val="21"/>
              </w:rPr>
            </w:pPr>
            <w:r>
              <w:rPr>
                <w:rFonts w:hint="eastAsia" w:ascii="宋体" w:hAnsi="宋体" w:eastAsia="宋体" w:cs="Times New Roman"/>
                <w:color w:val="auto"/>
                <w:sz w:val="21"/>
                <w:szCs w:val="21"/>
              </w:rPr>
              <w:t>完成</w:t>
            </w:r>
            <w:r>
              <w:rPr>
                <w:rFonts w:hint="eastAsia" w:ascii="宋体" w:hAnsi="宋体" w:cs="Times New Roman"/>
                <w:color w:val="auto"/>
                <w:sz w:val="21"/>
                <w:szCs w:val="21"/>
              </w:rPr>
              <w:t>时间</w:t>
            </w:r>
          </w:p>
        </w:tc>
        <w:tc>
          <w:tcPr>
            <w:tcW w:w="1824" w:type="dxa"/>
            <w:noWrap w:val="0"/>
            <w:vAlign w:val="center"/>
          </w:tcPr>
          <w:p w14:paraId="587E2463">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r>
              <w:rPr>
                <w:rFonts w:hint="eastAsia" w:ascii="宋体" w:hAnsi="宋体" w:cs="Times New Roman"/>
                <w:color w:val="auto"/>
                <w:sz w:val="21"/>
                <w:szCs w:val="21"/>
              </w:rPr>
              <w:t>备注</w:t>
            </w:r>
          </w:p>
        </w:tc>
      </w:tr>
      <w:tr w14:paraId="2E67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822" w:type="dxa"/>
            <w:noWrap w:val="0"/>
            <w:vAlign w:val="center"/>
          </w:tcPr>
          <w:p w14:paraId="60D18974">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32F316FE">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6E72E68D">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1328A630">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7A593BC7">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r>
      <w:tr w14:paraId="29F1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822" w:type="dxa"/>
            <w:noWrap w:val="0"/>
            <w:vAlign w:val="center"/>
          </w:tcPr>
          <w:p w14:paraId="09A1548F">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3703434A">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06DAAF6A">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6021FE4D">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02143DF8">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r>
      <w:tr w14:paraId="0AF9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822" w:type="dxa"/>
            <w:noWrap w:val="0"/>
            <w:vAlign w:val="center"/>
          </w:tcPr>
          <w:p w14:paraId="638747C3">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4E6B1AC4">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39A334FB">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42BF7A21">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75D9E763">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r>
      <w:tr w14:paraId="3C44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822" w:type="dxa"/>
            <w:noWrap w:val="0"/>
            <w:vAlign w:val="center"/>
          </w:tcPr>
          <w:p w14:paraId="61B71D09">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5A9F8A6C">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2C65D40F">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02AFC86C">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40DA0BFB">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r>
      <w:tr w14:paraId="6080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822" w:type="dxa"/>
            <w:noWrap w:val="0"/>
            <w:vAlign w:val="center"/>
          </w:tcPr>
          <w:p w14:paraId="6F8EEFB6">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35A2654A">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7CFB65FA">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1BA43192">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38BD1A73">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r>
      <w:tr w14:paraId="7334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822" w:type="dxa"/>
            <w:noWrap w:val="0"/>
            <w:vAlign w:val="center"/>
          </w:tcPr>
          <w:p w14:paraId="657C11A6">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4D231540">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6DAE590B">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478D1EBD">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c>
          <w:tcPr>
            <w:tcW w:w="1824" w:type="dxa"/>
            <w:noWrap w:val="0"/>
            <w:vAlign w:val="center"/>
          </w:tcPr>
          <w:p w14:paraId="2C516247">
            <w:pPr>
              <w:keepNext w:val="0"/>
              <w:keepLines w:val="0"/>
              <w:widowControl/>
              <w:suppressLineNumbers w:val="0"/>
              <w:spacing w:before="0" w:beforeAutospacing="0" w:afterAutospacing="0"/>
              <w:ind w:left="0" w:right="0"/>
              <w:jc w:val="center"/>
              <w:rPr>
                <w:rFonts w:hint="default" w:ascii="宋体" w:hAnsi="宋体" w:cs="Times New Roman"/>
                <w:color w:val="auto"/>
                <w:sz w:val="21"/>
                <w:szCs w:val="21"/>
              </w:rPr>
            </w:pPr>
          </w:p>
        </w:tc>
      </w:tr>
    </w:tbl>
    <w:p w14:paraId="16AD7F9F">
      <w:pPr>
        <w:spacing w:after="0" w:line="240" w:lineRule="auto"/>
        <w:jc w:val="both"/>
        <w:rPr>
          <w:rFonts w:eastAsia="宋体"/>
          <w:color w:val="auto"/>
        </w:rPr>
      </w:pPr>
      <w:r>
        <w:rPr>
          <w:rFonts w:hint="eastAsia" w:ascii="宋体" w:hAnsi="宋体"/>
          <w:color w:val="auto"/>
          <w:sz w:val="21"/>
          <w:szCs w:val="21"/>
        </w:rPr>
        <w:t>注：</w:t>
      </w:r>
      <w:r>
        <w:rPr>
          <w:rFonts w:hint="eastAsia" w:ascii="宋体" w:hAnsi="宋体" w:eastAsia="宋体"/>
        </w:rPr>
        <w:t>需根据评分表备注的评审评分材料要求提供相应证明材料。</w:t>
      </w:r>
    </w:p>
    <w:p w14:paraId="38559020">
      <w:pPr>
        <w:spacing w:line="360" w:lineRule="auto"/>
        <w:rPr>
          <w:rFonts w:hAnsi="宋体"/>
          <w:color w:val="auto"/>
        </w:rPr>
      </w:pPr>
    </w:p>
    <w:p w14:paraId="5E7711F4">
      <w:pPr>
        <w:spacing w:line="360" w:lineRule="auto"/>
        <w:jc w:val="center"/>
        <w:rPr>
          <w:color w:val="auto"/>
          <w:szCs w:val="21"/>
        </w:rPr>
      </w:pPr>
      <w:r>
        <w:rPr>
          <w:color w:val="auto"/>
          <w:szCs w:val="21"/>
        </w:rPr>
        <w:br w:type="page"/>
      </w:r>
    </w:p>
    <w:p w14:paraId="3D32394F">
      <w:pPr>
        <w:spacing w:line="360" w:lineRule="auto"/>
        <w:rPr>
          <w:rFonts w:hint="eastAsia" w:ascii="宋体" w:hAnsi="宋体" w:eastAsia="宋体"/>
          <w:b/>
          <w:bCs/>
          <w:color w:val="auto"/>
        </w:rPr>
      </w:pPr>
      <w:r>
        <w:rPr>
          <w:rFonts w:hint="eastAsia" w:ascii="宋体" w:hAnsi="宋体"/>
          <w:b/>
          <w:bCs/>
          <w:color w:val="auto"/>
        </w:rPr>
        <w:t>附录</w:t>
      </w:r>
      <w:r>
        <w:rPr>
          <w:rFonts w:hint="eastAsia" w:ascii="宋体" w:hAnsi="宋体" w:eastAsia="宋体"/>
          <w:b/>
          <w:bCs/>
          <w:color w:val="auto"/>
        </w:rPr>
        <w:t>6：</w:t>
      </w:r>
      <w:r>
        <w:rPr>
          <w:rFonts w:ascii="宋体" w:hAnsi="宋体" w:eastAsia="宋体"/>
          <w:b/>
          <w:bCs/>
          <w:color w:val="auto"/>
        </w:rPr>
        <w:t>项目负责人资历情况</w:t>
      </w:r>
    </w:p>
    <w:p w14:paraId="695687AC">
      <w:pPr>
        <w:spacing w:line="360" w:lineRule="auto"/>
        <w:jc w:val="center"/>
        <w:rPr>
          <w:rFonts w:hint="eastAsia" w:eastAsia="宋体"/>
          <w:b/>
          <w:color w:val="auto"/>
          <w:sz w:val="28"/>
          <w:szCs w:val="28"/>
        </w:rPr>
      </w:pPr>
    </w:p>
    <w:p w14:paraId="18436E62">
      <w:pPr>
        <w:spacing w:line="360" w:lineRule="auto"/>
        <w:jc w:val="center"/>
        <w:rPr>
          <w:rFonts w:ascii="宋体" w:hAnsi="宋体"/>
          <w:color w:val="auto"/>
          <w:szCs w:val="21"/>
        </w:rPr>
      </w:pPr>
      <w:r>
        <w:rPr>
          <w:rFonts w:eastAsia="宋体"/>
          <w:b/>
          <w:color w:val="auto"/>
          <w:sz w:val="28"/>
          <w:szCs w:val="28"/>
        </w:rPr>
        <w:t>项目负责人资历情况</w:t>
      </w:r>
    </w:p>
    <w:tbl>
      <w:tblPr>
        <w:tblStyle w:val="39"/>
        <w:tblW w:w="0" w:type="auto"/>
        <w:tblInd w:w="133" w:type="dxa"/>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
      <w:tblGrid>
        <w:gridCol w:w="1203"/>
        <w:gridCol w:w="1683"/>
        <w:gridCol w:w="373"/>
        <w:gridCol w:w="428"/>
        <w:gridCol w:w="1633"/>
        <w:gridCol w:w="1768"/>
        <w:gridCol w:w="292"/>
        <w:gridCol w:w="2058"/>
      </w:tblGrid>
      <w:tr w14:paraId="0BD14FED">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66" w:hRule="atLeast"/>
        </w:trPr>
        <w:tc>
          <w:tcPr>
            <w:tcW w:w="1203" w:type="dxa"/>
            <w:noWrap w:val="0"/>
            <w:tcMar>
              <w:top w:w="0" w:type="dxa"/>
              <w:left w:w="0" w:type="dxa"/>
              <w:bottom w:w="0" w:type="dxa"/>
              <w:right w:w="0" w:type="dxa"/>
            </w:tcMar>
            <w:vAlign w:val="center"/>
          </w:tcPr>
          <w:p w14:paraId="15903E29">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姓名</w:t>
            </w:r>
          </w:p>
        </w:tc>
        <w:tc>
          <w:tcPr>
            <w:tcW w:w="1683" w:type="dxa"/>
            <w:noWrap w:val="0"/>
            <w:tcMar>
              <w:top w:w="0" w:type="dxa"/>
              <w:left w:w="0" w:type="dxa"/>
              <w:bottom w:w="0" w:type="dxa"/>
              <w:right w:w="0" w:type="dxa"/>
            </w:tcMar>
            <w:vAlign w:val="center"/>
          </w:tcPr>
          <w:p w14:paraId="15A83642">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p>
        </w:tc>
        <w:tc>
          <w:tcPr>
            <w:tcW w:w="801" w:type="dxa"/>
            <w:gridSpan w:val="2"/>
            <w:noWrap w:val="0"/>
            <w:tcMar>
              <w:top w:w="0" w:type="dxa"/>
              <w:left w:w="0" w:type="dxa"/>
              <w:bottom w:w="0" w:type="dxa"/>
              <w:right w:w="0" w:type="dxa"/>
            </w:tcMar>
            <w:vAlign w:val="center"/>
          </w:tcPr>
          <w:p w14:paraId="6BEB9156">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年龄</w:t>
            </w:r>
          </w:p>
        </w:tc>
        <w:tc>
          <w:tcPr>
            <w:tcW w:w="1633" w:type="dxa"/>
            <w:noWrap w:val="0"/>
            <w:tcMar>
              <w:top w:w="0" w:type="dxa"/>
              <w:left w:w="0" w:type="dxa"/>
              <w:bottom w:w="0" w:type="dxa"/>
              <w:right w:w="0" w:type="dxa"/>
            </w:tcMar>
            <w:vAlign w:val="center"/>
          </w:tcPr>
          <w:p w14:paraId="101A6F8B">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p>
        </w:tc>
        <w:tc>
          <w:tcPr>
            <w:tcW w:w="1768" w:type="dxa"/>
            <w:noWrap w:val="0"/>
            <w:tcMar>
              <w:top w:w="0" w:type="dxa"/>
              <w:left w:w="0" w:type="dxa"/>
              <w:bottom w:w="0" w:type="dxa"/>
              <w:right w:w="0" w:type="dxa"/>
            </w:tcMar>
            <w:vAlign w:val="center"/>
          </w:tcPr>
          <w:p w14:paraId="040845BE">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出生日期</w:t>
            </w:r>
          </w:p>
        </w:tc>
        <w:tc>
          <w:tcPr>
            <w:tcW w:w="2350" w:type="dxa"/>
            <w:gridSpan w:val="2"/>
            <w:noWrap w:val="0"/>
            <w:tcMar>
              <w:top w:w="0" w:type="dxa"/>
              <w:left w:w="0" w:type="dxa"/>
              <w:bottom w:w="0" w:type="dxa"/>
              <w:right w:w="0" w:type="dxa"/>
            </w:tcMar>
            <w:vAlign w:val="center"/>
          </w:tcPr>
          <w:p w14:paraId="6AC593EC">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p>
        </w:tc>
      </w:tr>
      <w:tr w14:paraId="7FE2033C">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63" w:hRule="atLeast"/>
        </w:trPr>
        <w:tc>
          <w:tcPr>
            <w:tcW w:w="1203" w:type="dxa"/>
            <w:noWrap w:val="0"/>
            <w:tcMar>
              <w:top w:w="0" w:type="dxa"/>
              <w:left w:w="0" w:type="dxa"/>
              <w:bottom w:w="0" w:type="dxa"/>
              <w:right w:w="0" w:type="dxa"/>
            </w:tcMar>
            <w:vAlign w:val="center"/>
          </w:tcPr>
          <w:p w14:paraId="14A80913">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最高学历</w:t>
            </w:r>
          </w:p>
        </w:tc>
        <w:tc>
          <w:tcPr>
            <w:tcW w:w="1683" w:type="dxa"/>
            <w:noWrap w:val="0"/>
            <w:tcMar>
              <w:top w:w="0" w:type="dxa"/>
              <w:left w:w="0" w:type="dxa"/>
              <w:bottom w:w="0" w:type="dxa"/>
              <w:right w:w="0" w:type="dxa"/>
            </w:tcMar>
            <w:vAlign w:val="center"/>
          </w:tcPr>
          <w:p w14:paraId="4008A652">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p>
        </w:tc>
        <w:tc>
          <w:tcPr>
            <w:tcW w:w="801" w:type="dxa"/>
            <w:gridSpan w:val="2"/>
            <w:noWrap w:val="0"/>
            <w:tcMar>
              <w:top w:w="0" w:type="dxa"/>
              <w:left w:w="0" w:type="dxa"/>
              <w:bottom w:w="0" w:type="dxa"/>
              <w:right w:w="0" w:type="dxa"/>
            </w:tcMar>
            <w:vAlign w:val="center"/>
          </w:tcPr>
          <w:p w14:paraId="0332337B">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专业</w:t>
            </w:r>
          </w:p>
        </w:tc>
        <w:tc>
          <w:tcPr>
            <w:tcW w:w="1633" w:type="dxa"/>
            <w:noWrap w:val="0"/>
            <w:tcMar>
              <w:top w:w="0" w:type="dxa"/>
              <w:left w:w="0" w:type="dxa"/>
              <w:bottom w:w="0" w:type="dxa"/>
              <w:right w:w="0" w:type="dxa"/>
            </w:tcMar>
            <w:vAlign w:val="center"/>
          </w:tcPr>
          <w:p w14:paraId="77E64101">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p>
        </w:tc>
        <w:tc>
          <w:tcPr>
            <w:tcW w:w="1768" w:type="dxa"/>
            <w:noWrap w:val="0"/>
            <w:tcMar>
              <w:top w:w="0" w:type="dxa"/>
              <w:left w:w="0" w:type="dxa"/>
              <w:bottom w:w="0" w:type="dxa"/>
              <w:right w:w="0" w:type="dxa"/>
            </w:tcMar>
            <w:vAlign w:val="center"/>
          </w:tcPr>
          <w:p w14:paraId="41DE004F">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职称</w:t>
            </w:r>
          </w:p>
        </w:tc>
        <w:tc>
          <w:tcPr>
            <w:tcW w:w="2350" w:type="dxa"/>
            <w:gridSpan w:val="2"/>
            <w:noWrap w:val="0"/>
            <w:tcMar>
              <w:top w:w="0" w:type="dxa"/>
              <w:left w:w="0" w:type="dxa"/>
              <w:bottom w:w="0" w:type="dxa"/>
              <w:right w:w="0" w:type="dxa"/>
            </w:tcMar>
            <w:vAlign w:val="center"/>
          </w:tcPr>
          <w:p w14:paraId="1DD945D1">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p>
        </w:tc>
      </w:tr>
      <w:tr w14:paraId="37216C73">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923" w:hRule="atLeast"/>
        </w:trPr>
        <w:tc>
          <w:tcPr>
            <w:tcW w:w="1203" w:type="dxa"/>
            <w:noWrap w:val="0"/>
            <w:tcMar>
              <w:top w:w="0" w:type="dxa"/>
              <w:left w:w="0" w:type="dxa"/>
              <w:bottom w:w="0" w:type="dxa"/>
              <w:right w:w="0" w:type="dxa"/>
            </w:tcMar>
            <w:vAlign w:val="center"/>
          </w:tcPr>
          <w:p w14:paraId="5183283F">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相关注</w:t>
            </w:r>
          </w:p>
          <w:p w14:paraId="498102C7">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册资格</w:t>
            </w:r>
          </w:p>
        </w:tc>
        <w:tc>
          <w:tcPr>
            <w:tcW w:w="8235" w:type="dxa"/>
            <w:gridSpan w:val="7"/>
            <w:noWrap w:val="0"/>
            <w:tcMar>
              <w:top w:w="0" w:type="dxa"/>
              <w:left w:w="0" w:type="dxa"/>
              <w:bottom w:w="0" w:type="dxa"/>
              <w:right w:w="0" w:type="dxa"/>
            </w:tcMar>
            <w:vAlign w:val="center"/>
          </w:tcPr>
          <w:p w14:paraId="3F93E304">
            <w:pPr>
              <w:keepNext w:val="0"/>
              <w:keepLines w:val="0"/>
              <w:widowControl/>
              <w:suppressLineNumbers w:val="0"/>
              <w:adjustRightInd w:val="0"/>
              <w:snapToGrid w:val="0"/>
              <w:spacing w:before="0" w:beforeAutospacing="0" w:afterAutospacing="0"/>
              <w:ind w:left="0" w:right="0"/>
              <w:rPr>
                <w:rFonts w:hint="default" w:ascii="宋体" w:hAnsi="宋体" w:cs="宋体"/>
                <w:color w:val="auto"/>
                <w:kern w:val="0"/>
                <w:sz w:val="21"/>
                <w:szCs w:val="21"/>
              </w:rPr>
            </w:pPr>
            <w:r>
              <w:rPr>
                <w:rFonts w:hint="eastAsia" w:ascii="宋体" w:hAnsi="宋体" w:cs="宋体"/>
                <w:color w:val="auto"/>
                <w:kern w:val="0"/>
                <w:sz w:val="21"/>
                <w:szCs w:val="21"/>
              </w:rPr>
              <w:t xml:space="preserve">   </w:t>
            </w:r>
          </w:p>
        </w:tc>
      </w:tr>
      <w:tr w14:paraId="2BE4E90F">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178" w:hRule="atLeast"/>
        </w:trPr>
        <w:tc>
          <w:tcPr>
            <w:tcW w:w="1203" w:type="dxa"/>
            <w:noWrap w:val="0"/>
            <w:tcMar>
              <w:top w:w="0" w:type="dxa"/>
              <w:left w:w="0" w:type="dxa"/>
              <w:bottom w:w="0" w:type="dxa"/>
              <w:right w:w="0" w:type="dxa"/>
            </w:tcMar>
            <w:vAlign w:val="center"/>
          </w:tcPr>
          <w:p w14:paraId="4A66F1A6">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工作</w:t>
            </w:r>
          </w:p>
          <w:p w14:paraId="60025B25">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简历</w:t>
            </w:r>
          </w:p>
        </w:tc>
        <w:tc>
          <w:tcPr>
            <w:tcW w:w="8235" w:type="dxa"/>
            <w:gridSpan w:val="7"/>
            <w:noWrap w:val="0"/>
            <w:tcMar>
              <w:top w:w="0" w:type="dxa"/>
              <w:left w:w="0" w:type="dxa"/>
              <w:bottom w:w="0" w:type="dxa"/>
              <w:right w:w="0" w:type="dxa"/>
            </w:tcMar>
            <w:vAlign w:val="center"/>
          </w:tcPr>
          <w:p w14:paraId="27321337">
            <w:pPr>
              <w:keepNext w:val="0"/>
              <w:keepLines w:val="0"/>
              <w:widowControl/>
              <w:suppressLineNumbers w:val="0"/>
              <w:adjustRightInd w:val="0"/>
              <w:snapToGrid w:val="0"/>
              <w:spacing w:before="0" w:beforeAutospacing="0" w:afterAutospacing="0"/>
              <w:ind w:left="0" w:right="0"/>
              <w:rPr>
                <w:rFonts w:hint="default" w:ascii="宋体" w:hAnsi="宋体" w:cs="宋体"/>
                <w:color w:val="auto"/>
                <w:kern w:val="0"/>
                <w:sz w:val="21"/>
                <w:szCs w:val="21"/>
              </w:rPr>
            </w:pPr>
            <w:r>
              <w:rPr>
                <w:rFonts w:hint="eastAsia" w:ascii="宋体" w:hAnsi="宋体" w:cs="宋体"/>
                <w:color w:val="auto"/>
                <w:kern w:val="0"/>
                <w:sz w:val="21"/>
                <w:szCs w:val="21"/>
              </w:rPr>
              <w:t xml:space="preserve">   </w:t>
            </w:r>
          </w:p>
        </w:tc>
      </w:tr>
      <w:tr w14:paraId="1D44E7E3">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93" w:hRule="atLeast"/>
        </w:trPr>
        <w:tc>
          <w:tcPr>
            <w:tcW w:w="1203" w:type="dxa"/>
            <w:vMerge w:val="restart"/>
            <w:noWrap w:val="0"/>
            <w:tcMar>
              <w:top w:w="0" w:type="dxa"/>
              <w:left w:w="0" w:type="dxa"/>
              <w:bottom w:w="0" w:type="dxa"/>
              <w:right w:w="0" w:type="dxa"/>
            </w:tcMar>
            <w:vAlign w:val="center"/>
          </w:tcPr>
          <w:p w14:paraId="33D7A386">
            <w:pPr>
              <w:keepNext w:val="0"/>
              <w:keepLines w:val="0"/>
              <w:widowControl/>
              <w:suppressLineNumbers w:val="0"/>
              <w:adjustRightInd w:val="0"/>
              <w:snapToGrid w:val="0"/>
              <w:spacing w:before="0" w:beforeAutospacing="0" w:afterAutospacing="0"/>
              <w:ind w:left="0" w:right="0"/>
              <w:jc w:val="center"/>
              <w:rPr>
                <w:rFonts w:hint="eastAsia" w:ascii="宋体" w:hAnsi="宋体" w:eastAsia="宋体" w:cs="宋体"/>
                <w:color w:val="auto"/>
                <w:kern w:val="0"/>
                <w:sz w:val="21"/>
                <w:szCs w:val="21"/>
              </w:rPr>
            </w:pPr>
            <w:r>
              <w:rPr>
                <w:rFonts w:hint="eastAsia" w:ascii="宋体" w:hAnsi="宋体" w:cs="宋体"/>
                <w:color w:val="auto"/>
                <w:kern w:val="0"/>
                <w:sz w:val="21"/>
                <w:szCs w:val="21"/>
              </w:rPr>
              <w:t>现在</w:t>
            </w:r>
            <w:r>
              <w:rPr>
                <w:rFonts w:hint="eastAsia" w:ascii="宋体" w:hAnsi="宋体" w:eastAsia="宋体" w:cs="宋体"/>
                <w:color w:val="auto"/>
                <w:kern w:val="0"/>
                <w:sz w:val="21"/>
                <w:szCs w:val="21"/>
              </w:rPr>
              <w:t>在建</w:t>
            </w:r>
          </w:p>
          <w:p w14:paraId="6E1BC277">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业务</w:t>
            </w:r>
          </w:p>
          <w:p w14:paraId="62B1D3DA">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的状况</w:t>
            </w:r>
          </w:p>
        </w:tc>
        <w:tc>
          <w:tcPr>
            <w:tcW w:w="2056" w:type="dxa"/>
            <w:gridSpan w:val="2"/>
            <w:noWrap w:val="0"/>
            <w:tcMar>
              <w:top w:w="0" w:type="dxa"/>
              <w:left w:w="0" w:type="dxa"/>
              <w:bottom w:w="0" w:type="dxa"/>
              <w:right w:w="0" w:type="dxa"/>
            </w:tcMar>
            <w:vAlign w:val="center"/>
          </w:tcPr>
          <w:p w14:paraId="4E2EB27E">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业务名称</w:t>
            </w:r>
          </w:p>
        </w:tc>
        <w:tc>
          <w:tcPr>
            <w:tcW w:w="2061" w:type="dxa"/>
            <w:gridSpan w:val="2"/>
            <w:noWrap w:val="0"/>
            <w:vAlign w:val="center"/>
          </w:tcPr>
          <w:p w14:paraId="21F51F07">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业主名称</w:t>
            </w:r>
          </w:p>
        </w:tc>
        <w:tc>
          <w:tcPr>
            <w:tcW w:w="2060" w:type="dxa"/>
            <w:gridSpan w:val="2"/>
            <w:noWrap w:val="0"/>
            <w:vAlign w:val="center"/>
          </w:tcPr>
          <w:p w14:paraId="0977587D">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业务金额</w:t>
            </w:r>
          </w:p>
        </w:tc>
        <w:tc>
          <w:tcPr>
            <w:tcW w:w="2058" w:type="dxa"/>
            <w:noWrap w:val="0"/>
            <w:vAlign w:val="center"/>
          </w:tcPr>
          <w:p w14:paraId="3CFDE342">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预</w:t>
            </w:r>
            <w:r>
              <w:rPr>
                <w:rFonts w:hint="eastAsia" w:ascii="宋体" w:hAnsi="宋体" w:eastAsia="宋体" w:cs="宋体"/>
                <w:color w:val="auto"/>
                <w:kern w:val="0"/>
                <w:sz w:val="21"/>
                <w:szCs w:val="21"/>
              </w:rPr>
              <w:t>计</w:t>
            </w:r>
            <w:r>
              <w:rPr>
                <w:rFonts w:hint="eastAsia" w:ascii="宋体" w:hAnsi="宋体" w:cs="宋体"/>
                <w:color w:val="auto"/>
                <w:kern w:val="0"/>
                <w:sz w:val="21"/>
                <w:szCs w:val="21"/>
              </w:rPr>
              <w:t>完成时间</w:t>
            </w:r>
          </w:p>
        </w:tc>
      </w:tr>
      <w:tr w14:paraId="2E94388D">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602" w:hRule="atLeast"/>
        </w:trPr>
        <w:tc>
          <w:tcPr>
            <w:tcW w:w="1203" w:type="dxa"/>
            <w:vMerge w:val="continue"/>
            <w:noWrap w:val="0"/>
            <w:tcMar>
              <w:top w:w="0" w:type="dxa"/>
              <w:left w:w="0" w:type="dxa"/>
              <w:bottom w:w="0" w:type="dxa"/>
              <w:right w:w="0" w:type="dxa"/>
            </w:tcMar>
            <w:vAlign w:val="center"/>
          </w:tcPr>
          <w:p w14:paraId="2684677C">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p>
        </w:tc>
        <w:tc>
          <w:tcPr>
            <w:tcW w:w="2056" w:type="dxa"/>
            <w:gridSpan w:val="2"/>
            <w:noWrap w:val="0"/>
            <w:tcMar>
              <w:top w:w="0" w:type="dxa"/>
              <w:left w:w="0" w:type="dxa"/>
              <w:bottom w:w="0" w:type="dxa"/>
              <w:right w:w="0" w:type="dxa"/>
            </w:tcMar>
            <w:vAlign w:val="center"/>
          </w:tcPr>
          <w:p w14:paraId="452ACFCE">
            <w:pPr>
              <w:keepNext w:val="0"/>
              <w:keepLines w:val="0"/>
              <w:widowControl/>
              <w:suppressLineNumbers w:val="0"/>
              <w:adjustRightInd w:val="0"/>
              <w:snapToGrid w:val="0"/>
              <w:spacing w:before="0" w:beforeAutospacing="0" w:afterAutospacing="0" w:line="400" w:lineRule="exact"/>
              <w:ind w:left="0" w:right="0"/>
              <w:jc w:val="center"/>
              <w:rPr>
                <w:rFonts w:hint="default" w:ascii="宋体" w:hAnsi="宋体" w:cs="宋体"/>
                <w:color w:val="auto"/>
                <w:kern w:val="0"/>
                <w:sz w:val="21"/>
                <w:szCs w:val="21"/>
              </w:rPr>
            </w:pPr>
          </w:p>
        </w:tc>
        <w:tc>
          <w:tcPr>
            <w:tcW w:w="2061" w:type="dxa"/>
            <w:gridSpan w:val="2"/>
            <w:noWrap w:val="0"/>
            <w:vAlign w:val="center"/>
          </w:tcPr>
          <w:p w14:paraId="7E91E92D">
            <w:pPr>
              <w:keepNext w:val="0"/>
              <w:keepLines w:val="0"/>
              <w:widowControl/>
              <w:suppressLineNumbers w:val="0"/>
              <w:adjustRightInd w:val="0"/>
              <w:snapToGrid w:val="0"/>
              <w:spacing w:before="0" w:beforeAutospacing="0" w:afterAutospacing="0" w:line="400" w:lineRule="exact"/>
              <w:ind w:left="0" w:right="0"/>
              <w:jc w:val="center"/>
              <w:rPr>
                <w:rFonts w:hint="default" w:ascii="宋体" w:hAnsi="宋体" w:cs="宋体"/>
                <w:color w:val="auto"/>
                <w:kern w:val="0"/>
                <w:sz w:val="21"/>
                <w:szCs w:val="21"/>
              </w:rPr>
            </w:pPr>
          </w:p>
        </w:tc>
        <w:tc>
          <w:tcPr>
            <w:tcW w:w="2060" w:type="dxa"/>
            <w:gridSpan w:val="2"/>
            <w:noWrap w:val="0"/>
            <w:vAlign w:val="center"/>
          </w:tcPr>
          <w:p w14:paraId="7E059527">
            <w:pPr>
              <w:keepNext w:val="0"/>
              <w:keepLines w:val="0"/>
              <w:widowControl/>
              <w:suppressLineNumbers w:val="0"/>
              <w:adjustRightInd w:val="0"/>
              <w:snapToGrid w:val="0"/>
              <w:spacing w:before="0" w:beforeAutospacing="0" w:afterAutospacing="0" w:line="400" w:lineRule="exact"/>
              <w:ind w:left="0" w:right="0"/>
              <w:jc w:val="center"/>
              <w:rPr>
                <w:rFonts w:hint="default" w:ascii="宋体" w:hAnsi="宋体" w:cs="宋体"/>
                <w:color w:val="auto"/>
                <w:kern w:val="0"/>
                <w:sz w:val="21"/>
                <w:szCs w:val="21"/>
              </w:rPr>
            </w:pPr>
          </w:p>
        </w:tc>
        <w:tc>
          <w:tcPr>
            <w:tcW w:w="2058" w:type="dxa"/>
            <w:noWrap w:val="0"/>
            <w:vAlign w:val="center"/>
          </w:tcPr>
          <w:p w14:paraId="2982DAD7">
            <w:pPr>
              <w:keepNext w:val="0"/>
              <w:keepLines w:val="0"/>
              <w:widowControl/>
              <w:suppressLineNumbers w:val="0"/>
              <w:adjustRightInd w:val="0"/>
              <w:snapToGrid w:val="0"/>
              <w:spacing w:before="0" w:beforeAutospacing="0" w:afterAutospacing="0" w:line="400" w:lineRule="exact"/>
              <w:ind w:left="0" w:right="0"/>
              <w:jc w:val="center"/>
              <w:rPr>
                <w:rFonts w:hint="default" w:ascii="宋体" w:hAnsi="宋体" w:cs="宋体"/>
                <w:color w:val="auto"/>
                <w:kern w:val="0"/>
                <w:sz w:val="21"/>
                <w:szCs w:val="21"/>
              </w:rPr>
            </w:pPr>
          </w:p>
        </w:tc>
      </w:tr>
      <w:tr w14:paraId="21E1999F">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602" w:hRule="atLeast"/>
        </w:trPr>
        <w:tc>
          <w:tcPr>
            <w:tcW w:w="1203" w:type="dxa"/>
            <w:vMerge w:val="continue"/>
            <w:noWrap w:val="0"/>
            <w:tcMar>
              <w:top w:w="0" w:type="dxa"/>
              <w:left w:w="0" w:type="dxa"/>
              <w:bottom w:w="0" w:type="dxa"/>
              <w:right w:w="0" w:type="dxa"/>
            </w:tcMar>
            <w:vAlign w:val="center"/>
          </w:tcPr>
          <w:p w14:paraId="03DB0619">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p>
        </w:tc>
        <w:tc>
          <w:tcPr>
            <w:tcW w:w="2056" w:type="dxa"/>
            <w:gridSpan w:val="2"/>
            <w:noWrap w:val="0"/>
            <w:tcMar>
              <w:top w:w="0" w:type="dxa"/>
              <w:left w:w="0" w:type="dxa"/>
              <w:bottom w:w="0" w:type="dxa"/>
              <w:right w:w="0" w:type="dxa"/>
            </w:tcMar>
            <w:vAlign w:val="center"/>
          </w:tcPr>
          <w:p w14:paraId="5B95CBAC">
            <w:pPr>
              <w:keepNext w:val="0"/>
              <w:keepLines w:val="0"/>
              <w:widowControl/>
              <w:suppressLineNumbers w:val="0"/>
              <w:adjustRightInd w:val="0"/>
              <w:snapToGrid w:val="0"/>
              <w:spacing w:before="0" w:beforeAutospacing="0" w:afterAutospacing="0" w:line="400" w:lineRule="exact"/>
              <w:ind w:left="0" w:right="0"/>
              <w:jc w:val="center"/>
              <w:rPr>
                <w:rFonts w:hint="default" w:ascii="宋体" w:hAnsi="宋体" w:cs="宋体"/>
                <w:color w:val="auto"/>
                <w:kern w:val="0"/>
                <w:sz w:val="21"/>
                <w:szCs w:val="21"/>
              </w:rPr>
            </w:pPr>
          </w:p>
        </w:tc>
        <w:tc>
          <w:tcPr>
            <w:tcW w:w="2061" w:type="dxa"/>
            <w:gridSpan w:val="2"/>
            <w:noWrap w:val="0"/>
            <w:vAlign w:val="center"/>
          </w:tcPr>
          <w:p w14:paraId="5B7DF2BD">
            <w:pPr>
              <w:keepNext w:val="0"/>
              <w:keepLines w:val="0"/>
              <w:widowControl/>
              <w:suppressLineNumbers w:val="0"/>
              <w:adjustRightInd w:val="0"/>
              <w:snapToGrid w:val="0"/>
              <w:spacing w:before="0" w:beforeAutospacing="0" w:afterAutospacing="0" w:line="400" w:lineRule="exact"/>
              <w:ind w:left="0" w:right="0"/>
              <w:jc w:val="center"/>
              <w:rPr>
                <w:rFonts w:hint="default" w:ascii="宋体" w:hAnsi="宋体" w:cs="宋体"/>
                <w:color w:val="auto"/>
                <w:kern w:val="0"/>
                <w:sz w:val="21"/>
                <w:szCs w:val="21"/>
              </w:rPr>
            </w:pPr>
          </w:p>
        </w:tc>
        <w:tc>
          <w:tcPr>
            <w:tcW w:w="2060" w:type="dxa"/>
            <w:gridSpan w:val="2"/>
            <w:noWrap w:val="0"/>
            <w:vAlign w:val="center"/>
          </w:tcPr>
          <w:p w14:paraId="3E0C971E">
            <w:pPr>
              <w:keepNext w:val="0"/>
              <w:keepLines w:val="0"/>
              <w:widowControl/>
              <w:suppressLineNumbers w:val="0"/>
              <w:adjustRightInd w:val="0"/>
              <w:snapToGrid w:val="0"/>
              <w:spacing w:before="0" w:beforeAutospacing="0" w:afterAutospacing="0" w:line="400" w:lineRule="exact"/>
              <w:ind w:left="0" w:right="0"/>
              <w:jc w:val="center"/>
              <w:rPr>
                <w:rFonts w:hint="default" w:ascii="宋体" w:hAnsi="宋体" w:cs="宋体"/>
                <w:color w:val="auto"/>
                <w:kern w:val="0"/>
                <w:sz w:val="21"/>
                <w:szCs w:val="21"/>
              </w:rPr>
            </w:pPr>
          </w:p>
        </w:tc>
        <w:tc>
          <w:tcPr>
            <w:tcW w:w="2058" w:type="dxa"/>
            <w:noWrap w:val="0"/>
            <w:vAlign w:val="center"/>
          </w:tcPr>
          <w:p w14:paraId="7118CFF4">
            <w:pPr>
              <w:keepNext w:val="0"/>
              <w:keepLines w:val="0"/>
              <w:widowControl/>
              <w:suppressLineNumbers w:val="0"/>
              <w:adjustRightInd w:val="0"/>
              <w:snapToGrid w:val="0"/>
              <w:spacing w:before="0" w:beforeAutospacing="0" w:afterAutospacing="0" w:line="400" w:lineRule="exact"/>
              <w:ind w:left="0" w:right="0"/>
              <w:jc w:val="center"/>
              <w:rPr>
                <w:rFonts w:hint="default" w:ascii="宋体" w:hAnsi="宋体" w:cs="宋体"/>
                <w:color w:val="auto"/>
                <w:kern w:val="0"/>
                <w:sz w:val="21"/>
                <w:szCs w:val="21"/>
              </w:rPr>
            </w:pPr>
          </w:p>
        </w:tc>
      </w:tr>
      <w:tr w14:paraId="107B475F">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392" w:hRule="atLeast"/>
        </w:trPr>
        <w:tc>
          <w:tcPr>
            <w:tcW w:w="1203" w:type="dxa"/>
            <w:tcBorders>
              <w:bottom w:val="single" w:color="auto" w:sz="4" w:space="0"/>
            </w:tcBorders>
            <w:noWrap w:val="0"/>
            <w:tcMar>
              <w:top w:w="0" w:type="dxa"/>
              <w:left w:w="0" w:type="dxa"/>
              <w:bottom w:w="0" w:type="dxa"/>
              <w:right w:w="0" w:type="dxa"/>
            </w:tcMar>
            <w:vAlign w:val="center"/>
          </w:tcPr>
          <w:p w14:paraId="7BDD18BE">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拟在本项</w:t>
            </w:r>
          </w:p>
          <w:p w14:paraId="0F6EEE03">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目中担任</w:t>
            </w:r>
          </w:p>
          <w:p w14:paraId="4B5D40DC">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角色</w:t>
            </w:r>
          </w:p>
        </w:tc>
        <w:tc>
          <w:tcPr>
            <w:tcW w:w="8235" w:type="dxa"/>
            <w:gridSpan w:val="7"/>
            <w:tcBorders>
              <w:bottom w:val="single" w:color="auto" w:sz="4" w:space="0"/>
            </w:tcBorders>
            <w:noWrap w:val="0"/>
            <w:tcMar>
              <w:top w:w="0" w:type="dxa"/>
              <w:left w:w="0" w:type="dxa"/>
              <w:bottom w:w="0" w:type="dxa"/>
              <w:right w:w="0" w:type="dxa"/>
            </w:tcMar>
            <w:vAlign w:val="center"/>
          </w:tcPr>
          <w:p w14:paraId="78E9C463">
            <w:pPr>
              <w:keepNext w:val="0"/>
              <w:keepLines w:val="0"/>
              <w:widowControl/>
              <w:suppressLineNumbers w:val="0"/>
              <w:adjustRightInd w:val="0"/>
              <w:snapToGrid w:val="0"/>
              <w:spacing w:before="0" w:beforeAutospacing="0" w:afterAutospacing="0"/>
              <w:ind w:left="0" w:right="0" w:firstLine="315" w:firstLineChars="150"/>
              <w:rPr>
                <w:rFonts w:hint="default" w:ascii="宋体" w:hAnsi="宋体" w:cs="宋体"/>
                <w:color w:val="auto"/>
                <w:kern w:val="0"/>
                <w:sz w:val="21"/>
                <w:szCs w:val="21"/>
              </w:rPr>
            </w:pPr>
          </w:p>
        </w:tc>
      </w:tr>
    </w:tbl>
    <w:p w14:paraId="6FDDD2D9">
      <w:pPr>
        <w:spacing w:line="240" w:lineRule="auto"/>
        <w:ind w:left="658" w:leftChars="95" w:hanging="449" w:hangingChars="214"/>
        <w:jc w:val="both"/>
        <w:rPr>
          <w:rFonts w:hint="eastAsia" w:ascii="宋体" w:hAnsi="宋体" w:eastAsia="宋体"/>
          <w:color w:val="auto"/>
          <w:sz w:val="21"/>
          <w:szCs w:val="21"/>
        </w:rPr>
      </w:pPr>
    </w:p>
    <w:p w14:paraId="4187DEDA">
      <w:pPr>
        <w:spacing w:line="240" w:lineRule="auto"/>
        <w:ind w:left="658" w:leftChars="95" w:hanging="449" w:hangingChars="214"/>
        <w:jc w:val="both"/>
        <w:rPr>
          <w:rFonts w:hint="eastAsia" w:ascii="宋体" w:hAnsi="宋体" w:eastAsia="宋体"/>
          <w:color w:val="auto"/>
          <w:sz w:val="21"/>
          <w:szCs w:val="21"/>
        </w:rPr>
      </w:pPr>
      <w:r>
        <w:rPr>
          <w:rFonts w:hint="eastAsia" w:ascii="宋体" w:hAnsi="宋体" w:eastAsia="宋体"/>
          <w:color w:val="auto"/>
          <w:sz w:val="21"/>
          <w:szCs w:val="21"/>
        </w:rPr>
        <w:t>注：</w:t>
      </w:r>
      <w:r>
        <w:rPr>
          <w:rFonts w:hint="eastAsia" w:ascii="宋体" w:hAnsi="宋体" w:eastAsia="宋体"/>
        </w:rPr>
        <w:t>需根据评分表备注的评审评分材料要求提供相应证明材料。</w:t>
      </w:r>
    </w:p>
    <w:p w14:paraId="7B57DE5F">
      <w:pPr>
        <w:rPr>
          <w:rFonts w:hint="eastAsia" w:ascii="宋体" w:hAnsi="宋体" w:eastAsia="宋体"/>
          <w:strike/>
          <w:color w:val="auto"/>
        </w:rPr>
      </w:pPr>
      <w:r>
        <w:rPr>
          <w:rFonts w:hint="eastAsia" w:ascii="宋体" w:hAnsi="宋体"/>
          <w:color w:val="auto"/>
          <w:szCs w:val="21"/>
          <w:u w:val="single"/>
        </w:rPr>
        <w:br w:type="page"/>
      </w:r>
      <w:r>
        <w:rPr>
          <w:rFonts w:hint="eastAsia" w:ascii="宋体" w:hAnsi="宋体"/>
          <w:b/>
          <w:color w:val="auto"/>
        </w:rPr>
        <w:t>附</w:t>
      </w:r>
      <w:r>
        <w:rPr>
          <w:rFonts w:hint="eastAsia" w:ascii="宋体" w:hAnsi="宋体" w:eastAsia="宋体"/>
          <w:b/>
          <w:color w:val="auto"/>
        </w:rPr>
        <w:t>录7：投入主要人员汇总表</w:t>
      </w:r>
    </w:p>
    <w:p w14:paraId="1EC3D400">
      <w:pPr>
        <w:pStyle w:val="73"/>
        <w:ind w:firstLine="616"/>
        <w:rPr>
          <w:rFonts w:hint="eastAsia" w:ascii="宋体" w:hAnsi="宋体" w:eastAsia="宋体" w:cs="宋体"/>
          <w:b w:val="0"/>
        </w:rPr>
      </w:pPr>
    </w:p>
    <w:p w14:paraId="59EB361F">
      <w:pPr>
        <w:pStyle w:val="73"/>
        <w:ind w:firstLine="616"/>
        <w:rPr>
          <w:rFonts w:hint="eastAsia" w:ascii="宋体" w:hAnsi="宋体" w:eastAsia="宋体" w:cs="宋体"/>
          <w:b w:val="0"/>
        </w:rPr>
      </w:pPr>
      <w:r>
        <w:rPr>
          <w:rFonts w:hint="eastAsia" w:ascii="宋体" w:hAnsi="宋体" w:eastAsia="宋体" w:cs="宋体"/>
          <w:b w:val="0"/>
        </w:rPr>
        <w:t>投入主要人员汇总表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703"/>
        <w:gridCol w:w="959"/>
        <w:gridCol w:w="906"/>
        <w:gridCol w:w="2245"/>
        <w:gridCol w:w="2556"/>
      </w:tblGrid>
      <w:tr w14:paraId="63FF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09" w:type="dxa"/>
            <w:noWrap w:val="0"/>
            <w:vAlign w:val="center"/>
          </w:tcPr>
          <w:p w14:paraId="7631A5D3">
            <w:pPr>
              <w:pStyle w:val="96"/>
              <w:keepNext w:val="0"/>
              <w:keepLines w:val="0"/>
              <w:suppressLineNumbers w:val="0"/>
              <w:spacing w:before="0" w:beforeAutospacing="0" w:afterAutospacing="0" w:line="240" w:lineRule="atLeast"/>
              <w:ind w:left="0" w:right="0"/>
              <w:jc w:val="center"/>
              <w:rPr>
                <w:rFonts w:hint="eastAsia" w:cs="宋体"/>
                <w:sz w:val="24"/>
                <w:szCs w:val="24"/>
              </w:rPr>
            </w:pPr>
            <w:r>
              <w:rPr>
                <w:rFonts w:hint="eastAsia" w:cs="宋体"/>
                <w:sz w:val="24"/>
                <w:szCs w:val="24"/>
              </w:rPr>
              <w:t>序号</w:t>
            </w:r>
          </w:p>
        </w:tc>
        <w:tc>
          <w:tcPr>
            <w:tcW w:w="1703" w:type="dxa"/>
            <w:noWrap w:val="0"/>
            <w:vAlign w:val="center"/>
          </w:tcPr>
          <w:p w14:paraId="269A6F40">
            <w:pPr>
              <w:pStyle w:val="96"/>
              <w:keepNext w:val="0"/>
              <w:keepLines w:val="0"/>
              <w:suppressLineNumbers w:val="0"/>
              <w:spacing w:before="0" w:beforeAutospacing="0" w:afterAutospacing="0" w:line="240" w:lineRule="atLeast"/>
              <w:ind w:left="0" w:right="0"/>
              <w:jc w:val="center"/>
              <w:rPr>
                <w:rFonts w:hint="eastAsia" w:cs="宋体"/>
                <w:sz w:val="24"/>
                <w:szCs w:val="24"/>
              </w:rPr>
            </w:pPr>
            <w:r>
              <w:rPr>
                <w:rFonts w:hint="eastAsia" w:cs="宋体"/>
                <w:sz w:val="24"/>
                <w:szCs w:val="24"/>
              </w:rPr>
              <w:t>姓名</w:t>
            </w:r>
          </w:p>
        </w:tc>
        <w:tc>
          <w:tcPr>
            <w:tcW w:w="959" w:type="dxa"/>
            <w:noWrap w:val="0"/>
            <w:vAlign w:val="center"/>
          </w:tcPr>
          <w:p w14:paraId="0444010D">
            <w:pPr>
              <w:pStyle w:val="96"/>
              <w:keepNext w:val="0"/>
              <w:keepLines w:val="0"/>
              <w:suppressLineNumbers w:val="0"/>
              <w:spacing w:before="0" w:beforeAutospacing="0" w:afterAutospacing="0" w:line="240" w:lineRule="atLeast"/>
              <w:ind w:left="0" w:right="0"/>
              <w:jc w:val="center"/>
              <w:rPr>
                <w:rFonts w:hint="eastAsia" w:cs="宋体"/>
                <w:sz w:val="24"/>
                <w:szCs w:val="24"/>
              </w:rPr>
            </w:pPr>
            <w:r>
              <w:rPr>
                <w:rFonts w:hint="eastAsia" w:cs="宋体"/>
                <w:sz w:val="24"/>
                <w:szCs w:val="24"/>
              </w:rPr>
              <w:t>年龄</w:t>
            </w:r>
          </w:p>
        </w:tc>
        <w:tc>
          <w:tcPr>
            <w:tcW w:w="906" w:type="dxa"/>
            <w:noWrap w:val="0"/>
            <w:vAlign w:val="center"/>
          </w:tcPr>
          <w:p w14:paraId="3D4DAD1F">
            <w:pPr>
              <w:pStyle w:val="96"/>
              <w:keepNext w:val="0"/>
              <w:keepLines w:val="0"/>
              <w:suppressLineNumbers w:val="0"/>
              <w:spacing w:before="0" w:beforeAutospacing="0" w:afterAutospacing="0" w:line="240" w:lineRule="atLeast"/>
              <w:ind w:left="0" w:right="0"/>
              <w:jc w:val="center"/>
              <w:rPr>
                <w:rFonts w:hint="eastAsia" w:cs="宋体"/>
                <w:sz w:val="24"/>
                <w:szCs w:val="24"/>
              </w:rPr>
            </w:pPr>
            <w:r>
              <w:rPr>
                <w:rFonts w:hint="eastAsia" w:cs="宋体"/>
                <w:sz w:val="24"/>
                <w:szCs w:val="24"/>
              </w:rPr>
              <w:t>职称</w:t>
            </w:r>
          </w:p>
        </w:tc>
        <w:tc>
          <w:tcPr>
            <w:tcW w:w="2245" w:type="dxa"/>
            <w:noWrap w:val="0"/>
            <w:vAlign w:val="center"/>
          </w:tcPr>
          <w:p w14:paraId="0BA82970">
            <w:pPr>
              <w:pStyle w:val="96"/>
              <w:keepNext w:val="0"/>
              <w:keepLines w:val="0"/>
              <w:suppressLineNumbers w:val="0"/>
              <w:spacing w:before="0" w:beforeAutospacing="0" w:afterAutospacing="0" w:line="240" w:lineRule="atLeast"/>
              <w:ind w:left="0" w:right="0"/>
              <w:jc w:val="center"/>
              <w:rPr>
                <w:rFonts w:hint="eastAsia" w:cs="宋体"/>
                <w:sz w:val="24"/>
                <w:szCs w:val="24"/>
              </w:rPr>
            </w:pPr>
            <w:r>
              <w:rPr>
                <w:rFonts w:hint="eastAsia" w:cs="宋体"/>
                <w:sz w:val="24"/>
                <w:szCs w:val="24"/>
              </w:rPr>
              <w:t>在本项目任职</w:t>
            </w:r>
          </w:p>
        </w:tc>
        <w:tc>
          <w:tcPr>
            <w:tcW w:w="2556" w:type="dxa"/>
            <w:noWrap w:val="0"/>
            <w:vAlign w:val="center"/>
          </w:tcPr>
          <w:p w14:paraId="5B6320A1">
            <w:pPr>
              <w:pStyle w:val="96"/>
              <w:keepNext w:val="0"/>
              <w:keepLines w:val="0"/>
              <w:suppressLineNumbers w:val="0"/>
              <w:spacing w:before="0" w:beforeAutospacing="0" w:afterAutospacing="0" w:line="240" w:lineRule="atLeast"/>
              <w:ind w:left="0" w:right="0"/>
              <w:jc w:val="center"/>
              <w:rPr>
                <w:rFonts w:hint="eastAsia" w:cs="宋体"/>
                <w:sz w:val="24"/>
                <w:szCs w:val="24"/>
              </w:rPr>
            </w:pPr>
            <w:r>
              <w:rPr>
                <w:rFonts w:hint="eastAsia" w:cs="宋体"/>
                <w:sz w:val="24"/>
                <w:szCs w:val="24"/>
              </w:rPr>
              <w:t>专业</w:t>
            </w:r>
          </w:p>
        </w:tc>
      </w:tr>
      <w:tr w14:paraId="711F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9" w:type="dxa"/>
            <w:noWrap w:val="0"/>
            <w:vAlign w:val="center"/>
          </w:tcPr>
          <w:p w14:paraId="5837D7E8">
            <w:pPr>
              <w:pStyle w:val="96"/>
              <w:keepNext w:val="0"/>
              <w:keepLines w:val="0"/>
              <w:suppressLineNumbers w:val="0"/>
              <w:spacing w:before="0" w:beforeAutospacing="0" w:afterAutospacing="0" w:line="240" w:lineRule="atLeast"/>
              <w:ind w:left="0" w:right="0"/>
              <w:rPr>
                <w:rFonts w:hint="eastAsia" w:cs="宋体"/>
                <w:sz w:val="24"/>
                <w:szCs w:val="24"/>
              </w:rPr>
            </w:pPr>
          </w:p>
        </w:tc>
        <w:tc>
          <w:tcPr>
            <w:tcW w:w="1703" w:type="dxa"/>
            <w:noWrap w:val="0"/>
            <w:vAlign w:val="center"/>
          </w:tcPr>
          <w:p w14:paraId="2DED3643">
            <w:pPr>
              <w:pStyle w:val="96"/>
              <w:keepNext w:val="0"/>
              <w:keepLines w:val="0"/>
              <w:suppressLineNumbers w:val="0"/>
              <w:spacing w:before="0" w:beforeAutospacing="0" w:afterAutospacing="0" w:line="240" w:lineRule="atLeast"/>
              <w:ind w:left="0" w:right="0"/>
              <w:rPr>
                <w:rFonts w:hint="eastAsia" w:cs="宋体"/>
                <w:sz w:val="24"/>
                <w:szCs w:val="24"/>
              </w:rPr>
            </w:pPr>
          </w:p>
        </w:tc>
        <w:tc>
          <w:tcPr>
            <w:tcW w:w="959" w:type="dxa"/>
            <w:noWrap w:val="0"/>
            <w:vAlign w:val="center"/>
          </w:tcPr>
          <w:p w14:paraId="57B1255A">
            <w:pPr>
              <w:pStyle w:val="96"/>
              <w:keepNext w:val="0"/>
              <w:keepLines w:val="0"/>
              <w:suppressLineNumbers w:val="0"/>
              <w:spacing w:before="0" w:beforeAutospacing="0" w:afterAutospacing="0" w:line="240" w:lineRule="atLeast"/>
              <w:ind w:left="0" w:right="0"/>
              <w:rPr>
                <w:rFonts w:hint="eastAsia" w:cs="宋体"/>
                <w:sz w:val="24"/>
                <w:szCs w:val="24"/>
              </w:rPr>
            </w:pPr>
          </w:p>
        </w:tc>
        <w:tc>
          <w:tcPr>
            <w:tcW w:w="906" w:type="dxa"/>
            <w:noWrap w:val="0"/>
            <w:vAlign w:val="center"/>
          </w:tcPr>
          <w:p w14:paraId="1AD57452">
            <w:pPr>
              <w:pStyle w:val="96"/>
              <w:keepNext w:val="0"/>
              <w:keepLines w:val="0"/>
              <w:suppressLineNumbers w:val="0"/>
              <w:spacing w:before="0" w:beforeAutospacing="0" w:afterAutospacing="0" w:line="240" w:lineRule="atLeast"/>
              <w:ind w:left="0" w:right="0"/>
              <w:rPr>
                <w:rFonts w:hint="eastAsia" w:cs="宋体"/>
                <w:sz w:val="24"/>
                <w:szCs w:val="24"/>
              </w:rPr>
            </w:pPr>
          </w:p>
        </w:tc>
        <w:tc>
          <w:tcPr>
            <w:tcW w:w="2245" w:type="dxa"/>
            <w:noWrap w:val="0"/>
            <w:vAlign w:val="center"/>
          </w:tcPr>
          <w:p w14:paraId="04E841FA">
            <w:pPr>
              <w:keepNext w:val="0"/>
              <w:keepLines w:val="0"/>
              <w:widowControl/>
              <w:suppressLineNumbers w:val="0"/>
              <w:spacing w:before="0" w:beforeAutospacing="0" w:afterAutospacing="0" w:line="240" w:lineRule="atLeast"/>
              <w:ind w:left="0" w:right="0"/>
              <w:jc w:val="center"/>
              <w:rPr>
                <w:rFonts w:hint="eastAsia" w:ascii="宋体" w:hAnsi="宋体" w:cs="宋体"/>
                <w:color w:val="auto"/>
                <w:sz w:val="24"/>
                <w:szCs w:val="24"/>
              </w:rPr>
            </w:pPr>
            <w:r>
              <w:rPr>
                <w:rFonts w:hint="eastAsia" w:ascii="宋体" w:hAnsi="宋体" w:cs="宋体"/>
                <w:color w:val="auto"/>
                <w:sz w:val="24"/>
                <w:szCs w:val="24"/>
              </w:rPr>
              <w:t>项目负责人</w:t>
            </w:r>
          </w:p>
        </w:tc>
        <w:tc>
          <w:tcPr>
            <w:tcW w:w="2556" w:type="dxa"/>
            <w:noWrap w:val="0"/>
            <w:vAlign w:val="center"/>
          </w:tcPr>
          <w:p w14:paraId="6F45B5EB">
            <w:pPr>
              <w:pStyle w:val="96"/>
              <w:keepNext w:val="0"/>
              <w:keepLines w:val="0"/>
              <w:suppressLineNumbers w:val="0"/>
              <w:spacing w:before="0" w:beforeAutospacing="0" w:afterAutospacing="0" w:line="240" w:lineRule="atLeast"/>
              <w:ind w:left="0" w:right="0"/>
              <w:rPr>
                <w:rFonts w:hint="eastAsia" w:cs="宋体"/>
                <w:sz w:val="24"/>
                <w:szCs w:val="24"/>
                <w:u w:val="single"/>
              </w:rPr>
            </w:pPr>
          </w:p>
        </w:tc>
      </w:tr>
      <w:tr w14:paraId="50FE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9" w:type="dxa"/>
            <w:noWrap w:val="0"/>
            <w:vAlign w:val="center"/>
          </w:tcPr>
          <w:p w14:paraId="3787535A">
            <w:pPr>
              <w:pStyle w:val="96"/>
              <w:keepNext w:val="0"/>
              <w:keepLines w:val="0"/>
              <w:suppressLineNumbers w:val="0"/>
              <w:spacing w:before="0" w:beforeAutospacing="0" w:afterAutospacing="0" w:line="240" w:lineRule="atLeast"/>
              <w:ind w:left="0" w:right="0"/>
              <w:rPr>
                <w:rFonts w:hint="eastAsia" w:cs="宋体"/>
                <w:sz w:val="24"/>
                <w:szCs w:val="24"/>
              </w:rPr>
            </w:pPr>
          </w:p>
        </w:tc>
        <w:tc>
          <w:tcPr>
            <w:tcW w:w="1703" w:type="dxa"/>
            <w:noWrap w:val="0"/>
            <w:vAlign w:val="center"/>
          </w:tcPr>
          <w:p w14:paraId="1D8DFEA6">
            <w:pPr>
              <w:pStyle w:val="96"/>
              <w:keepNext w:val="0"/>
              <w:keepLines w:val="0"/>
              <w:suppressLineNumbers w:val="0"/>
              <w:spacing w:before="0" w:beforeAutospacing="0" w:afterAutospacing="0" w:line="240" w:lineRule="atLeast"/>
              <w:ind w:left="0" w:right="0"/>
              <w:rPr>
                <w:rFonts w:hint="eastAsia" w:cs="宋体"/>
                <w:sz w:val="24"/>
                <w:szCs w:val="24"/>
              </w:rPr>
            </w:pPr>
          </w:p>
        </w:tc>
        <w:tc>
          <w:tcPr>
            <w:tcW w:w="959" w:type="dxa"/>
            <w:noWrap w:val="0"/>
            <w:vAlign w:val="center"/>
          </w:tcPr>
          <w:p w14:paraId="74C266AA">
            <w:pPr>
              <w:pStyle w:val="96"/>
              <w:keepNext w:val="0"/>
              <w:keepLines w:val="0"/>
              <w:suppressLineNumbers w:val="0"/>
              <w:spacing w:before="0" w:beforeAutospacing="0" w:afterAutospacing="0" w:line="240" w:lineRule="atLeast"/>
              <w:ind w:left="0" w:right="0"/>
              <w:rPr>
                <w:rFonts w:hint="eastAsia" w:cs="宋体"/>
                <w:sz w:val="24"/>
                <w:szCs w:val="24"/>
              </w:rPr>
            </w:pPr>
          </w:p>
        </w:tc>
        <w:tc>
          <w:tcPr>
            <w:tcW w:w="906" w:type="dxa"/>
            <w:noWrap w:val="0"/>
            <w:vAlign w:val="center"/>
          </w:tcPr>
          <w:p w14:paraId="79B4F628">
            <w:pPr>
              <w:pStyle w:val="96"/>
              <w:keepNext w:val="0"/>
              <w:keepLines w:val="0"/>
              <w:suppressLineNumbers w:val="0"/>
              <w:spacing w:before="0" w:beforeAutospacing="0" w:afterAutospacing="0" w:line="240" w:lineRule="atLeast"/>
              <w:ind w:left="0" w:right="0"/>
              <w:rPr>
                <w:rFonts w:hint="eastAsia" w:cs="宋体"/>
                <w:sz w:val="24"/>
                <w:szCs w:val="24"/>
              </w:rPr>
            </w:pPr>
          </w:p>
        </w:tc>
        <w:tc>
          <w:tcPr>
            <w:tcW w:w="2245" w:type="dxa"/>
            <w:noWrap w:val="0"/>
            <w:vAlign w:val="center"/>
          </w:tcPr>
          <w:p w14:paraId="4B2724D8">
            <w:pPr>
              <w:keepNext w:val="0"/>
              <w:keepLines w:val="0"/>
              <w:widowControl/>
              <w:suppressLineNumbers w:val="0"/>
              <w:spacing w:before="0" w:beforeAutospacing="0" w:afterAutospacing="0" w:line="240" w:lineRule="atLeast"/>
              <w:ind w:left="0" w:right="0"/>
              <w:jc w:val="center"/>
              <w:rPr>
                <w:rFonts w:hint="default" w:ascii="宋体" w:hAnsi="宋体" w:eastAsia="宋体" w:cs="宋体"/>
                <w:bCs/>
                <w:color w:val="auto"/>
                <w:sz w:val="24"/>
                <w:szCs w:val="24"/>
              </w:rPr>
            </w:pPr>
            <w:r>
              <w:rPr>
                <w:rFonts w:hint="eastAsia" w:ascii="宋体" w:hAnsi="宋体" w:eastAsia="宋体" w:cs="宋体"/>
                <w:bCs/>
                <w:color w:val="auto"/>
                <w:sz w:val="24"/>
                <w:szCs w:val="24"/>
              </w:rPr>
              <w:t>技术负责人</w:t>
            </w:r>
          </w:p>
        </w:tc>
        <w:tc>
          <w:tcPr>
            <w:tcW w:w="2556" w:type="dxa"/>
            <w:noWrap w:val="0"/>
            <w:vAlign w:val="center"/>
          </w:tcPr>
          <w:p w14:paraId="432678FC">
            <w:pPr>
              <w:pStyle w:val="96"/>
              <w:keepNext w:val="0"/>
              <w:keepLines w:val="0"/>
              <w:suppressLineNumbers w:val="0"/>
              <w:spacing w:before="0" w:beforeAutospacing="0" w:afterAutospacing="0" w:line="240" w:lineRule="atLeast"/>
              <w:ind w:left="0" w:right="0"/>
              <w:rPr>
                <w:rFonts w:hint="eastAsia" w:cs="宋体"/>
                <w:sz w:val="24"/>
                <w:szCs w:val="24"/>
              </w:rPr>
            </w:pPr>
          </w:p>
        </w:tc>
      </w:tr>
      <w:tr w14:paraId="11BD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9" w:type="dxa"/>
            <w:noWrap w:val="0"/>
            <w:vAlign w:val="center"/>
          </w:tcPr>
          <w:p w14:paraId="0DA04114">
            <w:pPr>
              <w:pStyle w:val="96"/>
              <w:keepNext w:val="0"/>
              <w:keepLines w:val="0"/>
              <w:suppressLineNumbers w:val="0"/>
              <w:spacing w:before="0" w:beforeAutospacing="0" w:afterAutospacing="0" w:line="240" w:lineRule="atLeast"/>
              <w:ind w:left="0" w:right="0"/>
              <w:rPr>
                <w:rFonts w:hint="eastAsia" w:cs="宋体"/>
                <w:sz w:val="24"/>
                <w:szCs w:val="24"/>
              </w:rPr>
            </w:pPr>
          </w:p>
        </w:tc>
        <w:tc>
          <w:tcPr>
            <w:tcW w:w="1703" w:type="dxa"/>
            <w:noWrap w:val="0"/>
            <w:vAlign w:val="center"/>
          </w:tcPr>
          <w:p w14:paraId="41F02066">
            <w:pPr>
              <w:pStyle w:val="96"/>
              <w:keepNext w:val="0"/>
              <w:keepLines w:val="0"/>
              <w:suppressLineNumbers w:val="0"/>
              <w:spacing w:before="0" w:beforeAutospacing="0" w:afterAutospacing="0" w:line="240" w:lineRule="atLeast"/>
              <w:ind w:left="0" w:right="0"/>
              <w:rPr>
                <w:rFonts w:hint="eastAsia" w:cs="宋体"/>
                <w:sz w:val="24"/>
                <w:szCs w:val="24"/>
              </w:rPr>
            </w:pPr>
          </w:p>
        </w:tc>
        <w:tc>
          <w:tcPr>
            <w:tcW w:w="959" w:type="dxa"/>
            <w:noWrap w:val="0"/>
            <w:vAlign w:val="center"/>
          </w:tcPr>
          <w:p w14:paraId="0396FF86">
            <w:pPr>
              <w:pStyle w:val="96"/>
              <w:keepNext w:val="0"/>
              <w:keepLines w:val="0"/>
              <w:suppressLineNumbers w:val="0"/>
              <w:spacing w:before="0" w:beforeAutospacing="0" w:afterAutospacing="0" w:line="240" w:lineRule="atLeast"/>
              <w:ind w:left="0" w:right="0"/>
              <w:rPr>
                <w:rFonts w:hint="eastAsia" w:cs="宋体"/>
                <w:sz w:val="24"/>
                <w:szCs w:val="24"/>
              </w:rPr>
            </w:pPr>
          </w:p>
        </w:tc>
        <w:tc>
          <w:tcPr>
            <w:tcW w:w="906" w:type="dxa"/>
            <w:noWrap w:val="0"/>
            <w:vAlign w:val="center"/>
          </w:tcPr>
          <w:p w14:paraId="09A03A71">
            <w:pPr>
              <w:pStyle w:val="96"/>
              <w:keepNext w:val="0"/>
              <w:keepLines w:val="0"/>
              <w:suppressLineNumbers w:val="0"/>
              <w:spacing w:before="0" w:beforeAutospacing="0" w:afterAutospacing="0" w:line="240" w:lineRule="atLeast"/>
              <w:ind w:left="0" w:right="0"/>
              <w:rPr>
                <w:rFonts w:hint="eastAsia" w:cs="宋体"/>
                <w:sz w:val="24"/>
                <w:szCs w:val="24"/>
              </w:rPr>
            </w:pPr>
          </w:p>
        </w:tc>
        <w:tc>
          <w:tcPr>
            <w:tcW w:w="2245" w:type="dxa"/>
            <w:noWrap w:val="0"/>
            <w:vAlign w:val="center"/>
          </w:tcPr>
          <w:p w14:paraId="69B409DF">
            <w:pPr>
              <w:keepNext w:val="0"/>
              <w:keepLines w:val="0"/>
              <w:widowControl/>
              <w:suppressLineNumbers w:val="0"/>
              <w:spacing w:before="0" w:beforeAutospacing="0" w:afterAutospacing="0" w:line="240" w:lineRule="atLeast"/>
              <w:ind w:left="0" w:right="0"/>
              <w:rPr>
                <w:rFonts w:hint="eastAsia" w:ascii="宋体" w:hAnsi="宋体" w:cs="宋体"/>
                <w:bCs/>
                <w:color w:val="auto"/>
                <w:sz w:val="24"/>
                <w:szCs w:val="24"/>
              </w:rPr>
            </w:pPr>
          </w:p>
        </w:tc>
        <w:tc>
          <w:tcPr>
            <w:tcW w:w="2556" w:type="dxa"/>
            <w:noWrap w:val="0"/>
            <w:vAlign w:val="center"/>
          </w:tcPr>
          <w:p w14:paraId="4AAC3AC0">
            <w:pPr>
              <w:pStyle w:val="96"/>
              <w:keepNext w:val="0"/>
              <w:keepLines w:val="0"/>
              <w:suppressLineNumbers w:val="0"/>
              <w:spacing w:before="0" w:beforeAutospacing="0" w:afterAutospacing="0" w:line="240" w:lineRule="atLeast"/>
              <w:ind w:left="0" w:right="0"/>
              <w:rPr>
                <w:rFonts w:hint="eastAsia" w:cs="宋体"/>
                <w:sz w:val="24"/>
                <w:szCs w:val="24"/>
              </w:rPr>
            </w:pPr>
          </w:p>
        </w:tc>
      </w:tr>
      <w:tr w14:paraId="77BA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noWrap w:val="0"/>
            <w:vAlign w:val="center"/>
          </w:tcPr>
          <w:p w14:paraId="52B01452">
            <w:pPr>
              <w:pStyle w:val="96"/>
              <w:keepNext w:val="0"/>
              <w:keepLines w:val="0"/>
              <w:suppressLineNumbers w:val="0"/>
              <w:spacing w:before="0" w:beforeAutospacing="0" w:afterAutospacing="0" w:line="240" w:lineRule="atLeast"/>
              <w:ind w:left="0" w:right="0"/>
              <w:rPr>
                <w:rFonts w:hint="eastAsia" w:cs="宋体"/>
                <w:sz w:val="24"/>
                <w:szCs w:val="24"/>
              </w:rPr>
            </w:pPr>
          </w:p>
        </w:tc>
        <w:tc>
          <w:tcPr>
            <w:tcW w:w="1703" w:type="dxa"/>
            <w:noWrap w:val="0"/>
            <w:vAlign w:val="center"/>
          </w:tcPr>
          <w:p w14:paraId="3EE60B10">
            <w:pPr>
              <w:pStyle w:val="96"/>
              <w:keepNext w:val="0"/>
              <w:keepLines w:val="0"/>
              <w:suppressLineNumbers w:val="0"/>
              <w:spacing w:before="0" w:beforeAutospacing="0" w:afterAutospacing="0" w:line="240" w:lineRule="atLeast"/>
              <w:ind w:left="0" w:right="0"/>
              <w:rPr>
                <w:rFonts w:hint="eastAsia" w:cs="宋体"/>
                <w:sz w:val="24"/>
                <w:szCs w:val="24"/>
              </w:rPr>
            </w:pPr>
          </w:p>
        </w:tc>
        <w:tc>
          <w:tcPr>
            <w:tcW w:w="959" w:type="dxa"/>
            <w:noWrap w:val="0"/>
            <w:vAlign w:val="center"/>
          </w:tcPr>
          <w:p w14:paraId="55EC8F77">
            <w:pPr>
              <w:pStyle w:val="96"/>
              <w:keepNext w:val="0"/>
              <w:keepLines w:val="0"/>
              <w:suppressLineNumbers w:val="0"/>
              <w:spacing w:before="0" w:beforeAutospacing="0" w:afterAutospacing="0" w:line="240" w:lineRule="atLeast"/>
              <w:ind w:left="0" w:right="0"/>
              <w:rPr>
                <w:rFonts w:hint="eastAsia" w:cs="宋体"/>
                <w:sz w:val="24"/>
                <w:szCs w:val="24"/>
              </w:rPr>
            </w:pPr>
          </w:p>
        </w:tc>
        <w:tc>
          <w:tcPr>
            <w:tcW w:w="906" w:type="dxa"/>
            <w:noWrap w:val="0"/>
            <w:vAlign w:val="center"/>
          </w:tcPr>
          <w:p w14:paraId="75262FE1">
            <w:pPr>
              <w:pStyle w:val="96"/>
              <w:keepNext w:val="0"/>
              <w:keepLines w:val="0"/>
              <w:suppressLineNumbers w:val="0"/>
              <w:spacing w:before="0" w:beforeAutospacing="0" w:afterAutospacing="0" w:line="240" w:lineRule="atLeast"/>
              <w:ind w:left="0" w:right="0"/>
              <w:rPr>
                <w:rFonts w:hint="eastAsia" w:cs="宋体"/>
                <w:sz w:val="24"/>
                <w:szCs w:val="24"/>
              </w:rPr>
            </w:pPr>
          </w:p>
        </w:tc>
        <w:tc>
          <w:tcPr>
            <w:tcW w:w="2245" w:type="dxa"/>
            <w:noWrap w:val="0"/>
            <w:vAlign w:val="center"/>
          </w:tcPr>
          <w:p w14:paraId="0FE77BAF">
            <w:pPr>
              <w:keepNext w:val="0"/>
              <w:keepLines w:val="0"/>
              <w:widowControl/>
              <w:suppressLineNumbers w:val="0"/>
              <w:spacing w:before="0" w:beforeAutospacing="0" w:afterAutospacing="0" w:line="240" w:lineRule="atLeast"/>
              <w:ind w:left="0" w:right="0"/>
              <w:rPr>
                <w:rFonts w:hint="eastAsia" w:ascii="宋体" w:hAnsi="宋体" w:cs="宋体"/>
                <w:bCs/>
                <w:color w:val="auto"/>
                <w:sz w:val="24"/>
                <w:szCs w:val="24"/>
              </w:rPr>
            </w:pPr>
            <w:r>
              <w:rPr>
                <w:rFonts w:hint="eastAsia" w:ascii="宋体" w:hAnsi="宋体" w:cs="宋体"/>
                <w:bCs/>
                <w:color w:val="auto"/>
                <w:sz w:val="24"/>
                <w:szCs w:val="24"/>
              </w:rPr>
              <w:t>……</w:t>
            </w:r>
          </w:p>
        </w:tc>
        <w:tc>
          <w:tcPr>
            <w:tcW w:w="2556" w:type="dxa"/>
            <w:noWrap w:val="0"/>
            <w:vAlign w:val="center"/>
          </w:tcPr>
          <w:p w14:paraId="0A6B508D">
            <w:pPr>
              <w:pStyle w:val="96"/>
              <w:keepNext w:val="0"/>
              <w:keepLines w:val="0"/>
              <w:suppressLineNumbers w:val="0"/>
              <w:spacing w:before="0" w:beforeAutospacing="0" w:afterAutospacing="0" w:line="240" w:lineRule="atLeast"/>
              <w:ind w:left="0" w:right="0"/>
              <w:rPr>
                <w:rFonts w:hint="eastAsia" w:cs="宋体"/>
                <w:sz w:val="24"/>
                <w:szCs w:val="24"/>
              </w:rPr>
            </w:pPr>
          </w:p>
        </w:tc>
      </w:tr>
      <w:tr w14:paraId="3D84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9" w:type="dxa"/>
            <w:noWrap w:val="0"/>
            <w:vAlign w:val="center"/>
          </w:tcPr>
          <w:p w14:paraId="7F1585DF">
            <w:pPr>
              <w:pStyle w:val="96"/>
              <w:keepNext w:val="0"/>
              <w:keepLines w:val="0"/>
              <w:suppressLineNumbers w:val="0"/>
              <w:spacing w:before="0" w:beforeAutospacing="0" w:afterAutospacing="0" w:line="240" w:lineRule="atLeast"/>
              <w:ind w:left="0" w:right="0"/>
              <w:rPr>
                <w:rFonts w:hint="eastAsia" w:cs="宋体"/>
                <w:sz w:val="24"/>
                <w:szCs w:val="24"/>
              </w:rPr>
            </w:pPr>
          </w:p>
        </w:tc>
        <w:tc>
          <w:tcPr>
            <w:tcW w:w="1703" w:type="dxa"/>
            <w:noWrap w:val="0"/>
            <w:vAlign w:val="center"/>
          </w:tcPr>
          <w:p w14:paraId="21781EB4">
            <w:pPr>
              <w:pStyle w:val="96"/>
              <w:keepNext w:val="0"/>
              <w:keepLines w:val="0"/>
              <w:suppressLineNumbers w:val="0"/>
              <w:spacing w:before="0" w:beforeAutospacing="0" w:afterAutospacing="0" w:line="240" w:lineRule="atLeast"/>
              <w:ind w:left="0" w:right="0"/>
              <w:rPr>
                <w:rFonts w:hint="eastAsia" w:cs="宋体"/>
                <w:sz w:val="24"/>
                <w:szCs w:val="24"/>
              </w:rPr>
            </w:pPr>
          </w:p>
        </w:tc>
        <w:tc>
          <w:tcPr>
            <w:tcW w:w="959" w:type="dxa"/>
            <w:noWrap w:val="0"/>
            <w:vAlign w:val="center"/>
          </w:tcPr>
          <w:p w14:paraId="3314DEDC">
            <w:pPr>
              <w:pStyle w:val="96"/>
              <w:keepNext w:val="0"/>
              <w:keepLines w:val="0"/>
              <w:suppressLineNumbers w:val="0"/>
              <w:spacing w:before="0" w:beforeAutospacing="0" w:afterAutospacing="0" w:line="240" w:lineRule="atLeast"/>
              <w:ind w:left="0" w:right="0"/>
              <w:rPr>
                <w:rFonts w:hint="eastAsia" w:cs="宋体"/>
                <w:sz w:val="24"/>
                <w:szCs w:val="24"/>
              </w:rPr>
            </w:pPr>
          </w:p>
        </w:tc>
        <w:tc>
          <w:tcPr>
            <w:tcW w:w="906" w:type="dxa"/>
            <w:noWrap w:val="0"/>
            <w:vAlign w:val="center"/>
          </w:tcPr>
          <w:p w14:paraId="3D01E6F8">
            <w:pPr>
              <w:pStyle w:val="96"/>
              <w:keepNext w:val="0"/>
              <w:keepLines w:val="0"/>
              <w:suppressLineNumbers w:val="0"/>
              <w:spacing w:before="0" w:beforeAutospacing="0" w:afterAutospacing="0" w:line="240" w:lineRule="atLeast"/>
              <w:ind w:left="0" w:right="0"/>
              <w:rPr>
                <w:rFonts w:hint="eastAsia" w:cs="宋体"/>
                <w:sz w:val="24"/>
                <w:szCs w:val="24"/>
              </w:rPr>
            </w:pPr>
          </w:p>
        </w:tc>
        <w:tc>
          <w:tcPr>
            <w:tcW w:w="2245" w:type="dxa"/>
            <w:noWrap w:val="0"/>
            <w:vAlign w:val="center"/>
          </w:tcPr>
          <w:p w14:paraId="4D81B846">
            <w:pPr>
              <w:keepNext w:val="0"/>
              <w:keepLines w:val="0"/>
              <w:widowControl/>
              <w:suppressLineNumbers w:val="0"/>
              <w:spacing w:before="0" w:beforeAutospacing="0" w:afterAutospacing="0" w:line="240" w:lineRule="atLeast"/>
              <w:ind w:left="0" w:right="0"/>
              <w:rPr>
                <w:rFonts w:hint="eastAsia" w:ascii="宋体" w:hAnsi="宋体" w:cs="宋体"/>
                <w:bCs/>
                <w:color w:val="auto"/>
                <w:sz w:val="24"/>
                <w:szCs w:val="24"/>
              </w:rPr>
            </w:pPr>
          </w:p>
        </w:tc>
        <w:tc>
          <w:tcPr>
            <w:tcW w:w="2556" w:type="dxa"/>
            <w:noWrap w:val="0"/>
            <w:vAlign w:val="center"/>
          </w:tcPr>
          <w:p w14:paraId="06C8CAAE">
            <w:pPr>
              <w:pStyle w:val="96"/>
              <w:keepNext w:val="0"/>
              <w:keepLines w:val="0"/>
              <w:suppressLineNumbers w:val="0"/>
              <w:spacing w:before="0" w:beforeAutospacing="0" w:afterAutospacing="0" w:line="240" w:lineRule="atLeast"/>
              <w:ind w:left="0" w:right="0"/>
              <w:rPr>
                <w:rFonts w:hint="eastAsia" w:cs="宋体"/>
                <w:sz w:val="24"/>
                <w:szCs w:val="24"/>
              </w:rPr>
            </w:pPr>
          </w:p>
        </w:tc>
      </w:tr>
      <w:tr w14:paraId="074D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9" w:type="dxa"/>
            <w:noWrap w:val="0"/>
            <w:vAlign w:val="center"/>
          </w:tcPr>
          <w:p w14:paraId="09F717C2">
            <w:pPr>
              <w:pStyle w:val="96"/>
              <w:keepNext w:val="0"/>
              <w:keepLines w:val="0"/>
              <w:suppressLineNumbers w:val="0"/>
              <w:spacing w:before="0" w:beforeAutospacing="0" w:afterAutospacing="0" w:line="240" w:lineRule="atLeast"/>
              <w:ind w:left="0" w:right="0"/>
              <w:rPr>
                <w:rFonts w:hint="eastAsia" w:cs="宋体"/>
                <w:sz w:val="24"/>
                <w:szCs w:val="24"/>
              </w:rPr>
            </w:pPr>
          </w:p>
        </w:tc>
        <w:tc>
          <w:tcPr>
            <w:tcW w:w="1703" w:type="dxa"/>
            <w:noWrap w:val="0"/>
            <w:vAlign w:val="center"/>
          </w:tcPr>
          <w:p w14:paraId="02450300">
            <w:pPr>
              <w:pStyle w:val="96"/>
              <w:keepNext w:val="0"/>
              <w:keepLines w:val="0"/>
              <w:suppressLineNumbers w:val="0"/>
              <w:spacing w:before="0" w:beforeAutospacing="0" w:afterAutospacing="0" w:line="240" w:lineRule="atLeast"/>
              <w:ind w:left="0" w:right="0"/>
              <w:rPr>
                <w:rFonts w:hint="eastAsia" w:cs="宋体"/>
                <w:sz w:val="24"/>
                <w:szCs w:val="24"/>
              </w:rPr>
            </w:pPr>
          </w:p>
        </w:tc>
        <w:tc>
          <w:tcPr>
            <w:tcW w:w="959" w:type="dxa"/>
            <w:noWrap w:val="0"/>
            <w:vAlign w:val="center"/>
          </w:tcPr>
          <w:p w14:paraId="5B2F27FE">
            <w:pPr>
              <w:pStyle w:val="96"/>
              <w:keepNext w:val="0"/>
              <w:keepLines w:val="0"/>
              <w:suppressLineNumbers w:val="0"/>
              <w:spacing w:before="0" w:beforeAutospacing="0" w:afterAutospacing="0" w:line="240" w:lineRule="atLeast"/>
              <w:ind w:left="0" w:right="0"/>
              <w:rPr>
                <w:rFonts w:hint="eastAsia" w:cs="宋体"/>
                <w:sz w:val="24"/>
                <w:szCs w:val="24"/>
              </w:rPr>
            </w:pPr>
          </w:p>
        </w:tc>
        <w:tc>
          <w:tcPr>
            <w:tcW w:w="906" w:type="dxa"/>
            <w:noWrap w:val="0"/>
            <w:vAlign w:val="center"/>
          </w:tcPr>
          <w:p w14:paraId="58EB4943">
            <w:pPr>
              <w:pStyle w:val="96"/>
              <w:keepNext w:val="0"/>
              <w:keepLines w:val="0"/>
              <w:suppressLineNumbers w:val="0"/>
              <w:spacing w:before="0" w:beforeAutospacing="0" w:afterAutospacing="0" w:line="240" w:lineRule="atLeast"/>
              <w:ind w:left="0" w:right="0"/>
              <w:rPr>
                <w:rFonts w:hint="eastAsia" w:cs="宋体"/>
                <w:sz w:val="24"/>
                <w:szCs w:val="24"/>
              </w:rPr>
            </w:pPr>
          </w:p>
        </w:tc>
        <w:tc>
          <w:tcPr>
            <w:tcW w:w="2245" w:type="dxa"/>
            <w:noWrap w:val="0"/>
            <w:vAlign w:val="center"/>
          </w:tcPr>
          <w:p w14:paraId="7686BDE1">
            <w:pPr>
              <w:keepNext w:val="0"/>
              <w:keepLines w:val="0"/>
              <w:widowControl/>
              <w:suppressLineNumbers w:val="0"/>
              <w:spacing w:before="0" w:beforeAutospacing="0" w:afterAutospacing="0" w:line="240" w:lineRule="atLeast"/>
              <w:ind w:left="0" w:right="0"/>
              <w:rPr>
                <w:rFonts w:hint="eastAsia" w:ascii="宋体" w:hAnsi="宋体" w:cs="宋体"/>
                <w:bCs/>
                <w:color w:val="auto"/>
                <w:sz w:val="24"/>
                <w:szCs w:val="24"/>
              </w:rPr>
            </w:pPr>
          </w:p>
        </w:tc>
        <w:tc>
          <w:tcPr>
            <w:tcW w:w="2556" w:type="dxa"/>
            <w:noWrap w:val="0"/>
            <w:vAlign w:val="center"/>
          </w:tcPr>
          <w:p w14:paraId="37E97B13">
            <w:pPr>
              <w:pStyle w:val="96"/>
              <w:keepNext w:val="0"/>
              <w:keepLines w:val="0"/>
              <w:suppressLineNumbers w:val="0"/>
              <w:spacing w:before="0" w:beforeAutospacing="0" w:afterAutospacing="0" w:line="240" w:lineRule="atLeast"/>
              <w:ind w:left="0" w:right="0"/>
              <w:rPr>
                <w:rFonts w:hint="eastAsia" w:cs="宋体"/>
                <w:sz w:val="24"/>
                <w:szCs w:val="24"/>
              </w:rPr>
            </w:pPr>
          </w:p>
        </w:tc>
      </w:tr>
      <w:tr w14:paraId="35C6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09" w:type="dxa"/>
            <w:noWrap w:val="0"/>
            <w:vAlign w:val="center"/>
          </w:tcPr>
          <w:p w14:paraId="383FE105">
            <w:pPr>
              <w:pStyle w:val="96"/>
              <w:keepNext w:val="0"/>
              <w:keepLines w:val="0"/>
              <w:suppressLineNumbers w:val="0"/>
              <w:spacing w:before="0" w:beforeAutospacing="0" w:afterAutospacing="0" w:line="240" w:lineRule="atLeast"/>
              <w:ind w:left="0" w:right="0"/>
              <w:rPr>
                <w:rFonts w:hint="eastAsia" w:cs="宋体"/>
                <w:sz w:val="24"/>
                <w:szCs w:val="24"/>
              </w:rPr>
            </w:pPr>
          </w:p>
        </w:tc>
        <w:tc>
          <w:tcPr>
            <w:tcW w:w="1703" w:type="dxa"/>
            <w:noWrap w:val="0"/>
            <w:vAlign w:val="center"/>
          </w:tcPr>
          <w:p w14:paraId="3D0B1F9E">
            <w:pPr>
              <w:pStyle w:val="96"/>
              <w:keepNext w:val="0"/>
              <w:keepLines w:val="0"/>
              <w:suppressLineNumbers w:val="0"/>
              <w:spacing w:before="0" w:beforeAutospacing="0" w:afterAutospacing="0" w:line="240" w:lineRule="atLeast"/>
              <w:ind w:left="0" w:right="0"/>
              <w:rPr>
                <w:rFonts w:hint="eastAsia" w:cs="宋体"/>
                <w:sz w:val="24"/>
                <w:szCs w:val="24"/>
              </w:rPr>
            </w:pPr>
          </w:p>
        </w:tc>
        <w:tc>
          <w:tcPr>
            <w:tcW w:w="959" w:type="dxa"/>
            <w:noWrap w:val="0"/>
            <w:vAlign w:val="center"/>
          </w:tcPr>
          <w:p w14:paraId="02891161">
            <w:pPr>
              <w:pStyle w:val="96"/>
              <w:keepNext w:val="0"/>
              <w:keepLines w:val="0"/>
              <w:suppressLineNumbers w:val="0"/>
              <w:spacing w:before="0" w:beforeAutospacing="0" w:afterAutospacing="0" w:line="240" w:lineRule="atLeast"/>
              <w:ind w:left="0" w:right="0"/>
              <w:rPr>
                <w:rFonts w:hint="eastAsia" w:cs="宋体"/>
                <w:sz w:val="24"/>
                <w:szCs w:val="24"/>
              </w:rPr>
            </w:pPr>
          </w:p>
        </w:tc>
        <w:tc>
          <w:tcPr>
            <w:tcW w:w="906" w:type="dxa"/>
            <w:noWrap w:val="0"/>
            <w:vAlign w:val="center"/>
          </w:tcPr>
          <w:p w14:paraId="00F1DF3E">
            <w:pPr>
              <w:pStyle w:val="96"/>
              <w:keepNext w:val="0"/>
              <w:keepLines w:val="0"/>
              <w:suppressLineNumbers w:val="0"/>
              <w:spacing w:before="0" w:beforeAutospacing="0" w:afterAutospacing="0" w:line="240" w:lineRule="atLeast"/>
              <w:ind w:left="0" w:right="0"/>
              <w:rPr>
                <w:rFonts w:hint="eastAsia" w:cs="宋体"/>
                <w:sz w:val="24"/>
                <w:szCs w:val="24"/>
              </w:rPr>
            </w:pPr>
          </w:p>
        </w:tc>
        <w:tc>
          <w:tcPr>
            <w:tcW w:w="2245" w:type="dxa"/>
            <w:noWrap w:val="0"/>
            <w:vAlign w:val="center"/>
          </w:tcPr>
          <w:p w14:paraId="1C7763C9">
            <w:pPr>
              <w:keepNext w:val="0"/>
              <w:keepLines w:val="0"/>
              <w:widowControl/>
              <w:suppressLineNumbers w:val="0"/>
              <w:spacing w:before="0" w:beforeAutospacing="0" w:afterAutospacing="0" w:line="240" w:lineRule="atLeast"/>
              <w:ind w:left="0" w:right="0"/>
              <w:rPr>
                <w:rFonts w:hint="eastAsia" w:ascii="宋体" w:hAnsi="宋体" w:cs="宋体"/>
                <w:bCs/>
                <w:color w:val="auto"/>
                <w:sz w:val="24"/>
                <w:szCs w:val="24"/>
              </w:rPr>
            </w:pPr>
          </w:p>
        </w:tc>
        <w:tc>
          <w:tcPr>
            <w:tcW w:w="2556" w:type="dxa"/>
            <w:noWrap w:val="0"/>
            <w:vAlign w:val="center"/>
          </w:tcPr>
          <w:p w14:paraId="4DA970F7">
            <w:pPr>
              <w:pStyle w:val="96"/>
              <w:keepNext w:val="0"/>
              <w:keepLines w:val="0"/>
              <w:suppressLineNumbers w:val="0"/>
              <w:spacing w:before="0" w:beforeAutospacing="0" w:afterAutospacing="0" w:line="240" w:lineRule="atLeast"/>
              <w:ind w:left="0" w:right="0"/>
              <w:rPr>
                <w:rFonts w:hint="eastAsia" w:cs="宋体"/>
                <w:sz w:val="24"/>
                <w:szCs w:val="24"/>
              </w:rPr>
            </w:pPr>
          </w:p>
        </w:tc>
      </w:tr>
    </w:tbl>
    <w:p w14:paraId="5DB87AB8">
      <w:pPr>
        <w:pStyle w:val="74"/>
        <w:spacing w:line="300" w:lineRule="exact"/>
        <w:ind w:firstLine="436"/>
        <w:rPr>
          <w:rFonts w:hint="eastAsia" w:ascii="宋体" w:hAnsi="宋体" w:cs="宋体"/>
          <w:sz w:val="21"/>
          <w:szCs w:val="21"/>
        </w:rPr>
      </w:pPr>
      <w:r>
        <w:rPr>
          <w:rFonts w:hint="eastAsia" w:ascii="宋体" w:hAnsi="宋体" w:cs="宋体"/>
          <w:sz w:val="21"/>
          <w:szCs w:val="21"/>
        </w:rPr>
        <w:t>注：</w:t>
      </w:r>
      <w:r>
        <w:rPr>
          <w:rFonts w:hint="eastAsia" w:ascii="宋体" w:hAnsi="宋体"/>
        </w:rPr>
        <w:t>需根据评分表备注的评审评分材料要求提供相应证明材料。</w:t>
      </w:r>
    </w:p>
    <w:p w14:paraId="5C561110">
      <w:pPr>
        <w:jc w:val="center"/>
        <w:rPr>
          <w:rFonts w:hint="eastAsia" w:ascii="宋体" w:hAnsi="宋体" w:eastAsia="宋体"/>
          <w:b/>
          <w:bCs/>
          <w:sz w:val="32"/>
          <w:szCs w:val="32"/>
        </w:rPr>
      </w:pPr>
      <w:r>
        <w:rPr>
          <w:rFonts w:hint="eastAsia" w:ascii="宋体" w:hAnsi="宋体"/>
        </w:rPr>
        <w:br w:type="page"/>
      </w:r>
      <w:r>
        <w:rPr>
          <w:rFonts w:hint="eastAsia" w:ascii="宋体" w:hAnsi="宋体" w:eastAsia="宋体"/>
          <w:b/>
          <w:bCs/>
          <w:sz w:val="32"/>
          <w:szCs w:val="32"/>
        </w:rPr>
        <w:t>主要人员简历表（如有，除项目负责人）</w:t>
      </w:r>
    </w:p>
    <w:tbl>
      <w:tblPr>
        <w:tblStyle w:val="39"/>
        <w:tblW w:w="0" w:type="auto"/>
        <w:tblInd w:w="133" w:type="dxa"/>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
      <w:tblGrid>
        <w:gridCol w:w="1203"/>
        <w:gridCol w:w="1683"/>
        <w:gridCol w:w="373"/>
        <w:gridCol w:w="428"/>
        <w:gridCol w:w="1633"/>
        <w:gridCol w:w="1768"/>
        <w:gridCol w:w="292"/>
        <w:gridCol w:w="2058"/>
      </w:tblGrid>
      <w:tr w14:paraId="48EBAAF5">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66" w:hRule="atLeast"/>
        </w:trPr>
        <w:tc>
          <w:tcPr>
            <w:tcW w:w="1203" w:type="dxa"/>
            <w:noWrap w:val="0"/>
            <w:tcMar>
              <w:top w:w="0" w:type="dxa"/>
              <w:left w:w="0" w:type="dxa"/>
              <w:bottom w:w="0" w:type="dxa"/>
              <w:right w:w="0" w:type="dxa"/>
            </w:tcMar>
            <w:vAlign w:val="center"/>
          </w:tcPr>
          <w:p w14:paraId="43716AE3">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姓名</w:t>
            </w:r>
          </w:p>
        </w:tc>
        <w:tc>
          <w:tcPr>
            <w:tcW w:w="1683" w:type="dxa"/>
            <w:noWrap w:val="0"/>
            <w:tcMar>
              <w:top w:w="0" w:type="dxa"/>
              <w:left w:w="0" w:type="dxa"/>
              <w:bottom w:w="0" w:type="dxa"/>
              <w:right w:w="0" w:type="dxa"/>
            </w:tcMar>
            <w:vAlign w:val="center"/>
          </w:tcPr>
          <w:p w14:paraId="14E4EE24">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p>
        </w:tc>
        <w:tc>
          <w:tcPr>
            <w:tcW w:w="801" w:type="dxa"/>
            <w:gridSpan w:val="2"/>
            <w:noWrap w:val="0"/>
            <w:tcMar>
              <w:top w:w="0" w:type="dxa"/>
              <w:left w:w="0" w:type="dxa"/>
              <w:bottom w:w="0" w:type="dxa"/>
              <w:right w:w="0" w:type="dxa"/>
            </w:tcMar>
            <w:vAlign w:val="center"/>
          </w:tcPr>
          <w:p w14:paraId="7496A065">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年龄</w:t>
            </w:r>
          </w:p>
        </w:tc>
        <w:tc>
          <w:tcPr>
            <w:tcW w:w="1633" w:type="dxa"/>
            <w:noWrap w:val="0"/>
            <w:tcMar>
              <w:top w:w="0" w:type="dxa"/>
              <w:left w:w="0" w:type="dxa"/>
              <w:bottom w:w="0" w:type="dxa"/>
              <w:right w:w="0" w:type="dxa"/>
            </w:tcMar>
            <w:vAlign w:val="center"/>
          </w:tcPr>
          <w:p w14:paraId="616F10F8">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p>
        </w:tc>
        <w:tc>
          <w:tcPr>
            <w:tcW w:w="1768" w:type="dxa"/>
            <w:noWrap w:val="0"/>
            <w:tcMar>
              <w:top w:w="0" w:type="dxa"/>
              <w:left w:w="0" w:type="dxa"/>
              <w:bottom w:w="0" w:type="dxa"/>
              <w:right w:w="0" w:type="dxa"/>
            </w:tcMar>
            <w:vAlign w:val="center"/>
          </w:tcPr>
          <w:p w14:paraId="364BFABE">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出生日期</w:t>
            </w:r>
          </w:p>
        </w:tc>
        <w:tc>
          <w:tcPr>
            <w:tcW w:w="2350" w:type="dxa"/>
            <w:gridSpan w:val="2"/>
            <w:noWrap w:val="0"/>
            <w:tcMar>
              <w:top w:w="0" w:type="dxa"/>
              <w:left w:w="0" w:type="dxa"/>
              <w:bottom w:w="0" w:type="dxa"/>
              <w:right w:w="0" w:type="dxa"/>
            </w:tcMar>
            <w:vAlign w:val="center"/>
          </w:tcPr>
          <w:p w14:paraId="02F3AD5A">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p>
        </w:tc>
      </w:tr>
      <w:tr w14:paraId="58EF7F66">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63" w:hRule="atLeast"/>
        </w:trPr>
        <w:tc>
          <w:tcPr>
            <w:tcW w:w="1203" w:type="dxa"/>
            <w:noWrap w:val="0"/>
            <w:tcMar>
              <w:top w:w="0" w:type="dxa"/>
              <w:left w:w="0" w:type="dxa"/>
              <w:bottom w:w="0" w:type="dxa"/>
              <w:right w:w="0" w:type="dxa"/>
            </w:tcMar>
            <w:vAlign w:val="center"/>
          </w:tcPr>
          <w:p w14:paraId="6A7C3104">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最高学历</w:t>
            </w:r>
          </w:p>
        </w:tc>
        <w:tc>
          <w:tcPr>
            <w:tcW w:w="1683" w:type="dxa"/>
            <w:noWrap w:val="0"/>
            <w:tcMar>
              <w:top w:w="0" w:type="dxa"/>
              <w:left w:w="0" w:type="dxa"/>
              <w:bottom w:w="0" w:type="dxa"/>
              <w:right w:w="0" w:type="dxa"/>
            </w:tcMar>
            <w:vAlign w:val="center"/>
          </w:tcPr>
          <w:p w14:paraId="7C19B0AF">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p>
        </w:tc>
        <w:tc>
          <w:tcPr>
            <w:tcW w:w="801" w:type="dxa"/>
            <w:gridSpan w:val="2"/>
            <w:noWrap w:val="0"/>
            <w:tcMar>
              <w:top w:w="0" w:type="dxa"/>
              <w:left w:w="0" w:type="dxa"/>
              <w:bottom w:w="0" w:type="dxa"/>
              <w:right w:w="0" w:type="dxa"/>
            </w:tcMar>
            <w:vAlign w:val="center"/>
          </w:tcPr>
          <w:p w14:paraId="56BCD035">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专业</w:t>
            </w:r>
          </w:p>
        </w:tc>
        <w:tc>
          <w:tcPr>
            <w:tcW w:w="1633" w:type="dxa"/>
            <w:noWrap w:val="0"/>
            <w:tcMar>
              <w:top w:w="0" w:type="dxa"/>
              <w:left w:w="0" w:type="dxa"/>
              <w:bottom w:w="0" w:type="dxa"/>
              <w:right w:w="0" w:type="dxa"/>
            </w:tcMar>
            <w:vAlign w:val="center"/>
          </w:tcPr>
          <w:p w14:paraId="2FCB9253">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p>
        </w:tc>
        <w:tc>
          <w:tcPr>
            <w:tcW w:w="1768" w:type="dxa"/>
            <w:noWrap w:val="0"/>
            <w:tcMar>
              <w:top w:w="0" w:type="dxa"/>
              <w:left w:w="0" w:type="dxa"/>
              <w:bottom w:w="0" w:type="dxa"/>
              <w:right w:w="0" w:type="dxa"/>
            </w:tcMar>
            <w:vAlign w:val="center"/>
          </w:tcPr>
          <w:p w14:paraId="001C8B0D">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职称</w:t>
            </w:r>
          </w:p>
        </w:tc>
        <w:tc>
          <w:tcPr>
            <w:tcW w:w="2350" w:type="dxa"/>
            <w:gridSpan w:val="2"/>
            <w:noWrap w:val="0"/>
            <w:tcMar>
              <w:top w:w="0" w:type="dxa"/>
              <w:left w:w="0" w:type="dxa"/>
              <w:bottom w:w="0" w:type="dxa"/>
              <w:right w:w="0" w:type="dxa"/>
            </w:tcMar>
            <w:vAlign w:val="center"/>
          </w:tcPr>
          <w:p w14:paraId="4A9EF370">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p>
        </w:tc>
      </w:tr>
      <w:tr w14:paraId="061E2848">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923" w:hRule="atLeast"/>
        </w:trPr>
        <w:tc>
          <w:tcPr>
            <w:tcW w:w="1203" w:type="dxa"/>
            <w:noWrap w:val="0"/>
            <w:tcMar>
              <w:top w:w="0" w:type="dxa"/>
              <w:left w:w="0" w:type="dxa"/>
              <w:bottom w:w="0" w:type="dxa"/>
              <w:right w:w="0" w:type="dxa"/>
            </w:tcMar>
            <w:vAlign w:val="center"/>
          </w:tcPr>
          <w:p w14:paraId="43D96C93">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相关注</w:t>
            </w:r>
          </w:p>
          <w:p w14:paraId="32B1162C">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册资格</w:t>
            </w:r>
          </w:p>
        </w:tc>
        <w:tc>
          <w:tcPr>
            <w:tcW w:w="8235" w:type="dxa"/>
            <w:gridSpan w:val="7"/>
            <w:noWrap w:val="0"/>
            <w:tcMar>
              <w:top w:w="0" w:type="dxa"/>
              <w:left w:w="0" w:type="dxa"/>
              <w:bottom w:w="0" w:type="dxa"/>
              <w:right w:w="0" w:type="dxa"/>
            </w:tcMar>
            <w:vAlign w:val="center"/>
          </w:tcPr>
          <w:p w14:paraId="3E76DEB5">
            <w:pPr>
              <w:keepNext w:val="0"/>
              <w:keepLines w:val="0"/>
              <w:widowControl/>
              <w:suppressLineNumbers w:val="0"/>
              <w:adjustRightInd w:val="0"/>
              <w:snapToGrid w:val="0"/>
              <w:spacing w:before="0" w:beforeAutospacing="0" w:afterAutospacing="0"/>
              <w:ind w:left="0" w:right="0"/>
              <w:rPr>
                <w:rFonts w:hint="default" w:ascii="宋体" w:hAnsi="宋体" w:cs="宋体"/>
                <w:color w:val="auto"/>
                <w:kern w:val="0"/>
                <w:sz w:val="21"/>
                <w:szCs w:val="21"/>
              </w:rPr>
            </w:pPr>
            <w:r>
              <w:rPr>
                <w:rFonts w:hint="eastAsia" w:ascii="宋体" w:hAnsi="宋体" w:cs="宋体"/>
                <w:color w:val="auto"/>
                <w:kern w:val="0"/>
                <w:sz w:val="21"/>
                <w:szCs w:val="21"/>
              </w:rPr>
              <w:t xml:space="preserve">   </w:t>
            </w:r>
          </w:p>
        </w:tc>
      </w:tr>
      <w:tr w14:paraId="31B6887C">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178" w:hRule="atLeast"/>
        </w:trPr>
        <w:tc>
          <w:tcPr>
            <w:tcW w:w="1203" w:type="dxa"/>
            <w:noWrap w:val="0"/>
            <w:tcMar>
              <w:top w:w="0" w:type="dxa"/>
              <w:left w:w="0" w:type="dxa"/>
              <w:bottom w:w="0" w:type="dxa"/>
              <w:right w:w="0" w:type="dxa"/>
            </w:tcMar>
            <w:vAlign w:val="center"/>
          </w:tcPr>
          <w:p w14:paraId="23D7AB65">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工作</w:t>
            </w:r>
          </w:p>
          <w:p w14:paraId="46831BA8">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简历</w:t>
            </w:r>
          </w:p>
        </w:tc>
        <w:tc>
          <w:tcPr>
            <w:tcW w:w="8235" w:type="dxa"/>
            <w:gridSpan w:val="7"/>
            <w:noWrap w:val="0"/>
            <w:tcMar>
              <w:top w:w="0" w:type="dxa"/>
              <w:left w:w="0" w:type="dxa"/>
              <w:bottom w:w="0" w:type="dxa"/>
              <w:right w:w="0" w:type="dxa"/>
            </w:tcMar>
            <w:vAlign w:val="center"/>
          </w:tcPr>
          <w:p w14:paraId="468DCC55">
            <w:pPr>
              <w:keepNext w:val="0"/>
              <w:keepLines w:val="0"/>
              <w:widowControl/>
              <w:suppressLineNumbers w:val="0"/>
              <w:adjustRightInd w:val="0"/>
              <w:snapToGrid w:val="0"/>
              <w:spacing w:before="0" w:beforeAutospacing="0" w:afterAutospacing="0"/>
              <w:ind w:left="0" w:right="0"/>
              <w:rPr>
                <w:rFonts w:hint="default" w:ascii="宋体" w:hAnsi="宋体" w:cs="宋体"/>
                <w:color w:val="auto"/>
                <w:kern w:val="0"/>
                <w:sz w:val="21"/>
                <w:szCs w:val="21"/>
              </w:rPr>
            </w:pPr>
            <w:r>
              <w:rPr>
                <w:rFonts w:hint="eastAsia" w:ascii="宋体" w:hAnsi="宋体" w:cs="宋体"/>
                <w:color w:val="auto"/>
                <w:kern w:val="0"/>
                <w:sz w:val="21"/>
                <w:szCs w:val="21"/>
              </w:rPr>
              <w:t xml:space="preserve">   </w:t>
            </w:r>
          </w:p>
        </w:tc>
      </w:tr>
      <w:tr w14:paraId="3F759749">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93" w:hRule="atLeast"/>
        </w:trPr>
        <w:tc>
          <w:tcPr>
            <w:tcW w:w="1203" w:type="dxa"/>
            <w:vMerge w:val="restart"/>
            <w:noWrap w:val="0"/>
            <w:tcMar>
              <w:top w:w="0" w:type="dxa"/>
              <w:left w:w="0" w:type="dxa"/>
              <w:bottom w:w="0" w:type="dxa"/>
              <w:right w:w="0" w:type="dxa"/>
            </w:tcMar>
            <w:vAlign w:val="center"/>
          </w:tcPr>
          <w:p w14:paraId="00335C31">
            <w:pPr>
              <w:keepNext w:val="0"/>
              <w:keepLines w:val="0"/>
              <w:widowControl/>
              <w:suppressLineNumbers w:val="0"/>
              <w:adjustRightInd w:val="0"/>
              <w:snapToGrid w:val="0"/>
              <w:spacing w:before="0" w:beforeAutospacing="0" w:afterAutospacing="0"/>
              <w:ind w:left="0" w:right="0"/>
              <w:jc w:val="center"/>
              <w:rPr>
                <w:rFonts w:hint="eastAsia" w:ascii="宋体" w:hAnsi="宋体" w:eastAsia="宋体" w:cs="宋体"/>
                <w:color w:val="auto"/>
                <w:kern w:val="0"/>
                <w:sz w:val="21"/>
                <w:szCs w:val="21"/>
              </w:rPr>
            </w:pPr>
            <w:r>
              <w:rPr>
                <w:rFonts w:hint="eastAsia" w:ascii="宋体" w:hAnsi="宋体" w:cs="宋体"/>
                <w:color w:val="auto"/>
                <w:kern w:val="0"/>
                <w:sz w:val="21"/>
                <w:szCs w:val="21"/>
              </w:rPr>
              <w:t>现在</w:t>
            </w:r>
            <w:r>
              <w:rPr>
                <w:rFonts w:hint="eastAsia" w:ascii="宋体" w:hAnsi="宋体" w:eastAsia="宋体" w:cs="宋体"/>
                <w:color w:val="auto"/>
                <w:kern w:val="0"/>
                <w:sz w:val="21"/>
                <w:szCs w:val="21"/>
              </w:rPr>
              <w:t>在建</w:t>
            </w:r>
          </w:p>
          <w:p w14:paraId="49083628">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业务</w:t>
            </w:r>
          </w:p>
          <w:p w14:paraId="2D126014">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的状况</w:t>
            </w:r>
          </w:p>
        </w:tc>
        <w:tc>
          <w:tcPr>
            <w:tcW w:w="2056" w:type="dxa"/>
            <w:gridSpan w:val="2"/>
            <w:noWrap w:val="0"/>
            <w:tcMar>
              <w:top w:w="0" w:type="dxa"/>
              <w:left w:w="0" w:type="dxa"/>
              <w:bottom w:w="0" w:type="dxa"/>
              <w:right w:w="0" w:type="dxa"/>
            </w:tcMar>
            <w:vAlign w:val="center"/>
          </w:tcPr>
          <w:p w14:paraId="1F48955E">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业务名称</w:t>
            </w:r>
          </w:p>
        </w:tc>
        <w:tc>
          <w:tcPr>
            <w:tcW w:w="2061" w:type="dxa"/>
            <w:gridSpan w:val="2"/>
            <w:noWrap w:val="0"/>
            <w:vAlign w:val="center"/>
          </w:tcPr>
          <w:p w14:paraId="4A594048">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业主名称</w:t>
            </w:r>
          </w:p>
        </w:tc>
        <w:tc>
          <w:tcPr>
            <w:tcW w:w="2060" w:type="dxa"/>
            <w:gridSpan w:val="2"/>
            <w:noWrap w:val="0"/>
            <w:vAlign w:val="center"/>
          </w:tcPr>
          <w:p w14:paraId="7AF1E86D">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业务金额</w:t>
            </w:r>
          </w:p>
        </w:tc>
        <w:tc>
          <w:tcPr>
            <w:tcW w:w="2058" w:type="dxa"/>
            <w:noWrap w:val="0"/>
            <w:vAlign w:val="center"/>
          </w:tcPr>
          <w:p w14:paraId="2CB6FDBD">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预</w:t>
            </w:r>
            <w:r>
              <w:rPr>
                <w:rFonts w:hint="eastAsia" w:ascii="宋体" w:hAnsi="宋体" w:eastAsia="宋体" w:cs="宋体"/>
                <w:color w:val="auto"/>
                <w:kern w:val="0"/>
                <w:sz w:val="21"/>
                <w:szCs w:val="21"/>
              </w:rPr>
              <w:t>计</w:t>
            </w:r>
            <w:r>
              <w:rPr>
                <w:rFonts w:hint="eastAsia" w:ascii="宋体" w:hAnsi="宋体" w:cs="宋体"/>
                <w:color w:val="auto"/>
                <w:kern w:val="0"/>
                <w:sz w:val="21"/>
                <w:szCs w:val="21"/>
              </w:rPr>
              <w:t>完成时间</w:t>
            </w:r>
          </w:p>
        </w:tc>
      </w:tr>
      <w:tr w14:paraId="07AE9D2D">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602" w:hRule="atLeast"/>
        </w:trPr>
        <w:tc>
          <w:tcPr>
            <w:tcW w:w="1203" w:type="dxa"/>
            <w:vMerge w:val="continue"/>
            <w:noWrap w:val="0"/>
            <w:tcMar>
              <w:top w:w="0" w:type="dxa"/>
              <w:left w:w="0" w:type="dxa"/>
              <w:bottom w:w="0" w:type="dxa"/>
              <w:right w:w="0" w:type="dxa"/>
            </w:tcMar>
            <w:vAlign w:val="center"/>
          </w:tcPr>
          <w:p w14:paraId="1E59381E">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p>
        </w:tc>
        <w:tc>
          <w:tcPr>
            <w:tcW w:w="2056" w:type="dxa"/>
            <w:gridSpan w:val="2"/>
            <w:noWrap w:val="0"/>
            <w:tcMar>
              <w:top w:w="0" w:type="dxa"/>
              <w:left w:w="0" w:type="dxa"/>
              <w:bottom w:w="0" w:type="dxa"/>
              <w:right w:w="0" w:type="dxa"/>
            </w:tcMar>
            <w:vAlign w:val="center"/>
          </w:tcPr>
          <w:p w14:paraId="2519C5C2">
            <w:pPr>
              <w:keepNext w:val="0"/>
              <w:keepLines w:val="0"/>
              <w:widowControl/>
              <w:suppressLineNumbers w:val="0"/>
              <w:adjustRightInd w:val="0"/>
              <w:snapToGrid w:val="0"/>
              <w:spacing w:before="0" w:beforeAutospacing="0" w:afterAutospacing="0" w:line="400" w:lineRule="exact"/>
              <w:ind w:left="0" w:right="0"/>
              <w:jc w:val="center"/>
              <w:rPr>
                <w:rFonts w:hint="default" w:ascii="宋体" w:hAnsi="宋体" w:cs="宋体"/>
                <w:color w:val="auto"/>
                <w:kern w:val="0"/>
                <w:sz w:val="21"/>
                <w:szCs w:val="21"/>
              </w:rPr>
            </w:pPr>
          </w:p>
        </w:tc>
        <w:tc>
          <w:tcPr>
            <w:tcW w:w="2061" w:type="dxa"/>
            <w:gridSpan w:val="2"/>
            <w:noWrap w:val="0"/>
            <w:vAlign w:val="center"/>
          </w:tcPr>
          <w:p w14:paraId="29648EFC">
            <w:pPr>
              <w:keepNext w:val="0"/>
              <w:keepLines w:val="0"/>
              <w:widowControl/>
              <w:suppressLineNumbers w:val="0"/>
              <w:adjustRightInd w:val="0"/>
              <w:snapToGrid w:val="0"/>
              <w:spacing w:before="0" w:beforeAutospacing="0" w:afterAutospacing="0" w:line="400" w:lineRule="exact"/>
              <w:ind w:left="0" w:right="0"/>
              <w:jc w:val="center"/>
              <w:rPr>
                <w:rFonts w:hint="default" w:ascii="宋体" w:hAnsi="宋体" w:cs="宋体"/>
                <w:color w:val="auto"/>
                <w:kern w:val="0"/>
                <w:sz w:val="21"/>
                <w:szCs w:val="21"/>
              </w:rPr>
            </w:pPr>
          </w:p>
        </w:tc>
        <w:tc>
          <w:tcPr>
            <w:tcW w:w="2060" w:type="dxa"/>
            <w:gridSpan w:val="2"/>
            <w:noWrap w:val="0"/>
            <w:vAlign w:val="center"/>
          </w:tcPr>
          <w:p w14:paraId="35AB23E0">
            <w:pPr>
              <w:keepNext w:val="0"/>
              <w:keepLines w:val="0"/>
              <w:widowControl/>
              <w:suppressLineNumbers w:val="0"/>
              <w:adjustRightInd w:val="0"/>
              <w:snapToGrid w:val="0"/>
              <w:spacing w:before="0" w:beforeAutospacing="0" w:afterAutospacing="0" w:line="400" w:lineRule="exact"/>
              <w:ind w:left="0" w:right="0"/>
              <w:jc w:val="center"/>
              <w:rPr>
                <w:rFonts w:hint="default" w:ascii="宋体" w:hAnsi="宋体" w:cs="宋体"/>
                <w:color w:val="auto"/>
                <w:kern w:val="0"/>
                <w:sz w:val="21"/>
                <w:szCs w:val="21"/>
              </w:rPr>
            </w:pPr>
          </w:p>
        </w:tc>
        <w:tc>
          <w:tcPr>
            <w:tcW w:w="2058" w:type="dxa"/>
            <w:noWrap w:val="0"/>
            <w:vAlign w:val="center"/>
          </w:tcPr>
          <w:p w14:paraId="499485A7">
            <w:pPr>
              <w:keepNext w:val="0"/>
              <w:keepLines w:val="0"/>
              <w:widowControl/>
              <w:suppressLineNumbers w:val="0"/>
              <w:adjustRightInd w:val="0"/>
              <w:snapToGrid w:val="0"/>
              <w:spacing w:before="0" w:beforeAutospacing="0" w:afterAutospacing="0" w:line="400" w:lineRule="exact"/>
              <w:ind w:left="0" w:right="0"/>
              <w:jc w:val="center"/>
              <w:rPr>
                <w:rFonts w:hint="default" w:ascii="宋体" w:hAnsi="宋体" w:cs="宋体"/>
                <w:color w:val="auto"/>
                <w:kern w:val="0"/>
                <w:sz w:val="21"/>
                <w:szCs w:val="21"/>
              </w:rPr>
            </w:pPr>
          </w:p>
        </w:tc>
      </w:tr>
      <w:tr w14:paraId="36650222">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602" w:hRule="atLeast"/>
        </w:trPr>
        <w:tc>
          <w:tcPr>
            <w:tcW w:w="1203" w:type="dxa"/>
            <w:vMerge w:val="continue"/>
            <w:noWrap w:val="0"/>
            <w:tcMar>
              <w:top w:w="0" w:type="dxa"/>
              <w:left w:w="0" w:type="dxa"/>
              <w:bottom w:w="0" w:type="dxa"/>
              <w:right w:w="0" w:type="dxa"/>
            </w:tcMar>
            <w:vAlign w:val="center"/>
          </w:tcPr>
          <w:p w14:paraId="67702ECB">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p>
        </w:tc>
        <w:tc>
          <w:tcPr>
            <w:tcW w:w="2056" w:type="dxa"/>
            <w:gridSpan w:val="2"/>
            <w:noWrap w:val="0"/>
            <w:tcMar>
              <w:top w:w="0" w:type="dxa"/>
              <w:left w:w="0" w:type="dxa"/>
              <w:bottom w:w="0" w:type="dxa"/>
              <w:right w:w="0" w:type="dxa"/>
            </w:tcMar>
            <w:vAlign w:val="center"/>
          </w:tcPr>
          <w:p w14:paraId="60350D22">
            <w:pPr>
              <w:keepNext w:val="0"/>
              <w:keepLines w:val="0"/>
              <w:widowControl/>
              <w:suppressLineNumbers w:val="0"/>
              <w:adjustRightInd w:val="0"/>
              <w:snapToGrid w:val="0"/>
              <w:spacing w:before="0" w:beforeAutospacing="0" w:afterAutospacing="0" w:line="400" w:lineRule="exact"/>
              <w:ind w:left="0" w:right="0"/>
              <w:jc w:val="center"/>
              <w:rPr>
                <w:rFonts w:hint="default" w:ascii="宋体" w:hAnsi="宋体" w:cs="宋体"/>
                <w:color w:val="auto"/>
                <w:kern w:val="0"/>
                <w:sz w:val="21"/>
                <w:szCs w:val="21"/>
              </w:rPr>
            </w:pPr>
          </w:p>
        </w:tc>
        <w:tc>
          <w:tcPr>
            <w:tcW w:w="2061" w:type="dxa"/>
            <w:gridSpan w:val="2"/>
            <w:noWrap w:val="0"/>
            <w:vAlign w:val="center"/>
          </w:tcPr>
          <w:p w14:paraId="30A7971F">
            <w:pPr>
              <w:keepNext w:val="0"/>
              <w:keepLines w:val="0"/>
              <w:widowControl/>
              <w:suppressLineNumbers w:val="0"/>
              <w:adjustRightInd w:val="0"/>
              <w:snapToGrid w:val="0"/>
              <w:spacing w:before="0" w:beforeAutospacing="0" w:afterAutospacing="0" w:line="400" w:lineRule="exact"/>
              <w:ind w:left="0" w:right="0"/>
              <w:jc w:val="center"/>
              <w:rPr>
                <w:rFonts w:hint="default" w:ascii="宋体" w:hAnsi="宋体" w:cs="宋体"/>
                <w:color w:val="auto"/>
                <w:kern w:val="0"/>
                <w:sz w:val="21"/>
                <w:szCs w:val="21"/>
              </w:rPr>
            </w:pPr>
          </w:p>
        </w:tc>
        <w:tc>
          <w:tcPr>
            <w:tcW w:w="2060" w:type="dxa"/>
            <w:gridSpan w:val="2"/>
            <w:noWrap w:val="0"/>
            <w:vAlign w:val="center"/>
          </w:tcPr>
          <w:p w14:paraId="51035B0B">
            <w:pPr>
              <w:keepNext w:val="0"/>
              <w:keepLines w:val="0"/>
              <w:widowControl/>
              <w:suppressLineNumbers w:val="0"/>
              <w:adjustRightInd w:val="0"/>
              <w:snapToGrid w:val="0"/>
              <w:spacing w:before="0" w:beforeAutospacing="0" w:afterAutospacing="0" w:line="400" w:lineRule="exact"/>
              <w:ind w:left="0" w:right="0"/>
              <w:jc w:val="center"/>
              <w:rPr>
                <w:rFonts w:hint="default" w:ascii="宋体" w:hAnsi="宋体" w:cs="宋体"/>
                <w:color w:val="auto"/>
                <w:kern w:val="0"/>
                <w:sz w:val="21"/>
                <w:szCs w:val="21"/>
              </w:rPr>
            </w:pPr>
          </w:p>
        </w:tc>
        <w:tc>
          <w:tcPr>
            <w:tcW w:w="2058" w:type="dxa"/>
            <w:noWrap w:val="0"/>
            <w:vAlign w:val="center"/>
          </w:tcPr>
          <w:p w14:paraId="17A200B0">
            <w:pPr>
              <w:keepNext w:val="0"/>
              <w:keepLines w:val="0"/>
              <w:widowControl/>
              <w:suppressLineNumbers w:val="0"/>
              <w:adjustRightInd w:val="0"/>
              <w:snapToGrid w:val="0"/>
              <w:spacing w:before="0" w:beforeAutospacing="0" w:afterAutospacing="0" w:line="400" w:lineRule="exact"/>
              <w:ind w:left="0" w:right="0"/>
              <w:jc w:val="center"/>
              <w:rPr>
                <w:rFonts w:hint="default" w:ascii="宋体" w:hAnsi="宋体" w:cs="宋体"/>
                <w:color w:val="auto"/>
                <w:kern w:val="0"/>
                <w:sz w:val="21"/>
                <w:szCs w:val="21"/>
              </w:rPr>
            </w:pPr>
          </w:p>
        </w:tc>
      </w:tr>
      <w:tr w14:paraId="7370C621">
        <w:tblPrEx>
          <w:tblBorders>
            <w:top w:val="single" w:color="000000" w:sz="2" w:space="0"/>
            <w:left w:val="single" w:color="000000" w:sz="2" w:space="0"/>
            <w:bottom w:val="none" w:color="auto" w:sz="0"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392" w:hRule="atLeast"/>
        </w:trPr>
        <w:tc>
          <w:tcPr>
            <w:tcW w:w="1203" w:type="dxa"/>
            <w:tcBorders>
              <w:bottom w:val="single" w:color="auto" w:sz="4" w:space="0"/>
            </w:tcBorders>
            <w:noWrap w:val="0"/>
            <w:tcMar>
              <w:top w:w="0" w:type="dxa"/>
              <w:left w:w="0" w:type="dxa"/>
              <w:bottom w:w="0" w:type="dxa"/>
              <w:right w:w="0" w:type="dxa"/>
            </w:tcMar>
            <w:vAlign w:val="center"/>
          </w:tcPr>
          <w:p w14:paraId="4238BC8F">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拟在本项</w:t>
            </w:r>
          </w:p>
          <w:p w14:paraId="18003143">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目中担任</w:t>
            </w:r>
          </w:p>
          <w:p w14:paraId="0F8B96A2">
            <w:pPr>
              <w:keepNext w:val="0"/>
              <w:keepLines w:val="0"/>
              <w:widowControl/>
              <w:suppressLineNumbers w:val="0"/>
              <w:adjustRightInd w:val="0"/>
              <w:snapToGrid w:val="0"/>
              <w:spacing w:before="0" w:beforeAutospacing="0" w:afterAutospacing="0"/>
              <w:ind w:left="0" w:right="0"/>
              <w:jc w:val="center"/>
              <w:rPr>
                <w:rFonts w:hint="default" w:ascii="宋体" w:hAnsi="宋体" w:cs="宋体"/>
                <w:color w:val="auto"/>
                <w:kern w:val="0"/>
                <w:sz w:val="21"/>
                <w:szCs w:val="21"/>
              </w:rPr>
            </w:pPr>
            <w:r>
              <w:rPr>
                <w:rFonts w:hint="eastAsia" w:ascii="宋体" w:hAnsi="宋体" w:cs="宋体"/>
                <w:color w:val="auto"/>
                <w:kern w:val="0"/>
                <w:sz w:val="21"/>
                <w:szCs w:val="21"/>
              </w:rPr>
              <w:t>角色</w:t>
            </w:r>
          </w:p>
        </w:tc>
        <w:tc>
          <w:tcPr>
            <w:tcW w:w="8235" w:type="dxa"/>
            <w:gridSpan w:val="7"/>
            <w:tcBorders>
              <w:bottom w:val="single" w:color="auto" w:sz="4" w:space="0"/>
            </w:tcBorders>
            <w:noWrap w:val="0"/>
            <w:tcMar>
              <w:top w:w="0" w:type="dxa"/>
              <w:left w:w="0" w:type="dxa"/>
              <w:bottom w:w="0" w:type="dxa"/>
              <w:right w:w="0" w:type="dxa"/>
            </w:tcMar>
            <w:vAlign w:val="center"/>
          </w:tcPr>
          <w:p w14:paraId="0A7F36D3">
            <w:pPr>
              <w:keepNext w:val="0"/>
              <w:keepLines w:val="0"/>
              <w:widowControl/>
              <w:suppressLineNumbers w:val="0"/>
              <w:adjustRightInd w:val="0"/>
              <w:snapToGrid w:val="0"/>
              <w:spacing w:before="0" w:beforeAutospacing="0" w:afterAutospacing="0"/>
              <w:ind w:left="0" w:right="0" w:firstLine="315" w:firstLineChars="150"/>
              <w:rPr>
                <w:rFonts w:hint="default" w:ascii="宋体" w:hAnsi="宋体" w:cs="宋体"/>
                <w:color w:val="auto"/>
                <w:kern w:val="0"/>
                <w:sz w:val="21"/>
                <w:szCs w:val="21"/>
              </w:rPr>
            </w:pPr>
          </w:p>
        </w:tc>
      </w:tr>
    </w:tbl>
    <w:p w14:paraId="4A5F89C7">
      <w:pPr>
        <w:rPr>
          <w:rFonts w:hint="eastAsia" w:ascii="宋体" w:hAnsi="宋体" w:eastAsia="宋体"/>
          <w:b/>
          <w:bCs/>
          <w:sz w:val="32"/>
          <w:szCs w:val="32"/>
        </w:rPr>
      </w:pPr>
    </w:p>
    <w:p w14:paraId="3776EDD5">
      <w:pPr>
        <w:autoSpaceDE w:val="0"/>
        <w:autoSpaceDN w:val="0"/>
        <w:adjustRightInd w:val="0"/>
        <w:spacing w:line="110" w:lineRule="exact"/>
        <w:rPr>
          <w:rFonts w:hint="eastAsia" w:ascii="宋体" w:hAnsi="宋体" w:eastAsia="宋体" w:cs="Calibri"/>
          <w:sz w:val="11"/>
          <w:szCs w:val="11"/>
        </w:rPr>
      </w:pPr>
      <w:r>
        <w:rPr>
          <w:rFonts w:hint="eastAsia" w:ascii="宋体" w:hAnsi="宋体" w:eastAsia="宋体"/>
          <w:sz w:val="11"/>
          <w:szCs w:val="11"/>
        </w:rPr>
        <w:t xml:space="preserve"> </w:t>
      </w:r>
    </w:p>
    <w:p w14:paraId="0BB01D53">
      <w:pPr>
        <w:rPr>
          <w:rFonts w:hint="eastAsia" w:ascii="宋体" w:hAnsi="宋体" w:eastAsia="宋体"/>
        </w:rPr>
      </w:pPr>
      <w:r>
        <w:rPr>
          <w:rFonts w:hint="eastAsia" w:ascii="宋体" w:hAnsi="宋体" w:eastAsia="宋体"/>
        </w:rPr>
        <w:t>注：需根据评分表备注的评审评分材料要求提供相应证明材料。</w:t>
      </w:r>
    </w:p>
    <w:p w14:paraId="5BF92C55">
      <w:pPr>
        <w:rPr>
          <w:rFonts w:hint="eastAsia" w:ascii="宋体" w:hAnsi="宋体" w:eastAsia="宋体"/>
          <w:b/>
          <w:color w:val="auto"/>
        </w:rPr>
      </w:pPr>
      <w:r>
        <w:rPr>
          <w:rFonts w:hint="eastAsia" w:ascii="宋体" w:hAnsi="宋体" w:eastAsia="宋体"/>
        </w:rPr>
        <w:br w:type="page"/>
      </w:r>
    </w:p>
    <w:p w14:paraId="38CB9B6D">
      <w:pPr>
        <w:rPr>
          <w:rFonts w:hint="eastAsia" w:ascii="宋体" w:hAnsi="宋体" w:eastAsia="宋体"/>
          <w:b/>
          <w:color w:val="auto"/>
        </w:rPr>
      </w:pPr>
    </w:p>
    <w:p w14:paraId="73E69E15">
      <w:pPr>
        <w:rPr>
          <w:rFonts w:hint="eastAsia" w:ascii="宋体" w:hAnsi="宋体" w:eastAsia="宋体"/>
          <w:b/>
          <w:color w:val="auto"/>
        </w:rPr>
      </w:pPr>
      <w:r>
        <w:rPr>
          <w:rFonts w:hint="eastAsia" w:ascii="宋体" w:hAnsi="宋体"/>
          <w:b/>
          <w:color w:val="auto"/>
        </w:rPr>
        <w:t>附</w:t>
      </w:r>
      <w:r>
        <w:rPr>
          <w:rFonts w:hint="eastAsia" w:ascii="宋体" w:hAnsi="宋体" w:eastAsia="宋体"/>
          <w:b/>
          <w:color w:val="auto"/>
        </w:rPr>
        <w:t>录8：投标人认为有必要提供的其他资料。</w:t>
      </w:r>
    </w:p>
    <w:p w14:paraId="7FCDD4B7">
      <w:pPr>
        <w:rPr>
          <w:rFonts w:hint="eastAsia" w:ascii="宋体" w:hAnsi="宋体" w:eastAsia="宋体"/>
          <w:b/>
          <w:color w:val="auto"/>
        </w:rPr>
      </w:pPr>
    </w:p>
    <w:p w14:paraId="595D6859">
      <w:pPr>
        <w:pStyle w:val="74"/>
        <w:spacing w:line="300" w:lineRule="exact"/>
        <w:ind w:firstLine="656"/>
        <w:rPr>
          <w:rFonts w:hint="eastAsia" w:ascii="宋体" w:hAnsi="宋体"/>
          <w:sz w:val="32"/>
        </w:rPr>
      </w:pPr>
    </w:p>
    <w:sectPr>
      <w:headerReference r:id="rId9" w:type="default"/>
      <w:footerReference r:id="rId10" w:type="default"/>
      <w:pgSz w:w="11907" w:h="16840"/>
      <w:pgMar w:top="1226" w:right="1313" w:bottom="1314" w:left="11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774E5">
    <w:pPr>
      <w:pStyle w:val="26"/>
      <w:framePr w:wrap="around" w:vAnchor="text" w:hAnchor="margin" w:xAlign="center" w:y="1"/>
      <w:rPr>
        <w:rStyle w:val="43"/>
      </w:rPr>
    </w:pPr>
    <w:r>
      <w:fldChar w:fldCharType="begin"/>
    </w:r>
    <w:r>
      <w:rPr>
        <w:rStyle w:val="43"/>
      </w:rPr>
      <w:instrText xml:space="preserve">PAGE  </w:instrText>
    </w:r>
    <w:r>
      <w:fldChar w:fldCharType="end"/>
    </w:r>
  </w:p>
  <w:p w14:paraId="407C18F9">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22CB0">
    <w:pPr>
      <w:pStyle w:val="26"/>
      <w:framePr w:wrap="around" w:vAnchor="text" w:hAnchor="margin" w:xAlign="center" w:y="1"/>
      <w:rPr>
        <w:rStyle w:val="43"/>
      </w:rPr>
    </w:pPr>
    <w:r>
      <w:fldChar w:fldCharType="begin"/>
    </w:r>
    <w:r>
      <w:rPr>
        <w:rStyle w:val="43"/>
      </w:rPr>
      <w:instrText xml:space="preserve">PAGE  </w:instrText>
    </w:r>
    <w:r>
      <w:fldChar w:fldCharType="separate"/>
    </w:r>
    <w:r>
      <w:rPr>
        <w:rStyle w:val="43"/>
      </w:rPr>
      <w:t>1</w:t>
    </w:r>
    <w:r>
      <w:fldChar w:fldCharType="end"/>
    </w:r>
  </w:p>
  <w:p w14:paraId="33AC615D">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8B5BA">
    <w:pPr>
      <w:pStyle w:val="26"/>
      <w:framePr w:wrap="around" w:vAnchor="text" w:hAnchor="margin" w:xAlign="center" w:y="1"/>
      <w:rPr>
        <w:rStyle w:val="43"/>
      </w:rPr>
    </w:pPr>
    <w:r>
      <w:fldChar w:fldCharType="begin"/>
    </w:r>
    <w:r>
      <w:rPr>
        <w:rStyle w:val="43"/>
      </w:rPr>
      <w:instrText xml:space="preserve">PAGE  </w:instrText>
    </w:r>
    <w:r>
      <w:fldChar w:fldCharType="separate"/>
    </w:r>
    <w:r>
      <w:rPr>
        <w:rStyle w:val="43"/>
      </w:rPr>
      <w:t>3</w:t>
    </w:r>
    <w:r>
      <w:fldChar w:fldCharType="end"/>
    </w:r>
  </w:p>
  <w:p w14:paraId="248AD4A1">
    <w:pPr>
      <w:spacing w:after="0"/>
      <w:ind w:right="8233"/>
      <w:jc w:val="right"/>
    </w:pPr>
    <w:r>
      <w:rPr>
        <w:sz w:val="18"/>
      </w:rPr>
      <w:t xml:space="preserve"> </w:t>
    </w:r>
  </w:p>
  <w:p w14:paraId="7D65C3E8">
    <w:pPr>
      <w:spacing w:after="0"/>
      <w:ind w:left="360"/>
    </w:pPr>
    <w:r>
      <w:rPr>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0668E">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75643098"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5343C410">
                          <w:pPr>
                            <w:pStyle w:val="26"/>
                            <w:jc w:val="center"/>
                          </w:pPr>
                          <w:r>
                            <w:fldChar w:fldCharType="begin"/>
                          </w:r>
                          <w:r>
                            <w:instrText xml:space="preserve"> PAGE   \* MERGEFORMAT </w:instrText>
                          </w:r>
                          <w:r>
                            <w:fldChar w:fldCharType="separate"/>
                          </w:r>
                          <w:r>
                            <w:rPr>
                              <w:lang w:val="zh-CN" w:eastAsia="zh-CN"/>
                            </w:rPr>
                            <w:t>49</w:t>
                          </w:r>
                          <w:r>
                            <w:fldChar w:fldCharType="end"/>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PlfknQAAAAAwEAAA8AAAAAAAAAAQAg&#10;AAAAIgAAAGRycy9kb3ducmV2LnhtbFBLAQIUABQAAAAIAIdO4kBth1K8FgIAABgEAAAOAAAAAAAA&#10;AAEAIAAAAB8BAABkcnMvZTJvRG9jLnhtbFBLBQYAAAAABgAGAFkBAACnBQAAAAA=&#10;">
              <v:fill on="f" focussize="0,0"/>
              <v:stroke on="f"/>
              <v:imagedata o:title=""/>
              <o:lock v:ext="edit" aspectratio="f"/>
              <v:textbox inset="0mm,0mm,0mm,0mm" style="mso-fit-shape-to-text:t;">
                <w:txbxContent>
                  <w:p w14:paraId="5343C410">
                    <w:pPr>
                      <w:pStyle w:val="26"/>
                      <w:jc w:val="center"/>
                    </w:pPr>
                    <w:r>
                      <w:fldChar w:fldCharType="begin"/>
                    </w:r>
                    <w:r>
                      <w:instrText xml:space="preserve"> PAGE   \* MERGEFORMAT </w:instrText>
                    </w:r>
                    <w:r>
                      <w:fldChar w:fldCharType="separate"/>
                    </w:r>
                    <w:r>
                      <w:rPr>
                        <w:lang w:val="zh-CN" w:eastAsia="zh-CN"/>
                      </w:rPr>
                      <w:t>49</w:t>
                    </w:r>
                    <w:r>
                      <w:fldChar w:fldCharType="end"/>
                    </w:r>
                  </w:p>
                </w:txbxContent>
              </v:textbox>
            </v:shape>
          </w:pict>
        </mc:Fallback>
      </mc:AlternateContent>
    </w:r>
  </w:p>
  <w:p w14:paraId="603CA0AC">
    <w:pPr>
      <w:spacing w:line="14" w:lineRule="auto"/>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37DBA">
    <w:pPr>
      <w:pStyle w:val="26"/>
      <w:jc w:val="center"/>
    </w:pPr>
    <w:r>
      <w:fldChar w:fldCharType="begin"/>
    </w:r>
    <w:r>
      <w:instrText xml:space="preserve"> PAGE   \* MERGEFORMAT </w:instrText>
    </w:r>
    <w:r>
      <w:fldChar w:fldCharType="separate"/>
    </w:r>
    <w:r>
      <w:rPr>
        <w:lang w:val="zh-CN"/>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A624">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pPr>
      <w:rPr>
        <w:rFonts w:hint="default" w:ascii="Wingdings" w:hAnsi="Wingdings"/>
      </w:rPr>
    </w:lvl>
  </w:abstractNum>
  <w:abstractNum w:abstractNumId="1">
    <w:nsid w:val="021BF98C"/>
    <w:multiLevelType w:val="singleLevel"/>
    <w:tmpl w:val="021BF98C"/>
    <w:lvl w:ilvl="0" w:tentative="0">
      <w:start w:val="1"/>
      <w:numFmt w:val="decimal"/>
      <w:suff w:val="nothing"/>
      <w:lvlText w:val="%1、"/>
      <w:lvlJc w:val="left"/>
    </w:lvl>
  </w:abstractNum>
  <w:abstractNum w:abstractNumId="2">
    <w:nsid w:val="0C7C114D"/>
    <w:multiLevelType w:val="multilevel"/>
    <w:tmpl w:val="0C7C114D"/>
    <w:lvl w:ilvl="0" w:tentative="0">
      <w:start w:val="1"/>
      <w:numFmt w:val="decimal"/>
      <w:lvlText w:val="（%1）"/>
      <w:lvlJc w:val="left"/>
      <w:pPr>
        <w:ind w:left="204"/>
      </w:pPr>
      <w:rPr>
        <w:rFonts w:hint="default" w:ascii="宋体" w:hAnsi="宋体" w:eastAsia="宋体" w:cs="宋体"/>
        <w:b w:val="0"/>
        <w:i w:val="0"/>
        <w:strike w:val="0"/>
        <w:dstrike w:val="0"/>
        <w:color w:val="000000"/>
        <w:sz w:val="21"/>
        <w:szCs w:val="21"/>
        <w:highlight w:val="none"/>
        <w:u w:val="none" w:color="000000"/>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vertAlign w:val="baseline"/>
      </w:rPr>
    </w:lvl>
  </w:abstractNum>
  <w:abstractNum w:abstractNumId="3">
    <w:nsid w:val="66226E52"/>
    <w:multiLevelType w:val="multilevel"/>
    <w:tmpl w:val="66226E52"/>
    <w:lvl w:ilvl="0" w:tentative="0">
      <w:start w:val="1"/>
      <w:numFmt w:val="decimal"/>
      <w:lvlText w:val="（%1）"/>
      <w:lvlJc w:val="left"/>
      <w:pPr>
        <w:ind w:left="314"/>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vertAlign w:val="baseline"/>
      </w:rPr>
    </w:lvl>
  </w:abstractNum>
  <w:abstractNum w:abstractNumId="4">
    <w:nsid w:val="69455A11"/>
    <w:multiLevelType w:val="multilevel"/>
    <w:tmpl w:val="69455A11"/>
    <w:lvl w:ilvl="0" w:tentative="0">
      <w:start w:val="1"/>
      <w:numFmt w:val="decimal"/>
      <w:lvlText w:val="（%1）"/>
      <w:lvlJc w:val="left"/>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vertAlign w:val="baseline"/>
      </w:rPr>
    </w:lvl>
  </w:abstractNum>
  <w:abstractNum w:abstractNumId="5">
    <w:nsid w:val="783B3B81"/>
    <w:multiLevelType w:val="multilevel"/>
    <w:tmpl w:val="783B3B81"/>
    <w:lvl w:ilvl="0" w:tentative="0">
      <w:start w:val="1"/>
      <w:numFmt w:val="decimal"/>
      <w:lvlText w:val="（%1）"/>
      <w:lvlJc w:val="left"/>
      <w:pPr>
        <w:ind w:left="933"/>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vertAlign w:val="baseline"/>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isplayHorizontalDrawingGridEvery w:val="1"/>
  <w:displayVerticalDrawingGridEvery w:val="1"/>
  <w:noPunctuationKerning w:val="1"/>
  <w:characterSpacingControl w:val="doNotCompress"/>
  <w:noLineBreaksAfter w:lang="zh-CN" w:val="([{·‘“〈《「『【〔〖（．［｛￡￥"/>
  <w:noLineBreaksBefore w:lang="zh-CN" w:val="!),.:;?]}¨·ˇˉ―‖’”…∶、。〃々〉》」』】〕〗！＂＇），．：；？］｀｜｝～￠"/>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1OGQ0YmRhOTdlNjcxOWRmYzZjNmYyNzU5MWRkOTQifQ=="/>
  </w:docVars>
  <w:rsids>
    <w:rsidRoot w:val="007F0DCA"/>
    <w:rsid w:val="00001191"/>
    <w:rsid w:val="000011F3"/>
    <w:rsid w:val="0000397A"/>
    <w:rsid w:val="0000449D"/>
    <w:rsid w:val="000047AF"/>
    <w:rsid w:val="00011105"/>
    <w:rsid w:val="00015A09"/>
    <w:rsid w:val="000165BF"/>
    <w:rsid w:val="00016ABA"/>
    <w:rsid w:val="00021096"/>
    <w:rsid w:val="0002222D"/>
    <w:rsid w:val="00024269"/>
    <w:rsid w:val="000254CA"/>
    <w:rsid w:val="0002583D"/>
    <w:rsid w:val="0002688F"/>
    <w:rsid w:val="000338C8"/>
    <w:rsid w:val="00035153"/>
    <w:rsid w:val="000358C2"/>
    <w:rsid w:val="00041E26"/>
    <w:rsid w:val="000425D3"/>
    <w:rsid w:val="00045B51"/>
    <w:rsid w:val="000512D4"/>
    <w:rsid w:val="000522E6"/>
    <w:rsid w:val="00054275"/>
    <w:rsid w:val="00054316"/>
    <w:rsid w:val="00057610"/>
    <w:rsid w:val="00057661"/>
    <w:rsid w:val="00060851"/>
    <w:rsid w:val="00061E6C"/>
    <w:rsid w:val="0006206D"/>
    <w:rsid w:val="0006346C"/>
    <w:rsid w:val="000665F3"/>
    <w:rsid w:val="000711A4"/>
    <w:rsid w:val="00072F39"/>
    <w:rsid w:val="0008197A"/>
    <w:rsid w:val="00081A2E"/>
    <w:rsid w:val="00082CFB"/>
    <w:rsid w:val="000848F9"/>
    <w:rsid w:val="0008506A"/>
    <w:rsid w:val="00091B32"/>
    <w:rsid w:val="00091D8C"/>
    <w:rsid w:val="00093558"/>
    <w:rsid w:val="00093877"/>
    <w:rsid w:val="00094B58"/>
    <w:rsid w:val="00096B68"/>
    <w:rsid w:val="000A0F24"/>
    <w:rsid w:val="000A2921"/>
    <w:rsid w:val="000A34C3"/>
    <w:rsid w:val="000A3DF2"/>
    <w:rsid w:val="000A4F40"/>
    <w:rsid w:val="000A5053"/>
    <w:rsid w:val="000A5EBC"/>
    <w:rsid w:val="000A67EF"/>
    <w:rsid w:val="000A6A9A"/>
    <w:rsid w:val="000A7861"/>
    <w:rsid w:val="000B2171"/>
    <w:rsid w:val="000B3E09"/>
    <w:rsid w:val="000B41AE"/>
    <w:rsid w:val="000B444B"/>
    <w:rsid w:val="000B6DB1"/>
    <w:rsid w:val="000B78C5"/>
    <w:rsid w:val="000C18D0"/>
    <w:rsid w:val="000C4276"/>
    <w:rsid w:val="000C75C2"/>
    <w:rsid w:val="000C7C62"/>
    <w:rsid w:val="000D1E43"/>
    <w:rsid w:val="000D6CB9"/>
    <w:rsid w:val="000D76E1"/>
    <w:rsid w:val="000E0DD5"/>
    <w:rsid w:val="000E1AE9"/>
    <w:rsid w:val="000E25E5"/>
    <w:rsid w:val="000E72DD"/>
    <w:rsid w:val="000E7896"/>
    <w:rsid w:val="000E7D05"/>
    <w:rsid w:val="000F10DC"/>
    <w:rsid w:val="000F208D"/>
    <w:rsid w:val="000F2C5D"/>
    <w:rsid w:val="000F6418"/>
    <w:rsid w:val="0010005D"/>
    <w:rsid w:val="001030DF"/>
    <w:rsid w:val="001037C7"/>
    <w:rsid w:val="00107796"/>
    <w:rsid w:val="00110F44"/>
    <w:rsid w:val="00112596"/>
    <w:rsid w:val="00113569"/>
    <w:rsid w:val="00114517"/>
    <w:rsid w:val="00115FB0"/>
    <w:rsid w:val="0011650B"/>
    <w:rsid w:val="00120F86"/>
    <w:rsid w:val="00121C3A"/>
    <w:rsid w:val="0012597C"/>
    <w:rsid w:val="00126DE5"/>
    <w:rsid w:val="0012734E"/>
    <w:rsid w:val="00131F97"/>
    <w:rsid w:val="00132426"/>
    <w:rsid w:val="0013322C"/>
    <w:rsid w:val="001341BC"/>
    <w:rsid w:val="0013761B"/>
    <w:rsid w:val="00141333"/>
    <w:rsid w:val="0014134E"/>
    <w:rsid w:val="00144B4D"/>
    <w:rsid w:val="00145D05"/>
    <w:rsid w:val="001509B9"/>
    <w:rsid w:val="00152BA2"/>
    <w:rsid w:val="001550A6"/>
    <w:rsid w:val="0016223B"/>
    <w:rsid w:val="00162435"/>
    <w:rsid w:val="00164638"/>
    <w:rsid w:val="00164667"/>
    <w:rsid w:val="00173435"/>
    <w:rsid w:val="00173970"/>
    <w:rsid w:val="0017520A"/>
    <w:rsid w:val="00176906"/>
    <w:rsid w:val="00177FBA"/>
    <w:rsid w:val="00181240"/>
    <w:rsid w:val="001831CE"/>
    <w:rsid w:val="00184C2E"/>
    <w:rsid w:val="00186EA6"/>
    <w:rsid w:val="00187CBF"/>
    <w:rsid w:val="00187F6D"/>
    <w:rsid w:val="001922D0"/>
    <w:rsid w:val="0019431F"/>
    <w:rsid w:val="00195CA9"/>
    <w:rsid w:val="001977F0"/>
    <w:rsid w:val="0019792B"/>
    <w:rsid w:val="001A04C7"/>
    <w:rsid w:val="001A176C"/>
    <w:rsid w:val="001A2168"/>
    <w:rsid w:val="001A233C"/>
    <w:rsid w:val="001A36DA"/>
    <w:rsid w:val="001A46F1"/>
    <w:rsid w:val="001A776B"/>
    <w:rsid w:val="001B040E"/>
    <w:rsid w:val="001B362B"/>
    <w:rsid w:val="001B4990"/>
    <w:rsid w:val="001B4AC8"/>
    <w:rsid w:val="001B5B3E"/>
    <w:rsid w:val="001B5FDA"/>
    <w:rsid w:val="001C10FB"/>
    <w:rsid w:val="001C12B2"/>
    <w:rsid w:val="001C7B45"/>
    <w:rsid w:val="001D54AC"/>
    <w:rsid w:val="001D5D6C"/>
    <w:rsid w:val="001D742F"/>
    <w:rsid w:val="001E1B67"/>
    <w:rsid w:val="001E22D9"/>
    <w:rsid w:val="001E46BC"/>
    <w:rsid w:val="001E4D5C"/>
    <w:rsid w:val="001E5D99"/>
    <w:rsid w:val="001E6EBA"/>
    <w:rsid w:val="001E7D0C"/>
    <w:rsid w:val="001F1E34"/>
    <w:rsid w:val="001F26B3"/>
    <w:rsid w:val="001F2DE4"/>
    <w:rsid w:val="001F698E"/>
    <w:rsid w:val="001F6EFB"/>
    <w:rsid w:val="002025BE"/>
    <w:rsid w:val="00203C55"/>
    <w:rsid w:val="00204705"/>
    <w:rsid w:val="0020616D"/>
    <w:rsid w:val="00207FD5"/>
    <w:rsid w:val="00212FF7"/>
    <w:rsid w:val="00213BD1"/>
    <w:rsid w:val="00217D03"/>
    <w:rsid w:val="0022094B"/>
    <w:rsid w:val="0022128D"/>
    <w:rsid w:val="002234B0"/>
    <w:rsid w:val="002256F5"/>
    <w:rsid w:val="00225EAB"/>
    <w:rsid w:val="0022666C"/>
    <w:rsid w:val="00227440"/>
    <w:rsid w:val="00230019"/>
    <w:rsid w:val="00230306"/>
    <w:rsid w:val="0023204B"/>
    <w:rsid w:val="002321BA"/>
    <w:rsid w:val="00236F11"/>
    <w:rsid w:val="002376D0"/>
    <w:rsid w:val="00242BB1"/>
    <w:rsid w:val="00244452"/>
    <w:rsid w:val="002468B2"/>
    <w:rsid w:val="0025010E"/>
    <w:rsid w:val="0025050E"/>
    <w:rsid w:val="00252078"/>
    <w:rsid w:val="00253193"/>
    <w:rsid w:val="00255D7B"/>
    <w:rsid w:val="0025656A"/>
    <w:rsid w:val="00256F79"/>
    <w:rsid w:val="002576ED"/>
    <w:rsid w:val="0026220D"/>
    <w:rsid w:val="00263666"/>
    <w:rsid w:val="002642A5"/>
    <w:rsid w:val="00264E7A"/>
    <w:rsid w:val="0027386C"/>
    <w:rsid w:val="0027723B"/>
    <w:rsid w:val="002773E2"/>
    <w:rsid w:val="002805B8"/>
    <w:rsid w:val="002842AB"/>
    <w:rsid w:val="00284485"/>
    <w:rsid w:val="00284D09"/>
    <w:rsid w:val="00285C0A"/>
    <w:rsid w:val="002879ED"/>
    <w:rsid w:val="00297B4A"/>
    <w:rsid w:val="002A0987"/>
    <w:rsid w:val="002A4BDD"/>
    <w:rsid w:val="002A7A13"/>
    <w:rsid w:val="002B3DB0"/>
    <w:rsid w:val="002B50E6"/>
    <w:rsid w:val="002B5781"/>
    <w:rsid w:val="002B773A"/>
    <w:rsid w:val="002C0327"/>
    <w:rsid w:val="002C09DA"/>
    <w:rsid w:val="002C1179"/>
    <w:rsid w:val="002C11B2"/>
    <w:rsid w:val="002C1536"/>
    <w:rsid w:val="002C1800"/>
    <w:rsid w:val="002C199A"/>
    <w:rsid w:val="002C5DA9"/>
    <w:rsid w:val="002C675F"/>
    <w:rsid w:val="002D02A9"/>
    <w:rsid w:val="002D1CEB"/>
    <w:rsid w:val="002D3FBC"/>
    <w:rsid w:val="002D5EE7"/>
    <w:rsid w:val="002D7249"/>
    <w:rsid w:val="002D7B23"/>
    <w:rsid w:val="002E0E4E"/>
    <w:rsid w:val="002E0E7F"/>
    <w:rsid w:val="002E39DA"/>
    <w:rsid w:val="002E54FB"/>
    <w:rsid w:val="002E6032"/>
    <w:rsid w:val="002E69AD"/>
    <w:rsid w:val="002E7027"/>
    <w:rsid w:val="002F121D"/>
    <w:rsid w:val="002F1EC1"/>
    <w:rsid w:val="002F3C7A"/>
    <w:rsid w:val="002F6F4F"/>
    <w:rsid w:val="00313DE9"/>
    <w:rsid w:val="0031538E"/>
    <w:rsid w:val="003174A0"/>
    <w:rsid w:val="003241BE"/>
    <w:rsid w:val="00325709"/>
    <w:rsid w:val="0032618C"/>
    <w:rsid w:val="00326803"/>
    <w:rsid w:val="00327857"/>
    <w:rsid w:val="00331FD9"/>
    <w:rsid w:val="0033321F"/>
    <w:rsid w:val="003336B5"/>
    <w:rsid w:val="00333A77"/>
    <w:rsid w:val="00333FF8"/>
    <w:rsid w:val="003352FC"/>
    <w:rsid w:val="00342457"/>
    <w:rsid w:val="00342C17"/>
    <w:rsid w:val="003465D2"/>
    <w:rsid w:val="003469FC"/>
    <w:rsid w:val="00347031"/>
    <w:rsid w:val="00356CA7"/>
    <w:rsid w:val="00362BD5"/>
    <w:rsid w:val="00362EAD"/>
    <w:rsid w:val="00372218"/>
    <w:rsid w:val="00373D59"/>
    <w:rsid w:val="00374466"/>
    <w:rsid w:val="003778B0"/>
    <w:rsid w:val="0038103F"/>
    <w:rsid w:val="00382D6F"/>
    <w:rsid w:val="00382EF9"/>
    <w:rsid w:val="003844A6"/>
    <w:rsid w:val="00390901"/>
    <w:rsid w:val="003922B7"/>
    <w:rsid w:val="003931CF"/>
    <w:rsid w:val="00393862"/>
    <w:rsid w:val="0039458E"/>
    <w:rsid w:val="0039703B"/>
    <w:rsid w:val="003A085F"/>
    <w:rsid w:val="003A2BF2"/>
    <w:rsid w:val="003A3755"/>
    <w:rsid w:val="003B0D8B"/>
    <w:rsid w:val="003B176A"/>
    <w:rsid w:val="003B18FE"/>
    <w:rsid w:val="003B26CC"/>
    <w:rsid w:val="003B2778"/>
    <w:rsid w:val="003B347C"/>
    <w:rsid w:val="003B477E"/>
    <w:rsid w:val="003B5AFC"/>
    <w:rsid w:val="003B7321"/>
    <w:rsid w:val="003B7458"/>
    <w:rsid w:val="003B7D0A"/>
    <w:rsid w:val="003C03FC"/>
    <w:rsid w:val="003C0616"/>
    <w:rsid w:val="003C08D0"/>
    <w:rsid w:val="003C2F75"/>
    <w:rsid w:val="003D0B35"/>
    <w:rsid w:val="003D2DFC"/>
    <w:rsid w:val="003D3229"/>
    <w:rsid w:val="003D3764"/>
    <w:rsid w:val="003D77E7"/>
    <w:rsid w:val="003E16CC"/>
    <w:rsid w:val="003E1BEF"/>
    <w:rsid w:val="003E29FA"/>
    <w:rsid w:val="003E4A9E"/>
    <w:rsid w:val="003F079D"/>
    <w:rsid w:val="003F1BFF"/>
    <w:rsid w:val="003F46B7"/>
    <w:rsid w:val="003F65D5"/>
    <w:rsid w:val="003F6B9B"/>
    <w:rsid w:val="003F7684"/>
    <w:rsid w:val="003F7EC5"/>
    <w:rsid w:val="00400DD7"/>
    <w:rsid w:val="00402B64"/>
    <w:rsid w:val="00405EBA"/>
    <w:rsid w:val="004068A0"/>
    <w:rsid w:val="00412B2C"/>
    <w:rsid w:val="00415728"/>
    <w:rsid w:val="00417B59"/>
    <w:rsid w:val="00420278"/>
    <w:rsid w:val="00421E59"/>
    <w:rsid w:val="00422F69"/>
    <w:rsid w:val="00423253"/>
    <w:rsid w:val="00425144"/>
    <w:rsid w:val="0042557B"/>
    <w:rsid w:val="00427562"/>
    <w:rsid w:val="004306D2"/>
    <w:rsid w:val="00431B1F"/>
    <w:rsid w:val="00432ECE"/>
    <w:rsid w:val="00433B18"/>
    <w:rsid w:val="00440010"/>
    <w:rsid w:val="004441EE"/>
    <w:rsid w:val="00444AE9"/>
    <w:rsid w:val="0044539E"/>
    <w:rsid w:val="00445F14"/>
    <w:rsid w:val="00447157"/>
    <w:rsid w:val="00450023"/>
    <w:rsid w:val="00453219"/>
    <w:rsid w:val="004540EE"/>
    <w:rsid w:val="0045490B"/>
    <w:rsid w:val="00455B7A"/>
    <w:rsid w:val="00457293"/>
    <w:rsid w:val="004576EE"/>
    <w:rsid w:val="0046007D"/>
    <w:rsid w:val="00460F93"/>
    <w:rsid w:val="004617D2"/>
    <w:rsid w:val="00462CBC"/>
    <w:rsid w:val="00463AF2"/>
    <w:rsid w:val="00465AEB"/>
    <w:rsid w:val="00465D43"/>
    <w:rsid w:val="004664AC"/>
    <w:rsid w:val="00467EF7"/>
    <w:rsid w:val="004705EE"/>
    <w:rsid w:val="00473533"/>
    <w:rsid w:val="00473F53"/>
    <w:rsid w:val="004773C1"/>
    <w:rsid w:val="00480190"/>
    <w:rsid w:val="00482E84"/>
    <w:rsid w:val="00485223"/>
    <w:rsid w:val="00486E96"/>
    <w:rsid w:val="0049394B"/>
    <w:rsid w:val="004A0365"/>
    <w:rsid w:val="004A061A"/>
    <w:rsid w:val="004A0968"/>
    <w:rsid w:val="004A0B96"/>
    <w:rsid w:val="004A19FA"/>
    <w:rsid w:val="004A1CB2"/>
    <w:rsid w:val="004A28FB"/>
    <w:rsid w:val="004A5B7E"/>
    <w:rsid w:val="004A6B74"/>
    <w:rsid w:val="004A717F"/>
    <w:rsid w:val="004A74FE"/>
    <w:rsid w:val="004A7F69"/>
    <w:rsid w:val="004B302B"/>
    <w:rsid w:val="004B690B"/>
    <w:rsid w:val="004B7072"/>
    <w:rsid w:val="004B7DAE"/>
    <w:rsid w:val="004C27CC"/>
    <w:rsid w:val="004C3958"/>
    <w:rsid w:val="004C55E4"/>
    <w:rsid w:val="004D3961"/>
    <w:rsid w:val="004D4AFC"/>
    <w:rsid w:val="004E0CF6"/>
    <w:rsid w:val="004E3AD7"/>
    <w:rsid w:val="004E5DC5"/>
    <w:rsid w:val="004F00A2"/>
    <w:rsid w:val="004F013B"/>
    <w:rsid w:val="004F080C"/>
    <w:rsid w:val="004F305B"/>
    <w:rsid w:val="004F464C"/>
    <w:rsid w:val="004F4DC8"/>
    <w:rsid w:val="00500020"/>
    <w:rsid w:val="00504623"/>
    <w:rsid w:val="00506B5A"/>
    <w:rsid w:val="0050712C"/>
    <w:rsid w:val="00511BF8"/>
    <w:rsid w:val="005142A2"/>
    <w:rsid w:val="00515053"/>
    <w:rsid w:val="00515680"/>
    <w:rsid w:val="00517D95"/>
    <w:rsid w:val="00521D8D"/>
    <w:rsid w:val="00530ACF"/>
    <w:rsid w:val="00531002"/>
    <w:rsid w:val="0053293F"/>
    <w:rsid w:val="005338BB"/>
    <w:rsid w:val="00533F57"/>
    <w:rsid w:val="0053473F"/>
    <w:rsid w:val="00536534"/>
    <w:rsid w:val="00540DDE"/>
    <w:rsid w:val="00541673"/>
    <w:rsid w:val="00543344"/>
    <w:rsid w:val="005472B4"/>
    <w:rsid w:val="00550003"/>
    <w:rsid w:val="0055486C"/>
    <w:rsid w:val="00555BAA"/>
    <w:rsid w:val="00557C5F"/>
    <w:rsid w:val="00561DCE"/>
    <w:rsid w:val="0056221B"/>
    <w:rsid w:val="00562FB6"/>
    <w:rsid w:val="0056447F"/>
    <w:rsid w:val="005647A5"/>
    <w:rsid w:val="00564B5D"/>
    <w:rsid w:val="005659E6"/>
    <w:rsid w:val="00565C16"/>
    <w:rsid w:val="00566BBA"/>
    <w:rsid w:val="00571A71"/>
    <w:rsid w:val="00573259"/>
    <w:rsid w:val="00577C54"/>
    <w:rsid w:val="00580AD6"/>
    <w:rsid w:val="00582BD0"/>
    <w:rsid w:val="005874D4"/>
    <w:rsid w:val="0059288E"/>
    <w:rsid w:val="00596072"/>
    <w:rsid w:val="00597869"/>
    <w:rsid w:val="005A07BD"/>
    <w:rsid w:val="005A122C"/>
    <w:rsid w:val="005A1929"/>
    <w:rsid w:val="005A1CDB"/>
    <w:rsid w:val="005A31A9"/>
    <w:rsid w:val="005A4B00"/>
    <w:rsid w:val="005A538D"/>
    <w:rsid w:val="005A610E"/>
    <w:rsid w:val="005A622C"/>
    <w:rsid w:val="005B03CA"/>
    <w:rsid w:val="005B1D7B"/>
    <w:rsid w:val="005B4E05"/>
    <w:rsid w:val="005B5A47"/>
    <w:rsid w:val="005C223F"/>
    <w:rsid w:val="005C2699"/>
    <w:rsid w:val="005C275A"/>
    <w:rsid w:val="005C3E5D"/>
    <w:rsid w:val="005D1CA3"/>
    <w:rsid w:val="005D23C0"/>
    <w:rsid w:val="005D2C4C"/>
    <w:rsid w:val="005D31E9"/>
    <w:rsid w:val="005D3B26"/>
    <w:rsid w:val="005D48D7"/>
    <w:rsid w:val="005D4CE3"/>
    <w:rsid w:val="005D532B"/>
    <w:rsid w:val="005E039F"/>
    <w:rsid w:val="005E1222"/>
    <w:rsid w:val="005E206B"/>
    <w:rsid w:val="005E2867"/>
    <w:rsid w:val="005E3E42"/>
    <w:rsid w:val="005E53A5"/>
    <w:rsid w:val="005E69ED"/>
    <w:rsid w:val="005E6A74"/>
    <w:rsid w:val="005E6BE0"/>
    <w:rsid w:val="005E715F"/>
    <w:rsid w:val="005F060D"/>
    <w:rsid w:val="005F14F6"/>
    <w:rsid w:val="005F4210"/>
    <w:rsid w:val="005F5D66"/>
    <w:rsid w:val="005F6002"/>
    <w:rsid w:val="005F7564"/>
    <w:rsid w:val="00600182"/>
    <w:rsid w:val="00600F0C"/>
    <w:rsid w:val="006044B9"/>
    <w:rsid w:val="00611BC9"/>
    <w:rsid w:val="00612233"/>
    <w:rsid w:val="006124C3"/>
    <w:rsid w:val="00612614"/>
    <w:rsid w:val="006129CD"/>
    <w:rsid w:val="0061377A"/>
    <w:rsid w:val="0061474F"/>
    <w:rsid w:val="00614AB8"/>
    <w:rsid w:val="00615A6E"/>
    <w:rsid w:val="00620215"/>
    <w:rsid w:val="00621CEE"/>
    <w:rsid w:val="0062336A"/>
    <w:rsid w:val="0062795C"/>
    <w:rsid w:val="00627976"/>
    <w:rsid w:val="00627A92"/>
    <w:rsid w:val="006302A3"/>
    <w:rsid w:val="00631F34"/>
    <w:rsid w:val="00633049"/>
    <w:rsid w:val="00634F40"/>
    <w:rsid w:val="00637E30"/>
    <w:rsid w:val="0064004B"/>
    <w:rsid w:val="006417EA"/>
    <w:rsid w:val="0064228C"/>
    <w:rsid w:val="006439A5"/>
    <w:rsid w:val="00646B05"/>
    <w:rsid w:val="00647B2B"/>
    <w:rsid w:val="006511D1"/>
    <w:rsid w:val="006534E8"/>
    <w:rsid w:val="00655039"/>
    <w:rsid w:val="0065652D"/>
    <w:rsid w:val="00657C7C"/>
    <w:rsid w:val="0066007F"/>
    <w:rsid w:val="00661497"/>
    <w:rsid w:val="00665368"/>
    <w:rsid w:val="00666971"/>
    <w:rsid w:val="00672EF0"/>
    <w:rsid w:val="006731EA"/>
    <w:rsid w:val="00673A21"/>
    <w:rsid w:val="00674970"/>
    <w:rsid w:val="00675134"/>
    <w:rsid w:val="00676285"/>
    <w:rsid w:val="00676F85"/>
    <w:rsid w:val="006863BB"/>
    <w:rsid w:val="006874D4"/>
    <w:rsid w:val="00687888"/>
    <w:rsid w:val="00691386"/>
    <w:rsid w:val="00693AFD"/>
    <w:rsid w:val="0069561A"/>
    <w:rsid w:val="00695BC4"/>
    <w:rsid w:val="00696533"/>
    <w:rsid w:val="006978BE"/>
    <w:rsid w:val="006A0462"/>
    <w:rsid w:val="006A04C8"/>
    <w:rsid w:val="006A5FE2"/>
    <w:rsid w:val="006A7677"/>
    <w:rsid w:val="006A76A6"/>
    <w:rsid w:val="006B2076"/>
    <w:rsid w:val="006B3206"/>
    <w:rsid w:val="006B378A"/>
    <w:rsid w:val="006B3AC3"/>
    <w:rsid w:val="006B50D1"/>
    <w:rsid w:val="006B720A"/>
    <w:rsid w:val="006C37E9"/>
    <w:rsid w:val="006C5405"/>
    <w:rsid w:val="006D05F3"/>
    <w:rsid w:val="006D4868"/>
    <w:rsid w:val="006D55FE"/>
    <w:rsid w:val="006D56B0"/>
    <w:rsid w:val="006D6171"/>
    <w:rsid w:val="006D71EE"/>
    <w:rsid w:val="006E0FC6"/>
    <w:rsid w:val="006E1EFC"/>
    <w:rsid w:val="006E2540"/>
    <w:rsid w:val="006E30D0"/>
    <w:rsid w:val="006E6F1F"/>
    <w:rsid w:val="006E7D11"/>
    <w:rsid w:val="006F0E43"/>
    <w:rsid w:val="006F15D4"/>
    <w:rsid w:val="006F1C05"/>
    <w:rsid w:val="006F1DB4"/>
    <w:rsid w:val="006F5981"/>
    <w:rsid w:val="006F649B"/>
    <w:rsid w:val="006F7FA2"/>
    <w:rsid w:val="007150CE"/>
    <w:rsid w:val="00717793"/>
    <w:rsid w:val="00720AB5"/>
    <w:rsid w:val="00720E1C"/>
    <w:rsid w:val="00723877"/>
    <w:rsid w:val="00724E70"/>
    <w:rsid w:val="00726C06"/>
    <w:rsid w:val="007346F6"/>
    <w:rsid w:val="00737D56"/>
    <w:rsid w:val="00741316"/>
    <w:rsid w:val="0074210A"/>
    <w:rsid w:val="00745B1C"/>
    <w:rsid w:val="00746265"/>
    <w:rsid w:val="007476FA"/>
    <w:rsid w:val="00747D78"/>
    <w:rsid w:val="00750728"/>
    <w:rsid w:val="00751E9C"/>
    <w:rsid w:val="00753AE3"/>
    <w:rsid w:val="007541BB"/>
    <w:rsid w:val="007569DA"/>
    <w:rsid w:val="00756B1E"/>
    <w:rsid w:val="007578FF"/>
    <w:rsid w:val="00760287"/>
    <w:rsid w:val="007638B6"/>
    <w:rsid w:val="007640A5"/>
    <w:rsid w:val="00765285"/>
    <w:rsid w:val="007659F4"/>
    <w:rsid w:val="00765FE0"/>
    <w:rsid w:val="00766649"/>
    <w:rsid w:val="00767F15"/>
    <w:rsid w:val="007706DA"/>
    <w:rsid w:val="007714D4"/>
    <w:rsid w:val="007744AB"/>
    <w:rsid w:val="007808C8"/>
    <w:rsid w:val="00784103"/>
    <w:rsid w:val="00785CD6"/>
    <w:rsid w:val="00787880"/>
    <w:rsid w:val="0079044A"/>
    <w:rsid w:val="00790A03"/>
    <w:rsid w:val="00791B4B"/>
    <w:rsid w:val="00792ACA"/>
    <w:rsid w:val="0079646B"/>
    <w:rsid w:val="0079715B"/>
    <w:rsid w:val="007A09B0"/>
    <w:rsid w:val="007A46D6"/>
    <w:rsid w:val="007A58C0"/>
    <w:rsid w:val="007B0E3C"/>
    <w:rsid w:val="007B405C"/>
    <w:rsid w:val="007B5F70"/>
    <w:rsid w:val="007B7B40"/>
    <w:rsid w:val="007C04DC"/>
    <w:rsid w:val="007C32E6"/>
    <w:rsid w:val="007C3D55"/>
    <w:rsid w:val="007C5691"/>
    <w:rsid w:val="007C74CB"/>
    <w:rsid w:val="007D0B02"/>
    <w:rsid w:val="007D5B98"/>
    <w:rsid w:val="007E0BB9"/>
    <w:rsid w:val="007E2CA8"/>
    <w:rsid w:val="007E357D"/>
    <w:rsid w:val="007E5638"/>
    <w:rsid w:val="007E5B01"/>
    <w:rsid w:val="007E5D43"/>
    <w:rsid w:val="007E6366"/>
    <w:rsid w:val="007E7589"/>
    <w:rsid w:val="007F0DCA"/>
    <w:rsid w:val="007F1360"/>
    <w:rsid w:val="007F29FE"/>
    <w:rsid w:val="007F49B4"/>
    <w:rsid w:val="007F511B"/>
    <w:rsid w:val="00801E4C"/>
    <w:rsid w:val="00803376"/>
    <w:rsid w:val="008038B9"/>
    <w:rsid w:val="00804DAD"/>
    <w:rsid w:val="00805DEB"/>
    <w:rsid w:val="00807C5C"/>
    <w:rsid w:val="0081175C"/>
    <w:rsid w:val="008126B7"/>
    <w:rsid w:val="00813057"/>
    <w:rsid w:val="008150EF"/>
    <w:rsid w:val="0081533B"/>
    <w:rsid w:val="00815CBF"/>
    <w:rsid w:val="00816668"/>
    <w:rsid w:val="0081674F"/>
    <w:rsid w:val="00822649"/>
    <w:rsid w:val="00822D3A"/>
    <w:rsid w:val="008240B7"/>
    <w:rsid w:val="008267BF"/>
    <w:rsid w:val="00827200"/>
    <w:rsid w:val="00830273"/>
    <w:rsid w:val="00831DAB"/>
    <w:rsid w:val="00832E6E"/>
    <w:rsid w:val="00834B46"/>
    <w:rsid w:val="00841AB0"/>
    <w:rsid w:val="00843115"/>
    <w:rsid w:val="00847B9A"/>
    <w:rsid w:val="0085048D"/>
    <w:rsid w:val="008511EE"/>
    <w:rsid w:val="008517D5"/>
    <w:rsid w:val="00852232"/>
    <w:rsid w:val="00853A1E"/>
    <w:rsid w:val="00865E1E"/>
    <w:rsid w:val="00866128"/>
    <w:rsid w:val="008665D5"/>
    <w:rsid w:val="00870B86"/>
    <w:rsid w:val="00875FED"/>
    <w:rsid w:val="008763BF"/>
    <w:rsid w:val="00876410"/>
    <w:rsid w:val="00877E2A"/>
    <w:rsid w:val="0088186E"/>
    <w:rsid w:val="00881975"/>
    <w:rsid w:val="00883197"/>
    <w:rsid w:val="00884287"/>
    <w:rsid w:val="00884986"/>
    <w:rsid w:val="00885B2C"/>
    <w:rsid w:val="008912C5"/>
    <w:rsid w:val="00891B69"/>
    <w:rsid w:val="008921AA"/>
    <w:rsid w:val="008927AC"/>
    <w:rsid w:val="00893EA8"/>
    <w:rsid w:val="008941EB"/>
    <w:rsid w:val="008A1354"/>
    <w:rsid w:val="008A1B99"/>
    <w:rsid w:val="008A2F4B"/>
    <w:rsid w:val="008A4716"/>
    <w:rsid w:val="008A4FC6"/>
    <w:rsid w:val="008A5A81"/>
    <w:rsid w:val="008A5F8E"/>
    <w:rsid w:val="008B05C2"/>
    <w:rsid w:val="008B1B0B"/>
    <w:rsid w:val="008B208A"/>
    <w:rsid w:val="008B46C2"/>
    <w:rsid w:val="008B4B71"/>
    <w:rsid w:val="008B5B2C"/>
    <w:rsid w:val="008B605D"/>
    <w:rsid w:val="008B7D7F"/>
    <w:rsid w:val="008C1104"/>
    <w:rsid w:val="008C19DC"/>
    <w:rsid w:val="008C33DA"/>
    <w:rsid w:val="008C3713"/>
    <w:rsid w:val="008C50F9"/>
    <w:rsid w:val="008C7A46"/>
    <w:rsid w:val="008D0A6F"/>
    <w:rsid w:val="008D0EE3"/>
    <w:rsid w:val="008D14E5"/>
    <w:rsid w:val="008D1F10"/>
    <w:rsid w:val="008D4C8B"/>
    <w:rsid w:val="008D754A"/>
    <w:rsid w:val="008E3219"/>
    <w:rsid w:val="008E3E28"/>
    <w:rsid w:val="008E4707"/>
    <w:rsid w:val="008E7670"/>
    <w:rsid w:val="008F0176"/>
    <w:rsid w:val="008F1A14"/>
    <w:rsid w:val="008F4E36"/>
    <w:rsid w:val="008F5AB1"/>
    <w:rsid w:val="008F640D"/>
    <w:rsid w:val="008F64EA"/>
    <w:rsid w:val="00904FA5"/>
    <w:rsid w:val="00906D46"/>
    <w:rsid w:val="00907D71"/>
    <w:rsid w:val="00910141"/>
    <w:rsid w:val="00911AFD"/>
    <w:rsid w:val="009129E7"/>
    <w:rsid w:val="00913B7D"/>
    <w:rsid w:val="0091523C"/>
    <w:rsid w:val="00921604"/>
    <w:rsid w:val="00921F1E"/>
    <w:rsid w:val="0092351B"/>
    <w:rsid w:val="0093115F"/>
    <w:rsid w:val="00931A41"/>
    <w:rsid w:val="00933E68"/>
    <w:rsid w:val="00934354"/>
    <w:rsid w:val="00935181"/>
    <w:rsid w:val="0093577D"/>
    <w:rsid w:val="0093623A"/>
    <w:rsid w:val="009431E4"/>
    <w:rsid w:val="009437A4"/>
    <w:rsid w:val="00943D6F"/>
    <w:rsid w:val="00945537"/>
    <w:rsid w:val="00945A97"/>
    <w:rsid w:val="0095193D"/>
    <w:rsid w:val="00952453"/>
    <w:rsid w:val="009537C0"/>
    <w:rsid w:val="009542C4"/>
    <w:rsid w:val="00954F47"/>
    <w:rsid w:val="00955BF6"/>
    <w:rsid w:val="0096376E"/>
    <w:rsid w:val="00965272"/>
    <w:rsid w:val="00966C2B"/>
    <w:rsid w:val="00967868"/>
    <w:rsid w:val="00973CB2"/>
    <w:rsid w:val="009759DA"/>
    <w:rsid w:val="00976A11"/>
    <w:rsid w:val="00976D9B"/>
    <w:rsid w:val="00980018"/>
    <w:rsid w:val="00985676"/>
    <w:rsid w:val="00987619"/>
    <w:rsid w:val="00987869"/>
    <w:rsid w:val="00990571"/>
    <w:rsid w:val="009908B9"/>
    <w:rsid w:val="009923ED"/>
    <w:rsid w:val="009928E4"/>
    <w:rsid w:val="00993536"/>
    <w:rsid w:val="00994DB3"/>
    <w:rsid w:val="0099526F"/>
    <w:rsid w:val="009976C7"/>
    <w:rsid w:val="00997814"/>
    <w:rsid w:val="009A01D7"/>
    <w:rsid w:val="009B0564"/>
    <w:rsid w:val="009B0E66"/>
    <w:rsid w:val="009B17A3"/>
    <w:rsid w:val="009B1EC5"/>
    <w:rsid w:val="009B26D1"/>
    <w:rsid w:val="009B5227"/>
    <w:rsid w:val="009B544E"/>
    <w:rsid w:val="009C2AA9"/>
    <w:rsid w:val="009C3B54"/>
    <w:rsid w:val="009C3E18"/>
    <w:rsid w:val="009C6619"/>
    <w:rsid w:val="009C74C6"/>
    <w:rsid w:val="009C7AC3"/>
    <w:rsid w:val="009C7E1E"/>
    <w:rsid w:val="009D01D3"/>
    <w:rsid w:val="009D1CD6"/>
    <w:rsid w:val="009D3091"/>
    <w:rsid w:val="009D3F6D"/>
    <w:rsid w:val="009D7719"/>
    <w:rsid w:val="009E20CA"/>
    <w:rsid w:val="009E33A6"/>
    <w:rsid w:val="009E553F"/>
    <w:rsid w:val="009E5AFA"/>
    <w:rsid w:val="009F02EC"/>
    <w:rsid w:val="009F1971"/>
    <w:rsid w:val="009F3B44"/>
    <w:rsid w:val="009F47D5"/>
    <w:rsid w:val="009F6900"/>
    <w:rsid w:val="009F69A2"/>
    <w:rsid w:val="00A00EE1"/>
    <w:rsid w:val="00A01722"/>
    <w:rsid w:val="00A03FB4"/>
    <w:rsid w:val="00A0719F"/>
    <w:rsid w:val="00A10DE7"/>
    <w:rsid w:val="00A10EA5"/>
    <w:rsid w:val="00A1101F"/>
    <w:rsid w:val="00A11C66"/>
    <w:rsid w:val="00A12434"/>
    <w:rsid w:val="00A26544"/>
    <w:rsid w:val="00A310A8"/>
    <w:rsid w:val="00A31768"/>
    <w:rsid w:val="00A31F4F"/>
    <w:rsid w:val="00A3393E"/>
    <w:rsid w:val="00A350A2"/>
    <w:rsid w:val="00A35175"/>
    <w:rsid w:val="00A35AA4"/>
    <w:rsid w:val="00A416F5"/>
    <w:rsid w:val="00A426B9"/>
    <w:rsid w:val="00A42A37"/>
    <w:rsid w:val="00A46559"/>
    <w:rsid w:val="00A466C5"/>
    <w:rsid w:val="00A468F1"/>
    <w:rsid w:val="00A46B99"/>
    <w:rsid w:val="00A4729E"/>
    <w:rsid w:val="00A508E2"/>
    <w:rsid w:val="00A521C8"/>
    <w:rsid w:val="00A55F05"/>
    <w:rsid w:val="00A57583"/>
    <w:rsid w:val="00A6167B"/>
    <w:rsid w:val="00A666B5"/>
    <w:rsid w:val="00A712A6"/>
    <w:rsid w:val="00A73157"/>
    <w:rsid w:val="00A750CF"/>
    <w:rsid w:val="00A760F9"/>
    <w:rsid w:val="00A76264"/>
    <w:rsid w:val="00A76670"/>
    <w:rsid w:val="00A80CC3"/>
    <w:rsid w:val="00A8493E"/>
    <w:rsid w:val="00A868AE"/>
    <w:rsid w:val="00A94397"/>
    <w:rsid w:val="00A948A2"/>
    <w:rsid w:val="00A97C25"/>
    <w:rsid w:val="00AA18F0"/>
    <w:rsid w:val="00AA28D6"/>
    <w:rsid w:val="00AB1BB1"/>
    <w:rsid w:val="00AB29FE"/>
    <w:rsid w:val="00AB5D19"/>
    <w:rsid w:val="00AB7EEE"/>
    <w:rsid w:val="00AC0BCB"/>
    <w:rsid w:val="00AC1BFD"/>
    <w:rsid w:val="00AC2B1A"/>
    <w:rsid w:val="00AC2CCC"/>
    <w:rsid w:val="00AC3662"/>
    <w:rsid w:val="00AC3FE9"/>
    <w:rsid w:val="00AC4B50"/>
    <w:rsid w:val="00AC5800"/>
    <w:rsid w:val="00AC6EB8"/>
    <w:rsid w:val="00AC7C27"/>
    <w:rsid w:val="00AD1F25"/>
    <w:rsid w:val="00AD5265"/>
    <w:rsid w:val="00AD530F"/>
    <w:rsid w:val="00AD7D3A"/>
    <w:rsid w:val="00AD7F61"/>
    <w:rsid w:val="00AE5281"/>
    <w:rsid w:val="00AE5FDD"/>
    <w:rsid w:val="00AE60B9"/>
    <w:rsid w:val="00AE68EF"/>
    <w:rsid w:val="00AF0334"/>
    <w:rsid w:val="00AF1E3F"/>
    <w:rsid w:val="00AF2BD8"/>
    <w:rsid w:val="00AF4F5C"/>
    <w:rsid w:val="00AF7558"/>
    <w:rsid w:val="00B023C3"/>
    <w:rsid w:val="00B026C9"/>
    <w:rsid w:val="00B05E2C"/>
    <w:rsid w:val="00B07313"/>
    <w:rsid w:val="00B07CC3"/>
    <w:rsid w:val="00B07FE1"/>
    <w:rsid w:val="00B11272"/>
    <w:rsid w:val="00B1475C"/>
    <w:rsid w:val="00B1534B"/>
    <w:rsid w:val="00B15B3D"/>
    <w:rsid w:val="00B17EFE"/>
    <w:rsid w:val="00B20258"/>
    <w:rsid w:val="00B22CE8"/>
    <w:rsid w:val="00B231D0"/>
    <w:rsid w:val="00B23CEC"/>
    <w:rsid w:val="00B270AF"/>
    <w:rsid w:val="00B273F4"/>
    <w:rsid w:val="00B275E5"/>
    <w:rsid w:val="00B279B7"/>
    <w:rsid w:val="00B330B4"/>
    <w:rsid w:val="00B3317C"/>
    <w:rsid w:val="00B34B58"/>
    <w:rsid w:val="00B34DE7"/>
    <w:rsid w:val="00B3653F"/>
    <w:rsid w:val="00B37244"/>
    <w:rsid w:val="00B40725"/>
    <w:rsid w:val="00B45623"/>
    <w:rsid w:val="00B46079"/>
    <w:rsid w:val="00B46732"/>
    <w:rsid w:val="00B47ACB"/>
    <w:rsid w:val="00B5017A"/>
    <w:rsid w:val="00B51C74"/>
    <w:rsid w:val="00B52D34"/>
    <w:rsid w:val="00B53556"/>
    <w:rsid w:val="00B5614E"/>
    <w:rsid w:val="00B601EF"/>
    <w:rsid w:val="00B60E44"/>
    <w:rsid w:val="00B70C37"/>
    <w:rsid w:val="00B72AF8"/>
    <w:rsid w:val="00B74C0B"/>
    <w:rsid w:val="00B75994"/>
    <w:rsid w:val="00B76326"/>
    <w:rsid w:val="00B81D7F"/>
    <w:rsid w:val="00B81E69"/>
    <w:rsid w:val="00B82630"/>
    <w:rsid w:val="00B86DB9"/>
    <w:rsid w:val="00B86F8A"/>
    <w:rsid w:val="00B8723E"/>
    <w:rsid w:val="00B87C7A"/>
    <w:rsid w:val="00B9190C"/>
    <w:rsid w:val="00B92237"/>
    <w:rsid w:val="00B93547"/>
    <w:rsid w:val="00B9496D"/>
    <w:rsid w:val="00B94F6C"/>
    <w:rsid w:val="00B953CB"/>
    <w:rsid w:val="00B958BD"/>
    <w:rsid w:val="00BA05C1"/>
    <w:rsid w:val="00BA0942"/>
    <w:rsid w:val="00BA14A6"/>
    <w:rsid w:val="00BA14C7"/>
    <w:rsid w:val="00BA2585"/>
    <w:rsid w:val="00BA3B68"/>
    <w:rsid w:val="00BB0BB6"/>
    <w:rsid w:val="00BB0F2D"/>
    <w:rsid w:val="00BB3B04"/>
    <w:rsid w:val="00BB3DEF"/>
    <w:rsid w:val="00BB5C0C"/>
    <w:rsid w:val="00BB6E47"/>
    <w:rsid w:val="00BB7ADC"/>
    <w:rsid w:val="00BC02F9"/>
    <w:rsid w:val="00BC03EA"/>
    <w:rsid w:val="00BC1AEA"/>
    <w:rsid w:val="00BC2D9F"/>
    <w:rsid w:val="00BC4903"/>
    <w:rsid w:val="00BC4D84"/>
    <w:rsid w:val="00BC5FB1"/>
    <w:rsid w:val="00BD0995"/>
    <w:rsid w:val="00BD0E5D"/>
    <w:rsid w:val="00BD1AF5"/>
    <w:rsid w:val="00BD3FBF"/>
    <w:rsid w:val="00BD5D0C"/>
    <w:rsid w:val="00BD6159"/>
    <w:rsid w:val="00BD6F0D"/>
    <w:rsid w:val="00BD7E13"/>
    <w:rsid w:val="00BE0F95"/>
    <w:rsid w:val="00BE0FD7"/>
    <w:rsid w:val="00BE18D8"/>
    <w:rsid w:val="00BE43E2"/>
    <w:rsid w:val="00BE6010"/>
    <w:rsid w:val="00BE6280"/>
    <w:rsid w:val="00BF0317"/>
    <w:rsid w:val="00BF073A"/>
    <w:rsid w:val="00C060BE"/>
    <w:rsid w:val="00C1186F"/>
    <w:rsid w:val="00C136DA"/>
    <w:rsid w:val="00C14A3D"/>
    <w:rsid w:val="00C15B48"/>
    <w:rsid w:val="00C165DF"/>
    <w:rsid w:val="00C213F5"/>
    <w:rsid w:val="00C2144A"/>
    <w:rsid w:val="00C241DD"/>
    <w:rsid w:val="00C2615B"/>
    <w:rsid w:val="00C2621C"/>
    <w:rsid w:val="00C26C29"/>
    <w:rsid w:val="00C271A9"/>
    <w:rsid w:val="00C31352"/>
    <w:rsid w:val="00C31956"/>
    <w:rsid w:val="00C31D8B"/>
    <w:rsid w:val="00C346DE"/>
    <w:rsid w:val="00C351EF"/>
    <w:rsid w:val="00C3596B"/>
    <w:rsid w:val="00C4111B"/>
    <w:rsid w:val="00C42F10"/>
    <w:rsid w:val="00C4772D"/>
    <w:rsid w:val="00C4781C"/>
    <w:rsid w:val="00C50142"/>
    <w:rsid w:val="00C50574"/>
    <w:rsid w:val="00C51876"/>
    <w:rsid w:val="00C5440E"/>
    <w:rsid w:val="00C556B5"/>
    <w:rsid w:val="00C60C56"/>
    <w:rsid w:val="00C61090"/>
    <w:rsid w:val="00C6237A"/>
    <w:rsid w:val="00C63BCD"/>
    <w:rsid w:val="00C64C61"/>
    <w:rsid w:val="00C65B7D"/>
    <w:rsid w:val="00C66FAC"/>
    <w:rsid w:val="00C728B8"/>
    <w:rsid w:val="00C738F4"/>
    <w:rsid w:val="00C74965"/>
    <w:rsid w:val="00C74A90"/>
    <w:rsid w:val="00C75911"/>
    <w:rsid w:val="00C7596C"/>
    <w:rsid w:val="00C775C1"/>
    <w:rsid w:val="00C81524"/>
    <w:rsid w:val="00C84172"/>
    <w:rsid w:val="00C843DB"/>
    <w:rsid w:val="00C85732"/>
    <w:rsid w:val="00C85C2A"/>
    <w:rsid w:val="00C86352"/>
    <w:rsid w:val="00C8665F"/>
    <w:rsid w:val="00C90488"/>
    <w:rsid w:val="00C90C55"/>
    <w:rsid w:val="00C90EF6"/>
    <w:rsid w:val="00C922C6"/>
    <w:rsid w:val="00C92684"/>
    <w:rsid w:val="00C9458F"/>
    <w:rsid w:val="00C95E6C"/>
    <w:rsid w:val="00CA00FA"/>
    <w:rsid w:val="00CA0B12"/>
    <w:rsid w:val="00CA121F"/>
    <w:rsid w:val="00CA1735"/>
    <w:rsid w:val="00CA4B40"/>
    <w:rsid w:val="00CA5D0A"/>
    <w:rsid w:val="00CA5E0E"/>
    <w:rsid w:val="00CB021B"/>
    <w:rsid w:val="00CB1768"/>
    <w:rsid w:val="00CB636B"/>
    <w:rsid w:val="00CB659A"/>
    <w:rsid w:val="00CC06FE"/>
    <w:rsid w:val="00CC1A61"/>
    <w:rsid w:val="00CC2A28"/>
    <w:rsid w:val="00CC37A1"/>
    <w:rsid w:val="00CC3E23"/>
    <w:rsid w:val="00CC4191"/>
    <w:rsid w:val="00CC4413"/>
    <w:rsid w:val="00CC6E3B"/>
    <w:rsid w:val="00CD0618"/>
    <w:rsid w:val="00CD0796"/>
    <w:rsid w:val="00CD35A9"/>
    <w:rsid w:val="00CD6913"/>
    <w:rsid w:val="00CE5B32"/>
    <w:rsid w:val="00CE7C73"/>
    <w:rsid w:val="00CF256C"/>
    <w:rsid w:val="00CF5236"/>
    <w:rsid w:val="00CF5274"/>
    <w:rsid w:val="00D001E9"/>
    <w:rsid w:val="00D0162A"/>
    <w:rsid w:val="00D0613A"/>
    <w:rsid w:val="00D06928"/>
    <w:rsid w:val="00D077F9"/>
    <w:rsid w:val="00D10B21"/>
    <w:rsid w:val="00D13B0A"/>
    <w:rsid w:val="00D167E7"/>
    <w:rsid w:val="00D20545"/>
    <w:rsid w:val="00D20829"/>
    <w:rsid w:val="00D20A69"/>
    <w:rsid w:val="00D21F8D"/>
    <w:rsid w:val="00D221DC"/>
    <w:rsid w:val="00D22557"/>
    <w:rsid w:val="00D328B3"/>
    <w:rsid w:val="00D33031"/>
    <w:rsid w:val="00D33107"/>
    <w:rsid w:val="00D3431A"/>
    <w:rsid w:val="00D428AC"/>
    <w:rsid w:val="00D455E2"/>
    <w:rsid w:val="00D47B8D"/>
    <w:rsid w:val="00D504B0"/>
    <w:rsid w:val="00D510ED"/>
    <w:rsid w:val="00D526CB"/>
    <w:rsid w:val="00D56AA2"/>
    <w:rsid w:val="00D632B1"/>
    <w:rsid w:val="00D652C5"/>
    <w:rsid w:val="00D66091"/>
    <w:rsid w:val="00D675A0"/>
    <w:rsid w:val="00D70397"/>
    <w:rsid w:val="00D73337"/>
    <w:rsid w:val="00D73F69"/>
    <w:rsid w:val="00D74078"/>
    <w:rsid w:val="00D74703"/>
    <w:rsid w:val="00D74DE0"/>
    <w:rsid w:val="00D757F1"/>
    <w:rsid w:val="00D76619"/>
    <w:rsid w:val="00D81D17"/>
    <w:rsid w:val="00D82F38"/>
    <w:rsid w:val="00D83474"/>
    <w:rsid w:val="00D871BD"/>
    <w:rsid w:val="00D874B2"/>
    <w:rsid w:val="00D90307"/>
    <w:rsid w:val="00D90521"/>
    <w:rsid w:val="00D90599"/>
    <w:rsid w:val="00D90B30"/>
    <w:rsid w:val="00D91925"/>
    <w:rsid w:val="00D94F2F"/>
    <w:rsid w:val="00D95EC4"/>
    <w:rsid w:val="00DA4357"/>
    <w:rsid w:val="00DA7A09"/>
    <w:rsid w:val="00DB06D0"/>
    <w:rsid w:val="00DB073F"/>
    <w:rsid w:val="00DB10E3"/>
    <w:rsid w:val="00DB1502"/>
    <w:rsid w:val="00DB1FAC"/>
    <w:rsid w:val="00DB28DE"/>
    <w:rsid w:val="00DB296E"/>
    <w:rsid w:val="00DB7636"/>
    <w:rsid w:val="00DC1C91"/>
    <w:rsid w:val="00DC2F45"/>
    <w:rsid w:val="00DC4334"/>
    <w:rsid w:val="00DC458D"/>
    <w:rsid w:val="00DC7339"/>
    <w:rsid w:val="00DC7758"/>
    <w:rsid w:val="00DC7841"/>
    <w:rsid w:val="00DD0916"/>
    <w:rsid w:val="00DD487A"/>
    <w:rsid w:val="00DD5A5C"/>
    <w:rsid w:val="00DD5FD5"/>
    <w:rsid w:val="00DD66BB"/>
    <w:rsid w:val="00DE3582"/>
    <w:rsid w:val="00DE3DDE"/>
    <w:rsid w:val="00DE6F46"/>
    <w:rsid w:val="00DE7977"/>
    <w:rsid w:val="00DF0D36"/>
    <w:rsid w:val="00DF3BD1"/>
    <w:rsid w:val="00DF4732"/>
    <w:rsid w:val="00DF608B"/>
    <w:rsid w:val="00E041B2"/>
    <w:rsid w:val="00E07F00"/>
    <w:rsid w:val="00E10016"/>
    <w:rsid w:val="00E12D62"/>
    <w:rsid w:val="00E13BA4"/>
    <w:rsid w:val="00E14737"/>
    <w:rsid w:val="00E151A8"/>
    <w:rsid w:val="00E154F4"/>
    <w:rsid w:val="00E17566"/>
    <w:rsid w:val="00E17624"/>
    <w:rsid w:val="00E24671"/>
    <w:rsid w:val="00E247F9"/>
    <w:rsid w:val="00E25B8B"/>
    <w:rsid w:val="00E25F98"/>
    <w:rsid w:val="00E2706B"/>
    <w:rsid w:val="00E275FB"/>
    <w:rsid w:val="00E3335B"/>
    <w:rsid w:val="00E421A8"/>
    <w:rsid w:val="00E42CD3"/>
    <w:rsid w:val="00E442DA"/>
    <w:rsid w:val="00E4513F"/>
    <w:rsid w:val="00E452B4"/>
    <w:rsid w:val="00E45652"/>
    <w:rsid w:val="00E458B4"/>
    <w:rsid w:val="00E555F0"/>
    <w:rsid w:val="00E55907"/>
    <w:rsid w:val="00E56EDA"/>
    <w:rsid w:val="00E6181F"/>
    <w:rsid w:val="00E618F1"/>
    <w:rsid w:val="00E61B8D"/>
    <w:rsid w:val="00E640E3"/>
    <w:rsid w:val="00E64568"/>
    <w:rsid w:val="00E70A52"/>
    <w:rsid w:val="00E72C3B"/>
    <w:rsid w:val="00E8136C"/>
    <w:rsid w:val="00E81457"/>
    <w:rsid w:val="00E8519C"/>
    <w:rsid w:val="00E8590B"/>
    <w:rsid w:val="00E906ED"/>
    <w:rsid w:val="00E908BA"/>
    <w:rsid w:val="00E93615"/>
    <w:rsid w:val="00E93B0B"/>
    <w:rsid w:val="00E9464C"/>
    <w:rsid w:val="00E96907"/>
    <w:rsid w:val="00E97476"/>
    <w:rsid w:val="00E978E8"/>
    <w:rsid w:val="00EA01E9"/>
    <w:rsid w:val="00EA265D"/>
    <w:rsid w:val="00EA4228"/>
    <w:rsid w:val="00EA43E4"/>
    <w:rsid w:val="00EB0D87"/>
    <w:rsid w:val="00EB2F2A"/>
    <w:rsid w:val="00EB41B8"/>
    <w:rsid w:val="00EB45B6"/>
    <w:rsid w:val="00EB45F6"/>
    <w:rsid w:val="00EB5A07"/>
    <w:rsid w:val="00EB6C3F"/>
    <w:rsid w:val="00EC7AC4"/>
    <w:rsid w:val="00ED087D"/>
    <w:rsid w:val="00ED176A"/>
    <w:rsid w:val="00ED1F59"/>
    <w:rsid w:val="00ED20D1"/>
    <w:rsid w:val="00ED2F79"/>
    <w:rsid w:val="00ED3033"/>
    <w:rsid w:val="00ED4933"/>
    <w:rsid w:val="00ED4B23"/>
    <w:rsid w:val="00ED6A4E"/>
    <w:rsid w:val="00ED7FBE"/>
    <w:rsid w:val="00EE55C4"/>
    <w:rsid w:val="00EE5AC7"/>
    <w:rsid w:val="00EE5C69"/>
    <w:rsid w:val="00EF0115"/>
    <w:rsid w:val="00EF2282"/>
    <w:rsid w:val="00EF4FFC"/>
    <w:rsid w:val="00EF520E"/>
    <w:rsid w:val="00EF6C98"/>
    <w:rsid w:val="00F0156A"/>
    <w:rsid w:val="00F02113"/>
    <w:rsid w:val="00F028AA"/>
    <w:rsid w:val="00F058BE"/>
    <w:rsid w:val="00F06043"/>
    <w:rsid w:val="00F07975"/>
    <w:rsid w:val="00F10EE2"/>
    <w:rsid w:val="00F11EF0"/>
    <w:rsid w:val="00F1762A"/>
    <w:rsid w:val="00F2256B"/>
    <w:rsid w:val="00F226F6"/>
    <w:rsid w:val="00F231D3"/>
    <w:rsid w:val="00F232FF"/>
    <w:rsid w:val="00F236EC"/>
    <w:rsid w:val="00F24B63"/>
    <w:rsid w:val="00F24F0B"/>
    <w:rsid w:val="00F2705B"/>
    <w:rsid w:val="00F30835"/>
    <w:rsid w:val="00F32EF3"/>
    <w:rsid w:val="00F34B3A"/>
    <w:rsid w:val="00F34CD7"/>
    <w:rsid w:val="00F372B5"/>
    <w:rsid w:val="00F37BBA"/>
    <w:rsid w:val="00F37FD3"/>
    <w:rsid w:val="00F4105E"/>
    <w:rsid w:val="00F44B88"/>
    <w:rsid w:val="00F46FF7"/>
    <w:rsid w:val="00F519E7"/>
    <w:rsid w:val="00F543A1"/>
    <w:rsid w:val="00F5454B"/>
    <w:rsid w:val="00F62928"/>
    <w:rsid w:val="00F65FEB"/>
    <w:rsid w:val="00F66FA8"/>
    <w:rsid w:val="00F67BCF"/>
    <w:rsid w:val="00F70F28"/>
    <w:rsid w:val="00F71606"/>
    <w:rsid w:val="00F72A9D"/>
    <w:rsid w:val="00F74574"/>
    <w:rsid w:val="00F81F54"/>
    <w:rsid w:val="00F83030"/>
    <w:rsid w:val="00F844F8"/>
    <w:rsid w:val="00F856DD"/>
    <w:rsid w:val="00F85B33"/>
    <w:rsid w:val="00F871D5"/>
    <w:rsid w:val="00F91268"/>
    <w:rsid w:val="00F93E57"/>
    <w:rsid w:val="00F94822"/>
    <w:rsid w:val="00F955BB"/>
    <w:rsid w:val="00FA507A"/>
    <w:rsid w:val="00FA5510"/>
    <w:rsid w:val="00FA5B25"/>
    <w:rsid w:val="00FB1A00"/>
    <w:rsid w:val="00FB28CE"/>
    <w:rsid w:val="00FB63FB"/>
    <w:rsid w:val="00FB67C5"/>
    <w:rsid w:val="00FB6CED"/>
    <w:rsid w:val="00FB6EF5"/>
    <w:rsid w:val="00FC1067"/>
    <w:rsid w:val="00FC40C9"/>
    <w:rsid w:val="00FC53C3"/>
    <w:rsid w:val="00FC6CE2"/>
    <w:rsid w:val="00FD2408"/>
    <w:rsid w:val="00FD3707"/>
    <w:rsid w:val="00FD46F5"/>
    <w:rsid w:val="00FD6547"/>
    <w:rsid w:val="00FD67CB"/>
    <w:rsid w:val="00FD7759"/>
    <w:rsid w:val="00FD78E4"/>
    <w:rsid w:val="00FE02EB"/>
    <w:rsid w:val="00FE6A33"/>
    <w:rsid w:val="00FE7908"/>
    <w:rsid w:val="00FF26AC"/>
    <w:rsid w:val="00FF2DD2"/>
    <w:rsid w:val="00FF3B33"/>
    <w:rsid w:val="00FF44C0"/>
    <w:rsid w:val="0126160D"/>
    <w:rsid w:val="01CF64D7"/>
    <w:rsid w:val="023E6AA9"/>
    <w:rsid w:val="0272010D"/>
    <w:rsid w:val="029546A6"/>
    <w:rsid w:val="02AD1871"/>
    <w:rsid w:val="02B074AC"/>
    <w:rsid w:val="03464743"/>
    <w:rsid w:val="03624413"/>
    <w:rsid w:val="0385634A"/>
    <w:rsid w:val="03AA5DB1"/>
    <w:rsid w:val="03D73C9F"/>
    <w:rsid w:val="03F359AA"/>
    <w:rsid w:val="042416F5"/>
    <w:rsid w:val="04277401"/>
    <w:rsid w:val="043E3E39"/>
    <w:rsid w:val="04642762"/>
    <w:rsid w:val="047C599F"/>
    <w:rsid w:val="052B1173"/>
    <w:rsid w:val="058F7927"/>
    <w:rsid w:val="05B22981"/>
    <w:rsid w:val="05C1113D"/>
    <w:rsid w:val="05D638CA"/>
    <w:rsid w:val="05EC445F"/>
    <w:rsid w:val="05F30EA0"/>
    <w:rsid w:val="0624393A"/>
    <w:rsid w:val="064C04EA"/>
    <w:rsid w:val="065F0673"/>
    <w:rsid w:val="06602682"/>
    <w:rsid w:val="06672DBC"/>
    <w:rsid w:val="06674FC4"/>
    <w:rsid w:val="066A1827"/>
    <w:rsid w:val="067D59FE"/>
    <w:rsid w:val="06881757"/>
    <w:rsid w:val="06965CA6"/>
    <w:rsid w:val="06E45734"/>
    <w:rsid w:val="06F81D5F"/>
    <w:rsid w:val="071F3380"/>
    <w:rsid w:val="076C6A9D"/>
    <w:rsid w:val="0771024E"/>
    <w:rsid w:val="07883B0C"/>
    <w:rsid w:val="07BE68DA"/>
    <w:rsid w:val="07E35D35"/>
    <w:rsid w:val="07F74B81"/>
    <w:rsid w:val="07FC2377"/>
    <w:rsid w:val="07FC2953"/>
    <w:rsid w:val="0805282B"/>
    <w:rsid w:val="082365B1"/>
    <w:rsid w:val="083C0C05"/>
    <w:rsid w:val="091009ED"/>
    <w:rsid w:val="091343F8"/>
    <w:rsid w:val="091F34DF"/>
    <w:rsid w:val="09336848"/>
    <w:rsid w:val="09770072"/>
    <w:rsid w:val="09B71F4A"/>
    <w:rsid w:val="09DC2CF5"/>
    <w:rsid w:val="09FE0C04"/>
    <w:rsid w:val="0A013FD0"/>
    <w:rsid w:val="0A0972C5"/>
    <w:rsid w:val="0A0D0E47"/>
    <w:rsid w:val="0A1931C5"/>
    <w:rsid w:val="0A262C1C"/>
    <w:rsid w:val="0A5F4817"/>
    <w:rsid w:val="0AA0748C"/>
    <w:rsid w:val="0AD876A7"/>
    <w:rsid w:val="0AFA761E"/>
    <w:rsid w:val="0B0E4F03"/>
    <w:rsid w:val="0B135760"/>
    <w:rsid w:val="0B332B30"/>
    <w:rsid w:val="0B3D7272"/>
    <w:rsid w:val="0B4623B2"/>
    <w:rsid w:val="0B623D99"/>
    <w:rsid w:val="0B720CBA"/>
    <w:rsid w:val="0BB978C9"/>
    <w:rsid w:val="0BC140B0"/>
    <w:rsid w:val="0C4A1EDF"/>
    <w:rsid w:val="0C540FAF"/>
    <w:rsid w:val="0CEB11F7"/>
    <w:rsid w:val="0CF167FE"/>
    <w:rsid w:val="0D6D6BDD"/>
    <w:rsid w:val="0D792EF6"/>
    <w:rsid w:val="0D910827"/>
    <w:rsid w:val="0DBB3DDD"/>
    <w:rsid w:val="0DEA1BCB"/>
    <w:rsid w:val="0DF412E5"/>
    <w:rsid w:val="0E36192F"/>
    <w:rsid w:val="0E4C26F2"/>
    <w:rsid w:val="0E606C70"/>
    <w:rsid w:val="0E792F4F"/>
    <w:rsid w:val="0EAF68F8"/>
    <w:rsid w:val="0F0B17D6"/>
    <w:rsid w:val="0F2336E2"/>
    <w:rsid w:val="0F240F76"/>
    <w:rsid w:val="0F2F18CF"/>
    <w:rsid w:val="0F7718EA"/>
    <w:rsid w:val="0F8F12AB"/>
    <w:rsid w:val="0FD428EF"/>
    <w:rsid w:val="10274F9A"/>
    <w:rsid w:val="1028470E"/>
    <w:rsid w:val="103425BC"/>
    <w:rsid w:val="104954E2"/>
    <w:rsid w:val="104F3F68"/>
    <w:rsid w:val="106A7434"/>
    <w:rsid w:val="106F3254"/>
    <w:rsid w:val="10FA4487"/>
    <w:rsid w:val="111B02EE"/>
    <w:rsid w:val="11525ABA"/>
    <w:rsid w:val="1161187F"/>
    <w:rsid w:val="1167461D"/>
    <w:rsid w:val="119D6F55"/>
    <w:rsid w:val="11C45259"/>
    <w:rsid w:val="11D0732A"/>
    <w:rsid w:val="11E51BBE"/>
    <w:rsid w:val="12281E79"/>
    <w:rsid w:val="123118D1"/>
    <w:rsid w:val="12396CF6"/>
    <w:rsid w:val="124536A4"/>
    <w:rsid w:val="12875006"/>
    <w:rsid w:val="12931F83"/>
    <w:rsid w:val="129F6795"/>
    <w:rsid w:val="12F26CCC"/>
    <w:rsid w:val="13143247"/>
    <w:rsid w:val="13826402"/>
    <w:rsid w:val="13915869"/>
    <w:rsid w:val="139F6D7C"/>
    <w:rsid w:val="13B14F39"/>
    <w:rsid w:val="140C38C8"/>
    <w:rsid w:val="147338B0"/>
    <w:rsid w:val="14B369E4"/>
    <w:rsid w:val="14D94748"/>
    <w:rsid w:val="14F5213D"/>
    <w:rsid w:val="14FB0CFC"/>
    <w:rsid w:val="1508222A"/>
    <w:rsid w:val="15086DDB"/>
    <w:rsid w:val="15095912"/>
    <w:rsid w:val="152C0D1B"/>
    <w:rsid w:val="159C52AE"/>
    <w:rsid w:val="15AC591A"/>
    <w:rsid w:val="15C41643"/>
    <w:rsid w:val="15C54CCC"/>
    <w:rsid w:val="15CC1BB7"/>
    <w:rsid w:val="16092E0B"/>
    <w:rsid w:val="169676FF"/>
    <w:rsid w:val="16CB58D9"/>
    <w:rsid w:val="16DC6904"/>
    <w:rsid w:val="17096CA2"/>
    <w:rsid w:val="17800EAB"/>
    <w:rsid w:val="179213A3"/>
    <w:rsid w:val="17A94A6F"/>
    <w:rsid w:val="17AA6807"/>
    <w:rsid w:val="17B12F51"/>
    <w:rsid w:val="17B46DA6"/>
    <w:rsid w:val="17BB6387"/>
    <w:rsid w:val="18441E79"/>
    <w:rsid w:val="18463EA2"/>
    <w:rsid w:val="185058FD"/>
    <w:rsid w:val="1852001E"/>
    <w:rsid w:val="185F228C"/>
    <w:rsid w:val="185F31B6"/>
    <w:rsid w:val="186B5AD7"/>
    <w:rsid w:val="18DE4C43"/>
    <w:rsid w:val="194B373A"/>
    <w:rsid w:val="19503165"/>
    <w:rsid w:val="1950648F"/>
    <w:rsid w:val="19540841"/>
    <w:rsid w:val="195B397D"/>
    <w:rsid w:val="195C5E8E"/>
    <w:rsid w:val="197D34ED"/>
    <w:rsid w:val="19A36F89"/>
    <w:rsid w:val="19DC357C"/>
    <w:rsid w:val="19FA2320"/>
    <w:rsid w:val="1A017577"/>
    <w:rsid w:val="1A290733"/>
    <w:rsid w:val="1A310B82"/>
    <w:rsid w:val="1A375F1E"/>
    <w:rsid w:val="1A414FE6"/>
    <w:rsid w:val="1A6D5519"/>
    <w:rsid w:val="1AAC0E52"/>
    <w:rsid w:val="1B6905D8"/>
    <w:rsid w:val="1B720B5E"/>
    <w:rsid w:val="1B761231"/>
    <w:rsid w:val="1BBE14ED"/>
    <w:rsid w:val="1BF56E9E"/>
    <w:rsid w:val="1C062028"/>
    <w:rsid w:val="1C46750E"/>
    <w:rsid w:val="1C872CDB"/>
    <w:rsid w:val="1C8D4CFF"/>
    <w:rsid w:val="1C913B5A"/>
    <w:rsid w:val="1CAA14C2"/>
    <w:rsid w:val="1CDD7656"/>
    <w:rsid w:val="1CEE4FD9"/>
    <w:rsid w:val="1D3632D6"/>
    <w:rsid w:val="1D3F5364"/>
    <w:rsid w:val="1D44554B"/>
    <w:rsid w:val="1D9123D0"/>
    <w:rsid w:val="1DC064A5"/>
    <w:rsid w:val="1DF21D40"/>
    <w:rsid w:val="1E890F8D"/>
    <w:rsid w:val="1E9F6F04"/>
    <w:rsid w:val="1EAB73FC"/>
    <w:rsid w:val="1EE241F9"/>
    <w:rsid w:val="1F5833E5"/>
    <w:rsid w:val="1FA36450"/>
    <w:rsid w:val="1FA376E0"/>
    <w:rsid w:val="1FA83694"/>
    <w:rsid w:val="203A674D"/>
    <w:rsid w:val="20A756FA"/>
    <w:rsid w:val="20B176A4"/>
    <w:rsid w:val="211F6FB4"/>
    <w:rsid w:val="2139763B"/>
    <w:rsid w:val="213C22E6"/>
    <w:rsid w:val="21AD669F"/>
    <w:rsid w:val="21C66054"/>
    <w:rsid w:val="21CD59D5"/>
    <w:rsid w:val="21CE2BD3"/>
    <w:rsid w:val="21DC7625"/>
    <w:rsid w:val="22514E5C"/>
    <w:rsid w:val="227F1DA6"/>
    <w:rsid w:val="22E63C01"/>
    <w:rsid w:val="230010F2"/>
    <w:rsid w:val="230659E9"/>
    <w:rsid w:val="23270D74"/>
    <w:rsid w:val="237F70BF"/>
    <w:rsid w:val="238910E7"/>
    <w:rsid w:val="2389777C"/>
    <w:rsid w:val="24155071"/>
    <w:rsid w:val="24253A31"/>
    <w:rsid w:val="24360437"/>
    <w:rsid w:val="24396A70"/>
    <w:rsid w:val="244F40DF"/>
    <w:rsid w:val="249A1056"/>
    <w:rsid w:val="24C97AA5"/>
    <w:rsid w:val="24E862E1"/>
    <w:rsid w:val="251C4C6F"/>
    <w:rsid w:val="25415D14"/>
    <w:rsid w:val="25490174"/>
    <w:rsid w:val="255D6ADF"/>
    <w:rsid w:val="25691F95"/>
    <w:rsid w:val="259F1096"/>
    <w:rsid w:val="25A712A7"/>
    <w:rsid w:val="25CC1CD8"/>
    <w:rsid w:val="26120603"/>
    <w:rsid w:val="264932B1"/>
    <w:rsid w:val="26510172"/>
    <w:rsid w:val="26797B39"/>
    <w:rsid w:val="26B168B1"/>
    <w:rsid w:val="26B24DF9"/>
    <w:rsid w:val="26CD4723"/>
    <w:rsid w:val="26D92385"/>
    <w:rsid w:val="26EB02E7"/>
    <w:rsid w:val="26EF5658"/>
    <w:rsid w:val="273D0B66"/>
    <w:rsid w:val="276738C3"/>
    <w:rsid w:val="277919FF"/>
    <w:rsid w:val="27870033"/>
    <w:rsid w:val="27BB57B6"/>
    <w:rsid w:val="27C3592D"/>
    <w:rsid w:val="27C9064C"/>
    <w:rsid w:val="27CC1EEA"/>
    <w:rsid w:val="27E30231"/>
    <w:rsid w:val="27EE6E31"/>
    <w:rsid w:val="282F0A32"/>
    <w:rsid w:val="283848D1"/>
    <w:rsid w:val="28445F24"/>
    <w:rsid w:val="286935A5"/>
    <w:rsid w:val="2871099D"/>
    <w:rsid w:val="28B766F6"/>
    <w:rsid w:val="29172FA0"/>
    <w:rsid w:val="294B6543"/>
    <w:rsid w:val="29537B68"/>
    <w:rsid w:val="29A34C70"/>
    <w:rsid w:val="29FE1735"/>
    <w:rsid w:val="2A037436"/>
    <w:rsid w:val="2A146170"/>
    <w:rsid w:val="2A9841A1"/>
    <w:rsid w:val="2A9E28FA"/>
    <w:rsid w:val="2A9E7B6E"/>
    <w:rsid w:val="2B2142FB"/>
    <w:rsid w:val="2B247CFE"/>
    <w:rsid w:val="2B2F5CFC"/>
    <w:rsid w:val="2B5C143C"/>
    <w:rsid w:val="2B732DA8"/>
    <w:rsid w:val="2BC2473C"/>
    <w:rsid w:val="2BCF1FDB"/>
    <w:rsid w:val="2BDB2B53"/>
    <w:rsid w:val="2C310814"/>
    <w:rsid w:val="2C847775"/>
    <w:rsid w:val="2C897429"/>
    <w:rsid w:val="2C8B647D"/>
    <w:rsid w:val="2C9A25B7"/>
    <w:rsid w:val="2CC6515A"/>
    <w:rsid w:val="2CEC5579"/>
    <w:rsid w:val="2D4C1B03"/>
    <w:rsid w:val="2D70785A"/>
    <w:rsid w:val="2D797FE3"/>
    <w:rsid w:val="2D8D21DF"/>
    <w:rsid w:val="2D8D3ECA"/>
    <w:rsid w:val="2DB22C9D"/>
    <w:rsid w:val="2DF241CE"/>
    <w:rsid w:val="2DFF6B75"/>
    <w:rsid w:val="2E0510E9"/>
    <w:rsid w:val="2E33681F"/>
    <w:rsid w:val="2E5C3FC8"/>
    <w:rsid w:val="2E9547C3"/>
    <w:rsid w:val="2EB060C2"/>
    <w:rsid w:val="2EBE177D"/>
    <w:rsid w:val="2EE87092"/>
    <w:rsid w:val="2EF74931"/>
    <w:rsid w:val="2F3910AA"/>
    <w:rsid w:val="2F6572F3"/>
    <w:rsid w:val="2F8A6913"/>
    <w:rsid w:val="2F8B1A46"/>
    <w:rsid w:val="2F9E2BA4"/>
    <w:rsid w:val="2FFA3999"/>
    <w:rsid w:val="3002294D"/>
    <w:rsid w:val="3024460C"/>
    <w:rsid w:val="3024603F"/>
    <w:rsid w:val="303572FC"/>
    <w:rsid w:val="30515682"/>
    <w:rsid w:val="307F60BC"/>
    <w:rsid w:val="307F7E02"/>
    <w:rsid w:val="3086676E"/>
    <w:rsid w:val="30A83165"/>
    <w:rsid w:val="30C61BCC"/>
    <w:rsid w:val="30E16A06"/>
    <w:rsid w:val="30EE7407"/>
    <w:rsid w:val="30F304E8"/>
    <w:rsid w:val="31586899"/>
    <w:rsid w:val="31C72068"/>
    <w:rsid w:val="32031456"/>
    <w:rsid w:val="32696CB3"/>
    <w:rsid w:val="32714DD7"/>
    <w:rsid w:val="32917FB8"/>
    <w:rsid w:val="329B36A3"/>
    <w:rsid w:val="32C44F6E"/>
    <w:rsid w:val="330A6245"/>
    <w:rsid w:val="331210F9"/>
    <w:rsid w:val="331B73B5"/>
    <w:rsid w:val="333465F2"/>
    <w:rsid w:val="3347500D"/>
    <w:rsid w:val="33541711"/>
    <w:rsid w:val="33AF6948"/>
    <w:rsid w:val="33FE78CF"/>
    <w:rsid w:val="34CE72A2"/>
    <w:rsid w:val="34E70363"/>
    <w:rsid w:val="35103416"/>
    <w:rsid w:val="35214446"/>
    <w:rsid w:val="3566409A"/>
    <w:rsid w:val="35831710"/>
    <w:rsid w:val="35874E7E"/>
    <w:rsid w:val="35A962DE"/>
    <w:rsid w:val="35C1283B"/>
    <w:rsid w:val="35DC59EE"/>
    <w:rsid w:val="365A463B"/>
    <w:rsid w:val="36687282"/>
    <w:rsid w:val="36780FC4"/>
    <w:rsid w:val="370B500F"/>
    <w:rsid w:val="372A2B9E"/>
    <w:rsid w:val="373B450F"/>
    <w:rsid w:val="374F7218"/>
    <w:rsid w:val="37524902"/>
    <w:rsid w:val="37621F23"/>
    <w:rsid w:val="37683451"/>
    <w:rsid w:val="377759CE"/>
    <w:rsid w:val="378C0B4F"/>
    <w:rsid w:val="37A367C3"/>
    <w:rsid w:val="37E72C0F"/>
    <w:rsid w:val="381B486C"/>
    <w:rsid w:val="38353B4C"/>
    <w:rsid w:val="386B6B3F"/>
    <w:rsid w:val="38AC2F77"/>
    <w:rsid w:val="392576AC"/>
    <w:rsid w:val="394169A7"/>
    <w:rsid w:val="3946541F"/>
    <w:rsid w:val="395E3DBA"/>
    <w:rsid w:val="3983530D"/>
    <w:rsid w:val="398C30AD"/>
    <w:rsid w:val="39A046EB"/>
    <w:rsid w:val="39A20CFD"/>
    <w:rsid w:val="3A6366DE"/>
    <w:rsid w:val="3A7E52C6"/>
    <w:rsid w:val="3A8D79C7"/>
    <w:rsid w:val="3ABF120D"/>
    <w:rsid w:val="3AD66EB0"/>
    <w:rsid w:val="3AE0752F"/>
    <w:rsid w:val="3AE860FB"/>
    <w:rsid w:val="3AF06AE8"/>
    <w:rsid w:val="3B0752BB"/>
    <w:rsid w:val="3B0B0A03"/>
    <w:rsid w:val="3B1654FE"/>
    <w:rsid w:val="3B4C7172"/>
    <w:rsid w:val="3BC862EB"/>
    <w:rsid w:val="3C035B00"/>
    <w:rsid w:val="3C067A62"/>
    <w:rsid w:val="3C0C6370"/>
    <w:rsid w:val="3C0E3524"/>
    <w:rsid w:val="3C30552F"/>
    <w:rsid w:val="3C5A22C0"/>
    <w:rsid w:val="3C5C3FAF"/>
    <w:rsid w:val="3C6D3837"/>
    <w:rsid w:val="3C7A4DFC"/>
    <w:rsid w:val="3C9608F4"/>
    <w:rsid w:val="3D8A2E1C"/>
    <w:rsid w:val="3DB64D77"/>
    <w:rsid w:val="3DDC3638"/>
    <w:rsid w:val="3DF2416A"/>
    <w:rsid w:val="3E286214"/>
    <w:rsid w:val="3EC3741E"/>
    <w:rsid w:val="3EE166C0"/>
    <w:rsid w:val="3EEA117C"/>
    <w:rsid w:val="3F394FD6"/>
    <w:rsid w:val="3F60143E"/>
    <w:rsid w:val="3F7D7817"/>
    <w:rsid w:val="3F8143AD"/>
    <w:rsid w:val="3FBF3B4C"/>
    <w:rsid w:val="404A3295"/>
    <w:rsid w:val="408812A1"/>
    <w:rsid w:val="409749EB"/>
    <w:rsid w:val="41205FD6"/>
    <w:rsid w:val="413B7A6D"/>
    <w:rsid w:val="41B65839"/>
    <w:rsid w:val="41FD11C6"/>
    <w:rsid w:val="42097F4F"/>
    <w:rsid w:val="42364F68"/>
    <w:rsid w:val="42727D25"/>
    <w:rsid w:val="42931F04"/>
    <w:rsid w:val="42936187"/>
    <w:rsid w:val="429A6A15"/>
    <w:rsid w:val="429D2259"/>
    <w:rsid w:val="43016A94"/>
    <w:rsid w:val="4326034E"/>
    <w:rsid w:val="435C3CCA"/>
    <w:rsid w:val="436479D9"/>
    <w:rsid w:val="43D441A9"/>
    <w:rsid w:val="44145F75"/>
    <w:rsid w:val="441D1775"/>
    <w:rsid w:val="441D2FA6"/>
    <w:rsid w:val="443801C5"/>
    <w:rsid w:val="444C2EAF"/>
    <w:rsid w:val="448B2AB9"/>
    <w:rsid w:val="44C13ED9"/>
    <w:rsid w:val="44EE1138"/>
    <w:rsid w:val="45BC18BB"/>
    <w:rsid w:val="45CE26E6"/>
    <w:rsid w:val="45EE1067"/>
    <w:rsid w:val="45FD3B73"/>
    <w:rsid w:val="4620004A"/>
    <w:rsid w:val="46405B25"/>
    <w:rsid w:val="468D7510"/>
    <w:rsid w:val="46D71FE6"/>
    <w:rsid w:val="47766FEA"/>
    <w:rsid w:val="47C73555"/>
    <w:rsid w:val="47C87B7B"/>
    <w:rsid w:val="481E1E96"/>
    <w:rsid w:val="482F5E51"/>
    <w:rsid w:val="483B65A4"/>
    <w:rsid w:val="486767DF"/>
    <w:rsid w:val="487C197C"/>
    <w:rsid w:val="487E46E3"/>
    <w:rsid w:val="48CD0E90"/>
    <w:rsid w:val="48F8416B"/>
    <w:rsid w:val="49030FD7"/>
    <w:rsid w:val="49C66341"/>
    <w:rsid w:val="49F66C27"/>
    <w:rsid w:val="4A25750C"/>
    <w:rsid w:val="4A635DB7"/>
    <w:rsid w:val="4A9825C3"/>
    <w:rsid w:val="4AC26B09"/>
    <w:rsid w:val="4B26294E"/>
    <w:rsid w:val="4B6C4D31"/>
    <w:rsid w:val="4B702A09"/>
    <w:rsid w:val="4B702FF0"/>
    <w:rsid w:val="4C217106"/>
    <w:rsid w:val="4C44287B"/>
    <w:rsid w:val="4C8229F4"/>
    <w:rsid w:val="4C9B3AB5"/>
    <w:rsid w:val="4CC845B7"/>
    <w:rsid w:val="4D11120F"/>
    <w:rsid w:val="4D1F2E42"/>
    <w:rsid w:val="4D5C1497"/>
    <w:rsid w:val="4D7A7B6F"/>
    <w:rsid w:val="4D8B1D7C"/>
    <w:rsid w:val="4D9D1E3D"/>
    <w:rsid w:val="4DCC6D2C"/>
    <w:rsid w:val="4DE36885"/>
    <w:rsid w:val="4DE65204"/>
    <w:rsid w:val="4E0F475B"/>
    <w:rsid w:val="4E361CE8"/>
    <w:rsid w:val="4E3E5E77"/>
    <w:rsid w:val="4E5120D2"/>
    <w:rsid w:val="4E6C745E"/>
    <w:rsid w:val="4E735467"/>
    <w:rsid w:val="4E820A1F"/>
    <w:rsid w:val="4E93362F"/>
    <w:rsid w:val="4E950E6A"/>
    <w:rsid w:val="4F166E11"/>
    <w:rsid w:val="4F980780"/>
    <w:rsid w:val="4FA964E9"/>
    <w:rsid w:val="4FBB1F26"/>
    <w:rsid w:val="4FD33DC3"/>
    <w:rsid w:val="5081489C"/>
    <w:rsid w:val="50A909D1"/>
    <w:rsid w:val="50AB7E37"/>
    <w:rsid w:val="50AC77E5"/>
    <w:rsid w:val="50B82E88"/>
    <w:rsid w:val="50B875C4"/>
    <w:rsid w:val="50CA4969"/>
    <w:rsid w:val="50DA0833"/>
    <w:rsid w:val="51281BCD"/>
    <w:rsid w:val="5153495F"/>
    <w:rsid w:val="515E6089"/>
    <w:rsid w:val="51A55413"/>
    <w:rsid w:val="51BA678C"/>
    <w:rsid w:val="51BF7CFD"/>
    <w:rsid w:val="51C61C6A"/>
    <w:rsid w:val="52030058"/>
    <w:rsid w:val="522B5A9D"/>
    <w:rsid w:val="522E717A"/>
    <w:rsid w:val="52365BCC"/>
    <w:rsid w:val="523A1AA0"/>
    <w:rsid w:val="5244074B"/>
    <w:rsid w:val="52914727"/>
    <w:rsid w:val="529219E8"/>
    <w:rsid w:val="52943481"/>
    <w:rsid w:val="52A32815"/>
    <w:rsid w:val="52C3042E"/>
    <w:rsid w:val="52C76699"/>
    <w:rsid w:val="52F6796A"/>
    <w:rsid w:val="530B2B81"/>
    <w:rsid w:val="53171558"/>
    <w:rsid w:val="531A30B6"/>
    <w:rsid w:val="534E1410"/>
    <w:rsid w:val="53A400D4"/>
    <w:rsid w:val="5402441A"/>
    <w:rsid w:val="54054957"/>
    <w:rsid w:val="541F321E"/>
    <w:rsid w:val="54290AF1"/>
    <w:rsid w:val="542D5D29"/>
    <w:rsid w:val="544264AF"/>
    <w:rsid w:val="544639AB"/>
    <w:rsid w:val="5452714F"/>
    <w:rsid w:val="545729B8"/>
    <w:rsid w:val="546D553B"/>
    <w:rsid w:val="548360AB"/>
    <w:rsid w:val="549534E0"/>
    <w:rsid w:val="54D4598B"/>
    <w:rsid w:val="550C27A1"/>
    <w:rsid w:val="55293A66"/>
    <w:rsid w:val="55BD7577"/>
    <w:rsid w:val="55D220AA"/>
    <w:rsid w:val="56004989"/>
    <w:rsid w:val="56262CB8"/>
    <w:rsid w:val="56403984"/>
    <w:rsid w:val="568D0145"/>
    <w:rsid w:val="569F0646"/>
    <w:rsid w:val="56A42772"/>
    <w:rsid w:val="56BB6A9A"/>
    <w:rsid w:val="56BC2FA6"/>
    <w:rsid w:val="56CB31E9"/>
    <w:rsid w:val="56D51F38"/>
    <w:rsid w:val="56EF512A"/>
    <w:rsid w:val="57460AC2"/>
    <w:rsid w:val="576F507E"/>
    <w:rsid w:val="579176FC"/>
    <w:rsid w:val="57A03263"/>
    <w:rsid w:val="57C1417C"/>
    <w:rsid w:val="58291FBF"/>
    <w:rsid w:val="5845173C"/>
    <w:rsid w:val="58A927E1"/>
    <w:rsid w:val="58BF6D7E"/>
    <w:rsid w:val="58CD6A5F"/>
    <w:rsid w:val="58FA6DBB"/>
    <w:rsid w:val="591E1CF6"/>
    <w:rsid w:val="59A8245D"/>
    <w:rsid w:val="5A33357F"/>
    <w:rsid w:val="5A33603C"/>
    <w:rsid w:val="5A7140A7"/>
    <w:rsid w:val="5A854D8F"/>
    <w:rsid w:val="5A8D7133"/>
    <w:rsid w:val="5AC4067B"/>
    <w:rsid w:val="5B092532"/>
    <w:rsid w:val="5B143A6D"/>
    <w:rsid w:val="5B2E0C7A"/>
    <w:rsid w:val="5B340EDD"/>
    <w:rsid w:val="5B3B5773"/>
    <w:rsid w:val="5B6D639A"/>
    <w:rsid w:val="5BB376FC"/>
    <w:rsid w:val="5BD60004"/>
    <w:rsid w:val="5BD7778C"/>
    <w:rsid w:val="5BE75F65"/>
    <w:rsid w:val="5BFC1E05"/>
    <w:rsid w:val="5C2B191C"/>
    <w:rsid w:val="5C3A6E47"/>
    <w:rsid w:val="5C403533"/>
    <w:rsid w:val="5C4E05A3"/>
    <w:rsid w:val="5C58785D"/>
    <w:rsid w:val="5C7E5F81"/>
    <w:rsid w:val="5C846314"/>
    <w:rsid w:val="5C8D1C69"/>
    <w:rsid w:val="5CA97A57"/>
    <w:rsid w:val="5CDD5A24"/>
    <w:rsid w:val="5D5C4D05"/>
    <w:rsid w:val="5D9B076F"/>
    <w:rsid w:val="5DDD25C7"/>
    <w:rsid w:val="5DFD67C8"/>
    <w:rsid w:val="5E0C371F"/>
    <w:rsid w:val="5E382A3F"/>
    <w:rsid w:val="5E567866"/>
    <w:rsid w:val="5E693A13"/>
    <w:rsid w:val="5EA7708F"/>
    <w:rsid w:val="5F230EE2"/>
    <w:rsid w:val="5F2A7DDD"/>
    <w:rsid w:val="5F5D2E4C"/>
    <w:rsid w:val="5F717906"/>
    <w:rsid w:val="5F9F470A"/>
    <w:rsid w:val="5FA56CCD"/>
    <w:rsid w:val="5FD64512"/>
    <w:rsid w:val="6039337D"/>
    <w:rsid w:val="61271964"/>
    <w:rsid w:val="614E60BD"/>
    <w:rsid w:val="615A3AE7"/>
    <w:rsid w:val="618D487D"/>
    <w:rsid w:val="61B62FE6"/>
    <w:rsid w:val="61D60C11"/>
    <w:rsid w:val="61F061FA"/>
    <w:rsid w:val="61F73E39"/>
    <w:rsid w:val="621339D5"/>
    <w:rsid w:val="62361E5F"/>
    <w:rsid w:val="623965F1"/>
    <w:rsid w:val="624627D3"/>
    <w:rsid w:val="62684A1E"/>
    <w:rsid w:val="628A21AA"/>
    <w:rsid w:val="62901F7C"/>
    <w:rsid w:val="62F076E7"/>
    <w:rsid w:val="637871F9"/>
    <w:rsid w:val="63B8285B"/>
    <w:rsid w:val="63E15A8E"/>
    <w:rsid w:val="63EC2825"/>
    <w:rsid w:val="64432A77"/>
    <w:rsid w:val="64A532CB"/>
    <w:rsid w:val="64C53683"/>
    <w:rsid w:val="655F791E"/>
    <w:rsid w:val="65D116F9"/>
    <w:rsid w:val="65EC234D"/>
    <w:rsid w:val="660A7C87"/>
    <w:rsid w:val="66257469"/>
    <w:rsid w:val="6638390B"/>
    <w:rsid w:val="66802270"/>
    <w:rsid w:val="66A17D30"/>
    <w:rsid w:val="66BA6D6E"/>
    <w:rsid w:val="672149B8"/>
    <w:rsid w:val="67334BBF"/>
    <w:rsid w:val="6752452C"/>
    <w:rsid w:val="67940B21"/>
    <w:rsid w:val="67FE1844"/>
    <w:rsid w:val="680D117E"/>
    <w:rsid w:val="681A4406"/>
    <w:rsid w:val="69225693"/>
    <w:rsid w:val="693B5FAC"/>
    <w:rsid w:val="69500FAA"/>
    <w:rsid w:val="69676588"/>
    <w:rsid w:val="6971009B"/>
    <w:rsid w:val="69747710"/>
    <w:rsid w:val="697F1145"/>
    <w:rsid w:val="69A25468"/>
    <w:rsid w:val="69C8494D"/>
    <w:rsid w:val="69D5518A"/>
    <w:rsid w:val="69F7061A"/>
    <w:rsid w:val="6A3030A5"/>
    <w:rsid w:val="6A8420FC"/>
    <w:rsid w:val="6AB26742"/>
    <w:rsid w:val="6AE20789"/>
    <w:rsid w:val="6AEC469C"/>
    <w:rsid w:val="6AF60D92"/>
    <w:rsid w:val="6B0C5E52"/>
    <w:rsid w:val="6B120F8F"/>
    <w:rsid w:val="6B232FF4"/>
    <w:rsid w:val="6B426AD4"/>
    <w:rsid w:val="6B547D3C"/>
    <w:rsid w:val="6C1373D8"/>
    <w:rsid w:val="6C3A2BAE"/>
    <w:rsid w:val="6C86656D"/>
    <w:rsid w:val="6C984280"/>
    <w:rsid w:val="6D1B05CF"/>
    <w:rsid w:val="6D63392D"/>
    <w:rsid w:val="6D8F7D83"/>
    <w:rsid w:val="6D962DD3"/>
    <w:rsid w:val="6DB12CE1"/>
    <w:rsid w:val="6E2604D6"/>
    <w:rsid w:val="6E526272"/>
    <w:rsid w:val="6E861DD1"/>
    <w:rsid w:val="6EB02E3A"/>
    <w:rsid w:val="6EDA0016"/>
    <w:rsid w:val="6EE73636"/>
    <w:rsid w:val="6EFC4430"/>
    <w:rsid w:val="6F492FAA"/>
    <w:rsid w:val="6FB579C5"/>
    <w:rsid w:val="6FD02417"/>
    <w:rsid w:val="6FD51606"/>
    <w:rsid w:val="6FE87B03"/>
    <w:rsid w:val="6FE95A23"/>
    <w:rsid w:val="6FF375E1"/>
    <w:rsid w:val="701124A9"/>
    <w:rsid w:val="702459EC"/>
    <w:rsid w:val="705365A1"/>
    <w:rsid w:val="70820965"/>
    <w:rsid w:val="70A506CF"/>
    <w:rsid w:val="70FB13E9"/>
    <w:rsid w:val="711C2B67"/>
    <w:rsid w:val="7135279F"/>
    <w:rsid w:val="713F6856"/>
    <w:rsid w:val="717464FF"/>
    <w:rsid w:val="71A843FB"/>
    <w:rsid w:val="71BC7EA6"/>
    <w:rsid w:val="71EA4A14"/>
    <w:rsid w:val="71FE3CB7"/>
    <w:rsid w:val="725F0F5E"/>
    <w:rsid w:val="72767276"/>
    <w:rsid w:val="729D1A86"/>
    <w:rsid w:val="729D6597"/>
    <w:rsid w:val="73162DFA"/>
    <w:rsid w:val="7325446B"/>
    <w:rsid w:val="73452633"/>
    <w:rsid w:val="73474266"/>
    <w:rsid w:val="73AD5CF9"/>
    <w:rsid w:val="73F32BE7"/>
    <w:rsid w:val="73FE6554"/>
    <w:rsid w:val="740F0761"/>
    <w:rsid w:val="741144D9"/>
    <w:rsid w:val="743B307C"/>
    <w:rsid w:val="744500AC"/>
    <w:rsid w:val="74634CC3"/>
    <w:rsid w:val="74933140"/>
    <w:rsid w:val="74B613F4"/>
    <w:rsid w:val="74E952ED"/>
    <w:rsid w:val="753E14CB"/>
    <w:rsid w:val="75462388"/>
    <w:rsid w:val="7548603F"/>
    <w:rsid w:val="755A3244"/>
    <w:rsid w:val="763240E6"/>
    <w:rsid w:val="766E5C13"/>
    <w:rsid w:val="768371E5"/>
    <w:rsid w:val="770D005F"/>
    <w:rsid w:val="774E6DDF"/>
    <w:rsid w:val="77577FF1"/>
    <w:rsid w:val="7764341B"/>
    <w:rsid w:val="77B83D30"/>
    <w:rsid w:val="77CE4490"/>
    <w:rsid w:val="784C6E39"/>
    <w:rsid w:val="788E7956"/>
    <w:rsid w:val="78BD5F4D"/>
    <w:rsid w:val="79384855"/>
    <w:rsid w:val="79421473"/>
    <w:rsid w:val="798519D0"/>
    <w:rsid w:val="79E32D74"/>
    <w:rsid w:val="79E61F64"/>
    <w:rsid w:val="79F04B91"/>
    <w:rsid w:val="7A1864C9"/>
    <w:rsid w:val="7A1C14E2"/>
    <w:rsid w:val="7A534DBF"/>
    <w:rsid w:val="7A6104A1"/>
    <w:rsid w:val="7A707A80"/>
    <w:rsid w:val="7AC025F9"/>
    <w:rsid w:val="7AD41DBD"/>
    <w:rsid w:val="7AED5B2D"/>
    <w:rsid w:val="7AF209D0"/>
    <w:rsid w:val="7AF60CD7"/>
    <w:rsid w:val="7B3304A9"/>
    <w:rsid w:val="7B5A49B8"/>
    <w:rsid w:val="7B7A2964"/>
    <w:rsid w:val="7B980667"/>
    <w:rsid w:val="7C426D8A"/>
    <w:rsid w:val="7C6B036F"/>
    <w:rsid w:val="7C7625AF"/>
    <w:rsid w:val="7C7C7C56"/>
    <w:rsid w:val="7CD37B9B"/>
    <w:rsid w:val="7CD461A4"/>
    <w:rsid w:val="7CDA41AD"/>
    <w:rsid w:val="7CEE735A"/>
    <w:rsid w:val="7D3F3CFB"/>
    <w:rsid w:val="7D717D97"/>
    <w:rsid w:val="7DD02D0F"/>
    <w:rsid w:val="7DE40569"/>
    <w:rsid w:val="7E173883"/>
    <w:rsid w:val="7E301A00"/>
    <w:rsid w:val="7E45169F"/>
    <w:rsid w:val="7E655D61"/>
    <w:rsid w:val="7E7933A7"/>
    <w:rsid w:val="7E965FE0"/>
    <w:rsid w:val="7EB73ECF"/>
    <w:rsid w:val="7F22534F"/>
    <w:rsid w:val="7FE64A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Times New Roman" w:hAnsi="Times New Roman" w:eastAsia="Times New Roman" w:cs="Times New Roman"/>
      <w:color w:val="000000"/>
      <w:kern w:val="2"/>
      <w:sz w:val="22"/>
      <w:szCs w:val="22"/>
      <w:lang w:val="en-US" w:eastAsia="zh-CN" w:bidi="ar-SA"/>
    </w:rPr>
  </w:style>
  <w:style w:type="paragraph" w:styleId="3">
    <w:name w:val="heading 1"/>
    <w:basedOn w:val="1"/>
    <w:next w:val="1"/>
    <w:link w:val="48"/>
    <w:qFormat/>
    <w:uiPriority w:val="0"/>
    <w:pPr>
      <w:keepNext/>
      <w:keepLines/>
      <w:spacing w:after="573" w:line="265" w:lineRule="auto"/>
      <w:ind w:left="10" w:right="122" w:hanging="10"/>
      <w:jc w:val="center"/>
      <w:outlineLvl w:val="0"/>
    </w:pPr>
    <w:rPr>
      <w:rFonts w:ascii="黑体" w:hAnsi="黑体" w:eastAsia="黑体"/>
      <w:kern w:val="0"/>
      <w:szCs w:val="20"/>
    </w:rPr>
  </w:style>
  <w:style w:type="paragraph" w:styleId="4">
    <w:name w:val="heading 2"/>
    <w:basedOn w:val="1"/>
    <w:next w:val="1"/>
    <w:link w:val="49"/>
    <w:qFormat/>
    <w:uiPriority w:val="0"/>
    <w:pPr>
      <w:keepNext/>
      <w:keepLines/>
      <w:spacing w:after="172" w:line="265" w:lineRule="auto"/>
      <w:ind w:left="10" w:right="116" w:hanging="10"/>
      <w:outlineLvl w:val="1"/>
    </w:pPr>
    <w:rPr>
      <w:rFonts w:ascii="黑体" w:hAnsi="黑体" w:eastAsia="黑体"/>
      <w:kern w:val="0"/>
      <w:szCs w:val="20"/>
    </w:rPr>
  </w:style>
  <w:style w:type="paragraph" w:styleId="5">
    <w:name w:val="heading 3"/>
    <w:basedOn w:val="1"/>
    <w:next w:val="1"/>
    <w:link w:val="50"/>
    <w:qFormat/>
    <w:uiPriority w:val="0"/>
    <w:pPr>
      <w:keepNext/>
      <w:keepLines/>
      <w:spacing w:after="172" w:line="265" w:lineRule="auto"/>
      <w:ind w:left="10" w:right="116" w:hanging="10"/>
      <w:outlineLvl w:val="2"/>
    </w:pPr>
    <w:rPr>
      <w:rFonts w:ascii="黑体" w:hAnsi="黑体" w:eastAsia="黑体"/>
      <w:kern w:val="0"/>
      <w:szCs w:val="20"/>
    </w:rPr>
  </w:style>
  <w:style w:type="paragraph" w:styleId="6">
    <w:name w:val="heading 4"/>
    <w:basedOn w:val="1"/>
    <w:next w:val="1"/>
    <w:link w:val="51"/>
    <w:qFormat/>
    <w:uiPriority w:val="0"/>
    <w:pPr>
      <w:keepNext/>
      <w:keepLines/>
      <w:spacing w:after="172" w:line="265" w:lineRule="auto"/>
      <w:ind w:left="10" w:right="116" w:hanging="10"/>
      <w:outlineLvl w:val="3"/>
    </w:pPr>
    <w:rPr>
      <w:rFonts w:ascii="黑体" w:hAnsi="黑体" w:eastAsia="黑体"/>
      <w:kern w:val="0"/>
      <w:szCs w:val="20"/>
    </w:rPr>
  </w:style>
  <w:style w:type="paragraph" w:styleId="7">
    <w:name w:val="heading 5"/>
    <w:basedOn w:val="1"/>
    <w:next w:val="1"/>
    <w:link w:val="52"/>
    <w:qFormat/>
    <w:uiPriority w:val="0"/>
    <w:pPr>
      <w:keepNext/>
      <w:keepLines/>
      <w:spacing w:after="172" w:line="265" w:lineRule="auto"/>
      <w:ind w:left="10" w:right="116" w:hanging="10"/>
      <w:outlineLvl w:val="4"/>
    </w:pPr>
    <w:rPr>
      <w:rFonts w:ascii="黑体" w:hAnsi="黑体" w:eastAsia="黑体"/>
      <w:kern w:val="0"/>
      <w:szCs w:val="20"/>
    </w:rPr>
  </w:style>
  <w:style w:type="paragraph" w:styleId="8">
    <w:name w:val="heading 6"/>
    <w:basedOn w:val="1"/>
    <w:next w:val="1"/>
    <w:link w:val="53"/>
    <w:qFormat/>
    <w:uiPriority w:val="0"/>
    <w:pPr>
      <w:keepNext/>
      <w:keepLines/>
      <w:spacing w:after="172" w:line="265" w:lineRule="auto"/>
      <w:ind w:left="10" w:right="116" w:hanging="10"/>
      <w:outlineLvl w:val="5"/>
    </w:pPr>
    <w:rPr>
      <w:rFonts w:ascii="黑体" w:hAnsi="黑体" w:eastAsia="黑体"/>
      <w:kern w:val="0"/>
      <w:szCs w:val="20"/>
    </w:rPr>
  </w:style>
  <w:style w:type="paragraph" w:styleId="9">
    <w:name w:val="heading 7"/>
    <w:basedOn w:val="1"/>
    <w:next w:val="1"/>
    <w:link w:val="54"/>
    <w:qFormat/>
    <w:uiPriority w:val="0"/>
    <w:pPr>
      <w:keepNext/>
      <w:keepLines/>
      <w:spacing w:after="172" w:line="265" w:lineRule="auto"/>
      <w:ind w:left="10" w:right="116" w:hanging="10"/>
      <w:outlineLvl w:val="6"/>
    </w:pPr>
    <w:rPr>
      <w:rFonts w:ascii="黑体" w:hAnsi="黑体" w:eastAsia="黑体"/>
      <w:kern w:val="0"/>
      <w:szCs w:val="20"/>
    </w:rPr>
  </w:style>
  <w:style w:type="character" w:default="1" w:styleId="41">
    <w:name w:val="Default Paragraph Font"/>
    <w:semiHidden/>
    <w:qFormat/>
    <w:uiPriority w:val="0"/>
  </w:style>
  <w:style w:type="table" w:default="1" w:styleId="3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Plain Text"/>
    <w:basedOn w:val="1"/>
    <w:link w:val="47"/>
    <w:qFormat/>
    <w:uiPriority w:val="0"/>
    <w:pPr>
      <w:widowControl w:val="0"/>
      <w:spacing w:after="0" w:line="240" w:lineRule="auto"/>
      <w:jc w:val="both"/>
    </w:pPr>
    <w:rPr>
      <w:rFonts w:ascii="宋体" w:hAnsi="Courier New" w:eastAsia="宋体"/>
      <w:color w:val="auto"/>
      <w:kern w:val="0"/>
      <w:sz w:val="20"/>
      <w:szCs w:val="21"/>
    </w:rPr>
  </w:style>
  <w:style w:type="paragraph" w:styleId="10">
    <w:name w:val="toc 7"/>
    <w:basedOn w:val="1"/>
    <w:next w:val="1"/>
    <w:qFormat/>
    <w:uiPriority w:val="0"/>
    <w:pPr>
      <w:widowControl w:val="0"/>
      <w:spacing w:after="0" w:line="240" w:lineRule="auto"/>
      <w:ind w:left="2520" w:leftChars="1200"/>
      <w:jc w:val="both"/>
    </w:pPr>
    <w:rPr>
      <w:rFonts w:ascii="等线" w:hAnsi="等线" w:eastAsia="等线" w:cs="Times New Roman"/>
      <w:color w:val="auto"/>
      <w:sz w:val="21"/>
    </w:rPr>
  </w:style>
  <w:style w:type="paragraph" w:styleId="11">
    <w:name w:val="Normal Indent"/>
    <w:basedOn w:val="1"/>
    <w:next w:val="1"/>
    <w:qFormat/>
    <w:uiPriority w:val="0"/>
    <w:pPr>
      <w:ind w:firstLine="420"/>
    </w:pPr>
  </w:style>
  <w:style w:type="paragraph" w:styleId="12">
    <w:name w:val="List Bullet"/>
    <w:basedOn w:val="1"/>
    <w:qFormat/>
    <w:uiPriority w:val="0"/>
    <w:pPr>
      <w:numPr>
        <w:ilvl w:val="0"/>
        <w:numId w:val="1"/>
      </w:numPr>
      <w:contextualSpacing/>
    </w:pPr>
  </w:style>
  <w:style w:type="paragraph" w:styleId="13">
    <w:name w:val="Document Map"/>
    <w:basedOn w:val="1"/>
    <w:semiHidden/>
    <w:qFormat/>
    <w:uiPriority w:val="0"/>
    <w:pPr>
      <w:widowControl w:val="0"/>
      <w:shd w:val="clear" w:color="auto" w:fill="000080"/>
      <w:spacing w:after="0" w:line="240" w:lineRule="auto"/>
      <w:jc w:val="both"/>
    </w:pPr>
    <w:rPr>
      <w:rFonts w:ascii="Times New Roman" w:hAnsi="Times New Roman" w:eastAsia="宋体" w:cs="Times New Roman"/>
      <w:color w:val="auto"/>
      <w:sz w:val="21"/>
      <w:szCs w:val="20"/>
    </w:rPr>
  </w:style>
  <w:style w:type="paragraph" w:styleId="14">
    <w:name w:val="toa heading"/>
    <w:basedOn w:val="1"/>
    <w:next w:val="1"/>
    <w:unhideWhenUsed/>
    <w:qFormat/>
    <w:uiPriority w:val="99"/>
    <w:pPr>
      <w:spacing w:before="120"/>
    </w:pPr>
    <w:rPr>
      <w:rFonts w:ascii="Cambria" w:hAnsi="Cambria" w:cs="Times New Roman"/>
      <w:sz w:val="24"/>
      <w:szCs w:val="24"/>
    </w:rPr>
  </w:style>
  <w:style w:type="paragraph" w:styleId="15">
    <w:name w:val="annotation text"/>
    <w:basedOn w:val="1"/>
    <w:semiHidden/>
    <w:qFormat/>
    <w:uiPriority w:val="0"/>
    <w:pPr>
      <w:widowControl w:val="0"/>
      <w:spacing w:after="0" w:line="240" w:lineRule="auto"/>
    </w:pPr>
    <w:rPr>
      <w:rFonts w:ascii="Times New Roman" w:hAnsi="Times New Roman" w:eastAsia="宋体" w:cs="Times New Roman"/>
      <w:color w:val="auto"/>
      <w:sz w:val="21"/>
      <w:szCs w:val="20"/>
    </w:rPr>
  </w:style>
  <w:style w:type="paragraph" w:styleId="16">
    <w:name w:val="Body Text 3"/>
    <w:basedOn w:val="1"/>
    <w:link w:val="55"/>
    <w:qFormat/>
    <w:uiPriority w:val="0"/>
    <w:pPr>
      <w:spacing w:after="120"/>
    </w:pPr>
    <w:rPr>
      <w:rFonts w:ascii="Calibri" w:hAnsi="Calibri"/>
      <w:sz w:val="16"/>
      <w:szCs w:val="16"/>
    </w:rPr>
  </w:style>
  <w:style w:type="paragraph" w:styleId="17">
    <w:name w:val="Body Text"/>
    <w:basedOn w:val="1"/>
    <w:next w:val="1"/>
    <w:link w:val="56"/>
    <w:qFormat/>
    <w:uiPriority w:val="0"/>
    <w:pPr>
      <w:spacing w:after="120"/>
    </w:pPr>
  </w:style>
  <w:style w:type="paragraph" w:styleId="18">
    <w:name w:val="Body Text Indent"/>
    <w:basedOn w:val="1"/>
    <w:next w:val="19"/>
    <w:link w:val="57"/>
    <w:qFormat/>
    <w:uiPriority w:val="0"/>
    <w:pPr>
      <w:widowControl w:val="0"/>
      <w:spacing w:after="120" w:line="240" w:lineRule="auto"/>
      <w:ind w:left="420" w:leftChars="200"/>
      <w:jc w:val="both"/>
    </w:pPr>
    <w:rPr>
      <w:rFonts w:eastAsia="宋体"/>
      <w:color w:val="auto"/>
      <w:sz w:val="21"/>
      <w:szCs w:val="20"/>
    </w:rPr>
  </w:style>
  <w:style w:type="paragraph" w:styleId="19">
    <w:name w:val="envelope return"/>
    <w:basedOn w:val="1"/>
    <w:qFormat/>
    <w:uiPriority w:val="0"/>
    <w:pPr>
      <w:snapToGrid w:val="0"/>
    </w:pPr>
    <w:rPr>
      <w:rFonts w:ascii="Arial" w:hAnsi="Arial" w:eastAsia="宋体" w:cs="Times New Roman"/>
      <w:szCs w:val="24"/>
      <w:lang w:bidi="ar-SA"/>
    </w:rPr>
  </w:style>
  <w:style w:type="paragraph" w:styleId="20">
    <w:name w:val="Block Text"/>
    <w:basedOn w:val="1"/>
    <w:qFormat/>
    <w:uiPriority w:val="0"/>
    <w:pPr>
      <w:widowControl w:val="0"/>
      <w:spacing w:after="0" w:line="440" w:lineRule="exact"/>
      <w:ind w:left="-540" w:leftChars="-257" w:right="-334" w:rightChars="-159" w:firstLine="1140"/>
      <w:jc w:val="both"/>
    </w:pPr>
    <w:rPr>
      <w:rFonts w:eastAsia="宋体"/>
      <w:color w:val="auto"/>
      <w:sz w:val="24"/>
      <w:szCs w:val="20"/>
    </w:rPr>
  </w:style>
  <w:style w:type="paragraph" w:styleId="21">
    <w:name w:val="toc 5"/>
    <w:basedOn w:val="1"/>
    <w:next w:val="1"/>
    <w:qFormat/>
    <w:uiPriority w:val="0"/>
    <w:pPr>
      <w:widowControl w:val="0"/>
      <w:spacing w:after="0" w:line="240" w:lineRule="auto"/>
      <w:ind w:left="1680" w:leftChars="800"/>
      <w:jc w:val="both"/>
    </w:pPr>
    <w:rPr>
      <w:rFonts w:ascii="等线" w:hAnsi="等线" w:eastAsia="等线" w:cs="Times New Roman"/>
      <w:color w:val="auto"/>
      <w:sz w:val="21"/>
    </w:rPr>
  </w:style>
  <w:style w:type="paragraph" w:styleId="22">
    <w:name w:val="toc 3"/>
    <w:basedOn w:val="1"/>
    <w:qFormat/>
    <w:uiPriority w:val="39"/>
    <w:pPr>
      <w:spacing w:after="6" w:line="257" w:lineRule="auto"/>
      <w:ind w:left="847" w:right="129" w:hanging="10"/>
      <w:jc w:val="both"/>
    </w:pPr>
    <w:rPr>
      <w:sz w:val="21"/>
    </w:rPr>
  </w:style>
  <w:style w:type="paragraph" w:styleId="23">
    <w:name w:val="toc 8"/>
    <w:basedOn w:val="1"/>
    <w:next w:val="1"/>
    <w:qFormat/>
    <w:uiPriority w:val="0"/>
    <w:pPr>
      <w:widowControl w:val="0"/>
      <w:spacing w:after="0" w:line="240" w:lineRule="auto"/>
      <w:ind w:left="2940" w:leftChars="1400"/>
      <w:jc w:val="both"/>
    </w:pPr>
    <w:rPr>
      <w:rFonts w:ascii="等线" w:hAnsi="等线" w:eastAsia="等线" w:cs="Times New Roman"/>
      <w:color w:val="auto"/>
      <w:sz w:val="21"/>
    </w:rPr>
  </w:style>
  <w:style w:type="paragraph" w:styleId="24">
    <w:name w:val="Date"/>
    <w:basedOn w:val="1"/>
    <w:next w:val="1"/>
    <w:qFormat/>
    <w:uiPriority w:val="0"/>
  </w:style>
  <w:style w:type="paragraph" w:styleId="25">
    <w:name w:val="Balloon Text"/>
    <w:basedOn w:val="1"/>
    <w:semiHidden/>
    <w:qFormat/>
    <w:uiPriority w:val="0"/>
    <w:pPr>
      <w:widowControl w:val="0"/>
      <w:spacing w:after="0" w:line="240" w:lineRule="auto"/>
      <w:jc w:val="both"/>
    </w:pPr>
    <w:rPr>
      <w:rFonts w:ascii="Times New Roman" w:hAnsi="Times New Roman" w:eastAsia="宋体" w:cs="Times New Roman"/>
      <w:color w:val="auto"/>
      <w:sz w:val="18"/>
      <w:szCs w:val="18"/>
    </w:rPr>
  </w:style>
  <w:style w:type="paragraph" w:styleId="26">
    <w:name w:val="footer"/>
    <w:basedOn w:val="1"/>
    <w:link w:val="58"/>
    <w:qFormat/>
    <w:uiPriority w:val="0"/>
    <w:pPr>
      <w:widowControl w:val="0"/>
      <w:tabs>
        <w:tab w:val="center" w:pos="4153"/>
        <w:tab w:val="right" w:pos="8306"/>
      </w:tabs>
      <w:snapToGrid w:val="0"/>
      <w:spacing w:after="0" w:line="240" w:lineRule="auto"/>
    </w:pPr>
    <w:rPr>
      <w:rFonts w:eastAsia="宋体"/>
      <w:color w:val="auto"/>
      <w:sz w:val="18"/>
      <w:szCs w:val="20"/>
    </w:rPr>
  </w:style>
  <w:style w:type="paragraph" w:styleId="27">
    <w:name w:val="header"/>
    <w:basedOn w:val="1"/>
    <w:link w:val="59"/>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after="0" w:line="240" w:lineRule="auto"/>
      <w:jc w:val="both"/>
    </w:pPr>
    <w:rPr>
      <w:rFonts w:eastAsia="宋体"/>
      <w:color w:val="auto"/>
      <w:sz w:val="18"/>
      <w:szCs w:val="20"/>
    </w:rPr>
  </w:style>
  <w:style w:type="paragraph" w:styleId="28">
    <w:name w:val="toc 1"/>
    <w:basedOn w:val="1"/>
    <w:qFormat/>
    <w:uiPriority w:val="39"/>
    <w:pPr>
      <w:spacing w:after="3" w:line="261" w:lineRule="auto"/>
      <w:ind w:left="25" w:right="134" w:hanging="10"/>
      <w:jc w:val="right"/>
    </w:pPr>
    <w:rPr>
      <w:sz w:val="21"/>
    </w:rPr>
  </w:style>
  <w:style w:type="paragraph" w:styleId="29">
    <w:name w:val="toc 4"/>
    <w:basedOn w:val="1"/>
    <w:next w:val="1"/>
    <w:qFormat/>
    <w:uiPriority w:val="0"/>
    <w:pPr>
      <w:widowControl w:val="0"/>
      <w:spacing w:after="0" w:line="240" w:lineRule="auto"/>
      <w:ind w:left="1260" w:leftChars="600"/>
      <w:jc w:val="both"/>
    </w:pPr>
    <w:rPr>
      <w:rFonts w:ascii="等线" w:hAnsi="等线" w:eastAsia="等线" w:cs="Times New Roman"/>
      <w:color w:val="auto"/>
      <w:sz w:val="21"/>
    </w:rPr>
  </w:style>
  <w:style w:type="paragraph" w:styleId="30">
    <w:name w:val="toc 6"/>
    <w:basedOn w:val="1"/>
    <w:next w:val="1"/>
    <w:qFormat/>
    <w:uiPriority w:val="0"/>
    <w:pPr>
      <w:widowControl w:val="0"/>
      <w:spacing w:after="0" w:line="240" w:lineRule="auto"/>
      <w:ind w:left="2100" w:leftChars="1000"/>
      <w:jc w:val="both"/>
    </w:pPr>
    <w:rPr>
      <w:rFonts w:ascii="等线" w:hAnsi="等线" w:eastAsia="等线" w:cs="Times New Roman"/>
      <w:color w:val="auto"/>
      <w:sz w:val="21"/>
    </w:rPr>
  </w:style>
  <w:style w:type="paragraph" w:styleId="31">
    <w:name w:val="toc 2"/>
    <w:basedOn w:val="1"/>
    <w:qFormat/>
    <w:uiPriority w:val="39"/>
    <w:pPr>
      <w:spacing w:after="6" w:line="257" w:lineRule="auto"/>
      <w:ind w:left="430" w:right="127" w:hanging="10"/>
      <w:jc w:val="both"/>
    </w:pPr>
    <w:rPr>
      <w:sz w:val="21"/>
    </w:rPr>
  </w:style>
  <w:style w:type="paragraph" w:styleId="32">
    <w:name w:val="toc 9"/>
    <w:basedOn w:val="1"/>
    <w:next w:val="1"/>
    <w:qFormat/>
    <w:uiPriority w:val="0"/>
    <w:pPr>
      <w:widowControl w:val="0"/>
      <w:spacing w:after="0" w:line="240" w:lineRule="auto"/>
      <w:ind w:left="3360" w:leftChars="1600"/>
      <w:jc w:val="both"/>
    </w:pPr>
    <w:rPr>
      <w:rFonts w:ascii="等线" w:hAnsi="等线" w:eastAsia="等线" w:cs="Times New Roman"/>
      <w:color w:val="auto"/>
      <w:sz w:val="21"/>
    </w:rPr>
  </w:style>
  <w:style w:type="paragraph" w:styleId="33">
    <w:name w:val="Body Text 2"/>
    <w:basedOn w:val="1"/>
    <w:link w:val="60"/>
    <w:qFormat/>
    <w:uiPriority w:val="0"/>
    <w:pPr>
      <w:widowControl w:val="0"/>
      <w:spacing w:after="120" w:line="480" w:lineRule="auto"/>
      <w:jc w:val="both"/>
    </w:pPr>
    <w:rPr>
      <w:rFonts w:ascii="Calibri" w:hAnsi="Calibri"/>
    </w:rPr>
  </w:style>
  <w:style w:type="paragraph" w:styleId="34">
    <w:name w:val="Normal (Web)"/>
    <w:basedOn w:val="1"/>
    <w:qFormat/>
    <w:uiPriority w:val="99"/>
    <w:pPr>
      <w:spacing w:before="100" w:beforeAutospacing="1" w:after="100" w:afterAutospacing="1" w:line="240" w:lineRule="auto"/>
    </w:pPr>
    <w:rPr>
      <w:rFonts w:ascii="宋体" w:hAnsi="宋体" w:eastAsia="宋体" w:cs="Times New Roman"/>
      <w:color w:val="auto"/>
      <w:kern w:val="0"/>
      <w:sz w:val="24"/>
      <w:szCs w:val="24"/>
    </w:rPr>
  </w:style>
  <w:style w:type="paragraph" w:styleId="35">
    <w:name w:val="Title"/>
    <w:basedOn w:val="1"/>
    <w:qFormat/>
    <w:locked/>
    <w:uiPriority w:val="0"/>
    <w:pPr>
      <w:adjustRightInd w:val="0"/>
      <w:spacing w:before="240" w:after="60" w:line="420" w:lineRule="atLeast"/>
      <w:jc w:val="center"/>
      <w:textAlignment w:val="baseline"/>
      <w:outlineLvl w:val="0"/>
    </w:pPr>
    <w:rPr>
      <w:rFonts w:ascii="Arial" w:hAnsi="Arial"/>
      <w:b/>
      <w:sz w:val="32"/>
    </w:rPr>
  </w:style>
  <w:style w:type="paragraph" w:styleId="36">
    <w:name w:val="annotation subject"/>
    <w:basedOn w:val="15"/>
    <w:next w:val="15"/>
    <w:semiHidden/>
    <w:qFormat/>
    <w:uiPriority w:val="0"/>
    <w:pPr>
      <w:widowControl/>
      <w:spacing w:after="160" w:line="259" w:lineRule="auto"/>
    </w:pPr>
    <w:rPr>
      <w:rFonts w:ascii="Calibri" w:hAnsi="Calibri" w:eastAsia="Times New Roman" w:cs="Calibri"/>
      <w:b/>
      <w:bCs/>
      <w:color w:val="000000"/>
      <w:sz w:val="22"/>
      <w:szCs w:val="22"/>
    </w:rPr>
  </w:style>
  <w:style w:type="paragraph" w:styleId="37">
    <w:name w:val="Body Text First Indent"/>
    <w:basedOn w:val="17"/>
    <w:next w:val="38"/>
    <w:link w:val="61"/>
    <w:qFormat/>
    <w:uiPriority w:val="0"/>
    <w:pPr>
      <w:widowControl w:val="0"/>
      <w:spacing w:line="240" w:lineRule="auto"/>
      <w:ind w:firstLine="420"/>
      <w:jc w:val="both"/>
    </w:pPr>
    <w:rPr>
      <w:rFonts w:eastAsia="宋体"/>
      <w:color w:val="auto"/>
      <w:kern w:val="0"/>
      <w:sz w:val="20"/>
      <w:szCs w:val="20"/>
    </w:rPr>
  </w:style>
  <w:style w:type="paragraph" w:styleId="38">
    <w:name w:val="Body Text First Indent 2"/>
    <w:basedOn w:val="18"/>
    <w:qFormat/>
    <w:uiPriority w:val="0"/>
    <w:pPr>
      <w:spacing w:after="120" w:line="240" w:lineRule="auto"/>
      <w:ind w:left="200" w:leftChars="200" w:firstLine="200" w:firstLineChars="200"/>
    </w:pPr>
    <w:rPr>
      <w:rFonts w:ascii="Calibri" w:hAnsi="Calibri"/>
      <w:kern w:val="2"/>
      <w:sz w:val="21"/>
      <w:szCs w:val="24"/>
    </w:rPr>
  </w:style>
  <w:style w:type="table" w:styleId="40">
    <w:name w:val="Table Grid"/>
    <w:basedOn w:val="3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locked/>
    <w:uiPriority w:val="22"/>
    <w:rPr>
      <w:b/>
      <w:bCs/>
    </w:rPr>
  </w:style>
  <w:style w:type="character" w:styleId="43">
    <w:name w:val="page number"/>
    <w:qFormat/>
    <w:uiPriority w:val="0"/>
  </w:style>
  <w:style w:type="character" w:styleId="44">
    <w:name w:val="FollowedHyperlink"/>
    <w:qFormat/>
    <w:uiPriority w:val="0"/>
    <w:rPr>
      <w:color w:val="000000"/>
      <w:u w:val="none"/>
    </w:rPr>
  </w:style>
  <w:style w:type="character" w:styleId="45">
    <w:name w:val="Hyperlink"/>
    <w:qFormat/>
    <w:uiPriority w:val="99"/>
    <w:rPr>
      <w:rFonts w:cs="Times New Roman"/>
      <w:color w:val="0563C1"/>
      <w:u w:val="single"/>
    </w:rPr>
  </w:style>
  <w:style w:type="character" w:styleId="46">
    <w:name w:val="annotation reference"/>
    <w:semiHidden/>
    <w:qFormat/>
    <w:uiPriority w:val="0"/>
    <w:rPr>
      <w:sz w:val="21"/>
      <w:szCs w:val="21"/>
    </w:rPr>
  </w:style>
  <w:style w:type="character" w:customStyle="1" w:styleId="47">
    <w:name w:val="纯文本 字符"/>
    <w:link w:val="2"/>
    <w:qFormat/>
    <w:uiPriority w:val="0"/>
    <w:rPr>
      <w:rFonts w:ascii="宋体" w:hAnsi="Courier New" w:cs="Courier New"/>
      <w:szCs w:val="21"/>
    </w:rPr>
  </w:style>
  <w:style w:type="character" w:customStyle="1" w:styleId="48">
    <w:name w:val="标题 1 字符"/>
    <w:link w:val="3"/>
    <w:qFormat/>
    <w:locked/>
    <w:uiPriority w:val="0"/>
    <w:rPr>
      <w:rFonts w:ascii="黑体" w:hAnsi="黑体" w:eastAsia="黑体"/>
      <w:color w:val="000000"/>
      <w:sz w:val="22"/>
    </w:rPr>
  </w:style>
  <w:style w:type="character" w:customStyle="1" w:styleId="49">
    <w:name w:val="标题 2 字符"/>
    <w:link w:val="4"/>
    <w:qFormat/>
    <w:locked/>
    <w:uiPriority w:val="0"/>
    <w:rPr>
      <w:rFonts w:ascii="黑体" w:hAnsi="黑体" w:eastAsia="黑体"/>
      <w:color w:val="000000"/>
      <w:sz w:val="22"/>
    </w:rPr>
  </w:style>
  <w:style w:type="character" w:customStyle="1" w:styleId="50">
    <w:name w:val="标题 3 字符"/>
    <w:link w:val="5"/>
    <w:qFormat/>
    <w:locked/>
    <w:uiPriority w:val="0"/>
    <w:rPr>
      <w:rFonts w:ascii="黑体" w:hAnsi="黑体" w:eastAsia="黑体"/>
      <w:color w:val="000000"/>
      <w:sz w:val="22"/>
    </w:rPr>
  </w:style>
  <w:style w:type="character" w:customStyle="1" w:styleId="51">
    <w:name w:val="标题 4 字符"/>
    <w:link w:val="6"/>
    <w:qFormat/>
    <w:locked/>
    <w:uiPriority w:val="0"/>
    <w:rPr>
      <w:rFonts w:ascii="黑体" w:hAnsi="黑体" w:eastAsia="黑体"/>
      <w:color w:val="000000"/>
      <w:sz w:val="22"/>
    </w:rPr>
  </w:style>
  <w:style w:type="character" w:customStyle="1" w:styleId="52">
    <w:name w:val="标题 5 字符"/>
    <w:link w:val="7"/>
    <w:qFormat/>
    <w:locked/>
    <w:uiPriority w:val="0"/>
    <w:rPr>
      <w:rFonts w:ascii="黑体" w:hAnsi="黑体" w:eastAsia="黑体"/>
      <w:color w:val="000000"/>
      <w:sz w:val="22"/>
    </w:rPr>
  </w:style>
  <w:style w:type="character" w:customStyle="1" w:styleId="53">
    <w:name w:val="标题 6 字符"/>
    <w:link w:val="8"/>
    <w:qFormat/>
    <w:locked/>
    <w:uiPriority w:val="0"/>
    <w:rPr>
      <w:rFonts w:ascii="黑体" w:hAnsi="黑体" w:eastAsia="黑体"/>
      <w:color w:val="000000"/>
      <w:sz w:val="22"/>
    </w:rPr>
  </w:style>
  <w:style w:type="character" w:customStyle="1" w:styleId="54">
    <w:name w:val="标题 7 字符"/>
    <w:link w:val="9"/>
    <w:qFormat/>
    <w:locked/>
    <w:uiPriority w:val="0"/>
    <w:rPr>
      <w:rFonts w:ascii="黑体" w:hAnsi="黑体" w:eastAsia="黑体"/>
      <w:color w:val="000000"/>
      <w:sz w:val="22"/>
    </w:rPr>
  </w:style>
  <w:style w:type="character" w:customStyle="1" w:styleId="55">
    <w:name w:val="正文文本 3 字符"/>
    <w:link w:val="16"/>
    <w:qFormat/>
    <w:uiPriority w:val="0"/>
    <w:rPr>
      <w:rFonts w:ascii="Calibri" w:hAnsi="Calibri" w:eastAsia="Times New Roman" w:cs="Calibri"/>
      <w:color w:val="000000"/>
      <w:kern w:val="2"/>
      <w:sz w:val="16"/>
      <w:szCs w:val="16"/>
    </w:rPr>
  </w:style>
  <w:style w:type="character" w:customStyle="1" w:styleId="56">
    <w:name w:val="正文文本 字符"/>
    <w:link w:val="17"/>
    <w:qFormat/>
    <w:uiPriority w:val="0"/>
    <w:rPr>
      <w:rFonts w:eastAsia="Times New Roman"/>
      <w:color w:val="000000"/>
      <w:kern w:val="2"/>
      <w:sz w:val="22"/>
      <w:szCs w:val="22"/>
    </w:rPr>
  </w:style>
  <w:style w:type="character" w:customStyle="1" w:styleId="57">
    <w:name w:val="正文文本缩进 字符"/>
    <w:link w:val="18"/>
    <w:qFormat/>
    <w:uiPriority w:val="0"/>
    <w:rPr>
      <w:rFonts w:eastAsia="宋体"/>
      <w:kern w:val="2"/>
      <w:sz w:val="21"/>
      <w:lang w:val="en-US" w:eastAsia="zh-CN" w:bidi="ar-SA"/>
    </w:rPr>
  </w:style>
  <w:style w:type="character" w:customStyle="1" w:styleId="58">
    <w:name w:val="页脚 字符"/>
    <w:link w:val="26"/>
    <w:qFormat/>
    <w:uiPriority w:val="0"/>
    <w:rPr>
      <w:kern w:val="2"/>
      <w:sz w:val="18"/>
    </w:rPr>
  </w:style>
  <w:style w:type="character" w:customStyle="1" w:styleId="59">
    <w:name w:val="页眉 字符"/>
    <w:link w:val="27"/>
    <w:qFormat/>
    <w:uiPriority w:val="0"/>
    <w:rPr>
      <w:kern w:val="2"/>
      <w:sz w:val="18"/>
    </w:rPr>
  </w:style>
  <w:style w:type="character" w:customStyle="1" w:styleId="60">
    <w:name w:val="正文文本 2 字符"/>
    <w:link w:val="33"/>
    <w:qFormat/>
    <w:uiPriority w:val="0"/>
  </w:style>
  <w:style w:type="character" w:customStyle="1" w:styleId="61">
    <w:name w:val="正文文本首行缩进 字符"/>
    <w:link w:val="37"/>
    <w:qFormat/>
    <w:uiPriority w:val="0"/>
    <w:rPr>
      <w:rFonts w:eastAsia="宋体"/>
      <w:lang w:bidi="ar-SA"/>
    </w:rPr>
  </w:style>
  <w:style w:type="paragraph" w:customStyle="1" w:styleId="62">
    <w:name w:val="纯文本1"/>
    <w:basedOn w:val="1"/>
    <w:qFormat/>
    <w:uiPriority w:val="0"/>
    <w:pPr>
      <w:widowControl/>
      <w:adjustRightInd w:val="0"/>
      <w:jc w:val="both"/>
      <w:textAlignment w:val="baseline"/>
    </w:pPr>
    <w:rPr>
      <w:rFonts w:ascii="宋体" w:hAnsi="Courier New" w:eastAsia="宋体"/>
      <w:kern w:val="2"/>
      <w:sz w:val="21"/>
      <w:szCs w:val="20"/>
      <w:lang w:eastAsia="zh-CN"/>
    </w:rPr>
  </w:style>
  <w:style w:type="character" w:customStyle="1" w:styleId="63">
    <w:name w:val="hover37"/>
    <w:qFormat/>
    <w:uiPriority w:val="0"/>
  </w:style>
  <w:style w:type="character" w:customStyle="1" w:styleId="64">
    <w:name w:val="times1"/>
    <w:qFormat/>
    <w:uiPriority w:val="0"/>
    <w:rPr>
      <w:color w:val="3399FF"/>
      <w:bdr w:val="single" w:color="D1EDF8" w:sz="6" w:space="0"/>
      <w:shd w:val="clear" w:color="auto" w:fill="EAF9FF"/>
    </w:rPr>
  </w:style>
  <w:style w:type="character" w:customStyle="1" w:styleId="65">
    <w:name w:val="纯文本 Char1"/>
    <w:qFormat/>
    <w:uiPriority w:val="0"/>
    <w:rPr>
      <w:rFonts w:ascii="宋体" w:hAnsi="Courier New" w:cs="Courier New"/>
      <w:color w:val="000000"/>
      <w:kern w:val="2"/>
      <w:sz w:val="21"/>
      <w:szCs w:val="21"/>
    </w:rPr>
  </w:style>
  <w:style w:type="character" w:customStyle="1" w:styleId="66">
    <w:name w:val="hover42"/>
    <w:qFormat/>
    <w:uiPriority w:val="0"/>
  </w:style>
  <w:style w:type="character" w:customStyle="1" w:styleId="67">
    <w:name w:val="hover34"/>
    <w:qFormat/>
    <w:uiPriority w:val="0"/>
  </w:style>
  <w:style w:type="character" w:customStyle="1" w:styleId="68">
    <w:name w:val="times"/>
    <w:qFormat/>
    <w:uiPriority w:val="0"/>
    <w:rPr>
      <w:color w:val="CDCDCD"/>
      <w:bdr w:val="single" w:color="CDCDCD" w:sz="6" w:space="0"/>
      <w:shd w:val="clear" w:color="auto" w:fill="EFEFEF"/>
    </w:rPr>
  </w:style>
  <w:style w:type="character" w:customStyle="1" w:styleId="69">
    <w:name w:val="hover35"/>
    <w:qFormat/>
    <w:uiPriority w:val="0"/>
  </w:style>
  <w:style w:type="character" w:customStyle="1" w:styleId="70">
    <w:name w:val="正文文本 2 Char1"/>
    <w:qFormat/>
    <w:uiPriority w:val="0"/>
    <w:rPr>
      <w:rFonts w:ascii="Calibri" w:hAnsi="Calibri" w:eastAsia="Times New Roman" w:cs="Calibri"/>
      <w:color w:val="000000"/>
      <w:kern w:val="2"/>
      <w:sz w:val="22"/>
      <w:szCs w:val="22"/>
    </w:rPr>
  </w:style>
  <w:style w:type="paragraph" w:customStyle="1" w:styleId="71">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表格文字"/>
    <w:basedOn w:val="1"/>
    <w:next w:val="1"/>
    <w:qFormat/>
    <w:uiPriority w:val="0"/>
    <w:pPr>
      <w:snapToGrid w:val="0"/>
      <w:spacing w:line="360" w:lineRule="atLeast"/>
      <w:jc w:val="center"/>
    </w:pPr>
    <w:rPr>
      <w:rFonts w:ascii="宋体" w:eastAsia="幼圆"/>
      <w:szCs w:val="20"/>
    </w:rPr>
  </w:style>
  <w:style w:type="paragraph" w:customStyle="1" w:styleId="73">
    <w:name w:val="正题"/>
    <w:basedOn w:val="74"/>
    <w:next w:val="74"/>
    <w:qFormat/>
    <w:uiPriority w:val="0"/>
    <w:pPr>
      <w:ind w:firstLine="0" w:firstLineChars="0"/>
      <w:jc w:val="center"/>
    </w:pPr>
    <w:rPr>
      <w:rFonts w:eastAsia="黑体"/>
      <w:b/>
      <w:sz w:val="36"/>
      <w:szCs w:val="36"/>
    </w:rPr>
  </w:style>
  <w:style w:type="paragraph" w:customStyle="1" w:styleId="74">
    <w:name w:val="文一"/>
    <w:basedOn w:val="1"/>
    <w:qFormat/>
    <w:uiPriority w:val="0"/>
    <w:pPr>
      <w:widowControl w:val="0"/>
      <w:topLinePunct/>
      <w:adjustRightInd w:val="0"/>
      <w:snapToGrid w:val="0"/>
      <w:spacing w:after="0" w:line="360" w:lineRule="auto"/>
      <w:ind w:firstLine="200" w:firstLineChars="200"/>
      <w:jc w:val="both"/>
    </w:pPr>
    <w:rPr>
      <w:rFonts w:ascii="Times New Roman" w:hAnsi="Times New Roman" w:eastAsia="宋体" w:cs="Times New Roman"/>
      <w:snapToGrid w:val="0"/>
      <w:color w:val="auto"/>
      <w:spacing w:val="4"/>
      <w:kern w:val="0"/>
      <w:sz w:val="24"/>
      <w:szCs w:val="24"/>
    </w:rPr>
  </w:style>
  <w:style w:type="paragraph" w:styleId="75">
    <w:name w:val="List Paragraph"/>
    <w:basedOn w:val="1"/>
    <w:qFormat/>
    <w:uiPriority w:val="0"/>
    <w:pPr>
      <w:widowControl w:val="0"/>
      <w:spacing w:after="0" w:line="240" w:lineRule="auto"/>
      <w:ind w:firstLine="420" w:firstLineChars="200"/>
      <w:jc w:val="both"/>
    </w:pPr>
    <w:rPr>
      <w:rFonts w:ascii="Calibri" w:hAnsi="Calibri" w:eastAsia="宋体" w:cs="Calibri"/>
      <w:color w:val="auto"/>
      <w:sz w:val="21"/>
      <w:szCs w:val="21"/>
    </w:rPr>
  </w:style>
  <w:style w:type="paragraph" w:customStyle="1" w:styleId="76">
    <w:name w:val="标题 11"/>
    <w:basedOn w:val="77"/>
    <w:next w:val="77"/>
    <w:qFormat/>
    <w:uiPriority w:val="0"/>
    <w:pPr>
      <w:keepNext/>
      <w:keepLines/>
      <w:spacing w:after="573" w:line="265" w:lineRule="auto"/>
      <w:ind w:left="10" w:right="122" w:hanging="10"/>
      <w:jc w:val="center"/>
      <w:outlineLvl w:val="0"/>
    </w:pPr>
    <w:rPr>
      <w:rFonts w:ascii="黑体" w:hAnsi="黑体" w:eastAsia="黑体"/>
      <w:sz w:val="20"/>
      <w:szCs w:val="20"/>
    </w:rPr>
  </w:style>
  <w:style w:type="paragraph" w:customStyle="1" w:styleId="77">
    <w:name w:val="正文1"/>
    <w:next w:val="78"/>
    <w:qFormat/>
    <w:uiPriority w:val="0"/>
    <w:pPr>
      <w:spacing w:after="160" w:line="259" w:lineRule="auto"/>
    </w:pPr>
    <w:rPr>
      <w:rFonts w:ascii="Times New Roman" w:hAnsi="Times New Roman" w:eastAsia="Times New Roman" w:cs="Times New Roman"/>
      <w:color w:val="000000"/>
      <w:sz w:val="22"/>
      <w:szCs w:val="22"/>
      <w:lang w:val="en-US" w:eastAsia="zh-CN" w:bidi="ar-SA"/>
    </w:rPr>
  </w:style>
  <w:style w:type="paragraph" w:customStyle="1" w:styleId="78">
    <w:name w:val="正文首行缩进1"/>
    <w:basedOn w:val="79"/>
    <w:qFormat/>
    <w:uiPriority w:val="0"/>
    <w:pPr>
      <w:widowControl w:val="0"/>
      <w:spacing w:line="240" w:lineRule="auto"/>
      <w:ind w:firstLine="420"/>
      <w:jc w:val="both"/>
    </w:pPr>
    <w:rPr>
      <w:rFonts w:eastAsia="宋体"/>
      <w:color w:val="000000"/>
      <w:sz w:val="20"/>
      <w:szCs w:val="20"/>
    </w:rPr>
  </w:style>
  <w:style w:type="paragraph" w:customStyle="1" w:styleId="79">
    <w:name w:val="正文文本1"/>
    <w:basedOn w:val="77"/>
    <w:qFormat/>
    <w:uiPriority w:val="0"/>
    <w:pPr>
      <w:spacing w:after="120"/>
    </w:pPr>
  </w:style>
  <w:style w:type="paragraph" w:customStyle="1" w:styleId="80">
    <w:name w:val="Heading 3"/>
    <w:basedOn w:val="1"/>
    <w:unhideWhenUsed/>
    <w:qFormat/>
    <w:uiPriority w:val="1"/>
    <w:pPr>
      <w:widowControl w:val="0"/>
      <w:autoSpaceDE w:val="0"/>
      <w:autoSpaceDN w:val="0"/>
      <w:spacing w:after="0" w:line="240" w:lineRule="auto"/>
      <w:ind w:left="237"/>
      <w:outlineLvl w:val="2"/>
    </w:pPr>
    <w:rPr>
      <w:rFonts w:hint="eastAsia" w:ascii="宋体" w:hAnsi="宋体" w:eastAsia="宋体" w:cs="Times New Roman"/>
      <w:color w:val="auto"/>
      <w:kern w:val="0"/>
      <w:sz w:val="28"/>
      <w:szCs w:val="20"/>
    </w:rPr>
  </w:style>
  <w:style w:type="paragraph" w:customStyle="1" w:styleId="81">
    <w:name w:val="Char Char Char Char"/>
    <w:basedOn w:val="1"/>
    <w:qFormat/>
    <w:uiPriority w:val="0"/>
    <w:pPr>
      <w:widowControl w:val="0"/>
      <w:spacing w:after="0" w:line="240" w:lineRule="auto"/>
      <w:jc w:val="both"/>
    </w:pPr>
    <w:rPr>
      <w:rFonts w:ascii="Times New Roman" w:hAnsi="Times New Roman" w:eastAsia="宋体" w:cs="Times New Roman"/>
      <w:color w:val="auto"/>
      <w:sz w:val="30"/>
      <w:szCs w:val="24"/>
    </w:rPr>
  </w:style>
  <w:style w:type="paragraph" w:customStyle="1" w:styleId="82">
    <w:name w:val="_Style 2"/>
    <w:basedOn w:val="1"/>
    <w:qFormat/>
    <w:uiPriority w:val="0"/>
    <w:pPr>
      <w:ind w:firstLine="420" w:firstLineChars="200"/>
    </w:pPr>
  </w:style>
  <w:style w:type="paragraph" w:customStyle="1" w:styleId="83">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4">
    <w:name w:val="发文落款"/>
    <w:basedOn w:val="85"/>
    <w:qFormat/>
    <w:uiPriority w:val="0"/>
    <w:pPr>
      <w:ind w:left="4094" w:right="607" w:firstLine="0"/>
      <w:jc w:val="center"/>
    </w:pPr>
  </w:style>
  <w:style w:type="paragraph" w:customStyle="1" w:styleId="8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86">
    <w:name w:val="正文2"/>
    <w:basedOn w:val="16"/>
    <w:next w:val="1"/>
    <w:qFormat/>
    <w:uiPriority w:val="0"/>
    <w:pPr>
      <w:widowControl w:val="0"/>
      <w:spacing w:after="0" w:line="360" w:lineRule="auto"/>
    </w:pPr>
    <w:rPr>
      <w:rFonts w:ascii="Times New Roman" w:hAnsi="Times New Roman" w:eastAsia="宋体" w:cs="Times New Roman"/>
      <w:color w:val="auto"/>
      <w:sz w:val="24"/>
      <w:szCs w:val="20"/>
    </w:rPr>
  </w:style>
  <w:style w:type="paragraph" w:customStyle="1" w:styleId="87">
    <w:name w:val="_Style 86"/>
    <w:semiHidden/>
    <w:qFormat/>
    <w:uiPriority w:val="99"/>
    <w:rPr>
      <w:rFonts w:ascii="Times New Roman" w:hAnsi="Times New Roman" w:eastAsia="Times New Roman" w:cs="Times New Roman"/>
      <w:color w:val="000000"/>
      <w:kern w:val="2"/>
      <w:sz w:val="22"/>
      <w:szCs w:val="22"/>
      <w:lang w:val="en-US" w:eastAsia="zh-CN" w:bidi="ar-SA"/>
    </w:rPr>
  </w:style>
  <w:style w:type="paragraph" w:customStyle="1" w:styleId="88">
    <w:name w:val="_Style 4"/>
    <w:basedOn w:val="13"/>
    <w:qFormat/>
    <w:uiPriority w:val="0"/>
    <w:rPr>
      <w:rFonts w:ascii="Tahoma" w:hAnsi="Tahoma"/>
      <w:sz w:val="24"/>
      <w:szCs w:val="24"/>
    </w:rPr>
  </w:style>
  <w:style w:type="paragraph" w:customStyle="1" w:styleId="89">
    <w:name w:val="_Style 58"/>
    <w:basedOn w:val="1"/>
    <w:qFormat/>
    <w:uiPriority w:val="0"/>
    <w:pPr>
      <w:spacing w:line="240" w:lineRule="exact"/>
    </w:pPr>
    <w:rPr>
      <w:rFonts w:eastAsia="楷体_GB2312"/>
      <w:color w:val="auto"/>
      <w:sz w:val="21"/>
      <w:szCs w:val="20"/>
    </w:rPr>
  </w:style>
  <w:style w:type="paragraph" w:customStyle="1" w:styleId="90">
    <w:name w:val="正文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91">
    <w:name w:val="我的正文"/>
    <w:basedOn w:val="1"/>
    <w:next w:val="1"/>
    <w:qFormat/>
    <w:uiPriority w:val="0"/>
    <w:pPr>
      <w:widowControl w:val="0"/>
      <w:spacing w:after="0" w:line="360" w:lineRule="auto"/>
      <w:ind w:firstLine="480" w:firstLineChars="200"/>
      <w:jc w:val="both"/>
    </w:pPr>
    <w:rPr>
      <w:rFonts w:ascii="Times New Roman" w:hAnsi="Times New Roman" w:eastAsia="宋体" w:cs="Times New Roman"/>
      <w:color w:val="FF0000"/>
      <w:sz w:val="24"/>
      <w:szCs w:val="24"/>
    </w:rPr>
  </w:style>
  <w:style w:type="paragraph" w:customStyle="1" w:styleId="92">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93">
    <w:name w:val="Blockquote"/>
    <w:basedOn w:val="1"/>
    <w:qFormat/>
    <w:uiPriority w:val="0"/>
    <w:pPr>
      <w:widowControl w:val="0"/>
      <w:autoSpaceDE w:val="0"/>
      <w:autoSpaceDN w:val="0"/>
      <w:adjustRightInd w:val="0"/>
      <w:spacing w:before="100" w:after="100" w:line="240" w:lineRule="auto"/>
      <w:ind w:left="360" w:right="360"/>
    </w:pPr>
    <w:rPr>
      <w:rFonts w:ascii="Times New Roman" w:hAnsi="Times New Roman" w:eastAsia="宋体" w:cs="Times New Roman"/>
      <w:color w:val="auto"/>
      <w:kern w:val="0"/>
      <w:sz w:val="24"/>
      <w:szCs w:val="20"/>
    </w:rPr>
  </w:style>
  <w:style w:type="paragraph" w:customStyle="1" w:styleId="94">
    <w:name w:val="Table Paragraph"/>
    <w:basedOn w:val="1"/>
    <w:next w:val="34"/>
    <w:unhideWhenUsed/>
    <w:qFormat/>
    <w:uiPriority w:val="1"/>
    <w:pPr>
      <w:widowControl w:val="0"/>
      <w:autoSpaceDE w:val="0"/>
      <w:autoSpaceDN w:val="0"/>
      <w:spacing w:after="0" w:line="240" w:lineRule="auto"/>
    </w:pPr>
    <w:rPr>
      <w:rFonts w:ascii="Times New Roman" w:hAnsi="Times New Roman" w:eastAsia="宋体" w:cs="Times New Roman"/>
      <w:color w:val="auto"/>
      <w:kern w:val="0"/>
      <w:sz w:val="20"/>
      <w:szCs w:val="20"/>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文二"/>
    <w:basedOn w:val="1"/>
    <w:qFormat/>
    <w:uiPriority w:val="0"/>
    <w:pPr>
      <w:widowControl w:val="0"/>
      <w:spacing w:after="0" w:line="240" w:lineRule="auto"/>
    </w:pPr>
    <w:rPr>
      <w:rFonts w:ascii="宋体" w:hAnsi="宋体" w:eastAsia="宋体" w:cs="Times New Roman"/>
      <w:color w:val="auto"/>
      <w:sz w:val="21"/>
      <w:szCs w:val="21"/>
    </w:rPr>
  </w:style>
  <w:style w:type="paragraph" w:customStyle="1" w:styleId="97">
    <w:name w:val="BodyText"/>
    <w:basedOn w:val="1"/>
    <w:qFormat/>
    <w:uiPriority w:val="0"/>
    <w:pPr>
      <w:spacing w:after="120"/>
    </w:pPr>
    <w:rPr>
      <w:rFonts w:ascii="Times New Roman" w:hAnsi="Times New Roman"/>
      <w:kern w:val="0"/>
      <w:sz w:val="20"/>
      <w:szCs w:val="20"/>
    </w:rPr>
  </w:style>
  <w:style w:type="table" w:customStyle="1" w:styleId="98">
    <w:name w:val="TableGrid"/>
    <w:qFormat/>
    <w:uiPriority w:val="0"/>
    <w:rPr>
      <w:kern w:val="2"/>
      <w:sz w:val="21"/>
      <w:szCs w:val="22"/>
      <w:lang w:val="en-US" w:eastAsia="zh-CN" w:bidi="ar-SA"/>
    </w:rPr>
    <w:tblPr>
      <w:tblCellMar>
        <w:top w:w="0" w:type="dxa"/>
        <w:left w:w="0" w:type="dxa"/>
        <w:bottom w:w="0" w:type="dxa"/>
        <w:right w:w="0" w:type="dxa"/>
      </w:tblCellMar>
    </w:tblPr>
  </w:style>
  <w:style w:type="paragraph" w:customStyle="1" w:styleId="99">
    <w:name w:val="样式 宋体 行距: 1.5 倍行距"/>
    <w:basedOn w:val="1"/>
    <w:qFormat/>
    <w:uiPriority w:val="99"/>
    <w:pPr>
      <w:jc w:val="center"/>
    </w:pPr>
    <w:rPr>
      <w:b/>
      <w:bCs/>
    </w:rPr>
  </w:style>
  <w:style w:type="paragraph" w:customStyle="1" w:styleId="10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01">
    <w:name w:val="正文正"/>
    <w:qFormat/>
    <w:uiPriority w:val="0"/>
    <w:pPr>
      <w:widowControl w:val="0"/>
      <w:spacing w:line="560" w:lineRule="exact"/>
      <w:ind w:firstLine="561"/>
      <w:jc w:val="both"/>
    </w:pPr>
    <w:rPr>
      <w:rFonts w:ascii="Calibri" w:hAnsi="Calibri"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9932</Words>
  <Characters>10602</Characters>
  <Lines>243</Lines>
  <Paragraphs>68</Paragraphs>
  <TotalTime>0</TotalTime>
  <ScaleCrop>false</ScaleCrop>
  <LinksUpToDate>false</LinksUpToDate>
  <CharactersWithSpaces>10864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2024-07-19T07:19:00Z</dcterms:created>
  <dc:creator>袁静</dc:creator>
  <cp:lastModifiedBy>严</cp:lastModifiedBy>
  <cp:lastPrinted>2025-02-18T07:48:00Z</cp:lastPrinted>
  <dcterms:modified xsi:type="dcterms:W3CDTF">2025-12-12T05:52:54Z</dcterms:modified>
  <dc:title>招标文件--华润国际医药供应链（广东）项目勘察服务-发布版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656F0BACB9AA4861831F38C6989D9F79_13</vt:lpwstr>
  </property>
  <property fmtid="{D5CDD505-2E9C-101B-9397-08002B2CF9AE}" pid="4" name="KSOTemplateDocerSaveRecord">
    <vt:lpwstr>eyJoZGlkIjoiZGMyZjU2MmRjNjUwOGNlNTg4ZjA5YzExNDJkZjA0MGQiLCJ1c2VySWQiOiI3ODY5MDAyODAifQ==</vt:lpwstr>
  </property>
</Properties>
</file>