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077B3">
      <w:pPr>
        <w:spacing w:line="360" w:lineRule="auto"/>
        <w:ind w:left="359" w:leftChars="171"/>
        <w:jc w:val="left"/>
        <w:rPr>
          <w:rFonts w:hint="eastAsia" w:ascii="宋体" w:hAnsi="宋体" w:cs="宋体"/>
          <w:b/>
          <w:bCs/>
          <w:color w:val="000000" w:themeColor="text1"/>
          <w:spacing w:val="40"/>
          <w:sz w:val="44"/>
          <w:szCs w:val="44"/>
          <w:highlight w:val="none"/>
          <w14:textFill>
            <w14:solidFill>
              <w14:schemeClr w14:val="tx1"/>
            </w14:solidFill>
          </w14:textFill>
        </w:rPr>
      </w:pPr>
    </w:p>
    <w:p w14:paraId="7757F58B">
      <w:pPr>
        <w:spacing w:line="360" w:lineRule="auto"/>
        <w:rPr>
          <w:rFonts w:hint="eastAsia" w:ascii="宋体" w:hAnsi="宋体" w:cs="宋体"/>
          <w:b/>
          <w:bCs/>
          <w:color w:val="000000" w:themeColor="text1"/>
          <w:spacing w:val="40"/>
          <w:sz w:val="40"/>
          <w:szCs w:val="40"/>
          <w:highlight w:val="none"/>
          <w14:textFill>
            <w14:solidFill>
              <w14:schemeClr w14:val="tx1"/>
            </w14:solidFill>
          </w14:textFill>
        </w:rPr>
      </w:pPr>
    </w:p>
    <w:p w14:paraId="55FF7447">
      <w:pPr>
        <w:spacing w:line="360" w:lineRule="auto"/>
        <w:jc w:val="center"/>
        <w:rPr>
          <w:rFonts w:hint="eastAsia" w:ascii="宋体" w:hAnsi="宋体" w:cs="宋体"/>
          <w:b/>
          <w:bCs/>
          <w:color w:val="000000" w:themeColor="text1"/>
          <w:spacing w:val="40"/>
          <w:sz w:val="52"/>
          <w:szCs w:val="60"/>
          <w:highlight w:val="none"/>
          <w14:textFill>
            <w14:solidFill>
              <w14:schemeClr w14:val="tx1"/>
            </w14:solidFill>
          </w14:textFill>
        </w:rPr>
      </w:pPr>
      <w:r>
        <w:rPr>
          <w:rFonts w:hint="eastAsia" w:ascii="宋体" w:hAnsi="宋体" w:cs="宋体"/>
          <w:b/>
          <w:bCs/>
          <w:color w:val="000000" w:themeColor="text1"/>
          <w:spacing w:val="40"/>
          <w:sz w:val="52"/>
          <w:szCs w:val="60"/>
          <w:highlight w:val="none"/>
          <w14:textFill>
            <w14:solidFill>
              <w14:schemeClr w14:val="tx1"/>
            </w14:solidFill>
          </w14:textFill>
        </w:rPr>
        <w:t>中山大学口腔医学研究所改造项目施工</w:t>
      </w:r>
    </w:p>
    <w:p w14:paraId="75DB75C0">
      <w:pPr>
        <w:spacing w:line="360" w:lineRule="auto"/>
        <w:rPr>
          <w:rFonts w:hint="eastAsia" w:ascii="宋体" w:hAnsi="宋体" w:cs="宋体"/>
          <w:b/>
          <w:bCs/>
          <w:color w:val="000000" w:themeColor="text1"/>
          <w:spacing w:val="26"/>
          <w:sz w:val="110"/>
          <w:szCs w:val="110"/>
          <w:highlight w:val="none"/>
          <w14:textFill>
            <w14:solidFill>
              <w14:schemeClr w14:val="tx1"/>
            </w14:solidFill>
          </w14:textFill>
        </w:rPr>
      </w:pPr>
    </w:p>
    <w:p w14:paraId="595B35C9">
      <w:pPr>
        <w:pStyle w:val="7"/>
        <w:rPr>
          <w:rFonts w:hint="eastAsia" w:hAnsi="宋体" w:cs="宋体"/>
          <w:color w:val="000000" w:themeColor="text1"/>
          <w:highlight w:val="none"/>
          <w14:textFill>
            <w14:solidFill>
              <w14:schemeClr w14:val="tx1"/>
            </w14:solidFill>
          </w14:textFill>
        </w:rPr>
      </w:pPr>
    </w:p>
    <w:p w14:paraId="51A2D754">
      <w:pPr>
        <w:spacing w:line="360" w:lineRule="auto"/>
        <w:jc w:val="center"/>
        <w:rPr>
          <w:rFonts w:hint="eastAsia" w:ascii="宋体" w:hAnsi="宋体" w:cs="宋体"/>
          <w:b/>
          <w:bCs/>
          <w:color w:val="000000" w:themeColor="text1"/>
          <w:spacing w:val="26"/>
          <w:sz w:val="72"/>
          <w:szCs w:val="72"/>
          <w:highlight w:val="none"/>
          <w14:textFill>
            <w14:solidFill>
              <w14:schemeClr w14:val="tx1"/>
            </w14:solidFill>
          </w14:textFill>
        </w:rPr>
      </w:pPr>
      <w:r>
        <w:rPr>
          <w:rFonts w:hint="eastAsia" w:ascii="宋体" w:hAnsi="宋体" w:cs="宋体"/>
          <w:b/>
          <w:bCs/>
          <w:color w:val="000000" w:themeColor="text1"/>
          <w:spacing w:val="26"/>
          <w:sz w:val="72"/>
          <w:szCs w:val="72"/>
          <w:highlight w:val="none"/>
          <w14:textFill>
            <w14:solidFill>
              <w14:schemeClr w14:val="tx1"/>
            </w14:solidFill>
          </w14:textFill>
        </w:rPr>
        <w:t>招标公告</w:t>
      </w:r>
    </w:p>
    <w:p w14:paraId="7FB39E95">
      <w:pPr>
        <w:spacing w:line="360" w:lineRule="auto"/>
        <w:jc w:val="center"/>
        <w:rPr>
          <w:rFonts w:hint="eastAsia" w:ascii="宋体" w:hAnsi="宋体" w:cs="宋体"/>
          <w:color w:val="000000" w:themeColor="text1"/>
          <w:sz w:val="32"/>
          <w:highlight w:val="none"/>
          <w14:textFill>
            <w14:solidFill>
              <w14:schemeClr w14:val="tx1"/>
            </w14:solidFill>
          </w14:textFill>
        </w:rPr>
      </w:pPr>
    </w:p>
    <w:p w14:paraId="3583E054">
      <w:pPr>
        <w:spacing w:line="360" w:lineRule="auto"/>
        <w:ind w:firstLine="2560" w:firstLineChars="800"/>
        <w:rPr>
          <w:rFonts w:hint="eastAsia" w:ascii="宋体" w:hAnsi="宋体" w:cs="宋体"/>
          <w:color w:val="000000" w:themeColor="text1"/>
          <w:sz w:val="32"/>
          <w:highlight w:val="none"/>
          <w14:textFill>
            <w14:solidFill>
              <w14:schemeClr w14:val="tx1"/>
            </w14:solidFill>
          </w14:textFill>
        </w:rPr>
      </w:pPr>
    </w:p>
    <w:p w14:paraId="2DECE355">
      <w:pPr>
        <w:spacing w:line="360" w:lineRule="auto"/>
        <w:rPr>
          <w:rFonts w:hint="eastAsia" w:ascii="宋体" w:hAnsi="宋体" w:cs="宋体"/>
          <w:color w:val="000000" w:themeColor="text1"/>
          <w:sz w:val="30"/>
          <w:szCs w:val="30"/>
          <w:highlight w:val="none"/>
          <w14:textFill>
            <w14:solidFill>
              <w14:schemeClr w14:val="tx1"/>
            </w14:solidFill>
          </w14:textFill>
        </w:rPr>
      </w:pPr>
    </w:p>
    <w:p w14:paraId="6CD53322">
      <w:pPr>
        <w:spacing w:line="360" w:lineRule="auto"/>
        <w:ind w:firstLine="900" w:firstLineChars="300"/>
        <w:rPr>
          <w:rFonts w:hint="eastAsia" w:ascii="宋体" w:hAnsi="宋体" w:cs="宋体"/>
          <w:color w:val="000000" w:themeColor="text1"/>
          <w:sz w:val="30"/>
          <w:szCs w:val="30"/>
          <w:highlight w:val="none"/>
          <w14:textFill>
            <w14:solidFill>
              <w14:schemeClr w14:val="tx1"/>
            </w14:solidFill>
          </w14:textFill>
        </w:rPr>
      </w:pPr>
    </w:p>
    <w:p w14:paraId="6DC20FB2">
      <w:pPr>
        <w:rPr>
          <w:rFonts w:hint="eastAsia" w:ascii="宋体" w:hAnsi="宋体" w:cs="宋体"/>
          <w:color w:val="000000" w:themeColor="text1"/>
          <w:highlight w:val="none"/>
          <w14:textFill>
            <w14:solidFill>
              <w14:schemeClr w14:val="tx1"/>
            </w14:solidFill>
          </w14:textFill>
        </w:rPr>
      </w:pPr>
    </w:p>
    <w:p w14:paraId="05BB53E2">
      <w:pPr>
        <w:spacing w:line="360" w:lineRule="auto"/>
        <w:ind w:firstLine="1055" w:firstLineChars="211"/>
        <w:rPr>
          <w:rFonts w:hint="eastAsia" w:ascii="宋体" w:hAnsi="宋体" w:cs="宋体"/>
          <w:color w:val="000000" w:themeColor="text1"/>
          <w:sz w:val="30"/>
          <w:szCs w:val="30"/>
          <w:highlight w:val="none"/>
          <w:u w:val="single"/>
          <w14:textFill>
            <w14:solidFill>
              <w14:schemeClr w14:val="tx1"/>
            </w14:solidFill>
          </w14:textFill>
        </w:rPr>
      </w:pPr>
      <w:r>
        <w:rPr>
          <w:rFonts w:hint="eastAsia" w:ascii="宋体" w:hAnsi="宋体" w:cs="宋体"/>
          <w:color w:val="000000" w:themeColor="text1"/>
          <w:spacing w:val="100"/>
          <w:kern w:val="0"/>
          <w:sz w:val="30"/>
          <w:szCs w:val="30"/>
          <w:highlight w:val="none"/>
          <w:fitText w:val="1800" w:id="119621933"/>
          <w14:textFill>
            <w14:solidFill>
              <w14:schemeClr w14:val="tx1"/>
            </w14:solidFill>
          </w14:textFill>
        </w:rPr>
        <w:t>招标单</w:t>
      </w:r>
      <w:r>
        <w:rPr>
          <w:rFonts w:hint="eastAsia" w:ascii="宋体" w:hAnsi="宋体" w:cs="宋体"/>
          <w:color w:val="000000" w:themeColor="text1"/>
          <w:spacing w:val="0"/>
          <w:kern w:val="0"/>
          <w:sz w:val="30"/>
          <w:szCs w:val="30"/>
          <w:highlight w:val="none"/>
          <w:fitText w:val="1800" w:id="119621933"/>
          <w14:textFill>
            <w14:solidFill>
              <w14:schemeClr w14:val="tx1"/>
            </w14:solidFill>
          </w14:textFill>
        </w:rPr>
        <w:t>位</w:t>
      </w:r>
      <w:r>
        <w:rPr>
          <w:rFonts w:hint="eastAsia" w:ascii="宋体" w:hAnsi="宋体" w:cs="宋体"/>
          <w:color w:val="000000" w:themeColor="text1"/>
          <w:sz w:val="30"/>
          <w:szCs w:val="30"/>
          <w:highlight w:val="none"/>
          <w14:textFill>
            <w14:solidFill>
              <w14:schemeClr w14:val="tx1"/>
            </w14:solidFill>
          </w14:textFill>
        </w:rPr>
        <w:t>：</w:t>
      </w:r>
      <w:r>
        <w:rPr>
          <w:rFonts w:hint="eastAsia" w:ascii="宋体" w:hAnsi="宋体" w:cs="宋体"/>
          <w:color w:val="000000" w:themeColor="text1"/>
          <w:sz w:val="30"/>
          <w:szCs w:val="30"/>
          <w:highlight w:val="none"/>
          <w:u w:val="single"/>
          <w14:textFill>
            <w14:solidFill>
              <w14:schemeClr w14:val="tx1"/>
            </w14:solidFill>
          </w14:textFill>
        </w:rPr>
        <w:t>中山大学附属口腔医院</w:t>
      </w:r>
    </w:p>
    <w:p w14:paraId="5E432AB8">
      <w:pPr>
        <w:spacing w:line="360" w:lineRule="auto"/>
        <w:ind w:firstLine="1059" w:firstLineChars="353"/>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招标代理单位：</w:t>
      </w:r>
      <w:r>
        <w:rPr>
          <w:rFonts w:hint="eastAsia" w:ascii="宋体" w:hAnsi="宋体" w:cs="宋体"/>
          <w:color w:val="000000" w:themeColor="text1"/>
          <w:sz w:val="30"/>
          <w:szCs w:val="30"/>
          <w:highlight w:val="none"/>
          <w:u w:val="single"/>
          <w14:textFill>
            <w14:solidFill>
              <w14:schemeClr w14:val="tx1"/>
            </w14:solidFill>
          </w14:textFill>
        </w:rPr>
        <w:t>广东省国际工程咨询有限公司</w:t>
      </w:r>
    </w:p>
    <w:p w14:paraId="75AAD815">
      <w:pPr>
        <w:spacing w:line="360" w:lineRule="auto"/>
        <w:ind w:firstLine="1050" w:firstLineChars="70"/>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pacing w:val="600"/>
          <w:kern w:val="0"/>
          <w:sz w:val="30"/>
          <w:szCs w:val="30"/>
          <w:highlight w:val="none"/>
          <w:fitText w:val="1800" w:id="119621933"/>
          <w14:textFill>
            <w14:solidFill>
              <w14:schemeClr w14:val="tx1"/>
            </w14:solidFill>
          </w14:textFill>
        </w:rPr>
        <w:t>日</w:t>
      </w:r>
      <w:r>
        <w:rPr>
          <w:rFonts w:hint="eastAsia" w:ascii="宋体" w:hAnsi="宋体" w:cs="宋体"/>
          <w:color w:val="000000" w:themeColor="text1"/>
          <w:spacing w:val="0"/>
          <w:kern w:val="0"/>
          <w:sz w:val="30"/>
          <w:szCs w:val="30"/>
          <w:highlight w:val="none"/>
          <w:fitText w:val="1800" w:id="119621933"/>
          <w14:textFill>
            <w14:solidFill>
              <w14:schemeClr w14:val="tx1"/>
            </w14:solidFill>
          </w14:textFill>
        </w:rPr>
        <w:t>期</w:t>
      </w:r>
      <w:r>
        <w:rPr>
          <w:rFonts w:hint="eastAsia" w:ascii="宋体" w:hAnsi="宋体" w:cs="宋体"/>
          <w:color w:val="000000" w:themeColor="text1"/>
          <w:sz w:val="30"/>
          <w:szCs w:val="30"/>
          <w:highlight w:val="none"/>
          <w14:textFill>
            <w14:solidFill>
              <w14:schemeClr w14:val="tx1"/>
            </w14:solidFill>
          </w14:textFill>
        </w:rPr>
        <w:t>：2025年1</w:t>
      </w:r>
      <w:r>
        <w:rPr>
          <w:rFonts w:hint="eastAsia" w:ascii="宋体" w:hAnsi="宋体" w:cs="宋体"/>
          <w:color w:val="000000" w:themeColor="text1"/>
          <w:sz w:val="30"/>
          <w:szCs w:val="30"/>
          <w:highlight w:val="none"/>
          <w:lang w:val="en-US" w:eastAsia="zh-CN"/>
          <w14:textFill>
            <w14:solidFill>
              <w14:schemeClr w14:val="tx1"/>
            </w14:solidFill>
          </w14:textFill>
        </w:rPr>
        <w:t>2</w:t>
      </w:r>
      <w:r>
        <w:rPr>
          <w:rFonts w:hint="eastAsia" w:ascii="宋体" w:hAnsi="宋体" w:cs="宋体"/>
          <w:color w:val="000000" w:themeColor="text1"/>
          <w:sz w:val="30"/>
          <w:szCs w:val="30"/>
          <w:highlight w:val="none"/>
          <w14:textFill>
            <w14:solidFill>
              <w14:schemeClr w14:val="tx1"/>
            </w14:solidFill>
          </w14:textFill>
        </w:rPr>
        <w:t>月</w:t>
      </w:r>
    </w:p>
    <w:p w14:paraId="16FA390C">
      <w:pPr>
        <w:pStyle w:val="13"/>
        <w:spacing w:line="360" w:lineRule="auto"/>
        <w:jc w:val="center"/>
        <w:rPr>
          <w:rFonts w:hint="eastAsia"/>
          <w:b/>
          <w:color w:val="000000" w:themeColor="text1"/>
          <w:kern w:val="2"/>
          <w:sz w:val="32"/>
          <w:highlight w:val="none"/>
          <w:u w:val="none"/>
          <w:lang w:val="en-US"/>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14:paraId="21A76CEB">
      <w:pPr>
        <w:pStyle w:val="13"/>
        <w:spacing w:line="360" w:lineRule="auto"/>
        <w:jc w:val="center"/>
        <w:rPr>
          <w:rFonts w:hint="eastAsia"/>
          <w:b/>
          <w:color w:val="000000" w:themeColor="text1"/>
          <w:kern w:val="2"/>
          <w:sz w:val="32"/>
          <w:highlight w:val="none"/>
          <w:u w:val="none"/>
          <w:lang w:val="en-US"/>
          <w14:textFill>
            <w14:solidFill>
              <w14:schemeClr w14:val="tx1"/>
            </w14:solidFill>
          </w14:textFill>
        </w:rPr>
      </w:pPr>
      <w:r>
        <w:rPr>
          <w:rFonts w:hint="eastAsia"/>
          <w:b/>
          <w:color w:val="000000" w:themeColor="text1"/>
          <w:kern w:val="2"/>
          <w:sz w:val="32"/>
          <w:highlight w:val="none"/>
          <w:u w:val="none"/>
          <w:lang w:val="en-US"/>
          <w14:textFill>
            <w14:solidFill>
              <w14:schemeClr w14:val="tx1"/>
            </w14:solidFill>
          </w14:textFill>
        </w:rPr>
        <w:t>中山大学口腔医学研究所改造项目施工</w:t>
      </w:r>
    </w:p>
    <w:p w14:paraId="4C7ABF8A">
      <w:pPr>
        <w:pStyle w:val="13"/>
        <w:spacing w:line="360" w:lineRule="auto"/>
        <w:jc w:val="center"/>
        <w:rPr>
          <w:rFonts w:hint="eastAsia"/>
          <w:b/>
          <w:color w:val="000000" w:themeColor="text1"/>
          <w:kern w:val="2"/>
          <w:sz w:val="32"/>
          <w:highlight w:val="none"/>
          <w:u w:val="none"/>
          <w:lang w:val="en-US"/>
          <w14:textFill>
            <w14:solidFill>
              <w14:schemeClr w14:val="tx1"/>
            </w14:solidFill>
          </w14:textFill>
        </w:rPr>
      </w:pPr>
      <w:r>
        <w:rPr>
          <w:rFonts w:hint="eastAsia"/>
          <w:b/>
          <w:color w:val="000000" w:themeColor="text1"/>
          <w:kern w:val="2"/>
          <w:sz w:val="32"/>
          <w:highlight w:val="none"/>
          <w:u w:val="none"/>
          <w:lang w:val="en-US"/>
          <w14:textFill>
            <w14:solidFill>
              <w14:schemeClr w14:val="tx1"/>
            </w14:solidFill>
          </w14:textFill>
        </w:rPr>
        <w:t>招标公告</w:t>
      </w:r>
    </w:p>
    <w:p w14:paraId="1396619D">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w:t>
      </w:r>
      <w:r>
        <w:rPr>
          <w:rFonts w:hint="eastAsia" w:ascii="宋体" w:hAnsi="宋体" w:cs="宋体"/>
          <w:color w:val="000000" w:themeColor="text1"/>
          <w:sz w:val="24"/>
          <w:highlight w:val="none"/>
          <w:u w:val="single"/>
          <w14:textFill>
            <w14:solidFill>
              <w14:schemeClr w14:val="tx1"/>
            </w14:solidFill>
          </w14:textFill>
        </w:rPr>
        <w:t>《广东省企业投资项目备案证2510-440104-04-01-606563》</w:t>
      </w:r>
      <w:r>
        <w:rPr>
          <w:rFonts w:hint="eastAsia" w:ascii="宋体" w:hAnsi="宋体" w:cs="宋体"/>
          <w:color w:val="000000" w:themeColor="text1"/>
          <w:sz w:val="24"/>
          <w:highlight w:val="none"/>
          <w14:textFill>
            <w14:solidFill>
              <w14:schemeClr w14:val="tx1"/>
            </w14:solidFill>
          </w14:textFill>
        </w:rPr>
        <w:t>批</w:t>
      </w:r>
      <w:r>
        <w:rPr>
          <w:rFonts w:hint="eastAsia" w:ascii="宋体" w:hAnsi="宋体"/>
          <w:color w:val="000000" w:themeColor="text1"/>
          <w:sz w:val="24"/>
          <w:highlight w:val="none"/>
          <w14:textFill>
            <w14:solidFill>
              <w14:schemeClr w14:val="tx1"/>
            </w14:solidFill>
          </w14:textFill>
        </w:rPr>
        <w:t>准，并且图纸和技术资料满足施工需要，</w:t>
      </w:r>
      <w:r>
        <w:rPr>
          <w:rFonts w:hint="eastAsia" w:ascii="宋体" w:hAnsi="宋体"/>
          <w:color w:val="000000" w:themeColor="text1"/>
          <w:sz w:val="24"/>
          <w:highlight w:val="none"/>
          <w:u w:val="single"/>
          <w14:textFill>
            <w14:solidFill>
              <w14:schemeClr w14:val="tx1"/>
            </w14:solidFill>
          </w14:textFill>
        </w:rPr>
        <w:t>中山大学附属口腔医院</w:t>
      </w:r>
      <w:r>
        <w:rPr>
          <w:rFonts w:hint="eastAsia" w:ascii="宋体" w:hAnsi="宋体"/>
          <w:color w:val="000000" w:themeColor="text1"/>
          <w:sz w:val="24"/>
          <w:highlight w:val="none"/>
          <w14:textFill>
            <w14:solidFill>
              <w14:schemeClr w14:val="tx1"/>
            </w14:solidFill>
          </w14:textFill>
        </w:rPr>
        <w:t>现对</w:t>
      </w:r>
      <w:r>
        <w:rPr>
          <w:rFonts w:hint="eastAsia"/>
          <w:color w:val="000000" w:themeColor="text1"/>
          <w:sz w:val="24"/>
          <w:highlight w:val="none"/>
          <w:u w:val="single"/>
          <w14:textFill>
            <w14:solidFill>
              <w14:schemeClr w14:val="tx1"/>
            </w14:solidFill>
          </w14:textFill>
        </w:rPr>
        <w:t>中山大学口腔医学研究所改造项目施工</w:t>
      </w:r>
      <w:r>
        <w:rPr>
          <w:rFonts w:hint="eastAsia" w:ascii="宋体" w:hAnsi="宋体"/>
          <w:color w:val="000000" w:themeColor="text1"/>
          <w:sz w:val="24"/>
          <w:highlight w:val="none"/>
          <w14:textFill>
            <w14:solidFill>
              <w14:schemeClr w14:val="tx1"/>
            </w14:solidFill>
          </w14:textFill>
        </w:rPr>
        <w:t>进行公开招标，选定承包人。</w:t>
      </w:r>
    </w:p>
    <w:p w14:paraId="53D0AF7D">
      <w:pPr>
        <w:spacing w:line="360" w:lineRule="auto"/>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一、工程名称：</w:t>
      </w:r>
      <w:r>
        <w:rPr>
          <w:rFonts w:hint="eastAsia" w:ascii="宋体" w:hAnsi="宋体"/>
          <w:color w:val="000000" w:themeColor="text1"/>
          <w:sz w:val="24"/>
          <w:highlight w:val="none"/>
          <w:u w:val="single"/>
          <w14:textFill>
            <w14:solidFill>
              <w14:schemeClr w14:val="tx1"/>
            </w14:solidFill>
          </w14:textFill>
        </w:rPr>
        <w:t>中山大学口腔医学研究所改造项目施工</w:t>
      </w:r>
    </w:p>
    <w:p w14:paraId="418562F2">
      <w:pPr>
        <w:tabs>
          <w:tab w:val="center" w:pos="4415"/>
        </w:tabs>
        <w:spacing w:line="360" w:lineRule="auto"/>
        <w:ind w:firstLine="1017" w:firstLineChars="424"/>
        <w:rPr>
          <w:rFonts w:hint="eastAsia" w:ascii="宋体" w:hAns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项目代码：</w:t>
      </w:r>
      <w:r>
        <w:rPr>
          <w:rFonts w:hint="eastAsia" w:ascii="宋体"/>
          <w:color w:val="000000" w:themeColor="text1"/>
          <w:sz w:val="24"/>
          <w:highlight w:val="none"/>
          <w:u w:val="single"/>
          <w14:textFill>
            <w14:solidFill>
              <w14:schemeClr w14:val="tx1"/>
            </w14:solidFill>
          </w14:textFill>
        </w:rPr>
        <w:t>2510-440104-04-01-606563</w:t>
      </w:r>
    </w:p>
    <w:p w14:paraId="470F0F9C">
      <w:pPr>
        <w:spacing w:line="360" w:lineRule="auto"/>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二、招标单位：</w:t>
      </w:r>
      <w:r>
        <w:rPr>
          <w:rFonts w:hint="eastAsia" w:ascii="宋体" w:hAnsi="宋体"/>
          <w:color w:val="000000" w:themeColor="text1"/>
          <w:sz w:val="24"/>
          <w:highlight w:val="none"/>
          <w:u w:val="single"/>
          <w14:textFill>
            <w14:solidFill>
              <w14:schemeClr w14:val="tx1"/>
            </w14:solidFill>
          </w14:textFill>
        </w:rPr>
        <w:t>中山大学附属口腔医院</w:t>
      </w:r>
    </w:p>
    <w:p w14:paraId="3325A1F2">
      <w:pPr>
        <w:spacing w:line="360" w:lineRule="auto"/>
        <w:ind w:left="420" w:leftChars="200" w:firstLine="537" w:firstLineChars="224"/>
        <w:jc w:val="left"/>
        <w:rPr>
          <w:rFonts w:hint="eastAsia"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联系人：</w:t>
      </w:r>
      <w:r>
        <w:rPr>
          <w:rFonts w:hint="eastAsia" w:ascii="宋体" w:hAnsi="宋体"/>
          <w:color w:val="000000" w:themeColor="text1"/>
          <w:sz w:val="24"/>
          <w:szCs w:val="24"/>
          <w:highlight w:val="none"/>
          <w:u w:val="single"/>
          <w14:textFill>
            <w14:solidFill>
              <w14:schemeClr w14:val="tx1"/>
            </w14:solidFill>
          </w14:textFill>
        </w:rPr>
        <w:t>周老师</w:t>
      </w:r>
      <w:r>
        <w:rPr>
          <w:rFonts w:hint="eastAsia" w:ascii="宋体" w:hAnsi="宋体"/>
          <w:color w:val="000000" w:themeColor="text1"/>
          <w:sz w:val="24"/>
          <w:szCs w:val="24"/>
          <w:highlight w:val="none"/>
          <w14:textFill>
            <w14:solidFill>
              <w14:schemeClr w14:val="tx1"/>
            </w14:solidFill>
          </w14:textFill>
        </w:rPr>
        <w:t xml:space="preserve">       联系电话：</w:t>
      </w:r>
      <w:r>
        <w:rPr>
          <w:rFonts w:hint="eastAsia" w:ascii="宋体" w:hAnsi="宋体"/>
          <w:color w:val="000000" w:themeColor="text1"/>
          <w:sz w:val="24"/>
          <w:szCs w:val="24"/>
          <w:highlight w:val="none"/>
          <w:u w:val="single"/>
          <w14:textFill>
            <w14:solidFill>
              <w14:schemeClr w14:val="tx1"/>
            </w14:solidFill>
          </w14:textFill>
        </w:rPr>
        <w:t>020-83862558</w:t>
      </w:r>
    </w:p>
    <w:p w14:paraId="2563E0D5">
      <w:pPr>
        <w:spacing w:line="360" w:lineRule="auto"/>
        <w:ind w:left="420" w:leftChars="200" w:firstLine="537" w:firstLineChars="224"/>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联系地址：</w:t>
      </w:r>
      <w:r>
        <w:rPr>
          <w:rFonts w:hint="eastAsia" w:ascii="宋体" w:hAnsi="宋体" w:cs="宋体"/>
          <w:color w:val="000000" w:themeColor="text1"/>
          <w:sz w:val="24"/>
          <w:szCs w:val="24"/>
          <w:highlight w:val="none"/>
          <w:u w:val="single"/>
          <w14:textFill>
            <w14:solidFill>
              <w14:schemeClr w14:val="tx1"/>
            </w14:solidFill>
          </w14:textFill>
        </w:rPr>
        <w:t>广州市越秀区陵园西路56号</w:t>
      </w:r>
    </w:p>
    <w:p w14:paraId="4E536585">
      <w:pPr>
        <w:spacing w:line="360" w:lineRule="auto"/>
        <w:ind w:left="420" w:leftChars="200" w:firstLine="537" w:firstLineChars="224"/>
        <w:jc w:val="left"/>
        <w:rPr>
          <w:rFonts w:asci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招标代理机构：</w:t>
      </w:r>
      <w:r>
        <w:rPr>
          <w:rFonts w:hint="eastAsia" w:ascii="宋体" w:hAnsi="宋体"/>
          <w:color w:val="000000" w:themeColor="text1"/>
          <w:sz w:val="24"/>
          <w:highlight w:val="none"/>
          <w:u w:val="single"/>
          <w14:textFill>
            <w14:solidFill>
              <w14:schemeClr w14:val="tx1"/>
            </w14:solidFill>
          </w14:textFill>
        </w:rPr>
        <w:t>广东省国际工程咨询有限公司</w:t>
      </w:r>
    </w:p>
    <w:p w14:paraId="5EDD1CB6">
      <w:pPr>
        <w:spacing w:line="360" w:lineRule="auto"/>
        <w:ind w:left="420" w:leftChars="200" w:firstLine="537" w:firstLineChars="224"/>
        <w:jc w:val="left"/>
        <w:rPr>
          <w:rFonts w:asci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联系人：</w:t>
      </w:r>
      <w:r>
        <w:rPr>
          <w:rFonts w:hint="eastAsia" w:ascii="宋体" w:hAnsi="宋体"/>
          <w:color w:val="000000" w:themeColor="text1"/>
          <w:sz w:val="24"/>
          <w:szCs w:val="24"/>
          <w:highlight w:val="none"/>
          <w:u w:val="single"/>
          <w14:textFill>
            <w14:solidFill>
              <w14:schemeClr w14:val="tx1"/>
            </w14:solidFill>
          </w14:textFill>
        </w:rPr>
        <w:t>黄工、刘工</w:t>
      </w:r>
      <w:r>
        <w:rPr>
          <w:rFonts w:hint="eastAsia"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联系电话：</w:t>
      </w:r>
      <w:r>
        <w:rPr>
          <w:rFonts w:hint="eastAsia" w:ascii="宋体" w:hAnsi="宋体"/>
          <w:color w:val="000000" w:themeColor="text1"/>
          <w:sz w:val="24"/>
          <w:highlight w:val="none"/>
          <w:u w:val="single"/>
          <w14:textFill>
            <w14:solidFill>
              <w14:schemeClr w14:val="tx1"/>
            </w14:solidFill>
          </w14:textFill>
        </w:rPr>
        <w:t>020-33971613</w:t>
      </w:r>
    </w:p>
    <w:p w14:paraId="3F7C8170">
      <w:pPr>
        <w:spacing w:line="360" w:lineRule="auto"/>
        <w:ind w:left="420" w:leftChars="200" w:firstLine="537" w:firstLineChars="224"/>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联系地址：</w:t>
      </w:r>
      <w:r>
        <w:rPr>
          <w:rFonts w:hint="eastAsia" w:ascii="宋体" w:hAnsi="宋体" w:cs="宋体"/>
          <w:color w:val="000000" w:themeColor="text1"/>
          <w:sz w:val="24"/>
          <w:szCs w:val="24"/>
          <w:highlight w:val="none"/>
          <w:u w:val="single"/>
          <w14:textFill>
            <w14:solidFill>
              <w14:schemeClr w14:val="tx1"/>
            </w14:solidFill>
          </w14:textFill>
        </w:rPr>
        <w:t>广州市越秀区环市中路金鹰大厦13楼</w:t>
      </w:r>
    </w:p>
    <w:p w14:paraId="64F26D95">
      <w:pPr>
        <w:spacing w:line="360" w:lineRule="auto"/>
        <w:ind w:left="420" w:leftChars="200" w:firstLine="537" w:firstLineChars="224"/>
        <w:jc w:val="left"/>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招标监督机构：</w:t>
      </w:r>
      <w:r>
        <w:rPr>
          <w:rFonts w:hint="eastAsia" w:ascii="宋体" w:hAnsi="宋体"/>
          <w:color w:val="000000" w:themeColor="text1"/>
          <w:sz w:val="24"/>
          <w:highlight w:val="none"/>
          <w:u w:val="single"/>
          <w14:textFill>
            <w14:solidFill>
              <w14:schemeClr w14:val="tx1"/>
            </w14:solidFill>
          </w14:textFill>
        </w:rPr>
        <w:t>广州市建设工程招标管理办公室</w:t>
      </w:r>
    </w:p>
    <w:p w14:paraId="166A637E">
      <w:pPr>
        <w:spacing w:line="360" w:lineRule="auto"/>
        <w:ind w:left="420" w:leftChars="200" w:firstLine="537" w:firstLineChars="224"/>
        <w:jc w:val="lef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监督电话：</w:t>
      </w:r>
      <w:r>
        <w:rPr>
          <w:rFonts w:hint="eastAsia" w:ascii="宋体" w:hAnsi="宋体"/>
          <w:color w:val="000000" w:themeColor="text1"/>
          <w:sz w:val="24"/>
          <w:highlight w:val="none"/>
          <w:u w:val="single"/>
          <w14:textFill>
            <w14:solidFill>
              <w14:schemeClr w14:val="tx1"/>
            </w14:solidFill>
          </w14:textFill>
        </w:rPr>
        <w:t>020-28866220</w:t>
      </w:r>
    </w:p>
    <w:p w14:paraId="34174B3B">
      <w:pPr>
        <w:spacing w:line="360" w:lineRule="auto"/>
        <w:ind w:left="420" w:leftChars="200" w:firstLine="537" w:firstLineChars="224"/>
        <w:jc w:val="left"/>
        <w:rPr>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联系地址：</w:t>
      </w:r>
      <w:r>
        <w:rPr>
          <w:rFonts w:hint="eastAsia" w:ascii="宋体" w:hAnsi="宋体"/>
          <w:color w:val="000000" w:themeColor="text1"/>
          <w:sz w:val="24"/>
          <w:highlight w:val="none"/>
          <w:u w:val="single"/>
          <w14:textFill>
            <w14:solidFill>
              <w14:schemeClr w14:val="tx1"/>
            </w14:solidFill>
          </w14:textFill>
        </w:rPr>
        <w:t>广州市天河区天润路333号3楼</w:t>
      </w:r>
    </w:p>
    <w:p w14:paraId="25311ED2">
      <w:pPr>
        <w:spacing w:line="360" w:lineRule="auto"/>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三、建设地点：</w:t>
      </w:r>
      <w:r>
        <w:rPr>
          <w:rFonts w:hint="eastAsia" w:ascii="宋体" w:hAnsi="宋体"/>
          <w:color w:val="000000" w:themeColor="text1"/>
          <w:sz w:val="24"/>
          <w:highlight w:val="none"/>
          <w:u w:val="single"/>
          <w14:textFill>
            <w14:solidFill>
              <w14:schemeClr w14:val="tx1"/>
            </w14:solidFill>
          </w14:textFill>
        </w:rPr>
        <w:t>广州市越秀区中山二路74号</w:t>
      </w:r>
    </w:p>
    <w:p w14:paraId="28BA1D89">
      <w:pPr>
        <w:spacing w:line="360" w:lineRule="auto"/>
        <w:ind w:firstLine="480" w:firstLineChars="200"/>
        <w:rPr>
          <w:rFonts w:hint="eastAsia" w:ascii="宋体" w:hAnsi="宋体"/>
          <w:color w:val="000000" w:themeColor="text1"/>
          <w:sz w:val="24"/>
          <w:highlight w:val="none"/>
          <w:u w:val="single"/>
          <w:shd w:val="clear" w:color="auto" w:fill="auto"/>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四、项目概况：</w:t>
      </w:r>
      <w:r>
        <w:rPr>
          <w:rFonts w:hint="eastAsia" w:ascii="宋体" w:hAnsi="宋体"/>
          <w:color w:val="000000" w:themeColor="text1"/>
          <w:sz w:val="24"/>
          <w:highlight w:val="none"/>
          <w:u w:val="single"/>
          <w:shd w:val="clear" w:color="auto" w:fill="auto"/>
          <w14:textFill>
            <w14:solidFill>
              <w14:schemeClr w14:val="tx1"/>
            </w14:solidFill>
          </w14:textFill>
        </w:rPr>
        <w:t>中山大学口腔医学研究所位于越秀区中山二路74号，共7层，总建筑面积约2076平方米，建筑高度约26.5米，最大单跨24米。</w:t>
      </w:r>
    </w:p>
    <w:p w14:paraId="373C4F98">
      <w:pPr>
        <w:spacing w:line="360" w:lineRule="auto"/>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五、标段划分及各标段招标内容、规模和最高投标限价：</w:t>
      </w:r>
    </w:p>
    <w:p w14:paraId="315DDADE">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1、本工程划分为1个标段。</w:t>
      </w:r>
    </w:p>
    <w:p w14:paraId="0D0BE24C">
      <w:pPr>
        <w:spacing w:line="360" w:lineRule="auto"/>
        <w:ind w:firstLine="480" w:firstLineChars="200"/>
        <w:rPr>
          <w:rFonts w:hint="eastAsia"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2、招标内容、规模：</w:t>
      </w:r>
      <w:r>
        <w:rPr>
          <w:rFonts w:hint="eastAsia" w:ascii="宋体" w:hAnsi="宋体"/>
          <w:color w:val="000000" w:themeColor="text1"/>
          <w:sz w:val="24"/>
          <w:szCs w:val="24"/>
          <w:highlight w:val="none"/>
          <w:u w:val="single"/>
          <w14:textFill>
            <w14:solidFill>
              <w14:schemeClr w14:val="tx1"/>
            </w14:solidFill>
          </w14:textFill>
        </w:rPr>
        <w:t>对研究所一层至七层实验室进行整体升级改造，具体改造内容包括根据调整后的平面布局拆除并砌筑内墙、更换内门窗、重新装修天地墙、细胞间按洁净用房标准进行装修及配套安装洁净系统、改造强弱电管线、给排水、通风空调、消防管网及末端设施设备，建筑外立面修复</w:t>
      </w:r>
      <w:r>
        <w:rPr>
          <w:rFonts w:hint="eastAsia" w:ascii="宋体" w:hAnsi="宋体"/>
          <w:color w:val="000000" w:themeColor="text1"/>
          <w:sz w:val="24"/>
          <w:szCs w:val="24"/>
          <w:highlight w:val="none"/>
          <w:u w:val="single"/>
          <w:lang w:eastAsia="zh-CN"/>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复原）及对本项目进行装饰深化设计</w:t>
      </w:r>
      <w:r>
        <w:rPr>
          <w:rFonts w:hint="eastAsia" w:ascii="宋体" w:hAnsi="宋体"/>
          <w:color w:val="000000" w:themeColor="text1"/>
          <w:sz w:val="24"/>
          <w:szCs w:val="24"/>
          <w:highlight w:val="none"/>
          <w:u w:val="single"/>
          <w14:textFill>
            <w14:solidFill>
              <w14:schemeClr w14:val="tx1"/>
            </w14:solidFill>
          </w14:textFill>
        </w:rPr>
        <w:t>等内容。</w:t>
      </w:r>
    </w:p>
    <w:p w14:paraId="55BCB3AF">
      <w:pPr>
        <w:spacing w:line="360" w:lineRule="auto"/>
        <w:ind w:firstLine="480" w:firstLineChars="200"/>
        <w:rPr>
          <w:color w:val="000000" w:themeColor="text1"/>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3、最高投标限价：</w:t>
      </w:r>
      <w:r>
        <w:rPr>
          <w:rFonts w:hint="eastAsia" w:ascii="宋体" w:hAnsi="宋体"/>
          <w:color w:val="000000" w:themeColor="text1"/>
          <w:sz w:val="24"/>
          <w:szCs w:val="24"/>
          <w:highlight w:val="none"/>
          <w:u w:val="single"/>
          <w14:textFill>
            <w14:solidFill>
              <w14:schemeClr w14:val="tx1"/>
            </w14:solidFill>
          </w14:textFill>
        </w:rPr>
        <w:t>¥</w:t>
      </w:r>
      <w:bookmarkStart w:id="2" w:name="_GoBack"/>
      <w:r>
        <w:rPr>
          <w:rFonts w:hint="eastAsia" w:ascii="宋体" w:hAnsi="宋体"/>
          <w:color w:val="000000" w:themeColor="text1"/>
          <w:sz w:val="24"/>
          <w:szCs w:val="24"/>
          <w:highlight w:val="none"/>
          <w:u w:val="single"/>
          <w:lang w:val="en-US" w:eastAsia="zh-CN"/>
          <w14:textFill>
            <w14:solidFill>
              <w14:schemeClr w14:val="tx1"/>
            </w14:solidFill>
          </w14:textFill>
        </w:rPr>
        <w:t>11,090,170.62</w:t>
      </w:r>
      <w:bookmarkEnd w:id="2"/>
      <w:r>
        <w:rPr>
          <w:rFonts w:hint="eastAsia" w:ascii="宋体" w:hAnsi="宋体"/>
          <w:color w:val="000000" w:themeColor="text1"/>
          <w:sz w:val="24"/>
          <w:szCs w:val="24"/>
          <w:highlight w:val="none"/>
          <w:u w:val="single"/>
          <w14:textFill>
            <w14:solidFill>
              <w14:schemeClr w14:val="tx1"/>
            </w14:solidFill>
          </w14:textFill>
        </w:rPr>
        <w:t>元</w:t>
      </w:r>
    </w:p>
    <w:p w14:paraId="618304E8">
      <w:pPr>
        <w:spacing w:line="360" w:lineRule="auto"/>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六、资金来源：</w:t>
      </w:r>
      <w:r>
        <w:rPr>
          <w:rFonts w:hint="eastAsia" w:ascii="宋体" w:hAnsi="宋体"/>
          <w:color w:val="000000" w:themeColor="text1"/>
          <w:sz w:val="24"/>
          <w:szCs w:val="24"/>
          <w:highlight w:val="none"/>
          <w:u w:val="single"/>
          <w14:textFill>
            <w14:solidFill>
              <w14:schemeClr w14:val="tx1"/>
            </w14:solidFill>
          </w14:textFill>
        </w:rPr>
        <w:t>财政</w:t>
      </w:r>
      <w:r>
        <w:rPr>
          <w:rFonts w:hint="eastAsia" w:ascii="宋体" w:hAnsi="宋体"/>
          <w:color w:val="000000" w:themeColor="text1"/>
          <w:sz w:val="24"/>
          <w:szCs w:val="24"/>
          <w:highlight w:val="none"/>
          <w:u w:val="single"/>
          <w:lang w:val="en-US" w:eastAsia="zh-CN"/>
          <w14:textFill>
            <w14:solidFill>
              <w14:schemeClr w14:val="tx1"/>
            </w14:solidFill>
          </w14:textFill>
        </w:rPr>
        <w:t>性</w:t>
      </w:r>
      <w:r>
        <w:rPr>
          <w:rFonts w:hint="eastAsia" w:ascii="宋体" w:hAnsi="宋体"/>
          <w:color w:val="000000" w:themeColor="text1"/>
          <w:sz w:val="24"/>
          <w:szCs w:val="24"/>
          <w:highlight w:val="none"/>
          <w:u w:val="single"/>
          <w14:textFill>
            <w14:solidFill>
              <w14:schemeClr w14:val="tx1"/>
            </w14:solidFill>
          </w14:textFill>
        </w:rPr>
        <w:t>资金。</w:t>
      </w:r>
    </w:p>
    <w:p w14:paraId="0CE35D00">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注：政府投资项目一律不得以建筑业企业带资承包的方式进行建设。</w:t>
      </w:r>
    </w:p>
    <w:p w14:paraId="404C4728">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w:t>
      </w:r>
      <w:r>
        <w:rPr>
          <w:rFonts w:hint="eastAsia" w:ascii="宋体" w:hAnsi="宋体"/>
          <w:color w:val="000000" w:themeColor="text1"/>
          <w:sz w:val="24"/>
          <w:highlight w:val="none"/>
          <w14:textFill>
            <w14:solidFill>
              <w14:schemeClr w14:val="tx1"/>
            </w14:solidFill>
          </w14:textFill>
        </w:rPr>
        <w:t>公告发布日期、</w:t>
      </w:r>
      <w:r>
        <w:rPr>
          <w:rFonts w:hint="eastAsia" w:ascii="宋体" w:hAnsi="宋体" w:cs="宋体"/>
          <w:color w:val="000000" w:themeColor="text1"/>
          <w:sz w:val="24"/>
          <w:szCs w:val="24"/>
          <w:highlight w:val="none"/>
          <w14:textFill>
            <w14:solidFill>
              <w14:schemeClr w14:val="tx1"/>
            </w14:solidFill>
          </w14:textFill>
        </w:rPr>
        <w:t>递交投标文件时间与开标时间：</w:t>
      </w:r>
    </w:p>
    <w:p w14:paraId="666F12B4">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公告发布日期（含本日）：</w:t>
      </w:r>
      <w:r>
        <w:rPr>
          <w:rFonts w:hint="eastAsia" w:ascii="宋体" w:hAnsi="宋体"/>
          <w:color w:val="000000" w:themeColor="text1"/>
          <w:sz w:val="24"/>
          <w:highlight w:val="none"/>
          <w:u w:val="single"/>
          <w14:textFill>
            <w14:solidFill>
              <w14:schemeClr w14:val="tx1"/>
            </w14:solidFill>
          </w14:textFill>
        </w:rPr>
        <w:t>2025</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日至</w:t>
      </w:r>
      <w:r>
        <w:rPr>
          <w:rFonts w:hint="eastAsia" w:ascii="宋体" w:hAnsi="宋体"/>
          <w:color w:val="000000" w:themeColor="text1"/>
          <w:sz w:val="24"/>
          <w:highlight w:val="none"/>
          <w:u w:val="single"/>
          <w14:textFill>
            <w14:solidFill>
              <w14:schemeClr w14:val="tx1"/>
            </w14:solidFill>
          </w14:textFill>
        </w:rPr>
        <w:t>202</w:t>
      </w:r>
      <w:r>
        <w:rPr>
          <w:rFonts w:hint="eastAsia" w:ascii="宋体" w:hAnsi="宋体"/>
          <w:color w:val="000000" w:themeColor="text1"/>
          <w:sz w:val="24"/>
          <w:highlight w:val="none"/>
          <w:u w:val="single"/>
          <w:lang w:val="en-US" w:eastAsia="zh-CN"/>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6762F3B7">
      <w:pPr>
        <w:snapToGrid w:val="0"/>
        <w:spacing w:line="360" w:lineRule="auto"/>
        <w:ind w:firstLine="480" w:firstLineChars="200"/>
        <w:rPr>
          <w:rFonts w:ascii="宋体" w:cs="宋体"/>
          <w:color w:val="000000" w:themeColor="text1"/>
          <w:kern w:val="0"/>
          <w:sz w:val="24"/>
          <w:szCs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凡有意参加投标者，请登录</w:t>
      </w:r>
      <w:r>
        <w:rPr>
          <w:rFonts w:hint="eastAsia"/>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hAnsi="宋体"/>
          <w:color w:val="000000" w:themeColor="text1"/>
          <w:sz w:val="24"/>
          <w:highlight w:val="none"/>
          <w14:textFill>
            <w14:solidFill>
              <w14:schemeClr w14:val="tx1"/>
            </w14:solidFill>
          </w14:textFill>
        </w:rPr>
        <w:t>网站下载电子招标文件。</w:t>
      </w:r>
    </w:p>
    <w:p w14:paraId="391519E9">
      <w:pPr>
        <w:spacing w:line="360" w:lineRule="auto"/>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注：发布</w:t>
      </w:r>
      <w:r>
        <w:rPr>
          <w:rFonts w:hint="eastAsia" w:ascii="宋体" w:hAnsi="宋体"/>
          <w:color w:val="000000" w:themeColor="text1"/>
          <w:sz w:val="24"/>
          <w:highlight w:val="none"/>
          <w14:textFill>
            <w14:solidFill>
              <w14:schemeClr w14:val="tx1"/>
            </w14:solidFill>
          </w14:textFill>
        </w:rPr>
        <w:t>招标</w:t>
      </w:r>
      <w:r>
        <w:rPr>
          <w:rFonts w:hint="eastAsia" w:ascii="宋体" w:hAnsi="宋体" w:cs="宋体"/>
          <w:color w:val="000000" w:themeColor="text1"/>
          <w:kern w:val="0"/>
          <w:sz w:val="24"/>
          <w:szCs w:val="24"/>
          <w:highlight w:val="none"/>
          <w14:textFill>
            <w14:solidFill>
              <w14:schemeClr w14:val="tx1"/>
            </w14:solidFill>
          </w14:textFill>
        </w:rPr>
        <w:t>公告的时间为招标公告发出之日起至投标截止时间止。</w:t>
      </w:r>
    </w:p>
    <w:p w14:paraId="1E34D847">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2、递交投标文件起始时间：</w:t>
      </w:r>
      <w:r>
        <w:rPr>
          <w:rFonts w:hint="eastAsia" w:ascii="宋体" w:hAnsi="宋体"/>
          <w:color w:val="000000" w:themeColor="text1"/>
          <w:sz w:val="24"/>
          <w:szCs w:val="24"/>
          <w:highlight w:val="none"/>
          <w:u w:val="single"/>
          <w14:textFill>
            <w14:solidFill>
              <w14:schemeClr w14:val="tx1"/>
            </w14:solidFill>
          </w14:textFill>
        </w:rPr>
        <w:t>2025</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日</w:t>
      </w:r>
      <w:r>
        <w:rPr>
          <w:rFonts w:hint="eastAsia" w:ascii="宋体" w:hAnsi="宋体"/>
          <w:color w:val="000000" w:themeColor="text1"/>
          <w:sz w:val="24"/>
          <w:szCs w:val="24"/>
          <w:highlight w:val="none"/>
          <w:u w:val="single"/>
          <w14:textFill>
            <w14:solidFill>
              <w14:schemeClr w14:val="tx1"/>
            </w14:solidFill>
          </w14:textFill>
        </w:rPr>
        <w:t>00</w:t>
      </w:r>
      <w:r>
        <w:rPr>
          <w:rFonts w:hint="eastAsia" w:ascii="宋体" w:hAnsi="宋体"/>
          <w:color w:val="000000" w:themeColor="text1"/>
          <w:sz w:val="24"/>
          <w:szCs w:val="24"/>
          <w:highlight w:val="none"/>
          <w14:textFill>
            <w14:solidFill>
              <w14:schemeClr w14:val="tx1"/>
            </w14:solidFill>
          </w14:textFill>
        </w:rPr>
        <w:t>时</w:t>
      </w:r>
      <w:r>
        <w:rPr>
          <w:rFonts w:hint="eastAsia" w:ascii="宋体" w:hAnsi="宋体"/>
          <w:color w:val="000000" w:themeColor="text1"/>
          <w:sz w:val="24"/>
          <w:szCs w:val="24"/>
          <w:highlight w:val="none"/>
          <w:u w:val="single"/>
          <w14:textFill>
            <w14:solidFill>
              <w14:schemeClr w14:val="tx1"/>
            </w14:solidFill>
          </w14:textFill>
        </w:rPr>
        <w:t>00</w:t>
      </w:r>
      <w:r>
        <w:rPr>
          <w:rFonts w:hint="eastAsia" w:ascii="宋体" w:hAnsi="宋体"/>
          <w:color w:val="000000" w:themeColor="text1"/>
          <w:sz w:val="24"/>
          <w:szCs w:val="24"/>
          <w:highlight w:val="none"/>
          <w14:textFill>
            <w14:solidFill>
              <w14:schemeClr w14:val="tx1"/>
            </w14:solidFill>
          </w14:textFill>
        </w:rPr>
        <w:t>分</w:t>
      </w:r>
      <w:r>
        <w:rPr>
          <w:rFonts w:hint="eastAsia" w:ascii="宋体" w:hAnsi="宋体" w:cs="宋体"/>
          <w:color w:val="000000" w:themeColor="text1"/>
          <w:sz w:val="24"/>
          <w:szCs w:val="24"/>
          <w:highlight w:val="none"/>
          <w14:textFill>
            <w14:solidFill>
              <w14:schemeClr w14:val="tx1"/>
            </w14:solidFill>
          </w14:textFill>
        </w:rPr>
        <w:t>；</w:t>
      </w:r>
    </w:p>
    <w:p w14:paraId="663A862C">
      <w:pPr>
        <w:snapToGrid w:val="0"/>
        <w:spacing w:line="360" w:lineRule="auto"/>
        <w:ind w:left="435" w:firstLine="1884" w:firstLineChars="78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截止时间：</w:t>
      </w:r>
      <w:r>
        <w:rPr>
          <w:rFonts w:hint="eastAsia" w:ascii="宋体" w:hAnsi="宋体"/>
          <w:color w:val="000000" w:themeColor="text1"/>
          <w:sz w:val="24"/>
          <w:highlight w:val="none"/>
          <w:u w:val="single"/>
          <w14:textFill>
            <w14:solidFill>
              <w14:schemeClr w14:val="tx1"/>
            </w14:solidFill>
          </w14:textFill>
        </w:rPr>
        <w:t>202</w:t>
      </w:r>
      <w:r>
        <w:rPr>
          <w:rFonts w:hint="eastAsia" w:ascii="宋体" w:hAnsi="宋体"/>
          <w:color w:val="000000" w:themeColor="text1"/>
          <w:sz w:val="24"/>
          <w:highlight w:val="none"/>
          <w:u w:val="single"/>
          <w:lang w:val="en-US" w:eastAsia="zh-CN"/>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时</w:t>
      </w:r>
      <w:r>
        <w:rPr>
          <w:rFonts w:hint="eastAsia" w:ascii="宋体" w:hAnsi="宋体"/>
          <w:color w:val="000000" w:themeColor="text1"/>
          <w:sz w:val="24"/>
          <w:szCs w:val="24"/>
          <w:highlight w:val="none"/>
          <w:u w:val="single"/>
          <w14:textFill>
            <w14:solidFill>
              <w14:schemeClr w14:val="tx1"/>
            </w14:solidFill>
          </w14:textFill>
        </w:rPr>
        <w:t>00</w:t>
      </w:r>
      <w:r>
        <w:rPr>
          <w:rFonts w:hint="eastAsia" w:ascii="宋体" w:hAnsi="宋体"/>
          <w:color w:val="000000" w:themeColor="text1"/>
          <w:sz w:val="24"/>
          <w:szCs w:val="24"/>
          <w:highlight w:val="none"/>
          <w14:textFill>
            <w14:solidFill>
              <w14:schemeClr w14:val="tx1"/>
            </w14:solidFill>
          </w14:textFill>
        </w:rPr>
        <w:t>分</w:t>
      </w:r>
      <w:r>
        <w:rPr>
          <w:rFonts w:hint="eastAsia" w:ascii="宋体" w:hAnsi="宋体" w:cs="宋体"/>
          <w:color w:val="000000" w:themeColor="text1"/>
          <w:sz w:val="24"/>
          <w:szCs w:val="24"/>
          <w:highlight w:val="none"/>
          <w14:textFill>
            <w14:solidFill>
              <w14:schemeClr w14:val="tx1"/>
            </w14:solidFill>
          </w14:textFill>
        </w:rPr>
        <w:t>。</w:t>
      </w:r>
    </w:p>
    <w:p w14:paraId="25EEB505">
      <w:pPr>
        <w:spacing w:line="360" w:lineRule="auto"/>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3、开标开始时间：</w:t>
      </w:r>
      <w:r>
        <w:rPr>
          <w:rFonts w:hint="eastAsia" w:ascii="宋体" w:hAnsi="宋体"/>
          <w:color w:val="000000" w:themeColor="text1"/>
          <w:sz w:val="24"/>
          <w:highlight w:val="none"/>
          <w:u w:val="single"/>
          <w14:textFill>
            <w14:solidFill>
              <w14:schemeClr w14:val="tx1"/>
            </w14:solidFill>
          </w14:textFill>
        </w:rPr>
        <w:t>202</w:t>
      </w:r>
      <w:r>
        <w:rPr>
          <w:rFonts w:hint="eastAsia" w:ascii="宋体" w:hAnsi="宋体"/>
          <w:color w:val="000000" w:themeColor="text1"/>
          <w:sz w:val="24"/>
          <w:highlight w:val="none"/>
          <w:u w:val="single"/>
          <w:lang w:val="en-US" w:eastAsia="zh-CN"/>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时</w:t>
      </w:r>
      <w:r>
        <w:rPr>
          <w:rFonts w:hint="eastAsia" w:ascii="宋体" w:hAnsi="宋体"/>
          <w:color w:val="000000" w:themeColor="text1"/>
          <w:sz w:val="24"/>
          <w:szCs w:val="24"/>
          <w:highlight w:val="none"/>
          <w:u w:val="single"/>
          <w14:textFill>
            <w14:solidFill>
              <w14:schemeClr w14:val="tx1"/>
            </w14:solidFill>
          </w14:textFill>
        </w:rPr>
        <w:t>00</w:t>
      </w:r>
      <w:r>
        <w:rPr>
          <w:rFonts w:hint="eastAsia" w:ascii="宋体" w:hAnsi="宋体"/>
          <w:color w:val="000000" w:themeColor="text1"/>
          <w:sz w:val="24"/>
          <w:szCs w:val="24"/>
          <w:highlight w:val="none"/>
          <w14:textFill>
            <w14:solidFill>
              <w14:schemeClr w14:val="tx1"/>
            </w14:solidFill>
          </w14:textFill>
        </w:rPr>
        <w:t>分</w:t>
      </w:r>
      <w:r>
        <w:rPr>
          <w:rFonts w:hint="eastAsia" w:ascii="宋体" w:hAnsi="宋体" w:cs="宋体"/>
          <w:color w:val="000000" w:themeColor="text1"/>
          <w:sz w:val="24"/>
          <w:szCs w:val="24"/>
          <w:highlight w:val="none"/>
          <w14:textFill>
            <w14:solidFill>
              <w14:schemeClr w14:val="tx1"/>
            </w14:solidFill>
          </w14:textFill>
        </w:rPr>
        <w:t>。</w:t>
      </w:r>
    </w:p>
    <w:p w14:paraId="136FB969">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4、递交投标文件截止时间与开标时间是否有变化，请密切留意招标答疑中的相关信息。递交投标文件截止时间后，开标时间因故推迟的，相关评标信息仍以原递交投标文件截止时间的信息为准。</w:t>
      </w:r>
    </w:p>
    <w:p w14:paraId="3ACAA46C">
      <w:pPr>
        <w:spacing w:line="360" w:lineRule="auto"/>
        <w:ind w:firstLine="480" w:firstLineChars="200"/>
        <w:rPr>
          <w:rFonts w:hint="eastAsia" w:ascii="宋体" w:hAnsi="宋体" w:cs="仿宋_GB2312"/>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bCs/>
          <w:color w:val="000000" w:themeColor="text1"/>
          <w:sz w:val="24"/>
          <w:highlight w:val="none"/>
          <w14:textFill>
            <w14:solidFill>
              <w14:schemeClr w14:val="tx1"/>
            </w14:solidFill>
          </w14:textFill>
        </w:rPr>
        <w:t>投标人通过</w:t>
      </w:r>
      <w:r>
        <w:rPr>
          <w:rFonts w:hint="eastAsia"/>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hAnsi="宋体"/>
          <w:color w:val="000000" w:themeColor="text1"/>
          <w:sz w:val="24"/>
          <w:highlight w:val="none"/>
          <w14:textFill>
            <w14:solidFill>
              <w14:schemeClr w14:val="tx1"/>
            </w14:solidFill>
          </w14:textFill>
        </w:rPr>
        <w:t>递交电子投标文件。</w:t>
      </w:r>
      <w:r>
        <w:rPr>
          <w:rFonts w:hint="eastAsia" w:ascii="宋体" w:hAnsi="宋体" w:cs="仿宋_GB2312"/>
          <w:color w:val="000000" w:themeColor="text1"/>
          <w:sz w:val="24"/>
          <w:szCs w:val="24"/>
          <w:highlight w:val="none"/>
          <w14:textFill>
            <w14:solidFill>
              <w14:schemeClr w14:val="tx1"/>
            </w14:solidFill>
          </w14:textFill>
        </w:rPr>
        <w:t>投标人应在递交投标文件截止时间前，登录</w:t>
      </w:r>
      <w:r>
        <w:rPr>
          <w:rFonts w:hint="eastAsia"/>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hAnsi="宋体" w:cs="仿宋_GB2312"/>
          <w:color w:val="000000" w:themeColor="text1"/>
          <w:sz w:val="24"/>
          <w:szCs w:val="24"/>
          <w:highlight w:val="none"/>
          <w14:textFill>
            <w14:solidFill>
              <w14:schemeClr w14:val="tx1"/>
            </w14:solidFill>
          </w14:textFill>
        </w:rPr>
        <w:t>网站办理网上投标登记手续。按照交易平台关于全流程电子化项目的相关指南进行操作。详见：广州交易集团有限公司（广州公共资源交易中心）网站http://www.gzggzy.cn）《房屋建筑和市政基础设施工程全流程电子化项目专章》。</w:t>
      </w:r>
    </w:p>
    <w:p w14:paraId="74CFA6CF">
      <w:pPr>
        <w:spacing w:line="360" w:lineRule="auto"/>
        <w:ind w:firstLine="480" w:firstLineChars="200"/>
        <w:rPr>
          <w:rFonts w:hint="eastAsia" w:ascii="宋体" w:hAnsi="宋体"/>
          <w:color w:val="000000" w:themeColor="text1"/>
          <w:sz w:val="24"/>
          <w:szCs w:val="24"/>
          <w:highlight w:val="none"/>
          <w:u w:val="single"/>
          <w14:textFill>
            <w14:solidFill>
              <w14:schemeClr w14:val="tx1"/>
            </w14:solidFill>
          </w14:textFill>
        </w:rPr>
      </w:pPr>
      <w:r>
        <w:rPr>
          <w:rFonts w:hint="eastAsia" w:ascii="宋体" w:hAnsi="宋体" w:cs="仿宋_GB2312"/>
          <w:color w:val="000000" w:themeColor="text1"/>
          <w:sz w:val="24"/>
          <w:szCs w:val="24"/>
          <w:highlight w:val="none"/>
          <w14:textFill>
            <w14:solidFill>
              <w14:schemeClr w14:val="tx1"/>
            </w14:solidFill>
          </w14:textFill>
        </w:rPr>
        <w:t>6、在投标登记时，投标人应按要求在交易系统中填写《施工项目管理团队人员信息表》（详见附件二），表中的项目管理团队人员信息作为投标文件的一部分，将由交易系统提取后供各相关单位在中标人履约时进行比对、查核。</w:t>
      </w:r>
    </w:p>
    <w:p w14:paraId="4E46D829">
      <w:pPr>
        <w:spacing w:line="360" w:lineRule="auto"/>
        <w:ind w:firstLine="480" w:firstLineChars="200"/>
        <w:rPr>
          <w:rFonts w:asci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八、招标文件获取方式：</w:t>
      </w:r>
    </w:p>
    <w:p w14:paraId="068697CC">
      <w:pPr>
        <w:spacing w:line="360" w:lineRule="auto"/>
        <w:ind w:firstLine="480" w:firstLineChars="200"/>
        <w:rPr>
          <w:rFonts w:asci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本项目招标文件随招标公告一并在</w:t>
      </w:r>
      <w:r>
        <w:rPr>
          <w:rFonts w:hint="eastAsia" w:ascii="宋体" w:hAnsi="宋体" w:cs="宋体"/>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hAnsi="宋体"/>
          <w:color w:val="000000" w:themeColor="text1"/>
          <w:sz w:val="24"/>
          <w:highlight w:val="none"/>
          <w14:textFill>
            <w14:solidFill>
              <w14:schemeClr w14:val="tx1"/>
            </w14:solidFill>
          </w14:textFill>
        </w:rPr>
        <w:t>网站发布。招标文件</w:t>
      </w:r>
      <w:r>
        <w:rPr>
          <w:rFonts w:hint="eastAsia" w:ascii="宋体" w:hAnsi="宋体" w:cs="宋体"/>
          <w:color w:val="000000" w:themeColor="text1"/>
          <w:kern w:val="0"/>
          <w:sz w:val="24"/>
          <w:szCs w:val="24"/>
          <w:highlight w:val="none"/>
          <w14:textFill>
            <w14:solidFill>
              <w14:schemeClr w14:val="tx1"/>
            </w14:solidFill>
          </w14:textFill>
        </w:rPr>
        <w:t>一经在</w:t>
      </w:r>
      <w:r>
        <w:rPr>
          <w:rFonts w:hint="eastAsia" w:ascii="宋体" w:hAnsi="宋体" w:cs="宋体"/>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hAnsi="宋体" w:cs="宋体"/>
          <w:color w:val="000000" w:themeColor="text1"/>
          <w:kern w:val="0"/>
          <w:sz w:val="24"/>
          <w:szCs w:val="24"/>
          <w:highlight w:val="none"/>
          <w14:textFill>
            <w14:solidFill>
              <w14:schemeClr w14:val="tx1"/>
            </w14:solidFill>
          </w14:textFill>
        </w:rPr>
        <w:t>发布，视为发售给投标人，招标文件由投标人自行在</w:t>
      </w:r>
      <w:r>
        <w:rPr>
          <w:rFonts w:hint="eastAsia" w:ascii="宋体" w:hAnsi="宋体" w:cs="宋体"/>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hAnsi="宋体" w:cs="宋体"/>
          <w:color w:val="000000" w:themeColor="text1"/>
          <w:kern w:val="0"/>
          <w:sz w:val="24"/>
          <w:szCs w:val="24"/>
          <w:highlight w:val="none"/>
          <w14:textFill>
            <w14:solidFill>
              <w14:schemeClr w14:val="tx1"/>
            </w14:solidFill>
          </w14:textFill>
        </w:rPr>
        <w:t>网站下载。</w:t>
      </w:r>
    </w:p>
    <w:p w14:paraId="663C6D67">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九、投标人合格条件：</w:t>
      </w:r>
    </w:p>
    <w:p w14:paraId="360F42FE">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、投标人参加投标的意思表达清楚，投标人代表被授权有效。</w:t>
      </w:r>
    </w:p>
    <w:p w14:paraId="3E9CCC85">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2、投标人</w:t>
      </w:r>
      <w:r>
        <w:rPr>
          <w:rFonts w:hint="eastAsia" w:ascii="宋体" w:hAnsi="宋体"/>
          <w:bCs/>
          <w:color w:val="000000" w:themeColor="text1"/>
          <w:sz w:val="24"/>
          <w:szCs w:val="24"/>
          <w:highlight w:val="none"/>
          <w:u w:val="single"/>
          <w14:textFill>
            <w14:solidFill>
              <w14:schemeClr w14:val="tx1"/>
            </w14:solidFill>
          </w14:textFill>
        </w:rPr>
        <w:t>（或联合体各成员）</w:t>
      </w:r>
      <w:r>
        <w:rPr>
          <w:rFonts w:hint="eastAsia" w:ascii="宋体" w:hAnsi="宋体"/>
          <w:color w:val="000000" w:themeColor="text1"/>
          <w:sz w:val="24"/>
          <w:highlight w:val="none"/>
          <w14:textFill>
            <w14:solidFill>
              <w14:schemeClr w14:val="tx1"/>
            </w14:solidFill>
          </w14:textFill>
        </w:rPr>
        <w:t>均具有独立法人资格，按国家法律经营。</w:t>
      </w:r>
    </w:p>
    <w:p w14:paraId="78CE4959">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3、投标人</w:t>
      </w:r>
      <w:r>
        <w:rPr>
          <w:rFonts w:hint="eastAsia" w:ascii="宋体" w:hAnsi="宋体"/>
          <w:bCs/>
          <w:color w:val="000000" w:themeColor="text1"/>
          <w:sz w:val="24"/>
          <w:szCs w:val="24"/>
          <w:highlight w:val="none"/>
          <w:u w:val="single"/>
          <w14:textFill>
            <w14:solidFill>
              <w14:schemeClr w14:val="tx1"/>
            </w14:solidFill>
          </w14:textFill>
        </w:rPr>
        <w:t>（或联合体各成员）</w:t>
      </w:r>
      <w:r>
        <w:rPr>
          <w:rFonts w:hint="eastAsia" w:ascii="宋体" w:hAnsi="宋体"/>
          <w:color w:val="000000" w:themeColor="text1"/>
          <w:sz w:val="24"/>
          <w:highlight w:val="none"/>
          <w14:textFill>
            <w14:solidFill>
              <w14:schemeClr w14:val="tx1"/>
            </w14:solidFill>
          </w14:textFill>
        </w:rPr>
        <w:t>均持有建设行政主管部门颁发的</w:t>
      </w:r>
      <w:r>
        <w:rPr>
          <w:rFonts w:hint="eastAsia" w:ascii="宋体" w:hAnsi="宋体" w:cs="宋体"/>
          <w:color w:val="000000" w:themeColor="text1"/>
          <w:sz w:val="24"/>
          <w:highlight w:val="none"/>
          <w14:textFill>
            <w14:solidFill>
              <w14:schemeClr w14:val="tx1"/>
            </w14:solidFill>
          </w14:textFill>
        </w:rPr>
        <w:t>有效期内的</w:t>
      </w:r>
      <w:r>
        <w:rPr>
          <w:rFonts w:hint="eastAsia" w:ascii="宋体" w:hAnsi="宋体"/>
          <w:color w:val="000000" w:themeColor="text1"/>
          <w:sz w:val="24"/>
          <w:highlight w:val="none"/>
          <w14:textFill>
            <w14:solidFill>
              <w14:schemeClr w14:val="tx1"/>
            </w14:solidFill>
          </w14:textFill>
        </w:rPr>
        <w:t>企业资质证书及安全生产许可证；</w:t>
      </w:r>
    </w:p>
    <w:p w14:paraId="644436EA">
      <w:pPr>
        <w:spacing w:line="360" w:lineRule="auto"/>
        <w:ind w:firstLine="537" w:firstLineChars="224"/>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4、投标人</w:t>
      </w:r>
      <w:r>
        <w:rPr>
          <w:rFonts w:hint="eastAsia" w:ascii="宋体" w:hAnsi="宋体"/>
          <w:bCs/>
          <w:color w:val="000000" w:themeColor="text1"/>
          <w:sz w:val="24"/>
          <w:szCs w:val="24"/>
          <w:highlight w:val="none"/>
          <w:u w:val="single"/>
          <w14:textFill>
            <w14:solidFill>
              <w14:schemeClr w14:val="tx1"/>
            </w14:solidFill>
          </w14:textFill>
        </w:rPr>
        <w:t>（或联合体各成员）</w:t>
      </w:r>
      <w:r>
        <w:rPr>
          <w:rFonts w:hint="eastAsia" w:ascii="宋体" w:hAnsi="宋体"/>
          <w:color w:val="000000" w:themeColor="text1"/>
          <w:sz w:val="24"/>
          <w:highlight w:val="none"/>
          <w14:textFill>
            <w14:solidFill>
              <w14:schemeClr w14:val="tx1"/>
            </w14:solidFill>
          </w14:textFill>
        </w:rPr>
        <w:t>须具有承接本工程所需的</w:t>
      </w:r>
      <w:r>
        <w:rPr>
          <w:rFonts w:hint="eastAsia" w:ascii="宋体" w:hAnsi="宋体"/>
          <w:color w:val="000000" w:themeColor="text1"/>
          <w:sz w:val="24"/>
          <w:highlight w:val="none"/>
          <w:u w:val="single"/>
          <w14:textFill>
            <w14:solidFill>
              <w14:schemeClr w14:val="tx1"/>
            </w14:solidFill>
          </w14:textFill>
        </w:rPr>
        <w:t>建筑工程施工总承包三级（或以上）</w:t>
      </w:r>
      <w:r>
        <w:rPr>
          <w:rFonts w:hint="eastAsia" w:ascii="宋体" w:hAnsi="宋体"/>
          <w:color w:val="000000" w:themeColor="text1"/>
          <w:sz w:val="24"/>
          <w:highlight w:val="none"/>
          <w14:textFill>
            <w14:solidFill>
              <w14:schemeClr w14:val="tx1"/>
            </w14:solidFill>
          </w14:textFill>
        </w:rPr>
        <w:t>资质。</w:t>
      </w:r>
    </w:p>
    <w:p w14:paraId="6FC6330D">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w:t>
      </w:r>
      <w:r>
        <w:rPr>
          <w:rFonts w:hint="eastAsia" w:ascii="宋体" w:hAnsi="宋体" w:cs="宋体"/>
          <w:color w:val="000000" w:themeColor="text1"/>
          <w:spacing w:val="-1"/>
          <w:sz w:val="24"/>
          <w:szCs w:val="24"/>
          <w:highlight w:val="none"/>
          <w:u w:val="single"/>
          <w14:textFill>
            <w14:solidFill>
              <w14:schemeClr w14:val="tx1"/>
            </w14:solidFill>
          </w14:textFill>
        </w:rPr>
        <w:t>（或联合体主办方）</w:t>
      </w:r>
      <w:r>
        <w:rPr>
          <w:rFonts w:hint="eastAsia" w:ascii="宋体" w:hAnsi="宋体"/>
          <w:color w:val="000000" w:themeColor="text1"/>
          <w:sz w:val="24"/>
          <w:highlight w:val="none"/>
          <w14:textFill>
            <w14:solidFill>
              <w14:schemeClr w14:val="tx1"/>
            </w14:solidFill>
          </w14:textFill>
        </w:rPr>
        <w:t>拟担任本工程项目负责人的人员为：</w:t>
      </w:r>
      <w:r>
        <w:rPr>
          <w:rFonts w:hint="eastAsia" w:ascii="宋体" w:hAnsi="宋体"/>
          <w:color w:val="000000" w:themeColor="text1"/>
          <w:sz w:val="24"/>
          <w:highlight w:val="none"/>
          <w:u w:val="single"/>
          <w14:textFill>
            <w14:solidFill>
              <w14:schemeClr w14:val="tx1"/>
            </w14:solidFill>
          </w14:textFill>
        </w:rPr>
        <w:t>建筑工程专业二级（或以上）注册建造师</w:t>
      </w:r>
      <w:r>
        <w:rPr>
          <w:rFonts w:hint="eastAsia" w:ascii="宋体" w:hAnsi="宋体"/>
          <w:color w:val="000000" w:themeColor="text1"/>
          <w:sz w:val="24"/>
          <w:highlight w:val="none"/>
          <w14:textFill>
            <w14:solidFill>
              <w14:schemeClr w14:val="tx1"/>
            </w14:solidFill>
          </w14:textFill>
        </w:rPr>
        <w:t>。</w:t>
      </w:r>
    </w:p>
    <w:p w14:paraId="1A7E9FE7">
      <w:pPr>
        <w:spacing w:line="360" w:lineRule="auto"/>
        <w:ind w:firstLine="448" w:firstLineChars="224"/>
        <w:rPr>
          <w:rFonts w:hint="eastAsia" w:ascii="宋体" w:hAnsi="宋体" w:cs="宋体"/>
          <w:color w:val="000000" w:themeColor="text1"/>
          <w:sz w:val="20"/>
          <w:szCs w:val="18"/>
          <w:highlight w:val="none"/>
          <w14:textFill>
            <w14:solidFill>
              <w14:schemeClr w14:val="tx1"/>
            </w14:solidFill>
          </w14:textFill>
        </w:rPr>
      </w:pPr>
      <w:r>
        <w:rPr>
          <w:rFonts w:hint="eastAsia" w:ascii="宋体" w:hAnsi="宋体" w:cs="宋体"/>
          <w:color w:val="000000" w:themeColor="text1"/>
          <w:sz w:val="20"/>
          <w:szCs w:val="18"/>
          <w:highlight w:val="none"/>
          <w14:textFill>
            <w14:solidFill>
              <w14:schemeClr w14:val="tx1"/>
            </w14:solidFill>
          </w14:textFill>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676AF76B">
      <w:pPr>
        <w:spacing w:line="360" w:lineRule="auto"/>
        <w:ind w:firstLine="448" w:firstLineChars="224"/>
        <w:rPr>
          <w:rFonts w:hint="eastAsia" w:ascii="宋体" w:hAnsi="宋体" w:cs="宋体"/>
          <w:color w:val="000000" w:themeColor="text1"/>
          <w:sz w:val="20"/>
          <w:szCs w:val="18"/>
          <w:highlight w:val="none"/>
          <w14:textFill>
            <w14:solidFill>
              <w14:schemeClr w14:val="tx1"/>
            </w14:solidFill>
          </w14:textFill>
        </w:rPr>
      </w:pPr>
      <w:r>
        <w:rPr>
          <w:rFonts w:hint="eastAsia" w:ascii="宋体" w:hAnsi="宋体" w:cs="宋体"/>
          <w:color w:val="000000" w:themeColor="text1"/>
          <w:sz w:val="20"/>
          <w:szCs w:val="18"/>
          <w:highlight w:val="none"/>
          <w14:textFill>
            <w14:solidFill>
              <w14:schemeClr w14:val="tx1"/>
            </w14:solidFill>
          </w14:textFill>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建部做好企业资质证书换领和延续工作的通知》（建办市〔2023〕47号）、《广东省住房和城乡建设厅关于建设工程企业资质延续有关事项的通知》（粤建许函〔2023〕820号）等相关规定。根据上述文件的要求，投标人需办理企业资质有效期延续的，应当按照相关规定及时办理。</w:t>
      </w:r>
    </w:p>
    <w:p w14:paraId="6F83F1BE">
      <w:pPr>
        <w:spacing w:line="360" w:lineRule="auto"/>
        <w:ind w:firstLine="448" w:firstLineChars="224"/>
        <w:rPr>
          <w:rFonts w:hint="eastAsia" w:ascii="宋体" w:hAnsi="宋体" w:cs="宋体"/>
          <w:color w:val="000000" w:themeColor="text1"/>
          <w:sz w:val="20"/>
          <w:szCs w:val="18"/>
          <w:highlight w:val="none"/>
          <w14:textFill>
            <w14:solidFill>
              <w14:schemeClr w14:val="tx1"/>
            </w14:solidFill>
          </w14:textFill>
        </w:rPr>
      </w:pPr>
      <w:r>
        <w:rPr>
          <w:rFonts w:hint="eastAsia" w:ascii="宋体" w:hAnsi="宋体" w:cs="宋体"/>
          <w:color w:val="000000" w:themeColor="text1"/>
          <w:sz w:val="20"/>
          <w:szCs w:val="18"/>
          <w:highlight w:val="none"/>
          <w14:textFill>
            <w14:solidFill>
              <w14:schemeClr w14:val="tx1"/>
            </w14:solidFill>
          </w14:textFill>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78A7B914">
      <w:pPr>
        <w:spacing w:line="360" w:lineRule="auto"/>
        <w:ind w:firstLine="448" w:firstLineChars="224"/>
        <w:rPr>
          <w:rFonts w:hint="eastAsia" w:ascii="宋体" w:hAnsi="宋体" w:cs="宋体"/>
          <w:color w:val="000000" w:themeColor="text1"/>
          <w:sz w:val="20"/>
          <w:szCs w:val="18"/>
          <w:highlight w:val="none"/>
          <w14:textFill>
            <w14:solidFill>
              <w14:schemeClr w14:val="tx1"/>
            </w14:solidFill>
          </w14:textFill>
        </w:rPr>
      </w:pPr>
      <w:r>
        <w:rPr>
          <w:rFonts w:hint="eastAsia" w:ascii="宋体" w:hAnsi="宋体" w:cs="宋体"/>
          <w:color w:val="000000" w:themeColor="text1"/>
          <w:sz w:val="20"/>
          <w:szCs w:val="18"/>
          <w:highlight w:val="none"/>
          <w14:textFill>
            <w14:solidFill>
              <w14:schemeClr w14:val="tx1"/>
            </w14:solidFill>
          </w14:textFill>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72EB91EE">
      <w:pPr>
        <w:spacing w:line="360" w:lineRule="auto"/>
        <w:ind w:firstLine="448" w:firstLineChars="224"/>
        <w:rPr>
          <w:rFonts w:hint="eastAsia" w:ascii="宋体" w:hAnsi="宋体" w:cs="宋体"/>
          <w:color w:val="000000" w:themeColor="text1"/>
          <w:sz w:val="20"/>
          <w:szCs w:val="18"/>
          <w:highlight w:val="none"/>
          <w14:textFill>
            <w14:solidFill>
              <w14:schemeClr w14:val="tx1"/>
            </w14:solidFill>
          </w14:textFill>
        </w:rPr>
      </w:pPr>
      <w:r>
        <w:rPr>
          <w:rFonts w:hint="eastAsia" w:ascii="宋体" w:hAnsi="宋体" w:cs="宋体"/>
          <w:color w:val="000000" w:themeColor="text1"/>
          <w:sz w:val="20"/>
          <w:szCs w:val="18"/>
          <w:highlight w:val="none"/>
          <w14:textFill>
            <w14:solidFill>
              <w14:schemeClr w14:val="tx1"/>
            </w14:solidFill>
          </w14:textFill>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04B82C60">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5、项目负责人持有安全生产考核合格证（B类）或建筑施工企业项目负责人安全生产考核合格证书；</w:t>
      </w:r>
    </w:p>
    <w:p w14:paraId="0DA0E349">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6、投标人</w:t>
      </w:r>
      <w:r>
        <w:rPr>
          <w:rFonts w:hint="eastAsia" w:ascii="宋体" w:hAnsi="宋体" w:cs="宋体"/>
          <w:color w:val="000000" w:themeColor="text1"/>
          <w:spacing w:val="-1"/>
          <w:sz w:val="24"/>
          <w:szCs w:val="24"/>
          <w:highlight w:val="none"/>
          <w:u w:val="single"/>
          <w14:textFill>
            <w14:solidFill>
              <w14:schemeClr w14:val="tx1"/>
            </w14:solidFill>
          </w14:textFill>
        </w:rPr>
        <w:t>（或联合体主办方）</w:t>
      </w:r>
      <w:r>
        <w:rPr>
          <w:rFonts w:hint="eastAsia" w:ascii="宋体" w:hAnsi="宋体"/>
          <w:color w:val="000000" w:themeColor="text1"/>
          <w:sz w:val="24"/>
          <w:highlight w:val="none"/>
          <w14:textFill>
            <w14:solidFill>
              <w14:schemeClr w14:val="tx1"/>
            </w14:solidFill>
          </w14:textFill>
        </w:rPr>
        <w:t>拟担任本工程技术负责人的资格要求为：</w:t>
      </w:r>
      <w:r>
        <w:rPr>
          <w:rFonts w:hint="eastAsia" w:ascii="宋体" w:hAnsi="宋体"/>
          <w:color w:val="000000" w:themeColor="text1"/>
          <w:sz w:val="24"/>
          <w:highlight w:val="none"/>
          <w:u w:val="single"/>
          <w14:textFill>
            <w14:solidFill>
              <w14:schemeClr w14:val="tx1"/>
            </w14:solidFill>
          </w14:textFill>
        </w:rPr>
        <w:t>具有建筑工程类</w:t>
      </w:r>
      <w:r>
        <w:rPr>
          <w:rFonts w:hint="eastAsia" w:ascii="宋体" w:hAnsi="宋体"/>
          <w:color w:val="000000" w:themeColor="text1"/>
          <w:sz w:val="24"/>
          <w:highlight w:val="none"/>
          <w:u w:val="single"/>
          <w:lang w:val="en-US" w:eastAsia="zh-CN"/>
          <w14:textFill>
            <w14:solidFill>
              <w14:schemeClr w14:val="tx1"/>
            </w14:solidFill>
          </w14:textFill>
        </w:rPr>
        <w:t>相关</w:t>
      </w:r>
      <w:r>
        <w:rPr>
          <w:rFonts w:hint="eastAsia" w:ascii="宋体" w:hAnsi="宋体"/>
          <w:color w:val="000000" w:themeColor="text1"/>
          <w:sz w:val="24"/>
          <w:highlight w:val="none"/>
          <w:u w:val="single"/>
          <w14:textFill>
            <w14:solidFill>
              <w14:schemeClr w14:val="tx1"/>
            </w14:solidFill>
          </w14:textFill>
        </w:rPr>
        <w:t>专业中级工程师（或以上）职称证书</w:t>
      </w:r>
      <w:r>
        <w:rPr>
          <w:rFonts w:hint="eastAsia" w:ascii="宋体" w:hAnsi="宋体"/>
          <w:color w:val="000000" w:themeColor="text1"/>
          <w:sz w:val="24"/>
          <w:highlight w:val="none"/>
          <w14:textFill>
            <w14:solidFill>
              <w14:schemeClr w14:val="tx1"/>
            </w14:solidFill>
          </w14:textFill>
        </w:rPr>
        <w:t>。</w:t>
      </w:r>
    </w:p>
    <w:p w14:paraId="196E64BF">
      <w:pPr>
        <w:spacing w:line="360" w:lineRule="auto"/>
        <w:ind w:firstLine="400" w:firstLineChars="200"/>
        <w:rPr>
          <w:rFonts w:hint="eastAsia" w:ascii="宋体" w:hAnsi="宋体" w:cs="宋体"/>
          <w:color w:val="000000" w:themeColor="text1"/>
          <w:sz w:val="20"/>
          <w:szCs w:val="18"/>
          <w:highlight w:val="none"/>
          <w14:textFill>
            <w14:solidFill>
              <w14:schemeClr w14:val="tx1"/>
            </w14:solidFill>
          </w14:textFill>
        </w:rPr>
      </w:pPr>
      <w:r>
        <w:rPr>
          <w:rFonts w:hint="eastAsia" w:ascii="宋体" w:hAnsi="宋体" w:cs="宋体"/>
          <w:color w:val="000000" w:themeColor="text1"/>
          <w:sz w:val="20"/>
          <w:szCs w:val="18"/>
          <w:highlight w:val="none"/>
          <w14:textFill>
            <w14:solidFill>
              <w14:schemeClr w14:val="tx1"/>
            </w14:solidFill>
          </w14:textFill>
        </w:rPr>
        <w:t>注：①采用施工总承包资质二级或以上的项目及地基基础工程、桥梁工程、隧道工程、钢结构工程、古建筑工程、输变电工程、环保工程专业承包资质二级或以上的项目，和采用建筑装修装饰工程、建筑机电安装工程、建筑幕墙工程、城市及道路照明工程、消防设施工程、电子与智能化工程专业承包资质一级的项目，宜要求技术负责人具备项目相适应专业的高级职称；②采用其他资质的项目，宜要求技术负责人具备项目相适应专业的中级或以上职称。</w:t>
      </w:r>
    </w:p>
    <w:p w14:paraId="3626FC6C">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7、投标人</w:t>
      </w:r>
      <w:r>
        <w:rPr>
          <w:rFonts w:hint="eastAsia" w:ascii="宋体" w:hAnsi="宋体" w:cs="宋体"/>
          <w:color w:val="000000" w:themeColor="text1"/>
          <w:spacing w:val="-1"/>
          <w:sz w:val="24"/>
          <w:szCs w:val="24"/>
          <w:highlight w:val="none"/>
          <w:u w:val="single"/>
          <w14:textFill>
            <w14:solidFill>
              <w14:schemeClr w14:val="tx1"/>
            </w14:solidFill>
          </w14:textFill>
        </w:rPr>
        <w:t>（或联合体主办方）</w:t>
      </w:r>
      <w:r>
        <w:rPr>
          <w:rFonts w:hint="eastAsia" w:ascii="宋体" w:hAnsi="宋体"/>
          <w:color w:val="000000" w:themeColor="text1"/>
          <w:sz w:val="24"/>
          <w:highlight w:val="none"/>
          <w14:textFill>
            <w14:solidFill>
              <w14:schemeClr w14:val="tx1"/>
            </w14:solidFill>
          </w14:textFill>
        </w:rPr>
        <w:t>拟担任本工程专职安全员须具有安全生产考核合格证（C类）或建筑施工企业专职安全生产管理人员安全生产考核合格证书（C3类）。</w:t>
      </w:r>
    </w:p>
    <w:p w14:paraId="67A9F96D">
      <w:pPr>
        <w:spacing w:line="360" w:lineRule="auto"/>
        <w:ind w:firstLine="400" w:firstLineChars="200"/>
        <w:rPr>
          <w:rFonts w:hint="eastAsia" w:ascii="宋体" w:hAnsi="宋体" w:cs="宋体"/>
          <w:color w:val="000000" w:themeColor="text1"/>
          <w:sz w:val="20"/>
          <w:szCs w:val="18"/>
          <w:highlight w:val="none"/>
          <w14:textFill>
            <w14:solidFill>
              <w14:schemeClr w14:val="tx1"/>
            </w14:solidFill>
          </w14:textFill>
        </w:rPr>
      </w:pPr>
      <w:r>
        <w:rPr>
          <w:rFonts w:hint="eastAsia" w:ascii="宋体" w:hAnsi="宋体" w:cs="宋体"/>
          <w:color w:val="000000" w:themeColor="text1"/>
          <w:sz w:val="20"/>
          <w:szCs w:val="18"/>
          <w:highlight w:val="none"/>
          <w14:textFill>
            <w14:solidFill>
              <w14:schemeClr w14:val="tx1"/>
            </w14:solidFill>
          </w14:textFill>
        </w:rPr>
        <w:t>注：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p w14:paraId="5836DD9F">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8、投标人已按照附件一的内容签署盖章的投标人声明。</w:t>
      </w:r>
    </w:p>
    <w:p w14:paraId="46350988">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9、关于联合体投标：本项目接受联合体投标。</w:t>
      </w:r>
    </w:p>
    <w:p w14:paraId="03E14624">
      <w:pPr>
        <w:spacing w:line="360" w:lineRule="auto"/>
        <w:ind w:firstLine="400" w:firstLineChars="200"/>
        <w:rPr>
          <w:rFonts w:hint="eastAsia" w:ascii="宋体" w:hAnsi="宋体" w:cs="宋体"/>
          <w:color w:val="000000" w:themeColor="text1"/>
          <w:sz w:val="20"/>
          <w:szCs w:val="18"/>
          <w:highlight w:val="none"/>
          <w14:textFill>
            <w14:solidFill>
              <w14:schemeClr w14:val="tx1"/>
            </w14:solidFill>
          </w14:textFill>
        </w:rPr>
      </w:pPr>
      <w:r>
        <w:rPr>
          <w:rFonts w:hint="eastAsia" w:ascii="宋体" w:hAnsi="宋体" w:cs="宋体"/>
          <w:color w:val="000000" w:themeColor="text1"/>
          <w:sz w:val="20"/>
          <w:szCs w:val="18"/>
          <w:highlight w:val="none"/>
          <w14:textFill>
            <w14:solidFill>
              <w14:schemeClr w14:val="tx1"/>
            </w14:solidFill>
          </w14:textFill>
        </w:rPr>
        <w:t>注：</w:t>
      </w:r>
      <w:bookmarkStart w:id="0" w:name="_Hlk90574200"/>
      <w:r>
        <w:rPr>
          <w:rFonts w:hint="eastAsia" w:ascii="宋体" w:hAnsi="宋体" w:cs="宋体"/>
          <w:color w:val="000000" w:themeColor="text1"/>
          <w:sz w:val="20"/>
          <w:szCs w:val="18"/>
          <w:highlight w:val="none"/>
          <w14:textFill>
            <w14:solidFill>
              <w14:schemeClr w14:val="tx1"/>
            </w14:solidFill>
          </w14:textFill>
        </w:rPr>
        <w:t>①如投标人组成联合体，联合体应当在投标登记前组成，并按要求签署盖章签定“</w:t>
      </w:r>
      <w:bookmarkStart w:id="1" w:name="_Hlk180525264"/>
      <w:r>
        <w:rPr>
          <w:rFonts w:hint="eastAsia" w:ascii="宋体" w:hAnsi="宋体" w:cs="宋体"/>
          <w:color w:val="000000" w:themeColor="text1"/>
          <w:sz w:val="20"/>
          <w:szCs w:val="18"/>
          <w:highlight w:val="none"/>
          <w14:textFill>
            <w14:solidFill>
              <w14:schemeClr w14:val="tx1"/>
            </w14:solidFill>
          </w14:textFill>
        </w:rPr>
        <w:t>联合体协议书</w:t>
      </w:r>
      <w:bookmarkEnd w:id="1"/>
      <w:r>
        <w:rPr>
          <w:rFonts w:hint="eastAsia" w:ascii="宋体" w:hAnsi="宋体" w:cs="宋体"/>
          <w:color w:val="000000" w:themeColor="text1"/>
          <w:sz w:val="20"/>
          <w:szCs w:val="18"/>
          <w:highlight w:val="none"/>
          <w14:textFill>
            <w14:solidFill>
              <w14:schemeClr w14:val="tx1"/>
            </w14:solidFill>
          </w14:textFill>
        </w:rPr>
        <w:t>”（详见招标文件</w:t>
      </w:r>
      <w:r>
        <w:rPr>
          <w:rFonts w:ascii="宋体" w:hAnsi="宋体" w:cs="宋体"/>
          <w:color w:val="000000" w:themeColor="text1"/>
          <w:sz w:val="20"/>
          <w:szCs w:val="18"/>
          <w:highlight w:val="none"/>
          <w14:textFill>
            <w14:solidFill>
              <w14:schemeClr w14:val="tx1"/>
            </w14:solidFill>
          </w14:textFill>
        </w:rPr>
        <w:t>第六章</w:t>
      </w:r>
      <w:r>
        <w:rPr>
          <w:rFonts w:hint="eastAsia" w:ascii="宋体" w:hAnsi="宋体" w:cs="宋体"/>
          <w:color w:val="000000" w:themeColor="text1"/>
          <w:sz w:val="20"/>
          <w:szCs w:val="18"/>
          <w:highlight w:val="none"/>
          <w14:textFill>
            <w14:solidFill>
              <w14:schemeClr w14:val="tx1"/>
            </w14:solidFill>
          </w14:textFill>
        </w:rPr>
        <w:t>）。投标人</w:t>
      </w:r>
      <w:r>
        <w:rPr>
          <w:rFonts w:hint="eastAsia" w:ascii="宋体" w:hAnsi="宋体" w:cs="宋体"/>
          <w:color w:val="000000" w:themeColor="text1"/>
          <w:sz w:val="20"/>
          <w:szCs w:val="18"/>
          <w:highlight w:val="none"/>
          <w:shd w:val="clear" w:color="auto" w:fill="auto"/>
          <w14:textFill>
            <w14:solidFill>
              <w14:schemeClr w14:val="tx1"/>
            </w14:solidFill>
          </w14:textFill>
        </w:rPr>
        <w:t>拟任本工程项目负责人、专职安全员、技术负责人应为牵头人（主办方）正式员工。联合体协议书应明确约定各方拟承担的工作和责任。投标截止</w:t>
      </w:r>
      <w:r>
        <w:rPr>
          <w:rFonts w:hint="eastAsia" w:ascii="宋体" w:hAnsi="宋体" w:cs="宋体"/>
          <w:color w:val="000000" w:themeColor="text1"/>
          <w:sz w:val="20"/>
          <w:szCs w:val="18"/>
          <w:highlight w:val="none"/>
          <w14:textFill>
            <w14:solidFill>
              <w14:schemeClr w14:val="tx1"/>
            </w14:solidFill>
          </w14:textFill>
        </w:rPr>
        <w:t>后联合体增减、更换成员的，其投标无效。</w:t>
      </w:r>
    </w:p>
    <w:p w14:paraId="5C82775A">
      <w:pPr>
        <w:spacing w:line="360" w:lineRule="auto"/>
        <w:ind w:firstLine="400" w:firstLineChars="200"/>
        <w:rPr>
          <w:rFonts w:hint="eastAsia" w:ascii="宋体" w:hAnsi="宋体" w:cs="宋体"/>
          <w:color w:val="000000" w:themeColor="text1"/>
          <w:sz w:val="20"/>
          <w:szCs w:val="18"/>
          <w:highlight w:val="none"/>
          <w14:textFill>
            <w14:solidFill>
              <w14:schemeClr w14:val="tx1"/>
            </w14:solidFill>
          </w14:textFill>
        </w:rPr>
      </w:pPr>
      <w:r>
        <w:rPr>
          <w:rFonts w:hint="eastAsia" w:ascii="宋体" w:hAnsi="宋体" w:cs="宋体"/>
          <w:color w:val="000000" w:themeColor="text1"/>
          <w:sz w:val="20"/>
          <w:szCs w:val="18"/>
          <w:highlight w:val="none"/>
          <w14:textFill>
            <w14:solidFill>
              <w14:schemeClr w14:val="tx1"/>
            </w14:solidFill>
          </w14:textFill>
        </w:rPr>
        <w:t>②联合体各方（包括主办方及联合体成员）不得再单独或与其他单位组成联合体参与本项目投标。出现上述情况者，其投标和与此有关的联合体的投标将被拒绝。组成联合体投标的，其联合体单位不得超过2家单位。</w:t>
      </w:r>
    </w:p>
    <w:p w14:paraId="08CBE6D5">
      <w:pPr>
        <w:spacing w:line="360" w:lineRule="auto"/>
        <w:ind w:firstLine="400" w:firstLineChars="200"/>
        <w:rPr>
          <w:rFonts w:hint="eastAsia" w:ascii="宋体" w:hAnsi="宋体" w:cs="宋体"/>
          <w:color w:val="000000" w:themeColor="text1"/>
          <w:sz w:val="20"/>
          <w:szCs w:val="18"/>
          <w:highlight w:val="none"/>
          <w14:textFill>
            <w14:solidFill>
              <w14:schemeClr w14:val="tx1"/>
            </w14:solidFill>
          </w14:textFill>
        </w:rPr>
      </w:pPr>
      <w:r>
        <w:rPr>
          <w:rFonts w:hint="eastAsia" w:ascii="宋体" w:hAnsi="宋体" w:cs="宋体"/>
          <w:color w:val="000000" w:themeColor="text1"/>
          <w:sz w:val="20"/>
          <w:szCs w:val="18"/>
          <w:highlight w:val="none"/>
          <w14:textFill>
            <w14:solidFill>
              <w14:schemeClr w14:val="tx1"/>
            </w14:solidFill>
          </w14:textFill>
        </w:rPr>
        <w:t>③联合体投标时，投标人封面及其他内容落款中的“投标人”应填写联合体各方的单位全称【格式为：（主）XXXX公司（成）XXXX公司】。除联合体共同投标协议需联合体各方按要求共同盖章签字，其余可由联合体主办方签字、盖章即可，由联合体主办方法人签字的电子投标文件需提供主办方法定代表人证明书，若由联合体主办方法定代表人授权签字的电子投标文件需提供法定代表人证明书及其授权委托书、授权委托人身份证扫描件。</w:t>
      </w:r>
    </w:p>
    <w:bookmarkEnd w:id="0"/>
    <w:p w14:paraId="24667270">
      <w:pPr>
        <w:spacing w:line="360" w:lineRule="auto"/>
        <w:ind w:right="-313" w:rightChars="-149"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http://zfcj.gz.gov.cn/zwgk/zsdwxxgkzl/gzsjzyglfwzx/bszy/content/post_8484886.html）</w:t>
      </w:r>
    </w:p>
    <w:p w14:paraId="22BFE7D1">
      <w:pPr>
        <w:pStyle w:val="16"/>
        <w:tabs>
          <w:tab w:val="left" w:pos="7380"/>
        </w:tabs>
        <w:spacing w:after="0"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投标人未出现以下情形：与其它投标人的单位负责人为同一人或者存在控股、管理关系的（按投标人提供的《投标人声明》第九条内容进行评审）。如不同投标人出现单位负责人为同一人或者存在控股、管理关系的情形，则视为无效投标。</w:t>
      </w:r>
    </w:p>
    <w:p w14:paraId="542D07EA">
      <w:pPr>
        <w:pStyle w:val="16"/>
        <w:tabs>
          <w:tab w:val="left" w:pos="7380"/>
        </w:tabs>
        <w:spacing w:after="0"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12、未被列入拖欠农民工工资失信联合惩戒对象名单和失信被执行人。</w:t>
      </w:r>
    </w:p>
    <w:p w14:paraId="1822BF42">
      <w:pPr>
        <w:pStyle w:val="16"/>
        <w:tabs>
          <w:tab w:val="left" w:pos="7380"/>
        </w:tabs>
        <w:spacing w:after="0" w:line="360" w:lineRule="auto"/>
        <w:ind w:firstLine="523" w:firstLineChars="218"/>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注：未在招标公告第九条单列的资审合格条件，不作为资审不合格的依据。</w:t>
      </w:r>
    </w:p>
    <w:p w14:paraId="18C5414B">
      <w:pPr>
        <w:pStyle w:val="16"/>
        <w:tabs>
          <w:tab w:val="left" w:pos="7380"/>
        </w:tabs>
        <w:spacing w:after="0" w:line="360" w:lineRule="auto"/>
        <w:ind w:firstLine="480" w:firstLineChars="200"/>
        <w:rPr>
          <w:rFonts w:asci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十、资格审查方式：</w:t>
      </w:r>
    </w:p>
    <w:p w14:paraId="1AED3B36">
      <w:pPr>
        <w:pStyle w:val="16"/>
        <w:tabs>
          <w:tab w:val="left" w:pos="7380"/>
        </w:tabs>
        <w:spacing w:after="0" w:line="360" w:lineRule="auto"/>
        <w:ind w:firstLine="480" w:firstLineChars="200"/>
        <w:rPr>
          <w:rFonts w:asci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本工程采用资格后审方式，由评标委员会负责资格审查。</w:t>
      </w:r>
    </w:p>
    <w:p w14:paraId="0B475F98">
      <w:pPr>
        <w:pStyle w:val="16"/>
        <w:tabs>
          <w:tab w:val="left" w:pos="7380"/>
        </w:tabs>
        <w:spacing w:after="0"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十一、资格审查结果将在</w:t>
      </w:r>
      <w:r>
        <w:rPr>
          <w:rFonts w:hint="eastAsia"/>
          <w:color w:val="000000" w:themeColor="text1"/>
          <w:sz w:val="24"/>
          <w:szCs w:val="24"/>
          <w:highlight w:val="none"/>
          <w:u w:val="single"/>
          <w14:textFill>
            <w14:solidFill>
              <w14:schemeClr w14:val="tx1"/>
            </w14:solidFill>
          </w14:textFill>
        </w:rPr>
        <w:t>广州交易集团有限公司（广州公共资源交易中心）</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hAnsi="宋体"/>
          <w:color w:val="000000" w:themeColor="text1"/>
          <w:sz w:val="24"/>
          <w:highlight w:val="none"/>
          <w14:textFill>
            <w14:solidFill>
              <w14:schemeClr w14:val="tx1"/>
            </w14:solidFill>
          </w14:textFill>
        </w:rPr>
        <w:t>和广东省招标投标监管网公示，</w:t>
      </w:r>
      <w:r>
        <w:rPr>
          <w:rFonts w:hint="eastAsia" w:ascii="宋体" w:hAnsi="宋体"/>
          <w:bCs/>
          <w:color w:val="000000" w:themeColor="text1"/>
          <w:sz w:val="24"/>
          <w:highlight w:val="none"/>
          <w14:textFill>
            <w14:solidFill>
              <w14:schemeClr w14:val="tx1"/>
            </w14:solidFill>
          </w14:textFill>
        </w:rPr>
        <w:t>公示时间不得少于3日。</w:t>
      </w:r>
    </w:p>
    <w:p w14:paraId="70ED1674">
      <w:pPr>
        <w:pStyle w:val="16"/>
        <w:tabs>
          <w:tab w:val="left" w:pos="7380"/>
        </w:tabs>
        <w:spacing w:after="0"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十二、满足资格审查合格条件的投标人不足3名或通过有效性审查的投标人不足3名时为招标失败。招标人分析招标失败原因，修正招标方案，报有关管理部门核准后，重新组织招标。</w:t>
      </w:r>
    </w:p>
    <w:p w14:paraId="1A400D2E">
      <w:pPr>
        <w:pStyle w:val="16"/>
        <w:tabs>
          <w:tab w:val="left" w:pos="7380"/>
        </w:tabs>
        <w:spacing w:after="0"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41D14EF0">
      <w:pPr>
        <w:pStyle w:val="16"/>
        <w:tabs>
          <w:tab w:val="left" w:pos="7380"/>
        </w:tabs>
        <w:spacing w:after="0"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59EF7E70">
      <w:pPr>
        <w:pStyle w:val="16"/>
        <w:tabs>
          <w:tab w:val="left" w:pos="7380"/>
        </w:tabs>
        <w:spacing w:after="0"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42B7D965">
      <w:pPr>
        <w:pStyle w:val="16"/>
        <w:tabs>
          <w:tab w:val="left" w:pos="7380"/>
        </w:tabs>
        <w:spacing w:after="0"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十五、潜在投标人或利害关系人对本招标公告及招标文件有异议的，应当在投标</w:t>
      </w:r>
      <w:r>
        <w:rPr>
          <w:rFonts w:hint="eastAsia" w:ascii="宋体" w:hAnsi="宋体"/>
          <w:color w:val="000000" w:themeColor="text1"/>
          <w:sz w:val="24"/>
          <w:highlight w:val="none"/>
          <w14:textFill>
            <w14:solidFill>
              <w14:schemeClr w14:val="tx1"/>
            </w14:solidFill>
          </w14:textFill>
        </w:rPr>
        <w:t>截止时间10日前向招标人书面提出。</w:t>
      </w:r>
    </w:p>
    <w:p w14:paraId="07F9EF1B">
      <w:pPr>
        <w:pStyle w:val="16"/>
        <w:tabs>
          <w:tab w:val="left" w:pos="7380"/>
        </w:tabs>
        <w:spacing w:after="0" w:line="360" w:lineRule="auto"/>
        <w:ind w:firstLine="480" w:firstLineChars="200"/>
        <w:rPr>
          <w:rFonts w:asci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异议受理部门：</w:t>
      </w:r>
      <w:r>
        <w:rPr>
          <w:rFonts w:hint="eastAsia" w:ascii="宋体" w:hAnsi="宋体"/>
          <w:color w:val="000000" w:themeColor="text1"/>
          <w:sz w:val="24"/>
          <w:highlight w:val="none"/>
          <w:u w:val="single"/>
          <w14:textFill>
            <w14:solidFill>
              <w14:schemeClr w14:val="tx1"/>
            </w14:solidFill>
          </w14:textFill>
        </w:rPr>
        <w:t>中山大学附属口腔医院</w:t>
      </w:r>
    </w:p>
    <w:p w14:paraId="705B6ED1">
      <w:pPr>
        <w:pStyle w:val="16"/>
        <w:tabs>
          <w:tab w:val="left" w:pos="7380"/>
        </w:tabs>
        <w:spacing w:after="0"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异议受理电话：</w:t>
      </w:r>
      <w:r>
        <w:rPr>
          <w:rFonts w:hint="eastAsia" w:ascii="宋体" w:hAnsi="宋体"/>
          <w:color w:val="000000" w:themeColor="text1"/>
          <w:sz w:val="24"/>
          <w:szCs w:val="24"/>
          <w:highlight w:val="none"/>
          <w:u w:val="single"/>
          <w14:textFill>
            <w14:solidFill>
              <w14:schemeClr w14:val="tx1"/>
            </w14:solidFill>
          </w14:textFill>
        </w:rPr>
        <w:t>020-83862558</w:t>
      </w:r>
    </w:p>
    <w:p w14:paraId="48739A3F">
      <w:pPr>
        <w:pStyle w:val="16"/>
        <w:tabs>
          <w:tab w:val="left" w:pos="7380"/>
        </w:tabs>
        <w:spacing w:after="0" w:line="360" w:lineRule="auto"/>
        <w:ind w:firstLine="480" w:firstLineChars="200"/>
        <w:rPr>
          <w:rFonts w:hint="eastAsia"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地址：</w:t>
      </w:r>
      <w:r>
        <w:rPr>
          <w:rFonts w:hint="eastAsia" w:ascii="宋体" w:hAnsi="宋体"/>
          <w:color w:val="000000" w:themeColor="text1"/>
          <w:sz w:val="24"/>
          <w:szCs w:val="24"/>
          <w:highlight w:val="none"/>
          <w:u w:val="single"/>
          <w14:textFill>
            <w14:solidFill>
              <w14:schemeClr w14:val="tx1"/>
            </w14:solidFill>
          </w14:textFill>
        </w:rPr>
        <w:t>广州市越秀区陵园西路56号</w:t>
      </w:r>
    </w:p>
    <w:p w14:paraId="65241661">
      <w:pPr>
        <w:pStyle w:val="16"/>
        <w:tabs>
          <w:tab w:val="left" w:pos="7380"/>
        </w:tabs>
        <w:spacing w:after="0" w:line="360" w:lineRule="auto"/>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7C5C36FE">
      <w:pPr>
        <w:pStyle w:val="16"/>
        <w:tabs>
          <w:tab w:val="left" w:pos="7380"/>
        </w:tabs>
        <w:spacing w:after="0"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十六、本公告在广州交易集团有限公司（广州公共资源交易中心）官网（网址：http://www.gzggzy.cn）、广东省招标投标监管网（网址：https://zbtb.gd.gov.cn/）和中国招标投标公共服务平台（网址：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"http://www.cebpubservice.com/）发布，本公告的修改、补充，在广州交易集团有限公司（广州公共资源交易中心）官网发布。" </w:instrText>
      </w:r>
      <w:r>
        <w:rPr>
          <w:color w:val="000000" w:themeColor="text1"/>
          <w:highlight w:val="none"/>
          <w14:textFill>
            <w14:solidFill>
              <w14:schemeClr w14:val="tx1"/>
            </w14:solidFill>
          </w14:textFill>
        </w:rPr>
        <w:fldChar w:fldCharType="separate"/>
      </w:r>
      <w:r>
        <w:rPr>
          <w:rStyle w:val="24"/>
          <w:rFonts w:hint="eastAsia" w:ascii="宋体" w:hAnsi="宋体"/>
          <w:color w:val="000000" w:themeColor="text1"/>
          <w:sz w:val="24"/>
          <w:highlight w:val="none"/>
          <w14:textFill>
            <w14:solidFill>
              <w14:schemeClr w14:val="tx1"/>
            </w14:solidFill>
          </w14:textFill>
        </w:rPr>
        <w:t>http://www.cebpubservice.com/）发布，本公告的修改、补充，在广州交易集团有限公司（广州公共资源交易中心）官网发布。</w:t>
      </w:r>
      <w:r>
        <w:rPr>
          <w:rStyle w:val="24"/>
          <w:rFonts w:hint="eastAsia" w:ascii="宋体" w:hAnsi="宋体"/>
          <w:color w:val="000000" w:themeColor="text1"/>
          <w:sz w:val="24"/>
          <w:highlight w:val="none"/>
          <w14:textFill>
            <w14:solidFill>
              <w14:schemeClr w14:val="tx1"/>
            </w14:solidFill>
          </w14:textFill>
        </w:rPr>
        <w:fldChar w:fldCharType="end"/>
      </w:r>
    </w:p>
    <w:p w14:paraId="2D0202BF">
      <w:pPr>
        <w:pStyle w:val="16"/>
        <w:tabs>
          <w:tab w:val="left" w:pos="7380"/>
        </w:tabs>
        <w:spacing w:after="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十七、本招标公告及招标文件使用GZZB2018-3招标文件范本。本公告与范本内容不同之处均以下划线标明，所有标明下划线部分属于本公告的组成部分，同其他部分具有同样的效力。</w:t>
      </w:r>
    </w:p>
    <w:p w14:paraId="19A628AB">
      <w:pPr>
        <w:pStyle w:val="16"/>
        <w:tabs>
          <w:tab w:val="left" w:pos="7380"/>
        </w:tabs>
        <w:spacing w:after="0"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十八、招标公告网上发布时，同时发布招标文件、施工图纸、最高投标限价。本工程根据国家和省有关计价规范设置最高投标限价。招标公告发布之日起计算编制投标文件时间，编制投标文件的时间不得少于20天。招标人应综合考虑节假日因素，合理确定投标人编制投标文件所需要的时间，如遇春节、五一、十一等长假，建议招标人结合项目特点和实际需要适当延长备标期。</w:t>
      </w:r>
    </w:p>
    <w:p w14:paraId="11C4CA28">
      <w:pPr>
        <w:pStyle w:val="16"/>
        <w:tabs>
          <w:tab w:val="left" w:pos="7380"/>
        </w:tabs>
        <w:spacing w:after="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十九、《投诉处理决定书》和《行政处理决定书》在</w:t>
      </w:r>
      <w:r>
        <w:rPr>
          <w:rFonts w:hint="eastAsia" w:ascii="宋体" w:hAnsi="宋体"/>
          <w:color w:val="000000" w:themeColor="text1"/>
          <w:sz w:val="24"/>
          <w:highlight w:val="none"/>
          <w14:textFill>
            <w14:solidFill>
              <w14:schemeClr w14:val="tx1"/>
            </w14:solidFill>
          </w14:textFill>
        </w:rPr>
        <w:t>广州市住房和城乡建设局</w:t>
      </w:r>
      <w:r>
        <w:rPr>
          <w:rFonts w:hint="eastAsia" w:ascii="宋体"/>
          <w:color w:val="000000" w:themeColor="text1"/>
          <w:sz w:val="24"/>
          <w:highlight w:val="none"/>
          <w14:textFill>
            <w14:solidFill>
              <w14:schemeClr w14:val="tx1"/>
            </w14:solidFill>
          </w14:textFill>
        </w:rPr>
        <w:t>网站上公布的，视为送达其他与决定书有关的当事人。</w:t>
      </w:r>
    </w:p>
    <w:p w14:paraId="79012425">
      <w:pPr>
        <w:pStyle w:val="16"/>
        <w:tabs>
          <w:tab w:val="left" w:pos="7380"/>
        </w:tabs>
        <w:spacing w:after="0"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特别提示：投标人在本项目招标人的工程项目中存在下列行为的，将被拒绝一定时期内参与招标人后续工程投标。（拒绝投标时限为2年）：</w:t>
      </w:r>
    </w:p>
    <w:p w14:paraId="64F6FD2F">
      <w:pPr>
        <w:spacing w:line="360" w:lineRule="auto"/>
        <w:ind w:firstLine="537" w:firstLineChars="224"/>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1.将中标工程转包或者违法分包的；</w:t>
      </w:r>
    </w:p>
    <w:p w14:paraId="32F3BD87">
      <w:pPr>
        <w:spacing w:line="360" w:lineRule="auto"/>
        <w:ind w:firstLine="537" w:firstLineChars="224"/>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2.在中标工程中不执行质量、安全生产相关规定的，造成质量或安全事故的；</w:t>
      </w:r>
    </w:p>
    <w:p w14:paraId="31DB2C23">
      <w:pPr>
        <w:spacing w:line="360" w:lineRule="auto"/>
        <w:ind w:firstLine="537" w:firstLineChars="224"/>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3.出让投标资格的；</w:t>
      </w:r>
    </w:p>
    <w:p w14:paraId="4DA1576A">
      <w:pPr>
        <w:spacing w:line="360" w:lineRule="auto"/>
        <w:ind w:firstLine="537" w:firstLineChars="224"/>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4.存在围标或串标情形的；</w:t>
      </w:r>
    </w:p>
    <w:p w14:paraId="3BA59CBC">
      <w:pPr>
        <w:spacing w:line="360" w:lineRule="auto"/>
        <w:ind w:firstLine="537" w:firstLineChars="224"/>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5.在投标文件中提供虚假材料的；</w:t>
      </w:r>
    </w:p>
    <w:p w14:paraId="6B86D656">
      <w:pPr>
        <w:spacing w:line="360" w:lineRule="auto"/>
        <w:ind w:firstLine="537" w:firstLineChars="224"/>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6.存在少放、不放业绩、奖项等客观评审资料，减少自身竞争力情形的；</w:t>
      </w:r>
    </w:p>
    <w:p w14:paraId="16527F60">
      <w:pPr>
        <w:spacing w:line="360" w:lineRule="auto"/>
        <w:ind w:firstLine="537" w:firstLineChars="224"/>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7.存在行贿情形的；</w:t>
      </w:r>
    </w:p>
    <w:p w14:paraId="1217D2B4">
      <w:pPr>
        <w:spacing w:line="360" w:lineRule="auto"/>
        <w:ind w:firstLine="537" w:firstLineChars="224"/>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8.拖欠农民工工资的；</w:t>
      </w:r>
    </w:p>
    <w:p w14:paraId="202A9AC8">
      <w:pPr>
        <w:spacing w:line="360" w:lineRule="auto"/>
        <w:ind w:firstLine="537" w:firstLineChars="224"/>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9.未按照国家、省、市有关建筑施工实名制管理和工人工资支付分账管理的规定执行，被行政监管部门处罚的；</w:t>
      </w:r>
    </w:p>
    <w:p w14:paraId="729C7CBF">
      <w:pPr>
        <w:spacing w:line="360" w:lineRule="auto"/>
        <w:ind w:firstLine="537" w:firstLineChars="224"/>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10.本项目投标时拟派的专职安全员在其他项目中有任职且在本项目开工前未完成更换确保专职安全员只在本项目上任职的。</w:t>
      </w:r>
    </w:p>
    <w:p w14:paraId="5ABF0ED8">
      <w:pPr>
        <w:spacing w:line="360" w:lineRule="auto"/>
        <w:ind w:firstLine="537" w:firstLineChars="224"/>
        <w:jc w:val="left"/>
        <w:rPr>
          <w:rFonts w:ascii="宋体"/>
          <w:color w:val="000000" w:themeColor="text1"/>
          <w:sz w:val="24"/>
          <w:highlight w:val="none"/>
          <w14:textFill>
            <w14:solidFill>
              <w14:schemeClr w14:val="tx1"/>
            </w14:solidFill>
          </w14:textFill>
        </w:rPr>
      </w:pPr>
    </w:p>
    <w:p w14:paraId="56DC8238">
      <w:pPr>
        <w:pStyle w:val="7"/>
        <w:rPr>
          <w:color w:val="000000" w:themeColor="text1"/>
          <w:sz w:val="24"/>
          <w:highlight w:val="none"/>
          <w14:textFill>
            <w14:solidFill>
              <w14:schemeClr w14:val="tx1"/>
            </w14:solidFill>
          </w14:textFill>
        </w:rPr>
      </w:pPr>
    </w:p>
    <w:p w14:paraId="7E4E9AB8">
      <w:pPr>
        <w:rPr>
          <w:rFonts w:hint="eastAsia" w:ascii="宋体" w:hAnsi="宋体"/>
          <w:color w:val="000000" w:themeColor="text1"/>
          <w:sz w:val="24"/>
          <w:highlight w:val="none"/>
          <w14:textFill>
            <w14:solidFill>
              <w14:schemeClr w14:val="tx1"/>
            </w14:solidFill>
          </w14:textFill>
        </w:rPr>
      </w:pPr>
    </w:p>
    <w:p w14:paraId="57584C0B">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br w:type="page"/>
      </w:r>
    </w:p>
    <w:p w14:paraId="7F37E843">
      <w:pPr>
        <w:spacing w:line="360" w:lineRule="auto"/>
        <w:rPr>
          <w:b/>
          <w:color w:val="000000" w:themeColor="text1"/>
          <w:sz w:val="4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附件一：</w:t>
      </w:r>
    </w:p>
    <w:p w14:paraId="5216C0AA">
      <w:pPr>
        <w:spacing w:line="360" w:lineRule="auto"/>
        <w:jc w:val="center"/>
        <w:rPr>
          <w:b/>
          <w:color w:val="000000" w:themeColor="text1"/>
          <w:kern w:val="0"/>
          <w:sz w:val="32"/>
          <w:szCs w:val="32"/>
          <w:highlight w:val="none"/>
          <w14:textFill>
            <w14:solidFill>
              <w14:schemeClr w14:val="tx1"/>
            </w14:solidFill>
          </w14:textFill>
        </w:rPr>
      </w:pPr>
      <w:r>
        <w:rPr>
          <w:rFonts w:hint="eastAsia"/>
          <w:b/>
          <w:color w:val="000000" w:themeColor="text1"/>
          <w:kern w:val="0"/>
          <w:sz w:val="32"/>
          <w:szCs w:val="32"/>
          <w:highlight w:val="none"/>
          <w14:textFill>
            <w14:solidFill>
              <w14:schemeClr w14:val="tx1"/>
            </w14:solidFill>
          </w14:textFill>
        </w:rPr>
        <w:t>投标人声明</w:t>
      </w:r>
    </w:p>
    <w:p w14:paraId="1971FD33">
      <w:pPr>
        <w:pStyle w:val="34"/>
        <w:ind w:firstLine="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广州市住房和城乡建设局、本招标项目招标人及招标监管机构：</w:t>
      </w:r>
    </w:p>
    <w:p w14:paraId="10D1D4B8">
      <w:pPr>
        <w:pStyle w:val="34"/>
        <w:ind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本公司就参加</w:t>
      </w:r>
      <w:r>
        <w:rPr>
          <w:rFonts w:hint="eastAsia" w:ascii="宋体" w:hAnsi="宋体" w:eastAsia="宋体"/>
          <w:color w:val="000000" w:themeColor="text1"/>
          <w:sz w:val="21"/>
          <w:szCs w:val="21"/>
          <w:highlight w:val="none"/>
          <w:u w:val="single"/>
          <w14:textFill>
            <w14:solidFill>
              <w14:schemeClr w14:val="tx1"/>
            </w14:solidFill>
          </w14:textFill>
        </w:rPr>
        <w:t xml:space="preserve">                      </w:t>
      </w:r>
      <w:r>
        <w:rPr>
          <w:rFonts w:hint="eastAsia" w:ascii="宋体" w:hAnsi="宋体" w:eastAsia="宋体"/>
          <w:color w:val="000000" w:themeColor="text1"/>
          <w:sz w:val="21"/>
          <w:szCs w:val="21"/>
          <w:highlight w:val="none"/>
          <w14:textFill>
            <w14:solidFill>
              <w14:schemeClr w14:val="tx1"/>
            </w14:solidFill>
          </w14:textFill>
        </w:rPr>
        <w:t>投标工作，作出郑重声明：</w:t>
      </w:r>
    </w:p>
    <w:p w14:paraId="6EFBBFCF">
      <w:pPr>
        <w:pStyle w:val="34"/>
        <w:ind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一、本公司保证投标文件及其后提供的一切材料都是真实的。如我司成为本项目中标候选人，我司同意并授权招标人将我司投标文件商务部分文件的人员、业绩、奖项等资料进行公开。</w:t>
      </w:r>
    </w:p>
    <w:p w14:paraId="11D1EDB1">
      <w:pPr>
        <w:pStyle w:val="34"/>
        <w:ind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088F2549">
      <w:pPr>
        <w:pStyle w:val="34"/>
        <w:ind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三、本公司不存在下列情形之一：</w:t>
      </w:r>
    </w:p>
    <w:p w14:paraId="5DC9F067">
      <w:pPr>
        <w:pStyle w:val="7"/>
        <w:spacing w:line="360" w:lineRule="auto"/>
        <w:ind w:firstLine="420" w:firstLineChars="200"/>
        <w:rPr>
          <w:rFonts w:hint="eastAsia" w:hAnsi="宋体" w:cs="宋体"/>
          <w:bCs/>
          <w:color w:val="000000" w:themeColor="text1"/>
          <w:kern w:val="0"/>
          <w:szCs w:val="21"/>
          <w:highlight w:val="none"/>
          <w14:textFill>
            <w14:solidFill>
              <w14:schemeClr w14:val="tx1"/>
            </w14:solidFill>
          </w14:textFill>
        </w:rPr>
      </w:pPr>
      <w:r>
        <w:rPr>
          <w:rFonts w:hint="eastAsia" w:hAnsi="宋体" w:cs="宋体"/>
          <w:bCs/>
          <w:color w:val="000000" w:themeColor="text1"/>
          <w:kern w:val="0"/>
          <w:szCs w:val="21"/>
          <w:highlight w:val="none"/>
          <w14:textFill>
            <w14:solidFill>
              <w14:schemeClr w14:val="tx1"/>
            </w14:solidFill>
          </w14:textFill>
        </w:rPr>
        <w:t>（一）为招标人不具有独立法人资格的附属机构（单位）；</w:t>
      </w:r>
    </w:p>
    <w:p w14:paraId="67B89C6F">
      <w:pPr>
        <w:pStyle w:val="7"/>
        <w:spacing w:line="360" w:lineRule="auto"/>
        <w:ind w:firstLine="420" w:firstLineChars="200"/>
        <w:rPr>
          <w:rFonts w:hint="eastAsia" w:hAnsi="宋体" w:cs="宋体"/>
          <w:bCs/>
          <w:color w:val="000000" w:themeColor="text1"/>
          <w:kern w:val="0"/>
          <w:szCs w:val="21"/>
          <w:highlight w:val="none"/>
          <w14:textFill>
            <w14:solidFill>
              <w14:schemeClr w14:val="tx1"/>
            </w14:solidFill>
          </w14:textFill>
        </w:rPr>
      </w:pPr>
      <w:r>
        <w:rPr>
          <w:rFonts w:hint="eastAsia" w:hAnsi="宋体" w:cs="宋体"/>
          <w:bCs/>
          <w:color w:val="000000" w:themeColor="text1"/>
          <w:kern w:val="0"/>
          <w:szCs w:val="21"/>
          <w:highlight w:val="none"/>
          <w14:textFill>
            <w14:solidFill>
              <w14:schemeClr w14:val="tx1"/>
            </w14:solidFill>
          </w14:textFill>
        </w:rPr>
        <w:t>（二）为本标段前期准备提供设计或咨询服务或者与本项目设计人或提供咨询服务的机构存在附属关系的；</w:t>
      </w:r>
    </w:p>
    <w:p w14:paraId="6F0C3F5D">
      <w:pPr>
        <w:pStyle w:val="7"/>
        <w:spacing w:line="360" w:lineRule="auto"/>
        <w:ind w:firstLine="420" w:firstLineChars="200"/>
        <w:rPr>
          <w:rFonts w:hint="eastAsia" w:hAnsi="宋体" w:cs="宋体"/>
          <w:bCs/>
          <w:color w:val="000000" w:themeColor="text1"/>
          <w:kern w:val="0"/>
          <w:szCs w:val="21"/>
          <w:highlight w:val="none"/>
          <w14:textFill>
            <w14:solidFill>
              <w14:schemeClr w14:val="tx1"/>
            </w14:solidFill>
          </w14:textFill>
        </w:rPr>
      </w:pPr>
      <w:r>
        <w:rPr>
          <w:rFonts w:hint="eastAsia" w:hAnsi="宋体" w:cs="宋体"/>
          <w:bCs/>
          <w:color w:val="000000" w:themeColor="text1"/>
          <w:kern w:val="0"/>
          <w:szCs w:val="21"/>
          <w:highlight w:val="none"/>
          <w14:textFill>
            <w14:solidFill>
              <w14:schemeClr w14:val="tx1"/>
            </w14:solidFill>
          </w14:textFill>
        </w:rPr>
        <w:t>（三）为本标段监理人或者与本标段监理人存在隶属关系或者其他利害关系；</w:t>
      </w:r>
    </w:p>
    <w:p w14:paraId="569C879C">
      <w:pPr>
        <w:pStyle w:val="7"/>
        <w:spacing w:line="360" w:lineRule="auto"/>
        <w:ind w:firstLine="420" w:firstLineChars="200"/>
        <w:rPr>
          <w:rFonts w:hint="eastAsia" w:hAnsi="宋体" w:cs="宋体"/>
          <w:bCs/>
          <w:color w:val="000000" w:themeColor="text1"/>
          <w:kern w:val="0"/>
          <w:szCs w:val="21"/>
          <w:highlight w:val="none"/>
          <w14:textFill>
            <w14:solidFill>
              <w14:schemeClr w14:val="tx1"/>
            </w14:solidFill>
          </w14:textFill>
        </w:rPr>
      </w:pPr>
      <w:r>
        <w:rPr>
          <w:rFonts w:hint="eastAsia" w:hAnsi="宋体" w:cs="宋体"/>
          <w:bCs/>
          <w:color w:val="000000" w:themeColor="text1"/>
          <w:kern w:val="0"/>
          <w:szCs w:val="21"/>
          <w:highlight w:val="none"/>
          <w14:textFill>
            <w14:solidFill>
              <w14:schemeClr w14:val="tx1"/>
            </w14:solidFill>
          </w14:textFill>
        </w:rPr>
        <w:t>（四）为本标段的代建人；</w:t>
      </w:r>
    </w:p>
    <w:p w14:paraId="3FDD488C">
      <w:pPr>
        <w:pStyle w:val="7"/>
        <w:spacing w:line="360" w:lineRule="auto"/>
        <w:ind w:firstLine="420" w:firstLineChars="200"/>
        <w:rPr>
          <w:rFonts w:hint="eastAsia" w:hAnsi="宋体" w:cs="宋体"/>
          <w:bCs/>
          <w:color w:val="000000" w:themeColor="text1"/>
          <w:kern w:val="0"/>
          <w:szCs w:val="21"/>
          <w:highlight w:val="none"/>
          <w14:textFill>
            <w14:solidFill>
              <w14:schemeClr w14:val="tx1"/>
            </w14:solidFill>
          </w14:textFill>
        </w:rPr>
      </w:pPr>
      <w:r>
        <w:rPr>
          <w:rFonts w:hint="eastAsia" w:hAnsi="宋体" w:cs="宋体"/>
          <w:bCs/>
          <w:color w:val="000000" w:themeColor="text1"/>
          <w:kern w:val="0"/>
          <w:szCs w:val="21"/>
          <w:highlight w:val="none"/>
          <w14:textFill>
            <w14:solidFill>
              <w14:schemeClr w14:val="tx1"/>
            </w14:solidFill>
          </w14:textFill>
        </w:rPr>
        <w:t>（五）为本标段提供招标代理服务的；</w:t>
      </w:r>
    </w:p>
    <w:p w14:paraId="1DA89F5E">
      <w:pPr>
        <w:pStyle w:val="7"/>
        <w:spacing w:line="360" w:lineRule="auto"/>
        <w:ind w:firstLine="420" w:firstLineChars="200"/>
        <w:rPr>
          <w:rFonts w:hint="eastAsia" w:hAnsi="宋体" w:cs="宋体"/>
          <w:bCs/>
          <w:color w:val="000000" w:themeColor="text1"/>
          <w:kern w:val="0"/>
          <w:szCs w:val="21"/>
          <w:highlight w:val="none"/>
          <w14:textFill>
            <w14:solidFill>
              <w14:schemeClr w14:val="tx1"/>
            </w14:solidFill>
          </w14:textFill>
        </w:rPr>
      </w:pPr>
      <w:r>
        <w:rPr>
          <w:rFonts w:hint="eastAsia" w:hAnsi="宋体" w:cs="宋体"/>
          <w:bCs/>
          <w:color w:val="000000" w:themeColor="text1"/>
          <w:kern w:val="0"/>
          <w:szCs w:val="21"/>
          <w:highlight w:val="none"/>
          <w14:textFill>
            <w14:solidFill>
              <w14:schemeClr w14:val="tx1"/>
            </w14:solidFill>
          </w14:textFill>
        </w:rPr>
        <w:t>（六）与本标段的监理人或代建人或招标代理机构同为一个法定代表人的；</w:t>
      </w:r>
    </w:p>
    <w:p w14:paraId="5D97198D">
      <w:pPr>
        <w:pStyle w:val="7"/>
        <w:spacing w:line="360" w:lineRule="auto"/>
        <w:ind w:firstLine="420" w:firstLineChars="200"/>
        <w:rPr>
          <w:rFonts w:hint="eastAsia" w:hAnsi="宋体" w:cs="宋体"/>
          <w:bCs/>
          <w:color w:val="000000" w:themeColor="text1"/>
          <w:kern w:val="0"/>
          <w:szCs w:val="21"/>
          <w:highlight w:val="none"/>
          <w14:textFill>
            <w14:solidFill>
              <w14:schemeClr w14:val="tx1"/>
            </w14:solidFill>
          </w14:textFill>
        </w:rPr>
      </w:pPr>
      <w:r>
        <w:rPr>
          <w:rFonts w:hint="eastAsia" w:hAnsi="宋体" w:cs="宋体"/>
          <w:bCs/>
          <w:color w:val="000000" w:themeColor="text1"/>
          <w:kern w:val="0"/>
          <w:szCs w:val="21"/>
          <w:highlight w:val="none"/>
          <w14:textFill>
            <w14:solidFill>
              <w14:schemeClr w14:val="tx1"/>
            </w14:solidFill>
          </w14:textFill>
        </w:rPr>
        <w:t>（七）与本标段的监理人或代建人或招标代理机构互相控股或参股的；</w:t>
      </w:r>
    </w:p>
    <w:p w14:paraId="0CDE4478">
      <w:pPr>
        <w:pStyle w:val="7"/>
        <w:spacing w:line="360" w:lineRule="auto"/>
        <w:ind w:firstLine="420" w:firstLineChars="200"/>
        <w:rPr>
          <w:rFonts w:hint="eastAsia" w:hAnsi="宋体" w:cs="宋体"/>
          <w:bCs/>
          <w:color w:val="000000" w:themeColor="text1"/>
          <w:kern w:val="0"/>
          <w:szCs w:val="21"/>
          <w:highlight w:val="none"/>
          <w14:textFill>
            <w14:solidFill>
              <w14:schemeClr w14:val="tx1"/>
            </w14:solidFill>
          </w14:textFill>
        </w:rPr>
      </w:pPr>
      <w:r>
        <w:rPr>
          <w:rFonts w:hint="eastAsia" w:hAnsi="宋体" w:cs="宋体"/>
          <w:bCs/>
          <w:color w:val="000000" w:themeColor="text1"/>
          <w:kern w:val="0"/>
          <w:szCs w:val="21"/>
          <w:highlight w:val="none"/>
          <w14:textFill>
            <w14:solidFill>
              <w14:schemeClr w14:val="tx1"/>
            </w14:solidFill>
          </w14:textFill>
        </w:rPr>
        <w:t>（八）与本标段的监理人或代建人或招标代理机构相互任职或工作的；</w:t>
      </w:r>
    </w:p>
    <w:p w14:paraId="4D643ACF">
      <w:pPr>
        <w:pStyle w:val="7"/>
        <w:spacing w:line="360" w:lineRule="auto"/>
        <w:ind w:firstLine="420" w:firstLineChars="200"/>
        <w:rPr>
          <w:rFonts w:hint="eastAsia" w:hAnsi="宋体" w:cs="宋体"/>
          <w:bCs/>
          <w:color w:val="000000" w:themeColor="text1"/>
          <w:kern w:val="0"/>
          <w:szCs w:val="21"/>
          <w:highlight w:val="none"/>
          <w14:textFill>
            <w14:solidFill>
              <w14:schemeClr w14:val="tx1"/>
            </w14:solidFill>
          </w14:textFill>
        </w:rPr>
      </w:pPr>
      <w:r>
        <w:rPr>
          <w:rFonts w:hint="eastAsia" w:hAnsi="宋体" w:cs="宋体"/>
          <w:bCs/>
          <w:color w:val="000000" w:themeColor="text1"/>
          <w:kern w:val="0"/>
          <w:szCs w:val="21"/>
          <w:highlight w:val="none"/>
          <w14:textFill>
            <w14:solidFill>
              <w14:schemeClr w14:val="tx1"/>
            </w14:solidFill>
          </w14:textFill>
        </w:rPr>
        <w:t>（九）与本标段的检测机构有隶属关系或者其他利害关系；</w:t>
      </w:r>
    </w:p>
    <w:p w14:paraId="4D3BA04A">
      <w:pPr>
        <w:pStyle w:val="7"/>
        <w:spacing w:line="360" w:lineRule="auto"/>
        <w:ind w:firstLine="420" w:firstLineChars="200"/>
        <w:rPr>
          <w:rFonts w:hint="eastAsia" w:hAnsi="宋体" w:cs="宋体"/>
          <w:bCs/>
          <w:color w:val="000000" w:themeColor="text1"/>
          <w:kern w:val="0"/>
          <w:szCs w:val="21"/>
          <w:highlight w:val="none"/>
          <w14:textFill>
            <w14:solidFill>
              <w14:schemeClr w14:val="tx1"/>
            </w14:solidFill>
          </w14:textFill>
        </w:rPr>
      </w:pPr>
      <w:r>
        <w:rPr>
          <w:rFonts w:hint="eastAsia" w:hAnsi="宋体" w:cs="宋体"/>
          <w:bCs/>
          <w:color w:val="000000" w:themeColor="text1"/>
          <w:kern w:val="0"/>
          <w:szCs w:val="21"/>
          <w:highlight w:val="none"/>
          <w14:textFill>
            <w14:solidFill>
              <w14:schemeClr w14:val="tx1"/>
            </w14:solidFill>
          </w14:textFill>
        </w:rPr>
        <w:t xml:space="preserve">（十）与招标人存在利害关系且可能影响招标公正性； </w:t>
      </w:r>
    </w:p>
    <w:p w14:paraId="73FBF7E2">
      <w:pPr>
        <w:pStyle w:val="7"/>
        <w:spacing w:line="360" w:lineRule="auto"/>
        <w:ind w:firstLine="420" w:firstLineChars="200"/>
        <w:rPr>
          <w:rFonts w:hint="eastAsia" w:hAnsi="宋体" w:cs="宋体"/>
          <w:bCs/>
          <w:color w:val="000000" w:themeColor="text1"/>
          <w:kern w:val="0"/>
          <w:szCs w:val="21"/>
          <w:highlight w:val="none"/>
          <w14:textFill>
            <w14:solidFill>
              <w14:schemeClr w14:val="tx1"/>
            </w14:solidFill>
          </w14:textFill>
        </w:rPr>
      </w:pPr>
      <w:r>
        <w:rPr>
          <w:rFonts w:hint="eastAsia" w:hAnsi="宋体" w:cs="宋体"/>
          <w:bCs/>
          <w:color w:val="000000" w:themeColor="text1"/>
          <w:kern w:val="0"/>
          <w:szCs w:val="21"/>
          <w:highlight w:val="none"/>
          <w14:textFill>
            <w14:solidFill>
              <w14:schemeClr w14:val="tx1"/>
            </w14:solidFill>
          </w14:textFill>
        </w:rPr>
        <w:t>（十一）被依法暂停或取消投标资格的；（</w:t>
      </w:r>
      <w:r>
        <w:rPr>
          <w:rFonts w:hint="eastAsia" w:hAnsi="宋体" w:cs="宋体"/>
          <w:bCs/>
          <w:color w:val="000000" w:themeColor="text1"/>
          <w:kern w:val="0"/>
          <w:szCs w:val="21"/>
          <w:highlight w:val="none"/>
          <w:lang w:val="zh-CN"/>
          <w14:textFill>
            <w14:solidFill>
              <w14:schemeClr w14:val="tx1"/>
            </w14:solidFill>
          </w14:textFill>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hAnsi="宋体" w:cs="宋体"/>
          <w:bCs/>
          <w:color w:val="000000" w:themeColor="text1"/>
          <w:kern w:val="0"/>
          <w:szCs w:val="21"/>
          <w:highlight w:val="none"/>
          <w14:textFill>
            <w14:solidFill>
              <w14:schemeClr w14:val="tx1"/>
            </w14:solidFill>
          </w14:textFill>
        </w:rPr>
        <w:t xml:space="preserve">） </w:t>
      </w:r>
    </w:p>
    <w:p w14:paraId="052A4138">
      <w:pPr>
        <w:pStyle w:val="7"/>
        <w:spacing w:line="360" w:lineRule="auto"/>
        <w:ind w:firstLine="420" w:firstLineChars="200"/>
        <w:rPr>
          <w:rFonts w:hint="eastAsia" w:hAnsi="宋体" w:cs="宋体"/>
          <w:bCs/>
          <w:color w:val="000000" w:themeColor="text1"/>
          <w:kern w:val="0"/>
          <w:szCs w:val="21"/>
          <w:highlight w:val="none"/>
          <w14:textFill>
            <w14:solidFill>
              <w14:schemeClr w14:val="tx1"/>
            </w14:solidFill>
          </w14:textFill>
        </w:rPr>
      </w:pPr>
      <w:r>
        <w:rPr>
          <w:rFonts w:hint="eastAsia" w:hAnsi="宋体" w:cs="宋体"/>
          <w:bCs/>
          <w:color w:val="000000" w:themeColor="text1"/>
          <w:kern w:val="0"/>
          <w:szCs w:val="21"/>
          <w:highlight w:val="none"/>
          <w14:textFill>
            <w14:solidFill>
              <w14:schemeClr w14:val="tx1"/>
            </w14:solidFill>
          </w14:textFill>
        </w:rPr>
        <w:t>（十二）被责令停产停业、暂扣或者吊销许可证、暂扣或者吊销执照的（</w:t>
      </w:r>
      <w:r>
        <w:rPr>
          <w:rFonts w:hint="eastAsia" w:hAnsi="宋体" w:cs="宋体"/>
          <w:bCs/>
          <w:color w:val="000000" w:themeColor="text1"/>
          <w:kern w:val="0"/>
          <w:szCs w:val="21"/>
          <w:highlight w:val="none"/>
          <w:lang w:val="zh-CN"/>
          <w14:textFill>
            <w14:solidFill>
              <w14:schemeClr w14:val="tx1"/>
            </w14:solidFill>
          </w14:textFill>
        </w:rPr>
        <w:t>本项事实应当以根据《中华人民共和国行政处罚法》依法作出并已经生效的行政处罚决定为认定依据。</w:t>
      </w:r>
      <w:r>
        <w:rPr>
          <w:rFonts w:hint="eastAsia" w:hAnsi="宋体" w:cs="宋体"/>
          <w:bCs/>
          <w:color w:val="000000" w:themeColor="text1"/>
          <w:kern w:val="0"/>
          <w:szCs w:val="21"/>
          <w:highlight w:val="none"/>
          <w14:textFill>
            <w14:solidFill>
              <w14:schemeClr w14:val="tx1"/>
            </w14:solidFill>
          </w14:textFill>
        </w:rPr>
        <w:t>）；</w:t>
      </w:r>
    </w:p>
    <w:p w14:paraId="074A5882">
      <w:pPr>
        <w:pStyle w:val="7"/>
        <w:spacing w:line="360" w:lineRule="auto"/>
        <w:ind w:firstLine="420" w:firstLineChars="200"/>
        <w:rPr>
          <w:rFonts w:hint="eastAsia" w:hAnsi="宋体" w:cs="宋体"/>
          <w:bCs/>
          <w:color w:val="000000" w:themeColor="text1"/>
          <w:kern w:val="0"/>
          <w:szCs w:val="21"/>
          <w:highlight w:val="none"/>
          <w14:textFill>
            <w14:solidFill>
              <w14:schemeClr w14:val="tx1"/>
            </w14:solidFill>
          </w14:textFill>
        </w:rPr>
      </w:pPr>
      <w:r>
        <w:rPr>
          <w:rFonts w:hint="eastAsia" w:hAnsi="宋体" w:cs="宋体"/>
          <w:bCs/>
          <w:color w:val="000000" w:themeColor="text1"/>
          <w:kern w:val="0"/>
          <w:szCs w:val="21"/>
          <w:highlight w:val="none"/>
          <w14:textFill>
            <w14:solidFill>
              <w14:schemeClr w14:val="tx1"/>
            </w14:solidFill>
          </w14:textFill>
        </w:rPr>
        <w:t>（十三）进入清算程序，或被宣布破产，或其他丧失履约能力的情形；</w:t>
      </w:r>
    </w:p>
    <w:p w14:paraId="3C817442">
      <w:pPr>
        <w:pStyle w:val="7"/>
        <w:spacing w:line="360" w:lineRule="auto"/>
        <w:ind w:firstLine="420" w:firstLineChars="200"/>
        <w:rPr>
          <w:rFonts w:hint="eastAsia" w:hAnsi="宋体" w:cs="宋体"/>
          <w:bCs/>
          <w:color w:val="000000" w:themeColor="text1"/>
          <w:kern w:val="0"/>
          <w:szCs w:val="21"/>
          <w:highlight w:val="none"/>
          <w14:textFill>
            <w14:solidFill>
              <w14:schemeClr w14:val="tx1"/>
            </w14:solidFill>
          </w14:textFill>
        </w:rPr>
      </w:pPr>
      <w:r>
        <w:rPr>
          <w:rFonts w:hint="eastAsia" w:hAnsi="宋体" w:cs="宋体"/>
          <w:bCs/>
          <w:color w:val="000000" w:themeColor="text1"/>
          <w:kern w:val="0"/>
          <w:szCs w:val="21"/>
          <w:highlight w:val="none"/>
          <w14:textFill>
            <w14:solidFill>
              <w14:schemeClr w14:val="tx1"/>
            </w14:solidFill>
          </w14:textFill>
        </w:rPr>
        <w:t>（十四）在最近三年内有严重违约或重大工程质量问题的；（</w:t>
      </w:r>
      <w:r>
        <w:rPr>
          <w:rFonts w:hint="eastAsia" w:hAnsi="宋体" w:cs="宋体"/>
          <w:bCs/>
          <w:color w:val="000000" w:themeColor="text1"/>
          <w:kern w:val="0"/>
          <w:szCs w:val="21"/>
          <w:highlight w:val="none"/>
          <w:lang w:val="zh-CN"/>
          <w14:textFill>
            <w14:solidFill>
              <w14:schemeClr w14:val="tx1"/>
            </w14:solidFill>
          </w14:textFill>
        </w:rPr>
        <w:t>“严重违约”事实应当以</w:t>
      </w:r>
      <w:r>
        <w:rPr>
          <w:rFonts w:hint="eastAsia" w:hAnsi="宋体" w:cs="宋体"/>
          <w:bCs/>
          <w:color w:val="000000" w:themeColor="text1"/>
          <w:kern w:val="0"/>
          <w:szCs w:val="21"/>
          <w:highlight w:val="none"/>
          <w14:textFill>
            <w14:solidFill>
              <w14:schemeClr w14:val="tx1"/>
            </w14:solidFill>
          </w14:textFill>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7C34064B">
      <w:pPr>
        <w:pStyle w:val="34"/>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（十五）法律法规规定的其他情形。</w:t>
      </w:r>
    </w:p>
    <w:p w14:paraId="652288CE">
      <w:pPr>
        <w:pStyle w:val="34"/>
        <w:ind w:firstLine="420" w:firstLineChars="200"/>
        <w:rPr>
          <w:rFonts w:hint="eastAsia"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四、本公司保证：本项目拟派的项目负责人在投标截止时没有在其他在建项目中任施工单位项目负责人。</w:t>
      </w:r>
    </w:p>
    <w:p w14:paraId="1D2F47EA">
      <w:pPr>
        <w:pStyle w:val="34"/>
        <w:ind w:firstLine="420" w:firstLineChars="200"/>
        <w:rPr>
          <w:rFonts w:hint="eastAsia"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2423BE36">
      <w:pPr>
        <w:widowControl/>
        <w:spacing w:line="360" w:lineRule="auto"/>
        <w:ind w:firstLine="420" w:firstLineChars="200"/>
        <w:jc w:val="left"/>
        <w:rPr>
          <w:rFonts w:hint="eastAsia" w:ascii="宋体" w:hAnsi="宋体"/>
          <w:bCs/>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六</w:t>
      </w:r>
      <w:r>
        <w:rPr>
          <w:rFonts w:hint="eastAsia" w:ascii="宋体" w:hAnsi="宋体"/>
          <w:bCs/>
          <w:color w:val="000000" w:themeColor="text1"/>
          <w:kern w:val="0"/>
          <w:szCs w:val="21"/>
          <w:highlight w:val="none"/>
          <w14:textFill>
            <w14:solidFill>
              <w14:schemeClr w14:val="tx1"/>
            </w14:solidFill>
          </w14:textFill>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2E8E6933">
      <w:pPr>
        <w:widowControl/>
        <w:spacing w:line="360" w:lineRule="auto"/>
        <w:ind w:firstLine="420" w:firstLineChars="200"/>
        <w:jc w:val="left"/>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七</w:t>
      </w:r>
      <w:r>
        <w:rPr>
          <w:rFonts w:hint="eastAsia" w:ascii="宋体" w:hAnsi="宋体"/>
          <w:color w:val="000000" w:themeColor="text1"/>
          <w:kern w:val="0"/>
          <w:szCs w:val="21"/>
          <w:highlight w:val="none"/>
          <w14:textFill>
            <w14:solidFill>
              <w14:schemeClr w14:val="tx1"/>
            </w14:solidFill>
          </w14:textFill>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5A417408">
      <w:pPr>
        <w:pStyle w:val="34"/>
        <w:ind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八、本公司承诺，切实落实《住房城乡建设部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14:paraId="722FDDD5">
      <w:pPr>
        <w:pStyle w:val="34"/>
        <w:ind w:firstLine="420" w:firstLineChars="200"/>
        <w:jc w:val="left"/>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九、与本公司单位负责人为同一人或者与本公司存在控股、管理关系的其他单位包括：</w:t>
      </w:r>
      <w:r>
        <w:rPr>
          <w:rFonts w:hint="eastAsia" w:ascii="宋体" w:hAnsi="宋体" w:eastAsia="宋体"/>
          <w:color w:val="000000" w:themeColor="text1"/>
          <w:sz w:val="21"/>
          <w:szCs w:val="21"/>
          <w:highlight w:val="none"/>
          <w:u w:val="single"/>
          <w14:textFill>
            <w14:solidFill>
              <w14:schemeClr w14:val="tx1"/>
            </w14:solidFill>
          </w14:textFill>
        </w:rPr>
        <w:t xml:space="preserve">          </w:t>
      </w:r>
      <w:r>
        <w:rPr>
          <w:rFonts w:hint="eastAsia" w:ascii="宋体" w:hAnsi="宋体" w:eastAsia="宋体"/>
          <w:color w:val="000000" w:themeColor="text1"/>
          <w:sz w:val="21"/>
          <w:szCs w:val="21"/>
          <w:highlight w:val="none"/>
          <w14:textFill>
            <w14:solidFill>
              <w14:schemeClr w14:val="tx1"/>
            </w14:solidFill>
          </w14:textFill>
        </w:rPr>
        <w:t xml:space="preserve"> 。（注：本条由投标人如实填写，如有，应列出全部满足招标公告资质要求的相关单位的名称；如无，则填写“无”。）</w:t>
      </w:r>
    </w:p>
    <w:p w14:paraId="739CFD76">
      <w:pPr>
        <w:pStyle w:val="34"/>
        <w:ind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十、本公司拟委派专职安全员兼任本工程的工地余泥渣土运输与排放管理员，严格遵守建设工程余泥渣土运输与排放管理制度，执行“一不准进、三不准出”规定，选择合法的余泥渣土运输单位及排放点。</w:t>
      </w:r>
    </w:p>
    <w:p w14:paraId="401D6736">
      <w:pPr>
        <w:pStyle w:val="34"/>
        <w:ind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十一、本公司承诺，中标后将按招标人要求，积极响应广州市关于投身“百千万工程”的号召，主动参与建筑业结对帮扶。</w:t>
      </w:r>
    </w:p>
    <w:p w14:paraId="4DEE2F9D">
      <w:pPr>
        <w:pStyle w:val="34"/>
        <w:ind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十二、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1D0CE1A6">
      <w:pPr>
        <w:pStyle w:val="34"/>
        <w:ind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十三、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0646BE75">
      <w:pPr>
        <w:pStyle w:val="34"/>
        <w:ind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特此声明。</w:t>
      </w:r>
    </w:p>
    <w:p w14:paraId="73ACD384">
      <w:pPr>
        <w:pStyle w:val="35"/>
        <w:ind w:left="629" w:right="1449"/>
        <w:jc w:val="both"/>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 xml:space="preserve">                         声明企业：</w:t>
      </w:r>
    </w:p>
    <w:p w14:paraId="4534B5EB">
      <w:pPr>
        <w:pStyle w:val="34"/>
        <w:ind w:right="1179" w:firstLine="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 xml:space="preserve">                             项目负责人签字：</w:t>
      </w:r>
    </w:p>
    <w:p w14:paraId="49AC718B">
      <w:pPr>
        <w:pStyle w:val="34"/>
        <w:ind w:right="879" w:firstLine="0"/>
        <w:jc w:val="left"/>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 xml:space="preserve">                             技术负责人签字：</w:t>
      </w:r>
    </w:p>
    <w:p w14:paraId="6C697FA4">
      <w:pPr>
        <w:pStyle w:val="34"/>
        <w:ind w:right="879" w:firstLine="5040" w:firstLineChars="2400"/>
        <w:jc w:val="left"/>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 xml:space="preserve">年   月   日                 </w:t>
      </w:r>
    </w:p>
    <w:p w14:paraId="30AB5258">
      <w:pPr>
        <w:widowControl/>
        <w:snapToGrid w:val="0"/>
        <w:spacing w:line="360" w:lineRule="auto"/>
        <w:ind w:right="102"/>
        <w:jc w:val="left"/>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注：招标人应当要求投标人的项目负责人和技术负责人签字。 </w:t>
      </w:r>
    </w:p>
    <w:p w14:paraId="470E81FA">
      <w:pPr>
        <w:widowControl/>
        <w:spacing w:line="360" w:lineRule="auto"/>
        <w:jc w:val="left"/>
        <w:rPr>
          <w:rFonts w:hint="eastAsia" w:ascii="宋体" w:hAnsi="宋体"/>
          <w:color w:val="000000" w:themeColor="text1"/>
          <w:kern w:val="0"/>
          <w:szCs w:val="21"/>
          <w:highlight w:val="none"/>
          <w14:textFill>
            <w14:solidFill>
              <w14:schemeClr w14:val="tx1"/>
            </w14:solidFill>
          </w14:textFill>
        </w:rPr>
      </w:pPr>
    </w:p>
    <w:p w14:paraId="5FA82323">
      <w:pP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p>
    <w:p w14:paraId="04080B15">
      <w:pPr>
        <w:pStyle w:val="3"/>
        <w:ind w:firstLine="0"/>
        <w:rPr>
          <w:rFonts w:hint="eastAsia"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附件二：</w:t>
      </w:r>
    </w:p>
    <w:p w14:paraId="49E40CD7">
      <w:pPr>
        <w:snapToGrid w:val="0"/>
        <w:spacing w:after="78" w:afterLines="25" w:line="360" w:lineRule="auto"/>
        <w:jc w:val="center"/>
        <w:rPr>
          <w:rFonts w:hint="eastAsia" w:ascii="宋体" w:hAnsi="宋体"/>
          <w:b/>
          <w:color w:val="000000" w:themeColor="text1"/>
          <w:kern w:val="0"/>
          <w:sz w:val="36"/>
          <w:szCs w:val="36"/>
          <w:highlight w:val="none"/>
          <w14:textFill>
            <w14:solidFill>
              <w14:schemeClr w14:val="tx1"/>
            </w14:solidFill>
          </w14:textFill>
        </w:rPr>
      </w:pPr>
      <w:r>
        <w:rPr>
          <w:rFonts w:hint="eastAsia" w:ascii="宋体" w:hAnsi="宋体"/>
          <w:b/>
          <w:color w:val="000000" w:themeColor="text1"/>
          <w:kern w:val="0"/>
          <w:sz w:val="36"/>
          <w:szCs w:val="36"/>
          <w:highlight w:val="none"/>
          <w14:textFill>
            <w14:solidFill>
              <w14:schemeClr w14:val="tx1"/>
            </w14:solidFill>
          </w14:textFill>
        </w:rPr>
        <w:t>施工项目管理团队人员信息表</w:t>
      </w:r>
    </w:p>
    <w:tbl>
      <w:tblPr>
        <w:tblStyle w:val="18"/>
        <w:tblW w:w="4997" w:type="pct"/>
        <w:jc w:val="center"/>
        <w:tblLayout w:type="autofit"/>
        <w:tblCellMar>
          <w:top w:w="0" w:type="dxa"/>
          <w:left w:w="108" w:type="dxa"/>
          <w:bottom w:w="0" w:type="dxa"/>
          <w:right w:w="108" w:type="dxa"/>
        </w:tblCellMar>
      </w:tblPr>
      <w:tblGrid>
        <w:gridCol w:w="612"/>
        <w:gridCol w:w="731"/>
        <w:gridCol w:w="1571"/>
        <w:gridCol w:w="3182"/>
        <w:gridCol w:w="2421"/>
      </w:tblGrid>
      <w:tr w14:paraId="6B2F0A1B">
        <w:tblPrEx>
          <w:tblCellMar>
            <w:top w:w="0" w:type="dxa"/>
            <w:left w:w="108" w:type="dxa"/>
            <w:bottom w:w="0" w:type="dxa"/>
            <w:right w:w="108" w:type="dxa"/>
          </w:tblCellMar>
        </w:tblPrEx>
        <w:trPr>
          <w:trHeight w:val="482"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017888F5">
            <w:pPr>
              <w:snapToGrid w:val="0"/>
              <w:spacing w:line="360" w:lineRule="auto"/>
              <w:ind w:left="-53" w:leftChars="-25" w:right="-53" w:rightChars="-25"/>
              <w:jc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sz w:val="20"/>
                <w:szCs w:val="20"/>
                <w:highlight w:val="none"/>
                <w14:textFill>
                  <w14:solidFill>
                    <w14:schemeClr w14:val="tx1"/>
                  </w14:solidFill>
                </w14:textFill>
              </w:rPr>
              <w:t>序号</w:t>
            </w:r>
          </w:p>
        </w:tc>
        <w:tc>
          <w:tcPr>
            <w:tcW w:w="429" w:type="pct"/>
            <w:tcBorders>
              <w:top w:val="single" w:color="auto" w:sz="4" w:space="0"/>
              <w:left w:val="nil"/>
              <w:bottom w:val="single" w:color="auto" w:sz="4" w:space="0"/>
              <w:right w:val="single" w:color="auto" w:sz="4" w:space="0"/>
            </w:tcBorders>
            <w:vAlign w:val="center"/>
          </w:tcPr>
          <w:p w14:paraId="51925EFA">
            <w:pPr>
              <w:snapToGrid w:val="0"/>
              <w:spacing w:line="360" w:lineRule="auto"/>
              <w:ind w:left="-53" w:leftChars="-25" w:right="-53" w:rightChars="-25"/>
              <w:jc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sz w:val="20"/>
                <w:szCs w:val="20"/>
                <w:highlight w:val="none"/>
                <w14:textFill>
                  <w14:solidFill>
                    <w14:schemeClr w14:val="tx1"/>
                  </w14:solidFill>
                </w14:textFill>
              </w:rPr>
              <w:t>姓名</w:t>
            </w:r>
          </w:p>
        </w:tc>
        <w:tc>
          <w:tcPr>
            <w:tcW w:w="922" w:type="pct"/>
            <w:tcBorders>
              <w:top w:val="single" w:color="auto" w:sz="4" w:space="0"/>
              <w:left w:val="nil"/>
              <w:bottom w:val="single" w:color="auto" w:sz="4" w:space="0"/>
              <w:right w:val="single" w:color="auto" w:sz="4" w:space="0"/>
            </w:tcBorders>
            <w:vAlign w:val="center"/>
          </w:tcPr>
          <w:p w14:paraId="797716E2">
            <w:pPr>
              <w:snapToGrid w:val="0"/>
              <w:spacing w:line="360" w:lineRule="auto"/>
              <w:ind w:left="-53" w:leftChars="-25" w:right="-53" w:rightChars="-25"/>
              <w:jc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sz w:val="20"/>
                <w:szCs w:val="20"/>
                <w:highlight w:val="none"/>
                <w14:textFill>
                  <w14:solidFill>
                    <w14:schemeClr w14:val="tx1"/>
                  </w14:solidFill>
                </w14:textFill>
              </w:rPr>
              <w:t>岗位</w:t>
            </w:r>
          </w:p>
        </w:tc>
        <w:tc>
          <w:tcPr>
            <w:tcW w:w="1868" w:type="pct"/>
            <w:tcBorders>
              <w:top w:val="single" w:color="auto" w:sz="4" w:space="0"/>
              <w:left w:val="nil"/>
              <w:bottom w:val="single" w:color="auto" w:sz="4" w:space="0"/>
              <w:right w:val="single" w:color="auto" w:sz="4" w:space="0"/>
            </w:tcBorders>
            <w:vAlign w:val="center"/>
          </w:tcPr>
          <w:p w14:paraId="4C0E9CFF">
            <w:pPr>
              <w:snapToGrid w:val="0"/>
              <w:spacing w:line="360" w:lineRule="auto"/>
              <w:ind w:left="-53" w:leftChars="-25" w:right="-53" w:rightChars="-25"/>
              <w:jc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sz w:val="20"/>
                <w:szCs w:val="20"/>
                <w:highlight w:val="none"/>
                <w14:textFill>
                  <w14:solidFill>
                    <w14:schemeClr w14:val="tx1"/>
                  </w14:solidFill>
                </w14:textFill>
              </w:rPr>
              <w:t>职称</w:t>
            </w:r>
          </w:p>
        </w:tc>
        <w:tc>
          <w:tcPr>
            <w:tcW w:w="1418" w:type="pct"/>
            <w:tcBorders>
              <w:top w:val="single" w:color="auto" w:sz="4" w:space="0"/>
              <w:left w:val="nil"/>
              <w:bottom w:val="single" w:color="auto" w:sz="4" w:space="0"/>
              <w:right w:val="single" w:color="auto" w:sz="4" w:space="0"/>
            </w:tcBorders>
            <w:vAlign w:val="center"/>
          </w:tcPr>
          <w:p w14:paraId="21C01087">
            <w:pPr>
              <w:snapToGrid w:val="0"/>
              <w:spacing w:line="360" w:lineRule="auto"/>
              <w:ind w:left="-53" w:leftChars="-25" w:right="-53" w:rightChars="-25"/>
              <w:jc w:val="center"/>
              <w:rPr>
                <w:rFonts w:hint="eastAsia"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sz w:val="20"/>
                <w:szCs w:val="20"/>
                <w:highlight w:val="none"/>
                <w14:textFill>
                  <w14:solidFill>
                    <w14:schemeClr w14:val="tx1"/>
                  </w14:solidFill>
                </w14:textFill>
              </w:rPr>
              <w:t>职称证书或资格证书编号</w:t>
            </w:r>
          </w:p>
        </w:tc>
      </w:tr>
      <w:tr w14:paraId="30FEB71B">
        <w:tblPrEx>
          <w:tblCellMar>
            <w:top w:w="0" w:type="dxa"/>
            <w:left w:w="108" w:type="dxa"/>
            <w:bottom w:w="0" w:type="dxa"/>
            <w:right w:w="108" w:type="dxa"/>
          </w:tblCellMar>
        </w:tblPrEx>
        <w:trPr>
          <w:trHeight w:val="454"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4BD0E7F0">
            <w:pPr>
              <w:snapToGrid w:val="0"/>
              <w:spacing w:line="360" w:lineRule="auto"/>
              <w:ind w:left="-53" w:leftChars="-25" w:right="-53" w:rightChars="-25"/>
              <w:jc w:val="center"/>
              <w:rPr>
                <w:rFonts w:hint="eastAsia" w:ascii="宋体" w:hAnsi="宋体" w:cs="宋体"/>
                <w:bCs/>
                <w:color w:val="000000" w:themeColor="text1"/>
                <w:sz w:val="20"/>
                <w:szCs w:val="20"/>
                <w:highlight w:val="none"/>
                <w14:textFill>
                  <w14:solidFill>
                    <w14:schemeClr w14:val="tx1"/>
                  </w14:solidFill>
                </w14:textFill>
              </w:rPr>
            </w:pPr>
            <w:r>
              <w:rPr>
                <w:rFonts w:ascii="宋体" w:hAnsi="宋体" w:cs="宋体"/>
                <w:bCs/>
                <w:color w:val="000000" w:themeColor="text1"/>
                <w:sz w:val="20"/>
                <w:szCs w:val="20"/>
                <w:highlight w:val="none"/>
                <w14:textFill>
                  <w14:solidFill>
                    <w14:schemeClr w14:val="tx1"/>
                  </w14:solidFill>
                </w14:textFill>
              </w:rPr>
              <w:t>1</w:t>
            </w:r>
          </w:p>
        </w:tc>
        <w:tc>
          <w:tcPr>
            <w:tcW w:w="429" w:type="pct"/>
            <w:tcBorders>
              <w:top w:val="single" w:color="auto" w:sz="4" w:space="0"/>
              <w:left w:val="nil"/>
              <w:bottom w:val="single" w:color="auto" w:sz="4" w:space="0"/>
              <w:right w:val="single" w:color="auto" w:sz="4" w:space="0"/>
            </w:tcBorders>
            <w:vAlign w:val="center"/>
          </w:tcPr>
          <w:p w14:paraId="3E33072D">
            <w:pPr>
              <w:snapToGrid w:val="0"/>
              <w:spacing w:line="360" w:lineRule="auto"/>
              <w:ind w:left="-53" w:leftChars="-25" w:right="-53" w:rightChars="-25"/>
              <w:jc w:val="center"/>
              <w:rPr>
                <w:rFonts w:hint="eastAsia" w:ascii="宋体" w:hAnsi="宋体" w:cs="宋体"/>
                <w:bCs/>
                <w:color w:val="000000" w:themeColor="text1"/>
                <w:sz w:val="20"/>
                <w:szCs w:val="20"/>
                <w:highlight w:val="none"/>
                <w14:textFill>
                  <w14:solidFill>
                    <w14:schemeClr w14:val="tx1"/>
                  </w14:solidFill>
                </w14:textFill>
              </w:rPr>
            </w:pPr>
          </w:p>
        </w:tc>
        <w:tc>
          <w:tcPr>
            <w:tcW w:w="922" w:type="pct"/>
            <w:tcBorders>
              <w:top w:val="single" w:color="auto" w:sz="4" w:space="0"/>
              <w:left w:val="nil"/>
              <w:bottom w:val="single" w:color="auto" w:sz="4" w:space="0"/>
              <w:right w:val="single" w:color="auto" w:sz="4" w:space="0"/>
            </w:tcBorders>
            <w:vAlign w:val="center"/>
          </w:tcPr>
          <w:p w14:paraId="03F8FF5A">
            <w:pPr>
              <w:widowControl/>
              <w:jc w:val="center"/>
              <w:rPr>
                <w:rFonts w:ascii="宋体" w:cs="宋体"/>
                <w:bCs/>
                <w:color w:val="000000" w:themeColor="text1"/>
                <w:sz w:val="20"/>
                <w:szCs w:val="20"/>
                <w:highlight w:val="none"/>
                <w14:textFill>
                  <w14:solidFill>
                    <w14:schemeClr w14:val="tx1"/>
                  </w14:solidFill>
                </w14:textFill>
              </w:rPr>
            </w:pPr>
            <w:r>
              <w:rPr>
                <w:rFonts w:hint="eastAsia" w:ascii="宋体" w:cs="宋体"/>
                <w:bCs/>
                <w:color w:val="000000" w:themeColor="text1"/>
                <w:sz w:val="20"/>
                <w:szCs w:val="20"/>
                <w:highlight w:val="none"/>
                <w14:textFill>
                  <w14:solidFill>
                    <w14:schemeClr w14:val="tx1"/>
                  </w14:solidFill>
                </w14:textFill>
              </w:rPr>
              <w:t>技术负责人</w:t>
            </w:r>
          </w:p>
        </w:tc>
        <w:tc>
          <w:tcPr>
            <w:tcW w:w="1868" w:type="pct"/>
            <w:tcBorders>
              <w:top w:val="single" w:color="auto" w:sz="4" w:space="0"/>
              <w:left w:val="nil"/>
              <w:bottom w:val="single" w:color="auto" w:sz="4" w:space="0"/>
              <w:right w:val="single" w:color="auto" w:sz="4" w:space="0"/>
            </w:tcBorders>
            <w:vAlign w:val="center"/>
          </w:tcPr>
          <w:p w14:paraId="519AA6E4">
            <w:pPr>
              <w:widowControl/>
              <w:jc w:val="left"/>
              <w:rPr>
                <w:rFonts w:hint="eastAsia" w:ascii="宋体" w:hAnsi="宋体" w:cs="宋体"/>
                <w:bCs/>
                <w:color w:val="000000" w:themeColor="text1"/>
                <w:sz w:val="20"/>
                <w:szCs w:val="20"/>
                <w:highlight w:val="none"/>
                <w14:textFill>
                  <w14:solidFill>
                    <w14:schemeClr w14:val="tx1"/>
                  </w14:solidFill>
                </w14:textFill>
              </w:rPr>
            </w:pPr>
          </w:p>
        </w:tc>
        <w:tc>
          <w:tcPr>
            <w:tcW w:w="1418" w:type="pct"/>
            <w:tcBorders>
              <w:top w:val="single" w:color="auto" w:sz="4" w:space="0"/>
              <w:left w:val="nil"/>
              <w:bottom w:val="single" w:color="auto" w:sz="4" w:space="0"/>
              <w:right w:val="single" w:color="auto" w:sz="4" w:space="0"/>
            </w:tcBorders>
            <w:vAlign w:val="center"/>
          </w:tcPr>
          <w:p w14:paraId="666FE385">
            <w:pPr>
              <w:snapToGrid w:val="0"/>
              <w:spacing w:line="360" w:lineRule="auto"/>
              <w:ind w:left="-53" w:leftChars="-25" w:right="-53" w:rightChars="-25"/>
              <w:rPr>
                <w:rFonts w:hint="eastAsia" w:ascii="宋体" w:hAnsi="宋体" w:cs="宋体"/>
                <w:bCs/>
                <w:color w:val="000000" w:themeColor="text1"/>
                <w:sz w:val="20"/>
                <w:szCs w:val="20"/>
                <w:highlight w:val="none"/>
                <w14:textFill>
                  <w14:solidFill>
                    <w14:schemeClr w14:val="tx1"/>
                  </w14:solidFill>
                </w14:textFill>
              </w:rPr>
            </w:pPr>
          </w:p>
        </w:tc>
      </w:tr>
      <w:tr w14:paraId="3BC4844F">
        <w:tblPrEx>
          <w:tblCellMar>
            <w:top w:w="0" w:type="dxa"/>
            <w:left w:w="108" w:type="dxa"/>
            <w:bottom w:w="0" w:type="dxa"/>
            <w:right w:w="108" w:type="dxa"/>
          </w:tblCellMar>
        </w:tblPrEx>
        <w:trPr>
          <w:trHeight w:val="454"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0DDF454A">
            <w:pPr>
              <w:snapToGrid w:val="0"/>
              <w:spacing w:line="360" w:lineRule="auto"/>
              <w:ind w:left="-53" w:leftChars="-25" w:right="-53" w:rightChars="-25"/>
              <w:jc w:val="center"/>
              <w:rPr>
                <w:rFonts w:hint="eastAsia" w:ascii="宋体" w:hAnsi="宋体" w:cs="宋体"/>
                <w:bCs/>
                <w:color w:val="000000" w:themeColor="text1"/>
                <w:sz w:val="20"/>
                <w:szCs w:val="20"/>
                <w:highlight w:val="none"/>
                <w14:textFill>
                  <w14:solidFill>
                    <w14:schemeClr w14:val="tx1"/>
                  </w14:solidFill>
                </w14:textFill>
              </w:rPr>
            </w:pPr>
            <w:r>
              <w:rPr>
                <w:rFonts w:ascii="宋体" w:hAnsi="宋体" w:cs="宋体"/>
                <w:bCs/>
                <w:color w:val="000000" w:themeColor="text1"/>
                <w:sz w:val="20"/>
                <w:szCs w:val="20"/>
                <w:highlight w:val="none"/>
                <w14:textFill>
                  <w14:solidFill>
                    <w14:schemeClr w14:val="tx1"/>
                  </w14:solidFill>
                </w14:textFill>
              </w:rPr>
              <w:t>2</w:t>
            </w:r>
          </w:p>
        </w:tc>
        <w:tc>
          <w:tcPr>
            <w:tcW w:w="429" w:type="pct"/>
            <w:tcBorders>
              <w:top w:val="single" w:color="auto" w:sz="4" w:space="0"/>
              <w:left w:val="nil"/>
              <w:bottom w:val="single" w:color="auto" w:sz="4" w:space="0"/>
              <w:right w:val="single" w:color="auto" w:sz="4" w:space="0"/>
            </w:tcBorders>
            <w:vAlign w:val="center"/>
          </w:tcPr>
          <w:p w14:paraId="6BAB8FB4">
            <w:pPr>
              <w:snapToGrid w:val="0"/>
              <w:spacing w:line="360" w:lineRule="auto"/>
              <w:ind w:left="-53" w:leftChars="-25" w:right="-53" w:rightChars="-25"/>
              <w:jc w:val="center"/>
              <w:rPr>
                <w:rFonts w:hint="eastAsia" w:ascii="宋体" w:hAnsi="宋体" w:cs="宋体"/>
                <w:bCs/>
                <w:color w:val="000000" w:themeColor="text1"/>
                <w:sz w:val="20"/>
                <w:szCs w:val="20"/>
                <w:highlight w:val="none"/>
                <w14:textFill>
                  <w14:solidFill>
                    <w14:schemeClr w14:val="tx1"/>
                  </w14:solidFill>
                </w14:textFill>
              </w:rPr>
            </w:pPr>
          </w:p>
        </w:tc>
        <w:tc>
          <w:tcPr>
            <w:tcW w:w="922" w:type="pct"/>
            <w:tcBorders>
              <w:top w:val="single" w:color="auto" w:sz="4" w:space="0"/>
              <w:left w:val="nil"/>
              <w:bottom w:val="single" w:color="auto" w:sz="4" w:space="0"/>
              <w:right w:val="single" w:color="auto" w:sz="4" w:space="0"/>
            </w:tcBorders>
            <w:vAlign w:val="center"/>
          </w:tcPr>
          <w:p w14:paraId="5B3D2049">
            <w:pPr>
              <w:widowControl/>
              <w:jc w:val="center"/>
              <w:rPr>
                <w:rFonts w:ascii="宋体" w:cs="宋体"/>
                <w:bCs/>
                <w:color w:val="000000" w:themeColor="text1"/>
                <w:sz w:val="20"/>
                <w:szCs w:val="20"/>
                <w:highlight w:val="none"/>
                <w14:textFill>
                  <w14:solidFill>
                    <w14:schemeClr w14:val="tx1"/>
                  </w14:solidFill>
                </w14:textFill>
              </w:rPr>
            </w:pPr>
            <w:r>
              <w:rPr>
                <w:rFonts w:ascii="宋体" w:cs="宋体"/>
                <w:bCs/>
                <w:color w:val="000000" w:themeColor="text1"/>
                <w:sz w:val="20"/>
                <w:szCs w:val="20"/>
                <w:highlight w:val="none"/>
                <w14:textFill>
                  <w14:solidFill>
                    <w14:schemeClr w14:val="tx1"/>
                  </w14:solidFill>
                </w14:textFill>
              </w:rPr>
              <w:t>质量负责人</w:t>
            </w:r>
          </w:p>
        </w:tc>
        <w:tc>
          <w:tcPr>
            <w:tcW w:w="1868" w:type="pct"/>
            <w:tcBorders>
              <w:top w:val="single" w:color="auto" w:sz="4" w:space="0"/>
              <w:left w:val="nil"/>
              <w:bottom w:val="single" w:color="auto" w:sz="4" w:space="0"/>
              <w:right w:val="single" w:color="auto" w:sz="4" w:space="0"/>
            </w:tcBorders>
            <w:vAlign w:val="center"/>
          </w:tcPr>
          <w:p w14:paraId="6F5B77D4">
            <w:pPr>
              <w:widowControl/>
              <w:jc w:val="center"/>
              <w:rPr>
                <w:rFonts w:ascii="宋体" w:cs="宋体"/>
                <w:bCs/>
                <w:color w:val="000000" w:themeColor="text1"/>
                <w:sz w:val="20"/>
                <w:szCs w:val="20"/>
                <w:highlight w:val="none"/>
                <w14:textFill>
                  <w14:solidFill>
                    <w14:schemeClr w14:val="tx1"/>
                  </w14:solidFill>
                </w14:textFill>
              </w:rPr>
            </w:pPr>
          </w:p>
        </w:tc>
        <w:tc>
          <w:tcPr>
            <w:tcW w:w="1418" w:type="pct"/>
            <w:tcBorders>
              <w:top w:val="single" w:color="auto" w:sz="4" w:space="0"/>
              <w:left w:val="nil"/>
              <w:bottom w:val="single" w:color="auto" w:sz="4" w:space="0"/>
              <w:right w:val="single" w:color="auto" w:sz="4" w:space="0"/>
            </w:tcBorders>
            <w:vAlign w:val="center"/>
          </w:tcPr>
          <w:p w14:paraId="7C8124A3">
            <w:pPr>
              <w:snapToGrid w:val="0"/>
              <w:spacing w:line="360" w:lineRule="auto"/>
              <w:ind w:left="-53" w:leftChars="-25" w:right="-53" w:rightChars="-25"/>
              <w:rPr>
                <w:rFonts w:hint="eastAsia" w:ascii="宋体" w:hAnsi="宋体" w:cs="宋体"/>
                <w:bCs/>
                <w:color w:val="000000" w:themeColor="text1"/>
                <w:sz w:val="20"/>
                <w:szCs w:val="20"/>
                <w:highlight w:val="none"/>
                <w14:textFill>
                  <w14:solidFill>
                    <w14:schemeClr w14:val="tx1"/>
                  </w14:solidFill>
                </w14:textFill>
              </w:rPr>
            </w:pPr>
          </w:p>
        </w:tc>
      </w:tr>
      <w:tr w14:paraId="3B00E241">
        <w:tblPrEx>
          <w:tblCellMar>
            <w:top w:w="0" w:type="dxa"/>
            <w:left w:w="108" w:type="dxa"/>
            <w:bottom w:w="0" w:type="dxa"/>
            <w:right w:w="108" w:type="dxa"/>
          </w:tblCellMar>
        </w:tblPrEx>
        <w:trPr>
          <w:trHeight w:val="454"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5EE84E70">
            <w:pPr>
              <w:snapToGrid w:val="0"/>
              <w:spacing w:line="360" w:lineRule="auto"/>
              <w:ind w:left="-53" w:leftChars="-25" w:right="-53" w:rightChars="-25"/>
              <w:jc w:val="center"/>
              <w:rPr>
                <w:rFonts w:hint="eastAsia" w:ascii="宋体" w:hAnsi="宋体" w:cs="宋体"/>
                <w:bCs/>
                <w:color w:val="000000" w:themeColor="text1"/>
                <w:sz w:val="20"/>
                <w:szCs w:val="20"/>
                <w:highlight w:val="none"/>
                <w14:textFill>
                  <w14:solidFill>
                    <w14:schemeClr w14:val="tx1"/>
                  </w14:solidFill>
                </w14:textFill>
              </w:rPr>
            </w:pPr>
            <w:r>
              <w:rPr>
                <w:rFonts w:ascii="宋体" w:hAnsi="宋体" w:cs="宋体"/>
                <w:bCs/>
                <w:color w:val="000000" w:themeColor="text1"/>
                <w:sz w:val="20"/>
                <w:szCs w:val="20"/>
                <w:highlight w:val="none"/>
                <w14:textFill>
                  <w14:solidFill>
                    <w14:schemeClr w14:val="tx1"/>
                  </w14:solidFill>
                </w14:textFill>
              </w:rPr>
              <w:t>3</w:t>
            </w:r>
          </w:p>
        </w:tc>
        <w:tc>
          <w:tcPr>
            <w:tcW w:w="429" w:type="pct"/>
            <w:tcBorders>
              <w:top w:val="single" w:color="auto" w:sz="4" w:space="0"/>
              <w:left w:val="nil"/>
              <w:bottom w:val="single" w:color="auto" w:sz="4" w:space="0"/>
              <w:right w:val="single" w:color="auto" w:sz="4" w:space="0"/>
            </w:tcBorders>
            <w:vAlign w:val="center"/>
          </w:tcPr>
          <w:p w14:paraId="1296E28C">
            <w:pPr>
              <w:snapToGrid w:val="0"/>
              <w:spacing w:line="360" w:lineRule="auto"/>
              <w:ind w:left="-53" w:leftChars="-25" w:right="-53" w:rightChars="-25"/>
              <w:jc w:val="center"/>
              <w:rPr>
                <w:rFonts w:hint="eastAsia" w:ascii="宋体" w:hAnsi="宋体" w:cs="宋体"/>
                <w:bCs/>
                <w:color w:val="000000" w:themeColor="text1"/>
                <w:sz w:val="20"/>
                <w:szCs w:val="20"/>
                <w:highlight w:val="none"/>
                <w14:textFill>
                  <w14:solidFill>
                    <w14:schemeClr w14:val="tx1"/>
                  </w14:solidFill>
                </w14:textFill>
              </w:rPr>
            </w:pPr>
          </w:p>
        </w:tc>
        <w:tc>
          <w:tcPr>
            <w:tcW w:w="922" w:type="pct"/>
            <w:tcBorders>
              <w:top w:val="single" w:color="auto" w:sz="4" w:space="0"/>
              <w:left w:val="nil"/>
              <w:bottom w:val="single" w:color="auto" w:sz="4" w:space="0"/>
              <w:right w:val="single" w:color="auto" w:sz="4" w:space="0"/>
            </w:tcBorders>
            <w:vAlign w:val="center"/>
          </w:tcPr>
          <w:p w14:paraId="429DD1AD">
            <w:pPr>
              <w:widowControl/>
              <w:jc w:val="center"/>
              <w:rPr>
                <w:rFonts w:ascii="宋体" w:cs="宋体"/>
                <w:bCs/>
                <w:color w:val="000000" w:themeColor="text1"/>
                <w:sz w:val="20"/>
                <w:szCs w:val="20"/>
                <w:highlight w:val="none"/>
                <w14:textFill>
                  <w14:solidFill>
                    <w14:schemeClr w14:val="tx1"/>
                  </w14:solidFill>
                </w14:textFill>
              </w:rPr>
            </w:pPr>
            <w:r>
              <w:rPr>
                <w:rFonts w:ascii="宋体" w:cs="宋体"/>
                <w:bCs/>
                <w:color w:val="000000" w:themeColor="text1"/>
                <w:sz w:val="20"/>
                <w:szCs w:val="20"/>
                <w:highlight w:val="none"/>
                <w14:textFill>
                  <w14:solidFill>
                    <w14:schemeClr w14:val="tx1"/>
                  </w14:solidFill>
                </w14:textFill>
              </w:rPr>
              <w:t>安全负责人</w:t>
            </w:r>
          </w:p>
        </w:tc>
        <w:tc>
          <w:tcPr>
            <w:tcW w:w="1868" w:type="pct"/>
            <w:tcBorders>
              <w:top w:val="single" w:color="auto" w:sz="4" w:space="0"/>
              <w:left w:val="nil"/>
              <w:bottom w:val="single" w:color="auto" w:sz="4" w:space="0"/>
              <w:right w:val="single" w:color="auto" w:sz="4" w:space="0"/>
            </w:tcBorders>
            <w:vAlign w:val="center"/>
          </w:tcPr>
          <w:p w14:paraId="7E8EE50D">
            <w:pPr>
              <w:widowControl/>
              <w:jc w:val="center"/>
              <w:rPr>
                <w:rFonts w:ascii="宋体" w:cs="宋体"/>
                <w:bCs/>
                <w:color w:val="000000" w:themeColor="text1"/>
                <w:sz w:val="20"/>
                <w:szCs w:val="20"/>
                <w:highlight w:val="none"/>
                <w14:textFill>
                  <w14:solidFill>
                    <w14:schemeClr w14:val="tx1"/>
                  </w14:solidFill>
                </w14:textFill>
              </w:rPr>
            </w:pPr>
          </w:p>
        </w:tc>
        <w:tc>
          <w:tcPr>
            <w:tcW w:w="1418" w:type="pct"/>
            <w:tcBorders>
              <w:top w:val="single" w:color="auto" w:sz="4" w:space="0"/>
              <w:left w:val="nil"/>
              <w:bottom w:val="single" w:color="auto" w:sz="4" w:space="0"/>
              <w:right w:val="single" w:color="auto" w:sz="4" w:space="0"/>
            </w:tcBorders>
            <w:vAlign w:val="center"/>
          </w:tcPr>
          <w:p w14:paraId="77BEAD23">
            <w:pPr>
              <w:snapToGrid w:val="0"/>
              <w:spacing w:line="360" w:lineRule="auto"/>
              <w:ind w:left="-53" w:leftChars="-25" w:right="-53" w:rightChars="-25"/>
              <w:rPr>
                <w:rFonts w:hint="eastAsia" w:ascii="宋体" w:hAnsi="宋体" w:cs="宋体"/>
                <w:bCs/>
                <w:color w:val="000000" w:themeColor="text1"/>
                <w:sz w:val="20"/>
                <w:szCs w:val="20"/>
                <w:highlight w:val="none"/>
                <w14:textFill>
                  <w14:solidFill>
                    <w14:schemeClr w14:val="tx1"/>
                  </w14:solidFill>
                </w14:textFill>
              </w:rPr>
            </w:pPr>
          </w:p>
        </w:tc>
      </w:tr>
      <w:tr w14:paraId="780CC855">
        <w:tblPrEx>
          <w:tblCellMar>
            <w:top w:w="0" w:type="dxa"/>
            <w:left w:w="108" w:type="dxa"/>
            <w:bottom w:w="0" w:type="dxa"/>
            <w:right w:w="108" w:type="dxa"/>
          </w:tblCellMar>
        </w:tblPrEx>
        <w:trPr>
          <w:trHeight w:val="454"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1815C52F">
            <w:pPr>
              <w:snapToGrid w:val="0"/>
              <w:spacing w:line="360" w:lineRule="auto"/>
              <w:ind w:left="-53" w:leftChars="-25" w:right="-53" w:rightChars="-25"/>
              <w:jc w:val="center"/>
              <w:rPr>
                <w:rFonts w:hint="eastAsia" w:ascii="宋体" w:hAnsi="宋体" w:cs="宋体"/>
                <w:bCs/>
                <w:color w:val="000000" w:themeColor="text1"/>
                <w:sz w:val="20"/>
                <w:szCs w:val="20"/>
                <w:highlight w:val="none"/>
                <w14:textFill>
                  <w14:solidFill>
                    <w14:schemeClr w14:val="tx1"/>
                  </w14:solidFill>
                </w14:textFill>
              </w:rPr>
            </w:pPr>
            <w:r>
              <w:rPr>
                <w:rFonts w:hint="eastAsia" w:ascii="宋体" w:hAnsi="宋体" w:cs="宋体"/>
                <w:bCs/>
                <w:color w:val="000000" w:themeColor="text1"/>
                <w:sz w:val="20"/>
                <w:szCs w:val="20"/>
                <w:highlight w:val="none"/>
                <w14:textFill>
                  <w14:solidFill>
                    <w14:schemeClr w14:val="tx1"/>
                  </w14:solidFill>
                </w14:textFill>
              </w:rPr>
              <w:t>4</w:t>
            </w:r>
          </w:p>
        </w:tc>
        <w:tc>
          <w:tcPr>
            <w:tcW w:w="429" w:type="pct"/>
            <w:tcBorders>
              <w:top w:val="single" w:color="auto" w:sz="4" w:space="0"/>
              <w:left w:val="nil"/>
              <w:bottom w:val="single" w:color="auto" w:sz="4" w:space="0"/>
              <w:right w:val="single" w:color="auto" w:sz="4" w:space="0"/>
            </w:tcBorders>
            <w:vAlign w:val="center"/>
          </w:tcPr>
          <w:p w14:paraId="7CA356E2">
            <w:pPr>
              <w:snapToGrid w:val="0"/>
              <w:spacing w:line="360" w:lineRule="auto"/>
              <w:ind w:left="-53" w:leftChars="-25" w:right="-53" w:rightChars="-25"/>
              <w:jc w:val="center"/>
              <w:rPr>
                <w:rFonts w:hint="eastAsia" w:ascii="宋体" w:hAnsi="宋体" w:cs="宋体"/>
                <w:bCs/>
                <w:color w:val="000000" w:themeColor="text1"/>
                <w:sz w:val="20"/>
                <w:szCs w:val="20"/>
                <w:highlight w:val="none"/>
                <w14:textFill>
                  <w14:solidFill>
                    <w14:schemeClr w14:val="tx1"/>
                  </w14:solidFill>
                </w14:textFill>
              </w:rPr>
            </w:pPr>
          </w:p>
        </w:tc>
        <w:tc>
          <w:tcPr>
            <w:tcW w:w="922" w:type="pct"/>
            <w:tcBorders>
              <w:top w:val="single" w:color="auto" w:sz="4" w:space="0"/>
              <w:left w:val="nil"/>
              <w:bottom w:val="single" w:color="auto" w:sz="4" w:space="0"/>
              <w:right w:val="single" w:color="auto" w:sz="4" w:space="0"/>
            </w:tcBorders>
            <w:vAlign w:val="center"/>
          </w:tcPr>
          <w:p w14:paraId="2E82C876">
            <w:pPr>
              <w:widowControl/>
              <w:jc w:val="center"/>
              <w:rPr>
                <w:rFonts w:hint="eastAsia" w:ascii="宋体" w:cs="宋体"/>
                <w:bCs/>
                <w:color w:val="000000" w:themeColor="text1"/>
                <w:sz w:val="20"/>
                <w:szCs w:val="20"/>
                <w:highlight w:val="none"/>
                <w14:textFill>
                  <w14:solidFill>
                    <w14:schemeClr w14:val="tx1"/>
                  </w14:solidFill>
                </w14:textFill>
              </w:rPr>
            </w:pPr>
            <w:r>
              <w:rPr>
                <w:rFonts w:hint="eastAsia" w:ascii="宋体" w:cs="宋体"/>
                <w:bCs/>
                <w:color w:val="000000" w:themeColor="text1"/>
                <w:sz w:val="20"/>
                <w:szCs w:val="20"/>
                <w:highlight w:val="none"/>
                <w14:textFill>
                  <w14:solidFill>
                    <w14:schemeClr w14:val="tx1"/>
                  </w14:solidFill>
                </w14:textFill>
              </w:rPr>
              <w:t>造价负责人</w:t>
            </w:r>
          </w:p>
        </w:tc>
        <w:tc>
          <w:tcPr>
            <w:tcW w:w="1868" w:type="pct"/>
            <w:tcBorders>
              <w:top w:val="single" w:color="auto" w:sz="4" w:space="0"/>
              <w:left w:val="nil"/>
              <w:bottom w:val="single" w:color="auto" w:sz="4" w:space="0"/>
              <w:right w:val="single" w:color="auto" w:sz="4" w:space="0"/>
            </w:tcBorders>
            <w:vAlign w:val="center"/>
          </w:tcPr>
          <w:p w14:paraId="01FC0CC4">
            <w:pPr>
              <w:widowControl/>
              <w:jc w:val="center"/>
              <w:rPr>
                <w:rFonts w:ascii="宋体" w:cs="宋体"/>
                <w:bCs/>
                <w:color w:val="000000" w:themeColor="text1"/>
                <w:sz w:val="20"/>
                <w:szCs w:val="20"/>
                <w:highlight w:val="none"/>
                <w14:textFill>
                  <w14:solidFill>
                    <w14:schemeClr w14:val="tx1"/>
                  </w14:solidFill>
                </w14:textFill>
              </w:rPr>
            </w:pPr>
          </w:p>
        </w:tc>
        <w:tc>
          <w:tcPr>
            <w:tcW w:w="1418" w:type="pct"/>
            <w:tcBorders>
              <w:top w:val="single" w:color="auto" w:sz="4" w:space="0"/>
              <w:left w:val="nil"/>
              <w:bottom w:val="single" w:color="auto" w:sz="4" w:space="0"/>
              <w:right w:val="single" w:color="auto" w:sz="4" w:space="0"/>
            </w:tcBorders>
            <w:vAlign w:val="center"/>
          </w:tcPr>
          <w:p w14:paraId="1A4D0958">
            <w:pPr>
              <w:snapToGrid w:val="0"/>
              <w:spacing w:line="360" w:lineRule="auto"/>
              <w:ind w:left="-53" w:leftChars="-25" w:right="-53" w:rightChars="-25"/>
              <w:rPr>
                <w:rFonts w:hint="eastAsia" w:ascii="宋体" w:hAnsi="宋体" w:cs="宋体"/>
                <w:bCs/>
                <w:color w:val="000000" w:themeColor="text1"/>
                <w:sz w:val="20"/>
                <w:szCs w:val="20"/>
                <w:highlight w:val="none"/>
                <w14:textFill>
                  <w14:solidFill>
                    <w14:schemeClr w14:val="tx1"/>
                  </w14:solidFill>
                </w14:textFill>
              </w:rPr>
            </w:pPr>
          </w:p>
        </w:tc>
      </w:tr>
      <w:tr w14:paraId="620723A7">
        <w:tblPrEx>
          <w:tblCellMar>
            <w:top w:w="0" w:type="dxa"/>
            <w:left w:w="108" w:type="dxa"/>
            <w:bottom w:w="0" w:type="dxa"/>
            <w:right w:w="108" w:type="dxa"/>
          </w:tblCellMar>
        </w:tblPrEx>
        <w:trPr>
          <w:trHeight w:val="454"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3FDC17E1">
            <w:pPr>
              <w:snapToGrid w:val="0"/>
              <w:spacing w:line="360" w:lineRule="auto"/>
              <w:ind w:left="-53" w:leftChars="-25" w:right="-53" w:rightChars="-25"/>
              <w:jc w:val="center"/>
              <w:rPr>
                <w:rFonts w:hint="eastAsia" w:ascii="宋体" w:hAnsi="宋体" w:cs="宋体"/>
                <w:bCs/>
                <w:color w:val="000000" w:themeColor="text1"/>
                <w:sz w:val="20"/>
                <w:szCs w:val="20"/>
                <w:highlight w:val="none"/>
                <w14:textFill>
                  <w14:solidFill>
                    <w14:schemeClr w14:val="tx1"/>
                  </w14:solidFill>
                </w14:textFill>
              </w:rPr>
            </w:pPr>
            <w:r>
              <w:rPr>
                <w:rFonts w:hint="eastAsia" w:ascii="宋体" w:hAnsi="宋体" w:cs="宋体"/>
                <w:bCs/>
                <w:color w:val="000000" w:themeColor="text1"/>
                <w:sz w:val="20"/>
                <w:szCs w:val="20"/>
                <w:highlight w:val="none"/>
                <w14:textFill>
                  <w14:solidFill>
                    <w14:schemeClr w14:val="tx1"/>
                  </w14:solidFill>
                </w14:textFill>
              </w:rPr>
              <w:t>5</w:t>
            </w:r>
          </w:p>
        </w:tc>
        <w:tc>
          <w:tcPr>
            <w:tcW w:w="429" w:type="pct"/>
            <w:tcBorders>
              <w:top w:val="single" w:color="auto" w:sz="4" w:space="0"/>
              <w:left w:val="nil"/>
              <w:bottom w:val="single" w:color="auto" w:sz="4" w:space="0"/>
              <w:right w:val="single" w:color="auto" w:sz="4" w:space="0"/>
            </w:tcBorders>
            <w:vAlign w:val="center"/>
          </w:tcPr>
          <w:p w14:paraId="4FEE6E39">
            <w:pPr>
              <w:snapToGrid w:val="0"/>
              <w:spacing w:line="360" w:lineRule="auto"/>
              <w:ind w:left="-53" w:leftChars="-25" w:right="-53" w:rightChars="-25"/>
              <w:jc w:val="center"/>
              <w:rPr>
                <w:rFonts w:hint="eastAsia" w:ascii="宋体" w:hAnsi="宋体" w:cs="宋体"/>
                <w:bCs/>
                <w:color w:val="000000" w:themeColor="text1"/>
                <w:sz w:val="20"/>
                <w:szCs w:val="20"/>
                <w:highlight w:val="none"/>
                <w14:textFill>
                  <w14:solidFill>
                    <w14:schemeClr w14:val="tx1"/>
                  </w14:solidFill>
                </w14:textFill>
              </w:rPr>
            </w:pPr>
          </w:p>
        </w:tc>
        <w:tc>
          <w:tcPr>
            <w:tcW w:w="922" w:type="pct"/>
            <w:tcBorders>
              <w:top w:val="single" w:color="auto" w:sz="4" w:space="0"/>
              <w:left w:val="nil"/>
              <w:bottom w:val="single" w:color="auto" w:sz="4" w:space="0"/>
              <w:right w:val="single" w:color="auto" w:sz="4" w:space="0"/>
            </w:tcBorders>
            <w:vAlign w:val="center"/>
          </w:tcPr>
          <w:p w14:paraId="693BFC75">
            <w:pPr>
              <w:widowControl/>
              <w:jc w:val="center"/>
              <w:rPr>
                <w:rFonts w:hint="eastAsia" w:ascii="宋体" w:cs="宋体"/>
                <w:bCs/>
                <w:color w:val="000000" w:themeColor="text1"/>
                <w:sz w:val="20"/>
                <w:szCs w:val="20"/>
                <w:highlight w:val="none"/>
                <w14:textFill>
                  <w14:solidFill>
                    <w14:schemeClr w14:val="tx1"/>
                  </w14:solidFill>
                </w14:textFill>
              </w:rPr>
            </w:pPr>
            <w:r>
              <w:rPr>
                <w:rFonts w:hint="eastAsia" w:ascii="宋体" w:cs="宋体"/>
                <w:bCs/>
                <w:color w:val="000000" w:themeColor="text1"/>
                <w:sz w:val="20"/>
                <w:szCs w:val="20"/>
                <w:highlight w:val="none"/>
                <w14:textFill>
                  <w14:solidFill>
                    <w14:schemeClr w14:val="tx1"/>
                  </w14:solidFill>
                </w14:textFill>
              </w:rPr>
              <w:t>...</w:t>
            </w:r>
          </w:p>
        </w:tc>
        <w:tc>
          <w:tcPr>
            <w:tcW w:w="1868" w:type="pct"/>
            <w:tcBorders>
              <w:top w:val="single" w:color="auto" w:sz="4" w:space="0"/>
              <w:left w:val="nil"/>
              <w:bottom w:val="single" w:color="auto" w:sz="4" w:space="0"/>
              <w:right w:val="single" w:color="auto" w:sz="4" w:space="0"/>
            </w:tcBorders>
            <w:vAlign w:val="center"/>
          </w:tcPr>
          <w:p w14:paraId="3D277148">
            <w:pPr>
              <w:widowControl/>
              <w:jc w:val="center"/>
              <w:rPr>
                <w:rFonts w:ascii="宋体" w:cs="宋体"/>
                <w:bCs/>
                <w:color w:val="000000" w:themeColor="text1"/>
                <w:sz w:val="20"/>
                <w:szCs w:val="20"/>
                <w:highlight w:val="none"/>
                <w14:textFill>
                  <w14:solidFill>
                    <w14:schemeClr w14:val="tx1"/>
                  </w14:solidFill>
                </w14:textFill>
              </w:rPr>
            </w:pPr>
          </w:p>
        </w:tc>
        <w:tc>
          <w:tcPr>
            <w:tcW w:w="1418" w:type="pct"/>
            <w:tcBorders>
              <w:top w:val="single" w:color="auto" w:sz="4" w:space="0"/>
              <w:left w:val="nil"/>
              <w:bottom w:val="single" w:color="auto" w:sz="4" w:space="0"/>
              <w:right w:val="single" w:color="auto" w:sz="4" w:space="0"/>
            </w:tcBorders>
            <w:vAlign w:val="center"/>
          </w:tcPr>
          <w:p w14:paraId="7599C104">
            <w:pPr>
              <w:snapToGrid w:val="0"/>
              <w:spacing w:line="360" w:lineRule="auto"/>
              <w:ind w:left="-53" w:leftChars="-25" w:right="-53" w:rightChars="-25"/>
              <w:rPr>
                <w:rFonts w:hint="eastAsia" w:ascii="宋体" w:hAnsi="宋体" w:cs="宋体"/>
                <w:bCs/>
                <w:color w:val="000000" w:themeColor="text1"/>
                <w:sz w:val="20"/>
                <w:szCs w:val="20"/>
                <w:highlight w:val="none"/>
                <w14:textFill>
                  <w14:solidFill>
                    <w14:schemeClr w14:val="tx1"/>
                  </w14:solidFill>
                </w14:textFill>
              </w:rPr>
            </w:pPr>
          </w:p>
        </w:tc>
      </w:tr>
      <w:tr w14:paraId="13026A02">
        <w:tblPrEx>
          <w:tblCellMar>
            <w:top w:w="0" w:type="dxa"/>
            <w:left w:w="108" w:type="dxa"/>
            <w:bottom w:w="0" w:type="dxa"/>
            <w:right w:w="108" w:type="dxa"/>
          </w:tblCellMar>
        </w:tblPrEx>
        <w:trPr>
          <w:trHeight w:val="454"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69A3036E">
            <w:pPr>
              <w:snapToGrid w:val="0"/>
              <w:spacing w:line="360" w:lineRule="auto"/>
              <w:ind w:left="-53" w:leftChars="-25" w:right="-53" w:rightChars="-25"/>
              <w:jc w:val="center"/>
              <w:rPr>
                <w:rFonts w:hint="eastAsia" w:ascii="宋体" w:hAnsi="宋体" w:cs="宋体"/>
                <w:bCs/>
                <w:color w:val="000000" w:themeColor="text1"/>
                <w:sz w:val="20"/>
                <w:szCs w:val="20"/>
                <w:highlight w:val="none"/>
                <w14:textFill>
                  <w14:solidFill>
                    <w14:schemeClr w14:val="tx1"/>
                  </w14:solidFill>
                </w14:textFill>
              </w:rPr>
            </w:pPr>
            <w:r>
              <w:rPr>
                <w:rFonts w:hint="eastAsia" w:ascii="宋体" w:hAnsi="宋体" w:cs="宋体"/>
                <w:bCs/>
                <w:color w:val="000000" w:themeColor="text1"/>
                <w:sz w:val="20"/>
                <w:szCs w:val="20"/>
                <w:highlight w:val="none"/>
                <w14:textFill>
                  <w14:solidFill>
                    <w14:schemeClr w14:val="tx1"/>
                  </w14:solidFill>
                </w14:textFill>
              </w:rPr>
              <w:t>6</w:t>
            </w:r>
          </w:p>
        </w:tc>
        <w:tc>
          <w:tcPr>
            <w:tcW w:w="429" w:type="pct"/>
            <w:tcBorders>
              <w:top w:val="single" w:color="auto" w:sz="4" w:space="0"/>
              <w:left w:val="nil"/>
              <w:bottom w:val="single" w:color="auto" w:sz="4" w:space="0"/>
              <w:right w:val="single" w:color="auto" w:sz="4" w:space="0"/>
            </w:tcBorders>
            <w:vAlign w:val="center"/>
          </w:tcPr>
          <w:p w14:paraId="059A442E">
            <w:pPr>
              <w:snapToGrid w:val="0"/>
              <w:spacing w:line="360" w:lineRule="auto"/>
              <w:ind w:left="-53" w:leftChars="-25" w:right="-53" w:rightChars="-25"/>
              <w:jc w:val="center"/>
              <w:rPr>
                <w:rFonts w:hint="eastAsia" w:ascii="宋体" w:hAnsi="宋体" w:cs="宋体"/>
                <w:bCs/>
                <w:color w:val="000000" w:themeColor="text1"/>
                <w:sz w:val="20"/>
                <w:szCs w:val="20"/>
                <w:highlight w:val="none"/>
                <w14:textFill>
                  <w14:solidFill>
                    <w14:schemeClr w14:val="tx1"/>
                  </w14:solidFill>
                </w14:textFill>
              </w:rPr>
            </w:pPr>
          </w:p>
        </w:tc>
        <w:tc>
          <w:tcPr>
            <w:tcW w:w="922" w:type="pct"/>
            <w:tcBorders>
              <w:top w:val="single" w:color="auto" w:sz="4" w:space="0"/>
              <w:left w:val="nil"/>
              <w:bottom w:val="single" w:color="auto" w:sz="4" w:space="0"/>
              <w:right w:val="single" w:color="auto" w:sz="4" w:space="0"/>
            </w:tcBorders>
            <w:vAlign w:val="center"/>
          </w:tcPr>
          <w:p w14:paraId="5165C2EB">
            <w:pPr>
              <w:widowControl/>
              <w:jc w:val="center"/>
              <w:rPr>
                <w:rFonts w:hint="eastAsia" w:ascii="宋体" w:cs="宋体"/>
                <w:bCs/>
                <w:color w:val="000000" w:themeColor="text1"/>
                <w:sz w:val="20"/>
                <w:szCs w:val="20"/>
                <w:highlight w:val="none"/>
                <w14:textFill>
                  <w14:solidFill>
                    <w14:schemeClr w14:val="tx1"/>
                  </w14:solidFill>
                </w14:textFill>
              </w:rPr>
            </w:pPr>
            <w:r>
              <w:rPr>
                <w:rFonts w:hint="eastAsia" w:ascii="宋体" w:cs="宋体"/>
                <w:bCs/>
                <w:color w:val="000000" w:themeColor="text1"/>
                <w:sz w:val="20"/>
                <w:szCs w:val="20"/>
                <w:highlight w:val="none"/>
                <w14:textFill>
                  <w14:solidFill>
                    <w14:schemeClr w14:val="tx1"/>
                  </w14:solidFill>
                </w14:textFill>
              </w:rPr>
              <w:t>...</w:t>
            </w:r>
          </w:p>
        </w:tc>
        <w:tc>
          <w:tcPr>
            <w:tcW w:w="1868" w:type="pct"/>
            <w:tcBorders>
              <w:top w:val="single" w:color="auto" w:sz="4" w:space="0"/>
              <w:left w:val="nil"/>
              <w:bottom w:val="single" w:color="auto" w:sz="4" w:space="0"/>
              <w:right w:val="single" w:color="auto" w:sz="4" w:space="0"/>
            </w:tcBorders>
            <w:vAlign w:val="center"/>
          </w:tcPr>
          <w:p w14:paraId="2AA3C794">
            <w:pPr>
              <w:widowControl/>
              <w:jc w:val="center"/>
              <w:rPr>
                <w:rFonts w:ascii="宋体" w:cs="宋体"/>
                <w:bCs/>
                <w:color w:val="000000" w:themeColor="text1"/>
                <w:sz w:val="20"/>
                <w:szCs w:val="20"/>
                <w:highlight w:val="none"/>
                <w14:textFill>
                  <w14:solidFill>
                    <w14:schemeClr w14:val="tx1"/>
                  </w14:solidFill>
                </w14:textFill>
              </w:rPr>
            </w:pPr>
          </w:p>
        </w:tc>
        <w:tc>
          <w:tcPr>
            <w:tcW w:w="1418" w:type="pct"/>
            <w:tcBorders>
              <w:top w:val="single" w:color="auto" w:sz="4" w:space="0"/>
              <w:left w:val="nil"/>
              <w:bottom w:val="single" w:color="auto" w:sz="4" w:space="0"/>
              <w:right w:val="single" w:color="auto" w:sz="4" w:space="0"/>
            </w:tcBorders>
            <w:vAlign w:val="center"/>
          </w:tcPr>
          <w:p w14:paraId="680CEEB3">
            <w:pPr>
              <w:snapToGrid w:val="0"/>
              <w:spacing w:line="360" w:lineRule="auto"/>
              <w:ind w:left="-53" w:leftChars="-25" w:right="-53" w:rightChars="-25"/>
              <w:rPr>
                <w:rFonts w:hint="eastAsia" w:ascii="宋体" w:hAnsi="宋体" w:cs="宋体"/>
                <w:bCs/>
                <w:color w:val="000000" w:themeColor="text1"/>
                <w:sz w:val="20"/>
                <w:szCs w:val="20"/>
                <w:highlight w:val="none"/>
                <w14:textFill>
                  <w14:solidFill>
                    <w14:schemeClr w14:val="tx1"/>
                  </w14:solidFill>
                </w14:textFill>
              </w:rPr>
            </w:pPr>
          </w:p>
        </w:tc>
      </w:tr>
      <w:tr w14:paraId="1B16AC8E">
        <w:tblPrEx>
          <w:tblCellMar>
            <w:top w:w="0" w:type="dxa"/>
            <w:left w:w="108" w:type="dxa"/>
            <w:bottom w:w="0" w:type="dxa"/>
            <w:right w:w="108" w:type="dxa"/>
          </w:tblCellMar>
        </w:tblPrEx>
        <w:trPr>
          <w:trHeight w:val="454"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48902494">
            <w:pPr>
              <w:snapToGrid w:val="0"/>
              <w:spacing w:line="360" w:lineRule="auto"/>
              <w:ind w:left="-53" w:leftChars="-25" w:right="-53" w:rightChars="-25"/>
              <w:jc w:val="center"/>
              <w:rPr>
                <w:rFonts w:hint="eastAsia" w:ascii="宋体" w:hAnsi="宋体" w:cs="宋体"/>
                <w:bCs/>
                <w:color w:val="000000" w:themeColor="text1"/>
                <w:sz w:val="20"/>
                <w:szCs w:val="20"/>
                <w:highlight w:val="none"/>
                <w14:textFill>
                  <w14:solidFill>
                    <w14:schemeClr w14:val="tx1"/>
                  </w14:solidFill>
                </w14:textFill>
              </w:rPr>
            </w:pPr>
            <w:r>
              <w:rPr>
                <w:rFonts w:hint="eastAsia" w:ascii="宋体" w:hAnsi="宋体" w:cs="宋体"/>
                <w:bCs/>
                <w:color w:val="000000" w:themeColor="text1"/>
                <w:sz w:val="20"/>
                <w:szCs w:val="20"/>
                <w:highlight w:val="none"/>
                <w14:textFill>
                  <w14:solidFill>
                    <w14:schemeClr w14:val="tx1"/>
                  </w14:solidFill>
                </w14:textFill>
              </w:rPr>
              <w:t>7</w:t>
            </w:r>
          </w:p>
        </w:tc>
        <w:tc>
          <w:tcPr>
            <w:tcW w:w="429" w:type="pct"/>
            <w:tcBorders>
              <w:top w:val="single" w:color="auto" w:sz="4" w:space="0"/>
              <w:left w:val="nil"/>
              <w:bottom w:val="single" w:color="auto" w:sz="4" w:space="0"/>
              <w:right w:val="single" w:color="auto" w:sz="4" w:space="0"/>
            </w:tcBorders>
            <w:vAlign w:val="center"/>
          </w:tcPr>
          <w:p w14:paraId="2C97639C">
            <w:pPr>
              <w:snapToGrid w:val="0"/>
              <w:spacing w:line="360" w:lineRule="auto"/>
              <w:ind w:left="-53" w:leftChars="-25" w:right="-53" w:rightChars="-25"/>
              <w:jc w:val="center"/>
              <w:rPr>
                <w:rFonts w:hint="eastAsia" w:ascii="宋体" w:hAnsi="宋体" w:cs="宋体"/>
                <w:bCs/>
                <w:color w:val="000000" w:themeColor="text1"/>
                <w:sz w:val="20"/>
                <w:szCs w:val="20"/>
                <w:highlight w:val="none"/>
                <w14:textFill>
                  <w14:solidFill>
                    <w14:schemeClr w14:val="tx1"/>
                  </w14:solidFill>
                </w14:textFill>
              </w:rPr>
            </w:pPr>
          </w:p>
        </w:tc>
        <w:tc>
          <w:tcPr>
            <w:tcW w:w="922" w:type="pct"/>
            <w:tcBorders>
              <w:top w:val="single" w:color="auto" w:sz="4" w:space="0"/>
              <w:left w:val="nil"/>
              <w:bottom w:val="single" w:color="auto" w:sz="4" w:space="0"/>
              <w:right w:val="single" w:color="auto" w:sz="4" w:space="0"/>
            </w:tcBorders>
            <w:vAlign w:val="center"/>
          </w:tcPr>
          <w:p w14:paraId="0BCC4D1B">
            <w:pPr>
              <w:widowControl/>
              <w:jc w:val="center"/>
              <w:rPr>
                <w:rFonts w:ascii="宋体" w:cs="宋体"/>
                <w:bCs/>
                <w:color w:val="000000" w:themeColor="text1"/>
                <w:sz w:val="20"/>
                <w:szCs w:val="20"/>
                <w:highlight w:val="none"/>
                <w14:textFill>
                  <w14:solidFill>
                    <w14:schemeClr w14:val="tx1"/>
                  </w14:solidFill>
                </w14:textFill>
              </w:rPr>
            </w:pPr>
            <w:r>
              <w:rPr>
                <w:rFonts w:hint="eastAsia" w:ascii="宋体" w:cs="宋体"/>
                <w:bCs/>
                <w:color w:val="000000" w:themeColor="text1"/>
                <w:sz w:val="20"/>
                <w:szCs w:val="20"/>
                <w:highlight w:val="none"/>
                <w14:textFill>
                  <w14:solidFill>
                    <w14:schemeClr w14:val="tx1"/>
                  </w14:solidFill>
                </w14:textFill>
              </w:rPr>
              <w:t>...</w:t>
            </w:r>
          </w:p>
        </w:tc>
        <w:tc>
          <w:tcPr>
            <w:tcW w:w="1868" w:type="pct"/>
            <w:tcBorders>
              <w:top w:val="single" w:color="auto" w:sz="4" w:space="0"/>
              <w:left w:val="nil"/>
              <w:bottom w:val="single" w:color="auto" w:sz="4" w:space="0"/>
              <w:right w:val="single" w:color="auto" w:sz="4" w:space="0"/>
            </w:tcBorders>
            <w:vAlign w:val="center"/>
          </w:tcPr>
          <w:p w14:paraId="2E095276">
            <w:pPr>
              <w:widowControl/>
              <w:jc w:val="center"/>
              <w:rPr>
                <w:rFonts w:ascii="宋体" w:cs="宋体"/>
                <w:bCs/>
                <w:color w:val="000000" w:themeColor="text1"/>
                <w:sz w:val="20"/>
                <w:szCs w:val="20"/>
                <w:highlight w:val="none"/>
                <w14:textFill>
                  <w14:solidFill>
                    <w14:schemeClr w14:val="tx1"/>
                  </w14:solidFill>
                </w14:textFill>
              </w:rPr>
            </w:pPr>
          </w:p>
        </w:tc>
        <w:tc>
          <w:tcPr>
            <w:tcW w:w="1418" w:type="pct"/>
            <w:tcBorders>
              <w:top w:val="single" w:color="auto" w:sz="4" w:space="0"/>
              <w:left w:val="nil"/>
              <w:bottom w:val="single" w:color="auto" w:sz="4" w:space="0"/>
              <w:right w:val="single" w:color="auto" w:sz="4" w:space="0"/>
            </w:tcBorders>
            <w:vAlign w:val="center"/>
          </w:tcPr>
          <w:p w14:paraId="1C54C8C1">
            <w:pPr>
              <w:snapToGrid w:val="0"/>
              <w:spacing w:line="360" w:lineRule="auto"/>
              <w:ind w:left="-53" w:leftChars="-25" w:right="-53" w:rightChars="-25"/>
              <w:rPr>
                <w:rFonts w:hint="eastAsia" w:ascii="宋体" w:hAnsi="宋体" w:cs="宋体"/>
                <w:bCs/>
                <w:color w:val="000000" w:themeColor="text1"/>
                <w:sz w:val="20"/>
                <w:szCs w:val="20"/>
                <w:highlight w:val="none"/>
                <w14:textFill>
                  <w14:solidFill>
                    <w14:schemeClr w14:val="tx1"/>
                  </w14:solidFill>
                </w14:textFill>
              </w:rPr>
            </w:pPr>
          </w:p>
        </w:tc>
      </w:tr>
      <w:tr w14:paraId="672FE498">
        <w:tblPrEx>
          <w:tblCellMar>
            <w:top w:w="0" w:type="dxa"/>
            <w:left w:w="108" w:type="dxa"/>
            <w:bottom w:w="0" w:type="dxa"/>
            <w:right w:w="108" w:type="dxa"/>
          </w:tblCellMar>
        </w:tblPrEx>
        <w:trPr>
          <w:trHeight w:val="454"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782D87E7">
            <w:pPr>
              <w:snapToGrid w:val="0"/>
              <w:spacing w:line="360" w:lineRule="auto"/>
              <w:ind w:left="-53" w:leftChars="-25" w:right="-53" w:rightChars="-25"/>
              <w:jc w:val="center"/>
              <w:rPr>
                <w:rFonts w:hint="eastAsia" w:ascii="宋体" w:hAnsi="宋体" w:cs="宋体"/>
                <w:bCs/>
                <w:color w:val="000000" w:themeColor="text1"/>
                <w:sz w:val="20"/>
                <w:szCs w:val="20"/>
                <w:highlight w:val="none"/>
                <w14:textFill>
                  <w14:solidFill>
                    <w14:schemeClr w14:val="tx1"/>
                  </w14:solidFill>
                </w14:textFill>
              </w:rPr>
            </w:pPr>
            <w:r>
              <w:rPr>
                <w:rFonts w:hint="eastAsia" w:ascii="宋体" w:hAnsi="宋体" w:cs="宋体"/>
                <w:bCs/>
                <w:color w:val="000000" w:themeColor="text1"/>
                <w:sz w:val="20"/>
                <w:szCs w:val="20"/>
                <w:highlight w:val="none"/>
                <w14:textFill>
                  <w14:solidFill>
                    <w14:schemeClr w14:val="tx1"/>
                  </w14:solidFill>
                </w14:textFill>
              </w:rPr>
              <w:t>8</w:t>
            </w:r>
          </w:p>
        </w:tc>
        <w:tc>
          <w:tcPr>
            <w:tcW w:w="429" w:type="pct"/>
            <w:tcBorders>
              <w:top w:val="single" w:color="auto" w:sz="4" w:space="0"/>
              <w:left w:val="nil"/>
              <w:bottom w:val="single" w:color="auto" w:sz="4" w:space="0"/>
              <w:right w:val="single" w:color="auto" w:sz="4" w:space="0"/>
            </w:tcBorders>
            <w:vAlign w:val="center"/>
          </w:tcPr>
          <w:p w14:paraId="393B2932">
            <w:pPr>
              <w:snapToGrid w:val="0"/>
              <w:spacing w:line="360" w:lineRule="auto"/>
              <w:ind w:left="-53" w:leftChars="-25" w:right="-53" w:rightChars="-25"/>
              <w:jc w:val="center"/>
              <w:rPr>
                <w:rFonts w:hint="eastAsia" w:ascii="宋体" w:hAnsi="宋体" w:cs="宋体"/>
                <w:bCs/>
                <w:color w:val="000000" w:themeColor="text1"/>
                <w:sz w:val="20"/>
                <w:szCs w:val="20"/>
                <w:highlight w:val="none"/>
                <w14:textFill>
                  <w14:solidFill>
                    <w14:schemeClr w14:val="tx1"/>
                  </w14:solidFill>
                </w14:textFill>
              </w:rPr>
            </w:pPr>
          </w:p>
        </w:tc>
        <w:tc>
          <w:tcPr>
            <w:tcW w:w="922" w:type="pct"/>
            <w:tcBorders>
              <w:top w:val="single" w:color="auto" w:sz="4" w:space="0"/>
              <w:left w:val="nil"/>
              <w:bottom w:val="single" w:color="auto" w:sz="4" w:space="0"/>
              <w:right w:val="single" w:color="auto" w:sz="4" w:space="0"/>
            </w:tcBorders>
            <w:vAlign w:val="center"/>
          </w:tcPr>
          <w:p w14:paraId="09A46EE9">
            <w:pPr>
              <w:widowControl/>
              <w:jc w:val="center"/>
              <w:rPr>
                <w:rFonts w:ascii="宋体" w:cs="宋体"/>
                <w:bCs/>
                <w:color w:val="000000" w:themeColor="text1"/>
                <w:sz w:val="20"/>
                <w:szCs w:val="20"/>
                <w:highlight w:val="none"/>
                <w14:textFill>
                  <w14:solidFill>
                    <w14:schemeClr w14:val="tx1"/>
                  </w14:solidFill>
                </w14:textFill>
              </w:rPr>
            </w:pPr>
            <w:r>
              <w:rPr>
                <w:rFonts w:hint="eastAsia" w:ascii="宋体" w:cs="宋体"/>
                <w:bCs/>
                <w:color w:val="000000" w:themeColor="text1"/>
                <w:sz w:val="20"/>
                <w:szCs w:val="20"/>
                <w:highlight w:val="none"/>
                <w14:textFill>
                  <w14:solidFill>
                    <w14:schemeClr w14:val="tx1"/>
                  </w14:solidFill>
                </w14:textFill>
              </w:rPr>
              <w:t>...</w:t>
            </w:r>
          </w:p>
        </w:tc>
        <w:tc>
          <w:tcPr>
            <w:tcW w:w="1868" w:type="pct"/>
            <w:tcBorders>
              <w:top w:val="single" w:color="auto" w:sz="4" w:space="0"/>
              <w:left w:val="nil"/>
              <w:bottom w:val="single" w:color="auto" w:sz="4" w:space="0"/>
              <w:right w:val="single" w:color="auto" w:sz="4" w:space="0"/>
            </w:tcBorders>
            <w:vAlign w:val="center"/>
          </w:tcPr>
          <w:p w14:paraId="062ACA63">
            <w:pPr>
              <w:widowControl/>
              <w:jc w:val="center"/>
              <w:rPr>
                <w:rFonts w:ascii="宋体" w:cs="宋体"/>
                <w:bCs/>
                <w:color w:val="000000" w:themeColor="text1"/>
                <w:sz w:val="20"/>
                <w:szCs w:val="20"/>
                <w:highlight w:val="none"/>
                <w14:textFill>
                  <w14:solidFill>
                    <w14:schemeClr w14:val="tx1"/>
                  </w14:solidFill>
                </w14:textFill>
              </w:rPr>
            </w:pPr>
          </w:p>
        </w:tc>
        <w:tc>
          <w:tcPr>
            <w:tcW w:w="1418" w:type="pct"/>
            <w:tcBorders>
              <w:top w:val="single" w:color="auto" w:sz="4" w:space="0"/>
              <w:left w:val="nil"/>
              <w:bottom w:val="single" w:color="auto" w:sz="4" w:space="0"/>
              <w:right w:val="single" w:color="auto" w:sz="4" w:space="0"/>
            </w:tcBorders>
            <w:vAlign w:val="center"/>
          </w:tcPr>
          <w:p w14:paraId="516AC076">
            <w:pPr>
              <w:snapToGrid w:val="0"/>
              <w:spacing w:line="360" w:lineRule="auto"/>
              <w:ind w:left="-53" w:leftChars="-25" w:right="-53" w:rightChars="-25"/>
              <w:rPr>
                <w:rFonts w:hint="eastAsia" w:ascii="宋体" w:hAnsi="宋体" w:cs="宋体"/>
                <w:bCs/>
                <w:color w:val="000000" w:themeColor="text1"/>
                <w:sz w:val="20"/>
                <w:szCs w:val="20"/>
                <w:highlight w:val="none"/>
                <w14:textFill>
                  <w14:solidFill>
                    <w14:schemeClr w14:val="tx1"/>
                  </w14:solidFill>
                </w14:textFill>
              </w:rPr>
            </w:pPr>
          </w:p>
        </w:tc>
      </w:tr>
      <w:tr w14:paraId="2AF965C0">
        <w:tblPrEx>
          <w:tblCellMar>
            <w:top w:w="0" w:type="dxa"/>
            <w:left w:w="108" w:type="dxa"/>
            <w:bottom w:w="0" w:type="dxa"/>
            <w:right w:w="108" w:type="dxa"/>
          </w:tblCellMar>
        </w:tblPrEx>
        <w:trPr>
          <w:trHeight w:val="3487"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3EF7E56A">
            <w:pPr>
              <w:snapToGrid w:val="0"/>
              <w:spacing w:line="360" w:lineRule="auto"/>
              <w:rPr>
                <w:rFonts w:hint="eastAsia" w:ascii="宋体" w:hAnsi="宋体"/>
                <w:color w:val="000000" w:themeColor="text1"/>
                <w:kern w:val="0"/>
                <w:sz w:val="20"/>
                <w:szCs w:val="20"/>
                <w:highlight w:val="none"/>
                <w14:textFill>
                  <w14:solidFill>
                    <w14:schemeClr w14:val="tx1"/>
                  </w14:solidFill>
                </w14:textFill>
              </w:rPr>
            </w:pPr>
            <w:r>
              <w:rPr>
                <w:rFonts w:hint="eastAsia" w:ascii="宋体" w:hAnsi="宋体"/>
                <w:color w:val="000000" w:themeColor="text1"/>
                <w:kern w:val="0"/>
                <w:sz w:val="20"/>
                <w:szCs w:val="20"/>
                <w:highlight w:val="none"/>
                <w14:textFill>
                  <w14:solidFill>
                    <w14:schemeClr w14:val="tx1"/>
                  </w14:solidFill>
                </w14:textFill>
              </w:rPr>
              <w:t>备注：</w:t>
            </w:r>
          </w:p>
          <w:p w14:paraId="434E6A13">
            <w:pPr>
              <w:snapToGrid w:val="0"/>
              <w:spacing w:line="360" w:lineRule="auto"/>
              <w:ind w:firstLine="400" w:firstLineChars="200"/>
              <w:rPr>
                <w:rFonts w:hint="eastAsia" w:ascii="宋体" w:hAnsi="宋体"/>
                <w:color w:val="000000" w:themeColor="text1"/>
                <w:kern w:val="0"/>
                <w:sz w:val="20"/>
                <w:szCs w:val="20"/>
                <w:highlight w:val="none"/>
                <w14:textFill>
                  <w14:solidFill>
                    <w14:schemeClr w14:val="tx1"/>
                  </w14:solidFill>
                </w14:textFill>
              </w:rPr>
            </w:pPr>
            <w:r>
              <w:rPr>
                <w:rFonts w:ascii="宋体" w:hAnsi="宋体"/>
                <w:color w:val="000000" w:themeColor="text1"/>
                <w:kern w:val="0"/>
                <w:sz w:val="20"/>
                <w:szCs w:val="20"/>
                <w:highlight w:val="none"/>
                <w14:textFill>
                  <w14:solidFill>
                    <w14:schemeClr w14:val="tx1"/>
                  </w14:solidFill>
                </w14:textFill>
              </w:rPr>
              <w:t>1</w:t>
            </w:r>
            <w:r>
              <w:rPr>
                <w:rFonts w:hint="eastAsia" w:ascii="宋体" w:hAnsi="宋体"/>
                <w:color w:val="000000" w:themeColor="text1"/>
                <w:kern w:val="0"/>
                <w:sz w:val="20"/>
                <w:szCs w:val="20"/>
                <w:highlight w:val="none"/>
                <w14:textFill>
                  <w14:solidFill>
                    <w14:schemeClr w14:val="tx1"/>
                  </w14:solidFill>
                </w14:textFill>
              </w:rPr>
              <w:t>、</w:t>
            </w:r>
            <w:r>
              <w:rPr>
                <w:rFonts w:hint="eastAsia" w:ascii="宋体" w:hAnsi="宋体"/>
                <w:color w:val="000000" w:themeColor="text1"/>
                <w:kern w:val="0"/>
                <w:sz w:val="20"/>
                <w:szCs w:val="20"/>
                <w:highlight w:val="none"/>
                <w:u w:val="single"/>
                <w14:textFill>
                  <w14:solidFill>
                    <w14:schemeClr w14:val="tx1"/>
                  </w14:solidFill>
                </w14:textFill>
              </w:rPr>
              <w:t>“岗</w:t>
            </w:r>
            <w:r>
              <w:rPr>
                <w:rFonts w:hint="eastAsia" w:ascii="宋体" w:hAnsi="宋体"/>
                <w:color w:val="000000" w:themeColor="text1"/>
                <w:spacing w:val="-2"/>
                <w:kern w:val="0"/>
                <w:sz w:val="20"/>
                <w:szCs w:val="20"/>
                <w:highlight w:val="none"/>
                <w:u w:val="single"/>
                <w14:textFill>
                  <w14:solidFill>
                    <w14:schemeClr w14:val="tx1"/>
                  </w14:solidFill>
                </w14:textFill>
              </w:rPr>
              <w:t>位”要求（除项目负责人和专职安全员外）：拟派的技术负责人、质量负责人、安全负责人、造价负责人、其他人员等</w:t>
            </w:r>
            <w:r>
              <w:rPr>
                <w:rFonts w:hint="eastAsia" w:ascii="宋体" w:hAnsi="宋体"/>
                <w:color w:val="000000" w:themeColor="text1"/>
                <w:spacing w:val="-2"/>
                <w:kern w:val="0"/>
                <w:sz w:val="20"/>
                <w:szCs w:val="20"/>
                <w:highlight w:val="none"/>
                <w14:textFill>
                  <w14:solidFill>
                    <w14:schemeClr w14:val="tx1"/>
                  </w14:solidFill>
                </w14:textFill>
              </w:rPr>
              <w:t>。以上项目管理团队人员信息将由交易系统提取后供各相关单位在履约时比对、查核</w:t>
            </w:r>
            <w:r>
              <w:rPr>
                <w:rFonts w:hint="eastAsia" w:ascii="宋体" w:hAnsi="宋体"/>
                <w:color w:val="000000" w:themeColor="text1"/>
                <w:kern w:val="0"/>
                <w:sz w:val="20"/>
                <w:szCs w:val="20"/>
                <w:highlight w:val="none"/>
                <w14:textFill>
                  <w14:solidFill>
                    <w14:schemeClr w14:val="tx1"/>
                  </w14:solidFill>
                </w14:textFill>
              </w:rPr>
              <w:t>。</w:t>
            </w:r>
          </w:p>
          <w:p w14:paraId="46B6AB8E">
            <w:pPr>
              <w:snapToGrid w:val="0"/>
              <w:spacing w:line="360" w:lineRule="auto"/>
              <w:ind w:firstLine="400" w:firstLineChars="200"/>
              <w:rPr>
                <w:rFonts w:hint="eastAsia" w:ascii="宋体" w:hAnsi="宋体"/>
                <w:color w:val="000000" w:themeColor="text1"/>
                <w:kern w:val="0"/>
                <w:sz w:val="20"/>
                <w:szCs w:val="20"/>
                <w:highlight w:val="none"/>
                <w14:textFill>
                  <w14:solidFill>
                    <w14:schemeClr w14:val="tx1"/>
                  </w14:solidFill>
                </w14:textFill>
              </w:rPr>
            </w:pPr>
            <w:r>
              <w:rPr>
                <w:rFonts w:ascii="宋体" w:hAnsi="宋体"/>
                <w:color w:val="000000" w:themeColor="text1"/>
                <w:kern w:val="0"/>
                <w:sz w:val="20"/>
                <w:szCs w:val="20"/>
                <w:highlight w:val="none"/>
                <w14:textFill>
                  <w14:solidFill>
                    <w14:schemeClr w14:val="tx1"/>
                  </w14:solidFill>
                </w14:textFill>
              </w:rPr>
              <w:t>2</w:t>
            </w:r>
            <w:r>
              <w:rPr>
                <w:rFonts w:hint="eastAsia" w:ascii="宋体" w:hAnsi="宋体"/>
                <w:color w:val="000000" w:themeColor="text1"/>
                <w:kern w:val="0"/>
                <w:sz w:val="20"/>
                <w:szCs w:val="20"/>
                <w:highlight w:val="none"/>
                <w14:textFill>
                  <w14:solidFill>
                    <w14:schemeClr w14:val="tx1"/>
                  </w14:solidFill>
                </w14:textFill>
              </w:rPr>
              <w:t>、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w:t>
            </w:r>
            <w:r>
              <w:rPr>
                <w:rFonts w:ascii="宋体" w:hAnsi="宋体"/>
                <w:color w:val="000000" w:themeColor="text1"/>
                <w:kern w:val="0"/>
                <w:sz w:val="20"/>
                <w:szCs w:val="20"/>
                <w:highlight w:val="none"/>
                <w14:textFill>
                  <w14:solidFill>
                    <w14:schemeClr w14:val="tx1"/>
                  </w14:solidFill>
                </w14:textFill>
              </w:rPr>
              <w:t>(</w:t>
            </w:r>
            <w:r>
              <w:rPr>
                <w:rFonts w:hint="eastAsia" w:ascii="宋体" w:hAnsi="宋体"/>
                <w:color w:val="000000" w:themeColor="text1"/>
                <w:kern w:val="0"/>
                <w:sz w:val="20"/>
                <w:szCs w:val="20"/>
                <w:highlight w:val="none"/>
                <w14:textFill>
                  <w14:solidFill>
                    <w14:schemeClr w14:val="tx1"/>
                  </w14:solidFill>
                </w14:textFill>
              </w:rPr>
              <w:t>投标截止时间前可以补充、修改、替代</w:t>
            </w:r>
            <w:r>
              <w:rPr>
                <w:rFonts w:ascii="宋体" w:hAnsi="宋体"/>
                <w:color w:val="000000" w:themeColor="text1"/>
                <w:kern w:val="0"/>
                <w:sz w:val="20"/>
                <w:szCs w:val="20"/>
                <w:highlight w:val="none"/>
                <w14:textFill>
                  <w14:solidFill>
                    <w14:schemeClr w14:val="tx1"/>
                  </w14:solidFill>
                </w14:textFill>
              </w:rPr>
              <w:t>)</w:t>
            </w:r>
            <w:r>
              <w:rPr>
                <w:rFonts w:hint="eastAsia" w:ascii="宋体" w:hAnsi="宋体"/>
                <w:color w:val="000000" w:themeColor="text1"/>
                <w:kern w:val="0"/>
                <w:sz w:val="20"/>
                <w:szCs w:val="20"/>
                <w:highlight w:val="none"/>
                <w14:textFill>
                  <w14:solidFill>
                    <w14:schemeClr w14:val="tx1"/>
                  </w14:solidFill>
                </w14:textFill>
              </w:rPr>
              <w:t>。</w:t>
            </w:r>
          </w:p>
          <w:p w14:paraId="095BE204">
            <w:pPr>
              <w:snapToGrid w:val="0"/>
              <w:spacing w:line="360" w:lineRule="auto"/>
              <w:ind w:firstLine="400" w:firstLineChars="200"/>
              <w:rPr>
                <w:rFonts w:hint="eastAsia" w:ascii="宋体" w:hAnsi="宋体"/>
                <w:color w:val="000000" w:themeColor="text1"/>
                <w:kern w:val="0"/>
                <w:sz w:val="20"/>
                <w:szCs w:val="20"/>
                <w:highlight w:val="none"/>
                <w14:textFill>
                  <w14:solidFill>
                    <w14:schemeClr w14:val="tx1"/>
                  </w14:solidFill>
                </w14:textFill>
              </w:rPr>
            </w:pPr>
            <w:r>
              <w:rPr>
                <w:rFonts w:hint="eastAsia" w:ascii="宋体" w:hAnsi="宋体"/>
                <w:color w:val="000000" w:themeColor="text1"/>
                <w:kern w:val="0"/>
                <w:sz w:val="20"/>
                <w:szCs w:val="20"/>
                <w:highlight w:val="none"/>
                <w14:textFill>
                  <w14:solidFill>
                    <w14:schemeClr w14:val="tx1"/>
                  </w14:solidFill>
                </w14:textFill>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3DA601AC">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10CAABF7">
      <w:pPr>
        <w:pStyle w:val="3"/>
        <w:ind w:firstLine="0"/>
        <w:rPr>
          <w:rFonts w:hint="eastAsia" w:ascii="宋体" w:hAnsi="宋体" w:cs="宋体"/>
          <w:color w:val="000000" w:themeColor="text1"/>
          <w:kern w:val="2"/>
          <w:sz w:val="24"/>
          <w:szCs w:val="20"/>
          <w:highlight w:val="none"/>
          <w14:textFill>
            <w14:solidFill>
              <w14:schemeClr w14:val="tx1"/>
            </w14:solidFill>
          </w14:textFill>
        </w:rPr>
      </w:pPr>
      <w:r>
        <w:rPr>
          <w:rFonts w:hint="eastAsia" w:ascii="宋体" w:hAnsi="宋体" w:cs="宋体"/>
          <w:color w:val="000000" w:themeColor="text1"/>
          <w:kern w:val="2"/>
          <w:sz w:val="24"/>
          <w:szCs w:val="20"/>
          <w:highlight w:val="none"/>
          <w14:textFill>
            <w14:solidFill>
              <w14:schemeClr w14:val="tx1"/>
            </w14:solidFill>
          </w14:textFill>
        </w:rPr>
        <w:t>附件</w:t>
      </w:r>
      <w:r>
        <w:rPr>
          <w:rFonts w:hint="eastAsia" w:ascii="宋体" w:hAnsi="宋体" w:cs="宋体"/>
          <w:color w:val="000000" w:themeColor="text1"/>
          <w:kern w:val="2"/>
          <w:sz w:val="24"/>
          <w:szCs w:val="20"/>
          <w:highlight w:val="none"/>
          <w:lang w:val="en-US" w:eastAsia="zh-CN"/>
          <w14:textFill>
            <w14:solidFill>
              <w14:schemeClr w14:val="tx1"/>
            </w14:solidFill>
          </w14:textFill>
        </w:rPr>
        <w:t>三</w:t>
      </w:r>
      <w:r>
        <w:rPr>
          <w:rFonts w:hint="eastAsia" w:ascii="宋体" w:hAnsi="宋体" w:cs="宋体"/>
          <w:color w:val="000000" w:themeColor="text1"/>
          <w:kern w:val="2"/>
          <w:sz w:val="24"/>
          <w:szCs w:val="20"/>
          <w:highlight w:val="none"/>
          <w14:textFill>
            <w14:solidFill>
              <w14:schemeClr w14:val="tx1"/>
            </w14:solidFill>
          </w14:textFill>
        </w:rPr>
        <w:t>：</w:t>
      </w:r>
    </w:p>
    <w:p w14:paraId="7E92DB1D">
      <w:pPr>
        <w:snapToGrid w:val="0"/>
        <w:spacing w:after="78" w:afterLines="25" w:line="360" w:lineRule="auto"/>
        <w:jc w:val="center"/>
        <w:rPr>
          <w:rFonts w:hint="eastAsia" w:ascii="宋体" w:hAnsi="宋体" w:cs="Times New Roman"/>
          <w:b/>
          <w:color w:val="000000" w:themeColor="text1"/>
          <w:kern w:val="0"/>
          <w:sz w:val="36"/>
          <w:szCs w:val="36"/>
          <w:highlight w:val="none"/>
          <w14:textFill>
            <w14:solidFill>
              <w14:schemeClr w14:val="tx1"/>
            </w14:solidFill>
          </w14:textFill>
        </w:rPr>
      </w:pPr>
      <w:r>
        <w:rPr>
          <w:rFonts w:hint="eastAsia" w:ascii="宋体" w:hAnsi="宋体" w:cs="Times New Roman"/>
          <w:b/>
          <w:color w:val="000000" w:themeColor="text1"/>
          <w:kern w:val="0"/>
          <w:sz w:val="36"/>
          <w:szCs w:val="36"/>
          <w:highlight w:val="none"/>
          <w14:textFill>
            <w14:solidFill>
              <w14:schemeClr w14:val="tx1"/>
            </w14:solidFill>
          </w14:textFill>
        </w:rPr>
        <w:t>联合体工作协议</w:t>
      </w:r>
    </w:p>
    <w:p w14:paraId="037AFEAE">
      <w:pPr>
        <w:jc w:val="center"/>
        <w:rPr>
          <w:rFonts w:hint="eastAsia"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（参考格式）</w:t>
      </w:r>
    </w:p>
    <w:p w14:paraId="713BEE0A">
      <w:pPr>
        <w:widowControl/>
        <w:shd w:val="clear" w:color="auto" w:fill="FFFFFF"/>
        <w:autoSpaceDE w:val="0"/>
        <w:snapToGrid w:val="0"/>
        <w:spacing w:line="360" w:lineRule="auto"/>
        <w:jc w:val="left"/>
        <w:rPr>
          <w:rFonts w:hint="eastAsia"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highlight w:val="none"/>
          <w:shd w:val="clear" w:color="auto" w:fill="FFFFFF"/>
          <w14:textFill>
            <w14:solidFill>
              <w14:schemeClr w14:val="tx1"/>
            </w14:solidFill>
          </w14:textFill>
        </w:rPr>
        <w:t>投标项目名称：</w:t>
      </w:r>
      <w:r>
        <w:rPr>
          <w:rFonts w:hint="eastAsia" w:ascii="宋体" w:hAnsi="宋体" w:cs="宋体"/>
          <w:color w:val="000000" w:themeColor="text1"/>
          <w:kern w:val="0"/>
          <w:sz w:val="21"/>
          <w:szCs w:val="21"/>
          <w:highlight w:val="none"/>
          <w:u w:val="single"/>
          <w:shd w:val="clear" w:color="auto" w:fill="FFFFFF"/>
          <w14:textFill>
            <w14:solidFill>
              <w14:schemeClr w14:val="tx1"/>
            </w14:solidFill>
          </w14:textFill>
        </w:rPr>
        <w:t xml:space="preserve">               </w:t>
      </w:r>
    </w:p>
    <w:p w14:paraId="390FA966">
      <w:pPr>
        <w:widowControl/>
        <w:shd w:val="clear" w:color="auto" w:fill="FFFFFF"/>
        <w:autoSpaceDE w:val="0"/>
        <w:snapToGrid w:val="0"/>
        <w:spacing w:line="360" w:lineRule="auto"/>
        <w:jc w:val="left"/>
        <w:rPr>
          <w:rFonts w:hint="eastAsia"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highlight w:val="none"/>
          <w:shd w:val="clear" w:color="auto" w:fill="FFFFFF"/>
          <w14:textFill>
            <w14:solidFill>
              <w14:schemeClr w14:val="tx1"/>
            </w14:solidFill>
          </w14:textFill>
        </w:rPr>
        <w:t>致：</w:t>
      </w:r>
      <w:r>
        <w:rPr>
          <w:rFonts w:hint="eastAsia" w:ascii="宋体" w:hAnsi="宋体" w:cs="宋体"/>
          <w:color w:val="000000" w:themeColor="text1"/>
          <w:kern w:val="0"/>
          <w:sz w:val="21"/>
          <w:szCs w:val="21"/>
          <w:highlight w:val="none"/>
          <w:u w:val="single"/>
          <w:shd w:val="clear" w:color="auto" w:fill="FFFFFF"/>
          <w14:textFill>
            <w14:solidFill>
              <w14:schemeClr w14:val="tx1"/>
            </w14:solidFill>
          </w14:textFill>
        </w:rPr>
        <w:t xml:space="preserve">               </w:t>
      </w:r>
      <w:r>
        <w:rPr>
          <w:rFonts w:hint="eastAsia" w:ascii="宋体" w:hAnsi="宋体" w:cs="宋体"/>
          <w:color w:val="000000" w:themeColor="text1"/>
          <w:kern w:val="0"/>
          <w:sz w:val="21"/>
          <w:szCs w:val="21"/>
          <w:highlight w:val="none"/>
          <w:shd w:val="clear" w:color="auto" w:fill="FFFFFF"/>
          <w14:textFill>
            <w14:solidFill>
              <w14:schemeClr w14:val="tx1"/>
            </w14:solidFill>
          </w14:textFill>
        </w:rPr>
        <w:t>（招标人名称）</w:t>
      </w:r>
    </w:p>
    <w:p w14:paraId="19AF3A5C">
      <w:pPr>
        <w:widowControl/>
        <w:shd w:val="clear" w:color="auto" w:fill="FFFFFF"/>
        <w:autoSpaceDE w:val="0"/>
        <w:snapToGrid w:val="0"/>
        <w:spacing w:line="360" w:lineRule="auto"/>
        <w:jc w:val="left"/>
        <w:rPr>
          <w:rFonts w:hint="eastAsia"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sz w:val="21"/>
          <w:szCs w:val="21"/>
          <w:highlight w:val="none"/>
          <w:shd w:val="clear" w:color="auto" w:fill="FFFFFF"/>
          <w14:textFill>
            <w14:solidFill>
              <w14:schemeClr w14:val="tx1"/>
            </w14:solidFill>
          </w14:textFill>
        </w:rPr>
        <w:t xml:space="preserve"> </w:t>
      </w:r>
    </w:p>
    <w:p w14:paraId="3B68D77C">
      <w:pPr>
        <w:widowControl/>
        <w:shd w:val="clear" w:color="auto" w:fill="FFFFFF"/>
        <w:autoSpaceDE w:val="0"/>
        <w:snapToGrid w:val="0"/>
        <w:spacing w:line="360" w:lineRule="auto"/>
        <w:ind w:firstLine="420"/>
        <w:jc w:val="left"/>
        <w:rPr>
          <w:rFonts w:hint="eastAsia"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highlight w:val="none"/>
          <w:shd w:val="clear" w:color="auto" w:fill="FFFFFF"/>
          <w14:textFill>
            <w14:solidFill>
              <w14:schemeClr w14:val="tx1"/>
            </w14:solidFill>
          </w14:textFill>
        </w:rPr>
        <w:t>我方决定组成联合体共同参加以上项目的投标，若中标，联合体各成员向招标人承担连带责任。联合体各方一致授权委托主办方负责投标工程的投标登记、资格审查、投标文件编制、合同谈判及相关文件的签署等工作以及后续相关工作的管理。</w:t>
      </w:r>
    </w:p>
    <w:p w14:paraId="0DE077EB">
      <w:pPr>
        <w:widowControl/>
        <w:shd w:val="clear" w:color="auto" w:fill="FFFFFF"/>
        <w:autoSpaceDE w:val="0"/>
        <w:snapToGrid w:val="0"/>
        <w:spacing w:line="360" w:lineRule="auto"/>
        <w:ind w:firstLine="405"/>
        <w:jc w:val="left"/>
        <w:rPr>
          <w:rFonts w:hint="eastAsia" w:ascii="宋体" w:hAnsi="宋体" w:cs="宋体"/>
          <w:color w:val="000000" w:themeColor="text1"/>
          <w:kern w:val="0"/>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highlight w:val="none"/>
          <w:shd w:val="clear" w:color="auto" w:fill="FFFFFF"/>
          <w14:textFill>
            <w14:solidFill>
              <w14:schemeClr w14:val="tx1"/>
            </w14:solidFill>
          </w14:textFill>
        </w:rPr>
        <w:t>投标人主办方：（盖章）</w:t>
      </w:r>
      <w:r>
        <w:rPr>
          <w:rFonts w:hint="eastAsia" w:ascii="宋体" w:hAnsi="宋体" w:cs="宋体"/>
          <w:color w:val="000000" w:themeColor="text1"/>
          <w:kern w:val="0"/>
          <w:sz w:val="21"/>
          <w:szCs w:val="21"/>
          <w:highlight w:val="none"/>
          <w:u w:val="single"/>
          <w:shd w:val="clear" w:color="auto" w:fill="FFFFFF"/>
          <w14:textFill>
            <w14:solidFill>
              <w14:schemeClr w14:val="tx1"/>
            </w14:solidFill>
          </w14:textFill>
        </w:rPr>
        <w:t xml:space="preserve">            </w:t>
      </w:r>
    </w:p>
    <w:p w14:paraId="4A2B0303">
      <w:pPr>
        <w:widowControl/>
        <w:shd w:val="clear" w:color="auto" w:fill="FFFFFF"/>
        <w:autoSpaceDE w:val="0"/>
        <w:snapToGrid w:val="0"/>
        <w:spacing w:line="360" w:lineRule="auto"/>
        <w:ind w:firstLine="405"/>
        <w:jc w:val="left"/>
        <w:rPr>
          <w:rFonts w:hint="eastAsia" w:ascii="宋体" w:hAnsi="宋体" w:cs="宋体"/>
          <w:color w:val="000000" w:themeColor="text1"/>
          <w:kern w:val="0"/>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highlight w:val="none"/>
          <w:shd w:val="clear" w:color="auto" w:fill="FFFFFF"/>
          <w14:textFill>
            <w14:solidFill>
              <w14:schemeClr w14:val="tx1"/>
            </w14:solidFill>
          </w14:textFill>
        </w:rPr>
        <w:t>法定代表人：（签字或盖章）</w:t>
      </w:r>
      <w:r>
        <w:rPr>
          <w:rFonts w:hint="eastAsia" w:ascii="宋体" w:hAnsi="宋体" w:cs="宋体"/>
          <w:color w:val="000000" w:themeColor="text1"/>
          <w:kern w:val="0"/>
          <w:sz w:val="21"/>
          <w:szCs w:val="21"/>
          <w:highlight w:val="none"/>
          <w:u w:val="single"/>
          <w:shd w:val="clear" w:color="auto" w:fill="FFFFFF"/>
          <w14:textFill>
            <w14:solidFill>
              <w14:schemeClr w14:val="tx1"/>
            </w14:solidFill>
          </w14:textFill>
        </w:rPr>
        <w:t xml:space="preserve">           </w:t>
      </w:r>
    </w:p>
    <w:p w14:paraId="617AB122">
      <w:pPr>
        <w:widowControl/>
        <w:shd w:val="clear" w:color="auto" w:fill="FFFFFF"/>
        <w:autoSpaceDE w:val="0"/>
        <w:snapToGrid w:val="0"/>
        <w:spacing w:line="360" w:lineRule="auto"/>
        <w:ind w:firstLine="405"/>
        <w:jc w:val="left"/>
        <w:rPr>
          <w:rFonts w:hint="eastAsia" w:ascii="宋体" w:hAnsi="宋体" w:cs="宋体"/>
          <w:color w:val="000000" w:themeColor="text1"/>
          <w:kern w:val="0"/>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highlight w:val="none"/>
          <w:shd w:val="clear" w:color="auto" w:fill="FFFFFF"/>
          <w14:textFill>
            <w14:solidFill>
              <w14:schemeClr w14:val="tx1"/>
            </w14:solidFill>
          </w14:textFill>
        </w:rPr>
        <w:t>地址：</w:t>
      </w:r>
      <w:r>
        <w:rPr>
          <w:rFonts w:hint="eastAsia" w:ascii="宋体" w:hAnsi="宋体" w:cs="宋体"/>
          <w:color w:val="000000" w:themeColor="text1"/>
          <w:kern w:val="0"/>
          <w:sz w:val="21"/>
          <w:szCs w:val="21"/>
          <w:highlight w:val="none"/>
          <w:u w:val="single"/>
          <w:shd w:val="clear" w:color="auto" w:fill="FFFFFF"/>
          <w14:textFill>
            <w14:solidFill>
              <w14:schemeClr w14:val="tx1"/>
            </w14:solidFill>
          </w14:textFill>
        </w:rPr>
        <w:t xml:space="preserve">                       </w:t>
      </w:r>
    </w:p>
    <w:p w14:paraId="2D31D1AE">
      <w:pPr>
        <w:widowControl/>
        <w:shd w:val="clear" w:color="auto" w:fill="FFFFFF"/>
        <w:autoSpaceDE w:val="0"/>
        <w:snapToGrid w:val="0"/>
        <w:spacing w:line="360" w:lineRule="auto"/>
        <w:ind w:firstLine="405"/>
        <w:jc w:val="left"/>
        <w:rPr>
          <w:rFonts w:hint="eastAsia"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highlight w:val="none"/>
          <w:shd w:val="clear" w:color="auto" w:fill="FFFFFF"/>
          <w14:textFill>
            <w14:solidFill>
              <w14:schemeClr w14:val="tx1"/>
            </w14:solidFill>
          </w14:textFill>
        </w:rPr>
        <w:t>邮政编码：</w:t>
      </w:r>
      <w:r>
        <w:rPr>
          <w:rFonts w:hint="eastAsia" w:ascii="宋体" w:hAnsi="宋体" w:cs="宋体"/>
          <w:color w:val="000000" w:themeColor="text1"/>
          <w:kern w:val="0"/>
          <w:sz w:val="21"/>
          <w:szCs w:val="21"/>
          <w:highlight w:val="none"/>
          <w:u w:val="single"/>
          <w:shd w:val="clear" w:color="auto" w:fill="FFFFFF"/>
          <w14:textFill>
            <w14:solidFill>
              <w14:schemeClr w14:val="tx1"/>
            </w14:solidFill>
          </w14:textFill>
        </w:rPr>
        <w:t xml:space="preserve">        </w:t>
      </w:r>
      <w:r>
        <w:rPr>
          <w:rFonts w:hint="eastAsia" w:ascii="宋体" w:hAnsi="宋体" w:cs="宋体"/>
          <w:color w:val="000000" w:themeColor="text1"/>
          <w:kern w:val="0"/>
          <w:sz w:val="21"/>
          <w:szCs w:val="21"/>
          <w:highlight w:val="none"/>
          <w:shd w:val="clear" w:color="auto" w:fill="FFFFFF"/>
          <w14:textFill>
            <w14:solidFill>
              <w14:schemeClr w14:val="tx1"/>
            </w14:solidFill>
          </w14:textFill>
        </w:rPr>
        <w:t>电话/传真：</w:t>
      </w:r>
      <w:r>
        <w:rPr>
          <w:rFonts w:hint="eastAsia" w:ascii="宋体" w:hAnsi="宋体" w:cs="宋体"/>
          <w:color w:val="000000" w:themeColor="text1"/>
          <w:kern w:val="0"/>
          <w:sz w:val="21"/>
          <w:szCs w:val="21"/>
          <w:highlight w:val="none"/>
          <w:u w:val="single"/>
          <w:shd w:val="clear" w:color="auto" w:fill="FFFFFF"/>
          <w14:textFill>
            <w14:solidFill>
              <w14:schemeClr w14:val="tx1"/>
            </w14:solidFill>
          </w14:textFill>
        </w:rPr>
        <w:t xml:space="preserve">            </w:t>
      </w:r>
    </w:p>
    <w:p w14:paraId="6470C4CC">
      <w:pPr>
        <w:widowControl/>
        <w:shd w:val="clear" w:color="auto" w:fill="FFFFFF"/>
        <w:autoSpaceDE w:val="0"/>
        <w:snapToGrid w:val="0"/>
        <w:spacing w:line="360" w:lineRule="auto"/>
        <w:ind w:firstLine="405"/>
        <w:jc w:val="left"/>
        <w:rPr>
          <w:rFonts w:hint="eastAsia" w:ascii="宋体" w:hAnsi="宋体" w:cs="宋体"/>
          <w:color w:val="000000" w:themeColor="text1"/>
          <w:kern w:val="0"/>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highlight w:val="none"/>
          <w:shd w:val="clear" w:color="auto" w:fill="FFFFFF"/>
          <w14:textFill>
            <w14:solidFill>
              <w14:schemeClr w14:val="tx1"/>
            </w14:solidFill>
          </w14:textFill>
        </w:rPr>
        <w:t>分工内容：</w:t>
      </w:r>
    </w:p>
    <w:p w14:paraId="62FE8531">
      <w:pPr>
        <w:widowControl/>
        <w:shd w:val="clear" w:color="auto" w:fill="FFFFFF"/>
        <w:autoSpaceDE w:val="0"/>
        <w:snapToGrid w:val="0"/>
        <w:spacing w:line="360" w:lineRule="auto"/>
        <w:ind w:firstLine="405"/>
        <w:jc w:val="left"/>
        <w:rPr>
          <w:rFonts w:hint="eastAsia" w:ascii="宋体" w:hAnsi="宋体" w:cs="宋体"/>
          <w:color w:val="000000" w:themeColor="text1"/>
          <w:kern w:val="0"/>
          <w:sz w:val="21"/>
          <w:szCs w:val="21"/>
          <w:highlight w:val="none"/>
          <w:shd w:val="clear" w:color="auto" w:fill="FFFFFF"/>
          <w14:textFill>
            <w14:solidFill>
              <w14:schemeClr w14:val="tx1"/>
            </w14:solidFill>
          </w14:textFill>
        </w:rPr>
      </w:pPr>
      <w:r>
        <w:rPr>
          <w:rFonts w:hint="eastAsia" w:ascii="宋体" w:hAnsi="宋体" w:cs="宋体"/>
          <w:color w:val="000000" w:themeColor="text1"/>
          <w:sz w:val="21"/>
          <w:szCs w:val="21"/>
          <w:highlight w:val="none"/>
          <w:shd w:val="clear" w:color="auto" w:fill="FFFFFF"/>
          <w14:textFill>
            <w14:solidFill>
              <w14:schemeClr w14:val="tx1"/>
            </w14:solidFill>
          </w14:textFill>
        </w:rPr>
        <w:t xml:space="preserve"> </w:t>
      </w:r>
    </w:p>
    <w:p w14:paraId="50C81389">
      <w:pPr>
        <w:pStyle w:val="3"/>
        <w:rPr>
          <w:rFonts w:hint="eastAsia" w:ascii="宋体" w:hAnsi="宋体" w:cs="宋体"/>
          <w:color w:val="000000" w:themeColor="text1"/>
          <w:sz w:val="21"/>
          <w:szCs w:val="21"/>
          <w:highlight w:val="none"/>
          <w14:textFill>
            <w14:solidFill>
              <w14:schemeClr w14:val="tx1"/>
            </w14:solidFill>
          </w14:textFill>
        </w:rPr>
      </w:pPr>
    </w:p>
    <w:p w14:paraId="18735E25">
      <w:pPr>
        <w:widowControl/>
        <w:shd w:val="clear" w:color="auto" w:fill="FFFFFF"/>
        <w:autoSpaceDE w:val="0"/>
        <w:snapToGrid w:val="0"/>
        <w:spacing w:line="360" w:lineRule="auto"/>
        <w:ind w:firstLine="405"/>
        <w:jc w:val="left"/>
        <w:rPr>
          <w:rFonts w:hint="eastAsia" w:ascii="宋体" w:hAnsi="宋体" w:cs="宋体"/>
          <w:color w:val="000000" w:themeColor="text1"/>
          <w:kern w:val="0"/>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highlight w:val="none"/>
          <w:shd w:val="clear" w:color="auto" w:fill="FFFFFF"/>
          <w14:textFill>
            <w14:solidFill>
              <w14:schemeClr w14:val="tx1"/>
            </w14:solidFill>
          </w14:textFill>
        </w:rPr>
        <w:t>联合体成员：（盖章）</w:t>
      </w:r>
      <w:r>
        <w:rPr>
          <w:rFonts w:hint="eastAsia" w:ascii="宋体" w:hAnsi="宋体" w:cs="宋体"/>
          <w:color w:val="000000" w:themeColor="text1"/>
          <w:kern w:val="0"/>
          <w:sz w:val="21"/>
          <w:szCs w:val="21"/>
          <w:highlight w:val="none"/>
          <w:u w:val="single"/>
          <w:shd w:val="clear" w:color="auto" w:fill="FFFFFF"/>
          <w14:textFill>
            <w14:solidFill>
              <w14:schemeClr w14:val="tx1"/>
            </w14:solidFill>
          </w14:textFill>
        </w:rPr>
        <w:t xml:space="preserve">                </w:t>
      </w:r>
    </w:p>
    <w:p w14:paraId="4D9A74A9">
      <w:pPr>
        <w:widowControl/>
        <w:shd w:val="clear" w:color="auto" w:fill="FFFFFF"/>
        <w:autoSpaceDE w:val="0"/>
        <w:snapToGrid w:val="0"/>
        <w:spacing w:line="360" w:lineRule="auto"/>
        <w:ind w:firstLine="405"/>
        <w:jc w:val="left"/>
        <w:rPr>
          <w:rFonts w:hint="eastAsia" w:ascii="宋体" w:hAnsi="宋体" w:cs="宋体"/>
          <w:color w:val="000000" w:themeColor="text1"/>
          <w:kern w:val="0"/>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highlight w:val="none"/>
          <w:shd w:val="clear" w:color="auto" w:fill="FFFFFF"/>
          <w14:textFill>
            <w14:solidFill>
              <w14:schemeClr w14:val="tx1"/>
            </w14:solidFill>
          </w14:textFill>
        </w:rPr>
        <w:t>法定代表人：（签字或盖章）</w:t>
      </w:r>
      <w:r>
        <w:rPr>
          <w:rFonts w:hint="eastAsia" w:ascii="宋体" w:hAnsi="宋体" w:cs="宋体"/>
          <w:color w:val="000000" w:themeColor="text1"/>
          <w:kern w:val="0"/>
          <w:sz w:val="21"/>
          <w:szCs w:val="21"/>
          <w:highlight w:val="none"/>
          <w:u w:val="single"/>
          <w:shd w:val="clear" w:color="auto" w:fill="FFFFFF"/>
          <w14:textFill>
            <w14:solidFill>
              <w14:schemeClr w14:val="tx1"/>
            </w14:solidFill>
          </w14:textFill>
        </w:rPr>
        <w:t xml:space="preserve">             </w:t>
      </w:r>
    </w:p>
    <w:p w14:paraId="4AC367FE">
      <w:pPr>
        <w:widowControl/>
        <w:shd w:val="clear" w:color="auto" w:fill="FFFFFF"/>
        <w:autoSpaceDE w:val="0"/>
        <w:snapToGrid w:val="0"/>
        <w:spacing w:line="360" w:lineRule="auto"/>
        <w:ind w:firstLine="405"/>
        <w:jc w:val="left"/>
        <w:rPr>
          <w:rFonts w:hint="eastAsia"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highlight w:val="none"/>
          <w:shd w:val="clear" w:color="auto" w:fill="FFFFFF"/>
          <w14:textFill>
            <w14:solidFill>
              <w14:schemeClr w14:val="tx1"/>
            </w14:solidFill>
          </w14:textFill>
        </w:rPr>
        <w:t>地址：</w:t>
      </w:r>
      <w:r>
        <w:rPr>
          <w:rFonts w:hint="eastAsia" w:ascii="宋体" w:hAnsi="宋体" w:cs="宋体"/>
          <w:color w:val="000000" w:themeColor="text1"/>
          <w:kern w:val="0"/>
          <w:sz w:val="21"/>
          <w:szCs w:val="21"/>
          <w:highlight w:val="none"/>
          <w:u w:val="single"/>
          <w:shd w:val="clear" w:color="auto" w:fill="FFFFFF"/>
          <w14:textFill>
            <w14:solidFill>
              <w14:schemeClr w14:val="tx1"/>
            </w14:solidFill>
          </w14:textFill>
        </w:rPr>
        <w:t xml:space="preserve">                         </w:t>
      </w:r>
    </w:p>
    <w:p w14:paraId="312EB0C0">
      <w:pPr>
        <w:widowControl/>
        <w:shd w:val="clear" w:color="auto" w:fill="FFFFFF"/>
        <w:autoSpaceDE w:val="0"/>
        <w:snapToGrid w:val="0"/>
        <w:spacing w:line="360" w:lineRule="auto"/>
        <w:ind w:firstLine="405"/>
        <w:jc w:val="left"/>
        <w:rPr>
          <w:rFonts w:hint="eastAsia"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highlight w:val="none"/>
          <w:shd w:val="clear" w:color="auto" w:fill="FFFFFF"/>
          <w14:textFill>
            <w14:solidFill>
              <w14:schemeClr w14:val="tx1"/>
            </w14:solidFill>
          </w14:textFill>
        </w:rPr>
        <w:t>邮政编码：</w:t>
      </w:r>
      <w:r>
        <w:rPr>
          <w:rFonts w:hint="eastAsia" w:ascii="宋体" w:hAnsi="宋体" w:cs="宋体"/>
          <w:color w:val="000000" w:themeColor="text1"/>
          <w:kern w:val="0"/>
          <w:sz w:val="21"/>
          <w:szCs w:val="21"/>
          <w:highlight w:val="none"/>
          <w:u w:val="single"/>
          <w:shd w:val="clear" w:color="auto" w:fill="FFFFFF"/>
          <w14:textFill>
            <w14:solidFill>
              <w14:schemeClr w14:val="tx1"/>
            </w14:solidFill>
          </w14:textFill>
        </w:rPr>
        <w:t xml:space="preserve">          </w:t>
      </w:r>
      <w:r>
        <w:rPr>
          <w:rFonts w:hint="eastAsia" w:ascii="宋体" w:hAnsi="宋体" w:cs="宋体"/>
          <w:color w:val="000000" w:themeColor="text1"/>
          <w:kern w:val="0"/>
          <w:sz w:val="21"/>
          <w:szCs w:val="21"/>
          <w:highlight w:val="none"/>
          <w:shd w:val="clear" w:color="auto" w:fill="FFFFFF"/>
          <w14:textFill>
            <w14:solidFill>
              <w14:schemeClr w14:val="tx1"/>
            </w14:solidFill>
          </w14:textFill>
        </w:rPr>
        <w:t>电话/传真：</w:t>
      </w:r>
      <w:r>
        <w:rPr>
          <w:rFonts w:hint="eastAsia" w:ascii="宋体" w:hAnsi="宋体" w:cs="宋体"/>
          <w:color w:val="000000" w:themeColor="text1"/>
          <w:kern w:val="0"/>
          <w:sz w:val="21"/>
          <w:szCs w:val="21"/>
          <w:highlight w:val="none"/>
          <w:u w:val="single"/>
          <w:shd w:val="clear" w:color="auto" w:fill="FFFFFF"/>
          <w14:textFill>
            <w14:solidFill>
              <w14:schemeClr w14:val="tx1"/>
            </w14:solidFill>
          </w14:textFill>
        </w:rPr>
        <w:t xml:space="preserve">         </w:t>
      </w:r>
    </w:p>
    <w:p w14:paraId="702CCDCF">
      <w:pPr>
        <w:widowControl/>
        <w:shd w:val="clear" w:color="auto" w:fill="FFFFFF"/>
        <w:autoSpaceDE w:val="0"/>
        <w:snapToGrid w:val="0"/>
        <w:spacing w:line="360" w:lineRule="auto"/>
        <w:ind w:firstLine="405"/>
        <w:jc w:val="left"/>
        <w:rPr>
          <w:rFonts w:hint="eastAsia" w:ascii="宋体" w:hAnsi="宋体" w:cs="宋体"/>
          <w:color w:val="000000" w:themeColor="text1"/>
          <w:kern w:val="0"/>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highlight w:val="none"/>
          <w:shd w:val="clear" w:color="auto" w:fill="FFFFFF"/>
          <w14:textFill>
            <w14:solidFill>
              <w14:schemeClr w14:val="tx1"/>
            </w14:solidFill>
          </w14:textFill>
        </w:rPr>
        <w:t>分工内容：</w:t>
      </w:r>
    </w:p>
    <w:p w14:paraId="5ADCFD14">
      <w:pPr>
        <w:pStyle w:val="3"/>
        <w:rPr>
          <w:rFonts w:hint="eastAsia" w:ascii="宋体" w:hAnsi="宋体" w:cs="宋体"/>
          <w:color w:val="000000" w:themeColor="text1"/>
          <w:sz w:val="21"/>
          <w:szCs w:val="21"/>
          <w:highlight w:val="none"/>
          <w14:textFill>
            <w14:solidFill>
              <w14:schemeClr w14:val="tx1"/>
            </w14:solidFill>
          </w14:textFill>
        </w:rPr>
      </w:pPr>
    </w:p>
    <w:p w14:paraId="2FB19416">
      <w:pPr>
        <w:rPr>
          <w:color w:val="000000" w:themeColor="text1"/>
          <w:sz w:val="18"/>
          <w:szCs w:val="20"/>
          <w:highlight w:val="none"/>
          <w14:textFill>
            <w14:solidFill>
              <w14:schemeClr w14:val="tx1"/>
            </w14:solidFill>
          </w14:textFill>
        </w:rPr>
      </w:pPr>
      <w:r>
        <w:rPr>
          <w:rFonts w:hint="eastAsia" w:ascii="宋体" w:hAnsi="宋体" w:cs="宋体"/>
          <w:b/>
          <w:bCs/>
          <w:color w:val="000000" w:themeColor="text1"/>
          <w:kern w:val="0"/>
          <w:sz w:val="21"/>
          <w:szCs w:val="21"/>
          <w:highlight w:val="none"/>
          <w:shd w:val="clear" w:color="auto" w:fill="FFFFFF"/>
          <w14:textFill>
            <w14:solidFill>
              <w14:schemeClr w14:val="tx1"/>
            </w14:solidFill>
          </w14:textFill>
        </w:rPr>
        <w:t xml:space="preserve"> 注：联合体共同参加本项目投标的，需在联合体工作协议中明确联合体各方分工内容；联合体其他相关方违约时，主办方应承担连带责任，具体按合同要求。</w:t>
      </w:r>
    </w:p>
    <w:p w14:paraId="03A64401">
      <w:pPr>
        <w:pStyle w:val="5"/>
        <w:rPr>
          <w:color w:val="000000" w:themeColor="text1"/>
          <w:highlight w:val="none"/>
          <w14:textFill>
            <w14:solidFill>
              <w14:schemeClr w14:val="tx1"/>
            </w14:solidFill>
          </w14:textFill>
        </w:rPr>
      </w:pPr>
    </w:p>
    <w:sectPr>
      <w:footerReference r:id="rId9"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1" w:usb3="00000000" w:csb0="400001BF" w:csb1="DFF7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37482">
    <w:pPr>
      <w:pStyle w:val="9"/>
      <w:ind w:firstLine="392"/>
      <w:rPr>
        <w:rStyle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9ABDA">
    <w:pPr>
      <w:pStyle w:val="9"/>
      <w:ind w:firstLine="392"/>
      <w:rPr>
        <w:rStyle w:val="21"/>
      </w:rPr>
    </w:pPr>
    <w:r>
      <w:rPr>
        <w:rStyle w:val="21"/>
      </w:rPr>
      <w:fldChar w:fldCharType="begin"/>
    </w:r>
    <w:r>
      <w:rPr>
        <w:rStyle w:val="21"/>
      </w:rPr>
      <w:instrText xml:space="preserve">PAGE  </w:instrText>
    </w:r>
    <w:r>
      <w:rPr>
        <w:rStyle w:val="21"/>
      </w:rPr>
      <w:fldChar w:fldCharType="separate"/>
    </w:r>
    <w:r>
      <w:rPr>
        <w:rStyle w:val="21"/>
        <w:rFonts w:hint="eastAsia"/>
      </w:rPr>
      <w:t>一</w:t>
    </w:r>
    <w:r>
      <w:rPr>
        <w:rStyle w:val="21"/>
      </w:rPr>
      <w:t>–2</w:t>
    </w:r>
    <w:r>
      <w:rPr>
        <w:rStyle w:val="21"/>
      </w:rPr>
      <w:fldChar w:fldCharType="end"/>
    </w:r>
  </w:p>
  <w:p w14:paraId="6F345DCA">
    <w:pPr>
      <w:pStyle w:val="9"/>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209BF">
    <w:pPr>
      <w:pStyle w:val="9"/>
      <w:ind w:firstLine="392"/>
    </w:pPr>
    <w:r>
      <w:rPr>
        <w:rStyle w:val="21"/>
      </w:rPr>
      <w:fldChar w:fldCharType="begin"/>
    </w:r>
    <w:r>
      <w:rPr>
        <w:rStyle w:val="21"/>
      </w:rPr>
      <w:instrText xml:space="preserve"> PAGE </w:instrText>
    </w:r>
    <w:r>
      <w:rPr>
        <w:rStyle w:val="21"/>
      </w:rPr>
      <w:fldChar w:fldCharType="separate"/>
    </w:r>
    <w:r>
      <w:rPr>
        <w:rStyle w:val="21"/>
      </w:rPr>
      <w:t>10</w:t>
    </w:r>
    <w:r>
      <w:rPr>
        <w:rStyle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8E87E">
    <w:pPr>
      <w:pStyle w:val="9"/>
      <w:ind w:firstLine="392"/>
      <w:jc w:val="center"/>
      <w:rPr>
        <w:rStyle w:val="21"/>
      </w:rPr>
    </w:pPr>
    <w:r>
      <w:rPr>
        <w:rStyle w:val="21"/>
      </w:rPr>
      <w:fldChar w:fldCharType="begin"/>
    </w:r>
    <w:r>
      <w:rPr>
        <w:rStyle w:val="21"/>
      </w:rPr>
      <w:instrText xml:space="preserve">PAGE  </w:instrText>
    </w:r>
    <w:r>
      <w:rPr>
        <w:rStyle w:val="21"/>
      </w:rPr>
      <w:fldChar w:fldCharType="separate"/>
    </w:r>
    <w:r>
      <w:rPr>
        <w:rStyle w:val="21"/>
      </w:rPr>
      <w:t>2</w:t>
    </w:r>
    <w:r>
      <w:rPr>
        <w:rStyle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33DA3">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9B7F1">
    <w:pPr>
      <w:pStyle w:val="11"/>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9A207">
    <w:pPr>
      <w:pStyle w:val="11"/>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0YzE1ODViZDcyMjAwMTc2YzY0NGViNDk0OTM3OTQifQ=="/>
  </w:docVars>
  <w:rsids>
    <w:rsidRoot w:val="001C36EE"/>
    <w:rsid w:val="00011E67"/>
    <w:rsid w:val="000514F1"/>
    <w:rsid w:val="000F52FF"/>
    <w:rsid w:val="00105DE0"/>
    <w:rsid w:val="00121C77"/>
    <w:rsid w:val="00167BFF"/>
    <w:rsid w:val="001A6843"/>
    <w:rsid w:val="001C36EE"/>
    <w:rsid w:val="0022218B"/>
    <w:rsid w:val="00283E4C"/>
    <w:rsid w:val="0028533B"/>
    <w:rsid w:val="002A642F"/>
    <w:rsid w:val="002C08E0"/>
    <w:rsid w:val="003121A1"/>
    <w:rsid w:val="00416809"/>
    <w:rsid w:val="00447FE3"/>
    <w:rsid w:val="00457788"/>
    <w:rsid w:val="00460C17"/>
    <w:rsid w:val="004956C2"/>
    <w:rsid w:val="00582188"/>
    <w:rsid w:val="00595C8A"/>
    <w:rsid w:val="00641D38"/>
    <w:rsid w:val="0067367A"/>
    <w:rsid w:val="00682E8B"/>
    <w:rsid w:val="006E1822"/>
    <w:rsid w:val="007259B2"/>
    <w:rsid w:val="007A6B3D"/>
    <w:rsid w:val="007E03D3"/>
    <w:rsid w:val="007E75F5"/>
    <w:rsid w:val="008510DF"/>
    <w:rsid w:val="00860432"/>
    <w:rsid w:val="00867B85"/>
    <w:rsid w:val="00886268"/>
    <w:rsid w:val="008C7378"/>
    <w:rsid w:val="00903ADA"/>
    <w:rsid w:val="00966E63"/>
    <w:rsid w:val="00976D4B"/>
    <w:rsid w:val="00980613"/>
    <w:rsid w:val="009E04E5"/>
    <w:rsid w:val="00A45C9A"/>
    <w:rsid w:val="00AD3795"/>
    <w:rsid w:val="00AE0DB2"/>
    <w:rsid w:val="00B45B7C"/>
    <w:rsid w:val="00B71F65"/>
    <w:rsid w:val="00B82133"/>
    <w:rsid w:val="00BF6247"/>
    <w:rsid w:val="00C51EF3"/>
    <w:rsid w:val="00C8408A"/>
    <w:rsid w:val="00CA05F2"/>
    <w:rsid w:val="00CD3536"/>
    <w:rsid w:val="00D51F8B"/>
    <w:rsid w:val="00D5408A"/>
    <w:rsid w:val="00D752F1"/>
    <w:rsid w:val="00D868D6"/>
    <w:rsid w:val="00DE4ED6"/>
    <w:rsid w:val="00E47D01"/>
    <w:rsid w:val="00E522C3"/>
    <w:rsid w:val="00E85CCE"/>
    <w:rsid w:val="00EE0890"/>
    <w:rsid w:val="00FC12C0"/>
    <w:rsid w:val="00FE58CF"/>
    <w:rsid w:val="00FF0A65"/>
    <w:rsid w:val="00FF4E4E"/>
    <w:rsid w:val="012153D7"/>
    <w:rsid w:val="013D15D2"/>
    <w:rsid w:val="015E5E12"/>
    <w:rsid w:val="01626374"/>
    <w:rsid w:val="017D4FB9"/>
    <w:rsid w:val="01A52705"/>
    <w:rsid w:val="01CD0AF7"/>
    <w:rsid w:val="01E93200"/>
    <w:rsid w:val="01F353DB"/>
    <w:rsid w:val="022510C3"/>
    <w:rsid w:val="022A4754"/>
    <w:rsid w:val="0247767E"/>
    <w:rsid w:val="025739FF"/>
    <w:rsid w:val="02845E60"/>
    <w:rsid w:val="029B2199"/>
    <w:rsid w:val="029F7154"/>
    <w:rsid w:val="02A14C7A"/>
    <w:rsid w:val="03372D11"/>
    <w:rsid w:val="036E28F4"/>
    <w:rsid w:val="037C0F02"/>
    <w:rsid w:val="03A55827"/>
    <w:rsid w:val="03CE7FB1"/>
    <w:rsid w:val="03D93EDA"/>
    <w:rsid w:val="04243DB5"/>
    <w:rsid w:val="04575263"/>
    <w:rsid w:val="04783C3D"/>
    <w:rsid w:val="04826744"/>
    <w:rsid w:val="04894A15"/>
    <w:rsid w:val="04AF0898"/>
    <w:rsid w:val="04B8113A"/>
    <w:rsid w:val="04F7772C"/>
    <w:rsid w:val="04FE4606"/>
    <w:rsid w:val="050E6137"/>
    <w:rsid w:val="051D6775"/>
    <w:rsid w:val="052430DB"/>
    <w:rsid w:val="052C3D34"/>
    <w:rsid w:val="0532195B"/>
    <w:rsid w:val="054162A1"/>
    <w:rsid w:val="055120EC"/>
    <w:rsid w:val="0562369C"/>
    <w:rsid w:val="05BB24F7"/>
    <w:rsid w:val="05EC0654"/>
    <w:rsid w:val="06287461"/>
    <w:rsid w:val="063D098F"/>
    <w:rsid w:val="065958F2"/>
    <w:rsid w:val="06622C7D"/>
    <w:rsid w:val="06734B80"/>
    <w:rsid w:val="0676641E"/>
    <w:rsid w:val="06AF2867"/>
    <w:rsid w:val="06D5492D"/>
    <w:rsid w:val="06DB44D3"/>
    <w:rsid w:val="07175D1E"/>
    <w:rsid w:val="07657615"/>
    <w:rsid w:val="07917873"/>
    <w:rsid w:val="079C1EB4"/>
    <w:rsid w:val="079F5E6D"/>
    <w:rsid w:val="07D17DB0"/>
    <w:rsid w:val="0824254E"/>
    <w:rsid w:val="08400A92"/>
    <w:rsid w:val="084208A2"/>
    <w:rsid w:val="0850455A"/>
    <w:rsid w:val="08555818"/>
    <w:rsid w:val="08635746"/>
    <w:rsid w:val="0867191A"/>
    <w:rsid w:val="08830CDE"/>
    <w:rsid w:val="089D7C92"/>
    <w:rsid w:val="08A543EB"/>
    <w:rsid w:val="09524F20"/>
    <w:rsid w:val="097A53C7"/>
    <w:rsid w:val="0993146A"/>
    <w:rsid w:val="09C24519"/>
    <w:rsid w:val="09D4148D"/>
    <w:rsid w:val="09DB4F16"/>
    <w:rsid w:val="09FB2DEB"/>
    <w:rsid w:val="0A005160"/>
    <w:rsid w:val="0A0124A3"/>
    <w:rsid w:val="0A016858"/>
    <w:rsid w:val="0A1C13D2"/>
    <w:rsid w:val="0A2C3B1B"/>
    <w:rsid w:val="0A3E702E"/>
    <w:rsid w:val="0A9652E1"/>
    <w:rsid w:val="0B187AA4"/>
    <w:rsid w:val="0B192DAD"/>
    <w:rsid w:val="0B2B5A29"/>
    <w:rsid w:val="0B4B2A98"/>
    <w:rsid w:val="0B765B95"/>
    <w:rsid w:val="0B7D1977"/>
    <w:rsid w:val="0B9B30DD"/>
    <w:rsid w:val="0BAF708A"/>
    <w:rsid w:val="0BC2042A"/>
    <w:rsid w:val="0BD725F5"/>
    <w:rsid w:val="0BE300B2"/>
    <w:rsid w:val="0BFC1173"/>
    <w:rsid w:val="0C123173"/>
    <w:rsid w:val="0C191D25"/>
    <w:rsid w:val="0C2B2513"/>
    <w:rsid w:val="0C3D7481"/>
    <w:rsid w:val="0C496B59"/>
    <w:rsid w:val="0C8F2829"/>
    <w:rsid w:val="0C9B1B11"/>
    <w:rsid w:val="0C9E558C"/>
    <w:rsid w:val="0CBD145F"/>
    <w:rsid w:val="0CCA1FD1"/>
    <w:rsid w:val="0CD803E5"/>
    <w:rsid w:val="0CE85BED"/>
    <w:rsid w:val="0CFE26A9"/>
    <w:rsid w:val="0D49663A"/>
    <w:rsid w:val="0D570D57"/>
    <w:rsid w:val="0D730CAF"/>
    <w:rsid w:val="0D8308C4"/>
    <w:rsid w:val="0DB51F60"/>
    <w:rsid w:val="0E0D2217"/>
    <w:rsid w:val="0E0D57F7"/>
    <w:rsid w:val="0E0F3E38"/>
    <w:rsid w:val="0E526B07"/>
    <w:rsid w:val="0E5D5183"/>
    <w:rsid w:val="0EC73CBB"/>
    <w:rsid w:val="0EE12586"/>
    <w:rsid w:val="0F2E7F13"/>
    <w:rsid w:val="0F3375A2"/>
    <w:rsid w:val="0F4E7EE7"/>
    <w:rsid w:val="0F5E3A6B"/>
    <w:rsid w:val="0F8267DB"/>
    <w:rsid w:val="0F9067A2"/>
    <w:rsid w:val="0FA43FFC"/>
    <w:rsid w:val="104A6173"/>
    <w:rsid w:val="10585DFE"/>
    <w:rsid w:val="10973517"/>
    <w:rsid w:val="10BD35C7"/>
    <w:rsid w:val="10CC7EE4"/>
    <w:rsid w:val="10D64689"/>
    <w:rsid w:val="1109042B"/>
    <w:rsid w:val="111911C3"/>
    <w:rsid w:val="11325DA5"/>
    <w:rsid w:val="1143339D"/>
    <w:rsid w:val="11495112"/>
    <w:rsid w:val="117A462E"/>
    <w:rsid w:val="11864A5F"/>
    <w:rsid w:val="11A77389"/>
    <w:rsid w:val="11BC4D17"/>
    <w:rsid w:val="11E22BBA"/>
    <w:rsid w:val="11F272A1"/>
    <w:rsid w:val="124D60E5"/>
    <w:rsid w:val="125A3098"/>
    <w:rsid w:val="126420E9"/>
    <w:rsid w:val="12A76776"/>
    <w:rsid w:val="13023513"/>
    <w:rsid w:val="13192BB2"/>
    <w:rsid w:val="131C53CB"/>
    <w:rsid w:val="1323348A"/>
    <w:rsid w:val="134D6332"/>
    <w:rsid w:val="137415A0"/>
    <w:rsid w:val="139130A4"/>
    <w:rsid w:val="13A97F48"/>
    <w:rsid w:val="13B16EED"/>
    <w:rsid w:val="14397DD8"/>
    <w:rsid w:val="143F10DF"/>
    <w:rsid w:val="145A112D"/>
    <w:rsid w:val="14671DBF"/>
    <w:rsid w:val="14854B12"/>
    <w:rsid w:val="14B22D17"/>
    <w:rsid w:val="14C32666"/>
    <w:rsid w:val="14F670A8"/>
    <w:rsid w:val="151235F9"/>
    <w:rsid w:val="151B4D60"/>
    <w:rsid w:val="157C1490"/>
    <w:rsid w:val="15835C67"/>
    <w:rsid w:val="15903CA5"/>
    <w:rsid w:val="15936911"/>
    <w:rsid w:val="15C37AF8"/>
    <w:rsid w:val="15E45152"/>
    <w:rsid w:val="15EF3AF7"/>
    <w:rsid w:val="161004B7"/>
    <w:rsid w:val="161C2B3E"/>
    <w:rsid w:val="162118FC"/>
    <w:rsid w:val="162400F6"/>
    <w:rsid w:val="164D0F49"/>
    <w:rsid w:val="16806E74"/>
    <w:rsid w:val="169225C3"/>
    <w:rsid w:val="16A11295"/>
    <w:rsid w:val="16DA67F6"/>
    <w:rsid w:val="16E2752A"/>
    <w:rsid w:val="16E65C35"/>
    <w:rsid w:val="17017F86"/>
    <w:rsid w:val="17457E73"/>
    <w:rsid w:val="175A2A01"/>
    <w:rsid w:val="176D73C9"/>
    <w:rsid w:val="177A7C85"/>
    <w:rsid w:val="177E3384"/>
    <w:rsid w:val="177F0D27"/>
    <w:rsid w:val="17AC1E4E"/>
    <w:rsid w:val="17CD06E2"/>
    <w:rsid w:val="17FB3316"/>
    <w:rsid w:val="180977F9"/>
    <w:rsid w:val="1869796A"/>
    <w:rsid w:val="187A7192"/>
    <w:rsid w:val="18817CB2"/>
    <w:rsid w:val="189C3C17"/>
    <w:rsid w:val="18A51933"/>
    <w:rsid w:val="18B51C8F"/>
    <w:rsid w:val="18BB3B37"/>
    <w:rsid w:val="18BF5274"/>
    <w:rsid w:val="19173A91"/>
    <w:rsid w:val="19436939"/>
    <w:rsid w:val="196B3484"/>
    <w:rsid w:val="198218CD"/>
    <w:rsid w:val="198418E5"/>
    <w:rsid w:val="19861019"/>
    <w:rsid w:val="19A1335A"/>
    <w:rsid w:val="19B906A4"/>
    <w:rsid w:val="19C71013"/>
    <w:rsid w:val="19DE010A"/>
    <w:rsid w:val="1A03709F"/>
    <w:rsid w:val="1A072B23"/>
    <w:rsid w:val="1A080F1B"/>
    <w:rsid w:val="1ABC48F0"/>
    <w:rsid w:val="1ADF05DE"/>
    <w:rsid w:val="1AE9320B"/>
    <w:rsid w:val="1AF365C0"/>
    <w:rsid w:val="1AFD6614"/>
    <w:rsid w:val="1B1B1F29"/>
    <w:rsid w:val="1B4319C9"/>
    <w:rsid w:val="1B803B6F"/>
    <w:rsid w:val="1BC952F2"/>
    <w:rsid w:val="1BCF89D9"/>
    <w:rsid w:val="1BDB41D6"/>
    <w:rsid w:val="1C0876C1"/>
    <w:rsid w:val="1C4F3541"/>
    <w:rsid w:val="1C611550"/>
    <w:rsid w:val="1C6C40F3"/>
    <w:rsid w:val="1C870638"/>
    <w:rsid w:val="1CB3587E"/>
    <w:rsid w:val="1CB7665E"/>
    <w:rsid w:val="1CBD641F"/>
    <w:rsid w:val="1CCE4466"/>
    <w:rsid w:val="1CFD2F9D"/>
    <w:rsid w:val="1D15231B"/>
    <w:rsid w:val="1D3F35B6"/>
    <w:rsid w:val="1D405808"/>
    <w:rsid w:val="1D7030F5"/>
    <w:rsid w:val="1D743260"/>
    <w:rsid w:val="1DDD44C8"/>
    <w:rsid w:val="1DEF28E6"/>
    <w:rsid w:val="1E060BE2"/>
    <w:rsid w:val="1E086616"/>
    <w:rsid w:val="1E195BB5"/>
    <w:rsid w:val="1E3105C3"/>
    <w:rsid w:val="1E6C2189"/>
    <w:rsid w:val="1EEA1408"/>
    <w:rsid w:val="1F1728E6"/>
    <w:rsid w:val="1F4503F6"/>
    <w:rsid w:val="1F576995"/>
    <w:rsid w:val="1F8136F5"/>
    <w:rsid w:val="1FB350D1"/>
    <w:rsid w:val="1FB85127"/>
    <w:rsid w:val="1FCB1AFA"/>
    <w:rsid w:val="20084133"/>
    <w:rsid w:val="200F7270"/>
    <w:rsid w:val="20104D96"/>
    <w:rsid w:val="203065DE"/>
    <w:rsid w:val="205B55E2"/>
    <w:rsid w:val="205D622D"/>
    <w:rsid w:val="206F1BC4"/>
    <w:rsid w:val="206F236A"/>
    <w:rsid w:val="20887022"/>
    <w:rsid w:val="20AC1E18"/>
    <w:rsid w:val="20F90404"/>
    <w:rsid w:val="213056EF"/>
    <w:rsid w:val="213100CA"/>
    <w:rsid w:val="21494A03"/>
    <w:rsid w:val="219263AA"/>
    <w:rsid w:val="21D2064D"/>
    <w:rsid w:val="21DF48AF"/>
    <w:rsid w:val="21E46A4E"/>
    <w:rsid w:val="21EC13EF"/>
    <w:rsid w:val="21FB714B"/>
    <w:rsid w:val="2213502C"/>
    <w:rsid w:val="221E19EC"/>
    <w:rsid w:val="22210462"/>
    <w:rsid w:val="225A41F0"/>
    <w:rsid w:val="22656765"/>
    <w:rsid w:val="22723AE6"/>
    <w:rsid w:val="22912EC0"/>
    <w:rsid w:val="22A139BF"/>
    <w:rsid w:val="22AF6AE8"/>
    <w:rsid w:val="22CA2FC7"/>
    <w:rsid w:val="230F7587"/>
    <w:rsid w:val="23162C67"/>
    <w:rsid w:val="231F3AEB"/>
    <w:rsid w:val="231F5939"/>
    <w:rsid w:val="232239F3"/>
    <w:rsid w:val="23254AE0"/>
    <w:rsid w:val="23386ADD"/>
    <w:rsid w:val="235B7CFE"/>
    <w:rsid w:val="236B6EB3"/>
    <w:rsid w:val="237E7E6C"/>
    <w:rsid w:val="237F5E1F"/>
    <w:rsid w:val="2392339C"/>
    <w:rsid w:val="23943268"/>
    <w:rsid w:val="23B95D62"/>
    <w:rsid w:val="2424165E"/>
    <w:rsid w:val="24244ED4"/>
    <w:rsid w:val="242D23BA"/>
    <w:rsid w:val="245711E5"/>
    <w:rsid w:val="246B2598"/>
    <w:rsid w:val="24997BD1"/>
    <w:rsid w:val="24A501A2"/>
    <w:rsid w:val="24B11094"/>
    <w:rsid w:val="24D82326"/>
    <w:rsid w:val="252E1F46"/>
    <w:rsid w:val="254A3177"/>
    <w:rsid w:val="25954413"/>
    <w:rsid w:val="259F01FA"/>
    <w:rsid w:val="25A30362"/>
    <w:rsid w:val="25A462E2"/>
    <w:rsid w:val="25A561C7"/>
    <w:rsid w:val="25A907A8"/>
    <w:rsid w:val="25C0501D"/>
    <w:rsid w:val="25CC4B2B"/>
    <w:rsid w:val="25CD10F9"/>
    <w:rsid w:val="25D16D75"/>
    <w:rsid w:val="25DB4803"/>
    <w:rsid w:val="2609650F"/>
    <w:rsid w:val="260D6801"/>
    <w:rsid w:val="2611620E"/>
    <w:rsid w:val="263D0486"/>
    <w:rsid w:val="265D154E"/>
    <w:rsid w:val="265E4AAD"/>
    <w:rsid w:val="26663961"/>
    <w:rsid w:val="26926505"/>
    <w:rsid w:val="26987911"/>
    <w:rsid w:val="269A360B"/>
    <w:rsid w:val="26AD6B2E"/>
    <w:rsid w:val="26BE0028"/>
    <w:rsid w:val="26F43175"/>
    <w:rsid w:val="27103A7F"/>
    <w:rsid w:val="27194E78"/>
    <w:rsid w:val="27552761"/>
    <w:rsid w:val="27910EB2"/>
    <w:rsid w:val="27915DD0"/>
    <w:rsid w:val="27B72598"/>
    <w:rsid w:val="27E94BC4"/>
    <w:rsid w:val="27F51441"/>
    <w:rsid w:val="27F751B9"/>
    <w:rsid w:val="2809760F"/>
    <w:rsid w:val="284A0044"/>
    <w:rsid w:val="28887BBF"/>
    <w:rsid w:val="289508A3"/>
    <w:rsid w:val="28EA087A"/>
    <w:rsid w:val="28F72F97"/>
    <w:rsid w:val="29191616"/>
    <w:rsid w:val="292B4F24"/>
    <w:rsid w:val="2938245E"/>
    <w:rsid w:val="2950171F"/>
    <w:rsid w:val="298113C1"/>
    <w:rsid w:val="29954C89"/>
    <w:rsid w:val="29AA0009"/>
    <w:rsid w:val="29B11398"/>
    <w:rsid w:val="29E63150"/>
    <w:rsid w:val="29F41D18"/>
    <w:rsid w:val="2A703001"/>
    <w:rsid w:val="2A966CBE"/>
    <w:rsid w:val="2AAF4231"/>
    <w:rsid w:val="2ACE64BB"/>
    <w:rsid w:val="2AE906CB"/>
    <w:rsid w:val="2AFF555D"/>
    <w:rsid w:val="2B5430E3"/>
    <w:rsid w:val="2B991D4C"/>
    <w:rsid w:val="2B9F7652"/>
    <w:rsid w:val="2BCB616A"/>
    <w:rsid w:val="2BFC211E"/>
    <w:rsid w:val="2C105A4A"/>
    <w:rsid w:val="2C133F1E"/>
    <w:rsid w:val="2C203772"/>
    <w:rsid w:val="2C452775"/>
    <w:rsid w:val="2C736DD8"/>
    <w:rsid w:val="2C7D4415"/>
    <w:rsid w:val="2C7E5D56"/>
    <w:rsid w:val="2C972AC7"/>
    <w:rsid w:val="2C97659A"/>
    <w:rsid w:val="2C9D76A2"/>
    <w:rsid w:val="2C9F6F43"/>
    <w:rsid w:val="2CC118F2"/>
    <w:rsid w:val="2D0D2D89"/>
    <w:rsid w:val="2D5776A5"/>
    <w:rsid w:val="2DAF5BEE"/>
    <w:rsid w:val="2DD65871"/>
    <w:rsid w:val="2E19750B"/>
    <w:rsid w:val="2E540104"/>
    <w:rsid w:val="2E6647A7"/>
    <w:rsid w:val="2E9B6172"/>
    <w:rsid w:val="2E9D3382"/>
    <w:rsid w:val="2ED43335"/>
    <w:rsid w:val="2ED563FB"/>
    <w:rsid w:val="2EF064BE"/>
    <w:rsid w:val="2EFF3620"/>
    <w:rsid w:val="2F0315A3"/>
    <w:rsid w:val="2F04676A"/>
    <w:rsid w:val="2F07200E"/>
    <w:rsid w:val="2F3C4C02"/>
    <w:rsid w:val="2F9E416C"/>
    <w:rsid w:val="2FB23268"/>
    <w:rsid w:val="2FB83911"/>
    <w:rsid w:val="2FC34145"/>
    <w:rsid w:val="2FDB57F3"/>
    <w:rsid w:val="2FE91E87"/>
    <w:rsid w:val="30093CDB"/>
    <w:rsid w:val="30180DCD"/>
    <w:rsid w:val="30234296"/>
    <w:rsid w:val="303A20E7"/>
    <w:rsid w:val="30566F5E"/>
    <w:rsid w:val="305B205D"/>
    <w:rsid w:val="30670A02"/>
    <w:rsid w:val="30810C59"/>
    <w:rsid w:val="30B312FD"/>
    <w:rsid w:val="30BC6FA0"/>
    <w:rsid w:val="30EC5047"/>
    <w:rsid w:val="31060DE6"/>
    <w:rsid w:val="31061FC9"/>
    <w:rsid w:val="311E38B4"/>
    <w:rsid w:val="315C6248"/>
    <w:rsid w:val="31713594"/>
    <w:rsid w:val="318B715B"/>
    <w:rsid w:val="31B77767"/>
    <w:rsid w:val="31D61CC4"/>
    <w:rsid w:val="31D7118A"/>
    <w:rsid w:val="320008F1"/>
    <w:rsid w:val="32151EA7"/>
    <w:rsid w:val="32292413"/>
    <w:rsid w:val="32837BFA"/>
    <w:rsid w:val="32B36180"/>
    <w:rsid w:val="32E225C2"/>
    <w:rsid w:val="32F27C96"/>
    <w:rsid w:val="32FD149B"/>
    <w:rsid w:val="332901F1"/>
    <w:rsid w:val="33411E93"/>
    <w:rsid w:val="33C63C91"/>
    <w:rsid w:val="343516FB"/>
    <w:rsid w:val="345E01D1"/>
    <w:rsid w:val="3481200A"/>
    <w:rsid w:val="34BA37F6"/>
    <w:rsid w:val="34BE2FB1"/>
    <w:rsid w:val="34F84078"/>
    <w:rsid w:val="352960B5"/>
    <w:rsid w:val="353335A8"/>
    <w:rsid w:val="353E4427"/>
    <w:rsid w:val="355E5AD1"/>
    <w:rsid w:val="35684088"/>
    <w:rsid w:val="356E282C"/>
    <w:rsid w:val="35EE4D5A"/>
    <w:rsid w:val="360A4309"/>
    <w:rsid w:val="36402C0D"/>
    <w:rsid w:val="3643781B"/>
    <w:rsid w:val="36A60369"/>
    <w:rsid w:val="36D5408F"/>
    <w:rsid w:val="36D80A21"/>
    <w:rsid w:val="36EE59D9"/>
    <w:rsid w:val="373B27AA"/>
    <w:rsid w:val="37835E55"/>
    <w:rsid w:val="37A14895"/>
    <w:rsid w:val="37CD446C"/>
    <w:rsid w:val="37D3697D"/>
    <w:rsid w:val="37D7646D"/>
    <w:rsid w:val="381476C1"/>
    <w:rsid w:val="38384CFA"/>
    <w:rsid w:val="383B2D1A"/>
    <w:rsid w:val="38545D10"/>
    <w:rsid w:val="386F277F"/>
    <w:rsid w:val="386F48F8"/>
    <w:rsid w:val="38747127"/>
    <w:rsid w:val="387D6E9F"/>
    <w:rsid w:val="387F7D49"/>
    <w:rsid w:val="38961E84"/>
    <w:rsid w:val="38A32AFD"/>
    <w:rsid w:val="38C64085"/>
    <w:rsid w:val="38D27183"/>
    <w:rsid w:val="38E57F67"/>
    <w:rsid w:val="38E86458"/>
    <w:rsid w:val="38F93C10"/>
    <w:rsid w:val="39363667"/>
    <w:rsid w:val="39660242"/>
    <w:rsid w:val="39FB0669"/>
    <w:rsid w:val="3A257964"/>
    <w:rsid w:val="3AA62924"/>
    <w:rsid w:val="3ABF2298"/>
    <w:rsid w:val="3AE01ADD"/>
    <w:rsid w:val="3B0C081D"/>
    <w:rsid w:val="3B0C5280"/>
    <w:rsid w:val="3B1A6930"/>
    <w:rsid w:val="3B231D40"/>
    <w:rsid w:val="3B381919"/>
    <w:rsid w:val="3B6E2517"/>
    <w:rsid w:val="3B7E4D6B"/>
    <w:rsid w:val="3BBA0580"/>
    <w:rsid w:val="3BC76580"/>
    <w:rsid w:val="3BDA29D0"/>
    <w:rsid w:val="3BEA11C9"/>
    <w:rsid w:val="3BFD046C"/>
    <w:rsid w:val="3C090015"/>
    <w:rsid w:val="3C0B0F0B"/>
    <w:rsid w:val="3C1E1EE2"/>
    <w:rsid w:val="3C1F03E3"/>
    <w:rsid w:val="3C8D359F"/>
    <w:rsid w:val="3CD10F33"/>
    <w:rsid w:val="3CD37EFE"/>
    <w:rsid w:val="3D082929"/>
    <w:rsid w:val="3D1B504E"/>
    <w:rsid w:val="3D8E2AFE"/>
    <w:rsid w:val="3DA74050"/>
    <w:rsid w:val="3DB01892"/>
    <w:rsid w:val="3DB35286"/>
    <w:rsid w:val="3DBF00CF"/>
    <w:rsid w:val="3DC74E4C"/>
    <w:rsid w:val="3DC817DE"/>
    <w:rsid w:val="3DEA5EC6"/>
    <w:rsid w:val="3DF53E53"/>
    <w:rsid w:val="3E06004E"/>
    <w:rsid w:val="3E14256A"/>
    <w:rsid w:val="3E1C4F2E"/>
    <w:rsid w:val="3E374A24"/>
    <w:rsid w:val="3E424B35"/>
    <w:rsid w:val="3E5351D5"/>
    <w:rsid w:val="3E6B790F"/>
    <w:rsid w:val="3E8C7955"/>
    <w:rsid w:val="3EB92D70"/>
    <w:rsid w:val="3EDC080D"/>
    <w:rsid w:val="3F367F1D"/>
    <w:rsid w:val="3F384FCF"/>
    <w:rsid w:val="3F3E521E"/>
    <w:rsid w:val="3F740A45"/>
    <w:rsid w:val="3F744EE9"/>
    <w:rsid w:val="3FB65E92"/>
    <w:rsid w:val="3FB928FC"/>
    <w:rsid w:val="3FE536F1"/>
    <w:rsid w:val="3FF05BE1"/>
    <w:rsid w:val="40084E77"/>
    <w:rsid w:val="402B73E6"/>
    <w:rsid w:val="403918CF"/>
    <w:rsid w:val="404623E2"/>
    <w:rsid w:val="405368AD"/>
    <w:rsid w:val="40624243"/>
    <w:rsid w:val="406311E6"/>
    <w:rsid w:val="407056B1"/>
    <w:rsid w:val="4081166C"/>
    <w:rsid w:val="40A610D2"/>
    <w:rsid w:val="40A8660C"/>
    <w:rsid w:val="40D90F20"/>
    <w:rsid w:val="41155923"/>
    <w:rsid w:val="41195D48"/>
    <w:rsid w:val="41615D7E"/>
    <w:rsid w:val="41B63597"/>
    <w:rsid w:val="41CF4659"/>
    <w:rsid w:val="41EB405B"/>
    <w:rsid w:val="42072045"/>
    <w:rsid w:val="422A4A7A"/>
    <w:rsid w:val="424E5D61"/>
    <w:rsid w:val="42823479"/>
    <w:rsid w:val="429F5713"/>
    <w:rsid w:val="42AE0712"/>
    <w:rsid w:val="42B4353C"/>
    <w:rsid w:val="42D741E3"/>
    <w:rsid w:val="42E260D1"/>
    <w:rsid w:val="42EE7A68"/>
    <w:rsid w:val="42FF7F79"/>
    <w:rsid w:val="43086074"/>
    <w:rsid w:val="43701763"/>
    <w:rsid w:val="43704227"/>
    <w:rsid w:val="437E00E5"/>
    <w:rsid w:val="438016CA"/>
    <w:rsid w:val="43830FEE"/>
    <w:rsid w:val="43D75602"/>
    <w:rsid w:val="43FE4D82"/>
    <w:rsid w:val="44045059"/>
    <w:rsid w:val="440525B4"/>
    <w:rsid w:val="44754A2D"/>
    <w:rsid w:val="4478091B"/>
    <w:rsid w:val="44881B18"/>
    <w:rsid w:val="4497145E"/>
    <w:rsid w:val="44AE7B04"/>
    <w:rsid w:val="44B65141"/>
    <w:rsid w:val="44B6565C"/>
    <w:rsid w:val="44C1472D"/>
    <w:rsid w:val="44C55904"/>
    <w:rsid w:val="44EF0D9C"/>
    <w:rsid w:val="450E1174"/>
    <w:rsid w:val="45190035"/>
    <w:rsid w:val="452F5F4C"/>
    <w:rsid w:val="45383C57"/>
    <w:rsid w:val="4542144E"/>
    <w:rsid w:val="454315E6"/>
    <w:rsid w:val="454C31E3"/>
    <w:rsid w:val="45724994"/>
    <w:rsid w:val="4583444B"/>
    <w:rsid w:val="45A47C59"/>
    <w:rsid w:val="45AB23B5"/>
    <w:rsid w:val="45F20A03"/>
    <w:rsid w:val="45F27673"/>
    <w:rsid w:val="46225CA6"/>
    <w:rsid w:val="46570B7F"/>
    <w:rsid w:val="465A795D"/>
    <w:rsid w:val="46834FC3"/>
    <w:rsid w:val="46916EDC"/>
    <w:rsid w:val="46FD57C4"/>
    <w:rsid w:val="47034758"/>
    <w:rsid w:val="47121221"/>
    <w:rsid w:val="47140E7E"/>
    <w:rsid w:val="471746ED"/>
    <w:rsid w:val="47621211"/>
    <w:rsid w:val="477433AA"/>
    <w:rsid w:val="47C9559D"/>
    <w:rsid w:val="47CC284A"/>
    <w:rsid w:val="47D048BC"/>
    <w:rsid w:val="48143A2B"/>
    <w:rsid w:val="481A20B6"/>
    <w:rsid w:val="483C1890"/>
    <w:rsid w:val="483F2463"/>
    <w:rsid w:val="4896076C"/>
    <w:rsid w:val="48A14898"/>
    <w:rsid w:val="48BB1493"/>
    <w:rsid w:val="48DB1B35"/>
    <w:rsid w:val="491F2669"/>
    <w:rsid w:val="49526EB4"/>
    <w:rsid w:val="495B1666"/>
    <w:rsid w:val="49756CB8"/>
    <w:rsid w:val="49915D1A"/>
    <w:rsid w:val="49D942C7"/>
    <w:rsid w:val="49E8117F"/>
    <w:rsid w:val="49F12736"/>
    <w:rsid w:val="49F930E0"/>
    <w:rsid w:val="4A096685"/>
    <w:rsid w:val="4A0A4DA4"/>
    <w:rsid w:val="4A1231CF"/>
    <w:rsid w:val="4A1F6E62"/>
    <w:rsid w:val="4ABC373D"/>
    <w:rsid w:val="4AD1021E"/>
    <w:rsid w:val="4AEE0F90"/>
    <w:rsid w:val="4AF0316F"/>
    <w:rsid w:val="4B047908"/>
    <w:rsid w:val="4B0C247A"/>
    <w:rsid w:val="4B0F6C8F"/>
    <w:rsid w:val="4B1067E7"/>
    <w:rsid w:val="4B2C5E19"/>
    <w:rsid w:val="4BB06072"/>
    <w:rsid w:val="4C4009E7"/>
    <w:rsid w:val="4C5E09B9"/>
    <w:rsid w:val="4C691378"/>
    <w:rsid w:val="4C6C79C4"/>
    <w:rsid w:val="4C942727"/>
    <w:rsid w:val="4CB67F21"/>
    <w:rsid w:val="4CB93F3C"/>
    <w:rsid w:val="4D01600E"/>
    <w:rsid w:val="4D0C4EDB"/>
    <w:rsid w:val="4D292E6F"/>
    <w:rsid w:val="4D4B229B"/>
    <w:rsid w:val="4D720DA7"/>
    <w:rsid w:val="4D763316"/>
    <w:rsid w:val="4D9C4497"/>
    <w:rsid w:val="4DC31516"/>
    <w:rsid w:val="4DD81EA9"/>
    <w:rsid w:val="4E4B30FD"/>
    <w:rsid w:val="4E7C3473"/>
    <w:rsid w:val="4EA56E6D"/>
    <w:rsid w:val="4EB517F2"/>
    <w:rsid w:val="4ECE29EC"/>
    <w:rsid w:val="4EF93F04"/>
    <w:rsid w:val="4F02523E"/>
    <w:rsid w:val="4F1156F4"/>
    <w:rsid w:val="4F136945"/>
    <w:rsid w:val="4F293A6D"/>
    <w:rsid w:val="4F2B1E42"/>
    <w:rsid w:val="4F8D1DDB"/>
    <w:rsid w:val="4F975815"/>
    <w:rsid w:val="4FDC03A1"/>
    <w:rsid w:val="4FEE214E"/>
    <w:rsid w:val="502A5210"/>
    <w:rsid w:val="50304ED3"/>
    <w:rsid w:val="50387D3F"/>
    <w:rsid w:val="50554B7F"/>
    <w:rsid w:val="505D5410"/>
    <w:rsid w:val="50887192"/>
    <w:rsid w:val="50BA10E4"/>
    <w:rsid w:val="50D43A3A"/>
    <w:rsid w:val="50E74E01"/>
    <w:rsid w:val="510B737C"/>
    <w:rsid w:val="512025D6"/>
    <w:rsid w:val="515B5AA7"/>
    <w:rsid w:val="516A1CA8"/>
    <w:rsid w:val="517E1EF1"/>
    <w:rsid w:val="518C6764"/>
    <w:rsid w:val="51A508E7"/>
    <w:rsid w:val="51DD6022"/>
    <w:rsid w:val="52195BA8"/>
    <w:rsid w:val="52275EB2"/>
    <w:rsid w:val="523E0F91"/>
    <w:rsid w:val="526B1CE3"/>
    <w:rsid w:val="526E606C"/>
    <w:rsid w:val="528943B0"/>
    <w:rsid w:val="52D003E7"/>
    <w:rsid w:val="52DB5734"/>
    <w:rsid w:val="52EA44E7"/>
    <w:rsid w:val="52F42171"/>
    <w:rsid w:val="52F43FF6"/>
    <w:rsid w:val="53463EF0"/>
    <w:rsid w:val="5391176E"/>
    <w:rsid w:val="53CB1303"/>
    <w:rsid w:val="53EA5979"/>
    <w:rsid w:val="540723BD"/>
    <w:rsid w:val="543071D9"/>
    <w:rsid w:val="543B4702"/>
    <w:rsid w:val="54464B8A"/>
    <w:rsid w:val="544762AC"/>
    <w:rsid w:val="544967CB"/>
    <w:rsid w:val="544D38E7"/>
    <w:rsid w:val="545C3B2A"/>
    <w:rsid w:val="54820367"/>
    <w:rsid w:val="54870CE9"/>
    <w:rsid w:val="548C44D0"/>
    <w:rsid w:val="54AA393B"/>
    <w:rsid w:val="54AE08E3"/>
    <w:rsid w:val="54D06C3C"/>
    <w:rsid w:val="54F00716"/>
    <w:rsid w:val="54F448A4"/>
    <w:rsid w:val="55180893"/>
    <w:rsid w:val="5526693A"/>
    <w:rsid w:val="553B4087"/>
    <w:rsid w:val="555B64D8"/>
    <w:rsid w:val="5572737D"/>
    <w:rsid w:val="55847E23"/>
    <w:rsid w:val="55EA6D64"/>
    <w:rsid w:val="55EE4C56"/>
    <w:rsid w:val="56356DBB"/>
    <w:rsid w:val="56422331"/>
    <w:rsid w:val="564A004F"/>
    <w:rsid w:val="566E3FE9"/>
    <w:rsid w:val="5697618B"/>
    <w:rsid w:val="56CA2358"/>
    <w:rsid w:val="56DC53F6"/>
    <w:rsid w:val="56F56C5D"/>
    <w:rsid w:val="5728138D"/>
    <w:rsid w:val="574232EE"/>
    <w:rsid w:val="57713D91"/>
    <w:rsid w:val="57AD3975"/>
    <w:rsid w:val="57C54915"/>
    <w:rsid w:val="57F9070D"/>
    <w:rsid w:val="58182CB8"/>
    <w:rsid w:val="582313D3"/>
    <w:rsid w:val="58904C8A"/>
    <w:rsid w:val="58A4226E"/>
    <w:rsid w:val="58D2085F"/>
    <w:rsid w:val="58DC3983"/>
    <w:rsid w:val="58DE1373"/>
    <w:rsid w:val="58E93DFA"/>
    <w:rsid w:val="59254E33"/>
    <w:rsid w:val="596168AD"/>
    <w:rsid w:val="59637709"/>
    <w:rsid w:val="5967369D"/>
    <w:rsid w:val="59771406"/>
    <w:rsid w:val="59774ACC"/>
    <w:rsid w:val="597E4A16"/>
    <w:rsid w:val="59F56B12"/>
    <w:rsid w:val="5A511C57"/>
    <w:rsid w:val="5A8326F7"/>
    <w:rsid w:val="5A9A53AC"/>
    <w:rsid w:val="5AC9244D"/>
    <w:rsid w:val="5B19078A"/>
    <w:rsid w:val="5B3C756A"/>
    <w:rsid w:val="5B4A62CB"/>
    <w:rsid w:val="5B51582B"/>
    <w:rsid w:val="5BA109C3"/>
    <w:rsid w:val="5BB406F0"/>
    <w:rsid w:val="5BBC1352"/>
    <w:rsid w:val="5C147B09"/>
    <w:rsid w:val="5C3C0E61"/>
    <w:rsid w:val="5C480947"/>
    <w:rsid w:val="5C672353"/>
    <w:rsid w:val="5C7920D2"/>
    <w:rsid w:val="5CAB38A1"/>
    <w:rsid w:val="5CCA5622"/>
    <w:rsid w:val="5CE677CD"/>
    <w:rsid w:val="5D072AA1"/>
    <w:rsid w:val="5D1325AE"/>
    <w:rsid w:val="5D292A17"/>
    <w:rsid w:val="5D2E44D2"/>
    <w:rsid w:val="5D3A7375"/>
    <w:rsid w:val="5D562647"/>
    <w:rsid w:val="5D700646"/>
    <w:rsid w:val="5D89735E"/>
    <w:rsid w:val="5D963A36"/>
    <w:rsid w:val="5DCA3A18"/>
    <w:rsid w:val="5E045326"/>
    <w:rsid w:val="5E345B18"/>
    <w:rsid w:val="5E554366"/>
    <w:rsid w:val="5E6E6F1F"/>
    <w:rsid w:val="5EAC1F1C"/>
    <w:rsid w:val="5EAE7497"/>
    <w:rsid w:val="5EBB4B7B"/>
    <w:rsid w:val="5EBE02DB"/>
    <w:rsid w:val="5ED370DF"/>
    <w:rsid w:val="5ED412BD"/>
    <w:rsid w:val="5EE00B8A"/>
    <w:rsid w:val="5F0F10E7"/>
    <w:rsid w:val="5F6C3D73"/>
    <w:rsid w:val="5F7C6A25"/>
    <w:rsid w:val="5F882086"/>
    <w:rsid w:val="5F9C3975"/>
    <w:rsid w:val="5FB2142F"/>
    <w:rsid w:val="5FB54A36"/>
    <w:rsid w:val="5FC7101F"/>
    <w:rsid w:val="5FCF12B9"/>
    <w:rsid w:val="5FF05A6E"/>
    <w:rsid w:val="600E18DB"/>
    <w:rsid w:val="602B48B2"/>
    <w:rsid w:val="60433FA6"/>
    <w:rsid w:val="60671524"/>
    <w:rsid w:val="60714E01"/>
    <w:rsid w:val="60717CF2"/>
    <w:rsid w:val="60BA67A8"/>
    <w:rsid w:val="61322D83"/>
    <w:rsid w:val="61373B45"/>
    <w:rsid w:val="6140449A"/>
    <w:rsid w:val="61504E19"/>
    <w:rsid w:val="617821BF"/>
    <w:rsid w:val="61A46B11"/>
    <w:rsid w:val="61AD3C17"/>
    <w:rsid w:val="61B6101A"/>
    <w:rsid w:val="61FB103A"/>
    <w:rsid w:val="62195750"/>
    <w:rsid w:val="622E1BE7"/>
    <w:rsid w:val="62392F16"/>
    <w:rsid w:val="6269762A"/>
    <w:rsid w:val="62704B5B"/>
    <w:rsid w:val="62814BAA"/>
    <w:rsid w:val="62B91878"/>
    <w:rsid w:val="62F06648"/>
    <w:rsid w:val="62F50074"/>
    <w:rsid w:val="630C7063"/>
    <w:rsid w:val="630D619B"/>
    <w:rsid w:val="631876D7"/>
    <w:rsid w:val="634563ED"/>
    <w:rsid w:val="634D0E4E"/>
    <w:rsid w:val="63642BCE"/>
    <w:rsid w:val="63AB4186"/>
    <w:rsid w:val="63D55914"/>
    <w:rsid w:val="64121E0D"/>
    <w:rsid w:val="641D00AF"/>
    <w:rsid w:val="644F2419"/>
    <w:rsid w:val="64AC6408"/>
    <w:rsid w:val="64B452BD"/>
    <w:rsid w:val="64D21D41"/>
    <w:rsid w:val="65674D89"/>
    <w:rsid w:val="6569062F"/>
    <w:rsid w:val="65742452"/>
    <w:rsid w:val="65B732B6"/>
    <w:rsid w:val="65BD63F3"/>
    <w:rsid w:val="66656F4B"/>
    <w:rsid w:val="666845B1"/>
    <w:rsid w:val="66914062"/>
    <w:rsid w:val="66D41C46"/>
    <w:rsid w:val="67056C17"/>
    <w:rsid w:val="67121848"/>
    <w:rsid w:val="671B3BEF"/>
    <w:rsid w:val="671E7365"/>
    <w:rsid w:val="672076F9"/>
    <w:rsid w:val="67281F92"/>
    <w:rsid w:val="675E1344"/>
    <w:rsid w:val="67852F40"/>
    <w:rsid w:val="67982C74"/>
    <w:rsid w:val="67987117"/>
    <w:rsid w:val="67A12C4B"/>
    <w:rsid w:val="67C879E6"/>
    <w:rsid w:val="680123DE"/>
    <w:rsid w:val="68527D75"/>
    <w:rsid w:val="685327A1"/>
    <w:rsid w:val="686B65DA"/>
    <w:rsid w:val="68720F3A"/>
    <w:rsid w:val="6895071F"/>
    <w:rsid w:val="68C77CB4"/>
    <w:rsid w:val="68CF4DBB"/>
    <w:rsid w:val="68D423D1"/>
    <w:rsid w:val="696944ED"/>
    <w:rsid w:val="696A007A"/>
    <w:rsid w:val="697C30C8"/>
    <w:rsid w:val="69824A4D"/>
    <w:rsid w:val="69826147"/>
    <w:rsid w:val="69AD6C43"/>
    <w:rsid w:val="69EB2192"/>
    <w:rsid w:val="6A375EC2"/>
    <w:rsid w:val="6A46487F"/>
    <w:rsid w:val="6A86657E"/>
    <w:rsid w:val="6A9C04C7"/>
    <w:rsid w:val="6AC3666E"/>
    <w:rsid w:val="6AC76A3A"/>
    <w:rsid w:val="6AD761A9"/>
    <w:rsid w:val="6B151F5A"/>
    <w:rsid w:val="6B233F3B"/>
    <w:rsid w:val="6B2A452A"/>
    <w:rsid w:val="6B3B334A"/>
    <w:rsid w:val="6B4B0772"/>
    <w:rsid w:val="6B5D7F37"/>
    <w:rsid w:val="6B7D59FA"/>
    <w:rsid w:val="6B8974A3"/>
    <w:rsid w:val="6BAE7DDB"/>
    <w:rsid w:val="6BB61486"/>
    <w:rsid w:val="6BDC2F65"/>
    <w:rsid w:val="6C0E5BFA"/>
    <w:rsid w:val="6C382AE1"/>
    <w:rsid w:val="6C543D68"/>
    <w:rsid w:val="6C635F46"/>
    <w:rsid w:val="6C6B3EF7"/>
    <w:rsid w:val="6C7C7BAF"/>
    <w:rsid w:val="6C887F2E"/>
    <w:rsid w:val="6C9A3C64"/>
    <w:rsid w:val="6C9F7446"/>
    <w:rsid w:val="6CC81F87"/>
    <w:rsid w:val="6CD40BF2"/>
    <w:rsid w:val="6CE53294"/>
    <w:rsid w:val="6CF0352F"/>
    <w:rsid w:val="6CFC1EF7"/>
    <w:rsid w:val="6D0F6F5E"/>
    <w:rsid w:val="6D1C60F5"/>
    <w:rsid w:val="6D445338"/>
    <w:rsid w:val="6D48513C"/>
    <w:rsid w:val="6D68133A"/>
    <w:rsid w:val="6D692989"/>
    <w:rsid w:val="6D7E7C6A"/>
    <w:rsid w:val="6DDB5465"/>
    <w:rsid w:val="6DEF55B7"/>
    <w:rsid w:val="6E0739D7"/>
    <w:rsid w:val="6E731A0D"/>
    <w:rsid w:val="6E7F7A62"/>
    <w:rsid w:val="6E9A19C7"/>
    <w:rsid w:val="6E9D3265"/>
    <w:rsid w:val="6EB440E9"/>
    <w:rsid w:val="6EB90621"/>
    <w:rsid w:val="6EBC193D"/>
    <w:rsid w:val="6EBE56B6"/>
    <w:rsid w:val="6ED27FA4"/>
    <w:rsid w:val="6F153637"/>
    <w:rsid w:val="6F2F0361"/>
    <w:rsid w:val="6F4D6A39"/>
    <w:rsid w:val="6F7246F2"/>
    <w:rsid w:val="6F7E124A"/>
    <w:rsid w:val="6FA94A62"/>
    <w:rsid w:val="6FF1412A"/>
    <w:rsid w:val="70545BA6"/>
    <w:rsid w:val="705604C3"/>
    <w:rsid w:val="707029DF"/>
    <w:rsid w:val="70970FDE"/>
    <w:rsid w:val="70A36F0F"/>
    <w:rsid w:val="70B074D1"/>
    <w:rsid w:val="70BB79D3"/>
    <w:rsid w:val="70DE203F"/>
    <w:rsid w:val="70FA499F"/>
    <w:rsid w:val="7123390F"/>
    <w:rsid w:val="71401B10"/>
    <w:rsid w:val="71426F1C"/>
    <w:rsid w:val="714F3FE5"/>
    <w:rsid w:val="71600CA6"/>
    <w:rsid w:val="717A200D"/>
    <w:rsid w:val="719965FB"/>
    <w:rsid w:val="71C575A5"/>
    <w:rsid w:val="71E80C9B"/>
    <w:rsid w:val="72833D52"/>
    <w:rsid w:val="7285473C"/>
    <w:rsid w:val="729A01E8"/>
    <w:rsid w:val="73080A44"/>
    <w:rsid w:val="73125FD0"/>
    <w:rsid w:val="73166260"/>
    <w:rsid w:val="733A1083"/>
    <w:rsid w:val="73693C04"/>
    <w:rsid w:val="736C3DBA"/>
    <w:rsid w:val="73797C84"/>
    <w:rsid w:val="739F72F3"/>
    <w:rsid w:val="73AB77E2"/>
    <w:rsid w:val="73B07652"/>
    <w:rsid w:val="73DB2A7F"/>
    <w:rsid w:val="73DC6C44"/>
    <w:rsid w:val="73EC6785"/>
    <w:rsid w:val="73F42B72"/>
    <w:rsid w:val="742F4960"/>
    <w:rsid w:val="74522E59"/>
    <w:rsid w:val="746F3FC4"/>
    <w:rsid w:val="748B1DCA"/>
    <w:rsid w:val="74DD0F83"/>
    <w:rsid w:val="74DE1AB1"/>
    <w:rsid w:val="75526B58"/>
    <w:rsid w:val="75532D54"/>
    <w:rsid w:val="755E3691"/>
    <w:rsid w:val="75734AE6"/>
    <w:rsid w:val="757E7345"/>
    <w:rsid w:val="759C12DB"/>
    <w:rsid w:val="75B66CB7"/>
    <w:rsid w:val="75C30DC4"/>
    <w:rsid w:val="75FE283B"/>
    <w:rsid w:val="76424E1E"/>
    <w:rsid w:val="76465F91"/>
    <w:rsid w:val="76564426"/>
    <w:rsid w:val="765F4CD8"/>
    <w:rsid w:val="769549C0"/>
    <w:rsid w:val="76CC293A"/>
    <w:rsid w:val="76DA5057"/>
    <w:rsid w:val="76E61C4D"/>
    <w:rsid w:val="76ED6AD1"/>
    <w:rsid w:val="774535D1"/>
    <w:rsid w:val="774C75D7"/>
    <w:rsid w:val="777234E1"/>
    <w:rsid w:val="77866F8C"/>
    <w:rsid w:val="77974721"/>
    <w:rsid w:val="77A47413"/>
    <w:rsid w:val="77B7138C"/>
    <w:rsid w:val="77CA3FED"/>
    <w:rsid w:val="77D966D5"/>
    <w:rsid w:val="77DDAC0F"/>
    <w:rsid w:val="77F3500A"/>
    <w:rsid w:val="78040EAB"/>
    <w:rsid w:val="782B18E2"/>
    <w:rsid w:val="78354103"/>
    <w:rsid w:val="787D249B"/>
    <w:rsid w:val="787E7C64"/>
    <w:rsid w:val="78896A97"/>
    <w:rsid w:val="78A23952"/>
    <w:rsid w:val="78A7540C"/>
    <w:rsid w:val="78AC47D1"/>
    <w:rsid w:val="78AD4F49"/>
    <w:rsid w:val="78D930EC"/>
    <w:rsid w:val="78F369D5"/>
    <w:rsid w:val="797F7F1D"/>
    <w:rsid w:val="79975481"/>
    <w:rsid w:val="79A0404F"/>
    <w:rsid w:val="79C26734"/>
    <w:rsid w:val="79CC0695"/>
    <w:rsid w:val="7A3905A1"/>
    <w:rsid w:val="7AA6776D"/>
    <w:rsid w:val="7AAF2754"/>
    <w:rsid w:val="7AB05834"/>
    <w:rsid w:val="7AC35E02"/>
    <w:rsid w:val="7AD72F66"/>
    <w:rsid w:val="7AFF36A9"/>
    <w:rsid w:val="7B6A2721"/>
    <w:rsid w:val="7B7F57B8"/>
    <w:rsid w:val="7BAD691E"/>
    <w:rsid w:val="7BB44029"/>
    <w:rsid w:val="7BE97AEA"/>
    <w:rsid w:val="7BFC4EE4"/>
    <w:rsid w:val="7C14558C"/>
    <w:rsid w:val="7C381D81"/>
    <w:rsid w:val="7C472F78"/>
    <w:rsid w:val="7C7A6994"/>
    <w:rsid w:val="7C7F6675"/>
    <w:rsid w:val="7D697134"/>
    <w:rsid w:val="7D6E7127"/>
    <w:rsid w:val="7D7613DB"/>
    <w:rsid w:val="7D851A94"/>
    <w:rsid w:val="7D89584C"/>
    <w:rsid w:val="7DB74351"/>
    <w:rsid w:val="7DCB56F9"/>
    <w:rsid w:val="7E03353C"/>
    <w:rsid w:val="7E311A31"/>
    <w:rsid w:val="7E3A462D"/>
    <w:rsid w:val="7E507AA1"/>
    <w:rsid w:val="7E590F57"/>
    <w:rsid w:val="7E5A7B78"/>
    <w:rsid w:val="7E6D46AA"/>
    <w:rsid w:val="7E97382D"/>
    <w:rsid w:val="7ECA2FEF"/>
    <w:rsid w:val="7ED9163C"/>
    <w:rsid w:val="7EF853D2"/>
    <w:rsid w:val="7F017B9C"/>
    <w:rsid w:val="7F1218E7"/>
    <w:rsid w:val="7F381468"/>
    <w:rsid w:val="7F6763F4"/>
    <w:rsid w:val="7F7C2BBB"/>
    <w:rsid w:val="7F9929DC"/>
    <w:rsid w:val="7FAF7FE8"/>
    <w:rsid w:val="7FB977D3"/>
    <w:rsid w:val="7FC401FE"/>
    <w:rsid w:val="7FD27C07"/>
    <w:rsid w:val="7FD8638A"/>
    <w:rsid w:val="FB9F993E"/>
    <w:rsid w:val="FE7FAE08"/>
    <w:rsid w:val="FF7A6D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120" w:after="120" w:line="415" w:lineRule="auto"/>
      <w:ind w:left="454"/>
      <w:jc w:val="center"/>
      <w:outlineLvl w:val="1"/>
    </w:pPr>
    <w:rPr>
      <w:rFonts w:ascii="Arial" w:hAnsi="Arial"/>
      <w:b/>
      <w:color w:val="000000"/>
      <w:sz w:val="24"/>
      <w:szCs w:val="24"/>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unhideWhenUsed/>
    <w:qFormat/>
    <w:uiPriority w:val="99"/>
    <w:pPr>
      <w:ind w:firstLine="420"/>
    </w:pPr>
    <w:rPr>
      <w:szCs w:val="20"/>
    </w:rPr>
  </w:style>
  <w:style w:type="paragraph" w:styleId="4">
    <w:name w:val="annotation text"/>
    <w:basedOn w:val="1"/>
    <w:link w:val="36"/>
    <w:qFormat/>
    <w:uiPriority w:val="0"/>
    <w:pPr>
      <w:spacing w:line="360" w:lineRule="auto"/>
      <w:ind w:firstLine="523" w:firstLineChars="218"/>
      <w:jc w:val="left"/>
    </w:pPr>
    <w:rPr>
      <w:rFonts w:ascii="宋体" w:hAnsi="宋体"/>
      <w:kern w:val="0"/>
      <w:sz w:val="24"/>
      <w:szCs w:val="24"/>
      <w:lang w:val="zh-CN"/>
    </w:rPr>
  </w:style>
  <w:style w:type="paragraph" w:styleId="5">
    <w:name w:val="Body Text"/>
    <w:basedOn w:val="1"/>
    <w:link w:val="31"/>
    <w:semiHidden/>
    <w:unhideWhenUsed/>
    <w:qFormat/>
    <w:uiPriority w:val="99"/>
    <w:pPr>
      <w:spacing w:after="120"/>
    </w:pPr>
  </w:style>
  <w:style w:type="paragraph" w:styleId="6">
    <w:name w:val="Body Text Indent"/>
    <w:basedOn w:val="1"/>
    <w:qFormat/>
    <w:uiPriority w:val="0"/>
    <w:pPr>
      <w:ind w:firstLine="570"/>
    </w:pPr>
    <w:rPr>
      <w:kern w:val="0"/>
      <w:sz w:val="28"/>
      <w:szCs w:val="20"/>
    </w:rPr>
  </w:style>
  <w:style w:type="paragraph" w:styleId="7">
    <w:name w:val="Plain Text"/>
    <w:basedOn w:val="1"/>
    <w:next w:val="1"/>
    <w:qFormat/>
    <w:uiPriority w:val="0"/>
    <w:rPr>
      <w:rFonts w:ascii="宋体" w:hAnsi="Courier New"/>
    </w:rPr>
  </w:style>
  <w:style w:type="paragraph" w:styleId="8">
    <w:name w:val="Balloon Text"/>
    <w:basedOn w:val="1"/>
    <w:link w:val="37"/>
    <w:semiHidden/>
    <w:unhideWhenUsed/>
    <w:qFormat/>
    <w:uiPriority w:val="99"/>
    <w:rPr>
      <w:sz w:val="18"/>
      <w:szCs w:val="18"/>
    </w:rPr>
  </w:style>
  <w:style w:type="paragraph" w:styleId="9">
    <w:name w:val="footer"/>
    <w:basedOn w:val="1"/>
    <w:link w:val="30"/>
    <w:unhideWhenUsed/>
    <w:qFormat/>
    <w:uiPriority w:val="0"/>
    <w:pPr>
      <w:tabs>
        <w:tab w:val="center" w:pos="4153"/>
        <w:tab w:val="right" w:pos="8306"/>
      </w:tabs>
      <w:snapToGrid w:val="0"/>
      <w:jc w:val="left"/>
    </w:pPr>
    <w:rPr>
      <w:sz w:val="18"/>
      <w:szCs w:val="18"/>
    </w:rPr>
  </w:style>
  <w:style w:type="paragraph" w:styleId="10">
    <w:name w:val="envelope return"/>
    <w:basedOn w:val="1"/>
    <w:qFormat/>
    <w:uiPriority w:val="0"/>
    <w:pPr>
      <w:snapToGrid w:val="0"/>
    </w:pPr>
    <w:rPr>
      <w:rFonts w:ascii="Arial" w:hAnsi="Arial"/>
      <w:szCs w:val="24"/>
    </w:rPr>
  </w:style>
  <w:style w:type="paragraph" w:styleId="11">
    <w:name w:val="header"/>
    <w:basedOn w:val="1"/>
    <w:link w:val="29"/>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tabs>
        <w:tab w:val="right" w:leader="dot" w:pos="8296"/>
      </w:tabs>
    </w:pPr>
    <w:rPr>
      <w:rFonts w:ascii="宋体" w:hAnsi="Times New Roman" w:eastAsia="楷体_GB2312" w:cs="TimesNewRomanPSMT"/>
      <w:b/>
      <w:kern w:val="0"/>
      <w:sz w:val="28"/>
      <w:szCs w:val="20"/>
    </w:rPr>
  </w:style>
  <w:style w:type="paragraph" w:styleId="13">
    <w:name w:val="Body Text 2"/>
    <w:basedOn w:val="1"/>
    <w:link w:val="33"/>
    <w:qFormat/>
    <w:uiPriority w:val="0"/>
    <w:rPr>
      <w:rFonts w:ascii="宋体" w:hAnsi="宋体"/>
      <w:kern w:val="0"/>
      <w:sz w:val="20"/>
      <w:szCs w:val="24"/>
      <w:u w:val="single"/>
      <w:lang w:val="zh-CN"/>
    </w:rPr>
  </w:style>
  <w:style w:type="paragraph" w:styleId="14">
    <w:name w:val="Normal (Web)"/>
    <w:basedOn w:val="1"/>
    <w:qFormat/>
    <w:uiPriority w:val="0"/>
    <w:pPr>
      <w:spacing w:before="100" w:beforeAutospacing="1" w:after="100" w:afterAutospacing="1"/>
      <w:jc w:val="left"/>
    </w:pPr>
    <w:rPr>
      <w:kern w:val="0"/>
      <w:sz w:val="24"/>
    </w:rPr>
  </w:style>
  <w:style w:type="paragraph" w:styleId="15">
    <w:name w:val="annotation subject"/>
    <w:basedOn w:val="4"/>
    <w:next w:val="4"/>
    <w:link w:val="38"/>
    <w:semiHidden/>
    <w:unhideWhenUsed/>
    <w:qFormat/>
    <w:uiPriority w:val="99"/>
    <w:pPr>
      <w:spacing w:line="240" w:lineRule="auto"/>
      <w:ind w:firstLine="0" w:firstLineChars="0"/>
    </w:pPr>
    <w:rPr>
      <w:rFonts w:ascii="Calibri" w:hAnsi="Calibri"/>
      <w:b/>
      <w:bCs/>
      <w:kern w:val="2"/>
      <w:sz w:val="21"/>
      <w:szCs w:val="22"/>
      <w:lang w:val="en-US"/>
    </w:rPr>
  </w:style>
  <w:style w:type="paragraph" w:styleId="16">
    <w:name w:val="Body Text First Indent"/>
    <w:basedOn w:val="5"/>
    <w:link w:val="32"/>
    <w:qFormat/>
    <w:uiPriority w:val="0"/>
    <w:pPr>
      <w:ind w:firstLine="420"/>
    </w:pPr>
    <w:rPr>
      <w:rFonts w:ascii="Times New Roman" w:hAnsi="Times New Roman"/>
      <w:kern w:val="0"/>
      <w:sz w:val="20"/>
      <w:szCs w:val="20"/>
      <w:lang w:val="zh-CN"/>
    </w:rPr>
  </w:style>
  <w:style w:type="paragraph" w:styleId="17">
    <w:name w:val="Body Text First Indent 2"/>
    <w:basedOn w:val="6"/>
    <w:qFormat/>
    <w:uiPriority w:val="99"/>
    <w:pPr>
      <w:spacing w:after="120"/>
      <w:ind w:left="200" w:leftChars="200" w:firstLine="200" w:firstLineChars="200"/>
    </w:pPr>
    <w:rPr>
      <w:color w:val="0D0D0D"/>
      <w:kern w:val="2"/>
      <w:sz w:val="21"/>
      <w:szCs w:val="24"/>
      <w:lang w:eastAsia="en-US"/>
    </w:rPr>
  </w:style>
  <w:style w:type="character" w:styleId="20">
    <w:name w:val="Strong"/>
    <w:basedOn w:val="19"/>
    <w:qFormat/>
    <w:uiPriority w:val="22"/>
    <w:rPr>
      <w:b/>
      <w:bCs/>
    </w:rPr>
  </w:style>
  <w:style w:type="character" w:styleId="21">
    <w:name w:val="page number"/>
    <w:qFormat/>
    <w:uiPriority w:val="0"/>
    <w:rPr>
      <w:rFonts w:cs="Times New Roman"/>
    </w:rPr>
  </w:style>
  <w:style w:type="character" w:styleId="22">
    <w:name w:val="FollowedHyperlink"/>
    <w:basedOn w:val="19"/>
    <w:semiHidden/>
    <w:unhideWhenUsed/>
    <w:qFormat/>
    <w:uiPriority w:val="99"/>
    <w:rPr>
      <w:color w:val="000000"/>
      <w:u w:val="none"/>
    </w:rPr>
  </w:style>
  <w:style w:type="character" w:styleId="23">
    <w:name w:val="HTML Definition"/>
    <w:basedOn w:val="19"/>
    <w:semiHidden/>
    <w:unhideWhenUsed/>
    <w:qFormat/>
    <w:uiPriority w:val="99"/>
    <w:rPr>
      <w:i/>
      <w:iCs/>
    </w:rPr>
  </w:style>
  <w:style w:type="character" w:styleId="24">
    <w:name w:val="Hyperlink"/>
    <w:basedOn w:val="19"/>
    <w:semiHidden/>
    <w:unhideWhenUsed/>
    <w:qFormat/>
    <w:uiPriority w:val="99"/>
    <w:rPr>
      <w:color w:val="000000"/>
      <w:u w:val="none"/>
    </w:rPr>
  </w:style>
  <w:style w:type="character" w:styleId="25">
    <w:name w:val="HTML Code"/>
    <w:basedOn w:val="19"/>
    <w:semiHidden/>
    <w:unhideWhenUsed/>
    <w:qFormat/>
    <w:uiPriority w:val="99"/>
    <w:rPr>
      <w:rFonts w:ascii="Consolas" w:hAnsi="Consolas" w:eastAsia="Consolas" w:cs="Consolas"/>
      <w:color w:val="C7254E"/>
      <w:sz w:val="21"/>
      <w:szCs w:val="21"/>
      <w:bdr w:val="single" w:color="E1E1E1" w:sz="2" w:space="0"/>
      <w:shd w:val="clear" w:color="auto" w:fill="F9F2F4"/>
    </w:rPr>
  </w:style>
  <w:style w:type="character" w:styleId="26">
    <w:name w:val="annotation reference"/>
    <w:qFormat/>
    <w:uiPriority w:val="0"/>
    <w:rPr>
      <w:sz w:val="21"/>
      <w:szCs w:val="21"/>
    </w:rPr>
  </w:style>
  <w:style w:type="character" w:styleId="27">
    <w:name w:val="HTML Keyboard"/>
    <w:basedOn w:val="19"/>
    <w:semiHidden/>
    <w:unhideWhenUsed/>
    <w:qFormat/>
    <w:uiPriority w:val="99"/>
    <w:rPr>
      <w:rFonts w:hint="default" w:ascii="Consolas" w:hAnsi="Consolas" w:eastAsia="Consolas" w:cs="Consolas"/>
      <w:color w:val="FFFFFF"/>
      <w:sz w:val="21"/>
      <w:szCs w:val="21"/>
      <w:shd w:val="clear" w:color="auto" w:fill="333333"/>
    </w:rPr>
  </w:style>
  <w:style w:type="character" w:styleId="28">
    <w:name w:val="HTML Sample"/>
    <w:basedOn w:val="19"/>
    <w:semiHidden/>
    <w:unhideWhenUsed/>
    <w:qFormat/>
    <w:uiPriority w:val="99"/>
    <w:rPr>
      <w:rFonts w:hint="default" w:ascii="Consolas" w:hAnsi="Consolas" w:eastAsia="Consolas" w:cs="Consolas"/>
      <w:sz w:val="21"/>
      <w:szCs w:val="21"/>
    </w:rPr>
  </w:style>
  <w:style w:type="character" w:customStyle="1" w:styleId="29">
    <w:name w:val="页眉 字符"/>
    <w:basedOn w:val="19"/>
    <w:link w:val="11"/>
    <w:qFormat/>
    <w:uiPriority w:val="0"/>
    <w:rPr>
      <w:sz w:val="18"/>
      <w:szCs w:val="18"/>
    </w:rPr>
  </w:style>
  <w:style w:type="character" w:customStyle="1" w:styleId="30">
    <w:name w:val="页脚 字符"/>
    <w:basedOn w:val="19"/>
    <w:link w:val="9"/>
    <w:qFormat/>
    <w:uiPriority w:val="0"/>
    <w:rPr>
      <w:sz w:val="18"/>
      <w:szCs w:val="18"/>
    </w:rPr>
  </w:style>
  <w:style w:type="character" w:customStyle="1" w:styleId="31">
    <w:name w:val="正文文本 字符"/>
    <w:basedOn w:val="19"/>
    <w:link w:val="5"/>
    <w:semiHidden/>
    <w:qFormat/>
    <w:uiPriority w:val="99"/>
    <w:rPr>
      <w:rFonts w:ascii="Calibri" w:hAnsi="Calibri" w:eastAsia="宋体" w:cs="Times New Roman"/>
    </w:rPr>
  </w:style>
  <w:style w:type="character" w:customStyle="1" w:styleId="32">
    <w:name w:val="正文文本首行缩进 字符"/>
    <w:basedOn w:val="31"/>
    <w:link w:val="16"/>
    <w:qFormat/>
    <w:uiPriority w:val="0"/>
    <w:rPr>
      <w:rFonts w:ascii="Times New Roman" w:hAnsi="Times New Roman" w:eastAsia="宋体" w:cs="Times New Roman"/>
      <w:kern w:val="0"/>
      <w:sz w:val="20"/>
      <w:szCs w:val="20"/>
      <w:lang w:val="zh-CN" w:eastAsia="zh-CN"/>
    </w:rPr>
  </w:style>
  <w:style w:type="character" w:customStyle="1" w:styleId="33">
    <w:name w:val="正文文本 2 字符"/>
    <w:basedOn w:val="19"/>
    <w:link w:val="13"/>
    <w:qFormat/>
    <w:uiPriority w:val="0"/>
    <w:rPr>
      <w:rFonts w:ascii="宋体" w:hAnsi="宋体" w:eastAsia="宋体" w:cs="Times New Roman"/>
      <w:kern w:val="0"/>
      <w:sz w:val="20"/>
      <w:szCs w:val="24"/>
      <w:u w:val="single"/>
      <w:lang w:val="zh-CN" w:eastAsia="zh-CN"/>
    </w:rPr>
  </w:style>
  <w:style w:type="paragraph" w:customStyle="1" w:styleId="3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5">
    <w:name w:val="发文落款"/>
    <w:basedOn w:val="34"/>
    <w:qFormat/>
    <w:uiPriority w:val="0"/>
    <w:pPr>
      <w:ind w:left="4094" w:right="607" w:firstLine="0"/>
      <w:jc w:val="center"/>
    </w:pPr>
  </w:style>
  <w:style w:type="character" w:customStyle="1" w:styleId="36">
    <w:name w:val="批注文字 字符"/>
    <w:basedOn w:val="19"/>
    <w:link w:val="4"/>
    <w:qFormat/>
    <w:uiPriority w:val="0"/>
    <w:rPr>
      <w:rFonts w:ascii="宋体" w:hAnsi="宋体" w:eastAsia="宋体" w:cs="Times New Roman"/>
      <w:kern w:val="0"/>
      <w:sz w:val="24"/>
      <w:szCs w:val="24"/>
      <w:lang w:val="zh-CN" w:eastAsia="zh-CN"/>
    </w:rPr>
  </w:style>
  <w:style w:type="character" w:customStyle="1" w:styleId="37">
    <w:name w:val="批注框文本 字符"/>
    <w:basedOn w:val="19"/>
    <w:link w:val="8"/>
    <w:semiHidden/>
    <w:qFormat/>
    <w:uiPriority w:val="99"/>
    <w:rPr>
      <w:rFonts w:ascii="Calibri" w:hAnsi="Calibri" w:eastAsia="宋体" w:cs="Times New Roman"/>
      <w:sz w:val="18"/>
      <w:szCs w:val="18"/>
    </w:rPr>
  </w:style>
  <w:style w:type="character" w:customStyle="1" w:styleId="38">
    <w:name w:val="批注主题 字符"/>
    <w:basedOn w:val="36"/>
    <w:link w:val="15"/>
    <w:semiHidden/>
    <w:qFormat/>
    <w:uiPriority w:val="99"/>
    <w:rPr>
      <w:rFonts w:ascii="Calibri" w:hAnsi="Calibri" w:eastAsia="宋体" w:cs="Times New Roman"/>
      <w:b/>
      <w:bCs/>
      <w:kern w:val="0"/>
      <w:sz w:val="24"/>
      <w:szCs w:val="24"/>
      <w:lang w:val="zh-CN" w:eastAsia="zh-CN"/>
    </w:rPr>
  </w:style>
  <w:style w:type="paragraph" w:customStyle="1" w:styleId="39">
    <w:name w:val="列出段落1"/>
    <w:basedOn w:val="1"/>
    <w:qFormat/>
    <w:uiPriority w:val="34"/>
    <w:pPr>
      <w:widowControl/>
      <w:adjustRightInd w:val="0"/>
      <w:snapToGrid w:val="0"/>
      <w:ind w:firstLine="420"/>
      <w:jc w:val="left"/>
    </w:pPr>
    <w:rPr>
      <w:rFonts w:eastAsia="PMingLiU"/>
      <w:snapToGrid w:val="0"/>
      <w:kern w:val="0"/>
      <w:sz w:val="22"/>
      <w:lang w:val="en-GB" w:eastAsia="en-US"/>
    </w:rPr>
  </w:style>
  <w:style w:type="character" w:customStyle="1" w:styleId="40">
    <w:name w:val="times"/>
    <w:basedOn w:val="19"/>
    <w:qFormat/>
    <w:uiPriority w:val="0"/>
    <w:rPr>
      <w:color w:val="3399FF"/>
      <w:bdr w:val="single" w:color="D1EDF8" w:sz="6" w:space="0"/>
      <w:shd w:val="clear" w:color="auto" w:fill="EAF9FF"/>
    </w:rPr>
  </w:style>
  <w:style w:type="character" w:customStyle="1" w:styleId="41">
    <w:name w:val="times1"/>
    <w:basedOn w:val="19"/>
    <w:qFormat/>
    <w:uiPriority w:val="0"/>
    <w:rPr>
      <w:color w:val="CDCDCD"/>
      <w:bdr w:val="single" w:color="CDCDCD" w:sz="6" w:space="0"/>
      <w:shd w:val="clear" w:color="auto" w:fill="EFEFEF"/>
    </w:rPr>
  </w:style>
  <w:style w:type="character" w:customStyle="1" w:styleId="42">
    <w:name w:val="hover42"/>
    <w:basedOn w:val="19"/>
    <w:qFormat/>
    <w:uiPriority w:val="0"/>
  </w:style>
  <w:style w:type="character" w:customStyle="1" w:styleId="43">
    <w:name w:val="hover40"/>
    <w:basedOn w:val="19"/>
    <w:qFormat/>
    <w:uiPriority w:val="0"/>
  </w:style>
  <w:style w:type="character" w:customStyle="1" w:styleId="44">
    <w:name w:val="hover41"/>
    <w:basedOn w:val="19"/>
    <w:qFormat/>
    <w:uiPriority w:val="0"/>
  </w:style>
  <w:style w:type="paragraph" w:customStyle="1" w:styleId="45">
    <w:name w:val="文一"/>
    <w:basedOn w:val="1"/>
    <w:qFormat/>
    <w:uiPriority w:val="0"/>
    <w:pPr>
      <w:topLinePunct/>
      <w:adjustRightInd w:val="0"/>
      <w:snapToGrid w:val="0"/>
      <w:spacing w:line="360" w:lineRule="auto"/>
      <w:ind w:firstLine="200" w:firstLineChars="200"/>
    </w:pPr>
    <w:rPr>
      <w:spacing w:val="4"/>
      <w:sz w:val="24"/>
    </w:rPr>
  </w:style>
  <w:style w:type="paragraph" w:customStyle="1" w:styleId="46">
    <w:name w:val="UserStyle_66"/>
    <w:qFormat/>
    <w:uiPriority w:val="0"/>
    <w:pPr>
      <w:spacing w:line="360" w:lineRule="auto"/>
      <w:ind w:firstLine="629"/>
      <w:jc w:val="both"/>
      <w:textAlignment w:val="baseline"/>
    </w:pPr>
    <w:rPr>
      <w:rFonts w:ascii="仿宋_GB2312" w:hAnsi="Calisto MT" w:eastAsia="仿宋_GB2312" w:cs="Times New Roman"/>
      <w:color w:val="000000"/>
      <w:sz w:val="32"/>
      <w:lang w:val="en-US" w:eastAsia="zh-CN" w:bidi="ar-SA"/>
    </w:rPr>
  </w:style>
  <w:style w:type="character" w:customStyle="1" w:styleId="47">
    <w:name w:val="title24"/>
    <w:basedOn w:val="19"/>
    <w:qFormat/>
    <w:uiPriority w:val="0"/>
  </w:style>
  <w:style w:type="character" w:customStyle="1" w:styleId="48">
    <w:name w:val="username"/>
    <w:basedOn w:val="19"/>
    <w:qFormat/>
    <w:uiPriority w:val="0"/>
  </w:style>
  <w:style w:type="paragraph" w:customStyle="1" w:styleId="49">
    <w:name w:val="正题"/>
    <w:basedOn w:val="45"/>
    <w:next w:val="45"/>
    <w:qFormat/>
    <w:uiPriority w:val="0"/>
    <w:pPr>
      <w:ind w:firstLine="0" w:firstLineChars="0"/>
      <w:jc w:val="center"/>
    </w:pPr>
    <w:rPr>
      <w:rFonts w:eastAsia="黑体"/>
      <w:b/>
      <w:sz w:val="36"/>
      <w:szCs w:val="36"/>
    </w:rPr>
  </w:style>
  <w:style w:type="paragraph" w:customStyle="1" w:styleId="50">
    <w:name w:val="null3"/>
    <w:qFormat/>
    <w:uiPriority w:val="0"/>
    <w:rPr>
      <w:rFonts w:hint="eastAsia" w:ascii="Calibri" w:hAnsi="Calibri" w:eastAsia="宋体" w:cs="Times New Roman"/>
      <w:lang w:val="en-US" w:eastAsia="zh-Hans" w:bidi="ar-SA"/>
    </w:rPr>
  </w:style>
  <w:style w:type="paragraph" w:customStyle="1" w:styleId="51">
    <w:name w:val="Compact"/>
    <w:basedOn w:val="5"/>
    <w:qFormat/>
    <w:uiPriority w:val="0"/>
    <w:pPr>
      <w:spacing w:before="36" w:after="36"/>
    </w:pPr>
  </w:style>
  <w:style w:type="paragraph" w:customStyle="1" w:styleId="52">
    <w:name w:val="正文NEW"/>
    <w:basedOn w:val="1"/>
    <w:qFormat/>
    <w:uiPriority w:val="0"/>
    <w:pPr>
      <w:spacing w:line="360" w:lineRule="auto"/>
      <w:ind w:firstLine="480" w:firstLineChars="200"/>
    </w:pPr>
    <w:rPr>
      <w:rFonts w:hint="eastAsia" w:ascii="方正仿宋_GB2312" w:hAnsi="方正仿宋_GB2312" w:eastAsia="仿宋_GB2312" w:cs="仿宋"/>
      <w:sz w:val="24"/>
      <w:szCs w:val="24"/>
    </w:rPr>
  </w:style>
  <w:style w:type="paragraph" w:customStyle="1" w:styleId="53">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8058</Words>
  <Characters>8498</Characters>
  <Lines>67</Lines>
  <Paragraphs>19</Paragraphs>
  <TotalTime>18</TotalTime>
  <ScaleCrop>false</ScaleCrop>
  <LinksUpToDate>false</LinksUpToDate>
  <CharactersWithSpaces>8679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2025-01-07T23:27:00Z</dcterms:created>
  <dc:creator>xbx</dc:creator>
  <cp:lastModifiedBy>代理机构</cp:lastModifiedBy>
  <cp:lastPrinted>2025-01-18T16:15:00Z</cp:lastPrinted>
  <dcterms:modified xsi:type="dcterms:W3CDTF">2025-12-11T02:37:56Z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B09FA6CDEA374E7DB96518D5B9E4DCCF_13</vt:lpwstr>
  </property>
  <property fmtid="{D5CDD505-2E9C-101B-9397-08002B2CF9AE}" pid="4" name="commondata">
    <vt:lpwstr>eyJoZGlkIjoiNDcxNjdiZTdjOTc2MTkwNWM3NDg3YmYxMTBjZDU5ODgifQ==</vt:lpwstr>
  </property>
  <property fmtid="{D5CDD505-2E9C-101B-9397-08002B2CF9AE}" pid="5" name="KSOTemplateDocerSaveRecord">
    <vt:lpwstr>eyJoZGlkIjoiNDA5YTE4OWE0ODhhZTc0MDliNmNmNDZjODMyOWQyYzMiLCJ1c2VySWQiOiIxNzg3NjIyMyJ9</vt:lpwstr>
  </property>
</Properties>
</file>