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3B937">
      <w:pPr>
        <w:spacing w:line="720" w:lineRule="auto"/>
        <w:ind w:left="359" w:leftChars="171"/>
        <w:jc w:val="center"/>
        <w:rPr>
          <w:rFonts w:ascii="宋体" w:hAnsi="宋体" w:cs="宋体"/>
          <w:color w:val="auto"/>
          <w:sz w:val="36"/>
          <w:highlight w:val="none"/>
        </w:rPr>
      </w:pPr>
    </w:p>
    <w:p w14:paraId="08C13C92">
      <w:pPr>
        <w:spacing w:line="720" w:lineRule="auto"/>
        <w:ind w:left="359" w:leftChars="171"/>
        <w:jc w:val="center"/>
        <w:rPr>
          <w:rFonts w:hint="eastAsia" w:ascii="宋体" w:hAnsi="宋体" w:cs="宋体"/>
          <w:color w:val="auto"/>
          <w:sz w:val="36"/>
          <w:highlight w:val="none"/>
        </w:rPr>
      </w:pPr>
    </w:p>
    <w:p w14:paraId="5A5ADEF7">
      <w:pPr>
        <w:spacing w:line="480" w:lineRule="auto"/>
        <w:jc w:val="center"/>
        <w:rPr>
          <w:rFonts w:hint="eastAsia" w:ascii="宋体" w:hAnsi="宋体" w:eastAsia="宋体" w:cs="宋体"/>
          <w:color w:val="auto"/>
          <w:sz w:val="48"/>
          <w:szCs w:val="48"/>
          <w:highlight w:val="none"/>
          <w:u w:val="single"/>
          <w:lang w:eastAsia="zh-CN"/>
        </w:rPr>
      </w:pPr>
      <w:bookmarkStart w:id="0" w:name="OLE_LINK72"/>
      <w:r>
        <w:rPr>
          <w:rFonts w:hint="eastAsia" w:ascii="宋体" w:hAnsi="宋体"/>
          <w:b/>
          <w:color w:val="auto"/>
          <w:sz w:val="48"/>
          <w:szCs w:val="48"/>
          <w:highlight w:val="none"/>
          <w:lang w:eastAsia="zh-CN"/>
        </w:rPr>
        <w:t>广东省皮肤性病防治中心（南方医科大学皮肤病医院）白云院区建设项目施工总承包</w:t>
      </w:r>
    </w:p>
    <w:bookmarkEnd w:id="0"/>
    <w:p w14:paraId="200582BF">
      <w:pPr>
        <w:pStyle w:val="20"/>
        <w:rPr>
          <w:rFonts w:hint="eastAsia" w:hAnsi="宋体" w:cs="宋体"/>
          <w:color w:val="auto"/>
          <w:highlight w:val="none"/>
        </w:rPr>
      </w:pPr>
    </w:p>
    <w:p w14:paraId="3D0B31FB">
      <w:pPr>
        <w:spacing w:line="360" w:lineRule="auto"/>
        <w:rPr>
          <w:rFonts w:hint="eastAsia" w:ascii="宋体" w:hAnsi="宋体" w:cs="宋体"/>
          <w:color w:val="auto"/>
          <w:sz w:val="36"/>
          <w:highlight w:val="none"/>
          <w:u w:val="single"/>
        </w:rPr>
      </w:pPr>
    </w:p>
    <w:p w14:paraId="611FA0DE">
      <w:pPr>
        <w:pStyle w:val="20"/>
        <w:rPr>
          <w:rFonts w:hint="eastAsia" w:hAnsi="宋体" w:cs="宋体"/>
          <w:color w:val="auto"/>
          <w:sz w:val="36"/>
          <w:highlight w:val="none"/>
          <w:u w:val="single"/>
        </w:rPr>
      </w:pPr>
    </w:p>
    <w:p w14:paraId="04FC03C4">
      <w:pPr>
        <w:rPr>
          <w:rFonts w:ascii="宋体" w:hAnsi="宋体" w:cs="宋体"/>
          <w:color w:val="auto"/>
          <w:highlight w:val="none"/>
        </w:rPr>
      </w:pPr>
    </w:p>
    <w:p w14:paraId="7435C1D7">
      <w:pPr>
        <w:pStyle w:val="3"/>
        <w:rPr>
          <w:rFonts w:hint="eastAsia"/>
          <w:color w:val="auto"/>
          <w:highlight w:val="none"/>
          <w:lang w:val="en-US"/>
        </w:rPr>
      </w:pPr>
    </w:p>
    <w:p w14:paraId="06BD2F33">
      <w:pPr>
        <w:pStyle w:val="232"/>
        <w:rPr>
          <w:rFonts w:hint="eastAsia" w:ascii="宋体" w:hAnsi="宋体" w:cs="宋体"/>
          <w:color w:val="auto"/>
          <w:highlight w:val="none"/>
        </w:rPr>
      </w:pPr>
    </w:p>
    <w:p w14:paraId="0CF93A7E">
      <w:pPr>
        <w:spacing w:line="360" w:lineRule="auto"/>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96"/>
          <w:szCs w:val="110"/>
          <w:highlight w:val="none"/>
        </w:rPr>
        <w:t>招标文件</w:t>
      </w:r>
    </w:p>
    <w:p w14:paraId="108EEDF2">
      <w:pPr>
        <w:spacing w:line="360" w:lineRule="auto"/>
        <w:rPr>
          <w:rFonts w:hint="eastAsia" w:ascii="宋体" w:hAnsi="宋体" w:cs="宋体"/>
          <w:color w:val="auto"/>
          <w:sz w:val="32"/>
          <w:highlight w:val="none"/>
        </w:rPr>
      </w:pPr>
    </w:p>
    <w:p w14:paraId="44221765">
      <w:pPr>
        <w:pStyle w:val="20"/>
        <w:rPr>
          <w:rFonts w:hAnsi="宋体" w:cs="宋体"/>
          <w:color w:val="auto"/>
          <w:highlight w:val="none"/>
        </w:rPr>
      </w:pPr>
    </w:p>
    <w:p w14:paraId="7777B6DC">
      <w:pPr>
        <w:pStyle w:val="20"/>
        <w:rPr>
          <w:rFonts w:hint="eastAsia" w:hAnsi="宋体" w:cs="宋体"/>
          <w:color w:val="auto"/>
          <w:highlight w:val="none"/>
        </w:rPr>
      </w:pPr>
    </w:p>
    <w:p w14:paraId="6565360F">
      <w:pPr>
        <w:pStyle w:val="20"/>
        <w:rPr>
          <w:rFonts w:hint="eastAsia" w:hAnsi="宋体" w:cs="宋体"/>
          <w:color w:val="auto"/>
          <w:highlight w:val="none"/>
        </w:rPr>
      </w:pPr>
    </w:p>
    <w:p w14:paraId="2A44F9A8">
      <w:pPr>
        <w:pStyle w:val="20"/>
        <w:rPr>
          <w:rFonts w:hint="eastAsia" w:hAnsi="宋体" w:cs="宋体"/>
          <w:color w:val="auto"/>
          <w:highlight w:val="none"/>
        </w:rPr>
      </w:pPr>
    </w:p>
    <w:p w14:paraId="0F730E40">
      <w:pPr>
        <w:pStyle w:val="20"/>
        <w:rPr>
          <w:rFonts w:hint="eastAsia" w:hAnsi="宋体" w:cs="宋体"/>
          <w:color w:val="auto"/>
          <w:highlight w:val="none"/>
        </w:rPr>
      </w:pPr>
    </w:p>
    <w:p w14:paraId="2CC21974">
      <w:pPr>
        <w:pStyle w:val="20"/>
        <w:rPr>
          <w:rFonts w:hint="eastAsia" w:hAnsi="宋体" w:cs="宋体"/>
          <w:color w:val="auto"/>
          <w:highlight w:val="none"/>
        </w:rPr>
      </w:pPr>
    </w:p>
    <w:p w14:paraId="4697E5E3">
      <w:pPr>
        <w:spacing w:line="360" w:lineRule="auto"/>
        <w:ind w:firstLine="842" w:firstLineChars="262"/>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招 标 人：</w:t>
      </w:r>
      <w:r>
        <w:rPr>
          <w:rFonts w:hint="eastAsia" w:ascii="宋体" w:hAnsi="宋体" w:cs="宋体"/>
          <w:b/>
          <w:bCs/>
          <w:color w:val="auto"/>
          <w:sz w:val="32"/>
          <w:szCs w:val="32"/>
          <w:highlight w:val="none"/>
          <w:lang w:eastAsia="zh-CN"/>
        </w:rPr>
        <w:t>南方医科大学皮肤病医院(广东省皮肤病医院、广东省皮肤性病防治中心、中国麻风防治研究中心)</w:t>
      </w:r>
    </w:p>
    <w:p w14:paraId="1B3E293E">
      <w:pPr>
        <w:spacing w:line="360" w:lineRule="auto"/>
        <w:ind w:firstLine="842" w:firstLineChars="262"/>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招标代理：</w:t>
      </w:r>
      <w:r>
        <w:rPr>
          <w:rFonts w:hint="eastAsia" w:hAnsi="宋体" w:cs="宋体"/>
          <w:b/>
          <w:bCs/>
          <w:color w:val="auto"/>
          <w:sz w:val="32"/>
          <w:szCs w:val="32"/>
          <w:highlight w:val="none"/>
          <w:lang w:eastAsia="zh-CN"/>
        </w:rPr>
        <w:t>广东省机电设备招标有限公司</w:t>
      </w:r>
    </w:p>
    <w:p w14:paraId="77703E40">
      <w:pPr>
        <w:spacing w:line="360" w:lineRule="auto"/>
        <w:ind w:firstLine="842" w:firstLineChars="26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日    期：2025年</w:t>
      </w:r>
      <w:r>
        <w:rPr>
          <w:rFonts w:hint="eastAsia" w:ascii="宋体" w:hAnsi="宋体" w:cs="宋体"/>
          <w:b/>
          <w:bCs/>
          <w:color w:val="auto"/>
          <w:sz w:val="32"/>
          <w:szCs w:val="32"/>
          <w:highlight w:val="none"/>
          <w:lang w:val="en-US" w:eastAsia="zh-CN"/>
        </w:rPr>
        <w:t>12</w:t>
      </w:r>
      <w:r>
        <w:rPr>
          <w:rFonts w:hint="eastAsia" w:ascii="宋体" w:hAnsi="宋体" w:cs="宋体"/>
          <w:b/>
          <w:bCs/>
          <w:color w:val="auto"/>
          <w:sz w:val="32"/>
          <w:szCs w:val="32"/>
          <w:highlight w:val="none"/>
        </w:rPr>
        <w:t>月</w:t>
      </w:r>
    </w:p>
    <w:p w14:paraId="018AE256">
      <w:pPr>
        <w:jc w:val="center"/>
        <w:rPr>
          <w:rFonts w:hint="eastAsia" w:ascii="宋体" w:hAnsi="宋体" w:cs="宋体"/>
          <w:b/>
          <w:caps/>
          <w:color w:val="auto"/>
          <w:kern w:val="0"/>
          <w:highlight w:val="none"/>
        </w:rPr>
      </w:pPr>
      <w:r>
        <w:rPr>
          <w:rFonts w:hint="eastAsia" w:ascii="宋体" w:hAnsi="宋体" w:cs="宋体"/>
          <w:color w:val="auto"/>
          <w:sz w:val="32"/>
          <w:szCs w:val="32"/>
          <w:highlight w:val="none"/>
        </w:rPr>
        <w:br w:type="page"/>
      </w:r>
      <w:r>
        <w:rPr>
          <w:rStyle w:val="47"/>
          <w:rFonts w:hint="eastAsia" w:ascii="宋体" w:hAnsi="宋体" w:cs="宋体"/>
          <w:b/>
          <w:bCs/>
          <w:color w:val="auto"/>
          <w:sz w:val="32"/>
          <w:szCs w:val="32"/>
          <w:highlight w:val="none"/>
        </w:rPr>
        <w:t>目 录</w:t>
      </w:r>
    </w:p>
    <w:p w14:paraId="407623DD">
      <w:pPr>
        <w:pStyle w:val="27"/>
        <w:rPr>
          <w:rFonts w:hint="eastAsia" w:cs="宋体"/>
          <w:caps w:val="0"/>
          <w:color w:val="auto"/>
          <w:kern w:val="2"/>
          <w:sz w:val="21"/>
          <w:szCs w:val="22"/>
          <w:highlight w:val="none"/>
        </w:rPr>
      </w:pPr>
      <w:r>
        <w:rPr>
          <w:rFonts w:hint="eastAsia" w:cs="宋体"/>
          <w:caps w:val="0"/>
          <w:color w:val="auto"/>
          <w:highlight w:val="none"/>
        </w:rPr>
        <w:fldChar w:fldCharType="begin"/>
      </w:r>
      <w:r>
        <w:rPr>
          <w:rFonts w:hint="eastAsia" w:cs="宋体"/>
          <w:caps w:val="0"/>
          <w:color w:val="auto"/>
          <w:highlight w:val="none"/>
        </w:rPr>
        <w:instrText xml:space="preserve"> TOC \o "1-3" \h \z \u </w:instrText>
      </w:r>
      <w:r>
        <w:rPr>
          <w:rFonts w:hint="eastAsia" w:cs="宋体"/>
          <w:caps w:val="0"/>
          <w:color w:val="auto"/>
          <w:highlight w:val="none"/>
        </w:rPr>
        <w:fldChar w:fldCharType="separate"/>
      </w:r>
      <w:r>
        <w:rPr>
          <w:rFonts w:hint="eastAsia" w:cs="宋体"/>
          <w:color w:val="auto"/>
          <w:highlight w:val="none"/>
        </w:rPr>
        <w:fldChar w:fldCharType="begin"/>
      </w:r>
      <w:r>
        <w:rPr>
          <w:rStyle w:val="47"/>
          <w:rFonts w:hint="eastAsia" w:ascii="宋体" w:hAnsi="宋体" w:cs="宋体"/>
          <w:color w:val="auto"/>
          <w:highlight w:val="none"/>
        </w:rPr>
        <w:instrText xml:space="preserve"> </w:instrText>
      </w:r>
      <w:r>
        <w:rPr>
          <w:rFonts w:hint="eastAsia" w:cs="宋体"/>
          <w:color w:val="auto"/>
          <w:highlight w:val="none"/>
        </w:rPr>
        <w:instrText xml:space="preserve">HYPERLINK \l "_Toc97576571"</w:instrText>
      </w:r>
      <w:r>
        <w:rPr>
          <w:rStyle w:val="47"/>
          <w:rFonts w:hint="eastAsia" w:ascii="宋体" w:hAnsi="宋体" w:cs="宋体"/>
          <w:color w:val="auto"/>
          <w:highlight w:val="none"/>
        </w:rPr>
        <w:instrText xml:space="preserve"> </w:instrText>
      </w:r>
      <w:r>
        <w:rPr>
          <w:rFonts w:hint="eastAsia" w:cs="宋体"/>
          <w:color w:val="auto"/>
          <w:highlight w:val="none"/>
        </w:rPr>
        <w:fldChar w:fldCharType="separate"/>
      </w:r>
      <w:r>
        <w:rPr>
          <w:rStyle w:val="47"/>
          <w:rFonts w:hint="eastAsia" w:ascii="宋体" w:hAnsi="宋体" w:cs="宋体"/>
          <w:color w:val="auto"/>
          <w:kern w:val="44"/>
          <w:highlight w:val="none"/>
        </w:rPr>
        <w:t>第一章  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_Toc97576571 \h </w:instrText>
      </w:r>
      <w:r>
        <w:rPr>
          <w:rFonts w:hint="eastAsia" w:cs="宋体"/>
          <w:color w:val="auto"/>
          <w:highlight w:val="none"/>
        </w:rPr>
        <w:fldChar w:fldCharType="separate"/>
      </w:r>
      <w:r>
        <w:rPr>
          <w:rFonts w:hint="eastAsia" w:cs="宋体"/>
          <w:color w:val="auto"/>
          <w:highlight w:val="none"/>
        </w:rPr>
        <w:t>3</w:t>
      </w:r>
      <w:r>
        <w:rPr>
          <w:rFonts w:hint="eastAsia" w:cs="宋体"/>
          <w:color w:val="auto"/>
          <w:highlight w:val="none"/>
        </w:rPr>
        <w:fldChar w:fldCharType="end"/>
      </w:r>
      <w:r>
        <w:rPr>
          <w:rFonts w:hint="eastAsia" w:cs="宋体"/>
          <w:color w:val="auto"/>
          <w:highlight w:val="none"/>
        </w:rPr>
        <w:fldChar w:fldCharType="end"/>
      </w:r>
    </w:p>
    <w:p w14:paraId="6A333CD4">
      <w:pPr>
        <w:pStyle w:val="3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Style w:val="47"/>
          <w:rFonts w:hint="eastAsia" w:ascii="宋体" w:hAnsi="宋体" w:cs="宋体"/>
          <w:color w:val="auto"/>
          <w:highlight w:val="none"/>
        </w:rPr>
        <w:instrText xml:space="preserve"> </w:instrText>
      </w:r>
      <w:r>
        <w:rPr>
          <w:rFonts w:hint="eastAsia" w:ascii="宋体" w:hAnsi="宋体" w:cs="宋体"/>
          <w:color w:val="auto"/>
          <w:highlight w:val="none"/>
        </w:rPr>
        <w:instrText xml:space="preserve">HYPERLINK \l "_Toc97576572"</w:instrText>
      </w:r>
      <w:r>
        <w:rPr>
          <w:rStyle w:val="47"/>
          <w:rFonts w:hint="eastAsia" w:ascii="宋体" w:hAnsi="宋体" w:cs="宋体"/>
          <w:color w:val="auto"/>
          <w:highlight w:val="none"/>
        </w:rPr>
        <w:instrText xml:space="preserve"> </w:instrText>
      </w:r>
      <w:r>
        <w:rPr>
          <w:rFonts w:hint="eastAsia" w:ascii="宋体" w:hAnsi="宋体" w:cs="宋体"/>
          <w:color w:val="auto"/>
          <w:highlight w:val="none"/>
        </w:rPr>
        <w:fldChar w:fldCharType="separate"/>
      </w:r>
      <w:r>
        <w:rPr>
          <w:rStyle w:val="47"/>
          <w:rFonts w:hint="eastAsia" w:ascii="宋体" w:hAnsi="宋体" w:cs="宋体"/>
          <w:color w:val="auto"/>
          <w:kern w:val="0"/>
          <w:highlight w:val="none"/>
          <w:lang w:val="zh-CN"/>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_Toc97576572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43BFE1">
      <w:pPr>
        <w:pStyle w:val="3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Style w:val="47"/>
          <w:rFonts w:hint="eastAsia" w:ascii="宋体" w:hAnsi="宋体" w:cs="宋体"/>
          <w:color w:val="auto"/>
          <w:highlight w:val="none"/>
        </w:rPr>
        <w:instrText xml:space="preserve"> </w:instrText>
      </w:r>
      <w:r>
        <w:rPr>
          <w:rFonts w:hint="eastAsia" w:ascii="宋体" w:hAnsi="宋体" w:cs="宋体"/>
          <w:color w:val="auto"/>
          <w:highlight w:val="none"/>
        </w:rPr>
        <w:instrText xml:space="preserve">HYPERLINK \l "_Toc97576573"</w:instrText>
      </w:r>
      <w:r>
        <w:rPr>
          <w:rStyle w:val="47"/>
          <w:rFonts w:hint="eastAsia" w:ascii="宋体" w:hAnsi="宋体" w:cs="宋体"/>
          <w:color w:val="auto"/>
          <w:highlight w:val="none"/>
        </w:rPr>
        <w:instrText xml:space="preserve"> </w:instrText>
      </w:r>
      <w:r>
        <w:rPr>
          <w:rFonts w:hint="eastAsia" w:ascii="宋体" w:hAnsi="宋体" w:cs="宋体"/>
          <w:color w:val="auto"/>
          <w:highlight w:val="none"/>
        </w:rPr>
        <w:fldChar w:fldCharType="separate"/>
      </w:r>
      <w:r>
        <w:rPr>
          <w:rStyle w:val="47"/>
          <w:rFonts w:hint="eastAsia" w:ascii="宋体" w:hAnsi="宋体" w:cs="宋体"/>
          <w:color w:val="auto"/>
          <w:kern w:val="0"/>
          <w:highlight w:val="none"/>
          <w:lang w:val="zh-CN"/>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_Toc97576573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15AF56">
      <w:pPr>
        <w:pStyle w:val="30"/>
        <w:rPr>
          <w:rFonts w:hint="eastAsia" w:ascii="宋体" w:hAnsi="宋体" w:cs="宋体"/>
          <w:color w:val="auto"/>
          <w:sz w:val="21"/>
          <w:szCs w:val="22"/>
          <w:highlight w:val="none"/>
        </w:rPr>
      </w:pPr>
      <w:r>
        <w:rPr>
          <w:rFonts w:hint="eastAsia" w:ascii="宋体" w:hAnsi="宋体" w:cs="宋体"/>
          <w:color w:val="auto"/>
          <w:highlight w:val="none"/>
        </w:rPr>
        <w:fldChar w:fldCharType="begin"/>
      </w:r>
      <w:r>
        <w:rPr>
          <w:rStyle w:val="47"/>
          <w:rFonts w:hint="eastAsia" w:ascii="宋体" w:hAnsi="宋体" w:cs="宋体"/>
          <w:color w:val="auto"/>
          <w:highlight w:val="none"/>
        </w:rPr>
        <w:instrText xml:space="preserve"> </w:instrText>
      </w:r>
      <w:r>
        <w:rPr>
          <w:rFonts w:hint="eastAsia" w:ascii="宋体" w:hAnsi="宋体" w:cs="宋体"/>
          <w:color w:val="auto"/>
          <w:highlight w:val="none"/>
        </w:rPr>
        <w:instrText xml:space="preserve">HYPERLINK \l "_Toc97576574"</w:instrText>
      </w:r>
      <w:r>
        <w:rPr>
          <w:rStyle w:val="47"/>
          <w:rFonts w:hint="eastAsia" w:ascii="宋体" w:hAnsi="宋体" w:cs="宋体"/>
          <w:color w:val="auto"/>
          <w:highlight w:val="none"/>
        </w:rPr>
        <w:instrText xml:space="preserve"> </w:instrText>
      </w:r>
      <w:r>
        <w:rPr>
          <w:rFonts w:hint="eastAsia" w:ascii="宋体" w:hAnsi="宋体" w:cs="宋体"/>
          <w:color w:val="auto"/>
          <w:highlight w:val="none"/>
        </w:rPr>
        <w:fldChar w:fldCharType="separate"/>
      </w:r>
      <w:r>
        <w:rPr>
          <w:rStyle w:val="47"/>
          <w:rFonts w:hint="eastAsia" w:ascii="宋体" w:hAnsi="宋体" w:cs="宋体"/>
          <w:color w:val="auto"/>
          <w:kern w:val="0"/>
          <w:highlight w:val="none"/>
          <w:lang w:val="zh-CN"/>
        </w:rPr>
        <w:t>三、投标须知通用条款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_Toc97576574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3185567">
      <w:pPr>
        <w:pStyle w:val="27"/>
        <w:rPr>
          <w:rFonts w:cs="宋体"/>
          <w:caps w:val="0"/>
          <w:color w:val="auto"/>
          <w:kern w:val="2"/>
          <w:sz w:val="21"/>
          <w:szCs w:val="22"/>
          <w:highlight w:val="none"/>
        </w:rPr>
      </w:pPr>
      <w:r>
        <w:rPr>
          <w:rFonts w:hint="eastAsia" w:cs="宋体"/>
          <w:color w:val="auto"/>
          <w:highlight w:val="none"/>
        </w:rPr>
        <w:fldChar w:fldCharType="begin"/>
      </w:r>
      <w:r>
        <w:rPr>
          <w:rStyle w:val="47"/>
          <w:rFonts w:hint="eastAsia" w:ascii="宋体" w:hAnsi="宋体" w:cs="宋体"/>
          <w:color w:val="auto"/>
          <w:highlight w:val="none"/>
        </w:rPr>
        <w:instrText xml:space="preserve"> </w:instrText>
      </w:r>
      <w:r>
        <w:rPr>
          <w:rFonts w:hint="eastAsia" w:cs="宋体"/>
          <w:color w:val="auto"/>
          <w:highlight w:val="none"/>
        </w:rPr>
        <w:instrText xml:space="preserve">HYPERLINK \l "_Toc97576580"</w:instrText>
      </w:r>
      <w:r>
        <w:rPr>
          <w:rStyle w:val="47"/>
          <w:rFonts w:hint="eastAsia" w:ascii="宋体" w:hAnsi="宋体" w:cs="宋体"/>
          <w:color w:val="auto"/>
          <w:highlight w:val="none"/>
        </w:rPr>
        <w:instrText xml:space="preserve"> </w:instrText>
      </w:r>
      <w:r>
        <w:rPr>
          <w:rFonts w:hint="eastAsia" w:cs="宋体"/>
          <w:color w:val="auto"/>
          <w:highlight w:val="none"/>
        </w:rPr>
        <w:fldChar w:fldCharType="separate"/>
      </w:r>
      <w:r>
        <w:rPr>
          <w:rStyle w:val="47"/>
          <w:rFonts w:hint="eastAsia" w:ascii="宋体" w:hAnsi="宋体" w:cs="宋体"/>
          <w:color w:val="auto"/>
          <w:kern w:val="44"/>
          <w:highlight w:val="none"/>
        </w:rPr>
        <w:t>第二章  开标、评标及定标办法</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40</w:t>
      </w:r>
    </w:p>
    <w:p w14:paraId="5F9329A2">
      <w:pPr>
        <w:pStyle w:val="30"/>
        <w:rPr>
          <w:rFonts w:ascii="宋体" w:hAnsi="宋体" w:cs="宋体"/>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"_Toc97576581" </w:instrText>
      </w:r>
      <w:r>
        <w:rPr>
          <w:rFonts w:hint="eastAsia" w:ascii="宋体" w:hAnsi="宋体" w:cs="宋体"/>
          <w:color w:val="auto"/>
          <w:highlight w:val="none"/>
        </w:rPr>
        <w:fldChar w:fldCharType="separate"/>
      </w:r>
      <w:r>
        <w:rPr>
          <w:rFonts w:hint="eastAsia" w:ascii="宋体" w:hAnsi="宋体" w:cs="宋体"/>
          <w:color w:val="auto"/>
          <w:highlight w:val="none"/>
          <w:lang w:val="zh-CN"/>
        </w:rPr>
        <w:t>一、开标、评标及定标办法修改表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rPr>
        <w:t>40</w:t>
      </w:r>
    </w:p>
    <w:p w14:paraId="7285BAA3">
      <w:pPr>
        <w:pStyle w:val="30"/>
        <w:rPr>
          <w:rFonts w:ascii="宋体" w:hAnsi="宋体" w:cs="宋体"/>
          <w:color w:val="auto"/>
          <w:sz w:val="21"/>
          <w:szCs w:val="22"/>
          <w:highlight w:val="none"/>
        </w:rPr>
      </w:pPr>
      <w:r>
        <w:rPr>
          <w:rFonts w:hint="eastAsia" w:ascii="宋体" w:hAnsi="宋体" w:cs="宋体"/>
          <w:color w:val="auto"/>
          <w:highlight w:val="none"/>
        </w:rPr>
        <w:fldChar w:fldCharType="begin"/>
      </w:r>
      <w:r>
        <w:rPr>
          <w:rStyle w:val="47"/>
          <w:rFonts w:hint="eastAsia" w:ascii="宋体" w:hAnsi="宋体" w:cs="宋体"/>
          <w:color w:val="auto"/>
          <w:highlight w:val="none"/>
        </w:rPr>
        <w:instrText xml:space="preserve"> </w:instrText>
      </w:r>
      <w:r>
        <w:rPr>
          <w:rFonts w:hint="eastAsia" w:ascii="宋体" w:hAnsi="宋体" w:cs="宋体"/>
          <w:color w:val="auto"/>
          <w:highlight w:val="none"/>
        </w:rPr>
        <w:instrText xml:space="preserve">HYPERLINK \l "_Toc97576582"</w:instrText>
      </w:r>
      <w:r>
        <w:rPr>
          <w:rStyle w:val="47"/>
          <w:rFonts w:hint="eastAsia" w:ascii="宋体" w:hAnsi="宋体" w:cs="宋体"/>
          <w:color w:val="auto"/>
          <w:highlight w:val="none"/>
        </w:rPr>
        <w:instrText xml:space="preserve"> </w:instrText>
      </w:r>
      <w:r>
        <w:rPr>
          <w:rFonts w:hint="eastAsia" w:ascii="宋体" w:hAnsi="宋体" w:cs="宋体"/>
          <w:color w:val="auto"/>
          <w:highlight w:val="none"/>
        </w:rPr>
        <w:fldChar w:fldCharType="separate"/>
      </w:r>
      <w:r>
        <w:rPr>
          <w:rStyle w:val="47"/>
          <w:rFonts w:hint="eastAsia" w:ascii="宋体" w:hAnsi="宋体" w:cs="宋体"/>
          <w:color w:val="auto"/>
          <w:highlight w:val="none"/>
        </w:rPr>
        <w:t>二、开标、评标及定标办法通用条款</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rPr>
        <w:t>51</w:t>
      </w:r>
    </w:p>
    <w:p w14:paraId="1268E24E">
      <w:pPr>
        <w:pStyle w:val="27"/>
        <w:rPr>
          <w:rFonts w:cs="宋体"/>
          <w:caps w:val="0"/>
          <w:color w:val="auto"/>
          <w:kern w:val="2"/>
          <w:sz w:val="21"/>
          <w:szCs w:val="22"/>
          <w:highlight w:val="none"/>
        </w:rPr>
      </w:pPr>
      <w:r>
        <w:rPr>
          <w:rFonts w:hint="eastAsia" w:cs="宋体"/>
          <w:color w:val="auto"/>
          <w:highlight w:val="none"/>
        </w:rPr>
        <w:fldChar w:fldCharType="begin"/>
      </w:r>
      <w:r>
        <w:rPr>
          <w:rStyle w:val="47"/>
          <w:rFonts w:hint="eastAsia" w:ascii="宋体" w:hAnsi="宋体" w:cs="宋体"/>
          <w:color w:val="auto"/>
          <w:highlight w:val="none"/>
        </w:rPr>
        <w:instrText xml:space="preserve"> </w:instrText>
      </w:r>
      <w:r>
        <w:rPr>
          <w:rFonts w:hint="eastAsia" w:cs="宋体"/>
          <w:color w:val="auto"/>
          <w:highlight w:val="none"/>
        </w:rPr>
        <w:instrText xml:space="preserve">HYPERLINK \l "_Toc97576598"</w:instrText>
      </w:r>
      <w:r>
        <w:rPr>
          <w:rStyle w:val="47"/>
          <w:rFonts w:hint="eastAsia" w:ascii="宋体" w:hAnsi="宋体" w:cs="宋体"/>
          <w:color w:val="auto"/>
          <w:highlight w:val="none"/>
        </w:rPr>
        <w:instrText xml:space="preserve"> </w:instrText>
      </w:r>
      <w:r>
        <w:rPr>
          <w:rFonts w:hint="eastAsia" w:cs="宋体"/>
          <w:color w:val="auto"/>
          <w:highlight w:val="none"/>
        </w:rPr>
        <w:fldChar w:fldCharType="separate"/>
      </w:r>
      <w:r>
        <w:rPr>
          <w:rStyle w:val="47"/>
          <w:rFonts w:hint="eastAsia" w:ascii="宋体" w:hAnsi="宋体" w:cs="宋体"/>
          <w:color w:val="auto"/>
          <w:kern w:val="44"/>
          <w:highlight w:val="none"/>
        </w:rPr>
        <w:t>第三章  合同条款</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83</w:t>
      </w:r>
    </w:p>
    <w:p w14:paraId="3A634C23">
      <w:pPr>
        <w:pStyle w:val="27"/>
        <w:rPr>
          <w:rFonts w:cs="宋体"/>
          <w:caps w:val="0"/>
          <w:color w:val="auto"/>
          <w:kern w:val="2"/>
          <w:sz w:val="21"/>
          <w:szCs w:val="22"/>
          <w:highlight w:val="none"/>
        </w:rPr>
      </w:pPr>
      <w:r>
        <w:rPr>
          <w:rFonts w:hint="eastAsia" w:cs="宋体"/>
          <w:color w:val="auto"/>
          <w:highlight w:val="none"/>
        </w:rPr>
        <w:fldChar w:fldCharType="begin"/>
      </w:r>
      <w:r>
        <w:rPr>
          <w:rStyle w:val="47"/>
          <w:rFonts w:hint="eastAsia" w:ascii="宋体" w:hAnsi="宋体" w:cs="宋体"/>
          <w:color w:val="auto"/>
          <w:highlight w:val="none"/>
        </w:rPr>
        <w:instrText xml:space="preserve"> </w:instrText>
      </w:r>
      <w:r>
        <w:rPr>
          <w:rFonts w:hint="eastAsia" w:cs="宋体"/>
          <w:color w:val="auto"/>
          <w:highlight w:val="none"/>
        </w:rPr>
        <w:instrText xml:space="preserve">HYPERLINK \l "_Toc97576599"</w:instrText>
      </w:r>
      <w:r>
        <w:rPr>
          <w:rStyle w:val="47"/>
          <w:rFonts w:hint="eastAsia" w:ascii="宋体" w:hAnsi="宋体" w:cs="宋体"/>
          <w:color w:val="auto"/>
          <w:highlight w:val="none"/>
        </w:rPr>
        <w:instrText xml:space="preserve"> </w:instrText>
      </w:r>
      <w:r>
        <w:rPr>
          <w:rFonts w:hint="eastAsia" w:cs="宋体"/>
          <w:color w:val="auto"/>
          <w:highlight w:val="none"/>
        </w:rPr>
        <w:fldChar w:fldCharType="separate"/>
      </w:r>
      <w:r>
        <w:rPr>
          <w:rStyle w:val="47"/>
          <w:rFonts w:hint="eastAsia" w:ascii="宋体" w:hAnsi="宋体" w:cs="宋体"/>
          <w:color w:val="auto"/>
          <w:kern w:val="44"/>
          <w:highlight w:val="none"/>
        </w:rPr>
        <w:t>第四章  投标文件格式</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84</w:t>
      </w:r>
    </w:p>
    <w:p w14:paraId="37CC0441">
      <w:pPr>
        <w:pStyle w:val="27"/>
        <w:rPr>
          <w:rFonts w:cs="宋体"/>
          <w:caps w:val="0"/>
          <w:color w:val="auto"/>
          <w:kern w:val="2"/>
          <w:sz w:val="21"/>
          <w:szCs w:val="22"/>
          <w:highlight w:val="none"/>
        </w:rPr>
      </w:pPr>
      <w:r>
        <w:rPr>
          <w:rFonts w:hint="eastAsia" w:cs="宋体"/>
          <w:color w:val="auto"/>
          <w:highlight w:val="none"/>
        </w:rPr>
        <w:fldChar w:fldCharType="begin"/>
      </w:r>
      <w:r>
        <w:rPr>
          <w:rStyle w:val="47"/>
          <w:rFonts w:hint="eastAsia" w:ascii="宋体" w:hAnsi="宋体" w:cs="宋体"/>
          <w:color w:val="auto"/>
          <w:highlight w:val="none"/>
        </w:rPr>
        <w:instrText xml:space="preserve"> </w:instrText>
      </w:r>
      <w:r>
        <w:rPr>
          <w:rFonts w:hint="eastAsia" w:cs="宋体"/>
          <w:color w:val="auto"/>
          <w:highlight w:val="none"/>
        </w:rPr>
        <w:instrText xml:space="preserve">HYPERLINK \l "_Toc97576617"</w:instrText>
      </w:r>
      <w:r>
        <w:rPr>
          <w:rStyle w:val="47"/>
          <w:rFonts w:hint="eastAsia" w:ascii="宋体" w:hAnsi="宋体" w:cs="宋体"/>
          <w:color w:val="auto"/>
          <w:highlight w:val="none"/>
        </w:rPr>
        <w:instrText xml:space="preserve"> </w:instrText>
      </w:r>
      <w:r>
        <w:rPr>
          <w:rFonts w:hint="eastAsia" w:cs="宋体"/>
          <w:color w:val="auto"/>
          <w:highlight w:val="none"/>
        </w:rPr>
        <w:fldChar w:fldCharType="separate"/>
      </w:r>
      <w:r>
        <w:rPr>
          <w:rStyle w:val="47"/>
          <w:rFonts w:hint="eastAsia" w:ascii="宋体" w:hAnsi="宋体" w:cs="宋体"/>
          <w:color w:val="auto"/>
          <w:kern w:val="44"/>
          <w:highlight w:val="none"/>
        </w:rPr>
        <w:t>第五章  技术条件（工</w:t>
      </w:r>
      <w:bookmarkStart w:id="1" w:name="_Hlt196902992"/>
      <w:bookmarkStart w:id="2" w:name="_Hlt196902993"/>
      <w:r>
        <w:rPr>
          <w:rStyle w:val="47"/>
          <w:rFonts w:hint="eastAsia" w:ascii="宋体" w:hAnsi="宋体" w:cs="宋体"/>
          <w:color w:val="auto"/>
          <w:kern w:val="44"/>
          <w:highlight w:val="none"/>
        </w:rPr>
        <w:t>程</w:t>
      </w:r>
      <w:bookmarkEnd w:id="1"/>
      <w:bookmarkEnd w:id="2"/>
      <w:bookmarkStart w:id="3" w:name="_Hlt198228312"/>
      <w:bookmarkStart w:id="4" w:name="_Hlt198228313"/>
      <w:r>
        <w:rPr>
          <w:rStyle w:val="47"/>
          <w:rFonts w:hint="eastAsia" w:ascii="宋体" w:hAnsi="宋体" w:cs="宋体"/>
          <w:color w:val="auto"/>
          <w:kern w:val="44"/>
          <w:highlight w:val="none"/>
        </w:rPr>
        <w:t>建</w:t>
      </w:r>
      <w:bookmarkEnd w:id="3"/>
      <w:bookmarkEnd w:id="4"/>
      <w:r>
        <w:rPr>
          <w:rStyle w:val="47"/>
          <w:rFonts w:hint="eastAsia" w:ascii="宋体" w:hAnsi="宋体" w:cs="宋体"/>
          <w:color w:val="auto"/>
          <w:kern w:val="44"/>
          <w:highlight w:val="none"/>
        </w:rPr>
        <w:t>设标</w:t>
      </w:r>
      <w:bookmarkStart w:id="5" w:name="_Hlt196750287"/>
      <w:bookmarkStart w:id="6" w:name="_Hlt196750286"/>
      <w:r>
        <w:rPr>
          <w:rStyle w:val="47"/>
          <w:rFonts w:hint="eastAsia" w:ascii="宋体" w:hAnsi="宋体" w:cs="宋体"/>
          <w:color w:val="auto"/>
          <w:kern w:val="44"/>
          <w:highlight w:val="none"/>
        </w:rPr>
        <w:t>准</w:t>
      </w:r>
      <w:bookmarkEnd w:id="5"/>
      <w:bookmarkEnd w:id="6"/>
      <w:r>
        <w:rPr>
          <w:rStyle w:val="47"/>
          <w:rFonts w:hint="eastAsia" w:ascii="宋体" w:hAnsi="宋体" w:cs="宋体"/>
          <w:color w:val="auto"/>
          <w:kern w:val="44"/>
          <w:highlight w:val="none"/>
        </w:rPr>
        <w:t>）</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118</w:t>
      </w:r>
    </w:p>
    <w:p w14:paraId="10A5459D">
      <w:pPr>
        <w:pStyle w:val="27"/>
        <w:rPr>
          <w:rFonts w:cs="宋体"/>
          <w:caps w:val="0"/>
          <w:color w:val="auto"/>
          <w:kern w:val="2"/>
          <w:sz w:val="21"/>
          <w:szCs w:val="22"/>
          <w:highlight w:val="none"/>
        </w:rPr>
      </w:pPr>
      <w:r>
        <w:rPr>
          <w:rFonts w:hint="eastAsia" w:cs="宋体"/>
          <w:color w:val="auto"/>
          <w:highlight w:val="none"/>
        </w:rPr>
        <w:fldChar w:fldCharType="begin"/>
      </w:r>
      <w:r>
        <w:rPr>
          <w:rStyle w:val="47"/>
          <w:rFonts w:hint="eastAsia" w:ascii="宋体" w:hAnsi="宋体" w:cs="宋体"/>
          <w:color w:val="auto"/>
          <w:highlight w:val="none"/>
        </w:rPr>
        <w:instrText xml:space="preserve"> </w:instrText>
      </w:r>
      <w:r>
        <w:rPr>
          <w:rFonts w:hint="eastAsia" w:cs="宋体"/>
          <w:color w:val="auto"/>
          <w:highlight w:val="none"/>
        </w:rPr>
        <w:instrText xml:space="preserve">HYPERLINK \l "_Toc97576619"</w:instrText>
      </w:r>
      <w:r>
        <w:rPr>
          <w:rStyle w:val="47"/>
          <w:rFonts w:hint="eastAsia" w:ascii="宋体" w:hAnsi="宋体" w:cs="宋体"/>
          <w:color w:val="auto"/>
          <w:highlight w:val="none"/>
        </w:rPr>
        <w:instrText xml:space="preserve"> </w:instrText>
      </w:r>
      <w:r>
        <w:rPr>
          <w:rFonts w:hint="eastAsia" w:cs="宋体"/>
          <w:color w:val="auto"/>
          <w:highlight w:val="none"/>
        </w:rPr>
        <w:fldChar w:fldCharType="separate"/>
      </w:r>
      <w:r>
        <w:rPr>
          <w:rStyle w:val="47"/>
          <w:rFonts w:hint="eastAsia" w:ascii="宋体" w:hAnsi="宋体" w:cs="宋体"/>
          <w:color w:val="auto"/>
          <w:kern w:val="44"/>
          <w:highlight w:val="none"/>
        </w:rPr>
        <w:t>第六章  图纸</w:t>
      </w:r>
      <w:r>
        <w:rPr>
          <w:rStyle w:val="47"/>
          <w:rFonts w:hint="eastAsia" w:ascii="宋体" w:hAnsi="宋体" w:cs="宋体"/>
          <w:strike w:val="0"/>
          <w:color w:val="auto"/>
          <w:kern w:val="44"/>
          <w:highlight w:val="none"/>
        </w:rPr>
        <w:t>及勘察</w:t>
      </w:r>
      <w:r>
        <w:rPr>
          <w:rStyle w:val="47"/>
          <w:rFonts w:hint="eastAsia" w:ascii="宋体" w:hAnsi="宋体" w:cs="宋体"/>
          <w:color w:val="auto"/>
          <w:kern w:val="44"/>
          <w:highlight w:val="none"/>
        </w:rPr>
        <w:t>资料</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124</w:t>
      </w:r>
    </w:p>
    <w:p w14:paraId="718FD9ED">
      <w:pPr>
        <w:pStyle w:val="27"/>
        <w:rPr>
          <w:rFonts w:cs="宋体"/>
          <w:caps w:val="0"/>
          <w:color w:val="auto"/>
          <w:kern w:val="2"/>
          <w:sz w:val="21"/>
          <w:szCs w:val="22"/>
          <w:highlight w:val="none"/>
        </w:rPr>
      </w:pPr>
      <w:r>
        <w:rPr>
          <w:rFonts w:hint="eastAsia" w:cs="宋体"/>
          <w:color w:val="auto"/>
          <w:highlight w:val="none"/>
        </w:rPr>
        <w:fldChar w:fldCharType="begin"/>
      </w:r>
      <w:r>
        <w:rPr>
          <w:rStyle w:val="47"/>
          <w:rFonts w:hint="eastAsia" w:ascii="宋体" w:hAnsi="宋体" w:cs="宋体"/>
          <w:color w:val="auto"/>
          <w:highlight w:val="none"/>
        </w:rPr>
        <w:instrText xml:space="preserve"> </w:instrText>
      </w:r>
      <w:r>
        <w:rPr>
          <w:rFonts w:hint="eastAsia" w:cs="宋体"/>
          <w:color w:val="auto"/>
          <w:highlight w:val="none"/>
        </w:rPr>
        <w:instrText xml:space="preserve">HYPERLINK \l "_Toc97576620"</w:instrText>
      </w:r>
      <w:r>
        <w:rPr>
          <w:rStyle w:val="47"/>
          <w:rFonts w:hint="eastAsia" w:ascii="宋体" w:hAnsi="宋体" w:cs="宋体"/>
          <w:color w:val="auto"/>
          <w:highlight w:val="none"/>
        </w:rPr>
        <w:instrText xml:space="preserve"> </w:instrText>
      </w:r>
      <w:r>
        <w:rPr>
          <w:rFonts w:hint="eastAsia" w:cs="宋体"/>
          <w:color w:val="auto"/>
          <w:highlight w:val="none"/>
        </w:rPr>
        <w:fldChar w:fldCharType="separate"/>
      </w:r>
      <w:r>
        <w:rPr>
          <w:rStyle w:val="47"/>
          <w:rFonts w:hint="eastAsia" w:ascii="宋体" w:hAnsi="宋体" w:cs="宋体"/>
          <w:color w:val="auto"/>
          <w:kern w:val="44"/>
          <w:highlight w:val="none"/>
        </w:rPr>
        <w:t>第七章  工程量清单</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125</w:t>
      </w:r>
    </w:p>
    <w:p w14:paraId="266EF279">
      <w:pPr>
        <w:pStyle w:val="27"/>
        <w:rPr>
          <w:rFonts w:hint="eastAsia" w:cs="宋体"/>
          <w:caps w:val="0"/>
          <w:color w:val="auto"/>
          <w:highlight w:val="none"/>
        </w:rPr>
      </w:pPr>
      <w:r>
        <w:rPr>
          <w:rFonts w:hint="eastAsia" w:cs="宋体"/>
          <w:color w:val="auto"/>
          <w:highlight w:val="none"/>
        </w:rPr>
        <w:fldChar w:fldCharType="begin"/>
      </w:r>
      <w:r>
        <w:rPr>
          <w:rStyle w:val="47"/>
          <w:rFonts w:hint="eastAsia" w:ascii="宋体" w:hAnsi="宋体" w:cs="宋体"/>
          <w:color w:val="auto"/>
          <w:highlight w:val="none"/>
        </w:rPr>
        <w:instrText xml:space="preserve"> </w:instrText>
      </w:r>
      <w:r>
        <w:rPr>
          <w:rFonts w:hint="eastAsia" w:cs="宋体"/>
          <w:color w:val="auto"/>
          <w:highlight w:val="none"/>
        </w:rPr>
        <w:instrText xml:space="preserve">HYPERLINK \l "_Toc97576621"</w:instrText>
      </w:r>
      <w:r>
        <w:rPr>
          <w:rStyle w:val="47"/>
          <w:rFonts w:hint="eastAsia" w:ascii="宋体" w:hAnsi="宋体" w:cs="宋体"/>
          <w:color w:val="auto"/>
          <w:highlight w:val="none"/>
        </w:rPr>
        <w:instrText xml:space="preserve"> </w:instrText>
      </w:r>
      <w:r>
        <w:rPr>
          <w:rFonts w:hint="eastAsia" w:cs="宋体"/>
          <w:color w:val="auto"/>
          <w:highlight w:val="none"/>
        </w:rPr>
        <w:fldChar w:fldCharType="separate"/>
      </w:r>
      <w:r>
        <w:rPr>
          <w:rStyle w:val="47"/>
          <w:rFonts w:hint="eastAsia" w:ascii="宋体" w:hAnsi="宋体" w:cs="宋体"/>
          <w:color w:val="auto"/>
          <w:kern w:val="44"/>
          <w:highlight w:val="none"/>
        </w:rPr>
        <w:t>第八章  最高投标限价</w:t>
      </w:r>
      <w:r>
        <w:rPr>
          <w:rFonts w:hint="eastAsia" w:cs="宋体"/>
          <w:color w:val="auto"/>
          <w:highlight w:val="none"/>
        </w:rPr>
        <w:tab/>
      </w:r>
      <w:r>
        <w:rPr>
          <w:rFonts w:hint="eastAsia" w:cs="宋体"/>
          <w:color w:val="auto"/>
          <w:highlight w:val="none"/>
        </w:rPr>
        <w:t>12</w:t>
      </w:r>
      <w:r>
        <w:rPr>
          <w:rFonts w:hint="eastAsia" w:cs="宋体"/>
          <w:color w:val="auto"/>
          <w:highlight w:val="none"/>
        </w:rPr>
        <w:fldChar w:fldCharType="end"/>
      </w:r>
      <w:r>
        <w:rPr>
          <w:rFonts w:hint="eastAsia" w:cs="宋体"/>
          <w:caps w:val="0"/>
          <w:color w:val="auto"/>
          <w:highlight w:val="none"/>
        </w:rPr>
        <w:fldChar w:fldCharType="end"/>
      </w:r>
      <w:r>
        <w:rPr>
          <w:rFonts w:hint="eastAsia" w:cs="宋体"/>
          <w:caps w:val="0"/>
          <w:color w:val="auto"/>
          <w:highlight w:val="none"/>
        </w:rPr>
        <w:t>6</w:t>
      </w:r>
    </w:p>
    <w:p w14:paraId="2FD11275">
      <w:pPr>
        <w:keepNext/>
        <w:keepLines/>
        <w:spacing w:before="120" w:after="120" w:line="360" w:lineRule="auto"/>
        <w:jc w:val="center"/>
        <w:outlineLvl w:val="0"/>
        <w:rPr>
          <w:rFonts w:hint="eastAsia" w:ascii="宋体" w:hAnsi="宋体" w:cs="宋体"/>
          <w:b/>
          <w:color w:val="auto"/>
          <w:kern w:val="44"/>
          <w:sz w:val="28"/>
          <w:szCs w:val="28"/>
          <w:highlight w:val="none"/>
        </w:rPr>
      </w:pPr>
      <w:r>
        <w:rPr>
          <w:rFonts w:hint="eastAsia" w:ascii="宋体" w:hAnsi="宋体" w:cs="宋体"/>
          <w:b/>
          <w:color w:val="auto"/>
          <w:kern w:val="44"/>
          <w:sz w:val="28"/>
          <w:szCs w:val="28"/>
          <w:highlight w:val="none"/>
        </w:rPr>
        <w:br w:type="page"/>
      </w:r>
      <w:bookmarkStart w:id="7" w:name="_Toc97576571"/>
      <w:r>
        <w:rPr>
          <w:rFonts w:hint="eastAsia" w:ascii="宋体" w:hAnsi="宋体" w:cs="宋体"/>
          <w:b/>
          <w:color w:val="auto"/>
          <w:kern w:val="44"/>
          <w:sz w:val="28"/>
          <w:szCs w:val="28"/>
          <w:highlight w:val="none"/>
        </w:rPr>
        <w:t>第一章  投标须知</w:t>
      </w:r>
      <w:bookmarkEnd w:id="7"/>
    </w:p>
    <w:p w14:paraId="2FBCFB70">
      <w:pPr>
        <w:keepNext/>
        <w:keepLines/>
        <w:tabs>
          <w:tab w:val="right" w:leader="dot" w:pos="9060"/>
        </w:tabs>
        <w:snapToGrid w:val="0"/>
        <w:spacing w:line="413" w:lineRule="auto"/>
        <w:ind w:left="420"/>
        <w:jc w:val="center"/>
        <w:outlineLvl w:val="1"/>
        <w:rPr>
          <w:rFonts w:hint="eastAsia" w:ascii="宋体" w:hAnsi="宋体" w:cs="宋体"/>
          <w:b/>
          <w:color w:val="auto"/>
          <w:kern w:val="0"/>
          <w:sz w:val="24"/>
          <w:szCs w:val="24"/>
          <w:highlight w:val="none"/>
          <w:lang w:val="zh-CN"/>
        </w:rPr>
      </w:pPr>
      <w:bookmarkStart w:id="8" w:name="_Toc97576572"/>
      <w:r>
        <w:rPr>
          <w:rFonts w:hint="eastAsia" w:ascii="宋体" w:hAnsi="宋体" w:cs="宋体"/>
          <w:b/>
          <w:color w:val="auto"/>
          <w:kern w:val="0"/>
          <w:sz w:val="24"/>
          <w:szCs w:val="24"/>
          <w:highlight w:val="none"/>
          <w:lang w:val="zh-CN"/>
        </w:rPr>
        <w:t>一、投标须知前附表</w:t>
      </w:r>
      <w:bookmarkEnd w:id="8"/>
    </w:p>
    <w:p w14:paraId="585D6CE9">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声明：</w:t>
      </w:r>
      <w:bookmarkStart w:id="9" w:name="OLE_LINK14"/>
      <w:bookmarkStart w:id="10" w:name="OLE_LINK13"/>
      <w:r>
        <w:rPr>
          <w:rFonts w:hint="eastAsia" w:ascii="宋体" w:hAnsi="宋体" w:cs="宋体"/>
          <w:b/>
          <w:color w:val="auto"/>
          <w:szCs w:val="21"/>
          <w:highlight w:val="none"/>
        </w:rPr>
        <w:t>本投标须知前附表使用GZZB2018-3招标文件范本</w:t>
      </w:r>
      <w:bookmarkEnd w:id="9"/>
      <w:bookmarkEnd w:id="10"/>
      <w:r>
        <w:rPr>
          <w:rFonts w:hint="eastAsia" w:ascii="宋体" w:hAnsi="宋体" w:cs="宋体"/>
          <w:b/>
          <w:color w:val="auto"/>
          <w:szCs w:val="21"/>
          <w:highlight w:val="none"/>
        </w:rPr>
        <w:t>，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9"/>
        <w:tblW w:w="9396"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03"/>
        <w:gridCol w:w="1696"/>
        <w:gridCol w:w="6093"/>
      </w:tblGrid>
      <w:tr w14:paraId="58CA53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trPr>
        <w:tc>
          <w:tcPr>
            <w:tcW w:w="704" w:type="dxa"/>
            <w:tcBorders>
              <w:top w:val="double" w:color="auto" w:sz="4" w:space="0"/>
              <w:left w:val="double" w:color="auto" w:sz="4" w:space="0"/>
              <w:bottom w:val="single" w:color="auto" w:sz="4" w:space="0"/>
              <w:right w:val="single" w:color="auto" w:sz="4" w:space="0"/>
            </w:tcBorders>
            <w:noWrap w:val="0"/>
            <w:vAlign w:val="center"/>
          </w:tcPr>
          <w:p w14:paraId="7A86B19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903" w:type="dxa"/>
            <w:tcBorders>
              <w:top w:val="double" w:color="auto" w:sz="4" w:space="0"/>
              <w:left w:val="single" w:color="auto" w:sz="4" w:space="0"/>
              <w:bottom w:val="single" w:color="auto" w:sz="4" w:space="0"/>
              <w:right w:val="single" w:color="auto" w:sz="4" w:space="0"/>
            </w:tcBorders>
            <w:noWrap w:val="0"/>
            <w:vAlign w:val="center"/>
          </w:tcPr>
          <w:p w14:paraId="40A3465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696" w:type="dxa"/>
            <w:tcBorders>
              <w:top w:val="double" w:color="auto" w:sz="4" w:space="0"/>
              <w:left w:val="single" w:color="auto" w:sz="4" w:space="0"/>
              <w:bottom w:val="single" w:color="auto" w:sz="4" w:space="0"/>
              <w:right w:val="single" w:color="auto" w:sz="4" w:space="0"/>
            </w:tcBorders>
            <w:noWrap w:val="0"/>
            <w:vAlign w:val="center"/>
          </w:tcPr>
          <w:p w14:paraId="02E3FAB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6093" w:type="dxa"/>
            <w:tcBorders>
              <w:top w:val="double" w:color="auto" w:sz="4" w:space="0"/>
              <w:left w:val="single" w:color="auto" w:sz="4" w:space="0"/>
              <w:bottom w:val="single" w:color="auto" w:sz="4" w:space="0"/>
              <w:right w:val="double" w:color="auto" w:sz="4" w:space="0"/>
            </w:tcBorders>
            <w:noWrap w:val="0"/>
            <w:vAlign w:val="center"/>
          </w:tcPr>
          <w:p w14:paraId="2C49614E">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r>
              <w:rPr>
                <w:rFonts w:hint="eastAsia" w:ascii="宋体" w:hAnsi="宋体" w:cs="宋体"/>
                <w:color w:val="auto"/>
                <w:szCs w:val="21"/>
                <w:highlight w:val="none"/>
              </w:rPr>
              <w:t>说明与要求</w:t>
            </w:r>
          </w:p>
        </w:tc>
      </w:tr>
      <w:tr w14:paraId="6C749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5D86FF3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7B9F69C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E59DA4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3E4BFB2B">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南方医科大学皮肤病医院(广东省皮肤病医院、广东省皮肤性病防治中心、中国麻风防治研究中心)</w:t>
            </w:r>
          </w:p>
          <w:p w14:paraId="63371FC0">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广东省机电设备招标有限公司</w:t>
            </w:r>
          </w:p>
          <w:p w14:paraId="05DE6834">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bidi="ar"/>
              </w:rPr>
              <w:t>(主)广东华方工程设计有限公司,(成)广州地铁设计研究院股份有限公司</w:t>
            </w:r>
          </w:p>
          <w:p w14:paraId="779EC374">
            <w:pPr>
              <w:pStyle w:val="20"/>
              <w:keepNext w:val="0"/>
              <w:keepLines w:val="0"/>
              <w:suppressLineNumbers w:val="0"/>
              <w:spacing w:before="0" w:beforeAutospacing="0" w:after="0" w:afterAutospacing="0"/>
              <w:ind w:left="0" w:right="0"/>
              <w:rPr>
                <w:rFonts w:hint="eastAsia"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广州珠江监理咨询集团有限公司</w:t>
            </w:r>
          </w:p>
        </w:tc>
      </w:tr>
      <w:tr w14:paraId="2DDB11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3C0450A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279927F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371F684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3B84378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广东省皮肤性病防治中心（南方医科大学皮肤病医院）白云院区建设项目施工总承包</w:t>
            </w:r>
          </w:p>
        </w:tc>
      </w:tr>
      <w:tr w14:paraId="1CECE1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7EB9FED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7A3E67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B05045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75F056F1">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详见本工程招标公告。</w:t>
            </w:r>
          </w:p>
        </w:tc>
      </w:tr>
      <w:tr w14:paraId="0250A0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1541F76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7FA3531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5527C95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2B8EAD7D">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详见本工程招标公告。</w:t>
            </w:r>
          </w:p>
        </w:tc>
      </w:tr>
      <w:tr w14:paraId="40A85D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7439B0C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14C02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389DF41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58DB158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bCs w:val="0"/>
                <w:snapToGrid/>
                <w:color w:val="auto"/>
                <w:kern w:val="2"/>
                <w:sz w:val="21"/>
                <w:szCs w:val="21"/>
                <w:highlight w:val="none"/>
                <w:u w:val="none"/>
              </w:rPr>
              <w:t>由承包人按照本合同约定范围和图纸内容实行工程施工总承包，包括但不限于包工、包料（甲供材料设备除外）、包工期、包质量、包安全生产、包文明施工、包各系统调试及联合调试、包承包范围内工程竣工验收通过、包移交、包结算、包</w:t>
            </w:r>
            <w:r>
              <w:rPr>
                <w:rFonts w:hint="eastAsia" w:ascii="宋体" w:hAnsi="宋体" w:eastAsia="宋体" w:cs="宋体"/>
                <w:bCs w:val="0"/>
                <w:snapToGrid/>
                <w:color w:val="auto"/>
                <w:kern w:val="2"/>
                <w:sz w:val="21"/>
                <w:szCs w:val="21"/>
                <w:highlight w:val="none"/>
                <w:u w:val="none"/>
                <w:lang w:val="en-US" w:eastAsia="zh-CN"/>
              </w:rPr>
              <w:t>保修</w:t>
            </w:r>
            <w:r>
              <w:rPr>
                <w:rFonts w:hint="eastAsia" w:ascii="宋体" w:hAnsi="宋体" w:eastAsia="宋体" w:cs="宋体"/>
                <w:bCs w:val="0"/>
                <w:snapToGrid/>
                <w:color w:val="auto"/>
                <w:kern w:val="2"/>
                <w:sz w:val="21"/>
                <w:szCs w:val="21"/>
                <w:highlight w:val="none"/>
                <w:u w:val="none"/>
              </w:rPr>
              <w:t>及相关部门报建/报批手续、包创优工程的组织实施工作和资料整理（如有）、包城市建设档案组卷移交和南方医科大学皮肤病医院建设项目档案组卷移交（如有）、包施工总承包</w:t>
            </w:r>
            <w:r>
              <w:rPr>
                <w:rFonts w:hint="eastAsia" w:ascii="宋体" w:hAnsi="宋体" w:eastAsia="宋体" w:cs="宋体"/>
                <w:bCs w:val="0"/>
                <w:snapToGrid/>
                <w:color w:val="auto"/>
                <w:kern w:val="2"/>
                <w:sz w:val="21"/>
                <w:szCs w:val="21"/>
                <w:highlight w:val="none"/>
                <w:u w:val="none"/>
                <w:lang w:eastAsia="zh-CN"/>
              </w:rPr>
              <w:t>全面</w:t>
            </w:r>
            <w:r>
              <w:rPr>
                <w:rFonts w:hint="eastAsia" w:ascii="宋体" w:hAnsi="宋体" w:eastAsia="宋体" w:cs="宋体"/>
                <w:bCs w:val="0"/>
                <w:snapToGrid/>
                <w:color w:val="auto"/>
                <w:kern w:val="2"/>
                <w:sz w:val="21"/>
                <w:szCs w:val="21"/>
                <w:highlight w:val="none"/>
                <w:u w:val="none"/>
              </w:rPr>
              <w:t>管理</w:t>
            </w:r>
            <w:r>
              <w:rPr>
                <w:rFonts w:hint="eastAsia" w:ascii="宋体" w:hAnsi="宋体" w:eastAsia="宋体" w:cs="宋体"/>
                <w:bCs w:val="0"/>
                <w:snapToGrid/>
                <w:color w:val="auto"/>
                <w:kern w:val="2"/>
                <w:sz w:val="21"/>
                <w:szCs w:val="21"/>
                <w:highlight w:val="none"/>
                <w:u w:val="none"/>
                <w:lang w:eastAsia="zh-CN"/>
              </w:rPr>
              <w:t>（包含对专项工程施工和发包人交付前开办前期工作配合）</w:t>
            </w:r>
            <w:r>
              <w:rPr>
                <w:rFonts w:hint="eastAsia" w:ascii="宋体" w:hAnsi="宋体" w:eastAsia="宋体" w:cs="宋体"/>
                <w:bCs w:val="0"/>
                <w:snapToGrid/>
                <w:color w:val="auto"/>
                <w:kern w:val="2"/>
                <w:sz w:val="21"/>
                <w:szCs w:val="21"/>
                <w:highlight w:val="none"/>
                <w:u w:val="none"/>
              </w:rPr>
              <w:t>和现场整体组织、包专业协调及配合、包工程保险</w:t>
            </w:r>
            <w:r>
              <w:rPr>
                <w:rFonts w:hint="eastAsia" w:ascii="宋体" w:hAnsi="宋体" w:eastAsia="宋体" w:cs="宋体"/>
                <w:bCs w:val="0"/>
                <w:snapToGrid/>
                <w:color w:val="auto"/>
                <w:kern w:val="2"/>
                <w:sz w:val="21"/>
                <w:szCs w:val="21"/>
                <w:highlight w:val="none"/>
                <w:u w:val="none"/>
                <w:lang w:val="en-US" w:eastAsia="zh-CN"/>
              </w:rPr>
              <w:t>[</w:t>
            </w:r>
            <w:r>
              <w:rPr>
                <w:rFonts w:hint="eastAsia" w:ascii="宋体" w:hAnsi="宋体" w:eastAsia="宋体" w:cs="宋体"/>
                <w:bCs w:val="0"/>
                <w:snapToGrid/>
                <w:color w:val="auto"/>
                <w:kern w:val="2"/>
                <w:sz w:val="21"/>
                <w:szCs w:val="21"/>
                <w:highlight w:val="none"/>
                <w:u w:val="none"/>
              </w:rPr>
              <w:t>含建筑（安装）工程一切险、安全生产责任险及其他保险</w:t>
            </w:r>
            <w:r>
              <w:rPr>
                <w:rFonts w:hint="eastAsia" w:ascii="宋体" w:hAnsi="宋体" w:eastAsia="宋体" w:cs="宋体"/>
                <w:bCs w:val="0"/>
                <w:snapToGrid/>
                <w:color w:val="auto"/>
                <w:kern w:val="2"/>
                <w:sz w:val="21"/>
                <w:szCs w:val="21"/>
                <w:highlight w:val="none"/>
                <w:u w:val="none"/>
                <w:lang w:val="en-US" w:eastAsia="zh-CN"/>
              </w:rPr>
              <w:t>]</w:t>
            </w:r>
            <w:r>
              <w:rPr>
                <w:rFonts w:hint="eastAsia" w:ascii="宋体" w:hAnsi="宋体" w:eastAsia="宋体" w:cs="宋体"/>
                <w:bCs w:val="0"/>
                <w:snapToGrid/>
                <w:color w:val="auto"/>
                <w:kern w:val="2"/>
                <w:sz w:val="21"/>
                <w:szCs w:val="21"/>
                <w:highlight w:val="none"/>
                <w:u w:val="none"/>
              </w:rPr>
              <w:t>、包竣工图编制（须满足规划等各专项验收要求</w:t>
            </w:r>
            <w:r>
              <w:rPr>
                <w:rFonts w:hint="eastAsia" w:ascii="宋体" w:hAnsi="宋体" w:eastAsia="宋体" w:cs="宋体"/>
                <w:bCs w:val="0"/>
                <w:snapToGrid/>
                <w:color w:val="auto"/>
                <w:kern w:val="2"/>
                <w:sz w:val="21"/>
                <w:szCs w:val="21"/>
                <w:highlight w:val="none"/>
                <w:u w:val="none"/>
                <w:lang w:eastAsia="zh-CN"/>
              </w:rPr>
              <w:t>）</w:t>
            </w:r>
            <w:r>
              <w:rPr>
                <w:rFonts w:hint="eastAsia" w:ascii="宋体" w:hAnsi="宋体" w:eastAsia="宋体" w:cs="宋体"/>
                <w:bCs w:val="0"/>
                <w:snapToGrid/>
                <w:color w:val="auto"/>
                <w:kern w:val="2"/>
                <w:sz w:val="21"/>
                <w:szCs w:val="21"/>
                <w:highlight w:val="none"/>
                <w:u w:val="none"/>
              </w:rPr>
              <w:t>等。</w:t>
            </w:r>
          </w:p>
        </w:tc>
      </w:tr>
      <w:tr w14:paraId="043A2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704" w:type="dxa"/>
            <w:vMerge w:val="restart"/>
            <w:tcBorders>
              <w:top w:val="single" w:color="auto" w:sz="4" w:space="0"/>
              <w:left w:val="double" w:color="auto" w:sz="4" w:space="0"/>
              <w:right w:val="single" w:color="auto" w:sz="4" w:space="0"/>
            </w:tcBorders>
            <w:noWrap w:val="0"/>
            <w:vAlign w:val="center"/>
          </w:tcPr>
          <w:p w14:paraId="670B7CD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03" w:type="dxa"/>
            <w:vMerge w:val="restart"/>
            <w:tcBorders>
              <w:top w:val="single" w:color="auto" w:sz="4" w:space="0"/>
              <w:left w:val="single" w:color="auto" w:sz="4" w:space="0"/>
              <w:right w:val="single" w:color="auto" w:sz="4" w:space="0"/>
            </w:tcBorders>
            <w:noWrap w:val="0"/>
            <w:vAlign w:val="center"/>
          </w:tcPr>
          <w:p w14:paraId="05E1EFA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96" w:type="dxa"/>
            <w:tcBorders>
              <w:top w:val="single" w:color="auto" w:sz="4" w:space="0"/>
              <w:left w:val="single" w:color="auto" w:sz="4" w:space="0"/>
              <w:right w:val="single" w:color="auto" w:sz="4" w:space="0"/>
            </w:tcBorders>
            <w:noWrap w:val="0"/>
            <w:vAlign w:val="center"/>
          </w:tcPr>
          <w:p w14:paraId="505BCC5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093" w:type="dxa"/>
            <w:tcBorders>
              <w:top w:val="single" w:color="auto" w:sz="4" w:space="0"/>
              <w:left w:val="single" w:color="auto" w:sz="4" w:space="0"/>
              <w:bottom w:val="double" w:color="auto" w:sz="4" w:space="0"/>
              <w:right w:val="double" w:color="auto" w:sz="4" w:space="0"/>
            </w:tcBorders>
            <w:noWrap w:val="0"/>
            <w:vAlign w:val="center"/>
          </w:tcPr>
          <w:p w14:paraId="4B705C8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none"/>
              </w:rPr>
            </w:pPr>
            <w:r>
              <w:rPr>
                <w:rFonts w:hint="eastAsia" w:ascii="宋体" w:hAnsi="宋体" w:cs="宋体"/>
                <w:color w:val="auto"/>
                <w:szCs w:val="21"/>
                <w:highlight w:val="none"/>
                <w:u w:val="single"/>
                <w:lang w:val="en-US" w:eastAsia="zh-CN"/>
              </w:rPr>
              <w:t>质量一次验收合格，符合设计、规范、标准的要求和国家、地方、行业有关标准及投标文件承诺。</w:t>
            </w:r>
          </w:p>
        </w:tc>
      </w:tr>
      <w:tr w14:paraId="27EC5C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3F5E52A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64A4500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559851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093" w:type="dxa"/>
            <w:tcBorders>
              <w:top w:val="double" w:color="auto" w:sz="4" w:space="0"/>
              <w:left w:val="single" w:color="auto" w:sz="4" w:space="0"/>
              <w:bottom w:val="single" w:color="auto" w:sz="4" w:space="0"/>
              <w:right w:val="double" w:color="auto" w:sz="4" w:space="0"/>
            </w:tcBorders>
            <w:noWrap w:val="0"/>
            <w:vAlign w:val="center"/>
          </w:tcPr>
          <w:p w14:paraId="6DC908E1">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u w:val="single"/>
                <w:lang w:val="zh-CN"/>
              </w:rPr>
              <w:t>详见本工程招标公告。具体以本项目挂网的招标文件、技术条件（工程建设标准）、招标图纸、工程量清单及有关资料说明为准。具体工作界面以招标图纸</w:t>
            </w:r>
            <w:r>
              <w:rPr>
                <w:rFonts w:hint="eastAsia" w:ascii="宋体" w:hAnsi="宋体" w:cs="宋体"/>
                <w:color w:val="auto"/>
                <w:kern w:val="0"/>
                <w:szCs w:val="21"/>
                <w:highlight w:val="none"/>
                <w:u w:val="single"/>
                <w:lang w:val="zh-CN"/>
              </w:rPr>
              <w:t>、界面划分</w:t>
            </w:r>
            <w:r>
              <w:rPr>
                <w:rFonts w:hint="eastAsia" w:ascii="宋体" w:hAnsi="宋体" w:eastAsia="宋体" w:cs="宋体"/>
                <w:color w:val="auto"/>
                <w:kern w:val="0"/>
                <w:szCs w:val="21"/>
                <w:highlight w:val="none"/>
                <w:u w:val="single"/>
                <w:lang w:val="zh-CN"/>
              </w:rPr>
              <w:t>和工程量清单为准。</w:t>
            </w:r>
          </w:p>
          <w:p w14:paraId="00F77B73">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u w:val="single"/>
                <w:lang w:val="zh-CN"/>
              </w:rPr>
              <w:t>注：（1）招标人在实施过程中根据本工程实际情况有权增减部分内容，承包人不能拒绝执行。（2）招标文件的解释权归招标人所有，招标人有权在法律允许范围内调整本次招标活动的细节及保留最终解释权。</w:t>
            </w:r>
          </w:p>
        </w:tc>
      </w:tr>
      <w:tr w14:paraId="19AEC4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6C92B52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9BF68F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2C2D3C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5BF8EA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总工期900天。具体开工日期以总监理工程师发出的开工令为准,若因医疗专项设备进场时间延误，以工期调整批复时间为准。</w:t>
            </w:r>
          </w:p>
        </w:tc>
      </w:tr>
      <w:tr w14:paraId="2EBF8E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0B0B342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0C5FBBA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6A16E25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3CD2A08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详见本工程招标公告。</w:t>
            </w:r>
          </w:p>
        </w:tc>
      </w:tr>
      <w:tr w14:paraId="4E3F49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1B03493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579DC46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5986967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55D6F56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14:paraId="6DC8B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5F0D373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4DEECCBC">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384DA6B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7F6573F0">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14:paraId="1F481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50023B5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05CE52B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1964BC7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799FE84E">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工程量清单计价。按国家、省有关计价规范执行及合同条款相关约定。</w:t>
            </w:r>
          </w:p>
        </w:tc>
      </w:tr>
      <w:tr w14:paraId="11E509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23D05A3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6AAF9E5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74F2AA2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2E4928C8">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120 日历天。</w:t>
            </w:r>
            <w:r>
              <w:rPr>
                <w:rFonts w:hint="eastAsia" w:ascii="宋体" w:hAnsi="宋体" w:cs="宋体"/>
                <w:color w:val="auto"/>
                <w:szCs w:val="21"/>
                <w:highlight w:val="none"/>
              </w:rPr>
              <w:t>（从投标截止之日计起）</w:t>
            </w:r>
          </w:p>
        </w:tc>
      </w:tr>
      <w:tr w14:paraId="450DA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7D99CC2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264A885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B6BDB5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29A76FF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本项目不收取投标保证金。</w:t>
            </w:r>
          </w:p>
        </w:tc>
      </w:tr>
      <w:tr w14:paraId="6A4C8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2604D79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25F9E30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2C3845A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6DB0D04F">
            <w:pPr>
              <w:keepNext w:val="0"/>
              <w:keepLines w:val="0"/>
              <w:suppressLineNumbers w:val="0"/>
              <w:spacing w:before="0" w:beforeAutospacing="0" w:after="0" w:afterAutospacing="0"/>
              <w:ind w:left="0" w:right="0"/>
              <w:rPr>
                <w:rFonts w:hint="eastAsia" w:ascii="宋体" w:hAnsi="宋体" w:cs="宋体"/>
                <w:color w:val="auto"/>
                <w:kern w:val="2"/>
                <w:sz w:val="21"/>
                <w:szCs w:val="21"/>
                <w:highlight w:val="none"/>
                <w:u w:val="none"/>
              </w:rPr>
            </w:pPr>
            <w:r>
              <w:rPr>
                <w:rFonts w:hint="eastAsia" w:ascii="宋体" w:hAnsi="宋体" w:cs="宋体"/>
                <w:color w:val="auto"/>
                <w:kern w:val="2"/>
                <w:sz w:val="21"/>
                <w:szCs w:val="21"/>
                <w:highlight w:val="none"/>
                <w:u w:val="none"/>
              </w:rPr>
              <w:t>时间：自招标公告发布之日</w:t>
            </w:r>
            <w:r>
              <w:rPr>
                <w:rFonts w:hint="eastAsia" w:ascii="宋体" w:hAnsi="宋体" w:cs="宋体"/>
                <w:color w:val="auto"/>
                <w:kern w:val="2"/>
                <w:sz w:val="21"/>
                <w:szCs w:val="21"/>
                <w:highlight w:val="none"/>
                <w:u w:val="none"/>
                <w:lang w:val="en-US" w:eastAsia="zh-CN"/>
              </w:rPr>
              <w:t>5天（即2025年12月13日至12月17日，上午9:00至12:00,下午14:00至17:00）</w:t>
            </w:r>
            <w:r>
              <w:rPr>
                <w:rFonts w:hint="eastAsia" w:ascii="宋体" w:hAnsi="宋体" w:cs="宋体"/>
                <w:color w:val="auto"/>
                <w:kern w:val="2"/>
                <w:sz w:val="21"/>
                <w:szCs w:val="21"/>
                <w:highlight w:val="none"/>
                <w:u w:val="none"/>
              </w:rPr>
              <w:t>起具备现场踏勘条件</w:t>
            </w:r>
            <w:r>
              <w:rPr>
                <w:rFonts w:hint="eastAsia" w:ascii="宋体" w:hAnsi="宋体" w:cs="宋体"/>
                <w:color w:val="auto"/>
                <w:kern w:val="2"/>
                <w:sz w:val="21"/>
                <w:szCs w:val="21"/>
                <w:highlight w:val="none"/>
                <w:u w:val="none"/>
                <w:lang w:eastAsia="zh-CN"/>
              </w:rPr>
              <w:t>。</w:t>
            </w:r>
          </w:p>
          <w:p w14:paraId="4D5EF93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方式：招标人不集中组织，由投标人自行踏勘</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因踏勘产生的一切费用由投标人自行承担。投标人不进行踏勘的，视为已熟知现场条件，自行承担相关风险。投标单位自行勘察并对工程量清单及图纸内容、准确性进行复核，如有误差必须在答疑中提出，否则视为已认可本项目的工程量清单及图纸所有内容。</w:t>
            </w:r>
          </w:p>
          <w:p w14:paraId="0CB28F25">
            <w:pPr>
              <w:keepNext w:val="0"/>
              <w:keepLines w:val="0"/>
              <w:suppressLineNumbers w:val="0"/>
              <w:spacing w:before="0" w:beforeAutospacing="0" w:after="0" w:afterAutospacing="0"/>
              <w:ind w:left="0" w:right="0"/>
              <w:rPr>
                <w:rFonts w:hint="eastAsia"/>
                <w:color w:val="auto"/>
                <w:highlight w:val="none"/>
              </w:rPr>
            </w:pPr>
            <w:r>
              <w:rPr>
                <w:rFonts w:hint="eastAsia" w:ascii="宋体" w:hAnsi="宋体" w:cs="宋体"/>
                <w:color w:val="auto"/>
                <w:kern w:val="2"/>
                <w:sz w:val="21"/>
                <w:szCs w:val="21"/>
                <w:highlight w:val="none"/>
                <w:u w:val="none"/>
              </w:rPr>
              <w:t>现场详细地点：</w:t>
            </w:r>
            <w:r>
              <w:rPr>
                <w:rFonts w:hint="eastAsia" w:ascii="宋体" w:hAnsi="宋体" w:cs="宋体"/>
                <w:color w:val="auto"/>
                <w:kern w:val="2"/>
                <w:sz w:val="21"/>
                <w:szCs w:val="21"/>
                <w:highlight w:val="none"/>
                <w:u w:val="single"/>
              </w:rPr>
              <w:t>广州市白云区石门街红星村珠岗路两侧</w:t>
            </w:r>
          </w:p>
        </w:tc>
      </w:tr>
      <w:tr w14:paraId="752232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6F273D2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188743B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34470CF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63039AF4">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lang w:bidi="ar"/>
              </w:rPr>
              <w:t>1、疑问提交时间：</w:t>
            </w:r>
            <w:r>
              <w:rPr>
                <w:rFonts w:hint="eastAsia" w:ascii="宋体" w:hAnsi="宋体" w:cs="宋体"/>
                <w:color w:val="auto"/>
                <w:szCs w:val="21"/>
                <w:highlight w:val="none"/>
                <w:u w:val="single"/>
                <w:lang w:bidi="ar"/>
              </w:rPr>
              <w:t>在递交投标文件截止日期前18日</w:t>
            </w:r>
            <w:r>
              <w:rPr>
                <w:rFonts w:hint="eastAsia" w:ascii="宋体" w:hAnsi="宋体" w:cs="宋体"/>
                <w:color w:val="auto"/>
                <w:szCs w:val="21"/>
                <w:highlight w:val="none"/>
                <w:lang w:bidi="ar"/>
              </w:rPr>
              <w:t>；</w:t>
            </w:r>
          </w:p>
          <w:p w14:paraId="3F3DF1F6">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lang w:bidi="ar"/>
              </w:rPr>
              <w:t>2、形式：投标人的疑问通过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lang w:bidi="ar"/>
              </w:rPr>
              <w:t>交易平台提交。</w:t>
            </w:r>
            <w:r>
              <w:rPr>
                <w:rFonts w:hint="eastAsia" w:ascii="宋体" w:hAnsi="宋体" w:cs="宋体"/>
                <w:color w:val="auto"/>
                <w:szCs w:val="21"/>
                <w:highlight w:val="none"/>
              </w:rPr>
              <w:t>提问一律不得署名。</w:t>
            </w:r>
          </w:p>
          <w:p w14:paraId="54060A50">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lang w:bidi="ar"/>
              </w:rPr>
              <w:t>3、招标人澄清、修补或答疑期限：在递交投标文件截止日期前</w:t>
            </w:r>
            <w:r>
              <w:rPr>
                <w:rFonts w:hint="eastAsia" w:ascii="宋体" w:hAnsi="宋体" w:cs="宋体"/>
                <w:color w:val="auto"/>
                <w:szCs w:val="21"/>
                <w:highlight w:val="none"/>
                <w:u w:val="single"/>
                <w:lang w:bidi="ar"/>
              </w:rPr>
              <w:t>15</w:t>
            </w:r>
            <w:r>
              <w:rPr>
                <w:rFonts w:hint="eastAsia" w:ascii="宋体" w:hAnsi="宋体" w:cs="宋体"/>
                <w:color w:val="auto"/>
                <w:szCs w:val="21"/>
                <w:highlight w:val="none"/>
                <w:lang w:bidi="ar"/>
              </w:rPr>
              <w:t>日；</w:t>
            </w:r>
          </w:p>
          <w:p w14:paraId="124E534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lang w:bidi="ar"/>
              </w:rPr>
              <w:t>4、网上答疑的操作指南为：</w:t>
            </w:r>
            <w:r>
              <w:rPr>
                <w:rFonts w:hint="eastAsia" w:ascii="宋体" w:hAnsi="宋体" w:cs="宋体"/>
                <w:color w:val="auto"/>
                <w:szCs w:val="21"/>
                <w:highlight w:val="none"/>
                <w:u w:val="single"/>
                <w:lang w:bidi="ar"/>
              </w:rPr>
              <w:t>按照交易平台关于全流程电子化项目的相关指南进行操作，网上答疑的操作指南为：登录广州公共资源交易中心网站交易系统→进入“我的投标”专区→进入“招标答疑”选项→通过项目编号或名称找到所需的项目→在答疑时间内点击“答疑提问-新增提问” →提出问题（提问一律不得署名）。详见：广州公共资源交易中心网站(http:/ www.gzggzy.cn)服务指南栏目。</w:t>
            </w:r>
          </w:p>
        </w:tc>
      </w:tr>
      <w:tr w14:paraId="01102E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14B24D5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63A803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1CF37BB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7B71A988">
            <w:pPr>
              <w:keepNext w:val="0"/>
              <w:keepLines w:val="0"/>
              <w:suppressLineNumbers w:val="0"/>
              <w:spacing w:before="0" w:beforeAutospacing="0" w:after="0" w:afterAutospacing="0"/>
              <w:ind w:left="0" w:right="0"/>
              <w:rPr>
                <w:rFonts w:hint="eastAsia" w:ascii="宋体" w:hAnsi="宋体" w:cs="宋体"/>
                <w:strike/>
                <w:color w:val="auto"/>
                <w:szCs w:val="21"/>
                <w:highlight w:val="none"/>
              </w:rPr>
            </w:pP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14:paraId="3F4BED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220579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5BB679A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69B8BE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2E018D1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（技术标和经济标同时开标）</w:t>
            </w:r>
          </w:p>
          <w:p w14:paraId="08B81DC4">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广州交易集团有限公司（广州公共资源交易中心）指定开标室（广州市天河区天润路333号）</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广州交易集团有限公司（广州公共资源交易中心）网站（http://www.gzggzy.cn/）服务指南栏目</w:t>
            </w:r>
            <w:r>
              <w:rPr>
                <w:rFonts w:hint="eastAsia" w:ascii="宋体" w:hAnsi="宋体" w:cs="宋体"/>
                <w:color w:val="auto"/>
                <w:szCs w:val="21"/>
                <w:highlight w:val="none"/>
              </w:rPr>
              <w:t>。</w:t>
            </w:r>
          </w:p>
          <w:p w14:paraId="22A03EAA">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14:paraId="64116DF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2、递交投标文件</w:t>
            </w:r>
            <w:r>
              <w:rPr>
                <w:rFonts w:hint="eastAsia" w:ascii="宋体" w:hAnsi="宋体" w:cs="Calibri"/>
                <w:color w:val="auto"/>
                <w:szCs w:val="21"/>
                <w:highlight w:val="none"/>
                <w:u w:val="single"/>
              </w:rPr>
              <w:t>（含定标文件）</w:t>
            </w:r>
            <w:r>
              <w:rPr>
                <w:rFonts w:hint="eastAsia" w:ascii="宋体" w:hAnsi="宋体" w:cs="宋体"/>
                <w:color w:val="auto"/>
                <w:szCs w:val="21"/>
                <w:highlight w:val="none"/>
              </w:rPr>
              <w:t>备用光盘时间：</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3897CA5">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广州交易集团有限公司（广州公共资源交易中心）指定开标室（广州市天河区天润路333号）</w:t>
            </w:r>
            <w:r>
              <w:rPr>
                <w:rFonts w:hint="eastAsia" w:ascii="宋体" w:hAnsi="宋体" w:cs="宋体"/>
                <w:color w:val="auto"/>
                <w:highlight w:val="none"/>
              </w:rPr>
              <w:t>。</w:t>
            </w:r>
          </w:p>
          <w:p w14:paraId="6C2EF54C">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highlight w:val="none"/>
                <w:u w:val="single"/>
              </w:rPr>
              <w:t>注：投标人递交</w:t>
            </w:r>
            <w:r>
              <w:rPr>
                <w:rFonts w:hint="eastAsia" w:ascii="宋体" w:hAnsi="宋体" w:cs="宋体"/>
                <w:color w:val="auto"/>
                <w:szCs w:val="21"/>
                <w:highlight w:val="none"/>
                <w:u w:val="single"/>
              </w:rPr>
              <w:t>投标文件（含定标文件）的备用光盘时应附上法定代表人证明书及法定代表人授权委托书（授权代表递交时出具)，并出示本人身份证原件。</w:t>
            </w:r>
            <w:r>
              <w:rPr>
                <w:rFonts w:hint="eastAsia" w:ascii="宋体" w:hAnsi="宋体" w:cs="宋体"/>
                <w:color w:val="auto"/>
                <w:highlight w:val="none"/>
              </w:rPr>
              <w:t>（建议安排在投标文件截止时间前15分钟至投标文件截止</w:t>
            </w:r>
            <w:r>
              <w:rPr>
                <w:rFonts w:hint="eastAsia" w:ascii="宋体" w:hAnsi="宋体" w:cs="宋体"/>
                <w:color w:val="auto"/>
                <w:szCs w:val="21"/>
                <w:highlight w:val="none"/>
              </w:rPr>
              <w:t>时间）</w:t>
            </w:r>
          </w:p>
          <w:p w14:paraId="75B11543">
            <w:pPr>
              <w:pStyle w:val="20"/>
              <w:keepNext w:val="0"/>
              <w:keepLines w:val="0"/>
              <w:suppressLineNumbers w:val="0"/>
              <w:spacing w:before="0" w:beforeAutospacing="0" w:after="0" w:afterAutospacing="0"/>
              <w:ind w:left="0" w:right="0"/>
              <w:rPr>
                <w:rFonts w:hint="eastAsia" w:hAnsi="宋体" w:cs="宋体"/>
                <w:b/>
                <w:bCs/>
                <w:color w:val="auto"/>
                <w:highlight w:val="none"/>
              </w:rPr>
            </w:pPr>
            <w:r>
              <w:rPr>
                <w:rFonts w:hint="eastAsia" w:hAnsi="宋体" w:cs="宋体"/>
                <w:b/>
                <w:bCs/>
                <w:color w:val="auto"/>
                <w:highlight w:val="none"/>
              </w:rPr>
              <w:t>3、投标人应在投标文件</w:t>
            </w:r>
            <w:r>
              <w:rPr>
                <w:rFonts w:hint="eastAsia" w:hAnsi="宋体" w:cs="宋体"/>
                <w:b/>
                <w:bCs/>
                <w:color w:val="auto"/>
                <w:highlight w:val="none"/>
                <w:u w:val="single"/>
              </w:rPr>
              <w:t>（含定标文件）</w:t>
            </w:r>
            <w:r>
              <w:rPr>
                <w:rFonts w:hint="eastAsia" w:hAnsi="宋体" w:cs="宋体"/>
                <w:b/>
                <w:bCs/>
                <w:color w:val="auto"/>
                <w:highlight w:val="none"/>
              </w:rPr>
              <w:t>递交截止时间前通过广州交易集团有限公司（广州公共资源交易中心）电子招标投标交易平台递交电子投标文件</w:t>
            </w:r>
            <w:r>
              <w:rPr>
                <w:rFonts w:hint="eastAsia" w:hAnsi="宋体" w:cs="宋体"/>
                <w:b/>
                <w:bCs/>
                <w:color w:val="auto"/>
                <w:highlight w:val="none"/>
                <w:u w:val="single"/>
              </w:rPr>
              <w:t>（含定标文件）</w:t>
            </w:r>
            <w:r>
              <w:rPr>
                <w:rFonts w:hint="eastAsia" w:hAnsi="宋体" w:cs="宋体"/>
                <w:b/>
                <w:bCs/>
                <w:color w:val="auto"/>
                <w:highlight w:val="none"/>
              </w:rPr>
              <w:t>。</w:t>
            </w:r>
          </w:p>
          <w:p w14:paraId="6AFEEC7C">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szCs w:val="21"/>
                <w:highlight w:val="none"/>
              </w:rPr>
              <w:t>上述时间</w:t>
            </w:r>
            <w:r>
              <w:rPr>
                <w:rFonts w:hint="eastAsia" w:ascii="宋体" w:hAnsi="宋体" w:cs="宋体"/>
                <w:color w:val="auto"/>
                <w:highlight w:val="none"/>
              </w:rPr>
              <w:t>及地点是否有改变，请密切留意补充公告和招标答疑纪要的相关信息。</w:t>
            </w:r>
          </w:p>
          <w:p w14:paraId="3BB8FEBC">
            <w:pPr>
              <w:pStyle w:val="20"/>
              <w:keepNext w:val="0"/>
              <w:keepLines w:val="0"/>
              <w:suppressLineNumbers w:val="0"/>
              <w:spacing w:before="0" w:beforeAutospacing="0" w:after="0" w:afterAutospacing="0"/>
              <w:ind w:left="0" w:right="0"/>
              <w:rPr>
                <w:rFonts w:hint="eastAsia" w:cs="Calibri"/>
                <w:color w:val="auto"/>
                <w:highlight w:val="none"/>
              </w:rPr>
            </w:pPr>
            <w:r>
              <w:rPr>
                <w:rFonts w:hint="eastAsia" w:hAnsi="宋体" w:cs="宋体"/>
                <w:b/>
                <w:bCs/>
                <w:color w:val="auto"/>
                <w:szCs w:val="21"/>
                <w:highlight w:val="none"/>
                <w:u w:val="single"/>
              </w:rPr>
              <w:t>请各投标人密切留意广州交易集团有限公司（广州公共资源交易中心）公布本项目的日程安排，投标人可登录广州交易集团有限公司（广州公共资源交易中心）网站首页，点击“建设工程”专栏中的“项目查询（日程安排、答疑纪要）”输入项目编号或项目名称查询最新信息安排。</w:t>
            </w:r>
          </w:p>
        </w:tc>
      </w:tr>
      <w:tr w14:paraId="35A9A9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32056F2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7E4D91A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C957CF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u w:val="single"/>
              </w:rPr>
              <w:t>开标评标办法</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4F34FD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bookmarkStart w:id="11" w:name="OLE_LINK85"/>
            <w:r>
              <w:rPr>
                <w:rFonts w:hint="eastAsia" w:ascii="宋体" w:hAnsi="宋体" w:eastAsia="宋体" w:cs="宋体"/>
                <w:color w:val="auto"/>
                <w:szCs w:val="21"/>
                <w:highlight w:val="none"/>
              </w:rPr>
              <w:t>方式一：选取方法七（适合综合评分办法四，技术标与经济标同时开启）；</w:t>
            </w:r>
          </w:p>
          <w:p w14:paraId="49C3D8D2">
            <w:pPr>
              <w:keepNext w:val="0"/>
              <w:keepLines w:val="0"/>
              <w:suppressLineNumbers w:val="0"/>
              <w:spacing w:before="0" w:beforeAutospacing="0" w:after="0" w:afterAutospacing="0" w:line="360" w:lineRule="auto"/>
              <w:ind w:left="0" w:right="0"/>
              <w:rPr>
                <w:rFonts w:hint="eastAsia" w:ascii="Calibri" w:hAnsi="Calibri" w:cs="Calibri"/>
                <w:color w:val="auto"/>
                <w:highlight w:val="none"/>
              </w:rPr>
            </w:pPr>
            <w:bookmarkStart w:id="12" w:name="_Hlk198115269"/>
            <w:r>
              <w:rPr>
                <w:rFonts w:hint="eastAsia" w:ascii="宋体" w:hAnsi="宋体" w:eastAsia="宋体" w:cs="宋体"/>
                <w:color w:val="auto"/>
                <w:szCs w:val="21"/>
                <w:highlight w:val="none"/>
              </w:rPr>
              <w:t>投标人总得分=技术得分（</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rPr>
              <w:t>分）×技术得分权重（</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0%）＋经济得分（100分）×经济得分权重（</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0%）</w:t>
            </w:r>
            <w:bookmarkEnd w:id="12"/>
            <w:r>
              <w:rPr>
                <w:rFonts w:hint="eastAsia" w:ascii="宋体" w:hAnsi="宋体" w:eastAsia="宋体" w:cs="宋体"/>
                <w:color w:val="auto"/>
                <w:szCs w:val="21"/>
                <w:highlight w:val="none"/>
              </w:rPr>
              <w:t>。</w:t>
            </w:r>
            <w:bookmarkEnd w:id="11"/>
          </w:p>
        </w:tc>
      </w:tr>
      <w:tr w14:paraId="7269F3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trPr>
        <w:tc>
          <w:tcPr>
            <w:tcW w:w="704" w:type="dxa"/>
            <w:tcBorders>
              <w:top w:val="single" w:color="auto" w:sz="4" w:space="0"/>
              <w:left w:val="double" w:color="auto" w:sz="4" w:space="0"/>
              <w:right w:val="single" w:color="auto" w:sz="4" w:space="0"/>
            </w:tcBorders>
            <w:noWrap w:val="0"/>
            <w:vAlign w:val="center"/>
          </w:tcPr>
          <w:p w14:paraId="459F54E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903" w:type="dxa"/>
            <w:tcBorders>
              <w:top w:val="single" w:color="auto" w:sz="4" w:space="0"/>
              <w:left w:val="single" w:color="auto" w:sz="4" w:space="0"/>
              <w:right w:val="single" w:color="auto" w:sz="4" w:space="0"/>
            </w:tcBorders>
            <w:noWrap w:val="0"/>
            <w:vAlign w:val="center"/>
          </w:tcPr>
          <w:p w14:paraId="42B9D37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35.10</w:t>
            </w:r>
          </w:p>
        </w:tc>
        <w:tc>
          <w:tcPr>
            <w:tcW w:w="1696" w:type="dxa"/>
            <w:tcBorders>
              <w:top w:val="single" w:color="auto" w:sz="4" w:space="0"/>
              <w:left w:val="single" w:color="auto" w:sz="4" w:space="0"/>
              <w:right w:val="single" w:color="auto" w:sz="4" w:space="0"/>
            </w:tcBorders>
            <w:noWrap w:val="0"/>
            <w:vAlign w:val="center"/>
          </w:tcPr>
          <w:p w14:paraId="1C63B72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bookmarkStart w:id="13" w:name="OLE_LINK82"/>
            <w:r>
              <w:rPr>
                <w:rFonts w:hint="eastAsia" w:ascii="宋体" w:hAnsi="宋体" w:cs="宋体"/>
                <w:color w:val="auto"/>
                <w:szCs w:val="21"/>
                <w:highlight w:val="none"/>
              </w:rPr>
              <w:t>采用评定分离定标办法</w:t>
            </w:r>
            <w:bookmarkEnd w:id="13"/>
          </w:p>
        </w:tc>
        <w:tc>
          <w:tcPr>
            <w:tcW w:w="6093" w:type="dxa"/>
            <w:tcBorders>
              <w:top w:val="single" w:color="auto" w:sz="4" w:space="0"/>
              <w:left w:val="single" w:color="auto" w:sz="4" w:space="0"/>
              <w:bottom w:val="single" w:color="auto" w:sz="4" w:space="0"/>
              <w:right w:val="double" w:color="auto" w:sz="4" w:space="0"/>
            </w:tcBorders>
            <w:noWrap w:val="0"/>
            <w:vAlign w:val="center"/>
          </w:tcPr>
          <w:p w14:paraId="49DF156F">
            <w:pPr>
              <w:pStyle w:val="37"/>
              <w:keepNext w:val="0"/>
              <w:keepLines w:val="0"/>
              <w:suppressLineNumbers w:val="0"/>
              <w:spacing w:before="0" w:beforeAutospacing="0" w:afterAutospacing="0"/>
              <w:ind w:left="0" w:right="0" w:firstLine="0"/>
              <w:rPr>
                <w:rFonts w:hint="default" w:ascii="宋体" w:hAnsi="宋体" w:cs="宋体"/>
                <w:color w:val="auto"/>
                <w:szCs w:val="21"/>
                <w:highlight w:val="none"/>
                <w:u w:val="single"/>
              </w:rPr>
            </w:pPr>
            <w:bookmarkStart w:id="14" w:name="OLE_LINK83"/>
            <w:r>
              <w:rPr>
                <w:rFonts w:hint="eastAsia" w:ascii="宋体" w:hAnsi="宋体" w:cs="宋体"/>
                <w:color w:val="auto"/>
                <w:szCs w:val="21"/>
                <w:highlight w:val="none"/>
                <w:u w:val="single"/>
              </w:rPr>
              <w:t>采用评定分离定标办法</w:t>
            </w:r>
          </w:p>
          <w:p w14:paraId="16878322">
            <w:pPr>
              <w:pStyle w:val="37"/>
              <w:keepNext w:val="0"/>
              <w:keepLines w:val="0"/>
              <w:suppressLineNumbers w:val="0"/>
              <w:spacing w:before="0" w:beforeAutospacing="0" w:afterAutospacing="0"/>
              <w:ind w:left="0" w:right="0" w:firstLine="0"/>
              <w:rPr>
                <w:rFonts w:hint="default" w:ascii="宋体" w:hAnsi="宋体" w:cs="宋体"/>
                <w:color w:val="auto"/>
                <w:szCs w:val="21"/>
                <w:highlight w:val="none"/>
                <w:u w:val="single"/>
              </w:rPr>
            </w:pPr>
            <w:r>
              <w:rPr>
                <w:rFonts w:hint="eastAsia" w:ascii="宋体" w:hAnsi="宋体" w:cs="宋体"/>
                <w:color w:val="auto"/>
                <w:szCs w:val="21"/>
                <w:highlight w:val="none"/>
                <w:u w:val="single"/>
              </w:rPr>
              <w:t>1、评标办法：有限数量制评审法。</w:t>
            </w:r>
          </w:p>
          <w:p w14:paraId="39EE1C55">
            <w:pPr>
              <w:pStyle w:val="37"/>
              <w:keepNext w:val="0"/>
              <w:keepLines w:val="0"/>
              <w:suppressLineNumbers w:val="0"/>
              <w:spacing w:before="0" w:beforeAutospacing="0" w:afterAutospacing="0"/>
              <w:ind w:left="0" w:right="0" w:firstLine="0"/>
              <w:rPr>
                <w:rFonts w:hint="default" w:ascii="宋体" w:hAnsi="宋体" w:cs="宋体"/>
                <w:color w:val="auto"/>
                <w:szCs w:val="21"/>
                <w:highlight w:val="none"/>
                <w:u w:val="single"/>
              </w:rPr>
            </w:pPr>
            <w:r>
              <w:rPr>
                <w:rFonts w:hint="eastAsia" w:ascii="宋体" w:hAnsi="宋体" w:cs="宋体"/>
                <w:color w:val="auto"/>
                <w:szCs w:val="21"/>
                <w:highlight w:val="none"/>
                <w:u w:val="single"/>
              </w:rPr>
              <w:t>2、定标办法：记名投票+撰写评语。</w:t>
            </w:r>
          </w:p>
          <w:p w14:paraId="6B892496">
            <w:pPr>
              <w:pStyle w:val="37"/>
              <w:keepNext w:val="0"/>
              <w:keepLines w:val="0"/>
              <w:suppressLineNumbers w:val="0"/>
              <w:spacing w:before="0" w:beforeAutospacing="0" w:afterAutospacing="0"/>
              <w:ind w:left="0" w:right="0" w:firstLine="0"/>
              <w:rPr>
                <w:rFonts w:hint="eastAsia" w:ascii="宋体" w:hAnsi="宋体" w:cs="宋体"/>
                <w:color w:val="auto"/>
                <w:szCs w:val="21"/>
                <w:highlight w:val="none"/>
                <w:u w:val="single"/>
              </w:rPr>
            </w:pPr>
            <w:r>
              <w:rPr>
                <w:rFonts w:hint="eastAsia" w:ascii="宋体" w:hAnsi="宋体" w:cs="宋体"/>
                <w:color w:val="auto"/>
                <w:szCs w:val="21"/>
                <w:highlight w:val="none"/>
                <w:u w:val="single"/>
              </w:rPr>
              <w:t>具体要求详见第二章评标及定标办法。</w:t>
            </w:r>
            <w:bookmarkEnd w:id="14"/>
          </w:p>
        </w:tc>
      </w:tr>
      <w:tr w14:paraId="669F8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64ABE59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29BDE49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254CFD2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71121E3A">
            <w:pPr>
              <w:pStyle w:val="37"/>
              <w:keepNext w:val="0"/>
              <w:keepLines w:val="0"/>
              <w:suppressLineNumbers w:val="0"/>
              <w:spacing w:before="0" w:beforeAutospacing="0" w:afterAutospacing="0"/>
              <w:ind w:left="0" w:right="0" w:firstLine="0"/>
              <w:rPr>
                <w:rFonts w:hint="default" w:ascii="宋体" w:hAnsi="宋体" w:cs="宋体"/>
                <w:color w:val="auto"/>
                <w:szCs w:val="21"/>
                <w:highlight w:val="none"/>
                <w:u w:val="single"/>
              </w:rPr>
            </w:pPr>
            <w:r>
              <w:rPr>
                <w:rFonts w:hint="eastAsia" w:ascii="宋体" w:hAnsi="宋体" w:cs="宋体"/>
                <w:color w:val="auto"/>
                <w:szCs w:val="21"/>
                <w:highlight w:val="none"/>
                <w:u w:val="single"/>
              </w:rPr>
              <w:t>方式一：中标人提供的履约保证金为中标价款（不含专业</w:t>
            </w:r>
            <w:r>
              <w:rPr>
                <w:rFonts w:hint="eastAsia" w:ascii="宋体" w:hAnsi="宋体" w:cs="宋体"/>
                <w:color w:val="auto"/>
                <w:szCs w:val="21"/>
                <w:highlight w:val="none"/>
                <w:u w:val="single"/>
                <w:lang w:val="en-US" w:eastAsia="zh-CN"/>
              </w:rPr>
              <w:t>工程</w:t>
            </w:r>
            <w:r>
              <w:rPr>
                <w:rFonts w:hint="eastAsia" w:ascii="宋体" w:hAnsi="宋体" w:cs="宋体"/>
                <w:color w:val="auto"/>
                <w:szCs w:val="21"/>
                <w:highlight w:val="none"/>
                <w:u w:val="single"/>
              </w:rPr>
              <w:t>暂估价、暂列金额）的10%。</w:t>
            </w:r>
          </w:p>
          <w:p w14:paraId="2161028D">
            <w:pPr>
              <w:pStyle w:val="37"/>
              <w:keepNext w:val="0"/>
              <w:keepLines w:val="0"/>
              <w:suppressLineNumbers w:val="0"/>
              <w:spacing w:before="0" w:beforeAutospacing="0" w:afterAutospacing="0"/>
              <w:ind w:left="0" w:right="0" w:firstLine="0"/>
              <w:rPr>
                <w:rFonts w:hint="eastAsia" w:ascii="Calibri" w:hAnsi="Calibri" w:cs="Calibri"/>
                <w:color w:val="auto"/>
                <w:highlight w:val="none"/>
                <w:u w:val="single"/>
              </w:rPr>
            </w:pPr>
            <w:r>
              <w:rPr>
                <w:rFonts w:hint="eastAsia" w:ascii="宋体" w:hAnsi="宋体" w:cs="宋体"/>
                <w:color w:val="auto"/>
                <w:szCs w:val="21"/>
                <w:highlight w:val="none"/>
                <w:u w:val="single"/>
              </w:rPr>
              <w:t>履约担保的形式：以合同约定为准。</w:t>
            </w:r>
          </w:p>
        </w:tc>
      </w:tr>
      <w:tr w14:paraId="664E30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13AEF83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bookmarkStart w:id="15" w:name="_Hlk198225853"/>
            <w:bookmarkStart w:id="16" w:name="OLE_LINK87" w:colFirst="3" w:colLast="3"/>
            <w:bookmarkStart w:id="17" w:name="OLE_LINK86" w:colFirst="3" w:colLast="3"/>
            <w:r>
              <w:rPr>
                <w:rFonts w:hint="eastAsia" w:ascii="宋体" w:hAnsi="宋体" w:cs="宋体"/>
                <w:color w:val="auto"/>
                <w:szCs w:val="21"/>
                <w:highlight w:val="none"/>
              </w:rPr>
              <w:t>22</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A1AF64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6CD71D3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282D63E4">
            <w:pPr>
              <w:keepNext w:val="0"/>
              <w:keepLines w:val="0"/>
              <w:suppressLineNumbers w:val="0"/>
              <w:adjustRightInd w:val="0"/>
              <w:spacing w:before="0" w:beforeAutospacing="0" w:after="0" w:afterAutospacing="0"/>
              <w:ind w:left="0" w:right="0"/>
              <w:rPr>
                <w:rFonts w:hint="eastAsia" w:ascii="Calibri" w:hAnsi="Calibri" w:cs="Calibri"/>
                <w:color w:val="auto"/>
                <w:highlight w:val="none"/>
              </w:rPr>
            </w:pPr>
            <w:bookmarkStart w:id="18" w:name="OLE_LINK32"/>
            <w:bookmarkStart w:id="19" w:name="OLE_LINK33"/>
            <w:r>
              <w:rPr>
                <w:rFonts w:hint="eastAsia" w:ascii="宋体" w:hAnsi="宋体" w:cs="宋体"/>
                <w:color w:val="auto"/>
                <w:highlight w:val="none"/>
              </w:rPr>
              <w:t>最高投标限价为人民币648,837,718.00元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详见《最高投标限价公布函》。</w:t>
            </w:r>
            <w:bookmarkEnd w:id="18"/>
            <w:bookmarkEnd w:id="19"/>
          </w:p>
        </w:tc>
      </w:tr>
      <w:tr w14:paraId="7EFD17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0A000AF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7D68633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188356E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2DBCA41C">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本项目安全生产措施费为13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793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103.41元，暂列金额为</w:t>
            </w:r>
            <w:r>
              <w:rPr>
                <w:rFonts w:hint="eastAsia" w:ascii="宋体" w:hAnsi="宋体" w:cs="宋体"/>
                <w:color w:val="auto"/>
                <w:szCs w:val="21"/>
                <w:highlight w:val="none"/>
                <w:u w:val="single"/>
                <w:lang w:val="en-US" w:eastAsia="zh-CN"/>
              </w:rPr>
              <w:t>37,710,901.87</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专业工程</w:t>
            </w:r>
            <w:r>
              <w:rPr>
                <w:rFonts w:hint="eastAsia" w:ascii="宋体" w:hAnsi="宋体" w:cs="宋体"/>
                <w:color w:val="auto"/>
                <w:szCs w:val="21"/>
                <w:highlight w:val="none"/>
              </w:rPr>
              <w:t>暂估价为</w:t>
            </w:r>
            <w:r>
              <w:rPr>
                <w:rFonts w:hint="eastAsia" w:ascii="宋体" w:hAnsi="宋体" w:cs="宋体"/>
                <w:color w:val="auto"/>
                <w:szCs w:val="21"/>
                <w:highlight w:val="none"/>
                <w:u w:val="single"/>
                <w:lang w:val="en-US" w:eastAsia="zh-CN"/>
              </w:rPr>
              <w:t>141,812,400.00</w:t>
            </w:r>
            <w:r>
              <w:rPr>
                <w:rFonts w:hint="eastAsia" w:ascii="宋体" w:hAnsi="宋体" w:cs="宋体"/>
                <w:color w:val="auto"/>
                <w:szCs w:val="21"/>
                <w:highlight w:val="none"/>
              </w:rPr>
              <w:t>元，详见最高投标限价公布函。（未按招标文件规定的金额填写的，由评标委员会按照招标文件规定的金额进行修正）</w:t>
            </w:r>
          </w:p>
        </w:tc>
      </w:tr>
      <w:bookmarkEnd w:id="15"/>
      <w:bookmarkEnd w:id="16"/>
      <w:bookmarkEnd w:id="17"/>
      <w:tr w14:paraId="7E527A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44131C9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23D63DB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4C52EA9">
            <w:pPr>
              <w:keepNext w:val="0"/>
              <w:keepLines w:val="0"/>
              <w:suppressLineNumbers w:val="0"/>
              <w:spacing w:before="0" w:beforeAutospacing="0" w:after="12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保修期限</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74E7AC2F">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16E8B1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4A210F7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49453E4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025F9E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0C95FF33">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Calibri"/>
                <w:color w:val="auto"/>
                <w:szCs w:val="21"/>
                <w:highlight w:val="none"/>
              </w:rPr>
              <w:t>计算评标参考价的等分点值X采用广州交易集团有限公司（广州公共资源交易中心）交易平台在线系统在开标前从[0,100]的整数中随机抽取。</w:t>
            </w:r>
          </w:p>
        </w:tc>
      </w:tr>
      <w:tr w14:paraId="5A5FB8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502EE02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bookmarkStart w:id="20" w:name="OLE_LINK91" w:colFirst="2" w:colLast="3"/>
            <w:bookmarkStart w:id="21" w:name="_Hlk198225970"/>
            <w:bookmarkStart w:id="22" w:name="OLE_LINK90" w:colFirst="2" w:colLast="3"/>
            <w:r>
              <w:rPr>
                <w:rFonts w:hint="eastAsia" w:ascii="宋体" w:hAnsi="宋体" w:cs="宋体"/>
                <w:color w:val="auto"/>
                <w:szCs w:val="21"/>
                <w:highlight w:val="none"/>
              </w:rPr>
              <w:t>26</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4482320E">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57FC227">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进入第二阶段评审的家数</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3A6926F0">
            <w:pPr>
              <w:keepNext w:val="0"/>
              <w:keepLines w:val="0"/>
              <w:suppressLineNumbers w:val="0"/>
              <w:spacing w:before="0" w:beforeAutospacing="0" w:after="0" w:afterAutospacing="0"/>
              <w:ind w:left="0" w:right="0"/>
              <w:rPr>
                <w:rFonts w:hint="eastAsia" w:ascii="宋体" w:hAnsi="宋体" w:cs="宋体"/>
                <w:strike/>
                <w:color w:val="auto"/>
                <w:highlight w:val="none"/>
              </w:rPr>
            </w:pPr>
            <w:r>
              <w:rPr>
                <w:rFonts w:hint="eastAsia" w:ascii="宋体" w:hAnsi="宋体" w:cs="宋体"/>
                <w:color w:val="auto"/>
                <w:szCs w:val="21"/>
                <w:highlight w:val="none"/>
              </w:rPr>
              <w:t>本项目不适用。</w:t>
            </w:r>
          </w:p>
        </w:tc>
      </w:tr>
      <w:bookmarkEnd w:id="20"/>
      <w:bookmarkEnd w:id="21"/>
      <w:bookmarkEnd w:id="22"/>
      <w:tr w14:paraId="70C40F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89"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6486D79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7E2BD23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979605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608DE316">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工程成本警戒价为人民币（含税）583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953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946.2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元（按</w:t>
            </w:r>
            <w:r>
              <w:rPr>
                <w:rFonts w:hint="eastAsia" w:ascii="宋体" w:hAnsi="宋体" w:cs="宋体"/>
                <w:color w:val="auto"/>
                <w:szCs w:val="21"/>
                <w:highlight w:val="none"/>
                <w:u w:val="single"/>
              </w:rPr>
              <w:t>最高投标限价</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0B2F183">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14:paraId="73B15A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6B4705E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bookmarkStart w:id="23" w:name="OLE_LINK98" w:colFirst="2" w:colLast="3"/>
            <w:bookmarkStart w:id="24" w:name="OLE_LINK97" w:colFirst="2" w:colLast="3"/>
            <w:bookmarkStart w:id="25" w:name="_Hlk198226469"/>
            <w:r>
              <w:rPr>
                <w:rFonts w:hint="eastAsia" w:ascii="宋体" w:hAnsi="宋体" w:cs="宋体"/>
                <w:color w:val="auto"/>
                <w:szCs w:val="21"/>
                <w:highlight w:val="none"/>
              </w:rPr>
              <w:t>28</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13810C5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B05F248">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第一阶段各分值的权重</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0D07CC4E">
            <w:pPr>
              <w:keepNext w:val="0"/>
              <w:keepLines w:val="0"/>
              <w:suppressLineNumbers w:val="0"/>
              <w:spacing w:before="0" w:beforeAutospacing="0" w:after="0" w:afterAutospacing="0"/>
              <w:ind w:left="0" w:right="0"/>
              <w:rPr>
                <w:rFonts w:hint="eastAsia" w:ascii="宋体" w:hAnsi="宋体" w:cs="宋体"/>
                <w:strike/>
                <w:color w:val="auto"/>
                <w:szCs w:val="21"/>
                <w:highlight w:val="none"/>
              </w:rPr>
            </w:pPr>
            <w:r>
              <w:rPr>
                <w:rFonts w:hint="eastAsia" w:ascii="宋体" w:hAnsi="宋体" w:cs="宋体"/>
                <w:color w:val="auto"/>
                <w:szCs w:val="21"/>
                <w:highlight w:val="none"/>
              </w:rPr>
              <w:t>本项目不适用。</w:t>
            </w:r>
          </w:p>
        </w:tc>
      </w:tr>
      <w:bookmarkEnd w:id="23"/>
      <w:bookmarkEnd w:id="24"/>
      <w:bookmarkEnd w:id="25"/>
      <w:tr w14:paraId="1EEB3E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704" w:type="dxa"/>
            <w:vMerge w:val="restart"/>
            <w:tcBorders>
              <w:top w:val="single" w:color="auto" w:sz="4" w:space="0"/>
              <w:left w:val="double" w:color="auto" w:sz="4" w:space="0"/>
              <w:right w:val="single" w:color="auto" w:sz="4" w:space="0"/>
            </w:tcBorders>
            <w:noWrap w:val="0"/>
            <w:vAlign w:val="center"/>
          </w:tcPr>
          <w:p w14:paraId="3AEAE3B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903" w:type="dxa"/>
            <w:vMerge w:val="restart"/>
            <w:tcBorders>
              <w:top w:val="single" w:color="auto" w:sz="4" w:space="0"/>
              <w:left w:val="single" w:color="auto" w:sz="4" w:space="0"/>
              <w:right w:val="single" w:color="auto" w:sz="4" w:space="0"/>
            </w:tcBorders>
            <w:noWrap w:val="0"/>
            <w:vAlign w:val="center"/>
          </w:tcPr>
          <w:p w14:paraId="2F47AD2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5BE6515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2542C0BE">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658972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704" w:type="dxa"/>
            <w:vMerge w:val="continue"/>
            <w:tcBorders>
              <w:left w:val="double" w:color="auto" w:sz="4" w:space="0"/>
              <w:right w:val="single" w:color="auto" w:sz="4" w:space="0"/>
            </w:tcBorders>
            <w:noWrap w:val="0"/>
            <w:vAlign w:val="center"/>
          </w:tcPr>
          <w:p w14:paraId="3F0757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03" w:type="dxa"/>
            <w:vMerge w:val="continue"/>
            <w:tcBorders>
              <w:left w:val="single" w:color="auto" w:sz="4" w:space="0"/>
              <w:right w:val="single" w:color="auto" w:sz="4" w:space="0"/>
            </w:tcBorders>
            <w:noWrap w:val="0"/>
            <w:vAlign w:val="center"/>
          </w:tcPr>
          <w:p w14:paraId="6E9C0E1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63FEE2B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定标委员会人数</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4B4F17B7">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定标委员会由招标人依法依规组建。</w:t>
            </w:r>
          </w:p>
        </w:tc>
      </w:tr>
      <w:tr w14:paraId="7B411C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704" w:type="dxa"/>
            <w:vMerge w:val="continue"/>
            <w:tcBorders>
              <w:left w:val="double" w:color="auto" w:sz="4" w:space="0"/>
              <w:bottom w:val="single" w:color="auto" w:sz="4" w:space="0"/>
              <w:right w:val="single" w:color="auto" w:sz="4" w:space="0"/>
            </w:tcBorders>
            <w:noWrap w:val="0"/>
            <w:vAlign w:val="center"/>
          </w:tcPr>
          <w:p w14:paraId="5933DED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03" w:type="dxa"/>
            <w:vMerge w:val="continue"/>
            <w:tcBorders>
              <w:left w:val="single" w:color="auto" w:sz="4" w:space="0"/>
              <w:bottom w:val="single" w:color="auto" w:sz="4" w:space="0"/>
              <w:right w:val="single" w:color="auto" w:sz="4" w:space="0"/>
            </w:tcBorders>
            <w:noWrap w:val="0"/>
            <w:vAlign w:val="center"/>
          </w:tcPr>
          <w:p w14:paraId="3D8F59E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163CD55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u w:val="single"/>
              </w:rPr>
            </w:pPr>
            <w:r>
              <w:rPr>
                <w:rFonts w:hint="eastAsia" w:ascii="宋体" w:hAnsi="宋体" w:cs="Calibri"/>
                <w:color w:val="auto"/>
                <w:szCs w:val="21"/>
                <w:highlight w:val="none"/>
                <w:u w:val="single"/>
              </w:rPr>
              <w:t>定标监督小组</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46E26BC6">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Calibri"/>
                <w:color w:val="auto"/>
                <w:szCs w:val="21"/>
                <w:highlight w:val="none"/>
                <w:u w:val="single"/>
              </w:rPr>
              <w:t>招标人应当组建监督小组对定标过程进行见证监督。</w:t>
            </w:r>
          </w:p>
        </w:tc>
      </w:tr>
      <w:tr w14:paraId="1C2E80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079575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bookmarkStart w:id="26" w:name="_Hlk198226125"/>
            <w:bookmarkStart w:id="27" w:name="OLE_LINK94" w:colFirst="2" w:colLast="3"/>
            <w:bookmarkStart w:id="28" w:name="OLE_LINK93" w:colFirst="2" w:colLast="3"/>
            <w:bookmarkStart w:id="29" w:name="OLE_LINK92" w:colFirst="2" w:colLast="3"/>
            <w:r>
              <w:rPr>
                <w:rFonts w:hint="eastAsia" w:ascii="宋体" w:hAnsi="宋体" w:cs="宋体"/>
                <w:color w:val="auto"/>
                <w:szCs w:val="21"/>
                <w:highlight w:val="none"/>
              </w:rPr>
              <w:t>30</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5FA1F33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DC1D0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5ACE5B85">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55CA93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6E35562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526A0CF3">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7E4686B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6E16FD8A">
            <w:pPr>
              <w:keepNext w:val="0"/>
              <w:keepLines w:val="0"/>
              <w:suppressLineNumbers w:val="0"/>
              <w:spacing w:before="0" w:beforeAutospacing="0" w:after="0" w:afterAutospacing="0"/>
              <w:ind w:left="0" w:right="0"/>
              <w:rPr>
                <w:rFonts w:hint="eastAsia" w:ascii="宋体" w:hAnsi="宋体" w:cs="宋体"/>
                <w:strike/>
                <w:color w:val="auto"/>
                <w:szCs w:val="21"/>
                <w:highlight w:val="none"/>
                <w:u w:val="single"/>
              </w:rPr>
            </w:pPr>
            <w:r>
              <w:rPr>
                <w:rFonts w:hint="eastAsia" w:ascii="宋体" w:hAnsi="宋体" w:cs="宋体"/>
                <w:color w:val="auto"/>
                <w:szCs w:val="21"/>
                <w:highlight w:val="none"/>
              </w:rPr>
              <w:t>本项目不适用。</w:t>
            </w:r>
          </w:p>
        </w:tc>
      </w:tr>
      <w:tr w14:paraId="0FDDBF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7CF505E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129BBA5D">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75B56FC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297E27E2">
            <w:pPr>
              <w:keepNext w:val="0"/>
              <w:keepLines w:val="0"/>
              <w:suppressLineNumbers w:val="0"/>
              <w:spacing w:before="0" w:beforeAutospacing="0" w:after="0" w:afterAutospacing="0"/>
              <w:ind w:left="0" w:right="0"/>
              <w:rPr>
                <w:rFonts w:hint="eastAsia" w:ascii="宋体" w:hAnsi="宋体" w:cs="宋体"/>
                <w:strike/>
                <w:color w:val="auto"/>
                <w:szCs w:val="21"/>
                <w:highlight w:val="none"/>
                <w:u w:val="single"/>
              </w:rPr>
            </w:pPr>
            <w:r>
              <w:rPr>
                <w:rFonts w:hint="eastAsia" w:ascii="宋体" w:hAnsi="宋体" w:cs="宋体"/>
                <w:color w:val="auto"/>
                <w:szCs w:val="21"/>
                <w:highlight w:val="none"/>
              </w:rPr>
              <w:t>本项目不适用。</w:t>
            </w:r>
          </w:p>
        </w:tc>
      </w:tr>
      <w:tr w14:paraId="29076E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29462D9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591B1864">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2161F1E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2661B6D2">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bookmarkEnd w:id="26"/>
      <w:bookmarkEnd w:id="27"/>
      <w:bookmarkEnd w:id="28"/>
      <w:bookmarkEnd w:id="29"/>
      <w:tr w14:paraId="43ECB6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5693213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2EC5835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3CBD23E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7F311524">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按合同条款相关约定调整。</w:t>
            </w:r>
          </w:p>
        </w:tc>
      </w:tr>
      <w:tr w14:paraId="72827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5B9DF39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7CA4648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5D437C5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308B344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4BF8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4ECD4A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4E1C851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2EB98666">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29BACD62">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6A07D906">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zh-CN"/>
              </w:rPr>
            </w:pPr>
            <w:bookmarkStart w:id="30" w:name="OLE_LINK29"/>
            <w:r>
              <w:rPr>
                <w:rFonts w:hint="eastAsia" w:ascii="宋体" w:hAnsi="宋体" w:cs="宋体"/>
                <w:color w:val="auto"/>
                <w:szCs w:val="21"/>
                <w:highlight w:val="none"/>
              </w:rPr>
              <w:t>■</w:t>
            </w:r>
            <w:bookmarkEnd w:id="30"/>
            <w:r>
              <w:rPr>
                <w:rFonts w:hint="eastAsia" w:ascii="宋体" w:hAnsi="宋体" w:cs="宋体"/>
                <w:color w:val="auto"/>
                <w:kern w:val="0"/>
                <w:szCs w:val="21"/>
                <w:highlight w:val="none"/>
                <w:lang w:val="zh-CN"/>
              </w:rPr>
              <w:t>允许：</w:t>
            </w:r>
          </w:p>
          <w:p w14:paraId="2B989422">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分包内容要求：</w:t>
            </w:r>
            <w:r>
              <w:rPr>
                <w:rFonts w:hint="eastAsia" w:ascii="宋体" w:hAnsi="宋体" w:cs="宋体"/>
                <w:color w:val="auto"/>
                <w:kern w:val="0"/>
                <w:szCs w:val="21"/>
                <w:highlight w:val="none"/>
                <w:u w:val="single"/>
                <w:lang w:val="zh-CN"/>
              </w:rPr>
              <w:t>非主体关键工程</w:t>
            </w:r>
            <w:r>
              <w:rPr>
                <w:rFonts w:hint="eastAsia" w:ascii="宋体" w:hAnsi="宋体" w:cs="宋体"/>
                <w:color w:val="auto"/>
                <w:kern w:val="0"/>
                <w:szCs w:val="21"/>
                <w:highlight w:val="none"/>
                <w:lang w:val="zh-CN"/>
              </w:rPr>
              <w:t>。</w:t>
            </w:r>
          </w:p>
          <w:p w14:paraId="0EFC2DD7">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lang w:val="zh-CN"/>
              </w:rPr>
              <w:t>。</w:t>
            </w:r>
          </w:p>
          <w:p w14:paraId="4C820A7C">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对分包人的资质要求：</w:t>
            </w:r>
            <w:r>
              <w:rPr>
                <w:rFonts w:hint="eastAsia" w:ascii="宋体" w:hAnsi="宋体" w:cs="宋体"/>
                <w:color w:val="auto"/>
                <w:kern w:val="0"/>
                <w:szCs w:val="21"/>
                <w:highlight w:val="none"/>
                <w:u w:val="single"/>
                <w:lang w:val="zh-CN"/>
              </w:rPr>
              <w:t>符合有关法律法规和文件规定，并不得再次分包</w:t>
            </w:r>
            <w:r>
              <w:rPr>
                <w:rFonts w:hint="eastAsia" w:ascii="宋体" w:hAnsi="宋体" w:cs="宋体"/>
                <w:color w:val="auto"/>
                <w:kern w:val="0"/>
                <w:szCs w:val="21"/>
                <w:highlight w:val="none"/>
                <w:lang w:val="zh-CN"/>
              </w:rPr>
              <w:t>。</w:t>
            </w:r>
          </w:p>
          <w:p w14:paraId="17D885FB">
            <w:pPr>
              <w:keepNext w:val="0"/>
              <w:keepLines w:val="0"/>
              <w:suppressLineNumbers w:val="0"/>
              <w:spacing w:before="0" w:beforeAutospacing="0" w:after="0" w:afterAutospacing="0"/>
              <w:ind w:left="0"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对分包人的其他要求：</w:t>
            </w:r>
            <w:r>
              <w:rPr>
                <w:rFonts w:hint="eastAsia" w:ascii="宋体" w:hAnsi="宋体" w:cs="宋体"/>
                <w:color w:val="auto"/>
                <w:kern w:val="0"/>
                <w:szCs w:val="21"/>
                <w:highlight w:val="none"/>
                <w:u w:val="single"/>
                <w:lang w:val="zh-CN"/>
              </w:rPr>
              <w:t>未在以往工程中因不充分履约行为被本项目招标人书面拒绝投标</w:t>
            </w:r>
            <w:r>
              <w:rPr>
                <w:rFonts w:hint="eastAsia" w:ascii="宋体" w:hAnsi="宋体" w:eastAsia="宋体" w:cs="宋体"/>
                <w:color w:val="auto"/>
                <w:kern w:val="0"/>
                <w:szCs w:val="21"/>
                <w:highlight w:val="none"/>
                <w:u w:val="single"/>
                <w:lang w:val="zh-CN"/>
              </w:rPr>
              <w:t>的，或未被纳入联合惩戒范围的。须</w:t>
            </w:r>
            <w:r>
              <w:rPr>
                <w:rFonts w:hint="eastAsia" w:ascii="宋体" w:hAnsi="宋体" w:cs="宋体"/>
                <w:color w:val="auto"/>
                <w:kern w:val="0"/>
                <w:szCs w:val="21"/>
                <w:highlight w:val="none"/>
                <w:u w:val="single"/>
                <w:lang w:val="zh-CN"/>
              </w:rPr>
              <w:t>经发包人和总监理工程师书面同意</w:t>
            </w:r>
            <w:r>
              <w:rPr>
                <w:rFonts w:hint="eastAsia" w:ascii="宋体" w:hAnsi="宋体" w:cs="宋体"/>
                <w:color w:val="auto"/>
                <w:kern w:val="0"/>
                <w:szCs w:val="21"/>
                <w:highlight w:val="none"/>
                <w:lang w:val="zh-CN"/>
              </w:rPr>
              <w:t>。</w:t>
            </w:r>
          </w:p>
        </w:tc>
      </w:tr>
      <w:tr w14:paraId="7358FB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143ABAA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0D817295">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18FC72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电子招标投标解密失败及突发情况的补救</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47966CC9">
            <w:pPr>
              <w:keepNext w:val="0"/>
              <w:keepLines w:val="0"/>
              <w:suppressLineNumbers w:val="0"/>
              <w:spacing w:before="0" w:beforeAutospacing="0" w:after="0" w:afterAutospacing="0"/>
              <w:ind w:left="-27" w:leftChars="-13" w:right="-59" w:rightChars="-28"/>
              <w:rPr>
                <w:rFonts w:hint="eastAsia" w:ascii="宋体" w:hAnsi="宋体" w:cs="宋体"/>
                <w:color w:val="auto"/>
                <w:szCs w:val="21"/>
                <w:highlight w:val="none"/>
              </w:rPr>
            </w:pPr>
            <w:r>
              <w:rPr>
                <w:rFonts w:hint="eastAsia" w:ascii="宋体" w:hAnsi="宋体" w:cs="宋体"/>
                <w:color w:val="auto"/>
                <w:szCs w:val="21"/>
                <w:highlight w:val="none"/>
              </w:rPr>
              <w:t>1、按照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0F7FB208">
            <w:pPr>
              <w:keepNext w:val="0"/>
              <w:keepLines w:val="0"/>
              <w:suppressLineNumbers w:val="0"/>
              <w:spacing w:before="0" w:beforeAutospacing="0" w:after="0" w:afterAutospacing="0"/>
              <w:ind w:left="-27" w:leftChars="-13" w:right="-59" w:rightChars="-28"/>
              <w:rPr>
                <w:rFonts w:hint="eastAsia" w:ascii="宋体" w:hAnsi="宋体" w:cs="宋体"/>
                <w:color w:val="auto"/>
                <w:szCs w:val="21"/>
                <w:highlight w:val="none"/>
              </w:rPr>
            </w:pPr>
            <w:r>
              <w:rPr>
                <w:rFonts w:hint="eastAsia" w:ascii="宋体" w:hAnsi="宋体" w:cs="宋体"/>
                <w:color w:val="auto"/>
                <w:szCs w:val="21"/>
                <w:highlight w:val="none"/>
              </w:rPr>
              <w:t>2、提交投标文件</w:t>
            </w:r>
            <w:r>
              <w:rPr>
                <w:rFonts w:hint="eastAsia" w:ascii="宋体" w:hAnsi="宋体" w:cs="宋体"/>
                <w:color w:val="auto"/>
                <w:szCs w:val="21"/>
                <w:highlight w:val="none"/>
                <w:u w:val="single"/>
              </w:rPr>
              <w:t>（含定标文件）</w:t>
            </w:r>
            <w:r>
              <w:rPr>
                <w:rFonts w:hint="eastAsia" w:ascii="宋体" w:hAnsi="宋体" w:cs="宋体"/>
                <w:color w:val="auto"/>
                <w:szCs w:val="21"/>
                <w:highlight w:val="none"/>
              </w:rPr>
              <w:t>光盘备用</w:t>
            </w:r>
          </w:p>
          <w:p w14:paraId="502A7E5A">
            <w:pPr>
              <w:keepNext w:val="0"/>
              <w:keepLines w:val="0"/>
              <w:suppressLineNumbers w:val="0"/>
              <w:spacing w:before="0" w:beforeAutospacing="0" w:after="0" w:afterAutospacing="0"/>
              <w:ind w:left="-27" w:leftChars="-13" w:right="-59" w:rightChars="-28" w:firstLine="315" w:firstLineChars="150"/>
              <w:rPr>
                <w:rFonts w:hint="eastAsia" w:ascii="宋体" w:hAnsi="宋体" w:cs="宋体"/>
                <w:bCs/>
                <w:color w:val="auto"/>
                <w:szCs w:val="21"/>
                <w:highlight w:val="none"/>
              </w:rPr>
            </w:pPr>
            <w:r>
              <w:rPr>
                <w:rFonts w:hint="eastAsia" w:ascii="宋体" w:hAnsi="宋体" w:cs="宋体"/>
                <w:color w:val="auto"/>
                <w:szCs w:val="21"/>
                <w:highlight w:val="none"/>
              </w:rPr>
              <w:t>投标人可制作非加密的电子投标文件</w:t>
            </w:r>
            <w:r>
              <w:rPr>
                <w:rFonts w:hint="eastAsia" w:ascii="宋体" w:hAnsi="宋体" w:cs="宋体"/>
                <w:color w:val="auto"/>
                <w:szCs w:val="21"/>
                <w:highlight w:val="none"/>
                <w:u w:val="single"/>
              </w:rPr>
              <w:t>（含定标文件）</w:t>
            </w:r>
            <w:r>
              <w:rPr>
                <w:rFonts w:hint="eastAsia" w:ascii="宋体" w:hAnsi="宋体" w:cs="宋体"/>
                <w:color w:val="auto"/>
                <w:szCs w:val="21"/>
                <w:highlight w:val="none"/>
              </w:rPr>
              <w:t>（PDF格式）刻入光盘（1份），在投标须知前附表第18项规定的时间、地点提交备用。刻录好的投标文件</w:t>
            </w:r>
            <w:r>
              <w:rPr>
                <w:rFonts w:hint="eastAsia" w:ascii="宋体" w:hAnsi="宋体" w:cs="宋体"/>
                <w:color w:val="auto"/>
                <w:szCs w:val="21"/>
                <w:highlight w:val="none"/>
                <w:u w:val="single"/>
              </w:rPr>
              <w:t>（含定标文件）</w:t>
            </w:r>
            <w:r>
              <w:rPr>
                <w:rFonts w:hint="eastAsia" w:ascii="宋体" w:hAnsi="宋体" w:cs="宋体"/>
                <w:color w:val="auto"/>
                <w:szCs w:val="21"/>
                <w:highlight w:val="none"/>
              </w:rPr>
              <w:t>光盘密封在密封袋中，并在封口处加盖投标人单位公章。密封袋上应写明项目名称和招标人名称。递交的光盘不得加密。光盘无法读取或导入的，则视为未提交备用投标文件</w:t>
            </w:r>
            <w:r>
              <w:rPr>
                <w:rFonts w:hint="eastAsia" w:ascii="宋体" w:hAnsi="宋体" w:cs="宋体"/>
                <w:color w:val="auto"/>
                <w:szCs w:val="21"/>
                <w:highlight w:val="none"/>
                <w:u w:val="single"/>
              </w:rPr>
              <w:t>（含定标文件）</w:t>
            </w:r>
            <w:r>
              <w:rPr>
                <w:rFonts w:hint="eastAsia" w:ascii="宋体" w:hAnsi="宋体" w:cs="宋体"/>
                <w:color w:val="auto"/>
                <w:szCs w:val="21"/>
                <w:highlight w:val="none"/>
              </w:rPr>
              <w:t>光盘。如果投标人没有按规定通过交易平台网上递交电子投标文件</w:t>
            </w:r>
            <w:r>
              <w:rPr>
                <w:rFonts w:hint="eastAsia" w:ascii="宋体" w:hAnsi="宋体" w:cs="宋体"/>
                <w:color w:val="auto"/>
                <w:szCs w:val="21"/>
                <w:highlight w:val="none"/>
                <w:u w:val="single"/>
              </w:rPr>
              <w:t>（含定标文件）</w:t>
            </w:r>
            <w:r>
              <w:rPr>
                <w:rFonts w:hint="eastAsia" w:ascii="宋体" w:hAnsi="宋体" w:cs="宋体"/>
                <w:color w:val="auto"/>
                <w:szCs w:val="21"/>
                <w:highlight w:val="none"/>
              </w:rPr>
              <w:t>的，不再读取提交的光盘。</w:t>
            </w:r>
            <w:r>
              <w:rPr>
                <w:rFonts w:hint="eastAsia" w:ascii="宋体" w:hAnsi="宋体" w:cs="宋体"/>
                <w:b/>
                <w:bCs/>
                <w:color w:val="auto"/>
                <w:szCs w:val="21"/>
                <w:highlight w:val="none"/>
              </w:rPr>
              <w:t>投标人也可不提交备用光盘。</w:t>
            </w:r>
          </w:p>
          <w:p w14:paraId="24D066D2">
            <w:pPr>
              <w:keepNext w:val="0"/>
              <w:keepLines w:val="0"/>
              <w:suppressLineNumbers w:val="0"/>
              <w:spacing w:before="0" w:beforeAutospacing="0" w:after="0" w:afterAutospacing="0"/>
              <w:ind w:left="-27" w:leftChars="-13" w:right="-59" w:rightChars="-28"/>
              <w:rPr>
                <w:rFonts w:hint="eastAsia" w:ascii="宋体" w:hAnsi="宋体" w:cs="宋体"/>
                <w:color w:val="auto"/>
                <w:szCs w:val="21"/>
                <w:highlight w:val="none"/>
              </w:rPr>
            </w:pPr>
            <w:r>
              <w:rPr>
                <w:rFonts w:hint="eastAsia" w:ascii="宋体" w:hAnsi="宋体" w:cs="宋体"/>
                <w:color w:val="auto"/>
                <w:szCs w:val="21"/>
                <w:highlight w:val="none"/>
              </w:rPr>
              <w:t>3、补救方案</w:t>
            </w:r>
          </w:p>
          <w:p w14:paraId="0B319CAE">
            <w:pPr>
              <w:keepNext w:val="0"/>
              <w:keepLines w:val="0"/>
              <w:suppressLineNumbers w:val="0"/>
              <w:spacing w:before="0" w:beforeAutospacing="0" w:after="0" w:afterAutospacing="0"/>
              <w:ind w:left="-27" w:leftChars="-13" w:right="-59" w:rightChars="-28"/>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14:paraId="0158B79D">
            <w:pPr>
              <w:keepNext w:val="0"/>
              <w:keepLines w:val="0"/>
              <w:suppressLineNumbers w:val="0"/>
              <w:spacing w:before="0" w:beforeAutospacing="0" w:after="0" w:afterAutospacing="0"/>
              <w:ind w:left="-27" w:leftChars="-13" w:right="-59" w:rightChars="-28" w:firstLine="315" w:firstLineChars="150"/>
              <w:rPr>
                <w:rFonts w:hint="eastAsia"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E131A00">
            <w:pPr>
              <w:keepNext w:val="0"/>
              <w:keepLines w:val="0"/>
              <w:suppressLineNumbers w:val="0"/>
              <w:spacing w:before="0" w:beforeAutospacing="0" w:after="0" w:afterAutospacing="0"/>
              <w:ind w:left="-27" w:leftChars="-13" w:right="-59" w:rightChars="-28"/>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14:paraId="66A33DB7">
            <w:pPr>
              <w:keepNext w:val="0"/>
              <w:keepLines w:val="0"/>
              <w:suppressLineNumbers w:val="0"/>
              <w:spacing w:before="0" w:beforeAutospacing="0" w:after="0" w:afterAutospacing="0"/>
              <w:ind w:left="-27" w:leftChars="-13" w:right="-59" w:rightChars="-28" w:firstLine="315" w:firstLineChars="150"/>
              <w:rPr>
                <w:rFonts w:hint="eastAsia"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w:t>
            </w:r>
            <w:r>
              <w:rPr>
                <w:rFonts w:hint="eastAsia" w:ascii="宋体" w:hAnsi="宋体" w:cs="宋体"/>
                <w:color w:val="auto"/>
                <w:szCs w:val="21"/>
                <w:highlight w:val="none"/>
                <w:u w:val="single"/>
              </w:rPr>
              <w:t>（含定标文件）</w:t>
            </w:r>
            <w:r>
              <w:rPr>
                <w:rFonts w:hint="eastAsia" w:ascii="宋体" w:hAnsi="宋体" w:cs="宋体"/>
                <w:color w:val="auto"/>
                <w:szCs w:val="21"/>
                <w:highlight w:val="none"/>
              </w:rPr>
              <w:t>光盘，并按光盘内容进行评审。</w:t>
            </w:r>
          </w:p>
          <w:p w14:paraId="2C51E04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交易平台网上递交的电子投标文件为准。</w:t>
            </w:r>
          </w:p>
        </w:tc>
      </w:tr>
      <w:tr w14:paraId="0310B5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3689CE4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bookmarkStart w:id="31" w:name="OLE_LINK100" w:colFirst="2" w:colLast="3"/>
            <w:bookmarkStart w:id="32" w:name="_Hlk198226633"/>
            <w:bookmarkStart w:id="33" w:name="OLE_LINK99" w:colFirst="2" w:colLast="3"/>
            <w:r>
              <w:rPr>
                <w:rFonts w:hint="eastAsia" w:ascii="宋体" w:hAnsi="宋体" w:cs="宋体"/>
                <w:color w:val="auto"/>
                <w:szCs w:val="21"/>
                <w:highlight w:val="none"/>
              </w:rPr>
              <w:t>38</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66A95390">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39756F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szCs w:val="21"/>
                <w:highlight w:val="none"/>
                <w:u w:val="single"/>
              </w:rPr>
              <w:t>招标人拒绝接收投标文件备用光盘的情况</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3E1ADF54">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1、在投标截止期后逾期或未在指定地点递交投标文件（含定标文件）备用光盘的；</w:t>
            </w:r>
          </w:p>
          <w:p w14:paraId="252081E1">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2、投标文件（含定标文件）备用光盘未按招标文件要求密封或未在密封处盖章的；</w:t>
            </w:r>
          </w:p>
          <w:p w14:paraId="21868A08">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3、投标人代表未凭法定代表人证明书（原件）、授权委托书原件（仅限于非法定代表人）、本人身份证原件递交投标文件（含定标文件）备用光盘的。</w:t>
            </w:r>
          </w:p>
        </w:tc>
      </w:tr>
      <w:bookmarkEnd w:id="31"/>
      <w:bookmarkEnd w:id="32"/>
      <w:bookmarkEnd w:id="33"/>
      <w:tr w14:paraId="011532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00D2B8B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default" w:ascii="宋体" w:hAnsi="宋体" w:cs="宋体"/>
                <w:color w:val="auto"/>
                <w:szCs w:val="21"/>
                <w:highlight w:val="none"/>
              </w:rPr>
              <w:t>3</w:t>
            </w:r>
            <w:r>
              <w:rPr>
                <w:rFonts w:hint="eastAsia" w:ascii="宋体" w:hAnsi="宋体" w:cs="宋体"/>
                <w:color w:val="auto"/>
                <w:szCs w:val="21"/>
                <w:highlight w:val="none"/>
              </w:rPr>
              <w:t>9</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5B124B91">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B4177C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szCs w:val="21"/>
                <w:highlight w:val="none"/>
                <w:u w:val="single"/>
              </w:rPr>
              <w:t>合格的中标候选人提交纸质投标文件的要求</w:t>
            </w:r>
          </w:p>
        </w:tc>
        <w:tc>
          <w:tcPr>
            <w:tcW w:w="6093" w:type="dxa"/>
            <w:tcBorders>
              <w:top w:val="single" w:color="auto" w:sz="4" w:space="0"/>
              <w:left w:val="single" w:color="auto" w:sz="4" w:space="0"/>
              <w:bottom w:val="single" w:color="auto" w:sz="4" w:space="0"/>
              <w:right w:val="double" w:color="auto" w:sz="4" w:space="0"/>
            </w:tcBorders>
            <w:noWrap w:val="0"/>
            <w:vAlign w:val="center"/>
          </w:tcPr>
          <w:p w14:paraId="55A2DCE9">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bookmarkStart w:id="34" w:name="OLE_LINK168"/>
            <w:r>
              <w:rPr>
                <w:rFonts w:hint="eastAsia" w:ascii="宋体" w:hAnsi="宋体" w:cs="宋体"/>
                <w:color w:val="auto"/>
                <w:szCs w:val="21"/>
                <w:highlight w:val="none"/>
                <w:u w:val="single"/>
              </w:rPr>
              <w:t>1、中标单位在中标公示结束后三个工作日内分别提交一正三副纸质版投标文件及一张电子版投标文件（含定标文件）光盘。</w:t>
            </w:r>
          </w:p>
          <w:p w14:paraId="0AD61A03">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u w:val="single"/>
              </w:rPr>
              <w:t>2、除中标单位外，其余合格的中标候选人在中标公示结束后三个工作日内提交一正纸质版投标文件及一张电子版投标文件（含定标文件）光盘。</w:t>
            </w:r>
            <w:bookmarkEnd w:id="34"/>
          </w:p>
        </w:tc>
      </w:tr>
      <w:tr w14:paraId="094EB9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438A3EF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bookmarkStart w:id="35" w:name="OLE_LINK102" w:colFirst="2" w:colLast="2"/>
            <w:bookmarkStart w:id="36" w:name="OLE_LINK101" w:colFirst="2" w:colLast="2"/>
            <w:bookmarkStart w:id="37" w:name="_Hlk198226756"/>
            <w:r>
              <w:rPr>
                <w:rFonts w:hint="eastAsia" w:ascii="宋体" w:hAnsi="宋体" w:cs="宋体"/>
                <w:color w:val="auto"/>
                <w:szCs w:val="21"/>
                <w:highlight w:val="none"/>
              </w:rPr>
              <w:t>40</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7992B00E">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7789" w:type="dxa"/>
            <w:gridSpan w:val="2"/>
            <w:tcBorders>
              <w:top w:val="single" w:color="auto" w:sz="4" w:space="0"/>
              <w:left w:val="single" w:color="auto" w:sz="4" w:space="0"/>
              <w:bottom w:val="single" w:color="auto" w:sz="4" w:space="0"/>
              <w:right w:val="double" w:color="auto" w:sz="4" w:space="0"/>
            </w:tcBorders>
            <w:noWrap w:val="0"/>
            <w:vAlign w:val="center"/>
          </w:tcPr>
          <w:p w14:paraId="2496672A">
            <w:pPr>
              <w:keepNext w:val="0"/>
              <w:keepLines w:val="0"/>
              <w:suppressLineNumbers w:val="0"/>
              <w:spacing w:before="0" w:beforeAutospacing="0" w:after="0" w:afterAutospacing="0" w:line="276" w:lineRule="auto"/>
              <w:ind w:left="0" w:right="0"/>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rPr>
              <w:t>1</w:t>
            </w:r>
            <w:r>
              <w:rPr>
                <w:rFonts w:hint="eastAsia" w:ascii="宋体" w:hAnsi="宋体" w:eastAsia="宋体" w:cs="宋体"/>
                <w:color w:val="auto"/>
                <w:szCs w:val="21"/>
                <w:highlight w:val="none"/>
                <w:u w:val="single"/>
              </w:rPr>
              <w:t>、交易服务费：中标单位代缴广州交易集团有限公司交易服务费，由广州交易集团有限公司向中标人开具增值税发票。</w:t>
            </w:r>
          </w:p>
          <w:p w14:paraId="536B30DF">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2、招标代理费：中标单位</w:t>
            </w:r>
            <w:r>
              <w:rPr>
                <w:rFonts w:hint="eastAsia" w:ascii="宋体" w:hAnsi="宋体" w:eastAsia="宋体" w:cs="宋体"/>
                <w:color w:val="auto"/>
                <w:szCs w:val="21"/>
                <w:highlight w:val="none"/>
                <w:u w:val="single"/>
                <w:lang w:val="en-US" w:eastAsia="zh-CN"/>
              </w:rPr>
              <w:t>在收到中标通知书前应向</w:t>
            </w:r>
            <w:r>
              <w:rPr>
                <w:rFonts w:hint="eastAsia" w:ascii="宋体" w:hAnsi="宋体" w:cs="宋体"/>
                <w:color w:val="auto"/>
                <w:szCs w:val="21"/>
                <w:highlight w:val="none"/>
                <w:u w:val="single"/>
                <w:lang w:val="en-US" w:eastAsia="zh-CN"/>
              </w:rPr>
              <w:t>招标</w:t>
            </w:r>
            <w:r>
              <w:rPr>
                <w:rFonts w:hint="eastAsia" w:ascii="宋体" w:hAnsi="宋体" w:eastAsia="宋体" w:cs="宋体"/>
                <w:color w:val="auto"/>
                <w:szCs w:val="21"/>
                <w:highlight w:val="none"/>
                <w:u w:val="single"/>
                <w:lang w:val="en-US" w:eastAsia="zh-CN"/>
              </w:rPr>
              <w:t>代理机构交纳</w:t>
            </w:r>
            <w:r>
              <w:rPr>
                <w:rFonts w:hint="eastAsia" w:ascii="宋体" w:hAnsi="宋体" w:eastAsia="宋体" w:cs="宋体"/>
                <w:color w:val="auto"/>
                <w:szCs w:val="21"/>
                <w:highlight w:val="none"/>
                <w:u w:val="single"/>
              </w:rPr>
              <w:t>招标代理费</w:t>
            </w:r>
            <w:r>
              <w:rPr>
                <w:rFonts w:hint="eastAsia" w:ascii="宋体" w:hAnsi="宋体" w:eastAsia="宋体" w:cs="宋体"/>
                <w:color w:val="auto"/>
                <w:szCs w:val="21"/>
                <w:highlight w:val="none"/>
                <w:u w:val="single"/>
                <w:lang w:val="en-US" w:eastAsia="zh-CN"/>
              </w:rPr>
              <w:t>；</w:t>
            </w:r>
            <w:r>
              <w:rPr>
                <w:rFonts w:hint="eastAsia" w:ascii="宋体" w:hAnsi="宋体" w:cs="宋体"/>
                <w:color w:val="auto"/>
                <w:szCs w:val="21"/>
                <w:highlight w:val="none"/>
                <w:u w:val="single"/>
                <w:lang w:val="en-US" w:eastAsia="zh-CN"/>
              </w:rPr>
              <w:t>收费标准：</w:t>
            </w:r>
            <w:r>
              <w:rPr>
                <w:rFonts w:hint="eastAsia" w:ascii="宋体" w:hAnsi="宋体" w:eastAsia="宋体" w:cs="宋体"/>
                <w:color w:val="auto"/>
                <w:szCs w:val="21"/>
                <w:highlight w:val="none"/>
                <w:u w:val="single"/>
              </w:rPr>
              <w:t>参照《招标代理服务收费管理暂行办法》（计价格［2002］1980号）及《国家发展改革委关于降低部分建设项目收费标准规范收费行为等有关问题的通知》（发改价格[2011]534号）下浮20%</w:t>
            </w:r>
            <w:r>
              <w:rPr>
                <w:rFonts w:hint="eastAsia" w:ascii="宋体" w:hAnsi="宋体" w:cs="宋体"/>
                <w:color w:val="auto"/>
                <w:szCs w:val="21"/>
                <w:highlight w:val="none"/>
                <w:u w:val="single"/>
                <w:lang w:val="en-US" w:eastAsia="zh-CN"/>
              </w:rPr>
              <w:t>收取</w:t>
            </w:r>
            <w:r>
              <w:rPr>
                <w:rFonts w:hint="eastAsia" w:ascii="宋体" w:hAnsi="宋体" w:eastAsia="宋体" w:cs="宋体"/>
                <w:color w:val="auto"/>
                <w:szCs w:val="21"/>
                <w:highlight w:val="none"/>
                <w:u w:val="single"/>
              </w:rPr>
              <w:t>。</w:t>
            </w:r>
          </w:p>
        </w:tc>
      </w:tr>
      <w:bookmarkEnd w:id="35"/>
      <w:bookmarkEnd w:id="36"/>
      <w:bookmarkEnd w:id="37"/>
      <w:tr w14:paraId="5C5469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706B34B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41</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6326CEAE">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7789" w:type="dxa"/>
            <w:gridSpan w:val="2"/>
            <w:tcBorders>
              <w:top w:val="single" w:color="auto" w:sz="4" w:space="0"/>
              <w:left w:val="single" w:color="auto" w:sz="4" w:space="0"/>
              <w:bottom w:val="single" w:color="auto" w:sz="4" w:space="0"/>
              <w:right w:val="double" w:color="auto" w:sz="4" w:space="0"/>
            </w:tcBorders>
            <w:noWrap w:val="0"/>
            <w:vAlign w:val="center"/>
          </w:tcPr>
          <w:p w14:paraId="360C944D">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内容：招标人对中标人参与“百千万工程”的具体要求</w:t>
            </w:r>
          </w:p>
          <w:p w14:paraId="5E75E186">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说明与要求：</w:t>
            </w:r>
          </w:p>
          <w:p w14:paraId="6B1508F5">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u w:val="single"/>
                <w:lang w:val="zh-CN"/>
              </w:rPr>
            </w:pPr>
            <w:r>
              <w:rPr>
                <w:rFonts w:hint="eastAsia" w:ascii="宋体" w:hAnsi="宋体" w:cs="宋体"/>
                <w:color w:val="auto"/>
                <w:kern w:val="0"/>
                <w:szCs w:val="21"/>
                <w:highlight w:val="none"/>
                <w:lang w:val="zh-CN"/>
              </w:rPr>
              <w:t>□</w:t>
            </w:r>
            <w:r>
              <w:rPr>
                <w:rFonts w:hint="eastAsia" w:ascii="宋体" w:hAnsi="宋体" w:cs="宋体"/>
                <w:color w:val="auto"/>
                <w:szCs w:val="21"/>
                <w:highlight w:val="none"/>
                <w:u w:val="single"/>
                <w:lang w:val="zh-CN"/>
              </w:rPr>
              <w:t>具体要求在中标后按照投标承诺和招标人的要求执行。</w:t>
            </w:r>
          </w:p>
          <w:p w14:paraId="1E042FCE">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u w:val="single"/>
                <w:lang w:val="zh-CN"/>
              </w:rPr>
              <w:t>具体要求：无。</w:t>
            </w:r>
          </w:p>
        </w:tc>
      </w:tr>
      <w:tr w14:paraId="518796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433303A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5CACE735">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7789" w:type="dxa"/>
            <w:gridSpan w:val="2"/>
            <w:tcBorders>
              <w:top w:val="single" w:color="auto" w:sz="4" w:space="0"/>
              <w:left w:val="single" w:color="auto" w:sz="4" w:space="0"/>
              <w:bottom w:val="single" w:color="auto" w:sz="4" w:space="0"/>
              <w:right w:val="double" w:color="auto" w:sz="4" w:space="0"/>
            </w:tcBorders>
            <w:noWrap w:val="0"/>
            <w:vAlign w:val="center"/>
          </w:tcPr>
          <w:p w14:paraId="48904857">
            <w:pPr>
              <w:keepNext w:val="0"/>
              <w:keepLines w:val="0"/>
              <w:suppressLineNumbers w:val="0"/>
              <w:spacing w:before="0" w:beforeAutospacing="0" w:after="0" w:afterAutospacing="0" w:line="276" w:lineRule="auto"/>
              <w:ind w:left="0" w:right="0"/>
              <w:rPr>
                <w:rFonts w:hint="default" w:ascii="宋体" w:hAnsi="宋体" w:cs="宋体"/>
                <w:color w:val="auto"/>
                <w:szCs w:val="21"/>
                <w:highlight w:val="none"/>
                <w:u w:val="single"/>
              </w:rPr>
            </w:pPr>
            <w:bookmarkStart w:id="38" w:name="OLE_LINK103"/>
            <w:r>
              <w:rPr>
                <w:rFonts w:hint="eastAsia" w:ascii="宋体" w:hAnsi="宋体" w:cs="宋体"/>
                <w:color w:val="auto"/>
                <w:szCs w:val="21"/>
                <w:highlight w:val="none"/>
                <w:u w:val="single"/>
              </w:rPr>
              <w:t>否决条款：</w:t>
            </w:r>
          </w:p>
          <w:p w14:paraId="53BC9447">
            <w:pPr>
              <w:keepNext w:val="0"/>
              <w:keepLines w:val="0"/>
              <w:suppressLineNumbers w:val="0"/>
              <w:spacing w:before="0" w:beforeAutospacing="0" w:after="0" w:afterAutospacing="0" w:line="276" w:lineRule="auto"/>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1、存在《技术标有效性审查表》的情形。</w:t>
            </w:r>
          </w:p>
          <w:p w14:paraId="5BE41225">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2、存在《经济标有效性审查表》的情形。</w:t>
            </w:r>
            <w:bookmarkEnd w:id="38"/>
          </w:p>
        </w:tc>
      </w:tr>
      <w:tr w14:paraId="6CE3A6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tcBorders>
              <w:top w:val="single" w:color="auto" w:sz="4" w:space="0"/>
              <w:left w:val="double" w:color="auto" w:sz="4" w:space="0"/>
              <w:bottom w:val="single" w:color="auto" w:sz="4" w:space="0"/>
              <w:right w:val="single" w:color="auto" w:sz="4" w:space="0"/>
            </w:tcBorders>
            <w:noWrap w:val="0"/>
            <w:vAlign w:val="center"/>
          </w:tcPr>
          <w:p w14:paraId="05C25C6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21F8BC42">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7789" w:type="dxa"/>
            <w:gridSpan w:val="2"/>
            <w:tcBorders>
              <w:top w:val="single" w:color="auto" w:sz="4" w:space="0"/>
              <w:left w:val="single" w:color="auto" w:sz="4" w:space="0"/>
              <w:bottom w:val="single" w:color="auto" w:sz="4" w:space="0"/>
              <w:right w:val="double" w:color="auto" w:sz="4" w:space="0"/>
            </w:tcBorders>
            <w:noWrap w:val="0"/>
            <w:vAlign w:val="center"/>
          </w:tcPr>
          <w:p w14:paraId="57AF2D8E">
            <w:pPr>
              <w:keepNext w:val="0"/>
              <w:keepLines w:val="0"/>
              <w:suppressLineNumbers w:val="0"/>
              <w:spacing w:before="0" w:beforeAutospacing="0" w:after="0" w:afterAutospacing="0" w:line="276" w:lineRule="auto"/>
              <w:ind w:left="0" w:right="0"/>
              <w:rPr>
                <w:rFonts w:hint="eastAsia" w:ascii="宋体" w:hAnsi="宋体" w:cs="宋体"/>
                <w:color w:val="auto"/>
                <w:szCs w:val="21"/>
                <w:highlight w:val="none"/>
                <w:u w:val="single"/>
              </w:rPr>
            </w:pPr>
            <w:bookmarkStart w:id="39" w:name="OLE_LINK104"/>
            <w:r>
              <w:rPr>
                <w:rFonts w:hint="eastAsia" w:ascii="宋体" w:hAnsi="宋体" w:cs="宋体"/>
                <w:bCs/>
                <w:color w:val="auto"/>
                <w:szCs w:val="21"/>
                <w:highlight w:val="none"/>
                <w:u w:val="single"/>
              </w:rPr>
              <w:t>本项目场地有限，投标人应综合考虑施工及生活、办公等所需的场地要求，并自行解决场地条件（如向外租赁、场外加工等），相关费用包含在投标报价中，不再另行支付</w:t>
            </w:r>
            <w:r>
              <w:rPr>
                <w:rFonts w:hint="eastAsia" w:ascii="宋体" w:hAnsi="宋体" w:cs="宋体"/>
                <w:color w:val="auto"/>
                <w:szCs w:val="21"/>
                <w:highlight w:val="none"/>
                <w:u w:val="single"/>
              </w:rPr>
              <w:t>。</w:t>
            </w:r>
            <w:bookmarkEnd w:id="39"/>
          </w:p>
        </w:tc>
      </w:tr>
    </w:tbl>
    <w:p w14:paraId="0142E0C5">
      <w:pPr>
        <w:spacing w:line="360" w:lineRule="auto"/>
        <w:jc w:val="left"/>
        <w:rPr>
          <w:rFonts w:hint="eastAsia" w:ascii="宋体" w:hAnsi="宋体" w:cs="宋体"/>
          <w:strike/>
          <w:color w:val="auto"/>
          <w:kern w:val="0"/>
          <w:szCs w:val="21"/>
          <w:highlight w:val="none"/>
        </w:rPr>
      </w:pPr>
      <w:r>
        <w:rPr>
          <w:rFonts w:hint="eastAsia" w:ascii="宋体" w:hAnsi="宋体" w:cs="宋体"/>
          <w:strike/>
          <w:color w:val="auto"/>
          <w:szCs w:val="21"/>
          <w:highlight w:val="none"/>
        </w:rPr>
        <w:t>注：企业</w:t>
      </w:r>
      <w:r>
        <w:rPr>
          <w:rFonts w:hint="eastAsia" w:ascii="宋体" w:hAnsi="宋体" w:cs="宋体"/>
          <w:strike/>
          <w:color w:val="auto"/>
          <w:kern w:val="0"/>
          <w:szCs w:val="21"/>
          <w:highlight w:val="none"/>
        </w:rPr>
        <w:t>综合诚信评价得分</w:t>
      </w:r>
      <w:r>
        <w:rPr>
          <w:rFonts w:hint="eastAsia" w:ascii="宋体" w:hAnsi="宋体" w:cs="宋体"/>
          <w:strike/>
          <w:color w:val="auto"/>
          <w:kern w:val="0"/>
          <w:szCs w:val="21"/>
          <w:highlight w:val="none"/>
          <w:u w:val="single"/>
        </w:rPr>
        <w:t>即</w:t>
      </w:r>
      <w:r>
        <w:rPr>
          <w:rFonts w:hint="eastAsia" w:ascii="宋体" w:hAnsi="宋体" w:cs="宋体"/>
          <w:strike/>
          <w:color w:val="auto"/>
          <w:szCs w:val="21"/>
          <w:highlight w:val="none"/>
          <w:u w:val="single"/>
        </w:rPr>
        <w:t>投标截止当日广州市工程招标代理行业协会公布的企业</w:t>
      </w:r>
      <w:r>
        <w:rPr>
          <w:rFonts w:hint="eastAsia" w:ascii="宋体" w:hAnsi="宋体" w:cs="宋体"/>
          <w:strike/>
          <w:color w:val="auto"/>
          <w:kern w:val="0"/>
          <w:szCs w:val="21"/>
          <w:highlight w:val="none"/>
          <w:u w:val="single"/>
        </w:rPr>
        <w:t>诚信评价60日诚信分</w:t>
      </w:r>
      <w:r>
        <w:rPr>
          <w:rFonts w:hint="eastAsia" w:ascii="宋体" w:hAnsi="宋体" w:cs="宋体"/>
          <w:strike/>
          <w:color w:val="auto"/>
          <w:kern w:val="0"/>
          <w:szCs w:val="21"/>
          <w:highlight w:val="none"/>
        </w:rPr>
        <w:t>，以下同。</w:t>
      </w:r>
    </w:p>
    <w:p w14:paraId="43FC663B">
      <w:pPr>
        <w:spacing w:line="480" w:lineRule="auto"/>
        <w:jc w:val="center"/>
        <w:rPr>
          <w:rFonts w:hint="eastAsia" w:ascii="宋体" w:hAnsi="宋体" w:cs="宋体"/>
          <w:b/>
          <w:color w:val="auto"/>
          <w:kern w:val="0"/>
          <w:sz w:val="24"/>
          <w:szCs w:val="24"/>
          <w:highlight w:val="none"/>
          <w:lang w:val="zh-CN"/>
        </w:rPr>
      </w:pPr>
      <w:r>
        <w:rPr>
          <w:rFonts w:hint="eastAsia" w:ascii="宋体" w:hAnsi="宋体" w:cs="宋体"/>
          <w:strike/>
          <w:color w:val="auto"/>
          <w:highlight w:val="none"/>
        </w:rPr>
        <w:br w:type="page"/>
      </w:r>
      <w:bookmarkStart w:id="40" w:name="_Toc97576573"/>
      <w:r>
        <w:rPr>
          <w:rFonts w:hint="eastAsia" w:ascii="宋体" w:hAnsi="宋体" w:cs="宋体"/>
          <w:b/>
          <w:color w:val="auto"/>
          <w:kern w:val="0"/>
          <w:sz w:val="24"/>
          <w:szCs w:val="24"/>
          <w:highlight w:val="none"/>
          <w:lang w:val="zh-CN"/>
        </w:rPr>
        <w:t>二、投标须知修改表</w:t>
      </w:r>
      <w:bookmarkEnd w:id="40"/>
    </w:p>
    <w:p w14:paraId="14C60ACD">
      <w:pPr>
        <w:spacing w:after="120" w:line="360" w:lineRule="auto"/>
        <w:ind w:firstLine="420"/>
        <w:rPr>
          <w:rFonts w:hint="eastAsia" w:ascii="宋体" w:hAnsi="宋体" w:cs="宋体"/>
          <w:b/>
          <w:color w:val="auto"/>
          <w:szCs w:val="21"/>
          <w:highlight w:val="none"/>
        </w:rPr>
      </w:pPr>
      <w:r>
        <w:rPr>
          <w:rFonts w:hint="eastAsia" w:ascii="宋体" w:hAnsi="宋体" w:cs="宋体"/>
          <w:b/>
          <w:color w:val="auto"/>
          <w:szCs w:val="21"/>
          <w:highlight w:val="none"/>
        </w:rPr>
        <w:t>声明：本投标须知使用GZZB2018-3招标文件范本</w:t>
      </w:r>
      <w:r>
        <w:rPr>
          <w:rFonts w:hint="eastAsia" w:ascii="宋体" w:hAnsi="宋体" w:cs="宋体"/>
          <w:b/>
          <w:color w:val="auto"/>
          <w:highlight w:val="none"/>
          <w:u w:val="single"/>
        </w:rPr>
        <w:t>[含招标文件范本（GZZB2018-3）修改对照表]</w:t>
      </w:r>
      <w:r>
        <w:rPr>
          <w:rFonts w:hint="eastAsia" w:ascii="宋体" w:hAnsi="宋体" w:cs="宋体"/>
          <w:b/>
          <w:color w:val="auto"/>
          <w:szCs w:val="21"/>
          <w:highlight w:val="none"/>
        </w:rPr>
        <w:t>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4443C375">
      <w:pPr>
        <w:spacing w:line="400" w:lineRule="exact"/>
        <w:ind w:firstLine="472" w:firstLineChars="224"/>
        <w:rPr>
          <w:rFonts w:hint="eastAsia" w:ascii="宋体" w:hAnsi="宋体" w:cs="宋体"/>
          <w:b/>
          <w:color w:val="auto"/>
          <w:szCs w:val="21"/>
          <w:highlight w:val="none"/>
        </w:rPr>
      </w:pPr>
      <w:bookmarkStart w:id="41" w:name="_Hlk196484945"/>
      <w:r>
        <w:rPr>
          <w:rFonts w:hint="eastAsia" w:ascii="宋体" w:hAnsi="宋体" w:cs="宋体"/>
          <w:b/>
          <w:color w:val="auto"/>
          <w:szCs w:val="21"/>
          <w:highlight w:val="none"/>
          <w:lang w:bidi="ar"/>
        </w:rPr>
        <w:t>条款号：2.5                                 修改类型：增加</w:t>
      </w:r>
    </w:p>
    <w:p w14:paraId="2CB23B46">
      <w:pPr>
        <w:pBdr>
          <w:bottom w:val="single" w:color="auto" w:sz="6" w:space="1"/>
        </w:pBd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lang w:bidi="ar"/>
        </w:rPr>
        <w:t>现文：</w:t>
      </w:r>
      <w:bookmarkStart w:id="42" w:name="OLE_LINK105"/>
      <w:r>
        <w:rPr>
          <w:rFonts w:hint="eastAsia" w:ascii="宋体" w:hAnsi="宋体" w:cs="宋体"/>
          <w:color w:val="auto"/>
          <w:szCs w:val="21"/>
          <w:highlight w:val="none"/>
          <w:lang w:bidi="ar"/>
        </w:rPr>
        <w:t>2.5</w:t>
      </w:r>
      <w:r>
        <w:rPr>
          <w:rFonts w:hint="eastAsia" w:ascii="宋体" w:hAnsi="宋体" w:cs="宋体"/>
          <w:bCs/>
          <w:color w:val="auto"/>
          <w:szCs w:val="21"/>
          <w:highlight w:val="none"/>
          <w:u w:val="single"/>
          <w:lang w:bidi="ar"/>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bookmarkEnd w:id="42"/>
      <w:r>
        <w:rPr>
          <w:rFonts w:hint="eastAsia" w:ascii="宋体" w:hAnsi="宋体" w:cs="宋体"/>
          <w:color w:val="auto"/>
          <w:szCs w:val="21"/>
          <w:highlight w:val="none"/>
        </w:rPr>
        <w:t xml:space="preserve"> </w:t>
      </w:r>
    </w:p>
    <w:p w14:paraId="543136B5">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5.1</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14:paraId="0AD418DF">
      <w:pPr>
        <w:spacing w:line="400" w:lineRule="exact"/>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r>
        <w:rPr>
          <w:rFonts w:hint="eastAsia" w:ascii="宋体" w:hAnsi="宋体" w:cs="宋体"/>
          <w:color w:val="auto"/>
          <w:szCs w:val="21"/>
          <w:highlight w:val="none"/>
        </w:rPr>
        <w:t>。</w:t>
      </w:r>
    </w:p>
    <w:p w14:paraId="174C06EB">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w:t>
      </w:r>
      <w:r>
        <w:rPr>
          <w:rFonts w:hint="eastAsia" w:ascii="宋体" w:hAnsi="宋体" w:cs="宋体"/>
          <w:bCs/>
          <w:color w:val="auto"/>
          <w:szCs w:val="21"/>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Cs/>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bCs/>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投标人缺乏对现场条件的了解或掌握而产生的损失由投标人自行承担</w:t>
      </w:r>
      <w:r>
        <w:rPr>
          <w:rFonts w:hint="eastAsia" w:ascii="宋体" w:hAnsi="宋体" w:cs="宋体"/>
          <w:bCs/>
          <w:color w:val="auto"/>
          <w:szCs w:val="21"/>
          <w:highlight w:val="none"/>
        </w:rPr>
        <w:t>。考察现场的费用由投标人自己承担</w:t>
      </w:r>
      <w:r>
        <w:rPr>
          <w:rFonts w:hint="eastAsia" w:ascii="宋体" w:hAnsi="宋体" w:cs="宋体"/>
          <w:color w:val="auto"/>
          <w:szCs w:val="21"/>
          <w:highlight w:val="none"/>
        </w:rPr>
        <w:t>。</w:t>
      </w:r>
    </w:p>
    <w:p w14:paraId="1A34A624">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7.1                                修改类型：修改</w:t>
      </w:r>
    </w:p>
    <w:p w14:paraId="19C58427">
      <w:pP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7.1本招标文件包括下列文件，以及所有按本须知第8条发出的招标答疑会会议纪要和按本须知第9条发出的澄清或修改：</w:t>
      </w:r>
    </w:p>
    <w:p w14:paraId="27CC4B33">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第一章  投标须知</w:t>
      </w:r>
    </w:p>
    <w:p w14:paraId="33A527C9">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第二章  开标、评标及定标办法</w:t>
      </w:r>
    </w:p>
    <w:p w14:paraId="226727C0">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第三章  合同条款</w:t>
      </w:r>
    </w:p>
    <w:p w14:paraId="16C811BE">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第四章  投标文件格式</w:t>
      </w:r>
    </w:p>
    <w:p w14:paraId="1A773285">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第五章  技术条件（工程建设标准）（另册）</w:t>
      </w:r>
    </w:p>
    <w:p w14:paraId="78B3F3DA">
      <w:pPr>
        <w:tabs>
          <w:tab w:val="left" w:pos="5880"/>
        </w:tabs>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第六章  图纸及勘察资料（另册）</w:t>
      </w:r>
    </w:p>
    <w:p w14:paraId="2820B2D5">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第七章  招标工程量清单（另册）</w:t>
      </w:r>
    </w:p>
    <w:p w14:paraId="54A38865">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14:paraId="74CA6E39">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鼓励招标人对施工组织设计或施工方案实行隐藏投标人信息的暗标评审。</w:t>
      </w:r>
    </w:p>
    <w:p w14:paraId="3050D644">
      <w:pP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7.1本招标文件包括下列文件，以及所有按本须知第8条发出的招标答疑会会议纪要和按本须知第9条发出的澄清或修改：</w:t>
      </w:r>
    </w:p>
    <w:p w14:paraId="26AC5FD5">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第一章  投标须知</w:t>
      </w:r>
    </w:p>
    <w:p w14:paraId="7BC78879">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第二章  开标、评标及定标办法</w:t>
      </w:r>
    </w:p>
    <w:p w14:paraId="7EA8D4B4">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第三章  合同条款</w:t>
      </w:r>
      <w:r>
        <w:rPr>
          <w:rFonts w:hint="eastAsia" w:ascii="宋体" w:hAnsi="宋体" w:cs="宋体"/>
          <w:color w:val="auto"/>
          <w:szCs w:val="21"/>
          <w:highlight w:val="none"/>
          <w:u w:val="single"/>
        </w:rPr>
        <w:t>（另册）</w:t>
      </w:r>
    </w:p>
    <w:p w14:paraId="2AF7CF8C">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第四章  投标文件格式</w:t>
      </w:r>
    </w:p>
    <w:p w14:paraId="58B08D94">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第五章  技术条件（工程建设标准）</w:t>
      </w:r>
      <w:r>
        <w:rPr>
          <w:rFonts w:hint="eastAsia" w:ascii="宋体" w:hAnsi="宋体" w:cs="宋体"/>
          <w:color w:val="auto"/>
          <w:szCs w:val="21"/>
          <w:highlight w:val="none"/>
          <w:u w:val="none"/>
        </w:rPr>
        <w:t>（另册）</w:t>
      </w:r>
    </w:p>
    <w:p w14:paraId="639AE0F7">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第六章  图纸及勘察资料（另册）</w:t>
      </w:r>
    </w:p>
    <w:p w14:paraId="5B26DD0A">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 xml:space="preserve">第七章  招标工程量清单（另册） </w:t>
      </w:r>
    </w:p>
    <w:p w14:paraId="7B5F8FBF">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r>
        <w:rPr>
          <w:rFonts w:hint="eastAsia" w:ascii="宋体" w:hAnsi="宋体" w:cs="宋体"/>
          <w:color w:val="auto"/>
          <w:szCs w:val="21"/>
          <w:highlight w:val="none"/>
          <w:u w:val="single"/>
        </w:rPr>
        <w:t>（另册）</w:t>
      </w:r>
    </w:p>
    <w:p w14:paraId="782775F1">
      <w:pPr>
        <w:pBdr>
          <w:bottom w:val="single" w:color="auto" w:sz="4" w:space="0"/>
        </w:pBd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鼓励招标人对施工组织设计或施工方案实行隐藏投标人信息的暗标评审。</w:t>
      </w:r>
    </w:p>
    <w:p w14:paraId="19574F06">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条款号：8.1                                  修改类型：修改</w:t>
      </w:r>
    </w:p>
    <w:p w14:paraId="1AA4A212">
      <w:pPr>
        <w:pBdr>
          <w:bottom w:val="single" w:color="auto" w:sz="6" w:space="1"/>
        </w:pBd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14:paraId="75F06EDB">
      <w:pPr>
        <w:pBdr>
          <w:bottom w:val="single" w:color="auto" w:sz="6" w:space="1"/>
        </w:pBd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8.1投标人若对招标文件（包括招标</w:t>
      </w:r>
      <w:r>
        <w:rPr>
          <w:rFonts w:hint="eastAsia" w:ascii="宋体" w:hAnsi="宋体" w:cs="宋体"/>
          <w:color w:val="auto"/>
          <w:szCs w:val="21"/>
          <w:highlight w:val="none"/>
          <w:u w:val="single"/>
        </w:rPr>
        <w:t>图纸、清单、最高投标限价、合同条款</w:t>
      </w:r>
      <w:r>
        <w:rPr>
          <w:rFonts w:hint="eastAsia" w:ascii="宋体" w:hAnsi="宋体" w:cs="宋体"/>
          <w:color w:val="auto"/>
          <w:szCs w:val="21"/>
          <w:highlight w:val="none"/>
        </w:rPr>
        <w:t>）中有疑问，</w:t>
      </w:r>
      <w:r>
        <w:rPr>
          <w:rFonts w:hint="eastAsia" w:ascii="宋体" w:hAnsi="宋体" w:cs="宋体"/>
          <w:bCs/>
          <w:color w:val="auto"/>
          <w:szCs w:val="21"/>
          <w:highlight w:val="none"/>
          <w:u w:val="single"/>
        </w:rPr>
        <w:t>采用网上答疑方式进行，详见本须知前附表第16项。招标人或招标代理人将于本须知前附表第16项指定的地点（交易平台）和时间对疑问进行答复</w:t>
      </w:r>
      <w:r>
        <w:rPr>
          <w:rFonts w:ascii="宋体" w:hAnsi="宋体" w:cs="宋体"/>
          <w:color w:val="auto"/>
          <w:szCs w:val="21"/>
          <w:highlight w:val="none"/>
        </w:rPr>
        <w:t>。</w:t>
      </w:r>
    </w:p>
    <w:p w14:paraId="08D0DBA0">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条款号：8.2                                   修改类型：修改</w:t>
      </w:r>
    </w:p>
    <w:p w14:paraId="6C873D7D">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14:paraId="1FBCE183">
      <w:pPr>
        <w:pBdr>
          <w:bottom w:val="single" w:color="auto" w:sz="6" w:space="1"/>
        </w:pBd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 招标答疑会会议纪要将在提交投标文件截止时间15日前在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"http://ggzy.gz.gov.cn/xmcxjsgc/index.jhtml"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rPr>
        <w:t>”</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w:t>
      </w:r>
    </w:p>
    <w:p w14:paraId="716A7F68">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条款号：8.4                                  修改类型：修改</w:t>
      </w:r>
    </w:p>
    <w:p w14:paraId="6718DBE2">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14:paraId="7B3CF4B2">
      <w:pPr>
        <w:pBdr>
          <w:bottom w:val="single" w:color="auto" w:sz="6" w:space="1"/>
        </w:pBd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w:t>
      </w:r>
      <w:bookmarkStart w:id="43" w:name="OLE_LINK21"/>
      <w:r>
        <w:rPr>
          <w:rFonts w:hint="eastAsia" w:ascii="宋体" w:hAnsi="宋体" w:cs="宋体"/>
          <w:color w:val="auto"/>
          <w:szCs w:val="21"/>
          <w:highlight w:val="none"/>
        </w:rPr>
        <w:t>若招标答疑纪要与招标文件有矛盾时，以</w:t>
      </w:r>
      <w:r>
        <w:rPr>
          <w:rFonts w:hint="eastAsia" w:ascii="宋体" w:hAnsi="宋体" w:cs="宋体"/>
          <w:color w:val="auto"/>
          <w:szCs w:val="21"/>
          <w:highlight w:val="none"/>
          <w:u w:val="single"/>
        </w:rPr>
        <w:t>广州交易集团有限公司（广州公共资源交易中心）网站最后发布的答疑纪要为准</w:t>
      </w:r>
      <w:r>
        <w:rPr>
          <w:rFonts w:hint="eastAsia" w:ascii="宋体" w:hAnsi="宋体" w:cs="宋体"/>
          <w:color w:val="auto"/>
          <w:szCs w:val="21"/>
          <w:highlight w:val="none"/>
        </w:rPr>
        <w:t>。</w:t>
      </w:r>
      <w:bookmarkEnd w:id="43"/>
    </w:p>
    <w:p w14:paraId="653DB7A2">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9.2 </w:t>
      </w:r>
      <w:r>
        <w:rPr>
          <w:rFonts w:hint="eastAsia" w:ascii="宋体" w:hAnsi="宋体" w:cs="宋体"/>
          <w:b/>
          <w:color w:val="auto"/>
          <w:szCs w:val="21"/>
          <w:highlight w:val="none"/>
        </w:rPr>
        <w:t xml:space="preserve">                                 修改类型：修改</w:t>
      </w:r>
    </w:p>
    <w:p w14:paraId="198D9D61">
      <w:pPr>
        <w:pStyle w:val="37"/>
        <w:spacing w:after="0"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14:paraId="5A399568">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 招标文件的澄清或修改将在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"http://ggzy.gz.gov.cn/xmcxjsgc/index.jhtml"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交易平台上网发布时间作为送达时间。</w:t>
      </w:r>
    </w:p>
    <w:p w14:paraId="7476E18E">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9.4 </w:t>
      </w:r>
      <w:r>
        <w:rPr>
          <w:rFonts w:hint="eastAsia" w:ascii="宋体" w:hAnsi="宋体" w:cs="宋体"/>
          <w:b/>
          <w:color w:val="auto"/>
          <w:szCs w:val="21"/>
          <w:highlight w:val="none"/>
        </w:rPr>
        <w:t xml:space="preserve">                                 修改类型：修改</w:t>
      </w:r>
    </w:p>
    <w:p w14:paraId="043F4103">
      <w:pPr>
        <w:pStyle w:val="37"/>
        <w:spacing w:after="0" w:line="400" w:lineRule="exact"/>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14:paraId="7D42EE77">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在广州交易集团有限公司（广州公共资源交易中心）交易平台“</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"http://ggzy.gz.gov.cn/xmcxjsgc/index.jhtml"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rPr>
        <w:t>”专区公开发布</w:t>
      </w:r>
      <w:r>
        <w:rPr>
          <w:rFonts w:hint="eastAsia" w:ascii="宋体" w:hAnsi="宋体" w:cs="宋体"/>
          <w:color w:val="auto"/>
          <w:szCs w:val="21"/>
          <w:highlight w:val="none"/>
        </w:rPr>
        <w:t>的内容为准。当招标文件的澄清、修改、补充等在同一内容的表述不一致时，</w:t>
      </w:r>
      <w:r>
        <w:rPr>
          <w:rFonts w:hint="eastAsia" w:ascii="宋体" w:hAnsi="宋体" w:cs="宋体"/>
          <w:color w:val="auto"/>
          <w:szCs w:val="21"/>
          <w:highlight w:val="none"/>
          <w:u w:val="single"/>
        </w:rPr>
        <w:t>以广州交易集团有限公司（广州公共资源交易中心）网站最后发布的内容为准</w:t>
      </w:r>
      <w:r>
        <w:rPr>
          <w:rFonts w:hint="eastAsia" w:ascii="宋体" w:hAnsi="宋体" w:cs="宋体"/>
          <w:color w:val="auto"/>
          <w:szCs w:val="21"/>
          <w:highlight w:val="none"/>
        </w:rPr>
        <w:t>。</w:t>
      </w:r>
    </w:p>
    <w:p w14:paraId="50D783F7">
      <w:pPr>
        <w:pStyle w:val="37"/>
        <w:spacing w:after="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条款号：11.1                                 修改类型：修改</w:t>
      </w:r>
    </w:p>
    <w:p w14:paraId="43C0773F">
      <w:pPr>
        <w:pStyle w:val="37"/>
        <w:adjustRightInd w:val="0"/>
        <w:snapToGrid w:val="0"/>
        <w:spacing w:after="0" w:line="40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11.1</w:t>
      </w:r>
      <w:r>
        <w:rPr>
          <w:rFonts w:hint="eastAsia" w:ascii="宋体" w:hAnsi="宋体" w:cs="宋体"/>
          <w:color w:val="auto"/>
          <w:szCs w:val="21"/>
          <w:highlight w:val="none"/>
        </w:rPr>
        <w:t>投标文件由技术部分（含资格审查文件）和经济部分二部分投标文件组成。</w:t>
      </w:r>
    </w:p>
    <w:p w14:paraId="470E1ECE">
      <w:pPr>
        <w:pBdr>
          <w:bottom w:val="single" w:color="auto" w:sz="6" w:space="0"/>
        </w:pBdr>
        <w:adjustRightInd w:val="0"/>
        <w:snapToGrid w:val="0"/>
        <w:spacing w:line="400" w:lineRule="exact"/>
        <w:ind w:firstLine="413"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11.1</w:t>
      </w:r>
      <w:r>
        <w:rPr>
          <w:rFonts w:hint="eastAsia" w:ascii="宋体" w:hAnsi="宋体" w:cs="宋体"/>
          <w:color w:val="auto"/>
          <w:szCs w:val="21"/>
          <w:highlight w:val="none"/>
        </w:rPr>
        <w:t>投标文件由技术部分（含资格审查文件）、经济部分</w:t>
      </w:r>
      <w:r>
        <w:rPr>
          <w:rFonts w:hint="eastAsia" w:ascii="宋体" w:hAnsi="宋体" w:cs="宋体"/>
          <w:color w:val="auto"/>
          <w:szCs w:val="21"/>
          <w:highlight w:val="none"/>
          <w:u w:val="single"/>
        </w:rPr>
        <w:t>和定标文件共三</w:t>
      </w:r>
      <w:r>
        <w:rPr>
          <w:rFonts w:hint="eastAsia" w:ascii="宋体" w:hAnsi="宋体" w:cs="宋体"/>
          <w:color w:val="auto"/>
          <w:szCs w:val="21"/>
          <w:highlight w:val="none"/>
        </w:rPr>
        <w:t>部分组成。</w:t>
      </w:r>
      <w:r>
        <w:rPr>
          <w:rFonts w:hint="eastAsia" w:ascii="宋体" w:hAnsi="宋体" w:cs="宋体"/>
          <w:color w:val="auto"/>
          <w:szCs w:val="21"/>
          <w:highlight w:val="none"/>
          <w:u w:val="single"/>
        </w:rPr>
        <w:t>其中，定标文件组成详见11.4条。</w:t>
      </w:r>
    </w:p>
    <w:p w14:paraId="7C94BF22">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条款号：11.2                                修改类型：修改</w:t>
      </w:r>
    </w:p>
    <w:p w14:paraId="2B3EA69D">
      <w:pP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投标文件技术标部分主要包括下列内容:</w:t>
      </w:r>
    </w:p>
    <w:p w14:paraId="4AAFD81A">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14:paraId="37DBB0C1">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11.2.2 资格审查文件：</w:t>
      </w:r>
    </w:p>
    <w:p w14:paraId="37326B70">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 xml:space="preserve">（1）投标人声明； </w:t>
      </w:r>
    </w:p>
    <w:p w14:paraId="45506C27">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14:paraId="2F2E9F34">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（3）企业营业执照（取自平台内上传件）；</w:t>
      </w:r>
    </w:p>
    <w:p w14:paraId="684DD21D">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（4）企业资质证书（取自平台内上传件）；</w:t>
      </w:r>
    </w:p>
    <w:p w14:paraId="6CE9EFEB">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14:paraId="44464182">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14:paraId="5D59D320">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14:paraId="0239D4D9">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（8）拟委托技术负责人的相关证书、资料（具体要求由招标人明确）</w:t>
      </w:r>
    </w:p>
    <w:p w14:paraId="5F86BB65">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bCs/>
          <w:color w:val="auto"/>
          <w:szCs w:val="21"/>
          <w:highlight w:val="none"/>
        </w:rPr>
        <w:t xml:space="preserve">拟委派项目负责人的建造师证书注册证书（取自平台内上传件）； </w:t>
      </w:r>
      <w:r>
        <w:rPr>
          <w:rFonts w:hint="eastAsia" w:ascii="宋体" w:hAnsi="宋体" w:cs="宋体"/>
          <w:color w:val="auto"/>
          <w:szCs w:val="21"/>
          <w:highlight w:val="none"/>
        </w:rPr>
        <w:t xml:space="preserve"> </w:t>
      </w:r>
    </w:p>
    <w:p w14:paraId="0C95358C">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bCs/>
          <w:color w:val="auto"/>
          <w:szCs w:val="21"/>
          <w:highlight w:val="none"/>
        </w:rPr>
        <w:t>项目负责人安全生产考核合格证明或在有效期内的安全生产考核合格证书（B类）或建筑施工企业项目负责人安全生产考核合格证书（取自平台内上传件）</w:t>
      </w:r>
      <w:r>
        <w:rPr>
          <w:rFonts w:hint="eastAsia" w:ascii="宋体" w:hAnsi="宋体" w:cs="宋体"/>
          <w:color w:val="auto"/>
          <w:szCs w:val="21"/>
          <w:highlight w:val="none"/>
        </w:rPr>
        <w:t>；</w:t>
      </w:r>
    </w:p>
    <w:p w14:paraId="19B424CB">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bCs/>
          <w:color w:val="auto"/>
          <w:szCs w:val="21"/>
          <w:highlight w:val="none"/>
        </w:rPr>
        <w:t>专职安全员须具有在有效期内的安全生产考核合格证书（C类）或建筑施工企业专职安全生产管理人员安全生产考核合格证书（取自平台内上传件）</w:t>
      </w:r>
      <w:r>
        <w:rPr>
          <w:rFonts w:hint="eastAsia" w:ascii="宋体" w:hAnsi="宋体" w:cs="宋体"/>
          <w:color w:val="auto"/>
          <w:szCs w:val="21"/>
          <w:highlight w:val="none"/>
        </w:rPr>
        <w:t>；</w:t>
      </w:r>
    </w:p>
    <w:p w14:paraId="7E85BFA8">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（12）用于资格审查的业绩（设置业绩要求时选择此项，投标人须提供类似工程业绩的项目名称及项目编号，具体格式由招标人自定）；</w:t>
      </w:r>
    </w:p>
    <w:p w14:paraId="734A56C4">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（13）资格审查前，投标人须在广州市住房和城乡建设局建立企业诚信档案，拟担任本工程项目负责人须是本企业诚信档案中的在册人员。</w:t>
      </w:r>
    </w:p>
    <w:p w14:paraId="111DE64F">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 xml:space="preserve">（14）列明主办单位的联合体工作协议（采用联合体投标时需递交，投标人拟任本工程项目负责人应为联合体主办方诚信档案中的在册人员，联合体工作协议应明确约定各方拟承担的工作和责任）； </w:t>
      </w:r>
    </w:p>
    <w:p w14:paraId="2CE03F66">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694CCB08">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11.2.3项目管理机构配备。</w:t>
      </w:r>
    </w:p>
    <w:p w14:paraId="095695F1">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6535E80B">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1E4423C7">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（3）其他辅助说明资料。</w:t>
      </w:r>
    </w:p>
    <w:p w14:paraId="1C38A961">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6AB2BB08">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14:paraId="3CC20CBB">
      <w:pPr>
        <w:spacing w:line="400" w:lineRule="exact"/>
        <w:ind w:firstLine="470" w:firstLineChars="224"/>
        <w:rPr>
          <w:rFonts w:hint="eastAsia" w:ascii="宋体" w:hAnsi="宋体" w:cs="宋体"/>
          <w:b/>
          <w:color w:val="auto"/>
          <w:szCs w:val="21"/>
          <w:highlight w:val="none"/>
        </w:rPr>
      </w:pPr>
      <w:r>
        <w:rPr>
          <w:rFonts w:hint="eastAsia" w:ascii="宋体" w:hAnsi="宋体" w:cs="宋体"/>
          <w:color w:val="auto"/>
          <w:szCs w:val="21"/>
          <w:highlight w:val="none"/>
        </w:rPr>
        <w:t>11.2.6按照招标文件要求填写的《参与编制技术标投标文件人员名单》。</w:t>
      </w:r>
    </w:p>
    <w:p w14:paraId="5D3C6921">
      <w:pP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11.2</w:t>
      </w:r>
      <w:r>
        <w:rPr>
          <w:rFonts w:hint="eastAsia" w:ascii="宋体" w:hAnsi="宋体" w:cs="宋体"/>
          <w:color w:val="auto"/>
          <w:szCs w:val="21"/>
          <w:highlight w:val="none"/>
        </w:rPr>
        <w:t>投标文件技术标部分</w:t>
      </w:r>
      <w:r>
        <w:rPr>
          <w:rFonts w:hint="eastAsia" w:ascii="宋体" w:hAnsi="宋体" w:cs="宋体"/>
          <w:color w:val="auto"/>
          <w:szCs w:val="21"/>
          <w:highlight w:val="none"/>
          <w:u w:val="single"/>
        </w:rPr>
        <w:t>（含资格审查文件）</w:t>
      </w:r>
      <w:r>
        <w:rPr>
          <w:rFonts w:hint="eastAsia" w:ascii="宋体" w:hAnsi="宋体" w:cs="宋体"/>
          <w:color w:val="auto"/>
          <w:szCs w:val="21"/>
          <w:highlight w:val="none"/>
        </w:rPr>
        <w:t>主要包括下列内容：</w:t>
      </w:r>
    </w:p>
    <w:p w14:paraId="41C7920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w:t>
      </w:r>
      <w:r>
        <w:rPr>
          <w:rFonts w:hint="eastAsia" w:ascii="宋体" w:hAnsi="宋体" w:cs="宋体"/>
          <w:color w:val="auto"/>
          <w:szCs w:val="21"/>
          <w:highlight w:val="none"/>
          <w:u w:val="single"/>
        </w:rPr>
        <w:t>技术标投标文件封面（格式自拟）、</w:t>
      </w:r>
      <w:r>
        <w:rPr>
          <w:rFonts w:ascii="宋体" w:hAnsi="宋体" w:cs="宋体"/>
          <w:bCs/>
          <w:color w:val="auto"/>
          <w:szCs w:val="21"/>
          <w:highlight w:val="none"/>
          <w:u w:val="single"/>
        </w:rPr>
        <w:t>广州建设工程施工招标投标书</w:t>
      </w:r>
      <w:r>
        <w:rPr>
          <w:rFonts w:hint="eastAsia" w:ascii="宋体" w:hAnsi="宋体" w:cs="宋体"/>
          <w:color w:val="auto"/>
          <w:szCs w:val="21"/>
          <w:highlight w:val="none"/>
          <w:u w:val="single"/>
        </w:rPr>
        <w:t>（格式详见本招标文件第四章“技术标投标文件格式”）、目录（格式自拟）</w:t>
      </w:r>
      <w:r>
        <w:rPr>
          <w:rFonts w:hint="eastAsia" w:ascii="宋体" w:hAnsi="宋体" w:cs="宋体"/>
          <w:color w:val="auto"/>
          <w:szCs w:val="21"/>
          <w:highlight w:val="none"/>
        </w:rPr>
        <w:t>；</w:t>
      </w:r>
    </w:p>
    <w:p w14:paraId="12D0654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 资格审查文件：</w:t>
      </w:r>
    </w:p>
    <w:p w14:paraId="335907C7">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（格式详见本招标公告附件）</w:t>
      </w:r>
      <w:r>
        <w:rPr>
          <w:rFonts w:hint="eastAsia" w:ascii="宋体" w:hAnsi="宋体" w:cs="宋体"/>
          <w:bCs/>
          <w:color w:val="auto"/>
          <w:szCs w:val="21"/>
          <w:highlight w:val="none"/>
        </w:rPr>
        <w:t>；</w:t>
      </w:r>
    </w:p>
    <w:p w14:paraId="0297050B">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（2）法定代表人证明书、法定代表人签字或盖章的本投标文件授权委托证明书</w:t>
      </w:r>
      <w:r>
        <w:rPr>
          <w:rFonts w:hint="eastAsia" w:ascii="宋体" w:hAnsi="宋体" w:cs="宋体"/>
          <w:bCs/>
          <w:color w:val="auto"/>
          <w:szCs w:val="21"/>
          <w:highlight w:val="none"/>
          <w:u w:val="single"/>
        </w:rPr>
        <w:t>（格式自拟）</w:t>
      </w:r>
      <w:r>
        <w:rPr>
          <w:rFonts w:hint="eastAsia" w:ascii="宋体" w:hAnsi="宋体" w:cs="宋体"/>
          <w:bCs/>
          <w:color w:val="auto"/>
          <w:szCs w:val="21"/>
          <w:highlight w:val="none"/>
        </w:rPr>
        <w:t>；</w:t>
      </w:r>
    </w:p>
    <w:p w14:paraId="63FD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（3）企业营业执照</w:t>
      </w:r>
      <w:r>
        <w:rPr>
          <w:rFonts w:hint="eastAsia" w:ascii="宋体" w:hAnsi="宋体" w:cs="宋体"/>
          <w:color w:val="auto"/>
          <w:szCs w:val="21"/>
          <w:highlight w:val="none"/>
          <w:u w:val="single"/>
        </w:rPr>
        <w:t>扫描件</w:t>
      </w:r>
      <w:r>
        <w:rPr>
          <w:rFonts w:hint="eastAsia" w:ascii="宋体" w:hAnsi="宋体" w:cs="宋体"/>
          <w:color w:val="auto"/>
          <w:szCs w:val="21"/>
          <w:highlight w:val="none"/>
        </w:rPr>
        <w:t>或电子证照</w:t>
      </w:r>
      <w:r>
        <w:rPr>
          <w:rFonts w:hint="eastAsia" w:ascii="宋体" w:hAnsi="宋体" w:cs="宋体"/>
          <w:color w:val="auto"/>
          <w:szCs w:val="21"/>
          <w:highlight w:val="none"/>
          <w:u w:val="single"/>
        </w:rPr>
        <w:t>；</w:t>
      </w:r>
    </w:p>
    <w:p w14:paraId="10A9E5F7">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（4）企业资质</w:t>
      </w:r>
      <w:r>
        <w:rPr>
          <w:rFonts w:hint="eastAsia" w:ascii="宋体" w:hAnsi="宋体" w:cs="宋体"/>
          <w:bCs/>
          <w:color w:val="auto"/>
          <w:szCs w:val="21"/>
          <w:highlight w:val="none"/>
        </w:rPr>
        <w:t>证书</w:t>
      </w:r>
      <w:r>
        <w:rPr>
          <w:rFonts w:hint="eastAsia" w:ascii="宋体" w:hAnsi="宋体" w:cs="宋体"/>
          <w:color w:val="auto"/>
          <w:szCs w:val="21"/>
          <w:highlight w:val="none"/>
          <w:u w:val="single"/>
        </w:rPr>
        <w:t>扫描件</w:t>
      </w:r>
      <w:r>
        <w:rPr>
          <w:rFonts w:hint="eastAsia" w:ascii="宋体" w:hAnsi="宋体" w:cs="宋体"/>
          <w:color w:val="auto"/>
          <w:szCs w:val="21"/>
          <w:highlight w:val="none"/>
        </w:rPr>
        <w:t>或电子证照</w:t>
      </w:r>
      <w:r>
        <w:rPr>
          <w:rFonts w:hint="eastAsia" w:ascii="宋体" w:hAnsi="宋体" w:cs="宋体"/>
          <w:bCs/>
          <w:color w:val="auto"/>
          <w:szCs w:val="21"/>
          <w:highlight w:val="none"/>
          <w:u w:val="single"/>
        </w:rPr>
        <w:t>；</w:t>
      </w:r>
    </w:p>
    <w:p w14:paraId="7073F68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（5）建筑施工企业安全生产许可证</w:t>
      </w:r>
      <w:r>
        <w:rPr>
          <w:rFonts w:hint="eastAsia" w:ascii="宋体" w:hAnsi="宋体" w:cs="宋体"/>
          <w:color w:val="auto"/>
          <w:szCs w:val="21"/>
          <w:highlight w:val="none"/>
          <w:u w:val="single"/>
        </w:rPr>
        <w:t>扫描件</w:t>
      </w:r>
      <w:r>
        <w:rPr>
          <w:rFonts w:hint="eastAsia" w:ascii="宋体" w:hAnsi="宋体" w:cs="宋体"/>
          <w:color w:val="auto"/>
          <w:szCs w:val="21"/>
          <w:highlight w:val="none"/>
        </w:rPr>
        <w:t>或电子证照；</w:t>
      </w:r>
    </w:p>
    <w:p w14:paraId="713194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14:paraId="552D18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14:paraId="7F7E3B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（8）拟委托技术负责人的相关证书、资料</w:t>
      </w:r>
      <w:r>
        <w:rPr>
          <w:rFonts w:hint="eastAsia" w:ascii="宋体" w:hAnsi="宋体" w:cs="宋体"/>
          <w:color w:val="auto"/>
          <w:szCs w:val="21"/>
          <w:highlight w:val="none"/>
          <w:u w:val="single"/>
        </w:rPr>
        <w:t>（具体要求详见招标公告，</w:t>
      </w:r>
      <w:r>
        <w:rPr>
          <w:rFonts w:hint="eastAsia" w:ascii="宋体" w:hAnsi="宋体" w:cs="宋体"/>
          <w:bCs/>
          <w:color w:val="auto"/>
          <w:szCs w:val="21"/>
          <w:highlight w:val="none"/>
          <w:u w:val="single"/>
        </w:rPr>
        <w:t>提交扫描件</w:t>
      </w:r>
      <w:r>
        <w:rPr>
          <w:rFonts w:hint="eastAsia" w:ascii="宋体" w:hAnsi="宋体" w:cs="宋体"/>
          <w:color w:val="auto"/>
          <w:szCs w:val="21"/>
          <w:highlight w:val="none"/>
        </w:rPr>
        <w:t>或电子证照</w:t>
      </w:r>
      <w:r>
        <w:rPr>
          <w:rFonts w:hint="eastAsia" w:ascii="宋体" w:hAnsi="宋体" w:cs="宋体"/>
          <w:color w:val="auto"/>
          <w:szCs w:val="21"/>
          <w:highlight w:val="none"/>
          <w:u w:val="single"/>
        </w:rPr>
        <w:t>）；</w:t>
      </w:r>
    </w:p>
    <w:p w14:paraId="77D5557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（9）拟委派项目负责人的有效期内的建造师注册证书</w:t>
      </w:r>
      <w:r>
        <w:rPr>
          <w:rFonts w:hint="eastAsia" w:ascii="宋体" w:hAnsi="宋体" w:cs="宋体"/>
          <w:color w:val="auto"/>
          <w:szCs w:val="21"/>
          <w:highlight w:val="none"/>
          <w:u w:val="single"/>
        </w:rPr>
        <w:t>扫描件</w:t>
      </w:r>
      <w:r>
        <w:rPr>
          <w:rFonts w:hint="eastAsia" w:ascii="宋体" w:hAnsi="宋体" w:cs="宋体"/>
          <w:color w:val="auto"/>
          <w:szCs w:val="21"/>
          <w:highlight w:val="none"/>
        </w:rPr>
        <w:t>或电子证照</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2708F64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（10）项目负责人在有效期内的安全生产考核合格证书（B类）或建筑施工企业项目负责人安全生产考核合格证书扫描件或电子证书；</w:t>
      </w:r>
    </w:p>
    <w:p w14:paraId="019EF7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（11）专职安全员须具有在有效期内的安全生产考核合格证书（C类</w:t>
      </w:r>
      <w:r>
        <w:rPr>
          <w:rFonts w:hint="eastAsia" w:ascii="宋体" w:hAnsi="宋体" w:cs="宋体"/>
          <w:b/>
          <w:bCs/>
          <w:color w:val="auto"/>
          <w:szCs w:val="21"/>
          <w:highlight w:val="none"/>
        </w:rPr>
        <w:t>）</w:t>
      </w:r>
      <w:r>
        <w:rPr>
          <w:rFonts w:hint="eastAsia" w:ascii="宋体" w:hAnsi="宋体" w:cs="宋体"/>
          <w:color w:val="auto"/>
          <w:szCs w:val="21"/>
          <w:highlight w:val="none"/>
        </w:rPr>
        <w:t>或建筑施工企业专职安全生产管理人员安全生产考核合格证书</w:t>
      </w:r>
      <w:r>
        <w:rPr>
          <w:rFonts w:hint="eastAsia" w:ascii="宋体" w:hAnsi="宋体" w:cs="宋体"/>
          <w:color w:val="auto"/>
          <w:szCs w:val="21"/>
          <w:highlight w:val="none"/>
          <w:u w:val="single"/>
        </w:rPr>
        <w:t>（C3）扫描件</w:t>
      </w:r>
      <w:r>
        <w:rPr>
          <w:rFonts w:hint="eastAsia" w:ascii="宋体" w:hAnsi="宋体" w:cs="宋体"/>
          <w:color w:val="auto"/>
          <w:szCs w:val="21"/>
          <w:highlight w:val="none"/>
        </w:rPr>
        <w:t>或电子证照</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项目负责人和专职安全员不为同一人</w:t>
      </w:r>
      <w:r>
        <w:rPr>
          <w:rFonts w:hint="eastAsia" w:ascii="宋体" w:hAnsi="宋体" w:cs="宋体"/>
          <w:color w:val="auto"/>
          <w:szCs w:val="21"/>
          <w:highlight w:val="none"/>
          <w:u w:val="single"/>
        </w:rPr>
        <w:t>；</w:t>
      </w:r>
    </w:p>
    <w:p w14:paraId="541934F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（12）资格审查前，投标人须在</w:t>
      </w:r>
      <w:r>
        <w:rPr>
          <w:rFonts w:hint="eastAsia" w:ascii="宋体" w:hAnsi="宋体" w:cs="宋体"/>
          <w:color w:val="auto"/>
          <w:szCs w:val="21"/>
          <w:highlight w:val="none"/>
          <w:u w:val="single"/>
        </w:rPr>
        <w:t>广州市住房和城乡建设局建立企业信用档案</w:t>
      </w:r>
      <w:r>
        <w:rPr>
          <w:rFonts w:hint="eastAsia" w:ascii="宋体" w:hAnsi="宋体" w:cs="宋体"/>
          <w:color w:val="auto"/>
          <w:szCs w:val="21"/>
          <w:highlight w:val="none"/>
        </w:rPr>
        <w:t>，拟担任本工程</w:t>
      </w:r>
      <w:r>
        <w:rPr>
          <w:rFonts w:hint="eastAsia" w:ascii="宋体" w:hAnsi="宋体" w:cs="宋体"/>
          <w:color w:val="auto"/>
          <w:szCs w:val="21"/>
          <w:highlight w:val="none"/>
          <w:u w:val="single"/>
        </w:rPr>
        <w:t>项目负责人、专职安全员</w:t>
      </w:r>
      <w:r>
        <w:rPr>
          <w:rFonts w:hint="eastAsia" w:ascii="宋体" w:hAnsi="宋体" w:cs="宋体"/>
          <w:color w:val="auto"/>
          <w:szCs w:val="21"/>
          <w:highlight w:val="none"/>
        </w:rPr>
        <w:t>须是</w:t>
      </w:r>
      <w:r>
        <w:rPr>
          <w:rFonts w:hint="eastAsia" w:ascii="宋体" w:hAnsi="宋体" w:cs="宋体"/>
          <w:color w:val="auto"/>
          <w:szCs w:val="21"/>
          <w:highlight w:val="none"/>
          <w:u w:val="single"/>
        </w:rPr>
        <w:t>本企业信用档案</w:t>
      </w:r>
      <w:r>
        <w:rPr>
          <w:rFonts w:hint="eastAsia" w:ascii="宋体" w:hAnsi="宋体" w:cs="宋体"/>
          <w:color w:val="auto"/>
          <w:szCs w:val="21"/>
          <w:highlight w:val="none"/>
        </w:rPr>
        <w:t>中的在册人员。</w:t>
      </w:r>
    </w:p>
    <w:p w14:paraId="428BBD09">
      <w:pPr>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（13）投标人未被列入拖欠农民工工资失信联合惩戒对象名单和失信被执行人（投标人无需提供资料，按交易系统比对的结果进行评审）；</w:t>
      </w:r>
    </w:p>
    <w:p w14:paraId="282E40B0">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（14）其他投标人认为应该提供的资料。</w:t>
      </w:r>
    </w:p>
    <w:p w14:paraId="6A6780FE">
      <w:pPr>
        <w:spacing w:line="40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注：1.相关电子证书按规定需打印后手写本人签名的，应按照规定手写本人签名后再扫描提交。</w:t>
      </w:r>
    </w:p>
    <w:p w14:paraId="691FC0A6">
      <w:pPr>
        <w:spacing w:line="40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6035FF1">
      <w:pPr>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11.2.3项目管理机构配备。</w:t>
      </w:r>
    </w:p>
    <w:p w14:paraId="12CBDECB">
      <w:pPr>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 xml:space="preserve">（1）投标人应列出该项目工程的施工组织机构构成和画出机构框架图及其负责人； </w:t>
      </w:r>
    </w:p>
    <w:p w14:paraId="1454EEBF">
      <w:pPr>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w:t>
      </w:r>
      <w:r>
        <w:rPr>
          <w:rFonts w:hint="eastAsia" w:ascii="宋体" w:hAnsi="宋体" w:cs="宋体"/>
          <w:color w:val="auto"/>
          <w:szCs w:val="21"/>
          <w:highlight w:val="none"/>
          <w:u w:val="single"/>
        </w:rPr>
        <w:t>扫描件</w:t>
      </w:r>
      <w:r>
        <w:rPr>
          <w:rFonts w:hint="eastAsia" w:ascii="宋体" w:hAnsi="宋体" w:cs="宋体"/>
          <w:color w:val="auto"/>
          <w:szCs w:val="21"/>
          <w:highlight w:val="none"/>
        </w:rPr>
        <w:t xml:space="preserve">； </w:t>
      </w:r>
    </w:p>
    <w:p w14:paraId="4D7903D2">
      <w:pPr>
        <w:pBdr>
          <w:bottom w:val="single" w:color="auto" w:sz="6" w:space="1"/>
        </w:pBdr>
        <w:spacing w:line="40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（3）其他辅助说明资料。</w:t>
      </w:r>
      <w:r>
        <w:rPr>
          <w:rFonts w:hint="eastAsia" w:ascii="宋体" w:hAnsi="宋体" w:cs="宋体"/>
          <w:color w:val="auto"/>
          <w:szCs w:val="21"/>
          <w:highlight w:val="none"/>
          <w:u w:val="single"/>
        </w:rPr>
        <w:t>（如有）</w:t>
      </w:r>
    </w:p>
    <w:p w14:paraId="7D82ABB7">
      <w:pPr>
        <w:pBdr>
          <w:bottom w:val="single" w:color="auto" w:sz="6" w:space="1"/>
        </w:pBd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11.2.4《投标函》（格式详见本招标文件第四章 “技术标投标文件格式”）。</w:t>
      </w:r>
    </w:p>
    <w:p w14:paraId="2E39A0E1">
      <w:pPr>
        <w:pBdr>
          <w:bottom w:val="single" w:color="auto" w:sz="6" w:space="1"/>
        </w:pBd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11.2.5投标承诺函（格式详见本招标文件第四章“技术标投标文件格式”）。</w:t>
      </w:r>
    </w:p>
    <w:p w14:paraId="0D37E079">
      <w:pPr>
        <w:pBdr>
          <w:bottom w:val="single" w:color="auto" w:sz="6" w:space="1"/>
        </w:pBd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11.2.6投标人提交履约担保承诺书（格式详见本招标文件第四章“技术标投标文件格式”）。</w:t>
      </w:r>
    </w:p>
    <w:p w14:paraId="7E465FC8">
      <w:pPr>
        <w:pBdr>
          <w:bottom w:val="single" w:color="auto" w:sz="6" w:space="1"/>
        </w:pBd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11.2.7按照招标文件要求填写的《参与编制技术标投标文件人员名单》（格式详见本招标文件第四章“技术标投标文件格式”）。</w:t>
      </w:r>
    </w:p>
    <w:p w14:paraId="264C4443">
      <w:pPr>
        <w:pBdr>
          <w:bottom w:val="single" w:color="auto" w:sz="6" w:space="1"/>
        </w:pBd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11.2.8按照招标文件要求填写的《危险性较大的分部分项工程安全管理措施》（格式详见本招标文件第四章“技术标投标文件格式”）。</w:t>
      </w:r>
    </w:p>
    <w:p w14:paraId="38D3B977">
      <w:pPr>
        <w:pBdr>
          <w:bottom w:val="single" w:color="auto" w:sz="6" w:space="1"/>
        </w:pBd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11.2.9</w:t>
      </w:r>
      <w:r>
        <w:rPr>
          <w:rFonts w:hint="eastAsia" w:ascii="宋体" w:hAnsi="宋体" w:cs="宋体"/>
          <w:color w:val="auto"/>
          <w:szCs w:val="21"/>
          <w:highlight w:val="none"/>
        </w:rPr>
        <w:t>施工组织设计。（投标人在编制施工组织设计时应按照招标人提出的施工现场建筑垃圾源头减量的具体要求以及建筑垃圾综合利用产品的使用要求提供相应措施。）</w:t>
      </w:r>
    </w:p>
    <w:p w14:paraId="5C9B2065">
      <w:pPr>
        <w:pBdr>
          <w:bottom w:val="single" w:color="auto" w:sz="6" w:space="1"/>
        </w:pBdr>
        <w:spacing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u w:val="single"/>
          <w:lang w:val="en-US" w:eastAsia="zh-CN"/>
        </w:rPr>
        <w:t>11.2.10</w:t>
      </w:r>
      <w:r>
        <w:rPr>
          <w:rFonts w:hint="eastAsia" w:ascii="宋体" w:hAnsi="宋体" w:cs="宋体"/>
          <w:bCs/>
          <w:color w:val="auto"/>
          <w:szCs w:val="21"/>
          <w:highlight w:val="none"/>
          <w:u w:val="single"/>
        </w:rPr>
        <w:t>其他投标人认为应该提供的资料。</w:t>
      </w:r>
    </w:p>
    <w:p w14:paraId="12ABDDA3">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11.3                               修改类型：修改</w:t>
      </w:r>
    </w:p>
    <w:p w14:paraId="39603324">
      <w:pPr>
        <w:spacing w:line="40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11.3 经济部分投标文件主要包括下列内容：</w:t>
      </w:r>
    </w:p>
    <w:p w14:paraId="7F0D32B3">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14:paraId="00A57532">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CC6888E">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（1）投标总价封面、扉页；</w:t>
      </w:r>
    </w:p>
    <w:p w14:paraId="6B241D58">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（2）总说明</w:t>
      </w:r>
    </w:p>
    <w:p w14:paraId="2466AC90">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（3）工程项目投标报价汇总表；</w:t>
      </w:r>
    </w:p>
    <w:p w14:paraId="553074D8">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（4）单项工程投标报价汇总表；</w:t>
      </w:r>
    </w:p>
    <w:p w14:paraId="032A19C3">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（5）单位工程投标报价汇总表；</w:t>
      </w:r>
    </w:p>
    <w:p w14:paraId="4194727C">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（6）分部分项工程清单与计价表；</w:t>
      </w:r>
    </w:p>
    <w:p w14:paraId="60E16F2B">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（7）单价措施项目清单与计价表；</w:t>
      </w:r>
    </w:p>
    <w:p w14:paraId="3B567D60">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（8）总价措施项目清单与计价表；</w:t>
      </w:r>
    </w:p>
    <w:p w14:paraId="6239FF24">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（9）综合单价分析表；</w:t>
      </w:r>
    </w:p>
    <w:p w14:paraId="50194A64">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（10）其他项目清单与计价汇总表；</w:t>
      </w:r>
    </w:p>
    <w:p w14:paraId="1C1D8AB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（11）暂列金额明细表；</w:t>
      </w:r>
    </w:p>
    <w:p w14:paraId="24D687E0">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（12）材料（工程设备）暂估价明细表；</w:t>
      </w:r>
    </w:p>
    <w:p w14:paraId="0968FE21">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（13）专业工程暂估价明细表；</w:t>
      </w:r>
    </w:p>
    <w:p w14:paraId="7C7FE92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（14）计日工表；</w:t>
      </w:r>
    </w:p>
    <w:p w14:paraId="2BE08901">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（15）总承包服务计价表；</w:t>
      </w:r>
    </w:p>
    <w:p w14:paraId="18188F3D">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（16）规费和税金项目计价表；</w:t>
      </w:r>
    </w:p>
    <w:p w14:paraId="2D8DEE0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（17）人工、主要材料和设备一览表</w:t>
      </w:r>
    </w:p>
    <w:p w14:paraId="38473B7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11.3.3按照招标文件要求填写的《参与编制经济标投标文件人员名单》。</w:t>
      </w:r>
    </w:p>
    <w:p w14:paraId="7186053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11D80958">
      <w:pPr>
        <w:spacing w:line="40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11.3 经济部分投标文件主要包括下列内容：</w:t>
      </w:r>
    </w:p>
    <w:p w14:paraId="0CDDED2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w:t>
      </w:r>
      <w:r>
        <w:rPr>
          <w:rFonts w:hint="eastAsia" w:ascii="宋体" w:hAnsi="宋体" w:cs="宋体"/>
          <w:color w:val="auto"/>
          <w:szCs w:val="21"/>
          <w:highlight w:val="none"/>
          <w:u w:val="single"/>
        </w:rPr>
        <w:t>经济标</w:t>
      </w:r>
      <w:bookmarkStart w:id="44" w:name="OLE_LINK30"/>
      <w:r>
        <w:rPr>
          <w:rFonts w:hint="eastAsia" w:ascii="宋体" w:hAnsi="宋体" w:cs="宋体"/>
          <w:color w:val="auto"/>
          <w:szCs w:val="21"/>
          <w:highlight w:val="none"/>
          <w:u w:val="single"/>
        </w:rPr>
        <w:t>投标文件封面（格式自拟）</w:t>
      </w:r>
      <w:bookmarkEnd w:id="44"/>
      <w:r>
        <w:rPr>
          <w:rFonts w:hint="eastAsia" w:ascii="宋体" w:hAnsi="宋体" w:cs="宋体"/>
          <w:color w:val="auto"/>
          <w:szCs w:val="21"/>
          <w:highlight w:val="none"/>
          <w:u w:val="single"/>
        </w:rPr>
        <w:t>。</w:t>
      </w:r>
    </w:p>
    <w:p w14:paraId="43E7629E">
      <w:pPr>
        <w:pStyle w:val="37"/>
        <w:spacing w:after="0"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14:paraId="14E4FC0E">
      <w:pPr>
        <w:tabs>
          <w:tab w:val="left" w:pos="112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r>
        <w:rPr>
          <w:rFonts w:hint="eastAsia" w:ascii="宋体" w:hAnsi="宋体"/>
          <w:color w:val="auto"/>
          <w:szCs w:val="21"/>
          <w:highlight w:val="none"/>
          <w:u w:val="single"/>
        </w:rPr>
        <w:t>（格式详见招标文件第四章 “经济标投标文件格式”）</w:t>
      </w:r>
      <w:r>
        <w:rPr>
          <w:rFonts w:hint="eastAsia" w:ascii="宋体" w:hAnsi="宋体" w:cs="宋体"/>
          <w:color w:val="auto"/>
          <w:szCs w:val="21"/>
          <w:highlight w:val="none"/>
        </w:rPr>
        <w:t>。</w:t>
      </w:r>
    </w:p>
    <w:p w14:paraId="02CAC873">
      <w:pPr>
        <w:tabs>
          <w:tab w:val="left" w:pos="1125"/>
        </w:tabs>
        <w:spacing w:line="400" w:lineRule="exact"/>
        <w:ind w:firstLine="420" w:firstLineChars="200"/>
        <w:rPr>
          <w:rFonts w:ascii="宋体" w:hAnsi="宋体"/>
          <w:bCs/>
          <w:color w:val="auto"/>
          <w:szCs w:val="21"/>
          <w:highlight w:val="none"/>
          <w:u w:val="single"/>
        </w:rPr>
      </w:pPr>
      <w:r>
        <w:rPr>
          <w:rFonts w:hint="eastAsia" w:ascii="宋体" w:hAnsi="宋体" w:cs="宋体"/>
          <w:bCs/>
          <w:color w:val="auto"/>
          <w:szCs w:val="21"/>
          <w:highlight w:val="none"/>
        </w:rPr>
        <w:t>11.3.4</w:t>
      </w:r>
      <w:r>
        <w:rPr>
          <w:rFonts w:hint="eastAsia" w:ascii="宋体" w:hAnsi="宋体" w:cs="宋体"/>
          <w:bCs/>
          <w:color w:val="auto"/>
          <w:szCs w:val="21"/>
          <w:highlight w:val="none"/>
          <w:u w:val="single"/>
        </w:rPr>
        <w:t>《对投标文件编制的承诺》</w:t>
      </w:r>
      <w:r>
        <w:rPr>
          <w:rFonts w:hint="eastAsia" w:ascii="宋体" w:hAnsi="宋体"/>
          <w:bCs/>
          <w:color w:val="auto"/>
          <w:szCs w:val="21"/>
          <w:highlight w:val="none"/>
          <w:u w:val="single"/>
        </w:rPr>
        <w:t>（</w:t>
      </w:r>
      <w:r>
        <w:rPr>
          <w:rFonts w:hint="eastAsia" w:ascii="宋体" w:hAnsi="宋体"/>
          <w:color w:val="auto"/>
          <w:szCs w:val="21"/>
          <w:highlight w:val="none"/>
          <w:u w:val="single"/>
        </w:rPr>
        <w:t>格式详见招标文件第四章 “经济标投标文件格式”</w:t>
      </w:r>
      <w:r>
        <w:rPr>
          <w:rFonts w:hint="eastAsia" w:ascii="宋体" w:hAnsi="宋体"/>
          <w:bCs/>
          <w:color w:val="auto"/>
          <w:szCs w:val="21"/>
          <w:highlight w:val="none"/>
          <w:u w:val="single"/>
        </w:rPr>
        <w:t>）。</w:t>
      </w:r>
    </w:p>
    <w:p w14:paraId="0CD90CFA">
      <w:pPr>
        <w:tabs>
          <w:tab w:val="left" w:pos="1125"/>
        </w:tabs>
        <w:spacing w:line="400" w:lineRule="exact"/>
        <w:ind w:firstLine="420" w:firstLineChars="200"/>
        <w:rPr>
          <w:rFonts w:hint="eastAsia" w:ascii="宋体" w:hAnsi="宋体" w:cs="宋体"/>
          <w:bCs/>
          <w:color w:val="auto"/>
          <w:szCs w:val="21"/>
          <w:highlight w:val="none"/>
        </w:rPr>
      </w:pPr>
      <w:r>
        <w:rPr>
          <w:rFonts w:hint="eastAsia" w:ascii="宋体" w:hAnsi="宋体"/>
          <w:bCs/>
          <w:color w:val="auto"/>
          <w:szCs w:val="21"/>
          <w:highlight w:val="none"/>
          <w:u w:val="single"/>
        </w:rPr>
        <w:t>11.3.5</w:t>
      </w:r>
      <w:r>
        <w:rPr>
          <w:rFonts w:hint="eastAsia" w:ascii="宋体" w:hAnsi="宋体"/>
          <w:color w:val="auto"/>
          <w:szCs w:val="21"/>
          <w:highlight w:val="none"/>
          <w:u w:val="single"/>
        </w:rPr>
        <w:t>主要设备材料推荐品牌表（须按“主要设备材料推荐品牌表”的要求填报），如未按要求填写的，不作为否决投标的情形。</w:t>
      </w:r>
    </w:p>
    <w:p w14:paraId="613C8731">
      <w:pPr>
        <w:pBdr>
          <w:bottom w:val="single" w:color="auto" w:sz="6" w:space="1"/>
        </w:pBd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11.3.6若投标人的投标报价低于工程成本警戒价的，投标人还须</w:t>
      </w:r>
      <w:r>
        <w:rPr>
          <w:rFonts w:hint="eastAsia" w:ascii="宋体" w:hAnsi="宋体" w:cs="宋体"/>
          <w:bCs/>
          <w:color w:val="auto"/>
          <w:szCs w:val="21"/>
          <w:highlight w:val="none"/>
          <w:u w:val="single"/>
        </w:rPr>
        <w:t>提供详细的施工组织设计、</w:t>
      </w:r>
      <w:r>
        <w:rPr>
          <w:rFonts w:hint="eastAsia" w:ascii="宋体" w:hAnsi="宋体" w:cs="宋体"/>
          <w:color w:val="auto"/>
          <w:szCs w:val="21"/>
          <w:highlight w:val="none"/>
          <w:u w:val="single"/>
        </w:rPr>
        <w:t>单价、措施性费用、单价分析表、主要材料价格表、投标人成本分析供评标委员会评审。</w:t>
      </w:r>
    </w:p>
    <w:p w14:paraId="4B0DA506">
      <w:pPr>
        <w:pBdr>
          <w:bottom w:val="single" w:color="auto" w:sz="6" w:space="1"/>
        </w:pBdr>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u w:val="single"/>
        </w:rPr>
        <w:t>11.3.7</w:t>
      </w:r>
      <w:r>
        <w:rPr>
          <w:rFonts w:hint="eastAsia" w:ascii="宋体" w:hAnsi="宋体" w:cs="宋体"/>
          <w:bCs/>
          <w:color w:val="auto"/>
          <w:szCs w:val="21"/>
          <w:highlight w:val="none"/>
          <w:u w:val="single"/>
        </w:rPr>
        <w:t>投标人认为需要提供的其他资料。</w:t>
      </w:r>
    </w:p>
    <w:p w14:paraId="6309D702">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条款号：11.4</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修改类型：增加</w:t>
      </w:r>
    </w:p>
    <w:p w14:paraId="4DA463EB">
      <w:pPr>
        <w:pBdr>
          <w:bottom w:val="none" w:color="auto" w:sz="0" w:space="1"/>
        </w:pBdr>
        <w:spacing w:line="400" w:lineRule="exact"/>
        <w:ind w:firstLine="527" w:firstLineChars="25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u w:val="single"/>
        </w:rPr>
        <w:t>11.4定标文件的组成</w:t>
      </w:r>
      <w:r>
        <w:rPr>
          <w:rFonts w:hint="eastAsia" w:ascii="宋体" w:hAnsi="宋体" w:cs="宋体"/>
          <w:color w:val="auto"/>
          <w:szCs w:val="21"/>
          <w:highlight w:val="none"/>
          <w:u w:val="single"/>
        </w:rPr>
        <w:t>：</w:t>
      </w:r>
    </w:p>
    <w:p w14:paraId="6A9CBD54">
      <w:pPr>
        <w:pBdr>
          <w:bottom w:val="none" w:color="auto" w:sz="0" w:space="1"/>
        </w:pBdr>
        <w:spacing w:line="400" w:lineRule="exact"/>
        <w:ind w:firstLine="525" w:firstLineChars="25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11.4.1定标文件封面</w:t>
      </w:r>
      <w:r>
        <w:rPr>
          <w:rFonts w:hint="eastAsia" w:ascii="宋体" w:hAnsi="宋体" w:cs="宋体"/>
          <w:color w:val="auto"/>
          <w:szCs w:val="21"/>
          <w:highlight w:val="none"/>
          <w:u w:val="single"/>
        </w:rPr>
        <w:t>（格式自拟）、《</w:t>
      </w:r>
      <w:r>
        <w:rPr>
          <w:rFonts w:hint="eastAsia" w:ascii="宋体" w:hAnsi="宋体" w:cs="宋体"/>
          <w:bCs/>
          <w:color w:val="auto"/>
          <w:szCs w:val="21"/>
          <w:highlight w:val="none"/>
          <w:u w:val="single"/>
        </w:rPr>
        <w:t>定标文件评审索引表</w:t>
      </w:r>
      <w:r>
        <w:rPr>
          <w:rFonts w:hint="eastAsia" w:ascii="宋体" w:hAnsi="宋体" w:cs="宋体"/>
          <w:color w:val="auto"/>
          <w:szCs w:val="21"/>
          <w:highlight w:val="none"/>
          <w:u w:val="single"/>
        </w:rPr>
        <w:t>》（</w:t>
      </w:r>
      <w:r>
        <w:rPr>
          <w:rFonts w:hint="eastAsia" w:ascii="宋体" w:hAnsi="宋体"/>
          <w:color w:val="auto"/>
          <w:szCs w:val="21"/>
          <w:highlight w:val="none"/>
          <w:u w:val="single"/>
        </w:rPr>
        <w:t>格式详见招标文件第四章 “定标文件格式”</w:t>
      </w:r>
      <w:r>
        <w:rPr>
          <w:rFonts w:hint="eastAsia" w:ascii="宋体" w:hAnsi="宋体" w:cs="宋体"/>
          <w:color w:val="auto"/>
          <w:szCs w:val="21"/>
          <w:highlight w:val="none"/>
          <w:u w:val="single"/>
        </w:rPr>
        <w:t>）。</w:t>
      </w:r>
    </w:p>
    <w:p w14:paraId="42D61942">
      <w:pPr>
        <w:pBdr>
          <w:bottom w:val="none" w:color="auto" w:sz="0" w:space="1"/>
        </w:pBdr>
        <w:spacing w:line="400" w:lineRule="exact"/>
        <w:ind w:firstLine="525" w:firstLineChars="25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11.4.2</w:t>
      </w:r>
      <w:r>
        <w:rPr>
          <w:rFonts w:hint="eastAsia" w:ascii="宋体" w:hAnsi="宋体" w:cs="宋体"/>
          <w:color w:val="auto"/>
          <w:szCs w:val="21"/>
          <w:highlight w:val="none"/>
          <w:u w:val="single"/>
        </w:rPr>
        <w:t>投标人依据《定标因素表》提供定标技术文件资料（</w:t>
      </w:r>
      <w:r>
        <w:rPr>
          <w:rFonts w:hint="eastAsia" w:ascii="宋体" w:hAnsi="宋体" w:cs="宋体"/>
          <w:color w:val="auto"/>
          <w:szCs w:val="21"/>
          <w:highlight w:val="none"/>
          <w:u w:val="single"/>
          <w:lang w:val="en-US" w:eastAsia="zh-CN"/>
        </w:rPr>
        <w:t>按要求提供施工方案因素对应措施及</w:t>
      </w:r>
      <w:r>
        <w:rPr>
          <w:rFonts w:hint="eastAsia" w:ascii="宋体" w:hAnsi="宋体" w:cs="宋体"/>
          <w:b w:val="0"/>
          <w:bCs w:val="0"/>
          <w:color w:val="auto"/>
          <w:szCs w:val="21"/>
          <w:highlight w:val="none"/>
          <w:u w:val="single"/>
        </w:rPr>
        <w:t>摘要</w:t>
      </w:r>
      <w:r>
        <w:rPr>
          <w:rFonts w:hint="eastAsia" w:ascii="宋体" w:hAnsi="宋体" w:cs="宋体"/>
          <w:color w:val="auto"/>
          <w:szCs w:val="21"/>
          <w:highlight w:val="none"/>
          <w:u w:val="single"/>
        </w:rPr>
        <w:t>，格式由投标人自拟</w:t>
      </w:r>
      <w:r>
        <w:rPr>
          <w:rFonts w:hint="eastAsia" w:ascii="宋体" w:hAnsi="宋体" w:cs="宋体"/>
          <w:color w:val="auto"/>
          <w:szCs w:val="21"/>
          <w:highlight w:val="none"/>
          <w:u w:val="single"/>
          <w:lang w:eastAsia="zh-CN"/>
        </w:rPr>
        <w:t>，如投标文件有相应内容的，可不重复提供</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w:t>
      </w:r>
    </w:p>
    <w:p w14:paraId="0BF723EC">
      <w:pPr>
        <w:pBdr>
          <w:bottom w:val="none" w:color="auto" w:sz="0" w:space="1"/>
        </w:pBdr>
        <w:spacing w:line="400" w:lineRule="exact"/>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11.4.</w:t>
      </w:r>
      <w:r>
        <w:rPr>
          <w:rFonts w:hint="eastAsia" w:ascii="宋体" w:hAnsi="宋体" w:cs="宋体"/>
          <w:bCs/>
          <w:color w:val="auto"/>
          <w:szCs w:val="21"/>
          <w:highlight w:val="none"/>
          <w:u w:val="single"/>
          <w:lang w:val="en-US" w:eastAsia="zh-CN"/>
        </w:rPr>
        <w:t>3</w:t>
      </w:r>
      <w:r>
        <w:rPr>
          <w:rFonts w:hint="eastAsia" w:ascii="宋体" w:hAnsi="宋体" w:cs="宋体"/>
          <w:color w:val="auto"/>
          <w:szCs w:val="21"/>
          <w:highlight w:val="none"/>
          <w:u w:val="single"/>
        </w:rPr>
        <w:t>《定标因素表》中的价格因素无需投标人重复提供</w:t>
      </w:r>
      <w:r>
        <w:rPr>
          <w:rFonts w:hint="eastAsia" w:ascii="宋体" w:hAnsi="宋体" w:cs="宋体"/>
          <w:bCs/>
          <w:color w:val="auto"/>
          <w:szCs w:val="21"/>
          <w:highlight w:val="none"/>
          <w:u w:val="single"/>
        </w:rPr>
        <w:t>。</w:t>
      </w:r>
    </w:p>
    <w:p w14:paraId="6E54A589">
      <w:pPr>
        <w:pBdr>
          <w:bottom w:val="none" w:color="auto" w:sz="0" w:space="1"/>
        </w:pBdr>
        <w:spacing w:line="400" w:lineRule="exact"/>
        <w:ind w:firstLine="525" w:firstLineChars="250"/>
        <w:rPr>
          <w:rFonts w:hint="eastAsia" w:ascii="宋体" w:hAnsi="宋体" w:cs="宋体"/>
          <w:bCs/>
          <w:color w:val="auto"/>
          <w:szCs w:val="21"/>
          <w:highlight w:val="none"/>
          <w:u w:val="single"/>
        </w:rPr>
      </w:pPr>
      <w:bookmarkStart w:id="45" w:name="OLE_LINK17"/>
      <w:r>
        <w:rPr>
          <w:rFonts w:hint="eastAsia" w:ascii="宋体" w:hAnsi="宋体" w:cs="宋体"/>
          <w:bCs/>
          <w:color w:val="auto"/>
          <w:szCs w:val="21"/>
          <w:highlight w:val="none"/>
          <w:u w:val="single"/>
        </w:rPr>
        <w:t>11.4.</w:t>
      </w:r>
      <w:r>
        <w:rPr>
          <w:rFonts w:hint="eastAsia" w:ascii="宋体" w:hAnsi="宋体" w:cs="宋体"/>
          <w:bCs/>
          <w:color w:val="auto"/>
          <w:szCs w:val="21"/>
          <w:highlight w:val="none"/>
          <w:u w:val="single"/>
          <w:lang w:val="en-US" w:eastAsia="zh-CN"/>
        </w:rPr>
        <w:t>4</w:t>
      </w:r>
      <w:r>
        <w:rPr>
          <w:rFonts w:hint="eastAsia" w:ascii="宋体" w:hAnsi="宋体" w:cs="宋体"/>
          <w:color w:val="auto"/>
          <w:szCs w:val="21"/>
          <w:highlight w:val="none"/>
          <w:u w:val="single"/>
        </w:rPr>
        <w:t>投标人认为应该提供的其他资料（如有）</w:t>
      </w:r>
      <w:r>
        <w:rPr>
          <w:rFonts w:hint="eastAsia" w:ascii="宋体" w:hAnsi="宋体" w:cs="宋体"/>
          <w:bCs/>
          <w:color w:val="auto"/>
          <w:szCs w:val="21"/>
          <w:highlight w:val="none"/>
          <w:u w:val="single"/>
        </w:rPr>
        <w:t>。</w:t>
      </w:r>
    </w:p>
    <w:bookmarkEnd w:id="45"/>
    <w:p w14:paraId="57392247">
      <w:pPr>
        <w:pBdr>
          <w:bottom w:val="single" w:color="auto" w:sz="6" w:space="1"/>
        </w:pBdr>
        <w:spacing w:line="400" w:lineRule="exact"/>
        <w:ind w:firstLine="527" w:firstLineChars="250"/>
        <w:rPr>
          <w:rFonts w:hint="eastAsia" w:ascii="宋体" w:hAnsi="宋体" w:cs="宋体"/>
          <w:b/>
          <w:color w:val="auto"/>
          <w:szCs w:val="21"/>
          <w:highlight w:val="none"/>
        </w:rPr>
      </w:pPr>
      <w:r>
        <w:rPr>
          <w:rFonts w:hint="eastAsia" w:ascii="宋体" w:hAnsi="宋体" w:cs="宋体"/>
          <w:b/>
          <w:color w:val="auto"/>
          <w:kern w:val="0"/>
          <w:szCs w:val="21"/>
          <w:highlight w:val="none"/>
          <w:u w:val="single"/>
        </w:rPr>
        <w:t>注：定标文件的递交时间和形式由投标人按照投标须知前附表第18项所规定的时间及本须知第18条的相关要求执行。</w:t>
      </w:r>
    </w:p>
    <w:p w14:paraId="3D138E7C">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条款号：12.2</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14:paraId="1F9761ED">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BF2FC72">
      <w:pPr>
        <w:pBdr>
          <w:bottom w:val="single" w:color="auto" w:sz="6" w:space="1"/>
        </w:pBdr>
        <w:spacing w:line="400" w:lineRule="exact"/>
        <w:ind w:firstLine="527" w:firstLineChars="250"/>
        <w:rPr>
          <w:rFonts w:hint="eastAsia" w:ascii="宋体" w:hAnsi="宋体" w:cs="宋体"/>
          <w:bCs/>
          <w:color w:val="auto"/>
          <w:kern w:val="0"/>
          <w:szCs w:val="21"/>
          <w:highlight w:val="none"/>
        </w:rPr>
      </w:pPr>
      <w:r>
        <w:rPr>
          <w:rFonts w:hint="eastAsia" w:ascii="宋体" w:hAnsi="宋体" w:cs="宋体"/>
          <w:b/>
          <w:color w:val="auto"/>
          <w:szCs w:val="21"/>
          <w:highlight w:val="none"/>
        </w:rPr>
        <w:t>现文：</w:t>
      </w:r>
      <w:bookmarkStart w:id="46" w:name="OLE_LINK142"/>
      <w:r>
        <w:rPr>
          <w:rFonts w:hint="eastAsia" w:ascii="宋体" w:hAnsi="宋体" w:cs="宋体"/>
          <w:color w:val="auto"/>
          <w:szCs w:val="21"/>
          <w:highlight w:val="none"/>
        </w:rPr>
        <w:t>12.2投标文件全部采用电子文档，投标文件所附证书证件均为原件扫描件，并采用单位数字证书，</w:t>
      </w:r>
      <w:bookmarkStart w:id="47" w:name="_Hlk204260248"/>
      <w:r>
        <w:rPr>
          <w:rFonts w:hint="eastAsia" w:ascii="宋体" w:hAnsi="宋体" w:cs="宋体"/>
          <w:color w:val="auto"/>
          <w:szCs w:val="21"/>
          <w:highlight w:val="none"/>
        </w:rPr>
        <w:t>对投标文件</w:t>
      </w:r>
      <w:bookmarkEnd w:id="47"/>
      <w:r>
        <w:rPr>
          <w:rFonts w:hint="eastAsia" w:ascii="宋体" w:hAnsi="宋体" w:cs="宋体"/>
          <w:color w:val="auto"/>
          <w:szCs w:val="21"/>
          <w:highlight w:val="none"/>
        </w:rPr>
        <w:t>加盖电子印章。投标文件中需个人签字或盖章的，应加盖个人电子印章或在线下完成后扫描上传。按照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bCs/>
          <w:color w:val="auto"/>
          <w:kern w:val="0"/>
          <w:szCs w:val="21"/>
          <w:highlight w:val="none"/>
        </w:rPr>
        <w:t>。</w:t>
      </w:r>
      <w:bookmarkEnd w:id="46"/>
    </w:p>
    <w:p w14:paraId="6752DE50">
      <w:pPr>
        <w:pBdr>
          <w:bottom w:val="single" w:color="auto" w:sz="6" w:space="1"/>
        </w:pBdr>
        <w:spacing w:line="400" w:lineRule="exact"/>
        <w:ind w:firstLine="525" w:firstLineChars="25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注释：投标文件电子文档需要投标人单位盖章的材料，投标人加盖电子印章即可，不得将投标人未对电子文档加盖实物印章作为否决投标的情形。</w:t>
      </w:r>
    </w:p>
    <w:p w14:paraId="623F0C2B">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条款号：12.3                                 修改类型：修改</w:t>
      </w:r>
    </w:p>
    <w:p w14:paraId="70F025EE">
      <w:pP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16F653">
      <w:pPr>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4C34329E">
      <w:pPr>
        <w:pBdr>
          <w:bottom w:val="single" w:color="auto" w:sz="6" w:space="1"/>
        </w:pBdr>
        <w:spacing w:line="400" w:lineRule="exact"/>
        <w:ind w:firstLine="411" w:firstLineChars="195"/>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r>
        <w:rPr>
          <w:rFonts w:hint="eastAsia" w:ascii="宋体" w:hAnsi="宋体" w:cs="宋体"/>
          <w:bCs/>
          <w:color w:val="auto"/>
          <w:szCs w:val="21"/>
          <w:highlight w:val="none"/>
          <w:u w:val="single"/>
        </w:rPr>
        <w:t>如不按上述要求编制引起系统无法检索、读取相关信息的，其后果由投标人承担</w:t>
      </w:r>
      <w:r>
        <w:rPr>
          <w:rFonts w:hint="eastAsia" w:ascii="宋体" w:hAnsi="宋体" w:cs="宋体"/>
          <w:color w:val="auto"/>
          <w:szCs w:val="21"/>
          <w:highlight w:val="none"/>
        </w:rPr>
        <w:t>。</w:t>
      </w:r>
    </w:p>
    <w:p w14:paraId="6BA43487">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13.1</w:t>
      </w:r>
      <w:r>
        <w:rPr>
          <w:rFonts w:hint="eastAsia" w:ascii="宋体" w:hAnsi="宋体" w:cs="宋体"/>
          <w:b/>
          <w:color w:val="auto"/>
          <w:szCs w:val="21"/>
          <w:highlight w:val="none"/>
        </w:rPr>
        <w:t xml:space="preserve">                               修改类型：修改</w:t>
      </w:r>
    </w:p>
    <w:p w14:paraId="547EDFA6">
      <w:pPr>
        <w:spacing w:line="400" w:lineRule="exact"/>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14:paraId="279C9484">
      <w:pPr>
        <w:pBdr>
          <w:bottom w:val="single" w:color="auto" w:sz="6" w:space="1"/>
        </w:pBdr>
        <w:spacing w:line="40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13.1</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14:paraId="65810D18">
      <w:pPr>
        <w:spacing w:line="400" w:lineRule="exact"/>
        <w:ind w:firstLine="411" w:firstLineChars="195"/>
        <w:rPr>
          <w:rFonts w:hint="eastAsia" w:ascii="宋体" w:hAnsi="宋体" w:cs="宋体"/>
          <w:b/>
          <w:color w:val="auto"/>
          <w:szCs w:val="21"/>
          <w:highlight w:val="none"/>
        </w:rPr>
      </w:pPr>
      <w:r>
        <w:rPr>
          <w:rFonts w:hint="eastAsia" w:ascii="宋体" w:hAnsi="宋体" w:cs="宋体"/>
          <w:b/>
          <w:color w:val="auto"/>
          <w:szCs w:val="21"/>
          <w:highlight w:val="none"/>
        </w:rPr>
        <w:t>条</w:t>
      </w:r>
      <w:r>
        <w:rPr>
          <w:rFonts w:hint="eastAsia" w:ascii="宋体" w:hAnsi="宋体" w:cs="宋体"/>
          <w:b/>
          <w:color w:val="auto"/>
          <w:szCs w:val="21"/>
          <w:highlight w:val="none"/>
          <w:lang w:bidi="ar"/>
        </w:rPr>
        <w:t>条款号：13.3                              修改类型：修改</w:t>
      </w:r>
    </w:p>
    <w:p w14:paraId="3A0BFF0E">
      <w:pPr>
        <w:spacing w:line="400" w:lineRule="exact"/>
        <w:ind w:firstLine="411" w:firstLineChars="195"/>
        <w:rPr>
          <w:rFonts w:hint="eastAsia" w:ascii="宋体" w:hAnsi="宋体" w:cs="宋体"/>
          <w:b/>
          <w:color w:val="auto"/>
          <w:szCs w:val="21"/>
          <w:highlight w:val="none"/>
        </w:rPr>
      </w:pPr>
      <w:r>
        <w:rPr>
          <w:rFonts w:hint="eastAsia" w:ascii="宋体" w:hAnsi="宋体" w:cs="宋体"/>
          <w:b/>
          <w:color w:val="auto"/>
          <w:szCs w:val="21"/>
          <w:highlight w:val="none"/>
          <w:lang w:bidi="ar"/>
        </w:rPr>
        <w:t>原文：</w:t>
      </w:r>
      <w:r>
        <w:rPr>
          <w:rFonts w:hint="eastAsia" w:ascii="宋体" w:hAnsi="宋体" w:cs="宋体"/>
          <w:bCs/>
          <w:color w:val="auto"/>
          <w:szCs w:val="21"/>
          <w:highlight w:val="none"/>
          <w:lang w:bidi="ar"/>
        </w:rPr>
        <w:t>13.3</w:t>
      </w:r>
      <w:r>
        <w:rPr>
          <w:rFonts w:hint="eastAsia" w:ascii="宋体" w:hAnsi="宋体" w:cs="宋体"/>
          <w:color w:val="auto"/>
          <w:szCs w:val="21"/>
          <w:highlight w:val="none"/>
          <w:lang w:bidi="ar"/>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1E1AF0E">
      <w:pPr>
        <w:pBdr>
          <w:bottom w:val="single" w:color="auto" w:sz="6" w:space="1"/>
        </w:pBdr>
        <w:spacing w:line="400" w:lineRule="exact"/>
        <w:ind w:firstLine="411" w:firstLineChars="195"/>
        <w:rPr>
          <w:rFonts w:hint="eastAsia" w:ascii="宋体" w:hAnsi="宋体" w:cs="宋体"/>
          <w:bCs/>
          <w:color w:val="auto"/>
          <w:szCs w:val="21"/>
          <w:highlight w:val="none"/>
        </w:rPr>
      </w:pPr>
      <w:r>
        <w:rPr>
          <w:rFonts w:hint="eastAsia" w:ascii="宋体" w:hAnsi="宋体" w:cs="宋体"/>
          <w:b/>
          <w:color w:val="auto"/>
          <w:szCs w:val="21"/>
          <w:highlight w:val="none"/>
          <w:lang w:bidi="ar"/>
        </w:rPr>
        <w:t>现文：</w:t>
      </w:r>
      <w:r>
        <w:rPr>
          <w:rFonts w:hint="eastAsia" w:ascii="宋体" w:hAnsi="宋体" w:cs="宋体"/>
          <w:bCs/>
          <w:color w:val="auto"/>
          <w:szCs w:val="21"/>
          <w:highlight w:val="none"/>
          <w:lang w:bidi="ar"/>
        </w:rPr>
        <w:t>13.3投标人的投标报价，应是按照投标须知前附表第8项的工期要求，在投标须知前附表第3项的建设地点，完成投标须知前附表第7项的招标范围内已由招标人</w:t>
      </w:r>
      <w:r>
        <w:rPr>
          <w:rFonts w:hint="eastAsia" w:ascii="宋体" w:hAnsi="宋体" w:cs="宋体"/>
          <w:bCs/>
          <w:color w:val="auto"/>
          <w:szCs w:val="21"/>
          <w:highlight w:val="none"/>
          <w:u w:val="single"/>
          <w:lang w:bidi="ar"/>
        </w:rPr>
        <w:t>提供的招标图纸（包括有关于本项目招标的相关资料）及</w:t>
      </w:r>
      <w:r>
        <w:rPr>
          <w:rFonts w:hint="eastAsia" w:ascii="宋体" w:hAnsi="宋体" w:cs="宋体"/>
          <w:bCs/>
          <w:color w:val="auto"/>
          <w:szCs w:val="21"/>
          <w:highlight w:val="none"/>
          <w:lang w:bidi="ar"/>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ascii="宋体" w:hAnsi="宋体" w:cs="宋体"/>
          <w:bCs/>
          <w:color w:val="auto"/>
          <w:szCs w:val="21"/>
          <w:highlight w:val="none"/>
          <w:u w:val="single"/>
          <w:lang w:bidi="ar"/>
        </w:rPr>
        <w:t>安全生产措施费</w:t>
      </w:r>
      <w:r>
        <w:rPr>
          <w:rFonts w:hint="eastAsia" w:ascii="宋体" w:hAnsi="宋体" w:cs="宋体"/>
          <w:bCs/>
          <w:color w:val="auto"/>
          <w:szCs w:val="21"/>
          <w:highlight w:val="none"/>
          <w:lang w:bidi="ar"/>
        </w:rPr>
        <w:t>等非竞争性项目明列了单价或合价的金额的，投标人应按照明列的单价或合价的金额报价，未按照规定金额报价的，由评标委员会按照招标文件规定的金额进行修正。</w:t>
      </w:r>
    </w:p>
    <w:p w14:paraId="6F8B75BC">
      <w:pPr>
        <w:spacing w:line="400" w:lineRule="exact"/>
        <w:ind w:firstLine="426" w:firstLineChars="202"/>
        <w:rPr>
          <w:rFonts w:hint="eastAsia" w:ascii="宋体" w:hAnsi="宋体" w:cs="宋体"/>
          <w:b/>
          <w:color w:val="auto"/>
          <w:szCs w:val="21"/>
          <w:highlight w:val="none"/>
        </w:rPr>
      </w:pPr>
      <w:r>
        <w:rPr>
          <w:rFonts w:hint="eastAsia" w:ascii="宋体" w:hAnsi="宋体" w:cs="宋体"/>
          <w:b/>
          <w:color w:val="auto"/>
          <w:szCs w:val="21"/>
          <w:highlight w:val="none"/>
        </w:rPr>
        <w:t xml:space="preserve">款号： </w:t>
      </w:r>
      <w:r>
        <w:rPr>
          <w:rFonts w:hint="eastAsia" w:ascii="宋体" w:hAnsi="宋体" w:cs="宋体"/>
          <w:b/>
          <w:bCs/>
          <w:color w:val="auto"/>
          <w:szCs w:val="21"/>
          <w:highlight w:val="none"/>
        </w:rPr>
        <w:t>13.4</w:t>
      </w:r>
      <w:r>
        <w:rPr>
          <w:rFonts w:hint="eastAsia" w:ascii="宋体" w:hAnsi="宋体" w:cs="宋体"/>
          <w:b/>
          <w:color w:val="auto"/>
          <w:szCs w:val="21"/>
          <w:highlight w:val="none"/>
        </w:rPr>
        <w:t xml:space="preserve">                                修改类型：修改</w:t>
      </w:r>
    </w:p>
    <w:p w14:paraId="42DCE20F">
      <w:pPr>
        <w:spacing w:line="400" w:lineRule="exact"/>
        <w:ind w:firstLine="426" w:firstLineChars="202"/>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4671D31">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13.4</w:t>
      </w:r>
      <w:r>
        <w:rPr>
          <w:rFonts w:hint="eastAsia" w:ascii="宋体" w:hAnsi="宋体" w:cs="宋体"/>
          <w:color w:val="auto"/>
          <w:szCs w:val="21"/>
          <w:highlight w:val="none"/>
        </w:rPr>
        <w:t>投标人一旦中标，投标人对招标人提供的招标工程量清单中列出的工程项目所报出的综合单价，</w:t>
      </w:r>
      <w:r>
        <w:rPr>
          <w:rFonts w:hint="eastAsia" w:ascii="宋体" w:hAnsi="宋体" w:cs="宋体"/>
          <w:color w:val="auto"/>
          <w:szCs w:val="21"/>
          <w:highlight w:val="none"/>
          <w:u w:val="single"/>
        </w:rPr>
        <w:t>除招标文件第三章合同条款另有约定外，</w:t>
      </w:r>
      <w:r>
        <w:rPr>
          <w:rFonts w:hint="eastAsia" w:ascii="宋体" w:hAnsi="宋体" w:cs="宋体"/>
          <w:color w:val="auto"/>
          <w:szCs w:val="21"/>
          <w:highlight w:val="none"/>
        </w:rPr>
        <w:t>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szCs w:val="21"/>
          <w:highlight w:val="none"/>
          <w:u w:val="single"/>
        </w:rPr>
        <w:t>按招标文件第三章合同条款相关约定调整</w:t>
      </w:r>
      <w:r>
        <w:rPr>
          <w:rFonts w:hint="eastAsia" w:ascii="宋体" w:hAnsi="宋体" w:cs="宋体"/>
          <w:color w:val="auto"/>
          <w:szCs w:val="21"/>
          <w:highlight w:val="none"/>
        </w:rPr>
        <w:t>。</w:t>
      </w:r>
    </w:p>
    <w:p w14:paraId="60E6BEB1">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条款号：13.5                              修改类型：修改</w:t>
      </w:r>
    </w:p>
    <w:p w14:paraId="6C9F4E3B">
      <w:pPr>
        <w:pBdr>
          <w:bottom w:val="single" w:color="auto" w:sz="6" w:space="1"/>
        </w:pBdr>
        <w:spacing w:line="400" w:lineRule="exact"/>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6240A88">
      <w:pPr>
        <w:pBdr>
          <w:bottom w:val="single" w:color="auto" w:sz="6" w:space="1"/>
        </w:pBdr>
        <w:spacing w:line="40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13.5.1中标的投标文件工程量清单中已有相同项目的适用综合单价，则沿用；</w:t>
      </w:r>
    </w:p>
    <w:p w14:paraId="3B17A977">
      <w:pPr>
        <w:pBdr>
          <w:bottom w:val="single" w:color="auto" w:sz="6" w:space="1"/>
        </w:pBdr>
        <w:spacing w:line="40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FD175FB">
      <w:pPr>
        <w:pBdr>
          <w:bottom w:val="single" w:color="auto" w:sz="6" w:space="1"/>
        </w:pBdr>
        <w:spacing w:line="40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0A3B78A2">
      <w:pPr>
        <w:pBdr>
          <w:bottom w:val="single" w:color="auto" w:sz="6" w:space="1"/>
        </w:pBdr>
        <w:spacing w:line="400" w:lineRule="exact"/>
        <w:ind w:firstLine="409" w:firstLineChars="195"/>
        <w:rPr>
          <w:rFonts w:hint="eastAsia" w:ascii="宋体" w:hAnsi="宋体" w:cs="宋体"/>
          <w:color w:val="auto"/>
          <w:szCs w:val="21"/>
          <w:highlight w:val="none"/>
          <w:u w:val="singl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14:paraId="485962A1">
      <w:pPr>
        <w:pBdr>
          <w:bottom w:val="single" w:color="auto" w:sz="6" w:space="1"/>
        </w:pBdr>
        <w:spacing w:line="400" w:lineRule="exact"/>
        <w:ind w:firstLine="527" w:firstLineChars="25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变更结算方式按招标文件第三章合同条款相关规定执行</w:t>
      </w:r>
      <w:r>
        <w:rPr>
          <w:rFonts w:hint="eastAsia" w:ascii="宋体" w:hAnsi="宋体" w:cs="宋体"/>
          <w:bCs/>
          <w:color w:val="auto"/>
          <w:szCs w:val="21"/>
          <w:highlight w:val="none"/>
          <w:u w:val="single"/>
        </w:rPr>
        <w:t>。</w:t>
      </w:r>
    </w:p>
    <w:p w14:paraId="426DEC79">
      <w:pPr>
        <w:spacing w:line="400" w:lineRule="exact"/>
        <w:ind w:firstLine="595" w:firstLineChars="282"/>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w:t>
      </w:r>
      <w:r>
        <w:rPr>
          <w:rFonts w:hint="eastAsia" w:ascii="宋体" w:hAnsi="宋体"/>
          <w:b/>
          <w:color w:val="auto"/>
          <w:szCs w:val="21"/>
          <w:highlight w:val="none"/>
        </w:rPr>
        <w:t>5.2                            修改类型：修改</w:t>
      </w:r>
    </w:p>
    <w:p w14:paraId="66C92DF8">
      <w:pPr>
        <w:spacing w:line="400" w:lineRule="exact"/>
        <w:ind w:firstLine="527" w:firstLineChars="250"/>
        <w:rPr>
          <w:rFonts w:hint="eastAsia" w:ascii="宋体" w:hAnsi="宋体"/>
          <w:b/>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C424C6F">
      <w:pPr>
        <w:pBdr>
          <w:bottom w:val="single" w:color="auto" w:sz="4" w:space="0"/>
        </w:pBdr>
        <w:spacing w:line="400" w:lineRule="exact"/>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15.2</w:t>
      </w:r>
      <w:r>
        <w:rPr>
          <w:rFonts w:hint="eastAsia" w:ascii="宋体" w:hAnsi="宋体"/>
          <w:bCs/>
          <w:color w:val="auto"/>
          <w:szCs w:val="21"/>
          <w:highlight w:val="none"/>
          <w:u w:val="singl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有效期内。</w:t>
      </w:r>
    </w:p>
    <w:p w14:paraId="08B83F74">
      <w:pPr>
        <w:spacing w:line="400" w:lineRule="exact"/>
        <w:ind w:firstLine="422" w:firstLineChars="200"/>
        <w:rPr>
          <w:rFonts w:hint="eastAsia" w:ascii="宋体" w:hAnsi="宋体" w:cs="宋体"/>
          <w:b/>
          <w:color w:val="auto"/>
          <w:szCs w:val="21"/>
          <w:highlight w:val="none"/>
          <w:lang w:bidi="ar"/>
        </w:rPr>
      </w:pPr>
      <w:r>
        <w:rPr>
          <w:rFonts w:hint="eastAsia" w:ascii="宋体" w:hAnsi="宋体" w:cs="宋体"/>
          <w:b/>
          <w:color w:val="auto"/>
          <w:szCs w:val="21"/>
          <w:highlight w:val="none"/>
          <w:lang w:bidi="ar"/>
        </w:rPr>
        <w:t>条款号：</w:t>
      </w:r>
      <w:r>
        <w:rPr>
          <w:rFonts w:hint="eastAsia" w:ascii="宋体" w:hAnsi="宋体" w:cs="宋体"/>
          <w:b/>
          <w:bCs/>
          <w:color w:val="auto"/>
          <w:szCs w:val="21"/>
          <w:highlight w:val="none"/>
          <w:lang w:bidi="ar"/>
        </w:rPr>
        <w:t xml:space="preserve">16.1-16.5  </w:t>
      </w:r>
      <w:r>
        <w:rPr>
          <w:rFonts w:hint="eastAsia" w:ascii="宋体" w:hAnsi="宋体" w:cs="宋体"/>
          <w:b/>
          <w:color w:val="auto"/>
          <w:szCs w:val="21"/>
          <w:highlight w:val="none"/>
          <w:lang w:bidi="ar"/>
        </w:rPr>
        <w:t xml:space="preserve">                       修改类型：修改</w:t>
      </w:r>
    </w:p>
    <w:p w14:paraId="53DA901E">
      <w:pPr>
        <w:spacing w:line="400" w:lineRule="exact"/>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ascii="宋体" w:hAnsi="宋体"/>
          <w:color w:val="auto"/>
          <w:szCs w:val="21"/>
          <w:highlight w:val="none"/>
        </w:rPr>
        <w:t>16.1</w:t>
      </w:r>
      <w:r>
        <w:rPr>
          <w:rFonts w:hint="eastAsia" w:ascii="宋体" w:hAnsi="宋体"/>
          <w:color w:val="auto"/>
          <w:szCs w:val="21"/>
          <w:highlight w:val="none"/>
        </w:rPr>
        <w:t>投标人应按投标须知前附表第</w:t>
      </w:r>
      <w:r>
        <w:rPr>
          <w:rFonts w:ascii="宋体" w:hAnsi="宋体"/>
          <w:color w:val="auto"/>
          <w:szCs w:val="21"/>
          <w:highlight w:val="none"/>
        </w:rPr>
        <w:t>14</w:t>
      </w:r>
      <w:r>
        <w:rPr>
          <w:rFonts w:hint="eastAsia" w:ascii="宋体" w:hAnsi="宋体"/>
          <w:color w:val="auto"/>
          <w:szCs w:val="21"/>
          <w:highlight w:val="none"/>
        </w:rPr>
        <w:t>项所述金额和时间递交</w:t>
      </w:r>
      <w:r>
        <w:rPr>
          <w:rFonts w:hint="eastAsia" w:ascii="宋体" w:hAnsi="宋体"/>
          <w:bCs/>
          <w:color w:val="auto"/>
          <w:szCs w:val="21"/>
          <w:highlight w:val="none"/>
        </w:rPr>
        <w:t>投标保证金</w:t>
      </w:r>
      <w:r>
        <w:rPr>
          <w:rFonts w:hint="eastAsia" w:ascii="宋体" w:hAnsi="宋体"/>
          <w:color w:val="auto"/>
          <w:szCs w:val="21"/>
          <w:highlight w:val="none"/>
        </w:rPr>
        <w:t>。招标人应当允许投标人自主选择现金、银行保函、保证保险、专业工程担保公司担保等方式缴纳投标保证金。</w:t>
      </w:r>
    </w:p>
    <w:p w14:paraId="3156AD2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14:paraId="171942A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333E08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14:paraId="4E6B318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7878D88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14:paraId="2F45294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14:paraId="13AB950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16.4.1因投标人原因造成投标文件未解密的；</w:t>
      </w:r>
    </w:p>
    <w:p w14:paraId="72D8A02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16.4.2投标人在投标有效期内撤销投标文件；</w:t>
      </w:r>
    </w:p>
    <w:p w14:paraId="66C330B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14:paraId="6D1E2E3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16.4.4中标人未能在规定期限内签署合同协议。</w:t>
      </w:r>
    </w:p>
    <w:p w14:paraId="04781A5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14:paraId="00603BC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14:paraId="143E6B4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14:paraId="7284E97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14:paraId="7DCD8E7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14:paraId="1E7D4F4A">
      <w:pPr>
        <w:spacing w:line="400" w:lineRule="exact"/>
        <w:ind w:firstLine="480"/>
        <w:rPr>
          <w:rFonts w:ascii="宋体" w:hAnsi="宋体" w:cs="宋体"/>
          <w:color w:val="auto"/>
          <w:szCs w:val="21"/>
          <w:highlight w:val="none"/>
        </w:rPr>
      </w:pPr>
      <w:r>
        <w:rPr>
          <w:rFonts w:hint="eastAsia" w:ascii="宋体" w:hAnsi="宋体"/>
          <w:color w:val="auto"/>
          <w:szCs w:val="21"/>
          <w:highlight w:val="none"/>
        </w:rPr>
        <w:t>注：16.5.3款由招标人二选一，需在招标文件中明确。</w:t>
      </w:r>
    </w:p>
    <w:p w14:paraId="317C8657">
      <w:pPr>
        <w:pBdr>
          <w:bottom w:val="single" w:color="auto" w:sz="6" w:space="1"/>
        </w:pBdr>
        <w:adjustRightIn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kern w:val="0"/>
          <w:szCs w:val="21"/>
          <w:highlight w:val="none"/>
          <w:u w:val="single"/>
          <w:lang w:bidi="ar"/>
        </w:rPr>
        <w:t>本项目不收取投标保证金。</w:t>
      </w:r>
    </w:p>
    <w:p w14:paraId="58D20BD3">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条款号：17.1                               修改类型：修改</w:t>
      </w:r>
    </w:p>
    <w:p w14:paraId="24FE8BAB">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w:t>
      </w:r>
      <w:bookmarkStart w:id="48" w:name="_Hlk204260321"/>
      <w:r>
        <w:rPr>
          <w:rFonts w:hint="eastAsia" w:ascii="宋体" w:hAnsi="宋体" w:cs="宋体"/>
          <w:color w:val="auto"/>
          <w:szCs w:val="21"/>
          <w:highlight w:val="none"/>
        </w:rPr>
        <w:t>对投标文件</w:t>
      </w:r>
      <w:bookmarkEnd w:id="48"/>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942B972">
      <w:pPr>
        <w:pBdr>
          <w:bottom w:val="single" w:color="auto" w:sz="6" w:space="1"/>
        </w:pBdr>
        <w:spacing w:line="400" w:lineRule="exact"/>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bookmarkStart w:id="49" w:name="OLE_LINK144"/>
      <w:r>
        <w:rPr>
          <w:rFonts w:hint="eastAsia" w:ascii="宋体" w:hAnsi="宋体" w:cs="宋体"/>
          <w:color w:val="auto"/>
          <w:szCs w:val="21"/>
          <w:highlight w:val="none"/>
        </w:rPr>
        <w:t>17.1投标人应采用单位数字证书，对投标文件加盖电子印章。投标文件中需个人签字或盖章的，应加盖个人电子印章或在线下完成后扫描上传。按照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bCs/>
          <w:color w:val="auto"/>
          <w:kern w:val="0"/>
          <w:szCs w:val="21"/>
          <w:highlight w:val="none"/>
        </w:rPr>
        <w:t>。</w:t>
      </w:r>
      <w:bookmarkEnd w:id="49"/>
    </w:p>
    <w:p w14:paraId="1BD975D4">
      <w:pPr>
        <w:spacing w:line="400" w:lineRule="exact"/>
        <w:ind w:firstLine="472" w:firstLineChars="224"/>
        <w:rPr>
          <w:rFonts w:ascii="宋体" w:hAnsi="宋体" w:cs="宋体"/>
          <w:b/>
          <w:color w:val="auto"/>
          <w:szCs w:val="21"/>
          <w:highlight w:val="none"/>
        </w:rPr>
      </w:pPr>
    </w:p>
    <w:p w14:paraId="4C374187">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18、19</w:t>
      </w:r>
      <w:r>
        <w:rPr>
          <w:rFonts w:hint="eastAsia" w:ascii="宋体" w:hAnsi="宋体" w:cs="宋体"/>
          <w:b/>
          <w:color w:val="auto"/>
          <w:szCs w:val="21"/>
          <w:highlight w:val="none"/>
        </w:rPr>
        <w:t xml:space="preserve">                              修改类型：修改</w:t>
      </w:r>
    </w:p>
    <w:p w14:paraId="526F30B0">
      <w:pPr>
        <w:pStyle w:val="37"/>
        <w:spacing w:after="0" w:line="40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 投标文件的密封和标记</w:t>
      </w:r>
    </w:p>
    <w:p w14:paraId="7A96CE23">
      <w:pPr>
        <w:pStyle w:val="37"/>
        <w:spacing w:after="0" w:line="40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18.1递交的电子投标文件（不含备用光盘）必须进行加密。按照交易平台关于全流程电子化项目的相关指南进行操作。详见：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7BF320A4">
      <w:pPr>
        <w:pStyle w:val="37"/>
        <w:spacing w:after="0" w:line="40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14:paraId="766BE232">
      <w:pPr>
        <w:pStyle w:val="37"/>
        <w:spacing w:after="0" w:line="40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19．投标文件的递交和接收</w:t>
      </w:r>
    </w:p>
    <w:p w14:paraId="781B2337">
      <w:pPr>
        <w:pStyle w:val="37"/>
        <w:spacing w:after="0" w:line="40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交易平台递交电子投标文件。</w:t>
      </w:r>
    </w:p>
    <w:p w14:paraId="2E58EA6E">
      <w:pPr>
        <w:pStyle w:val="37"/>
        <w:spacing w:after="0" w:line="40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19.2投标人完成电子投标文件上传后，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交易平台即时向投标人发出递交回执通知。递交时间以递交回执通知载明的传输完成时间为准。</w:t>
      </w:r>
    </w:p>
    <w:p w14:paraId="4011F80C">
      <w:pPr>
        <w:pStyle w:val="37"/>
        <w:spacing w:after="0" w:line="40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14:paraId="1FB19DD2">
      <w:pPr>
        <w:pStyle w:val="37"/>
        <w:spacing w:after="0" w:line="40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19.4 投标截止前，招标人拒绝接收符合条件的投标文件，投标人可向招标投标监督机构投诉。</w:t>
      </w:r>
    </w:p>
    <w:p w14:paraId="58A0A1C2">
      <w:pPr>
        <w:pStyle w:val="37"/>
        <w:spacing w:after="0" w:line="40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19.5如技术标和经济标先后分别开启，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交易平台将按招标文件规定的时间分别开启技术标和经济标。</w:t>
      </w:r>
    </w:p>
    <w:p w14:paraId="4BD2A5A1">
      <w:pPr>
        <w:pStyle w:val="37"/>
        <w:spacing w:after="0" w:line="400" w:lineRule="exact"/>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w:t>
      </w:r>
      <w:r>
        <w:rPr>
          <w:rFonts w:hint="eastAsia" w:ascii="宋体" w:hAnsi="宋体" w:cs="宋体"/>
          <w:b/>
          <w:color w:val="auto"/>
          <w:szCs w:val="21"/>
          <w:highlight w:val="none"/>
          <w:u w:val="single"/>
        </w:rPr>
        <w:t>（含定标文件）</w:t>
      </w:r>
      <w:r>
        <w:rPr>
          <w:rFonts w:hint="eastAsia" w:ascii="宋体" w:hAnsi="宋体" w:cs="宋体"/>
          <w:b/>
          <w:color w:val="auto"/>
          <w:szCs w:val="21"/>
          <w:highlight w:val="none"/>
        </w:rPr>
        <w:t>的密封和标记</w:t>
      </w:r>
    </w:p>
    <w:p w14:paraId="120FCB05">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18.1递交的电子投标文件（</w:t>
      </w:r>
      <w:r>
        <w:rPr>
          <w:rFonts w:hint="eastAsia" w:ascii="宋体" w:hAnsi="宋体" w:cs="宋体"/>
          <w:bCs/>
          <w:color w:val="auto"/>
          <w:szCs w:val="21"/>
          <w:highlight w:val="none"/>
          <w:u w:val="single"/>
        </w:rPr>
        <w:t>含定标文件，</w:t>
      </w:r>
      <w:r>
        <w:rPr>
          <w:rFonts w:hint="eastAsia" w:ascii="宋体" w:hAnsi="宋体" w:cs="宋体"/>
          <w:bCs/>
          <w:color w:val="auto"/>
          <w:szCs w:val="21"/>
          <w:highlight w:val="none"/>
        </w:rPr>
        <w:t>不含备用光盘）必须进行加密。按照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116002D8">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bCs/>
          <w:color w:val="auto"/>
          <w:szCs w:val="21"/>
          <w:highlight w:val="none"/>
          <w:u w:val="single"/>
        </w:rPr>
        <w:t>（含定标文件）</w:t>
      </w:r>
      <w:r>
        <w:rPr>
          <w:rFonts w:hint="eastAsia" w:ascii="宋体" w:hAnsi="宋体" w:cs="宋体"/>
          <w:bCs/>
          <w:color w:val="auto"/>
          <w:szCs w:val="21"/>
          <w:highlight w:val="none"/>
        </w:rPr>
        <w:t>，</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3731386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19．投标文件</w:t>
      </w:r>
      <w:r>
        <w:rPr>
          <w:rFonts w:hint="eastAsia" w:ascii="宋体" w:hAnsi="宋体" w:cs="宋体"/>
          <w:b/>
          <w:bCs/>
          <w:color w:val="auto"/>
          <w:szCs w:val="21"/>
          <w:highlight w:val="none"/>
          <w:u w:val="single"/>
        </w:rPr>
        <w:t>（含定标文件）</w:t>
      </w:r>
      <w:r>
        <w:rPr>
          <w:rFonts w:hint="eastAsia" w:ascii="宋体" w:hAnsi="宋体" w:cs="宋体"/>
          <w:b/>
          <w:bCs/>
          <w:color w:val="auto"/>
          <w:szCs w:val="21"/>
          <w:highlight w:val="none"/>
        </w:rPr>
        <w:t>的递交和接收</w:t>
      </w:r>
    </w:p>
    <w:p w14:paraId="7FA6A16D">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r>
        <w:rPr>
          <w:rFonts w:hint="eastAsia" w:ascii="宋体" w:hAnsi="宋体" w:cs="宋体"/>
          <w:color w:val="auto"/>
          <w:szCs w:val="21"/>
          <w:highlight w:val="none"/>
          <w:u w:val="single"/>
        </w:rPr>
        <w:t>（含定标文件）</w:t>
      </w:r>
      <w:r>
        <w:rPr>
          <w:rFonts w:hint="eastAsia" w:ascii="宋体" w:hAnsi="宋体" w:cs="宋体"/>
          <w:color w:val="auto"/>
          <w:szCs w:val="21"/>
          <w:highlight w:val="none"/>
        </w:rPr>
        <w:t>。</w:t>
      </w:r>
    </w:p>
    <w:p w14:paraId="506B9CBD">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color w:val="auto"/>
          <w:szCs w:val="21"/>
          <w:highlight w:val="none"/>
          <w:u w:val="single"/>
        </w:rPr>
        <w:t>（含定标文件）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14:paraId="4F2E7B3F">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（含定标文件）</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广州交易集团有限公司（广州公共资源交易中心） </w:t>
      </w:r>
      <w:r>
        <w:rPr>
          <w:rFonts w:hint="eastAsia" w:ascii="宋体" w:hAnsi="宋体" w:cs="宋体"/>
          <w:color w:val="auto"/>
          <w:szCs w:val="21"/>
          <w:highlight w:val="none"/>
        </w:rPr>
        <w:t>交易平台将予以拒收。</w:t>
      </w:r>
    </w:p>
    <w:p w14:paraId="350DC31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w:t>
      </w:r>
      <w:r>
        <w:rPr>
          <w:rFonts w:hint="eastAsia" w:ascii="宋体" w:hAnsi="宋体" w:cs="宋体"/>
          <w:color w:val="auto"/>
          <w:szCs w:val="21"/>
          <w:highlight w:val="none"/>
          <w:u w:val="single"/>
        </w:rPr>
        <w:t>（含定标文件）</w:t>
      </w:r>
      <w:r>
        <w:rPr>
          <w:rFonts w:hint="eastAsia" w:ascii="宋体" w:hAnsi="宋体" w:cs="宋体"/>
          <w:color w:val="auto"/>
          <w:szCs w:val="21"/>
          <w:highlight w:val="none"/>
        </w:rPr>
        <w:t>，投标人可向招标投标监督机构投诉。</w:t>
      </w:r>
    </w:p>
    <w:p w14:paraId="02F159D2">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w:t>
      </w:r>
      <w:bookmarkStart w:id="50" w:name="OLE_LINK23"/>
      <w:r>
        <w:rPr>
          <w:rFonts w:hint="eastAsia" w:ascii="宋体" w:hAnsi="宋体" w:cs="宋体"/>
          <w:color w:val="auto"/>
          <w:szCs w:val="21"/>
          <w:highlight w:val="none"/>
          <w:u w:val="single"/>
        </w:rPr>
        <w:t>技术标（含资格审查文件）和经济标和定标文件同时开启，广州交易集团有限公司（广州公共资源交易中心）交易平台将按招标文件规定的时间同时开启技术标（含资格审查文件）、经济标和定标文件</w:t>
      </w:r>
      <w:bookmarkEnd w:id="50"/>
      <w:r>
        <w:rPr>
          <w:rFonts w:hint="eastAsia" w:ascii="宋体" w:hAnsi="宋体" w:cs="宋体"/>
          <w:bCs/>
          <w:color w:val="auto"/>
          <w:szCs w:val="21"/>
          <w:highlight w:val="none"/>
        </w:rPr>
        <w:t>。</w:t>
      </w:r>
    </w:p>
    <w:p w14:paraId="3717F490">
      <w:pP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条款号：20.3                                修改类型：修改</w:t>
      </w:r>
    </w:p>
    <w:p w14:paraId="7A915589">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20.3 到投标截止时间止，招标人收到的投标文件少于3家的，招标人将重新组织招标（当N个标段同时招标且不允许兼中时，若有效投标人不足N+2家，则重新组织招标）。</w:t>
      </w:r>
    </w:p>
    <w:p w14:paraId="01742664">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bookmarkStart w:id="51" w:name="OLE_LINK24"/>
      <w:r>
        <w:rPr>
          <w:rFonts w:hint="eastAsia" w:ascii="宋体" w:hAnsi="宋体" w:cs="宋体"/>
          <w:bCs/>
          <w:color w:val="auto"/>
          <w:szCs w:val="21"/>
          <w:highlight w:val="none"/>
        </w:rPr>
        <w:t>20.3 到投标截止时间止，招标人收到的投标文件少于3家的，招标人将重新组织招标。</w:t>
      </w:r>
      <w:bookmarkEnd w:id="51"/>
    </w:p>
    <w:p w14:paraId="677DB558">
      <w:pP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条款号：21.1                                修改类型：修改</w:t>
      </w:r>
    </w:p>
    <w:p w14:paraId="5AF6B7D0">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17D4904D">
      <w:pPr>
        <w:pBdr>
          <w:bottom w:val="single" w:color="auto" w:sz="6" w:space="1"/>
        </w:pBdr>
        <w:spacing w:line="40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14:paraId="77DA5088">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条款号：24.1 24.2                            修改类型：修改</w:t>
      </w:r>
    </w:p>
    <w:p w14:paraId="6A41B2A0">
      <w:pPr>
        <w:spacing w:line="400" w:lineRule="exact"/>
        <w:ind w:firstLine="525" w:firstLineChars="249"/>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14:paraId="4ECCB219">
      <w:pPr>
        <w:pBdr>
          <w:bottom w:val="single" w:color="auto" w:sz="6" w:space="1"/>
        </w:pBdr>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77F0D635">
      <w:pPr>
        <w:pBdr>
          <w:bottom w:val="single" w:color="auto" w:sz="6" w:space="1"/>
        </w:pBdr>
        <w:spacing w:line="40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24.1开标后，直至</w:t>
      </w:r>
      <w:r>
        <w:rPr>
          <w:rFonts w:hint="eastAsia" w:ascii="宋体" w:hAnsi="宋体" w:cs="宋体"/>
          <w:color w:val="auto"/>
          <w:szCs w:val="21"/>
          <w:highlight w:val="none"/>
          <w:u w:val="single"/>
        </w:rPr>
        <w:t>合格的中标候选人</w:t>
      </w:r>
      <w:r>
        <w:rPr>
          <w:rFonts w:hint="eastAsia" w:ascii="宋体" w:hAnsi="宋体" w:cs="宋体"/>
          <w:color w:val="auto"/>
          <w:szCs w:val="21"/>
          <w:highlight w:val="none"/>
        </w:rPr>
        <w:t>公示为止，凡属于对投标文件的审查、澄清、评价和比较有关的资料以及</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中标候选人的推荐</w:t>
      </w:r>
      <w:r>
        <w:rPr>
          <w:rFonts w:hint="eastAsia" w:ascii="宋体" w:hAnsi="宋体" w:cs="宋体"/>
          <w:color w:val="auto"/>
          <w:szCs w:val="21"/>
          <w:highlight w:val="none"/>
          <w:u w:val="single"/>
        </w:rPr>
        <w:t>【不排序，按统一社会信用代码后4位（除校验码外）大小排位，如统一社会信用代码后4位出现字母情况的，字母以“0”进行代替大小排位；如出现后4位（除校验码外）大小一致的，则随机排位】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color w:val="auto"/>
          <w:szCs w:val="21"/>
          <w:highlight w:val="none"/>
        </w:rPr>
        <w:t>情况，与评标有关的其他任何情况均严格保密。</w:t>
      </w:r>
    </w:p>
    <w:p w14:paraId="22BAC269">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24.2在投标文件的评审和比较、</w:t>
      </w:r>
      <w:r>
        <w:rPr>
          <w:rFonts w:hint="eastAsia" w:ascii="宋体" w:hAnsi="宋体" w:cs="宋体"/>
          <w:color w:val="auto"/>
          <w:szCs w:val="21"/>
          <w:highlight w:val="none"/>
          <w:u w:val="single"/>
        </w:rPr>
        <w:t>合格</w:t>
      </w:r>
      <w:r>
        <w:rPr>
          <w:rFonts w:hint="eastAsia" w:ascii="宋体" w:hAnsi="宋体" w:cs="宋体"/>
          <w:color w:val="auto"/>
          <w:szCs w:val="21"/>
          <w:highlight w:val="none"/>
        </w:rPr>
        <w:t>的中标候选人推荐</w:t>
      </w:r>
      <w:r>
        <w:rPr>
          <w:rFonts w:hint="eastAsia" w:ascii="宋体" w:hAnsi="宋体" w:cs="宋体"/>
          <w:color w:val="auto"/>
          <w:szCs w:val="21"/>
          <w:highlight w:val="none"/>
          <w:u w:val="single"/>
        </w:rPr>
        <w:t>、定标</w:t>
      </w:r>
      <w:r>
        <w:rPr>
          <w:rFonts w:hint="eastAsia" w:ascii="宋体" w:hAnsi="宋体" w:cs="宋体"/>
          <w:color w:val="auto"/>
          <w:szCs w:val="21"/>
          <w:highlight w:val="none"/>
        </w:rPr>
        <w:t>以及授予合同的过程中，投标人向招标人</w:t>
      </w:r>
      <w:r>
        <w:rPr>
          <w:rFonts w:hint="eastAsia" w:ascii="宋体" w:hAnsi="宋体" w:cs="宋体"/>
          <w:color w:val="auto"/>
          <w:szCs w:val="21"/>
          <w:highlight w:val="none"/>
          <w:u w:val="single"/>
        </w:rPr>
        <w:t>、</w:t>
      </w:r>
      <w:r>
        <w:rPr>
          <w:rFonts w:hint="eastAsia" w:ascii="宋体" w:hAnsi="宋体" w:cs="宋体"/>
          <w:color w:val="auto"/>
          <w:szCs w:val="21"/>
          <w:highlight w:val="none"/>
        </w:rPr>
        <w:t>评标委员会</w:t>
      </w:r>
      <w:r>
        <w:rPr>
          <w:rFonts w:hint="eastAsia" w:ascii="宋体" w:hAnsi="宋体" w:cs="宋体"/>
          <w:color w:val="auto"/>
          <w:szCs w:val="21"/>
          <w:highlight w:val="none"/>
          <w:u w:val="single"/>
        </w:rPr>
        <w:t>和定标委员会</w:t>
      </w:r>
      <w:r>
        <w:rPr>
          <w:rFonts w:hint="eastAsia" w:ascii="宋体" w:hAnsi="宋体" w:cs="宋体"/>
          <w:color w:val="auto"/>
          <w:szCs w:val="21"/>
          <w:highlight w:val="none"/>
        </w:rPr>
        <w:t>施加不公正影响的任何行为，都将会导致其投标被拒绝。</w:t>
      </w:r>
    </w:p>
    <w:p w14:paraId="3D8778AB">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条款号：27.1                               修改类型：修改</w:t>
      </w:r>
    </w:p>
    <w:p w14:paraId="6678AA98">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14:paraId="78A22C91">
      <w:pPr>
        <w:pBdr>
          <w:bottom w:val="single" w:color="auto" w:sz="6" w:space="1"/>
        </w:pBdr>
        <w:spacing w:line="40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bookmarkStart w:id="52" w:name="OLE_LINK69"/>
      <w:r>
        <w:rPr>
          <w:rFonts w:hint="eastAsia" w:ascii="宋体" w:hAnsi="宋体" w:cs="宋体"/>
          <w:color w:val="auto"/>
          <w:szCs w:val="21"/>
          <w:highlight w:val="none"/>
        </w:rPr>
        <w:t>27.1</w:t>
      </w:r>
      <w:bookmarkStart w:id="53" w:name="OLE_LINK25"/>
      <w:r>
        <w:rPr>
          <w:rFonts w:hint="eastAsia" w:ascii="宋体" w:hAnsi="宋体" w:cs="宋体"/>
          <w:color w:val="auto"/>
          <w:szCs w:val="21"/>
          <w:highlight w:val="none"/>
        </w:rPr>
        <w:t>招标人将在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交易平台、广东省招标投标监管网和中国招标投标公共服务平台公示</w:t>
      </w:r>
      <w:r>
        <w:rPr>
          <w:rFonts w:hint="eastAsia" w:ascii="宋体" w:hAnsi="宋体" w:cs="宋体"/>
          <w:color w:val="auto"/>
          <w:szCs w:val="21"/>
          <w:highlight w:val="none"/>
          <w:u w:val="single"/>
        </w:rPr>
        <w:t>合格的中标候选人</w:t>
      </w:r>
      <w:r>
        <w:rPr>
          <w:rFonts w:hint="eastAsia" w:ascii="宋体" w:hAnsi="宋体" w:cs="宋体"/>
          <w:color w:val="auto"/>
          <w:szCs w:val="21"/>
          <w:highlight w:val="none"/>
        </w:rPr>
        <w:t>，公示期为三天。</w:t>
      </w:r>
      <w:r>
        <w:rPr>
          <w:rFonts w:hint="eastAsia" w:ascii="宋体" w:hAnsi="宋体" w:cs="宋体"/>
          <w:b/>
          <w:bCs/>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87AEF1B">
      <w:pPr>
        <w:pBdr>
          <w:bottom w:val="single" w:color="auto" w:sz="6" w:space="1"/>
        </w:pBdr>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u w:val="single"/>
        </w:rPr>
        <w:t>合格的中标候选人公示结束后</w:t>
      </w:r>
      <w:r>
        <w:rPr>
          <w:rFonts w:ascii="宋体" w:hAnsi="宋体" w:cs="宋体"/>
          <w:color w:val="auto"/>
          <w:szCs w:val="21"/>
          <w:highlight w:val="none"/>
          <w:u w:val="single"/>
        </w:rPr>
        <w:t>10</w:t>
      </w:r>
      <w:r>
        <w:rPr>
          <w:rFonts w:hint="eastAsia" w:ascii="宋体" w:hAnsi="宋体" w:cs="宋体"/>
          <w:color w:val="auto"/>
          <w:szCs w:val="21"/>
          <w:highlight w:val="none"/>
          <w:u w:val="single"/>
        </w:rPr>
        <w:t>个工作日内在广州交易集团有限公司（广州公共资源交易中心）开展定标工作，在定标委员会完成定标工作后，招标人将在广州交易集团有限公司（广州公共资源交易中心）、广东省招标投标监管网和中国招标投标公共服务平台公示中标结果，定标后出现中标人不符合法定情形的，招标人可从其他合格的中标候选人中采用原定标办法，由原定标委员会重新确定中标人，也可以重新组织招标</w:t>
      </w:r>
      <w:r>
        <w:rPr>
          <w:rFonts w:hint="eastAsia" w:ascii="宋体" w:hAnsi="宋体" w:cs="宋体"/>
          <w:color w:val="auto"/>
          <w:szCs w:val="21"/>
          <w:highlight w:val="none"/>
        </w:rPr>
        <w:t>。</w:t>
      </w:r>
    </w:p>
    <w:bookmarkEnd w:id="52"/>
    <w:bookmarkEnd w:id="53"/>
    <w:p w14:paraId="2DD42B7D">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条款号：27.4                                修改类型：修改</w:t>
      </w:r>
    </w:p>
    <w:p w14:paraId="0C20DDED">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14:paraId="75C6EAD0">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中标候选人后，招标人将</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中标候选人的投标文件商务部分文件的所有内容（包括人员、业绩、奖项等资料）在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14:paraId="43DA51EC">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28.2</w:t>
      </w:r>
      <w:r>
        <w:rPr>
          <w:rFonts w:hint="eastAsia" w:ascii="宋体" w:hAnsi="宋体" w:cs="宋体"/>
          <w:b/>
          <w:color w:val="auto"/>
          <w:szCs w:val="21"/>
          <w:highlight w:val="none"/>
        </w:rPr>
        <w:t xml:space="preserve">                                 修改类型：修改</w:t>
      </w:r>
    </w:p>
    <w:p w14:paraId="0D2734C2">
      <w:pPr>
        <w:spacing w:line="400" w:lineRule="exact"/>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5037439">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bookmarkStart w:id="54" w:name="OLE_LINK106"/>
      <w:r>
        <w:rPr>
          <w:rFonts w:hint="eastAsia" w:ascii="宋体" w:hAnsi="宋体" w:cs="宋体"/>
          <w:color w:val="auto"/>
          <w:szCs w:val="21"/>
          <w:highlight w:val="none"/>
        </w:rPr>
        <w:t>28.2</w:t>
      </w:r>
      <w:r>
        <w:rPr>
          <w:rFonts w:hint="eastAsia" w:ascii="宋体" w:hAnsi="宋体" w:cs="宋体"/>
          <w:color w:val="auto"/>
          <w:szCs w:val="21"/>
          <w:highlight w:val="none"/>
          <w:lang w:bidi="ar"/>
        </w:rPr>
        <w:t>中标通知书发出之日起30日后，中标人未按上款的规定与招标人订立合同，招标人有权解除中标通知书，原中标人</w:t>
      </w:r>
      <w:r>
        <w:rPr>
          <w:rFonts w:hint="eastAsia" w:ascii="宋体" w:hAnsi="宋体" w:cs="宋体"/>
          <w:b/>
          <w:bCs/>
          <w:color w:val="auto"/>
          <w:szCs w:val="21"/>
          <w:highlight w:val="none"/>
          <w:u w:val="single"/>
          <w:lang w:bidi="ar"/>
        </w:rPr>
        <w:t>应</w:t>
      </w:r>
      <w:r>
        <w:rPr>
          <w:rFonts w:hint="eastAsia" w:ascii="宋体" w:hAnsi="宋体" w:cs="宋体"/>
          <w:color w:val="auto"/>
          <w:szCs w:val="21"/>
          <w:highlight w:val="none"/>
          <w:lang w:bidi="ar"/>
        </w:rPr>
        <w:t>依法承担相应法律责任。</w:t>
      </w:r>
      <w:r>
        <w:rPr>
          <w:rFonts w:hint="eastAsia" w:ascii="宋体" w:hAnsi="宋体" w:cs="宋体"/>
          <w:b/>
          <w:color w:val="auto"/>
          <w:szCs w:val="21"/>
          <w:highlight w:val="none"/>
          <w:u w:val="single"/>
          <w:lang w:bidi="ar"/>
        </w:rPr>
        <w:t>原中标人给招标人造成损失的，招标人有权要求原中标人承担赔偿责任。</w:t>
      </w:r>
      <w:r>
        <w:rPr>
          <w:rFonts w:hint="eastAsia" w:ascii="宋体" w:hAnsi="宋体" w:cs="宋体"/>
          <w:color w:val="auto"/>
          <w:szCs w:val="21"/>
          <w:highlight w:val="none"/>
          <w:lang w:bidi="ar"/>
        </w:rPr>
        <w:t>原中标人有异议的，可以向人民法院起诉。</w:t>
      </w:r>
      <w:bookmarkEnd w:id="54"/>
    </w:p>
    <w:p w14:paraId="18F974EB">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条款号：29.1                                修改类型：修改</w:t>
      </w:r>
    </w:p>
    <w:p w14:paraId="5844FF50">
      <w:pPr>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bookmarkStart w:id="55" w:name="OLE_LINK108"/>
      <w:r>
        <w:rPr>
          <w:rFonts w:hint="eastAsia" w:ascii="宋体" w:hAnsi="宋体" w:cs="宋体"/>
          <w:color w:val="auto"/>
          <w:szCs w:val="21"/>
          <w:highlight w:val="none"/>
        </w:rPr>
        <w:t>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bookmarkEnd w:id="55"/>
    </w:p>
    <w:p w14:paraId="29B4C2B4">
      <w:pPr>
        <w:pBdr>
          <w:bottom w:val="single" w:color="auto" w:sz="6" w:space="1"/>
        </w:pBdr>
        <w:spacing w:line="40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bookmarkStart w:id="56" w:name="OLE_LINK107"/>
      <w:r>
        <w:rPr>
          <w:rFonts w:hint="eastAsia" w:ascii="宋体" w:hAnsi="宋体" w:cs="宋体"/>
          <w:color w:val="auto"/>
          <w:szCs w:val="21"/>
          <w:highlight w:val="none"/>
        </w:rPr>
        <w:t>29.1</w:t>
      </w:r>
      <w:r>
        <w:rPr>
          <w:rFonts w:hint="eastAsia" w:ascii="宋体" w:hAnsi="宋体" w:cs="宋体"/>
          <w:color w:val="auto"/>
          <w:szCs w:val="21"/>
          <w:highlight w:val="none"/>
          <w:u w:val="single"/>
        </w:rPr>
        <w:t>收到中标通知书后</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天之内并在签订合同之前</w:t>
      </w:r>
      <w:r>
        <w:rPr>
          <w:rFonts w:hint="eastAsia" w:ascii="宋体" w:hAnsi="宋体" w:cs="宋体"/>
          <w:color w:val="auto"/>
          <w:szCs w:val="21"/>
          <w:highlight w:val="none"/>
        </w:rPr>
        <w:t>，中标人应按本须知前附表第20项的规定向招标人提交</w:t>
      </w:r>
      <w:r>
        <w:rPr>
          <w:rFonts w:hint="eastAsia" w:ascii="宋体" w:hAnsi="宋体" w:cs="宋体"/>
          <w:color w:val="auto"/>
          <w:szCs w:val="21"/>
          <w:highlight w:val="none"/>
          <w:u w:val="single"/>
        </w:rPr>
        <w:t>无条件</w:t>
      </w:r>
      <w:r>
        <w:rPr>
          <w:rFonts w:hint="eastAsia" w:ascii="宋体" w:hAnsi="宋体" w:cs="宋体"/>
          <w:color w:val="auto"/>
          <w:szCs w:val="21"/>
          <w:highlight w:val="none"/>
        </w:rPr>
        <w:t>履约担保。</w:t>
      </w:r>
      <w:bookmarkEnd w:id="56"/>
    </w:p>
    <w:p w14:paraId="47BFEEAC">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29.2</w:t>
      </w:r>
      <w:r>
        <w:rPr>
          <w:rFonts w:hint="eastAsia" w:ascii="宋体" w:hAnsi="宋体" w:cs="宋体"/>
          <w:b/>
          <w:color w:val="auto"/>
          <w:szCs w:val="21"/>
          <w:highlight w:val="none"/>
        </w:rPr>
        <w:t xml:space="preserve">                                修改类型：修改</w:t>
      </w:r>
    </w:p>
    <w:p w14:paraId="668AB87F">
      <w:pPr>
        <w:spacing w:line="400" w:lineRule="exact"/>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E59A64C">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29.2中标人</w:t>
      </w:r>
      <w:r>
        <w:rPr>
          <w:rFonts w:hint="eastAsia" w:ascii="宋体" w:hAnsi="宋体" w:cs="宋体"/>
          <w:color w:val="auto"/>
          <w:szCs w:val="21"/>
          <w:highlight w:val="none"/>
          <w:u w:val="single"/>
        </w:rPr>
        <w:t>收到中标通知书后</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天之内并在签订合同之前，</w:t>
      </w:r>
      <w:r>
        <w:rPr>
          <w:rFonts w:hint="eastAsia" w:ascii="宋体" w:hAnsi="宋体" w:cs="宋体"/>
          <w:color w:val="auto"/>
          <w:szCs w:val="21"/>
          <w:highlight w:val="none"/>
        </w:rPr>
        <w:t>中标人未按上款的规定提交履约担保，招标人将解除中标通知书，</w:t>
      </w:r>
      <w:r>
        <w:rPr>
          <w:rFonts w:hint="eastAsia" w:ascii="宋体" w:hAnsi="宋体" w:cs="宋体"/>
          <w:color w:val="auto"/>
          <w:szCs w:val="21"/>
          <w:highlight w:val="none"/>
          <w:u w:val="single"/>
        </w:rPr>
        <w:t>原中标人依法承担相应法律责任。原中标人给招标人造成的损失，还应当予以赔偿。</w:t>
      </w:r>
      <w:r>
        <w:rPr>
          <w:rFonts w:hint="eastAsia" w:ascii="宋体" w:hAnsi="宋体" w:cs="宋体"/>
          <w:color w:val="auto"/>
          <w:szCs w:val="21"/>
          <w:highlight w:val="none"/>
        </w:rPr>
        <w:t>原中标人有异议的，可以向人民法院起诉。</w:t>
      </w:r>
    </w:p>
    <w:p w14:paraId="0AA14C11">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条款号：30.1                                修改类型：修改</w:t>
      </w:r>
    </w:p>
    <w:p w14:paraId="2A661808">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14:paraId="36563A35">
      <w:pPr>
        <w:spacing w:line="400" w:lineRule="exact"/>
        <w:rPr>
          <w:rFonts w:hint="eastAsia"/>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w:t>
      </w:r>
      <w:r>
        <w:rPr>
          <w:rFonts w:hint="eastAsia" w:ascii="宋体" w:hAnsi="宋体" w:cs="宋体"/>
          <w:color w:val="auto"/>
          <w:szCs w:val="21"/>
          <w:highlight w:val="none"/>
        </w:rPr>
        <w:t>后，合同正式生效。</w:t>
      </w:r>
    </w:p>
    <w:p w14:paraId="6768DF49">
      <w:pPr>
        <w:pBdr>
          <w:top w:val="single" w:color="auto" w:sz="4" w:space="1"/>
        </w:pBdr>
        <w:spacing w:line="400" w:lineRule="exact"/>
        <w:ind w:firstLine="472" w:firstLineChars="224"/>
        <w:rPr>
          <w:rFonts w:ascii="宋体" w:hAnsi="宋体"/>
          <w:b/>
          <w:bCs/>
          <w:color w:val="auto"/>
          <w:kern w:val="0"/>
          <w:szCs w:val="21"/>
          <w:highlight w:val="none"/>
        </w:rPr>
      </w:pPr>
      <w:r>
        <w:rPr>
          <w:rFonts w:hint="eastAsia" w:ascii="宋体" w:hAnsi="宋体"/>
          <w:b/>
          <w:bCs/>
          <w:color w:val="auto"/>
          <w:kern w:val="0"/>
          <w:szCs w:val="21"/>
          <w:highlight w:val="none"/>
        </w:rPr>
        <w:t>条款号：31</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bCs/>
          <w:color w:val="auto"/>
          <w:kern w:val="0"/>
          <w:szCs w:val="21"/>
          <w:highlight w:val="none"/>
        </w:rPr>
        <w:t>修改类型：修改</w:t>
      </w:r>
    </w:p>
    <w:p w14:paraId="2B95879D">
      <w:pPr>
        <w:pBdr>
          <w:top w:val="single" w:color="auto" w:sz="4" w:space="1"/>
        </w:pBdr>
        <w:spacing w:line="400" w:lineRule="exact"/>
        <w:ind w:firstLine="472" w:firstLineChars="224"/>
        <w:rPr>
          <w:rFonts w:hint="eastAsia" w:ascii="宋体" w:hAnsi="宋体"/>
          <w:b/>
          <w:bCs/>
          <w:color w:val="auto"/>
          <w:kern w:val="0"/>
          <w:szCs w:val="21"/>
          <w:highlight w:val="none"/>
        </w:rPr>
      </w:pPr>
      <w:r>
        <w:rPr>
          <w:rFonts w:hint="eastAsia" w:ascii="宋体" w:hAnsi="宋体"/>
          <w:b/>
          <w:bCs/>
          <w:color w:val="auto"/>
          <w:kern w:val="0"/>
          <w:szCs w:val="21"/>
          <w:highlight w:val="none"/>
        </w:rPr>
        <w:t>原文：</w:t>
      </w:r>
      <w:r>
        <w:rPr>
          <w:rFonts w:hint="eastAsia" w:ascii="宋体" w:hAnsi="宋体"/>
          <w:color w:val="auto"/>
          <w:kern w:val="0"/>
          <w:szCs w:val="21"/>
          <w:highlight w:val="none"/>
        </w:rPr>
        <w:t>31．其它费用</w:t>
      </w:r>
    </w:p>
    <w:p w14:paraId="55E11C07">
      <w:pPr>
        <w:pBdr>
          <w:top w:val="single" w:color="auto" w:sz="4" w:space="1"/>
        </w:pBdr>
        <w:spacing w:line="400" w:lineRule="exact"/>
        <w:ind w:firstLine="472" w:firstLineChars="224"/>
        <w:rPr>
          <w:rFonts w:ascii="宋体" w:hAnsi="宋体"/>
          <w:color w:val="auto"/>
          <w:kern w:val="0"/>
          <w:szCs w:val="21"/>
          <w:highlight w:val="none"/>
        </w:rPr>
      </w:pPr>
      <w:r>
        <w:rPr>
          <w:rFonts w:hint="eastAsia" w:ascii="宋体" w:hAnsi="宋体"/>
          <w:b/>
          <w:bCs/>
          <w:color w:val="auto"/>
          <w:kern w:val="0"/>
          <w:szCs w:val="21"/>
          <w:highlight w:val="none"/>
        </w:rPr>
        <w:t>现文：</w:t>
      </w:r>
      <w:r>
        <w:rPr>
          <w:rFonts w:hint="eastAsia" w:ascii="宋体" w:hAnsi="宋体"/>
          <w:color w:val="auto"/>
          <w:kern w:val="0"/>
          <w:szCs w:val="21"/>
          <w:highlight w:val="none"/>
        </w:rPr>
        <w:t>31．其它费用</w:t>
      </w:r>
    </w:p>
    <w:p w14:paraId="0DB7D3F4">
      <w:pPr>
        <w:spacing w:line="400" w:lineRule="exact"/>
        <w:ind w:firstLine="470" w:firstLineChars="224"/>
        <w:rPr>
          <w:rFonts w:hint="eastAsia" w:ascii="宋体" w:hAnsi="宋体"/>
          <w:color w:val="auto"/>
          <w:kern w:val="0"/>
          <w:szCs w:val="21"/>
          <w:highlight w:val="none"/>
          <w:u w:val="single"/>
        </w:rPr>
      </w:pPr>
      <w:r>
        <w:rPr>
          <w:rFonts w:hint="eastAsia" w:ascii="宋体" w:hAnsi="宋体"/>
          <w:color w:val="auto"/>
          <w:kern w:val="0"/>
          <w:szCs w:val="21"/>
          <w:highlight w:val="none"/>
          <w:u w:val="single"/>
        </w:rPr>
        <w:t>（1）交易服务费：中标单位代缴广州交易集团有限公司交易服务费，由广州交易集团有限公司向中标人开具增值税发票。</w:t>
      </w:r>
    </w:p>
    <w:p w14:paraId="0F8DE19A">
      <w:pPr>
        <w:spacing w:line="400" w:lineRule="exact"/>
        <w:ind w:firstLine="470" w:firstLineChars="224"/>
        <w:rPr>
          <w:rFonts w:hint="eastAsia" w:ascii="宋体" w:hAnsi="宋体"/>
          <w:color w:val="auto"/>
          <w:kern w:val="0"/>
          <w:szCs w:val="21"/>
          <w:highlight w:val="none"/>
          <w:u w:val="single"/>
        </w:rPr>
      </w:pPr>
      <w:r>
        <w:rPr>
          <w:rFonts w:hint="eastAsia" w:ascii="宋体" w:hAnsi="宋体"/>
          <w:color w:val="auto"/>
          <w:kern w:val="0"/>
          <w:szCs w:val="21"/>
          <w:highlight w:val="none"/>
          <w:u w:val="single"/>
        </w:rPr>
        <w:t>（2）</w:t>
      </w:r>
      <w:r>
        <w:rPr>
          <w:rFonts w:hint="eastAsia" w:ascii="宋体" w:hAnsi="宋体" w:eastAsia="宋体" w:cs="宋体"/>
          <w:color w:val="auto"/>
          <w:szCs w:val="21"/>
          <w:highlight w:val="none"/>
          <w:u w:val="single"/>
        </w:rPr>
        <w:t>招标代理费：中标单位</w:t>
      </w:r>
      <w:r>
        <w:rPr>
          <w:rFonts w:hint="eastAsia" w:ascii="宋体" w:hAnsi="宋体" w:eastAsia="宋体" w:cs="宋体"/>
          <w:color w:val="auto"/>
          <w:szCs w:val="21"/>
          <w:highlight w:val="none"/>
          <w:u w:val="single"/>
          <w:lang w:val="en-US" w:eastAsia="zh-CN"/>
        </w:rPr>
        <w:t>在收到中标通知书前应向</w:t>
      </w:r>
      <w:r>
        <w:rPr>
          <w:rFonts w:hint="eastAsia" w:ascii="宋体" w:hAnsi="宋体" w:cs="宋体"/>
          <w:color w:val="auto"/>
          <w:szCs w:val="21"/>
          <w:highlight w:val="none"/>
          <w:u w:val="single"/>
          <w:lang w:val="en-US" w:eastAsia="zh-CN"/>
        </w:rPr>
        <w:t>招标</w:t>
      </w:r>
      <w:r>
        <w:rPr>
          <w:rFonts w:hint="eastAsia" w:ascii="宋体" w:hAnsi="宋体" w:eastAsia="宋体" w:cs="宋体"/>
          <w:color w:val="auto"/>
          <w:szCs w:val="21"/>
          <w:highlight w:val="none"/>
          <w:u w:val="single"/>
          <w:lang w:val="en-US" w:eastAsia="zh-CN"/>
        </w:rPr>
        <w:t>代理机构交纳</w:t>
      </w:r>
      <w:r>
        <w:rPr>
          <w:rFonts w:hint="eastAsia" w:ascii="宋体" w:hAnsi="宋体" w:eastAsia="宋体" w:cs="宋体"/>
          <w:color w:val="auto"/>
          <w:szCs w:val="21"/>
          <w:highlight w:val="none"/>
          <w:u w:val="single"/>
        </w:rPr>
        <w:t>招标代理费</w:t>
      </w:r>
      <w:r>
        <w:rPr>
          <w:rFonts w:hint="eastAsia" w:ascii="宋体" w:hAnsi="宋体" w:eastAsia="宋体" w:cs="宋体"/>
          <w:color w:val="auto"/>
          <w:szCs w:val="21"/>
          <w:highlight w:val="none"/>
          <w:u w:val="single"/>
          <w:lang w:val="en-US" w:eastAsia="zh-CN"/>
        </w:rPr>
        <w:t>；</w:t>
      </w:r>
      <w:r>
        <w:rPr>
          <w:rFonts w:hint="eastAsia" w:ascii="宋体" w:hAnsi="宋体" w:cs="宋体"/>
          <w:color w:val="auto"/>
          <w:szCs w:val="21"/>
          <w:highlight w:val="none"/>
          <w:u w:val="single"/>
          <w:lang w:val="en-US" w:eastAsia="zh-CN"/>
        </w:rPr>
        <w:t>收费标准：</w:t>
      </w:r>
      <w:r>
        <w:rPr>
          <w:rFonts w:hint="eastAsia" w:ascii="宋体" w:hAnsi="宋体" w:eastAsia="宋体" w:cs="宋体"/>
          <w:color w:val="auto"/>
          <w:szCs w:val="21"/>
          <w:highlight w:val="none"/>
          <w:u w:val="single"/>
        </w:rPr>
        <w:t>参照《招标代理服务收费管理暂行办法》（计价格［2002］1980号）及《国家发展改革委关于降低部分建设项目收费标准规范收费行为等有关问题的通知》（发改价格[2011]534号）下浮20%</w:t>
      </w:r>
      <w:r>
        <w:rPr>
          <w:rFonts w:hint="eastAsia" w:ascii="宋体" w:hAnsi="宋体" w:cs="宋体"/>
          <w:color w:val="auto"/>
          <w:szCs w:val="21"/>
          <w:highlight w:val="none"/>
          <w:u w:val="single"/>
          <w:lang w:val="en-US" w:eastAsia="zh-CN"/>
        </w:rPr>
        <w:t>收取</w:t>
      </w:r>
      <w:r>
        <w:rPr>
          <w:rFonts w:hint="eastAsia" w:ascii="宋体" w:hAnsi="宋体"/>
          <w:color w:val="auto"/>
          <w:kern w:val="0"/>
          <w:szCs w:val="21"/>
          <w:highlight w:val="none"/>
          <w:u w:val="single"/>
        </w:rPr>
        <w:t>。</w:t>
      </w:r>
    </w:p>
    <w:p w14:paraId="557944C1">
      <w:pPr>
        <w:pBdr>
          <w:top w:val="single" w:color="auto" w:sz="4" w:space="1"/>
        </w:pBdr>
        <w:spacing w:line="400" w:lineRule="exact"/>
        <w:ind w:firstLine="472" w:firstLineChars="224"/>
        <w:rPr>
          <w:rFonts w:ascii="宋体" w:hAnsi="宋体"/>
          <w:b/>
          <w:bCs/>
          <w:color w:val="auto"/>
          <w:kern w:val="0"/>
          <w:szCs w:val="21"/>
          <w:highlight w:val="none"/>
        </w:rPr>
      </w:pPr>
      <w:r>
        <w:rPr>
          <w:rFonts w:hint="eastAsia" w:ascii="宋体" w:hAnsi="宋体"/>
          <w:b/>
          <w:bCs/>
          <w:color w:val="auto"/>
          <w:kern w:val="0"/>
          <w:szCs w:val="21"/>
          <w:highlight w:val="none"/>
        </w:rPr>
        <w:t>条款号：32.3</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bCs/>
          <w:color w:val="auto"/>
          <w:kern w:val="0"/>
          <w:szCs w:val="21"/>
          <w:highlight w:val="none"/>
        </w:rPr>
        <w:t>修改类型：修改</w:t>
      </w:r>
    </w:p>
    <w:p w14:paraId="5BDACC9A">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4AF19FB9">
      <w:pPr>
        <w:pBdr>
          <w:bottom w:val="single" w:color="auto" w:sz="4" w:space="1"/>
        </w:pBd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现文：</w:t>
      </w:r>
      <w:bookmarkStart w:id="57" w:name="OLE_LINK26"/>
      <w:r>
        <w:rPr>
          <w:rFonts w:hint="eastAsia" w:ascii="宋体" w:hAnsi="宋体"/>
          <w:color w:val="auto"/>
          <w:szCs w:val="21"/>
          <w:highlight w:val="none"/>
        </w:rPr>
        <w:t>32.3</w:t>
      </w:r>
      <w:r>
        <w:rPr>
          <w:rFonts w:hint="eastAsia" w:ascii="宋体" w:hAnsi="宋体"/>
          <w:color w:val="auto"/>
          <w:szCs w:val="21"/>
          <w:highlight w:val="none"/>
          <w:u w:val="single"/>
        </w:rPr>
        <w:t>投标人如在本项目中存在串通投标、弄虚作假骗取中标、行贿情形的，中标无效，行政监督部门将对其违法行为进行政处罚</w:t>
      </w:r>
      <w:r>
        <w:rPr>
          <w:rFonts w:hint="eastAsia" w:ascii="宋体" w:hAnsi="宋体"/>
          <w:color w:val="auto"/>
          <w:szCs w:val="21"/>
          <w:highlight w:val="none"/>
        </w:rPr>
        <w:t>。该投标人将被招标人列入黑名单并限制其参与招标人后续项目的投标。</w:t>
      </w:r>
      <w:bookmarkEnd w:id="57"/>
    </w:p>
    <w:p w14:paraId="2E667BF5">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bCs/>
          <w:color w:val="auto"/>
          <w:szCs w:val="21"/>
          <w:highlight w:val="none"/>
        </w:rPr>
        <w:t>33</w:t>
      </w:r>
      <w:r>
        <w:rPr>
          <w:rFonts w:ascii="宋体" w:hAnsi="宋体"/>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修改类型：</w:t>
      </w:r>
      <w:r>
        <w:rPr>
          <w:rFonts w:hint="eastAsia" w:ascii="宋体" w:hAnsi="宋体"/>
          <w:b/>
          <w:color w:val="auto"/>
          <w:szCs w:val="21"/>
          <w:highlight w:val="none"/>
        </w:rPr>
        <w:t>删除</w:t>
      </w:r>
    </w:p>
    <w:p w14:paraId="7F545C5C">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33. </w:t>
      </w:r>
      <w:r>
        <w:rPr>
          <w:rFonts w:hint="eastAsia" w:ascii="宋体" w:hAnsi="宋体"/>
          <w:color w:val="auto"/>
          <w:szCs w:val="21"/>
          <w:highlight w:val="none"/>
        </w:rPr>
        <w:t xml:space="preserve">投标人信誉的要求   </w:t>
      </w:r>
    </w:p>
    <w:p w14:paraId="5EBB03D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存在下列情形之一的，招标人可以限制其投标（需在招标文件中明确评定方法）</w:t>
      </w:r>
    </w:p>
    <w:p w14:paraId="108F02D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）被住房城乡建设行政主管部门在全国建筑市场监管一体化工作平台列入建筑市场主体“黑名单”；</w:t>
      </w:r>
    </w:p>
    <w:p w14:paraId="7997F4D1">
      <w:pPr>
        <w:pBdr>
          <w:bottom w:val="single" w:color="auto" w:sz="4" w:space="0"/>
        </w:pBd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）被发改委、人力资源社会保障、质检总局等有关部门、单位在“信用中国”网站中列入联合惩戒失信黑名单。</w:t>
      </w:r>
    </w:p>
    <w:p w14:paraId="2A135432">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34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修改类型：增加</w:t>
      </w:r>
    </w:p>
    <w:p w14:paraId="44DB629C">
      <w:pPr>
        <w:pBdr>
          <w:bottom w:val="single" w:color="auto" w:sz="6" w:space="1"/>
        </w:pBd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3</w:t>
      </w:r>
      <w:r>
        <w:rPr>
          <w:rFonts w:ascii="宋体" w:hAnsi="宋体"/>
          <w:color w:val="auto"/>
          <w:szCs w:val="21"/>
          <w:highlight w:val="none"/>
          <w:u w:val="single"/>
        </w:rPr>
        <w:t>4</w:t>
      </w:r>
      <w:r>
        <w:rPr>
          <w:rFonts w:hint="eastAsia" w:ascii="宋体" w:hAnsi="宋体"/>
          <w:color w:val="auto"/>
          <w:szCs w:val="21"/>
          <w:highlight w:val="none"/>
          <w:u w:val="single"/>
        </w:rPr>
        <w:t>.招标人（招标代理机构）填报合格的中标候选人公示信息、组织中标人签订合同时，如发现合格的中标候选人或中标人委派的项目负责人已在其他在建项目中任职，招标人有权取消其投标或中标资格，且依法追究相应法律责任。合格的中标候选人或中标人给招标人造成的损失，需承担相应损失的赔偿。</w:t>
      </w:r>
    </w:p>
    <w:bookmarkEnd w:id="41"/>
    <w:p w14:paraId="7027DB91">
      <w:pPr>
        <w:spacing w:line="360" w:lineRule="auto"/>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348BFD75">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（以下无正文）</w:t>
      </w:r>
    </w:p>
    <w:p w14:paraId="06A39075">
      <w:pPr>
        <w:keepNext/>
        <w:keepLines/>
        <w:tabs>
          <w:tab w:val="right" w:leader="dot" w:pos="9060"/>
        </w:tabs>
        <w:snapToGrid w:val="0"/>
        <w:spacing w:before="120" w:after="120" w:line="412" w:lineRule="auto"/>
        <w:ind w:left="420"/>
        <w:jc w:val="center"/>
        <w:outlineLvl w:val="1"/>
        <w:rPr>
          <w:rFonts w:hint="eastAsia" w:ascii="宋体" w:hAnsi="宋体" w:cs="宋体"/>
          <w:b/>
          <w:color w:val="auto"/>
          <w:kern w:val="0"/>
          <w:sz w:val="24"/>
          <w:szCs w:val="24"/>
          <w:highlight w:val="none"/>
          <w:lang w:val="zh-CN"/>
        </w:rPr>
      </w:pPr>
      <w:r>
        <w:rPr>
          <w:rFonts w:hint="eastAsia" w:ascii="宋体" w:hAnsi="宋体" w:cs="宋体"/>
          <w:color w:val="auto"/>
          <w:kern w:val="0"/>
          <w:sz w:val="24"/>
          <w:szCs w:val="24"/>
          <w:highlight w:val="none"/>
          <w:lang w:val="zh-CN"/>
        </w:rPr>
        <w:br w:type="page"/>
      </w:r>
      <w:bookmarkStart w:id="58" w:name="_Toc97576574"/>
      <w:r>
        <w:rPr>
          <w:rFonts w:hint="eastAsia" w:ascii="宋体" w:hAnsi="宋体" w:cs="宋体"/>
          <w:b/>
          <w:color w:val="auto"/>
          <w:kern w:val="0"/>
          <w:sz w:val="24"/>
          <w:szCs w:val="24"/>
          <w:highlight w:val="none"/>
          <w:lang w:val="zh-CN"/>
        </w:rPr>
        <w:t>三、投标须知通用条款</w:t>
      </w:r>
      <w:bookmarkEnd w:id="58"/>
    </w:p>
    <w:p w14:paraId="3412F30F">
      <w:pPr>
        <w:widowControl/>
        <w:spacing w:before="100" w:beforeAutospacing="1" w:after="100" w:afterAutospacing="1"/>
        <w:jc w:val="left"/>
        <w:outlineLvl w:val="2"/>
        <w:rPr>
          <w:rFonts w:hint="eastAsia" w:ascii="宋体" w:hAnsi="宋体" w:cs="宋体"/>
          <w:b/>
          <w:bCs/>
          <w:color w:val="auto"/>
          <w:kern w:val="0"/>
          <w:sz w:val="24"/>
          <w:szCs w:val="20"/>
          <w:highlight w:val="none"/>
        </w:rPr>
      </w:pPr>
      <w:bookmarkStart w:id="59" w:name="_Toc2272549"/>
      <w:bookmarkStart w:id="60" w:name="_Toc97576575"/>
      <w:r>
        <w:rPr>
          <w:rFonts w:hint="eastAsia" w:ascii="宋体" w:hAnsi="宋体" w:cs="宋体"/>
          <w:b/>
          <w:bCs/>
          <w:color w:val="auto"/>
          <w:kern w:val="0"/>
          <w:sz w:val="24"/>
          <w:szCs w:val="20"/>
          <w:highlight w:val="none"/>
        </w:rPr>
        <w:t>（一）总则</w:t>
      </w:r>
      <w:bookmarkEnd w:id="59"/>
      <w:bookmarkEnd w:id="60"/>
    </w:p>
    <w:p w14:paraId="78562232">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1、定义</w:t>
      </w:r>
    </w:p>
    <w:p w14:paraId="65D5070E">
      <w:pPr>
        <w:spacing w:line="360" w:lineRule="auto"/>
        <w:ind w:firstLine="480" w:firstLineChars="200"/>
        <w:rPr>
          <w:rFonts w:hint="eastAsia" w:ascii="宋体" w:hAnsi="宋体" w:cs="宋体"/>
          <w:b/>
          <w:bCs/>
          <w:color w:val="auto"/>
          <w:kern w:val="0"/>
          <w:sz w:val="24"/>
          <w:szCs w:val="20"/>
          <w:highlight w:val="none"/>
        </w:rPr>
      </w:pPr>
      <w:r>
        <w:rPr>
          <w:rFonts w:hint="eastAsia" w:ascii="宋体" w:hAnsi="宋体" w:cs="宋体"/>
          <w:color w:val="auto"/>
          <w:kern w:val="0"/>
          <w:sz w:val="24"/>
          <w:szCs w:val="20"/>
          <w:highlight w:val="none"/>
        </w:rPr>
        <w:t>本招标文件使用的下列词语具有如下规定的意义：</w:t>
      </w:r>
    </w:p>
    <w:p w14:paraId="6E9FE8B7">
      <w:pPr>
        <w:spacing w:line="360" w:lineRule="auto"/>
        <w:ind w:firstLine="480" w:firstLineChars="200"/>
        <w:rPr>
          <w:rFonts w:hint="eastAsia" w:ascii="宋体" w:hAnsi="宋体" w:cs="宋体"/>
          <w:b/>
          <w:bCs/>
          <w:color w:val="auto"/>
          <w:kern w:val="0"/>
          <w:sz w:val="24"/>
          <w:szCs w:val="20"/>
          <w:highlight w:val="none"/>
          <w:u w:val="single"/>
        </w:rPr>
      </w:pPr>
      <w:r>
        <w:rPr>
          <w:rFonts w:hint="eastAsia" w:ascii="宋体" w:hAnsi="宋体" w:cs="宋体"/>
          <w:color w:val="auto"/>
          <w:kern w:val="0"/>
          <w:sz w:val="24"/>
          <w:szCs w:val="20"/>
          <w:highlight w:val="none"/>
        </w:rPr>
        <w:t>（1）“招标人”（即发包人）、“项目建设管理单位”（或称“项目代建单位”）、“招标代理”、“设计单位”、“监理单位”均已在投标须知前附表中列明。</w:t>
      </w:r>
    </w:p>
    <w:p w14:paraId="17E9D1B9">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rPr>
        <w:t xml:space="preserve">（2）“投标人”指向招标人提交投标文件的当事人。   </w:t>
      </w:r>
    </w:p>
    <w:p w14:paraId="2BC65C4B">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（3）“承包人”指其投标被招标人接受并与其签订承包合同的当事人。</w:t>
      </w:r>
    </w:p>
    <w:p w14:paraId="219BCD50">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rPr>
        <w:t>（4）“招标文件”指由招标代理发出的本文件（包括全部章节、附件）及招标答疑会会议纪要和</w:t>
      </w:r>
      <w:r>
        <w:rPr>
          <w:rFonts w:hint="eastAsia" w:ascii="宋体" w:hAnsi="宋体" w:cs="宋体"/>
          <w:bCs/>
          <w:color w:val="auto"/>
          <w:kern w:val="0"/>
          <w:sz w:val="24"/>
          <w:szCs w:val="20"/>
          <w:highlight w:val="none"/>
        </w:rPr>
        <w:t>招标文件的澄清与修改</w:t>
      </w:r>
      <w:r>
        <w:rPr>
          <w:rFonts w:hint="eastAsia" w:ascii="宋体" w:hAnsi="宋体" w:cs="宋体"/>
          <w:color w:val="auto"/>
          <w:kern w:val="0"/>
          <w:sz w:val="24"/>
          <w:szCs w:val="20"/>
          <w:highlight w:val="none"/>
        </w:rPr>
        <w:t>文件。</w:t>
      </w:r>
    </w:p>
    <w:p w14:paraId="4263D31F">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（5）“投标文件”指投标人根据本项目招标文件向招标人提交的全部文件。</w:t>
      </w:r>
    </w:p>
    <w:p w14:paraId="3AA5075B">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（6）“书面形式”指打字或印刷的文件和数据电文（包括电报、电传、传真、电子数据交换和电子邮件）。</w:t>
      </w:r>
    </w:p>
    <w:p w14:paraId="66061045">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2、招标说明</w:t>
      </w:r>
    </w:p>
    <w:p w14:paraId="4919547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2.1本招标工程项目按照《中华人民共和国招标投标法》等有关法律、行政法规、规章和规范性文件，通过招标方式选定承包人。</w:t>
      </w:r>
    </w:p>
    <w:p w14:paraId="2FEA5366">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2.2工程名称、建设地点、建设规模、承包方式、质量标准、招标范围、工期要求等均在投标须知前附表中列明。</w:t>
      </w:r>
    </w:p>
    <w:p w14:paraId="25CCC7DA">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2.3设计说明：详见招标图纸。</w:t>
      </w:r>
    </w:p>
    <w:p w14:paraId="5F1037B9">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2.4工程施工特点：详见招标图纸。</w:t>
      </w:r>
    </w:p>
    <w:p w14:paraId="048869A0">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 xml:space="preserve">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 </w:t>
      </w:r>
    </w:p>
    <w:p w14:paraId="27E0933C">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3．资金来源</w:t>
      </w:r>
    </w:p>
    <w:p w14:paraId="6E69595A">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3.1本招标工程项目资金来源见投标须知前附表第9项</w:t>
      </w:r>
    </w:p>
    <w:p w14:paraId="4E74EEEF">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4．合格投标人的条件</w:t>
      </w:r>
    </w:p>
    <w:p w14:paraId="7D61979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4.1详见本项目招标公告</w:t>
      </w:r>
    </w:p>
    <w:p w14:paraId="5DDE84AE">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5．踏勘现场</w:t>
      </w:r>
    </w:p>
    <w:p w14:paraId="643C2CB3">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rPr>
        <w:t>5.1 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bCs/>
          <w:color w:val="auto"/>
          <w:sz w:val="24"/>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 w:val="24"/>
          <w:highlight w:val="none"/>
        </w:rPr>
        <w:t>一旦中标，这种考察即被认为其结果已在中标文件中得到充分反映。</w:t>
      </w:r>
      <w:r>
        <w:rPr>
          <w:rFonts w:hint="eastAsia" w:ascii="宋体" w:hAnsi="宋体" w:cs="宋体"/>
          <w:color w:val="auto"/>
          <w:sz w:val="24"/>
          <w:highlight w:val="none"/>
          <w:u w:val="single"/>
        </w:rPr>
        <w:t>投标人缺乏对现场条件的了解或掌握而产生的损失由投标人自行承担。</w:t>
      </w:r>
      <w:r>
        <w:rPr>
          <w:rFonts w:hint="eastAsia" w:ascii="宋体" w:hAnsi="宋体" w:cs="宋体"/>
          <w:color w:val="auto"/>
          <w:sz w:val="24"/>
          <w:highlight w:val="none"/>
        </w:rPr>
        <w:t>考察现场的费用由投标人自己承担。</w:t>
      </w:r>
    </w:p>
    <w:p w14:paraId="50CB3417">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5.2 招标人向投标人提供的有关现场的数据和资料，是招标人现有的能被投标人利用的资料，招标人对投标人做出的任何推论、理解和结论均不负责任。</w:t>
      </w:r>
    </w:p>
    <w:p w14:paraId="6EE5735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5.3 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14:paraId="55651918">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6．投标费用</w:t>
      </w:r>
    </w:p>
    <w:p w14:paraId="2C48EB02">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14:paraId="22932342">
      <w:pPr>
        <w:widowControl/>
        <w:spacing w:before="100" w:beforeAutospacing="1" w:after="100" w:afterAutospacing="1"/>
        <w:jc w:val="left"/>
        <w:outlineLvl w:val="2"/>
        <w:rPr>
          <w:rFonts w:hint="eastAsia" w:ascii="宋体" w:hAnsi="宋体" w:cs="宋体"/>
          <w:b/>
          <w:color w:val="auto"/>
          <w:sz w:val="24"/>
          <w:highlight w:val="none"/>
        </w:rPr>
      </w:pPr>
      <w:bookmarkStart w:id="61" w:name="_Toc2272550"/>
      <w:bookmarkStart w:id="62" w:name="_Toc97576576"/>
      <w:r>
        <w:rPr>
          <w:rFonts w:hint="eastAsia" w:ascii="宋体" w:hAnsi="宋体" w:cs="宋体"/>
          <w:b/>
          <w:color w:val="auto"/>
          <w:sz w:val="24"/>
          <w:highlight w:val="none"/>
        </w:rPr>
        <w:t>（二）招标文件</w:t>
      </w:r>
      <w:bookmarkEnd w:id="61"/>
      <w:bookmarkEnd w:id="62"/>
    </w:p>
    <w:p w14:paraId="7837559C">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7.招标文件的组成</w:t>
      </w:r>
    </w:p>
    <w:p w14:paraId="7555E480">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7.1</w:t>
      </w:r>
      <w:r>
        <w:rPr>
          <w:rFonts w:hint="eastAsia" w:ascii="宋体" w:hAnsi="宋体" w:cs="宋体"/>
          <w:color w:val="auto"/>
          <w:sz w:val="24"/>
          <w:highlight w:val="none"/>
        </w:rPr>
        <w:t>本招标文件包括下列文件，以及所有按本须知第8条发出的招标答疑会会议纪要和按本须知第9条发出的澄清或修改：</w:t>
      </w:r>
    </w:p>
    <w:p w14:paraId="4F613252">
      <w:pPr>
        <w:spacing w:line="360" w:lineRule="auto"/>
        <w:ind w:left="-2" w:firstLine="480" w:firstLineChars="200"/>
        <w:rPr>
          <w:rFonts w:hint="eastAsia" w:ascii="宋体" w:hAnsi="宋体" w:cs="宋体"/>
          <w:color w:val="auto"/>
          <w:kern w:val="0"/>
          <w:sz w:val="24"/>
          <w:szCs w:val="20"/>
          <w:highlight w:val="none"/>
        </w:rPr>
      </w:pPr>
      <w:r>
        <w:rPr>
          <w:rFonts w:hint="eastAsia" w:ascii="宋体" w:hAnsi="宋体" w:cs="宋体"/>
          <w:bCs/>
          <w:color w:val="auto"/>
          <w:kern w:val="0"/>
          <w:sz w:val="24"/>
          <w:szCs w:val="20"/>
          <w:highlight w:val="none"/>
        </w:rPr>
        <w:t xml:space="preserve">第一章  </w:t>
      </w:r>
      <w:r>
        <w:rPr>
          <w:rFonts w:hint="eastAsia" w:ascii="宋体" w:hAnsi="宋体" w:cs="宋体"/>
          <w:color w:val="auto"/>
          <w:kern w:val="0"/>
          <w:sz w:val="24"/>
          <w:szCs w:val="20"/>
          <w:highlight w:val="none"/>
        </w:rPr>
        <w:t>投标须知</w:t>
      </w:r>
    </w:p>
    <w:p w14:paraId="48E28BC4">
      <w:pPr>
        <w:spacing w:line="360" w:lineRule="auto"/>
        <w:ind w:left="-2" w:firstLine="480" w:firstLineChars="200"/>
        <w:rPr>
          <w:rFonts w:hint="eastAsia" w:ascii="宋体" w:hAnsi="宋体" w:cs="宋体"/>
          <w:color w:val="auto"/>
          <w:kern w:val="0"/>
          <w:sz w:val="24"/>
          <w:szCs w:val="20"/>
          <w:highlight w:val="none"/>
        </w:rPr>
      </w:pPr>
      <w:r>
        <w:rPr>
          <w:rFonts w:hint="eastAsia" w:ascii="宋体" w:hAnsi="宋体" w:cs="宋体"/>
          <w:bCs/>
          <w:color w:val="auto"/>
          <w:kern w:val="0"/>
          <w:sz w:val="24"/>
          <w:szCs w:val="20"/>
          <w:highlight w:val="none"/>
        </w:rPr>
        <w:t xml:space="preserve">第二章  </w:t>
      </w:r>
      <w:r>
        <w:rPr>
          <w:rFonts w:hint="eastAsia" w:ascii="宋体" w:hAnsi="宋体" w:cs="宋体"/>
          <w:color w:val="auto"/>
          <w:kern w:val="0"/>
          <w:sz w:val="24"/>
          <w:szCs w:val="20"/>
          <w:highlight w:val="none"/>
        </w:rPr>
        <w:t>开标、评标及定标办法</w:t>
      </w:r>
    </w:p>
    <w:p w14:paraId="7426BE02">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第三章  合同条款</w:t>
      </w:r>
      <w:r>
        <w:rPr>
          <w:rFonts w:hint="eastAsia" w:ascii="宋体" w:hAnsi="宋体" w:cs="宋体"/>
          <w:color w:val="auto"/>
          <w:kern w:val="0"/>
          <w:sz w:val="24"/>
          <w:szCs w:val="20"/>
          <w:highlight w:val="none"/>
          <w:u w:val="single"/>
        </w:rPr>
        <w:t>（另册）</w:t>
      </w:r>
    </w:p>
    <w:p w14:paraId="3901886C">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bCs/>
          <w:color w:val="auto"/>
          <w:kern w:val="0"/>
          <w:sz w:val="24"/>
          <w:szCs w:val="20"/>
          <w:highlight w:val="none"/>
        </w:rPr>
        <w:t xml:space="preserve">第四章  </w:t>
      </w:r>
      <w:r>
        <w:rPr>
          <w:rFonts w:hint="eastAsia" w:ascii="宋体" w:hAnsi="宋体" w:cs="宋体"/>
          <w:color w:val="auto"/>
          <w:kern w:val="0"/>
          <w:sz w:val="24"/>
          <w:szCs w:val="20"/>
          <w:highlight w:val="none"/>
        </w:rPr>
        <w:t>投标文件格式</w:t>
      </w:r>
    </w:p>
    <w:p w14:paraId="5F2A9C53">
      <w:pPr>
        <w:spacing w:line="360" w:lineRule="auto"/>
        <w:ind w:left="-2" w:firstLine="480" w:firstLineChars="200"/>
        <w:rPr>
          <w:rFonts w:hint="eastAsia" w:ascii="宋体" w:hAnsi="宋体" w:cs="宋体"/>
          <w:color w:val="auto"/>
          <w:kern w:val="0"/>
          <w:sz w:val="24"/>
          <w:szCs w:val="20"/>
          <w:highlight w:val="none"/>
        </w:rPr>
      </w:pPr>
      <w:r>
        <w:rPr>
          <w:rFonts w:hint="eastAsia" w:ascii="宋体" w:hAnsi="宋体" w:cs="宋体"/>
          <w:bCs/>
          <w:color w:val="auto"/>
          <w:kern w:val="0"/>
          <w:sz w:val="24"/>
          <w:szCs w:val="20"/>
          <w:highlight w:val="none"/>
        </w:rPr>
        <w:t xml:space="preserve">第五章  </w:t>
      </w:r>
      <w:r>
        <w:rPr>
          <w:rFonts w:hint="eastAsia" w:ascii="宋体" w:hAnsi="宋体" w:cs="宋体"/>
          <w:color w:val="auto"/>
          <w:kern w:val="0"/>
          <w:sz w:val="24"/>
          <w:szCs w:val="20"/>
          <w:highlight w:val="none"/>
        </w:rPr>
        <w:t>技术条件（工程建设标准）</w:t>
      </w:r>
      <w:r>
        <w:rPr>
          <w:rFonts w:hint="eastAsia" w:ascii="宋体" w:hAnsi="宋体" w:cs="宋体"/>
          <w:strike w:val="0"/>
          <w:color w:val="auto"/>
          <w:kern w:val="0"/>
          <w:sz w:val="24"/>
          <w:szCs w:val="20"/>
          <w:highlight w:val="none"/>
        </w:rPr>
        <w:t>（另册）</w:t>
      </w:r>
    </w:p>
    <w:p w14:paraId="35E4CDD9">
      <w:pPr>
        <w:spacing w:line="360" w:lineRule="auto"/>
        <w:ind w:left="-2" w:firstLine="480" w:firstLineChars="200"/>
        <w:rPr>
          <w:rFonts w:hint="eastAsia" w:ascii="宋体" w:hAnsi="宋体" w:cs="宋体"/>
          <w:color w:val="auto"/>
          <w:kern w:val="0"/>
          <w:sz w:val="24"/>
          <w:szCs w:val="20"/>
          <w:highlight w:val="none"/>
        </w:rPr>
      </w:pPr>
      <w:r>
        <w:rPr>
          <w:rFonts w:hint="eastAsia" w:ascii="宋体" w:hAnsi="宋体" w:cs="宋体"/>
          <w:bCs/>
          <w:color w:val="auto"/>
          <w:kern w:val="0"/>
          <w:sz w:val="24"/>
          <w:szCs w:val="20"/>
          <w:highlight w:val="none"/>
        </w:rPr>
        <w:t xml:space="preserve">第六章  </w:t>
      </w:r>
      <w:r>
        <w:rPr>
          <w:rFonts w:hint="eastAsia" w:ascii="宋体" w:hAnsi="宋体" w:cs="宋体"/>
          <w:color w:val="auto"/>
          <w:kern w:val="0"/>
          <w:sz w:val="24"/>
          <w:szCs w:val="20"/>
          <w:highlight w:val="none"/>
        </w:rPr>
        <w:t>图纸</w:t>
      </w:r>
      <w:r>
        <w:rPr>
          <w:rFonts w:hint="eastAsia" w:ascii="宋体" w:hAnsi="宋体" w:cs="宋体"/>
          <w:strike w:val="0"/>
          <w:color w:val="auto"/>
          <w:kern w:val="0"/>
          <w:sz w:val="24"/>
          <w:szCs w:val="20"/>
          <w:highlight w:val="none"/>
        </w:rPr>
        <w:t>及勘察</w:t>
      </w:r>
      <w:r>
        <w:rPr>
          <w:rFonts w:hint="eastAsia" w:ascii="宋体" w:hAnsi="宋体" w:cs="宋体"/>
          <w:color w:val="auto"/>
          <w:kern w:val="0"/>
          <w:sz w:val="24"/>
          <w:szCs w:val="20"/>
          <w:highlight w:val="none"/>
        </w:rPr>
        <w:t>资料（另册）</w:t>
      </w:r>
    </w:p>
    <w:p w14:paraId="3E99195D">
      <w:pPr>
        <w:spacing w:line="360" w:lineRule="auto"/>
        <w:ind w:left="-2" w:firstLine="480" w:firstLineChars="200"/>
        <w:rPr>
          <w:rFonts w:hint="eastAsia" w:ascii="宋体" w:hAnsi="宋体" w:cs="宋体"/>
          <w:color w:val="auto"/>
          <w:kern w:val="0"/>
          <w:sz w:val="24"/>
          <w:szCs w:val="20"/>
          <w:highlight w:val="none"/>
        </w:rPr>
      </w:pPr>
      <w:r>
        <w:rPr>
          <w:rFonts w:hint="eastAsia" w:ascii="宋体" w:hAnsi="宋体" w:cs="宋体"/>
          <w:bCs/>
          <w:color w:val="auto"/>
          <w:kern w:val="0"/>
          <w:sz w:val="24"/>
          <w:szCs w:val="20"/>
          <w:highlight w:val="none"/>
        </w:rPr>
        <w:t>第七章  招标</w:t>
      </w:r>
      <w:r>
        <w:rPr>
          <w:rFonts w:hint="eastAsia" w:ascii="宋体" w:hAnsi="宋体" w:cs="宋体"/>
          <w:color w:val="auto"/>
          <w:kern w:val="0"/>
          <w:sz w:val="24"/>
          <w:szCs w:val="20"/>
          <w:highlight w:val="none"/>
        </w:rPr>
        <w:t>工程量清单（另册）</w:t>
      </w:r>
    </w:p>
    <w:p w14:paraId="477288FB">
      <w:pPr>
        <w:spacing w:line="360" w:lineRule="auto"/>
        <w:ind w:left="-2"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第八章  最高投标限价</w:t>
      </w:r>
      <w:r>
        <w:rPr>
          <w:rFonts w:hint="eastAsia" w:ascii="宋体" w:hAnsi="宋体" w:cs="宋体"/>
          <w:color w:val="auto"/>
          <w:kern w:val="0"/>
          <w:sz w:val="24"/>
          <w:szCs w:val="20"/>
          <w:highlight w:val="none"/>
          <w:u w:val="single"/>
        </w:rPr>
        <w:t>（另册）</w:t>
      </w:r>
    </w:p>
    <w:p w14:paraId="15A7A995">
      <w:pPr>
        <w:spacing w:line="360" w:lineRule="auto"/>
        <w:ind w:left="-2"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注：</w:t>
      </w:r>
      <w:r>
        <w:rPr>
          <w:rFonts w:hint="eastAsia" w:ascii="宋体" w:hAnsi="宋体" w:cs="宋体"/>
          <w:color w:val="auto"/>
          <w:kern w:val="0"/>
          <w:sz w:val="24"/>
          <w:szCs w:val="20"/>
          <w:highlight w:val="none"/>
        </w:rPr>
        <w:fldChar w:fldCharType="begin"/>
      </w:r>
      <w:r>
        <w:rPr>
          <w:rFonts w:hint="eastAsia" w:ascii="宋体" w:hAnsi="宋体" w:cs="宋体"/>
          <w:color w:val="auto"/>
          <w:kern w:val="0"/>
          <w:sz w:val="24"/>
          <w:szCs w:val="20"/>
          <w:highlight w:val="none"/>
        </w:rPr>
        <w:instrText xml:space="preserve"> = 1 \* GB3 </w:instrText>
      </w:r>
      <w:r>
        <w:rPr>
          <w:rFonts w:hint="eastAsia" w:ascii="宋体" w:hAnsi="宋体" w:cs="宋体"/>
          <w:color w:val="auto"/>
          <w:kern w:val="0"/>
          <w:sz w:val="24"/>
          <w:szCs w:val="20"/>
          <w:highlight w:val="none"/>
        </w:rPr>
        <w:fldChar w:fldCharType="separate"/>
      </w:r>
      <w:r>
        <w:rPr>
          <w:rFonts w:hint="eastAsia" w:ascii="宋体" w:hAnsi="宋体" w:cs="宋体"/>
          <w:color w:val="auto"/>
          <w:kern w:val="0"/>
          <w:sz w:val="24"/>
          <w:szCs w:val="20"/>
          <w:highlight w:val="none"/>
        </w:rPr>
        <w:t>①</w:t>
      </w:r>
      <w:r>
        <w:rPr>
          <w:rFonts w:hint="eastAsia" w:ascii="宋体" w:hAnsi="宋体" w:cs="宋体"/>
          <w:color w:val="auto"/>
          <w:kern w:val="0"/>
          <w:sz w:val="24"/>
          <w:szCs w:val="20"/>
          <w:highlight w:val="none"/>
        </w:rPr>
        <w:fldChar w:fldCharType="end"/>
      </w:r>
      <w:r>
        <w:rPr>
          <w:rFonts w:hint="eastAsia" w:ascii="宋体" w:hAnsi="宋体" w:cs="宋体"/>
          <w:color w:val="auto"/>
          <w:kern w:val="0"/>
          <w:sz w:val="24"/>
          <w:szCs w:val="20"/>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color w:val="auto"/>
          <w:kern w:val="0"/>
          <w:sz w:val="24"/>
          <w:szCs w:val="20"/>
          <w:highlight w:val="none"/>
        </w:rPr>
        <w:fldChar w:fldCharType="begin"/>
      </w:r>
      <w:r>
        <w:rPr>
          <w:rFonts w:hint="eastAsia" w:ascii="宋体" w:hAnsi="宋体" w:cs="宋体"/>
          <w:color w:val="auto"/>
          <w:kern w:val="0"/>
          <w:sz w:val="24"/>
          <w:szCs w:val="20"/>
          <w:highlight w:val="none"/>
        </w:rPr>
        <w:instrText xml:space="preserve"> = 2 \* GB3 </w:instrText>
      </w:r>
      <w:r>
        <w:rPr>
          <w:rFonts w:hint="eastAsia" w:ascii="宋体" w:hAnsi="宋体" w:cs="宋体"/>
          <w:color w:val="auto"/>
          <w:kern w:val="0"/>
          <w:sz w:val="24"/>
          <w:szCs w:val="20"/>
          <w:highlight w:val="none"/>
        </w:rPr>
        <w:fldChar w:fldCharType="separate"/>
      </w:r>
      <w:r>
        <w:rPr>
          <w:rFonts w:hint="eastAsia" w:ascii="宋体" w:hAnsi="宋体" w:cs="宋体"/>
          <w:color w:val="auto"/>
          <w:kern w:val="0"/>
          <w:sz w:val="24"/>
          <w:szCs w:val="20"/>
          <w:highlight w:val="none"/>
        </w:rPr>
        <w:t>②</w:t>
      </w:r>
      <w:r>
        <w:rPr>
          <w:rFonts w:hint="eastAsia" w:ascii="宋体" w:hAnsi="宋体" w:cs="宋体"/>
          <w:color w:val="auto"/>
          <w:kern w:val="0"/>
          <w:sz w:val="24"/>
          <w:szCs w:val="20"/>
          <w:highlight w:val="none"/>
        </w:rPr>
        <w:fldChar w:fldCharType="end"/>
      </w:r>
      <w:r>
        <w:rPr>
          <w:rFonts w:hint="eastAsia" w:ascii="宋体" w:hAnsi="宋体" w:cs="宋体"/>
          <w:color w:val="auto"/>
          <w:kern w:val="0"/>
          <w:sz w:val="24"/>
          <w:szCs w:val="20"/>
          <w:highlight w:val="none"/>
        </w:rPr>
        <w:t>鼓励招标人对施工组织设计或施工方案实行隐藏投标人信息的暗标评审。</w:t>
      </w:r>
    </w:p>
    <w:p w14:paraId="7178095B">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A7D3092">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7.3 投标人一旦中标，招标文件的内容对招标人和中标人双方均有约束力。</w:t>
      </w:r>
    </w:p>
    <w:p w14:paraId="0C7946DD">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8．招标答疑</w:t>
      </w:r>
    </w:p>
    <w:p w14:paraId="3A87E1CF">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8.1 投标人若对招标文件（包括招标</w:t>
      </w:r>
      <w:r>
        <w:rPr>
          <w:rFonts w:hint="eastAsia" w:ascii="宋体" w:hAnsi="宋体" w:cs="宋体"/>
          <w:color w:val="auto"/>
          <w:kern w:val="0"/>
          <w:sz w:val="24"/>
          <w:szCs w:val="20"/>
          <w:highlight w:val="none"/>
          <w:u w:val="single"/>
        </w:rPr>
        <w:t>图纸、清单、最高投标限价、合同条款</w:t>
      </w:r>
      <w:r>
        <w:rPr>
          <w:rFonts w:hint="eastAsia" w:ascii="宋体" w:hAnsi="宋体" w:cs="宋体"/>
          <w:color w:val="auto"/>
          <w:kern w:val="0"/>
          <w:sz w:val="24"/>
          <w:szCs w:val="20"/>
          <w:highlight w:val="none"/>
        </w:rPr>
        <w:t>）中有疑问，</w:t>
      </w:r>
      <w:r>
        <w:rPr>
          <w:rFonts w:hint="eastAsia" w:ascii="宋体" w:hAnsi="宋体" w:cs="宋体"/>
          <w:bCs/>
          <w:color w:val="auto"/>
          <w:kern w:val="0"/>
          <w:sz w:val="24"/>
          <w:szCs w:val="20"/>
          <w:highlight w:val="none"/>
          <w:u w:val="single"/>
        </w:rPr>
        <w:t>采用网上答疑方式进行，详见本须知前附表第16项。招标人或招标代理人将于本须知前附表第16项指定的地点（交易平台）和时间对疑问进行答复</w:t>
      </w:r>
      <w:r>
        <w:rPr>
          <w:rFonts w:ascii="宋体" w:hAnsi="宋体" w:cs="宋体"/>
          <w:color w:val="auto"/>
          <w:kern w:val="0"/>
          <w:sz w:val="24"/>
          <w:szCs w:val="20"/>
          <w:highlight w:val="none"/>
        </w:rPr>
        <w:t>。</w:t>
      </w:r>
    </w:p>
    <w:p w14:paraId="77326FA2">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8.2招标答疑会会议纪要将在提交投标文件截止时间15日前在</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s="宋体"/>
          <w:color w:val="auto"/>
          <w:kern w:val="0"/>
          <w:sz w:val="24"/>
          <w:szCs w:val="24"/>
          <w:highlight w:val="none"/>
        </w:rPr>
        <w:t>交易平台</w:t>
      </w:r>
      <w:r>
        <w:rPr>
          <w:rFonts w:hint="eastAsia" w:ascii="宋体" w:hAnsi="宋体" w:cs="宋体"/>
          <w:color w:val="auto"/>
          <w:kern w:val="0"/>
          <w:sz w:val="24"/>
          <w:szCs w:val="20"/>
          <w:highlight w:val="none"/>
        </w:rPr>
        <w:t xml:space="preserve"> “</w:t>
      </w:r>
      <w:r>
        <w:rPr>
          <w:rFonts w:hint="eastAsia" w:ascii="宋体" w:hAnsi="宋体" w:cs="宋体"/>
          <w:color w:val="auto"/>
          <w:kern w:val="0"/>
          <w:sz w:val="24"/>
          <w:szCs w:val="20"/>
          <w:highlight w:val="none"/>
          <w:u w:val="single"/>
        </w:rPr>
        <w:fldChar w:fldCharType="begin"/>
      </w:r>
      <w:r>
        <w:rPr>
          <w:rFonts w:hint="eastAsia" w:ascii="宋体" w:hAnsi="宋体" w:cs="宋体"/>
          <w:color w:val="auto"/>
          <w:kern w:val="0"/>
          <w:sz w:val="24"/>
          <w:szCs w:val="20"/>
          <w:highlight w:val="none"/>
          <w:u w:val="single"/>
        </w:rPr>
        <w:instrText xml:space="preserve"> HYPERLINK "http://ggzy.gz.gov.cn/xmcxjsgc/index.jhtml" </w:instrText>
      </w:r>
      <w:r>
        <w:rPr>
          <w:rFonts w:hint="eastAsia" w:ascii="宋体" w:hAnsi="宋体" w:cs="宋体"/>
          <w:color w:val="auto"/>
          <w:kern w:val="0"/>
          <w:sz w:val="24"/>
          <w:szCs w:val="20"/>
          <w:highlight w:val="none"/>
          <w:u w:val="single"/>
        </w:rPr>
        <w:fldChar w:fldCharType="separate"/>
      </w:r>
      <w:r>
        <w:rPr>
          <w:rFonts w:hint="eastAsia" w:ascii="宋体" w:hAnsi="宋体" w:cs="宋体"/>
          <w:color w:val="auto"/>
          <w:kern w:val="0"/>
          <w:sz w:val="24"/>
          <w:szCs w:val="20"/>
          <w:highlight w:val="none"/>
          <w:u w:val="single"/>
        </w:rPr>
        <w:t>项目查询(日程安排、答疑纪要)</w:t>
      </w:r>
      <w:r>
        <w:rPr>
          <w:rFonts w:hint="eastAsia" w:ascii="宋体" w:hAnsi="宋体" w:cs="宋体"/>
          <w:color w:val="auto"/>
          <w:kern w:val="0"/>
          <w:sz w:val="24"/>
          <w:szCs w:val="20"/>
          <w:highlight w:val="none"/>
          <w:u w:val="single"/>
        </w:rPr>
        <w:fldChar w:fldCharType="end"/>
      </w:r>
      <w:r>
        <w:rPr>
          <w:rFonts w:hint="eastAsia" w:ascii="宋体" w:hAnsi="宋体" w:cs="宋体"/>
          <w:color w:val="auto"/>
          <w:kern w:val="0"/>
          <w:sz w:val="24"/>
          <w:szCs w:val="20"/>
          <w:highlight w:val="none"/>
        </w:rPr>
        <w:t>”专区公开发布。答疑纪要一经在</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s="宋体"/>
          <w:color w:val="auto"/>
          <w:kern w:val="0"/>
          <w:sz w:val="24"/>
          <w:szCs w:val="24"/>
          <w:highlight w:val="none"/>
        </w:rPr>
        <w:t>交易平台</w:t>
      </w:r>
      <w:r>
        <w:rPr>
          <w:rFonts w:hint="eastAsia" w:ascii="宋体" w:hAnsi="宋体" w:cs="宋体"/>
          <w:color w:val="auto"/>
          <w:kern w:val="0"/>
          <w:sz w:val="24"/>
          <w:szCs w:val="20"/>
          <w:highlight w:val="none"/>
        </w:rPr>
        <w:t>发布，视作已发放给所有投标人。</w:t>
      </w:r>
    </w:p>
    <w:p w14:paraId="2A2D0A35">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8.3答疑会会议纪要为招标文件的一部分。</w:t>
      </w:r>
    </w:p>
    <w:p w14:paraId="2EEA395D">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8.4若招标答疑会会议纪要与招标文件有矛盾，</w:t>
      </w:r>
      <w:r>
        <w:rPr>
          <w:rFonts w:hint="eastAsia" w:ascii="宋体" w:hAnsi="宋体" w:cs="宋体"/>
          <w:color w:val="auto"/>
          <w:kern w:val="0"/>
          <w:sz w:val="24"/>
          <w:szCs w:val="20"/>
          <w:highlight w:val="none"/>
          <w:u w:val="single"/>
        </w:rPr>
        <w:t>以广州交易集团有限公司（广州公共资源交易中心）网站最后发布的答疑纪要为准</w:t>
      </w:r>
      <w:r>
        <w:rPr>
          <w:rFonts w:hint="eastAsia" w:ascii="宋体" w:hAnsi="宋体" w:cs="宋体"/>
          <w:color w:val="auto"/>
          <w:kern w:val="0"/>
          <w:sz w:val="24"/>
          <w:szCs w:val="20"/>
          <w:highlight w:val="none"/>
        </w:rPr>
        <w:t>。</w:t>
      </w:r>
    </w:p>
    <w:p w14:paraId="28F62C2E">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9.招标文件的澄清与修改</w:t>
      </w:r>
    </w:p>
    <w:p w14:paraId="0A73B76F">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9.1招标文件发出后,在提交投标文件截止时间15日前，招标人可对招标文件进行必要的澄清或修改。</w:t>
      </w:r>
    </w:p>
    <w:p w14:paraId="10CE05D5">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9.2招标文件的澄清或修改将在</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s="宋体"/>
          <w:color w:val="auto"/>
          <w:kern w:val="0"/>
          <w:sz w:val="24"/>
          <w:szCs w:val="24"/>
          <w:highlight w:val="none"/>
        </w:rPr>
        <w:t>交易平台</w:t>
      </w:r>
      <w:r>
        <w:rPr>
          <w:rFonts w:hint="eastAsia" w:ascii="宋体" w:hAnsi="宋体" w:cs="宋体"/>
          <w:color w:val="auto"/>
          <w:kern w:val="0"/>
          <w:sz w:val="24"/>
          <w:szCs w:val="20"/>
          <w:highlight w:val="none"/>
        </w:rPr>
        <w:t>“</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HYPERLINK "http://ggzy.gz.gov.cn/xmcxjsgc/index.jhtml"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t>项目查询（日程安排、答疑纪要）</w:t>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0"/>
          <w:highlight w:val="none"/>
        </w:rPr>
        <w:t>”专区公开发布。答疑纪要一经在</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s="宋体"/>
          <w:color w:val="auto"/>
          <w:kern w:val="0"/>
          <w:sz w:val="24"/>
          <w:szCs w:val="24"/>
          <w:highlight w:val="none"/>
        </w:rPr>
        <w:t>交易平台</w:t>
      </w:r>
      <w:r>
        <w:rPr>
          <w:rFonts w:hint="eastAsia" w:ascii="宋体" w:hAnsi="宋体" w:cs="宋体"/>
          <w:color w:val="auto"/>
          <w:kern w:val="0"/>
          <w:sz w:val="24"/>
          <w:szCs w:val="20"/>
          <w:highlight w:val="none"/>
        </w:rPr>
        <w:t>发布，视作已发放给所有投标人，以</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s="宋体"/>
          <w:color w:val="auto"/>
          <w:kern w:val="0"/>
          <w:sz w:val="24"/>
          <w:szCs w:val="24"/>
          <w:highlight w:val="none"/>
        </w:rPr>
        <w:t>交易平台</w:t>
      </w:r>
      <w:r>
        <w:rPr>
          <w:rFonts w:hint="eastAsia" w:ascii="宋体" w:hAnsi="宋体" w:cs="宋体"/>
          <w:color w:val="auto"/>
          <w:kern w:val="0"/>
          <w:sz w:val="24"/>
          <w:szCs w:val="20"/>
          <w:highlight w:val="none"/>
        </w:rPr>
        <w:t>上网发布时间作为送达时间。</w:t>
      </w:r>
    </w:p>
    <w:p w14:paraId="0A810773">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9.3招标文件的修改内容为招标文件的组成部分。</w:t>
      </w:r>
    </w:p>
    <w:p w14:paraId="1124CC8B">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9.4招标文件的澄清或修改均以</w:t>
      </w:r>
      <w:r>
        <w:rPr>
          <w:rFonts w:hint="eastAsia" w:ascii="宋体" w:hAnsi="宋体" w:cs="宋体"/>
          <w:color w:val="auto"/>
          <w:kern w:val="0"/>
          <w:sz w:val="24"/>
          <w:szCs w:val="24"/>
          <w:highlight w:val="none"/>
          <w:u w:val="single"/>
        </w:rPr>
        <w:t>在广州交易集团有限公司（广州公共资源交易中心）交易平台“</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HYPERLINK "http://ggzy.gz.gov.cn/xmcxjsgc/index.jhtml"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t>项目查询（日程安排、答疑纪要）</w:t>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”专区公开发布</w:t>
      </w:r>
      <w:r>
        <w:rPr>
          <w:rFonts w:hint="eastAsia" w:ascii="宋体" w:hAnsi="宋体" w:cs="宋体"/>
          <w:color w:val="auto"/>
          <w:kern w:val="0"/>
          <w:sz w:val="24"/>
          <w:szCs w:val="20"/>
          <w:highlight w:val="none"/>
        </w:rPr>
        <w:t>的内容为准。当招标文件的澄清、修改、补充等在同一内容的表述不一致时，</w:t>
      </w:r>
      <w:r>
        <w:rPr>
          <w:rFonts w:hint="eastAsia" w:ascii="宋体" w:hAnsi="宋体" w:cs="宋体"/>
          <w:color w:val="auto"/>
          <w:kern w:val="0"/>
          <w:sz w:val="24"/>
          <w:szCs w:val="24"/>
          <w:highlight w:val="none"/>
          <w:u w:val="single"/>
        </w:rPr>
        <w:t>以广州交易集团有限公司（广州公共资源交易中心）网站最后发布的内容为准</w:t>
      </w:r>
      <w:r>
        <w:rPr>
          <w:rFonts w:hint="eastAsia" w:ascii="宋体" w:hAnsi="宋体" w:cs="宋体"/>
          <w:color w:val="auto"/>
          <w:kern w:val="0"/>
          <w:sz w:val="24"/>
          <w:szCs w:val="20"/>
          <w:highlight w:val="none"/>
        </w:rPr>
        <w:t>。</w:t>
      </w:r>
    </w:p>
    <w:p w14:paraId="5838A3AB">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D6DD5FD">
      <w:pPr>
        <w:widowControl/>
        <w:spacing w:before="100" w:beforeAutospacing="1" w:after="100" w:afterAutospacing="1"/>
        <w:jc w:val="left"/>
        <w:outlineLvl w:val="2"/>
        <w:rPr>
          <w:rFonts w:hint="eastAsia" w:ascii="宋体" w:hAnsi="宋体" w:cs="宋体"/>
          <w:b/>
          <w:bCs/>
          <w:color w:val="auto"/>
          <w:kern w:val="0"/>
          <w:sz w:val="24"/>
          <w:szCs w:val="20"/>
          <w:highlight w:val="none"/>
        </w:rPr>
      </w:pPr>
      <w:bookmarkStart w:id="63" w:name="_Toc97576577"/>
      <w:bookmarkStart w:id="64" w:name="_Toc2272551"/>
      <w:r>
        <w:rPr>
          <w:rFonts w:hint="eastAsia" w:ascii="宋体" w:hAnsi="宋体" w:cs="宋体"/>
          <w:b/>
          <w:bCs/>
          <w:color w:val="auto"/>
          <w:kern w:val="0"/>
          <w:sz w:val="24"/>
          <w:szCs w:val="20"/>
          <w:highlight w:val="none"/>
        </w:rPr>
        <w:t>（三）投标文件的编制</w:t>
      </w:r>
      <w:bookmarkEnd w:id="63"/>
      <w:bookmarkEnd w:id="64"/>
    </w:p>
    <w:p w14:paraId="769AFD99">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10．投标文件的语言及度量衡单位</w:t>
      </w:r>
    </w:p>
    <w:p w14:paraId="26443F04">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10.1 投标文件和与投标有关的所有文件均应使用中文。</w:t>
      </w:r>
    </w:p>
    <w:p w14:paraId="3C4626AA">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10.2 除工程规范另有规定外，投标文件使用的度量衡单位，均采用中华人民共和国法定计量单位。</w:t>
      </w:r>
    </w:p>
    <w:p w14:paraId="6AB7E768">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11．投标文件的组成</w:t>
      </w:r>
    </w:p>
    <w:p w14:paraId="12CFB94C">
      <w:pPr>
        <w:spacing w:line="360" w:lineRule="auto"/>
        <w:ind w:firstLine="480" w:firstLineChars="200"/>
        <w:rPr>
          <w:rFonts w:ascii="宋体" w:hAnsi="宋体" w:cs="宋体"/>
          <w:color w:val="auto"/>
          <w:kern w:val="0"/>
          <w:sz w:val="24"/>
          <w:szCs w:val="20"/>
          <w:highlight w:val="none"/>
          <w:u w:val="single"/>
        </w:rPr>
      </w:pPr>
      <w:r>
        <w:rPr>
          <w:rFonts w:hint="eastAsia" w:ascii="宋体" w:hAnsi="宋体" w:cs="宋体"/>
          <w:color w:val="auto"/>
          <w:kern w:val="0"/>
          <w:sz w:val="24"/>
          <w:szCs w:val="20"/>
          <w:highlight w:val="none"/>
        </w:rPr>
        <w:t>11.1 投标文件由技术部分（含资格审查文件）和经济部分</w:t>
      </w:r>
      <w:r>
        <w:rPr>
          <w:rFonts w:hint="eastAsia" w:ascii="宋体" w:hAnsi="宋体" w:cs="宋体"/>
          <w:color w:val="auto"/>
          <w:kern w:val="0"/>
          <w:sz w:val="24"/>
          <w:szCs w:val="20"/>
          <w:highlight w:val="none"/>
          <w:u w:val="single"/>
        </w:rPr>
        <w:t>和定标文件共三</w:t>
      </w:r>
      <w:r>
        <w:rPr>
          <w:rFonts w:hint="eastAsia" w:ascii="宋体" w:hAnsi="宋体" w:cs="宋体"/>
          <w:color w:val="auto"/>
          <w:kern w:val="0"/>
          <w:sz w:val="24"/>
          <w:szCs w:val="20"/>
          <w:highlight w:val="none"/>
        </w:rPr>
        <w:t>部分投标文件组成</w:t>
      </w:r>
      <w:r>
        <w:rPr>
          <w:rFonts w:hint="eastAsia" w:ascii="宋体" w:hAnsi="宋体" w:cs="宋体"/>
          <w:b/>
          <w:color w:val="auto"/>
          <w:kern w:val="0"/>
          <w:sz w:val="24"/>
          <w:szCs w:val="20"/>
          <w:highlight w:val="none"/>
        </w:rPr>
        <w:t>。</w:t>
      </w:r>
      <w:r>
        <w:rPr>
          <w:rFonts w:hint="eastAsia" w:ascii="宋体" w:hAnsi="宋体" w:cs="宋体"/>
          <w:color w:val="auto"/>
          <w:kern w:val="0"/>
          <w:sz w:val="24"/>
          <w:szCs w:val="20"/>
          <w:highlight w:val="none"/>
          <w:u w:val="single"/>
        </w:rPr>
        <w:t>其中，定标文件组成详见11.4条。</w:t>
      </w:r>
    </w:p>
    <w:p w14:paraId="1582D445">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bCs/>
          <w:color w:val="auto"/>
          <w:kern w:val="0"/>
          <w:sz w:val="24"/>
          <w:szCs w:val="20"/>
          <w:highlight w:val="none"/>
          <w:u w:val="single"/>
        </w:rPr>
        <w:t>11.2</w:t>
      </w:r>
      <w:r>
        <w:rPr>
          <w:rFonts w:hint="eastAsia" w:ascii="宋体" w:hAnsi="宋体" w:cs="宋体"/>
          <w:color w:val="auto"/>
          <w:kern w:val="0"/>
          <w:sz w:val="24"/>
          <w:szCs w:val="20"/>
          <w:highlight w:val="none"/>
          <w:u w:val="single"/>
        </w:rPr>
        <w:t>投标文件技术标部分（含资格审查文件）主要包括下列内容：</w:t>
      </w:r>
    </w:p>
    <w:p w14:paraId="3BD96E25">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11.2.1技术标投标文件封面（格式自拟）、</w:t>
      </w:r>
      <w:r>
        <w:rPr>
          <w:rFonts w:ascii="宋体" w:hAnsi="宋体" w:cs="宋体"/>
          <w:bCs/>
          <w:color w:val="auto"/>
          <w:kern w:val="0"/>
          <w:sz w:val="24"/>
          <w:szCs w:val="20"/>
          <w:highlight w:val="none"/>
          <w:u w:val="single"/>
        </w:rPr>
        <w:t>广州建设工程施工招标投标书</w:t>
      </w:r>
      <w:r>
        <w:rPr>
          <w:rFonts w:hint="eastAsia" w:ascii="宋体" w:hAnsi="宋体" w:cs="宋体"/>
          <w:color w:val="auto"/>
          <w:kern w:val="0"/>
          <w:sz w:val="24"/>
          <w:szCs w:val="20"/>
          <w:highlight w:val="none"/>
          <w:u w:val="single"/>
        </w:rPr>
        <w:t>（格式详见本招标文件第四章“技术标投标文件格式”）、目录（格式自拟）；</w:t>
      </w:r>
    </w:p>
    <w:p w14:paraId="1B76E640">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11.2.2 资格审查文件：</w:t>
      </w:r>
    </w:p>
    <w:p w14:paraId="16A35E32">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bCs/>
          <w:color w:val="auto"/>
          <w:kern w:val="0"/>
          <w:sz w:val="24"/>
          <w:szCs w:val="20"/>
          <w:highlight w:val="none"/>
          <w:u w:val="single"/>
        </w:rPr>
        <w:t>（1）投标人声明（格式详见本招标公告附件）；</w:t>
      </w:r>
    </w:p>
    <w:p w14:paraId="737D9B43">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（2）法定代表人证明书、法定代表人签字或盖章的本投标文件授权委托证明书</w:t>
      </w:r>
      <w:r>
        <w:rPr>
          <w:rFonts w:hint="eastAsia" w:ascii="宋体" w:hAnsi="宋体" w:cs="宋体"/>
          <w:bCs/>
          <w:color w:val="auto"/>
          <w:kern w:val="0"/>
          <w:sz w:val="24"/>
          <w:szCs w:val="20"/>
          <w:highlight w:val="none"/>
          <w:u w:val="single"/>
        </w:rPr>
        <w:t>（格式自拟）；</w:t>
      </w:r>
    </w:p>
    <w:p w14:paraId="65237482">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（3）企业营业执照扫描件或电子证照；</w:t>
      </w:r>
    </w:p>
    <w:p w14:paraId="4B2366DA">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（4）企业资质</w:t>
      </w:r>
      <w:r>
        <w:rPr>
          <w:rFonts w:hint="eastAsia" w:ascii="宋体" w:hAnsi="宋体" w:cs="宋体"/>
          <w:bCs/>
          <w:color w:val="auto"/>
          <w:kern w:val="0"/>
          <w:sz w:val="24"/>
          <w:szCs w:val="20"/>
          <w:highlight w:val="none"/>
          <w:u w:val="single"/>
        </w:rPr>
        <w:t>证书</w:t>
      </w:r>
      <w:r>
        <w:rPr>
          <w:rFonts w:hint="eastAsia" w:ascii="宋体" w:hAnsi="宋体" w:cs="宋体"/>
          <w:color w:val="auto"/>
          <w:kern w:val="0"/>
          <w:sz w:val="24"/>
          <w:szCs w:val="20"/>
          <w:highlight w:val="none"/>
          <w:u w:val="single"/>
        </w:rPr>
        <w:t>扫描件或电子证照</w:t>
      </w:r>
      <w:r>
        <w:rPr>
          <w:rFonts w:hint="eastAsia" w:ascii="宋体" w:hAnsi="宋体" w:cs="宋体"/>
          <w:bCs/>
          <w:color w:val="auto"/>
          <w:kern w:val="0"/>
          <w:sz w:val="24"/>
          <w:szCs w:val="20"/>
          <w:highlight w:val="none"/>
          <w:u w:val="single"/>
        </w:rPr>
        <w:t>；</w:t>
      </w:r>
    </w:p>
    <w:p w14:paraId="5D0289FE">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（5）建筑施工企业安全生产许可证扫描件或电子证照；</w:t>
      </w:r>
    </w:p>
    <w:p w14:paraId="04AADF57">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（6）项目负责人（按网上投标登记时选择拟投标的项目负责人）；</w:t>
      </w:r>
    </w:p>
    <w:p w14:paraId="13029F97">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（7）专职安全员（按网上投标登记时选择拟投标的专职安全员）；</w:t>
      </w:r>
    </w:p>
    <w:p w14:paraId="2C986649">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（8）拟委托技术负责人的相关证书、资料（具体要求详见招标公告，</w:t>
      </w:r>
      <w:r>
        <w:rPr>
          <w:rFonts w:hint="eastAsia" w:ascii="宋体" w:hAnsi="宋体" w:cs="宋体"/>
          <w:bCs/>
          <w:color w:val="auto"/>
          <w:kern w:val="0"/>
          <w:sz w:val="24"/>
          <w:szCs w:val="20"/>
          <w:highlight w:val="none"/>
          <w:u w:val="single"/>
        </w:rPr>
        <w:t>提交扫描件</w:t>
      </w:r>
      <w:r>
        <w:rPr>
          <w:rFonts w:hint="eastAsia" w:ascii="宋体" w:hAnsi="宋体" w:cs="宋体"/>
          <w:color w:val="auto"/>
          <w:kern w:val="0"/>
          <w:sz w:val="24"/>
          <w:szCs w:val="20"/>
          <w:highlight w:val="none"/>
          <w:u w:val="single"/>
        </w:rPr>
        <w:t>或电子证照）；</w:t>
      </w:r>
    </w:p>
    <w:p w14:paraId="3B1DCA45">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 xml:space="preserve">（9）拟委派项目负责人的有效期内的建造师注册证书扫描件或电子证照； </w:t>
      </w:r>
    </w:p>
    <w:p w14:paraId="5DFBF0BD">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（10）项目负责人在有效期内的安全生产考核合格证书（B类）或建筑施工企业项目负责人安全生产考核合格证书扫描件或电子证书；</w:t>
      </w:r>
    </w:p>
    <w:p w14:paraId="507BB251">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（11）专职安全员须具有在有效期内的安全生产考核合格证书（C类</w:t>
      </w:r>
      <w:r>
        <w:rPr>
          <w:rFonts w:hint="eastAsia" w:ascii="宋体" w:hAnsi="宋体" w:cs="宋体"/>
          <w:b/>
          <w:bCs/>
          <w:color w:val="auto"/>
          <w:kern w:val="0"/>
          <w:sz w:val="24"/>
          <w:szCs w:val="20"/>
          <w:highlight w:val="none"/>
          <w:u w:val="single"/>
        </w:rPr>
        <w:t>）</w:t>
      </w:r>
      <w:r>
        <w:rPr>
          <w:rFonts w:hint="eastAsia" w:ascii="宋体" w:hAnsi="宋体" w:cs="宋体"/>
          <w:color w:val="auto"/>
          <w:kern w:val="0"/>
          <w:sz w:val="24"/>
          <w:szCs w:val="20"/>
          <w:highlight w:val="none"/>
          <w:u w:val="single"/>
        </w:rPr>
        <w:t>或建筑施工企业专职安全生产管理人员安全生产考核合格证书（C3）扫描件或电子证照，</w:t>
      </w:r>
      <w:r>
        <w:rPr>
          <w:rFonts w:hint="eastAsia" w:ascii="宋体" w:hAnsi="宋体" w:cs="宋体"/>
          <w:b/>
          <w:color w:val="auto"/>
          <w:kern w:val="0"/>
          <w:sz w:val="24"/>
          <w:szCs w:val="20"/>
          <w:highlight w:val="none"/>
          <w:u w:val="single"/>
        </w:rPr>
        <w:t>项目负责人和专职安全员不为同一人</w:t>
      </w:r>
      <w:r>
        <w:rPr>
          <w:rFonts w:hint="eastAsia" w:ascii="宋体" w:hAnsi="宋体" w:cs="宋体"/>
          <w:color w:val="auto"/>
          <w:kern w:val="0"/>
          <w:sz w:val="24"/>
          <w:szCs w:val="20"/>
          <w:highlight w:val="none"/>
          <w:u w:val="single"/>
        </w:rPr>
        <w:t>；</w:t>
      </w:r>
    </w:p>
    <w:p w14:paraId="2883B54B">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（12）资格审查前，投标人须在广州市住房和城乡建设局建立企业信用档案，拟担任本工程项目负责人、专职安全员须是本企业信用档案中的在册人员。</w:t>
      </w:r>
    </w:p>
    <w:p w14:paraId="57E54E3B">
      <w:pPr>
        <w:spacing w:line="360" w:lineRule="auto"/>
        <w:ind w:firstLine="480" w:firstLineChars="200"/>
        <w:rPr>
          <w:rFonts w:hint="eastAsia" w:ascii="宋体" w:hAnsi="宋体" w:cs="宋体"/>
          <w:bCs/>
          <w:color w:val="auto"/>
          <w:kern w:val="0"/>
          <w:sz w:val="24"/>
          <w:szCs w:val="20"/>
          <w:highlight w:val="none"/>
          <w:u w:val="single"/>
        </w:rPr>
      </w:pPr>
      <w:r>
        <w:rPr>
          <w:rFonts w:hint="eastAsia" w:ascii="宋体" w:hAnsi="宋体" w:cs="宋体"/>
          <w:bCs/>
          <w:color w:val="auto"/>
          <w:kern w:val="0"/>
          <w:sz w:val="24"/>
          <w:szCs w:val="20"/>
          <w:highlight w:val="none"/>
          <w:u w:val="single"/>
        </w:rPr>
        <w:t>（13）未在以往工程中因不充分履约行为被本项目招标人书面拒绝投标的；</w:t>
      </w:r>
    </w:p>
    <w:p w14:paraId="3C736D2E">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（14）其他投标人认为应该提供的资料。</w:t>
      </w:r>
    </w:p>
    <w:p w14:paraId="16D96E7A">
      <w:pPr>
        <w:spacing w:line="360" w:lineRule="auto"/>
        <w:ind w:firstLine="482" w:firstLineChars="200"/>
        <w:rPr>
          <w:rFonts w:hint="eastAsia" w:ascii="宋体" w:hAnsi="宋体" w:cs="宋体"/>
          <w:b/>
          <w:bCs/>
          <w:color w:val="auto"/>
          <w:kern w:val="0"/>
          <w:sz w:val="24"/>
          <w:szCs w:val="20"/>
          <w:highlight w:val="none"/>
          <w:u w:val="single"/>
        </w:rPr>
      </w:pPr>
      <w:r>
        <w:rPr>
          <w:rFonts w:hint="eastAsia" w:ascii="宋体" w:hAnsi="宋体" w:cs="宋体"/>
          <w:b/>
          <w:bCs/>
          <w:color w:val="auto"/>
          <w:kern w:val="0"/>
          <w:sz w:val="24"/>
          <w:szCs w:val="20"/>
          <w:highlight w:val="none"/>
          <w:u w:val="single"/>
        </w:rPr>
        <w:t>注：1.相关电子证书按规定需打印后手写本人签名的，应按照规定手写本人签名后再扫描提交。</w:t>
      </w:r>
    </w:p>
    <w:p w14:paraId="7658E974">
      <w:pPr>
        <w:spacing w:line="360" w:lineRule="auto"/>
        <w:ind w:firstLine="482" w:firstLineChars="200"/>
        <w:rPr>
          <w:rFonts w:hint="eastAsia" w:ascii="宋体" w:hAnsi="宋体" w:cs="宋体"/>
          <w:b/>
          <w:bCs/>
          <w:color w:val="auto"/>
          <w:kern w:val="0"/>
          <w:sz w:val="24"/>
          <w:szCs w:val="20"/>
          <w:highlight w:val="none"/>
          <w:u w:val="single"/>
        </w:rPr>
      </w:pPr>
      <w:r>
        <w:rPr>
          <w:rFonts w:hint="eastAsia" w:ascii="宋体" w:hAnsi="宋体" w:cs="宋体"/>
          <w:b/>
          <w:bCs/>
          <w:color w:val="auto"/>
          <w:kern w:val="0"/>
          <w:sz w:val="24"/>
          <w:szCs w:val="20"/>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FA381F4">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11.2.3项目管理机构配备。</w:t>
      </w:r>
    </w:p>
    <w:p w14:paraId="1C7A7329">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 xml:space="preserve">（1）投标人应列出该项目工程的施工组织机构构成和画出机构框架图及其负责人； </w:t>
      </w:r>
    </w:p>
    <w:p w14:paraId="69772243">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 xml:space="preserve">（2）投标人应详细列出该施工组织机构中主要成员的名单、简历资料、职务职称和在本项目中拟担任的职务等资料，并附上有关证明材料扫描件； </w:t>
      </w:r>
    </w:p>
    <w:p w14:paraId="172F0EBF">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（3）其他辅助说明资料。（如有）</w:t>
      </w:r>
    </w:p>
    <w:p w14:paraId="28EBD4F7">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11.2.4《投标函》（格式详见本招标文件第四章 “技术标投标文件格式”）。</w:t>
      </w:r>
    </w:p>
    <w:p w14:paraId="3CE8508C">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11.2.5投标承诺函（格式详见本招标文件第四章“技术标投标文件格式”）。</w:t>
      </w:r>
    </w:p>
    <w:p w14:paraId="095F2F8F">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11.2.6投标人提交履约担保承诺书（格式详见本招标文件第四章“技术标投标文件格式”）。</w:t>
      </w:r>
    </w:p>
    <w:p w14:paraId="76077E1C">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11.2.7按照招标文件要求填写的《参与编制技术标投标文件人员名单》（格式详见本招标文件第四章“技术标投标文件格式”）。</w:t>
      </w:r>
    </w:p>
    <w:p w14:paraId="5AAB2516">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11.2.8按照招标文件要求填写的《危险性较大的分部分项工程安全管理措施》（格式详见本招标文件第四章“技术标投标文件格式”）。</w:t>
      </w:r>
    </w:p>
    <w:p w14:paraId="319D289F">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11.2.9施工组织设计。（投标人在编制施工组织设计时应按照招标人提出的施工现场建筑垃圾源头减量的具体要求以及建筑垃圾综合利用产品的使用要求提供相应措施。）</w:t>
      </w:r>
    </w:p>
    <w:p w14:paraId="2861751B">
      <w:pPr>
        <w:spacing w:line="360" w:lineRule="auto"/>
        <w:ind w:firstLine="480" w:firstLineChars="200"/>
        <w:rPr>
          <w:rFonts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11.2.10</w:t>
      </w:r>
      <w:r>
        <w:rPr>
          <w:rFonts w:hint="eastAsia" w:ascii="宋体" w:hAnsi="宋体" w:cs="宋体"/>
          <w:bCs/>
          <w:color w:val="auto"/>
          <w:kern w:val="0"/>
          <w:sz w:val="24"/>
          <w:szCs w:val="20"/>
          <w:highlight w:val="none"/>
          <w:u w:val="single"/>
        </w:rPr>
        <w:t>其他投标人认为应该提供的资料。</w:t>
      </w:r>
    </w:p>
    <w:p w14:paraId="1AC4FEB0">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11.3 经济部分投标文件主要包括下列内容：</w:t>
      </w:r>
    </w:p>
    <w:p w14:paraId="266049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11.3.1</w:t>
      </w:r>
      <w:r>
        <w:rPr>
          <w:rFonts w:hint="eastAsia" w:ascii="宋体" w:hAnsi="宋体" w:cs="宋体"/>
          <w:color w:val="auto"/>
          <w:sz w:val="24"/>
          <w:szCs w:val="24"/>
          <w:highlight w:val="none"/>
          <w:u w:val="single"/>
        </w:rPr>
        <w:t>经济标投标文件封面（格式自拟）。</w:t>
      </w:r>
    </w:p>
    <w:p w14:paraId="4999CC45">
      <w:pPr>
        <w:pStyle w:val="37"/>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14:paraId="3221C58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11.3.3按照</w:t>
      </w:r>
      <w:r>
        <w:rPr>
          <w:rFonts w:hint="eastAsia" w:ascii="宋体" w:hAnsi="宋体" w:cs="宋体"/>
          <w:bCs/>
          <w:color w:val="auto"/>
          <w:sz w:val="24"/>
          <w:szCs w:val="24"/>
          <w:highlight w:val="none"/>
        </w:rPr>
        <w:t>招标文件要求</w:t>
      </w:r>
      <w:r>
        <w:rPr>
          <w:rFonts w:hint="eastAsia" w:ascii="宋体" w:hAnsi="宋体" w:cs="宋体"/>
          <w:color w:val="auto"/>
          <w:sz w:val="24"/>
          <w:szCs w:val="24"/>
          <w:highlight w:val="none"/>
        </w:rPr>
        <w:t>填写的《参与编制经济标投标文件人员名单》</w:t>
      </w:r>
      <w:r>
        <w:rPr>
          <w:rFonts w:hint="eastAsia" w:ascii="宋体" w:hAnsi="宋体" w:cs="宋体"/>
          <w:color w:val="auto"/>
          <w:sz w:val="24"/>
          <w:szCs w:val="24"/>
          <w:highlight w:val="none"/>
          <w:u w:val="single"/>
        </w:rPr>
        <w:t>（格式详见招标文件第四章 “经济标投标文件格式”）</w:t>
      </w:r>
      <w:r>
        <w:rPr>
          <w:rFonts w:hint="eastAsia" w:ascii="宋体" w:hAnsi="宋体" w:cs="宋体"/>
          <w:color w:val="auto"/>
          <w:sz w:val="24"/>
          <w:szCs w:val="24"/>
          <w:highlight w:val="none"/>
        </w:rPr>
        <w:t>。</w:t>
      </w:r>
    </w:p>
    <w:p w14:paraId="61D5C2F7">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11.3.4</w:t>
      </w:r>
      <w:r>
        <w:rPr>
          <w:rFonts w:hint="eastAsia" w:ascii="宋体" w:hAnsi="宋体" w:cs="宋体"/>
          <w:bCs/>
          <w:color w:val="auto"/>
          <w:sz w:val="24"/>
          <w:szCs w:val="24"/>
          <w:highlight w:val="none"/>
          <w:u w:val="single"/>
        </w:rPr>
        <w:t>《对投标文件编制的承诺》（</w:t>
      </w:r>
      <w:r>
        <w:rPr>
          <w:rFonts w:hint="eastAsia" w:ascii="宋体" w:hAnsi="宋体" w:cs="宋体"/>
          <w:color w:val="auto"/>
          <w:sz w:val="24"/>
          <w:szCs w:val="24"/>
          <w:highlight w:val="none"/>
          <w:u w:val="single"/>
        </w:rPr>
        <w:t>格式详见招标文件第四章 “经济标投标文件格式”</w:t>
      </w:r>
      <w:r>
        <w:rPr>
          <w:rFonts w:hint="eastAsia" w:ascii="宋体" w:hAnsi="宋体" w:cs="宋体"/>
          <w:bCs/>
          <w:color w:val="auto"/>
          <w:sz w:val="24"/>
          <w:szCs w:val="24"/>
          <w:highlight w:val="none"/>
          <w:u w:val="single"/>
        </w:rPr>
        <w:t>）。</w:t>
      </w:r>
    </w:p>
    <w:p w14:paraId="37BB5CD3">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u w:val="single"/>
        </w:rPr>
        <w:t>11.3.5</w:t>
      </w:r>
      <w:r>
        <w:rPr>
          <w:rFonts w:hint="eastAsia" w:ascii="宋体" w:hAnsi="宋体" w:cs="宋体"/>
          <w:color w:val="auto"/>
          <w:sz w:val="24"/>
          <w:szCs w:val="24"/>
          <w:highlight w:val="none"/>
          <w:u w:val="single"/>
        </w:rPr>
        <w:t>主要设备材料推荐品牌表（须按“主要设备材料推荐品牌表”的要求填报），如未按要求填写的，不作为否决投标的情形。</w:t>
      </w:r>
    </w:p>
    <w:p w14:paraId="75FA9D08">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11.3.6若投标人的投标报价低于工程成本警戒价的，投标人还须</w:t>
      </w:r>
      <w:r>
        <w:rPr>
          <w:rFonts w:hint="eastAsia" w:ascii="宋体" w:hAnsi="宋体" w:cs="宋体"/>
          <w:bCs/>
          <w:color w:val="auto"/>
          <w:sz w:val="24"/>
          <w:szCs w:val="24"/>
          <w:highlight w:val="none"/>
          <w:u w:val="single"/>
        </w:rPr>
        <w:t>提供详细的施工组织设计、</w:t>
      </w:r>
      <w:r>
        <w:rPr>
          <w:rFonts w:hint="eastAsia" w:ascii="宋体" w:hAnsi="宋体" w:cs="宋体"/>
          <w:color w:val="auto"/>
          <w:sz w:val="24"/>
          <w:szCs w:val="24"/>
          <w:highlight w:val="none"/>
          <w:u w:val="single"/>
        </w:rPr>
        <w:t>单价、措施性费用、单价分析表、主要材料价格表、投标人成本分析供评标委员会评审。</w:t>
      </w:r>
    </w:p>
    <w:p w14:paraId="691BBFFF">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u w:val="single"/>
        </w:rPr>
        <w:t>11.3.7</w:t>
      </w:r>
      <w:r>
        <w:rPr>
          <w:rFonts w:hint="eastAsia" w:ascii="宋体" w:hAnsi="宋体" w:cs="宋体"/>
          <w:bCs/>
          <w:color w:val="auto"/>
          <w:sz w:val="24"/>
          <w:szCs w:val="24"/>
          <w:highlight w:val="none"/>
          <w:u w:val="single"/>
        </w:rPr>
        <w:t>投标人认为需要提供的其他资料。</w:t>
      </w:r>
    </w:p>
    <w:p w14:paraId="41044D27">
      <w:pPr>
        <w:tabs>
          <w:tab w:val="left" w:pos="1125"/>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11.4定标文件的组成：</w:t>
      </w:r>
    </w:p>
    <w:p w14:paraId="7862F5E6">
      <w:pPr>
        <w:tabs>
          <w:tab w:val="left" w:pos="1125"/>
        </w:tabs>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11.4.1定标文件封面（格式自拟）、《定标文件评审索引表》（格式详见招标文件第四章 “定标文件格式”）。</w:t>
      </w:r>
    </w:p>
    <w:p w14:paraId="1E662E87">
      <w:pPr>
        <w:tabs>
          <w:tab w:val="left" w:pos="1125"/>
        </w:tabs>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11.4.2投标人依据《定标因素表》提供定标技术文件资料（</w:t>
      </w:r>
      <w:r>
        <w:rPr>
          <w:rFonts w:hint="eastAsia" w:ascii="宋体" w:hAnsi="宋体" w:cs="宋体"/>
          <w:bCs/>
          <w:color w:val="auto"/>
          <w:sz w:val="24"/>
          <w:szCs w:val="24"/>
          <w:highlight w:val="none"/>
          <w:u w:val="single"/>
          <w:lang w:val="en-US" w:eastAsia="zh-CN"/>
        </w:rPr>
        <w:t>按要求提供施工方案因素对应措施及</w:t>
      </w:r>
      <w:r>
        <w:rPr>
          <w:rFonts w:hint="eastAsia" w:ascii="宋体" w:hAnsi="宋体" w:cs="宋体"/>
          <w:b w:val="0"/>
          <w:bCs/>
          <w:color w:val="auto"/>
          <w:sz w:val="24"/>
          <w:szCs w:val="24"/>
          <w:highlight w:val="none"/>
          <w:u w:val="single"/>
        </w:rPr>
        <w:t>摘要</w:t>
      </w:r>
      <w:r>
        <w:rPr>
          <w:rFonts w:hint="eastAsia" w:ascii="宋体" w:hAnsi="宋体" w:cs="宋体"/>
          <w:bCs/>
          <w:color w:val="auto"/>
          <w:sz w:val="24"/>
          <w:szCs w:val="24"/>
          <w:highlight w:val="none"/>
          <w:u w:val="single"/>
        </w:rPr>
        <w:t>，格式由投标人自拟</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如投标文件有相应内容的，可不重复提供</w:t>
      </w:r>
      <w:r>
        <w:rPr>
          <w:rFonts w:hint="eastAsia" w:ascii="宋体" w:hAnsi="宋体" w:cs="宋体"/>
          <w:bCs/>
          <w:color w:val="auto"/>
          <w:sz w:val="24"/>
          <w:szCs w:val="24"/>
          <w:highlight w:val="none"/>
          <w:u w:val="single"/>
        </w:rPr>
        <w:t>）。</w:t>
      </w:r>
    </w:p>
    <w:p w14:paraId="3AE0DBDD">
      <w:pPr>
        <w:tabs>
          <w:tab w:val="left" w:pos="1125"/>
        </w:tabs>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11.4.3《定标因素表》中的价格因素无需投标人重复提供。</w:t>
      </w:r>
    </w:p>
    <w:p w14:paraId="0D5B17EF">
      <w:pPr>
        <w:tabs>
          <w:tab w:val="left" w:pos="1125"/>
        </w:tabs>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11.4.4投标人认为应该提供的其他资料（如有）。</w:t>
      </w:r>
    </w:p>
    <w:p w14:paraId="5190B9A6">
      <w:pPr>
        <w:tabs>
          <w:tab w:val="left" w:pos="1125"/>
        </w:tabs>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kern w:val="0"/>
          <w:sz w:val="24"/>
          <w:szCs w:val="24"/>
          <w:highlight w:val="none"/>
          <w:u w:val="single"/>
        </w:rPr>
        <w:t>注：定标文件的递交时间和形式由投标人按照投标须知前附表第18项所规定的时间及本须知第18条的相关要求执行。</w:t>
      </w:r>
    </w:p>
    <w:p w14:paraId="25B03DCF">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12．投标文件格式</w:t>
      </w:r>
    </w:p>
    <w:p w14:paraId="5B4A90F0">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12.1 投标文件包括本须知第11条中规定的内容，投标人提交的投标文件应当使用招标文件所提供的投标文件全部格式（表格可以按同样格式扩展）。</w:t>
      </w:r>
    </w:p>
    <w:p w14:paraId="42CFA8C1">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0"/>
          <w:highlight w:val="none"/>
        </w:rPr>
        <w:t xml:space="preserve">12.2 </w:t>
      </w:r>
      <w:r>
        <w:rPr>
          <w:rFonts w:hint="eastAsia" w:ascii="宋体" w:hAnsi="宋体" w:cs="宋体"/>
          <w:color w:val="auto"/>
          <w:sz w:val="24"/>
          <w:highlight w:val="none"/>
        </w:rPr>
        <w:t>投标文件全部采用电子文档，投标文件所附证书证件均为原件扫描件，并采用单位数字证书，</w:t>
      </w:r>
      <w:r>
        <w:rPr>
          <w:rFonts w:hint="eastAsia" w:ascii="宋体" w:hAnsi="宋体" w:cs="宋体"/>
          <w:b/>
          <w:bCs/>
          <w:color w:val="auto"/>
          <w:sz w:val="24"/>
          <w:highlight w:val="none"/>
          <w:u w:val="single"/>
        </w:rPr>
        <w:t>对投标文件</w:t>
      </w:r>
      <w:r>
        <w:rPr>
          <w:rFonts w:hint="eastAsia" w:ascii="宋体" w:hAnsi="宋体" w:cs="宋体"/>
          <w:color w:val="auto"/>
          <w:sz w:val="24"/>
          <w:highlight w:val="none"/>
        </w:rPr>
        <w:t>加盖电子印章。投标文件中需个人签字或盖章的，应加盖个人电子印章或在线下完成后扫描上传。按照</w:t>
      </w:r>
      <w:r>
        <w:rPr>
          <w:rFonts w:hint="eastAsia" w:ascii="宋体" w:hAnsi="宋体" w:cs="宋体"/>
          <w:color w:val="auto"/>
          <w:kern w:val="0"/>
          <w:sz w:val="24"/>
          <w:szCs w:val="20"/>
          <w:highlight w:val="none"/>
          <w:u w:val="single"/>
        </w:rPr>
        <w:t>广州交易集团有限公司（广州公共资源交易中心）</w:t>
      </w:r>
      <w:r>
        <w:rPr>
          <w:rFonts w:hint="eastAsia" w:ascii="宋体" w:hAnsi="宋体" w:cs="宋体"/>
          <w:color w:val="auto"/>
          <w:sz w:val="24"/>
          <w:highlight w:val="none"/>
        </w:rPr>
        <w:t>交易平台关于全流程电子化项目的相关指南进行操作。详见：</w:t>
      </w:r>
      <w:r>
        <w:rPr>
          <w:rFonts w:hint="eastAsia" w:ascii="宋体" w:hAnsi="宋体" w:cs="宋体"/>
          <w:color w:val="auto"/>
          <w:kern w:val="0"/>
          <w:sz w:val="24"/>
          <w:szCs w:val="20"/>
          <w:highlight w:val="none"/>
          <w:u w:val="single"/>
        </w:rPr>
        <w:t>广州交易集团有限公司（广州公共资源交易中心）网站最新指引</w:t>
      </w:r>
      <w:r>
        <w:rPr>
          <w:rFonts w:hint="eastAsia" w:ascii="宋体" w:hAnsi="宋体" w:cs="宋体"/>
          <w:color w:val="auto"/>
          <w:kern w:val="0"/>
          <w:sz w:val="24"/>
          <w:szCs w:val="24"/>
          <w:highlight w:val="none"/>
        </w:rPr>
        <w:t>。</w:t>
      </w:r>
    </w:p>
    <w:p w14:paraId="6E4BCDC0">
      <w:pPr>
        <w:spacing w:line="360" w:lineRule="auto"/>
        <w:ind w:firstLine="480" w:firstLineChars="200"/>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u w:val="single"/>
        </w:rPr>
        <w:t>注释：投标文件电子文档需要投标人单位盖章的材料，投标人加盖电子印章即可，不得将投标人未对电子文档加盖实物印章作为否决投标的情形。</w:t>
      </w:r>
    </w:p>
    <w:p w14:paraId="4258BE2D">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12.3 </w:t>
      </w:r>
      <w:r>
        <w:rPr>
          <w:rFonts w:hint="eastAsia" w:ascii="宋体" w:hAnsi="宋体" w:cs="宋体"/>
          <w:bCs/>
          <w:color w:val="auto"/>
          <w:kern w:val="0"/>
          <w:sz w:val="24"/>
          <w:szCs w:val="24"/>
          <w:highlight w:val="none"/>
        </w:rPr>
        <w:t>投标文件应按</w:t>
      </w:r>
      <w:r>
        <w:rPr>
          <w:rFonts w:hint="eastAsia" w:ascii="宋体" w:hAnsi="宋体" w:cs="宋体"/>
          <w:color w:val="auto"/>
          <w:kern w:val="0"/>
          <w:sz w:val="24"/>
          <w:szCs w:val="20"/>
          <w:highlight w:val="none"/>
        </w:rPr>
        <w:t>照</w:t>
      </w:r>
      <w:r>
        <w:rPr>
          <w:rFonts w:hint="eastAsia" w:ascii="宋体" w:hAnsi="宋体" w:cs="宋体"/>
          <w:color w:val="auto"/>
          <w:kern w:val="0"/>
          <w:sz w:val="24"/>
          <w:szCs w:val="20"/>
          <w:highlight w:val="none"/>
          <w:u w:val="single"/>
        </w:rPr>
        <w:t>广州交易集团有限公司（广州公共资源交易中心）</w:t>
      </w:r>
      <w:r>
        <w:rPr>
          <w:rFonts w:hint="eastAsia" w:ascii="宋体" w:hAnsi="宋体" w:cs="宋体"/>
          <w:color w:val="auto"/>
          <w:kern w:val="0"/>
          <w:sz w:val="24"/>
          <w:szCs w:val="20"/>
          <w:highlight w:val="none"/>
        </w:rPr>
        <w:t>交易平台关于全流程电子化项目的相关指南进行编制，详见：</w:t>
      </w:r>
      <w:r>
        <w:rPr>
          <w:rFonts w:hint="eastAsia" w:ascii="宋体" w:hAnsi="宋体" w:cs="宋体"/>
          <w:color w:val="auto"/>
          <w:kern w:val="0"/>
          <w:sz w:val="24"/>
          <w:szCs w:val="20"/>
          <w:highlight w:val="none"/>
          <w:u w:val="single"/>
        </w:rPr>
        <w:t>广州交易集团有限公司（广州公共资源交易中心）网站最新指引</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如不按上述要求编制引起系统无法检索、读取相关信息的，其后果由投标人承担。</w:t>
      </w:r>
      <w:r>
        <w:rPr>
          <w:rFonts w:hint="eastAsia" w:ascii="宋体" w:hAnsi="宋体" w:cs="宋体"/>
          <w:color w:val="auto"/>
          <w:kern w:val="0"/>
          <w:sz w:val="24"/>
          <w:szCs w:val="20"/>
          <w:highlight w:val="none"/>
        </w:rPr>
        <w:t xml:space="preserve">             </w:t>
      </w:r>
    </w:p>
    <w:p w14:paraId="0F12A33D">
      <w:pPr>
        <w:spacing w:line="360" w:lineRule="auto"/>
        <w:rPr>
          <w:rFonts w:hint="eastAsia" w:ascii="宋体" w:hAnsi="宋体" w:cs="宋体"/>
          <w:color w:val="auto"/>
          <w:kern w:val="0"/>
          <w:sz w:val="24"/>
          <w:szCs w:val="20"/>
          <w:highlight w:val="none"/>
        </w:rPr>
      </w:pPr>
      <w:r>
        <w:rPr>
          <w:rFonts w:hint="eastAsia" w:ascii="宋体" w:hAnsi="宋体" w:cs="宋体"/>
          <w:bCs/>
          <w:color w:val="auto"/>
          <w:kern w:val="0"/>
          <w:sz w:val="24"/>
          <w:szCs w:val="24"/>
          <w:highlight w:val="none"/>
        </w:rPr>
        <w:t>如不按上述要求编制引起系统无法检索、读取相关信息的，其后果由投标人承担。</w:t>
      </w:r>
    </w:p>
    <w:p w14:paraId="451C7EE5">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13．投标报价及造价承包和变更结算方式</w:t>
      </w:r>
    </w:p>
    <w:p w14:paraId="086D556A">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13.1 本工程的投标报价采用投标须知前附表第12项所规定的方式。</w:t>
      </w:r>
      <w:r>
        <w:rPr>
          <w:rFonts w:hint="eastAsia" w:ascii="宋体" w:hAnsi="宋体" w:cs="宋体"/>
          <w:color w:val="auto"/>
          <w:kern w:val="0"/>
          <w:sz w:val="24"/>
          <w:szCs w:val="20"/>
          <w:highlight w:val="none"/>
          <w:u w:val="single"/>
        </w:rPr>
        <w:t>投标文件中的大写金额和小写金额不一致的，以大写金额为准。</w:t>
      </w:r>
      <w:r>
        <w:rPr>
          <w:rFonts w:hint="eastAsia" w:ascii="宋体" w:hAnsi="宋体" w:cs="宋体"/>
          <w:color w:val="auto"/>
          <w:kern w:val="0"/>
          <w:sz w:val="24"/>
          <w:szCs w:val="20"/>
          <w:highlight w:val="none"/>
        </w:rPr>
        <w:t>投标报价（含单价及总价）精确到“分”。</w:t>
      </w:r>
    </w:p>
    <w:p w14:paraId="37A64CDD">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FA34CE1">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0"/>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kern w:val="0"/>
          <w:sz w:val="24"/>
          <w:szCs w:val="20"/>
          <w:highlight w:val="none"/>
          <w:u w:val="single"/>
          <w:lang w:bidi="ar"/>
        </w:rPr>
        <w:t>提供的招标图纸（包括有关于本项目招标的相关资料）及</w:t>
      </w:r>
      <w:r>
        <w:rPr>
          <w:rFonts w:hint="eastAsia" w:ascii="宋体" w:hAnsi="宋体" w:cs="宋体"/>
          <w:color w:val="auto"/>
          <w:kern w:val="0"/>
          <w:sz w:val="24"/>
          <w:szCs w:val="20"/>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kern w:val="0"/>
          <w:sz w:val="24"/>
          <w:szCs w:val="24"/>
          <w:highlight w:val="none"/>
        </w:rPr>
        <w:t>中有关规费、暂列金额、暂估价、</w:t>
      </w:r>
      <w:r>
        <w:rPr>
          <w:rFonts w:hint="eastAsia" w:ascii="宋体" w:hAnsi="宋体" w:cs="宋体"/>
          <w:color w:val="auto"/>
          <w:kern w:val="0"/>
          <w:sz w:val="24"/>
          <w:szCs w:val="24"/>
          <w:highlight w:val="none"/>
          <w:u w:val="single"/>
        </w:rPr>
        <w:t>安全生产措施费</w:t>
      </w:r>
      <w:r>
        <w:rPr>
          <w:rFonts w:hint="eastAsia" w:ascii="宋体" w:hAnsi="宋体" w:cs="宋体"/>
          <w:color w:val="auto"/>
          <w:kern w:val="0"/>
          <w:sz w:val="24"/>
          <w:szCs w:val="24"/>
          <w:highlight w:val="none"/>
        </w:rPr>
        <w:t>等非竞争性项目明列了单价或合价的金额的，投标人应按照明列的单价或合价的金额报价，未按照规定金额报价的，由评标委员会按照招标文件规定的金额进行修正。</w:t>
      </w:r>
    </w:p>
    <w:p w14:paraId="2DA7865A">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13.4投标人一旦中标，投标人对招标人提供的招标工程量清单中列出的工程项目所报出的综合单价，</w:t>
      </w:r>
      <w:r>
        <w:rPr>
          <w:rFonts w:hint="eastAsia" w:ascii="宋体" w:hAnsi="宋体" w:cs="宋体"/>
          <w:color w:val="auto"/>
          <w:kern w:val="0"/>
          <w:sz w:val="24"/>
          <w:szCs w:val="20"/>
          <w:highlight w:val="none"/>
          <w:u w:val="single"/>
        </w:rPr>
        <w:t>除招标文件第三章合同条款另有约定外，</w:t>
      </w:r>
      <w:r>
        <w:rPr>
          <w:rFonts w:hint="eastAsia" w:ascii="宋体" w:hAnsi="宋体" w:cs="宋体"/>
          <w:color w:val="auto"/>
          <w:kern w:val="0"/>
          <w:sz w:val="24"/>
          <w:szCs w:val="20"/>
          <w:highlight w:val="none"/>
        </w:rPr>
        <w:t>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kern w:val="0"/>
          <w:sz w:val="24"/>
          <w:szCs w:val="20"/>
          <w:highlight w:val="none"/>
          <w:u w:val="single"/>
        </w:rPr>
        <w:t>按招标文件第三章合同条款相关约定调整</w:t>
      </w:r>
      <w:r>
        <w:rPr>
          <w:rFonts w:hint="eastAsia" w:ascii="宋体" w:hAnsi="宋体" w:cs="宋体"/>
          <w:color w:val="auto"/>
          <w:kern w:val="0"/>
          <w:sz w:val="24"/>
          <w:szCs w:val="20"/>
          <w:highlight w:val="none"/>
        </w:rPr>
        <w:t>。</w:t>
      </w:r>
    </w:p>
    <w:p w14:paraId="73C49110">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13.5</w:t>
      </w:r>
      <w:r>
        <w:rPr>
          <w:rFonts w:hint="eastAsia" w:ascii="宋体" w:hAnsi="宋体" w:cs="宋体"/>
          <w:color w:val="auto"/>
          <w:kern w:val="0"/>
          <w:sz w:val="24"/>
          <w:szCs w:val="20"/>
          <w:highlight w:val="none"/>
          <w:u w:val="single"/>
        </w:rPr>
        <w:t>变更结算方式按招标文件第三章合同条款相关规定执行。</w:t>
      </w:r>
    </w:p>
    <w:p w14:paraId="5E8644E3">
      <w:pPr>
        <w:spacing w:line="360" w:lineRule="auto"/>
        <w:ind w:firstLine="480" w:firstLineChars="200"/>
        <w:rPr>
          <w:rFonts w:hint="eastAsia" w:ascii="宋体" w:hAnsi="宋体" w:cs="宋体"/>
          <w:color w:val="auto"/>
          <w:kern w:val="0"/>
          <w:sz w:val="24"/>
          <w:szCs w:val="20"/>
          <w:highlight w:val="none"/>
        </w:rPr>
      </w:pPr>
      <w:bookmarkStart w:id="65" w:name="OLE_LINK12"/>
      <w:bookmarkStart w:id="66" w:name="OLE_LINK11"/>
      <w:bookmarkStart w:id="67" w:name="OLE_LINK16"/>
      <w:bookmarkStart w:id="68" w:name="OLE_LINK15"/>
      <w:r>
        <w:rPr>
          <w:rFonts w:hint="eastAsia" w:ascii="宋体" w:hAnsi="宋体" w:cs="宋体"/>
          <w:color w:val="auto"/>
          <w:kern w:val="0"/>
          <w:sz w:val="24"/>
          <w:szCs w:val="20"/>
          <w:highlight w:val="none"/>
        </w:rPr>
        <w:t>13.6暂列金额、暂估价</w:t>
      </w:r>
    </w:p>
    <w:p w14:paraId="20D7A689">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7FB24FE">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暂估价是指招标人在工程量清单中提供的用于支付必然发生但暂时不能确定价格的材料的单价以及专业工程的金额。</w:t>
      </w:r>
    </w:p>
    <w:p w14:paraId="2B492C9A">
      <w:pPr>
        <w:spacing w:line="360" w:lineRule="auto"/>
        <w:ind w:firstLine="480" w:firstLineChars="200"/>
        <w:rPr>
          <w:rFonts w:hint="eastAsia" w:ascii="宋体" w:hAnsi="宋体" w:cs="宋体"/>
          <w:color w:val="auto"/>
          <w:kern w:val="0"/>
          <w:sz w:val="24"/>
          <w:szCs w:val="20"/>
          <w:highlight w:val="none"/>
        </w:rPr>
      </w:pPr>
      <w:bookmarkStart w:id="69" w:name="OLE_LINK7"/>
      <w:bookmarkStart w:id="70" w:name="OLE_LINK8"/>
      <w:r>
        <w:rPr>
          <w:rFonts w:hint="eastAsia" w:ascii="宋体" w:hAnsi="宋体" w:cs="宋体"/>
          <w:color w:val="auto"/>
          <w:kern w:val="0"/>
          <w:sz w:val="24"/>
          <w:szCs w:val="20"/>
          <w:highlight w:val="none"/>
        </w:rPr>
        <w:t>13.6.2</w:t>
      </w:r>
      <w:bookmarkEnd w:id="69"/>
      <w:bookmarkEnd w:id="70"/>
      <w:r>
        <w:rPr>
          <w:rFonts w:hint="eastAsia" w:ascii="宋体" w:hAnsi="宋体" w:cs="宋体"/>
          <w:color w:val="auto"/>
          <w:kern w:val="0"/>
          <w:sz w:val="24"/>
          <w:szCs w:val="20"/>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0FB2CFD6">
      <w:pPr>
        <w:spacing w:line="360" w:lineRule="auto"/>
        <w:ind w:firstLine="480" w:firstLineChars="200"/>
        <w:rPr>
          <w:rFonts w:hint="eastAsia" w:ascii="宋体" w:hAnsi="宋体" w:cs="宋体"/>
          <w:color w:val="auto"/>
          <w:kern w:val="0"/>
          <w:sz w:val="24"/>
          <w:szCs w:val="20"/>
          <w:highlight w:val="none"/>
        </w:rPr>
      </w:pPr>
      <w:bookmarkStart w:id="71" w:name="OLE_LINK5"/>
      <w:bookmarkStart w:id="72" w:name="OLE_LINK4"/>
      <w:bookmarkStart w:id="73" w:name="OLE_LINK6"/>
      <w:r>
        <w:rPr>
          <w:rFonts w:hint="eastAsia" w:ascii="宋体" w:hAnsi="宋体" w:cs="宋体"/>
          <w:color w:val="auto"/>
          <w:kern w:val="0"/>
          <w:sz w:val="24"/>
          <w:szCs w:val="20"/>
          <w:highlight w:val="none"/>
        </w:rPr>
        <w:t>13.6.3</w:t>
      </w:r>
      <w:bookmarkEnd w:id="71"/>
      <w:bookmarkEnd w:id="72"/>
      <w:bookmarkEnd w:id="73"/>
      <w:r>
        <w:rPr>
          <w:rFonts w:hint="eastAsia" w:ascii="宋体" w:hAnsi="宋体" w:cs="宋体"/>
          <w:color w:val="auto"/>
          <w:kern w:val="0"/>
          <w:sz w:val="24"/>
          <w:szCs w:val="20"/>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B77141A">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bookmarkStart w:id="74" w:name="OLE_LINK10"/>
      <w:bookmarkStart w:id="75" w:name="OLE_LINK9"/>
      <w:r>
        <w:rPr>
          <w:rFonts w:hint="eastAsia" w:ascii="宋体" w:hAnsi="宋体" w:cs="宋体"/>
          <w:color w:val="auto"/>
          <w:kern w:val="0"/>
          <w:sz w:val="24"/>
          <w:szCs w:val="20"/>
          <w:highlight w:val="none"/>
        </w:rPr>
        <w:t>13.5</w:t>
      </w:r>
      <w:bookmarkEnd w:id="74"/>
      <w:bookmarkEnd w:id="75"/>
      <w:r>
        <w:rPr>
          <w:rFonts w:hint="eastAsia" w:ascii="宋体" w:hAnsi="宋体" w:cs="宋体"/>
          <w:color w:val="auto"/>
          <w:kern w:val="0"/>
          <w:sz w:val="24"/>
          <w:szCs w:val="20"/>
          <w:highlight w:val="none"/>
        </w:rPr>
        <w:t>款规定确定。</w:t>
      </w:r>
    </w:p>
    <w:p w14:paraId="6A9C49D3">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5CBDAC1E">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bookmarkEnd w:id="65"/>
    <w:bookmarkEnd w:id="66"/>
    <w:p w14:paraId="67D0C2B5">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4199C86C">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BC512C7">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0"/>
          <w:highlight w:val="none"/>
        </w:rPr>
        <w:t>13.9</w:t>
      </w:r>
      <w:r>
        <w:rPr>
          <w:rFonts w:hint="eastAsia" w:ascii="宋体" w:hAnsi="宋体" w:cs="宋体"/>
          <w:color w:val="auto"/>
          <w:kern w:val="0"/>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bookmarkEnd w:id="67"/>
    <w:bookmarkEnd w:id="68"/>
    <w:p w14:paraId="36326152">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14．投标货币</w:t>
      </w:r>
    </w:p>
    <w:p w14:paraId="6383575B">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14.1 本工程投标报价采用的币种为人民币。</w:t>
      </w:r>
    </w:p>
    <w:p w14:paraId="68CA1543">
      <w:pPr>
        <w:spacing w:line="360" w:lineRule="auto"/>
        <w:ind w:firstLine="482" w:firstLineChars="200"/>
        <w:rPr>
          <w:rFonts w:hint="eastAsia" w:ascii="宋体" w:hAnsi="宋体" w:cs="宋体"/>
          <w:color w:val="auto"/>
          <w:kern w:val="0"/>
          <w:sz w:val="24"/>
          <w:szCs w:val="20"/>
          <w:highlight w:val="none"/>
        </w:rPr>
      </w:pPr>
      <w:r>
        <w:rPr>
          <w:rFonts w:hint="eastAsia" w:ascii="宋体" w:hAnsi="宋体" w:cs="宋体"/>
          <w:b/>
          <w:bCs/>
          <w:color w:val="auto"/>
          <w:kern w:val="0"/>
          <w:sz w:val="24"/>
          <w:szCs w:val="20"/>
          <w:highlight w:val="none"/>
        </w:rPr>
        <w:t>15．投标有效期</w:t>
      </w:r>
    </w:p>
    <w:p w14:paraId="4C5B6C6E">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15.1 投标有效期见投标须知前附表第13项所规定的期限，在此期限内，凡符合本招标文件要求的投标文件均保持有效。</w:t>
      </w:r>
    </w:p>
    <w:p w14:paraId="0AB74B02">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15.2 </w:t>
      </w:r>
      <w:r>
        <w:rPr>
          <w:rFonts w:hint="eastAsia" w:ascii="宋体" w:hAnsi="宋体" w:cs="宋体"/>
          <w:color w:val="auto"/>
          <w:kern w:val="0"/>
          <w:sz w:val="24"/>
          <w:szCs w:val="20"/>
          <w:highlight w:val="none"/>
          <w:u w:val="singl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有效期内。</w:t>
      </w:r>
    </w:p>
    <w:p w14:paraId="0DEA620B">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16．投标保证金</w:t>
      </w:r>
    </w:p>
    <w:p w14:paraId="3E5EB0C2">
      <w:pPr>
        <w:spacing w:line="360" w:lineRule="auto"/>
        <w:ind w:firstLine="480" w:firstLineChars="200"/>
        <w:rPr>
          <w:rFonts w:hint="eastAsia" w:ascii="宋体" w:hAnsi="宋体" w:cs="宋体"/>
          <w:b/>
          <w:bCs/>
          <w:color w:val="auto"/>
          <w:kern w:val="0"/>
          <w:sz w:val="24"/>
          <w:szCs w:val="20"/>
          <w:highlight w:val="none"/>
        </w:rPr>
      </w:pPr>
      <w:r>
        <w:rPr>
          <w:rFonts w:hint="eastAsia" w:ascii="宋体" w:hAnsi="宋体" w:cs="宋体"/>
          <w:color w:val="auto"/>
          <w:kern w:val="0"/>
          <w:sz w:val="24"/>
          <w:szCs w:val="20"/>
          <w:highlight w:val="none"/>
          <w:u w:val="single"/>
          <w:lang w:bidi="ar"/>
        </w:rPr>
        <w:t>本项目不收取投标保证金。</w:t>
      </w:r>
    </w:p>
    <w:p w14:paraId="39EA9CB7">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17．投标文件的签署</w:t>
      </w:r>
    </w:p>
    <w:p w14:paraId="1D31E4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w:t>
      </w:r>
      <w:r>
        <w:rPr>
          <w:rFonts w:hint="eastAsia" w:ascii="宋体" w:hAnsi="宋体" w:cs="宋体"/>
          <w:color w:val="auto"/>
          <w:sz w:val="24"/>
          <w:szCs w:val="24"/>
          <w:highlight w:val="none"/>
        </w:rPr>
        <w:t>投标人应采用单位数字证书，</w:t>
      </w:r>
      <w:r>
        <w:rPr>
          <w:rFonts w:hint="eastAsia" w:ascii="宋体" w:hAnsi="宋体" w:cs="宋体"/>
          <w:b/>
          <w:bCs/>
          <w:color w:val="auto"/>
          <w:sz w:val="24"/>
          <w:szCs w:val="24"/>
          <w:highlight w:val="none"/>
          <w:u w:val="single"/>
        </w:rPr>
        <w:t>对投标文件</w:t>
      </w:r>
      <w:r>
        <w:rPr>
          <w:rFonts w:hint="eastAsia" w:ascii="宋体" w:hAnsi="宋体" w:cs="宋体"/>
          <w:color w:val="auto"/>
          <w:sz w:val="24"/>
          <w:szCs w:val="24"/>
          <w:highlight w:val="none"/>
        </w:rPr>
        <w:t>加盖电子印章。投标文件中需个人签字或盖章的，应加盖个人电子印章或在线下完成后扫描上传。按照</w:t>
      </w:r>
      <w:r>
        <w:rPr>
          <w:rFonts w:hint="eastAsia" w:ascii="宋体" w:hAnsi="宋体" w:cs="宋体"/>
          <w:color w:val="auto"/>
          <w:kern w:val="0"/>
          <w:sz w:val="24"/>
          <w:szCs w:val="20"/>
          <w:highlight w:val="none"/>
          <w:u w:val="single"/>
          <w:lang w:bidi="ar"/>
        </w:rPr>
        <w:t>广州交易集团有限公司（广州公共资源交易中心）</w:t>
      </w:r>
      <w:r>
        <w:rPr>
          <w:rFonts w:hint="eastAsia" w:ascii="宋体" w:hAnsi="宋体" w:cs="宋体"/>
          <w:color w:val="auto"/>
          <w:sz w:val="24"/>
          <w:szCs w:val="24"/>
          <w:highlight w:val="none"/>
        </w:rPr>
        <w:t>交易平台关于全流程电子化项目的相关指南进行操作。详见：</w:t>
      </w:r>
      <w:r>
        <w:rPr>
          <w:rFonts w:hint="eastAsia" w:ascii="宋体" w:hAnsi="宋体" w:cs="宋体"/>
          <w:color w:val="auto"/>
          <w:kern w:val="0"/>
          <w:sz w:val="24"/>
          <w:szCs w:val="20"/>
          <w:highlight w:val="none"/>
          <w:u w:val="single"/>
          <w:lang w:bidi="ar"/>
        </w:rPr>
        <w:t>广州交易集团有限公司（广州公共资源交易中心）网站最新指引</w:t>
      </w:r>
      <w:r>
        <w:rPr>
          <w:rFonts w:hint="eastAsia" w:ascii="宋体" w:hAnsi="宋体" w:cs="宋体"/>
          <w:color w:val="auto"/>
          <w:sz w:val="24"/>
          <w:szCs w:val="24"/>
          <w:highlight w:val="none"/>
        </w:rPr>
        <w:t>。</w:t>
      </w:r>
    </w:p>
    <w:p w14:paraId="4D94ACAC">
      <w:pPr>
        <w:widowControl/>
        <w:spacing w:before="100" w:beforeAutospacing="1" w:after="100" w:afterAutospacing="1"/>
        <w:jc w:val="left"/>
        <w:outlineLvl w:val="2"/>
        <w:rPr>
          <w:rFonts w:hint="eastAsia" w:ascii="宋体" w:hAnsi="宋体" w:cs="宋体"/>
          <w:b/>
          <w:color w:val="auto"/>
          <w:kern w:val="0"/>
          <w:sz w:val="24"/>
          <w:szCs w:val="24"/>
          <w:highlight w:val="none"/>
        </w:rPr>
      </w:pPr>
      <w:bookmarkStart w:id="76" w:name="_Toc2272552"/>
      <w:bookmarkStart w:id="77" w:name="_Toc97576578"/>
      <w:r>
        <w:rPr>
          <w:rFonts w:hint="eastAsia" w:ascii="宋体" w:hAnsi="宋体" w:cs="宋体"/>
          <w:b/>
          <w:color w:val="auto"/>
          <w:kern w:val="0"/>
          <w:sz w:val="24"/>
          <w:szCs w:val="24"/>
          <w:highlight w:val="none"/>
        </w:rPr>
        <w:t>（四）投标文件的提交</w:t>
      </w:r>
      <w:bookmarkEnd w:id="76"/>
      <w:bookmarkEnd w:id="77"/>
    </w:p>
    <w:p w14:paraId="1A2E8848">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18．</w:t>
      </w:r>
      <w:r>
        <w:rPr>
          <w:rFonts w:hint="eastAsia" w:ascii="宋体" w:hAnsi="宋体" w:cs="宋体"/>
          <w:b/>
          <w:color w:val="auto"/>
          <w:kern w:val="0"/>
          <w:sz w:val="24"/>
          <w:szCs w:val="24"/>
          <w:highlight w:val="none"/>
        </w:rPr>
        <w:t>投标文件</w:t>
      </w:r>
      <w:r>
        <w:rPr>
          <w:rFonts w:hint="eastAsia" w:ascii="宋体" w:hAnsi="宋体" w:cs="宋体"/>
          <w:b/>
          <w:color w:val="auto"/>
          <w:kern w:val="0"/>
          <w:sz w:val="24"/>
          <w:szCs w:val="24"/>
          <w:highlight w:val="none"/>
          <w:u w:val="single"/>
        </w:rPr>
        <w:t>（含定标文件）</w:t>
      </w:r>
      <w:r>
        <w:rPr>
          <w:rFonts w:hint="eastAsia" w:ascii="宋体" w:hAnsi="宋体" w:cs="宋体"/>
          <w:b/>
          <w:color w:val="auto"/>
          <w:kern w:val="0"/>
          <w:sz w:val="24"/>
          <w:szCs w:val="24"/>
          <w:highlight w:val="none"/>
        </w:rPr>
        <w:t>的密封和标记</w:t>
      </w:r>
    </w:p>
    <w:p w14:paraId="68DE492D">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18.1递交的电子投标文件（</w:t>
      </w:r>
      <w:r>
        <w:rPr>
          <w:rFonts w:hint="eastAsia" w:ascii="宋体" w:hAnsi="宋体" w:cs="宋体"/>
          <w:bCs/>
          <w:color w:val="auto"/>
          <w:sz w:val="24"/>
          <w:szCs w:val="24"/>
          <w:highlight w:val="none"/>
          <w:u w:val="single"/>
        </w:rPr>
        <w:t>含定标文件，</w:t>
      </w:r>
      <w:r>
        <w:rPr>
          <w:rFonts w:hint="eastAsia" w:ascii="宋体" w:hAnsi="宋体" w:cs="宋体"/>
          <w:bCs/>
          <w:color w:val="auto"/>
          <w:sz w:val="24"/>
          <w:szCs w:val="24"/>
          <w:highlight w:val="none"/>
        </w:rPr>
        <w:t>不含备用光盘）必须进行加密。按照</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bCs/>
          <w:color w:val="auto"/>
          <w:sz w:val="24"/>
          <w:szCs w:val="24"/>
          <w:highlight w:val="none"/>
        </w:rPr>
        <w:t>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szCs w:val="24"/>
          <w:highlight w:val="none"/>
          <w:u w:val="single"/>
        </w:rPr>
        <w:t>广州交易集团有限公司（广州公共资源交易中心）网站最新指引</w:t>
      </w:r>
      <w:r>
        <w:rPr>
          <w:rFonts w:hint="eastAsia" w:ascii="宋体" w:hAnsi="宋体" w:cs="宋体"/>
          <w:color w:val="auto"/>
          <w:sz w:val="24"/>
          <w:szCs w:val="24"/>
          <w:highlight w:val="none"/>
        </w:rPr>
        <w:t>。</w:t>
      </w:r>
    </w:p>
    <w:p w14:paraId="1E82C3B4">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18.2 未按要求加密的投标文件</w:t>
      </w:r>
      <w:r>
        <w:rPr>
          <w:rFonts w:hint="eastAsia" w:ascii="宋体" w:hAnsi="宋体" w:cs="宋体"/>
          <w:bCs/>
          <w:color w:val="auto"/>
          <w:sz w:val="24"/>
          <w:szCs w:val="24"/>
          <w:highlight w:val="none"/>
          <w:u w:val="single"/>
        </w:rPr>
        <w:t>（含定标文件）</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bCs/>
          <w:color w:val="auto"/>
          <w:sz w:val="24"/>
          <w:szCs w:val="24"/>
          <w:highlight w:val="none"/>
        </w:rPr>
        <w:t>将予以拒收。</w:t>
      </w:r>
    </w:p>
    <w:p w14:paraId="0D595BD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19．投标文件</w:t>
      </w:r>
      <w:r>
        <w:rPr>
          <w:rFonts w:hint="eastAsia" w:ascii="宋体" w:hAnsi="宋体" w:cs="宋体"/>
          <w:b/>
          <w:bCs/>
          <w:color w:val="auto"/>
          <w:sz w:val="24"/>
          <w:szCs w:val="24"/>
          <w:highlight w:val="none"/>
          <w:u w:val="single"/>
        </w:rPr>
        <w:t>（含定标文件）</w:t>
      </w:r>
      <w:r>
        <w:rPr>
          <w:rFonts w:hint="eastAsia" w:ascii="宋体" w:hAnsi="宋体" w:cs="宋体"/>
          <w:b/>
          <w:bCs/>
          <w:color w:val="auto"/>
          <w:sz w:val="24"/>
          <w:szCs w:val="24"/>
          <w:highlight w:val="none"/>
        </w:rPr>
        <w:t>的递交和接收</w:t>
      </w:r>
    </w:p>
    <w:p w14:paraId="42A7E146">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19.1投标人通过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交易平台递交电子投标文件</w:t>
      </w:r>
      <w:r>
        <w:rPr>
          <w:rFonts w:hint="eastAsia" w:ascii="宋体" w:hAnsi="宋体" w:cs="宋体"/>
          <w:color w:val="auto"/>
          <w:sz w:val="24"/>
          <w:szCs w:val="24"/>
          <w:highlight w:val="none"/>
          <w:u w:val="single"/>
        </w:rPr>
        <w:t>（含定标文件）</w:t>
      </w:r>
      <w:r>
        <w:rPr>
          <w:rFonts w:hint="eastAsia" w:ascii="宋体" w:hAnsi="宋体" w:cs="宋体"/>
          <w:color w:val="auto"/>
          <w:sz w:val="24"/>
          <w:szCs w:val="24"/>
          <w:highlight w:val="none"/>
        </w:rPr>
        <w:t>。</w:t>
      </w:r>
    </w:p>
    <w:p w14:paraId="551FB36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19.2投标人完成电子</w:t>
      </w:r>
      <w:r>
        <w:rPr>
          <w:rFonts w:hint="eastAsia" w:ascii="宋体" w:hAnsi="宋体" w:cs="宋体"/>
          <w:color w:val="auto"/>
          <w:sz w:val="24"/>
          <w:szCs w:val="24"/>
          <w:highlight w:val="none"/>
        </w:rPr>
        <w:t>投标文件</w:t>
      </w:r>
      <w:r>
        <w:rPr>
          <w:rFonts w:hint="eastAsia" w:ascii="宋体" w:hAnsi="宋体" w:cs="宋体"/>
          <w:color w:val="auto"/>
          <w:sz w:val="24"/>
          <w:szCs w:val="24"/>
          <w:highlight w:val="none"/>
          <w:u w:val="single"/>
        </w:rPr>
        <w:t>（含定标文件）</w:t>
      </w:r>
      <w:r>
        <w:rPr>
          <w:rFonts w:hint="eastAsia" w:ascii="宋体" w:hAnsi="宋体" w:cs="宋体"/>
          <w:bCs/>
          <w:color w:val="auto"/>
          <w:sz w:val="24"/>
          <w:szCs w:val="24"/>
          <w:highlight w:val="none"/>
        </w:rPr>
        <w:t>上传后，</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交易平台即时向投标人发出递交回执通知。递交时间以递交回执通知载明的传输完成时间为准。</w:t>
      </w:r>
    </w:p>
    <w:p w14:paraId="17118701">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19.3逾期送达的电子投标文件</w:t>
      </w:r>
      <w:r>
        <w:rPr>
          <w:rFonts w:hint="eastAsia" w:ascii="宋体" w:hAnsi="宋体" w:cs="宋体"/>
          <w:color w:val="auto"/>
          <w:sz w:val="24"/>
          <w:szCs w:val="24"/>
          <w:highlight w:val="none"/>
          <w:u w:val="single"/>
        </w:rPr>
        <w:t>（含定标文件）</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广州交易集团有限公司（广州公共资源交易中心） </w:t>
      </w:r>
      <w:r>
        <w:rPr>
          <w:rFonts w:hint="eastAsia" w:ascii="宋体" w:hAnsi="宋体" w:cs="宋体"/>
          <w:color w:val="auto"/>
          <w:sz w:val="24"/>
          <w:szCs w:val="24"/>
          <w:highlight w:val="none"/>
        </w:rPr>
        <w:t>交易平台将予以拒收。</w:t>
      </w:r>
    </w:p>
    <w:p w14:paraId="078259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19.4 投标截止前，招标人拒绝接收符合条件的投标文件</w:t>
      </w:r>
      <w:r>
        <w:rPr>
          <w:rFonts w:hint="eastAsia" w:ascii="宋体" w:hAnsi="宋体" w:cs="宋体"/>
          <w:color w:val="auto"/>
          <w:sz w:val="24"/>
          <w:szCs w:val="24"/>
          <w:highlight w:val="none"/>
          <w:u w:val="single"/>
        </w:rPr>
        <w:t>（含定标文件）</w:t>
      </w:r>
      <w:r>
        <w:rPr>
          <w:rFonts w:hint="eastAsia" w:ascii="宋体" w:hAnsi="宋体" w:cs="宋体"/>
          <w:color w:val="auto"/>
          <w:sz w:val="24"/>
          <w:szCs w:val="24"/>
          <w:highlight w:val="none"/>
        </w:rPr>
        <w:t>，投标人可向招标投标监督机构投诉。</w:t>
      </w:r>
    </w:p>
    <w:p w14:paraId="6E2A0D42">
      <w:pPr>
        <w:spacing w:line="360" w:lineRule="auto"/>
        <w:ind w:firstLine="480" w:firstLineChars="200"/>
        <w:rPr>
          <w:rFonts w:hint="eastAsia" w:ascii="宋体" w:hAnsi="宋体" w:cs="宋体"/>
          <w:color w:val="auto"/>
          <w:kern w:val="0"/>
          <w:sz w:val="24"/>
          <w:szCs w:val="24"/>
          <w:highlight w:val="none"/>
          <w:u w:val="single"/>
          <w:lang w:bidi="ar"/>
        </w:rPr>
      </w:pPr>
      <w:r>
        <w:rPr>
          <w:rFonts w:hint="eastAsia" w:ascii="宋体" w:hAnsi="宋体" w:cs="宋体"/>
          <w:color w:val="auto"/>
          <w:sz w:val="24"/>
          <w:szCs w:val="24"/>
          <w:highlight w:val="none"/>
        </w:rPr>
        <w:t>19.5</w:t>
      </w:r>
      <w:r>
        <w:rPr>
          <w:rFonts w:hint="eastAsia" w:ascii="宋体" w:hAnsi="宋体" w:cs="宋体"/>
          <w:color w:val="auto"/>
          <w:sz w:val="24"/>
          <w:szCs w:val="24"/>
          <w:highlight w:val="none"/>
          <w:u w:val="single"/>
        </w:rPr>
        <w:t>技术标（含资格审查文件）和经济标和定标文件同时开启，广州交易集团有限公司（广州公共资源交易中心）交易平台将按招标文件规定的时间同时开启技术标（含资格审查文件）、经济标和定标文件</w:t>
      </w:r>
      <w:r>
        <w:rPr>
          <w:rFonts w:hint="eastAsia" w:ascii="宋体" w:hAnsi="宋体" w:cs="宋体"/>
          <w:bCs/>
          <w:color w:val="auto"/>
          <w:sz w:val="24"/>
          <w:szCs w:val="24"/>
          <w:highlight w:val="none"/>
        </w:rPr>
        <w:t>。</w:t>
      </w:r>
    </w:p>
    <w:p w14:paraId="779C3AA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20．投标文件提交的截止时间</w:t>
      </w:r>
    </w:p>
    <w:p w14:paraId="19A590BA">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20.1投标人应在投标须知前附表第17项所述的时间前提交投标文件。</w:t>
      </w:r>
    </w:p>
    <w:p w14:paraId="21A963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55291B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 到投标截止时间止，招标人收到的投标文件少于3家的，招标人将重新组织招标</w:t>
      </w:r>
      <w:r>
        <w:rPr>
          <w:rFonts w:hint="eastAsia" w:ascii="宋体" w:hAnsi="宋体" w:cs="宋体"/>
          <w:strike/>
          <w:color w:val="auto"/>
          <w:sz w:val="24"/>
          <w:szCs w:val="24"/>
          <w:highlight w:val="none"/>
        </w:rPr>
        <w:t>（当N个标段同时招标且不允许兼中时，若有效投标人不足N+2家，则重新组织招标）</w:t>
      </w:r>
      <w:r>
        <w:rPr>
          <w:rFonts w:hint="eastAsia" w:ascii="宋体" w:hAnsi="宋体" w:cs="宋体"/>
          <w:color w:val="auto"/>
          <w:sz w:val="24"/>
          <w:highlight w:val="none"/>
        </w:rPr>
        <w:t>。</w:t>
      </w:r>
    </w:p>
    <w:p w14:paraId="00865C0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21．迟交的投标文件</w:t>
      </w:r>
    </w:p>
    <w:p w14:paraId="6482BA1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kern w:val="0"/>
          <w:sz w:val="24"/>
          <w:szCs w:val="20"/>
          <w:highlight w:val="none"/>
          <w:u w:val="single"/>
          <w:lang w:bidi="ar"/>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14:paraId="4C51515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22．投标文件的修改与撤回</w:t>
      </w:r>
    </w:p>
    <w:p w14:paraId="17CF51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22.1在规定的投标截止时间前，投标人可以修改或撤回已递交的投标文件，但应以书面形式通知招标人。</w:t>
      </w:r>
    </w:p>
    <w:p w14:paraId="20BE76C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14:paraId="5A0544F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14:paraId="191C12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 在投标截止时间之后，投标人不得补充、修改和更换投标文件。</w:t>
      </w:r>
    </w:p>
    <w:p w14:paraId="491A77CE">
      <w:pPr>
        <w:widowControl/>
        <w:spacing w:before="100" w:beforeAutospacing="1" w:after="100" w:afterAutospacing="1"/>
        <w:jc w:val="left"/>
        <w:outlineLvl w:val="2"/>
        <w:rPr>
          <w:rFonts w:hint="eastAsia" w:ascii="宋体" w:hAnsi="宋体" w:cs="宋体"/>
          <w:b/>
          <w:bCs/>
          <w:color w:val="auto"/>
          <w:sz w:val="24"/>
          <w:highlight w:val="none"/>
        </w:rPr>
      </w:pPr>
      <w:bookmarkStart w:id="78" w:name="_Toc2272553"/>
      <w:bookmarkStart w:id="79" w:name="_Toc97576579"/>
      <w:r>
        <w:rPr>
          <w:rFonts w:hint="eastAsia" w:ascii="宋体" w:hAnsi="宋体" w:cs="宋体"/>
          <w:b/>
          <w:bCs/>
          <w:color w:val="auto"/>
          <w:sz w:val="24"/>
          <w:highlight w:val="none"/>
        </w:rPr>
        <w:t>（五）开标、评标、定标及合同签</w:t>
      </w:r>
      <w:bookmarkEnd w:id="78"/>
      <w:bookmarkEnd w:id="79"/>
      <w:r>
        <w:rPr>
          <w:rFonts w:hint="eastAsia" w:ascii="宋体" w:hAnsi="宋体" w:cs="宋体"/>
          <w:b/>
          <w:bCs/>
          <w:color w:val="auto"/>
          <w:sz w:val="24"/>
          <w:highlight w:val="none"/>
        </w:rPr>
        <w:t>订</w:t>
      </w:r>
    </w:p>
    <w:p w14:paraId="2684FEE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23、开标。</w:t>
      </w:r>
    </w:p>
    <w:p w14:paraId="7CF5BA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详见第二章开标、评标及定标办法</w:t>
      </w:r>
    </w:p>
    <w:p w14:paraId="7F3DA97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24．评标过程的保密</w:t>
      </w:r>
    </w:p>
    <w:p w14:paraId="4E6CD5B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24.1开标后，直至</w:t>
      </w:r>
      <w:r>
        <w:rPr>
          <w:rFonts w:hint="eastAsia" w:ascii="宋体" w:hAnsi="宋体" w:cs="宋体"/>
          <w:color w:val="auto"/>
          <w:sz w:val="24"/>
          <w:szCs w:val="24"/>
          <w:highlight w:val="none"/>
          <w:u w:val="single"/>
        </w:rPr>
        <w:t>合格的中标候选人</w:t>
      </w:r>
      <w:r>
        <w:rPr>
          <w:rFonts w:hint="eastAsia" w:ascii="宋体" w:hAnsi="宋体" w:cs="宋体"/>
          <w:color w:val="auto"/>
          <w:sz w:val="24"/>
          <w:szCs w:val="24"/>
          <w:highlight w:val="none"/>
        </w:rPr>
        <w:t>公示为止，凡属于对投标文件的审查、澄清、评价和比较有关的资料以及</w:t>
      </w:r>
      <w:r>
        <w:rPr>
          <w:rFonts w:hint="eastAsia" w:ascii="宋体" w:hAnsi="宋体" w:cs="宋体"/>
          <w:color w:val="auto"/>
          <w:sz w:val="24"/>
          <w:szCs w:val="24"/>
          <w:highlight w:val="none"/>
          <w:u w:val="single"/>
        </w:rPr>
        <w:t>合格的</w:t>
      </w:r>
      <w:r>
        <w:rPr>
          <w:rFonts w:hint="eastAsia" w:ascii="宋体" w:hAnsi="宋体" w:cs="宋体"/>
          <w:color w:val="auto"/>
          <w:sz w:val="24"/>
          <w:szCs w:val="24"/>
          <w:highlight w:val="none"/>
        </w:rPr>
        <w:t>中标候选人的推荐</w:t>
      </w:r>
      <w:r>
        <w:rPr>
          <w:rFonts w:hint="eastAsia" w:ascii="宋体" w:hAnsi="宋体" w:cs="宋体"/>
          <w:color w:val="auto"/>
          <w:sz w:val="24"/>
          <w:szCs w:val="24"/>
          <w:highlight w:val="none"/>
          <w:u w:val="single"/>
        </w:rPr>
        <w:t>【不排序，按统一社会信用代码后4位（除校验码外）大小排位，如统一社会信用代码后4位出现字母情况的，字母以“0”进行代替大小排位；如出现后4位（除校验码外）大小一致的，则随机排位】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color w:val="auto"/>
          <w:sz w:val="24"/>
          <w:szCs w:val="24"/>
          <w:highlight w:val="none"/>
        </w:rPr>
        <w:t>情况，与评标有关的其他任何情况均严格保密。</w:t>
      </w:r>
    </w:p>
    <w:p w14:paraId="3F54F0A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24.2在投标文件的评审和比较、</w:t>
      </w:r>
      <w:r>
        <w:rPr>
          <w:rFonts w:hint="eastAsia" w:ascii="宋体" w:hAnsi="宋体" w:cs="宋体"/>
          <w:color w:val="auto"/>
          <w:sz w:val="24"/>
          <w:szCs w:val="24"/>
          <w:highlight w:val="none"/>
          <w:u w:val="single"/>
        </w:rPr>
        <w:t>合格</w:t>
      </w:r>
      <w:r>
        <w:rPr>
          <w:rFonts w:hint="eastAsia" w:ascii="宋体" w:hAnsi="宋体" w:cs="宋体"/>
          <w:color w:val="auto"/>
          <w:sz w:val="24"/>
          <w:szCs w:val="24"/>
          <w:highlight w:val="none"/>
        </w:rPr>
        <w:t>的中标候选人推荐</w:t>
      </w:r>
      <w:r>
        <w:rPr>
          <w:rFonts w:hint="eastAsia" w:ascii="宋体" w:hAnsi="宋体" w:cs="宋体"/>
          <w:color w:val="auto"/>
          <w:sz w:val="24"/>
          <w:szCs w:val="24"/>
          <w:highlight w:val="none"/>
          <w:u w:val="single"/>
        </w:rPr>
        <w:t>、定标</w:t>
      </w:r>
      <w:r>
        <w:rPr>
          <w:rFonts w:hint="eastAsia" w:ascii="宋体" w:hAnsi="宋体" w:cs="宋体"/>
          <w:color w:val="auto"/>
          <w:sz w:val="24"/>
          <w:szCs w:val="24"/>
          <w:highlight w:val="none"/>
        </w:rPr>
        <w:t>以及授予合同的过程中，投标人向招标人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评标委员会</w:t>
      </w:r>
      <w:r>
        <w:rPr>
          <w:rFonts w:hint="eastAsia" w:ascii="宋体" w:hAnsi="宋体" w:cs="宋体"/>
          <w:color w:val="auto"/>
          <w:sz w:val="24"/>
          <w:szCs w:val="24"/>
          <w:highlight w:val="none"/>
          <w:u w:val="single"/>
        </w:rPr>
        <w:t>和定标委员会</w:t>
      </w:r>
      <w:r>
        <w:rPr>
          <w:rFonts w:hint="eastAsia" w:ascii="宋体" w:hAnsi="宋体" w:cs="宋体"/>
          <w:color w:val="auto"/>
          <w:sz w:val="24"/>
          <w:szCs w:val="24"/>
          <w:highlight w:val="none"/>
        </w:rPr>
        <w:t>施加不公正影响的任何行为，都将会导致其投标被拒绝。</w:t>
      </w:r>
    </w:p>
    <w:p w14:paraId="7830D9D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25．投标文件的澄清，计算错误的修正</w:t>
      </w:r>
    </w:p>
    <w:p w14:paraId="66CBC2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14:paraId="4B3EF00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26．投标文件的评审、比较和否决</w:t>
      </w:r>
    </w:p>
    <w:p w14:paraId="609E588D">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14:paraId="0B6BA0C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27．中标通知书</w:t>
      </w:r>
    </w:p>
    <w:p w14:paraId="5A8F93B4">
      <w:pPr>
        <w:spacing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27.1招标人将在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、广东省招标投标监管网和中国招标投标公共服务平台公示</w:t>
      </w:r>
      <w:r>
        <w:rPr>
          <w:rFonts w:hint="eastAsia" w:ascii="宋体" w:hAnsi="宋体" w:cs="宋体"/>
          <w:color w:val="auto"/>
          <w:sz w:val="24"/>
          <w:highlight w:val="none"/>
          <w:u w:val="single"/>
        </w:rPr>
        <w:t>合格的中标候选人</w:t>
      </w:r>
      <w:r>
        <w:rPr>
          <w:rFonts w:hint="eastAsia" w:ascii="宋体" w:hAnsi="宋体" w:cs="宋体"/>
          <w:color w:val="auto"/>
          <w:sz w:val="24"/>
          <w:highlight w:val="none"/>
        </w:rPr>
        <w:t>，公示期为三天。</w:t>
      </w:r>
      <w:r>
        <w:rPr>
          <w:rFonts w:hint="eastAsia" w:ascii="宋体" w:hAnsi="宋体" w:cs="宋体"/>
          <w:b/>
          <w:bCs/>
          <w:color w:val="auto"/>
          <w:sz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569637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合格的中标候选人公示结束后10个工作日内在广州交易集团有限公司（广州公共资源交易中心）开展定标工作，在定标委员会完成定标工作后，招标人将在广州交易集团有限公司（广州公共资源交易中心）、广东省招标投标监管网和中国招标投标公共服务平台公示中标结果，定标后出现中标人不符合法定情形的，招标人可从其他合格的中标候选人中采用原定标办法，由原定标委员会重新确定中标人，也可以重新组织招标。</w:t>
      </w:r>
    </w:p>
    <w:p w14:paraId="7A7B24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14:paraId="2464CD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14:paraId="6BC3CB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27.4在产生</w:t>
      </w:r>
      <w:r>
        <w:rPr>
          <w:rFonts w:hint="eastAsia" w:ascii="宋体" w:hAnsi="宋体" w:cs="宋体"/>
          <w:color w:val="auto"/>
          <w:sz w:val="24"/>
          <w:highlight w:val="none"/>
          <w:u w:val="single"/>
        </w:rPr>
        <w:t>合格的</w:t>
      </w:r>
      <w:r>
        <w:rPr>
          <w:rFonts w:hint="eastAsia" w:ascii="宋体" w:hAnsi="宋体" w:cs="宋体"/>
          <w:color w:val="auto"/>
          <w:sz w:val="24"/>
          <w:highlight w:val="none"/>
        </w:rPr>
        <w:t>中标候选人后，招标人将</w:t>
      </w:r>
      <w:r>
        <w:rPr>
          <w:rFonts w:hint="eastAsia" w:ascii="宋体" w:hAnsi="宋体" w:cs="宋体"/>
          <w:color w:val="auto"/>
          <w:sz w:val="24"/>
          <w:highlight w:val="none"/>
          <w:u w:val="single"/>
        </w:rPr>
        <w:t>合格的</w:t>
      </w:r>
      <w:r>
        <w:rPr>
          <w:rFonts w:hint="eastAsia" w:ascii="宋体" w:hAnsi="宋体" w:cs="宋体"/>
          <w:color w:val="auto"/>
          <w:sz w:val="24"/>
          <w:highlight w:val="none"/>
        </w:rPr>
        <w:t>中标候选人的投标文件商务部分文件的所有内容（包括人员、业绩、奖项等资料）在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交易平台和广东省招标投标监管网</w:t>
      </w:r>
      <w:r>
        <w:rPr>
          <w:rFonts w:hint="eastAsia" w:ascii="宋体" w:hAnsi="宋体" w:cs="宋体"/>
          <w:color w:val="auto"/>
          <w:sz w:val="24"/>
          <w:highlight w:val="none"/>
        </w:rPr>
        <w:t>公开。</w:t>
      </w:r>
    </w:p>
    <w:p w14:paraId="5118FD4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28．合同协议书的签订</w:t>
      </w:r>
    </w:p>
    <w:p w14:paraId="1DE5A7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14:paraId="02F0A5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28.2中标通知书发出之日起30日后，中标人未按上款的规定与招标人订立合同，招标人将解除中标通知书，原中标人</w:t>
      </w:r>
      <w:r>
        <w:rPr>
          <w:rFonts w:hint="eastAsia" w:ascii="宋体" w:hAnsi="宋体" w:cs="宋体"/>
          <w:b/>
          <w:bCs/>
          <w:color w:val="auto"/>
          <w:sz w:val="24"/>
          <w:highlight w:val="none"/>
          <w:u w:val="single"/>
        </w:rPr>
        <w:t>应</w:t>
      </w:r>
      <w:r>
        <w:rPr>
          <w:rFonts w:hint="eastAsia" w:ascii="宋体" w:hAnsi="宋体" w:cs="宋体"/>
          <w:color w:val="auto"/>
          <w:sz w:val="24"/>
          <w:highlight w:val="none"/>
        </w:rPr>
        <w:t>依法承担相应法律责任。</w:t>
      </w:r>
      <w:r>
        <w:rPr>
          <w:rFonts w:hint="eastAsia" w:ascii="宋体" w:hAnsi="宋体" w:cs="宋体"/>
          <w:b/>
          <w:bCs/>
          <w:color w:val="auto"/>
          <w:sz w:val="24"/>
          <w:highlight w:val="none"/>
          <w:u w:val="single"/>
        </w:rPr>
        <w:t>原中标人给招标人造成损失的，招标人有权要求原中标人承担赔偿责任。</w:t>
      </w:r>
      <w:r>
        <w:rPr>
          <w:rFonts w:hint="eastAsia" w:ascii="宋体" w:hAnsi="宋体" w:cs="宋体"/>
          <w:color w:val="auto"/>
          <w:sz w:val="24"/>
          <w:highlight w:val="none"/>
        </w:rPr>
        <w:t>原中标人有异议的，可以向人民法院起诉。</w:t>
      </w:r>
    </w:p>
    <w:p w14:paraId="18EB5C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566F62A2">
      <w:pPr>
        <w:spacing w:line="360" w:lineRule="auto"/>
        <w:ind w:firstLine="480" w:firstLineChars="200"/>
        <w:rPr>
          <w:rFonts w:hint="eastAsia" w:ascii="宋体" w:hAnsi="宋体" w:cs="宋体"/>
          <w:color w:val="auto"/>
          <w:sz w:val="24"/>
          <w:highlight w:val="none"/>
        </w:rPr>
      </w:pPr>
      <w:bookmarkStart w:id="80" w:name="OLE_LINK149"/>
      <w:r>
        <w:rPr>
          <w:rFonts w:hint="eastAsia" w:ascii="宋体" w:hAnsi="宋体" w:cs="宋体"/>
          <w:color w:val="auto"/>
          <w:sz w:val="24"/>
          <w:highlight w:val="none"/>
        </w:rPr>
        <w:t>28.4</w:t>
      </w:r>
      <w:r>
        <w:rPr>
          <w:rFonts w:hint="eastAsia" w:ascii="宋体" w:hAnsi="宋体" w:cs="宋体"/>
          <w:b/>
          <w:bCs/>
          <w:color w:val="auto"/>
          <w:sz w:val="24"/>
          <w:highlight w:val="none"/>
          <w:u w:val="single"/>
        </w:rPr>
        <w:t>工程进度款支付应不低于已完成工程价款的80%，</w:t>
      </w:r>
      <w:r>
        <w:rPr>
          <w:rFonts w:hint="eastAsia" w:ascii="宋体" w:hAnsi="宋体" w:cs="宋体"/>
          <w:color w:val="auto"/>
          <w:sz w:val="24"/>
          <w:highlight w:val="none"/>
        </w:rPr>
        <w:t>招标人支付工程款时，中标人应按规定开具发票。</w:t>
      </w:r>
      <w:r>
        <w:rPr>
          <w:rFonts w:hint="eastAsia" w:ascii="宋体" w:hAnsi="宋体" w:cs="宋体"/>
          <w:b/>
          <w:color w:val="auto"/>
          <w:sz w:val="24"/>
          <w:highlight w:val="none"/>
          <w:u w:val="single"/>
        </w:rPr>
        <w:t>质量保证金不超过工程价款总额3%。</w:t>
      </w:r>
      <w:r>
        <w:rPr>
          <w:rFonts w:hint="eastAsia" w:ascii="宋体" w:hAnsi="宋体" w:cs="宋体"/>
          <w:b/>
          <w:bCs/>
          <w:color w:val="auto"/>
          <w:sz w:val="24"/>
          <w:highlight w:val="none"/>
          <w:u w:val="single"/>
        </w:rPr>
        <w:t>当年开工、当年不能竣工的新开工项目可以采用过程结算。</w:t>
      </w:r>
    </w:p>
    <w:bookmarkEnd w:id="80"/>
    <w:p w14:paraId="5A9EE35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29．履约担保</w:t>
      </w:r>
    </w:p>
    <w:p w14:paraId="52016E6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29.1 </w:t>
      </w:r>
      <w:r>
        <w:rPr>
          <w:rFonts w:hint="eastAsia" w:ascii="宋体" w:hAnsi="宋体" w:cs="宋体"/>
          <w:color w:val="auto"/>
          <w:sz w:val="24"/>
          <w:highlight w:val="none"/>
          <w:u w:val="single"/>
        </w:rPr>
        <w:t>收到中标通知书后</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天之内并在签订合同之前</w:t>
      </w:r>
      <w:r>
        <w:rPr>
          <w:rFonts w:hint="eastAsia" w:ascii="宋体" w:hAnsi="宋体" w:cs="宋体"/>
          <w:color w:val="auto"/>
          <w:sz w:val="24"/>
          <w:highlight w:val="none"/>
        </w:rPr>
        <w:t>，中标人应按本须知前附表第20项的规定向招标人提交</w:t>
      </w:r>
      <w:r>
        <w:rPr>
          <w:rFonts w:hint="eastAsia" w:ascii="宋体" w:hAnsi="宋体" w:cs="宋体"/>
          <w:color w:val="auto"/>
          <w:sz w:val="24"/>
          <w:highlight w:val="none"/>
          <w:u w:val="single"/>
        </w:rPr>
        <w:t>无条件</w:t>
      </w:r>
      <w:r>
        <w:rPr>
          <w:rFonts w:hint="eastAsia" w:ascii="宋体" w:hAnsi="宋体" w:cs="宋体"/>
          <w:color w:val="auto"/>
          <w:sz w:val="24"/>
          <w:highlight w:val="none"/>
        </w:rPr>
        <w:t>履约担保。</w:t>
      </w:r>
    </w:p>
    <w:p w14:paraId="3430E8E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29.2中标人</w:t>
      </w:r>
      <w:r>
        <w:rPr>
          <w:rFonts w:hint="eastAsia" w:ascii="宋体" w:hAnsi="宋体" w:cs="宋体"/>
          <w:color w:val="auto"/>
          <w:sz w:val="24"/>
          <w:highlight w:val="none"/>
          <w:u w:val="single"/>
        </w:rPr>
        <w:t>收到中标通知书后</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天之内并在签订合同之前</w:t>
      </w:r>
      <w:r>
        <w:rPr>
          <w:rFonts w:hint="eastAsia" w:ascii="宋体" w:hAnsi="宋体" w:cs="宋体"/>
          <w:color w:val="auto"/>
          <w:sz w:val="24"/>
          <w:highlight w:val="none"/>
        </w:rPr>
        <w:t>，中标人未按上款的规定提交履约担保，招标人将解除中标通知书，</w:t>
      </w:r>
      <w:r>
        <w:rPr>
          <w:rFonts w:hint="eastAsia" w:ascii="宋体" w:hAnsi="宋体" w:cs="宋体"/>
          <w:color w:val="auto"/>
          <w:sz w:val="24"/>
          <w:highlight w:val="none"/>
          <w:u w:val="single"/>
        </w:rPr>
        <w:t>原中标人依法承担相应法律责任。原中标人给招标人造成的损失，还应当予以赔偿</w:t>
      </w:r>
      <w:r>
        <w:rPr>
          <w:rFonts w:hint="eastAsia" w:ascii="宋体" w:hAnsi="宋体" w:cs="宋体"/>
          <w:color w:val="auto"/>
          <w:sz w:val="24"/>
          <w:highlight w:val="none"/>
        </w:rPr>
        <w:t>。原中标人有异议的，可以向人民法院起诉。</w:t>
      </w:r>
    </w:p>
    <w:p w14:paraId="0DECD55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30．合同生效</w:t>
      </w:r>
    </w:p>
    <w:p w14:paraId="0A82BF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30.1在合同双方全权代表在合同协议书上签字，并分别加盖双方单位的公章</w:t>
      </w:r>
      <w:r>
        <w:rPr>
          <w:rFonts w:hint="eastAsia" w:ascii="宋体" w:hAnsi="宋体" w:cs="宋体"/>
          <w:color w:val="auto"/>
          <w:sz w:val="24"/>
          <w:highlight w:val="none"/>
          <w:u w:val="single"/>
        </w:rPr>
        <w:t>且承包人提交履约担保</w:t>
      </w:r>
      <w:r>
        <w:rPr>
          <w:rFonts w:hint="eastAsia" w:ascii="宋体" w:hAnsi="宋体" w:cs="宋体"/>
          <w:color w:val="auto"/>
          <w:sz w:val="24"/>
          <w:highlight w:val="none"/>
        </w:rPr>
        <w:t>后，合同正式生效。</w:t>
      </w:r>
    </w:p>
    <w:p w14:paraId="1C00429F">
      <w:pPr>
        <w:numPr>
          <w:ilvl w:val="0"/>
          <w:numId w:val="3"/>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其它费用</w:t>
      </w:r>
    </w:p>
    <w:p w14:paraId="586E5005">
      <w:pPr>
        <w:pStyle w:val="6"/>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（1）交易服务费：中标单位代缴广州交易集团有限公司交易服务费，由广州交易集团有限公司向中标人开具增值税发票。</w:t>
      </w:r>
    </w:p>
    <w:p w14:paraId="2335C7ED">
      <w:pPr>
        <w:pStyle w:val="6"/>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（2）招标代理费：中标单位</w:t>
      </w:r>
      <w:r>
        <w:rPr>
          <w:rFonts w:hint="eastAsia" w:ascii="宋体" w:hAnsi="宋体" w:cs="宋体"/>
          <w:color w:val="auto"/>
          <w:kern w:val="0"/>
          <w:sz w:val="24"/>
          <w:highlight w:val="none"/>
          <w:u w:val="single"/>
          <w:lang w:val="en-US" w:eastAsia="zh-CN"/>
        </w:rPr>
        <w:t>在收到中标通知书前应向招标代理机构交纳</w:t>
      </w:r>
      <w:r>
        <w:rPr>
          <w:rFonts w:hint="eastAsia" w:ascii="宋体" w:hAnsi="宋体" w:cs="宋体"/>
          <w:color w:val="auto"/>
          <w:kern w:val="0"/>
          <w:sz w:val="24"/>
          <w:highlight w:val="none"/>
          <w:u w:val="single"/>
        </w:rPr>
        <w:t>招标代理费</w:t>
      </w:r>
      <w:r>
        <w:rPr>
          <w:rFonts w:hint="eastAsia" w:ascii="宋体" w:hAnsi="宋体" w:cs="宋体"/>
          <w:color w:val="auto"/>
          <w:kern w:val="0"/>
          <w:sz w:val="24"/>
          <w:highlight w:val="none"/>
          <w:u w:val="single"/>
          <w:lang w:val="en-US" w:eastAsia="zh-CN"/>
        </w:rPr>
        <w:t>；收费标准：</w:t>
      </w:r>
      <w:r>
        <w:rPr>
          <w:rFonts w:hint="eastAsia" w:ascii="宋体" w:hAnsi="宋体" w:cs="宋体"/>
          <w:color w:val="auto"/>
          <w:kern w:val="0"/>
          <w:sz w:val="24"/>
          <w:highlight w:val="none"/>
          <w:u w:val="single"/>
        </w:rPr>
        <w:t>参照《招标代理服务收费管理暂行办法》（计价格［2002］1980号）及《国家发展改革委关于降低部分建设项目收费标准规范收费行为等有关问题的通知》（发改价格[2011]534号）下浮20%</w:t>
      </w:r>
      <w:r>
        <w:rPr>
          <w:rFonts w:hint="eastAsia" w:ascii="宋体" w:hAnsi="宋体" w:cs="宋体"/>
          <w:color w:val="auto"/>
          <w:kern w:val="0"/>
          <w:sz w:val="24"/>
          <w:highlight w:val="none"/>
          <w:u w:val="single"/>
          <w:lang w:val="en-US" w:eastAsia="zh-CN"/>
        </w:rPr>
        <w:t>收取</w:t>
      </w:r>
      <w:r>
        <w:rPr>
          <w:rFonts w:hint="eastAsia" w:ascii="宋体" w:hAnsi="宋体" w:cs="宋体"/>
          <w:color w:val="auto"/>
          <w:kern w:val="0"/>
          <w:sz w:val="24"/>
          <w:highlight w:val="none"/>
          <w:u w:val="single"/>
        </w:rPr>
        <w:t>。</w:t>
      </w:r>
    </w:p>
    <w:p w14:paraId="5764BEEE">
      <w:pPr>
        <w:spacing w:line="360" w:lineRule="auto"/>
        <w:ind w:firstLine="482" w:firstLineChars="200"/>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32．腐败与欺诈行为</w:t>
      </w:r>
    </w:p>
    <w:p w14:paraId="25712296">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在招标和合同实施期间，招标人要求投标人和承包人遵守最高的道德标准。</w:t>
      </w:r>
    </w:p>
    <w:p w14:paraId="4C5D2C57">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32．1对本条款的规定，特定义如下词汇：</w:t>
      </w:r>
    </w:p>
    <w:p w14:paraId="310A385A">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1）、“腐败行为”是指在招标或合同执行期间，通过提供、给予、接受或索要任何有价值的东西，从而影响招标人有关人员工作的行为；</w:t>
      </w:r>
    </w:p>
    <w:p w14:paraId="22AEB648">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CC7D3C5">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32．2如果投标人被认定在本招标的竞争中有腐败或欺诈行为，则会被取消投标资格。</w:t>
      </w:r>
    </w:p>
    <w:p w14:paraId="626D74BA">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32.3</w:t>
      </w:r>
      <w:r>
        <w:rPr>
          <w:rFonts w:hint="eastAsia" w:ascii="宋体" w:hAnsi="宋体"/>
          <w:color w:val="auto"/>
          <w:sz w:val="24"/>
          <w:highlight w:val="none"/>
          <w:u w:val="single"/>
        </w:rPr>
        <w:t>投标人如在本项目中存在串通投标、弄虚作假骗取中标、行贿情形的，中标无效，行政监督部门将对其违法行为进行政处罚</w:t>
      </w:r>
      <w:r>
        <w:rPr>
          <w:rFonts w:hint="eastAsia" w:ascii="宋体" w:hAnsi="宋体" w:cs="宋体"/>
          <w:color w:val="auto"/>
          <w:kern w:val="0"/>
          <w:sz w:val="24"/>
          <w:szCs w:val="20"/>
          <w:highlight w:val="none"/>
        </w:rPr>
        <w:t>。该投标人将被招标人列入黑名单并限制其参与招标人后续项目的投标。</w:t>
      </w:r>
    </w:p>
    <w:p w14:paraId="67451005">
      <w:pPr>
        <w:spacing w:line="360" w:lineRule="auto"/>
        <w:ind w:firstLine="540" w:firstLineChars="224"/>
        <w:rPr>
          <w:rFonts w:ascii="宋体" w:hAnsi="宋体"/>
          <w:b/>
          <w:color w:val="auto"/>
          <w:sz w:val="24"/>
          <w:highlight w:val="none"/>
        </w:rPr>
      </w:pPr>
      <w:r>
        <w:rPr>
          <w:rFonts w:hint="eastAsia" w:ascii="宋体" w:hAnsi="宋体"/>
          <w:b/>
          <w:color w:val="auto"/>
          <w:sz w:val="24"/>
          <w:highlight w:val="none"/>
        </w:rPr>
        <w:t>33</w:t>
      </w:r>
      <w:r>
        <w:rPr>
          <w:rFonts w:hint="eastAsia" w:ascii="宋体" w:hAnsi="宋体"/>
          <w:b/>
          <w:bCs/>
          <w:color w:val="auto"/>
          <w:sz w:val="24"/>
          <w:highlight w:val="none"/>
        </w:rPr>
        <w:t>．</w:t>
      </w:r>
      <w:r>
        <w:rPr>
          <w:rFonts w:hint="eastAsia" w:ascii="宋体" w:hAnsi="宋体"/>
          <w:b/>
          <w:color w:val="auto"/>
          <w:sz w:val="24"/>
          <w:highlight w:val="none"/>
        </w:rPr>
        <w:t>投标人信誉的要求</w:t>
      </w:r>
    </w:p>
    <w:p w14:paraId="52B0BEEB">
      <w:pPr>
        <w:pStyle w:val="37"/>
        <w:spacing w:after="0"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存在下列情形之一的，招标人可以限制其投标</w:t>
      </w:r>
      <w:r>
        <w:rPr>
          <w:rFonts w:hint="eastAsia" w:ascii="宋体" w:hAnsi="宋体"/>
          <w:strike/>
          <w:color w:val="auto"/>
          <w:sz w:val="24"/>
          <w:highlight w:val="none"/>
          <w:u w:val="single"/>
        </w:rPr>
        <w:t>（需在招标文件中明确评定方法）</w:t>
      </w:r>
      <w:r>
        <w:rPr>
          <w:rFonts w:hint="eastAsia" w:ascii="宋体" w:hAnsi="宋体"/>
          <w:strike/>
          <w:color w:val="auto"/>
          <w:sz w:val="24"/>
          <w:highlight w:val="none"/>
        </w:rPr>
        <w:t>。</w:t>
      </w:r>
    </w:p>
    <w:p w14:paraId="58BFD64F">
      <w:pPr>
        <w:pStyle w:val="37"/>
        <w:spacing w:after="0"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w:t>
      </w:r>
      <w:r>
        <w:rPr>
          <w:rFonts w:ascii="宋体" w:hAnsi="宋体"/>
          <w:strike/>
          <w:color w:val="auto"/>
          <w:sz w:val="24"/>
          <w:highlight w:val="none"/>
        </w:rPr>
        <w:t>1）被住房城乡建设行政主管部门在全国建筑市场监管一体化工作平台列入建筑市场主体“黑名单”；</w:t>
      </w:r>
    </w:p>
    <w:p w14:paraId="396862C9">
      <w:pPr>
        <w:pStyle w:val="37"/>
        <w:spacing w:after="0"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w:t>
      </w:r>
      <w:r>
        <w:rPr>
          <w:rFonts w:ascii="宋体" w:hAnsi="宋体"/>
          <w:strike/>
          <w:color w:val="auto"/>
          <w:sz w:val="24"/>
          <w:highlight w:val="none"/>
        </w:rPr>
        <w:t>2）被发改委、人力资源社会保障、质检总局等有关部门、单位在“信用中国”网站中列入联合惩戒失信黑名单。</w:t>
      </w:r>
    </w:p>
    <w:p w14:paraId="5D894BC6">
      <w:pPr>
        <w:spacing w:line="360" w:lineRule="auto"/>
        <w:ind w:firstLine="540" w:firstLineChars="224"/>
        <w:rPr>
          <w:rFonts w:ascii="宋体" w:hAnsi="宋体"/>
          <w:color w:val="auto"/>
          <w:sz w:val="24"/>
          <w:highlight w:val="none"/>
          <w:u w:val="single"/>
        </w:rPr>
      </w:pPr>
      <w:r>
        <w:rPr>
          <w:rFonts w:hint="eastAsia" w:ascii="宋体" w:hAnsi="宋体"/>
          <w:b/>
          <w:bCs/>
          <w:color w:val="auto"/>
          <w:sz w:val="24"/>
          <w:highlight w:val="none"/>
          <w:u w:val="single"/>
        </w:rPr>
        <w:t>3</w:t>
      </w:r>
      <w:r>
        <w:rPr>
          <w:rFonts w:ascii="宋体" w:hAnsi="宋体"/>
          <w:b/>
          <w:bCs/>
          <w:color w:val="auto"/>
          <w:sz w:val="24"/>
          <w:highlight w:val="none"/>
          <w:u w:val="single"/>
        </w:rPr>
        <w:t>4</w:t>
      </w:r>
      <w:r>
        <w:rPr>
          <w:rFonts w:hint="eastAsia" w:ascii="宋体" w:hAnsi="宋体"/>
          <w:b/>
          <w:bCs/>
          <w:color w:val="auto"/>
          <w:sz w:val="24"/>
          <w:highlight w:val="none"/>
          <w:u w:val="single"/>
        </w:rPr>
        <w:t>．</w:t>
      </w:r>
      <w:bookmarkStart w:id="81" w:name="OLE_LINK34"/>
      <w:r>
        <w:rPr>
          <w:rFonts w:hint="eastAsia" w:ascii="宋体" w:hAnsi="宋体"/>
          <w:color w:val="auto"/>
          <w:sz w:val="24"/>
          <w:highlight w:val="none"/>
          <w:u w:val="single"/>
        </w:rPr>
        <w:t>招标人（招标代理机构）填报合格的中标候选人公示信息</w:t>
      </w:r>
      <w:bookmarkEnd w:id="81"/>
      <w:r>
        <w:rPr>
          <w:rFonts w:hint="eastAsia" w:ascii="宋体" w:hAnsi="宋体"/>
          <w:color w:val="auto"/>
          <w:sz w:val="24"/>
          <w:highlight w:val="none"/>
          <w:u w:val="single"/>
        </w:rPr>
        <w:t>、</w:t>
      </w:r>
      <w:r>
        <w:rPr>
          <w:rFonts w:ascii="宋体" w:hAnsi="宋体"/>
          <w:color w:val="auto"/>
          <w:sz w:val="24"/>
          <w:highlight w:val="none"/>
          <w:u w:val="single"/>
        </w:rPr>
        <w:t>组织</w:t>
      </w:r>
      <w:r>
        <w:rPr>
          <w:rFonts w:hint="eastAsia" w:ascii="宋体" w:hAnsi="宋体"/>
          <w:color w:val="auto"/>
          <w:sz w:val="24"/>
          <w:highlight w:val="none"/>
          <w:u w:val="single"/>
        </w:rPr>
        <w:t>中标人签订合同时，如发现合格的中标候选人或中标人委派的项目负责人已在其他在建项目中任职，招标人有权取消其投标或中标资格，且依法追究相应法律责任。合格的中标候选人或中标人给招标人造成的损失，需承担相应损失的赔偿。</w:t>
      </w:r>
    </w:p>
    <w:p w14:paraId="4308A798">
      <w:pPr>
        <w:pStyle w:val="6"/>
        <w:rPr>
          <w:rFonts w:hint="eastAsia"/>
          <w:color w:val="auto"/>
          <w:highlight w:val="none"/>
        </w:rPr>
      </w:pPr>
    </w:p>
    <w:p w14:paraId="53FC1373">
      <w:pPr>
        <w:keepNext/>
        <w:keepLines/>
        <w:spacing w:before="120" w:after="120" w:line="360" w:lineRule="auto"/>
        <w:jc w:val="center"/>
        <w:outlineLvl w:val="0"/>
        <w:rPr>
          <w:rFonts w:hint="eastAsia" w:ascii="宋体" w:hAnsi="宋体" w:cs="宋体"/>
          <w:b/>
          <w:color w:val="auto"/>
          <w:kern w:val="44"/>
          <w:sz w:val="28"/>
          <w:szCs w:val="28"/>
          <w:highlight w:val="none"/>
        </w:rPr>
      </w:pPr>
      <w:r>
        <w:rPr>
          <w:rFonts w:hint="eastAsia" w:ascii="宋体" w:hAnsi="宋体" w:cs="宋体"/>
          <w:b/>
          <w:color w:val="auto"/>
          <w:kern w:val="44"/>
          <w:sz w:val="28"/>
          <w:szCs w:val="28"/>
          <w:highlight w:val="none"/>
        </w:rPr>
        <w:br w:type="page"/>
      </w:r>
      <w:bookmarkStart w:id="82" w:name="_Toc97576580"/>
      <w:r>
        <w:rPr>
          <w:rFonts w:hint="eastAsia" w:ascii="宋体" w:hAnsi="宋体" w:cs="宋体"/>
          <w:b/>
          <w:color w:val="auto"/>
          <w:kern w:val="44"/>
          <w:sz w:val="28"/>
          <w:szCs w:val="28"/>
          <w:highlight w:val="none"/>
        </w:rPr>
        <w:t xml:space="preserve">第二章  </w:t>
      </w:r>
      <w:bookmarkStart w:id="83" w:name="OLE_LINK115"/>
      <w:r>
        <w:rPr>
          <w:rFonts w:hint="eastAsia" w:ascii="宋体" w:hAnsi="宋体" w:cs="宋体"/>
          <w:b/>
          <w:color w:val="auto"/>
          <w:kern w:val="44"/>
          <w:sz w:val="28"/>
          <w:szCs w:val="28"/>
          <w:highlight w:val="none"/>
        </w:rPr>
        <w:t>开标、评标及定标办法</w:t>
      </w:r>
      <w:bookmarkEnd w:id="82"/>
      <w:bookmarkEnd w:id="83"/>
    </w:p>
    <w:p w14:paraId="11E4D93E">
      <w:pPr>
        <w:keepNext/>
        <w:keepLines/>
        <w:tabs>
          <w:tab w:val="right" w:leader="dot" w:pos="9060"/>
        </w:tabs>
        <w:snapToGrid w:val="0"/>
        <w:spacing w:before="120" w:after="120" w:line="412" w:lineRule="auto"/>
        <w:ind w:left="420"/>
        <w:jc w:val="center"/>
        <w:outlineLvl w:val="1"/>
        <w:rPr>
          <w:rFonts w:hint="eastAsia" w:ascii="宋体" w:hAnsi="宋体" w:cs="宋体"/>
          <w:b/>
          <w:color w:val="auto"/>
          <w:kern w:val="0"/>
          <w:sz w:val="24"/>
          <w:szCs w:val="24"/>
          <w:highlight w:val="none"/>
          <w:lang w:val="zh-CN"/>
        </w:rPr>
      </w:pPr>
      <w:bookmarkStart w:id="84" w:name="_Toc97576581"/>
      <w:r>
        <w:rPr>
          <w:rFonts w:hint="eastAsia" w:ascii="宋体" w:hAnsi="宋体" w:cs="宋体"/>
          <w:b/>
          <w:color w:val="auto"/>
          <w:kern w:val="0"/>
          <w:sz w:val="28"/>
          <w:szCs w:val="28"/>
          <w:highlight w:val="none"/>
          <w:lang w:val="zh-CN"/>
        </w:rPr>
        <w:t>一、</w:t>
      </w:r>
      <w:bookmarkStart w:id="85" w:name="OLE_LINK116"/>
      <w:r>
        <w:rPr>
          <w:rFonts w:hint="eastAsia" w:ascii="宋体" w:hAnsi="宋体" w:cs="宋体"/>
          <w:b/>
          <w:color w:val="auto"/>
          <w:kern w:val="0"/>
          <w:sz w:val="24"/>
          <w:szCs w:val="24"/>
          <w:highlight w:val="none"/>
          <w:lang w:val="zh-CN"/>
        </w:rPr>
        <w:t>开标、评标及定标办法</w:t>
      </w:r>
      <w:bookmarkEnd w:id="85"/>
      <w:r>
        <w:rPr>
          <w:rFonts w:hint="eastAsia" w:ascii="宋体" w:hAnsi="宋体" w:cs="宋体"/>
          <w:b/>
          <w:color w:val="auto"/>
          <w:kern w:val="0"/>
          <w:sz w:val="24"/>
          <w:szCs w:val="24"/>
          <w:highlight w:val="none"/>
          <w:lang w:val="zh-CN"/>
        </w:rPr>
        <w:t>修改表</w:t>
      </w:r>
      <w:bookmarkEnd w:id="84"/>
    </w:p>
    <w:p w14:paraId="470EB5DF">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含招标文件范本（GZZB2018-3）修改对照表]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hint="eastAsia" w:ascii="宋体" w:hAnsi="宋体" w:cs="宋体"/>
          <w:b/>
          <w:color w:val="auto"/>
          <w:szCs w:val="21"/>
          <w:highlight w:val="none"/>
        </w:rPr>
        <w:fldChar w:fldCharType="begin"/>
      </w:r>
      <w:r>
        <w:rPr>
          <w:rFonts w:hint="eastAsia" w:ascii="宋体" w:hAnsi="宋体" w:cs="宋体"/>
          <w:b/>
          <w:color w:val="auto"/>
          <w:szCs w:val="21"/>
          <w:highlight w:val="none"/>
        </w:rPr>
        <w:instrText xml:space="preserve"> HYPERLINK "http://www.gzcc.gov.cn/）下载GZZB2018-3" </w:instrText>
      </w:r>
      <w:r>
        <w:rPr>
          <w:rFonts w:hint="eastAsia" w:ascii="宋体" w:hAnsi="宋体" w:cs="宋体"/>
          <w:b/>
          <w:color w:val="auto"/>
          <w:szCs w:val="21"/>
          <w:highlight w:val="none"/>
        </w:rPr>
        <w:fldChar w:fldCharType="separate"/>
      </w:r>
      <w:r>
        <w:rPr>
          <w:rFonts w:hint="eastAsia" w:ascii="宋体" w:hAnsi="宋体" w:cs="宋体"/>
          <w:b/>
          <w:color w:val="auto"/>
          <w:szCs w:val="21"/>
          <w:highlight w:val="none"/>
        </w:rPr>
        <w:t>http://zfcj.gz.gov.cn/）下载GZZB2018-3</w:t>
      </w:r>
      <w:r>
        <w:rPr>
          <w:rFonts w:hint="eastAsia" w:ascii="宋体" w:hAnsi="宋体" w:cs="宋体"/>
          <w:b/>
          <w:color w:val="auto"/>
          <w:szCs w:val="21"/>
          <w:highlight w:val="none"/>
        </w:rPr>
        <w:fldChar w:fldCharType="end"/>
      </w:r>
      <w:r>
        <w:rPr>
          <w:rFonts w:hint="eastAsia" w:ascii="宋体" w:hAnsi="宋体" w:cs="宋体"/>
          <w:b/>
          <w:color w:val="auto"/>
          <w:szCs w:val="21"/>
          <w:highlight w:val="none"/>
        </w:rPr>
        <w:t>范本查阅。</w:t>
      </w:r>
    </w:p>
    <w:p w14:paraId="0A5940C4">
      <w:pPr>
        <w:spacing w:line="400" w:lineRule="exact"/>
        <w:ind w:firstLine="472" w:firstLineChars="224"/>
        <w:rPr>
          <w:rFonts w:hint="eastAsia" w:ascii="宋体" w:hAnsi="宋体" w:cs="宋体"/>
          <w:b/>
          <w:color w:val="auto"/>
          <w:szCs w:val="21"/>
          <w:highlight w:val="none"/>
        </w:rPr>
      </w:pPr>
      <w:bookmarkStart w:id="86" w:name="_Hlk196490742"/>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35.13</w:t>
      </w:r>
      <w:r>
        <w:rPr>
          <w:rFonts w:hint="eastAsia" w:ascii="宋体" w:hAnsi="宋体" w:cs="宋体"/>
          <w:b/>
          <w:color w:val="auto"/>
          <w:szCs w:val="21"/>
          <w:highlight w:val="none"/>
        </w:rPr>
        <w:t xml:space="preserve">                             修改类型：增加</w:t>
      </w:r>
    </w:p>
    <w:p w14:paraId="16DD5B16">
      <w:pPr>
        <w:pBdr>
          <w:bottom w:val="single" w:color="auto" w:sz="6" w:space="1"/>
        </w:pBdr>
        <w:spacing w:line="400" w:lineRule="exact"/>
        <w:ind w:firstLine="472" w:firstLineChars="224"/>
        <w:rPr>
          <w:rFonts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u w:val="single"/>
        </w:rPr>
        <w:t>35.13 本项目采用评定分离定标办法</w:t>
      </w:r>
    </w:p>
    <w:p w14:paraId="4D28F9EF">
      <w:pPr>
        <w:pBdr>
          <w:bottom w:val="single" w:color="auto" w:sz="6" w:space="1"/>
        </w:pBdr>
        <w:spacing w:line="400" w:lineRule="exact"/>
        <w:ind w:firstLine="470" w:firstLineChars="224"/>
        <w:rPr>
          <w:rFonts w:ascii="宋体" w:hAnsi="宋体" w:cs="宋体"/>
          <w:color w:val="auto"/>
          <w:szCs w:val="21"/>
          <w:highlight w:val="none"/>
          <w:u w:val="single"/>
        </w:rPr>
      </w:pPr>
      <w:r>
        <w:rPr>
          <w:rFonts w:hint="eastAsia" w:ascii="宋体" w:hAnsi="宋体" w:cs="宋体"/>
          <w:color w:val="auto"/>
          <w:szCs w:val="21"/>
          <w:highlight w:val="none"/>
          <w:u w:val="single"/>
        </w:rPr>
        <w:t>35.13.1评标办法：有限数量制评审法。</w:t>
      </w:r>
    </w:p>
    <w:p w14:paraId="0A3AD713">
      <w:pPr>
        <w:pBdr>
          <w:bottom w:val="single" w:color="auto" w:sz="6" w:space="1"/>
        </w:pBdr>
        <w:spacing w:line="400" w:lineRule="exact"/>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35.13.2定标办法：</w:t>
      </w:r>
      <w:bookmarkStart w:id="87" w:name="_Hlk190777462"/>
      <w:r>
        <w:rPr>
          <w:rFonts w:hint="eastAsia" w:ascii="宋体" w:hAnsi="宋体" w:cs="宋体"/>
          <w:color w:val="auto"/>
          <w:szCs w:val="21"/>
          <w:highlight w:val="none"/>
          <w:u w:val="single"/>
        </w:rPr>
        <w:t>记名投票+撰写评语</w:t>
      </w:r>
      <w:bookmarkEnd w:id="87"/>
      <w:r>
        <w:rPr>
          <w:rFonts w:hint="eastAsia" w:ascii="宋体" w:hAnsi="宋体" w:cs="宋体"/>
          <w:color w:val="auto"/>
          <w:szCs w:val="21"/>
          <w:highlight w:val="none"/>
          <w:u w:val="single"/>
        </w:rPr>
        <w:t>。</w:t>
      </w:r>
    </w:p>
    <w:p w14:paraId="1A1EBDDD">
      <w:pPr>
        <w:pBdr>
          <w:bottom w:val="single" w:color="auto" w:sz="6" w:space="1"/>
        </w:pBdr>
        <w:spacing w:line="400" w:lineRule="exact"/>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35.13.3定标因素：详见《定标因素表》。</w:t>
      </w:r>
    </w:p>
    <w:p w14:paraId="4C4F3924">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b/>
          <w:bCs/>
          <w:color w:val="auto"/>
          <w:szCs w:val="21"/>
          <w:highlight w:val="none"/>
        </w:rPr>
        <w:t xml:space="preserve">36.1 </w:t>
      </w:r>
      <w:r>
        <w:rPr>
          <w:rFonts w:hint="eastAsia" w:ascii="宋体" w:hAnsi="宋体" w:cs="宋体"/>
          <w:b/>
          <w:color w:val="auto"/>
          <w:szCs w:val="21"/>
          <w:highlight w:val="none"/>
        </w:rPr>
        <w:t xml:space="preserve">                               修改类型：修改</w:t>
      </w:r>
    </w:p>
    <w:p w14:paraId="23497C88">
      <w:pPr>
        <w:pBdr>
          <w:bottom w:val="single" w:color="auto" w:sz="6" w:space="1"/>
        </w:pBd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4CEE2F72">
      <w:pPr>
        <w:pBdr>
          <w:bottom w:val="single" w:color="auto" w:sz="6" w:space="1"/>
        </w:pBdr>
        <w:spacing w:line="400" w:lineRule="exact"/>
        <w:ind w:firstLine="472" w:firstLineChars="224"/>
        <w:rPr>
          <w:rFonts w:hint="eastAsia" w:ascii="宋体" w:hAnsi="宋体" w:cs="宋体"/>
          <w:b/>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71C93E3E">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条款号：36.3                                 修改类型：删除</w:t>
      </w:r>
    </w:p>
    <w:p w14:paraId="4C18CFB7">
      <w:pPr>
        <w:pBdr>
          <w:bottom w:val="single" w:color="auto" w:sz="6" w:space="1"/>
        </w:pBd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209CBFC">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条款号：36.4                               修改类型：修改</w:t>
      </w:r>
    </w:p>
    <w:p w14:paraId="6B31095C">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36.4若递交投标文件的投标人不足3家，则重新组织招标。（当N个标段同时招标且不允许兼中时，若有效投标人不足N+2家，则重新组织招标）</w:t>
      </w:r>
    </w:p>
    <w:p w14:paraId="09BC2F0F">
      <w:pPr>
        <w:pBdr>
          <w:bottom w:val="single" w:color="auto" w:sz="4" w:space="0"/>
        </w:pBd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36.4若递交投标文件的投标人不足3家，则重新组织招标。</w:t>
      </w:r>
    </w:p>
    <w:p w14:paraId="2B367BF3">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条款号：36.5.1                               修改类型：修改</w:t>
      </w:r>
    </w:p>
    <w:p w14:paraId="1434D4C1">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w:t>
      </w:r>
      <w:r>
        <w:rPr>
          <w:rFonts w:ascii="宋体" w:hAnsi="宋体" w:cs="宋体"/>
          <w:color w:val="auto"/>
          <w:szCs w:val="21"/>
          <w:highlight w:val="none"/>
        </w:rPr>
        <w:t>半</w:t>
      </w:r>
      <w:r>
        <w:rPr>
          <w:rFonts w:hint="eastAsia" w:ascii="宋体" w:hAnsi="宋体" w:cs="宋体"/>
          <w:color w:val="auto"/>
          <w:szCs w:val="21"/>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1CB311EF">
      <w:pPr>
        <w:pBdr>
          <w:bottom w:val="single" w:color="auto" w:sz="6" w:space="1"/>
        </w:pBdr>
        <w:spacing w:line="40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进行解密。解密完成后，公布招标项目名称、投标人名称、投标报价、工期及其他内容；</w:t>
      </w:r>
    </w:p>
    <w:p w14:paraId="02B774FD">
      <w:pPr>
        <w:tabs>
          <w:tab w:val="left" w:pos="4410"/>
        </w:tabs>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条款号：36.5.2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14:paraId="4E81E876">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备用光盘的读取按投标须知前附表第36项的规定执行；</w:t>
      </w:r>
    </w:p>
    <w:p w14:paraId="37311426">
      <w:pPr>
        <w:pBdr>
          <w:bottom w:val="single" w:color="auto" w:sz="6" w:space="1"/>
        </w:pBd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备用光盘的读取按投标须知前附表第37项的规定执行；</w:t>
      </w:r>
    </w:p>
    <w:p w14:paraId="7CE88B7A">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lang w:bidi="ar"/>
        </w:rPr>
        <w:t>条款号：</w:t>
      </w:r>
      <w:r>
        <w:rPr>
          <w:rFonts w:hint="eastAsia" w:ascii="宋体" w:hAnsi="宋体" w:cs="宋体"/>
          <w:b/>
          <w:bCs/>
          <w:color w:val="auto"/>
          <w:szCs w:val="21"/>
          <w:highlight w:val="none"/>
          <w:lang w:bidi="ar"/>
        </w:rPr>
        <w:t xml:space="preserve">36.5.3 </w:t>
      </w:r>
      <w:r>
        <w:rPr>
          <w:rFonts w:hint="eastAsia" w:ascii="宋体" w:hAnsi="宋体" w:cs="宋体"/>
          <w:b/>
          <w:color w:val="auto"/>
          <w:szCs w:val="21"/>
          <w:highlight w:val="none"/>
          <w:lang w:bidi="ar"/>
        </w:rPr>
        <w:t xml:space="preserve">                             修改类型：修改</w:t>
      </w:r>
    </w:p>
    <w:p w14:paraId="770E0996">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lang w:bidi="ar"/>
        </w:rPr>
        <w:t>原文：</w:t>
      </w:r>
      <w:r>
        <w:rPr>
          <w:rFonts w:hint="eastAsia" w:ascii="宋体" w:hAnsi="宋体" w:cs="宋体"/>
          <w:bCs/>
          <w:color w:val="auto"/>
          <w:szCs w:val="21"/>
          <w:highlight w:val="none"/>
          <w:lang w:bidi="ar"/>
        </w:rPr>
        <w:t>36.5.3</w:t>
      </w:r>
      <w:r>
        <w:rPr>
          <w:rFonts w:hint="eastAsia" w:ascii="宋体" w:hAnsi="宋体" w:cs="宋体"/>
          <w:color w:val="auto"/>
          <w:szCs w:val="21"/>
          <w:highlight w:val="none"/>
          <w:lang w:bidi="ar"/>
        </w:rPr>
        <w:t>投标人代表、招标人代表、监标人、记录人等有关人员在开标记录上签字确认；若有关人员不签字的，不影响开标程序；</w:t>
      </w:r>
    </w:p>
    <w:p w14:paraId="02B98B58">
      <w:pPr>
        <w:pBdr>
          <w:bottom w:val="single" w:color="auto" w:sz="6" w:space="1"/>
        </w:pBdr>
        <w:spacing w:line="400" w:lineRule="exact"/>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lang w:bidi="ar"/>
        </w:rPr>
        <w:t>现文：</w:t>
      </w:r>
      <w:r>
        <w:rPr>
          <w:rFonts w:hint="eastAsia" w:ascii="宋体" w:hAnsi="宋体" w:cs="宋体"/>
          <w:bCs/>
          <w:color w:val="auto"/>
          <w:szCs w:val="21"/>
          <w:highlight w:val="none"/>
          <w:lang w:bidi="ar"/>
        </w:rPr>
        <w:t>36.5.3</w:t>
      </w:r>
      <w:r>
        <w:rPr>
          <w:rFonts w:hint="eastAsia" w:ascii="宋体" w:hAnsi="宋体" w:cs="宋体"/>
          <w:color w:val="auto"/>
          <w:szCs w:val="21"/>
          <w:highlight w:val="none"/>
          <w:lang w:bidi="ar"/>
        </w:rPr>
        <w:t>投标人代表、招标人代表、监标人、记录人等有关人员在开标记录上签字确认；若有关人员不签字的，不影响开标程序；</w:t>
      </w:r>
      <w:r>
        <w:rPr>
          <w:rFonts w:hint="eastAsia" w:ascii="宋体" w:hAnsi="宋体" w:cs="宋体"/>
          <w:color w:val="auto"/>
          <w:szCs w:val="21"/>
          <w:highlight w:val="none"/>
          <w:u w:val="single"/>
          <w:lang w:bidi="ar"/>
        </w:rPr>
        <w:t>若投标人不参加开标会的，或不签字确认的，视同该投标人认可开标结果。</w:t>
      </w:r>
    </w:p>
    <w:p w14:paraId="21DF8473">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条款号：37.3.2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469F322A">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37.3.2向招标人报告评审意见，推荐合格的中标候选人。</w:t>
      </w:r>
    </w:p>
    <w:p w14:paraId="3BB9AD0F">
      <w:pPr>
        <w:pBdr>
          <w:bottom w:val="single" w:color="auto" w:sz="6" w:space="1"/>
        </w:pBd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37.3.2</w:t>
      </w:r>
      <w:r>
        <w:rPr>
          <w:rFonts w:ascii="宋体" w:hAnsi="宋体"/>
          <w:color w:val="auto"/>
          <w:szCs w:val="21"/>
          <w:highlight w:val="none"/>
        </w:rPr>
        <w:t>向招标人</w:t>
      </w:r>
      <w:r>
        <w:rPr>
          <w:rFonts w:ascii="宋体" w:hAnsi="宋体"/>
          <w:color w:val="auto"/>
          <w:szCs w:val="21"/>
          <w:highlight w:val="none"/>
          <w:u w:val="single"/>
        </w:rPr>
        <w:t>推荐</w:t>
      </w:r>
      <w:r>
        <w:rPr>
          <w:rFonts w:hint="eastAsia" w:ascii="宋体" w:hAnsi="宋体"/>
          <w:color w:val="auto"/>
          <w:szCs w:val="21"/>
          <w:highlight w:val="none"/>
          <w:u w:val="single"/>
        </w:rPr>
        <w:t>进入定标阶段的</w:t>
      </w:r>
      <w:r>
        <w:rPr>
          <w:rFonts w:ascii="宋体" w:hAnsi="宋体"/>
          <w:color w:val="auto"/>
          <w:szCs w:val="21"/>
          <w:highlight w:val="none"/>
          <w:u w:val="single"/>
        </w:rPr>
        <w:t>合格的中标候选人</w:t>
      </w:r>
      <w:r>
        <w:rPr>
          <w:rFonts w:hint="eastAsia" w:ascii="宋体" w:hAnsi="宋体"/>
          <w:color w:val="auto"/>
          <w:szCs w:val="21"/>
          <w:highlight w:val="none"/>
          <w:u w:val="single"/>
        </w:rPr>
        <w:t>【中标候选人不排序，按统一社会信用代码后4位（除校验码外）大小排位，如统一社会信用代码后4位出现字母情况的，字母以“0”进行代替大小排位；如出现后4位（除校验码外）大小一致的，则随机排位</w:t>
      </w:r>
      <w:r>
        <w:rPr>
          <w:rFonts w:ascii="宋体" w:hAnsi="宋体"/>
          <w:color w:val="auto"/>
          <w:szCs w:val="21"/>
          <w:highlight w:val="none"/>
          <w:u w:val="single"/>
        </w:rPr>
        <w:t>】</w:t>
      </w:r>
      <w:r>
        <w:rPr>
          <w:rFonts w:hint="eastAsia" w:ascii="宋体" w:hAnsi="宋体"/>
          <w:color w:val="auto"/>
          <w:szCs w:val="21"/>
          <w:highlight w:val="none"/>
          <w:u w:val="single"/>
        </w:rPr>
        <w:t>，并递交资格审查报告和评标报告。</w:t>
      </w:r>
    </w:p>
    <w:p w14:paraId="2909BDAF">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条款号：37.5                                修改类型：修改</w:t>
      </w:r>
    </w:p>
    <w:p w14:paraId="41B955F0">
      <w:pP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37.5评标结束后，评标委员会递交评标报告并依法推荐中标候选人。</w:t>
      </w:r>
    </w:p>
    <w:p w14:paraId="7257D7E8">
      <w:pPr>
        <w:pBdr>
          <w:bottom w:val="single" w:color="auto" w:sz="6" w:space="1"/>
        </w:pBdr>
        <w:spacing w:line="400" w:lineRule="exact"/>
        <w:ind w:firstLine="422" w:firstLineChars="200"/>
        <w:rPr>
          <w:rFonts w:hint="eastAsia" w:ascii="宋体" w:hAnsi="宋体" w:eastAsia="宋体" w:cs="宋体"/>
          <w:bCs/>
          <w:color w:val="auto"/>
          <w:szCs w:val="21"/>
          <w:highlight w:val="none"/>
          <w:u w:val="none"/>
        </w:rPr>
      </w:pPr>
      <w:r>
        <w:rPr>
          <w:rFonts w:hint="eastAsia" w:ascii="宋体" w:hAnsi="宋体" w:cs="宋体"/>
          <w:b/>
          <w:color w:val="auto"/>
          <w:szCs w:val="21"/>
          <w:highlight w:val="none"/>
        </w:rPr>
        <w:t>现文：</w:t>
      </w:r>
      <w:bookmarkStart w:id="88" w:name="OLE_LINK117"/>
      <w:r>
        <w:rPr>
          <w:rFonts w:hint="eastAsia" w:ascii="宋体" w:hAnsi="宋体" w:cs="宋体"/>
          <w:bCs/>
          <w:color w:val="auto"/>
          <w:szCs w:val="21"/>
          <w:highlight w:val="none"/>
        </w:rPr>
        <w:t>37.5 评标结束后，评标委员会递交</w:t>
      </w:r>
      <w:r>
        <w:rPr>
          <w:rFonts w:hint="eastAsia" w:ascii="宋体" w:hAnsi="宋体" w:cs="宋体"/>
          <w:bCs/>
          <w:color w:val="auto"/>
          <w:szCs w:val="21"/>
          <w:highlight w:val="none"/>
          <w:u w:val="single"/>
        </w:rPr>
        <w:t>资格审查报告和</w:t>
      </w:r>
      <w:r>
        <w:rPr>
          <w:rFonts w:hint="eastAsia" w:ascii="宋体" w:hAnsi="宋体" w:cs="宋体"/>
          <w:bCs/>
          <w:color w:val="auto"/>
          <w:szCs w:val="21"/>
          <w:highlight w:val="none"/>
        </w:rPr>
        <w:t>评标报告并依法推荐</w:t>
      </w: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名合格的中标候选人进入定标阶段。若参与投标人得分汇总的投标人家数大于1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家（不含1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家），评标委员会应按投标人总得分排序先后顺序，推荐排序前1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名投标人为合格的中标候选人进入定标阶段。</w:t>
      </w:r>
    </w:p>
    <w:p w14:paraId="44D571E0">
      <w:pPr>
        <w:pBdr>
          <w:bottom w:val="single" w:color="auto" w:sz="6" w:space="1"/>
        </w:pBdr>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若参与投标人得分汇总的投标人家数在【3，1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】的，不排序推荐全部投标人为合格的中标候选人进入定标阶段（其排名顺序只作为评标阶段确定</w:t>
      </w:r>
      <w:r>
        <w:rPr>
          <w:rFonts w:hint="eastAsia" w:ascii="宋体" w:hAnsi="宋体" w:eastAsia="宋体" w:cs="宋体"/>
          <w:bCs/>
          <w:color w:val="auto"/>
          <w:szCs w:val="21"/>
          <w:highlight w:val="none"/>
          <w:u w:val="single"/>
        </w:rPr>
        <w:t>进入定标阶段的依据,不</w:t>
      </w:r>
      <w:r>
        <w:rPr>
          <w:rFonts w:hint="eastAsia" w:ascii="宋体" w:hAnsi="宋体" w:cs="宋体"/>
          <w:bCs/>
          <w:color w:val="auto"/>
          <w:szCs w:val="21"/>
          <w:highlight w:val="none"/>
          <w:u w:val="single"/>
        </w:rPr>
        <w:t>对定标工作产生影响）</w:t>
      </w:r>
      <w:bookmarkStart w:id="89" w:name="OLE_LINK2"/>
      <w:r>
        <w:rPr>
          <w:rFonts w:hint="eastAsia" w:ascii="宋体" w:hAnsi="宋体" w:cs="宋体"/>
          <w:bCs/>
          <w:color w:val="auto"/>
          <w:szCs w:val="21"/>
          <w:highlight w:val="none"/>
          <w:u w:val="single"/>
        </w:rPr>
        <w:t>。</w:t>
      </w:r>
      <w:bookmarkEnd w:id="89"/>
    </w:p>
    <w:p w14:paraId="0BD129F7">
      <w:pPr>
        <w:pBdr>
          <w:bottom w:val="single" w:color="auto" w:sz="6" w:space="1"/>
        </w:pBdr>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合格的中标候选人不排序进入定标阶段，</w:t>
      </w:r>
      <w:r>
        <w:rPr>
          <w:rFonts w:hint="eastAsia" w:ascii="宋体" w:hAnsi="宋体" w:cs="宋体"/>
          <w:color w:val="auto"/>
          <w:szCs w:val="21"/>
          <w:highlight w:val="none"/>
          <w:u w:val="single"/>
        </w:rPr>
        <w:t>编写评标报告时，按统一社会信用代码后4位（除校验码外）大小排位，如统一社会信用代码后4位出现字母情况的，字母以“0”进行代替大小排位；如出现后4位（除校验码外）大小一致的，则随机排位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bCs/>
          <w:color w:val="auto"/>
          <w:szCs w:val="21"/>
          <w:highlight w:val="none"/>
          <w:u w:val="single"/>
        </w:rPr>
        <w:t>。</w:t>
      </w:r>
    </w:p>
    <w:p w14:paraId="03B30A5A">
      <w:pPr>
        <w:pBdr>
          <w:bottom w:val="single" w:color="auto" w:sz="6" w:space="1"/>
        </w:pBdr>
        <w:spacing w:line="400" w:lineRule="exact"/>
        <w:ind w:firstLine="422" w:firstLineChars="200"/>
        <w:rPr>
          <w:rFonts w:hint="eastAsia" w:ascii="宋体" w:hAnsi="宋体" w:cs="宋体"/>
          <w:bCs/>
          <w:color w:val="auto"/>
          <w:szCs w:val="21"/>
          <w:highlight w:val="none"/>
          <w:u w:val="single"/>
        </w:rPr>
      </w:pPr>
      <w:bookmarkStart w:id="90" w:name="OLE_LINK60"/>
      <w:bookmarkStart w:id="91" w:name="_Hlk198215114"/>
      <w:r>
        <w:rPr>
          <w:rFonts w:hint="eastAsia" w:ascii="宋体" w:hAnsi="宋体" w:cs="宋体"/>
          <w:b/>
          <w:bCs/>
          <w:color w:val="auto"/>
          <w:szCs w:val="21"/>
          <w:highlight w:val="none"/>
          <w:u w:val="single"/>
        </w:rPr>
        <w:t>在合格中标候选人公示期间或在定标前，如有投标人或其他利害关系人对评标结果提出异议影响进入定标阶段的中标候选人家数的，或者有合格的中标候选人放弃中标候选人资格，或者被查实存在影响中标候选人资格的违法行为等情形的，导致合格的中标候选人不足1</w:t>
      </w:r>
      <w:r>
        <w:rPr>
          <w:rFonts w:hint="eastAsia" w:ascii="宋体" w:hAnsi="宋体" w:cs="宋体"/>
          <w:b/>
          <w:bCs/>
          <w:color w:val="auto"/>
          <w:szCs w:val="21"/>
          <w:highlight w:val="none"/>
          <w:u w:val="single"/>
          <w:lang w:val="en-US" w:eastAsia="zh-CN"/>
        </w:rPr>
        <w:t>5</w:t>
      </w:r>
      <w:r>
        <w:rPr>
          <w:rFonts w:ascii="宋体" w:hAnsi="宋体" w:cs="宋体"/>
          <w:b/>
          <w:bCs/>
          <w:color w:val="auto"/>
          <w:szCs w:val="21"/>
          <w:highlight w:val="none"/>
          <w:u w:val="single"/>
        </w:rPr>
        <w:t>家的，</w:t>
      </w:r>
      <w:r>
        <w:rPr>
          <w:rFonts w:hint="eastAsia" w:ascii="宋体" w:hAnsi="宋体" w:cs="宋体"/>
          <w:b/>
          <w:bCs/>
          <w:color w:val="auto"/>
          <w:szCs w:val="21"/>
          <w:highlight w:val="none"/>
          <w:u w:val="single"/>
        </w:rPr>
        <w:t>按投标人总分排序依次上升递补进入定标阶段，直至无其他合格的中标候选人递补。如无其他合格的中标候选人递补的，则剩下合格的中标候选人进入定标阶段</w:t>
      </w:r>
      <w:bookmarkEnd w:id="90"/>
      <w:r>
        <w:rPr>
          <w:rFonts w:hint="eastAsia" w:ascii="宋体" w:hAnsi="宋体" w:cs="宋体"/>
          <w:b/>
          <w:bCs/>
          <w:color w:val="auto"/>
          <w:szCs w:val="21"/>
          <w:highlight w:val="none"/>
          <w:u w:val="single"/>
        </w:rPr>
        <w:t>。</w:t>
      </w:r>
      <w:bookmarkStart w:id="92" w:name="OLE_LINK53"/>
      <w:r>
        <w:rPr>
          <w:rFonts w:hint="eastAsia" w:ascii="宋体" w:hAnsi="宋体" w:cs="宋体"/>
          <w:b/>
          <w:bCs/>
          <w:color w:val="auto"/>
          <w:szCs w:val="21"/>
          <w:highlight w:val="none"/>
          <w:u w:val="single"/>
        </w:rPr>
        <w:t>合格的中标候选人不足3家，招标人依法重新招标。</w:t>
      </w:r>
      <w:bookmarkEnd w:id="91"/>
    </w:p>
    <w:bookmarkEnd w:id="88"/>
    <w:bookmarkEnd w:id="92"/>
    <w:p w14:paraId="5FD7E850">
      <w:pPr>
        <w:spacing w:line="400" w:lineRule="exact"/>
        <w:ind w:firstLine="472" w:firstLineChars="224"/>
        <w:rPr>
          <w:rFonts w:ascii="宋体" w:hAnsi="宋体" w:cs="宋体"/>
          <w:b/>
          <w:color w:val="auto"/>
          <w:szCs w:val="21"/>
          <w:highlight w:val="none"/>
        </w:rPr>
      </w:pPr>
    </w:p>
    <w:p w14:paraId="01B1E2C2">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38.1 </w:t>
      </w:r>
      <w:r>
        <w:rPr>
          <w:rFonts w:hint="eastAsia" w:ascii="宋体" w:hAnsi="宋体" w:cs="宋体"/>
          <w:b/>
          <w:color w:val="auto"/>
          <w:szCs w:val="21"/>
          <w:highlight w:val="none"/>
        </w:rPr>
        <w:t xml:space="preserve">                                修改类型：修改</w:t>
      </w:r>
    </w:p>
    <w:p w14:paraId="05CA75C8">
      <w:pP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r>
        <w:rPr>
          <w:rFonts w:hint="eastAsia" w:ascii="宋体" w:hAnsi="宋体" w:cs="宋体"/>
          <w:color w:val="auto"/>
          <w:szCs w:val="21"/>
          <w:highlight w:val="none"/>
        </w:rPr>
        <w:t>。</w:t>
      </w:r>
    </w:p>
    <w:p w14:paraId="0F3595F1">
      <w:pPr>
        <w:pBdr>
          <w:bottom w:val="single" w:color="auto" w:sz="6" w:space="1"/>
        </w:pBd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38.1为有助于投标文件的审查、评价和比较，评标期间，经评标委员会或评标委员会专业评审组中两人以上（含两人）</w:t>
      </w:r>
      <w:r>
        <w:rPr>
          <w:rFonts w:hint="eastAsia" w:ascii="宋体" w:hAnsi="宋体" w:cs="宋体"/>
          <w:bCs/>
          <w:color w:val="auto"/>
          <w:szCs w:val="21"/>
          <w:highlight w:val="none"/>
          <w:u w:val="single"/>
        </w:rPr>
        <w:t>的成员</w:t>
      </w:r>
      <w:r>
        <w:rPr>
          <w:rFonts w:hint="eastAsia" w:ascii="宋体" w:hAnsi="宋体" w:cs="宋体"/>
          <w:bCs/>
          <w:color w:val="auto"/>
          <w:szCs w:val="21"/>
          <w:highlight w:val="none"/>
        </w:rPr>
        <w:t>以书面形式提出动议，评标委员会或评标委员会专业评审组应当书面发出澄清通知，</w:t>
      </w:r>
      <w:r>
        <w:rPr>
          <w:rFonts w:hint="eastAsia" w:ascii="宋体" w:hAnsi="宋体" w:cs="宋体"/>
          <w:bCs/>
          <w:color w:val="auto"/>
          <w:szCs w:val="21"/>
          <w:highlight w:val="none"/>
          <w:u w:val="single"/>
        </w:rPr>
        <w:t>要求投标人对投标文件含义不明确、对同类问题表述不一致、有明显文字和计算错误的内容以及细微偏差的内容作出澄清</w:t>
      </w:r>
      <w:r>
        <w:rPr>
          <w:rFonts w:hint="eastAsia" w:ascii="宋体" w:hAnsi="宋体" w:cs="宋体"/>
          <w:color w:val="auto"/>
          <w:szCs w:val="21"/>
          <w:highlight w:val="none"/>
        </w:rPr>
        <w:t>。</w:t>
      </w:r>
    </w:p>
    <w:p w14:paraId="132FCE75">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条款号：38.5                                 修改类型：修改</w:t>
      </w:r>
    </w:p>
    <w:p w14:paraId="73484260">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EE1C537">
      <w:pPr>
        <w:pBdr>
          <w:bottom w:val="single" w:color="auto" w:sz="6" w:space="1"/>
        </w:pBd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38.5</w:t>
      </w:r>
      <w:bookmarkStart w:id="93" w:name="OLE_LINK65"/>
      <w:r>
        <w:rPr>
          <w:rFonts w:hint="eastAsia" w:ascii="宋体" w:hAnsi="宋体" w:cs="宋体"/>
          <w:color w:val="auto"/>
          <w:szCs w:val="21"/>
          <w:highlight w:val="none"/>
        </w:rPr>
        <w:t>投标人如在本项目中存在串通投标、</w:t>
      </w:r>
      <w:r>
        <w:rPr>
          <w:rFonts w:hint="eastAsia" w:ascii="宋体" w:hAnsi="宋体" w:cs="宋体"/>
          <w:color w:val="auto"/>
          <w:szCs w:val="21"/>
          <w:highlight w:val="none"/>
          <w:u w:val="single"/>
        </w:rPr>
        <w:t>弄虚作假骗取中标、行贿等</w:t>
      </w:r>
      <w:r>
        <w:rPr>
          <w:rFonts w:hint="eastAsia" w:ascii="宋体" w:hAnsi="宋体" w:cs="宋体"/>
          <w:color w:val="auto"/>
          <w:szCs w:val="21"/>
          <w:highlight w:val="none"/>
        </w:rPr>
        <w:t>情形且在评标</w:t>
      </w:r>
      <w:r>
        <w:rPr>
          <w:rFonts w:hint="eastAsia" w:ascii="宋体" w:hAnsi="宋体" w:cs="宋体"/>
          <w:color w:val="auto"/>
          <w:szCs w:val="21"/>
          <w:highlight w:val="none"/>
          <w:u w:val="single"/>
        </w:rPr>
        <w:t>或定标</w:t>
      </w:r>
      <w:r>
        <w:rPr>
          <w:rFonts w:hint="eastAsia" w:ascii="宋体" w:hAnsi="宋体" w:cs="宋体"/>
          <w:color w:val="auto"/>
          <w:szCs w:val="21"/>
          <w:highlight w:val="none"/>
        </w:rPr>
        <w:t>过程中未被发现的，该投标不改变本项目评标结果排序，</w:t>
      </w:r>
      <w:r>
        <w:rPr>
          <w:rFonts w:hint="eastAsia" w:ascii="宋体" w:hAnsi="宋体" w:cs="宋体"/>
          <w:color w:val="auto"/>
          <w:szCs w:val="21"/>
          <w:highlight w:val="none"/>
          <w:u w:val="single"/>
        </w:rPr>
        <w:t>若在定标过程中被确定为中标人，</w:t>
      </w:r>
      <w:r>
        <w:rPr>
          <w:rFonts w:hint="eastAsia" w:ascii="宋体" w:hAnsi="宋体" w:cs="宋体"/>
          <w:color w:val="auto"/>
          <w:szCs w:val="21"/>
          <w:highlight w:val="none"/>
        </w:rPr>
        <w:t>其中标无效。</w:t>
      </w:r>
      <w:bookmarkStart w:id="94" w:name="OLE_LINK66"/>
      <w:r>
        <w:rPr>
          <w:rFonts w:hint="eastAsia" w:ascii="宋体" w:hAnsi="宋体" w:cs="宋体"/>
          <w:color w:val="auto"/>
          <w:szCs w:val="21"/>
          <w:highlight w:val="none"/>
          <w:u w:val="single"/>
        </w:rPr>
        <w:t>招标人可重新组织原定标委员会从其他合格的中标候选人中采用原定标办法，由原定标委员会重新确定中标人，也可以重新招标。</w:t>
      </w:r>
      <w:bookmarkEnd w:id="93"/>
      <w:bookmarkEnd w:id="94"/>
    </w:p>
    <w:p w14:paraId="74097F07">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条款号：39                                   修改类型：修改</w:t>
      </w:r>
    </w:p>
    <w:p w14:paraId="5A98D76D">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bookmarkStart w:id="95" w:name="OLE_LINK118"/>
      <w:r>
        <w:rPr>
          <w:rFonts w:hint="eastAsia" w:ascii="宋体" w:hAnsi="宋体" w:cs="宋体"/>
          <w:b/>
          <w:bCs/>
          <w:color w:val="auto"/>
          <w:szCs w:val="21"/>
          <w:highlight w:val="none"/>
        </w:rPr>
        <w:t>39．定标</w:t>
      </w:r>
    </w:p>
    <w:p w14:paraId="6AEAED82">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14:paraId="73E8E060">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3A67269B">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084636C5">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3B18CFA3">
      <w:pPr>
        <w:pBdr>
          <w:bottom w:val="single" w:color="auto" w:sz="6" w:space="1"/>
        </w:pBdr>
        <w:spacing w:line="400" w:lineRule="exact"/>
        <w:ind w:firstLine="420" w:firstLineChars="200"/>
        <w:rPr>
          <w:rStyle w:val="121"/>
          <w:rFonts w:ascii="宋体" w:hAnsi="宋体" w:cs="宋体"/>
          <w:color w:val="auto"/>
          <w:szCs w:val="21"/>
          <w:highlight w:val="none"/>
        </w:rPr>
      </w:pPr>
      <w:r>
        <w:rPr>
          <w:rStyle w:val="121"/>
          <w:rFonts w:hint="eastAsia" w:ascii="宋体" w:hAnsi="宋体" w:cs="宋体"/>
          <w:color w:val="auto"/>
          <w:szCs w:val="21"/>
          <w:highlight w:val="none"/>
        </w:rPr>
        <w:t>39.5重新评标的，评标信息（含业绩、奖项等）仍以投标截止时投标人的信息为准。因特殊原因需要延长投标有效期，投标人拒绝延长投标有效期的，仍参与评标，但不被推荐为中标候选人。</w:t>
      </w:r>
    </w:p>
    <w:bookmarkEnd w:id="95"/>
    <w:p w14:paraId="014F741D">
      <w:pPr>
        <w:pBdr>
          <w:bottom w:val="single" w:color="auto" w:sz="6" w:space="1"/>
        </w:pBdr>
        <w:tabs>
          <w:tab w:val="left" w:pos="2100"/>
        </w:tabs>
        <w:spacing w:line="400" w:lineRule="exact"/>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现文：</w:t>
      </w:r>
      <w:bookmarkStart w:id="96" w:name="OLE_LINK119"/>
      <w:r>
        <w:rPr>
          <w:rFonts w:hint="eastAsia" w:ascii="宋体" w:hAnsi="宋体" w:cs="宋体"/>
          <w:b/>
          <w:bCs/>
          <w:color w:val="auto"/>
          <w:szCs w:val="21"/>
          <w:highlight w:val="none"/>
        </w:rPr>
        <w:t>39．定标</w:t>
      </w:r>
    </w:p>
    <w:p w14:paraId="385B2125">
      <w:pPr>
        <w:pBdr>
          <w:bottom w:val="single" w:color="auto" w:sz="6" w:space="1"/>
        </w:pBdr>
        <w:tabs>
          <w:tab w:val="left" w:pos="2100"/>
        </w:tabs>
        <w:spacing w:line="400" w:lineRule="exact"/>
        <w:ind w:firstLine="422" w:firstLineChars="200"/>
        <w:rPr>
          <w:rFonts w:hint="eastAsia" w:ascii="宋体" w:hAnsi="宋体"/>
          <w:color w:val="auto"/>
          <w:szCs w:val="21"/>
          <w:highlight w:val="none"/>
        </w:rPr>
      </w:pPr>
      <w:r>
        <w:rPr>
          <w:rFonts w:hint="eastAsia" w:ascii="宋体" w:hAnsi="宋体" w:cs="宋体"/>
          <w:b/>
          <w:color w:val="auto"/>
          <w:szCs w:val="21"/>
          <w:highlight w:val="none"/>
          <w:u w:val="single"/>
        </w:rPr>
        <w:t>具体定标条款详见本章50.定标</w:t>
      </w:r>
      <w:r>
        <w:rPr>
          <w:rFonts w:hint="eastAsia" w:ascii="宋体" w:hAnsi="宋体" w:cs="宋体"/>
          <w:color w:val="auto"/>
          <w:szCs w:val="21"/>
          <w:highlight w:val="none"/>
        </w:rPr>
        <w:t>。</w:t>
      </w:r>
    </w:p>
    <w:bookmarkEnd w:id="96"/>
    <w:p w14:paraId="670C8375">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14:paraId="2A53314D">
      <w:pPr>
        <w:pBdr>
          <w:bottom w:val="single" w:color="auto" w:sz="6" w:space="1"/>
        </w:pBdr>
        <w:spacing w:line="400" w:lineRule="exact"/>
        <w:ind w:firstLine="422" w:firstLineChars="200"/>
        <w:rPr>
          <w:rStyle w:val="121"/>
          <w:rFonts w:ascii="宋体" w:hAnsi="宋体" w:cs="宋体"/>
          <w:color w:val="auto"/>
          <w:szCs w:val="21"/>
          <w:highlight w:val="none"/>
        </w:rPr>
      </w:pPr>
      <w:r>
        <w:rPr>
          <w:rFonts w:hint="eastAsia" w:ascii="宋体" w:hAnsi="宋体" w:cs="宋体"/>
          <w:b/>
          <w:bCs/>
          <w:color w:val="auto"/>
          <w:szCs w:val="21"/>
          <w:highlight w:val="none"/>
        </w:rPr>
        <w:t>原文：</w:t>
      </w:r>
      <w:r>
        <w:rPr>
          <w:rStyle w:val="121"/>
          <w:rFonts w:hint="eastAsia" w:ascii="宋体" w:hAnsi="宋体" w:cs="宋体"/>
          <w:color w:val="auto"/>
          <w:szCs w:val="21"/>
          <w:highlight w:val="none"/>
        </w:rPr>
        <w:t>注：以下七种评标办法所述企业综合诚信评价分数即投标截止当日广州市工程招标代理行业协会网站上公布的企业综合诚信评价60日诚信分。</w:t>
      </w:r>
    </w:p>
    <w:p w14:paraId="16953740">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14:paraId="121AF939">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u w:val="single"/>
        </w:rPr>
        <w:t>可选办法一（适合</w:t>
      </w:r>
      <w:r>
        <w:rPr>
          <w:rFonts w:hint="eastAsia" w:ascii="宋体" w:hAnsi="宋体" w:cs="宋体"/>
          <w:color w:val="auto"/>
          <w:kern w:val="0"/>
          <w:szCs w:val="21"/>
          <w:highlight w:val="none"/>
          <w:u w:val="single"/>
        </w:rPr>
        <w:t>综合评分法一</w:t>
      </w:r>
      <w:r>
        <w:rPr>
          <w:rFonts w:hint="eastAsia" w:ascii="宋体" w:hAnsi="宋体" w:cs="宋体"/>
          <w:color w:val="auto"/>
          <w:szCs w:val="21"/>
          <w:highlight w:val="none"/>
          <w:u w:val="single"/>
        </w:rPr>
        <w:t>，技术标与经济标先后分别开启）</w:t>
      </w:r>
    </w:p>
    <w:p w14:paraId="69F1E69A">
      <w:pPr>
        <w:pBdr>
          <w:bottom w:val="single" w:color="auto" w:sz="6" w:space="1"/>
        </w:pBdr>
        <w:spacing w:line="400" w:lineRule="exact"/>
        <w:ind w:firstLine="1155" w:firstLineChars="550"/>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可选办法二（适合综合评分法一，技术标与经济标同时开启）</w:t>
      </w:r>
    </w:p>
    <w:p w14:paraId="18F551D6">
      <w:pPr>
        <w:pBdr>
          <w:bottom w:val="single" w:color="auto" w:sz="6" w:space="1"/>
        </w:pBdr>
        <w:spacing w:line="400" w:lineRule="exact"/>
        <w:ind w:firstLine="1155" w:firstLineChars="550"/>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可选办法三（适合综合评分法二，技术标与经济标先后分别开启）</w:t>
      </w:r>
    </w:p>
    <w:p w14:paraId="14916759">
      <w:pPr>
        <w:pBdr>
          <w:bottom w:val="single" w:color="auto" w:sz="6" w:space="1"/>
        </w:pBdr>
        <w:spacing w:line="400" w:lineRule="exact"/>
        <w:ind w:firstLine="1155" w:firstLineChars="550"/>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可选办法四（适合综合评分法二，技术标与经济标同时开启）</w:t>
      </w:r>
    </w:p>
    <w:p w14:paraId="6C690AB4">
      <w:pPr>
        <w:pBdr>
          <w:bottom w:val="single" w:color="auto" w:sz="6" w:space="1"/>
        </w:pBdr>
        <w:spacing w:line="400" w:lineRule="exact"/>
        <w:ind w:firstLine="1155" w:firstLineChars="550"/>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可选办法五（适合综合评分法三，技术标与经济标先后分别开启）</w:t>
      </w:r>
    </w:p>
    <w:p w14:paraId="307F38BE">
      <w:pPr>
        <w:pBdr>
          <w:bottom w:val="single" w:color="auto" w:sz="6" w:space="1"/>
        </w:pBdr>
        <w:spacing w:line="400" w:lineRule="exact"/>
        <w:ind w:firstLine="1155" w:firstLineChars="550"/>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可选办法六（适合综合评分法三，技术标与经济标同时开启）</w:t>
      </w:r>
    </w:p>
    <w:p w14:paraId="61110A5C">
      <w:pPr>
        <w:pBdr>
          <w:bottom w:val="single" w:color="auto" w:sz="6" w:space="1"/>
        </w:pBdr>
        <w:spacing w:line="400" w:lineRule="exact"/>
        <w:ind w:firstLine="1155" w:firstLineChars="550"/>
        <w:rPr>
          <w:rFonts w:hint="eastAsia" w:ascii="宋体" w:hAnsi="宋体" w:cs="宋体"/>
          <w:b/>
          <w:color w:val="auto"/>
          <w:szCs w:val="21"/>
          <w:highlight w:val="none"/>
        </w:rPr>
      </w:pPr>
      <w:r>
        <w:rPr>
          <w:rFonts w:hint="eastAsia" w:ascii="宋体" w:hAnsi="宋体" w:cs="宋体"/>
          <w:color w:val="auto"/>
          <w:szCs w:val="21"/>
          <w:highlight w:val="none"/>
          <w:u w:val="single"/>
        </w:rPr>
        <w:t>可选办法八（适合经评审的最低投标价法，技术标与经济标同时开启）</w:t>
      </w:r>
    </w:p>
    <w:p w14:paraId="7D0A69A8">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可选办法七、40 </w:t>
      </w:r>
      <w:r>
        <w:rPr>
          <w:rFonts w:hint="eastAsia" w:ascii="宋体" w:hAnsi="宋体" w:cs="宋体"/>
          <w:b/>
          <w:color w:val="auto"/>
          <w:szCs w:val="21"/>
          <w:highlight w:val="none"/>
        </w:rPr>
        <w:t xml:space="preserve">                       修改类型：修改</w:t>
      </w:r>
    </w:p>
    <w:p w14:paraId="72F88485">
      <w:pP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原文：40.</w:t>
      </w:r>
      <w:r>
        <w:rPr>
          <w:rFonts w:hint="eastAsia" w:ascii="宋体" w:hAnsi="宋体" w:cs="宋体"/>
          <w:color w:val="auto"/>
          <w:szCs w:val="21"/>
          <w:highlight w:val="none"/>
        </w:rPr>
        <w:t>开标和评标程序</w:t>
      </w:r>
    </w:p>
    <w:p w14:paraId="71BC3B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40.1技术标（含资格审查文件）与经济标投标文件同时公开开标；</w:t>
      </w:r>
    </w:p>
    <w:p w14:paraId="7B8E40D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40.2由评标委员会对所有已公开开标的投标人进行资格审查；</w:t>
      </w:r>
    </w:p>
    <w:p w14:paraId="20CC345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40.3技术标投标文件有效性审查；</w:t>
      </w:r>
    </w:p>
    <w:p w14:paraId="2A4AD30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40.4技术标详细审查评分；</w:t>
      </w:r>
    </w:p>
    <w:p w14:paraId="3D41FB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40.5经济标详细审查评分； </w:t>
      </w:r>
    </w:p>
    <w:p w14:paraId="6667F7DF">
      <w:pPr>
        <w:pBdr>
          <w:bottom w:val="none" w:color="auto" w:sz="0"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40.6评标委员会按照投标人总得分由高至低排序；</w:t>
      </w:r>
    </w:p>
    <w:p w14:paraId="79B92F48">
      <w:pPr>
        <w:pBdr>
          <w:bottom w:val="none" w:color="auto" w:sz="0"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40.7经济标投标文件有效性审查；</w:t>
      </w:r>
    </w:p>
    <w:p w14:paraId="63B49E58">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40.8评标委员会按排序向招标人推荐中标候选人名单，并递交资格审查报告及评标报告。</w:t>
      </w:r>
    </w:p>
    <w:p w14:paraId="3E00B864">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bookmarkStart w:id="97" w:name="OLE_LINK120"/>
      <w:r>
        <w:rPr>
          <w:rFonts w:hint="eastAsia" w:ascii="宋体" w:hAnsi="宋体" w:cs="宋体"/>
          <w:color w:val="auto"/>
          <w:szCs w:val="21"/>
          <w:highlight w:val="none"/>
        </w:rPr>
        <w:t>开标</w:t>
      </w:r>
      <w:r>
        <w:rPr>
          <w:rFonts w:hint="eastAsia" w:ascii="宋体" w:hAnsi="宋体" w:cs="宋体"/>
          <w:color w:val="auto"/>
          <w:szCs w:val="21"/>
          <w:highlight w:val="none"/>
          <w:u w:val="single"/>
        </w:rPr>
        <w:t>、评标及定标办法</w:t>
      </w:r>
    </w:p>
    <w:p w14:paraId="0FB98D8B">
      <w:pPr>
        <w:pBdr>
          <w:bottom w:val="single" w:color="auto" w:sz="6" w:space="1"/>
        </w:pBd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40.1</w:t>
      </w:r>
      <w:r>
        <w:rPr>
          <w:rFonts w:hint="eastAsia" w:ascii="宋体" w:hAnsi="宋体" w:cs="宋体"/>
          <w:color w:val="auto"/>
          <w:szCs w:val="21"/>
          <w:highlight w:val="none"/>
          <w:u w:val="single"/>
        </w:rPr>
        <w:t>投标人递交技术标（含资格审查文件)、经济标投标文件和定标文件</w:t>
      </w:r>
      <w:r>
        <w:rPr>
          <w:rFonts w:hint="eastAsia" w:ascii="宋体" w:hAnsi="宋体" w:cs="宋体"/>
          <w:color w:val="auto"/>
          <w:szCs w:val="21"/>
          <w:highlight w:val="none"/>
        </w:rPr>
        <w:t>；</w:t>
      </w:r>
    </w:p>
    <w:p w14:paraId="045C766B">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40.2技术标（含资格审查文件）</w:t>
      </w:r>
      <w:r>
        <w:rPr>
          <w:rFonts w:hint="eastAsia" w:ascii="宋体" w:hAnsi="宋体" w:cs="宋体"/>
          <w:color w:val="auto"/>
          <w:szCs w:val="21"/>
          <w:highlight w:val="none"/>
          <w:u w:val="single"/>
        </w:rPr>
        <w:t>、</w:t>
      </w:r>
      <w:r>
        <w:rPr>
          <w:rFonts w:hint="eastAsia" w:ascii="宋体" w:hAnsi="宋体" w:cs="宋体"/>
          <w:color w:val="auto"/>
          <w:szCs w:val="21"/>
          <w:highlight w:val="none"/>
        </w:rPr>
        <w:t>经济标</w:t>
      </w:r>
      <w:r>
        <w:rPr>
          <w:rFonts w:hint="eastAsia" w:ascii="宋体" w:hAnsi="宋体" w:cs="宋体"/>
          <w:color w:val="auto"/>
          <w:szCs w:val="21"/>
          <w:highlight w:val="none"/>
          <w:u w:val="single"/>
        </w:rPr>
        <w:t>和定标</w:t>
      </w:r>
      <w:r>
        <w:rPr>
          <w:rFonts w:hint="eastAsia" w:ascii="宋体" w:hAnsi="宋体" w:cs="宋体"/>
          <w:color w:val="auto"/>
          <w:szCs w:val="21"/>
          <w:highlight w:val="none"/>
        </w:rPr>
        <w:t>投标文件同时公开开标；</w:t>
      </w:r>
    </w:p>
    <w:p w14:paraId="7346B1E1">
      <w:pPr>
        <w:pBdr>
          <w:bottom w:val="single" w:color="auto" w:sz="6" w:space="1"/>
        </w:pBd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40.3由评标委员会对所有已公开开标的投标人进行资格审查，并编写资格审查报告；</w:t>
      </w:r>
    </w:p>
    <w:p w14:paraId="5184A31D">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40.4技术标有效性审查；</w:t>
      </w:r>
    </w:p>
    <w:p w14:paraId="6F4DD16D">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40.5技术标详细审查评分；</w:t>
      </w:r>
    </w:p>
    <w:p w14:paraId="77E2DDB1">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40.6经济标有效性审查；</w:t>
      </w:r>
    </w:p>
    <w:p w14:paraId="3E9F9A0F">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40.7经济标详细审查评分；</w:t>
      </w:r>
    </w:p>
    <w:p w14:paraId="1AB9D73F">
      <w:pPr>
        <w:pBdr>
          <w:bottom w:val="single" w:color="auto" w:sz="6" w:space="1"/>
        </w:pBd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40.8评标委员会按照投标人总得分由高至低排序；</w:t>
      </w:r>
    </w:p>
    <w:p w14:paraId="059F8890">
      <w:pPr>
        <w:pBdr>
          <w:bottom w:val="single" w:color="auto" w:sz="6" w:space="1"/>
        </w:pBdr>
        <w:spacing w:line="40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40.9</w:t>
      </w:r>
      <w:bookmarkStart w:id="98" w:name="OLE_LINK44"/>
      <w:r>
        <w:rPr>
          <w:rFonts w:hint="eastAsia" w:ascii="宋体" w:hAnsi="宋体" w:cs="宋体"/>
          <w:bCs/>
          <w:color w:val="auto"/>
          <w:szCs w:val="21"/>
          <w:highlight w:val="none"/>
          <w:u w:val="single"/>
        </w:rPr>
        <w:t>评标委员会编写资格审查报告以及评标报告，向招标人推荐1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名合格的中标候选人进入定标阶段。若参与投标人得分汇总的投标人家数大于1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家（不含1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家），评标委员会应按投标人总得分排序先后顺序，推荐排序前1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名投标人为合格的中标候选人进入定标阶段。若参与投标人得分汇总的投标人家数在【3，1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】的，不排序推荐全部投标人为合格的中标候选人进入定标阶段（其排名顺序只作为评标阶段确定进入定标阶段的依据,不对定标工作产生影响）。</w:t>
      </w:r>
    </w:p>
    <w:p w14:paraId="7D0EAF10">
      <w:pPr>
        <w:pBdr>
          <w:bottom w:val="single" w:color="auto" w:sz="6" w:space="1"/>
        </w:pBdr>
        <w:spacing w:line="400" w:lineRule="exact"/>
        <w:ind w:firstLine="420" w:firstLineChars="200"/>
        <w:rPr>
          <w:rFonts w:ascii="宋体" w:hAnsi="宋体" w:cs="宋体"/>
          <w:bCs/>
          <w:color w:val="auto"/>
          <w:szCs w:val="21"/>
          <w:highlight w:val="none"/>
          <w:u w:val="single"/>
        </w:rPr>
      </w:pPr>
      <w:bookmarkStart w:id="99" w:name="OLE_LINK38"/>
      <w:r>
        <w:rPr>
          <w:rFonts w:hint="eastAsia" w:ascii="宋体" w:hAnsi="宋体" w:cs="宋体"/>
          <w:bCs/>
          <w:color w:val="auto"/>
          <w:szCs w:val="21"/>
          <w:highlight w:val="none"/>
          <w:u w:val="single"/>
        </w:rPr>
        <w:t>合格的中标候选人不排序进入定标阶段，</w:t>
      </w:r>
      <w:r>
        <w:rPr>
          <w:rFonts w:hint="eastAsia" w:ascii="宋体" w:hAnsi="宋体" w:cs="宋体"/>
          <w:color w:val="auto"/>
          <w:szCs w:val="21"/>
          <w:highlight w:val="none"/>
          <w:u w:val="single"/>
        </w:rPr>
        <w:t>编写评标报告时，按统一社会信用代码后4位（除校验码外）大小排位，如统一社会信用代码后4位出现字母情况的，字母以“0”进行代替大小排位；如出现后4位（除校验码外）大小一致的，则随机排位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bCs/>
          <w:color w:val="auto"/>
          <w:szCs w:val="21"/>
          <w:highlight w:val="none"/>
          <w:u w:val="single"/>
        </w:rPr>
        <w:t>。</w:t>
      </w:r>
    </w:p>
    <w:p w14:paraId="38D41D4E">
      <w:pPr>
        <w:pBdr>
          <w:bottom w:val="single" w:color="auto" w:sz="6" w:space="1"/>
        </w:pBdr>
        <w:spacing w:line="400" w:lineRule="exact"/>
        <w:ind w:firstLine="422" w:firstLineChars="200"/>
        <w:rPr>
          <w:rFonts w:hint="eastAsia" w:ascii="宋体" w:hAnsi="宋体" w:cs="宋体"/>
          <w:bCs/>
          <w:color w:val="auto"/>
          <w:szCs w:val="21"/>
          <w:highlight w:val="none"/>
          <w:u w:val="single"/>
        </w:rPr>
      </w:pPr>
      <w:bookmarkStart w:id="100" w:name="OLE_LINK40"/>
      <w:r>
        <w:rPr>
          <w:rFonts w:hint="eastAsia" w:ascii="宋体" w:hAnsi="宋体" w:cs="宋体"/>
          <w:b/>
          <w:bCs/>
          <w:color w:val="auto"/>
          <w:szCs w:val="21"/>
          <w:highlight w:val="none"/>
          <w:u w:val="single"/>
        </w:rPr>
        <w:t>在合格中标候选人公示期间或在定标前，如有投标人或其他利害关系人对评标结果提出异议影响进入定标阶段的中标候选人家数的，或者有合格的中标候选人放弃中标候选人资格，或者被查实存在影响中标候选人资格的违法行为等情形的，导致合格的中标候选人不足1</w:t>
      </w:r>
      <w:r>
        <w:rPr>
          <w:rFonts w:hint="eastAsia" w:ascii="宋体" w:hAnsi="宋体" w:cs="宋体"/>
          <w:b/>
          <w:bCs/>
          <w:color w:val="auto"/>
          <w:szCs w:val="21"/>
          <w:highlight w:val="none"/>
          <w:u w:val="single"/>
          <w:lang w:val="en-US" w:eastAsia="zh-CN"/>
        </w:rPr>
        <w:t>5</w:t>
      </w:r>
      <w:r>
        <w:rPr>
          <w:rFonts w:ascii="宋体" w:hAnsi="宋体" w:cs="宋体"/>
          <w:b/>
          <w:bCs/>
          <w:color w:val="auto"/>
          <w:szCs w:val="21"/>
          <w:highlight w:val="none"/>
          <w:u w:val="single"/>
        </w:rPr>
        <w:t>家的，</w:t>
      </w:r>
      <w:r>
        <w:rPr>
          <w:rFonts w:hint="eastAsia" w:ascii="宋体" w:hAnsi="宋体" w:cs="宋体"/>
          <w:b/>
          <w:bCs/>
          <w:color w:val="auto"/>
          <w:szCs w:val="21"/>
          <w:highlight w:val="none"/>
          <w:u w:val="single"/>
        </w:rPr>
        <w:t>按投标人总分排序依次上升递补进入定标阶段，直至无其他合格的中标候选人递补。如无其他合格的中标候选人递补的，则剩下合格的中标候选人进入定标阶段。合格的中标候选人不足3家，招标人依法重新招标。</w:t>
      </w:r>
    </w:p>
    <w:bookmarkEnd w:id="98"/>
    <w:bookmarkEnd w:id="99"/>
    <w:bookmarkEnd w:id="100"/>
    <w:p w14:paraId="6A817090">
      <w:pPr>
        <w:pBdr>
          <w:bottom w:val="single" w:color="auto" w:sz="6" w:space="1"/>
        </w:pBd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40.10</w:t>
      </w:r>
      <w:r>
        <w:rPr>
          <w:rFonts w:hint="eastAsia" w:ascii="宋体" w:hAnsi="宋体" w:cs="宋体"/>
          <w:bCs/>
          <w:color w:val="auto"/>
          <w:szCs w:val="21"/>
          <w:highlight w:val="none"/>
          <w:u w:val="single"/>
        </w:rPr>
        <w:t>定标委员会对评标委员会推荐的合格的中标候选人按《定标因素表》撰写评语并进行直接票决确定中标人。每位定标委员只有1票表决权（即每位定标委员只能对其中一家合格中标候选人投票），得票数最多的合格的中标候选人为中标人。定标结束后，定标委员会向招标人递交定标报告。</w:t>
      </w:r>
      <w:bookmarkEnd w:id="97"/>
    </w:p>
    <w:p w14:paraId="658F0CBB">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条款号：41.1                                    修改类型：修改</w:t>
      </w:r>
    </w:p>
    <w:p w14:paraId="03FB1CC8">
      <w:pPr>
        <w:snapToGrid w:val="0"/>
        <w:spacing w:line="400" w:lineRule="exact"/>
        <w:ind w:firstLine="460" w:firstLineChars="218"/>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41.1开</w:t>
      </w:r>
      <w:r>
        <w:rPr>
          <w:rFonts w:hint="eastAsia" w:ascii="宋体" w:hAnsi="宋体" w:cs="宋体"/>
          <w:color w:val="auto"/>
          <w:szCs w:val="21"/>
          <w:highlight w:val="none"/>
        </w:rPr>
        <w:t>标由招标人主持；</w:t>
      </w:r>
    </w:p>
    <w:p w14:paraId="2024AB1D">
      <w:pPr>
        <w:pBdr>
          <w:bottom w:val="single" w:color="auto" w:sz="6" w:space="1"/>
        </w:pBd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41.1</w:t>
      </w:r>
      <w:r>
        <w:rPr>
          <w:rFonts w:hint="eastAsia" w:ascii="宋体" w:hAnsi="宋体" w:cs="宋体"/>
          <w:color w:val="auto"/>
          <w:szCs w:val="21"/>
          <w:highlight w:val="none"/>
        </w:rPr>
        <w:t>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14:paraId="4243ACB6">
      <w:pP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条款号：41.2.1                                  修改类型：修改</w:t>
      </w:r>
    </w:p>
    <w:p w14:paraId="681F07D5">
      <w:pPr>
        <w:pBdr>
          <w:bottom w:val="single" w:color="auto" w:sz="6" w:space="1"/>
        </w:pBd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41.2.1</w:t>
      </w:r>
      <w:r>
        <w:rPr>
          <w:rFonts w:hint="eastAsia" w:ascii="宋体" w:hAnsi="宋体" w:cs="宋体"/>
          <w:color w:val="auto"/>
          <w:szCs w:val="21"/>
          <w:highlight w:val="none"/>
        </w:rPr>
        <w:t>投标截止期前，各投标人递交投标文件（包括技术标投标文件、经济标投标文件）至交易平台。有关投标文件提交的事项详见第一章投标须知。</w:t>
      </w:r>
    </w:p>
    <w:p w14:paraId="0CD4F658">
      <w:pPr>
        <w:pBdr>
          <w:bottom w:val="single" w:color="auto" w:sz="6" w:space="1"/>
        </w:pBdr>
        <w:spacing w:line="40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41.2.1</w:t>
      </w:r>
      <w:r>
        <w:rPr>
          <w:rFonts w:hint="eastAsia" w:ascii="宋体" w:hAnsi="宋体" w:cs="宋体"/>
          <w:color w:val="auto"/>
          <w:szCs w:val="21"/>
          <w:highlight w:val="none"/>
        </w:rPr>
        <w:t>投标截止期前，各投标人递交投标文件（包括技术标投标文件</w:t>
      </w:r>
      <w:r>
        <w:rPr>
          <w:rFonts w:hint="eastAsia" w:ascii="宋体" w:hAnsi="宋体" w:cs="宋体"/>
          <w:color w:val="auto"/>
          <w:szCs w:val="21"/>
          <w:highlight w:val="none"/>
          <w:u w:val="single"/>
        </w:rPr>
        <w:t>（含资格审查文件）</w:t>
      </w:r>
      <w:r>
        <w:rPr>
          <w:rFonts w:hint="eastAsia" w:ascii="宋体" w:hAnsi="宋体" w:cs="宋体"/>
          <w:color w:val="auto"/>
          <w:szCs w:val="21"/>
          <w:highlight w:val="none"/>
        </w:rPr>
        <w:t>、经济标投标文件</w:t>
      </w:r>
      <w:r>
        <w:rPr>
          <w:rFonts w:hint="eastAsia" w:ascii="宋体" w:hAnsi="宋体" w:cs="宋体"/>
          <w:color w:val="auto"/>
          <w:szCs w:val="21"/>
          <w:highlight w:val="none"/>
          <w:u w:val="single"/>
        </w:rPr>
        <w:t>和定标文件</w:t>
      </w:r>
      <w:r>
        <w:rPr>
          <w:rFonts w:hint="eastAsia" w:ascii="宋体" w:hAnsi="宋体" w:cs="宋体"/>
          <w:color w:val="auto"/>
          <w:szCs w:val="21"/>
          <w:highlight w:val="none"/>
        </w:rPr>
        <w:t>）至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14:paraId="185EE294">
      <w:pPr>
        <w:pStyle w:val="37"/>
        <w:spacing w:after="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条款号：41.2.3                                   修改类型：修改</w:t>
      </w:r>
    </w:p>
    <w:p w14:paraId="7ECDA436">
      <w:pPr>
        <w:spacing w:line="40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开标时，投标人代表有权出席开标会，也可以自主决定不参加开标会，若投标人代表对开标过程提出异议，该投标人代表须同时出示本人身份证原件。</w:t>
      </w:r>
    </w:p>
    <w:p w14:paraId="2D862BDD">
      <w:pPr>
        <w:pBdr>
          <w:bottom w:val="single" w:color="auto" w:sz="6" w:space="1"/>
        </w:pBdr>
        <w:spacing w:line="400" w:lineRule="exact"/>
        <w:ind w:firstLine="413"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开标时，投标人代表有权参加现场开标</w:t>
      </w:r>
      <w:r>
        <w:rPr>
          <w:rFonts w:hint="eastAsia" w:ascii="宋体" w:hAnsi="宋体" w:cs="宋体"/>
          <w:bCs/>
          <w:color w:val="auto"/>
          <w:kern w:val="0"/>
          <w:szCs w:val="21"/>
          <w:highlight w:val="none"/>
          <w:u w:val="single"/>
        </w:rPr>
        <w:t>或在线开标</w:t>
      </w:r>
      <w:r>
        <w:rPr>
          <w:rFonts w:hint="eastAsia" w:ascii="宋体" w:hAnsi="宋体" w:cs="宋体"/>
          <w:bCs/>
          <w:color w:val="auto"/>
          <w:kern w:val="0"/>
          <w:szCs w:val="21"/>
          <w:highlight w:val="none"/>
        </w:rPr>
        <w:t>，也可以自主决定不参加开标，若投标人代表对开标过程</w:t>
      </w:r>
      <w:r>
        <w:rPr>
          <w:rFonts w:hint="eastAsia" w:ascii="宋体" w:hAnsi="宋体" w:cs="宋体"/>
          <w:bCs/>
          <w:color w:val="auto"/>
          <w:kern w:val="0"/>
          <w:szCs w:val="21"/>
          <w:highlight w:val="none"/>
          <w:u w:val="single"/>
        </w:rPr>
        <w:t>有</w:t>
      </w:r>
      <w:r>
        <w:rPr>
          <w:rFonts w:hint="eastAsia" w:ascii="宋体" w:hAnsi="宋体" w:cs="宋体"/>
          <w:bCs/>
          <w:color w:val="auto"/>
          <w:kern w:val="0"/>
          <w:szCs w:val="21"/>
          <w:highlight w:val="none"/>
        </w:rPr>
        <w:t>异议</w:t>
      </w:r>
      <w:r>
        <w:rPr>
          <w:rFonts w:hint="eastAsia" w:ascii="宋体" w:hAnsi="宋体" w:cs="宋体"/>
          <w:bCs/>
          <w:color w:val="auto"/>
          <w:kern w:val="0"/>
          <w:szCs w:val="21"/>
          <w:highlight w:val="none"/>
          <w:u w:val="single"/>
        </w:rPr>
        <w:t>的</w:t>
      </w:r>
      <w:r>
        <w:rPr>
          <w:rFonts w:hint="eastAsia" w:ascii="宋体" w:hAnsi="宋体" w:cs="宋体"/>
          <w:bCs/>
          <w:color w:val="auto"/>
          <w:kern w:val="0"/>
          <w:szCs w:val="21"/>
          <w:highlight w:val="none"/>
        </w:rPr>
        <w:t>，</w:t>
      </w:r>
      <w:r>
        <w:rPr>
          <w:rFonts w:hint="eastAsia" w:ascii="宋体" w:hAnsi="宋体" w:cs="宋体"/>
          <w:color w:val="auto"/>
          <w:kern w:val="0"/>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s="宋体"/>
          <w:bCs/>
          <w:color w:val="auto"/>
          <w:szCs w:val="21"/>
          <w:highlight w:val="none"/>
        </w:rPr>
        <w:t>。</w:t>
      </w:r>
    </w:p>
    <w:p w14:paraId="6FC610C0">
      <w:pPr>
        <w:pStyle w:val="37"/>
        <w:spacing w:after="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41.2.4.1</w:t>
      </w:r>
      <w:r>
        <w:rPr>
          <w:rFonts w:hint="eastAsia" w:ascii="宋体" w:hAnsi="宋体" w:cs="宋体"/>
          <w:b/>
          <w:color w:val="auto"/>
          <w:szCs w:val="21"/>
          <w:highlight w:val="none"/>
        </w:rPr>
        <w:t xml:space="preserve">                                  修改类型：修改</w:t>
      </w:r>
    </w:p>
    <w:p w14:paraId="4ACB9979">
      <w:pPr>
        <w:spacing w:line="40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b w:val="0"/>
          <w:color w:val="auto"/>
          <w:szCs w:val="21"/>
          <w:highlight w:val="none"/>
        </w:rPr>
        <w:t>41.2.4.1</w:t>
      </w:r>
      <w:r>
        <w:rPr>
          <w:rFonts w:hint="eastAsia" w:ascii="宋体" w:hAnsi="宋体" w:eastAsia="宋体" w:cs="宋体"/>
          <w:color w:val="auto"/>
          <w:szCs w:val="21"/>
          <w:highlight w:val="none"/>
        </w:rPr>
        <w:t>开标</w:t>
      </w:r>
      <w:r>
        <w:rPr>
          <w:rFonts w:hint="eastAsia" w:ascii="宋体" w:hAnsi="宋体" w:cs="宋体"/>
          <w:color w:val="auto"/>
          <w:szCs w:val="21"/>
          <w:highlight w:val="none"/>
        </w:rPr>
        <w:t>时，公布：a、投标人名称；b、投标文件密封情况；c、投标报价；d、投标保证金；e、项目经理（负责人）名称；</w:t>
      </w:r>
      <w:r>
        <w:rPr>
          <w:rFonts w:ascii="宋体" w:hAnsi="宋体" w:cs="宋体"/>
          <w:color w:val="auto"/>
          <w:szCs w:val="21"/>
          <w:highlight w:val="none"/>
        </w:rPr>
        <w:t>f</w:t>
      </w:r>
      <w:r>
        <w:rPr>
          <w:rFonts w:hint="eastAsia" w:ascii="宋体" w:hAnsi="宋体" w:cs="宋体"/>
          <w:color w:val="auto"/>
          <w:szCs w:val="21"/>
          <w:highlight w:val="none"/>
        </w:rPr>
        <w:t>、法定代表人证明及授权委托等主要内容及开标记录表中的其他必要内容。投标报价以数字和文字两种方式表述的，应公布文字表述的投标报价。</w:t>
      </w:r>
    </w:p>
    <w:p w14:paraId="4EECCA47">
      <w:pPr>
        <w:pBdr>
          <w:bottom w:val="single" w:color="auto" w:sz="6" w:space="1"/>
        </w:pBdr>
        <w:spacing w:line="400" w:lineRule="exact"/>
        <w:ind w:firstLine="413"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eastAsia="宋体" w:cs="宋体"/>
          <w:b w:val="0"/>
          <w:color w:val="auto"/>
          <w:szCs w:val="21"/>
          <w:highlight w:val="none"/>
        </w:rPr>
        <w:t>41.2.4.1</w:t>
      </w:r>
      <w:r>
        <w:rPr>
          <w:rFonts w:hint="eastAsia" w:ascii="宋体" w:hAnsi="宋体" w:cs="宋体"/>
          <w:color w:val="auto"/>
          <w:szCs w:val="21"/>
          <w:highlight w:val="none"/>
        </w:rPr>
        <w:t>开标时，公布：a、投标人名称；b、投标报价；</w:t>
      </w:r>
      <w:r>
        <w:rPr>
          <w:rFonts w:hint="eastAsia" w:ascii="宋体" w:hAnsi="宋体" w:cs="宋体"/>
          <w:color w:val="auto"/>
          <w:szCs w:val="21"/>
          <w:highlight w:val="none"/>
          <w:u w:val="single"/>
        </w:rPr>
        <w:t>c、项目经理（负责人）名称；d、技术负责人；e、专职安全员；</w:t>
      </w:r>
      <w:r>
        <w:rPr>
          <w:rFonts w:hint="eastAsia" w:ascii="宋体" w:hAnsi="宋体" w:cs="宋体"/>
          <w:color w:val="auto"/>
          <w:szCs w:val="21"/>
          <w:highlight w:val="none"/>
        </w:rPr>
        <w:t>f、法定代表人证明及授权委托等主要内容及开标记录表中的其他必要内容。投标报价以数字和文字两种方式表述的，应公布文字表述的投标报价。</w:t>
      </w:r>
    </w:p>
    <w:p w14:paraId="0DD48FE0">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条款号：41.3                                     修改类型：修改</w:t>
      </w:r>
    </w:p>
    <w:p w14:paraId="74EE93D3">
      <w:pPr>
        <w:pBdr>
          <w:bottom w:val="single" w:color="auto" w:sz="6" w:space="1"/>
        </w:pBd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lang w:bidi="ar"/>
        </w:rPr>
        <w:t>原文：</w:t>
      </w:r>
      <w:r>
        <w:rPr>
          <w:rFonts w:hint="eastAsia" w:ascii="宋体" w:hAnsi="宋体" w:cs="宋体"/>
          <w:bCs/>
          <w:color w:val="auto"/>
          <w:szCs w:val="21"/>
          <w:highlight w:val="none"/>
          <w:lang w:bidi="ar"/>
        </w:rPr>
        <w:t>41.3</w:t>
      </w:r>
      <w:r>
        <w:rPr>
          <w:rFonts w:hint="eastAsia" w:ascii="宋体" w:hAnsi="宋体" w:cs="宋体"/>
          <w:color w:val="auto"/>
          <w:szCs w:val="21"/>
          <w:highlight w:val="none"/>
          <w:lang w:bidi="ar"/>
        </w:rPr>
        <w:t>招标人对开标过程进行记录，并存档备查，投标人在技术标开标记录上签字。</w:t>
      </w:r>
    </w:p>
    <w:p w14:paraId="221991B5">
      <w:pPr>
        <w:pBdr>
          <w:bottom w:val="single" w:color="auto" w:sz="6" w:space="1"/>
        </w:pBd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现文：</w:t>
      </w:r>
      <w:r>
        <w:rPr>
          <w:rFonts w:hint="eastAsia" w:ascii="宋体" w:hAnsi="宋体" w:cs="宋体"/>
          <w:bCs/>
          <w:color w:val="auto"/>
          <w:szCs w:val="21"/>
          <w:highlight w:val="none"/>
          <w:lang w:bidi="ar"/>
        </w:rPr>
        <w:t>41.3</w:t>
      </w:r>
      <w:bookmarkStart w:id="101" w:name="OLE_LINK35"/>
      <w:r>
        <w:rPr>
          <w:rFonts w:hint="eastAsia" w:ascii="宋体" w:hAnsi="宋体" w:cs="宋体"/>
          <w:color w:val="auto"/>
          <w:szCs w:val="21"/>
          <w:highlight w:val="none"/>
          <w:lang w:bidi="ar"/>
        </w:rPr>
        <w:t>招标人</w:t>
      </w:r>
      <w:r>
        <w:rPr>
          <w:rFonts w:hint="eastAsia" w:ascii="宋体" w:hAnsi="宋体" w:cs="宋体"/>
          <w:color w:val="auto"/>
          <w:szCs w:val="21"/>
          <w:highlight w:val="none"/>
          <w:u w:val="single"/>
          <w:lang w:bidi="ar"/>
        </w:rPr>
        <w:t>或招标代理机构</w:t>
      </w:r>
      <w:r>
        <w:rPr>
          <w:rFonts w:hint="eastAsia" w:ascii="宋体" w:hAnsi="宋体" w:cs="宋体"/>
          <w:color w:val="auto"/>
          <w:szCs w:val="21"/>
          <w:highlight w:val="none"/>
          <w:lang w:bidi="ar"/>
        </w:rPr>
        <w:t>对开标过程进行记录，并存档备查，</w:t>
      </w:r>
      <w:r>
        <w:rPr>
          <w:rFonts w:hint="eastAsia" w:ascii="宋体" w:hAnsi="宋体" w:cs="宋体"/>
          <w:color w:val="auto"/>
          <w:szCs w:val="21"/>
          <w:highlight w:val="none"/>
          <w:u w:val="single"/>
          <w:lang w:bidi="ar"/>
        </w:rPr>
        <w:t>参加开标会的</w:t>
      </w:r>
      <w:r>
        <w:rPr>
          <w:rFonts w:hint="eastAsia" w:ascii="宋体" w:hAnsi="宋体" w:cs="宋体"/>
          <w:color w:val="auto"/>
          <w:szCs w:val="21"/>
          <w:highlight w:val="none"/>
          <w:lang w:bidi="ar"/>
        </w:rPr>
        <w:t>投标人在开标记录上签字</w:t>
      </w:r>
      <w:r>
        <w:rPr>
          <w:rFonts w:hint="eastAsia" w:ascii="宋体" w:hAnsi="宋体" w:cs="宋体"/>
          <w:color w:val="auto"/>
          <w:szCs w:val="21"/>
          <w:highlight w:val="none"/>
          <w:u w:val="single"/>
          <w:lang w:bidi="ar"/>
        </w:rPr>
        <w:t>，投标人未签字且未提出异议的将被视为默认开标结果</w:t>
      </w:r>
      <w:bookmarkEnd w:id="101"/>
      <w:r>
        <w:rPr>
          <w:rFonts w:hint="eastAsia" w:ascii="宋体" w:hAnsi="宋体" w:cs="宋体"/>
          <w:color w:val="auto"/>
          <w:szCs w:val="21"/>
          <w:highlight w:val="none"/>
          <w:lang w:bidi="ar"/>
        </w:rPr>
        <w:t>。</w:t>
      </w:r>
    </w:p>
    <w:p w14:paraId="7EC5C5E6">
      <w:pPr>
        <w:spacing w:line="400" w:lineRule="exact"/>
        <w:ind w:firstLine="472" w:firstLineChars="224"/>
        <w:rPr>
          <w:rFonts w:hint="eastAsia" w:ascii="宋体" w:hAnsi="宋体" w:cs="宋体"/>
          <w:b/>
          <w:color w:val="auto"/>
          <w:szCs w:val="21"/>
          <w:highlight w:val="none"/>
          <w:lang w:bidi="ar"/>
        </w:rPr>
      </w:pPr>
      <w:r>
        <w:rPr>
          <w:rFonts w:hint="eastAsia" w:ascii="宋体" w:hAnsi="宋体" w:cs="宋体"/>
          <w:b/>
          <w:color w:val="auto"/>
          <w:szCs w:val="21"/>
          <w:highlight w:val="none"/>
          <w:lang w:bidi="ar"/>
        </w:rPr>
        <w:t>条款号：</w:t>
      </w:r>
      <w:r>
        <w:rPr>
          <w:rFonts w:hint="eastAsia" w:ascii="宋体" w:hAnsi="宋体" w:cs="宋体"/>
          <w:b/>
          <w:bCs/>
          <w:color w:val="auto"/>
          <w:szCs w:val="21"/>
          <w:highlight w:val="none"/>
          <w:lang w:bidi="ar"/>
        </w:rPr>
        <w:t>42</w:t>
      </w:r>
      <w:r>
        <w:rPr>
          <w:rFonts w:hint="eastAsia" w:ascii="宋体" w:hAnsi="宋体" w:cs="宋体"/>
          <w:b/>
          <w:color w:val="auto"/>
          <w:szCs w:val="21"/>
          <w:highlight w:val="none"/>
          <w:lang w:bidi="ar"/>
        </w:rPr>
        <w:t xml:space="preserve">                                    修改类型：修改</w:t>
      </w:r>
    </w:p>
    <w:p w14:paraId="37018AE0">
      <w:pPr>
        <w:widowControl/>
        <w:pBdr>
          <w:bottom w:val="single" w:color="auto" w:sz="6" w:space="1"/>
        </w:pBdr>
        <w:spacing w:line="400" w:lineRule="exact"/>
        <w:ind w:firstLine="422" w:firstLineChars="200"/>
        <w:jc w:val="left"/>
        <w:rPr>
          <w:rFonts w:hint="eastAsia" w:ascii="宋体" w:hAnsi="宋体" w:cs="宋体"/>
          <w:color w:val="auto"/>
          <w:szCs w:val="21"/>
          <w:highlight w:val="none"/>
          <w:lang w:bidi="ar"/>
        </w:rPr>
      </w:pPr>
      <w:r>
        <w:rPr>
          <w:rFonts w:hint="eastAsia" w:ascii="宋体" w:hAnsi="宋体" w:cs="宋体"/>
          <w:b/>
          <w:color w:val="auto"/>
          <w:szCs w:val="21"/>
          <w:highlight w:val="none"/>
          <w:lang w:bidi="ar"/>
        </w:rPr>
        <w:t>原文：41.4</w:t>
      </w:r>
      <w:r>
        <w:rPr>
          <w:rFonts w:hint="eastAsia" w:ascii="宋体" w:hAnsi="宋体" w:cs="宋体"/>
          <w:color w:val="auto"/>
          <w:szCs w:val="21"/>
          <w:highlight w:val="none"/>
          <w:lang w:bidi="ar"/>
        </w:rPr>
        <w:t>招标人将上述符合要求的投标文件，送至评标委员会进行评审。</w:t>
      </w:r>
    </w:p>
    <w:p w14:paraId="49CA727C">
      <w:pPr>
        <w:widowControl/>
        <w:pBdr>
          <w:bottom w:val="single" w:color="auto" w:sz="6" w:space="1"/>
        </w:pBdr>
        <w:spacing w:line="400" w:lineRule="exact"/>
        <w:ind w:firstLine="422" w:firstLineChars="200"/>
        <w:jc w:val="left"/>
        <w:rPr>
          <w:rFonts w:hint="eastAsia" w:ascii="宋体" w:hAnsi="宋体" w:cs="宋体"/>
          <w:color w:val="auto"/>
          <w:szCs w:val="21"/>
          <w:highlight w:val="none"/>
          <w:lang w:bidi="ar"/>
        </w:rPr>
      </w:pPr>
      <w:r>
        <w:rPr>
          <w:rFonts w:hint="eastAsia" w:ascii="宋体" w:hAnsi="宋体" w:cs="宋体"/>
          <w:b/>
          <w:color w:val="auto"/>
          <w:szCs w:val="21"/>
          <w:highlight w:val="none"/>
          <w:lang w:bidi="ar"/>
        </w:rPr>
        <w:t>现文：41.4</w:t>
      </w:r>
      <w:r>
        <w:rPr>
          <w:rFonts w:hint="eastAsia" w:ascii="宋体" w:hAnsi="宋体" w:cs="宋体"/>
          <w:color w:val="auto"/>
          <w:szCs w:val="21"/>
          <w:highlight w:val="none"/>
          <w:lang w:bidi="ar"/>
        </w:rPr>
        <w:t>招标人</w:t>
      </w:r>
      <w:r>
        <w:rPr>
          <w:rFonts w:hint="eastAsia" w:ascii="宋体" w:hAnsi="宋体" w:cs="宋体"/>
          <w:color w:val="auto"/>
          <w:szCs w:val="21"/>
          <w:highlight w:val="none"/>
          <w:u w:val="single"/>
          <w:lang w:bidi="ar"/>
        </w:rPr>
        <w:t>或招标代理机构</w:t>
      </w:r>
      <w:r>
        <w:rPr>
          <w:rFonts w:hint="eastAsia" w:ascii="宋体" w:hAnsi="宋体" w:cs="宋体"/>
          <w:color w:val="auto"/>
          <w:szCs w:val="21"/>
          <w:highlight w:val="none"/>
          <w:lang w:bidi="ar"/>
        </w:rPr>
        <w:t xml:space="preserve">将上述符合要求的投标文件，送至评标委员会进行评审。 </w:t>
      </w:r>
    </w:p>
    <w:p w14:paraId="0265B30A">
      <w:pPr>
        <w:spacing w:line="400" w:lineRule="exact"/>
        <w:ind w:firstLine="472" w:firstLineChars="224"/>
        <w:rPr>
          <w:rFonts w:hint="eastAsia" w:ascii="宋体" w:hAnsi="宋体" w:cs="宋体"/>
          <w:b/>
          <w:color w:val="auto"/>
          <w:szCs w:val="21"/>
          <w:highlight w:val="none"/>
          <w:lang w:bidi="ar"/>
        </w:rPr>
      </w:pPr>
      <w:r>
        <w:rPr>
          <w:rFonts w:hint="eastAsia" w:ascii="宋体" w:hAnsi="宋体" w:cs="宋体"/>
          <w:b/>
          <w:color w:val="auto"/>
          <w:szCs w:val="21"/>
          <w:highlight w:val="none"/>
          <w:lang w:bidi="ar"/>
        </w:rPr>
        <w:t>条款号：</w:t>
      </w:r>
      <w:r>
        <w:rPr>
          <w:rFonts w:hint="eastAsia" w:ascii="宋体" w:hAnsi="宋体" w:cs="宋体"/>
          <w:b/>
          <w:bCs/>
          <w:color w:val="auto"/>
          <w:szCs w:val="21"/>
          <w:highlight w:val="none"/>
          <w:lang w:bidi="ar"/>
        </w:rPr>
        <w:t>42</w:t>
      </w:r>
      <w:r>
        <w:rPr>
          <w:rFonts w:hint="eastAsia" w:ascii="宋体" w:hAnsi="宋体" w:cs="宋体"/>
          <w:b/>
          <w:color w:val="auto"/>
          <w:szCs w:val="21"/>
          <w:highlight w:val="none"/>
          <w:lang w:bidi="ar"/>
        </w:rPr>
        <w:t xml:space="preserve">                                    修改类型：修改</w:t>
      </w:r>
    </w:p>
    <w:p w14:paraId="56B83A2D">
      <w:pPr>
        <w:pBdr>
          <w:bottom w:val="none" w:color="auto" w:sz="0" w:space="1"/>
        </w:pBdr>
        <w:spacing w:line="400" w:lineRule="exact"/>
        <w:ind w:firstLine="422" w:firstLineChars="200"/>
        <w:rPr>
          <w:rFonts w:ascii="宋体" w:hAnsi="宋体" w:cs="宋体"/>
          <w:b/>
          <w:color w:val="auto"/>
          <w:szCs w:val="21"/>
          <w:highlight w:val="none"/>
          <w:lang w:bidi="ar"/>
        </w:rPr>
      </w:pPr>
      <w:r>
        <w:rPr>
          <w:rFonts w:hint="eastAsia" w:ascii="宋体" w:hAnsi="宋体" w:cs="宋体"/>
          <w:b/>
          <w:color w:val="auto"/>
          <w:szCs w:val="21"/>
          <w:highlight w:val="none"/>
          <w:lang w:bidi="ar"/>
        </w:rPr>
        <w:t>原文：</w:t>
      </w:r>
      <w:r>
        <w:rPr>
          <w:rFonts w:hint="eastAsia" w:ascii="宋体" w:hAnsi="宋体" w:cs="宋体"/>
          <w:b/>
          <w:bCs/>
          <w:color w:val="auto"/>
          <w:szCs w:val="21"/>
          <w:highlight w:val="none"/>
          <w:lang w:bidi="ar"/>
        </w:rPr>
        <w:t>42.</w:t>
      </w:r>
      <w:r>
        <w:rPr>
          <w:rFonts w:hint="eastAsia" w:ascii="宋体" w:hAnsi="宋体" w:cs="宋体"/>
          <w:color w:val="auto"/>
          <w:szCs w:val="21"/>
          <w:highlight w:val="none"/>
          <w:lang w:bidi="ar"/>
        </w:rPr>
        <w:t>资格审查及评标细则</w:t>
      </w:r>
    </w:p>
    <w:p w14:paraId="410C618C">
      <w:pPr>
        <w:pBdr>
          <w:bottom w:val="none" w:color="auto" w:sz="0" w:space="1"/>
        </w:pBdr>
        <w:spacing w:line="400" w:lineRule="exact"/>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42.2评标委员会的组成：方式</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w:t>
      </w:r>
    </w:p>
    <w:p w14:paraId="42673CB9">
      <w:pPr>
        <w:pBdr>
          <w:bottom w:val="none" w:color="auto" w:sz="0" w:space="1"/>
        </w:pBdr>
        <w:spacing w:line="400" w:lineRule="exact"/>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方式一：评标委员会为综合评标委员会，负责资格审查及评标工作。</w:t>
      </w:r>
    </w:p>
    <w:p w14:paraId="5D42A8D4">
      <w:pPr>
        <w:widowControl/>
        <w:pBdr>
          <w:bottom w:val="single" w:color="auto" w:sz="6" w:space="1"/>
        </w:pBdr>
        <w:spacing w:line="400" w:lineRule="exact"/>
        <w:ind w:firstLine="420" w:firstLineChars="200"/>
        <w:jc w:val="left"/>
        <w:rPr>
          <w:rFonts w:hint="eastAsia" w:ascii="宋体" w:hAnsi="宋体" w:cs="宋体"/>
          <w:color w:val="auto"/>
          <w:szCs w:val="21"/>
          <w:highlight w:val="none"/>
          <w:lang w:bidi="ar"/>
        </w:rPr>
      </w:pPr>
      <w:r>
        <w:rPr>
          <w:rFonts w:hint="eastAsia" w:ascii="宋体" w:hAnsi="宋体" w:cs="宋体"/>
          <w:bCs/>
          <w:color w:val="auto"/>
          <w:szCs w:val="21"/>
          <w:highlight w:val="none"/>
          <w:lang w:bidi="ar"/>
        </w:rPr>
        <w:t>方式二：评标委员会由技术评审组和经济评审组组成。其中：资格审查及技术评审由技术评标组负责，经济评审由经济评审组负责。</w:t>
      </w:r>
    </w:p>
    <w:p w14:paraId="3B56EF37">
      <w:pPr>
        <w:pBdr>
          <w:bottom w:val="none" w:color="auto" w:sz="0" w:space="1"/>
        </w:pBdr>
        <w:spacing w:line="400" w:lineRule="exact"/>
        <w:ind w:firstLine="422" w:firstLineChars="200"/>
        <w:rPr>
          <w:rFonts w:hint="eastAsia" w:ascii="宋体" w:hAnsi="宋体" w:cs="宋体"/>
          <w:b/>
          <w:bCs/>
          <w:color w:val="auto"/>
          <w:szCs w:val="21"/>
          <w:highlight w:val="none"/>
          <w:lang w:bidi="ar"/>
        </w:rPr>
      </w:pPr>
      <w:r>
        <w:rPr>
          <w:rFonts w:hint="eastAsia" w:ascii="宋体" w:hAnsi="宋体" w:cs="宋体"/>
          <w:b/>
          <w:color w:val="auto"/>
          <w:szCs w:val="21"/>
          <w:highlight w:val="none"/>
          <w:lang w:bidi="ar"/>
        </w:rPr>
        <w:t>现文：</w:t>
      </w:r>
      <w:r>
        <w:rPr>
          <w:rFonts w:hint="eastAsia" w:ascii="宋体" w:hAnsi="宋体" w:cs="宋体"/>
          <w:b/>
          <w:bCs/>
          <w:color w:val="auto"/>
          <w:szCs w:val="21"/>
          <w:highlight w:val="none"/>
          <w:lang w:bidi="ar"/>
        </w:rPr>
        <w:t>42.</w:t>
      </w:r>
      <w:r>
        <w:rPr>
          <w:rFonts w:hint="eastAsia" w:ascii="宋体" w:hAnsi="宋体" w:cs="宋体"/>
          <w:color w:val="auto"/>
          <w:szCs w:val="21"/>
          <w:highlight w:val="none"/>
          <w:lang w:bidi="ar"/>
        </w:rPr>
        <w:t xml:space="preserve"> </w:t>
      </w:r>
      <w:r>
        <w:rPr>
          <w:rFonts w:hint="eastAsia" w:ascii="宋体" w:hAnsi="宋体" w:cs="宋体"/>
          <w:color w:val="auto"/>
          <w:szCs w:val="21"/>
          <w:highlight w:val="none"/>
          <w:u w:val="single"/>
          <w:lang w:bidi="ar"/>
        </w:rPr>
        <w:t>评标委员会及定标委员会的组成</w:t>
      </w:r>
    </w:p>
    <w:p w14:paraId="3B51A8A4">
      <w:pPr>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42.1资格审查及评标均由招标人依法组建的评标委员会负责。</w:t>
      </w:r>
    </w:p>
    <w:p w14:paraId="4F7D6607">
      <w:pPr>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42.2评标委员会的组成：方式 </w:t>
      </w:r>
      <w:r>
        <w:rPr>
          <w:rFonts w:hint="eastAsia" w:ascii="宋体" w:hAnsi="宋体" w:cs="宋体"/>
          <w:color w:val="auto"/>
          <w:szCs w:val="21"/>
          <w:highlight w:val="none"/>
          <w:u w:val="single"/>
          <w:lang w:bidi="ar"/>
        </w:rPr>
        <w:t xml:space="preserve">一 </w:t>
      </w:r>
      <w:r>
        <w:rPr>
          <w:rFonts w:hint="eastAsia" w:ascii="宋体" w:hAnsi="宋体" w:cs="宋体"/>
          <w:color w:val="auto"/>
          <w:szCs w:val="21"/>
          <w:highlight w:val="none"/>
          <w:lang w:bidi="ar"/>
        </w:rPr>
        <w:t>。</w:t>
      </w:r>
    </w:p>
    <w:p w14:paraId="06A9AAE1">
      <w:pPr>
        <w:spacing w:line="400" w:lineRule="exact"/>
        <w:ind w:firstLine="420" w:firstLineChars="200"/>
        <w:rPr>
          <w:rFonts w:hint="eastAsia" w:ascii="宋体" w:hAnsi="宋体" w:cs="宋体"/>
          <w:color w:val="auto"/>
          <w:szCs w:val="21"/>
          <w:highlight w:val="none"/>
          <w:u w:val="single"/>
          <w:lang w:bidi="ar"/>
        </w:rPr>
      </w:pPr>
      <w:r>
        <w:rPr>
          <w:rFonts w:hint="eastAsia" w:ascii="宋体" w:hAnsi="宋体" w:cs="宋体"/>
          <w:color w:val="auto"/>
          <w:szCs w:val="21"/>
          <w:highlight w:val="none"/>
          <w:lang w:bidi="ar"/>
        </w:rPr>
        <w:t>方式一：评标委员会为综合评标委员会，负责</w:t>
      </w:r>
      <w:r>
        <w:rPr>
          <w:rFonts w:hint="eastAsia" w:ascii="宋体" w:hAnsi="宋体" w:cs="宋体"/>
          <w:color w:val="auto"/>
          <w:szCs w:val="21"/>
          <w:highlight w:val="none"/>
          <w:u w:val="single"/>
          <w:lang w:bidi="ar"/>
        </w:rPr>
        <w:t>资格审查、技术标有效性审查、技术标详细审查评分、经济标有效性审查、经济标详细审查评分、投标人总得分汇总及排序、推荐合格的中标候选人等相关的评标工作。</w:t>
      </w:r>
    </w:p>
    <w:p w14:paraId="77EEEBD6">
      <w:pPr>
        <w:widowControl/>
        <w:pBdr>
          <w:bottom w:val="single" w:color="auto" w:sz="6" w:space="1"/>
        </w:pBdr>
        <w:spacing w:line="40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u w:val="single"/>
          <w:lang w:bidi="ar"/>
        </w:rPr>
        <w:t>42.3 定标委员会的组成：由招标人依法依规组建，负责定标环节</w:t>
      </w:r>
      <w:r>
        <w:rPr>
          <w:rFonts w:hint="eastAsia" w:ascii="宋体" w:hAnsi="宋体" w:cs="宋体"/>
          <w:color w:val="auto"/>
          <w:szCs w:val="21"/>
          <w:highlight w:val="none"/>
          <w:lang w:bidi="ar"/>
        </w:rPr>
        <w:t xml:space="preserve">。 </w:t>
      </w:r>
    </w:p>
    <w:p w14:paraId="72301C60">
      <w:pPr>
        <w:spacing w:line="360" w:lineRule="auto"/>
        <w:ind w:firstLine="426" w:firstLineChars="202"/>
        <w:rPr>
          <w:rFonts w:hint="eastAsia"/>
          <w:b/>
          <w:bCs/>
          <w:color w:val="auto"/>
          <w:highlight w:val="none"/>
        </w:rPr>
      </w:pPr>
      <w:r>
        <w:rPr>
          <w:rFonts w:hint="eastAsia"/>
          <w:b/>
          <w:bCs/>
          <w:color w:val="auto"/>
          <w:highlight w:val="none"/>
        </w:rPr>
        <w:t>条款号：43                                    修改类型：修改</w:t>
      </w:r>
    </w:p>
    <w:p w14:paraId="414500AD">
      <w:pPr>
        <w:spacing w:line="360" w:lineRule="auto"/>
        <w:ind w:firstLine="426" w:firstLineChars="202"/>
        <w:rPr>
          <w:color w:val="auto"/>
          <w:highlight w:val="none"/>
        </w:rPr>
      </w:pPr>
      <w:r>
        <w:rPr>
          <w:rFonts w:hint="eastAsia"/>
          <w:b/>
          <w:bCs/>
          <w:color w:val="auto"/>
          <w:highlight w:val="none"/>
        </w:rPr>
        <w:t>原文：</w:t>
      </w:r>
      <w:r>
        <w:rPr>
          <w:rFonts w:hint="eastAsia" w:ascii="宋体"/>
          <w:color w:val="auto"/>
          <w:sz w:val="24"/>
          <w:szCs w:val="24"/>
          <w:highlight w:val="none"/>
        </w:rPr>
        <w:t xml:space="preserve"> </w:t>
      </w:r>
      <w:r>
        <w:rPr>
          <w:rFonts w:hint="eastAsia"/>
          <w:color w:val="auto"/>
          <w:highlight w:val="none"/>
        </w:rPr>
        <w:t>43．投标人资格审查</w:t>
      </w:r>
    </w:p>
    <w:p w14:paraId="551C4714">
      <w:pPr>
        <w:spacing w:line="360" w:lineRule="auto"/>
        <w:ind w:firstLine="424" w:firstLineChars="202"/>
        <w:rPr>
          <w:rFonts w:hint="eastAsia"/>
          <w:color w:val="auto"/>
          <w:highlight w:val="none"/>
        </w:rPr>
      </w:pPr>
      <w:r>
        <w:rPr>
          <w:rFonts w:hint="eastAsia"/>
          <w:color w:val="auto"/>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C7E3B17">
      <w:pPr>
        <w:spacing w:line="360" w:lineRule="auto"/>
        <w:ind w:firstLine="424" w:firstLineChars="202"/>
        <w:rPr>
          <w:rFonts w:hint="eastAsia"/>
          <w:color w:val="auto"/>
          <w:highlight w:val="none"/>
        </w:rPr>
      </w:pPr>
      <w:r>
        <w:rPr>
          <w:rFonts w:hint="eastAsia"/>
          <w:color w:val="auto"/>
          <w:highlight w:val="none"/>
        </w:rPr>
        <w:t>43.2汇总资格审查情况，编写资格审查报告。</w:t>
      </w:r>
    </w:p>
    <w:p w14:paraId="00C07841">
      <w:pPr>
        <w:spacing w:line="360" w:lineRule="auto"/>
        <w:ind w:firstLine="424" w:firstLineChars="202"/>
        <w:rPr>
          <w:rFonts w:hint="eastAsia"/>
          <w:color w:val="auto"/>
          <w:highlight w:val="none"/>
        </w:rPr>
      </w:pPr>
      <w:r>
        <w:rPr>
          <w:rFonts w:hint="eastAsia"/>
          <w:color w:val="auto"/>
          <w:highlight w:val="none"/>
        </w:rPr>
        <w:t>43.3资格审查不合格的投标文件不参加下一阶段的评标，不参与评标参考价的计算。</w:t>
      </w:r>
    </w:p>
    <w:p w14:paraId="794832BB">
      <w:pPr>
        <w:spacing w:line="360" w:lineRule="auto"/>
        <w:ind w:firstLine="424" w:firstLineChars="202"/>
        <w:rPr>
          <w:rFonts w:hint="eastAsia"/>
          <w:color w:val="auto"/>
          <w:highlight w:val="none"/>
        </w:rPr>
      </w:pPr>
      <w:r>
        <w:rPr>
          <w:rFonts w:hint="eastAsia"/>
          <w:color w:val="auto"/>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6EA06285">
      <w:pPr>
        <w:spacing w:line="360" w:lineRule="auto"/>
        <w:ind w:firstLine="424" w:firstLineChars="202"/>
        <w:rPr>
          <w:rFonts w:hint="eastAsia"/>
          <w:color w:val="auto"/>
          <w:highlight w:val="none"/>
        </w:rPr>
      </w:pPr>
      <w:r>
        <w:rPr>
          <w:rFonts w:hint="eastAsia"/>
          <w:color w:val="auto"/>
          <w:highlight w:val="none"/>
        </w:rPr>
        <w:t>43.5资审合格后，投标人的资格发生变化而不满足投标人合格条件，在发出中标通知书前，资格问题仍未解决的，招标人将取消其中标资格。</w:t>
      </w:r>
    </w:p>
    <w:p w14:paraId="76940C77">
      <w:pPr>
        <w:spacing w:line="360" w:lineRule="auto"/>
        <w:ind w:firstLine="424" w:firstLineChars="202"/>
        <w:rPr>
          <w:rFonts w:hint="eastAsia"/>
          <w:color w:val="auto"/>
          <w:highlight w:val="none"/>
        </w:rPr>
      </w:pPr>
      <w:r>
        <w:rPr>
          <w:rFonts w:hint="eastAsia"/>
          <w:color w:val="auto"/>
          <w:highlight w:val="none"/>
        </w:rPr>
        <w:t>43.6资格审查合格的投标人少于3名的（当N个标段同时招标且不允许兼中时，资格审查合格的投标人少于N+2名），则本项目招标失败。</w:t>
      </w:r>
    </w:p>
    <w:p w14:paraId="3AFEC615">
      <w:pPr>
        <w:spacing w:line="360" w:lineRule="auto"/>
        <w:ind w:firstLine="424" w:firstLineChars="202"/>
        <w:rPr>
          <w:rFonts w:hint="eastAsia"/>
          <w:color w:val="auto"/>
          <w:highlight w:val="none"/>
        </w:rPr>
      </w:pPr>
      <w:r>
        <w:rPr>
          <w:rFonts w:hint="eastAsia"/>
          <w:color w:val="auto"/>
          <w:highlight w:val="none"/>
        </w:rPr>
        <w:t>44．技术标评审</w:t>
      </w:r>
    </w:p>
    <w:p w14:paraId="5FA1A59C">
      <w:pPr>
        <w:spacing w:line="360" w:lineRule="auto"/>
        <w:ind w:firstLine="424" w:firstLineChars="202"/>
        <w:rPr>
          <w:rFonts w:hint="eastAsia"/>
          <w:color w:val="auto"/>
          <w:highlight w:val="none"/>
        </w:rPr>
      </w:pPr>
      <w:r>
        <w:rPr>
          <w:rFonts w:hint="eastAsia"/>
          <w:color w:val="auto"/>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7F701BB1">
      <w:pPr>
        <w:spacing w:line="360" w:lineRule="auto"/>
        <w:ind w:firstLine="424" w:firstLineChars="202"/>
        <w:rPr>
          <w:rFonts w:hint="eastAsia"/>
          <w:color w:val="auto"/>
          <w:highlight w:val="none"/>
        </w:rPr>
      </w:pPr>
      <w:r>
        <w:rPr>
          <w:rFonts w:hint="eastAsia"/>
          <w:color w:val="auto"/>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3A595872">
      <w:pPr>
        <w:spacing w:line="360" w:lineRule="auto"/>
        <w:ind w:firstLine="424" w:firstLineChars="202"/>
        <w:rPr>
          <w:rFonts w:hint="eastAsia"/>
          <w:color w:val="auto"/>
          <w:highlight w:val="none"/>
        </w:rPr>
      </w:pPr>
      <w:r>
        <w:rPr>
          <w:rFonts w:hint="eastAsia"/>
          <w:color w:val="auto"/>
          <w:highlight w:val="none"/>
        </w:rPr>
        <w:t>45．经济标评审和得分汇总</w:t>
      </w:r>
    </w:p>
    <w:p w14:paraId="46DD74EF">
      <w:pPr>
        <w:spacing w:line="360" w:lineRule="auto"/>
        <w:ind w:firstLine="424" w:firstLineChars="202"/>
        <w:rPr>
          <w:rFonts w:hint="eastAsia"/>
          <w:color w:val="auto"/>
          <w:highlight w:val="none"/>
        </w:rPr>
      </w:pPr>
      <w:r>
        <w:rPr>
          <w:rFonts w:hint="eastAsia"/>
          <w:color w:val="auto"/>
          <w:highlight w:val="none"/>
        </w:rPr>
        <w:t>45.1若通过技术标有效性审查的投标人中所有投标报价均大于等于最高投标限价，则本项目招标失败，由招标人依法重新招标。</w:t>
      </w:r>
    </w:p>
    <w:p w14:paraId="783A4004">
      <w:pPr>
        <w:spacing w:line="360" w:lineRule="auto"/>
        <w:ind w:firstLine="424" w:firstLineChars="202"/>
        <w:rPr>
          <w:rFonts w:hint="eastAsia"/>
          <w:color w:val="auto"/>
          <w:highlight w:val="none"/>
        </w:rPr>
      </w:pPr>
      <w:r>
        <w:rPr>
          <w:rFonts w:hint="eastAsia"/>
          <w:color w:val="auto"/>
          <w:highlight w:val="none"/>
        </w:rPr>
        <w:t xml:space="preserve"> 45.2计算评标参考价：</w:t>
      </w:r>
    </w:p>
    <w:p w14:paraId="73C2B958">
      <w:pPr>
        <w:spacing w:line="360" w:lineRule="auto"/>
        <w:ind w:firstLine="426" w:firstLineChars="202"/>
        <w:rPr>
          <w:rFonts w:hint="eastAsia"/>
          <w:b/>
          <w:bCs/>
          <w:color w:val="auto"/>
          <w:highlight w:val="none"/>
        </w:rPr>
      </w:pPr>
      <w:r>
        <w:rPr>
          <w:rFonts w:hint="eastAsia"/>
          <w:b/>
          <w:bCs/>
          <w:color w:val="auto"/>
          <w:highlight w:val="none"/>
        </w:rPr>
        <w:t>区间抽取法：</w:t>
      </w:r>
    </w:p>
    <w:p w14:paraId="285906A9">
      <w:pPr>
        <w:spacing w:line="360" w:lineRule="auto"/>
        <w:ind w:firstLine="424" w:firstLineChars="202"/>
        <w:rPr>
          <w:rFonts w:hint="eastAsia"/>
          <w:color w:val="auto"/>
          <w:highlight w:val="none"/>
        </w:rPr>
      </w:pPr>
      <w:r>
        <w:rPr>
          <w:rFonts w:hint="eastAsia"/>
          <w:color w:val="auto"/>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7431856">
      <w:pPr>
        <w:spacing w:line="360" w:lineRule="auto"/>
        <w:ind w:firstLine="424" w:firstLineChars="202"/>
        <w:rPr>
          <w:rFonts w:hint="eastAsia"/>
          <w:color w:val="auto"/>
          <w:highlight w:val="none"/>
          <w:vertAlign w:val="subscript"/>
        </w:rPr>
      </w:pPr>
      <w:r>
        <w:rPr>
          <w:rFonts w:hint="eastAsia"/>
          <w:color w:val="auto"/>
          <w:highlight w:val="none"/>
        </w:rPr>
        <w:t>评标参考价=（Q</w:t>
      </w:r>
      <w:r>
        <w:rPr>
          <w:rFonts w:hint="eastAsia"/>
          <w:color w:val="auto"/>
          <w:highlight w:val="none"/>
          <w:vertAlign w:val="subscript"/>
        </w:rPr>
        <w:t>高</w:t>
      </w:r>
      <w:r>
        <w:rPr>
          <w:rFonts w:hint="eastAsia"/>
          <w:color w:val="auto"/>
          <w:highlight w:val="none"/>
        </w:rPr>
        <w:t>-Q</w:t>
      </w:r>
      <w:r>
        <w:rPr>
          <w:rFonts w:hint="eastAsia"/>
          <w:color w:val="auto"/>
          <w:highlight w:val="none"/>
          <w:vertAlign w:val="subscript"/>
        </w:rPr>
        <w:t>低</w:t>
      </w:r>
      <w:r>
        <w:rPr>
          <w:rFonts w:hint="eastAsia"/>
          <w:color w:val="auto"/>
          <w:highlight w:val="none"/>
        </w:rPr>
        <w:t>）/100*Ｘ+Q</w:t>
      </w:r>
      <w:r>
        <w:rPr>
          <w:rFonts w:hint="eastAsia"/>
          <w:color w:val="auto"/>
          <w:highlight w:val="none"/>
          <w:vertAlign w:val="subscript"/>
        </w:rPr>
        <w:t>低</w:t>
      </w:r>
    </w:p>
    <w:p w14:paraId="64FE055F">
      <w:pPr>
        <w:spacing w:line="360" w:lineRule="auto"/>
        <w:ind w:firstLine="424" w:firstLineChars="202"/>
        <w:rPr>
          <w:rFonts w:hint="eastAsia"/>
          <w:color w:val="auto"/>
          <w:highlight w:val="none"/>
        </w:rPr>
      </w:pPr>
      <w:r>
        <w:rPr>
          <w:rFonts w:hint="eastAsia"/>
          <w:color w:val="auto"/>
          <w:highlight w:val="none"/>
        </w:rPr>
        <w:t>Q</w:t>
      </w:r>
      <w:r>
        <w:rPr>
          <w:rFonts w:hint="eastAsia"/>
          <w:color w:val="auto"/>
          <w:highlight w:val="none"/>
          <w:vertAlign w:val="subscript"/>
        </w:rPr>
        <w:t>低</w:t>
      </w:r>
      <w:r>
        <w:rPr>
          <w:rFonts w:hint="eastAsia"/>
          <w:color w:val="auto"/>
          <w:highlight w:val="none"/>
        </w:rPr>
        <w:t>：为达到或超过技术标及格分数线的投标人最低报价与工程成本警示价两者中的较高值；</w:t>
      </w:r>
    </w:p>
    <w:p w14:paraId="433AAD0F">
      <w:pPr>
        <w:spacing w:line="360" w:lineRule="auto"/>
        <w:ind w:firstLine="424" w:firstLineChars="202"/>
        <w:rPr>
          <w:rFonts w:hint="eastAsia"/>
          <w:color w:val="auto"/>
          <w:highlight w:val="none"/>
        </w:rPr>
      </w:pPr>
      <w:r>
        <w:rPr>
          <w:rFonts w:hint="eastAsia"/>
          <w:color w:val="auto"/>
          <w:highlight w:val="none"/>
        </w:rPr>
        <w:t>Q</w:t>
      </w:r>
      <w:r>
        <w:rPr>
          <w:rFonts w:hint="eastAsia"/>
          <w:color w:val="auto"/>
          <w:highlight w:val="none"/>
          <w:vertAlign w:val="subscript"/>
        </w:rPr>
        <w:t>高</w:t>
      </w:r>
      <w:r>
        <w:rPr>
          <w:rFonts w:hint="eastAsia"/>
          <w:color w:val="auto"/>
          <w:highlight w:val="none"/>
        </w:rPr>
        <w:t>：最高投标限价</w:t>
      </w:r>
    </w:p>
    <w:p w14:paraId="2B844AC9">
      <w:pPr>
        <w:spacing w:line="360" w:lineRule="auto"/>
        <w:ind w:firstLine="424" w:firstLineChars="202"/>
        <w:rPr>
          <w:rFonts w:hint="eastAsia"/>
          <w:color w:val="auto"/>
          <w:highlight w:val="none"/>
        </w:rPr>
      </w:pPr>
      <w:r>
        <w:rPr>
          <w:rFonts w:hint="eastAsia"/>
          <w:color w:val="auto"/>
          <w:highlight w:val="none"/>
        </w:rPr>
        <w:t>X：为等分点值，在开标前从[0,100]整数中随机抽取</w:t>
      </w:r>
    </w:p>
    <w:p w14:paraId="35303468">
      <w:pPr>
        <w:spacing w:line="360" w:lineRule="auto"/>
        <w:ind w:firstLine="424" w:firstLineChars="202"/>
        <w:rPr>
          <w:rFonts w:hint="eastAsia"/>
          <w:color w:val="auto"/>
          <w:highlight w:val="none"/>
        </w:rPr>
      </w:pPr>
      <w:r>
        <w:rPr>
          <w:rFonts w:hint="eastAsia"/>
          <w:color w:val="auto"/>
          <w:highlight w:val="none"/>
        </w:rPr>
        <w:t>45.3当标价等于评标参考价时得100分，标价每高于评标参考价1%，扣1.5分，每低于评标参考价1%，扣1分，扣至0分为止，得出经济分，精确到小数点后两位。</w:t>
      </w:r>
    </w:p>
    <w:p w14:paraId="3ECEC3B3">
      <w:pPr>
        <w:spacing w:line="360" w:lineRule="auto"/>
        <w:ind w:firstLine="424" w:firstLineChars="202"/>
        <w:rPr>
          <w:rFonts w:hint="eastAsia"/>
          <w:color w:val="auto"/>
          <w:highlight w:val="none"/>
        </w:rPr>
      </w:pPr>
      <w:r>
        <w:rPr>
          <w:rFonts w:hint="eastAsia"/>
          <w:color w:val="auto"/>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0C79567">
      <w:pPr>
        <w:spacing w:line="360" w:lineRule="auto"/>
        <w:ind w:firstLine="424" w:firstLineChars="202"/>
        <w:rPr>
          <w:rFonts w:hint="eastAsia"/>
          <w:color w:val="auto"/>
          <w:highlight w:val="none"/>
        </w:rPr>
      </w:pPr>
      <w:r>
        <w:rPr>
          <w:rFonts w:hint="eastAsia"/>
          <w:color w:val="auto"/>
          <w:highlight w:val="none"/>
        </w:rPr>
        <w:t>46.经济标的有效性审查</w:t>
      </w:r>
    </w:p>
    <w:p w14:paraId="41C41C56">
      <w:pPr>
        <w:spacing w:line="360" w:lineRule="auto"/>
        <w:ind w:firstLine="424" w:firstLineChars="202"/>
        <w:rPr>
          <w:rFonts w:hint="eastAsia"/>
          <w:color w:val="auto"/>
          <w:highlight w:val="none"/>
        </w:rPr>
      </w:pPr>
      <w:r>
        <w:rPr>
          <w:rFonts w:hint="eastAsia"/>
          <w:color w:val="auto"/>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73D8C5E">
      <w:pPr>
        <w:spacing w:line="360" w:lineRule="auto"/>
        <w:ind w:firstLine="424" w:firstLineChars="202"/>
        <w:rPr>
          <w:rFonts w:hint="eastAsia"/>
          <w:color w:val="auto"/>
          <w:highlight w:val="none"/>
        </w:rPr>
      </w:pPr>
      <w:r>
        <w:rPr>
          <w:rFonts w:hint="eastAsia"/>
          <w:color w:val="auto"/>
          <w:highlight w:val="none"/>
        </w:rPr>
        <w:t xml:space="preserve"> 46.2经济标的算术校核。评标委员会对进行经济标有效性审查的投标文件投标报价按照就低不就高的原则进行算术校核，具体标准如下：</w:t>
      </w:r>
    </w:p>
    <w:p w14:paraId="721C3E15">
      <w:pPr>
        <w:spacing w:line="360" w:lineRule="auto"/>
        <w:ind w:firstLine="424" w:firstLineChars="202"/>
        <w:rPr>
          <w:rFonts w:hint="eastAsia"/>
          <w:color w:val="auto"/>
          <w:highlight w:val="none"/>
        </w:rPr>
      </w:pPr>
      <w:r>
        <w:rPr>
          <w:rFonts w:hint="eastAsia"/>
          <w:color w:val="auto"/>
          <w:highlight w:val="none"/>
        </w:rPr>
        <w:t>46.2.1如果数字表示的金额和用文字表示的金额不一致时，应以文字表示的金额为准；</w:t>
      </w:r>
    </w:p>
    <w:p w14:paraId="65EA08FE">
      <w:pPr>
        <w:spacing w:line="360" w:lineRule="auto"/>
        <w:ind w:firstLine="424" w:firstLineChars="202"/>
        <w:rPr>
          <w:rFonts w:hint="eastAsia"/>
          <w:color w:val="auto"/>
          <w:highlight w:val="none"/>
        </w:rPr>
      </w:pPr>
      <w:r>
        <w:rPr>
          <w:rFonts w:hint="eastAsia"/>
          <w:color w:val="auto"/>
          <w:highlight w:val="none"/>
        </w:rPr>
        <w:t xml:space="preserve"> 46.2.2经算术复核的投标人报价与其投标报价不一致时，按就低不就高原则确定其最终报价；</w:t>
      </w:r>
    </w:p>
    <w:p w14:paraId="115D09A6">
      <w:pPr>
        <w:spacing w:line="360" w:lineRule="auto"/>
        <w:ind w:firstLine="424" w:firstLineChars="202"/>
        <w:rPr>
          <w:rFonts w:hint="eastAsia"/>
          <w:color w:val="auto"/>
          <w:highlight w:val="none"/>
        </w:rPr>
      </w:pPr>
      <w:r>
        <w:rPr>
          <w:rFonts w:hint="eastAsia"/>
          <w:color w:val="auto"/>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81FBFC8">
      <w:pPr>
        <w:spacing w:line="360" w:lineRule="auto"/>
        <w:ind w:firstLine="424" w:firstLineChars="202"/>
        <w:rPr>
          <w:rFonts w:hint="eastAsia"/>
          <w:color w:val="auto"/>
          <w:highlight w:val="none"/>
        </w:rPr>
      </w:pPr>
      <w:r>
        <w:rPr>
          <w:rFonts w:hint="eastAsia"/>
          <w:color w:val="auto"/>
          <w:highlight w:val="none"/>
        </w:rPr>
        <w:t xml:space="preserve"> 46.2.4当合价、金额累加错误时，按就低不就高原则，如果累加修正值小于原累加值，则按累加修正值；如果累加修正值大于原累加值，则按原累加值；</w:t>
      </w:r>
    </w:p>
    <w:p w14:paraId="5DB0B34C">
      <w:pPr>
        <w:spacing w:line="360" w:lineRule="auto"/>
        <w:ind w:firstLine="424" w:firstLineChars="202"/>
        <w:rPr>
          <w:rFonts w:hint="eastAsia"/>
          <w:color w:val="auto"/>
          <w:highlight w:val="none"/>
        </w:rPr>
      </w:pPr>
      <w:r>
        <w:rPr>
          <w:rFonts w:hint="eastAsia"/>
          <w:color w:val="auto"/>
          <w:highlight w:val="none"/>
        </w:rPr>
        <w:t xml:space="preserve"> 46.2.5如果投标人的有关规费、暂列金额、暂估价、绿色施工安全防护措施费等未按招标文件规定的金额填写的，由评标委员会按照招标文件规定的金额进行修正；</w:t>
      </w:r>
    </w:p>
    <w:p w14:paraId="3584CF81">
      <w:pPr>
        <w:spacing w:line="360" w:lineRule="auto"/>
        <w:ind w:firstLine="424" w:firstLineChars="202"/>
        <w:rPr>
          <w:rFonts w:hint="eastAsia"/>
          <w:color w:val="auto"/>
          <w:highlight w:val="none"/>
        </w:rPr>
      </w:pPr>
      <w:r>
        <w:rPr>
          <w:rFonts w:hint="eastAsia"/>
          <w:color w:val="auto"/>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4583D92">
      <w:pPr>
        <w:spacing w:line="360" w:lineRule="auto"/>
        <w:ind w:firstLine="424" w:firstLineChars="202"/>
        <w:rPr>
          <w:rFonts w:hint="eastAsia"/>
          <w:color w:val="auto"/>
          <w:highlight w:val="none"/>
        </w:rPr>
      </w:pPr>
      <w:r>
        <w:rPr>
          <w:rFonts w:hint="eastAsia"/>
          <w:color w:val="auto"/>
          <w:highlight w:val="none"/>
        </w:rPr>
        <w:t>46.2.7按就低不就高原则，当修正后报价小于原报价，总价按修正后报价；当修正后报价大于原报价，总价按原报价，并在签订合同时载明在结算价中扣除修正报价与原报价的差额。</w:t>
      </w:r>
    </w:p>
    <w:p w14:paraId="73164456">
      <w:pPr>
        <w:spacing w:line="360" w:lineRule="auto"/>
        <w:ind w:firstLine="424" w:firstLineChars="202"/>
        <w:rPr>
          <w:rFonts w:hint="eastAsia"/>
          <w:color w:val="auto"/>
          <w:highlight w:val="none"/>
        </w:rPr>
      </w:pPr>
      <w:r>
        <w:rPr>
          <w:rFonts w:hint="eastAsia"/>
          <w:color w:val="auto"/>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1AC55D5F">
      <w:pPr>
        <w:spacing w:line="360" w:lineRule="auto"/>
        <w:ind w:firstLine="424" w:firstLineChars="202"/>
        <w:rPr>
          <w:rFonts w:hint="eastAsia"/>
          <w:color w:val="auto"/>
          <w:highlight w:val="none"/>
        </w:rPr>
      </w:pPr>
      <w:r>
        <w:rPr>
          <w:rFonts w:hint="eastAsia"/>
          <w:color w:val="auto"/>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E85A53B">
      <w:pPr>
        <w:spacing w:line="360" w:lineRule="auto"/>
        <w:ind w:firstLine="424" w:firstLineChars="202"/>
        <w:rPr>
          <w:rFonts w:hint="eastAsia"/>
          <w:color w:val="auto"/>
          <w:highlight w:val="none"/>
        </w:rPr>
      </w:pPr>
      <w:r>
        <w:rPr>
          <w:rFonts w:hint="eastAsia"/>
          <w:color w:val="auto"/>
          <w:highlight w:val="none"/>
        </w:rPr>
        <w:t>48.评标委员会应在通过投标文件经济标有效性审查的投标人中，按步骤45.4确定的投标人第二阶段排序，推荐前3名依次为第一中标候选人至第三中标候选人，并编制评标报告。</w:t>
      </w:r>
    </w:p>
    <w:p w14:paraId="1BCABDF4">
      <w:pPr>
        <w:spacing w:line="360" w:lineRule="auto"/>
        <w:ind w:firstLine="424" w:firstLineChars="202"/>
        <w:rPr>
          <w:color w:val="auto"/>
          <w:highlight w:val="none"/>
        </w:rPr>
      </w:pPr>
      <w:r>
        <w:rPr>
          <w:rFonts w:hint="eastAsia"/>
          <w:color w:val="auto"/>
          <w:highlight w:val="none"/>
        </w:rPr>
        <w:t>49.若通过经济标有效性审查的投标人不足三家，应当依法重新招标。（当N个标段同时招标且不允许兼中时，若有效投标人不足N+2家，应当依法重新招标）</w:t>
      </w:r>
    </w:p>
    <w:p w14:paraId="7C814DC1">
      <w:pPr>
        <w:spacing w:line="360" w:lineRule="auto"/>
        <w:ind w:firstLine="426" w:firstLineChars="202"/>
        <w:rPr>
          <w:rFonts w:hint="eastAsia"/>
          <w:b/>
          <w:bCs/>
          <w:color w:val="auto"/>
          <w:highlight w:val="none"/>
        </w:rPr>
      </w:pPr>
      <w:r>
        <w:rPr>
          <w:rFonts w:hint="eastAsia"/>
          <w:b/>
          <w:bCs/>
          <w:color w:val="auto"/>
          <w:highlight w:val="none"/>
        </w:rPr>
        <w:t>现文：</w:t>
      </w:r>
      <w:bookmarkStart w:id="102" w:name="OLE_LINK126"/>
      <w:r>
        <w:rPr>
          <w:rFonts w:hint="eastAsia"/>
          <w:b/>
          <w:bCs/>
          <w:color w:val="auto"/>
          <w:highlight w:val="none"/>
        </w:rPr>
        <w:t>评标细则（评标流程按以下43、44、45、46、47、48、49条款顺序进行）</w:t>
      </w:r>
    </w:p>
    <w:p w14:paraId="21035DC6">
      <w:pPr>
        <w:spacing w:line="360" w:lineRule="auto"/>
        <w:ind w:firstLine="424" w:firstLineChars="202"/>
        <w:rPr>
          <w:rFonts w:hint="eastAsia"/>
          <w:b/>
          <w:bCs/>
          <w:color w:val="auto"/>
          <w:highlight w:val="none"/>
        </w:rPr>
      </w:pPr>
      <w:r>
        <w:rPr>
          <w:rFonts w:hint="eastAsia"/>
          <w:color w:val="auto"/>
          <w:highlight w:val="none"/>
        </w:rPr>
        <w:t>43．</w:t>
      </w:r>
      <w:r>
        <w:rPr>
          <w:rFonts w:hint="eastAsia"/>
          <w:b/>
          <w:bCs/>
          <w:color w:val="auto"/>
          <w:highlight w:val="none"/>
        </w:rPr>
        <w:t>投标人资格审查评审细则</w:t>
      </w:r>
    </w:p>
    <w:p w14:paraId="229EF0CB">
      <w:pPr>
        <w:spacing w:line="360" w:lineRule="auto"/>
        <w:ind w:firstLine="424" w:firstLineChars="202"/>
        <w:rPr>
          <w:rFonts w:hint="eastAsia" w:ascii="宋体" w:hAnsi="宋体" w:cs="宋体"/>
          <w:color w:val="auto"/>
          <w:szCs w:val="21"/>
          <w:highlight w:val="none"/>
        </w:rPr>
      </w:pPr>
      <w:r>
        <w:rPr>
          <w:rFonts w:hint="eastAsia"/>
          <w:color w:val="auto"/>
          <w:highlight w:val="none"/>
        </w:rPr>
        <w:t>43.1评标委员会先对所有投标人</w:t>
      </w:r>
      <w:r>
        <w:rPr>
          <w:rFonts w:hint="eastAsia" w:ascii="宋体" w:hAnsi="宋体" w:cs="宋体"/>
          <w:color w:val="auto"/>
          <w:szCs w:val="21"/>
          <w:highlight w:val="none"/>
          <w:u w:val="single"/>
        </w:rPr>
        <w:t>的投标文件进行资格审查。</w:t>
      </w:r>
      <w:r>
        <w:rPr>
          <w:rFonts w:hint="eastAsia" w:ascii="宋体" w:hAnsi="宋体" w:cs="宋体"/>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14:paraId="659FE177">
      <w:pPr>
        <w:pStyle w:val="37"/>
        <w:tabs>
          <w:tab w:val="left" w:pos="7380"/>
        </w:tabs>
        <w:snapToGrid w:val="0"/>
        <w:spacing w:after="0"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43.2</w:t>
      </w:r>
      <w:r>
        <w:rPr>
          <w:rFonts w:hint="eastAsia" w:ascii="宋体" w:hAnsi="宋体" w:cs="宋体"/>
          <w:color w:val="auto"/>
          <w:szCs w:val="21"/>
          <w:highlight w:val="none"/>
          <w:u w:val="single"/>
        </w:rPr>
        <w:t>评标委员会</w:t>
      </w:r>
      <w:r>
        <w:rPr>
          <w:rFonts w:hint="eastAsia" w:ascii="宋体" w:hAnsi="宋体" w:cs="宋体"/>
          <w:color w:val="auto"/>
          <w:szCs w:val="21"/>
          <w:highlight w:val="none"/>
        </w:rPr>
        <w:t>汇总资格审查情况，编写资格审查报告。</w:t>
      </w:r>
    </w:p>
    <w:p w14:paraId="12B91209">
      <w:pPr>
        <w:pStyle w:val="37"/>
        <w:tabs>
          <w:tab w:val="left" w:pos="7380"/>
        </w:tabs>
        <w:snapToGrid w:val="0"/>
        <w:spacing w:after="0"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43.3资格审查不合格的投标文件不参加下一阶段的</w:t>
      </w:r>
      <w:r>
        <w:rPr>
          <w:rFonts w:hint="eastAsia" w:ascii="宋体" w:hAnsi="宋体" w:cs="宋体"/>
          <w:color w:val="auto"/>
          <w:szCs w:val="21"/>
          <w:highlight w:val="none"/>
          <w:u w:val="single"/>
        </w:rPr>
        <w:t>技术标评审</w:t>
      </w:r>
      <w:r>
        <w:rPr>
          <w:rFonts w:hint="eastAsia" w:ascii="宋体" w:hAnsi="宋体" w:cs="宋体"/>
          <w:color w:val="auto"/>
          <w:szCs w:val="21"/>
          <w:highlight w:val="none"/>
        </w:rPr>
        <w:t>，不参与评标参考价的计算。</w:t>
      </w:r>
    </w:p>
    <w:p w14:paraId="396C1CCE">
      <w:pPr>
        <w:pStyle w:val="37"/>
        <w:tabs>
          <w:tab w:val="left" w:pos="7380"/>
        </w:tabs>
        <w:snapToGrid w:val="0"/>
        <w:spacing w:after="0"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94E10DE">
      <w:pPr>
        <w:pStyle w:val="37"/>
        <w:tabs>
          <w:tab w:val="left" w:pos="7380"/>
        </w:tabs>
        <w:snapToGrid w:val="0"/>
        <w:spacing w:after="0"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43.5</w:t>
      </w:r>
      <w:r>
        <w:rPr>
          <w:rFonts w:hint="eastAsia" w:ascii="宋体" w:hAnsi="宋体" w:cs="宋体"/>
          <w:color w:val="auto"/>
          <w:szCs w:val="21"/>
          <w:highlight w:val="none"/>
          <w:u w:val="single"/>
        </w:rPr>
        <w:t>资格审查合格后</w:t>
      </w:r>
      <w:r>
        <w:rPr>
          <w:rFonts w:hint="eastAsia" w:ascii="宋体" w:hAnsi="宋体" w:cs="宋体"/>
          <w:color w:val="auto"/>
          <w:szCs w:val="21"/>
          <w:highlight w:val="none"/>
        </w:rPr>
        <w:t>，投标人的资格发生变化而不满足投标人合格条件，在发出中标通知书前，资格问题仍未解决的，招标人将取消其中标资格。</w:t>
      </w:r>
    </w:p>
    <w:p w14:paraId="38D46F48">
      <w:pPr>
        <w:pStyle w:val="37"/>
        <w:tabs>
          <w:tab w:val="left" w:pos="7380"/>
        </w:tabs>
        <w:snapToGrid w:val="0"/>
        <w:spacing w:after="0"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43.6资格审查合格的投标人少于3名的，则本项目招标失败。</w:t>
      </w:r>
    </w:p>
    <w:bookmarkEnd w:id="102"/>
    <w:p w14:paraId="14B02F4B">
      <w:pPr>
        <w:pStyle w:val="37"/>
        <w:tabs>
          <w:tab w:val="left" w:pos="7380"/>
        </w:tabs>
        <w:snapToGrid w:val="0"/>
        <w:spacing w:after="0" w:line="360" w:lineRule="auto"/>
        <w:ind w:firstLineChars="200"/>
        <w:rPr>
          <w:rFonts w:hint="eastAsia" w:ascii="宋体" w:hAnsi="宋体" w:cs="宋体"/>
          <w:color w:val="auto"/>
          <w:szCs w:val="21"/>
          <w:highlight w:val="none"/>
        </w:rPr>
      </w:pPr>
      <w:bookmarkStart w:id="103" w:name="OLE_LINK128"/>
      <w:r>
        <w:rPr>
          <w:rFonts w:hint="eastAsia" w:ascii="宋体" w:hAnsi="宋体" w:cs="宋体"/>
          <w:color w:val="auto"/>
          <w:szCs w:val="21"/>
          <w:highlight w:val="none"/>
        </w:rPr>
        <w:t>44．</w:t>
      </w:r>
      <w:r>
        <w:rPr>
          <w:rFonts w:hint="eastAsia" w:ascii="宋体" w:hAnsi="宋体" w:cs="宋体"/>
          <w:b/>
          <w:bCs/>
          <w:color w:val="auto"/>
          <w:szCs w:val="21"/>
          <w:highlight w:val="none"/>
          <w:u w:val="single"/>
        </w:rPr>
        <w:t>技术标评审细则（含技术标有效性审查、技术标详细审查评分）</w:t>
      </w:r>
    </w:p>
    <w:p w14:paraId="4CF74BB5">
      <w:pPr>
        <w:pStyle w:val="37"/>
        <w:tabs>
          <w:tab w:val="left" w:pos="7380"/>
        </w:tabs>
        <w:snapToGrid w:val="0"/>
        <w:spacing w:after="0" w:line="360" w:lineRule="auto"/>
        <w:ind w:firstLineChars="200"/>
        <w:rPr>
          <w:rFonts w:hint="eastAsia" w:ascii="宋体" w:hAnsi="宋体" w:cs="宋体"/>
          <w:color w:val="auto"/>
          <w:szCs w:val="21"/>
          <w:highlight w:val="none"/>
          <w:u w:val="single"/>
        </w:rPr>
      </w:pPr>
      <w:r>
        <w:rPr>
          <w:rFonts w:hint="eastAsia" w:ascii="宋体" w:hAnsi="宋体" w:cs="宋体"/>
          <w:color w:val="auto"/>
          <w:szCs w:val="21"/>
          <w:highlight w:val="none"/>
        </w:rPr>
        <w:t>44.1</w:t>
      </w:r>
      <w:r>
        <w:rPr>
          <w:rFonts w:hint="eastAsia" w:ascii="宋体" w:hAnsi="宋体" w:cs="宋体"/>
          <w:color w:val="auto"/>
          <w:szCs w:val="21"/>
          <w:highlight w:val="none"/>
          <w:u w:val="single"/>
        </w:rPr>
        <w:t>技术标有效性审查：评标委员会先对所有通过资格审查投标人的投标文件进行技术标有效性审查。投标文件中没有任一种列于本办法附表二《技术标有效性审查表》中情形的，为有效投标文件。否则其投标文件将被否决。被否决的投标人不参与技术标详细审查评分、不参与经济标评审，不参与评标参考价的计算。如评标委员会的评审意见不一致时，以评标委员会过半数成员的意见作为评标委员会对该情形的认定结论。评委发现投标文件中含义不明确、对同类问题表述不一致、有明显文字和计算错误的，应当要求投标人作必要的澄清、说明后再判定投标人是否通过技术标有效性审查，不得直接否决投标。通过技术标有效性审查的投标人少于3名的，则本项目招标失败。</w:t>
      </w:r>
    </w:p>
    <w:p w14:paraId="22D60B5F">
      <w:pPr>
        <w:pStyle w:val="37"/>
        <w:tabs>
          <w:tab w:val="left" w:pos="7380"/>
        </w:tabs>
        <w:snapToGrid w:val="0"/>
        <w:spacing w:after="0" w:line="360" w:lineRule="auto"/>
        <w:ind w:firstLineChars="200"/>
        <w:rPr>
          <w:rFonts w:ascii="宋体" w:hAnsi="宋体" w:cs="宋体"/>
          <w:color w:val="auto"/>
          <w:szCs w:val="21"/>
          <w:highlight w:val="none"/>
          <w:u w:val="single"/>
        </w:rPr>
      </w:pPr>
      <w:r>
        <w:rPr>
          <w:rFonts w:hint="eastAsia" w:ascii="宋体" w:hAnsi="宋体" w:cs="宋体"/>
          <w:color w:val="auto"/>
          <w:szCs w:val="21"/>
          <w:highlight w:val="none"/>
          <w:u w:val="single"/>
        </w:rPr>
        <w:t>44.2技术标详细审查评分：评标委员对所有通过技术标有效性审查的投标人的投标文件进行技术标详细审查评分</w:t>
      </w:r>
      <w:r>
        <w:rPr>
          <w:rFonts w:hint="eastAsia" w:ascii="宋体" w:hAnsi="宋体" w:cs="宋体"/>
          <w:color w:val="auto"/>
          <w:spacing w:val="-4"/>
          <w:szCs w:val="21"/>
          <w:highlight w:val="none"/>
          <w:u w:val="single"/>
        </w:rPr>
        <w:t>。</w:t>
      </w:r>
      <w:r>
        <w:rPr>
          <w:rFonts w:hint="eastAsia" w:ascii="宋体" w:hAnsi="宋体" w:cs="宋体"/>
          <w:color w:val="auto"/>
          <w:szCs w:val="21"/>
          <w:highlight w:val="none"/>
          <w:u w:val="single"/>
        </w:rPr>
        <w:t>评标委员会按照附表四《技术标详细审查评分表》的标准，进行技术标详细审查评分，评出技术得分，得分四舍五入精确到小数点后两位。</w:t>
      </w:r>
      <w:bookmarkEnd w:id="103"/>
    </w:p>
    <w:p w14:paraId="37CAD669">
      <w:pPr>
        <w:spacing w:line="360" w:lineRule="auto"/>
        <w:ind w:firstLine="470" w:firstLineChars="224"/>
        <w:rPr>
          <w:rFonts w:hint="eastAsia" w:ascii="宋体" w:hAnsi="宋体" w:cs="宋体"/>
          <w:b/>
          <w:bCs/>
          <w:color w:val="auto"/>
          <w:spacing w:val="-4"/>
          <w:szCs w:val="21"/>
          <w:highlight w:val="none"/>
        </w:rPr>
      </w:pPr>
      <w:bookmarkStart w:id="104" w:name="OLE_LINK129"/>
      <w:r>
        <w:rPr>
          <w:rFonts w:hint="eastAsia" w:ascii="宋体" w:hAnsi="宋体" w:cs="宋体"/>
          <w:color w:val="auto"/>
          <w:szCs w:val="21"/>
          <w:highlight w:val="none"/>
        </w:rPr>
        <w:t>45．</w:t>
      </w:r>
      <w:r>
        <w:rPr>
          <w:rFonts w:hint="eastAsia" w:ascii="宋体" w:hAnsi="宋体" w:cs="宋体"/>
          <w:b/>
          <w:bCs/>
          <w:color w:val="auto"/>
          <w:spacing w:val="-4"/>
          <w:szCs w:val="21"/>
          <w:highlight w:val="none"/>
          <w:u w:val="single"/>
        </w:rPr>
        <w:t>经济标评审</w:t>
      </w:r>
      <w:r>
        <w:rPr>
          <w:rFonts w:hint="eastAsia" w:ascii="宋体" w:hAnsi="宋体" w:cs="宋体"/>
          <w:b/>
          <w:bCs/>
          <w:color w:val="auto"/>
          <w:szCs w:val="21"/>
          <w:highlight w:val="none"/>
          <w:u w:val="single"/>
        </w:rPr>
        <w:t>细则（含经济标有效性审查、</w:t>
      </w:r>
      <w:r>
        <w:rPr>
          <w:rFonts w:hint="eastAsia" w:ascii="宋体" w:hAnsi="宋体" w:cs="宋体"/>
          <w:b/>
          <w:bCs/>
          <w:strike/>
          <w:dstrike w:val="0"/>
          <w:color w:val="auto"/>
          <w:szCs w:val="21"/>
          <w:highlight w:val="none"/>
          <w:u w:val="single"/>
        </w:rPr>
        <w:t>经济标的算术校核、</w:t>
      </w:r>
      <w:r>
        <w:rPr>
          <w:rFonts w:hint="eastAsia" w:ascii="宋体" w:hAnsi="宋体" w:cs="宋体"/>
          <w:b/>
          <w:bCs/>
          <w:color w:val="auto"/>
          <w:szCs w:val="21"/>
          <w:highlight w:val="none"/>
          <w:u w:val="single"/>
        </w:rPr>
        <w:t>经济标详细审查评分）</w:t>
      </w:r>
    </w:p>
    <w:p w14:paraId="2CC0A776">
      <w:pPr>
        <w:spacing w:line="360" w:lineRule="auto"/>
        <w:ind w:firstLine="452" w:firstLineChars="224"/>
        <w:rPr>
          <w:rFonts w:ascii="宋体" w:hAnsi="宋体" w:cs="宋体"/>
          <w:color w:val="auto"/>
          <w:spacing w:val="-4"/>
          <w:szCs w:val="21"/>
          <w:highlight w:val="none"/>
          <w:u w:val="single"/>
        </w:rPr>
      </w:pPr>
      <w:r>
        <w:rPr>
          <w:rFonts w:hint="eastAsia" w:ascii="宋体" w:hAnsi="宋体" w:cs="宋体"/>
          <w:color w:val="auto"/>
          <w:spacing w:val="-4"/>
          <w:szCs w:val="21"/>
          <w:highlight w:val="none"/>
        </w:rPr>
        <w:t>45.1</w:t>
      </w:r>
      <w:bookmarkStart w:id="105" w:name="OLE_LINK84"/>
      <w:r>
        <w:rPr>
          <w:rFonts w:hint="eastAsia" w:ascii="宋体" w:hAnsi="宋体" w:cs="宋体"/>
          <w:color w:val="auto"/>
          <w:szCs w:val="21"/>
          <w:highlight w:val="none"/>
          <w:u w:val="single"/>
        </w:rPr>
        <w:t>经济标有效性审查：评标委员会先</w:t>
      </w:r>
      <w:r>
        <w:rPr>
          <w:rFonts w:hint="eastAsia" w:ascii="宋体" w:hAnsi="宋体" w:cs="宋体"/>
          <w:color w:val="auto"/>
          <w:spacing w:val="-4"/>
          <w:szCs w:val="21"/>
          <w:highlight w:val="none"/>
          <w:u w:val="single"/>
        </w:rPr>
        <w:t>对通过技术标有效性审查的投标人的</w:t>
      </w:r>
      <w:r>
        <w:rPr>
          <w:rFonts w:hint="eastAsia" w:ascii="宋体" w:hAnsi="宋体" w:cs="宋体"/>
          <w:color w:val="auto"/>
          <w:kern w:val="0"/>
          <w:szCs w:val="21"/>
          <w:highlight w:val="none"/>
          <w:u w:val="single"/>
        </w:rPr>
        <w:t>投标文件进行经济标有效性审查。投标文件中没有任一种列于本办法附表三《经济标有效性审查表》中情形的，为有效投标文件，否则其投标文件将被否决。</w:t>
      </w:r>
      <w:r>
        <w:rPr>
          <w:rFonts w:hint="eastAsia" w:ascii="宋体" w:hAnsi="宋体" w:cs="宋体"/>
          <w:color w:val="auto"/>
          <w:szCs w:val="21"/>
          <w:highlight w:val="none"/>
          <w:u w:val="single"/>
        </w:rPr>
        <w:t>被否决的投标人不参与下一阶段经济标详细审查评分，不参与评标参考价的计算。</w:t>
      </w:r>
      <w:r>
        <w:rPr>
          <w:rFonts w:hint="eastAsia" w:ascii="宋体" w:hAnsi="宋体" w:cs="宋体"/>
          <w:color w:val="auto"/>
          <w:kern w:val="0"/>
          <w:szCs w:val="21"/>
          <w:highlight w:val="none"/>
          <w:u w:val="singl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经济标有效性审查，不得直接否决投标</w:t>
      </w:r>
      <w:r>
        <w:rPr>
          <w:rFonts w:hint="eastAsia" w:ascii="宋体" w:hAnsi="宋体" w:cs="宋体"/>
          <w:color w:val="auto"/>
          <w:szCs w:val="21"/>
          <w:highlight w:val="none"/>
          <w:u w:val="single"/>
        </w:rPr>
        <w:t>。</w:t>
      </w:r>
      <w:r>
        <w:rPr>
          <w:rFonts w:hint="eastAsia" w:ascii="宋体" w:hAnsi="宋体" w:cs="宋体"/>
          <w:color w:val="auto"/>
          <w:spacing w:val="-4"/>
          <w:szCs w:val="21"/>
          <w:highlight w:val="none"/>
          <w:u w:val="single"/>
        </w:rPr>
        <w:t>通过经济标有效性审查的投标人少于3名的，则本项目招标失败。</w:t>
      </w:r>
      <w:bookmarkEnd w:id="105"/>
    </w:p>
    <w:bookmarkEnd w:id="104"/>
    <w:p w14:paraId="20F10AE5">
      <w:pPr>
        <w:spacing w:line="360" w:lineRule="auto"/>
        <w:ind w:firstLine="404" w:firstLineChars="200"/>
        <w:rPr>
          <w:rFonts w:hint="eastAsia" w:ascii="宋体" w:hAnsi="宋体" w:cs="宋体"/>
          <w:strike/>
          <w:dstrike w:val="0"/>
          <w:color w:val="auto"/>
          <w:szCs w:val="21"/>
          <w:highlight w:val="none"/>
        </w:rPr>
      </w:pPr>
      <w:bookmarkStart w:id="106" w:name="OLE_LINK132"/>
      <w:r>
        <w:rPr>
          <w:rFonts w:hint="eastAsia" w:ascii="宋体" w:hAnsi="宋体" w:cs="宋体"/>
          <w:strike/>
          <w:dstrike w:val="0"/>
          <w:color w:val="auto"/>
          <w:spacing w:val="-4"/>
          <w:szCs w:val="21"/>
          <w:highlight w:val="none"/>
          <w:u w:val="single"/>
        </w:rPr>
        <w:t>45.2</w:t>
      </w:r>
      <w:r>
        <w:rPr>
          <w:rFonts w:hint="eastAsia" w:ascii="宋体" w:hAnsi="宋体" w:cs="宋体"/>
          <w:strike/>
          <w:dstrike w:val="0"/>
          <w:color w:val="auto"/>
          <w:szCs w:val="21"/>
          <w:highlight w:val="none"/>
          <w:u w:val="single"/>
        </w:rPr>
        <w:t>经济标的算术校核：评标委员会对通过经济标有效性审查的投标文件投标报价按照就低不就高的原则进行算术校核，具体标准如下：</w:t>
      </w:r>
      <w:bookmarkEnd w:id="106"/>
    </w:p>
    <w:p w14:paraId="05FB04FD">
      <w:pPr>
        <w:spacing w:line="360" w:lineRule="auto"/>
        <w:ind w:firstLine="420" w:firstLineChars="200"/>
        <w:rPr>
          <w:rFonts w:hint="eastAsia" w:ascii="宋体" w:hAnsi="宋体" w:cs="宋体"/>
          <w:strike/>
          <w:dstrike w:val="0"/>
          <w:color w:val="auto"/>
          <w:szCs w:val="21"/>
          <w:highlight w:val="none"/>
        </w:rPr>
      </w:pPr>
      <w:r>
        <w:rPr>
          <w:rFonts w:hint="eastAsia" w:ascii="宋体" w:hAnsi="宋体" w:cs="宋体"/>
          <w:strike/>
          <w:dstrike w:val="0"/>
          <w:color w:val="auto"/>
          <w:szCs w:val="21"/>
          <w:highlight w:val="none"/>
        </w:rPr>
        <w:t>45.2.1如果数字表示的金额和用文字表示的金额不一致时，应以文字表示的金额为准；</w:t>
      </w:r>
    </w:p>
    <w:p w14:paraId="531A15A7">
      <w:pPr>
        <w:spacing w:line="360" w:lineRule="auto"/>
        <w:ind w:firstLine="420" w:firstLineChars="200"/>
        <w:rPr>
          <w:rFonts w:hint="eastAsia" w:ascii="宋体" w:hAnsi="宋体" w:cs="宋体"/>
          <w:strike/>
          <w:dstrike w:val="0"/>
          <w:color w:val="auto"/>
          <w:szCs w:val="21"/>
          <w:highlight w:val="none"/>
        </w:rPr>
      </w:pPr>
      <w:r>
        <w:rPr>
          <w:rFonts w:hint="eastAsia" w:ascii="宋体" w:hAnsi="宋体" w:cs="宋体"/>
          <w:strike/>
          <w:dstrike w:val="0"/>
          <w:color w:val="auto"/>
          <w:szCs w:val="21"/>
          <w:highlight w:val="none"/>
        </w:rPr>
        <w:t>45.2.2经算术复核的投标人报价与其投标报价不一致时，按就低不就高原则确定其最终报价；</w:t>
      </w:r>
    </w:p>
    <w:p w14:paraId="29429CE8">
      <w:pPr>
        <w:spacing w:line="360" w:lineRule="auto"/>
        <w:ind w:firstLine="420" w:firstLineChars="200"/>
        <w:rPr>
          <w:rFonts w:hint="eastAsia" w:ascii="宋体" w:hAnsi="宋体" w:cs="宋体"/>
          <w:strike/>
          <w:dstrike w:val="0"/>
          <w:color w:val="auto"/>
          <w:szCs w:val="21"/>
          <w:highlight w:val="none"/>
        </w:rPr>
      </w:pPr>
      <w:r>
        <w:rPr>
          <w:rFonts w:hint="eastAsia" w:ascii="宋体" w:hAnsi="宋体" w:cs="宋体"/>
          <w:strike/>
          <w:dstrike w:val="0"/>
          <w:color w:val="auto"/>
          <w:szCs w:val="21"/>
          <w:highlight w:val="none"/>
        </w:rPr>
        <w:t>45.2.3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768ACE4">
      <w:pPr>
        <w:spacing w:line="360" w:lineRule="auto"/>
        <w:ind w:firstLine="420" w:firstLineChars="200"/>
        <w:rPr>
          <w:rFonts w:hint="eastAsia" w:ascii="宋体" w:hAnsi="宋体" w:cs="宋体"/>
          <w:strike/>
          <w:dstrike w:val="0"/>
          <w:color w:val="auto"/>
          <w:szCs w:val="21"/>
          <w:highlight w:val="none"/>
        </w:rPr>
      </w:pPr>
      <w:r>
        <w:rPr>
          <w:rFonts w:hint="eastAsia" w:ascii="宋体" w:hAnsi="宋体" w:cs="宋体"/>
          <w:strike/>
          <w:dstrike w:val="0"/>
          <w:color w:val="auto"/>
          <w:szCs w:val="21"/>
          <w:highlight w:val="none"/>
        </w:rPr>
        <w:t>45.2.4当合价、金额累加错误时，按就低不就高原则，如果累加修正值小于原累加值，则按累加修正值；如果累加修正值大于原累加值，则按原累加值；</w:t>
      </w:r>
    </w:p>
    <w:p w14:paraId="2FCD3BE2">
      <w:pPr>
        <w:spacing w:line="360" w:lineRule="auto"/>
        <w:ind w:firstLine="420" w:firstLineChars="200"/>
        <w:rPr>
          <w:rFonts w:hint="eastAsia" w:ascii="宋体" w:hAnsi="宋体" w:cs="宋体"/>
          <w:strike/>
          <w:dstrike w:val="0"/>
          <w:color w:val="auto"/>
          <w:szCs w:val="21"/>
          <w:highlight w:val="none"/>
        </w:rPr>
      </w:pPr>
      <w:r>
        <w:rPr>
          <w:rFonts w:hint="eastAsia" w:ascii="宋体" w:hAnsi="宋体" w:cs="宋体"/>
          <w:strike/>
          <w:dstrike w:val="0"/>
          <w:color w:val="auto"/>
          <w:szCs w:val="21"/>
          <w:highlight w:val="none"/>
        </w:rPr>
        <w:t>45.2.5如果投标人的有关规费、暂列金额、暂估价、绿色施工安全防护措施费等未按招标文件规定的金额填写的，由评标委员会按照招标文件规定的金额进行修正；</w:t>
      </w:r>
    </w:p>
    <w:p w14:paraId="57F3D918">
      <w:pPr>
        <w:spacing w:line="360" w:lineRule="auto"/>
        <w:ind w:firstLine="420" w:firstLineChars="200"/>
        <w:rPr>
          <w:rFonts w:hint="eastAsia" w:ascii="宋体" w:hAnsi="宋体" w:cs="宋体"/>
          <w:strike/>
          <w:dstrike w:val="0"/>
          <w:color w:val="auto"/>
          <w:szCs w:val="21"/>
          <w:highlight w:val="none"/>
        </w:rPr>
      </w:pPr>
      <w:r>
        <w:rPr>
          <w:rFonts w:hint="eastAsia" w:ascii="宋体" w:hAnsi="宋体" w:cs="宋体"/>
          <w:strike/>
          <w:dstrike w:val="0"/>
          <w:color w:val="auto"/>
          <w:szCs w:val="21"/>
          <w:highlight w:val="none"/>
        </w:rPr>
        <w:t>45.2.6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86D803F">
      <w:pPr>
        <w:spacing w:line="360" w:lineRule="auto"/>
        <w:ind w:firstLine="420" w:firstLineChars="200"/>
        <w:rPr>
          <w:rFonts w:hint="eastAsia" w:ascii="宋体" w:hAnsi="宋体" w:cs="宋体"/>
          <w:strike/>
          <w:dstrike w:val="0"/>
          <w:color w:val="auto"/>
          <w:szCs w:val="21"/>
          <w:highlight w:val="none"/>
        </w:rPr>
      </w:pPr>
      <w:r>
        <w:rPr>
          <w:rFonts w:hint="eastAsia" w:ascii="宋体" w:hAnsi="宋体" w:cs="宋体"/>
          <w:strike/>
          <w:dstrike w:val="0"/>
          <w:color w:val="auto"/>
          <w:szCs w:val="21"/>
          <w:highlight w:val="none"/>
        </w:rPr>
        <w:t>45.2.7按就低不就高原则，当修正后报价小于原报价，总价按修正后报价；当修正后报价大于原报价，总价按原报价，并在签订合同时载明在结算价中扣除修正报价与原报价的差额。</w:t>
      </w:r>
    </w:p>
    <w:p w14:paraId="177287FA">
      <w:pPr>
        <w:spacing w:line="360" w:lineRule="auto"/>
        <w:ind w:firstLine="420" w:firstLineChars="200"/>
        <w:rPr>
          <w:rFonts w:hint="eastAsia" w:ascii="宋体" w:hAnsi="宋体" w:cs="宋体"/>
          <w:strike/>
          <w:dstrike w:val="0"/>
          <w:color w:val="auto"/>
          <w:szCs w:val="21"/>
          <w:highlight w:val="none"/>
        </w:rPr>
      </w:pPr>
      <w:r>
        <w:rPr>
          <w:rFonts w:hint="eastAsia" w:ascii="宋体" w:hAnsi="宋体" w:cs="宋体"/>
          <w:strike/>
          <w:dstrike w:val="0"/>
          <w:color w:val="auto"/>
          <w:szCs w:val="21"/>
          <w:highlight w:val="none"/>
        </w:rPr>
        <w:t>45.2.8</w:t>
      </w:r>
      <w:r>
        <w:rPr>
          <w:rFonts w:hint="eastAsia" w:ascii="宋体" w:hAnsi="宋体" w:cs="宋体"/>
          <w:strike/>
          <w:dstrike w:val="0"/>
          <w:color w:val="auto"/>
          <w:szCs w:val="21"/>
          <w:highlight w:val="none"/>
          <w:lang w:bidi="ar"/>
        </w:rPr>
        <w:t>按上述修正错误的原则及方法调整或修正投标文件的投标报价，调整后的投标报价对投标人起约束作用。如果投标人不接受修正后的报价，则取消其投标资格。</w:t>
      </w:r>
    </w:p>
    <w:p w14:paraId="13BE3DA8">
      <w:pPr>
        <w:spacing w:line="360" w:lineRule="auto"/>
        <w:ind w:firstLine="452" w:firstLineChars="224"/>
        <w:rPr>
          <w:rFonts w:hint="eastAsia" w:ascii="宋体" w:hAnsi="宋体" w:cs="宋体"/>
          <w:color w:val="auto"/>
          <w:spacing w:val="-4"/>
          <w:szCs w:val="21"/>
          <w:highlight w:val="none"/>
          <w:u w:val="single"/>
        </w:rPr>
      </w:pPr>
      <w:bookmarkStart w:id="107" w:name="OLE_LINK135"/>
      <w:r>
        <w:rPr>
          <w:rFonts w:hint="eastAsia" w:ascii="宋体" w:hAnsi="宋体" w:cs="宋体"/>
          <w:color w:val="auto"/>
          <w:spacing w:val="-4"/>
          <w:szCs w:val="21"/>
          <w:highlight w:val="none"/>
          <w:u w:val="single"/>
        </w:rPr>
        <w:t>45.3计算评标参考价</w:t>
      </w:r>
    </w:p>
    <w:p w14:paraId="19F490C0">
      <w:pPr>
        <w:spacing w:line="360" w:lineRule="auto"/>
        <w:ind w:firstLine="452" w:firstLineChars="224"/>
        <w:rPr>
          <w:rFonts w:hint="eastAsia" w:ascii="宋体" w:hAnsi="宋体" w:cs="宋体"/>
          <w:color w:val="auto"/>
          <w:spacing w:val="-4"/>
          <w:szCs w:val="21"/>
          <w:highlight w:val="none"/>
          <w:u w:val="single"/>
        </w:rPr>
      </w:pPr>
      <w:r>
        <w:rPr>
          <w:rFonts w:hint="eastAsia" w:ascii="宋体" w:hAnsi="宋体" w:cs="宋体"/>
          <w:color w:val="auto"/>
          <w:spacing w:val="-4"/>
          <w:szCs w:val="21"/>
          <w:highlight w:val="none"/>
          <w:u w:val="single"/>
        </w:rPr>
        <w:t>区间抽取法：</w:t>
      </w:r>
    </w:p>
    <w:p w14:paraId="3055E9DE">
      <w:pPr>
        <w:spacing w:line="360" w:lineRule="auto"/>
        <w:ind w:firstLine="452" w:firstLineChars="224"/>
        <w:rPr>
          <w:rFonts w:hint="eastAsia" w:ascii="宋体" w:hAnsi="宋体" w:cs="宋体"/>
          <w:color w:val="auto"/>
          <w:spacing w:val="-4"/>
          <w:szCs w:val="21"/>
          <w:highlight w:val="none"/>
          <w:u w:val="single"/>
        </w:rPr>
      </w:pPr>
      <w:r>
        <w:rPr>
          <w:rFonts w:hint="eastAsia" w:ascii="宋体" w:hAnsi="宋体" w:cs="宋体"/>
          <w:color w:val="auto"/>
          <w:spacing w:val="-4"/>
          <w:szCs w:val="21"/>
          <w:highlight w:val="none"/>
          <w:u w:val="single"/>
        </w:rPr>
        <w:t>设立入围合格分数线（技术得分</w:t>
      </w:r>
      <w:r>
        <w:rPr>
          <w:rFonts w:hint="eastAsia" w:ascii="宋体" w:hAnsi="宋体" w:cs="宋体"/>
          <w:color w:val="auto"/>
          <w:spacing w:val="-4"/>
          <w:szCs w:val="21"/>
          <w:highlight w:val="none"/>
          <w:u w:val="single"/>
          <w:lang w:val="en-US" w:eastAsia="zh-CN"/>
        </w:rPr>
        <w:t>60</w:t>
      </w:r>
      <w:r>
        <w:rPr>
          <w:rFonts w:hint="eastAsia" w:ascii="宋体" w:hAnsi="宋体" w:cs="宋体"/>
          <w:color w:val="auto"/>
          <w:spacing w:val="-4"/>
          <w:szCs w:val="21"/>
          <w:highlight w:val="none"/>
          <w:u w:val="single"/>
        </w:rPr>
        <w:t>分），通</w:t>
      </w:r>
      <w:bookmarkStart w:id="108" w:name="OLE_LINK136"/>
      <w:r>
        <w:rPr>
          <w:rFonts w:hint="eastAsia" w:ascii="宋体" w:hAnsi="宋体" w:cs="宋体"/>
          <w:color w:val="auto"/>
          <w:spacing w:val="-4"/>
          <w:szCs w:val="21"/>
          <w:highlight w:val="none"/>
          <w:u w:val="single"/>
        </w:rPr>
        <w:t>过经济标有效性审查的投标人技术得分达到</w:t>
      </w:r>
      <w:r>
        <w:rPr>
          <w:rFonts w:hint="eastAsia" w:ascii="宋体" w:hAnsi="宋体" w:cs="宋体"/>
          <w:color w:val="auto"/>
          <w:spacing w:val="-4"/>
          <w:szCs w:val="21"/>
          <w:highlight w:val="none"/>
          <w:u w:val="single"/>
          <w:lang w:val="en-US" w:eastAsia="zh-CN"/>
        </w:rPr>
        <w:t>60</w:t>
      </w:r>
      <w:r>
        <w:rPr>
          <w:rFonts w:hint="eastAsia" w:ascii="宋体" w:hAnsi="宋体" w:cs="宋体"/>
          <w:color w:val="auto"/>
          <w:spacing w:val="-4"/>
          <w:szCs w:val="21"/>
          <w:highlight w:val="none"/>
          <w:u w:val="single"/>
        </w:rPr>
        <w:t>分的投标人的报价方能参与评标参考价的计算。将达到入围合格分数线的投标报价由低至高进行排列，按以下公式计算评标参考价，计算公式如下：</w:t>
      </w:r>
    </w:p>
    <w:bookmarkEnd w:id="108"/>
    <w:p w14:paraId="4BCB27F1">
      <w:pPr>
        <w:spacing w:line="360" w:lineRule="auto"/>
        <w:ind w:firstLine="452" w:firstLineChars="224"/>
        <w:rPr>
          <w:rFonts w:hint="eastAsia" w:ascii="宋体" w:hAnsi="宋体" w:cs="宋体"/>
          <w:color w:val="auto"/>
          <w:spacing w:val="-4"/>
          <w:szCs w:val="21"/>
          <w:highlight w:val="none"/>
          <w:u w:val="single"/>
        </w:rPr>
      </w:pPr>
      <w:r>
        <w:rPr>
          <w:rFonts w:hint="eastAsia" w:ascii="宋体" w:hAnsi="宋体" w:cs="宋体"/>
          <w:color w:val="auto"/>
          <w:spacing w:val="-4"/>
          <w:szCs w:val="21"/>
          <w:highlight w:val="none"/>
          <w:u w:val="single"/>
        </w:rPr>
        <w:t>评标参考价=（Q高-Q低）/100*Ｘ+Q低；</w:t>
      </w:r>
    </w:p>
    <w:p w14:paraId="01D12871">
      <w:pPr>
        <w:spacing w:line="360" w:lineRule="auto"/>
        <w:ind w:firstLine="452" w:firstLineChars="224"/>
        <w:rPr>
          <w:rFonts w:hint="eastAsia" w:ascii="宋体" w:hAnsi="宋体" w:cs="宋体"/>
          <w:color w:val="auto"/>
          <w:spacing w:val="-4"/>
          <w:szCs w:val="21"/>
          <w:highlight w:val="none"/>
          <w:u w:val="single"/>
        </w:rPr>
      </w:pPr>
      <w:r>
        <w:rPr>
          <w:rFonts w:hint="eastAsia" w:ascii="宋体" w:hAnsi="宋体" w:cs="宋体"/>
          <w:color w:val="auto"/>
          <w:spacing w:val="-4"/>
          <w:szCs w:val="21"/>
          <w:highlight w:val="none"/>
          <w:u w:val="single"/>
        </w:rPr>
        <w:t>Q低：为达到入围合格分数线的投标人最低报价与工程成本警示价两者中的较高值；如无达到及格线的投标人则Q低为工程成本警示价。</w:t>
      </w:r>
    </w:p>
    <w:p w14:paraId="73C9714D">
      <w:pPr>
        <w:spacing w:line="360" w:lineRule="auto"/>
        <w:ind w:firstLine="452" w:firstLineChars="224"/>
        <w:rPr>
          <w:rFonts w:hint="eastAsia" w:ascii="宋体" w:hAnsi="宋体" w:cs="宋体"/>
          <w:color w:val="auto"/>
          <w:spacing w:val="-4"/>
          <w:szCs w:val="21"/>
          <w:highlight w:val="none"/>
          <w:u w:val="single"/>
        </w:rPr>
      </w:pPr>
      <w:r>
        <w:rPr>
          <w:rFonts w:hint="eastAsia" w:ascii="宋体" w:hAnsi="宋体" w:cs="宋体"/>
          <w:color w:val="auto"/>
          <w:spacing w:val="-4"/>
          <w:szCs w:val="21"/>
          <w:highlight w:val="none"/>
          <w:u w:val="single"/>
        </w:rPr>
        <w:t>Q高：最高投标限价；</w:t>
      </w:r>
    </w:p>
    <w:p w14:paraId="612357A6">
      <w:pPr>
        <w:spacing w:line="360" w:lineRule="auto"/>
        <w:ind w:firstLine="452" w:firstLineChars="224"/>
        <w:rPr>
          <w:rFonts w:ascii="宋体" w:hAnsi="宋体" w:cs="宋体"/>
          <w:color w:val="auto"/>
          <w:spacing w:val="-4"/>
          <w:szCs w:val="21"/>
          <w:highlight w:val="none"/>
          <w:u w:val="single"/>
        </w:rPr>
      </w:pPr>
      <w:r>
        <w:rPr>
          <w:rFonts w:hint="eastAsia" w:ascii="宋体" w:hAnsi="宋体" w:cs="宋体"/>
          <w:color w:val="auto"/>
          <w:spacing w:val="-4"/>
          <w:szCs w:val="21"/>
          <w:highlight w:val="none"/>
          <w:u w:val="single"/>
        </w:rPr>
        <w:t>X：为等分点值，在开标前从【0,100】整数中随机抽取。</w:t>
      </w:r>
    </w:p>
    <w:bookmarkEnd w:id="107"/>
    <w:p w14:paraId="63EB89B8">
      <w:pPr>
        <w:spacing w:line="360" w:lineRule="auto"/>
        <w:ind w:firstLine="452" w:firstLineChars="224"/>
        <w:rPr>
          <w:rFonts w:hint="eastAsia" w:ascii="宋体" w:hAnsi="宋体" w:cs="宋体"/>
          <w:color w:val="auto"/>
          <w:spacing w:val="-4"/>
          <w:szCs w:val="21"/>
          <w:highlight w:val="none"/>
        </w:rPr>
      </w:pPr>
      <w:bookmarkStart w:id="109" w:name="OLE_LINK137"/>
      <w:r>
        <w:rPr>
          <w:rFonts w:hint="eastAsia" w:ascii="宋体" w:hAnsi="宋体" w:cs="宋体"/>
          <w:color w:val="auto"/>
          <w:spacing w:val="-4"/>
          <w:szCs w:val="21"/>
          <w:highlight w:val="none"/>
          <w:u w:val="single"/>
        </w:rPr>
        <w:t>45.4经济标详细审查评分：评标委员对所有通过经济标有效性审查的投标人进行</w:t>
      </w:r>
      <w:r>
        <w:rPr>
          <w:rFonts w:hint="eastAsia" w:ascii="宋体" w:hAnsi="宋体" w:cs="宋体"/>
          <w:color w:val="auto"/>
          <w:szCs w:val="21"/>
          <w:highlight w:val="none"/>
          <w:u w:val="single"/>
        </w:rPr>
        <w:t>经济标详细审查评分，</w:t>
      </w:r>
      <w:r>
        <w:rPr>
          <w:rFonts w:hint="eastAsia" w:ascii="宋体" w:hAnsi="宋体" w:cs="宋体"/>
          <w:color w:val="auto"/>
          <w:spacing w:val="-4"/>
          <w:szCs w:val="21"/>
          <w:highlight w:val="none"/>
          <w:u w:val="single"/>
        </w:rPr>
        <w:t>计算经济得分，得分四舍五入精确到小数点后两位。当投标报价等于评标参考价时得100分，投标报价每高于评标参考价1%，扣1.5分，每低于评标参考价1%，扣1分，扣至0分为止，得出经济得分</w:t>
      </w:r>
      <w:r>
        <w:rPr>
          <w:rFonts w:hint="eastAsia" w:ascii="宋体" w:hAnsi="宋体" w:cs="宋体"/>
          <w:color w:val="auto"/>
          <w:szCs w:val="21"/>
          <w:highlight w:val="none"/>
          <w:u w:val="single"/>
        </w:rPr>
        <w:t>，得分四舍五入精确到小数点后两位。</w:t>
      </w:r>
    </w:p>
    <w:bookmarkEnd w:id="109"/>
    <w:p w14:paraId="3F915756">
      <w:pPr>
        <w:spacing w:line="360" w:lineRule="auto"/>
        <w:ind w:firstLine="454" w:firstLineChars="224"/>
        <w:rPr>
          <w:rFonts w:ascii="宋体" w:hAnsi="宋体" w:cs="宋体"/>
          <w:b/>
          <w:bCs/>
          <w:color w:val="auto"/>
          <w:spacing w:val="-4"/>
          <w:szCs w:val="21"/>
          <w:highlight w:val="none"/>
          <w:u w:val="single"/>
        </w:rPr>
      </w:pPr>
      <w:r>
        <w:rPr>
          <w:rFonts w:hint="eastAsia" w:ascii="宋体" w:hAnsi="宋体" w:cs="宋体"/>
          <w:b/>
          <w:bCs/>
          <w:color w:val="auto"/>
          <w:spacing w:val="-4"/>
          <w:szCs w:val="21"/>
          <w:highlight w:val="none"/>
          <w:u w:val="single"/>
        </w:rPr>
        <w:t>46.投标人总得分汇总</w:t>
      </w:r>
    </w:p>
    <w:p w14:paraId="01C97ECC">
      <w:pPr>
        <w:spacing w:line="360" w:lineRule="auto"/>
        <w:ind w:firstLine="452" w:firstLineChars="224"/>
        <w:rPr>
          <w:rFonts w:hint="eastAsia" w:ascii="宋体" w:hAnsi="宋体" w:cs="宋体"/>
          <w:color w:val="auto"/>
          <w:spacing w:val="-4"/>
          <w:szCs w:val="21"/>
          <w:highlight w:val="none"/>
          <w:u w:val="single"/>
        </w:rPr>
      </w:pPr>
      <w:r>
        <w:rPr>
          <w:rFonts w:hint="eastAsia" w:ascii="宋体" w:hAnsi="宋体" w:cs="宋体"/>
          <w:color w:val="auto"/>
          <w:spacing w:val="-4"/>
          <w:szCs w:val="21"/>
          <w:highlight w:val="none"/>
          <w:u w:val="single"/>
        </w:rPr>
        <w:t>46.1投标人通过资格审查、技术标有效性审查、经济标有效性审查的投标人方可参与投标人总得分汇总。</w:t>
      </w:r>
    </w:p>
    <w:p w14:paraId="5092ED87">
      <w:pPr>
        <w:spacing w:line="360" w:lineRule="auto"/>
        <w:ind w:firstLine="452" w:firstLineChars="224"/>
        <w:rPr>
          <w:rFonts w:hint="eastAsia" w:ascii="宋体" w:hAnsi="宋体" w:cs="宋体"/>
          <w:color w:val="auto"/>
          <w:spacing w:val="-4"/>
          <w:szCs w:val="21"/>
          <w:highlight w:val="none"/>
        </w:rPr>
      </w:pPr>
      <w:r>
        <w:rPr>
          <w:rFonts w:hint="eastAsia" w:ascii="宋体" w:hAnsi="宋体" w:cs="宋体"/>
          <w:color w:val="auto"/>
          <w:spacing w:val="-4"/>
          <w:szCs w:val="21"/>
          <w:highlight w:val="none"/>
          <w:u w:val="single"/>
        </w:rPr>
        <w:t>46.2评标委员计算所有通过资格审查、技术标有效性审查、经济标有效性审查的投标人总得分。评标委员会按照“投标人总得分=技术得分（满分</w:t>
      </w:r>
      <w:r>
        <w:rPr>
          <w:rFonts w:hint="eastAsia" w:ascii="宋体" w:hAnsi="宋体" w:cs="宋体"/>
          <w:color w:val="auto"/>
          <w:spacing w:val="-4"/>
          <w:szCs w:val="21"/>
          <w:highlight w:val="none"/>
          <w:u w:val="single"/>
          <w:lang w:val="en-US" w:eastAsia="zh-CN"/>
        </w:rPr>
        <w:t>100</w:t>
      </w:r>
      <w:r>
        <w:rPr>
          <w:rFonts w:hint="eastAsia" w:ascii="宋体" w:hAnsi="宋体" w:cs="宋体"/>
          <w:color w:val="auto"/>
          <w:spacing w:val="-4"/>
          <w:szCs w:val="21"/>
          <w:highlight w:val="none"/>
          <w:u w:val="single"/>
        </w:rPr>
        <w:t>分）×技术得分权重（</w:t>
      </w:r>
      <w:r>
        <w:rPr>
          <w:rFonts w:hint="eastAsia" w:ascii="宋体" w:hAnsi="宋体" w:cs="宋体"/>
          <w:color w:val="auto"/>
          <w:spacing w:val="-4"/>
          <w:szCs w:val="21"/>
          <w:highlight w:val="none"/>
          <w:u w:val="single"/>
          <w:lang w:val="en-US" w:eastAsia="zh-CN"/>
        </w:rPr>
        <w:t>4</w:t>
      </w:r>
      <w:r>
        <w:rPr>
          <w:rFonts w:hint="eastAsia" w:ascii="宋体" w:hAnsi="宋体" w:cs="宋体"/>
          <w:color w:val="auto"/>
          <w:spacing w:val="-4"/>
          <w:szCs w:val="21"/>
          <w:highlight w:val="none"/>
          <w:u w:val="single"/>
        </w:rPr>
        <w:t>0%）＋经济得分(满分100分)×经济得分权重（</w:t>
      </w:r>
      <w:r>
        <w:rPr>
          <w:rFonts w:hint="eastAsia" w:ascii="宋体" w:hAnsi="宋体" w:cs="宋体"/>
          <w:color w:val="auto"/>
          <w:spacing w:val="-4"/>
          <w:szCs w:val="21"/>
          <w:highlight w:val="none"/>
          <w:u w:val="single"/>
          <w:lang w:val="en-US" w:eastAsia="zh-CN"/>
        </w:rPr>
        <w:t>6</w:t>
      </w:r>
      <w:r>
        <w:rPr>
          <w:rFonts w:hint="eastAsia" w:ascii="宋体" w:hAnsi="宋体" w:cs="宋体"/>
          <w:color w:val="auto"/>
          <w:spacing w:val="-4"/>
          <w:szCs w:val="21"/>
          <w:highlight w:val="none"/>
          <w:u w:val="single"/>
        </w:rPr>
        <w:t>0%）”的公式计算投标人总得分</w:t>
      </w:r>
      <w:r>
        <w:rPr>
          <w:rFonts w:hint="eastAsia" w:ascii="宋体" w:hAnsi="宋体" w:cs="宋体"/>
          <w:color w:val="auto"/>
          <w:szCs w:val="21"/>
          <w:highlight w:val="none"/>
          <w:u w:val="single"/>
        </w:rPr>
        <w:t>，得分四舍五入精确到小数点后两位。</w:t>
      </w:r>
    </w:p>
    <w:p w14:paraId="4272DC7B">
      <w:pPr>
        <w:spacing w:line="360" w:lineRule="auto"/>
        <w:ind w:firstLine="454" w:firstLineChars="224"/>
        <w:rPr>
          <w:rFonts w:ascii="宋体" w:hAnsi="宋体" w:cs="宋体"/>
          <w:b/>
          <w:bCs/>
          <w:color w:val="auto"/>
          <w:spacing w:val="-4"/>
          <w:szCs w:val="21"/>
          <w:highlight w:val="none"/>
          <w:u w:val="single"/>
        </w:rPr>
      </w:pPr>
      <w:bookmarkStart w:id="110" w:name="OLE_LINK138"/>
      <w:r>
        <w:rPr>
          <w:rFonts w:hint="eastAsia" w:ascii="宋体" w:hAnsi="宋体" w:cs="宋体"/>
          <w:b/>
          <w:bCs/>
          <w:color w:val="auto"/>
          <w:spacing w:val="-4"/>
          <w:szCs w:val="21"/>
          <w:highlight w:val="none"/>
          <w:u w:val="single"/>
        </w:rPr>
        <w:t>47.投标人总得分排序</w:t>
      </w:r>
    </w:p>
    <w:p w14:paraId="3D4F381B">
      <w:pPr>
        <w:spacing w:line="360" w:lineRule="auto"/>
        <w:ind w:firstLine="452" w:firstLineChars="224"/>
        <w:rPr>
          <w:rFonts w:ascii="宋体" w:hAnsi="宋体" w:cs="宋体"/>
          <w:color w:val="auto"/>
          <w:spacing w:val="-4"/>
          <w:szCs w:val="21"/>
          <w:highlight w:val="none"/>
          <w:u w:val="single"/>
        </w:rPr>
      </w:pPr>
      <w:r>
        <w:rPr>
          <w:rFonts w:hint="eastAsia" w:ascii="宋体" w:hAnsi="宋体" w:cs="宋体"/>
          <w:color w:val="auto"/>
          <w:spacing w:val="-4"/>
          <w:szCs w:val="21"/>
          <w:highlight w:val="none"/>
          <w:u w:val="single"/>
        </w:rPr>
        <w:t>47.1评标委员会对投标人总得分按高至低排序。</w:t>
      </w:r>
    </w:p>
    <w:p w14:paraId="38150719">
      <w:pPr>
        <w:spacing w:line="360" w:lineRule="auto"/>
        <w:ind w:firstLine="452" w:firstLineChars="224"/>
        <w:rPr>
          <w:rFonts w:hint="eastAsia" w:ascii="宋体" w:hAnsi="宋体" w:cs="宋体"/>
          <w:color w:val="auto"/>
          <w:spacing w:val="-4"/>
          <w:szCs w:val="21"/>
          <w:highlight w:val="none"/>
          <w:u w:val="single"/>
        </w:rPr>
      </w:pPr>
      <w:r>
        <w:rPr>
          <w:rFonts w:hint="eastAsia" w:ascii="宋体" w:hAnsi="宋体" w:cs="宋体"/>
          <w:color w:val="auto"/>
          <w:spacing w:val="-4"/>
          <w:szCs w:val="21"/>
          <w:highlight w:val="none"/>
          <w:u w:val="single"/>
        </w:rPr>
        <w:t>47.2投标人总得分相同情况下的排序方法：投标人总得分相同的投标文件，以技术得分高的排前；投标人总得分与技术得分均相同的投标人，以投标报价低的排前；投标人总得分、技术得分与投标报价均相同的投标人，由评标委员会采用记名投票方式，确定投标人的排序。</w:t>
      </w:r>
    </w:p>
    <w:p w14:paraId="04C7FF7A">
      <w:pPr>
        <w:pStyle w:val="37"/>
        <w:tabs>
          <w:tab w:val="left" w:pos="7380"/>
        </w:tabs>
        <w:snapToGrid w:val="0"/>
        <w:spacing w:after="0" w:line="360" w:lineRule="auto"/>
        <w:ind w:firstLine="404" w:firstLineChars="200"/>
        <w:rPr>
          <w:rFonts w:hint="eastAsia" w:ascii="宋体" w:hAnsi="宋体" w:cs="宋体"/>
          <w:strike/>
          <w:color w:val="auto"/>
          <w:szCs w:val="21"/>
          <w:highlight w:val="none"/>
        </w:rPr>
      </w:pPr>
      <w:r>
        <w:rPr>
          <w:rFonts w:hint="eastAsia" w:ascii="宋体" w:hAnsi="宋体" w:cs="宋体"/>
          <w:color w:val="auto"/>
          <w:spacing w:val="-4"/>
          <w:szCs w:val="21"/>
          <w:highlight w:val="none"/>
          <w:u w:val="single"/>
        </w:rPr>
        <w:t>注：记名投票方式确定排序的具体操作步骤为：由评标委员会对出现该情况的投标人进行编号，然后进行记名投票，按得票数从高到低排列先后次序，以得票数高的排前，根据得票高低确定合中标候选人的排序</w:t>
      </w:r>
      <w:r>
        <w:rPr>
          <w:rFonts w:hint="eastAsia" w:ascii="宋体" w:hAnsi="宋体" w:cs="宋体"/>
          <w:color w:val="auto"/>
          <w:szCs w:val="21"/>
          <w:highlight w:val="none"/>
        </w:rPr>
        <w:t>。</w:t>
      </w:r>
    </w:p>
    <w:bookmarkEnd w:id="110"/>
    <w:p w14:paraId="00CB5AC0">
      <w:pPr>
        <w:spacing w:line="360" w:lineRule="auto"/>
        <w:ind w:firstLine="527" w:firstLineChars="250"/>
        <w:rPr>
          <w:rFonts w:ascii="宋体" w:hAnsi="宋体" w:cs="宋体"/>
          <w:b/>
          <w:bCs/>
          <w:color w:val="auto"/>
          <w:szCs w:val="21"/>
          <w:highlight w:val="none"/>
        </w:rPr>
      </w:pPr>
      <w:bookmarkStart w:id="111" w:name="OLE_LINK139"/>
      <w:r>
        <w:rPr>
          <w:rFonts w:hint="eastAsia" w:ascii="宋体" w:hAnsi="宋体" w:cs="宋体"/>
          <w:b/>
          <w:bCs/>
          <w:color w:val="auto"/>
          <w:szCs w:val="21"/>
          <w:highlight w:val="none"/>
        </w:rPr>
        <w:t>48.推荐合格的中标候选人</w:t>
      </w:r>
    </w:p>
    <w:p w14:paraId="78214D15">
      <w:pP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48.1评标委员会按投标人总得分排序先后顺序，推荐进入前1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名的投标人为合格中标候选人进入定标阶段，并编写评标报告。若参与投标人得分汇总的投标人家数在【3，1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】的，不排序推荐全部投标人为合格的中标候选人进入定标阶段（投标人总得分排序只作为评标阶段确定进入定标阶段的依据,不对定标工作产生影响）。</w:t>
      </w:r>
    </w:p>
    <w:p w14:paraId="59B9C30D">
      <w:pP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48.2评标委员会编写评标报告时，</w:t>
      </w:r>
      <w:r>
        <w:rPr>
          <w:rFonts w:ascii="宋体" w:hAnsi="宋体" w:cs="宋体"/>
          <w:bCs/>
          <w:color w:val="auto"/>
          <w:szCs w:val="21"/>
          <w:highlight w:val="none"/>
          <w:u w:val="single"/>
        </w:rPr>
        <w:t>合格的中标候选人</w:t>
      </w:r>
      <w:r>
        <w:rPr>
          <w:rFonts w:hint="eastAsia" w:ascii="宋体" w:hAnsi="宋体" w:cs="宋体"/>
          <w:bCs/>
          <w:color w:val="auto"/>
          <w:szCs w:val="21"/>
          <w:highlight w:val="none"/>
          <w:u w:val="single"/>
        </w:rPr>
        <w:t>无需排序，按统一社会信用代码后4位（除校验码外）大小排位，如统一社会信用代码后4位出现字母情况的，字母以“0”进行代替大小排位；如出现后4位（除校验码外）大小一致的，则随机排位。</w:t>
      </w:r>
    </w:p>
    <w:bookmarkEnd w:id="111"/>
    <w:p w14:paraId="7F9FAB34">
      <w:pPr>
        <w:pBdr>
          <w:bottom w:val="single" w:color="auto" w:sz="6" w:space="1"/>
        </w:pBdr>
        <w:adjustRightInd w:val="0"/>
        <w:spacing w:line="400" w:lineRule="exact"/>
        <w:ind w:firstLine="422" w:firstLineChars="200"/>
        <w:rPr>
          <w:rFonts w:ascii="宋体" w:hAnsi="宋体"/>
          <w:color w:val="auto"/>
          <w:szCs w:val="21"/>
          <w:highlight w:val="none"/>
        </w:rPr>
      </w:pPr>
      <w:bookmarkStart w:id="112" w:name="OLE_LINK140"/>
      <w:r>
        <w:rPr>
          <w:rFonts w:hint="eastAsia" w:ascii="宋体" w:hAnsi="宋体" w:cs="宋体"/>
          <w:b/>
          <w:bCs/>
          <w:color w:val="auto"/>
          <w:szCs w:val="21"/>
          <w:highlight w:val="none"/>
          <w:u w:val="single"/>
        </w:rPr>
        <w:t>49.在合格中标候选人公示期间或在定标前，如有投标人或其他利害关系人对评标结果提出异议影响进入定标阶段的中标候选人家数的，或者有合格的中标候选人放弃中标候选人资格，或者被查实存在影响中标候选人资格的违法行为等情形的，导致合格的中标候选人不足</w:t>
      </w:r>
      <w:r>
        <w:rPr>
          <w:rFonts w:hint="eastAsia" w:ascii="宋体" w:hAnsi="宋体" w:cs="宋体"/>
          <w:b/>
          <w:bCs/>
          <w:color w:val="auto"/>
          <w:szCs w:val="21"/>
          <w:highlight w:val="none"/>
          <w:u w:val="single"/>
          <w:lang w:val="en-US" w:eastAsia="zh-CN"/>
        </w:rPr>
        <w:t>15</w:t>
      </w:r>
      <w:r>
        <w:rPr>
          <w:rFonts w:ascii="宋体" w:hAnsi="宋体" w:cs="宋体"/>
          <w:b/>
          <w:bCs/>
          <w:color w:val="auto"/>
          <w:szCs w:val="21"/>
          <w:highlight w:val="none"/>
          <w:u w:val="single"/>
        </w:rPr>
        <w:t>家的，</w:t>
      </w:r>
      <w:r>
        <w:rPr>
          <w:rFonts w:hint="eastAsia" w:ascii="宋体" w:hAnsi="宋体" w:cs="宋体"/>
          <w:b/>
          <w:bCs/>
          <w:color w:val="auto"/>
          <w:szCs w:val="21"/>
          <w:highlight w:val="none"/>
          <w:u w:val="single"/>
        </w:rPr>
        <w:t>按投标人总分排序依次上升递补进入定标阶段，直至无其他合格的中标候选人递补。如无其他合格的中标候选人递补的，则剩下合格的中标候选人进入定标阶段。合格的中标候选人不足3家，招标人依法重新招标。</w:t>
      </w:r>
      <w:bookmarkEnd w:id="112"/>
    </w:p>
    <w:p w14:paraId="5F8485D2">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条款号：50                                     修改类型：增加</w:t>
      </w:r>
    </w:p>
    <w:p w14:paraId="0B3A21DF">
      <w:pPr>
        <w:spacing w:line="400" w:lineRule="exact"/>
        <w:ind w:firstLine="422" w:firstLineChars="200"/>
        <w:rPr>
          <w:rFonts w:ascii="宋体" w:hAnsi="宋体"/>
          <w:color w:val="auto"/>
          <w:szCs w:val="21"/>
          <w:highlight w:val="none"/>
        </w:rPr>
      </w:pPr>
      <w:bookmarkStart w:id="113" w:name="_Hlk197458815"/>
      <w:r>
        <w:rPr>
          <w:rFonts w:hint="eastAsia" w:ascii="宋体" w:hAnsi="宋体" w:cs="宋体"/>
          <w:b/>
          <w:color w:val="auto"/>
          <w:szCs w:val="21"/>
          <w:highlight w:val="none"/>
        </w:rPr>
        <w:t>现文：</w:t>
      </w:r>
      <w:bookmarkStart w:id="114" w:name="OLE_LINK121"/>
      <w:r>
        <w:rPr>
          <w:rFonts w:hint="eastAsia" w:ascii="宋体" w:hAnsi="宋体"/>
          <w:color w:val="auto"/>
          <w:szCs w:val="21"/>
          <w:highlight w:val="none"/>
        </w:rPr>
        <w:t>50、定标</w:t>
      </w:r>
    </w:p>
    <w:p w14:paraId="22B41F0F">
      <w:pPr>
        <w:pBdr>
          <w:bottom w:val="none" w:color="auto" w:sz="0" w:space="1"/>
        </w:pBdr>
        <w:spacing w:line="400" w:lineRule="exact"/>
        <w:ind w:firstLine="470" w:firstLineChars="224"/>
        <w:rPr>
          <w:rFonts w:hint="eastAsia" w:ascii="宋体" w:hAnsi="宋体"/>
          <w:color w:val="auto"/>
          <w:szCs w:val="21"/>
          <w:highlight w:val="none"/>
          <w:u w:val="single"/>
        </w:rPr>
      </w:pPr>
      <w:bookmarkStart w:id="115" w:name="OLE_LINK1"/>
      <w:r>
        <w:rPr>
          <w:rFonts w:hint="eastAsia" w:ascii="宋体" w:hAnsi="宋体"/>
          <w:color w:val="auto"/>
          <w:szCs w:val="21"/>
          <w:highlight w:val="none"/>
          <w:u w:val="single"/>
        </w:rPr>
        <w:t>经合格的中标候选人公示无异议后，招标人按以下规定组建定标委员会，在评标委员会推荐的合格的中标候选人中确定中标人：</w:t>
      </w:r>
    </w:p>
    <w:p w14:paraId="658C085F">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（1）定标由招标人依法组建的定标委员会负责，成员数量为5人或以上单数，定标委员会成员不得参与定标前期准备工作。</w:t>
      </w:r>
    </w:p>
    <w:p w14:paraId="34D0746E">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（2）招标人应当组建监督小组对定标过程进行见证监督。</w:t>
      </w:r>
    </w:p>
    <w:p w14:paraId="3DDC136D">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50.1 定标时间和地点</w:t>
      </w:r>
    </w:p>
    <w:p w14:paraId="2488122D">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招标人在合格的中标候选人公示结束后10个工作日内在广州交易集团有限公司（广州公共资源交易中心）举行定标会议，具体定标时间另行通知。</w:t>
      </w:r>
    </w:p>
    <w:p w14:paraId="339F2D08">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50.2 定标规则</w:t>
      </w:r>
    </w:p>
    <w:p w14:paraId="75A1E800">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本项目采用 “记名投票+撰写评语”的定标方法，定标方法如下：</w:t>
      </w:r>
    </w:p>
    <w:p w14:paraId="121558E9">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定标委员会成员对所有合格中标候选人通过定标因素进行评审，撰写评语并投票选出中标人。</w:t>
      </w:r>
    </w:p>
    <w:p w14:paraId="7001A4DA">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50.3定标因素</w:t>
      </w:r>
    </w:p>
    <w:p w14:paraId="2CB935F3">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本项目的定标因素包含：（1）施工方案因素、（2）价格因素（定标因素的主要内容详见：附表七《定标因素表》）；</w:t>
      </w:r>
    </w:p>
    <w:p w14:paraId="79628CFF">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50.4定标办法</w:t>
      </w:r>
    </w:p>
    <w:p w14:paraId="7E586FA8">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50.4.1定标委员会应推荐一人为定标委员会组长，主持当次定标会议。</w:t>
      </w:r>
    </w:p>
    <w:p w14:paraId="0ADD332B">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50.4.2定标工作开始后，由定标委员会组长发放定标表格（详见：附表八《定标因素评审表》、附表九《定标投票表（定标阶段）》）。</w:t>
      </w:r>
    </w:p>
    <w:p w14:paraId="50390BA9">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50.4.3</w:t>
      </w:r>
      <w:r>
        <w:rPr>
          <w:rFonts w:hint="eastAsia" w:ascii="宋体" w:hAnsi="宋体"/>
          <w:color w:val="auto"/>
          <w:szCs w:val="21"/>
          <w:highlight w:val="none"/>
          <w:u w:val="single"/>
          <w:lang w:eastAsia="zh-CN"/>
        </w:rPr>
        <w:t>定标委员会阅读评标委员会提交的评标报告，同时对比各合格的中标候选人的投标文件（</w:t>
      </w:r>
      <w:r>
        <w:rPr>
          <w:rFonts w:hint="eastAsia" w:ascii="宋体" w:hAnsi="宋体"/>
          <w:color w:val="auto"/>
          <w:szCs w:val="21"/>
          <w:highlight w:val="none"/>
          <w:u w:val="single"/>
          <w:lang w:val="en-US" w:eastAsia="zh-CN"/>
        </w:rPr>
        <w:t>含定标文件）</w:t>
      </w:r>
      <w:r>
        <w:rPr>
          <w:rFonts w:hint="eastAsia" w:ascii="宋体" w:hAnsi="宋体"/>
          <w:color w:val="auto"/>
          <w:szCs w:val="21"/>
          <w:highlight w:val="none"/>
          <w:u w:val="single"/>
          <w:lang w:eastAsia="zh-CN"/>
        </w:rPr>
        <w:t>等情况，综合考虑定标候选人的情况，根据招标文件规定的定标因素进行评审，撰写评语</w:t>
      </w:r>
      <w:r>
        <w:rPr>
          <w:rFonts w:hint="eastAsia" w:ascii="宋体" w:hAnsi="宋体"/>
          <w:color w:val="auto"/>
          <w:szCs w:val="21"/>
          <w:highlight w:val="none"/>
          <w:u w:val="single"/>
        </w:rPr>
        <w:t>（详见：附表八《定标因素评审表》）。</w:t>
      </w:r>
    </w:p>
    <w:p w14:paraId="38420A47">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50.4.4记名投票+撰写评语</w:t>
      </w:r>
    </w:p>
    <w:p w14:paraId="6FEA0662">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1）定标委员会集体进行一次性票决（即一轮票决），每位定标委员每轮只有1票表决权，即每位定标委员只能对其中一家合格中标候选人投票。每位定标委员会成员需独立填写附表九《定标投票表（定标阶段）》进行投票。</w:t>
      </w:r>
    </w:p>
    <w:p w14:paraId="54BA22CF">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（2）</w:t>
      </w:r>
      <w:bookmarkStart w:id="116" w:name="OLE_LINK3"/>
      <w:r>
        <w:rPr>
          <w:rFonts w:hint="eastAsia" w:ascii="宋体" w:hAnsi="宋体"/>
          <w:color w:val="auto"/>
          <w:szCs w:val="21"/>
          <w:highlight w:val="none"/>
          <w:u w:val="single"/>
        </w:rPr>
        <w:t>定标委员会组长汇总得票情况，得票数最多的合格的中标候选人确定为中标人。</w:t>
      </w:r>
      <w:bookmarkEnd w:id="116"/>
      <w:r>
        <w:rPr>
          <w:rFonts w:hint="eastAsia" w:ascii="宋体" w:hAnsi="宋体"/>
          <w:color w:val="auto"/>
          <w:szCs w:val="21"/>
          <w:highlight w:val="none"/>
          <w:u w:val="single"/>
        </w:rPr>
        <w:t>（详见：附表十一《投票汇总表格（定标阶段））。</w:t>
      </w:r>
    </w:p>
    <w:p w14:paraId="7D08565A">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3）投票原则：投票若出现票数相同且无法决出中标人时，对票数相同的合格的中标候选人再集体进行一次附加票决（一轮票决）。若附加票决后再有相同票数的情形且无法决出中标人，对票数相同的合格的中标候选人再集体进行一次附加票决（一轮票决），直至决出得票数最多的确认为中标人（详见：附表十《附加投票表》）。</w:t>
      </w:r>
    </w:p>
    <w:p w14:paraId="125C29DB">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50.4.5编写定标报告，定标委员会全体确认后签署定标报告。</w:t>
      </w:r>
    </w:p>
    <w:p w14:paraId="398C8A84">
      <w:pPr>
        <w:pBdr>
          <w:bottom w:val="none" w:color="auto" w:sz="0" w:space="1"/>
        </w:pBdr>
        <w:spacing w:line="400" w:lineRule="exact"/>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50.5定标后，如中标人放弃中标、或因不可抗力提出不能履行合同，或未按招标文件规定提交履约担，或发现中标人委派的项目负责人已在其他在建项目中任职、不符合任职要求，则招标人有权取消其中标人资格或解除合同，从其他合格的中标候选人中采用原定标办法，由原定标委员会确定中标人，招标人也可以重新招标。</w:t>
      </w:r>
    </w:p>
    <w:p w14:paraId="7635BE8F">
      <w:pPr>
        <w:pBdr>
          <w:bottom w:val="none" w:color="auto" w:sz="0" w:space="1"/>
        </w:pBdr>
        <w:spacing w:line="400" w:lineRule="exact"/>
        <w:ind w:firstLine="470" w:firstLineChars="224"/>
        <w:rPr>
          <w:rFonts w:hint="eastAsia" w:ascii="宋体" w:hAnsi="宋体" w:cs="宋体"/>
          <w:color w:val="auto"/>
          <w:szCs w:val="21"/>
          <w:highlight w:val="none"/>
          <w:u w:val="single"/>
        </w:rPr>
      </w:pPr>
      <w:r>
        <w:rPr>
          <w:rFonts w:hint="eastAsia" w:ascii="宋体" w:hAnsi="宋体"/>
          <w:color w:val="auto"/>
          <w:szCs w:val="21"/>
          <w:highlight w:val="none"/>
          <w:u w:val="single"/>
        </w:rPr>
        <w:t>50.6因质疑或投诉生效，需要重新评标或定标的，评标、定标信息仍以投标截止时投标人的信息为准。因特殊原因需要延长投标有效期，投标人拒绝延长投标有效期的，仍参与评标、定标，但不被推荐为中标候选人。</w:t>
      </w:r>
      <w:bookmarkEnd w:id="114"/>
      <w:bookmarkEnd w:id="115"/>
    </w:p>
    <w:bookmarkEnd w:id="113"/>
    <w:p w14:paraId="2387C523">
      <w:pPr>
        <w:pStyle w:val="221"/>
        <w:pBdr>
          <w:top w:val="single" w:color="auto" w:sz="4" w:space="0"/>
        </w:pBd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条款号：附表一《资格审查表》                 修改类型：修改</w:t>
      </w:r>
    </w:p>
    <w:p w14:paraId="5A59F589">
      <w:pPr>
        <w:pBdr>
          <w:bottom w:val="none" w:color="auto" w:sz="0" w:space="1"/>
        </w:pBd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原范本《资格审查表》。 </w:t>
      </w:r>
    </w:p>
    <w:p w14:paraId="3EFACF0D">
      <w:pPr>
        <w:pBdr>
          <w:bottom w:val="single" w:color="auto" w:sz="6" w:space="1"/>
        </w:pBd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本招标文件《资格审查表》</w:t>
      </w:r>
    </w:p>
    <w:p w14:paraId="15311620">
      <w:pPr>
        <w:pStyle w:val="221"/>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14:paraId="40DA4FA0">
      <w:pPr>
        <w:pBdr>
          <w:bottom w:val="single" w:color="auto" w:sz="6" w:space="1"/>
        </w:pBd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原范本《技术标有效性审查表》。</w:t>
      </w:r>
    </w:p>
    <w:p w14:paraId="51C81185">
      <w:pPr>
        <w:pBdr>
          <w:bottom w:val="single" w:color="auto" w:sz="6" w:space="1"/>
        </w:pBd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本招标文件《技术标有效性审查表》。</w:t>
      </w:r>
    </w:p>
    <w:p w14:paraId="7E438A29">
      <w:pPr>
        <w:pStyle w:val="221"/>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14:paraId="63935DEC">
      <w:pPr>
        <w:pBdr>
          <w:bottom w:val="single" w:color="auto" w:sz="6" w:space="1"/>
        </w:pBd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原范本《经济标有效性审查表》。</w:t>
      </w:r>
    </w:p>
    <w:p w14:paraId="6A28564C">
      <w:pPr>
        <w:pBdr>
          <w:bottom w:val="single" w:color="auto" w:sz="6" w:space="1"/>
        </w:pBdr>
        <w:spacing w:line="40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本招标文件《经济标有效性审查表》。</w:t>
      </w:r>
    </w:p>
    <w:p w14:paraId="6016C0E4">
      <w:pPr>
        <w:pStyle w:val="221"/>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bookmarkStart w:id="117" w:name="OLE_LINK122"/>
      <w:r>
        <w:rPr>
          <w:rFonts w:hint="eastAsia" w:ascii="宋体" w:hAnsi="宋体" w:cs="宋体"/>
          <w:b/>
          <w:color w:val="auto"/>
          <w:szCs w:val="21"/>
          <w:highlight w:val="none"/>
        </w:rPr>
        <w:t>附表四《技术标详细审查评分表》</w:t>
      </w:r>
      <w:bookmarkEnd w:id="117"/>
      <w:r>
        <w:rPr>
          <w:rFonts w:hint="eastAsia" w:ascii="宋体" w:hAnsi="宋体" w:cs="宋体"/>
          <w:b/>
          <w:color w:val="auto"/>
          <w:szCs w:val="21"/>
          <w:highlight w:val="none"/>
        </w:rPr>
        <w:t xml:space="preserve">         修改类型：修改</w:t>
      </w:r>
    </w:p>
    <w:p w14:paraId="106B4343">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w:t>
      </w:r>
      <w:bookmarkStart w:id="118" w:name="OLE_LINK42"/>
      <w:r>
        <w:rPr>
          <w:rFonts w:hint="eastAsia" w:ascii="宋体" w:hAnsi="宋体" w:cs="宋体"/>
          <w:color w:val="auto"/>
          <w:szCs w:val="21"/>
          <w:highlight w:val="none"/>
        </w:rPr>
        <w:t>附表四</w:t>
      </w:r>
      <w:bookmarkStart w:id="119" w:name="OLE_LINK123"/>
      <w:r>
        <w:rPr>
          <w:rFonts w:hint="eastAsia" w:ascii="宋体" w:hAnsi="宋体" w:cs="宋体"/>
          <w:color w:val="auto"/>
          <w:szCs w:val="21"/>
          <w:highlight w:val="none"/>
        </w:rPr>
        <w:t>《技术标详细审查评分表》</w:t>
      </w:r>
      <w:bookmarkEnd w:id="118"/>
      <w:bookmarkEnd w:id="119"/>
      <w:r>
        <w:rPr>
          <w:rFonts w:hint="eastAsia" w:ascii="宋体" w:hAnsi="宋体" w:cs="宋体"/>
          <w:color w:val="auto"/>
          <w:szCs w:val="21"/>
          <w:highlight w:val="none"/>
        </w:rPr>
        <w:t xml:space="preserve"> 。</w:t>
      </w:r>
    </w:p>
    <w:p w14:paraId="75E8B16F">
      <w:pPr>
        <w:pBdr>
          <w:bottom w:val="single" w:color="auto" w:sz="6" w:space="1"/>
        </w:pBdr>
        <w:spacing w:line="400" w:lineRule="exact"/>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详见本招标文件</w:t>
      </w:r>
      <w:r>
        <w:rPr>
          <w:rFonts w:hint="eastAsia" w:ascii="宋体" w:hAnsi="宋体" w:cs="宋体"/>
          <w:color w:val="auto"/>
          <w:szCs w:val="21"/>
          <w:highlight w:val="none"/>
        </w:rPr>
        <w:t>附表四《技术标详细审查评分表》</w:t>
      </w:r>
      <w:r>
        <w:rPr>
          <w:rFonts w:hint="eastAsia" w:ascii="宋体" w:hAnsi="宋体" w:cs="宋体"/>
          <w:bCs/>
          <w:color w:val="auto"/>
          <w:szCs w:val="21"/>
          <w:highlight w:val="none"/>
        </w:rPr>
        <w:t>。</w:t>
      </w:r>
    </w:p>
    <w:p w14:paraId="59C3D017">
      <w:pPr>
        <w:pStyle w:val="221"/>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条款号：附表五（适用于加权平均法）《经济标评分表》     修改类型：修改</w:t>
      </w:r>
    </w:p>
    <w:p w14:paraId="475645AC">
      <w:pPr>
        <w:pBdr>
          <w:bottom w:val="single" w:color="auto" w:sz="6" w:space="1"/>
        </w:pBdr>
        <w:spacing w:line="40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原范本附表五（适用于加权平均法）《经济标评分表》。</w:t>
      </w:r>
    </w:p>
    <w:p w14:paraId="2150C134">
      <w:pPr>
        <w:pBdr>
          <w:bottom w:val="single" w:color="auto" w:sz="6" w:space="1"/>
        </w:pBdr>
        <w:spacing w:line="400" w:lineRule="exact"/>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详见本招标文件</w:t>
      </w:r>
      <w:r>
        <w:rPr>
          <w:rFonts w:hint="eastAsia" w:ascii="宋体" w:hAnsi="宋体" w:cs="宋体"/>
          <w:bCs/>
          <w:color w:val="auto"/>
          <w:szCs w:val="21"/>
          <w:highlight w:val="none"/>
          <w:u w:val="single"/>
        </w:rPr>
        <w:t>附表五《定标因素表》</w:t>
      </w:r>
      <w:r>
        <w:rPr>
          <w:rFonts w:hint="eastAsia" w:ascii="宋体" w:hAnsi="宋体" w:cs="宋体"/>
          <w:bCs/>
          <w:color w:val="auto"/>
          <w:szCs w:val="21"/>
          <w:highlight w:val="none"/>
        </w:rPr>
        <w:t>。</w:t>
      </w:r>
    </w:p>
    <w:p w14:paraId="54148DBC">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附表七至十二</w:t>
      </w:r>
      <w:r>
        <w:rPr>
          <w:rFonts w:hint="eastAsia" w:ascii="宋体" w:hAnsi="宋体" w:cs="宋体"/>
          <w:b/>
          <w:color w:val="auto"/>
          <w:szCs w:val="21"/>
          <w:highlight w:val="none"/>
        </w:rPr>
        <w:t xml:space="preserve">                           修改类型：增加</w:t>
      </w:r>
    </w:p>
    <w:p w14:paraId="3B0D91C8">
      <w:pPr>
        <w:spacing w:line="4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现文：</w:t>
      </w:r>
    </w:p>
    <w:p w14:paraId="717FC5C5">
      <w:pPr>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附表七：</w:t>
      </w:r>
      <w:r>
        <w:rPr>
          <w:rFonts w:hint="eastAsia" w:ascii="宋体" w:hAnsi="宋体" w:cs="宋体"/>
          <w:color w:val="auto"/>
          <w:szCs w:val="21"/>
          <w:highlight w:val="none"/>
        </w:rPr>
        <w:t>《定标因素表》</w:t>
      </w:r>
    </w:p>
    <w:p w14:paraId="6F4FA9C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附表八：《定标因素评审表》   </w:t>
      </w:r>
    </w:p>
    <w:p w14:paraId="5B405FF0">
      <w:pPr>
        <w:pBdr>
          <w:bottom w:val="single" w:color="auto" w:sz="4" w:space="0"/>
        </w:pBd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附表九：《定标投票表（定标阶段）》</w:t>
      </w:r>
    </w:p>
    <w:p w14:paraId="0F109312">
      <w:pPr>
        <w:pBdr>
          <w:bottom w:val="single" w:color="auto" w:sz="4" w:space="0"/>
        </w:pBd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附表十：《附加投票表》</w:t>
      </w:r>
    </w:p>
    <w:p w14:paraId="1564ED4B">
      <w:pPr>
        <w:pBdr>
          <w:bottom w:val="single" w:color="auto" w:sz="4" w:space="0"/>
        </w:pBd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附表十一： 《</w:t>
      </w:r>
      <w:bookmarkStart w:id="120" w:name="OLE_LINK56"/>
      <w:r>
        <w:rPr>
          <w:rFonts w:hint="eastAsia" w:ascii="宋体" w:hAnsi="宋体" w:cs="宋体"/>
          <w:color w:val="auto"/>
          <w:szCs w:val="21"/>
          <w:highlight w:val="none"/>
        </w:rPr>
        <w:t>投票汇总表格（定标阶段）</w:t>
      </w:r>
      <w:bookmarkEnd w:id="120"/>
      <w:r>
        <w:rPr>
          <w:rFonts w:hint="eastAsia" w:ascii="宋体" w:hAnsi="宋体" w:cs="宋体"/>
          <w:color w:val="auto"/>
          <w:szCs w:val="21"/>
          <w:highlight w:val="none"/>
        </w:rPr>
        <w:t>》</w:t>
      </w:r>
    </w:p>
    <w:p w14:paraId="7087BA56">
      <w:pPr>
        <w:pBdr>
          <w:bottom w:val="single" w:color="auto" w:sz="4" w:space="0"/>
        </w:pBd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附表十二： 《评标委员会成员声明》</w:t>
      </w:r>
    </w:p>
    <w:p w14:paraId="61043EEF">
      <w:pPr>
        <w:spacing w:line="400" w:lineRule="exact"/>
        <w:ind w:firstLine="470" w:firstLineChars="223"/>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54A15EE5">
      <w:pPr>
        <w:spacing w:line="400" w:lineRule="exact"/>
        <w:rPr>
          <w:rFonts w:hint="eastAsia" w:ascii="宋体" w:hAnsi="宋体" w:cs="宋体"/>
          <w:color w:val="auto"/>
          <w:szCs w:val="21"/>
          <w:highlight w:val="none"/>
        </w:rPr>
      </w:pPr>
      <w:r>
        <w:rPr>
          <w:rFonts w:hint="eastAsia" w:ascii="宋体" w:hAnsi="宋体" w:cs="宋体"/>
          <w:b/>
          <w:color w:val="auto"/>
          <w:szCs w:val="21"/>
          <w:highlight w:val="none"/>
        </w:rPr>
        <w:t>（以下无正文）</w:t>
      </w:r>
    </w:p>
    <w:bookmarkEnd w:id="86"/>
    <w:p w14:paraId="3DA94F99">
      <w:pPr>
        <w:jc w:val="center"/>
        <w:outlineLvl w:val="1"/>
        <w:rPr>
          <w:rFonts w:hint="eastAsia" w:ascii="宋体" w:hAnsi="宋体" w:cs="宋体"/>
          <w:b/>
          <w:color w:val="auto"/>
          <w:sz w:val="24"/>
          <w:szCs w:val="30"/>
          <w:highlight w:val="none"/>
        </w:rPr>
      </w:pPr>
      <w:r>
        <w:rPr>
          <w:rFonts w:hint="eastAsia" w:ascii="宋体" w:hAnsi="宋体" w:cs="宋体"/>
          <w:color w:val="auto"/>
          <w:szCs w:val="21"/>
          <w:highlight w:val="none"/>
        </w:rPr>
        <w:br w:type="page"/>
      </w:r>
      <w:bookmarkStart w:id="121" w:name="_Toc97576582"/>
      <w:r>
        <w:rPr>
          <w:rFonts w:hint="eastAsia" w:ascii="宋体" w:hAnsi="宋体" w:cs="宋体"/>
          <w:b/>
          <w:color w:val="auto"/>
          <w:sz w:val="24"/>
          <w:highlight w:val="none"/>
        </w:rPr>
        <w:t>二、开标、评标及定标办法</w:t>
      </w:r>
      <w:r>
        <w:rPr>
          <w:rFonts w:hint="eastAsia" w:ascii="宋体" w:hAnsi="宋体" w:cs="宋体"/>
          <w:b/>
          <w:color w:val="auto"/>
          <w:sz w:val="24"/>
          <w:szCs w:val="30"/>
          <w:highlight w:val="none"/>
        </w:rPr>
        <w:t>通用条款</w:t>
      </w:r>
      <w:bookmarkEnd w:id="121"/>
    </w:p>
    <w:p w14:paraId="0826A969">
      <w:pPr>
        <w:jc w:val="center"/>
        <w:rPr>
          <w:rFonts w:hint="eastAsia" w:ascii="宋体" w:hAnsi="宋体" w:cs="宋体"/>
          <w:color w:val="auto"/>
          <w:highlight w:val="none"/>
        </w:rPr>
      </w:pPr>
    </w:p>
    <w:p w14:paraId="327E78CB">
      <w:pPr>
        <w:pStyle w:val="4"/>
        <w:spacing w:before="156" w:after="156"/>
        <w:ind w:firstLine="482" w:firstLineChars="200"/>
        <w:rPr>
          <w:rFonts w:hint="eastAsia" w:cs="宋体"/>
          <w:b/>
          <w:bCs/>
          <w:color w:val="auto"/>
          <w:kern w:val="2"/>
          <w:sz w:val="24"/>
          <w:szCs w:val="24"/>
          <w:highlight w:val="none"/>
          <w:lang w:val="en-US"/>
        </w:rPr>
      </w:pPr>
      <w:bookmarkStart w:id="122" w:name="_Toc29138"/>
      <w:bookmarkStart w:id="123" w:name="_Toc2272557"/>
      <w:bookmarkStart w:id="124" w:name="_Toc94347351"/>
      <w:bookmarkStart w:id="125" w:name="_Toc97576592"/>
      <w:r>
        <w:rPr>
          <w:rFonts w:hint="eastAsia" w:cs="宋体"/>
          <w:b/>
          <w:bCs/>
          <w:color w:val="auto"/>
          <w:kern w:val="2"/>
          <w:sz w:val="24"/>
          <w:szCs w:val="24"/>
          <w:highlight w:val="none"/>
          <w:lang w:val="en-US"/>
        </w:rPr>
        <w:t>（一）总则</w:t>
      </w:r>
      <w:bookmarkEnd w:id="122"/>
      <w:bookmarkEnd w:id="123"/>
    </w:p>
    <w:p w14:paraId="5FB66D9C">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35 开标、评标及定标所依据的规则</w:t>
      </w:r>
    </w:p>
    <w:p w14:paraId="29AB1F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14:paraId="13C6FC5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14:paraId="555BBF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14:paraId="7BFCDC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14:paraId="2BAC03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14:paraId="44D56ACA">
      <w:pPr>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35.6《房屋建筑和市政基础设施工程施工招标投标管理办法》（建设部令第89号）；35.7《财政部 工业和信息化部关于印发〈政府采购促进中小企业发展管理办法〉的通知》（财库〔2020〕46号）；</w:t>
      </w:r>
    </w:p>
    <w:p w14:paraId="403ECB56">
      <w:pPr>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35.8《广东省加强建设工程招标投标监督管理的若干规定》（粤发[2004]4号）；35.9《广东省政府采购促进中小企业发展实施细则（试行）》；</w:t>
      </w:r>
    </w:p>
    <w:p w14:paraId="221111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35.10</w:t>
      </w:r>
      <w:r>
        <w:rPr>
          <w:rFonts w:hint="eastAsia" w:ascii="宋体" w:hAnsi="宋体"/>
          <w:color w:val="auto"/>
          <w:sz w:val="24"/>
          <w:szCs w:val="24"/>
          <w:highlight w:val="none"/>
        </w:rPr>
        <w:t>《广州市工程建设项目招标投标管理办法》（穗建规字〔2023〕12号）</w:t>
      </w:r>
      <w:r>
        <w:rPr>
          <w:rFonts w:hint="eastAsia" w:ascii="宋体" w:hAnsi="宋体" w:cs="宋体"/>
          <w:color w:val="auto"/>
          <w:sz w:val="24"/>
          <w:szCs w:val="24"/>
          <w:highlight w:val="none"/>
        </w:rPr>
        <w:t>；</w:t>
      </w:r>
    </w:p>
    <w:p w14:paraId="1F17235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5D4AD19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35.12本项目招标文件。</w:t>
      </w:r>
    </w:p>
    <w:p w14:paraId="7801246F">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35.13本项目采用评定分离定标办法</w:t>
      </w:r>
    </w:p>
    <w:p w14:paraId="1B570823">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35.13.1</w:t>
      </w:r>
      <w:bookmarkStart w:id="126" w:name="_Hlk197616876"/>
      <w:r>
        <w:rPr>
          <w:rFonts w:hint="eastAsia" w:ascii="宋体" w:hAnsi="宋体" w:cs="宋体"/>
          <w:color w:val="auto"/>
          <w:sz w:val="24"/>
          <w:szCs w:val="24"/>
          <w:highlight w:val="none"/>
          <w:u w:val="single"/>
        </w:rPr>
        <w:t>评标办法：有限数量制评审法。</w:t>
      </w:r>
    </w:p>
    <w:p w14:paraId="63B22503">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35.13.2定标办法：记名投票+撰写评语。</w:t>
      </w:r>
    </w:p>
    <w:bookmarkEnd w:id="126"/>
    <w:p w14:paraId="74B7CC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35.13.3定标因素：详见《定标因素表》。</w:t>
      </w:r>
    </w:p>
    <w:p w14:paraId="6CF9746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36．开标</w:t>
      </w:r>
    </w:p>
    <w:p w14:paraId="078C0D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55A578F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14:paraId="1CA900CC">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A1944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w:t>
      </w:r>
      <w:r>
        <w:rPr>
          <w:rFonts w:hint="eastAsia" w:ascii="宋体" w:hAnsi="宋体" w:cs="宋体"/>
          <w:strike/>
          <w:color w:val="auto"/>
          <w:sz w:val="24"/>
          <w:szCs w:val="24"/>
          <w:highlight w:val="none"/>
        </w:rPr>
        <w:t>（当N个标段同时招标且不允许兼中时，若有效投标人不足N+2家，则重新组织招标）</w:t>
      </w:r>
    </w:p>
    <w:p w14:paraId="793D71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36.5按下列程序进行开标：</w:t>
      </w:r>
    </w:p>
    <w:p w14:paraId="4382F0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36.5.1在投标截止时间后一个小时内，投标人通过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对已递交的电子投标文件进行解密。投标人完成解密后，再由招标人</w:t>
      </w:r>
      <w:r>
        <w:rPr>
          <w:rFonts w:hint="eastAsia" w:ascii="宋体" w:hAnsi="宋体" w:cs="宋体"/>
          <w:color w:val="auto"/>
          <w:sz w:val="24"/>
          <w:highlight w:val="none"/>
          <w:u w:val="single"/>
        </w:rPr>
        <w:t>或招标代理机构</w:t>
      </w:r>
      <w:r>
        <w:rPr>
          <w:rFonts w:hint="eastAsia" w:ascii="宋体" w:hAnsi="宋体" w:cs="宋体"/>
          <w:color w:val="auto"/>
          <w:sz w:val="24"/>
          <w:highlight w:val="none"/>
        </w:rPr>
        <w:t>进行解密。解密完成后，公布招标项目名称、投标人名称、投标报价、工期及其他内容；</w:t>
      </w:r>
    </w:p>
    <w:p w14:paraId="1FFE6E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36.5.2备用光盘的读取按投标须知前附表</w:t>
      </w:r>
      <w:r>
        <w:rPr>
          <w:rFonts w:hint="eastAsia" w:ascii="宋体" w:hAnsi="宋体" w:cs="宋体"/>
          <w:color w:val="auto"/>
          <w:sz w:val="24"/>
          <w:highlight w:val="none"/>
          <w:u w:val="single"/>
        </w:rPr>
        <w:t>第37项</w:t>
      </w:r>
      <w:r>
        <w:rPr>
          <w:rFonts w:hint="eastAsia" w:ascii="宋体" w:hAnsi="宋体" w:cs="宋体"/>
          <w:color w:val="auto"/>
          <w:sz w:val="24"/>
          <w:highlight w:val="none"/>
        </w:rPr>
        <w:t>的规定执行；</w:t>
      </w:r>
    </w:p>
    <w:p w14:paraId="2B11F4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36.5.3投标人代表、招标人代表、监标人、记录人等有关人员在开标记录上签字确认；若有关人员不签字的，不影响开标程序；</w:t>
      </w:r>
      <w:r>
        <w:rPr>
          <w:rFonts w:hint="eastAsia" w:ascii="宋体" w:hAnsi="宋体" w:cs="宋体"/>
          <w:color w:val="auto"/>
          <w:sz w:val="24"/>
          <w:highlight w:val="none"/>
          <w:u w:val="single"/>
        </w:rPr>
        <w:t>若投标人不参加开标会的，或不签字确认的，视同该投标人认可开标结果。</w:t>
      </w:r>
    </w:p>
    <w:p w14:paraId="105B7C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36.5.4开标结束。</w:t>
      </w:r>
    </w:p>
    <w:p w14:paraId="25567E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29FAF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36.7开标时，两个（含两个）以上的投标人加密打包投标文件电脑机器特征码一致的，不参与下一程序，并由评标委员会否决其投标。</w:t>
      </w:r>
    </w:p>
    <w:p w14:paraId="527DEF6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37．评标</w:t>
      </w:r>
    </w:p>
    <w:p w14:paraId="09C75CB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14:paraId="3C1257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37.2评标委员会在开始评标前，应了解评标专家的职责及守则，认真阅读附表十四《评标委员会成员声明》的内容并签名，签字后方可进行评标。</w:t>
      </w:r>
    </w:p>
    <w:p w14:paraId="1EE7016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37.3评标委员会的职责及守则：</w:t>
      </w:r>
    </w:p>
    <w:p w14:paraId="2C787E7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37.3.1根据评标细则，对</w:t>
      </w:r>
      <w:r>
        <w:rPr>
          <w:rFonts w:hint="eastAsia" w:ascii="宋体" w:hAnsi="宋体" w:cs="宋体"/>
          <w:color w:val="auto"/>
          <w:sz w:val="24"/>
          <w:highlight w:val="none"/>
        </w:rPr>
        <w:t>投标文件</w:t>
      </w:r>
      <w:r>
        <w:rPr>
          <w:rFonts w:hint="eastAsia" w:ascii="宋体" w:hAnsi="宋体" w:cs="宋体"/>
          <w:color w:val="auto"/>
          <w:sz w:val="24"/>
          <w:szCs w:val="24"/>
          <w:highlight w:val="none"/>
        </w:rPr>
        <w:t>进行认真评审，完成评审报告；</w:t>
      </w:r>
    </w:p>
    <w:p w14:paraId="4422F0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37.3.2向招标人</w:t>
      </w:r>
      <w:r>
        <w:rPr>
          <w:rFonts w:hint="eastAsia" w:ascii="宋体" w:hAnsi="宋体" w:cs="宋体"/>
          <w:color w:val="auto"/>
          <w:sz w:val="24"/>
          <w:szCs w:val="24"/>
          <w:highlight w:val="none"/>
          <w:u w:val="single"/>
        </w:rPr>
        <w:t>推荐进入定标阶段的合格的中标候选人【中标候选人不排序，按统一社会信用代码后4位（除校验码外）大小排位，如统一社会信用代码后4位出现字母情况的，字母以“0”进行代替大小排位；如出现后4位（除校验码外）大小一致的，则随机排位】，并递交资格审查报告和评标报告。</w:t>
      </w:r>
    </w:p>
    <w:p w14:paraId="0F2DC66C">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37.3.3</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65B59C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37.3.4全体参与评标人员：</w:t>
      </w:r>
    </w:p>
    <w:p w14:paraId="042BD5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37.3.4.1 必须遵守评标纪律、不得泄密；</w:t>
      </w:r>
    </w:p>
    <w:p w14:paraId="4B174A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37.3.4.2 必须公正、不得循私；</w:t>
      </w:r>
    </w:p>
    <w:p w14:paraId="296049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37.3.4.3 必须科学、不得草率；</w:t>
      </w:r>
    </w:p>
    <w:p w14:paraId="0E7A2D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37.3.4.4 必须客观、不得带有成见；</w:t>
      </w:r>
    </w:p>
    <w:p w14:paraId="252C46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37.3.4.5 必须平等、不得强加于人；</w:t>
      </w:r>
    </w:p>
    <w:p w14:paraId="729A673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37.3.4.6 必须严谨、不得随意马虎。</w:t>
      </w:r>
    </w:p>
    <w:p w14:paraId="24C6E4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37.4</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9291ACC">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 xml:space="preserve">37.5 </w:t>
      </w:r>
      <w:r>
        <w:rPr>
          <w:rFonts w:hint="eastAsia" w:ascii="宋体" w:hAnsi="宋体" w:cs="宋体"/>
          <w:bCs/>
          <w:color w:val="auto"/>
          <w:sz w:val="24"/>
          <w:szCs w:val="24"/>
          <w:highlight w:val="none"/>
        </w:rPr>
        <w:t>评标结束后，评标委员会递交</w:t>
      </w:r>
      <w:r>
        <w:rPr>
          <w:rFonts w:hint="eastAsia" w:ascii="宋体" w:hAnsi="宋体" w:cs="宋体"/>
          <w:bCs/>
          <w:color w:val="auto"/>
          <w:sz w:val="24"/>
          <w:szCs w:val="24"/>
          <w:highlight w:val="none"/>
          <w:u w:val="single"/>
        </w:rPr>
        <w:t>资格审查报告和</w:t>
      </w:r>
      <w:r>
        <w:rPr>
          <w:rFonts w:hint="eastAsia" w:ascii="宋体" w:hAnsi="宋体" w:cs="宋体"/>
          <w:bCs/>
          <w:color w:val="auto"/>
          <w:sz w:val="24"/>
          <w:szCs w:val="24"/>
          <w:highlight w:val="none"/>
        </w:rPr>
        <w:t>评标报告并依法推荐</w:t>
      </w:r>
      <w:bookmarkStart w:id="127" w:name="OLE_LINK145"/>
      <w:r>
        <w:rPr>
          <w:rFonts w:hint="eastAsia" w:ascii="宋体" w:hAnsi="宋体" w:cs="宋体"/>
          <w:bCs/>
          <w:color w:val="auto"/>
          <w:sz w:val="24"/>
          <w:szCs w:val="24"/>
          <w:highlight w:val="none"/>
          <w:u w:val="single"/>
        </w:rPr>
        <w:t>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名合格的中标候选人进入定标阶段。若参与投标人得分汇总的投标人家数大于1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家（不含1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家），评标委员会应按投标人总得分排序先后顺序，推荐排序前1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名投标人为合格的中标候选人进入定标阶段。</w:t>
      </w:r>
    </w:p>
    <w:p w14:paraId="1BED7CAF">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cs="宋体"/>
          <w:bCs/>
          <w:color w:val="auto"/>
          <w:sz w:val="24"/>
          <w:szCs w:val="24"/>
          <w:highlight w:val="none"/>
          <w:u w:val="single"/>
        </w:rPr>
        <w:t>若参与投标人得分汇总的投标人家数在【3，1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】的，不排序推荐全部投标</w:t>
      </w:r>
      <w:r>
        <w:rPr>
          <w:rFonts w:hint="eastAsia" w:ascii="宋体" w:hAnsi="宋体" w:eastAsia="宋体" w:cs="宋体"/>
          <w:bCs/>
          <w:color w:val="auto"/>
          <w:sz w:val="24"/>
          <w:szCs w:val="24"/>
          <w:highlight w:val="none"/>
          <w:u w:val="single"/>
        </w:rPr>
        <w:t>人为合格的中标候选人进入定标阶段（其排名顺序只作为评标阶段确定进入定标阶段的依据,不对定标工作产生影响）。</w:t>
      </w:r>
      <w:bookmarkEnd w:id="127"/>
    </w:p>
    <w:p w14:paraId="279A0C5F">
      <w:pPr>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4"/>
          <w:highlight w:val="none"/>
          <w:u w:val="single"/>
        </w:rPr>
        <w:t>合格的中标候选人不排序进入定标阶段，编写评标报告时，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bCs/>
          <w:color w:val="auto"/>
          <w:sz w:val="24"/>
          <w:szCs w:val="24"/>
          <w:highlight w:val="none"/>
          <w:u w:val="single"/>
        </w:rPr>
        <w:t>。</w:t>
      </w:r>
      <w:r>
        <w:rPr>
          <w:rFonts w:hint="eastAsia" w:ascii="宋体" w:hAnsi="宋体" w:cs="宋体"/>
          <w:color w:val="auto"/>
          <w:sz w:val="24"/>
          <w:szCs w:val="24"/>
          <w:highlight w:val="none"/>
        </w:rPr>
        <w:t xml:space="preserve"> </w:t>
      </w:r>
    </w:p>
    <w:p w14:paraId="40DE6FB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38．投标文件的澄清</w:t>
      </w:r>
    </w:p>
    <w:p w14:paraId="1BCDAA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38.1</w:t>
      </w:r>
      <w:r>
        <w:rPr>
          <w:rFonts w:hint="eastAsia" w:ascii="宋体" w:hAnsi="宋体" w:cs="宋体"/>
          <w:bCs/>
          <w:color w:val="auto"/>
          <w:sz w:val="24"/>
          <w:szCs w:val="24"/>
          <w:highlight w:val="none"/>
        </w:rPr>
        <w:t>为有助于投标文件的审查、评价和比较，评标期间，经评标委员会或评标委员会专业评审组中两人以上（含两人）</w:t>
      </w:r>
      <w:r>
        <w:rPr>
          <w:rFonts w:hint="eastAsia" w:ascii="宋体" w:hAnsi="宋体" w:cs="宋体"/>
          <w:bCs/>
          <w:color w:val="auto"/>
          <w:sz w:val="24"/>
          <w:szCs w:val="24"/>
          <w:highlight w:val="none"/>
          <w:u w:val="single"/>
        </w:rPr>
        <w:t>的成员</w:t>
      </w:r>
      <w:r>
        <w:rPr>
          <w:rFonts w:hint="eastAsia" w:ascii="宋体" w:hAnsi="宋体" w:cs="宋体"/>
          <w:bCs/>
          <w:color w:val="auto"/>
          <w:sz w:val="24"/>
          <w:szCs w:val="24"/>
          <w:highlight w:val="none"/>
        </w:rPr>
        <w:t>以书面形式提出动议，评标委员会或评标委员会专业评审组应当书面发出澄清通知，</w:t>
      </w:r>
      <w:r>
        <w:rPr>
          <w:rFonts w:hint="eastAsia" w:ascii="宋体" w:hAnsi="宋体" w:cs="宋体"/>
          <w:bCs/>
          <w:color w:val="auto"/>
          <w:sz w:val="24"/>
          <w:szCs w:val="24"/>
          <w:highlight w:val="none"/>
          <w:u w:val="single"/>
        </w:rPr>
        <w:t>要求投标人对投标文件含义不明确、对同类问题表述不一致、有明显文字和计算错误的内容以及细微偏差的内容作出澄清</w:t>
      </w:r>
      <w:r>
        <w:rPr>
          <w:rFonts w:hint="eastAsia" w:ascii="宋体" w:hAnsi="宋体" w:cs="宋体"/>
          <w:color w:val="auto"/>
          <w:sz w:val="24"/>
          <w:szCs w:val="24"/>
          <w:highlight w:val="none"/>
          <w:u w:val="single"/>
        </w:rPr>
        <w:t>。</w:t>
      </w:r>
    </w:p>
    <w:p w14:paraId="6C07C1F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67B19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14:paraId="77B2D8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5FAE568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38.5</w:t>
      </w:r>
      <w:bookmarkStart w:id="128" w:name="_Hlk198215463"/>
      <w:r>
        <w:rPr>
          <w:rFonts w:hint="eastAsia" w:ascii="宋体" w:hAnsi="宋体" w:cs="宋体"/>
          <w:color w:val="auto"/>
          <w:sz w:val="24"/>
          <w:szCs w:val="24"/>
          <w:highlight w:val="none"/>
        </w:rPr>
        <w:t>投标人如在本项目中存在串通投标、</w:t>
      </w:r>
      <w:r>
        <w:rPr>
          <w:rFonts w:hint="eastAsia" w:ascii="宋体" w:hAnsi="宋体" w:cs="宋体"/>
          <w:color w:val="auto"/>
          <w:sz w:val="24"/>
          <w:szCs w:val="24"/>
          <w:highlight w:val="none"/>
          <w:u w:val="single"/>
        </w:rPr>
        <w:t>弄虚作假骗取中标、行贿等</w:t>
      </w:r>
      <w:r>
        <w:rPr>
          <w:rFonts w:hint="eastAsia" w:ascii="宋体" w:hAnsi="宋体" w:cs="宋体"/>
          <w:color w:val="auto"/>
          <w:sz w:val="24"/>
          <w:szCs w:val="24"/>
          <w:highlight w:val="none"/>
        </w:rPr>
        <w:t>情形且在评标</w:t>
      </w:r>
      <w:r>
        <w:rPr>
          <w:rFonts w:hint="eastAsia" w:ascii="宋体" w:hAnsi="宋体" w:cs="宋体"/>
          <w:color w:val="auto"/>
          <w:sz w:val="24"/>
          <w:szCs w:val="24"/>
          <w:highlight w:val="none"/>
          <w:u w:val="single"/>
        </w:rPr>
        <w:t>或定标</w:t>
      </w:r>
      <w:r>
        <w:rPr>
          <w:rFonts w:hint="eastAsia" w:ascii="宋体" w:hAnsi="宋体" w:cs="宋体"/>
          <w:color w:val="auto"/>
          <w:sz w:val="24"/>
          <w:szCs w:val="24"/>
          <w:highlight w:val="none"/>
        </w:rPr>
        <w:t>过程中未被发现的，该投标不改变本项目评标结果排序，</w:t>
      </w:r>
      <w:r>
        <w:rPr>
          <w:rFonts w:hint="eastAsia" w:ascii="宋体" w:hAnsi="宋体" w:cs="宋体"/>
          <w:color w:val="auto"/>
          <w:sz w:val="24"/>
          <w:szCs w:val="24"/>
          <w:highlight w:val="none"/>
          <w:u w:val="single"/>
        </w:rPr>
        <w:t>若在定标过程中被确定为中标人，</w:t>
      </w:r>
      <w:r>
        <w:rPr>
          <w:rFonts w:hint="eastAsia" w:ascii="宋体" w:hAnsi="宋体" w:cs="宋体"/>
          <w:color w:val="auto"/>
          <w:sz w:val="24"/>
          <w:szCs w:val="24"/>
          <w:highlight w:val="none"/>
        </w:rPr>
        <w:t>其中标无效。</w:t>
      </w:r>
      <w:r>
        <w:rPr>
          <w:rFonts w:hint="eastAsia" w:ascii="宋体" w:hAnsi="宋体" w:cs="宋体"/>
          <w:color w:val="auto"/>
          <w:sz w:val="24"/>
          <w:szCs w:val="24"/>
          <w:highlight w:val="none"/>
          <w:u w:val="single"/>
        </w:rPr>
        <w:t>招标人可重新组织原定标委员会从其他合格的中标候选人中采用原定标办法，由原定标委员会重新确定中标人，也可以重新招标。</w:t>
      </w:r>
      <w:bookmarkEnd w:id="128"/>
    </w:p>
    <w:p w14:paraId="4D119A97">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39．定标</w:t>
      </w:r>
    </w:p>
    <w:p w14:paraId="194F9A1D">
      <w:pPr>
        <w:spacing w:line="360" w:lineRule="auto"/>
        <w:ind w:firstLine="480"/>
        <w:rPr>
          <w:rFonts w:hint="eastAsia" w:ascii="宋体" w:hAnsi="宋体" w:cs="宋体"/>
          <w:b/>
          <w:bCs/>
          <w:color w:val="auto"/>
          <w:sz w:val="24"/>
          <w:szCs w:val="24"/>
          <w:highlight w:val="none"/>
          <w:u w:val="single"/>
        </w:rPr>
      </w:pPr>
      <w:bookmarkStart w:id="129" w:name="_Toc2573"/>
      <w:bookmarkStart w:id="130" w:name="_Toc2272558"/>
      <w:r>
        <w:rPr>
          <w:rFonts w:hint="eastAsia" w:ascii="宋体" w:hAnsi="宋体" w:cs="宋体"/>
          <w:b/>
          <w:bCs/>
          <w:color w:val="auto"/>
          <w:sz w:val="24"/>
          <w:szCs w:val="24"/>
          <w:highlight w:val="none"/>
          <w:u w:val="single"/>
        </w:rPr>
        <w:t>具体定标条款详见本章50.定标</w:t>
      </w:r>
    </w:p>
    <w:p w14:paraId="60B3ABCE">
      <w:pPr>
        <w:pStyle w:val="4"/>
        <w:spacing w:before="156" w:after="156"/>
        <w:ind w:firstLine="542" w:firstLineChars="200"/>
        <w:rPr>
          <w:rFonts w:hint="eastAsia" w:cs="宋体"/>
          <w:b/>
          <w:bCs/>
          <w:color w:val="auto"/>
          <w:highlight w:val="none"/>
        </w:rPr>
      </w:pPr>
      <w:r>
        <w:rPr>
          <w:rFonts w:hint="eastAsia" w:cs="宋体"/>
          <w:b/>
          <w:bCs/>
          <w:color w:val="auto"/>
          <w:highlight w:val="none"/>
        </w:rPr>
        <w:t>（二）开标评标办法程序和细则</w:t>
      </w:r>
      <w:bookmarkEnd w:id="129"/>
      <w:bookmarkEnd w:id="130"/>
    </w:p>
    <w:p w14:paraId="31DF06D8">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注：以下七种评标办法所述企业综合诚信评价分数即投标截止当日广州市工程招标代理行业协会网站上公布的企业综合诚信评价60日诚信分。</w:t>
      </w:r>
    </w:p>
    <w:p w14:paraId="59149BEC">
      <w:pPr>
        <w:pStyle w:val="4"/>
        <w:spacing w:before="156" w:after="156"/>
        <w:ind w:firstLine="542" w:firstLineChars="200"/>
        <w:jc w:val="center"/>
        <w:rPr>
          <w:rFonts w:hint="eastAsia" w:cs="宋体"/>
          <w:b/>
          <w:bCs/>
          <w:color w:val="auto"/>
          <w:highlight w:val="none"/>
        </w:rPr>
      </w:pPr>
      <w:bookmarkStart w:id="131" w:name="_Toc2272564"/>
      <w:bookmarkStart w:id="132" w:name="_Toc12095"/>
      <w:r>
        <w:rPr>
          <w:rFonts w:hint="eastAsia" w:cs="宋体"/>
          <w:b/>
          <w:bCs/>
          <w:color w:val="auto"/>
          <w:highlight w:val="none"/>
        </w:rPr>
        <w:t>可选办法七（适合综合评分法四，技术标与经济标同时开启）</w:t>
      </w:r>
      <w:bookmarkEnd w:id="131"/>
      <w:bookmarkEnd w:id="132"/>
    </w:p>
    <w:p w14:paraId="49D646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w:t>
      </w:r>
      <w:r>
        <w:rPr>
          <w:rFonts w:hint="eastAsia" w:ascii="宋体" w:hAnsi="宋体" w:cs="宋体"/>
          <w:b/>
          <w:bCs/>
          <w:color w:val="auto"/>
          <w:sz w:val="24"/>
          <w:szCs w:val="24"/>
          <w:highlight w:val="none"/>
        </w:rPr>
        <w:t>开标</w:t>
      </w:r>
      <w:r>
        <w:rPr>
          <w:rFonts w:hint="eastAsia" w:ascii="宋体" w:hAnsi="宋体" w:cs="宋体"/>
          <w:b/>
          <w:bCs/>
          <w:color w:val="auto"/>
          <w:sz w:val="24"/>
          <w:szCs w:val="24"/>
          <w:highlight w:val="none"/>
          <w:u w:val="single"/>
        </w:rPr>
        <w:t>、评标（有限数量制评审法）及定标办法（记名投票+撰写评语）</w:t>
      </w:r>
    </w:p>
    <w:p w14:paraId="7E32B6D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40.1</w:t>
      </w:r>
      <w:r>
        <w:rPr>
          <w:rFonts w:hint="eastAsia" w:ascii="宋体" w:hAnsi="宋体" w:cs="宋体"/>
          <w:color w:val="auto"/>
          <w:sz w:val="24"/>
          <w:szCs w:val="24"/>
          <w:highlight w:val="none"/>
          <w:u w:val="single"/>
        </w:rPr>
        <w:t>投标人递交技术标（含资格审查文件)、经济标投标文件和定标文件</w:t>
      </w:r>
      <w:r>
        <w:rPr>
          <w:rFonts w:hint="eastAsia" w:ascii="宋体" w:hAnsi="宋体" w:cs="宋体"/>
          <w:color w:val="auto"/>
          <w:sz w:val="24"/>
          <w:szCs w:val="24"/>
          <w:highlight w:val="none"/>
        </w:rPr>
        <w:t>；</w:t>
      </w:r>
    </w:p>
    <w:p w14:paraId="0CC8BA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40.2技术标（含资格审查文件）</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经济标</w:t>
      </w:r>
      <w:r>
        <w:rPr>
          <w:rFonts w:hint="eastAsia" w:ascii="宋体" w:hAnsi="宋体" w:cs="宋体"/>
          <w:color w:val="auto"/>
          <w:sz w:val="24"/>
          <w:szCs w:val="24"/>
          <w:highlight w:val="none"/>
          <w:u w:val="single"/>
        </w:rPr>
        <w:t>和定标</w:t>
      </w:r>
      <w:r>
        <w:rPr>
          <w:rFonts w:hint="eastAsia" w:ascii="宋体" w:hAnsi="宋体" w:cs="宋体"/>
          <w:color w:val="auto"/>
          <w:sz w:val="24"/>
          <w:szCs w:val="24"/>
          <w:highlight w:val="none"/>
        </w:rPr>
        <w:t>投标文件同时公开开标；</w:t>
      </w:r>
    </w:p>
    <w:p w14:paraId="325DF8A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40.3由评标委员会对所有已公开开标的投标人进行资格审查，并编写资格审查报告；</w:t>
      </w:r>
    </w:p>
    <w:p w14:paraId="074E18B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40.4技术标有效性审查；</w:t>
      </w:r>
    </w:p>
    <w:p w14:paraId="2DABA6F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40.5技术标详细审查评分；</w:t>
      </w:r>
    </w:p>
    <w:p w14:paraId="287E60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40.6经济标有效性审查；</w:t>
      </w:r>
    </w:p>
    <w:p w14:paraId="3C7688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40.7经济标详细审查评分；</w:t>
      </w:r>
    </w:p>
    <w:p w14:paraId="66CC89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40.8评标委员会按照投标人总得分由高至低排序；</w:t>
      </w:r>
    </w:p>
    <w:p w14:paraId="2497D9EE">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40.9</w:t>
      </w:r>
      <w:r>
        <w:rPr>
          <w:rFonts w:hint="eastAsia" w:ascii="宋体" w:hAnsi="宋体" w:cs="宋体"/>
          <w:bCs/>
          <w:color w:val="auto"/>
          <w:sz w:val="24"/>
          <w:szCs w:val="24"/>
          <w:highlight w:val="none"/>
          <w:u w:val="single"/>
        </w:rPr>
        <w:t>评标委员会编写资格审查报告以及评标报告，向招标人推荐1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名合格的中标候选人进入定标阶段。若参与投标人得分汇总的投标人家数大于1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家（不含1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家），评标委员会应按投标人总得分排序先后顺序，推荐排序前1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名投标人为合格的中标候选人进入定标阶段。若参与投标人得分汇总的投标人家数在【3，</w:t>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u w:val="single"/>
        </w:rPr>
        <w:t>】的，不排序推荐全部投标人为合格的中标候选人进入定标阶段（其排名顺序只作为评标阶段确定进入定标阶段的依据,不对定标工作产生影响）。</w:t>
      </w:r>
    </w:p>
    <w:p w14:paraId="15C66F24">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合格的中标候选人不排序进入定标阶段，编写评标报告时，</w:t>
      </w:r>
      <w:r>
        <w:rPr>
          <w:rFonts w:hint="eastAsia" w:ascii="宋体" w:hAnsi="宋体" w:cs="宋体"/>
          <w:color w:val="auto"/>
          <w:sz w:val="24"/>
          <w:szCs w:val="24"/>
          <w:highlight w:val="none"/>
          <w:u w:val="single"/>
        </w:rPr>
        <w:t>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bCs/>
          <w:color w:val="auto"/>
          <w:sz w:val="24"/>
          <w:szCs w:val="24"/>
          <w:highlight w:val="none"/>
          <w:u w:val="single"/>
        </w:rPr>
        <w:t>。</w:t>
      </w:r>
    </w:p>
    <w:p w14:paraId="4EB2B421">
      <w:pPr>
        <w:spacing w:line="360"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在合格中标候选人公示期间或在定标前，如有投标人或其他利害关系人对评标结果提出异议影响进入定标阶段的中标候选人家数的，或者有合格的中标候选人放弃中标候选人资格，或者被查实存在影响中标候选人资格的违法行为等情形的，导致合格的中标候选人不足1</w:t>
      </w:r>
      <w:r>
        <w:rPr>
          <w:rFonts w:hint="eastAsia" w:ascii="宋体" w:hAnsi="宋体" w:cs="宋体"/>
          <w:b/>
          <w:bCs/>
          <w:color w:val="auto"/>
          <w:sz w:val="24"/>
          <w:szCs w:val="24"/>
          <w:highlight w:val="none"/>
          <w:u w:val="single"/>
          <w:lang w:val="en-US" w:eastAsia="zh-CN"/>
        </w:rPr>
        <w:t>5</w:t>
      </w:r>
      <w:r>
        <w:rPr>
          <w:rFonts w:hint="eastAsia" w:ascii="宋体" w:hAnsi="宋体" w:cs="宋体"/>
          <w:b/>
          <w:bCs/>
          <w:color w:val="auto"/>
          <w:sz w:val="24"/>
          <w:szCs w:val="24"/>
          <w:highlight w:val="none"/>
          <w:u w:val="single"/>
        </w:rPr>
        <w:t>家的，按投标人总分排序依次上升递补进入定标阶段，直至无其他合格的中标候选人。如无其他合格的中标候选人递补的，则剩下合格的中标候选人进入定标阶段。</w:t>
      </w:r>
    </w:p>
    <w:p w14:paraId="15F9714D">
      <w:pPr>
        <w:snapToGrid w:val="0"/>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40.10</w:t>
      </w:r>
      <w:r>
        <w:rPr>
          <w:rFonts w:hint="eastAsia" w:ascii="宋体" w:hAnsi="宋体" w:cs="宋体"/>
          <w:bCs/>
          <w:color w:val="auto"/>
          <w:sz w:val="24"/>
          <w:szCs w:val="24"/>
          <w:highlight w:val="none"/>
          <w:u w:val="single"/>
        </w:rPr>
        <w:t>定标委员会对评标委员会推荐的合格的中标候选人按《定标因素表》撰写评语并进行直接票决确定中标人。每位定标委员只有1票表决权（即每位定标委员只能对其中一家合格中标候选人投票），得票数最多的合格的中标候选人为中标人。定标结束后，定标委员会向招标人递交定标报告。</w:t>
      </w:r>
    </w:p>
    <w:p w14:paraId="1FC3E02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41．开标细则</w:t>
      </w:r>
    </w:p>
    <w:p w14:paraId="472E185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41.1开标由招标人</w:t>
      </w:r>
      <w:r>
        <w:rPr>
          <w:rFonts w:hint="eastAsia" w:ascii="宋体" w:hAnsi="宋体" w:cs="宋体"/>
          <w:color w:val="auto"/>
          <w:sz w:val="24"/>
          <w:szCs w:val="24"/>
          <w:highlight w:val="none"/>
          <w:u w:val="single"/>
        </w:rPr>
        <w:t>或招标代理</w:t>
      </w:r>
      <w:r>
        <w:rPr>
          <w:rFonts w:hint="eastAsia" w:ascii="宋体" w:hAnsi="宋体" w:cs="宋体"/>
          <w:color w:val="auto"/>
          <w:sz w:val="24"/>
          <w:szCs w:val="24"/>
          <w:highlight w:val="none"/>
        </w:rPr>
        <w:t>主持；</w:t>
      </w:r>
    </w:p>
    <w:p w14:paraId="15D2935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 细则</w:t>
      </w:r>
    </w:p>
    <w:p w14:paraId="5593F0F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41.2.1投标截止期前，各投标人递交投标文件（包括技术标投标文件</w:t>
      </w:r>
      <w:r>
        <w:rPr>
          <w:rFonts w:hint="eastAsia" w:ascii="宋体" w:hAnsi="宋体" w:cs="宋体"/>
          <w:color w:val="auto"/>
          <w:sz w:val="24"/>
          <w:szCs w:val="24"/>
          <w:highlight w:val="none"/>
          <w:u w:val="single"/>
        </w:rPr>
        <w:t>（含资格审查文件）</w:t>
      </w:r>
      <w:r>
        <w:rPr>
          <w:rFonts w:hint="eastAsia" w:ascii="宋体" w:hAnsi="宋体" w:cs="宋体"/>
          <w:color w:val="auto"/>
          <w:sz w:val="24"/>
          <w:szCs w:val="24"/>
          <w:highlight w:val="none"/>
        </w:rPr>
        <w:t>、经济标投标文件</w:t>
      </w:r>
      <w:r>
        <w:rPr>
          <w:rFonts w:hint="eastAsia" w:ascii="宋体" w:hAnsi="宋体" w:cs="宋体"/>
          <w:color w:val="auto"/>
          <w:sz w:val="24"/>
          <w:szCs w:val="24"/>
          <w:highlight w:val="none"/>
          <w:u w:val="single"/>
        </w:rPr>
        <w:t>和定标文件</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 xml:space="preserve">交易平台。有关投标文件提交的事项详见第一章投标须知。 </w:t>
      </w:r>
    </w:p>
    <w:p w14:paraId="75D3B67B">
      <w:pPr>
        <w:snapToGrid w:val="0"/>
        <w:spacing w:line="360" w:lineRule="auto"/>
        <w:ind w:firstLine="480" w:firstLineChars="200"/>
        <w:rPr>
          <w:rFonts w:hint="eastAsia" w:ascii="宋体" w:hAnsi="宋体" w:cs="宋体"/>
          <w:strike w:val="0"/>
          <w:color w:val="auto"/>
          <w:sz w:val="24"/>
          <w:szCs w:val="24"/>
          <w:highlight w:val="none"/>
        </w:rPr>
      </w:pPr>
      <w:r>
        <w:rPr>
          <w:rFonts w:hint="eastAsia" w:ascii="宋体" w:hAnsi="宋体" w:cs="宋体"/>
          <w:strike w:val="0"/>
          <w:color w:val="auto"/>
          <w:sz w:val="24"/>
          <w:szCs w:val="24"/>
          <w:highlight w:val="none"/>
        </w:rPr>
        <w:t>41.2.2开标前，首先由招标人随机抽取确定该工程计算评标参考价的等分点值X。</w:t>
      </w:r>
    </w:p>
    <w:p w14:paraId="0E8FCB8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41.2.3开标时，投标人代表有权参加现场开标</w:t>
      </w:r>
      <w:r>
        <w:rPr>
          <w:rFonts w:hint="eastAsia" w:ascii="宋体" w:hAnsi="宋体" w:cs="宋体"/>
          <w:color w:val="auto"/>
          <w:sz w:val="24"/>
          <w:szCs w:val="24"/>
          <w:highlight w:val="none"/>
          <w:u w:val="single"/>
        </w:rPr>
        <w:t>或在线开标</w:t>
      </w:r>
      <w:r>
        <w:rPr>
          <w:rFonts w:hint="eastAsia" w:ascii="宋体" w:hAnsi="宋体" w:cs="宋体"/>
          <w:color w:val="auto"/>
          <w:sz w:val="24"/>
          <w:szCs w:val="24"/>
          <w:highlight w:val="none"/>
        </w:rPr>
        <w:t>，也</w:t>
      </w:r>
      <w:bookmarkStart w:id="249" w:name="_GoBack"/>
      <w:bookmarkEnd w:id="249"/>
      <w:r>
        <w:rPr>
          <w:rFonts w:hint="eastAsia" w:ascii="宋体" w:hAnsi="宋体" w:cs="宋体"/>
          <w:color w:val="auto"/>
          <w:sz w:val="24"/>
          <w:szCs w:val="24"/>
          <w:highlight w:val="none"/>
        </w:rPr>
        <w:t>可以自主决定不参加开标，若投标人代表对开标过程</w:t>
      </w:r>
      <w:r>
        <w:rPr>
          <w:rFonts w:hint="eastAsia" w:ascii="宋体" w:hAnsi="宋体" w:cs="宋体"/>
          <w:color w:val="auto"/>
          <w:sz w:val="24"/>
          <w:szCs w:val="24"/>
          <w:highlight w:val="none"/>
          <w:u w:val="single"/>
        </w:rPr>
        <w:t>有</w:t>
      </w:r>
      <w:r>
        <w:rPr>
          <w:rFonts w:hint="eastAsia" w:ascii="宋体" w:hAnsi="宋体" w:cs="宋体"/>
          <w:color w:val="auto"/>
          <w:sz w:val="24"/>
          <w:szCs w:val="24"/>
          <w:highlight w:val="none"/>
        </w:rPr>
        <w:t>异议</w:t>
      </w:r>
      <w:r>
        <w:rPr>
          <w:rFonts w:hint="eastAsia" w:ascii="宋体" w:hAnsi="宋体" w:cs="宋体"/>
          <w:color w:val="auto"/>
          <w:sz w:val="24"/>
          <w:szCs w:val="24"/>
          <w:highlight w:val="none"/>
          <w:u w:val="single"/>
        </w:rPr>
        <w:t>的</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535B0A8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14:paraId="651C74D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41.2.4.1开标时，公布：a、投标人名称；b、投标报价；</w:t>
      </w:r>
      <w:r>
        <w:rPr>
          <w:rFonts w:hint="eastAsia" w:ascii="宋体" w:hAnsi="宋体" w:cs="宋体"/>
          <w:color w:val="auto"/>
          <w:sz w:val="24"/>
          <w:szCs w:val="24"/>
          <w:highlight w:val="none"/>
          <w:u w:val="single"/>
        </w:rPr>
        <w:t>c、项目经理（负责人）名称；d、技术负责人；e、专职安全员；</w:t>
      </w:r>
      <w:r>
        <w:rPr>
          <w:rFonts w:hint="eastAsia" w:ascii="宋体" w:hAnsi="宋体" w:cs="宋体"/>
          <w:color w:val="auto"/>
          <w:sz w:val="24"/>
          <w:szCs w:val="24"/>
          <w:highlight w:val="none"/>
        </w:rPr>
        <w:t>f、法定代表人证明及授权委托等主要内容及开标记录表中的其他必要内容。投标报价以数字和文字两种方式表述的，应公布文字表述的投标报价。</w:t>
      </w:r>
    </w:p>
    <w:p w14:paraId="4BF6AD4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41.3招标人</w:t>
      </w:r>
      <w:r>
        <w:rPr>
          <w:rFonts w:hint="eastAsia" w:ascii="宋体" w:hAnsi="宋体" w:cs="宋体"/>
          <w:color w:val="auto"/>
          <w:sz w:val="24"/>
          <w:szCs w:val="24"/>
          <w:highlight w:val="none"/>
          <w:u w:val="single"/>
        </w:rPr>
        <w:t>或招标代理机构</w:t>
      </w:r>
      <w:r>
        <w:rPr>
          <w:rFonts w:hint="eastAsia" w:ascii="宋体" w:hAnsi="宋体" w:cs="宋体"/>
          <w:color w:val="auto"/>
          <w:sz w:val="24"/>
          <w:szCs w:val="24"/>
          <w:highlight w:val="none"/>
        </w:rPr>
        <w:t>对开标过程进行记录，并存档备查，</w:t>
      </w:r>
      <w:r>
        <w:rPr>
          <w:rFonts w:hint="eastAsia" w:ascii="宋体" w:hAnsi="宋体" w:cs="宋体"/>
          <w:color w:val="auto"/>
          <w:sz w:val="24"/>
          <w:szCs w:val="24"/>
          <w:highlight w:val="none"/>
          <w:u w:val="single"/>
        </w:rPr>
        <w:t>参加开标会的</w:t>
      </w:r>
      <w:r>
        <w:rPr>
          <w:rFonts w:hint="eastAsia" w:ascii="宋体" w:hAnsi="宋体" w:cs="宋体"/>
          <w:color w:val="auto"/>
          <w:sz w:val="24"/>
          <w:szCs w:val="24"/>
          <w:highlight w:val="none"/>
        </w:rPr>
        <w:t>投标人在开标记录上签字</w:t>
      </w:r>
      <w:r>
        <w:rPr>
          <w:rFonts w:hint="eastAsia" w:ascii="宋体" w:hAnsi="宋体" w:cs="宋体"/>
          <w:color w:val="auto"/>
          <w:sz w:val="24"/>
          <w:szCs w:val="24"/>
          <w:highlight w:val="none"/>
          <w:u w:val="single"/>
        </w:rPr>
        <w:t>，投标人未签字且未提出异议的将被视为默认开标结果</w:t>
      </w:r>
      <w:r>
        <w:rPr>
          <w:rFonts w:hint="eastAsia" w:ascii="宋体" w:hAnsi="宋体" w:cs="宋体"/>
          <w:color w:val="auto"/>
          <w:sz w:val="24"/>
          <w:szCs w:val="24"/>
          <w:highlight w:val="none"/>
        </w:rPr>
        <w:t>。</w:t>
      </w:r>
    </w:p>
    <w:p w14:paraId="0854CB8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41.4 招标人</w:t>
      </w:r>
      <w:r>
        <w:rPr>
          <w:rFonts w:hint="eastAsia" w:ascii="宋体" w:hAnsi="宋体" w:cs="宋体"/>
          <w:color w:val="auto"/>
          <w:sz w:val="24"/>
          <w:szCs w:val="24"/>
          <w:highlight w:val="none"/>
          <w:u w:val="single"/>
          <w:lang w:bidi="ar"/>
        </w:rPr>
        <w:t>或招标代理机构</w:t>
      </w:r>
      <w:r>
        <w:rPr>
          <w:rFonts w:hint="eastAsia" w:ascii="宋体" w:hAnsi="宋体" w:cs="宋体"/>
          <w:color w:val="auto"/>
          <w:sz w:val="24"/>
          <w:szCs w:val="24"/>
          <w:highlight w:val="none"/>
        </w:rPr>
        <w:t>将上述符合要求的投标文件，送至评标委员会进行评审。</w:t>
      </w:r>
    </w:p>
    <w:p w14:paraId="1364D236">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 </w:t>
      </w:r>
      <w:r>
        <w:rPr>
          <w:rFonts w:hint="eastAsia" w:ascii="宋体" w:hAnsi="宋体" w:cs="宋体"/>
          <w:color w:val="auto"/>
          <w:sz w:val="24"/>
          <w:szCs w:val="24"/>
          <w:highlight w:val="none"/>
          <w:u w:val="single"/>
        </w:rPr>
        <w:t>评标委员会及定标委员会的组成</w:t>
      </w:r>
    </w:p>
    <w:p w14:paraId="7BADBF22">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14:paraId="2AA51B44">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42.2评标委员会的组成：方式 </w:t>
      </w:r>
      <w:r>
        <w:rPr>
          <w:rFonts w:hint="eastAsia" w:ascii="宋体" w:hAnsi="宋体" w:cs="宋体"/>
          <w:color w:val="auto"/>
          <w:sz w:val="24"/>
          <w:szCs w:val="24"/>
          <w:highlight w:val="none"/>
          <w:u w:val="single"/>
        </w:rPr>
        <w:t xml:space="preserve">一 </w:t>
      </w:r>
      <w:r>
        <w:rPr>
          <w:rFonts w:hint="eastAsia" w:ascii="宋体" w:hAnsi="宋体" w:cs="宋体"/>
          <w:color w:val="auto"/>
          <w:sz w:val="24"/>
          <w:szCs w:val="24"/>
          <w:highlight w:val="none"/>
        </w:rPr>
        <w:t>。</w:t>
      </w:r>
    </w:p>
    <w:p w14:paraId="1628456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方式一：评标委员会为综合评标委员会，评标委员会为综合评标委员会，负责</w:t>
      </w:r>
      <w:r>
        <w:rPr>
          <w:rFonts w:hint="eastAsia" w:ascii="宋体" w:hAnsi="宋体" w:cs="宋体"/>
          <w:color w:val="auto"/>
          <w:sz w:val="24"/>
          <w:szCs w:val="24"/>
          <w:highlight w:val="none"/>
          <w:u w:val="single"/>
        </w:rPr>
        <w:t>资格审查、技术标有效性审查、技术标详细审查评分、经济标有效性审查、经济标详细审查评分、投标人总得分汇总及排序、推荐合格的中标候选人等相关的评标工作。</w:t>
      </w:r>
    </w:p>
    <w:p w14:paraId="73CB1EEB">
      <w:pPr>
        <w:pStyle w:val="37"/>
        <w:tabs>
          <w:tab w:val="left" w:pos="7380"/>
        </w:tabs>
        <w:snapToGrid w:val="0"/>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42.3 定标委员会的组成：由招标人依法依规组建，负责定标环节。</w:t>
      </w:r>
    </w:p>
    <w:p w14:paraId="0035A6C8">
      <w:pPr>
        <w:pStyle w:val="37"/>
        <w:tabs>
          <w:tab w:val="left" w:pos="7380"/>
        </w:tabs>
        <w:snapToGrid w:val="0"/>
        <w:spacing w:after="0" w:line="360" w:lineRule="auto"/>
        <w:ind w:firstLine="482" w:firstLineChars="200"/>
        <w:rPr>
          <w:rFonts w:hint="eastAsia" w:ascii="宋体" w:hAnsi="宋体" w:cs="宋体"/>
          <w:b/>
          <w:bCs/>
          <w:color w:val="auto"/>
          <w:sz w:val="24"/>
          <w:szCs w:val="24"/>
          <w:highlight w:val="none"/>
          <w:u w:val="single"/>
        </w:rPr>
      </w:pPr>
      <w:bookmarkStart w:id="133" w:name="OLE_LINK75"/>
      <w:r>
        <w:rPr>
          <w:rFonts w:hint="eastAsia" w:ascii="宋体" w:hAnsi="宋体" w:cs="宋体"/>
          <w:b/>
          <w:bCs/>
          <w:color w:val="auto"/>
          <w:sz w:val="24"/>
          <w:szCs w:val="24"/>
          <w:highlight w:val="none"/>
          <w:u w:val="single"/>
        </w:rPr>
        <w:t>评标细则（评标流程按以下43、44、45、46、47、48、49条款顺序进行）</w:t>
      </w:r>
    </w:p>
    <w:p w14:paraId="3E6DE5BE">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w:t>
      </w:r>
      <w:r>
        <w:rPr>
          <w:rFonts w:hint="eastAsia" w:ascii="宋体" w:hAnsi="宋体" w:cs="宋体"/>
          <w:b/>
          <w:bCs/>
          <w:color w:val="auto"/>
          <w:sz w:val="24"/>
          <w:szCs w:val="24"/>
          <w:highlight w:val="none"/>
        </w:rPr>
        <w:t>投标人资格审查</w:t>
      </w:r>
      <w:r>
        <w:rPr>
          <w:rFonts w:hint="eastAsia" w:ascii="宋体" w:hAnsi="宋体" w:cs="宋体"/>
          <w:b/>
          <w:bCs/>
          <w:color w:val="auto"/>
          <w:sz w:val="24"/>
          <w:szCs w:val="24"/>
          <w:highlight w:val="none"/>
          <w:u w:val="single"/>
        </w:rPr>
        <w:t>评审细则</w:t>
      </w:r>
    </w:p>
    <w:p w14:paraId="75994D3F">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w:t>
      </w:r>
      <w:r>
        <w:rPr>
          <w:rFonts w:hint="eastAsia" w:ascii="宋体" w:hAnsi="宋体" w:cs="宋体"/>
          <w:color w:val="auto"/>
          <w:sz w:val="24"/>
          <w:szCs w:val="24"/>
          <w:highlight w:val="none"/>
          <w:u w:val="single"/>
        </w:rPr>
        <w:t>评标委员会先对所有投标人的投标文件进行资格审查。</w:t>
      </w:r>
      <w:r>
        <w:rPr>
          <w:rFonts w:hint="eastAsia" w:ascii="宋体" w:hAnsi="宋体" w:cs="宋体"/>
          <w:color w:val="auto"/>
          <w:sz w:val="24"/>
          <w:szCs w:val="24"/>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color w:val="auto"/>
          <w:sz w:val="24"/>
          <w:szCs w:val="24"/>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14:paraId="4E7D641B">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43.2</w:t>
      </w:r>
      <w:r>
        <w:rPr>
          <w:rFonts w:hint="eastAsia" w:ascii="宋体" w:hAnsi="宋体" w:cs="宋体"/>
          <w:color w:val="auto"/>
          <w:sz w:val="24"/>
          <w:szCs w:val="24"/>
          <w:highlight w:val="none"/>
          <w:u w:val="single"/>
        </w:rPr>
        <w:t>评标委员会</w:t>
      </w:r>
      <w:r>
        <w:rPr>
          <w:rFonts w:hint="eastAsia" w:ascii="宋体" w:hAnsi="宋体" w:cs="宋体"/>
          <w:color w:val="auto"/>
          <w:sz w:val="24"/>
          <w:szCs w:val="24"/>
          <w:highlight w:val="none"/>
        </w:rPr>
        <w:t>汇总资格审查情况，编写资格审查报告。</w:t>
      </w:r>
    </w:p>
    <w:p w14:paraId="1CCB675F">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w:t>
      </w:r>
      <w:r>
        <w:rPr>
          <w:rFonts w:hint="eastAsia" w:ascii="宋体" w:hAnsi="宋体" w:cs="宋体"/>
          <w:color w:val="auto"/>
          <w:sz w:val="24"/>
          <w:szCs w:val="24"/>
          <w:highlight w:val="none"/>
          <w:u w:val="single"/>
        </w:rPr>
        <w:t>技术标评审</w:t>
      </w:r>
      <w:r>
        <w:rPr>
          <w:rFonts w:hint="eastAsia" w:ascii="宋体" w:hAnsi="宋体" w:cs="宋体"/>
          <w:color w:val="auto"/>
          <w:sz w:val="24"/>
          <w:szCs w:val="24"/>
          <w:highlight w:val="none"/>
        </w:rPr>
        <w:t>，不参与评标参考价的计算。</w:t>
      </w:r>
    </w:p>
    <w:p w14:paraId="5D84E173">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20B661B">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43.5</w:t>
      </w:r>
      <w:r>
        <w:rPr>
          <w:rFonts w:hint="eastAsia" w:ascii="宋体" w:hAnsi="宋体" w:cs="宋体"/>
          <w:color w:val="auto"/>
          <w:sz w:val="24"/>
          <w:szCs w:val="24"/>
          <w:highlight w:val="none"/>
          <w:u w:val="single"/>
        </w:rPr>
        <w:t>资格审查合格后</w:t>
      </w:r>
      <w:r>
        <w:rPr>
          <w:rFonts w:hint="eastAsia" w:ascii="宋体" w:hAnsi="宋体" w:cs="宋体"/>
          <w:color w:val="auto"/>
          <w:sz w:val="24"/>
          <w:szCs w:val="24"/>
          <w:highlight w:val="none"/>
        </w:rPr>
        <w:t>，投标人的资格发生变化而不满足投标人合格条件，在发出中标通知书前，资格问题仍未解决的，招标人将取消其中标资格。</w:t>
      </w:r>
    </w:p>
    <w:p w14:paraId="14DE6FB6">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43.6资格审查合格的投标人少于3名的，则本项目招标失败。</w:t>
      </w:r>
    </w:p>
    <w:bookmarkEnd w:id="133"/>
    <w:p w14:paraId="1C10E3B3">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cs="宋体"/>
          <w:b/>
          <w:bCs/>
          <w:color w:val="auto"/>
          <w:sz w:val="24"/>
          <w:szCs w:val="24"/>
          <w:highlight w:val="none"/>
          <w:u w:val="single"/>
        </w:rPr>
        <w:t>技术标评审细则（含技术标有效性审查、技术标详细审查</w:t>
      </w:r>
      <w:r>
        <w:rPr>
          <w:rFonts w:hint="eastAsia" w:ascii="宋体" w:hAnsi="宋体" w:cs="宋体"/>
          <w:color w:val="auto"/>
          <w:sz w:val="24"/>
          <w:szCs w:val="24"/>
          <w:highlight w:val="none"/>
        </w:rPr>
        <w:t>评分</w:t>
      </w:r>
      <w:r>
        <w:rPr>
          <w:rFonts w:hint="eastAsia" w:ascii="宋体" w:hAnsi="宋体" w:cs="宋体"/>
          <w:b/>
          <w:bCs/>
          <w:color w:val="auto"/>
          <w:sz w:val="24"/>
          <w:szCs w:val="24"/>
          <w:highlight w:val="none"/>
          <w:u w:val="single"/>
        </w:rPr>
        <w:t>）</w:t>
      </w:r>
    </w:p>
    <w:p w14:paraId="45F0FAE2">
      <w:pPr>
        <w:pStyle w:val="37"/>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44.1</w:t>
      </w:r>
      <w:r>
        <w:rPr>
          <w:rFonts w:hint="eastAsia" w:ascii="宋体" w:hAnsi="宋体" w:cs="宋体"/>
          <w:color w:val="auto"/>
          <w:sz w:val="24"/>
          <w:szCs w:val="24"/>
          <w:highlight w:val="none"/>
          <w:u w:val="single"/>
        </w:rPr>
        <w:t>技术标有效性审查：评标委员会先</w:t>
      </w:r>
      <w:r>
        <w:rPr>
          <w:rFonts w:hint="eastAsia" w:ascii="宋体" w:hAnsi="宋体" w:cs="宋体"/>
          <w:color w:val="auto"/>
          <w:sz w:val="24"/>
          <w:szCs w:val="24"/>
          <w:highlight w:val="none"/>
        </w:rPr>
        <w:t>对所有通过资格审查投标人的投标文件进行技术标有效性审查。</w:t>
      </w:r>
      <w:r>
        <w:rPr>
          <w:rFonts w:hint="eastAsia" w:ascii="宋体" w:hAnsi="宋体" w:cs="宋体"/>
          <w:color w:val="auto"/>
          <w:sz w:val="24"/>
          <w:szCs w:val="24"/>
          <w:highlight w:val="none"/>
          <w:u w:val="single"/>
        </w:rPr>
        <w:t>投标文件中没有任一种列于本办法附表二《技术标有效性审查表》中情形的，为有效投标文件。否则其投标文件将被否决。被否决的投标人不参与技术标详细审查评分、不参与经济标评审，不参与评标参考价的计算。如评标委员会的评审意见不一致时，以评标委员会过半数成员的意见作为评标委员会对该情形的认定结论。评委发现投标文件中含义不明确、对同类问题表述不一致、有明显文字和计算错误的，应当要求投标人作必要的澄清、说明后再判定投标人是否通过技术标有效性审查，不得直接否决投标。通过技术标有效性审查的投标人少于3名的，则本项目招标失败。</w:t>
      </w:r>
    </w:p>
    <w:p w14:paraId="3C07CA27">
      <w:pPr>
        <w:pStyle w:val="37"/>
        <w:tabs>
          <w:tab w:val="left" w:pos="7380"/>
        </w:tabs>
        <w:snapToGrid w:val="0"/>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44.2技术标</w:t>
      </w:r>
      <w:bookmarkStart w:id="134" w:name="OLE_LINK68"/>
      <w:r>
        <w:rPr>
          <w:rFonts w:hint="eastAsia" w:ascii="宋体" w:hAnsi="宋体" w:cs="宋体"/>
          <w:color w:val="auto"/>
          <w:sz w:val="24"/>
          <w:szCs w:val="24"/>
          <w:highlight w:val="none"/>
        </w:rPr>
        <w:t>详细审查评分</w:t>
      </w:r>
      <w:bookmarkEnd w:id="134"/>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评标委员对所有通过技术标有效性审查的投标人的投标文件进行技术标详</w:t>
      </w:r>
      <w:r>
        <w:rPr>
          <w:rFonts w:hint="eastAsia" w:ascii="宋体" w:hAnsi="宋体" w:eastAsia="宋体" w:cs="宋体"/>
          <w:color w:val="auto"/>
          <w:sz w:val="24"/>
          <w:szCs w:val="24"/>
          <w:highlight w:val="none"/>
          <w:u w:val="single"/>
        </w:rPr>
        <w:t>细审查评分</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z w:val="24"/>
          <w:szCs w:val="24"/>
          <w:highlight w:val="none"/>
          <w:u w:val="single"/>
        </w:rPr>
        <w:t>评标委员会按</w:t>
      </w:r>
      <w:r>
        <w:rPr>
          <w:rFonts w:hint="eastAsia" w:ascii="宋体" w:hAnsi="宋体" w:cs="宋体"/>
          <w:color w:val="auto"/>
          <w:sz w:val="24"/>
          <w:szCs w:val="24"/>
          <w:highlight w:val="none"/>
          <w:u w:val="single"/>
        </w:rPr>
        <w:t>照附表四《技术标详细审查评分表》的标准，进行技术标详细审查</w:t>
      </w:r>
      <w:r>
        <w:rPr>
          <w:rFonts w:hint="eastAsia" w:ascii="宋体" w:hAnsi="宋体" w:cs="宋体"/>
          <w:color w:val="auto"/>
          <w:sz w:val="24"/>
          <w:szCs w:val="24"/>
          <w:highlight w:val="none"/>
        </w:rPr>
        <w:t>评分</w:t>
      </w:r>
      <w:r>
        <w:rPr>
          <w:rFonts w:hint="eastAsia" w:ascii="宋体" w:hAnsi="宋体" w:cs="宋体"/>
          <w:color w:val="auto"/>
          <w:sz w:val="24"/>
          <w:szCs w:val="24"/>
          <w:highlight w:val="none"/>
          <w:u w:val="single"/>
        </w:rPr>
        <w:t>，评出技术得分，得分四舍五入精确到小数点后两位。</w:t>
      </w:r>
    </w:p>
    <w:p w14:paraId="70D559EA">
      <w:pPr>
        <w:spacing w:line="360" w:lineRule="auto"/>
        <w:ind w:firstLine="537" w:firstLineChars="224"/>
        <w:rPr>
          <w:rFonts w:hint="eastAsia" w:ascii="宋体" w:hAnsi="宋体" w:cs="宋体"/>
          <w:color w:val="auto"/>
          <w:spacing w:val="-4"/>
          <w:sz w:val="24"/>
          <w:szCs w:val="24"/>
          <w:highlight w:val="none"/>
          <w:u w:val="single"/>
        </w:rPr>
      </w:pPr>
      <w:r>
        <w:rPr>
          <w:rFonts w:hint="eastAsia" w:ascii="宋体" w:hAnsi="宋体" w:cs="宋体"/>
          <w:color w:val="auto"/>
          <w:sz w:val="24"/>
          <w:szCs w:val="24"/>
          <w:highlight w:val="none"/>
          <w:u w:val="single"/>
        </w:rPr>
        <w:t>45．</w:t>
      </w:r>
      <w:r>
        <w:rPr>
          <w:rFonts w:hint="eastAsia" w:ascii="宋体" w:hAnsi="宋体" w:cs="宋体"/>
          <w:b/>
          <w:bCs/>
          <w:color w:val="auto"/>
          <w:spacing w:val="-4"/>
          <w:sz w:val="24"/>
          <w:szCs w:val="24"/>
          <w:highlight w:val="none"/>
          <w:u w:val="single"/>
        </w:rPr>
        <w:t>经济标评审</w:t>
      </w:r>
      <w:r>
        <w:rPr>
          <w:rFonts w:hint="eastAsia" w:ascii="宋体" w:hAnsi="宋体" w:cs="宋体"/>
          <w:b/>
          <w:bCs/>
          <w:color w:val="auto"/>
          <w:sz w:val="24"/>
          <w:szCs w:val="24"/>
          <w:highlight w:val="none"/>
          <w:u w:val="single"/>
        </w:rPr>
        <w:t>细则（含经济标有效性审查、经济标的算术校核、经济标详细审查</w:t>
      </w:r>
      <w:r>
        <w:rPr>
          <w:rFonts w:hint="eastAsia" w:ascii="宋体" w:hAnsi="宋体" w:cs="宋体"/>
          <w:color w:val="auto"/>
          <w:sz w:val="24"/>
          <w:szCs w:val="24"/>
          <w:highlight w:val="none"/>
        </w:rPr>
        <w:t>评分</w:t>
      </w:r>
      <w:r>
        <w:rPr>
          <w:rFonts w:hint="eastAsia" w:ascii="宋体" w:hAnsi="宋体" w:cs="宋体"/>
          <w:b/>
          <w:bCs/>
          <w:color w:val="auto"/>
          <w:sz w:val="24"/>
          <w:szCs w:val="24"/>
          <w:highlight w:val="none"/>
          <w:u w:val="single"/>
        </w:rPr>
        <w:t>）</w:t>
      </w:r>
    </w:p>
    <w:p w14:paraId="383F5686">
      <w:pPr>
        <w:spacing w:line="360" w:lineRule="auto"/>
        <w:ind w:firstLine="519" w:firstLineChars="224"/>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45.1</w:t>
      </w:r>
      <w:r>
        <w:rPr>
          <w:rFonts w:hint="eastAsia" w:ascii="宋体" w:hAnsi="宋体" w:cs="宋体"/>
          <w:color w:val="auto"/>
          <w:sz w:val="24"/>
          <w:szCs w:val="24"/>
          <w:highlight w:val="none"/>
          <w:u w:val="single"/>
        </w:rPr>
        <w:t>经济标有效性审查：评标委员会先对通过技术标有效性审查的投标人的投标文件进行经济标有效性审查。投标文件中没有任一种列于本办法附表三《经济标有效性审查表》中情形的，为有效投标文件，否则其投标文件将被否决。被否决的投标人不参与下一阶段经济标详细审查评分，不参与评标参考价的计算。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经济标有效性审查，不得直接否决投标。通过经济标有效性审查的投标人少于3名的，则本项目招标失败。</w:t>
      </w:r>
    </w:p>
    <w:p w14:paraId="19EF03B5">
      <w:pPr>
        <w:spacing w:line="360" w:lineRule="auto"/>
        <w:ind w:firstLine="464"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pacing w:val="-4"/>
          <w:sz w:val="24"/>
          <w:szCs w:val="24"/>
          <w:highlight w:val="none"/>
          <w:u w:val="single"/>
        </w:rPr>
        <w:t>45.2</w:t>
      </w:r>
      <w:r>
        <w:rPr>
          <w:rFonts w:hint="eastAsia" w:ascii="宋体" w:hAnsi="宋体" w:cs="宋体"/>
          <w:strike/>
          <w:dstrike w:val="0"/>
          <w:color w:val="auto"/>
          <w:sz w:val="24"/>
          <w:szCs w:val="24"/>
          <w:highlight w:val="none"/>
          <w:u w:val="single"/>
        </w:rPr>
        <w:t>经济标的算术校核：评标委员会对通过经济标有效性审查的投标文件投标报价按照就低不就高的原则进行算术校核，具体标准如下：</w:t>
      </w:r>
    </w:p>
    <w:p w14:paraId="69D8E250">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45.2.1如果数字表示的金额和用文字表示的金额不一致时，应以文字表示的金额为准；</w:t>
      </w:r>
    </w:p>
    <w:p w14:paraId="1DD18B7C">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45.2.2经算术复核的投标人报价与其投标报价不一致时，按就低不就高原则确定其最终报价；</w:t>
      </w:r>
    </w:p>
    <w:p w14:paraId="5E897F26">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45.2.3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6B52D3F">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45.2.4当合价、金额累加错误时，按就低不就高原则，如果累加修正值小于原累加值，则按累加修正值；如果累加修正值大于原累加值，则按原累加值；</w:t>
      </w:r>
    </w:p>
    <w:p w14:paraId="5261A0B9">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45.2.5如果投标人的有关规费、暂列金额、暂估价、绿色施工安全防护措施费等未按招标文件规定的金额填写的，由评标委员会按照招标文件规定的金额进行修正；</w:t>
      </w:r>
    </w:p>
    <w:p w14:paraId="7856F34E">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45.2.6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EAE65E2">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45.2.7按就低不就高原则，当修正后报价小于原报价，总价按修正后报价；当修正后报价大于原报价，总价按原报价，并在签订合同时载明在结算价中扣除修正报价与原报价的差额。</w:t>
      </w:r>
    </w:p>
    <w:p w14:paraId="65691F09">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45.2.8</w:t>
      </w:r>
      <w:r>
        <w:rPr>
          <w:rFonts w:hint="eastAsia" w:ascii="宋体" w:hAnsi="宋体" w:cs="宋体"/>
          <w:strike/>
          <w:dstrike w:val="0"/>
          <w:color w:val="auto"/>
          <w:sz w:val="24"/>
          <w:szCs w:val="24"/>
          <w:highlight w:val="none"/>
          <w:lang w:bidi="ar"/>
        </w:rPr>
        <w:t>按上述修正错误的原则及方法调整或修正投标文件的投标报价，调整后的投标报价对投标人起约束作用。如果投标人不接受修正后的报价，则取消其投标资格。</w:t>
      </w:r>
    </w:p>
    <w:p w14:paraId="5701006C">
      <w:pPr>
        <w:spacing w:line="360" w:lineRule="auto"/>
        <w:ind w:firstLine="522" w:firstLineChars="224"/>
        <w:rPr>
          <w:rFonts w:hint="eastAsia" w:ascii="宋体" w:hAnsi="宋体" w:cs="宋体"/>
          <w:b/>
          <w:bCs/>
          <w:color w:val="auto"/>
          <w:spacing w:val="-4"/>
          <w:sz w:val="24"/>
          <w:szCs w:val="24"/>
          <w:highlight w:val="none"/>
          <w:u w:val="single"/>
        </w:rPr>
      </w:pPr>
      <w:r>
        <w:rPr>
          <w:rFonts w:hint="eastAsia" w:ascii="宋体" w:hAnsi="宋体" w:cs="宋体"/>
          <w:b/>
          <w:bCs/>
          <w:color w:val="auto"/>
          <w:spacing w:val="-4"/>
          <w:sz w:val="24"/>
          <w:szCs w:val="24"/>
          <w:highlight w:val="none"/>
          <w:u w:val="single"/>
        </w:rPr>
        <w:t>45.3计算评标参考价</w:t>
      </w:r>
    </w:p>
    <w:p w14:paraId="66397382">
      <w:pPr>
        <w:spacing w:line="360" w:lineRule="auto"/>
        <w:ind w:firstLine="519" w:firstLineChars="224"/>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区间抽取法：</w:t>
      </w:r>
    </w:p>
    <w:p w14:paraId="31F63ED7">
      <w:pPr>
        <w:spacing w:line="360" w:lineRule="auto"/>
        <w:ind w:firstLine="519" w:firstLineChars="224"/>
        <w:rPr>
          <w:rFonts w:hint="eastAsia" w:ascii="宋体" w:hAnsi="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设立入围合格分数线（技术得分</w:t>
      </w:r>
      <w:r>
        <w:rPr>
          <w:rFonts w:hint="eastAsia" w:ascii="宋体" w:hAnsi="宋体" w:cs="宋体"/>
          <w:color w:val="auto"/>
          <w:spacing w:val="-4"/>
          <w:sz w:val="24"/>
          <w:szCs w:val="24"/>
          <w:highlight w:val="none"/>
          <w:u w:val="single"/>
          <w:lang w:val="en-US" w:eastAsia="zh-CN"/>
        </w:rPr>
        <w:t>60</w:t>
      </w:r>
      <w:r>
        <w:rPr>
          <w:rFonts w:hint="eastAsia" w:ascii="宋体" w:hAnsi="宋体" w:eastAsia="宋体" w:cs="宋体"/>
          <w:color w:val="auto"/>
          <w:spacing w:val="-4"/>
          <w:sz w:val="24"/>
          <w:szCs w:val="24"/>
          <w:highlight w:val="none"/>
          <w:u w:val="single"/>
        </w:rPr>
        <w:t>分），通过经济标有效性审查的投标人技术得分达到</w:t>
      </w:r>
      <w:r>
        <w:rPr>
          <w:rFonts w:hint="eastAsia" w:ascii="宋体" w:hAnsi="宋体" w:cs="宋体"/>
          <w:color w:val="auto"/>
          <w:spacing w:val="-4"/>
          <w:sz w:val="24"/>
          <w:szCs w:val="24"/>
          <w:highlight w:val="none"/>
          <w:u w:val="single"/>
          <w:lang w:val="en-US" w:eastAsia="zh-CN"/>
        </w:rPr>
        <w:t>60</w:t>
      </w:r>
      <w:r>
        <w:rPr>
          <w:rFonts w:hint="eastAsia" w:ascii="宋体" w:hAnsi="宋体" w:eastAsia="宋体" w:cs="宋体"/>
          <w:color w:val="auto"/>
          <w:spacing w:val="-4"/>
          <w:sz w:val="24"/>
          <w:szCs w:val="24"/>
          <w:highlight w:val="none"/>
          <w:u w:val="single"/>
        </w:rPr>
        <w:t>分的投标人的报</w:t>
      </w:r>
      <w:r>
        <w:rPr>
          <w:rFonts w:hint="eastAsia" w:ascii="宋体" w:hAnsi="宋体" w:cs="宋体"/>
          <w:color w:val="auto"/>
          <w:spacing w:val="-4"/>
          <w:sz w:val="24"/>
          <w:szCs w:val="24"/>
          <w:highlight w:val="none"/>
          <w:u w:val="single"/>
        </w:rPr>
        <w:t>价方能参与评标参考价的计算。将达到入围合格分数线的投标报价由低至高进行排列，按以下公式计算评标参考价，计算公式如下：</w:t>
      </w:r>
    </w:p>
    <w:p w14:paraId="626A51D3">
      <w:pPr>
        <w:spacing w:line="360" w:lineRule="auto"/>
        <w:ind w:firstLine="519" w:firstLineChars="224"/>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评标参考价=（Q高-Q低）/100*Ｘ+Q低；</w:t>
      </w:r>
    </w:p>
    <w:p w14:paraId="12AE4BC6">
      <w:pPr>
        <w:spacing w:line="360" w:lineRule="auto"/>
        <w:ind w:firstLine="519" w:firstLineChars="224"/>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Q低：为达到入围合格分数线的投标人最低报价与工程成本警示价两者中的较高值；如无达到及格线的投标人则Q低为工程成本警示价。</w:t>
      </w:r>
    </w:p>
    <w:p w14:paraId="71FD4590">
      <w:pPr>
        <w:spacing w:line="360" w:lineRule="auto"/>
        <w:ind w:firstLine="519" w:firstLineChars="224"/>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Q高：最高投标限价；</w:t>
      </w:r>
    </w:p>
    <w:p w14:paraId="091F34CF">
      <w:pPr>
        <w:spacing w:line="360" w:lineRule="auto"/>
        <w:ind w:firstLine="519" w:firstLineChars="224"/>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X：为等分点值，在开标前从【0,100】整数中随机抽取。</w:t>
      </w:r>
    </w:p>
    <w:p w14:paraId="7CF07D23">
      <w:pPr>
        <w:spacing w:line="360" w:lineRule="auto"/>
        <w:ind w:firstLine="519" w:firstLineChars="224"/>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u w:val="single"/>
        </w:rPr>
        <w:t>45.4经济标详细审查</w:t>
      </w:r>
      <w:r>
        <w:rPr>
          <w:rFonts w:hint="eastAsia" w:ascii="宋体" w:hAnsi="宋体" w:cs="宋体"/>
          <w:color w:val="auto"/>
          <w:sz w:val="24"/>
          <w:szCs w:val="24"/>
          <w:highlight w:val="none"/>
        </w:rPr>
        <w:t>评分</w:t>
      </w:r>
      <w:r>
        <w:rPr>
          <w:rFonts w:hint="eastAsia" w:ascii="宋体" w:hAnsi="宋体" w:cs="宋体"/>
          <w:color w:val="auto"/>
          <w:spacing w:val="-4"/>
          <w:sz w:val="24"/>
          <w:szCs w:val="24"/>
          <w:highlight w:val="none"/>
          <w:u w:val="single"/>
        </w:rPr>
        <w:t>：评标委员对所有通过经济标有效性审查的投标人进行</w:t>
      </w:r>
      <w:r>
        <w:rPr>
          <w:rFonts w:hint="eastAsia" w:ascii="宋体" w:hAnsi="宋体" w:cs="宋体"/>
          <w:color w:val="auto"/>
          <w:sz w:val="24"/>
          <w:szCs w:val="24"/>
          <w:highlight w:val="none"/>
          <w:u w:val="single"/>
        </w:rPr>
        <w:t>经济标详细审查评分，</w:t>
      </w:r>
      <w:r>
        <w:rPr>
          <w:rFonts w:hint="eastAsia" w:ascii="宋体" w:hAnsi="宋体" w:cs="宋体"/>
          <w:color w:val="auto"/>
          <w:spacing w:val="-4"/>
          <w:sz w:val="24"/>
          <w:szCs w:val="24"/>
          <w:highlight w:val="none"/>
          <w:u w:val="single"/>
        </w:rPr>
        <w:t>计算经济得分，得分四舍五入精确到小数点后两位。当投标报价等于评标参考价时得100分，投标报价每高于评标参考价1%，扣1.5分，每低于评标参考价1%，扣1分，扣至0分为止，得出经济得分</w:t>
      </w:r>
      <w:r>
        <w:rPr>
          <w:rFonts w:hint="eastAsia" w:ascii="宋体" w:hAnsi="宋体" w:cs="宋体"/>
          <w:color w:val="auto"/>
          <w:sz w:val="24"/>
          <w:szCs w:val="24"/>
          <w:highlight w:val="none"/>
          <w:u w:val="single"/>
        </w:rPr>
        <w:t>，得分四舍五入精确到小数点后两位。</w:t>
      </w:r>
    </w:p>
    <w:p w14:paraId="544E80A0">
      <w:pPr>
        <w:spacing w:line="360" w:lineRule="auto"/>
        <w:ind w:firstLine="522" w:firstLineChars="224"/>
        <w:rPr>
          <w:rFonts w:ascii="宋体" w:hAnsi="宋体" w:cs="宋体"/>
          <w:b/>
          <w:bCs/>
          <w:color w:val="auto"/>
          <w:spacing w:val="-4"/>
          <w:sz w:val="24"/>
          <w:szCs w:val="24"/>
          <w:highlight w:val="none"/>
          <w:u w:val="single"/>
        </w:rPr>
      </w:pPr>
      <w:r>
        <w:rPr>
          <w:rFonts w:hint="eastAsia" w:ascii="宋体" w:hAnsi="宋体" w:cs="宋体"/>
          <w:b/>
          <w:bCs/>
          <w:color w:val="auto"/>
          <w:spacing w:val="-4"/>
          <w:sz w:val="24"/>
          <w:szCs w:val="24"/>
          <w:highlight w:val="none"/>
          <w:u w:val="single"/>
        </w:rPr>
        <w:t>46.投标人总得分汇总</w:t>
      </w:r>
    </w:p>
    <w:p w14:paraId="47CCC902">
      <w:pPr>
        <w:spacing w:line="360" w:lineRule="auto"/>
        <w:ind w:firstLine="519" w:firstLineChars="224"/>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46.1投标人通过资格审查、技术标有效性审查、经济标有效性审查的投标人方可参与投标人总得分汇总。</w:t>
      </w:r>
    </w:p>
    <w:p w14:paraId="65CC232A">
      <w:pPr>
        <w:spacing w:line="360" w:lineRule="auto"/>
        <w:ind w:firstLine="519" w:firstLineChars="224"/>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u w:val="single"/>
        </w:rPr>
        <w:t>46.2评标委员计算所有通过资格审查、技术标有效性审查、经济标有效性审查的投标人总得分。评标委员会按照“投标人总得分=技术得分（满分</w:t>
      </w:r>
      <w:r>
        <w:rPr>
          <w:rFonts w:hint="eastAsia" w:ascii="宋体" w:hAnsi="宋体" w:cs="宋体"/>
          <w:color w:val="auto"/>
          <w:spacing w:val="-4"/>
          <w:sz w:val="24"/>
          <w:szCs w:val="24"/>
          <w:highlight w:val="none"/>
          <w:u w:val="single"/>
          <w:lang w:val="en-US" w:eastAsia="zh-CN"/>
        </w:rPr>
        <w:t>100</w:t>
      </w:r>
      <w:r>
        <w:rPr>
          <w:rFonts w:hint="eastAsia" w:ascii="宋体" w:hAnsi="宋体" w:cs="宋体"/>
          <w:color w:val="auto"/>
          <w:spacing w:val="-4"/>
          <w:sz w:val="24"/>
          <w:szCs w:val="24"/>
          <w:highlight w:val="none"/>
          <w:u w:val="single"/>
        </w:rPr>
        <w:t>分）×技术得分权重（</w:t>
      </w:r>
      <w:r>
        <w:rPr>
          <w:rFonts w:hint="eastAsia" w:ascii="宋体" w:hAnsi="宋体" w:cs="宋体"/>
          <w:color w:val="auto"/>
          <w:spacing w:val="-4"/>
          <w:sz w:val="24"/>
          <w:szCs w:val="24"/>
          <w:highlight w:val="none"/>
          <w:u w:val="single"/>
          <w:lang w:val="en-US" w:eastAsia="zh-CN"/>
        </w:rPr>
        <w:t>40</w:t>
      </w:r>
      <w:r>
        <w:rPr>
          <w:rFonts w:hint="eastAsia" w:ascii="宋体" w:hAnsi="宋体" w:cs="宋体"/>
          <w:color w:val="auto"/>
          <w:spacing w:val="-4"/>
          <w:sz w:val="24"/>
          <w:szCs w:val="24"/>
          <w:highlight w:val="none"/>
          <w:u w:val="single"/>
        </w:rPr>
        <w:t>%）＋经济得分(满分100分)×经济得分权重（</w:t>
      </w:r>
      <w:r>
        <w:rPr>
          <w:rFonts w:hint="eastAsia" w:ascii="宋体" w:hAnsi="宋体" w:cs="宋体"/>
          <w:color w:val="auto"/>
          <w:spacing w:val="-4"/>
          <w:sz w:val="24"/>
          <w:szCs w:val="24"/>
          <w:highlight w:val="none"/>
          <w:u w:val="single"/>
          <w:lang w:val="en-US" w:eastAsia="zh-CN"/>
        </w:rPr>
        <w:t>6</w:t>
      </w:r>
      <w:r>
        <w:rPr>
          <w:rFonts w:hint="eastAsia" w:ascii="宋体" w:hAnsi="宋体" w:cs="宋体"/>
          <w:color w:val="auto"/>
          <w:spacing w:val="-4"/>
          <w:sz w:val="24"/>
          <w:szCs w:val="24"/>
          <w:highlight w:val="none"/>
          <w:u w:val="single"/>
        </w:rPr>
        <w:t>0%）”的公式计算投标人总得分</w:t>
      </w:r>
      <w:r>
        <w:rPr>
          <w:rFonts w:hint="eastAsia" w:ascii="宋体" w:hAnsi="宋体" w:cs="宋体"/>
          <w:color w:val="auto"/>
          <w:sz w:val="24"/>
          <w:szCs w:val="24"/>
          <w:highlight w:val="none"/>
          <w:u w:val="single"/>
        </w:rPr>
        <w:t>，得分四舍五入精确到小数点后两位。</w:t>
      </w:r>
    </w:p>
    <w:p w14:paraId="70F52E77">
      <w:pPr>
        <w:spacing w:line="360" w:lineRule="auto"/>
        <w:ind w:firstLine="522" w:firstLineChars="224"/>
        <w:rPr>
          <w:rFonts w:ascii="宋体" w:hAnsi="宋体" w:cs="宋体"/>
          <w:b/>
          <w:bCs/>
          <w:color w:val="auto"/>
          <w:spacing w:val="-4"/>
          <w:sz w:val="24"/>
          <w:szCs w:val="24"/>
          <w:highlight w:val="none"/>
          <w:u w:val="single"/>
        </w:rPr>
      </w:pPr>
      <w:r>
        <w:rPr>
          <w:rFonts w:hint="eastAsia" w:ascii="宋体" w:hAnsi="宋体" w:cs="宋体"/>
          <w:b/>
          <w:bCs/>
          <w:color w:val="auto"/>
          <w:spacing w:val="-4"/>
          <w:sz w:val="24"/>
          <w:szCs w:val="24"/>
          <w:highlight w:val="none"/>
          <w:u w:val="single"/>
        </w:rPr>
        <w:t>47.</w:t>
      </w:r>
      <w:bookmarkStart w:id="135" w:name="OLE_LINK80"/>
      <w:r>
        <w:rPr>
          <w:rFonts w:hint="eastAsia" w:ascii="宋体" w:hAnsi="宋体" w:cs="宋体"/>
          <w:b/>
          <w:bCs/>
          <w:color w:val="auto"/>
          <w:spacing w:val="-4"/>
          <w:sz w:val="24"/>
          <w:szCs w:val="24"/>
          <w:highlight w:val="none"/>
          <w:u w:val="single"/>
        </w:rPr>
        <w:t>投标人总得分排序</w:t>
      </w:r>
    </w:p>
    <w:p w14:paraId="458FBAB8">
      <w:pPr>
        <w:spacing w:line="360" w:lineRule="auto"/>
        <w:ind w:firstLine="519" w:firstLineChars="224"/>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47.1评标委员会对投标人总得分按高至低排序。</w:t>
      </w:r>
    </w:p>
    <w:bookmarkEnd w:id="135"/>
    <w:p w14:paraId="10398F26">
      <w:pPr>
        <w:spacing w:line="360" w:lineRule="auto"/>
        <w:ind w:firstLine="580" w:firstLineChars="250"/>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47.2投标人总得分相同情况下的排序方法：投标人总得分相同的投标文件，以技术得分高的排前；投标人总得分与技术得分均相同的投标人，以投标报价低的排前；投标人总得分、技术得分与投标报价均相同的投标人，由评标委员会采用记名投票方式，确定投标人的排序。</w:t>
      </w:r>
    </w:p>
    <w:p w14:paraId="7964283D">
      <w:pPr>
        <w:spacing w:line="360" w:lineRule="auto"/>
        <w:ind w:firstLine="580" w:firstLineChars="250"/>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u w:val="single"/>
        </w:rPr>
        <w:t>注：记名投票方式确定排序的具体操作步骤为：由评标委员会对出现该情况的投标人进行编号，然后进行记名投票，按得票数从高到低排列先后次序，以得票数高的排前，根据得票高低确定合中标候选人的排序。</w:t>
      </w:r>
    </w:p>
    <w:p w14:paraId="5B6EA433">
      <w:pPr>
        <w:spacing w:line="360" w:lineRule="auto"/>
        <w:ind w:firstLine="602" w:firstLineChars="250"/>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48.推荐合格的中标候选人</w:t>
      </w:r>
    </w:p>
    <w:p w14:paraId="690D7FB7">
      <w:pPr>
        <w:spacing w:line="360" w:lineRule="auto"/>
        <w:ind w:firstLine="600" w:firstLineChars="250"/>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48.1评标委员会按投标人总得分排序先后顺序，推荐进入前1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名的投标人为合格中标候选人进入定标阶段，并编写评标报告。若参与投标人得分汇总的投标人家数在【3，1</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】的，不排序推荐全部投标人为合格的中标候选人进入定标阶段（投标人总得分排序只作为评标阶段确定进入定标阶段的依据,不对定标工作产生影响）。</w:t>
      </w:r>
    </w:p>
    <w:p w14:paraId="157A8232">
      <w:pPr>
        <w:spacing w:line="360" w:lineRule="auto"/>
        <w:ind w:firstLine="600" w:firstLineChars="250"/>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48.2评标委员会编写评标报告时，</w:t>
      </w:r>
      <w:r>
        <w:rPr>
          <w:rFonts w:ascii="宋体" w:hAnsi="宋体" w:cs="宋体"/>
          <w:bCs/>
          <w:color w:val="auto"/>
          <w:sz w:val="24"/>
          <w:szCs w:val="24"/>
          <w:highlight w:val="none"/>
          <w:u w:val="single"/>
        </w:rPr>
        <w:t>合格的中标候选人</w:t>
      </w:r>
      <w:r>
        <w:rPr>
          <w:rFonts w:hint="eastAsia" w:ascii="宋体" w:hAnsi="宋体" w:cs="宋体"/>
          <w:bCs/>
          <w:color w:val="auto"/>
          <w:sz w:val="24"/>
          <w:szCs w:val="24"/>
          <w:highlight w:val="none"/>
          <w:u w:val="single"/>
        </w:rPr>
        <w:t>无需排序，按统一社会信用代码后4位（除校验码外）大小排位，如统一社会信用代码后4位出现字母情况的，字母以“0”进行代替大小排位；如出现后4位（除校验码外）大小一致的，则随机排位。</w:t>
      </w:r>
    </w:p>
    <w:p w14:paraId="4ACE6446">
      <w:pPr>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49.在合格中标候选人公示期间或在定标前，如有投标人或其他利害关系人对评标结果提出异议影响进入定标阶段的中标候选人家数的，或者有合格的中标候选人放弃中标候选人资格，或者被查实存在影响中标候选人资格的违法行为等情形的，导致合格的中标候选人不足1</w:t>
      </w:r>
      <w:r>
        <w:rPr>
          <w:rFonts w:hint="eastAsia" w:ascii="宋体" w:hAnsi="宋体" w:cs="宋体"/>
          <w:b/>
          <w:bCs/>
          <w:color w:val="auto"/>
          <w:sz w:val="24"/>
          <w:szCs w:val="24"/>
          <w:highlight w:val="none"/>
          <w:u w:val="single"/>
          <w:lang w:val="en-US" w:eastAsia="zh-CN"/>
        </w:rPr>
        <w:t>5</w:t>
      </w:r>
      <w:r>
        <w:rPr>
          <w:rFonts w:ascii="宋体" w:hAnsi="宋体" w:cs="宋体"/>
          <w:b/>
          <w:bCs/>
          <w:color w:val="auto"/>
          <w:sz w:val="24"/>
          <w:szCs w:val="24"/>
          <w:highlight w:val="none"/>
          <w:u w:val="single"/>
        </w:rPr>
        <w:t>家的，</w:t>
      </w:r>
      <w:r>
        <w:rPr>
          <w:rFonts w:hint="eastAsia" w:ascii="宋体" w:hAnsi="宋体" w:cs="宋体"/>
          <w:b/>
          <w:bCs/>
          <w:color w:val="auto"/>
          <w:sz w:val="24"/>
          <w:szCs w:val="24"/>
          <w:highlight w:val="none"/>
          <w:u w:val="single"/>
        </w:rPr>
        <w:t>按投标人总分排序依次上升递补进入定标阶段，直至无其他合格的中标候选人递补。如无其他合格的中标候选人递补的，则剩下合格的中标候选人进入定标阶段。合格的中标候选人不足3家，招标人依法重新招标。</w:t>
      </w:r>
    </w:p>
    <w:p w14:paraId="6303980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50、定标</w:t>
      </w:r>
    </w:p>
    <w:p w14:paraId="47B1223A">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经合格的中标候选人公示无异议后，招标人按以下规定组建定标委员会，在评标委员会推荐的合格的中标候选人中确定中标人：</w:t>
      </w:r>
    </w:p>
    <w:p w14:paraId="509354B7">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（1）定标由招标人依法组建的定标委员会负责，成员数量为5人或以上单数，定标委员会成员不得参与定标前期准备工作。</w:t>
      </w:r>
    </w:p>
    <w:p w14:paraId="4D5E0FAF">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（2）招标人应当组建监督小组对定标过程进行见证监督。</w:t>
      </w:r>
    </w:p>
    <w:p w14:paraId="6ADA38A3">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50.1 定标时间和地点</w:t>
      </w:r>
    </w:p>
    <w:p w14:paraId="6F82FFB2">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招标人在合格的中标候选人公示结束后10个工作日内在广州交易集团有限公司（广州公共资源交易中心）举行定标会议，具体定标时间另行通知。</w:t>
      </w:r>
    </w:p>
    <w:p w14:paraId="585A8527">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50.2 定标规则</w:t>
      </w:r>
    </w:p>
    <w:p w14:paraId="54EA7A1F">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本项目采用“记名投票+撰写评语”的定标方法，定标方法如下：</w:t>
      </w:r>
    </w:p>
    <w:p w14:paraId="0039EE76">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定标委员会成员对所有合格中标候选人通过定标因素进行评审，撰写评语并投票选出中标人。</w:t>
      </w:r>
    </w:p>
    <w:p w14:paraId="524BD0AC">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50.3定标因素</w:t>
      </w:r>
    </w:p>
    <w:p w14:paraId="0130FE69">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本项目的定标因素包含：（1）施工方案因素、（2）价格因素（定标因素的主要内容详见：附表七《定标因素表》）；</w:t>
      </w:r>
    </w:p>
    <w:p w14:paraId="40D8CC08">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50.4定标办法</w:t>
      </w:r>
    </w:p>
    <w:p w14:paraId="6E84B842">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50.4.1定标委员会应推荐一人为定标委员会组长，主持当次定标会议。</w:t>
      </w:r>
    </w:p>
    <w:p w14:paraId="0587B428">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50.4.2定标工作开始后，由定标委员会组长发放定标表格（详见：附表八《定标因素评审表》、附表九《定标投票表（定标阶段）》）。</w:t>
      </w:r>
    </w:p>
    <w:p w14:paraId="5069B050">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50.4.3</w:t>
      </w:r>
      <w:r>
        <w:rPr>
          <w:rFonts w:hint="eastAsia" w:ascii="宋体" w:hAnsi="宋体" w:cs="宋体"/>
          <w:color w:val="auto"/>
          <w:sz w:val="24"/>
          <w:szCs w:val="24"/>
          <w:highlight w:val="none"/>
          <w:u w:val="single"/>
          <w:lang w:eastAsia="zh-CN"/>
        </w:rPr>
        <w:t>定标委员会阅读评标委员会提交的评标报告，同时对比各合格的中标候选人的投标文件（</w:t>
      </w:r>
      <w:r>
        <w:rPr>
          <w:rFonts w:hint="eastAsia" w:ascii="宋体" w:hAnsi="宋体" w:cs="宋体"/>
          <w:color w:val="auto"/>
          <w:sz w:val="24"/>
          <w:szCs w:val="24"/>
          <w:highlight w:val="none"/>
          <w:u w:val="single"/>
          <w:lang w:val="en-US" w:eastAsia="zh-CN"/>
        </w:rPr>
        <w:t>含定标文件）</w:t>
      </w:r>
      <w:r>
        <w:rPr>
          <w:rFonts w:hint="eastAsia" w:ascii="宋体" w:hAnsi="宋体" w:cs="宋体"/>
          <w:color w:val="auto"/>
          <w:sz w:val="24"/>
          <w:szCs w:val="24"/>
          <w:highlight w:val="none"/>
          <w:u w:val="single"/>
          <w:lang w:eastAsia="zh-CN"/>
        </w:rPr>
        <w:t>等情况，综合考虑定标候选人的情况，根据招标文件规定的定标因素进行评审，撰写评语</w:t>
      </w:r>
      <w:r>
        <w:rPr>
          <w:rFonts w:hint="eastAsia" w:ascii="宋体" w:hAnsi="宋体" w:cs="宋体"/>
          <w:color w:val="auto"/>
          <w:sz w:val="24"/>
          <w:szCs w:val="24"/>
          <w:highlight w:val="none"/>
          <w:u w:val="single"/>
        </w:rPr>
        <w:t>（详见：附表八《定标因素评审表》）。</w:t>
      </w:r>
    </w:p>
    <w:p w14:paraId="4DBF87BE">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50.4.4直接票决</w:t>
      </w:r>
    </w:p>
    <w:p w14:paraId="68EBB490">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定标委员会集体进行一次性票决（即一轮票决），每位定标委员每轮只有1票表决权，即每位定标委员只能对其中一家合格中标候选人投票。每位定标委员会成员需独立填写附表九《定标投票表（定标阶段）》进行投票。</w:t>
      </w:r>
    </w:p>
    <w:p w14:paraId="2F28A76D">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（2）定标委员会组长汇总得票情况，得票数最多的合格的中标候选人确定为中标人。（详见：附表十一《投票汇总表格（定标阶段））。</w:t>
      </w:r>
    </w:p>
    <w:p w14:paraId="457F5A86">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投票原则：投票若出现票数相同且无法决出中标人时，对票数相同的合格的中标候选人再集体进行一次附加票决（一轮票决）。若附加票决后再有相同票数的情形且无法决出中标人，对票数相同的合格的中标候选人再集体进行一次附加票决（一轮票决），直至决出得票数最多的确认为中标人（详见：附表十《附加投票表》）。</w:t>
      </w:r>
    </w:p>
    <w:p w14:paraId="14616491">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50.4.5编写定标报告，定标委员会全体确认后签署定标报告。</w:t>
      </w:r>
    </w:p>
    <w:p w14:paraId="75B4B1BF">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50.5定标后，如中标人放弃中标、或因不可抗力提出不能履行合同，或未按招标文件规定提交履约担，或发现中标人委派的项目负责人已在其他在建项目中任职、不符合任职要求，则招标人有权取消其中标人资格或解除合同，从其他合格的中标候选人中采用原定标办法，由原定标委员会确定中标人，招标人也可以重新招标。</w:t>
      </w:r>
    </w:p>
    <w:p w14:paraId="77968792">
      <w:pPr>
        <w:spacing w:line="360" w:lineRule="auto"/>
        <w:ind w:firstLine="480" w:firstLineChars="200"/>
        <w:outlineLvl w:val="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50.6因质疑或投诉生效，需要重新评标或定标的，评标、定标信息仍以投标截止时投标人的信息为准。因特殊原因需要延长投标有效期，投标人拒绝延长投标有效期的，仍参与评标、定标，但不被推荐为中标候选人。</w:t>
      </w:r>
    </w:p>
    <w:p w14:paraId="5D2B75BE">
      <w:pPr>
        <w:spacing w:line="360" w:lineRule="auto"/>
        <w:ind w:firstLine="420" w:firstLineChars="200"/>
        <w:outlineLvl w:val="2"/>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附表一</w:t>
      </w:r>
      <w:bookmarkEnd w:id="124"/>
      <w:bookmarkEnd w:id="125"/>
    </w:p>
    <w:p w14:paraId="7AFDDCD2">
      <w:pPr>
        <w:jc w:val="center"/>
        <w:rPr>
          <w:rFonts w:hint="eastAsia" w:ascii="宋体" w:hAnsi="宋体" w:cs="宋体"/>
          <w:b/>
          <w:color w:val="auto"/>
          <w:sz w:val="32"/>
          <w:szCs w:val="32"/>
          <w:highlight w:val="none"/>
        </w:rPr>
      </w:pPr>
      <w:bookmarkStart w:id="136" w:name="OLE_LINK152"/>
      <w:r>
        <w:rPr>
          <w:rFonts w:hint="eastAsia" w:ascii="宋体" w:hAnsi="宋体" w:cs="宋体"/>
          <w:b/>
          <w:color w:val="auto"/>
          <w:sz w:val="32"/>
          <w:szCs w:val="32"/>
          <w:highlight w:val="none"/>
        </w:rPr>
        <w:t>资格审查表</w:t>
      </w:r>
    </w:p>
    <w:bookmarkEnd w:id="136"/>
    <w:p w14:paraId="2F84FAA1">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工程名称： </w:t>
      </w:r>
    </w:p>
    <w:p w14:paraId="66ACD57B">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9"/>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004"/>
        <w:gridCol w:w="4171"/>
        <w:gridCol w:w="709"/>
      </w:tblGrid>
      <w:tr w14:paraId="0C2C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1114B96C">
            <w:pPr>
              <w:keepNext w:val="0"/>
              <w:keepLines w:val="0"/>
              <w:suppressLineNumbers w:val="0"/>
              <w:spacing w:before="120" w:beforeAutospacing="0" w:after="6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5E7BD333">
            <w:pPr>
              <w:keepNext w:val="0"/>
              <w:keepLines w:val="0"/>
              <w:suppressLineNumbers w:val="0"/>
              <w:spacing w:before="120" w:beforeAutospacing="0" w:after="6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审查项目</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06C58806">
            <w:pPr>
              <w:keepNext w:val="0"/>
              <w:keepLines w:val="0"/>
              <w:suppressLineNumbers w:val="0"/>
              <w:spacing w:before="120" w:beforeAutospacing="0" w:after="6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须审查的资料</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397EF80">
            <w:pPr>
              <w:keepNext w:val="0"/>
              <w:keepLines w:val="0"/>
              <w:suppressLineNumbers w:val="0"/>
              <w:spacing w:before="120" w:beforeAutospacing="0" w:after="6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审查结果</w:t>
            </w:r>
          </w:p>
        </w:tc>
      </w:tr>
      <w:tr w14:paraId="3DBF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29072247">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2E4A8D00">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08299D33">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895B305">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7793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6FE8F499">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48893E3A">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4DA0FC8A">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营业执照扫描件或电子证照。</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FF0A42B">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7218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 w:type="dxa"/>
            <w:tcBorders>
              <w:top w:val="single" w:color="auto" w:sz="4" w:space="0"/>
              <w:left w:val="single" w:color="auto" w:sz="4" w:space="0"/>
              <w:bottom w:val="single" w:color="auto" w:sz="4" w:space="0"/>
              <w:right w:val="single" w:color="auto" w:sz="4" w:space="0"/>
            </w:tcBorders>
            <w:noWrap w:val="0"/>
            <w:vAlign w:val="center"/>
          </w:tcPr>
          <w:p w14:paraId="4A107D4C">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6C2B743B">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bCs/>
                <w:color w:val="auto"/>
                <w:kern w:val="0"/>
                <w:szCs w:val="21"/>
                <w:highlight w:val="none"/>
              </w:rPr>
              <w:t>投标人均持有建设行政主管部门颁发的</w:t>
            </w:r>
            <w:r>
              <w:rPr>
                <w:rFonts w:hint="eastAsia" w:ascii="宋体" w:hAnsi="宋体" w:cs="宋体"/>
                <w:b/>
                <w:bCs/>
                <w:color w:val="auto"/>
                <w:kern w:val="0"/>
                <w:szCs w:val="21"/>
                <w:highlight w:val="none"/>
              </w:rPr>
              <w:t>有效期</w:t>
            </w:r>
            <w:r>
              <w:rPr>
                <w:rFonts w:hint="default" w:ascii="宋体" w:hAnsi="宋体" w:cs="宋体"/>
                <w:b/>
                <w:bCs/>
                <w:color w:val="auto"/>
                <w:kern w:val="0"/>
                <w:szCs w:val="21"/>
                <w:highlight w:val="none"/>
              </w:rPr>
              <w:t>内</w:t>
            </w:r>
            <w:r>
              <w:rPr>
                <w:rFonts w:hint="eastAsia" w:ascii="宋体" w:hAnsi="宋体" w:cs="宋体"/>
                <w:b/>
                <w:bCs/>
                <w:color w:val="auto"/>
                <w:kern w:val="0"/>
                <w:szCs w:val="21"/>
                <w:highlight w:val="none"/>
              </w:rPr>
              <w:t>的</w:t>
            </w:r>
            <w:r>
              <w:rPr>
                <w:rFonts w:hint="eastAsia" w:ascii="宋体" w:hAnsi="宋体" w:cs="宋体"/>
                <w:bCs/>
                <w:color w:val="auto"/>
                <w:kern w:val="0"/>
                <w:szCs w:val="21"/>
                <w:highlight w:val="none"/>
              </w:rPr>
              <w:t>企业资质证书及安全生产许可证</w:t>
            </w:r>
            <w:r>
              <w:rPr>
                <w:rFonts w:hint="eastAsia" w:ascii="宋体" w:hAnsi="宋体" w:cs="宋体"/>
                <w:color w:val="auto"/>
                <w:szCs w:val="21"/>
                <w:highlight w:val="none"/>
              </w:rPr>
              <w:t>；投标人资质符合公告要求。</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6A09B0E2">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资质证书扫描件或电子证照、安全生产许可证扫描件或电子证照。</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C0D31BB">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7F82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5D2A0E93">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4B476EBF">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465EDA85">
            <w:pPr>
              <w:keepNext w:val="0"/>
              <w:keepLines w:val="0"/>
              <w:suppressLineNumbers w:val="0"/>
              <w:spacing w:before="120" w:beforeAutospacing="0" w:after="60" w:afterAutospacing="0"/>
              <w:ind w:left="0" w:right="0"/>
              <w:jc w:val="center"/>
              <w:rPr>
                <w:rFonts w:hint="eastAsia" w:ascii="宋体" w:hAnsi="宋体" w:cs="宋体"/>
                <w:color w:val="auto"/>
                <w:highlight w:val="none"/>
              </w:rPr>
            </w:pPr>
            <w:r>
              <w:rPr>
                <w:rFonts w:hint="eastAsia" w:ascii="宋体" w:hAnsi="宋体" w:cs="宋体"/>
                <w:color w:val="auto"/>
                <w:szCs w:val="21"/>
                <w:highlight w:val="none"/>
                <w:lang w:bidi="ar"/>
              </w:rPr>
              <w:t>有效期内的注册建造师注册证书扫描件或电子证书。</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9D0954">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5852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2351603C">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7D1B4FA2">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投标人持有项目负责人安全生产考核合格证（B类）或建筑施工企业项目负责人安全生产考核合格证。</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4CFABA97">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u w:val="single"/>
              </w:rPr>
              <w:t>须具有在有效期内的</w:t>
            </w:r>
            <w:r>
              <w:rPr>
                <w:rFonts w:hint="eastAsia" w:ascii="宋体" w:hAnsi="宋体" w:cs="宋体"/>
                <w:color w:val="auto"/>
                <w:szCs w:val="21"/>
                <w:highlight w:val="none"/>
              </w:rPr>
              <w:t>安全生产考核合格证（B类）或建筑施工企业项目负责人安全生产考核合格证证书扫描件或</w:t>
            </w:r>
            <w:r>
              <w:rPr>
                <w:rFonts w:hint="eastAsia" w:ascii="宋体" w:hAnsi="宋体" w:cs="宋体"/>
                <w:color w:val="auto"/>
                <w:szCs w:val="21"/>
                <w:highlight w:val="none"/>
                <w:lang w:bidi="ar"/>
              </w:rPr>
              <w:t>电子证书。</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D69E7D4">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439D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14:paraId="58B046B2">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40030968">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0E12838D">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bCs/>
                <w:color w:val="auto"/>
                <w:szCs w:val="21"/>
                <w:highlight w:val="none"/>
                <w:u w:val="single"/>
              </w:rPr>
              <w:t>拟委派技术负责人的职称证书扫描件或</w:t>
            </w:r>
            <w:r>
              <w:rPr>
                <w:rFonts w:hint="eastAsia" w:ascii="宋体" w:hAnsi="宋体" w:cs="宋体"/>
                <w:color w:val="auto"/>
                <w:szCs w:val="21"/>
                <w:highlight w:val="none"/>
                <w:lang w:bidi="ar"/>
              </w:rPr>
              <w:t>电子证书。</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033E44F">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024A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7ED349A5">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39CE8B39">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投标人拟担任专职安全员须具有在有效期内的安全生产考核合格证（C类）或建筑施工企业专职安全生产管理人员安全生产考核合格证（C3），</w:t>
            </w:r>
            <w:r>
              <w:rPr>
                <w:rFonts w:hint="eastAsia" w:ascii="宋体" w:hAnsi="宋体" w:cs="宋体"/>
                <w:b/>
                <w:bCs/>
                <w:color w:val="auto"/>
                <w:szCs w:val="21"/>
                <w:highlight w:val="none"/>
                <w:u w:val="single"/>
              </w:rPr>
              <w:t>项目负责人和专职安全员不为同一人</w:t>
            </w:r>
            <w:r>
              <w:rPr>
                <w:rFonts w:hint="eastAsia" w:ascii="宋体" w:hAnsi="宋体" w:cs="宋体"/>
                <w:color w:val="auto"/>
                <w:szCs w:val="21"/>
                <w:highlight w:val="none"/>
                <w:u w:val="single"/>
              </w:rPr>
              <w:t>。</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74605B78">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专职安全员须具有在有效期内的安全生产考核合格证（C类）或建筑施工企业专职安全生产管理人员安全生产考核合格证（C3）扫描件或</w:t>
            </w:r>
            <w:r>
              <w:rPr>
                <w:rFonts w:hint="eastAsia" w:ascii="宋体" w:hAnsi="宋体" w:cs="宋体"/>
                <w:color w:val="auto"/>
                <w:szCs w:val="21"/>
                <w:highlight w:val="none"/>
                <w:lang w:bidi="ar"/>
              </w:rPr>
              <w:t>电子证书。</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E9AEDDE">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12BF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07F8F365">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4447CECB">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24C40DAC">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投标人声明。</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338BF9">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6738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3283ADFE">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08595FA9">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34D9D726">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网上投标时选择拟投标的项目负责人、资格审查文件中拟委派的技术负责人及投标人声明。</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44C7FB">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0A12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393F2386">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313A6C36">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pacing w:val="-2"/>
                <w:szCs w:val="21"/>
                <w:highlight w:val="none"/>
              </w:rPr>
              <w:t>关于联合体投标：</w:t>
            </w:r>
            <w:r>
              <w:rPr>
                <w:rFonts w:hint="eastAsia" w:ascii="宋体" w:hAnsi="宋体" w:cs="宋体"/>
                <w:color w:val="auto"/>
                <w:spacing w:val="-2"/>
                <w:szCs w:val="21"/>
                <w:highlight w:val="none"/>
                <w:u w:val="single"/>
              </w:rPr>
              <w:t>本项目不接受联合体投标</w:t>
            </w:r>
            <w:r>
              <w:rPr>
                <w:rFonts w:hint="eastAsia" w:ascii="宋体" w:hAnsi="宋体" w:cs="宋体"/>
                <w:color w:val="auto"/>
                <w:spacing w:val="-2"/>
                <w:szCs w:val="21"/>
                <w:highlight w:val="none"/>
              </w:rPr>
              <w:t>。</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07B962BA">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lang w:bidi="ar"/>
              </w:rPr>
            </w:pPr>
            <w:r>
              <w:rPr>
                <w:rFonts w:hint="eastAsia" w:ascii="宋体" w:hAnsi="宋体" w:cs="Calibri"/>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4D3D06D">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679E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4B20E14A">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4DC9A330">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u w:val="single"/>
              </w:rPr>
            </w:pPr>
            <w:r>
              <w:rPr>
                <w:rFonts w:hint="eastAsia" w:ascii="宋体" w:hAnsi="宋体" w:cs="宋体"/>
                <w:color w:val="auto"/>
                <w:szCs w:val="21"/>
                <w:highlight w:val="none"/>
              </w:rPr>
              <w:t>资格审查前，投标人须在广州市住房和城乡建设局建立企业诚信档案及拟担任本工程项目负责人、专职安全员须是本企业中的在册人员。</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5F93DB71">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C6CDE31">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466C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40FE9D55">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4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D6A6C">
            <w:pPr>
              <w:keepNext w:val="0"/>
              <w:keepLines w:val="0"/>
              <w:suppressLineNumbers w:val="0"/>
              <w:spacing w:before="120" w:beforeAutospacing="0" w:after="60" w:afterAutospacing="0"/>
              <w:ind w:left="0" w:right="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w:t>
            </w:r>
            <w:r>
              <w:rPr>
                <w:rFonts w:hint="eastAsia" w:ascii="宋体" w:hAnsi="宋体" w:cs="宋体"/>
                <w:b/>
                <w:bCs/>
                <w:color w:val="auto"/>
                <w:szCs w:val="21"/>
                <w:highlight w:val="none"/>
                <w:u w:val="single"/>
              </w:rPr>
              <w:t>第九条</w:t>
            </w:r>
            <w:r>
              <w:rPr>
                <w:rFonts w:hint="eastAsia" w:ascii="宋体" w:hAnsi="宋体" w:cs="宋体"/>
                <w:color w:val="auto"/>
                <w:szCs w:val="21"/>
                <w:highlight w:val="none"/>
              </w:rPr>
              <w:t>内容进行评审）。</w:t>
            </w:r>
          </w:p>
        </w:tc>
        <w:tc>
          <w:tcPr>
            <w:tcW w:w="41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4E23CE">
            <w:pPr>
              <w:keepNext w:val="0"/>
              <w:keepLines w:val="0"/>
              <w:suppressLineNumbers w:val="0"/>
              <w:spacing w:before="120" w:beforeAutospacing="0" w:after="60" w:afterAutospacing="0"/>
              <w:ind w:left="0" w:right="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投标人声明。</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CD9AE9D">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r w14:paraId="16E0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16E7D53D">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40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0D2D04">
            <w:pPr>
              <w:keepNext w:val="0"/>
              <w:keepLines w:val="0"/>
              <w:suppressLineNumbers w:val="0"/>
              <w:spacing w:before="120" w:beforeAutospacing="0" w:after="60" w:afterAutospacing="0"/>
              <w:ind w:left="0" w:right="0"/>
              <w:jc w:val="center"/>
              <w:rPr>
                <w:rFonts w:hint="eastAsia" w:ascii="宋体" w:hAnsi="宋体" w:cs="宋体"/>
                <w:color w:val="auto"/>
                <w:kern w:val="2"/>
                <w:sz w:val="21"/>
                <w:szCs w:val="21"/>
                <w:highlight w:val="none"/>
                <w:lang w:val="en-US" w:eastAsia="zh-CN" w:bidi="ar-SA"/>
              </w:rPr>
            </w:pPr>
            <w:bookmarkStart w:id="137" w:name="OLE_LINK154"/>
            <w:r>
              <w:rPr>
                <w:rFonts w:hint="eastAsia" w:ascii="宋体" w:hAnsi="宋体" w:cs="宋体"/>
                <w:color w:val="auto"/>
                <w:szCs w:val="21"/>
                <w:highlight w:val="none"/>
              </w:rPr>
              <w:t>投标人未被列入拖欠农民工工资失信联合惩戒对象名单</w:t>
            </w:r>
            <w:r>
              <w:rPr>
                <w:rFonts w:hint="eastAsia" w:ascii="宋体" w:hAnsi="宋体" w:cs="宋体"/>
                <w:bCs/>
                <w:color w:val="auto"/>
                <w:szCs w:val="21"/>
                <w:highlight w:val="none"/>
              </w:rPr>
              <w:t>和</w:t>
            </w:r>
            <w:r>
              <w:rPr>
                <w:rFonts w:hint="eastAsia" w:ascii="宋体" w:hAnsi="宋体" w:cs="宋体"/>
                <w:b/>
                <w:color w:val="auto"/>
                <w:szCs w:val="21"/>
                <w:highlight w:val="none"/>
                <w:u w:val="single"/>
              </w:rPr>
              <w:t>失信被执行人</w:t>
            </w:r>
            <w:r>
              <w:rPr>
                <w:rFonts w:hint="eastAsia" w:ascii="宋体" w:hAnsi="宋体" w:cs="宋体"/>
                <w:b/>
                <w:color w:val="auto"/>
                <w:szCs w:val="21"/>
                <w:highlight w:val="none"/>
              </w:rPr>
              <w:t>。</w:t>
            </w:r>
            <w:bookmarkEnd w:id="137"/>
          </w:p>
        </w:tc>
        <w:tc>
          <w:tcPr>
            <w:tcW w:w="41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93EA3D">
            <w:pPr>
              <w:keepNext w:val="0"/>
              <w:keepLines w:val="0"/>
              <w:suppressLineNumbers w:val="0"/>
              <w:spacing w:before="120" w:beforeAutospacing="0" w:after="60" w:afterAutospacing="0"/>
              <w:ind w:left="0" w:right="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投标人无需提供资料，按</w:t>
            </w:r>
            <w:r>
              <w:rPr>
                <w:rFonts w:hint="eastAsia" w:ascii="宋体" w:hAnsi="宋体" w:cs="宋体"/>
                <w:b/>
                <w:bCs/>
                <w:color w:val="auto"/>
                <w:szCs w:val="21"/>
                <w:highlight w:val="none"/>
                <w:u w:val="single"/>
              </w:rPr>
              <w:t>投标截止时间</w:t>
            </w:r>
            <w:r>
              <w:rPr>
                <w:rFonts w:hint="eastAsia" w:ascii="宋体" w:hAnsi="宋体" w:cs="宋体"/>
                <w:color w:val="auto"/>
                <w:szCs w:val="21"/>
                <w:highlight w:val="none"/>
              </w:rPr>
              <w:t>交易系统比对的结果进行评审。</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789A90D">
            <w:pPr>
              <w:keepNext w:val="0"/>
              <w:keepLines w:val="0"/>
              <w:suppressLineNumbers w:val="0"/>
              <w:spacing w:before="120" w:beforeAutospacing="0" w:after="60" w:afterAutospacing="0"/>
              <w:ind w:left="0" w:right="0"/>
              <w:jc w:val="center"/>
              <w:rPr>
                <w:rFonts w:hint="eastAsia" w:ascii="宋体" w:hAnsi="宋体" w:cs="宋体"/>
                <w:color w:val="auto"/>
                <w:szCs w:val="21"/>
                <w:highlight w:val="none"/>
              </w:rPr>
            </w:pPr>
          </w:p>
        </w:tc>
      </w:tr>
    </w:tbl>
    <w:p w14:paraId="114E4E43">
      <w:pP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备注：</w:t>
      </w:r>
    </w:p>
    <w:p w14:paraId="049C6173">
      <w:pP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14:paraId="5ADB8726">
      <w:pP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4BB80614">
      <w:pPr>
        <w:spacing w:line="360" w:lineRule="auto"/>
        <w:ind w:firstLine="470" w:firstLineChars="224"/>
        <w:rPr>
          <w:rFonts w:hint="eastAsia" w:ascii="宋体" w:hAnsi="宋体" w:cs="宋体"/>
          <w:color w:val="auto"/>
          <w:highlight w:val="none"/>
        </w:rPr>
        <w:sectPr>
          <w:footerReference r:id="rId3" w:type="default"/>
          <w:endnotePr>
            <w:numFmt w:val="decimal"/>
          </w:endnotePr>
          <w:pgSz w:w="11906" w:h="16838"/>
          <w:pgMar w:top="1440" w:right="1440" w:bottom="1440" w:left="1440" w:header="851" w:footer="485"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1F564E4">
      <w:pPr>
        <w:outlineLvl w:val="2"/>
        <w:rPr>
          <w:rFonts w:hint="eastAsia" w:ascii="宋体" w:hAnsi="宋体" w:cs="宋体"/>
          <w:b/>
          <w:bCs/>
          <w:color w:val="auto"/>
          <w:szCs w:val="21"/>
          <w:highlight w:val="none"/>
        </w:rPr>
      </w:pPr>
      <w:bookmarkStart w:id="138" w:name="_Toc94347352"/>
      <w:bookmarkStart w:id="139" w:name="_Toc97576593"/>
      <w:r>
        <w:rPr>
          <w:rFonts w:hint="eastAsia" w:ascii="宋体" w:hAnsi="宋体" w:cs="宋体"/>
          <w:b/>
          <w:bCs/>
          <w:color w:val="auto"/>
          <w:szCs w:val="21"/>
          <w:highlight w:val="none"/>
        </w:rPr>
        <w:t>附表二</w:t>
      </w:r>
      <w:bookmarkEnd w:id="138"/>
      <w:bookmarkEnd w:id="139"/>
    </w:p>
    <w:p w14:paraId="1F9A2021">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05671B35">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7477"/>
        <w:gridCol w:w="2207"/>
        <w:gridCol w:w="2169"/>
        <w:gridCol w:w="2072"/>
      </w:tblGrid>
      <w:tr w14:paraId="5F3E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3EC95BB9">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477"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2E24A829">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3E08DE09">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p w14:paraId="20E4815D">
            <w:pPr>
              <w:keepNext w:val="0"/>
              <w:keepLines w:val="0"/>
              <w:suppressLineNumbers w:val="0"/>
              <w:adjustRightInd w:val="0"/>
              <w:spacing w:before="0" w:beforeAutospacing="0" w:after="0" w:afterAutospacing="0"/>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2207" w:type="dxa"/>
            <w:tcBorders>
              <w:top w:val="single" w:color="auto" w:sz="4" w:space="0"/>
              <w:left w:val="single" w:color="auto" w:sz="4" w:space="0"/>
              <w:bottom w:val="single" w:color="auto" w:sz="4" w:space="0"/>
              <w:right w:val="single" w:color="auto" w:sz="4" w:space="0"/>
            </w:tcBorders>
            <w:noWrap w:val="0"/>
            <w:vAlign w:val="top"/>
          </w:tcPr>
          <w:p w14:paraId="4F7568B1">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58D19BD1">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072" w:type="dxa"/>
            <w:tcBorders>
              <w:top w:val="single" w:color="auto" w:sz="4" w:space="0"/>
              <w:left w:val="single" w:color="auto" w:sz="4" w:space="0"/>
              <w:bottom w:val="single" w:color="auto" w:sz="4" w:space="0"/>
              <w:right w:val="single" w:color="auto" w:sz="4" w:space="0"/>
            </w:tcBorders>
            <w:noWrap w:val="0"/>
            <w:vAlign w:val="top"/>
          </w:tcPr>
          <w:p w14:paraId="7C449693">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347C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5CD26596">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477" w:type="dxa"/>
            <w:tcBorders>
              <w:top w:val="single" w:color="auto" w:sz="4" w:space="0"/>
              <w:left w:val="single" w:color="auto" w:sz="4" w:space="0"/>
              <w:bottom w:val="single" w:color="auto" w:sz="4" w:space="0"/>
              <w:right w:val="single" w:color="auto" w:sz="4" w:space="0"/>
            </w:tcBorders>
            <w:noWrap w:val="0"/>
            <w:vAlign w:val="center"/>
          </w:tcPr>
          <w:p w14:paraId="7E109B17">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u w:val="single"/>
              </w:rPr>
              <w:t>《广州建设工程施工招标投标书》中的投标总工期不符合招标文件要求的；</w:t>
            </w:r>
          </w:p>
        </w:tc>
        <w:tc>
          <w:tcPr>
            <w:tcW w:w="2207" w:type="dxa"/>
            <w:tcBorders>
              <w:top w:val="single" w:color="auto" w:sz="4" w:space="0"/>
              <w:left w:val="single" w:color="auto" w:sz="4" w:space="0"/>
              <w:bottom w:val="single" w:color="auto" w:sz="4" w:space="0"/>
              <w:right w:val="single" w:color="auto" w:sz="4" w:space="0"/>
            </w:tcBorders>
            <w:noWrap w:val="0"/>
            <w:vAlign w:val="top"/>
          </w:tcPr>
          <w:p w14:paraId="6010B1F3">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48A2E119">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072" w:type="dxa"/>
            <w:tcBorders>
              <w:top w:val="single" w:color="auto" w:sz="4" w:space="0"/>
              <w:left w:val="single" w:color="auto" w:sz="4" w:space="0"/>
              <w:bottom w:val="single" w:color="auto" w:sz="4" w:space="0"/>
              <w:right w:val="single" w:color="auto" w:sz="4" w:space="0"/>
            </w:tcBorders>
            <w:noWrap w:val="0"/>
            <w:vAlign w:val="top"/>
          </w:tcPr>
          <w:p w14:paraId="29433FDD">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5087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739A8EEC">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477" w:type="dxa"/>
            <w:tcBorders>
              <w:top w:val="single" w:color="auto" w:sz="4" w:space="0"/>
              <w:left w:val="single" w:color="auto" w:sz="4" w:space="0"/>
              <w:bottom w:val="single" w:color="auto" w:sz="4" w:space="0"/>
              <w:right w:val="single" w:color="auto" w:sz="4" w:space="0"/>
            </w:tcBorders>
            <w:noWrap w:val="0"/>
            <w:vAlign w:val="center"/>
          </w:tcPr>
          <w:p w14:paraId="78F0113A">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2207" w:type="dxa"/>
            <w:tcBorders>
              <w:top w:val="single" w:color="auto" w:sz="4" w:space="0"/>
              <w:left w:val="single" w:color="auto" w:sz="4" w:space="0"/>
              <w:bottom w:val="single" w:color="auto" w:sz="4" w:space="0"/>
              <w:right w:val="single" w:color="auto" w:sz="4" w:space="0"/>
            </w:tcBorders>
            <w:noWrap w:val="0"/>
            <w:vAlign w:val="top"/>
          </w:tcPr>
          <w:p w14:paraId="07B2033D">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4674C465">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072" w:type="dxa"/>
            <w:tcBorders>
              <w:top w:val="single" w:color="auto" w:sz="4" w:space="0"/>
              <w:left w:val="single" w:color="auto" w:sz="4" w:space="0"/>
              <w:bottom w:val="single" w:color="auto" w:sz="4" w:space="0"/>
              <w:right w:val="single" w:color="auto" w:sz="4" w:space="0"/>
            </w:tcBorders>
            <w:noWrap w:val="0"/>
            <w:vAlign w:val="top"/>
          </w:tcPr>
          <w:p w14:paraId="636BD774">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0A20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340BC6F4">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477" w:type="dxa"/>
            <w:tcBorders>
              <w:top w:val="single" w:color="auto" w:sz="4" w:space="0"/>
              <w:left w:val="single" w:color="auto" w:sz="4" w:space="0"/>
              <w:bottom w:val="single" w:color="auto" w:sz="4" w:space="0"/>
              <w:right w:val="single" w:color="auto" w:sz="4" w:space="0"/>
            </w:tcBorders>
            <w:noWrap w:val="0"/>
            <w:vAlign w:val="center"/>
          </w:tcPr>
          <w:p w14:paraId="162589BA">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投标文件中没有有效的法定代表人证明书，或由委托代理人签署</w:t>
            </w:r>
            <w:r>
              <w:rPr>
                <w:rFonts w:hint="eastAsia" w:ascii="宋体" w:hAnsi="宋体" w:cs="宋体"/>
                <w:color w:val="auto"/>
                <w:szCs w:val="21"/>
                <w:highlight w:val="none"/>
                <w:u w:val="single"/>
              </w:rPr>
              <w:t>或盖章</w:t>
            </w:r>
            <w:r>
              <w:rPr>
                <w:rFonts w:hint="eastAsia" w:ascii="宋体" w:hAnsi="宋体" w:cs="宋体"/>
                <w:color w:val="auto"/>
                <w:szCs w:val="21"/>
                <w:highlight w:val="none"/>
              </w:rPr>
              <w:t>的投标文件中没有法定代表人授权书；</w:t>
            </w:r>
          </w:p>
        </w:tc>
        <w:tc>
          <w:tcPr>
            <w:tcW w:w="2207" w:type="dxa"/>
            <w:tcBorders>
              <w:top w:val="single" w:color="auto" w:sz="4" w:space="0"/>
              <w:left w:val="single" w:color="auto" w:sz="4" w:space="0"/>
              <w:bottom w:val="single" w:color="auto" w:sz="4" w:space="0"/>
              <w:right w:val="single" w:color="auto" w:sz="4" w:space="0"/>
            </w:tcBorders>
            <w:noWrap w:val="0"/>
            <w:vAlign w:val="top"/>
          </w:tcPr>
          <w:p w14:paraId="7F2D6EBF">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7792B9D6">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072" w:type="dxa"/>
            <w:tcBorders>
              <w:top w:val="single" w:color="auto" w:sz="4" w:space="0"/>
              <w:left w:val="single" w:color="auto" w:sz="4" w:space="0"/>
              <w:bottom w:val="single" w:color="auto" w:sz="4" w:space="0"/>
              <w:right w:val="single" w:color="auto" w:sz="4" w:space="0"/>
            </w:tcBorders>
            <w:noWrap w:val="0"/>
            <w:vAlign w:val="top"/>
          </w:tcPr>
          <w:p w14:paraId="01DDA641">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1E95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53BA574F">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477" w:type="dxa"/>
            <w:tcBorders>
              <w:top w:val="single" w:color="auto" w:sz="4" w:space="0"/>
              <w:left w:val="single" w:color="auto" w:sz="4" w:space="0"/>
              <w:bottom w:val="single" w:color="auto" w:sz="4" w:space="0"/>
              <w:right w:val="single" w:color="auto" w:sz="4" w:space="0"/>
            </w:tcBorders>
            <w:noWrap w:val="0"/>
            <w:vAlign w:val="center"/>
          </w:tcPr>
          <w:p w14:paraId="3779DD38">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u w:val="single"/>
              </w:rPr>
            </w:pPr>
            <w:bookmarkStart w:id="140" w:name="OLE_LINK169"/>
            <w:bookmarkStart w:id="141" w:name="OLE_LINK167"/>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（第四章技术标投标文件格式中格式一、格式二、格式三、格式五）</w:t>
            </w:r>
            <w:r>
              <w:rPr>
                <w:rFonts w:hint="eastAsia" w:ascii="宋体" w:hAnsi="宋体" w:cs="宋体"/>
                <w:color w:val="auto"/>
                <w:szCs w:val="21"/>
                <w:highlight w:val="none"/>
              </w:rPr>
              <w:t>填写，或主要内容不全，或关键字迹模糊、无法辨认的</w:t>
            </w:r>
            <w:bookmarkEnd w:id="140"/>
            <w:r>
              <w:rPr>
                <w:rFonts w:hint="eastAsia" w:ascii="宋体" w:hAnsi="宋体" w:cs="宋体"/>
                <w:color w:val="auto"/>
                <w:szCs w:val="21"/>
                <w:highlight w:val="none"/>
              </w:rPr>
              <w:t>。</w:t>
            </w:r>
            <w:r>
              <w:rPr>
                <w:rFonts w:hint="eastAsia" w:ascii="宋体" w:hAnsi="宋体" w:cs="宋体"/>
                <w:b/>
                <w:bCs/>
                <w:color w:val="auto"/>
                <w:szCs w:val="21"/>
                <w:highlight w:val="none"/>
                <w:u w:val="single"/>
              </w:rPr>
              <w:t>除</w:t>
            </w:r>
            <w:r>
              <w:rPr>
                <w:rFonts w:hint="eastAsia" w:ascii="宋体" w:hAnsi="宋体" w:cs="宋体"/>
                <w:b/>
                <w:bCs/>
                <w:color w:val="auto"/>
                <w:szCs w:val="21"/>
                <w:highlight w:val="none"/>
                <w:u w:val="single"/>
                <w:lang w:val="en-US" w:eastAsia="zh-CN"/>
              </w:rPr>
              <w:t>第</w:t>
            </w:r>
            <w:r>
              <w:rPr>
                <w:rFonts w:hint="eastAsia" w:ascii="宋体" w:hAnsi="宋体" w:cs="宋体"/>
                <w:b/>
                <w:bCs/>
                <w:color w:val="auto"/>
                <w:szCs w:val="21"/>
                <w:highlight w:val="none"/>
                <w:u w:val="single"/>
              </w:rPr>
              <w:t>四章技术标投标文件格式中格式一、格式二、格式三、格式五必须按招标文件规定的格式进行编制外，其余格式仅供参考不作为投标文件有效性评审的条件</w:t>
            </w:r>
            <w:bookmarkEnd w:id="141"/>
            <w:r>
              <w:rPr>
                <w:rFonts w:hint="eastAsia" w:ascii="宋体" w:hAnsi="宋体" w:cs="宋体"/>
                <w:b/>
                <w:bCs/>
                <w:color w:val="auto"/>
                <w:szCs w:val="21"/>
                <w:highlight w:val="none"/>
                <w:u w:val="single"/>
              </w:rPr>
              <w:t>；</w:t>
            </w:r>
          </w:p>
        </w:tc>
        <w:tc>
          <w:tcPr>
            <w:tcW w:w="2207" w:type="dxa"/>
            <w:tcBorders>
              <w:top w:val="single" w:color="auto" w:sz="4" w:space="0"/>
              <w:left w:val="single" w:color="auto" w:sz="4" w:space="0"/>
              <w:bottom w:val="single" w:color="auto" w:sz="4" w:space="0"/>
              <w:right w:val="single" w:color="auto" w:sz="4" w:space="0"/>
            </w:tcBorders>
            <w:noWrap w:val="0"/>
            <w:vAlign w:val="top"/>
          </w:tcPr>
          <w:p w14:paraId="61FAD572">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10FE73E0">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072" w:type="dxa"/>
            <w:tcBorders>
              <w:top w:val="single" w:color="auto" w:sz="4" w:space="0"/>
              <w:left w:val="single" w:color="auto" w:sz="4" w:space="0"/>
              <w:bottom w:val="single" w:color="auto" w:sz="4" w:space="0"/>
              <w:right w:val="single" w:color="auto" w:sz="4" w:space="0"/>
            </w:tcBorders>
            <w:noWrap w:val="0"/>
            <w:vAlign w:val="top"/>
          </w:tcPr>
          <w:p w14:paraId="5433CAA0">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36C9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2C5B782D">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477" w:type="dxa"/>
            <w:tcBorders>
              <w:top w:val="single" w:color="auto" w:sz="4" w:space="0"/>
              <w:left w:val="single" w:color="auto" w:sz="4" w:space="0"/>
              <w:bottom w:val="single" w:color="auto" w:sz="4" w:space="0"/>
              <w:right w:val="single" w:color="auto" w:sz="4" w:space="0"/>
            </w:tcBorders>
            <w:noWrap w:val="0"/>
            <w:vAlign w:val="center"/>
          </w:tcPr>
          <w:p w14:paraId="1950C8BC">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2207" w:type="dxa"/>
            <w:tcBorders>
              <w:top w:val="single" w:color="auto" w:sz="4" w:space="0"/>
              <w:left w:val="single" w:color="auto" w:sz="4" w:space="0"/>
              <w:bottom w:val="single" w:color="auto" w:sz="4" w:space="0"/>
              <w:right w:val="single" w:color="auto" w:sz="4" w:space="0"/>
            </w:tcBorders>
            <w:noWrap w:val="0"/>
            <w:vAlign w:val="top"/>
          </w:tcPr>
          <w:p w14:paraId="775ED3A2">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5BEB2680">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072" w:type="dxa"/>
            <w:tcBorders>
              <w:top w:val="single" w:color="auto" w:sz="4" w:space="0"/>
              <w:left w:val="single" w:color="auto" w:sz="4" w:space="0"/>
              <w:bottom w:val="single" w:color="auto" w:sz="4" w:space="0"/>
              <w:right w:val="single" w:color="auto" w:sz="4" w:space="0"/>
            </w:tcBorders>
            <w:noWrap w:val="0"/>
            <w:vAlign w:val="top"/>
          </w:tcPr>
          <w:p w14:paraId="52AB2CB9">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2AAC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4133975D">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477" w:type="dxa"/>
            <w:tcBorders>
              <w:top w:val="single" w:color="auto" w:sz="4" w:space="0"/>
              <w:left w:val="single" w:color="auto" w:sz="4" w:space="0"/>
              <w:bottom w:val="single" w:color="auto" w:sz="4" w:space="0"/>
              <w:right w:val="single" w:color="auto" w:sz="4" w:space="0"/>
            </w:tcBorders>
            <w:noWrap w:val="0"/>
            <w:vAlign w:val="center"/>
          </w:tcPr>
          <w:p w14:paraId="29E86663">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2207" w:type="dxa"/>
            <w:tcBorders>
              <w:top w:val="single" w:color="auto" w:sz="4" w:space="0"/>
              <w:left w:val="single" w:color="auto" w:sz="4" w:space="0"/>
              <w:bottom w:val="single" w:color="auto" w:sz="4" w:space="0"/>
              <w:right w:val="single" w:color="auto" w:sz="4" w:space="0"/>
            </w:tcBorders>
            <w:noWrap w:val="0"/>
            <w:vAlign w:val="top"/>
          </w:tcPr>
          <w:p w14:paraId="069CE14F">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53797C0C">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072" w:type="dxa"/>
            <w:tcBorders>
              <w:top w:val="single" w:color="auto" w:sz="4" w:space="0"/>
              <w:left w:val="single" w:color="auto" w:sz="4" w:space="0"/>
              <w:bottom w:val="single" w:color="auto" w:sz="4" w:space="0"/>
              <w:right w:val="single" w:color="auto" w:sz="4" w:space="0"/>
            </w:tcBorders>
            <w:noWrap w:val="0"/>
            <w:vAlign w:val="top"/>
          </w:tcPr>
          <w:p w14:paraId="5DA1B395">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4E3A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19442E7A">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7477" w:type="dxa"/>
            <w:tcBorders>
              <w:top w:val="single" w:color="auto" w:sz="4" w:space="0"/>
              <w:left w:val="single" w:color="auto" w:sz="4" w:space="0"/>
              <w:bottom w:val="single" w:color="auto" w:sz="4" w:space="0"/>
              <w:right w:val="single" w:color="auto" w:sz="4" w:space="0"/>
            </w:tcBorders>
            <w:noWrap w:val="0"/>
            <w:vAlign w:val="center"/>
          </w:tcPr>
          <w:p w14:paraId="5FCCDAA3">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投标人与</w:t>
            </w:r>
            <w:r>
              <w:rPr>
                <w:rFonts w:hint="eastAsia" w:ascii="宋体" w:hAnsi="宋体" w:cs="宋体"/>
                <w:color w:val="auto"/>
                <w:szCs w:val="21"/>
                <w:highlight w:val="none"/>
                <w:u w:val="single"/>
              </w:rPr>
              <w:t>本项目</w:t>
            </w:r>
            <w:r>
              <w:rPr>
                <w:rFonts w:hint="eastAsia" w:ascii="宋体" w:hAnsi="宋体" w:cs="宋体"/>
                <w:color w:val="auto"/>
                <w:szCs w:val="21"/>
                <w:highlight w:val="none"/>
              </w:rPr>
              <w:t>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2207" w:type="dxa"/>
            <w:tcBorders>
              <w:top w:val="single" w:color="auto" w:sz="4" w:space="0"/>
              <w:left w:val="single" w:color="auto" w:sz="4" w:space="0"/>
              <w:bottom w:val="single" w:color="auto" w:sz="4" w:space="0"/>
              <w:right w:val="single" w:color="auto" w:sz="4" w:space="0"/>
            </w:tcBorders>
            <w:noWrap w:val="0"/>
            <w:vAlign w:val="top"/>
          </w:tcPr>
          <w:p w14:paraId="1E5A0323">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0276E309">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2072" w:type="dxa"/>
            <w:tcBorders>
              <w:top w:val="single" w:color="auto" w:sz="4" w:space="0"/>
              <w:left w:val="single" w:color="auto" w:sz="4" w:space="0"/>
              <w:bottom w:val="single" w:color="auto" w:sz="4" w:space="0"/>
              <w:right w:val="single" w:color="auto" w:sz="4" w:space="0"/>
            </w:tcBorders>
            <w:noWrap w:val="0"/>
            <w:vAlign w:val="top"/>
          </w:tcPr>
          <w:p w14:paraId="1BAF86F0">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bl>
    <w:p w14:paraId="65999CE9">
      <w:pPr>
        <w:spacing w:line="260" w:lineRule="exact"/>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6AE01FC7">
      <w:pPr>
        <w:spacing w:line="2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7364204A">
      <w:pPr>
        <w:spacing w:line="2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3.凡出现以上任何一项情形，结论均为无效，否则就为有效。</w:t>
      </w:r>
    </w:p>
    <w:p w14:paraId="6A32D95B">
      <w:pPr>
        <w:spacing w:line="260" w:lineRule="exact"/>
        <w:ind w:firstLine="420" w:firstLineChars="200"/>
        <w:rPr>
          <w:rFonts w:ascii="宋体" w:hAnsi="宋体" w:cs="宋体"/>
          <w:color w:val="auto"/>
          <w:szCs w:val="21"/>
          <w:highlight w:val="none"/>
        </w:rPr>
      </w:pPr>
      <w:r>
        <w:rPr>
          <w:rFonts w:hint="eastAsia" w:ascii="宋体" w:hAnsi="宋体" w:eastAsia="宋体" w:cs="宋体"/>
          <w:color w:val="auto"/>
          <w:szCs w:val="21"/>
          <w:highlight w:val="none"/>
        </w:rPr>
        <w:t>4.如对本表</w:t>
      </w:r>
      <w:r>
        <w:rPr>
          <w:rFonts w:hint="eastAsia" w:ascii="宋体" w:hAnsi="宋体" w:cs="宋体"/>
          <w:color w:val="auto"/>
          <w:szCs w:val="21"/>
          <w:highlight w:val="none"/>
        </w:rPr>
        <w:t>中某种情形的评审意见不一致时，以评标委员会过半数成员的意见作为评标委员会对该情形的认定结论。</w:t>
      </w:r>
    </w:p>
    <w:p w14:paraId="2D0D756D">
      <w:pPr>
        <w:spacing w:line="260" w:lineRule="exact"/>
        <w:rPr>
          <w:rFonts w:ascii="宋体" w:hAnsi="宋体" w:cs="宋体"/>
          <w:color w:val="auto"/>
          <w:szCs w:val="21"/>
          <w:highlight w:val="none"/>
        </w:rPr>
      </w:pPr>
    </w:p>
    <w:p w14:paraId="488A0427">
      <w:pPr>
        <w:spacing w:line="260" w:lineRule="exact"/>
        <w:rPr>
          <w:rFonts w:hint="eastAsia" w:ascii="宋体" w:hAnsi="宋体" w:cs="宋体"/>
          <w:color w:val="auto"/>
          <w:szCs w:val="21"/>
          <w:highlight w:val="none"/>
        </w:rPr>
      </w:pPr>
      <w:r>
        <w:rPr>
          <w:rFonts w:hint="eastAsia" w:ascii="宋体" w:hAnsi="宋体" w:cs="宋体"/>
          <w:color w:val="auto"/>
          <w:szCs w:val="21"/>
          <w:highlight w:val="none"/>
        </w:rPr>
        <w:t>评委签名：</w:t>
      </w:r>
    </w:p>
    <w:p w14:paraId="3A1AA83C">
      <w:pPr>
        <w:outlineLvl w:val="2"/>
        <w:rPr>
          <w:rFonts w:hint="eastAsia" w:ascii="宋体" w:hAnsi="宋体" w:cs="宋体"/>
          <w:b/>
          <w:bCs/>
          <w:color w:val="auto"/>
          <w:szCs w:val="21"/>
          <w:highlight w:val="none"/>
        </w:rPr>
      </w:pPr>
      <w:r>
        <w:rPr>
          <w:rFonts w:hint="eastAsia" w:ascii="宋体" w:hAnsi="宋体" w:cs="宋体"/>
          <w:color w:val="auto"/>
          <w:highlight w:val="none"/>
        </w:rPr>
        <w:br w:type="page"/>
      </w:r>
      <w:bookmarkStart w:id="142" w:name="_Toc97576594"/>
      <w:bookmarkStart w:id="143" w:name="_Toc94347353"/>
      <w:r>
        <w:rPr>
          <w:rFonts w:hint="eastAsia" w:ascii="宋体" w:hAnsi="宋体" w:cs="宋体"/>
          <w:b/>
          <w:bCs/>
          <w:color w:val="auto"/>
          <w:szCs w:val="21"/>
          <w:highlight w:val="none"/>
        </w:rPr>
        <w:t>附表三</w:t>
      </w:r>
      <w:bookmarkEnd w:id="142"/>
      <w:bookmarkEnd w:id="143"/>
    </w:p>
    <w:p w14:paraId="5F842F68">
      <w:pPr>
        <w:jc w:val="center"/>
        <w:rPr>
          <w:rFonts w:hint="eastAsia" w:ascii="宋体" w:hAnsi="宋体" w:cs="宋体"/>
          <w:b/>
          <w:color w:val="auto"/>
          <w:sz w:val="36"/>
          <w:szCs w:val="36"/>
          <w:highlight w:val="none"/>
        </w:rPr>
      </w:pPr>
      <w:bookmarkStart w:id="144" w:name="_Hlk197619022"/>
      <w:r>
        <w:rPr>
          <w:rFonts w:hint="eastAsia" w:ascii="宋体" w:hAnsi="宋体" w:cs="宋体"/>
          <w:b/>
          <w:color w:val="auto"/>
          <w:sz w:val="36"/>
          <w:szCs w:val="36"/>
          <w:highlight w:val="none"/>
        </w:rPr>
        <w:t>经济标有效性审查表</w:t>
      </w:r>
    </w:p>
    <w:bookmarkEnd w:id="144"/>
    <w:p w14:paraId="0FA4BD1D">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9"/>
        <w:tblW w:w="14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9624"/>
        <w:gridCol w:w="1356"/>
        <w:gridCol w:w="1463"/>
        <w:gridCol w:w="1498"/>
      </w:tblGrid>
      <w:tr w14:paraId="4F12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57C933F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624"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39E27FE3">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1934F365">
            <w:pPr>
              <w:keepNext w:val="0"/>
              <w:keepLines w:val="0"/>
              <w:suppressLineNumbers w:val="0"/>
              <w:spacing w:before="0" w:beforeAutospacing="0" w:after="0" w:afterAutospacing="0"/>
              <w:ind w:left="0" w:right="0"/>
              <w:rPr>
                <w:rFonts w:hint="eastAsia" w:ascii="宋体" w:hAnsi="宋体" w:cs="宋体"/>
                <w:color w:val="auto"/>
                <w:szCs w:val="21"/>
                <w:highlight w:val="none"/>
              </w:rPr>
            </w:pPr>
          </w:p>
          <w:p w14:paraId="6D15AD47">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356" w:type="dxa"/>
            <w:tcBorders>
              <w:top w:val="single" w:color="auto" w:sz="4" w:space="0"/>
              <w:left w:val="single" w:color="auto" w:sz="4" w:space="0"/>
              <w:bottom w:val="single" w:color="auto" w:sz="4" w:space="0"/>
              <w:right w:val="single" w:color="auto" w:sz="4" w:space="0"/>
            </w:tcBorders>
            <w:noWrap w:val="0"/>
            <w:vAlign w:val="top"/>
          </w:tcPr>
          <w:p w14:paraId="44DF18B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6A00922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top"/>
          </w:tcPr>
          <w:p w14:paraId="1D142BA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050F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2776AE7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24" w:type="dxa"/>
            <w:tcBorders>
              <w:top w:val="single" w:color="auto" w:sz="4" w:space="0"/>
              <w:left w:val="single" w:color="auto" w:sz="4" w:space="0"/>
              <w:bottom w:val="single" w:color="auto" w:sz="4" w:space="0"/>
              <w:right w:val="single" w:color="auto" w:sz="4" w:space="0"/>
            </w:tcBorders>
            <w:noWrap w:val="0"/>
            <w:vAlign w:val="center"/>
          </w:tcPr>
          <w:p w14:paraId="635446D7">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356" w:type="dxa"/>
            <w:tcBorders>
              <w:top w:val="single" w:color="auto" w:sz="4" w:space="0"/>
              <w:left w:val="single" w:color="auto" w:sz="4" w:space="0"/>
              <w:bottom w:val="single" w:color="auto" w:sz="4" w:space="0"/>
              <w:right w:val="single" w:color="auto" w:sz="4" w:space="0"/>
            </w:tcBorders>
            <w:noWrap w:val="0"/>
            <w:vAlign w:val="top"/>
          </w:tcPr>
          <w:p w14:paraId="747C6DF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15183F7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top"/>
          </w:tcPr>
          <w:p w14:paraId="5659F86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1755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4260F11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bookmarkStart w:id="145" w:name="OLE_LINK151" w:colFirst="1" w:colLast="1"/>
            <w:bookmarkStart w:id="146" w:name="_Hlk198839636"/>
            <w:bookmarkStart w:id="147" w:name="OLE_LINK150" w:colFirst="1" w:colLast="1"/>
            <w:r>
              <w:rPr>
                <w:rFonts w:hint="eastAsia" w:ascii="宋体" w:hAnsi="宋体" w:cs="宋体"/>
                <w:color w:val="auto"/>
                <w:szCs w:val="21"/>
                <w:highlight w:val="none"/>
              </w:rPr>
              <w:t>2</w:t>
            </w:r>
          </w:p>
        </w:tc>
        <w:tc>
          <w:tcPr>
            <w:tcW w:w="9624" w:type="dxa"/>
            <w:tcBorders>
              <w:top w:val="single" w:color="auto" w:sz="4" w:space="0"/>
              <w:left w:val="single" w:color="auto" w:sz="4" w:space="0"/>
              <w:bottom w:val="single" w:color="auto" w:sz="4" w:space="0"/>
              <w:right w:val="single" w:color="auto" w:sz="4" w:space="0"/>
            </w:tcBorders>
            <w:noWrap w:val="0"/>
            <w:vAlign w:val="center"/>
          </w:tcPr>
          <w:p w14:paraId="4E1F1B87">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bookmarkStart w:id="148" w:name="OLE_LINK51"/>
            <w:bookmarkStart w:id="149" w:name="OLE_LINK50"/>
            <w:r>
              <w:rPr>
                <w:rFonts w:hint="eastAsia" w:ascii="宋体" w:hAnsi="宋体" w:cs="宋体"/>
                <w:color w:val="auto"/>
                <w:szCs w:val="21"/>
                <w:highlight w:val="none"/>
              </w:rPr>
              <w:t>投标报价高于最高投标限价的；</w:t>
            </w:r>
            <w:bookmarkEnd w:id="148"/>
            <w:bookmarkEnd w:id="149"/>
          </w:p>
        </w:tc>
        <w:tc>
          <w:tcPr>
            <w:tcW w:w="1356" w:type="dxa"/>
            <w:tcBorders>
              <w:top w:val="single" w:color="auto" w:sz="4" w:space="0"/>
              <w:left w:val="single" w:color="auto" w:sz="4" w:space="0"/>
              <w:bottom w:val="single" w:color="auto" w:sz="4" w:space="0"/>
              <w:right w:val="single" w:color="auto" w:sz="4" w:space="0"/>
            </w:tcBorders>
            <w:noWrap w:val="0"/>
            <w:vAlign w:val="top"/>
          </w:tcPr>
          <w:p w14:paraId="2F204A2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5094B3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top"/>
          </w:tcPr>
          <w:p w14:paraId="58FEA48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bookmarkEnd w:id="145"/>
      <w:bookmarkEnd w:id="146"/>
      <w:bookmarkEnd w:id="147"/>
      <w:tr w14:paraId="011D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5CA71C5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624" w:type="dxa"/>
            <w:tcBorders>
              <w:top w:val="single" w:color="auto" w:sz="4" w:space="0"/>
              <w:left w:val="single" w:color="auto" w:sz="4" w:space="0"/>
              <w:bottom w:val="single" w:color="auto" w:sz="4" w:space="0"/>
              <w:right w:val="single" w:color="auto" w:sz="4" w:space="0"/>
            </w:tcBorders>
            <w:noWrap w:val="0"/>
            <w:vAlign w:val="center"/>
          </w:tcPr>
          <w:p w14:paraId="27EF98BA">
            <w:pPr>
              <w:keepNext w:val="0"/>
              <w:keepLines w:val="0"/>
              <w:suppressLineNumbers w:val="0"/>
              <w:autoSpaceDE w:val="0"/>
              <w:autoSpaceDN w:val="0"/>
              <w:adjustRightInd w:val="0"/>
              <w:spacing w:before="0" w:beforeAutospacing="0" w:after="0" w:afterAutospacing="0"/>
              <w:ind w:left="-2" w:leftChars="-1" w:right="0"/>
              <w:jc w:val="left"/>
              <w:rPr>
                <w:rFonts w:hint="eastAsia"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r>
              <w:rPr>
                <w:rFonts w:hint="eastAsia" w:ascii="宋体" w:hAnsi="宋体" w:cs="宋体"/>
                <w:color w:val="auto"/>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0"/>
            <w:vAlign w:val="top"/>
          </w:tcPr>
          <w:p w14:paraId="3641EA1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420074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top"/>
          </w:tcPr>
          <w:p w14:paraId="5B52BAF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2974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6F5DDD7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624" w:type="dxa"/>
            <w:tcBorders>
              <w:top w:val="single" w:color="auto" w:sz="4" w:space="0"/>
              <w:left w:val="single" w:color="auto" w:sz="4" w:space="0"/>
              <w:bottom w:val="single" w:color="auto" w:sz="4" w:space="0"/>
              <w:right w:val="single" w:color="auto" w:sz="4" w:space="0"/>
            </w:tcBorders>
            <w:noWrap w:val="0"/>
            <w:vAlign w:val="center"/>
          </w:tcPr>
          <w:p w14:paraId="5ACFB459">
            <w:pPr>
              <w:keepNext w:val="0"/>
              <w:keepLines w:val="0"/>
              <w:suppressLineNumbers w:val="0"/>
              <w:spacing w:before="0" w:beforeAutospacing="0" w:after="0" w:afterAutospacing="0"/>
              <w:ind w:left="0" w:right="0"/>
              <w:rPr>
                <w:rFonts w:hint="eastAsia" w:ascii="宋体" w:hAnsi="宋体" w:cs="宋体"/>
                <w:color w:val="auto"/>
                <w:szCs w:val="21"/>
                <w:highlight w:val="none"/>
              </w:rPr>
            </w:pPr>
            <w:bookmarkStart w:id="150" w:name="OLE_LINK166"/>
            <w:bookmarkStart w:id="151" w:name="OLE_LINK158"/>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w:t>
            </w:r>
            <w:r>
              <w:rPr>
                <w:rFonts w:hint="eastAsia" w:ascii="宋体" w:hAnsi="宋体" w:cs="宋体"/>
                <w:color w:val="auto"/>
                <w:highlight w:val="none"/>
                <w:u w:val="single"/>
              </w:rPr>
              <w:t>第四章经济标投标文件格式中格式二、格式三</w:t>
            </w:r>
            <w:r>
              <w:rPr>
                <w:rFonts w:hint="eastAsia" w:ascii="宋体" w:hAnsi="宋体" w:cs="宋体"/>
                <w:color w:val="auto"/>
                <w:szCs w:val="21"/>
                <w:highlight w:val="none"/>
                <w:u w:val="single"/>
              </w:rPr>
              <w:t>）</w:t>
            </w:r>
            <w:r>
              <w:rPr>
                <w:rFonts w:hint="eastAsia" w:ascii="宋体" w:hAnsi="宋体" w:cs="宋体"/>
                <w:color w:val="auto"/>
                <w:szCs w:val="21"/>
                <w:highlight w:val="none"/>
              </w:rPr>
              <w:t>，或主要内容不全，或关键字迹模糊、无法辨认的。</w:t>
            </w:r>
            <w:bookmarkEnd w:id="150"/>
            <w:r>
              <w:rPr>
                <w:rFonts w:hint="eastAsia" w:ascii="宋体" w:hAnsi="宋体" w:cs="宋体"/>
                <w:b/>
                <w:bCs/>
                <w:color w:val="auto"/>
                <w:szCs w:val="21"/>
                <w:highlight w:val="none"/>
                <w:u w:val="single"/>
              </w:rPr>
              <w:t>除四章经济标投标文件格式中格式二、格式三必须按招标文件规定的格式进行编制外，其余格式仅供参考不作为投标文件有效性评审的条件</w:t>
            </w:r>
            <w:bookmarkEnd w:id="151"/>
            <w:r>
              <w:rPr>
                <w:rFonts w:hint="eastAsia" w:ascii="宋体" w:hAnsi="宋体" w:cs="宋体"/>
                <w:b/>
                <w:bCs/>
                <w:color w:val="auto"/>
                <w:szCs w:val="21"/>
                <w:highlight w:val="none"/>
                <w:u w:val="single"/>
              </w:rPr>
              <w:t>；</w:t>
            </w:r>
          </w:p>
        </w:tc>
        <w:tc>
          <w:tcPr>
            <w:tcW w:w="1356" w:type="dxa"/>
            <w:tcBorders>
              <w:top w:val="single" w:color="auto" w:sz="4" w:space="0"/>
              <w:left w:val="single" w:color="auto" w:sz="4" w:space="0"/>
              <w:bottom w:val="single" w:color="auto" w:sz="4" w:space="0"/>
              <w:right w:val="single" w:color="auto" w:sz="4" w:space="0"/>
            </w:tcBorders>
            <w:noWrap w:val="0"/>
            <w:vAlign w:val="top"/>
          </w:tcPr>
          <w:p w14:paraId="28E9C9E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E9AC12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top"/>
          </w:tcPr>
          <w:p w14:paraId="303446D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002C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31EBAB2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624" w:type="dxa"/>
            <w:tcBorders>
              <w:top w:val="single" w:color="auto" w:sz="4" w:space="0"/>
              <w:left w:val="single" w:color="auto" w:sz="4" w:space="0"/>
              <w:bottom w:val="single" w:color="auto" w:sz="4" w:space="0"/>
              <w:right w:val="single" w:color="auto" w:sz="4" w:space="0"/>
            </w:tcBorders>
            <w:noWrap w:val="0"/>
            <w:vAlign w:val="center"/>
          </w:tcPr>
          <w:p w14:paraId="7672E614">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投标人之间存在《广东省实施&lt;中华人民共和国招标投标法&gt;（2018修订）》第十六条所禁止的情形的；</w:t>
            </w:r>
          </w:p>
        </w:tc>
        <w:tc>
          <w:tcPr>
            <w:tcW w:w="1356" w:type="dxa"/>
            <w:tcBorders>
              <w:top w:val="single" w:color="auto" w:sz="4" w:space="0"/>
              <w:left w:val="single" w:color="auto" w:sz="4" w:space="0"/>
              <w:bottom w:val="single" w:color="auto" w:sz="4" w:space="0"/>
              <w:right w:val="single" w:color="auto" w:sz="4" w:space="0"/>
            </w:tcBorders>
            <w:noWrap w:val="0"/>
            <w:vAlign w:val="top"/>
          </w:tcPr>
          <w:p w14:paraId="73D7867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6F986D6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top"/>
          </w:tcPr>
          <w:p w14:paraId="5531E5A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BF2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381B2B9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624" w:type="dxa"/>
            <w:tcBorders>
              <w:top w:val="single" w:color="auto" w:sz="4" w:space="0"/>
              <w:left w:val="single" w:color="auto" w:sz="4" w:space="0"/>
              <w:bottom w:val="single" w:color="auto" w:sz="4" w:space="0"/>
              <w:right w:val="single" w:color="auto" w:sz="4" w:space="0"/>
            </w:tcBorders>
            <w:noWrap w:val="0"/>
            <w:vAlign w:val="center"/>
          </w:tcPr>
          <w:p w14:paraId="5DEDAE14">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356" w:type="dxa"/>
            <w:tcBorders>
              <w:top w:val="single" w:color="auto" w:sz="4" w:space="0"/>
              <w:left w:val="single" w:color="auto" w:sz="4" w:space="0"/>
              <w:bottom w:val="single" w:color="auto" w:sz="4" w:space="0"/>
              <w:right w:val="single" w:color="auto" w:sz="4" w:space="0"/>
            </w:tcBorders>
            <w:noWrap w:val="0"/>
            <w:vAlign w:val="top"/>
          </w:tcPr>
          <w:p w14:paraId="0CFD1E0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22BA23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top"/>
          </w:tcPr>
          <w:p w14:paraId="08EEDFB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3D1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104D15E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624" w:type="dxa"/>
            <w:tcBorders>
              <w:top w:val="single" w:color="auto" w:sz="4" w:space="0"/>
              <w:left w:val="single" w:color="auto" w:sz="4" w:space="0"/>
              <w:bottom w:val="single" w:color="auto" w:sz="4" w:space="0"/>
              <w:right w:val="single" w:color="auto" w:sz="4" w:space="0"/>
            </w:tcBorders>
            <w:noWrap w:val="0"/>
            <w:vAlign w:val="center"/>
          </w:tcPr>
          <w:p w14:paraId="2A33C32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1356" w:type="dxa"/>
            <w:tcBorders>
              <w:top w:val="single" w:color="auto" w:sz="4" w:space="0"/>
              <w:left w:val="single" w:color="auto" w:sz="4" w:space="0"/>
              <w:bottom w:val="single" w:color="auto" w:sz="4" w:space="0"/>
              <w:right w:val="single" w:color="auto" w:sz="4" w:space="0"/>
            </w:tcBorders>
            <w:noWrap w:val="0"/>
            <w:vAlign w:val="top"/>
          </w:tcPr>
          <w:p w14:paraId="34D8D30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41871D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top"/>
          </w:tcPr>
          <w:p w14:paraId="0D8CB35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34EDDBB0">
      <w:pPr>
        <w:ind w:firstLine="0"/>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06FEFE0F">
      <w:pPr>
        <w:ind w:firstLine="458"/>
        <w:rPr>
          <w:rFonts w:hint="eastAsia"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5CE1594F">
      <w:pPr>
        <w:ind w:firstLine="458"/>
        <w:rPr>
          <w:rFonts w:hint="eastAsia"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6A58A5B6">
      <w:pPr>
        <w:ind w:firstLine="458"/>
        <w:rPr>
          <w:rFonts w:hint="eastAsia"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E6AF713">
      <w:pPr>
        <w:spacing w:after="120"/>
        <w:ind w:firstLine="458"/>
        <w:rPr>
          <w:rFonts w:hint="eastAsia" w:ascii="宋体" w:hAnsi="宋体" w:cs="宋体"/>
          <w:color w:val="auto"/>
          <w:szCs w:val="21"/>
          <w:highlight w:val="none"/>
        </w:rPr>
      </w:pPr>
      <w:r>
        <w:rPr>
          <w:rFonts w:hint="eastAsia" w:ascii="宋体" w:hAnsi="宋体" w:cs="宋体"/>
          <w:color w:val="auto"/>
          <w:szCs w:val="21"/>
          <w:highlight w:val="none"/>
        </w:rPr>
        <w:t>评委签名：</w:t>
      </w:r>
    </w:p>
    <w:p w14:paraId="2345F741">
      <w:pPr>
        <w:pStyle w:val="240"/>
        <w:rPr>
          <w:rFonts w:cs="宋体"/>
          <w:b/>
          <w:bCs/>
          <w:color w:val="auto"/>
          <w:sz w:val="28"/>
          <w:szCs w:val="28"/>
          <w:highlight w:val="none"/>
        </w:rPr>
      </w:pPr>
      <w:r>
        <w:rPr>
          <w:rFonts w:hint="eastAsia" w:cs="宋体"/>
          <w:b/>
          <w:color w:val="auto"/>
          <w:sz w:val="28"/>
          <w:szCs w:val="28"/>
          <w:highlight w:val="none"/>
        </w:rPr>
        <w:br w:type="page"/>
      </w:r>
      <w:r>
        <w:rPr>
          <w:rFonts w:hint="eastAsia" w:cs="宋体"/>
          <w:b/>
          <w:bCs/>
          <w:color w:val="auto"/>
          <w:highlight w:val="none"/>
        </w:rPr>
        <w:t>附表四</w:t>
      </w:r>
    </w:p>
    <w:p w14:paraId="535CAC61">
      <w:pPr>
        <w:spacing w:line="240" w:lineRule="exact"/>
        <w:rPr>
          <w:rFonts w:ascii="宋体" w:hAnsi="宋体" w:cs="宋体"/>
          <w:color w:val="auto"/>
          <w:szCs w:val="21"/>
          <w:highlight w:val="none"/>
        </w:rPr>
      </w:pPr>
    </w:p>
    <w:p w14:paraId="6AE6B98E">
      <w:pPr>
        <w:spacing w:line="360" w:lineRule="auto"/>
        <w:jc w:val="center"/>
        <w:rPr>
          <w:rFonts w:hint="eastAsia" w:ascii="宋体" w:hAnsi="宋体" w:cs="宋体"/>
          <w:b/>
          <w:color w:val="auto"/>
          <w:sz w:val="36"/>
          <w:szCs w:val="36"/>
          <w:highlight w:val="none"/>
        </w:rPr>
      </w:pPr>
      <w:bookmarkStart w:id="152" w:name="OLE_LINK45"/>
      <w:r>
        <w:rPr>
          <w:rFonts w:hint="eastAsia" w:ascii="宋体" w:hAnsi="宋体" w:cs="宋体"/>
          <w:b/>
          <w:color w:val="auto"/>
          <w:sz w:val="36"/>
          <w:szCs w:val="36"/>
          <w:highlight w:val="none"/>
        </w:rPr>
        <w:t>技术标详细审查评分表</w:t>
      </w:r>
    </w:p>
    <w:bookmarkEnd w:id="152"/>
    <w:tbl>
      <w:tblPr>
        <w:tblStyle w:val="39"/>
        <w:tblW w:w="14556" w:type="dxa"/>
        <w:tblInd w:w="0" w:type="dxa"/>
        <w:shd w:val="clear" w:color="auto" w:fill="auto"/>
        <w:tblLayout w:type="fixed"/>
        <w:tblCellMar>
          <w:top w:w="0" w:type="dxa"/>
          <w:left w:w="108" w:type="dxa"/>
          <w:bottom w:w="0" w:type="dxa"/>
          <w:right w:w="108" w:type="dxa"/>
        </w:tblCellMar>
      </w:tblPr>
      <w:tblGrid>
        <w:gridCol w:w="1214"/>
        <w:gridCol w:w="1261"/>
        <w:gridCol w:w="2026"/>
        <w:gridCol w:w="10055"/>
      </w:tblGrid>
      <w:tr w14:paraId="3EED9584">
        <w:tblPrEx>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CFAC8">
            <w:pPr>
              <w:keepNext w:val="0"/>
              <w:keepLines w:val="0"/>
              <w:suppressLineNumbers w:val="0"/>
              <w:spacing w:before="0" w:beforeAutospacing="0" w:after="0" w:afterAutospacing="0"/>
              <w:ind w:left="0" w:right="0"/>
              <w:rPr>
                <w:rFonts w:hint="eastAsia" w:ascii="宋体" w:hAnsi="宋体" w:cs="仿宋"/>
                <w:b/>
                <w:bCs/>
                <w:color w:val="auto"/>
                <w:szCs w:val="21"/>
                <w:highlight w:val="none"/>
              </w:rPr>
            </w:pPr>
            <w:bookmarkStart w:id="153" w:name="_Hlk198115459"/>
            <w:r>
              <w:rPr>
                <w:rFonts w:hint="eastAsia" w:ascii="宋体" w:hAnsi="宋体" w:cs="仿宋"/>
                <w:b/>
                <w:bCs/>
                <w:color w:val="auto"/>
                <w:kern w:val="0"/>
                <w:szCs w:val="21"/>
                <w:highlight w:val="none"/>
                <w:lang w:bidi="ar"/>
              </w:rPr>
              <w:t>序号</w:t>
            </w:r>
          </w:p>
        </w:tc>
        <w:tc>
          <w:tcPr>
            <w:tcW w:w="3287"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1B809CA">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szCs w:val="21"/>
                <w:highlight w:val="none"/>
              </w:rPr>
            </w:pPr>
            <w:r>
              <w:rPr>
                <w:rFonts w:hint="eastAsia" w:ascii="宋体" w:hAnsi="宋体" w:cs="仿宋"/>
                <w:b/>
                <w:bCs/>
                <w:color w:val="auto"/>
                <w:kern w:val="0"/>
                <w:szCs w:val="21"/>
                <w:highlight w:val="none"/>
                <w:lang w:bidi="ar"/>
              </w:rPr>
              <w:t>评分因素</w:t>
            </w:r>
          </w:p>
        </w:tc>
        <w:tc>
          <w:tcPr>
            <w:tcW w:w="10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41922">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szCs w:val="21"/>
                <w:highlight w:val="none"/>
              </w:rPr>
            </w:pPr>
            <w:r>
              <w:rPr>
                <w:rFonts w:hint="eastAsia" w:ascii="宋体" w:hAnsi="宋体" w:cs="仿宋"/>
                <w:b/>
                <w:bCs/>
                <w:color w:val="auto"/>
                <w:kern w:val="0"/>
                <w:szCs w:val="21"/>
                <w:highlight w:val="none"/>
                <w:lang w:bidi="ar"/>
              </w:rPr>
              <w:t>评分标准</w:t>
            </w:r>
          </w:p>
        </w:tc>
      </w:tr>
      <w:tr w14:paraId="338FEED3">
        <w:tblPrEx>
          <w:shd w:val="clear" w:color="auto" w:fill="auto"/>
          <w:tblCellMar>
            <w:top w:w="0" w:type="dxa"/>
            <w:left w:w="108" w:type="dxa"/>
            <w:bottom w:w="0" w:type="dxa"/>
            <w:right w:w="108" w:type="dxa"/>
          </w:tblCellMar>
        </w:tblPrEx>
        <w:trPr>
          <w:trHeight w:val="1031" w:hRule="atLeast"/>
        </w:trPr>
        <w:tc>
          <w:tcPr>
            <w:tcW w:w="121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BBFC7D2">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szCs w:val="21"/>
                <w:highlight w:val="none"/>
              </w:rPr>
            </w:pPr>
            <w:r>
              <w:rPr>
                <w:rFonts w:hint="eastAsia" w:ascii="宋体" w:hAnsi="宋体" w:cs="仿宋"/>
                <w:b/>
                <w:bCs/>
                <w:color w:val="auto"/>
                <w:kern w:val="0"/>
                <w:szCs w:val="21"/>
                <w:highlight w:val="none"/>
                <w:lang w:bidi="ar"/>
              </w:rPr>
              <w:t>1</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F93C6BA">
            <w:pPr>
              <w:keepNext w:val="0"/>
              <w:keepLines w:val="0"/>
              <w:widowControl/>
              <w:suppressLineNumbers w:val="0"/>
              <w:spacing w:before="0" w:beforeAutospacing="0" w:after="0" w:afterAutospacing="0"/>
              <w:ind w:left="0" w:right="0"/>
              <w:jc w:val="center"/>
              <w:textAlignment w:val="center"/>
              <w:rPr>
                <w:rFonts w:hint="eastAsia" w:ascii="宋体" w:hAnsi="宋体" w:cs="仿宋"/>
                <w:color w:val="auto"/>
                <w:kern w:val="0"/>
                <w:szCs w:val="21"/>
                <w:highlight w:val="none"/>
                <w:lang w:bidi="ar"/>
              </w:rPr>
            </w:pPr>
            <w:bookmarkStart w:id="154" w:name="OLE_LINK124"/>
            <w:r>
              <w:rPr>
                <w:rFonts w:hint="eastAsia" w:ascii="宋体" w:hAnsi="宋体" w:cs="仿宋"/>
                <w:color w:val="auto"/>
                <w:kern w:val="0"/>
                <w:szCs w:val="21"/>
                <w:highlight w:val="none"/>
                <w:lang w:bidi="ar"/>
              </w:rPr>
              <w:t>施工组织设计评分标准</w:t>
            </w:r>
          </w:p>
          <w:bookmarkEnd w:id="154"/>
          <w:p w14:paraId="04827C47">
            <w:pPr>
              <w:keepNext w:val="0"/>
              <w:keepLines w:val="0"/>
              <w:widowControl/>
              <w:suppressLineNumbers w:val="0"/>
              <w:spacing w:before="0" w:beforeAutospacing="0" w:after="0" w:afterAutospacing="0"/>
              <w:ind w:left="0" w:right="0"/>
              <w:jc w:val="center"/>
              <w:textAlignment w:val="center"/>
              <w:rPr>
                <w:rFonts w:hint="eastAsia" w:ascii="宋体" w:hAnsi="宋体" w:cs="仿宋"/>
                <w:color w:val="auto"/>
                <w:szCs w:val="21"/>
                <w:highlight w:val="none"/>
              </w:rPr>
            </w:pP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val="en-US" w:eastAsia="zh-CN" w:bidi="ar"/>
              </w:rPr>
              <w:t>30</w:t>
            </w:r>
            <w:r>
              <w:rPr>
                <w:rFonts w:hint="eastAsia" w:ascii="宋体" w:hAnsi="宋体" w:cs="仿宋"/>
                <w:color w:val="auto"/>
                <w:kern w:val="0"/>
                <w:szCs w:val="21"/>
                <w:highlight w:val="none"/>
                <w:lang w:bidi="ar"/>
              </w:rPr>
              <w:t>分）</w:t>
            </w:r>
          </w:p>
        </w:tc>
        <w:tc>
          <w:tcPr>
            <w:tcW w:w="2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2B65D">
            <w:pPr>
              <w:keepNext w:val="0"/>
              <w:keepLines w:val="0"/>
              <w:suppressLineNumbers w:val="0"/>
              <w:tabs>
                <w:tab w:val="left" w:pos="360"/>
              </w:tabs>
              <w:snapToGrid w:val="0"/>
              <w:spacing w:before="0" w:beforeAutospacing="0" w:after="0" w:afterAutospacing="0" w:line="360" w:lineRule="auto"/>
              <w:ind w:left="0" w:leftChars="0" w:right="0" w:rightChars="0"/>
              <w:jc w:val="center"/>
              <w:rPr>
                <w:rFonts w:hint="eastAsia" w:ascii="宋体" w:hAnsi="宋体" w:eastAsia="宋体" w:cs="仿宋"/>
                <w:color w:val="auto"/>
                <w:szCs w:val="21"/>
                <w:highlight w:val="none"/>
              </w:rPr>
            </w:pPr>
            <w:r>
              <w:rPr>
                <w:rFonts w:hint="eastAsia" w:ascii="宋体" w:hAnsi="宋体" w:eastAsia="宋体" w:cs="仿宋"/>
                <w:color w:val="auto"/>
                <w:szCs w:val="21"/>
                <w:highlight w:val="none"/>
              </w:rPr>
              <w:t>对工程重点、难点的分析及对策</w:t>
            </w:r>
            <w:r>
              <w:rPr>
                <w:rFonts w:hint="eastAsia" w:ascii="宋体" w:hAnsi="宋体" w:eastAsia="宋体" w:cs="仿宋"/>
                <w:color w:val="auto"/>
                <w:szCs w:val="21"/>
                <w:highlight w:val="none"/>
                <w:lang w:bidi="ar"/>
              </w:rPr>
              <w:t>(8分)</w:t>
            </w:r>
          </w:p>
        </w:tc>
        <w:tc>
          <w:tcPr>
            <w:tcW w:w="1005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902FBD">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优：制定了专项施工方案，对本项目工程重点、难点分析准确，相应对策针对性强，可实施性高，得8分。</w:t>
            </w:r>
          </w:p>
          <w:p w14:paraId="60623716">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良：制定了专项施工方案，对本项目工程重点、难点分析较准确，相应对策针对性较强，可实施性较高，得5分。</w:t>
            </w:r>
          </w:p>
          <w:p w14:paraId="1DF3C266">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中：制定了专项施工方案，对本项目工程重点、难点分析，有相应对策，得2分。</w:t>
            </w:r>
          </w:p>
          <w:p w14:paraId="42A75531">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 w:val="21"/>
                <w:szCs w:val="21"/>
                <w:highlight w:val="none"/>
                <w:lang w:val="en-US" w:eastAsia="zh-CN" w:bidi="ar-SA"/>
              </w:rPr>
            </w:pPr>
            <w:r>
              <w:rPr>
                <w:rFonts w:hint="eastAsia" w:ascii="宋体" w:hAnsi="宋体" w:cs="仿宋"/>
                <w:color w:val="auto"/>
                <w:sz w:val="21"/>
                <w:szCs w:val="21"/>
                <w:highlight w:val="none"/>
                <w:lang w:val="en-US" w:eastAsia="zh-CN" w:bidi="ar-SA"/>
              </w:rPr>
              <w:t>差：无专项施工方案，得0分。</w:t>
            </w:r>
          </w:p>
          <w:p w14:paraId="5239EF5B">
            <w:pPr>
              <w:keepNext w:val="0"/>
              <w:keepLines w:val="0"/>
              <w:suppressLineNumbers w:val="0"/>
              <w:tabs>
                <w:tab w:val="left" w:pos="360"/>
              </w:tabs>
              <w:snapToGrid w:val="0"/>
              <w:spacing w:before="0" w:beforeAutospacing="0" w:after="0" w:afterAutospacing="0" w:line="360" w:lineRule="auto"/>
              <w:ind w:left="0" w:right="0"/>
              <w:jc w:val="left"/>
              <w:rPr>
                <w:rFonts w:hint="default" w:ascii="宋体" w:hAnsi="宋体" w:cs="仿宋"/>
                <w:color w:val="auto"/>
                <w:sz w:val="21"/>
                <w:szCs w:val="21"/>
                <w:highlight w:val="none"/>
                <w:lang w:val="en-US" w:eastAsia="zh-CN" w:bidi="ar-SA"/>
              </w:rPr>
            </w:pPr>
            <w:r>
              <w:rPr>
                <w:rFonts w:hint="eastAsia" w:ascii="宋体" w:hAnsi="宋体" w:cs="仿宋"/>
                <w:color w:val="auto"/>
                <w:sz w:val="21"/>
                <w:szCs w:val="21"/>
                <w:highlight w:val="none"/>
                <w:lang w:val="en-US" w:eastAsia="zh-CN" w:bidi="ar-SA"/>
              </w:rPr>
              <w:t>注：本工程重点、难点详见《第五章  技术条件（工程建设标准）》“三、本招标项目管理重点、难点及建议”。</w:t>
            </w:r>
          </w:p>
        </w:tc>
      </w:tr>
      <w:tr w14:paraId="3EDC760C">
        <w:tblPrEx>
          <w:shd w:val="clear" w:color="auto" w:fill="auto"/>
          <w:tblCellMar>
            <w:top w:w="0" w:type="dxa"/>
            <w:left w:w="108" w:type="dxa"/>
            <w:bottom w:w="0" w:type="dxa"/>
            <w:right w:w="108" w:type="dxa"/>
          </w:tblCellMar>
        </w:tblPrEx>
        <w:trPr>
          <w:trHeight w:val="426" w:hRule="atLeast"/>
        </w:trPr>
        <w:tc>
          <w:tcPr>
            <w:tcW w:w="121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631958B">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szCs w:val="21"/>
                <w:highlight w:val="none"/>
              </w:rPr>
            </w:pPr>
            <w:r>
              <w:rPr>
                <w:rFonts w:hint="eastAsia" w:ascii="宋体" w:hAnsi="宋体" w:cs="仿宋"/>
                <w:b/>
                <w:bCs/>
                <w:color w:val="auto"/>
                <w:kern w:val="0"/>
                <w:szCs w:val="21"/>
                <w:highlight w:val="none"/>
                <w:lang w:bidi="ar"/>
              </w:rPr>
              <w:t>2</w:t>
            </w: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2632422">
            <w:pPr>
              <w:keepNext w:val="0"/>
              <w:keepLines w:val="0"/>
              <w:suppressLineNumbers w:val="0"/>
              <w:spacing w:before="0" w:beforeAutospacing="0" w:after="0" w:afterAutospacing="0"/>
              <w:ind w:left="0" w:right="0"/>
              <w:jc w:val="center"/>
              <w:rPr>
                <w:rFonts w:hint="eastAsia" w:ascii="宋体" w:hAnsi="宋体" w:cs="仿宋"/>
                <w:color w:val="auto"/>
                <w:szCs w:val="21"/>
                <w:highlight w:val="none"/>
              </w:rPr>
            </w:pPr>
          </w:p>
        </w:tc>
        <w:tc>
          <w:tcPr>
            <w:tcW w:w="2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F03AF1">
            <w:pPr>
              <w:keepNext w:val="0"/>
              <w:keepLines w:val="0"/>
              <w:widowControl/>
              <w:suppressLineNumbers w:val="0"/>
              <w:tabs>
                <w:tab w:val="left" w:pos="360"/>
              </w:tabs>
              <w:snapToGrid w:val="0"/>
              <w:spacing w:before="0" w:beforeAutospacing="0" w:after="0" w:afterAutospacing="0" w:line="360" w:lineRule="auto"/>
              <w:ind w:left="0" w:leftChars="0" w:right="0" w:rightChars="0"/>
              <w:jc w:val="center"/>
              <w:textAlignment w:val="auto"/>
              <w:rPr>
                <w:rFonts w:hint="eastAsia" w:ascii="宋体" w:hAnsi="宋体" w:eastAsia="宋体" w:cs="仿宋"/>
                <w:color w:val="auto"/>
                <w:kern w:val="2"/>
                <w:sz w:val="21"/>
                <w:szCs w:val="21"/>
                <w:highlight w:val="none"/>
                <w:lang w:val="en-US" w:eastAsia="zh-CN" w:bidi="ar"/>
              </w:rPr>
            </w:pPr>
            <w:r>
              <w:rPr>
                <w:rFonts w:hint="eastAsia" w:ascii="宋体" w:hAnsi="宋体" w:eastAsia="宋体" w:cs="仿宋"/>
                <w:color w:val="auto"/>
                <w:kern w:val="2"/>
                <w:szCs w:val="21"/>
                <w:highlight w:val="none"/>
                <w:lang w:bidi="ar"/>
              </w:rPr>
              <w:t>施工组织方案与技术措施</w:t>
            </w:r>
            <w:r>
              <w:rPr>
                <w:rFonts w:hint="eastAsia" w:ascii="宋体" w:hAnsi="宋体" w:eastAsia="宋体" w:cs="仿宋"/>
                <w:color w:val="auto"/>
                <w:szCs w:val="21"/>
                <w:highlight w:val="none"/>
                <w:lang w:bidi="ar"/>
              </w:rPr>
              <w:t>(</w:t>
            </w:r>
            <w:r>
              <w:rPr>
                <w:rFonts w:hint="eastAsia" w:ascii="宋体" w:hAnsi="宋体" w:cs="仿宋"/>
                <w:color w:val="auto"/>
                <w:szCs w:val="21"/>
                <w:highlight w:val="none"/>
                <w:lang w:val="en-US" w:eastAsia="zh-CN" w:bidi="ar"/>
              </w:rPr>
              <w:t>4</w:t>
            </w:r>
            <w:r>
              <w:rPr>
                <w:rFonts w:hint="eastAsia" w:ascii="宋体" w:hAnsi="宋体" w:eastAsia="宋体" w:cs="仿宋"/>
                <w:color w:val="auto"/>
                <w:szCs w:val="21"/>
                <w:highlight w:val="none"/>
                <w:lang w:bidi="ar"/>
              </w:rPr>
              <w:t>分)</w:t>
            </w:r>
          </w:p>
        </w:tc>
        <w:tc>
          <w:tcPr>
            <w:tcW w:w="1005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B20699">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优：有施工总体部署和平面布置方案、施工组织方案及施工方法、保障工程质量、工期和施工安全生产的技术措施</w:t>
            </w:r>
            <w:r>
              <w:rPr>
                <w:rFonts w:hint="eastAsia" w:ascii="宋体" w:hAnsi="宋体" w:cs="仿宋"/>
                <w:color w:val="auto"/>
                <w:szCs w:val="21"/>
                <w:highlight w:val="none"/>
                <w:lang w:eastAsia="zh-CN"/>
              </w:rPr>
              <w:t>，</w:t>
            </w:r>
            <w:r>
              <w:rPr>
                <w:rFonts w:hint="eastAsia" w:ascii="宋体" w:hAnsi="宋体" w:cs="仿宋"/>
                <w:color w:val="auto"/>
                <w:szCs w:val="21"/>
                <w:highlight w:val="none"/>
              </w:rPr>
              <w:t>得</w:t>
            </w:r>
            <w:r>
              <w:rPr>
                <w:rFonts w:hint="eastAsia" w:ascii="宋体" w:hAnsi="宋体" w:cs="仿宋"/>
                <w:color w:val="auto"/>
                <w:szCs w:val="21"/>
                <w:highlight w:val="none"/>
                <w:lang w:val="en-US" w:eastAsia="zh-CN"/>
              </w:rPr>
              <w:t>4</w:t>
            </w:r>
            <w:r>
              <w:rPr>
                <w:rFonts w:hint="eastAsia" w:ascii="宋体" w:hAnsi="宋体" w:cs="仿宋"/>
                <w:color w:val="auto"/>
                <w:szCs w:val="21"/>
                <w:highlight w:val="none"/>
              </w:rPr>
              <w:t>分。</w:t>
            </w:r>
          </w:p>
          <w:p w14:paraId="166E9345">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良：有施工总体部署和平面布置方案/施工组织方案及施工方法/保障工程质量、工期和施工安全生产的技术措施当中两项</w:t>
            </w:r>
            <w:r>
              <w:rPr>
                <w:rFonts w:hint="eastAsia" w:ascii="宋体" w:hAnsi="宋体" w:cs="仿宋"/>
                <w:color w:val="auto"/>
                <w:szCs w:val="21"/>
                <w:highlight w:val="none"/>
                <w:lang w:eastAsia="zh-CN"/>
              </w:rPr>
              <w:t>，</w:t>
            </w:r>
            <w:r>
              <w:rPr>
                <w:rFonts w:hint="eastAsia" w:ascii="宋体" w:hAnsi="宋体" w:cs="仿宋"/>
                <w:color w:val="auto"/>
                <w:szCs w:val="21"/>
                <w:highlight w:val="none"/>
              </w:rPr>
              <w:t>得</w:t>
            </w:r>
            <w:r>
              <w:rPr>
                <w:rFonts w:hint="eastAsia" w:ascii="宋体" w:hAnsi="宋体" w:cs="仿宋"/>
                <w:color w:val="auto"/>
                <w:szCs w:val="21"/>
                <w:highlight w:val="none"/>
                <w:lang w:val="en-US" w:eastAsia="zh-CN"/>
              </w:rPr>
              <w:t>2</w:t>
            </w:r>
            <w:r>
              <w:rPr>
                <w:rFonts w:hint="eastAsia" w:ascii="宋体" w:hAnsi="宋体" w:cs="仿宋"/>
                <w:color w:val="auto"/>
                <w:szCs w:val="21"/>
                <w:highlight w:val="none"/>
              </w:rPr>
              <w:t>分。</w:t>
            </w:r>
          </w:p>
          <w:p w14:paraId="75169149">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中：仅有施工总体部署和平面布置方案/施工组织方案及施工方法/保障工程质量、工期和施工安全生产的技术措施当中一项</w:t>
            </w:r>
            <w:r>
              <w:rPr>
                <w:rFonts w:hint="eastAsia" w:ascii="宋体" w:hAnsi="宋体" w:cs="仿宋"/>
                <w:color w:val="auto"/>
                <w:szCs w:val="21"/>
                <w:highlight w:val="none"/>
                <w:lang w:eastAsia="zh-CN"/>
              </w:rPr>
              <w:t>，</w:t>
            </w:r>
            <w:r>
              <w:rPr>
                <w:rFonts w:hint="eastAsia" w:ascii="宋体" w:hAnsi="宋体" w:cs="仿宋"/>
                <w:color w:val="auto"/>
                <w:szCs w:val="21"/>
                <w:highlight w:val="none"/>
              </w:rPr>
              <w:t>得</w:t>
            </w:r>
            <w:r>
              <w:rPr>
                <w:rFonts w:hint="eastAsia" w:ascii="宋体" w:hAnsi="宋体" w:cs="仿宋"/>
                <w:color w:val="auto"/>
                <w:szCs w:val="21"/>
                <w:highlight w:val="none"/>
                <w:lang w:val="en-US" w:eastAsia="zh-CN"/>
              </w:rPr>
              <w:t>1</w:t>
            </w:r>
            <w:r>
              <w:rPr>
                <w:rFonts w:hint="eastAsia" w:ascii="宋体" w:hAnsi="宋体" w:cs="仿宋"/>
                <w:color w:val="auto"/>
                <w:szCs w:val="21"/>
                <w:highlight w:val="none"/>
              </w:rPr>
              <w:t>分。</w:t>
            </w:r>
          </w:p>
          <w:p w14:paraId="22C3D268">
            <w:pPr>
              <w:keepNext w:val="0"/>
              <w:keepLines w:val="0"/>
              <w:suppressLineNumbers w:val="0"/>
              <w:snapToGrid w:val="0"/>
              <w:spacing w:before="0" w:beforeAutospacing="0" w:after="0" w:afterAutospacing="0"/>
              <w:ind w:left="0" w:right="0"/>
              <w:rPr>
                <w:rFonts w:hint="eastAsia" w:ascii="宋体" w:hAnsi="宋体" w:cs="仿宋"/>
                <w:color w:val="auto"/>
                <w:kern w:val="2"/>
                <w:sz w:val="21"/>
                <w:szCs w:val="21"/>
                <w:highlight w:val="none"/>
                <w:lang w:val="en-US" w:eastAsia="zh-CN" w:bidi="ar-SA"/>
              </w:rPr>
            </w:pPr>
            <w:r>
              <w:rPr>
                <w:rFonts w:hint="eastAsia" w:ascii="宋体" w:hAnsi="宋体" w:cs="仿宋"/>
                <w:color w:val="auto"/>
                <w:sz w:val="21"/>
                <w:szCs w:val="21"/>
                <w:highlight w:val="none"/>
                <w:lang w:val="en-US" w:eastAsia="zh-CN" w:bidi="ar-SA"/>
              </w:rPr>
              <w:t>差：不满足前述要求者，不得分。</w:t>
            </w:r>
          </w:p>
        </w:tc>
      </w:tr>
      <w:tr w14:paraId="20279A97">
        <w:tblPrEx>
          <w:shd w:val="clear" w:color="auto" w:fill="auto"/>
          <w:tblCellMar>
            <w:top w:w="0" w:type="dxa"/>
            <w:left w:w="108" w:type="dxa"/>
            <w:bottom w:w="0" w:type="dxa"/>
            <w:right w:w="108" w:type="dxa"/>
          </w:tblCellMar>
        </w:tblPrEx>
        <w:trPr>
          <w:trHeight w:val="426" w:hRule="atLeast"/>
        </w:trPr>
        <w:tc>
          <w:tcPr>
            <w:tcW w:w="1214" w:type="dxa"/>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5E1C01C6">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kern w:val="0"/>
                <w:szCs w:val="21"/>
                <w:highlight w:val="none"/>
                <w:lang w:bidi="ar"/>
              </w:rPr>
            </w:pPr>
            <w:r>
              <w:rPr>
                <w:rFonts w:hint="eastAsia" w:ascii="宋体" w:hAnsi="宋体" w:cs="仿宋"/>
                <w:b/>
                <w:bCs/>
                <w:color w:val="auto"/>
                <w:kern w:val="0"/>
                <w:szCs w:val="21"/>
                <w:highlight w:val="none"/>
                <w:lang w:bidi="ar"/>
              </w:rPr>
              <w:t>3</w:t>
            </w: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3F455B">
            <w:pPr>
              <w:keepNext w:val="0"/>
              <w:keepLines w:val="0"/>
              <w:suppressLineNumbers w:val="0"/>
              <w:spacing w:before="0" w:beforeAutospacing="0" w:after="0" w:afterAutospacing="0"/>
              <w:ind w:left="0" w:right="0"/>
              <w:jc w:val="center"/>
              <w:rPr>
                <w:rFonts w:hint="eastAsia" w:ascii="宋体" w:hAnsi="宋体" w:cs="仿宋"/>
                <w:color w:val="auto"/>
                <w:szCs w:val="21"/>
                <w:highlight w:val="none"/>
              </w:rPr>
            </w:pPr>
          </w:p>
        </w:tc>
        <w:tc>
          <w:tcPr>
            <w:tcW w:w="2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76D6C2">
            <w:pPr>
              <w:keepNext w:val="0"/>
              <w:keepLines w:val="0"/>
              <w:suppressLineNumbers w:val="0"/>
              <w:tabs>
                <w:tab w:val="left" w:pos="360"/>
              </w:tabs>
              <w:snapToGrid w:val="0"/>
              <w:spacing w:before="0" w:beforeAutospacing="0" w:after="0" w:afterAutospacing="0" w:line="360" w:lineRule="auto"/>
              <w:ind w:left="0" w:leftChars="0" w:right="0" w:rightChars="0"/>
              <w:jc w:val="center"/>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Cs w:val="21"/>
                <w:highlight w:val="none"/>
                <w:shd w:val="clear"/>
              </w:rPr>
              <w:t>进度控制措施</w:t>
            </w:r>
            <w:r>
              <w:rPr>
                <w:rFonts w:hint="eastAsia" w:ascii="宋体" w:hAnsi="宋体" w:eastAsia="宋体" w:cs="仿宋"/>
                <w:color w:val="auto"/>
                <w:szCs w:val="21"/>
                <w:highlight w:val="none"/>
                <w:lang w:bidi="ar"/>
              </w:rPr>
              <w:t>(</w:t>
            </w:r>
            <w:r>
              <w:rPr>
                <w:rFonts w:hint="eastAsia" w:ascii="宋体" w:hAnsi="宋体" w:cs="仿宋"/>
                <w:color w:val="auto"/>
                <w:szCs w:val="21"/>
                <w:highlight w:val="none"/>
                <w:lang w:val="en-US" w:eastAsia="zh-CN" w:bidi="ar"/>
              </w:rPr>
              <w:t>4</w:t>
            </w:r>
            <w:r>
              <w:rPr>
                <w:rFonts w:hint="eastAsia" w:ascii="宋体" w:hAnsi="宋体" w:eastAsia="宋体" w:cs="仿宋"/>
                <w:color w:val="auto"/>
                <w:szCs w:val="21"/>
                <w:highlight w:val="none"/>
                <w:lang w:bidi="ar"/>
              </w:rPr>
              <w:t>分)</w:t>
            </w:r>
          </w:p>
        </w:tc>
        <w:tc>
          <w:tcPr>
            <w:tcW w:w="1005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C40EEEB">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bookmarkStart w:id="155" w:name="OLE_LINK146"/>
            <w:r>
              <w:rPr>
                <w:rFonts w:hint="eastAsia" w:ascii="宋体" w:hAnsi="宋体" w:cs="仿宋"/>
                <w:color w:val="auto"/>
                <w:szCs w:val="21"/>
                <w:highlight w:val="none"/>
              </w:rPr>
              <w:t>优：制定了施工进度计划并有进度计划保证措施，施工工期计划目标对比招标文件要求提前30天（不含30天）以上完工，得</w:t>
            </w:r>
            <w:r>
              <w:rPr>
                <w:rFonts w:hint="eastAsia" w:ascii="宋体" w:hAnsi="宋体" w:cs="仿宋"/>
                <w:color w:val="auto"/>
                <w:szCs w:val="21"/>
                <w:highlight w:val="none"/>
                <w:lang w:val="en-US" w:eastAsia="zh-CN"/>
              </w:rPr>
              <w:t>4</w:t>
            </w:r>
            <w:r>
              <w:rPr>
                <w:rFonts w:hint="eastAsia" w:ascii="宋体" w:hAnsi="宋体" w:cs="仿宋"/>
                <w:color w:val="auto"/>
                <w:szCs w:val="21"/>
                <w:highlight w:val="none"/>
              </w:rPr>
              <w:t>分。</w:t>
            </w:r>
          </w:p>
          <w:p w14:paraId="09411771">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良：制定了施工进度计划并有进度计划保证措施，施工工期计划目标对比招标文件要求提前15至30天完工，得</w:t>
            </w:r>
            <w:r>
              <w:rPr>
                <w:rFonts w:hint="eastAsia" w:ascii="宋体" w:hAnsi="宋体" w:cs="仿宋"/>
                <w:color w:val="auto"/>
                <w:szCs w:val="21"/>
                <w:highlight w:val="none"/>
                <w:lang w:val="en-US" w:eastAsia="zh-CN"/>
              </w:rPr>
              <w:t>2</w:t>
            </w:r>
            <w:r>
              <w:rPr>
                <w:rFonts w:hint="eastAsia" w:ascii="宋体" w:hAnsi="宋体" w:cs="仿宋"/>
                <w:color w:val="auto"/>
                <w:szCs w:val="21"/>
                <w:highlight w:val="none"/>
              </w:rPr>
              <w:t>分。</w:t>
            </w:r>
          </w:p>
          <w:p w14:paraId="6EE13399">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中：制定了施工进度计划并有进度计划保证措施，施工工期计划目标符合招标文件要求，得</w:t>
            </w:r>
            <w:r>
              <w:rPr>
                <w:rFonts w:hint="eastAsia" w:ascii="宋体" w:hAnsi="宋体" w:cs="仿宋"/>
                <w:color w:val="auto"/>
                <w:szCs w:val="21"/>
                <w:highlight w:val="none"/>
                <w:lang w:val="en-US" w:eastAsia="zh-CN"/>
              </w:rPr>
              <w:t>1</w:t>
            </w:r>
            <w:r>
              <w:rPr>
                <w:rFonts w:hint="eastAsia" w:ascii="宋体" w:hAnsi="宋体" w:cs="仿宋"/>
                <w:color w:val="auto"/>
                <w:szCs w:val="21"/>
                <w:highlight w:val="none"/>
              </w:rPr>
              <w:t>分。</w:t>
            </w:r>
          </w:p>
          <w:p w14:paraId="46D62628">
            <w:pPr>
              <w:keepNext w:val="0"/>
              <w:keepLines w:val="0"/>
              <w:suppressLineNumbers w:val="0"/>
              <w:tabs>
                <w:tab w:val="left" w:pos="360"/>
              </w:tabs>
              <w:snapToGrid w:val="0"/>
              <w:spacing w:before="0" w:beforeAutospacing="0" w:after="0" w:afterAutospacing="0" w:line="360" w:lineRule="auto"/>
              <w:ind w:left="0" w:leftChars="0" w:right="0" w:rightChars="0"/>
              <w:jc w:val="left"/>
              <w:rPr>
                <w:rFonts w:hint="eastAsia" w:ascii="宋体" w:hAnsi="宋体" w:cs="仿宋"/>
                <w:color w:val="auto"/>
                <w:kern w:val="2"/>
                <w:sz w:val="21"/>
                <w:szCs w:val="21"/>
                <w:highlight w:val="none"/>
                <w:lang w:val="en-US" w:eastAsia="zh-CN" w:bidi="ar-SA"/>
              </w:rPr>
            </w:pPr>
            <w:r>
              <w:rPr>
                <w:rFonts w:hint="eastAsia" w:ascii="宋体" w:hAnsi="宋体" w:cs="仿宋"/>
                <w:color w:val="auto"/>
                <w:szCs w:val="21"/>
                <w:highlight w:val="none"/>
              </w:rPr>
              <w:t>差：</w:t>
            </w:r>
            <w:r>
              <w:rPr>
                <w:rFonts w:hint="default" w:ascii="宋体" w:hAnsi="宋体" w:cs="仿宋"/>
                <w:color w:val="auto"/>
                <w:szCs w:val="21"/>
                <w:highlight w:val="none"/>
              </w:rPr>
              <w:t>无施工进度计划和进度计划保证措施</w:t>
            </w:r>
            <w:r>
              <w:rPr>
                <w:rFonts w:hint="eastAsia" w:ascii="宋体" w:hAnsi="宋体" w:cs="仿宋"/>
                <w:color w:val="auto"/>
                <w:szCs w:val="21"/>
                <w:highlight w:val="none"/>
              </w:rPr>
              <w:t>不得分</w:t>
            </w:r>
            <w:r>
              <w:rPr>
                <w:rFonts w:hint="default" w:ascii="宋体" w:hAnsi="宋体" w:cs="仿宋"/>
                <w:color w:val="auto"/>
                <w:szCs w:val="21"/>
                <w:highlight w:val="none"/>
              </w:rPr>
              <w:t>。</w:t>
            </w:r>
            <w:bookmarkEnd w:id="155"/>
          </w:p>
        </w:tc>
      </w:tr>
      <w:tr w14:paraId="70149CF8">
        <w:tblPrEx>
          <w:shd w:val="clear" w:color="auto" w:fill="auto"/>
          <w:tblCellMar>
            <w:top w:w="0" w:type="dxa"/>
            <w:left w:w="108" w:type="dxa"/>
            <w:bottom w:w="0" w:type="dxa"/>
            <w:right w:w="108" w:type="dxa"/>
          </w:tblCellMar>
        </w:tblPrEx>
        <w:trPr>
          <w:trHeight w:val="386" w:hRule="atLeast"/>
        </w:trPr>
        <w:tc>
          <w:tcPr>
            <w:tcW w:w="1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7AB27">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kern w:val="0"/>
                <w:szCs w:val="21"/>
                <w:highlight w:val="none"/>
                <w:lang w:bidi="ar"/>
              </w:rPr>
            </w:pPr>
            <w:r>
              <w:rPr>
                <w:rFonts w:hint="eastAsia" w:ascii="宋体" w:hAnsi="宋体" w:cs="仿宋"/>
                <w:b/>
                <w:bCs/>
                <w:color w:val="auto"/>
                <w:kern w:val="0"/>
                <w:szCs w:val="21"/>
                <w:highlight w:val="none"/>
                <w:lang w:bidi="ar"/>
              </w:rPr>
              <w:t>4</w:t>
            </w: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4EE5FAF">
            <w:pPr>
              <w:keepNext w:val="0"/>
              <w:keepLines w:val="0"/>
              <w:suppressLineNumbers w:val="0"/>
              <w:spacing w:before="0" w:beforeAutospacing="0" w:after="0" w:afterAutospacing="0"/>
              <w:ind w:left="0" w:right="0"/>
              <w:jc w:val="center"/>
              <w:rPr>
                <w:rFonts w:hint="eastAsia" w:ascii="宋体" w:hAnsi="宋体" w:cs="仿宋"/>
                <w:color w:val="auto"/>
                <w:szCs w:val="21"/>
                <w:highlight w:val="none"/>
              </w:rPr>
            </w:pPr>
          </w:p>
        </w:tc>
        <w:tc>
          <w:tcPr>
            <w:tcW w:w="2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1C000">
            <w:pPr>
              <w:keepNext w:val="0"/>
              <w:keepLines w:val="0"/>
              <w:suppressLineNumbers w:val="0"/>
              <w:tabs>
                <w:tab w:val="left" w:pos="360"/>
              </w:tabs>
              <w:snapToGrid w:val="0"/>
              <w:spacing w:before="0" w:beforeAutospacing="0" w:after="0" w:afterAutospacing="0" w:line="360" w:lineRule="auto"/>
              <w:ind w:left="0" w:right="0"/>
              <w:jc w:val="center"/>
              <w:rPr>
                <w:rFonts w:hint="default" w:ascii="宋体" w:hAnsi="宋体" w:eastAsia="宋体" w:cs="仿宋"/>
                <w:color w:val="auto"/>
                <w:sz w:val="21"/>
                <w:szCs w:val="21"/>
                <w:highlight w:val="none"/>
                <w:lang w:val="en-US" w:eastAsia="zh-CN"/>
              </w:rPr>
            </w:pPr>
            <w:r>
              <w:rPr>
                <w:rFonts w:hint="eastAsia" w:ascii="宋体" w:hAnsi="宋体" w:eastAsia="宋体" w:cs="仿宋"/>
                <w:color w:val="auto"/>
                <w:kern w:val="2"/>
                <w:szCs w:val="21"/>
                <w:highlight w:val="none"/>
                <w:shd w:val="clear"/>
              </w:rPr>
              <w:t>质量控制措施及质量标准</w:t>
            </w:r>
            <w:r>
              <w:rPr>
                <w:rFonts w:hint="eastAsia" w:ascii="宋体" w:hAnsi="宋体" w:eastAsia="宋体" w:cs="仿宋"/>
                <w:color w:val="auto"/>
                <w:szCs w:val="21"/>
                <w:highlight w:val="none"/>
                <w:lang w:bidi="ar"/>
              </w:rPr>
              <w:t>(</w:t>
            </w:r>
            <w:r>
              <w:rPr>
                <w:rFonts w:hint="eastAsia" w:ascii="宋体" w:hAnsi="宋体" w:cs="仿宋"/>
                <w:color w:val="auto"/>
                <w:szCs w:val="21"/>
                <w:highlight w:val="none"/>
                <w:lang w:val="en-US" w:eastAsia="zh-CN" w:bidi="ar"/>
              </w:rPr>
              <w:t>4</w:t>
            </w:r>
            <w:r>
              <w:rPr>
                <w:rFonts w:hint="eastAsia" w:ascii="宋体" w:hAnsi="宋体" w:eastAsia="宋体" w:cs="仿宋"/>
                <w:color w:val="auto"/>
                <w:szCs w:val="21"/>
                <w:highlight w:val="none"/>
                <w:lang w:bidi="ar"/>
              </w:rPr>
              <w:t>分)</w:t>
            </w:r>
          </w:p>
        </w:tc>
        <w:tc>
          <w:tcPr>
            <w:tcW w:w="1005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165140">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优：有施工质量目标，材料选用及进场质量验收措施，有各施工工艺质量保证措施及施工组织管理质量保证措施得</w:t>
            </w:r>
            <w:r>
              <w:rPr>
                <w:rFonts w:hint="eastAsia" w:ascii="宋体" w:hAnsi="宋体" w:cs="仿宋"/>
                <w:color w:val="auto"/>
                <w:szCs w:val="21"/>
                <w:highlight w:val="none"/>
                <w:lang w:val="en-US" w:eastAsia="zh-CN"/>
              </w:rPr>
              <w:t>4</w:t>
            </w:r>
            <w:r>
              <w:rPr>
                <w:rFonts w:hint="eastAsia" w:ascii="宋体" w:hAnsi="宋体" w:cs="仿宋"/>
                <w:color w:val="auto"/>
                <w:szCs w:val="21"/>
                <w:highlight w:val="none"/>
              </w:rPr>
              <w:t>分。</w:t>
            </w:r>
          </w:p>
          <w:p w14:paraId="7BFDFB52">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良：有施工质量目标，材料选用及进场质量验收措施，有各施工工艺质量保证措施，得</w:t>
            </w:r>
            <w:r>
              <w:rPr>
                <w:rFonts w:hint="eastAsia" w:ascii="宋体" w:hAnsi="宋体" w:cs="仿宋"/>
                <w:color w:val="auto"/>
                <w:szCs w:val="21"/>
                <w:highlight w:val="none"/>
                <w:lang w:val="en-US" w:eastAsia="zh-CN"/>
              </w:rPr>
              <w:t>2</w:t>
            </w:r>
            <w:r>
              <w:rPr>
                <w:rFonts w:hint="eastAsia" w:ascii="宋体" w:hAnsi="宋体" w:cs="仿宋"/>
                <w:color w:val="auto"/>
                <w:szCs w:val="21"/>
                <w:highlight w:val="none"/>
              </w:rPr>
              <w:t>分。</w:t>
            </w:r>
          </w:p>
          <w:p w14:paraId="242717B0">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中：有施工质量目标，有各施工工艺质量保证措施，得</w:t>
            </w:r>
            <w:r>
              <w:rPr>
                <w:rFonts w:hint="eastAsia" w:ascii="宋体" w:hAnsi="宋体" w:cs="仿宋"/>
                <w:color w:val="auto"/>
                <w:szCs w:val="21"/>
                <w:highlight w:val="none"/>
                <w:lang w:val="en-US" w:eastAsia="zh-CN"/>
              </w:rPr>
              <w:t>1</w:t>
            </w:r>
            <w:r>
              <w:rPr>
                <w:rFonts w:hint="eastAsia" w:ascii="宋体" w:hAnsi="宋体" w:cs="仿宋"/>
                <w:color w:val="auto"/>
                <w:szCs w:val="21"/>
                <w:highlight w:val="none"/>
              </w:rPr>
              <w:t>分。</w:t>
            </w:r>
          </w:p>
          <w:p w14:paraId="65797C9C">
            <w:pPr>
              <w:keepNext w:val="0"/>
              <w:keepLines w:val="0"/>
              <w:suppressLineNumbers w:val="0"/>
              <w:tabs>
                <w:tab w:val="left" w:pos="360"/>
              </w:tabs>
              <w:snapToGrid w:val="0"/>
              <w:spacing w:before="0" w:beforeAutospacing="0" w:after="0" w:afterAutospacing="0" w:line="360" w:lineRule="auto"/>
              <w:ind w:left="0" w:leftChars="0" w:right="0" w:rightChars="0"/>
              <w:jc w:val="left"/>
              <w:rPr>
                <w:rFonts w:hint="eastAsia" w:ascii="宋体" w:hAnsi="宋体" w:cs="仿宋"/>
                <w:color w:val="auto"/>
                <w:kern w:val="2"/>
                <w:sz w:val="21"/>
                <w:szCs w:val="21"/>
                <w:highlight w:val="none"/>
                <w:lang w:val="en-US" w:eastAsia="zh-CN" w:bidi="ar-SA"/>
              </w:rPr>
            </w:pPr>
            <w:r>
              <w:rPr>
                <w:rFonts w:hint="eastAsia" w:ascii="宋体" w:hAnsi="宋体" w:cs="仿宋"/>
                <w:color w:val="auto"/>
                <w:szCs w:val="21"/>
                <w:highlight w:val="none"/>
              </w:rPr>
              <w:t>差：不满足前述要求者，不得分。</w:t>
            </w:r>
          </w:p>
        </w:tc>
      </w:tr>
      <w:tr w14:paraId="0F079558">
        <w:tblPrEx>
          <w:shd w:val="clear" w:color="auto" w:fill="auto"/>
          <w:tblCellMar>
            <w:top w:w="0" w:type="dxa"/>
            <w:left w:w="108" w:type="dxa"/>
            <w:bottom w:w="0" w:type="dxa"/>
            <w:right w:w="108" w:type="dxa"/>
          </w:tblCellMar>
        </w:tblPrEx>
        <w:trPr>
          <w:trHeight w:val="426" w:hRule="atLeast"/>
        </w:trPr>
        <w:tc>
          <w:tcPr>
            <w:tcW w:w="1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47DDA">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kern w:val="0"/>
                <w:szCs w:val="21"/>
                <w:highlight w:val="none"/>
                <w:lang w:bidi="ar"/>
              </w:rPr>
            </w:pPr>
            <w:r>
              <w:rPr>
                <w:rFonts w:hint="eastAsia" w:ascii="宋体" w:hAnsi="宋体" w:cs="仿宋"/>
                <w:b/>
                <w:bCs/>
                <w:color w:val="auto"/>
                <w:kern w:val="0"/>
                <w:szCs w:val="21"/>
                <w:highlight w:val="none"/>
                <w:lang w:bidi="ar"/>
              </w:rPr>
              <w:t>5</w:t>
            </w: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E74F50">
            <w:pPr>
              <w:keepNext w:val="0"/>
              <w:keepLines w:val="0"/>
              <w:suppressLineNumbers w:val="0"/>
              <w:spacing w:before="0" w:beforeAutospacing="0" w:after="0" w:afterAutospacing="0"/>
              <w:ind w:left="0" w:right="0"/>
              <w:jc w:val="center"/>
              <w:rPr>
                <w:rFonts w:hint="eastAsia" w:ascii="宋体" w:hAnsi="宋体" w:cs="仿宋"/>
                <w:color w:val="auto"/>
                <w:szCs w:val="21"/>
                <w:highlight w:val="none"/>
              </w:rPr>
            </w:pPr>
          </w:p>
        </w:tc>
        <w:tc>
          <w:tcPr>
            <w:tcW w:w="2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92A83">
            <w:pPr>
              <w:keepNext w:val="0"/>
              <w:keepLines w:val="0"/>
              <w:suppressLineNumbers w:val="0"/>
              <w:tabs>
                <w:tab w:val="left" w:pos="360"/>
              </w:tabs>
              <w:snapToGrid w:val="0"/>
              <w:spacing w:before="0" w:beforeAutospacing="0" w:after="0" w:afterAutospacing="0" w:line="360" w:lineRule="auto"/>
              <w:ind w:left="0" w:right="0"/>
              <w:jc w:val="center"/>
              <w:rPr>
                <w:rFonts w:hint="default" w:ascii="宋体" w:hAnsi="宋体" w:eastAsia="宋体" w:cs="仿宋"/>
                <w:color w:val="auto"/>
                <w:sz w:val="21"/>
                <w:szCs w:val="21"/>
                <w:highlight w:val="none"/>
              </w:rPr>
            </w:pPr>
            <w:bookmarkStart w:id="156" w:name="OLE_LINK89"/>
            <w:r>
              <w:rPr>
                <w:rFonts w:hint="eastAsia" w:ascii="宋体" w:hAnsi="宋体" w:eastAsia="宋体" w:cs="仿宋"/>
                <w:color w:val="auto"/>
                <w:kern w:val="2"/>
                <w:szCs w:val="21"/>
                <w:highlight w:val="none"/>
                <w:shd w:val="clear"/>
              </w:rPr>
              <w:t>安全文明施工措施</w:t>
            </w:r>
            <w:r>
              <w:rPr>
                <w:rFonts w:hint="eastAsia" w:ascii="宋体" w:hAnsi="宋体" w:eastAsia="宋体" w:cs="仿宋"/>
                <w:color w:val="auto"/>
                <w:szCs w:val="21"/>
                <w:highlight w:val="none"/>
                <w:lang w:bidi="ar"/>
              </w:rPr>
              <w:t>(</w:t>
            </w:r>
            <w:r>
              <w:rPr>
                <w:rFonts w:hint="eastAsia" w:ascii="宋体" w:hAnsi="宋体" w:cs="仿宋"/>
                <w:color w:val="auto"/>
                <w:szCs w:val="21"/>
                <w:highlight w:val="none"/>
                <w:lang w:val="en-US" w:eastAsia="zh-CN" w:bidi="ar"/>
              </w:rPr>
              <w:t>4</w:t>
            </w:r>
            <w:r>
              <w:rPr>
                <w:rFonts w:hint="eastAsia" w:ascii="宋体" w:hAnsi="宋体" w:eastAsia="宋体" w:cs="仿宋"/>
                <w:color w:val="auto"/>
                <w:szCs w:val="21"/>
                <w:highlight w:val="none"/>
                <w:lang w:bidi="ar"/>
              </w:rPr>
              <w:t>分)</w:t>
            </w:r>
            <w:bookmarkEnd w:id="156"/>
          </w:p>
        </w:tc>
        <w:tc>
          <w:tcPr>
            <w:tcW w:w="1005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086C04">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eastAsia="宋体" w:cs="仿宋"/>
                <w:color w:val="auto"/>
                <w:szCs w:val="21"/>
                <w:highlight w:val="none"/>
                <w:lang w:eastAsia="zh-CN"/>
              </w:rPr>
            </w:pPr>
            <w:bookmarkStart w:id="157" w:name="OLE_LINK79"/>
            <w:r>
              <w:rPr>
                <w:rFonts w:hint="eastAsia" w:ascii="宋体" w:hAnsi="宋体" w:cs="仿宋"/>
                <w:color w:val="auto"/>
                <w:szCs w:val="21"/>
                <w:highlight w:val="none"/>
                <w:lang w:eastAsia="zh-CN"/>
              </w:rPr>
              <w:t>优：安全文明施工</w:t>
            </w:r>
            <w:r>
              <w:rPr>
                <w:rFonts w:hint="eastAsia" w:ascii="宋体" w:hAnsi="宋体" w:cs="仿宋"/>
                <w:color w:val="auto"/>
                <w:szCs w:val="21"/>
                <w:highlight w:val="none"/>
                <w:lang w:val="en-US" w:eastAsia="zh-CN"/>
              </w:rPr>
              <w:t>措施</w:t>
            </w:r>
            <w:r>
              <w:rPr>
                <w:rFonts w:hint="eastAsia" w:ascii="宋体" w:hAnsi="宋体" w:cs="仿宋"/>
                <w:color w:val="auto"/>
                <w:szCs w:val="21"/>
                <w:highlight w:val="none"/>
                <w:lang w:eastAsia="zh-CN"/>
              </w:rPr>
              <w:t>符合</w:t>
            </w:r>
            <w:r>
              <w:rPr>
                <w:rFonts w:hint="eastAsia" w:ascii="宋体" w:hAnsi="宋体" w:cs="仿宋"/>
                <w:color w:val="auto"/>
                <w:szCs w:val="21"/>
                <w:highlight w:val="none"/>
                <w:lang w:val="en-US" w:eastAsia="zh-CN"/>
              </w:rPr>
              <w:t>当地现行规范</w:t>
            </w:r>
            <w:r>
              <w:rPr>
                <w:rFonts w:hint="eastAsia" w:ascii="宋体" w:hAnsi="宋体" w:cs="仿宋"/>
                <w:color w:val="auto"/>
                <w:szCs w:val="21"/>
                <w:highlight w:val="none"/>
                <w:lang w:eastAsia="zh-CN"/>
              </w:rPr>
              <w:t>要求，具备完善的安全文明施工管理体系、安全文明施工保证措施及突发事件应急预案，得</w:t>
            </w:r>
            <w:r>
              <w:rPr>
                <w:rFonts w:hint="eastAsia" w:ascii="宋体" w:hAnsi="宋体" w:cs="仿宋"/>
                <w:color w:val="auto"/>
                <w:szCs w:val="21"/>
                <w:highlight w:val="none"/>
                <w:lang w:val="en-US" w:eastAsia="zh-CN"/>
              </w:rPr>
              <w:t>4分。</w:t>
            </w:r>
          </w:p>
          <w:p w14:paraId="7123FDE6">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eastAsia="zh-CN"/>
              </w:rPr>
              <w:t>良：安全文明施工</w:t>
            </w:r>
            <w:r>
              <w:rPr>
                <w:rFonts w:hint="eastAsia" w:ascii="宋体" w:hAnsi="宋体" w:cs="仿宋"/>
                <w:color w:val="auto"/>
                <w:szCs w:val="21"/>
                <w:highlight w:val="none"/>
                <w:lang w:val="en-US" w:eastAsia="zh-CN"/>
              </w:rPr>
              <w:t>措施</w:t>
            </w:r>
            <w:r>
              <w:rPr>
                <w:rFonts w:hint="eastAsia" w:ascii="宋体" w:hAnsi="宋体" w:cs="仿宋"/>
                <w:color w:val="auto"/>
                <w:szCs w:val="21"/>
                <w:highlight w:val="none"/>
                <w:lang w:eastAsia="zh-CN"/>
              </w:rPr>
              <w:t>符合</w:t>
            </w:r>
            <w:r>
              <w:rPr>
                <w:rFonts w:hint="eastAsia" w:ascii="宋体" w:hAnsi="宋体" w:cs="仿宋"/>
                <w:color w:val="auto"/>
                <w:szCs w:val="21"/>
                <w:highlight w:val="none"/>
                <w:lang w:val="en-US" w:eastAsia="zh-CN"/>
              </w:rPr>
              <w:t>当地现行规范</w:t>
            </w:r>
            <w:r>
              <w:rPr>
                <w:rFonts w:hint="eastAsia" w:ascii="宋体" w:hAnsi="宋体" w:cs="仿宋"/>
                <w:color w:val="auto"/>
                <w:szCs w:val="21"/>
                <w:highlight w:val="none"/>
                <w:lang w:eastAsia="zh-CN"/>
              </w:rPr>
              <w:t>要求，具备安全文明施工管理体系、安全文明施工保证措施及突发事件应急预案</w:t>
            </w:r>
            <w:r>
              <w:rPr>
                <w:rFonts w:hint="eastAsia" w:ascii="宋体" w:hAnsi="宋体" w:cs="仿宋"/>
                <w:color w:val="auto"/>
                <w:szCs w:val="21"/>
                <w:highlight w:val="none"/>
                <w:lang w:val="en-US" w:eastAsia="zh-CN"/>
              </w:rPr>
              <w:t>其中两项</w:t>
            </w:r>
            <w:r>
              <w:rPr>
                <w:rFonts w:hint="eastAsia" w:ascii="宋体" w:hAnsi="宋体" w:cs="仿宋"/>
                <w:color w:val="auto"/>
                <w:szCs w:val="21"/>
                <w:highlight w:val="none"/>
                <w:lang w:eastAsia="zh-CN"/>
              </w:rPr>
              <w:t>的，得</w:t>
            </w:r>
            <w:r>
              <w:rPr>
                <w:rFonts w:hint="eastAsia" w:ascii="宋体" w:hAnsi="宋体" w:cs="仿宋"/>
                <w:color w:val="auto"/>
                <w:szCs w:val="21"/>
                <w:highlight w:val="none"/>
                <w:lang w:val="en-US" w:eastAsia="zh-CN"/>
              </w:rPr>
              <w:t>2分。</w:t>
            </w:r>
          </w:p>
          <w:p w14:paraId="4CFC2806">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eastAsia="zh-CN"/>
              </w:rPr>
              <w:t>中：安全文明施工</w:t>
            </w:r>
            <w:r>
              <w:rPr>
                <w:rFonts w:hint="eastAsia" w:ascii="宋体" w:hAnsi="宋体" w:cs="仿宋"/>
                <w:color w:val="auto"/>
                <w:szCs w:val="21"/>
                <w:highlight w:val="none"/>
                <w:lang w:val="en-US" w:eastAsia="zh-CN"/>
              </w:rPr>
              <w:t>措施</w:t>
            </w:r>
            <w:r>
              <w:rPr>
                <w:rFonts w:hint="eastAsia" w:ascii="宋体" w:hAnsi="宋体" w:cs="仿宋"/>
                <w:color w:val="auto"/>
                <w:szCs w:val="21"/>
                <w:highlight w:val="none"/>
                <w:lang w:eastAsia="zh-CN"/>
              </w:rPr>
              <w:t>符合</w:t>
            </w:r>
            <w:r>
              <w:rPr>
                <w:rFonts w:hint="eastAsia" w:ascii="宋体" w:hAnsi="宋体" w:cs="仿宋"/>
                <w:color w:val="auto"/>
                <w:szCs w:val="21"/>
                <w:highlight w:val="none"/>
                <w:lang w:val="en-US" w:eastAsia="zh-CN"/>
              </w:rPr>
              <w:t>当地现行规范</w:t>
            </w:r>
            <w:r>
              <w:rPr>
                <w:rFonts w:hint="eastAsia" w:ascii="宋体" w:hAnsi="宋体" w:cs="仿宋"/>
                <w:color w:val="auto"/>
                <w:szCs w:val="21"/>
                <w:highlight w:val="none"/>
                <w:lang w:eastAsia="zh-CN"/>
              </w:rPr>
              <w:t>要求，</w:t>
            </w:r>
            <w:r>
              <w:rPr>
                <w:rFonts w:hint="eastAsia" w:ascii="宋体" w:hAnsi="宋体" w:cs="仿宋"/>
                <w:color w:val="auto"/>
                <w:szCs w:val="21"/>
                <w:highlight w:val="none"/>
                <w:lang w:val="en-US" w:eastAsia="zh-CN"/>
              </w:rPr>
              <w:t>仅具备</w:t>
            </w:r>
            <w:r>
              <w:rPr>
                <w:rFonts w:hint="eastAsia" w:ascii="宋体" w:hAnsi="宋体" w:cs="仿宋"/>
                <w:color w:val="auto"/>
                <w:szCs w:val="21"/>
                <w:highlight w:val="none"/>
                <w:lang w:eastAsia="zh-CN"/>
              </w:rPr>
              <w:t>安全文明施工管理体系、安全文明施工保证措施及突发事件应急预案</w:t>
            </w:r>
            <w:r>
              <w:rPr>
                <w:rFonts w:hint="eastAsia" w:ascii="宋体" w:hAnsi="宋体" w:cs="仿宋"/>
                <w:color w:val="auto"/>
                <w:szCs w:val="21"/>
                <w:highlight w:val="none"/>
                <w:lang w:val="en-US" w:eastAsia="zh-CN"/>
              </w:rPr>
              <w:t>其中一</w:t>
            </w:r>
            <w:r>
              <w:rPr>
                <w:rFonts w:hint="eastAsia" w:ascii="宋体" w:hAnsi="宋体" w:cs="仿宋"/>
                <w:color w:val="auto"/>
                <w:szCs w:val="21"/>
                <w:highlight w:val="none"/>
                <w:lang w:eastAsia="zh-CN"/>
              </w:rPr>
              <w:t>项的，得</w:t>
            </w:r>
            <w:r>
              <w:rPr>
                <w:rFonts w:hint="eastAsia" w:ascii="宋体" w:hAnsi="宋体" w:cs="仿宋"/>
                <w:color w:val="auto"/>
                <w:szCs w:val="21"/>
                <w:highlight w:val="none"/>
                <w:lang w:val="en-US" w:eastAsia="zh-CN"/>
              </w:rPr>
              <w:t>1分。</w:t>
            </w:r>
          </w:p>
          <w:p w14:paraId="150EA485">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 w:val="21"/>
                <w:szCs w:val="21"/>
                <w:highlight w:val="none"/>
                <w:lang w:val="en-US" w:eastAsia="zh-CN" w:bidi="ar-SA"/>
              </w:rPr>
            </w:pPr>
            <w:r>
              <w:rPr>
                <w:rFonts w:hint="eastAsia" w:ascii="宋体" w:hAnsi="宋体" w:cs="仿宋"/>
                <w:color w:val="auto"/>
                <w:sz w:val="21"/>
                <w:szCs w:val="21"/>
                <w:highlight w:val="none"/>
                <w:lang w:val="en-US" w:eastAsia="zh-CN" w:bidi="ar-SA"/>
              </w:rPr>
              <w:t>差：未能满足上述基本要求的，得0分。</w:t>
            </w:r>
            <w:bookmarkEnd w:id="157"/>
          </w:p>
          <w:p w14:paraId="7CF87743">
            <w:pPr>
              <w:keepNext w:val="0"/>
              <w:keepLines w:val="0"/>
              <w:suppressLineNumbers w:val="0"/>
              <w:tabs>
                <w:tab w:val="left" w:pos="360"/>
              </w:tabs>
              <w:snapToGrid w:val="0"/>
              <w:spacing w:before="0" w:beforeAutospacing="0" w:after="0" w:afterAutospacing="0" w:line="360" w:lineRule="auto"/>
              <w:ind w:left="0" w:right="0"/>
              <w:jc w:val="left"/>
              <w:rPr>
                <w:rFonts w:hint="default" w:ascii="宋体" w:hAnsi="宋体" w:cs="仿宋"/>
                <w:color w:val="auto"/>
                <w:sz w:val="21"/>
                <w:szCs w:val="21"/>
                <w:highlight w:val="none"/>
                <w:lang w:val="en-US" w:eastAsia="zh-CN" w:bidi="ar-SA"/>
              </w:rPr>
            </w:pPr>
            <w:r>
              <w:rPr>
                <w:rFonts w:hint="eastAsia" w:ascii="宋体" w:hAnsi="宋体" w:cs="仿宋"/>
                <w:color w:val="auto"/>
                <w:sz w:val="21"/>
                <w:szCs w:val="21"/>
                <w:highlight w:val="none"/>
                <w:lang w:val="en-US" w:eastAsia="zh-CN" w:bidi="ar-SA"/>
              </w:rPr>
              <w:t>注：安全、文明施工管理要求详见《第五章  技术条件（工程建设标准）》“四、项目管理要求（三）安全、文明施工管理要求”</w:t>
            </w:r>
          </w:p>
        </w:tc>
      </w:tr>
      <w:tr w14:paraId="67FF842A">
        <w:tblPrEx>
          <w:shd w:val="clear" w:color="auto" w:fill="auto"/>
          <w:tblCellMar>
            <w:top w:w="0" w:type="dxa"/>
            <w:left w:w="108" w:type="dxa"/>
            <w:bottom w:w="0" w:type="dxa"/>
            <w:right w:w="108" w:type="dxa"/>
          </w:tblCellMar>
        </w:tblPrEx>
        <w:trPr>
          <w:trHeight w:val="2316" w:hRule="atLeast"/>
        </w:trPr>
        <w:tc>
          <w:tcPr>
            <w:tcW w:w="1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2D60E">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kern w:val="0"/>
                <w:szCs w:val="21"/>
                <w:highlight w:val="none"/>
                <w:lang w:bidi="ar"/>
              </w:rPr>
            </w:pPr>
            <w:r>
              <w:rPr>
                <w:rFonts w:hint="eastAsia" w:ascii="宋体" w:hAnsi="宋体" w:cs="仿宋"/>
                <w:b/>
                <w:bCs/>
                <w:color w:val="auto"/>
                <w:kern w:val="0"/>
                <w:szCs w:val="21"/>
                <w:highlight w:val="none"/>
                <w:lang w:bidi="ar"/>
              </w:rPr>
              <w:t>6</w:t>
            </w: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6E7BCF9">
            <w:pPr>
              <w:keepNext w:val="0"/>
              <w:keepLines w:val="0"/>
              <w:suppressLineNumbers w:val="0"/>
              <w:spacing w:before="0" w:beforeAutospacing="0" w:after="0" w:afterAutospacing="0"/>
              <w:ind w:left="0" w:right="0"/>
              <w:jc w:val="center"/>
              <w:rPr>
                <w:rFonts w:hint="eastAsia" w:ascii="宋体" w:hAnsi="宋体" w:cs="仿宋"/>
                <w:color w:val="auto"/>
                <w:szCs w:val="21"/>
                <w:highlight w:val="none"/>
              </w:rPr>
            </w:pPr>
          </w:p>
        </w:tc>
        <w:tc>
          <w:tcPr>
            <w:tcW w:w="2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1C7473">
            <w:pPr>
              <w:keepNext w:val="0"/>
              <w:keepLines w:val="0"/>
              <w:suppressLineNumbers w:val="0"/>
              <w:tabs>
                <w:tab w:val="left" w:pos="360"/>
              </w:tabs>
              <w:snapToGrid w:val="0"/>
              <w:spacing w:before="0" w:beforeAutospacing="0" w:after="0" w:afterAutospacing="0" w:line="360" w:lineRule="auto"/>
              <w:ind w:left="0" w:right="0"/>
              <w:jc w:val="center"/>
              <w:rPr>
                <w:rFonts w:hint="default" w:ascii="宋体" w:hAnsi="宋体" w:eastAsia="宋体" w:cs="仿宋"/>
                <w:color w:val="auto"/>
                <w:sz w:val="21"/>
                <w:szCs w:val="21"/>
                <w:highlight w:val="none"/>
              </w:rPr>
            </w:pPr>
            <w:r>
              <w:rPr>
                <w:rFonts w:hint="eastAsia" w:ascii="宋体" w:hAnsi="宋体" w:eastAsia="宋体" w:cs="仿宋"/>
                <w:color w:val="auto"/>
                <w:kern w:val="2"/>
                <w:szCs w:val="21"/>
                <w:highlight w:val="none"/>
                <w:shd w:val="clear"/>
              </w:rPr>
              <w:t>绿色节能控制措施</w:t>
            </w:r>
            <w:r>
              <w:rPr>
                <w:rFonts w:hint="eastAsia" w:ascii="宋体" w:hAnsi="宋体" w:eastAsia="宋体" w:cs="仿宋"/>
                <w:color w:val="auto"/>
                <w:szCs w:val="21"/>
                <w:highlight w:val="none"/>
                <w:lang w:bidi="ar"/>
              </w:rPr>
              <w:t>(</w:t>
            </w:r>
            <w:r>
              <w:rPr>
                <w:rFonts w:hint="eastAsia" w:ascii="宋体" w:hAnsi="宋体" w:cs="仿宋"/>
                <w:color w:val="auto"/>
                <w:szCs w:val="21"/>
                <w:highlight w:val="none"/>
                <w:lang w:val="en-US" w:eastAsia="zh-CN" w:bidi="ar"/>
              </w:rPr>
              <w:t>4</w:t>
            </w:r>
            <w:r>
              <w:rPr>
                <w:rFonts w:hint="eastAsia" w:ascii="宋体" w:hAnsi="宋体" w:eastAsia="宋体" w:cs="仿宋"/>
                <w:color w:val="auto"/>
                <w:szCs w:val="21"/>
                <w:highlight w:val="none"/>
                <w:lang w:bidi="ar"/>
              </w:rPr>
              <w:t>分)</w:t>
            </w:r>
          </w:p>
        </w:tc>
        <w:tc>
          <w:tcPr>
            <w:tcW w:w="1005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BE2BC6">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优：确保按建筑工地绿色施工</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具备</w:t>
            </w:r>
            <w:r>
              <w:rPr>
                <w:rFonts w:hint="eastAsia" w:ascii="宋体" w:hAnsi="宋体" w:cs="仿宋"/>
                <w:color w:val="auto"/>
                <w:szCs w:val="21"/>
                <w:highlight w:val="none"/>
              </w:rPr>
              <w:t>绿色施工管理体系、绿色施工措施、市容市貌保护措施，得</w:t>
            </w:r>
            <w:r>
              <w:rPr>
                <w:rFonts w:hint="eastAsia" w:ascii="宋体" w:hAnsi="宋体" w:cs="仿宋"/>
                <w:color w:val="auto"/>
                <w:szCs w:val="21"/>
                <w:highlight w:val="none"/>
                <w:lang w:val="en-US" w:eastAsia="zh-CN"/>
              </w:rPr>
              <w:t>4</w:t>
            </w:r>
            <w:r>
              <w:rPr>
                <w:rFonts w:hint="eastAsia" w:ascii="宋体" w:hAnsi="宋体" w:cs="仿宋"/>
                <w:color w:val="auto"/>
                <w:szCs w:val="21"/>
                <w:highlight w:val="none"/>
              </w:rPr>
              <w:t>分。</w:t>
            </w:r>
          </w:p>
          <w:p w14:paraId="01DA746B">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良：确保按建筑工地绿色施工</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具备</w:t>
            </w:r>
            <w:r>
              <w:rPr>
                <w:rFonts w:hint="eastAsia" w:ascii="宋体" w:hAnsi="宋体" w:cs="仿宋"/>
                <w:color w:val="auto"/>
                <w:szCs w:val="21"/>
                <w:highlight w:val="none"/>
              </w:rPr>
              <w:t>绿色施工管理体系、绿色施工措施、市容市貌保护措施</w:t>
            </w:r>
            <w:r>
              <w:rPr>
                <w:rFonts w:hint="eastAsia" w:ascii="宋体" w:hAnsi="宋体" w:cs="仿宋"/>
                <w:color w:val="auto"/>
                <w:szCs w:val="21"/>
                <w:highlight w:val="none"/>
                <w:lang w:val="en-US" w:eastAsia="zh-CN"/>
              </w:rPr>
              <w:t>其中两项</w:t>
            </w:r>
            <w:r>
              <w:rPr>
                <w:rFonts w:hint="eastAsia" w:ascii="宋体" w:hAnsi="宋体" w:cs="仿宋"/>
                <w:color w:val="auto"/>
                <w:szCs w:val="21"/>
                <w:highlight w:val="none"/>
              </w:rPr>
              <w:t>，得</w:t>
            </w:r>
            <w:r>
              <w:rPr>
                <w:rFonts w:hint="eastAsia" w:ascii="宋体" w:hAnsi="宋体" w:cs="仿宋"/>
                <w:color w:val="auto"/>
                <w:szCs w:val="21"/>
                <w:highlight w:val="none"/>
                <w:lang w:val="en-US" w:eastAsia="zh-CN"/>
              </w:rPr>
              <w:t>2</w:t>
            </w:r>
            <w:r>
              <w:rPr>
                <w:rFonts w:hint="eastAsia" w:ascii="宋体" w:hAnsi="宋体" w:cs="仿宋"/>
                <w:color w:val="auto"/>
                <w:szCs w:val="21"/>
                <w:highlight w:val="none"/>
              </w:rPr>
              <w:t>分。</w:t>
            </w:r>
          </w:p>
          <w:p w14:paraId="785E9623">
            <w:pPr>
              <w:keepNext w:val="0"/>
              <w:keepLines w:val="0"/>
              <w:suppressLineNumbers w:val="0"/>
              <w:tabs>
                <w:tab w:val="left" w:pos="360"/>
              </w:tabs>
              <w:snapToGrid w:val="0"/>
              <w:spacing w:before="0" w:beforeAutospacing="0" w:after="0" w:afterAutospacing="0" w:line="360" w:lineRule="auto"/>
              <w:ind w:left="0" w:right="0"/>
              <w:jc w:val="left"/>
              <w:rPr>
                <w:rFonts w:hint="eastAsia" w:ascii="宋体" w:hAnsi="宋体" w:cs="仿宋"/>
                <w:color w:val="auto"/>
                <w:szCs w:val="21"/>
                <w:highlight w:val="none"/>
              </w:rPr>
            </w:pPr>
            <w:r>
              <w:rPr>
                <w:rFonts w:hint="eastAsia" w:ascii="宋体" w:hAnsi="宋体" w:cs="仿宋"/>
                <w:color w:val="auto"/>
                <w:szCs w:val="21"/>
                <w:highlight w:val="none"/>
              </w:rPr>
              <w:t>中：确保按建筑工地绿色施工</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仅具备</w:t>
            </w:r>
            <w:r>
              <w:rPr>
                <w:rFonts w:hint="eastAsia" w:ascii="宋体" w:hAnsi="宋体" w:cs="仿宋"/>
                <w:color w:val="auto"/>
                <w:szCs w:val="21"/>
                <w:highlight w:val="none"/>
              </w:rPr>
              <w:t>绿色施工管理体系、绿色施工措施，市容市貌保护措施</w:t>
            </w:r>
            <w:r>
              <w:rPr>
                <w:rFonts w:hint="eastAsia" w:ascii="宋体" w:hAnsi="宋体" w:cs="仿宋"/>
                <w:color w:val="auto"/>
                <w:szCs w:val="21"/>
                <w:highlight w:val="none"/>
                <w:lang w:val="en-US" w:eastAsia="zh-CN"/>
              </w:rPr>
              <w:t>其中一项</w:t>
            </w:r>
            <w:r>
              <w:rPr>
                <w:rFonts w:hint="eastAsia" w:ascii="宋体" w:hAnsi="宋体" w:cs="仿宋"/>
                <w:color w:val="auto"/>
                <w:szCs w:val="21"/>
                <w:highlight w:val="none"/>
              </w:rPr>
              <w:t>，得</w:t>
            </w:r>
            <w:r>
              <w:rPr>
                <w:rFonts w:hint="eastAsia" w:ascii="宋体" w:hAnsi="宋体" w:cs="仿宋"/>
                <w:color w:val="auto"/>
                <w:szCs w:val="21"/>
                <w:highlight w:val="none"/>
                <w:lang w:val="en-US" w:eastAsia="zh-CN"/>
              </w:rPr>
              <w:t>1</w:t>
            </w:r>
            <w:r>
              <w:rPr>
                <w:rFonts w:hint="eastAsia" w:ascii="宋体" w:hAnsi="宋体" w:cs="仿宋"/>
                <w:color w:val="auto"/>
                <w:szCs w:val="21"/>
                <w:highlight w:val="none"/>
              </w:rPr>
              <w:t>分。</w:t>
            </w:r>
          </w:p>
          <w:p w14:paraId="549FF88B">
            <w:pPr>
              <w:keepNext w:val="0"/>
              <w:keepLines w:val="0"/>
              <w:suppressLineNumbers w:val="0"/>
              <w:snapToGrid w:val="0"/>
              <w:spacing w:before="0" w:beforeAutospacing="0" w:after="0" w:afterAutospacing="0"/>
              <w:ind w:left="0" w:right="0"/>
              <w:rPr>
                <w:rFonts w:hint="eastAsia" w:ascii="宋体" w:hAnsi="宋体" w:cs="仿宋"/>
                <w:color w:val="auto"/>
                <w:kern w:val="2"/>
                <w:sz w:val="21"/>
                <w:szCs w:val="21"/>
                <w:highlight w:val="none"/>
                <w:lang w:val="en-US" w:eastAsia="zh-CN" w:bidi="ar-SA"/>
              </w:rPr>
            </w:pPr>
            <w:r>
              <w:rPr>
                <w:rFonts w:hint="eastAsia" w:ascii="宋体" w:hAnsi="宋体" w:cs="仿宋"/>
                <w:color w:val="auto"/>
                <w:sz w:val="21"/>
                <w:szCs w:val="21"/>
                <w:highlight w:val="none"/>
                <w:lang w:val="en-US" w:eastAsia="zh-CN" w:bidi="ar-SA"/>
              </w:rPr>
              <w:t>差：不满足前述要求者，得0分。</w:t>
            </w:r>
          </w:p>
        </w:tc>
      </w:tr>
      <w:tr w14:paraId="4CE5A8BF">
        <w:tblPrEx>
          <w:shd w:val="clear" w:color="auto" w:fill="auto"/>
          <w:tblCellMar>
            <w:top w:w="0" w:type="dxa"/>
            <w:left w:w="108" w:type="dxa"/>
            <w:bottom w:w="0" w:type="dxa"/>
            <w:right w:w="108" w:type="dxa"/>
          </w:tblCellMar>
        </w:tblPrEx>
        <w:trPr>
          <w:trHeight w:val="332" w:hRule="atLeast"/>
        </w:trPr>
        <w:tc>
          <w:tcPr>
            <w:tcW w:w="1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80DB6A">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kern w:val="0"/>
                <w:szCs w:val="21"/>
                <w:highlight w:val="none"/>
                <w:lang w:bidi="ar"/>
              </w:rPr>
            </w:pPr>
            <w:r>
              <w:rPr>
                <w:rFonts w:hint="eastAsia" w:ascii="宋体" w:hAnsi="宋体" w:cs="仿宋"/>
                <w:b/>
                <w:bCs/>
                <w:color w:val="auto"/>
                <w:kern w:val="0"/>
                <w:szCs w:val="21"/>
                <w:highlight w:val="none"/>
                <w:lang w:bidi="ar"/>
              </w:rPr>
              <w:t>7</w:t>
            </w: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2B6E358">
            <w:pPr>
              <w:keepNext w:val="0"/>
              <w:keepLines w:val="0"/>
              <w:suppressLineNumbers w:val="0"/>
              <w:spacing w:before="0" w:beforeAutospacing="0" w:after="0" w:afterAutospacing="0"/>
              <w:ind w:left="0" w:right="0"/>
              <w:jc w:val="center"/>
              <w:rPr>
                <w:rFonts w:hint="eastAsia" w:ascii="宋体" w:hAnsi="宋体" w:cs="仿宋"/>
                <w:color w:val="auto"/>
                <w:szCs w:val="21"/>
                <w:highlight w:val="none"/>
              </w:rPr>
            </w:pPr>
          </w:p>
        </w:tc>
        <w:tc>
          <w:tcPr>
            <w:tcW w:w="2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99BE75">
            <w:pPr>
              <w:keepNext w:val="0"/>
              <w:keepLines w:val="0"/>
              <w:suppressLineNumbers w:val="0"/>
              <w:tabs>
                <w:tab w:val="left" w:pos="360"/>
              </w:tabs>
              <w:snapToGrid w:val="0"/>
              <w:spacing w:before="0" w:beforeAutospacing="0" w:after="0" w:afterAutospacing="0" w:line="360" w:lineRule="auto"/>
              <w:ind w:left="0" w:right="0"/>
              <w:jc w:val="center"/>
              <w:rPr>
                <w:rFonts w:hint="default" w:ascii="宋体" w:hAnsi="宋体" w:eastAsia="宋体" w:cs="仿宋"/>
                <w:color w:val="auto"/>
                <w:sz w:val="21"/>
                <w:szCs w:val="21"/>
                <w:highlight w:val="none"/>
                <w:lang w:val="en-US" w:eastAsia="zh-CN"/>
              </w:rPr>
            </w:pPr>
            <w:r>
              <w:rPr>
                <w:rFonts w:hint="eastAsia" w:ascii="宋体" w:hAnsi="宋体" w:eastAsia="宋体" w:cs="仿宋"/>
                <w:color w:val="auto"/>
                <w:szCs w:val="21"/>
                <w:highlight w:val="none"/>
              </w:rPr>
              <w:t>BIM技术的运用</w:t>
            </w:r>
            <w:r>
              <w:rPr>
                <w:rFonts w:hint="eastAsia" w:ascii="宋体" w:hAnsi="宋体" w:eastAsia="宋体" w:cs="仿宋"/>
                <w:color w:val="auto"/>
                <w:szCs w:val="21"/>
                <w:highlight w:val="none"/>
                <w:lang w:bidi="ar"/>
              </w:rPr>
              <w:t>(2分)</w:t>
            </w:r>
          </w:p>
        </w:tc>
        <w:tc>
          <w:tcPr>
            <w:tcW w:w="10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5A35D2">
            <w:pPr>
              <w:keepNext w:val="0"/>
              <w:keepLines w:val="0"/>
              <w:suppressLineNumbers w:val="0"/>
              <w:tabs>
                <w:tab w:val="left" w:pos="360"/>
              </w:tabs>
              <w:snapToGrid w:val="0"/>
              <w:spacing w:before="0" w:beforeAutospacing="0" w:after="0" w:afterAutospacing="0" w:line="360" w:lineRule="auto"/>
              <w:ind w:left="0" w:right="0" w:hangingChars="11"/>
              <w:jc w:val="left"/>
              <w:rPr>
                <w:rFonts w:hint="eastAsia" w:ascii="宋体" w:hAnsi="宋体" w:eastAsia="宋体" w:cs="仿宋"/>
                <w:color w:val="auto"/>
                <w:sz w:val="21"/>
                <w:szCs w:val="21"/>
                <w:highlight w:val="none"/>
                <w:lang w:val="en-US" w:eastAsia="zh-CN" w:bidi="ar-SA"/>
              </w:rPr>
            </w:pPr>
            <w:bookmarkStart w:id="158" w:name="OLE_LINK148"/>
            <w:r>
              <w:rPr>
                <w:rFonts w:hint="eastAsia" w:ascii="宋体" w:hAnsi="宋体" w:cs="仿宋"/>
                <w:color w:val="auto"/>
                <w:szCs w:val="21"/>
                <w:highlight w:val="none"/>
              </w:rPr>
              <w:t>优：</w:t>
            </w:r>
            <w:bookmarkStart w:id="159" w:name="OLE_LINK37"/>
            <w:r>
              <w:rPr>
                <w:rFonts w:hint="eastAsia" w:ascii="宋体" w:hAnsi="宋体" w:eastAsia="宋体" w:cs="仿宋"/>
                <w:color w:val="auto"/>
                <w:sz w:val="21"/>
                <w:szCs w:val="21"/>
                <w:highlight w:val="none"/>
                <w:lang w:val="en-US" w:eastAsia="zh-CN" w:bidi="ar-SA"/>
              </w:rPr>
              <w:t>提出的BIM技术相关施工工艺明确、具体、可行</w:t>
            </w:r>
            <w:bookmarkEnd w:id="159"/>
            <w:r>
              <w:rPr>
                <w:rFonts w:hint="eastAsia" w:ascii="宋体" w:hAnsi="宋体" w:eastAsia="宋体" w:cs="仿宋"/>
                <w:color w:val="auto"/>
                <w:sz w:val="21"/>
                <w:szCs w:val="21"/>
                <w:highlight w:val="none"/>
                <w:lang w:val="en-US" w:eastAsia="zh-CN" w:bidi="ar-SA"/>
              </w:rPr>
              <w:t>，得</w:t>
            </w:r>
            <w:r>
              <w:rPr>
                <w:rFonts w:hint="eastAsia" w:ascii="宋体" w:hAnsi="宋体" w:cs="仿宋"/>
                <w:color w:val="auto"/>
                <w:sz w:val="21"/>
                <w:szCs w:val="21"/>
                <w:highlight w:val="none"/>
                <w:lang w:val="en-US" w:eastAsia="zh-CN" w:bidi="ar-SA"/>
              </w:rPr>
              <w:t>2</w:t>
            </w:r>
            <w:r>
              <w:rPr>
                <w:rFonts w:hint="eastAsia" w:ascii="宋体" w:hAnsi="宋体" w:eastAsia="宋体" w:cs="仿宋"/>
                <w:color w:val="auto"/>
                <w:sz w:val="21"/>
                <w:szCs w:val="21"/>
                <w:highlight w:val="none"/>
                <w:lang w:val="en-US" w:eastAsia="zh-CN" w:bidi="ar-SA"/>
              </w:rPr>
              <w:t>分。</w:t>
            </w:r>
          </w:p>
          <w:p w14:paraId="4447A21C">
            <w:pPr>
              <w:keepNext w:val="0"/>
              <w:keepLines w:val="0"/>
              <w:suppressLineNumbers w:val="0"/>
              <w:tabs>
                <w:tab w:val="left" w:pos="360"/>
              </w:tabs>
              <w:snapToGrid w:val="0"/>
              <w:spacing w:before="0" w:beforeAutospacing="0" w:after="0" w:afterAutospacing="0" w:line="360" w:lineRule="auto"/>
              <w:ind w:left="0" w:right="0" w:hangingChars="11"/>
              <w:jc w:val="left"/>
              <w:rPr>
                <w:rFonts w:hint="eastAsia" w:ascii="宋体" w:hAnsi="宋体" w:eastAsia="宋体" w:cs="仿宋"/>
                <w:color w:val="auto"/>
                <w:sz w:val="21"/>
                <w:szCs w:val="21"/>
                <w:highlight w:val="none"/>
                <w:lang w:val="en-US" w:eastAsia="zh-CN" w:bidi="ar-SA"/>
              </w:rPr>
            </w:pPr>
            <w:r>
              <w:rPr>
                <w:rFonts w:hint="eastAsia" w:ascii="宋体" w:hAnsi="宋体" w:cs="仿宋"/>
                <w:color w:val="auto"/>
                <w:szCs w:val="21"/>
                <w:highlight w:val="none"/>
              </w:rPr>
              <w:t>良：</w:t>
            </w:r>
            <w:r>
              <w:rPr>
                <w:rFonts w:hint="eastAsia" w:ascii="宋体" w:hAnsi="宋体" w:eastAsia="宋体" w:cs="仿宋"/>
                <w:color w:val="auto"/>
                <w:sz w:val="21"/>
                <w:szCs w:val="21"/>
                <w:highlight w:val="none"/>
                <w:lang w:val="en-US" w:eastAsia="zh-CN" w:bidi="ar-SA"/>
              </w:rPr>
              <w:t>提出的</w:t>
            </w:r>
            <w:bookmarkStart w:id="160" w:name="OLE_LINK31"/>
            <w:r>
              <w:rPr>
                <w:rFonts w:hint="eastAsia" w:ascii="宋体" w:hAnsi="宋体" w:eastAsia="宋体" w:cs="仿宋"/>
                <w:color w:val="auto"/>
                <w:sz w:val="21"/>
                <w:szCs w:val="21"/>
                <w:highlight w:val="none"/>
                <w:lang w:val="en-US" w:eastAsia="zh-CN" w:bidi="ar-SA"/>
              </w:rPr>
              <w:t>BIM技术相关施工工艺</w:t>
            </w:r>
            <w:bookmarkEnd w:id="160"/>
            <w:r>
              <w:rPr>
                <w:rFonts w:hint="eastAsia" w:ascii="宋体" w:hAnsi="宋体" w:eastAsia="宋体" w:cs="仿宋"/>
                <w:color w:val="auto"/>
                <w:sz w:val="21"/>
                <w:szCs w:val="21"/>
                <w:highlight w:val="none"/>
                <w:lang w:val="en-US" w:eastAsia="zh-CN" w:bidi="ar-SA"/>
              </w:rPr>
              <w:t>较为明确、具体、可行，得</w:t>
            </w:r>
            <w:r>
              <w:rPr>
                <w:rFonts w:hint="eastAsia" w:ascii="宋体" w:hAnsi="宋体" w:cs="仿宋"/>
                <w:color w:val="auto"/>
                <w:sz w:val="21"/>
                <w:szCs w:val="21"/>
                <w:highlight w:val="none"/>
                <w:lang w:val="en-US" w:eastAsia="zh-CN" w:bidi="ar-SA"/>
              </w:rPr>
              <w:t>1</w:t>
            </w:r>
            <w:r>
              <w:rPr>
                <w:rFonts w:hint="eastAsia" w:ascii="宋体" w:hAnsi="宋体" w:eastAsia="宋体" w:cs="仿宋"/>
                <w:color w:val="auto"/>
                <w:sz w:val="21"/>
                <w:szCs w:val="21"/>
                <w:highlight w:val="none"/>
                <w:lang w:val="en-US" w:eastAsia="zh-CN" w:bidi="ar-SA"/>
              </w:rPr>
              <w:t>分。</w:t>
            </w:r>
          </w:p>
          <w:p w14:paraId="07FFBD9F">
            <w:pPr>
              <w:keepNext w:val="0"/>
              <w:keepLines w:val="0"/>
              <w:suppressLineNumbers w:val="0"/>
              <w:tabs>
                <w:tab w:val="left" w:pos="360"/>
              </w:tabs>
              <w:snapToGrid w:val="0"/>
              <w:spacing w:before="0" w:beforeAutospacing="0" w:after="0" w:afterAutospacing="0" w:line="360" w:lineRule="auto"/>
              <w:ind w:left="0" w:right="0" w:hangingChars="11"/>
              <w:jc w:val="left"/>
              <w:rPr>
                <w:rFonts w:hint="eastAsia" w:ascii="宋体" w:hAnsi="宋体" w:eastAsia="宋体" w:cs="仿宋"/>
                <w:color w:val="auto"/>
                <w:sz w:val="21"/>
                <w:szCs w:val="21"/>
                <w:highlight w:val="none"/>
                <w:lang w:val="en-US" w:eastAsia="zh-CN" w:bidi="ar-SA"/>
              </w:rPr>
            </w:pPr>
            <w:r>
              <w:rPr>
                <w:rFonts w:hint="eastAsia" w:ascii="宋体" w:hAnsi="宋体" w:cs="仿宋"/>
                <w:color w:val="auto"/>
                <w:szCs w:val="21"/>
                <w:highlight w:val="none"/>
              </w:rPr>
              <w:t>中：</w:t>
            </w:r>
            <w:r>
              <w:rPr>
                <w:rFonts w:hint="eastAsia" w:ascii="宋体" w:hAnsi="宋体" w:eastAsia="宋体" w:cs="仿宋"/>
                <w:color w:val="auto"/>
                <w:sz w:val="21"/>
                <w:szCs w:val="21"/>
                <w:highlight w:val="none"/>
                <w:lang w:val="en-US" w:eastAsia="zh-CN" w:bidi="ar-SA"/>
              </w:rPr>
              <w:t>提出的BIM技术相关施工工艺可行性一般，得</w:t>
            </w:r>
            <w:r>
              <w:rPr>
                <w:rFonts w:hint="eastAsia" w:ascii="宋体" w:hAnsi="宋体" w:cs="仿宋"/>
                <w:color w:val="auto"/>
                <w:sz w:val="21"/>
                <w:szCs w:val="21"/>
                <w:highlight w:val="none"/>
                <w:lang w:val="en-US" w:eastAsia="zh-CN" w:bidi="ar-SA"/>
              </w:rPr>
              <w:t>0.5</w:t>
            </w:r>
            <w:r>
              <w:rPr>
                <w:rFonts w:hint="eastAsia" w:ascii="宋体" w:hAnsi="宋体" w:eastAsia="宋体" w:cs="仿宋"/>
                <w:color w:val="auto"/>
                <w:sz w:val="21"/>
                <w:szCs w:val="21"/>
                <w:highlight w:val="none"/>
                <w:lang w:val="en-US" w:eastAsia="zh-CN" w:bidi="ar-SA"/>
              </w:rPr>
              <w:t>分。</w:t>
            </w:r>
            <w:bookmarkEnd w:id="158"/>
          </w:p>
          <w:p w14:paraId="758AD17A">
            <w:pPr>
              <w:keepNext w:val="0"/>
              <w:keepLines w:val="0"/>
              <w:suppressLineNumbers w:val="0"/>
              <w:tabs>
                <w:tab w:val="left" w:pos="360"/>
              </w:tabs>
              <w:snapToGrid w:val="0"/>
              <w:spacing w:before="0" w:beforeAutospacing="0" w:after="0" w:afterAutospacing="0" w:line="360" w:lineRule="auto"/>
              <w:ind w:left="0" w:right="0" w:hangingChars="11"/>
              <w:jc w:val="left"/>
              <w:rPr>
                <w:rFonts w:hint="default" w:ascii="宋体" w:hAnsi="宋体" w:eastAsia="宋体" w:cs="仿宋"/>
                <w:color w:val="auto"/>
                <w:sz w:val="21"/>
                <w:szCs w:val="21"/>
                <w:highlight w:val="none"/>
                <w:lang w:val="en-US" w:eastAsia="zh-CN" w:bidi="ar-SA"/>
              </w:rPr>
            </w:pPr>
            <w:r>
              <w:rPr>
                <w:rFonts w:hint="eastAsia" w:ascii="宋体" w:hAnsi="宋体" w:cs="仿宋"/>
                <w:color w:val="auto"/>
                <w:sz w:val="21"/>
                <w:szCs w:val="21"/>
                <w:highlight w:val="none"/>
                <w:lang w:val="en-US" w:eastAsia="zh-CN" w:bidi="ar-SA"/>
              </w:rPr>
              <w:t>差：不满足前述要求者，得0分。</w:t>
            </w:r>
          </w:p>
        </w:tc>
      </w:tr>
      <w:tr w14:paraId="485380EB">
        <w:tblPrEx>
          <w:shd w:val="clear" w:color="auto" w:fill="auto"/>
          <w:tblCellMar>
            <w:top w:w="0" w:type="dxa"/>
            <w:left w:w="108" w:type="dxa"/>
            <w:bottom w:w="0" w:type="dxa"/>
            <w:right w:w="108" w:type="dxa"/>
          </w:tblCellMar>
        </w:tblPrEx>
        <w:trPr>
          <w:trHeight w:val="300" w:hRule="atLeast"/>
        </w:trPr>
        <w:tc>
          <w:tcPr>
            <w:tcW w:w="1214" w:type="dxa"/>
            <w:vMerge w:val="restart"/>
            <w:tcBorders>
              <w:top w:val="single" w:color="000000" w:sz="4" w:space="0"/>
              <w:left w:val="single" w:color="000000" w:sz="4" w:space="0"/>
              <w:right w:val="single" w:color="000000" w:sz="4" w:space="0"/>
            </w:tcBorders>
            <w:shd w:val="clear" w:color="auto" w:fill="auto"/>
            <w:noWrap w:val="0"/>
            <w:vAlign w:val="center"/>
          </w:tcPr>
          <w:p w14:paraId="757F7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color w:val="auto"/>
                <w:szCs w:val="21"/>
                <w:highlight w:val="none"/>
                <w:lang w:eastAsia="zh-CN"/>
              </w:rPr>
            </w:pPr>
            <w:r>
              <w:rPr>
                <w:rFonts w:hint="eastAsia" w:ascii="宋体" w:hAnsi="宋体" w:cs="仿宋"/>
                <w:b/>
                <w:bCs/>
                <w:color w:val="auto"/>
                <w:szCs w:val="21"/>
                <w:highlight w:val="none"/>
                <w:lang w:val="en-US" w:eastAsia="zh-CN"/>
              </w:rPr>
              <w:t>8</w:t>
            </w:r>
          </w:p>
        </w:tc>
        <w:tc>
          <w:tcPr>
            <w:tcW w:w="1261" w:type="dxa"/>
            <w:vMerge w:val="restart"/>
            <w:tcBorders>
              <w:top w:val="single" w:color="000000" w:sz="4" w:space="0"/>
              <w:left w:val="single" w:color="000000" w:sz="4" w:space="0"/>
              <w:right w:val="single" w:color="000000" w:sz="4" w:space="0"/>
            </w:tcBorders>
            <w:shd w:val="clear" w:color="auto" w:fill="auto"/>
            <w:noWrap w:val="0"/>
            <w:vAlign w:val="center"/>
          </w:tcPr>
          <w:p w14:paraId="0319334A">
            <w:pPr>
              <w:keepNext w:val="0"/>
              <w:keepLines w:val="0"/>
              <w:widowControl/>
              <w:suppressLineNumbers w:val="0"/>
              <w:spacing w:before="0" w:beforeAutospacing="0" w:after="0" w:afterAutospacing="0"/>
              <w:ind w:left="0" w:right="0"/>
              <w:jc w:val="center"/>
              <w:textAlignment w:val="center"/>
              <w:rPr>
                <w:rFonts w:hint="eastAsia" w:ascii="宋体" w:hAnsi="宋体" w:cs="仿宋"/>
                <w:color w:val="auto"/>
                <w:kern w:val="0"/>
                <w:szCs w:val="21"/>
                <w:highlight w:val="none"/>
                <w:lang w:bidi="ar"/>
              </w:rPr>
            </w:pPr>
            <w:r>
              <w:rPr>
                <w:rFonts w:hint="eastAsia" w:ascii="宋体" w:hAnsi="宋体" w:cs="仿宋"/>
                <w:color w:val="auto"/>
                <w:szCs w:val="21"/>
                <w:highlight w:val="none"/>
              </w:rPr>
              <w:t>项目管理机构配置</w:t>
            </w:r>
            <w:r>
              <w:rPr>
                <w:rFonts w:hint="eastAsia" w:ascii="宋体" w:hAnsi="宋体" w:cs="仿宋"/>
                <w:color w:val="auto"/>
                <w:kern w:val="0"/>
                <w:szCs w:val="21"/>
                <w:highlight w:val="none"/>
                <w:lang w:bidi="ar"/>
              </w:rPr>
              <w:t>评分标准</w:t>
            </w:r>
          </w:p>
          <w:p w14:paraId="2F4D6C52">
            <w:pPr>
              <w:keepNext w:val="0"/>
              <w:keepLines w:val="0"/>
              <w:widowControl/>
              <w:suppressLineNumbers w:val="0"/>
              <w:spacing w:before="0" w:beforeAutospacing="0" w:after="0" w:afterAutospacing="0"/>
              <w:ind w:left="0" w:right="0"/>
              <w:jc w:val="center"/>
              <w:textAlignment w:val="center"/>
              <w:rPr>
                <w:rFonts w:hint="eastAsia" w:ascii="宋体" w:hAnsi="宋体" w:cs="仿宋"/>
                <w:color w:val="auto"/>
                <w:szCs w:val="21"/>
                <w:highlight w:val="none"/>
              </w:rPr>
            </w:pP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val="en-US" w:eastAsia="zh-CN" w:bidi="ar"/>
              </w:rPr>
              <w:t>25</w:t>
            </w:r>
            <w:r>
              <w:rPr>
                <w:rFonts w:hint="eastAsia" w:ascii="宋体" w:hAnsi="宋体" w:cs="仿宋"/>
                <w:color w:val="auto"/>
                <w:kern w:val="0"/>
                <w:szCs w:val="21"/>
                <w:highlight w:val="none"/>
                <w:lang w:bidi="ar"/>
              </w:rPr>
              <w:t>分）</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2E959">
            <w:pPr>
              <w:keepNext w:val="0"/>
              <w:keepLines w:val="0"/>
              <w:suppressLineNumbers w:val="0"/>
              <w:tabs>
                <w:tab w:val="left" w:pos="360"/>
              </w:tabs>
              <w:snapToGrid w:val="0"/>
              <w:spacing w:before="0" w:beforeAutospacing="0" w:after="0" w:afterAutospacing="0"/>
              <w:ind w:left="0" w:leftChars="0" w:right="0" w:rightChars="0"/>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1"/>
                <w:highlight w:val="none"/>
                <w:lang w:bidi="ar"/>
              </w:rPr>
              <w:t>项目负责人(</w:t>
            </w: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分)</w:t>
            </w:r>
          </w:p>
        </w:tc>
        <w:tc>
          <w:tcPr>
            <w:tcW w:w="10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70943">
            <w:pPr>
              <w:keepNext w:val="0"/>
              <w:keepLines w:val="0"/>
              <w:widowControl/>
              <w:suppressLineNumbers w:val="0"/>
              <w:spacing w:before="0" w:beforeAutospacing="0" w:after="0" w:afterAutospacing="0" w:line="360" w:lineRule="auto"/>
              <w:ind w:left="0" w:right="0"/>
              <w:textAlignment w:val="baseline"/>
              <w:rPr>
                <w:rFonts w:hint="eastAsia" w:ascii="宋体" w:hAnsi="宋体" w:cs="宋体"/>
                <w:color w:val="auto"/>
                <w:szCs w:val="21"/>
                <w:highlight w:val="none"/>
                <w:lang w:bidi="ar"/>
              </w:rPr>
            </w:pPr>
            <w:bookmarkStart w:id="161" w:name="OLE_LINK153"/>
            <w:r>
              <w:rPr>
                <w:rFonts w:hint="eastAsia" w:ascii="宋体" w:hAnsi="宋体" w:cs="宋体"/>
                <w:color w:val="auto"/>
                <w:szCs w:val="21"/>
                <w:highlight w:val="none"/>
                <w:lang w:bidi="ar"/>
              </w:rPr>
              <w:t>（1）具有建筑工程类相关专业中级工程师技术职称的，得1分；具有建筑工程类相关专业高级工程师（或以上）技术职称的，得</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bidi="ar"/>
              </w:rPr>
              <w:t>分</w:t>
            </w:r>
            <w:r>
              <w:rPr>
                <w:rFonts w:hint="eastAsia" w:ascii="宋体" w:hAnsi="宋体" w:cs="宋体"/>
                <w:color w:val="auto"/>
                <w:szCs w:val="21"/>
                <w:highlight w:val="none"/>
                <w:lang w:eastAsia="zh-CN" w:bidi="ar"/>
              </w:rPr>
              <w:t>；</w:t>
            </w:r>
            <w:r>
              <w:rPr>
                <w:rFonts w:hint="eastAsia" w:ascii="宋体" w:hAnsi="宋体" w:cs="新宋体"/>
                <w:color w:val="auto"/>
                <w:szCs w:val="21"/>
                <w:highlight w:val="none"/>
                <w:lang w:bidi="ar"/>
              </w:rPr>
              <w:t>本小项最多得</w:t>
            </w:r>
            <w:r>
              <w:rPr>
                <w:rFonts w:hint="eastAsia" w:ascii="宋体" w:hAnsi="宋体" w:cs="新宋体"/>
                <w:color w:val="auto"/>
                <w:szCs w:val="21"/>
                <w:highlight w:val="none"/>
                <w:lang w:val="en-US" w:eastAsia="zh-CN" w:bidi="ar"/>
              </w:rPr>
              <w:t>2</w:t>
            </w:r>
            <w:r>
              <w:rPr>
                <w:rFonts w:hint="eastAsia" w:ascii="宋体" w:hAnsi="宋体" w:cs="新宋体"/>
                <w:color w:val="auto"/>
                <w:szCs w:val="21"/>
                <w:highlight w:val="none"/>
                <w:lang w:bidi="ar"/>
              </w:rPr>
              <w:t>分。</w:t>
            </w:r>
          </w:p>
          <w:p w14:paraId="042518A8">
            <w:pPr>
              <w:keepNext w:val="0"/>
              <w:keepLines w:val="0"/>
              <w:widowControl/>
              <w:suppressLineNumbers w:val="0"/>
              <w:spacing w:before="0" w:beforeAutospacing="0" w:after="0" w:afterAutospacing="0" w:line="360" w:lineRule="auto"/>
              <w:ind w:left="0" w:right="0"/>
              <w:textAlignment w:val="baseline"/>
              <w:rPr>
                <w:rFonts w:hint="default" w:ascii="Calibri" w:hAnsi="Calibri" w:cs="Calibri"/>
                <w:color w:val="auto"/>
                <w:highlight w:val="none"/>
              </w:rPr>
            </w:pPr>
            <w:r>
              <w:rPr>
                <w:rFonts w:hint="eastAsia" w:ascii="宋体" w:hAnsi="宋体" w:cs="宋体"/>
                <w:color w:val="auto"/>
                <w:szCs w:val="21"/>
                <w:highlight w:val="none"/>
                <w:lang w:bidi="ar"/>
              </w:rPr>
              <w:t>（2）</w:t>
            </w:r>
            <w:r>
              <w:rPr>
                <w:rFonts w:hint="eastAsia" w:ascii="宋体" w:hAnsi="宋体" w:cs="宋体"/>
                <w:bCs/>
                <w:color w:val="auto"/>
                <w:szCs w:val="21"/>
                <w:highlight w:val="none"/>
                <w:lang w:bidi="ar"/>
              </w:rPr>
              <w:t>拟投入项目负责人自2022年1月1日</w:t>
            </w:r>
            <w:r>
              <w:rPr>
                <w:rFonts w:hint="eastAsia" w:ascii="宋体" w:hAnsi="宋体" w:cs="宋体"/>
                <w:color w:val="auto"/>
                <w:szCs w:val="21"/>
                <w:highlight w:val="none"/>
                <w:lang w:bidi="ar"/>
              </w:rPr>
              <w:t>至投标截止时间</w:t>
            </w:r>
            <w:r>
              <w:rPr>
                <w:rFonts w:hint="default" w:ascii="宋体" w:hAnsi="宋体" w:cs="宋体"/>
                <w:color w:val="auto"/>
                <w:szCs w:val="21"/>
                <w:highlight w:val="none"/>
                <w:lang w:bidi="ar"/>
              </w:rPr>
              <w:t>，</w:t>
            </w:r>
            <w:bookmarkStart w:id="162" w:name="OLE_LINK22"/>
            <w:r>
              <w:rPr>
                <w:rFonts w:hint="eastAsia" w:ascii="Calibri" w:hAnsi="Calibri" w:cs="宋体"/>
                <w:color w:val="auto"/>
                <w:szCs w:val="21"/>
                <w:highlight w:val="none"/>
                <w:lang w:bidi="ar"/>
              </w:rPr>
              <w:t>担任项目负责人</w:t>
            </w:r>
            <w:r>
              <w:rPr>
                <w:rFonts w:hint="eastAsia" w:ascii="Calibri" w:hAnsi="Calibri" w:cs="宋体"/>
                <w:color w:val="auto"/>
                <w:szCs w:val="21"/>
                <w:highlight w:val="none"/>
                <w:lang w:val="en-US" w:eastAsia="zh-CN" w:bidi="ar"/>
              </w:rPr>
              <w:t>并</w:t>
            </w:r>
            <w:r>
              <w:rPr>
                <w:rFonts w:hint="eastAsia" w:ascii="宋体" w:hAnsi="宋体" w:cs="宋体"/>
                <w:bCs/>
                <w:color w:val="auto"/>
                <w:szCs w:val="21"/>
                <w:highlight w:val="none"/>
                <w:lang w:bidi="ar"/>
              </w:rPr>
              <w:t>完成过</w:t>
            </w:r>
            <w:r>
              <w:rPr>
                <w:rFonts w:hint="eastAsia" w:ascii="宋体" w:hAnsi="宋体" w:cs="新宋体"/>
                <w:color w:val="auto"/>
                <w:szCs w:val="21"/>
                <w:highlight w:val="none"/>
                <w:lang w:bidi="ar"/>
              </w:rPr>
              <w:t>质量合格的金额大于或等于40</w:t>
            </w:r>
            <w:r>
              <w:rPr>
                <w:rFonts w:hint="eastAsia" w:ascii="宋体" w:hAnsi="宋体" w:cs="宋体"/>
                <w:bCs/>
                <w:color w:val="auto"/>
                <w:szCs w:val="21"/>
                <w:highlight w:val="none"/>
                <w:lang w:bidi="ar"/>
              </w:rPr>
              <w:t>000万元的建筑工程施工总承包</w:t>
            </w:r>
            <w:r>
              <w:rPr>
                <w:rFonts w:hint="eastAsia" w:ascii="宋体" w:hAnsi="宋体" w:cs="宋体"/>
                <w:color w:val="auto"/>
                <w:szCs w:val="21"/>
                <w:highlight w:val="none"/>
                <w:lang w:bidi="ar"/>
              </w:rPr>
              <w:t>或工程总承包</w:t>
            </w:r>
            <w:r>
              <w:rPr>
                <w:rFonts w:hint="eastAsia" w:ascii="宋体" w:hAnsi="宋体" w:cs="宋体"/>
                <w:color w:val="auto"/>
                <w:szCs w:val="21"/>
                <w:highlight w:val="none"/>
              </w:rPr>
              <w:t>（施工部分）</w:t>
            </w:r>
            <w:r>
              <w:rPr>
                <w:rFonts w:hint="eastAsia" w:ascii="宋体" w:hAnsi="宋体" w:cs="宋体"/>
                <w:bCs/>
                <w:color w:val="auto"/>
                <w:szCs w:val="21"/>
                <w:highlight w:val="none"/>
                <w:lang w:bidi="ar"/>
              </w:rPr>
              <w:t>项目业绩</w:t>
            </w:r>
            <w:bookmarkEnd w:id="162"/>
            <w:r>
              <w:rPr>
                <w:rFonts w:hint="eastAsia" w:ascii="宋体" w:hAnsi="宋体" w:cs="宋体"/>
                <w:bCs/>
                <w:color w:val="auto"/>
                <w:szCs w:val="21"/>
                <w:highlight w:val="none"/>
                <w:lang w:bidi="ar"/>
              </w:rPr>
              <w:t>，</w:t>
            </w:r>
            <w:r>
              <w:rPr>
                <w:rFonts w:hint="eastAsia" w:ascii="宋体" w:hAnsi="宋体" w:cs="新宋体"/>
                <w:color w:val="auto"/>
                <w:szCs w:val="21"/>
                <w:highlight w:val="none"/>
                <w:lang w:bidi="ar"/>
              </w:rPr>
              <w:t>得2分</w:t>
            </w:r>
            <w:r>
              <w:rPr>
                <w:rFonts w:hint="default" w:ascii="宋体" w:hAnsi="宋体" w:cs="宋体"/>
                <w:bCs/>
                <w:color w:val="auto"/>
                <w:szCs w:val="21"/>
                <w:highlight w:val="none"/>
                <w:lang w:bidi="ar"/>
              </w:rPr>
              <w:t>。</w:t>
            </w:r>
            <w:r>
              <w:rPr>
                <w:rFonts w:hint="eastAsia" w:ascii="宋体" w:hAnsi="宋体" w:cs="新宋体"/>
                <w:color w:val="auto"/>
                <w:szCs w:val="21"/>
                <w:highlight w:val="none"/>
                <w:lang w:bidi="ar"/>
              </w:rPr>
              <w:t>本小项最多得2分。</w:t>
            </w:r>
            <w:r>
              <w:rPr>
                <w:rFonts w:hint="default" w:ascii="宋体" w:hAnsi="宋体" w:cs="宋体"/>
                <w:color w:val="auto"/>
                <w:sz w:val="24"/>
                <w:szCs w:val="24"/>
                <w:highlight w:val="none"/>
                <w:lang w:bidi="ar"/>
              </w:rPr>
              <w:t xml:space="preserve"> </w:t>
            </w:r>
          </w:p>
          <w:p w14:paraId="797BF669">
            <w:pPr>
              <w:keepNext w:val="0"/>
              <w:keepLines w:val="0"/>
              <w:widowControl/>
              <w:suppressLineNumbers w:val="0"/>
              <w:spacing w:before="0" w:beforeAutospacing="0" w:after="0" w:afterAutospacing="0" w:line="360" w:lineRule="auto"/>
              <w:ind w:left="0" w:right="0"/>
              <w:textAlignment w:val="baseline"/>
              <w:rPr>
                <w:rFonts w:hint="eastAsia" w:ascii="宋体" w:hAnsi="宋体" w:cs="宋体"/>
                <w:color w:val="auto"/>
                <w:szCs w:val="21"/>
                <w:highlight w:val="none"/>
              </w:rPr>
            </w:pPr>
            <w:r>
              <w:rPr>
                <w:rFonts w:hint="default" w:ascii="宋体" w:hAnsi="宋体" w:cs="宋体"/>
                <w:color w:val="auto"/>
                <w:szCs w:val="21"/>
                <w:highlight w:val="none"/>
                <w:lang w:bidi="ar"/>
              </w:rPr>
              <w:t>（</w:t>
            </w:r>
            <w:r>
              <w:rPr>
                <w:rFonts w:hint="eastAsia" w:ascii="宋体" w:hAnsi="宋体" w:cs="宋体"/>
                <w:color w:val="auto"/>
                <w:szCs w:val="21"/>
                <w:highlight w:val="none"/>
                <w:lang w:bidi="ar"/>
              </w:rPr>
              <w:t>3</w:t>
            </w:r>
            <w:r>
              <w:rPr>
                <w:rFonts w:hint="default" w:ascii="宋体" w:hAnsi="宋体" w:cs="宋体"/>
                <w:color w:val="auto"/>
                <w:szCs w:val="21"/>
                <w:highlight w:val="none"/>
                <w:lang w:bidi="ar"/>
              </w:rPr>
              <w:t>）拟投入项目负责人</w:t>
            </w:r>
            <w:r>
              <w:rPr>
                <w:rFonts w:hint="eastAsia" w:ascii="宋体" w:hAnsi="宋体" w:cs="宋体"/>
                <w:bCs/>
                <w:color w:val="auto"/>
                <w:szCs w:val="21"/>
                <w:highlight w:val="none"/>
                <w:lang w:bidi="ar"/>
              </w:rPr>
              <w:t>自2022年1月1日</w:t>
            </w:r>
            <w:r>
              <w:rPr>
                <w:rFonts w:hint="eastAsia" w:ascii="宋体" w:hAnsi="宋体" w:cs="宋体"/>
                <w:color w:val="auto"/>
                <w:szCs w:val="21"/>
                <w:highlight w:val="none"/>
                <w:lang w:bidi="ar"/>
              </w:rPr>
              <w:t>至投标截止时间</w:t>
            </w:r>
            <w:r>
              <w:rPr>
                <w:rFonts w:hint="default" w:ascii="宋体" w:hAnsi="宋体" w:cs="宋体"/>
                <w:color w:val="auto"/>
                <w:szCs w:val="21"/>
                <w:highlight w:val="none"/>
                <w:lang w:bidi="ar"/>
              </w:rPr>
              <w:t>，</w:t>
            </w:r>
            <w:r>
              <w:rPr>
                <w:rFonts w:hint="eastAsia" w:ascii="宋体" w:hAnsi="宋体" w:eastAsia="宋体" w:cs="宋体"/>
                <w:color w:val="auto"/>
                <w:sz w:val="21"/>
                <w:szCs w:val="21"/>
                <w:highlight w:val="none"/>
                <w:u w:val="none"/>
                <w:lang w:val="en-US" w:eastAsia="zh-CN"/>
              </w:rPr>
              <w:t>担任项目负责人</w:t>
            </w:r>
            <w:r>
              <w:rPr>
                <w:rFonts w:hint="eastAsia" w:ascii="Calibri" w:hAnsi="Calibri" w:cs="宋体"/>
                <w:color w:val="auto"/>
                <w:szCs w:val="21"/>
                <w:highlight w:val="none"/>
                <w:lang w:val="en-US" w:eastAsia="zh-CN" w:bidi="ar"/>
              </w:rPr>
              <w:t>并</w:t>
            </w:r>
            <w:r>
              <w:rPr>
                <w:rFonts w:hint="default" w:ascii="宋体" w:hAnsi="宋体" w:cs="宋体"/>
                <w:color w:val="auto"/>
                <w:szCs w:val="21"/>
                <w:highlight w:val="none"/>
                <w:lang w:bidi="ar"/>
              </w:rPr>
              <w:t>完成过建筑工程施工总承包或工程总承包项目获得过省级或以上工程质量奖项的，得</w:t>
            </w:r>
            <w:r>
              <w:rPr>
                <w:rFonts w:hint="eastAsia" w:ascii="宋体" w:hAnsi="宋体" w:cs="宋体"/>
                <w:color w:val="auto"/>
                <w:szCs w:val="21"/>
                <w:highlight w:val="none"/>
                <w:lang w:bidi="ar"/>
              </w:rPr>
              <w:t>2</w:t>
            </w:r>
            <w:r>
              <w:rPr>
                <w:rFonts w:hint="default" w:ascii="宋体" w:hAnsi="宋体" w:cs="宋体"/>
                <w:color w:val="auto"/>
                <w:szCs w:val="21"/>
                <w:highlight w:val="none"/>
                <w:lang w:bidi="ar"/>
              </w:rPr>
              <w:t>分</w:t>
            </w:r>
            <w:r>
              <w:rPr>
                <w:rFonts w:hint="eastAsia" w:ascii="宋体" w:hAnsi="宋体" w:cs="宋体"/>
                <w:color w:val="auto"/>
                <w:szCs w:val="21"/>
                <w:highlight w:val="none"/>
                <w:lang w:bidi="ar"/>
              </w:rPr>
              <w:t>。</w:t>
            </w:r>
            <w:r>
              <w:rPr>
                <w:rFonts w:hint="eastAsia" w:ascii="宋体" w:hAnsi="宋体" w:cs="新宋体"/>
                <w:color w:val="auto"/>
                <w:szCs w:val="21"/>
                <w:highlight w:val="none"/>
                <w:lang w:bidi="ar"/>
              </w:rPr>
              <w:t>本小项最多得2分。</w:t>
            </w:r>
          </w:p>
          <w:p w14:paraId="0CDF7551">
            <w:pPr>
              <w:keepNext w:val="0"/>
              <w:keepLines w:val="0"/>
              <w:suppressLineNumbers w:val="0"/>
              <w:spacing w:before="0" w:beforeAutospacing="0" w:after="0" w:afterAutospacing="0" w:line="360" w:lineRule="auto"/>
              <w:ind w:left="0" w:leftChars="0" w:right="0" w:rightChars="0"/>
              <w:rPr>
                <w:rFonts w:hint="default" w:ascii="宋体" w:hAnsi="宋体" w:cs="Calibri"/>
                <w:color w:val="auto"/>
                <w:kern w:val="2"/>
                <w:sz w:val="22"/>
                <w:szCs w:val="22"/>
                <w:highlight w:val="none"/>
                <w:lang w:val="en-US" w:eastAsia="zh-CN" w:bidi="ar-SA"/>
              </w:rPr>
            </w:pPr>
            <w:r>
              <w:rPr>
                <w:rFonts w:hint="eastAsia" w:ascii="宋体" w:hAnsi="宋体" w:cs="宋体"/>
                <w:color w:val="auto"/>
                <w:szCs w:val="21"/>
                <w:highlight w:val="none"/>
                <w:lang w:bidi="ar"/>
              </w:rPr>
              <w:t>不满足上述条件的，不得分。</w:t>
            </w:r>
            <w:bookmarkEnd w:id="161"/>
          </w:p>
        </w:tc>
      </w:tr>
      <w:tr w14:paraId="1CA02853">
        <w:tblPrEx>
          <w:shd w:val="clear" w:color="auto" w:fill="auto"/>
          <w:tblCellMar>
            <w:top w:w="0" w:type="dxa"/>
            <w:left w:w="108" w:type="dxa"/>
            <w:bottom w:w="0" w:type="dxa"/>
            <w:right w:w="108" w:type="dxa"/>
          </w:tblCellMar>
        </w:tblPrEx>
        <w:trPr>
          <w:trHeight w:val="154" w:hRule="atLeast"/>
        </w:trPr>
        <w:tc>
          <w:tcPr>
            <w:tcW w:w="1214" w:type="dxa"/>
            <w:vMerge w:val="continue"/>
            <w:tcBorders>
              <w:left w:val="single" w:color="000000" w:sz="4" w:space="0"/>
              <w:right w:val="single" w:color="000000" w:sz="4" w:space="0"/>
            </w:tcBorders>
            <w:shd w:val="clear" w:color="auto" w:fill="auto"/>
            <w:noWrap w:val="0"/>
            <w:vAlign w:val="center"/>
          </w:tcPr>
          <w:p w14:paraId="384CA4BF">
            <w:pPr>
              <w:keepNext w:val="0"/>
              <w:keepLines w:val="0"/>
              <w:suppressLineNumbers w:val="0"/>
              <w:spacing w:before="0" w:beforeAutospacing="0" w:after="0" w:afterAutospacing="0" w:line="288" w:lineRule="auto"/>
              <w:ind w:left="0" w:right="0"/>
              <w:rPr>
                <w:rFonts w:hint="default" w:ascii="Calibri" w:hAnsi="Calibri" w:cs="Calibri"/>
                <w:color w:val="auto"/>
                <w:highlight w:val="none"/>
              </w:rPr>
            </w:pPr>
          </w:p>
        </w:tc>
        <w:tc>
          <w:tcPr>
            <w:tcW w:w="1261" w:type="dxa"/>
            <w:vMerge w:val="continue"/>
            <w:tcBorders>
              <w:left w:val="single" w:color="000000" w:sz="4" w:space="0"/>
              <w:right w:val="single" w:color="000000" w:sz="4" w:space="0"/>
            </w:tcBorders>
            <w:shd w:val="clear" w:color="auto" w:fill="auto"/>
            <w:noWrap w:val="0"/>
            <w:vAlign w:val="center"/>
          </w:tcPr>
          <w:p w14:paraId="5E33F3CB">
            <w:pPr>
              <w:keepNext w:val="0"/>
              <w:keepLines w:val="0"/>
              <w:suppressLineNumbers w:val="0"/>
              <w:spacing w:before="0" w:beforeAutospacing="0" w:after="0" w:afterAutospacing="0" w:line="288" w:lineRule="auto"/>
              <w:ind w:left="0" w:right="0"/>
              <w:rPr>
                <w:rFonts w:hint="default" w:ascii="Calibri" w:hAnsi="Calibri" w:cs="Calibri"/>
                <w:color w:val="auto"/>
                <w:highlight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2611E">
            <w:pPr>
              <w:keepNext w:val="0"/>
              <w:keepLines w:val="0"/>
              <w:suppressLineNumbers w:val="0"/>
              <w:tabs>
                <w:tab w:val="left" w:pos="360"/>
              </w:tabs>
              <w:snapToGrid w:val="0"/>
              <w:spacing w:before="0" w:beforeAutospacing="0" w:after="0" w:afterAutospacing="0"/>
              <w:ind w:left="0" w:leftChars="0" w:right="0" w:rightChars="0"/>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1"/>
                <w:highlight w:val="none"/>
                <w:lang w:bidi="ar"/>
              </w:rPr>
              <w:t>技术负责人(</w:t>
            </w: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分)</w:t>
            </w:r>
          </w:p>
        </w:tc>
        <w:tc>
          <w:tcPr>
            <w:tcW w:w="10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E65A1">
            <w:pPr>
              <w:keepNext w:val="0"/>
              <w:keepLines w:val="0"/>
              <w:suppressLineNumbers w:val="0"/>
              <w:spacing w:before="0" w:beforeAutospacing="0" w:after="0" w:afterAutospacing="0" w:line="360" w:lineRule="auto"/>
              <w:ind w:left="0" w:right="0"/>
              <w:rPr>
                <w:rFonts w:hint="eastAsia" w:ascii="宋体" w:hAnsi="宋体" w:cs="宋体"/>
                <w:color w:val="auto"/>
                <w:kern w:val="0"/>
                <w:sz w:val="24"/>
                <w:szCs w:val="21"/>
                <w:highlight w:val="none"/>
              </w:rPr>
            </w:pPr>
            <w:r>
              <w:rPr>
                <w:rFonts w:hint="eastAsia" w:ascii="宋体" w:hAnsi="宋体" w:cs="宋体"/>
                <w:bCs/>
                <w:color w:val="auto"/>
                <w:szCs w:val="21"/>
                <w:highlight w:val="none"/>
                <w:lang w:eastAsia="zh-CN" w:bidi="ar"/>
              </w:rPr>
              <w:t>（</w:t>
            </w:r>
            <w:r>
              <w:rPr>
                <w:rFonts w:hint="eastAsia" w:ascii="宋体" w:hAnsi="宋体" w:cs="宋体"/>
                <w:bCs/>
                <w:color w:val="auto"/>
                <w:szCs w:val="21"/>
                <w:highlight w:val="none"/>
                <w:lang w:val="en-US" w:eastAsia="zh-CN" w:bidi="ar"/>
              </w:rPr>
              <w:t>1）</w:t>
            </w:r>
            <w:r>
              <w:rPr>
                <w:rFonts w:hint="eastAsia" w:ascii="宋体" w:hAnsi="宋体" w:cs="宋体"/>
                <w:bCs/>
                <w:color w:val="auto"/>
                <w:szCs w:val="21"/>
                <w:highlight w:val="none"/>
                <w:lang w:bidi="ar"/>
              </w:rPr>
              <w:t>拟投入技术负责人自2022年1月1日</w:t>
            </w:r>
            <w:r>
              <w:rPr>
                <w:rFonts w:hint="eastAsia" w:ascii="宋体" w:hAnsi="宋体" w:cs="宋体"/>
                <w:color w:val="auto"/>
                <w:szCs w:val="21"/>
                <w:highlight w:val="none"/>
                <w:lang w:bidi="ar"/>
              </w:rPr>
              <w:t>至投标截止时间，担任技术负责人</w:t>
            </w:r>
            <w:r>
              <w:rPr>
                <w:rFonts w:hint="eastAsia" w:ascii="宋体" w:hAnsi="宋体" w:cs="宋体"/>
                <w:color w:val="auto"/>
                <w:szCs w:val="21"/>
                <w:highlight w:val="none"/>
                <w:lang w:val="en-US" w:eastAsia="zh-CN" w:bidi="ar"/>
              </w:rPr>
              <w:t>或项目负责人</w:t>
            </w:r>
            <w:r>
              <w:rPr>
                <w:rFonts w:hint="eastAsia" w:ascii="宋体" w:hAnsi="宋体" w:cs="宋体"/>
                <w:bCs/>
                <w:color w:val="auto"/>
                <w:szCs w:val="21"/>
                <w:highlight w:val="none"/>
                <w:lang w:bidi="ar"/>
              </w:rPr>
              <w:t>完成过</w:t>
            </w:r>
            <w:r>
              <w:rPr>
                <w:rFonts w:hint="eastAsia" w:ascii="宋体" w:hAnsi="宋体" w:cs="新宋体"/>
                <w:color w:val="auto"/>
                <w:szCs w:val="21"/>
                <w:highlight w:val="none"/>
                <w:lang w:bidi="ar"/>
              </w:rPr>
              <w:t>质量合格的金额大于或等于40</w:t>
            </w:r>
            <w:r>
              <w:rPr>
                <w:rFonts w:hint="eastAsia" w:ascii="宋体" w:hAnsi="宋体" w:cs="宋体"/>
                <w:bCs/>
                <w:color w:val="auto"/>
                <w:szCs w:val="21"/>
                <w:highlight w:val="none"/>
                <w:lang w:bidi="ar"/>
              </w:rPr>
              <w:t>000万元的建筑工程施工总承包</w:t>
            </w:r>
            <w:r>
              <w:rPr>
                <w:rFonts w:hint="eastAsia" w:ascii="宋体" w:hAnsi="宋体" w:cs="宋体"/>
                <w:color w:val="auto"/>
                <w:szCs w:val="21"/>
                <w:highlight w:val="none"/>
                <w:lang w:bidi="ar"/>
              </w:rPr>
              <w:t>或工程总承包</w:t>
            </w:r>
            <w:r>
              <w:rPr>
                <w:rFonts w:hint="eastAsia" w:ascii="宋体" w:hAnsi="宋体" w:cs="宋体"/>
                <w:color w:val="auto"/>
                <w:szCs w:val="21"/>
                <w:highlight w:val="none"/>
              </w:rPr>
              <w:t>（施工部分）</w:t>
            </w:r>
            <w:r>
              <w:rPr>
                <w:rFonts w:hint="eastAsia" w:ascii="宋体" w:hAnsi="宋体" w:cs="宋体"/>
                <w:bCs/>
                <w:color w:val="auto"/>
                <w:szCs w:val="21"/>
                <w:highlight w:val="none"/>
                <w:lang w:bidi="ar"/>
              </w:rPr>
              <w:t>项目业绩</w:t>
            </w:r>
            <w:r>
              <w:rPr>
                <w:rFonts w:hint="eastAsia" w:ascii="宋体" w:hAnsi="宋体" w:cs="新宋体"/>
                <w:color w:val="auto"/>
                <w:szCs w:val="21"/>
                <w:highlight w:val="none"/>
                <w:lang w:bidi="ar"/>
              </w:rPr>
              <w:t>得</w:t>
            </w:r>
            <w:r>
              <w:rPr>
                <w:rFonts w:hint="eastAsia" w:ascii="宋体" w:hAnsi="宋体" w:cs="新宋体"/>
                <w:color w:val="auto"/>
                <w:szCs w:val="21"/>
                <w:highlight w:val="none"/>
                <w:lang w:val="en-US" w:eastAsia="zh-CN" w:bidi="ar"/>
              </w:rPr>
              <w:t>2</w:t>
            </w:r>
            <w:r>
              <w:rPr>
                <w:rFonts w:hint="eastAsia" w:ascii="宋体" w:hAnsi="宋体" w:cs="新宋体"/>
                <w:color w:val="auto"/>
                <w:szCs w:val="21"/>
                <w:highlight w:val="none"/>
                <w:lang w:bidi="ar"/>
              </w:rPr>
              <w:t>分</w:t>
            </w:r>
            <w:r>
              <w:rPr>
                <w:rFonts w:hint="eastAsia" w:ascii="宋体" w:hAnsi="宋体" w:cs="宋体"/>
                <w:color w:val="auto"/>
                <w:szCs w:val="21"/>
                <w:highlight w:val="none"/>
                <w:lang w:bidi="ar"/>
              </w:rPr>
              <w:t>。</w:t>
            </w:r>
            <w:r>
              <w:rPr>
                <w:rFonts w:hint="eastAsia" w:ascii="宋体" w:hAnsi="宋体" w:cs="宋体"/>
                <w:bCs/>
                <w:color w:val="auto"/>
                <w:szCs w:val="21"/>
                <w:highlight w:val="none"/>
                <w:lang w:bidi="ar"/>
              </w:rPr>
              <w:t>本小项最多得</w:t>
            </w:r>
            <w:r>
              <w:rPr>
                <w:rFonts w:hint="eastAsia" w:ascii="宋体" w:hAnsi="宋体" w:cs="宋体"/>
                <w:bCs/>
                <w:color w:val="auto"/>
                <w:szCs w:val="21"/>
                <w:highlight w:val="none"/>
                <w:lang w:val="en-US" w:eastAsia="zh-CN" w:bidi="ar"/>
              </w:rPr>
              <w:t>2</w:t>
            </w:r>
            <w:r>
              <w:rPr>
                <w:rFonts w:hint="eastAsia" w:ascii="宋体" w:hAnsi="宋体" w:cs="宋体"/>
                <w:bCs/>
                <w:color w:val="auto"/>
                <w:szCs w:val="21"/>
                <w:highlight w:val="none"/>
                <w:lang w:bidi="ar"/>
              </w:rPr>
              <w:t>分。</w:t>
            </w:r>
          </w:p>
          <w:p w14:paraId="7854423B">
            <w:pPr>
              <w:keepNext w:val="0"/>
              <w:keepLines w:val="0"/>
              <w:suppressLineNumbers w:val="0"/>
              <w:spacing w:before="0" w:beforeAutospacing="0" w:after="0" w:afterAutospacing="0" w:line="360" w:lineRule="auto"/>
              <w:ind w:left="0" w:leftChars="0" w:right="0" w:rightChars="0"/>
              <w:rPr>
                <w:rFonts w:hint="eastAsia" w:ascii="宋体" w:hAnsi="宋体" w:cs="宋体"/>
                <w:color w:val="auto"/>
                <w:szCs w:val="21"/>
                <w:highlight w:val="none"/>
                <w:lang w:bidi="ar"/>
              </w:rPr>
            </w:pPr>
            <w:r>
              <w:rPr>
                <w:rFonts w:hint="eastAsia" w:ascii="宋体" w:hAnsi="宋体" w:eastAsia="宋体" w:cs="宋体"/>
                <w:color w:val="auto"/>
                <w:sz w:val="21"/>
                <w:szCs w:val="21"/>
                <w:highlight w:val="none"/>
                <w:u w:val="none"/>
                <w:lang w:val="en-US" w:eastAsia="zh-CN"/>
              </w:rPr>
              <w:t>（2）</w:t>
            </w:r>
            <w:r>
              <w:rPr>
                <w:rFonts w:hint="eastAsia" w:ascii="宋体" w:hAnsi="宋体" w:cs="宋体"/>
                <w:bCs/>
                <w:color w:val="auto"/>
                <w:szCs w:val="21"/>
                <w:highlight w:val="none"/>
                <w:lang w:bidi="ar"/>
              </w:rPr>
              <w:t>拟投入技术负责人自2022年1月1日</w:t>
            </w:r>
            <w:r>
              <w:rPr>
                <w:rFonts w:hint="eastAsia" w:ascii="宋体" w:hAnsi="宋体" w:cs="宋体"/>
                <w:color w:val="auto"/>
                <w:szCs w:val="21"/>
                <w:highlight w:val="none"/>
                <w:lang w:bidi="ar"/>
              </w:rPr>
              <w:t>至投标截止时间，担任技术负责人</w:t>
            </w:r>
            <w:r>
              <w:rPr>
                <w:rFonts w:hint="eastAsia" w:ascii="宋体" w:hAnsi="宋体" w:cs="宋体"/>
                <w:color w:val="auto"/>
                <w:szCs w:val="21"/>
                <w:highlight w:val="none"/>
                <w:lang w:val="en-US" w:eastAsia="zh-CN" w:bidi="ar"/>
              </w:rPr>
              <w:t>或项目负责人</w:t>
            </w:r>
            <w:r>
              <w:rPr>
                <w:rFonts w:hint="eastAsia" w:ascii="宋体" w:hAnsi="宋体" w:eastAsia="宋体" w:cs="宋体"/>
                <w:color w:val="auto"/>
                <w:sz w:val="21"/>
                <w:szCs w:val="21"/>
                <w:highlight w:val="none"/>
                <w:u w:val="none"/>
                <w:lang w:val="en-US" w:eastAsia="zh-CN"/>
              </w:rPr>
              <w:t>完成过质量合格的单跨跨度大于或等于</w:t>
            </w:r>
            <w:r>
              <w:rPr>
                <w:rFonts w:hint="eastAsia" w:ascii="宋体" w:hAnsi="宋体" w:cs="宋体"/>
                <w:color w:val="auto"/>
                <w:sz w:val="21"/>
                <w:szCs w:val="21"/>
                <w:highlight w:val="none"/>
                <w:u w:val="none"/>
                <w:lang w:val="en-US" w:eastAsia="zh-CN"/>
              </w:rPr>
              <w:t>24</w:t>
            </w:r>
            <w:r>
              <w:rPr>
                <w:rFonts w:hint="eastAsia" w:ascii="宋体" w:hAnsi="宋体" w:eastAsia="宋体" w:cs="宋体"/>
                <w:color w:val="auto"/>
                <w:sz w:val="21"/>
                <w:szCs w:val="21"/>
                <w:highlight w:val="none"/>
                <w:u w:val="none"/>
                <w:lang w:val="en-US" w:eastAsia="zh-CN"/>
              </w:rPr>
              <w:t>米的</w:t>
            </w:r>
            <w:bookmarkStart w:id="163" w:name="OLE_LINK18"/>
            <w:r>
              <w:rPr>
                <w:rFonts w:hint="eastAsia" w:ascii="宋体" w:hAnsi="宋体" w:eastAsia="宋体" w:cs="宋体"/>
                <w:color w:val="auto"/>
                <w:sz w:val="21"/>
                <w:szCs w:val="21"/>
                <w:highlight w:val="none"/>
                <w:u w:val="none"/>
                <w:lang w:val="en-US" w:eastAsia="zh-CN"/>
              </w:rPr>
              <w:t>钢结构工程</w:t>
            </w:r>
            <w:bookmarkEnd w:id="163"/>
            <w:r>
              <w:rPr>
                <w:rFonts w:hint="eastAsia" w:ascii="宋体" w:hAnsi="宋体" w:eastAsia="宋体" w:cs="宋体"/>
                <w:color w:val="auto"/>
                <w:sz w:val="21"/>
                <w:szCs w:val="21"/>
                <w:highlight w:val="none"/>
                <w:u w:val="none"/>
                <w:lang w:val="en-US" w:eastAsia="zh-CN"/>
              </w:rPr>
              <w:t>业绩得</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分</w:t>
            </w:r>
            <w:r>
              <w:rPr>
                <w:rFonts w:hint="eastAsia" w:ascii="宋体" w:hAnsi="宋体" w:cs="宋体"/>
                <w:color w:val="auto"/>
                <w:szCs w:val="21"/>
                <w:highlight w:val="none"/>
                <w:lang w:bidi="ar"/>
              </w:rPr>
              <w:t>。</w:t>
            </w:r>
            <w:r>
              <w:rPr>
                <w:rFonts w:hint="eastAsia" w:ascii="宋体" w:hAnsi="宋体" w:cs="宋体"/>
                <w:bCs/>
                <w:color w:val="auto"/>
                <w:szCs w:val="21"/>
                <w:highlight w:val="none"/>
                <w:lang w:bidi="ar"/>
              </w:rPr>
              <w:t>本小项最多得</w:t>
            </w:r>
            <w:r>
              <w:rPr>
                <w:rFonts w:hint="eastAsia" w:ascii="宋体" w:hAnsi="宋体" w:cs="宋体"/>
                <w:bCs/>
                <w:color w:val="auto"/>
                <w:szCs w:val="21"/>
                <w:highlight w:val="none"/>
                <w:lang w:val="en-US" w:eastAsia="zh-CN" w:bidi="ar"/>
              </w:rPr>
              <w:t>2</w:t>
            </w:r>
            <w:r>
              <w:rPr>
                <w:rFonts w:hint="eastAsia" w:ascii="宋体" w:hAnsi="宋体" w:cs="宋体"/>
                <w:bCs/>
                <w:color w:val="auto"/>
                <w:szCs w:val="21"/>
                <w:highlight w:val="none"/>
                <w:lang w:bidi="ar"/>
              </w:rPr>
              <w:t>分。</w:t>
            </w:r>
          </w:p>
          <w:p w14:paraId="2CB7E855">
            <w:pPr>
              <w:keepNext w:val="0"/>
              <w:keepLines w:val="0"/>
              <w:suppressLineNumbers w:val="0"/>
              <w:spacing w:before="0" w:beforeAutospacing="0" w:after="0" w:afterAutospacing="0" w:line="360" w:lineRule="auto"/>
              <w:ind w:left="0" w:leftChars="0" w:right="0" w:rightChars="0"/>
              <w:rPr>
                <w:rFonts w:hint="eastAsia" w:ascii="宋体" w:hAnsi="宋体" w:cs="Calibri"/>
                <w:color w:val="auto"/>
                <w:kern w:val="2"/>
                <w:sz w:val="22"/>
                <w:szCs w:val="22"/>
                <w:highlight w:val="none"/>
                <w:lang w:val="en-US" w:eastAsia="zh-CN" w:bidi="ar-SA"/>
              </w:rPr>
            </w:pPr>
            <w:r>
              <w:rPr>
                <w:rFonts w:hint="eastAsia" w:ascii="宋体" w:hAnsi="宋体" w:cs="宋体"/>
                <w:color w:val="auto"/>
                <w:szCs w:val="21"/>
                <w:highlight w:val="none"/>
                <w:lang w:bidi="ar"/>
              </w:rPr>
              <w:t>不满足上述条件的，不得分。</w:t>
            </w:r>
          </w:p>
        </w:tc>
      </w:tr>
      <w:tr w14:paraId="6A892AAC">
        <w:tblPrEx>
          <w:shd w:val="clear" w:color="auto" w:fill="auto"/>
          <w:tblCellMar>
            <w:top w:w="0" w:type="dxa"/>
            <w:left w:w="108" w:type="dxa"/>
            <w:bottom w:w="0" w:type="dxa"/>
            <w:right w:w="108" w:type="dxa"/>
          </w:tblCellMar>
        </w:tblPrEx>
        <w:trPr>
          <w:trHeight w:val="154" w:hRule="atLeast"/>
        </w:trPr>
        <w:tc>
          <w:tcPr>
            <w:tcW w:w="1214" w:type="dxa"/>
            <w:vMerge w:val="continue"/>
            <w:tcBorders>
              <w:left w:val="single" w:color="000000" w:sz="4" w:space="0"/>
              <w:right w:val="single" w:color="000000" w:sz="4" w:space="0"/>
            </w:tcBorders>
            <w:shd w:val="clear" w:color="auto" w:fill="auto"/>
            <w:noWrap w:val="0"/>
            <w:vAlign w:val="center"/>
          </w:tcPr>
          <w:p w14:paraId="68CAB318">
            <w:pPr>
              <w:keepNext w:val="0"/>
              <w:keepLines w:val="0"/>
              <w:suppressLineNumbers w:val="0"/>
              <w:spacing w:before="0" w:beforeAutospacing="0" w:after="0" w:afterAutospacing="0" w:line="288" w:lineRule="auto"/>
              <w:ind w:left="0" w:right="0"/>
              <w:rPr>
                <w:rFonts w:hint="eastAsia" w:ascii="宋体" w:hAnsi="宋体" w:cs="仿宋"/>
                <w:color w:val="auto"/>
                <w:szCs w:val="21"/>
                <w:highlight w:val="none"/>
              </w:rPr>
            </w:pPr>
          </w:p>
        </w:tc>
        <w:tc>
          <w:tcPr>
            <w:tcW w:w="1261" w:type="dxa"/>
            <w:vMerge w:val="continue"/>
            <w:tcBorders>
              <w:left w:val="single" w:color="000000" w:sz="4" w:space="0"/>
              <w:right w:val="single" w:color="000000" w:sz="4" w:space="0"/>
            </w:tcBorders>
            <w:shd w:val="clear" w:color="auto" w:fill="auto"/>
            <w:noWrap w:val="0"/>
            <w:vAlign w:val="center"/>
          </w:tcPr>
          <w:p w14:paraId="18D585FB">
            <w:pPr>
              <w:keepNext w:val="0"/>
              <w:keepLines w:val="0"/>
              <w:suppressLineNumbers w:val="0"/>
              <w:spacing w:before="0" w:beforeAutospacing="0" w:after="0" w:afterAutospacing="0" w:line="288" w:lineRule="auto"/>
              <w:ind w:left="0" w:right="0"/>
              <w:rPr>
                <w:rFonts w:hint="eastAsia" w:ascii="宋体" w:hAnsi="宋体" w:cs="仿宋"/>
                <w:color w:val="auto"/>
                <w:szCs w:val="21"/>
                <w:highlight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6815A">
            <w:pPr>
              <w:keepNext w:val="0"/>
              <w:keepLines w:val="0"/>
              <w:suppressLineNumbers w:val="0"/>
              <w:tabs>
                <w:tab w:val="left" w:pos="360"/>
              </w:tabs>
              <w:snapToGrid w:val="0"/>
              <w:spacing w:before="0" w:beforeAutospacing="0" w:after="0" w:afterAutospacing="0"/>
              <w:ind w:left="0" w:leftChars="0" w:right="0" w:rightChars="0"/>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1"/>
                <w:highlight w:val="none"/>
                <w:lang w:bidi="ar"/>
              </w:rPr>
              <w:t>质量负责人(</w:t>
            </w: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分)</w:t>
            </w:r>
          </w:p>
        </w:tc>
        <w:tc>
          <w:tcPr>
            <w:tcW w:w="10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91DA3">
            <w:pPr>
              <w:keepNext w:val="0"/>
              <w:keepLines w:val="0"/>
              <w:widowControl/>
              <w:suppressLineNumbers w:val="0"/>
              <w:spacing w:before="0" w:beforeAutospacing="0" w:after="0" w:afterAutospacing="0" w:line="360" w:lineRule="auto"/>
              <w:ind w:left="0" w:right="0"/>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（1）具有建筑工程类相关专业中级工程师技术职称的，得1分；具有建筑工程类相关专业高级工程师（或以上）技术职称的，得</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bidi="ar"/>
              </w:rPr>
              <w:t>分。</w:t>
            </w:r>
            <w:r>
              <w:rPr>
                <w:rFonts w:hint="eastAsia" w:ascii="宋体" w:hAnsi="宋体" w:cs="新宋体"/>
                <w:color w:val="auto"/>
                <w:szCs w:val="21"/>
                <w:highlight w:val="none"/>
                <w:lang w:bidi="ar"/>
              </w:rPr>
              <w:t>本小项最多得</w:t>
            </w:r>
            <w:r>
              <w:rPr>
                <w:rFonts w:hint="eastAsia" w:ascii="宋体" w:hAnsi="宋体" w:cs="新宋体"/>
                <w:color w:val="auto"/>
                <w:szCs w:val="21"/>
                <w:highlight w:val="none"/>
                <w:lang w:val="en-US" w:eastAsia="zh-CN" w:bidi="ar"/>
              </w:rPr>
              <w:t>2</w:t>
            </w:r>
            <w:r>
              <w:rPr>
                <w:rFonts w:hint="eastAsia" w:ascii="宋体" w:hAnsi="宋体" w:cs="新宋体"/>
                <w:color w:val="auto"/>
                <w:szCs w:val="21"/>
                <w:highlight w:val="none"/>
                <w:lang w:bidi="ar"/>
              </w:rPr>
              <w:t>分。</w:t>
            </w:r>
          </w:p>
          <w:p w14:paraId="6C23CAFA">
            <w:pPr>
              <w:keepNext w:val="0"/>
              <w:keepLines w:val="0"/>
              <w:suppressLineNumbers w:val="0"/>
              <w:spacing w:before="0" w:beforeAutospacing="0" w:after="0" w:afterAutospacing="0" w:line="360" w:lineRule="auto"/>
              <w:ind w:left="0" w:right="0"/>
              <w:rPr>
                <w:rFonts w:hint="eastAsia" w:ascii="宋体" w:hAnsi="宋体" w:cs="宋体"/>
                <w:color w:val="auto"/>
                <w:kern w:val="0"/>
                <w:sz w:val="24"/>
                <w:szCs w:val="21"/>
                <w:highlight w:val="none"/>
              </w:rPr>
            </w:pPr>
            <w:r>
              <w:rPr>
                <w:rFonts w:hint="eastAsia" w:ascii="宋体" w:hAnsi="宋体" w:cs="宋体"/>
                <w:bCs/>
                <w:color w:val="auto"/>
                <w:szCs w:val="21"/>
                <w:highlight w:val="none"/>
                <w:lang w:bidi="ar"/>
              </w:rPr>
              <w:t>（2）拟投入质量负责人自2022年1月1日</w:t>
            </w:r>
            <w:r>
              <w:rPr>
                <w:rFonts w:hint="eastAsia" w:ascii="宋体" w:hAnsi="宋体" w:cs="宋体"/>
                <w:color w:val="auto"/>
                <w:szCs w:val="21"/>
                <w:highlight w:val="none"/>
                <w:lang w:bidi="ar"/>
              </w:rPr>
              <w:t>至投标截止时间，担任质量负责人</w:t>
            </w:r>
            <w:r>
              <w:rPr>
                <w:rFonts w:hint="eastAsia" w:ascii="宋体" w:hAnsi="宋体" w:cs="宋体"/>
                <w:color w:val="auto"/>
                <w:szCs w:val="21"/>
                <w:highlight w:val="none"/>
                <w:lang w:val="en-US" w:eastAsia="zh-CN" w:bidi="ar"/>
              </w:rPr>
              <w:t>或</w:t>
            </w:r>
            <w:r>
              <w:rPr>
                <w:rFonts w:hint="eastAsia" w:ascii="宋体" w:hAnsi="宋体" w:cs="宋体"/>
                <w:color w:val="auto"/>
                <w:szCs w:val="21"/>
                <w:highlight w:val="none"/>
                <w:lang w:bidi="ar"/>
              </w:rPr>
              <w:t>技术负责人</w:t>
            </w:r>
            <w:r>
              <w:rPr>
                <w:rFonts w:hint="eastAsia" w:ascii="宋体" w:hAnsi="宋体" w:cs="宋体"/>
                <w:color w:val="auto"/>
                <w:szCs w:val="21"/>
                <w:highlight w:val="none"/>
                <w:lang w:val="en-US" w:eastAsia="zh-CN" w:bidi="ar"/>
              </w:rPr>
              <w:t>或项目负责人</w:t>
            </w:r>
            <w:r>
              <w:rPr>
                <w:rFonts w:hint="eastAsia" w:ascii="宋体" w:hAnsi="宋体" w:cs="宋体"/>
                <w:bCs/>
                <w:color w:val="auto"/>
                <w:szCs w:val="21"/>
                <w:highlight w:val="none"/>
                <w:lang w:bidi="ar"/>
              </w:rPr>
              <w:t>完成过</w:t>
            </w:r>
            <w:r>
              <w:rPr>
                <w:rFonts w:hint="eastAsia" w:ascii="宋体" w:hAnsi="宋体" w:cs="新宋体"/>
                <w:color w:val="auto"/>
                <w:szCs w:val="21"/>
                <w:highlight w:val="none"/>
                <w:lang w:bidi="ar"/>
              </w:rPr>
              <w:t>质量合格的金额大于或等于40</w:t>
            </w:r>
            <w:r>
              <w:rPr>
                <w:rFonts w:hint="eastAsia" w:ascii="宋体" w:hAnsi="宋体" w:cs="宋体"/>
                <w:bCs/>
                <w:color w:val="auto"/>
                <w:szCs w:val="21"/>
                <w:highlight w:val="none"/>
                <w:lang w:bidi="ar"/>
              </w:rPr>
              <w:t>000万元的建筑工程施工总承包</w:t>
            </w:r>
            <w:r>
              <w:rPr>
                <w:rFonts w:hint="eastAsia" w:ascii="宋体" w:hAnsi="宋体" w:cs="宋体"/>
                <w:color w:val="auto"/>
                <w:szCs w:val="21"/>
                <w:highlight w:val="none"/>
                <w:lang w:bidi="ar"/>
              </w:rPr>
              <w:t>或工程总承包</w:t>
            </w:r>
            <w:r>
              <w:rPr>
                <w:rFonts w:hint="eastAsia" w:ascii="宋体" w:hAnsi="宋体" w:cs="宋体"/>
                <w:color w:val="auto"/>
                <w:szCs w:val="21"/>
                <w:highlight w:val="none"/>
              </w:rPr>
              <w:t>（施工部分）</w:t>
            </w:r>
            <w:r>
              <w:rPr>
                <w:rFonts w:hint="eastAsia" w:ascii="宋体" w:hAnsi="宋体" w:cs="宋体"/>
                <w:bCs/>
                <w:color w:val="auto"/>
                <w:szCs w:val="21"/>
                <w:highlight w:val="none"/>
                <w:lang w:bidi="ar"/>
              </w:rPr>
              <w:t>项目业绩</w:t>
            </w:r>
            <w:r>
              <w:rPr>
                <w:rFonts w:hint="eastAsia" w:ascii="宋体" w:hAnsi="宋体" w:cs="新宋体"/>
                <w:color w:val="auto"/>
                <w:szCs w:val="21"/>
                <w:highlight w:val="none"/>
                <w:lang w:bidi="ar"/>
              </w:rPr>
              <w:t>得2分</w:t>
            </w:r>
            <w:r>
              <w:rPr>
                <w:rFonts w:hint="eastAsia" w:ascii="宋体" w:hAnsi="宋体" w:cs="宋体"/>
                <w:color w:val="auto"/>
                <w:szCs w:val="21"/>
                <w:highlight w:val="none"/>
                <w:lang w:bidi="ar"/>
              </w:rPr>
              <w:t>。</w:t>
            </w:r>
            <w:r>
              <w:rPr>
                <w:rFonts w:hint="eastAsia" w:ascii="宋体" w:hAnsi="宋体" w:cs="宋体"/>
                <w:bCs/>
                <w:color w:val="auto"/>
                <w:szCs w:val="21"/>
                <w:highlight w:val="none"/>
                <w:lang w:bidi="ar"/>
              </w:rPr>
              <w:t>本小项最多得2分。</w:t>
            </w:r>
          </w:p>
          <w:p w14:paraId="14AFF848">
            <w:pPr>
              <w:keepNext w:val="0"/>
              <w:keepLines w:val="0"/>
              <w:suppressLineNumbers w:val="0"/>
              <w:spacing w:before="0" w:beforeAutospacing="0" w:after="0" w:afterAutospacing="0" w:line="360" w:lineRule="auto"/>
              <w:ind w:left="0" w:leftChars="0" w:right="0" w:rightChars="0"/>
              <w:rPr>
                <w:rFonts w:hint="eastAsia" w:ascii="宋体" w:hAnsi="宋体" w:cs="Calibri"/>
                <w:color w:val="auto"/>
                <w:kern w:val="2"/>
                <w:sz w:val="22"/>
                <w:szCs w:val="22"/>
                <w:highlight w:val="none"/>
                <w:lang w:val="en-US" w:eastAsia="zh-CN" w:bidi="ar-SA"/>
              </w:rPr>
            </w:pPr>
            <w:r>
              <w:rPr>
                <w:rFonts w:hint="eastAsia" w:ascii="宋体" w:hAnsi="宋体" w:cs="宋体"/>
                <w:color w:val="auto"/>
                <w:szCs w:val="21"/>
                <w:highlight w:val="none"/>
                <w:lang w:bidi="ar"/>
              </w:rPr>
              <w:t>不满足上述条件的，不得分。</w:t>
            </w:r>
          </w:p>
        </w:tc>
      </w:tr>
      <w:tr w14:paraId="43A11FEE">
        <w:tblPrEx>
          <w:shd w:val="clear" w:color="auto" w:fill="auto"/>
          <w:tblCellMar>
            <w:top w:w="0" w:type="dxa"/>
            <w:left w:w="108" w:type="dxa"/>
            <w:bottom w:w="0" w:type="dxa"/>
            <w:right w:w="108" w:type="dxa"/>
          </w:tblCellMar>
        </w:tblPrEx>
        <w:trPr>
          <w:trHeight w:val="154" w:hRule="atLeast"/>
        </w:trPr>
        <w:tc>
          <w:tcPr>
            <w:tcW w:w="1214" w:type="dxa"/>
            <w:vMerge w:val="continue"/>
            <w:tcBorders>
              <w:left w:val="single" w:color="000000" w:sz="4" w:space="0"/>
              <w:right w:val="single" w:color="000000" w:sz="4" w:space="0"/>
            </w:tcBorders>
            <w:shd w:val="clear" w:color="auto" w:fill="auto"/>
            <w:noWrap w:val="0"/>
            <w:vAlign w:val="center"/>
          </w:tcPr>
          <w:p w14:paraId="1F9C6672">
            <w:pPr>
              <w:keepNext w:val="0"/>
              <w:keepLines w:val="0"/>
              <w:suppressLineNumbers w:val="0"/>
              <w:spacing w:before="0" w:beforeAutospacing="0" w:after="0" w:afterAutospacing="0" w:line="288" w:lineRule="auto"/>
              <w:ind w:left="0" w:right="0"/>
              <w:rPr>
                <w:rFonts w:hint="eastAsia" w:ascii="宋体" w:hAnsi="宋体" w:cs="仿宋"/>
                <w:color w:val="auto"/>
                <w:szCs w:val="21"/>
                <w:highlight w:val="none"/>
              </w:rPr>
            </w:pPr>
          </w:p>
        </w:tc>
        <w:tc>
          <w:tcPr>
            <w:tcW w:w="1261" w:type="dxa"/>
            <w:vMerge w:val="continue"/>
            <w:tcBorders>
              <w:left w:val="single" w:color="000000" w:sz="4" w:space="0"/>
              <w:right w:val="single" w:color="000000" w:sz="4" w:space="0"/>
            </w:tcBorders>
            <w:shd w:val="clear" w:color="auto" w:fill="auto"/>
            <w:noWrap w:val="0"/>
            <w:vAlign w:val="center"/>
          </w:tcPr>
          <w:p w14:paraId="0BA8D36E">
            <w:pPr>
              <w:keepNext w:val="0"/>
              <w:keepLines w:val="0"/>
              <w:suppressLineNumbers w:val="0"/>
              <w:spacing w:before="0" w:beforeAutospacing="0" w:after="0" w:afterAutospacing="0" w:line="288" w:lineRule="auto"/>
              <w:ind w:left="0" w:right="0"/>
              <w:rPr>
                <w:rFonts w:hint="eastAsia" w:ascii="宋体" w:hAnsi="宋体" w:cs="仿宋"/>
                <w:color w:val="auto"/>
                <w:szCs w:val="21"/>
                <w:highlight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5EEC7">
            <w:pPr>
              <w:keepNext w:val="0"/>
              <w:keepLines w:val="0"/>
              <w:suppressLineNumbers w:val="0"/>
              <w:tabs>
                <w:tab w:val="left" w:pos="360"/>
              </w:tabs>
              <w:snapToGrid w:val="0"/>
              <w:spacing w:before="0" w:beforeAutospacing="0" w:after="0" w:afterAutospacing="0"/>
              <w:ind w:left="0" w:leftChars="0" w:right="0" w:rightChars="0"/>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1"/>
                <w:highlight w:val="none"/>
                <w:lang w:bidi="ar"/>
              </w:rPr>
              <w:t>造价负责人(</w:t>
            </w: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分)</w:t>
            </w:r>
          </w:p>
        </w:tc>
        <w:tc>
          <w:tcPr>
            <w:tcW w:w="10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7714A">
            <w:pPr>
              <w:keepNext w:val="0"/>
              <w:keepLines w:val="0"/>
              <w:widowControl/>
              <w:suppressLineNumbers w:val="0"/>
              <w:spacing w:before="0" w:beforeAutospacing="0" w:after="0" w:afterAutospacing="0" w:line="360" w:lineRule="auto"/>
              <w:ind w:left="0" w:right="0"/>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（1）具有建筑工程造价相关专业中级工程师技术职称的，得1分；具有建筑工程造价相关专业高级工程师（或以上）技术职称的，得2分。</w:t>
            </w:r>
            <w:r>
              <w:rPr>
                <w:rFonts w:hint="eastAsia" w:ascii="宋体" w:hAnsi="宋体" w:cs="新宋体"/>
                <w:color w:val="auto"/>
                <w:szCs w:val="21"/>
                <w:highlight w:val="none"/>
                <w:lang w:bidi="ar"/>
              </w:rPr>
              <w:t>本小项最多得2分。</w:t>
            </w:r>
          </w:p>
          <w:p w14:paraId="02FF81BF">
            <w:pPr>
              <w:keepNext w:val="0"/>
              <w:keepLines w:val="0"/>
              <w:widowControl/>
              <w:suppressLineNumbers w:val="0"/>
              <w:spacing w:before="0" w:beforeAutospacing="0" w:after="0" w:afterAutospacing="0" w:line="360" w:lineRule="auto"/>
              <w:ind w:left="0" w:right="0"/>
              <w:textAlignment w:val="baseline"/>
              <w:rPr>
                <w:rFonts w:hint="eastAsia" w:ascii="宋体" w:hAnsi="宋体" w:cs="新宋体"/>
                <w:color w:val="auto"/>
                <w:szCs w:val="21"/>
                <w:highlight w:val="none"/>
                <w:lang w:bidi="ar"/>
              </w:rPr>
            </w:pPr>
            <w:r>
              <w:rPr>
                <w:rFonts w:hint="eastAsia" w:ascii="宋体" w:hAnsi="宋体" w:cs="宋体"/>
                <w:color w:val="auto"/>
                <w:szCs w:val="21"/>
                <w:highlight w:val="none"/>
                <w:lang w:bidi="ar"/>
              </w:rPr>
              <w:t>（2）具有在有效期内一级注册造价工程师注册证书（土木建筑或安装工程专业）的，得1分；</w:t>
            </w:r>
            <w:r>
              <w:rPr>
                <w:rFonts w:hint="eastAsia" w:ascii="宋体" w:hAnsi="宋体" w:cs="新宋体"/>
                <w:color w:val="auto"/>
                <w:szCs w:val="21"/>
                <w:highlight w:val="none"/>
                <w:lang w:bidi="ar"/>
              </w:rPr>
              <w:t>本小项最多得1分。</w:t>
            </w:r>
          </w:p>
          <w:p w14:paraId="303E12C9">
            <w:pPr>
              <w:keepNext w:val="0"/>
              <w:keepLines w:val="0"/>
              <w:suppressLineNumbers w:val="0"/>
              <w:spacing w:before="0" w:beforeAutospacing="0" w:after="0" w:afterAutospacing="0" w:line="360" w:lineRule="auto"/>
              <w:ind w:left="0" w:right="0"/>
              <w:rPr>
                <w:rFonts w:hint="eastAsia" w:ascii="宋体" w:hAnsi="宋体" w:cs="宋体"/>
                <w:color w:val="auto"/>
                <w:kern w:val="0"/>
                <w:sz w:val="24"/>
                <w:szCs w:val="21"/>
                <w:highlight w:val="none"/>
              </w:rPr>
            </w:pPr>
            <w:r>
              <w:rPr>
                <w:rFonts w:hint="eastAsia" w:ascii="宋体" w:hAnsi="宋体" w:cs="宋体"/>
                <w:color w:val="auto"/>
                <w:szCs w:val="21"/>
                <w:highlight w:val="none"/>
                <w:lang w:bidi="ar"/>
              </w:rPr>
              <w:t>（3）拟</w:t>
            </w:r>
            <w:r>
              <w:rPr>
                <w:rFonts w:hint="eastAsia" w:ascii="宋体" w:hAnsi="宋体" w:cs="宋体"/>
                <w:bCs/>
                <w:color w:val="auto"/>
                <w:szCs w:val="21"/>
                <w:highlight w:val="none"/>
                <w:lang w:bidi="ar"/>
              </w:rPr>
              <w:t>投入造价负责人自2022年1月1日</w:t>
            </w:r>
            <w:r>
              <w:rPr>
                <w:rFonts w:hint="eastAsia" w:ascii="宋体" w:hAnsi="宋体" w:cs="宋体"/>
                <w:color w:val="auto"/>
                <w:szCs w:val="21"/>
                <w:highlight w:val="none"/>
                <w:lang w:bidi="ar"/>
              </w:rPr>
              <w:t>至投标截止时间，担任造价负责人</w:t>
            </w:r>
            <w:r>
              <w:rPr>
                <w:rFonts w:hint="eastAsia" w:ascii="宋体" w:hAnsi="宋体" w:cs="宋体"/>
                <w:bCs/>
                <w:color w:val="auto"/>
                <w:szCs w:val="21"/>
                <w:highlight w:val="none"/>
                <w:lang w:bidi="ar"/>
              </w:rPr>
              <w:t>完成过</w:t>
            </w:r>
            <w:r>
              <w:rPr>
                <w:rFonts w:hint="eastAsia" w:ascii="宋体" w:hAnsi="宋体" w:cs="新宋体"/>
                <w:color w:val="auto"/>
                <w:szCs w:val="21"/>
                <w:highlight w:val="none"/>
                <w:lang w:bidi="ar"/>
              </w:rPr>
              <w:t>质量合格的金额大于或等于40</w:t>
            </w:r>
            <w:r>
              <w:rPr>
                <w:rFonts w:hint="eastAsia" w:ascii="宋体" w:hAnsi="宋体" w:cs="宋体"/>
                <w:bCs/>
                <w:color w:val="auto"/>
                <w:szCs w:val="21"/>
                <w:highlight w:val="none"/>
                <w:lang w:bidi="ar"/>
              </w:rPr>
              <w:t>000万元的建筑工程施工总承包</w:t>
            </w:r>
            <w:r>
              <w:rPr>
                <w:rFonts w:hint="eastAsia" w:ascii="宋体" w:hAnsi="宋体" w:cs="宋体"/>
                <w:color w:val="auto"/>
                <w:szCs w:val="21"/>
                <w:highlight w:val="none"/>
                <w:lang w:bidi="ar"/>
              </w:rPr>
              <w:t>或工程总承包</w:t>
            </w:r>
            <w:r>
              <w:rPr>
                <w:rFonts w:hint="eastAsia" w:ascii="宋体" w:hAnsi="宋体" w:cs="宋体"/>
                <w:color w:val="auto"/>
                <w:szCs w:val="21"/>
                <w:highlight w:val="none"/>
              </w:rPr>
              <w:t>（施工部分）</w:t>
            </w:r>
            <w:r>
              <w:rPr>
                <w:rFonts w:hint="eastAsia" w:ascii="宋体" w:hAnsi="宋体" w:cs="宋体"/>
                <w:bCs/>
                <w:color w:val="auto"/>
                <w:szCs w:val="21"/>
                <w:highlight w:val="none"/>
                <w:lang w:bidi="ar"/>
              </w:rPr>
              <w:t>项目业绩</w:t>
            </w:r>
            <w:r>
              <w:rPr>
                <w:rFonts w:hint="eastAsia" w:ascii="宋体" w:hAnsi="宋体" w:cs="新宋体"/>
                <w:color w:val="auto"/>
                <w:szCs w:val="21"/>
                <w:highlight w:val="none"/>
                <w:lang w:bidi="ar"/>
              </w:rPr>
              <w:t>得</w:t>
            </w:r>
            <w:r>
              <w:rPr>
                <w:rFonts w:hint="eastAsia" w:ascii="宋体" w:hAnsi="宋体" w:cs="新宋体"/>
                <w:color w:val="auto"/>
                <w:szCs w:val="21"/>
                <w:highlight w:val="none"/>
                <w:lang w:val="en-US" w:eastAsia="zh-CN" w:bidi="ar"/>
              </w:rPr>
              <w:t>1</w:t>
            </w:r>
            <w:r>
              <w:rPr>
                <w:rFonts w:hint="eastAsia" w:ascii="宋体" w:hAnsi="宋体" w:cs="新宋体"/>
                <w:color w:val="auto"/>
                <w:szCs w:val="21"/>
                <w:highlight w:val="none"/>
                <w:lang w:bidi="ar"/>
              </w:rPr>
              <w:t>分</w:t>
            </w:r>
            <w:r>
              <w:rPr>
                <w:rFonts w:hint="eastAsia" w:ascii="宋体" w:hAnsi="宋体" w:cs="宋体"/>
                <w:color w:val="auto"/>
                <w:szCs w:val="21"/>
                <w:highlight w:val="none"/>
                <w:lang w:bidi="ar"/>
              </w:rPr>
              <w:t>。</w:t>
            </w:r>
            <w:r>
              <w:rPr>
                <w:rFonts w:hint="eastAsia" w:ascii="宋体" w:hAnsi="宋体" w:cs="宋体"/>
                <w:bCs/>
                <w:color w:val="auto"/>
                <w:szCs w:val="21"/>
                <w:highlight w:val="none"/>
                <w:lang w:bidi="ar"/>
              </w:rPr>
              <w:t>本小项最多得</w:t>
            </w:r>
            <w:r>
              <w:rPr>
                <w:rFonts w:hint="eastAsia" w:ascii="宋体" w:hAnsi="宋体" w:cs="宋体"/>
                <w:bCs/>
                <w:color w:val="auto"/>
                <w:szCs w:val="21"/>
                <w:highlight w:val="none"/>
                <w:lang w:val="en-US" w:eastAsia="zh-CN" w:bidi="ar"/>
              </w:rPr>
              <w:t>1</w:t>
            </w:r>
            <w:r>
              <w:rPr>
                <w:rFonts w:hint="eastAsia" w:ascii="宋体" w:hAnsi="宋体" w:cs="宋体"/>
                <w:bCs/>
                <w:color w:val="auto"/>
                <w:szCs w:val="21"/>
                <w:highlight w:val="none"/>
                <w:lang w:bidi="ar"/>
              </w:rPr>
              <w:t>分。</w:t>
            </w:r>
          </w:p>
          <w:p w14:paraId="02AC776A">
            <w:pPr>
              <w:keepNext w:val="0"/>
              <w:keepLines w:val="0"/>
              <w:suppressLineNumbers w:val="0"/>
              <w:spacing w:before="0" w:beforeAutospacing="0" w:after="0" w:afterAutospacing="0" w:line="360" w:lineRule="auto"/>
              <w:ind w:left="0" w:leftChars="0" w:right="0" w:rightChars="0"/>
              <w:rPr>
                <w:rFonts w:hint="eastAsia" w:ascii="宋体" w:hAnsi="宋体" w:cs="宋体"/>
                <w:color w:val="auto"/>
                <w:kern w:val="2"/>
                <w:sz w:val="22"/>
                <w:szCs w:val="22"/>
                <w:highlight w:val="none"/>
                <w:lang w:val="en-US" w:eastAsia="zh-CN" w:bidi="ar-SA"/>
              </w:rPr>
            </w:pPr>
            <w:r>
              <w:rPr>
                <w:rFonts w:hint="eastAsia" w:ascii="宋体" w:hAnsi="宋体" w:cs="宋体"/>
                <w:color w:val="auto"/>
                <w:szCs w:val="21"/>
                <w:highlight w:val="none"/>
                <w:lang w:bidi="ar"/>
              </w:rPr>
              <w:t>不满足上述条件的，不得分。</w:t>
            </w:r>
          </w:p>
        </w:tc>
      </w:tr>
      <w:tr w14:paraId="3D824377">
        <w:tblPrEx>
          <w:shd w:val="clear" w:color="auto" w:fill="auto"/>
          <w:tblCellMar>
            <w:top w:w="0" w:type="dxa"/>
            <w:left w:w="108" w:type="dxa"/>
            <w:bottom w:w="0" w:type="dxa"/>
            <w:right w:w="108" w:type="dxa"/>
          </w:tblCellMar>
        </w:tblPrEx>
        <w:trPr>
          <w:trHeight w:val="154" w:hRule="atLeast"/>
        </w:trPr>
        <w:tc>
          <w:tcPr>
            <w:tcW w:w="1214" w:type="dxa"/>
            <w:vMerge w:val="continue"/>
            <w:tcBorders>
              <w:left w:val="single" w:color="000000" w:sz="4" w:space="0"/>
              <w:right w:val="single" w:color="000000" w:sz="4" w:space="0"/>
            </w:tcBorders>
            <w:shd w:val="clear" w:color="auto" w:fill="auto"/>
            <w:noWrap w:val="0"/>
            <w:vAlign w:val="center"/>
          </w:tcPr>
          <w:p w14:paraId="6BF34815">
            <w:pPr>
              <w:keepNext w:val="0"/>
              <w:keepLines w:val="0"/>
              <w:suppressLineNumbers w:val="0"/>
              <w:spacing w:before="0" w:beforeAutospacing="0" w:after="0" w:afterAutospacing="0" w:line="288" w:lineRule="auto"/>
              <w:ind w:left="0" w:right="0"/>
              <w:rPr>
                <w:rFonts w:hint="eastAsia" w:ascii="宋体" w:hAnsi="宋体" w:cs="仿宋"/>
                <w:color w:val="auto"/>
                <w:szCs w:val="21"/>
                <w:highlight w:val="none"/>
              </w:rPr>
            </w:pPr>
          </w:p>
        </w:tc>
        <w:tc>
          <w:tcPr>
            <w:tcW w:w="1261" w:type="dxa"/>
            <w:vMerge w:val="continue"/>
            <w:tcBorders>
              <w:left w:val="single" w:color="000000" w:sz="4" w:space="0"/>
              <w:right w:val="single" w:color="000000" w:sz="4" w:space="0"/>
            </w:tcBorders>
            <w:shd w:val="clear" w:color="auto" w:fill="auto"/>
            <w:noWrap w:val="0"/>
            <w:vAlign w:val="center"/>
          </w:tcPr>
          <w:p w14:paraId="374279A8">
            <w:pPr>
              <w:keepNext w:val="0"/>
              <w:keepLines w:val="0"/>
              <w:suppressLineNumbers w:val="0"/>
              <w:spacing w:before="0" w:beforeAutospacing="0" w:after="0" w:afterAutospacing="0" w:line="288" w:lineRule="auto"/>
              <w:ind w:left="0" w:right="0"/>
              <w:rPr>
                <w:rFonts w:hint="eastAsia" w:ascii="宋体" w:hAnsi="宋体" w:cs="仿宋"/>
                <w:color w:val="auto"/>
                <w:szCs w:val="21"/>
                <w:highlight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9F9E6">
            <w:pPr>
              <w:keepNext w:val="0"/>
              <w:keepLines w:val="0"/>
              <w:suppressLineNumbers w:val="0"/>
              <w:tabs>
                <w:tab w:val="left" w:pos="360"/>
              </w:tabs>
              <w:snapToGrid w:val="0"/>
              <w:spacing w:before="0" w:beforeAutospacing="0" w:after="0" w:afterAutospacing="0"/>
              <w:ind w:left="0" w:leftChars="0" w:right="0" w:rightChars="0"/>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1"/>
                <w:highlight w:val="none"/>
                <w:lang w:bidi="ar"/>
              </w:rPr>
              <w:t>安全负责人(3分)</w:t>
            </w:r>
          </w:p>
        </w:tc>
        <w:tc>
          <w:tcPr>
            <w:tcW w:w="10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091BD">
            <w:pPr>
              <w:keepNext w:val="0"/>
              <w:keepLines w:val="0"/>
              <w:widowControl/>
              <w:suppressLineNumbers w:val="0"/>
              <w:spacing w:before="0" w:beforeAutospacing="0" w:after="0" w:afterAutospacing="0" w:line="360" w:lineRule="auto"/>
              <w:ind w:left="0" w:right="0"/>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（1）具有建筑工程类相关专业中级工程师技术职称的，得1分；具有建筑工程类相关专业高级工程师（或以上）技术职称的，得2分。</w:t>
            </w:r>
            <w:r>
              <w:rPr>
                <w:rFonts w:hint="eastAsia" w:ascii="宋体" w:hAnsi="宋体" w:cs="新宋体"/>
                <w:color w:val="auto"/>
                <w:szCs w:val="21"/>
                <w:highlight w:val="none"/>
                <w:lang w:bidi="ar"/>
              </w:rPr>
              <w:t>本小项最多得2分。</w:t>
            </w:r>
          </w:p>
          <w:p w14:paraId="02F2F31C">
            <w:pPr>
              <w:keepNext w:val="0"/>
              <w:keepLines w:val="0"/>
              <w:widowControl/>
              <w:suppressLineNumbers w:val="0"/>
              <w:spacing w:before="0" w:beforeAutospacing="0" w:after="0" w:afterAutospacing="0" w:line="360" w:lineRule="auto"/>
              <w:ind w:left="0" w:right="0"/>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（2）具有在有效期内的注册安全工程师（建筑施工安全）注册证书的，得1分；</w:t>
            </w:r>
            <w:r>
              <w:rPr>
                <w:rFonts w:hint="eastAsia" w:ascii="Calibri" w:hAnsi="Calibri" w:cs="宋体"/>
                <w:bCs/>
                <w:color w:val="auto"/>
                <w:szCs w:val="21"/>
                <w:highlight w:val="none"/>
                <w:lang w:bidi="ar"/>
              </w:rPr>
              <w:t>本小项最多得1分。</w:t>
            </w:r>
          </w:p>
          <w:p w14:paraId="5120BF5C">
            <w:pPr>
              <w:keepNext w:val="0"/>
              <w:keepLines w:val="0"/>
              <w:suppressLineNumbers w:val="0"/>
              <w:spacing w:before="0" w:beforeAutospacing="0" w:after="0" w:afterAutospacing="0" w:line="360" w:lineRule="auto"/>
              <w:ind w:left="0" w:leftChars="0" w:right="0" w:rightChars="0"/>
              <w:rPr>
                <w:rFonts w:hint="eastAsia" w:ascii="宋体" w:hAnsi="宋体" w:cs="Calibri"/>
                <w:color w:val="auto"/>
                <w:kern w:val="2"/>
                <w:sz w:val="22"/>
                <w:szCs w:val="22"/>
                <w:highlight w:val="none"/>
                <w:lang w:val="en-US" w:eastAsia="zh-CN" w:bidi="ar-SA"/>
              </w:rPr>
            </w:pPr>
            <w:r>
              <w:rPr>
                <w:rFonts w:hint="eastAsia" w:ascii="宋体" w:hAnsi="宋体" w:cs="宋体"/>
                <w:color w:val="auto"/>
                <w:szCs w:val="21"/>
                <w:highlight w:val="none"/>
                <w:lang w:bidi="ar"/>
              </w:rPr>
              <w:t>不满足上述条件的，不得分。</w:t>
            </w:r>
          </w:p>
        </w:tc>
      </w:tr>
      <w:tr w14:paraId="680B9AAB">
        <w:tblPrEx>
          <w:shd w:val="clear" w:color="auto" w:fill="auto"/>
          <w:tblCellMar>
            <w:top w:w="0" w:type="dxa"/>
            <w:left w:w="108" w:type="dxa"/>
            <w:bottom w:w="0" w:type="dxa"/>
            <w:right w:w="108" w:type="dxa"/>
          </w:tblCellMar>
        </w:tblPrEx>
        <w:trPr>
          <w:trHeight w:val="154" w:hRule="atLeast"/>
        </w:trPr>
        <w:tc>
          <w:tcPr>
            <w:tcW w:w="1214" w:type="dxa"/>
            <w:vMerge w:val="continue"/>
            <w:tcBorders>
              <w:left w:val="single" w:color="000000" w:sz="4" w:space="0"/>
              <w:right w:val="single" w:color="000000" w:sz="4" w:space="0"/>
            </w:tcBorders>
            <w:shd w:val="clear" w:color="auto" w:fill="auto"/>
            <w:noWrap w:val="0"/>
            <w:vAlign w:val="center"/>
          </w:tcPr>
          <w:p w14:paraId="5CAEC096">
            <w:pPr>
              <w:keepNext w:val="0"/>
              <w:keepLines w:val="0"/>
              <w:suppressLineNumbers w:val="0"/>
              <w:spacing w:before="0" w:beforeAutospacing="0" w:after="0" w:afterAutospacing="0" w:line="288" w:lineRule="auto"/>
              <w:ind w:left="0" w:right="0"/>
              <w:rPr>
                <w:rFonts w:hint="eastAsia" w:ascii="宋体" w:hAnsi="宋体" w:cs="仿宋"/>
                <w:color w:val="auto"/>
                <w:szCs w:val="21"/>
                <w:highlight w:val="none"/>
              </w:rPr>
            </w:pPr>
          </w:p>
        </w:tc>
        <w:tc>
          <w:tcPr>
            <w:tcW w:w="1261" w:type="dxa"/>
            <w:vMerge w:val="continue"/>
            <w:tcBorders>
              <w:left w:val="single" w:color="000000" w:sz="4" w:space="0"/>
              <w:right w:val="single" w:color="000000" w:sz="4" w:space="0"/>
            </w:tcBorders>
            <w:shd w:val="clear" w:color="auto" w:fill="auto"/>
            <w:noWrap w:val="0"/>
            <w:vAlign w:val="center"/>
          </w:tcPr>
          <w:p w14:paraId="3EFC1DE9">
            <w:pPr>
              <w:keepNext w:val="0"/>
              <w:keepLines w:val="0"/>
              <w:suppressLineNumbers w:val="0"/>
              <w:spacing w:before="0" w:beforeAutospacing="0" w:after="0" w:afterAutospacing="0" w:line="288" w:lineRule="auto"/>
              <w:ind w:left="0" w:right="0"/>
              <w:rPr>
                <w:rFonts w:hint="eastAsia" w:ascii="宋体" w:hAnsi="宋体" w:cs="仿宋"/>
                <w:color w:val="auto"/>
                <w:szCs w:val="21"/>
                <w:highlight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B5EA5">
            <w:pPr>
              <w:keepNext w:val="0"/>
              <w:keepLines w:val="0"/>
              <w:suppressLineNumbers w:val="0"/>
              <w:tabs>
                <w:tab w:val="left" w:pos="360"/>
              </w:tabs>
              <w:snapToGrid w:val="0"/>
              <w:spacing w:before="0" w:beforeAutospacing="0" w:after="0" w:afterAutospacing="0"/>
              <w:ind w:left="0" w:right="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拟投入项目团队</w:t>
            </w:r>
          </w:p>
          <w:p w14:paraId="6A93D392">
            <w:pPr>
              <w:keepNext w:val="0"/>
              <w:keepLines w:val="0"/>
              <w:suppressLineNumbers w:val="0"/>
              <w:tabs>
                <w:tab w:val="left" w:pos="360"/>
              </w:tabs>
              <w:snapToGrid w:val="0"/>
              <w:spacing w:before="0" w:beforeAutospacing="0" w:after="0" w:afterAutospacing="0"/>
              <w:ind w:left="0" w:leftChars="0" w:right="0" w:rightChars="0"/>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分)</w:t>
            </w:r>
          </w:p>
        </w:tc>
        <w:tc>
          <w:tcPr>
            <w:tcW w:w="100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E97F1">
            <w:pPr>
              <w:keepNext w:val="0"/>
              <w:keepLines w:val="0"/>
              <w:suppressLineNumbers w:val="0"/>
              <w:tabs>
                <w:tab w:val="left" w:pos="360"/>
              </w:tabs>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bidi="ar"/>
              </w:rPr>
              <w:t>除项目负责人、技术负责人、质量负责人、安全负责人、造价负责人外，投标人拟投入项目团队中具有</w:t>
            </w:r>
            <w:r>
              <w:rPr>
                <w:rFonts w:hint="eastAsia" w:ascii="宋体" w:hAnsi="宋体" w:cs="宋体"/>
                <w:color w:val="auto"/>
                <w:szCs w:val="21"/>
                <w:highlight w:val="none"/>
                <w:lang w:bidi="ar"/>
              </w:rPr>
              <w:t>建筑工程类相关专业</w:t>
            </w:r>
            <w:r>
              <w:rPr>
                <w:rFonts w:hint="eastAsia" w:ascii="宋体" w:hAnsi="宋体" w:eastAsia="宋体" w:cs="宋体"/>
                <w:color w:val="auto"/>
                <w:szCs w:val="21"/>
                <w:highlight w:val="none"/>
                <w:lang w:bidi="ar"/>
              </w:rPr>
              <w:t>高级工程师（或以上）技术职称人员，每人次得</w:t>
            </w:r>
            <w:r>
              <w:rPr>
                <w:rFonts w:hint="eastAsia" w:ascii="宋体" w:hAnsi="宋体" w:cs="宋体"/>
                <w:color w:val="auto"/>
                <w:szCs w:val="21"/>
                <w:highlight w:val="none"/>
                <w:lang w:val="en-US" w:eastAsia="zh-CN" w:bidi="ar"/>
              </w:rPr>
              <w:t>1</w:t>
            </w:r>
            <w:r>
              <w:rPr>
                <w:rFonts w:hint="eastAsia" w:ascii="宋体" w:hAnsi="宋体" w:eastAsia="宋体" w:cs="宋体"/>
                <w:color w:val="auto"/>
                <w:szCs w:val="21"/>
                <w:highlight w:val="none"/>
                <w:lang w:bidi="ar"/>
              </w:rPr>
              <w:t>分，本小项最多得</w:t>
            </w:r>
            <w:r>
              <w:rPr>
                <w:rFonts w:hint="eastAsia" w:ascii="宋体" w:hAnsi="宋体" w:cs="宋体"/>
                <w:color w:val="auto"/>
                <w:szCs w:val="21"/>
                <w:highlight w:val="none"/>
                <w:lang w:val="en-US" w:eastAsia="zh-CN" w:bidi="ar"/>
              </w:rPr>
              <w:t>4</w:t>
            </w:r>
            <w:r>
              <w:rPr>
                <w:rFonts w:hint="eastAsia" w:ascii="宋体" w:hAnsi="宋体" w:eastAsia="宋体" w:cs="宋体"/>
                <w:color w:val="auto"/>
                <w:szCs w:val="21"/>
                <w:highlight w:val="none"/>
                <w:lang w:bidi="ar"/>
              </w:rPr>
              <w:t>分。</w:t>
            </w:r>
          </w:p>
        </w:tc>
      </w:tr>
      <w:tr w14:paraId="19D9B188">
        <w:tblPrEx>
          <w:shd w:val="clear" w:color="auto" w:fill="auto"/>
          <w:tblCellMar>
            <w:top w:w="0" w:type="dxa"/>
            <w:left w:w="108" w:type="dxa"/>
            <w:bottom w:w="0" w:type="dxa"/>
            <w:right w:w="108" w:type="dxa"/>
          </w:tblCellMar>
        </w:tblPrEx>
        <w:trPr>
          <w:trHeight w:val="486" w:hRule="atLeast"/>
        </w:trPr>
        <w:tc>
          <w:tcPr>
            <w:tcW w:w="1214" w:type="dxa"/>
            <w:vMerge w:val="restart"/>
            <w:tcBorders>
              <w:top w:val="single" w:color="auto" w:sz="4" w:space="0"/>
              <w:left w:val="single" w:color="auto" w:sz="4" w:space="0"/>
              <w:right w:val="single" w:color="auto" w:sz="4" w:space="0"/>
            </w:tcBorders>
            <w:shd w:val="clear" w:color="auto" w:fill="auto"/>
            <w:noWrap w:val="0"/>
            <w:vAlign w:val="center"/>
          </w:tcPr>
          <w:p w14:paraId="6E36B03E">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szCs w:val="21"/>
                <w:highlight w:val="none"/>
              </w:rPr>
            </w:pPr>
            <w:bookmarkStart w:id="164" w:name="OLE_LINK160" w:colFirst="2" w:colLast="3"/>
            <w:bookmarkStart w:id="165" w:name="_Hlk198236929"/>
            <w:bookmarkStart w:id="166" w:name="OLE_LINK159" w:colFirst="2" w:colLast="3"/>
            <w:r>
              <w:rPr>
                <w:rFonts w:hint="eastAsia" w:ascii="宋体" w:hAnsi="宋体" w:cs="仿宋"/>
                <w:b/>
                <w:bCs/>
                <w:color w:val="auto"/>
                <w:szCs w:val="21"/>
                <w:highlight w:val="none"/>
                <w:lang w:val="en-US" w:eastAsia="zh-CN"/>
              </w:rPr>
              <w:t>9</w:t>
            </w:r>
          </w:p>
        </w:tc>
        <w:tc>
          <w:tcPr>
            <w:tcW w:w="1261" w:type="dxa"/>
            <w:vMerge w:val="restart"/>
            <w:tcBorders>
              <w:top w:val="single" w:color="auto" w:sz="4" w:space="0"/>
              <w:left w:val="single" w:color="auto" w:sz="4" w:space="0"/>
              <w:right w:val="single" w:color="auto" w:sz="4" w:space="0"/>
            </w:tcBorders>
            <w:shd w:val="clear" w:color="auto" w:fill="auto"/>
            <w:noWrap w:val="0"/>
            <w:vAlign w:val="center"/>
          </w:tcPr>
          <w:p w14:paraId="07E89A0C">
            <w:pPr>
              <w:keepNext w:val="0"/>
              <w:keepLines w:val="0"/>
              <w:widowControl/>
              <w:suppressLineNumbers w:val="0"/>
              <w:spacing w:before="0" w:beforeAutospacing="0" w:after="0" w:afterAutospacing="0"/>
              <w:ind w:left="0" w:right="0"/>
              <w:jc w:val="center"/>
              <w:textAlignment w:val="center"/>
              <w:rPr>
                <w:rFonts w:hint="eastAsia" w:ascii="宋体" w:hAnsi="宋体" w:cs="仿宋"/>
                <w:color w:val="auto"/>
                <w:kern w:val="0"/>
                <w:szCs w:val="21"/>
                <w:highlight w:val="none"/>
                <w:lang w:bidi="ar"/>
              </w:rPr>
            </w:pPr>
            <w:bookmarkStart w:id="167" w:name="OLE_LINK125"/>
            <w:r>
              <w:rPr>
                <w:rFonts w:hint="eastAsia" w:ascii="宋体" w:hAnsi="宋体" w:cs="仿宋"/>
                <w:color w:val="auto"/>
                <w:kern w:val="0"/>
                <w:szCs w:val="21"/>
                <w:highlight w:val="none"/>
                <w:lang w:bidi="ar"/>
              </w:rPr>
              <w:t>企业资信评分</w:t>
            </w:r>
            <w:bookmarkEnd w:id="167"/>
            <w:r>
              <w:rPr>
                <w:rFonts w:hint="eastAsia" w:ascii="宋体" w:hAnsi="宋体" w:cs="仿宋"/>
                <w:color w:val="auto"/>
                <w:kern w:val="0"/>
                <w:szCs w:val="21"/>
                <w:highlight w:val="none"/>
                <w:lang w:bidi="ar"/>
              </w:rPr>
              <w:t>标准</w:t>
            </w:r>
          </w:p>
          <w:p w14:paraId="1DA55A72">
            <w:pPr>
              <w:keepNext w:val="0"/>
              <w:keepLines w:val="0"/>
              <w:widowControl/>
              <w:suppressLineNumbers w:val="0"/>
              <w:spacing w:before="0" w:beforeAutospacing="0" w:after="0" w:afterAutospacing="0"/>
              <w:ind w:left="0" w:right="0"/>
              <w:jc w:val="center"/>
              <w:textAlignment w:val="center"/>
              <w:rPr>
                <w:rFonts w:hint="eastAsia" w:ascii="宋体" w:hAnsi="宋体" w:cs="仿宋"/>
                <w:color w:val="auto"/>
                <w:szCs w:val="21"/>
                <w:highlight w:val="none"/>
              </w:rPr>
            </w:pP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val="en-US" w:eastAsia="zh-CN" w:bidi="ar"/>
              </w:rPr>
              <w:t>25</w:t>
            </w:r>
            <w:r>
              <w:rPr>
                <w:rFonts w:hint="eastAsia" w:ascii="宋体" w:hAnsi="宋体" w:cs="仿宋"/>
                <w:color w:val="auto"/>
                <w:kern w:val="0"/>
                <w:szCs w:val="21"/>
                <w:highlight w:val="none"/>
                <w:lang w:bidi="ar"/>
              </w:rPr>
              <w:t>分）</w:t>
            </w:r>
          </w:p>
        </w:tc>
        <w:tc>
          <w:tcPr>
            <w:tcW w:w="2026"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5574019D">
            <w:pPr>
              <w:keepNext w:val="0"/>
              <w:keepLines w:val="0"/>
              <w:widowControl/>
              <w:suppressLineNumbers w:val="0"/>
              <w:snapToGrid/>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类似工程业绩</w:t>
            </w:r>
          </w:p>
          <w:p w14:paraId="7B3CAC90">
            <w:pPr>
              <w:keepNext w:val="0"/>
              <w:keepLines w:val="0"/>
              <w:widowControl/>
              <w:suppressLineNumbers w:val="0"/>
              <w:snapToGrid/>
              <w:spacing w:before="0" w:beforeAutospacing="0" w:after="0" w:afterAutospacing="0"/>
              <w:ind w:left="0" w:leftChars="0" w:right="0" w:right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w:t>
            </w:r>
            <w:r>
              <w:rPr>
                <w:rFonts w:hint="eastAsia" w:ascii="宋体" w:hAnsi="宋体" w:cs="宋体"/>
                <w:color w:val="auto"/>
                <w:sz w:val="22"/>
                <w:highlight w:val="none"/>
                <w:lang w:val="en-US" w:eastAsia="zh-CN"/>
              </w:rPr>
              <w:t>10</w:t>
            </w:r>
            <w:r>
              <w:rPr>
                <w:rFonts w:hint="eastAsia" w:ascii="宋体" w:hAnsi="宋体" w:eastAsia="宋体" w:cs="宋体"/>
                <w:color w:val="auto"/>
                <w:sz w:val="22"/>
                <w:highlight w:val="none"/>
              </w:rPr>
              <w:t>分）</w:t>
            </w:r>
          </w:p>
        </w:tc>
        <w:tc>
          <w:tcPr>
            <w:tcW w:w="1005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DB4AA57">
            <w:pPr>
              <w:keepNext w:val="0"/>
              <w:keepLines w:val="0"/>
              <w:widowControl/>
              <w:suppressLineNumbers w:val="0"/>
              <w:tabs>
                <w:tab w:val="left" w:pos="360"/>
              </w:tabs>
              <w:snapToGrid/>
              <w:spacing w:before="0" w:beforeAutospacing="0" w:after="0" w:afterAutospacing="0" w:line="360" w:lineRule="auto"/>
              <w:ind w:left="0" w:leftChars="0" w:right="0" w:rightChars="0"/>
              <w:jc w:val="left"/>
              <w:textAlignment w:val="auto"/>
              <w:rPr>
                <w:rFonts w:hint="eastAsia" w:ascii="宋体" w:hAnsi="宋体" w:eastAsia="宋体" w:cs="宋体"/>
                <w:bCs w:val="0"/>
                <w:color w:val="auto"/>
                <w:kern w:val="2"/>
                <w:szCs w:val="21"/>
                <w:highlight w:val="none"/>
                <w:lang w:bidi="ar"/>
              </w:rPr>
            </w:pPr>
            <w:r>
              <w:rPr>
                <w:rFonts w:hint="eastAsia" w:ascii="宋体" w:hAnsi="宋体" w:eastAsia="宋体" w:cs="宋体"/>
                <w:bCs w:val="0"/>
                <w:color w:val="auto"/>
                <w:kern w:val="2"/>
                <w:szCs w:val="21"/>
                <w:highlight w:val="none"/>
                <w:lang w:bidi="ar"/>
              </w:rPr>
              <w:t>投标人自2022年1月1日至投标截止时间，完成过</w:t>
            </w:r>
            <w:r>
              <w:rPr>
                <w:rFonts w:hint="eastAsia" w:ascii="宋体" w:hAnsi="宋体" w:eastAsia="宋体" w:cs="宋体"/>
                <w:color w:val="auto"/>
                <w:szCs w:val="21"/>
                <w:highlight w:val="none"/>
                <w:lang w:bidi="ar"/>
              </w:rPr>
              <w:t>质量合格的金额大于或等于</w:t>
            </w:r>
            <w:r>
              <w:rPr>
                <w:rFonts w:hint="eastAsia" w:ascii="宋体" w:hAnsi="宋体" w:eastAsia="宋体" w:cs="宋体"/>
                <w:bCs w:val="0"/>
                <w:color w:val="auto"/>
                <w:kern w:val="2"/>
                <w:szCs w:val="21"/>
                <w:highlight w:val="none"/>
                <w:lang w:bidi="ar"/>
              </w:rPr>
              <w:t>40000万元的建筑工程施工总承包</w:t>
            </w:r>
            <w:r>
              <w:rPr>
                <w:rFonts w:hint="eastAsia" w:ascii="宋体" w:hAnsi="宋体" w:eastAsia="宋体" w:cs="宋体"/>
                <w:color w:val="auto"/>
                <w:szCs w:val="21"/>
                <w:highlight w:val="none"/>
                <w:lang w:bidi="ar"/>
              </w:rPr>
              <w:t>或工程总承包（施工部分）</w:t>
            </w:r>
            <w:r>
              <w:rPr>
                <w:rFonts w:hint="eastAsia" w:ascii="宋体" w:hAnsi="宋体" w:eastAsia="宋体" w:cs="宋体"/>
                <w:bCs w:val="0"/>
                <w:color w:val="auto"/>
                <w:kern w:val="2"/>
                <w:szCs w:val="21"/>
                <w:highlight w:val="none"/>
                <w:lang w:bidi="ar"/>
              </w:rPr>
              <w:t>项目业绩：</w:t>
            </w:r>
          </w:p>
          <w:p w14:paraId="58E0DE26">
            <w:pPr>
              <w:keepNext w:val="0"/>
              <w:keepLines w:val="0"/>
              <w:widowControl/>
              <w:numPr>
                <w:ilvl w:val="-1"/>
                <w:numId w:val="0"/>
              </w:numPr>
              <w:suppressLineNumbers w:val="0"/>
              <w:tabs>
                <w:tab w:val="left" w:pos="360"/>
              </w:tabs>
              <w:snapToGrid/>
              <w:spacing w:before="0" w:beforeAutospacing="0" w:after="0" w:afterAutospacing="0" w:line="360" w:lineRule="auto"/>
              <w:ind w:left="0" w:leftChars="0" w:right="0" w:rightChars="0"/>
              <w:jc w:val="left"/>
              <w:textAlignment w:val="auto"/>
              <w:rPr>
                <w:rFonts w:hint="eastAsia" w:ascii="宋体" w:hAnsi="宋体" w:eastAsia="宋体" w:cs="宋体"/>
                <w:bCs w:val="0"/>
                <w:color w:val="auto"/>
                <w:kern w:val="2"/>
                <w:szCs w:val="21"/>
                <w:highlight w:val="none"/>
                <w:lang w:bidi="ar"/>
              </w:rPr>
            </w:pPr>
            <w:r>
              <w:rPr>
                <w:rFonts w:hint="eastAsia" w:ascii="宋体" w:hAnsi="宋体" w:eastAsia="宋体" w:cs="宋体"/>
                <w:bCs w:val="0"/>
                <w:color w:val="auto"/>
                <w:kern w:val="2"/>
                <w:sz w:val="21"/>
                <w:szCs w:val="21"/>
                <w:highlight w:val="none"/>
                <w:lang w:val="en-US" w:eastAsia="zh-CN" w:bidi="ar"/>
              </w:rPr>
              <w:t>（1）</w:t>
            </w:r>
            <w:r>
              <w:rPr>
                <w:rFonts w:hint="eastAsia" w:ascii="宋体" w:hAnsi="宋体" w:eastAsia="宋体" w:cs="宋体"/>
                <w:bCs w:val="0"/>
                <w:color w:val="auto"/>
                <w:kern w:val="2"/>
                <w:szCs w:val="21"/>
                <w:highlight w:val="none"/>
                <w:lang w:bidi="ar"/>
              </w:rPr>
              <w:t>完成业绩的数量为</w:t>
            </w:r>
            <w:bookmarkStart w:id="168" w:name="OLE_LINK19"/>
            <w:r>
              <w:rPr>
                <w:rFonts w:hint="eastAsia" w:ascii="宋体" w:hAnsi="宋体" w:cs="宋体"/>
                <w:bCs w:val="0"/>
                <w:color w:val="auto"/>
                <w:kern w:val="2"/>
                <w:szCs w:val="21"/>
                <w:highlight w:val="none"/>
                <w:lang w:val="en-US" w:eastAsia="zh-CN" w:bidi="ar"/>
              </w:rPr>
              <w:t>10</w:t>
            </w:r>
            <w:r>
              <w:rPr>
                <w:rFonts w:hint="eastAsia" w:ascii="宋体" w:hAnsi="宋体" w:eastAsia="宋体" w:cs="宋体"/>
                <w:bCs w:val="0"/>
                <w:color w:val="auto"/>
                <w:kern w:val="2"/>
                <w:szCs w:val="21"/>
                <w:highlight w:val="none"/>
                <w:lang w:bidi="ar"/>
              </w:rPr>
              <w:t>项或以上</w:t>
            </w:r>
            <w:bookmarkEnd w:id="168"/>
            <w:r>
              <w:rPr>
                <w:rFonts w:hint="eastAsia" w:ascii="宋体" w:hAnsi="宋体" w:eastAsia="宋体" w:cs="宋体"/>
                <w:bCs w:val="0"/>
                <w:color w:val="auto"/>
                <w:kern w:val="2"/>
                <w:szCs w:val="21"/>
                <w:highlight w:val="none"/>
                <w:lang w:bidi="ar"/>
              </w:rPr>
              <w:t>的，得</w:t>
            </w:r>
            <w:r>
              <w:rPr>
                <w:rFonts w:hint="eastAsia" w:ascii="宋体" w:hAnsi="宋体" w:cs="宋体"/>
                <w:bCs w:val="0"/>
                <w:color w:val="auto"/>
                <w:kern w:val="2"/>
                <w:szCs w:val="21"/>
                <w:highlight w:val="none"/>
                <w:lang w:val="en-US" w:eastAsia="zh-CN" w:bidi="ar"/>
              </w:rPr>
              <w:t>10</w:t>
            </w:r>
            <w:r>
              <w:rPr>
                <w:rFonts w:hint="eastAsia" w:ascii="宋体" w:hAnsi="宋体" w:eastAsia="宋体" w:cs="宋体"/>
                <w:bCs w:val="0"/>
                <w:color w:val="auto"/>
                <w:kern w:val="2"/>
                <w:szCs w:val="21"/>
                <w:highlight w:val="none"/>
                <w:lang w:bidi="ar"/>
              </w:rPr>
              <w:t>分；</w:t>
            </w:r>
          </w:p>
          <w:p w14:paraId="4219B622">
            <w:pPr>
              <w:keepNext w:val="0"/>
              <w:keepLines w:val="0"/>
              <w:widowControl/>
              <w:numPr>
                <w:ilvl w:val="-1"/>
                <w:numId w:val="0"/>
              </w:numPr>
              <w:suppressLineNumbers w:val="0"/>
              <w:tabs>
                <w:tab w:val="left" w:pos="360"/>
              </w:tabs>
              <w:snapToGrid/>
              <w:spacing w:before="0" w:beforeAutospacing="0" w:after="0" w:afterAutospacing="0" w:line="360" w:lineRule="auto"/>
              <w:ind w:left="0" w:leftChars="0" w:right="0" w:rightChars="0"/>
              <w:jc w:val="left"/>
              <w:textAlignment w:val="auto"/>
              <w:rPr>
                <w:rFonts w:hint="eastAsia" w:ascii="宋体" w:hAnsi="宋体" w:eastAsia="宋体" w:cs="宋体"/>
                <w:bCs w:val="0"/>
                <w:color w:val="auto"/>
                <w:kern w:val="2"/>
                <w:szCs w:val="21"/>
                <w:highlight w:val="none"/>
                <w:lang w:bidi="ar"/>
              </w:rPr>
            </w:pPr>
            <w:r>
              <w:rPr>
                <w:rFonts w:hint="eastAsia" w:ascii="宋体" w:hAnsi="宋体" w:eastAsia="宋体" w:cs="宋体"/>
                <w:bCs w:val="0"/>
                <w:color w:val="auto"/>
                <w:kern w:val="2"/>
                <w:sz w:val="21"/>
                <w:szCs w:val="21"/>
                <w:highlight w:val="none"/>
                <w:lang w:val="en-US" w:eastAsia="zh-CN" w:bidi="ar"/>
              </w:rPr>
              <w:t>（2）</w:t>
            </w:r>
            <w:r>
              <w:rPr>
                <w:rFonts w:hint="eastAsia" w:ascii="宋体" w:hAnsi="宋体" w:eastAsia="宋体" w:cs="宋体"/>
                <w:bCs w:val="0"/>
                <w:color w:val="auto"/>
                <w:kern w:val="2"/>
                <w:szCs w:val="21"/>
                <w:highlight w:val="none"/>
                <w:lang w:bidi="ar"/>
              </w:rPr>
              <w:t>完成业绩的数量为</w:t>
            </w:r>
            <w:r>
              <w:rPr>
                <w:rFonts w:hint="eastAsia" w:ascii="宋体" w:hAnsi="宋体" w:cs="宋体"/>
                <w:bCs w:val="0"/>
                <w:color w:val="auto"/>
                <w:kern w:val="2"/>
                <w:szCs w:val="21"/>
                <w:highlight w:val="none"/>
                <w:lang w:val="en-US" w:eastAsia="zh-CN" w:bidi="ar"/>
              </w:rPr>
              <w:t>5</w:t>
            </w:r>
            <w:r>
              <w:rPr>
                <w:rFonts w:hint="eastAsia" w:ascii="宋体" w:hAnsi="宋体" w:eastAsia="宋体" w:cs="宋体"/>
                <w:bCs w:val="0"/>
                <w:color w:val="auto"/>
                <w:kern w:val="2"/>
                <w:szCs w:val="21"/>
                <w:highlight w:val="none"/>
                <w:lang w:bidi="ar"/>
              </w:rPr>
              <w:t>至</w:t>
            </w:r>
            <w:r>
              <w:rPr>
                <w:rFonts w:hint="eastAsia" w:ascii="宋体" w:hAnsi="宋体" w:cs="宋体"/>
                <w:bCs w:val="0"/>
                <w:color w:val="auto"/>
                <w:kern w:val="2"/>
                <w:szCs w:val="21"/>
                <w:highlight w:val="none"/>
                <w:lang w:val="en-US" w:eastAsia="zh-CN" w:bidi="ar"/>
              </w:rPr>
              <w:t>9</w:t>
            </w:r>
            <w:r>
              <w:rPr>
                <w:rFonts w:hint="eastAsia" w:ascii="宋体" w:hAnsi="宋体" w:eastAsia="宋体" w:cs="宋体"/>
                <w:bCs w:val="0"/>
                <w:color w:val="auto"/>
                <w:kern w:val="2"/>
                <w:szCs w:val="21"/>
                <w:highlight w:val="none"/>
                <w:lang w:bidi="ar"/>
              </w:rPr>
              <w:t>项，得</w:t>
            </w:r>
            <w:r>
              <w:rPr>
                <w:rFonts w:hint="eastAsia" w:ascii="宋体" w:hAnsi="宋体" w:cs="宋体"/>
                <w:bCs w:val="0"/>
                <w:color w:val="auto"/>
                <w:kern w:val="2"/>
                <w:szCs w:val="21"/>
                <w:highlight w:val="none"/>
                <w:lang w:val="en-US" w:eastAsia="zh-CN" w:bidi="ar"/>
              </w:rPr>
              <w:t>6</w:t>
            </w:r>
            <w:r>
              <w:rPr>
                <w:rFonts w:hint="eastAsia" w:ascii="宋体" w:hAnsi="宋体" w:eastAsia="宋体" w:cs="宋体"/>
                <w:bCs w:val="0"/>
                <w:color w:val="auto"/>
                <w:kern w:val="2"/>
                <w:szCs w:val="21"/>
                <w:highlight w:val="none"/>
                <w:lang w:bidi="ar"/>
              </w:rPr>
              <w:t>分；</w:t>
            </w:r>
          </w:p>
          <w:p w14:paraId="6717E11D">
            <w:pPr>
              <w:keepNext w:val="0"/>
              <w:keepLines w:val="0"/>
              <w:widowControl/>
              <w:numPr>
                <w:ilvl w:val="-1"/>
                <w:numId w:val="0"/>
              </w:numPr>
              <w:suppressLineNumbers w:val="0"/>
              <w:tabs>
                <w:tab w:val="left" w:pos="360"/>
              </w:tabs>
              <w:snapToGrid/>
              <w:spacing w:before="0" w:beforeAutospacing="0" w:after="0" w:afterAutospacing="0" w:line="360" w:lineRule="auto"/>
              <w:ind w:left="0" w:leftChars="0" w:right="0" w:rightChars="0"/>
              <w:jc w:val="left"/>
              <w:textAlignment w:val="auto"/>
              <w:rPr>
                <w:rFonts w:hint="eastAsia" w:ascii="宋体" w:hAnsi="宋体" w:eastAsia="宋体" w:cs="宋体"/>
                <w:bCs w:val="0"/>
                <w:color w:val="auto"/>
                <w:kern w:val="2"/>
                <w:szCs w:val="21"/>
                <w:highlight w:val="none"/>
                <w:lang w:bidi="ar"/>
              </w:rPr>
            </w:pPr>
            <w:r>
              <w:rPr>
                <w:rFonts w:hint="eastAsia" w:ascii="宋体" w:hAnsi="宋体" w:eastAsia="宋体" w:cs="宋体"/>
                <w:bCs w:val="0"/>
                <w:color w:val="auto"/>
                <w:kern w:val="2"/>
                <w:sz w:val="21"/>
                <w:szCs w:val="21"/>
                <w:highlight w:val="none"/>
                <w:lang w:val="en-US" w:eastAsia="zh-CN" w:bidi="ar"/>
              </w:rPr>
              <w:t>（3）</w:t>
            </w:r>
            <w:r>
              <w:rPr>
                <w:rFonts w:hint="eastAsia" w:ascii="宋体" w:hAnsi="宋体" w:eastAsia="宋体" w:cs="宋体"/>
                <w:bCs w:val="0"/>
                <w:color w:val="auto"/>
                <w:kern w:val="2"/>
                <w:szCs w:val="21"/>
                <w:highlight w:val="none"/>
                <w:lang w:bidi="ar"/>
              </w:rPr>
              <w:t>完成业绩的数量为</w:t>
            </w:r>
            <w:r>
              <w:rPr>
                <w:rFonts w:hint="eastAsia" w:ascii="宋体" w:hAnsi="宋体" w:cs="宋体"/>
                <w:bCs w:val="0"/>
                <w:color w:val="auto"/>
                <w:kern w:val="2"/>
                <w:szCs w:val="21"/>
                <w:highlight w:val="none"/>
                <w:lang w:val="en-US" w:eastAsia="zh-CN" w:bidi="ar"/>
              </w:rPr>
              <w:t>1</w:t>
            </w:r>
            <w:r>
              <w:rPr>
                <w:rFonts w:hint="eastAsia" w:ascii="宋体" w:hAnsi="宋体" w:eastAsia="宋体" w:cs="宋体"/>
                <w:bCs w:val="0"/>
                <w:color w:val="auto"/>
                <w:kern w:val="2"/>
                <w:szCs w:val="21"/>
                <w:highlight w:val="none"/>
                <w:lang w:bidi="ar"/>
              </w:rPr>
              <w:t>至</w:t>
            </w:r>
            <w:r>
              <w:rPr>
                <w:rFonts w:hint="eastAsia" w:ascii="宋体" w:hAnsi="宋体" w:cs="宋体"/>
                <w:bCs w:val="0"/>
                <w:color w:val="auto"/>
                <w:kern w:val="2"/>
                <w:szCs w:val="21"/>
                <w:highlight w:val="none"/>
                <w:lang w:val="en-US" w:eastAsia="zh-CN" w:bidi="ar"/>
              </w:rPr>
              <w:t>4</w:t>
            </w:r>
            <w:r>
              <w:rPr>
                <w:rFonts w:hint="eastAsia" w:ascii="宋体" w:hAnsi="宋体" w:eastAsia="宋体" w:cs="宋体"/>
                <w:bCs w:val="0"/>
                <w:color w:val="auto"/>
                <w:kern w:val="2"/>
                <w:szCs w:val="21"/>
                <w:highlight w:val="none"/>
                <w:lang w:bidi="ar"/>
              </w:rPr>
              <w:t>项，得</w:t>
            </w:r>
            <w:r>
              <w:rPr>
                <w:rFonts w:hint="eastAsia" w:ascii="宋体" w:hAnsi="宋体" w:cs="宋体"/>
                <w:bCs w:val="0"/>
                <w:color w:val="auto"/>
                <w:kern w:val="2"/>
                <w:szCs w:val="21"/>
                <w:highlight w:val="none"/>
                <w:lang w:val="en-US" w:eastAsia="zh-CN" w:bidi="ar"/>
              </w:rPr>
              <w:t>2</w:t>
            </w:r>
            <w:r>
              <w:rPr>
                <w:rFonts w:hint="eastAsia" w:ascii="宋体" w:hAnsi="宋体" w:eastAsia="宋体" w:cs="宋体"/>
                <w:bCs w:val="0"/>
                <w:color w:val="auto"/>
                <w:kern w:val="2"/>
                <w:szCs w:val="21"/>
                <w:highlight w:val="none"/>
                <w:lang w:bidi="ar"/>
              </w:rPr>
              <w:t>分；</w:t>
            </w:r>
          </w:p>
          <w:p w14:paraId="016161C0">
            <w:pPr>
              <w:keepNext w:val="0"/>
              <w:keepLines w:val="0"/>
              <w:suppressLineNumbers w:val="0"/>
              <w:tabs>
                <w:tab w:val="left" w:pos="360"/>
              </w:tabs>
              <w:spacing w:before="0" w:beforeAutospacing="0" w:after="0" w:afterAutospacing="0" w:line="360" w:lineRule="auto"/>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bidi="ar"/>
              </w:rPr>
              <w:t>不符合上述条件的不得分，本项最高得</w:t>
            </w:r>
            <w:r>
              <w:rPr>
                <w:rFonts w:hint="eastAsia" w:ascii="宋体" w:hAnsi="宋体" w:cs="宋体"/>
                <w:color w:val="auto"/>
                <w:szCs w:val="21"/>
                <w:highlight w:val="none"/>
                <w:lang w:val="en-US" w:eastAsia="zh-CN" w:bidi="ar"/>
              </w:rPr>
              <w:t>10</w:t>
            </w:r>
            <w:r>
              <w:rPr>
                <w:rFonts w:hint="eastAsia" w:ascii="宋体" w:hAnsi="宋体" w:eastAsia="宋体" w:cs="宋体"/>
                <w:color w:val="auto"/>
                <w:szCs w:val="21"/>
                <w:highlight w:val="none"/>
                <w:lang w:bidi="ar"/>
              </w:rPr>
              <w:t>分</w:t>
            </w:r>
            <w:r>
              <w:rPr>
                <w:rFonts w:hint="eastAsia" w:ascii="宋体" w:hAnsi="宋体" w:eastAsia="宋体" w:cs="宋体"/>
                <w:color w:val="auto"/>
                <w:kern w:val="2"/>
                <w:szCs w:val="21"/>
                <w:highlight w:val="none"/>
                <w:lang w:bidi="ar"/>
              </w:rPr>
              <w:t>。</w:t>
            </w:r>
          </w:p>
        </w:tc>
      </w:tr>
      <w:bookmarkEnd w:id="164"/>
      <w:bookmarkEnd w:id="165"/>
      <w:bookmarkEnd w:id="166"/>
      <w:tr w14:paraId="7838FF1B">
        <w:tblPrEx>
          <w:shd w:val="clear" w:color="auto" w:fill="auto"/>
          <w:tblCellMar>
            <w:top w:w="0" w:type="dxa"/>
            <w:left w:w="108" w:type="dxa"/>
            <w:bottom w:w="0" w:type="dxa"/>
            <w:right w:w="108" w:type="dxa"/>
          </w:tblCellMar>
        </w:tblPrEx>
        <w:trPr>
          <w:trHeight w:val="558" w:hRule="atLeast"/>
        </w:trPr>
        <w:tc>
          <w:tcPr>
            <w:tcW w:w="1214" w:type="dxa"/>
            <w:vMerge w:val="continue"/>
            <w:tcBorders>
              <w:left w:val="single" w:color="auto" w:sz="4" w:space="0"/>
              <w:right w:val="single" w:color="auto" w:sz="4" w:space="0"/>
            </w:tcBorders>
            <w:shd w:val="clear" w:color="auto" w:fill="auto"/>
            <w:noWrap w:val="0"/>
            <w:vAlign w:val="center"/>
          </w:tcPr>
          <w:p w14:paraId="450A66EE">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szCs w:val="21"/>
                <w:highlight w:val="none"/>
              </w:rPr>
            </w:pPr>
            <w:bookmarkStart w:id="169" w:name="_Hlk198237051"/>
            <w:bookmarkStart w:id="170" w:name="OLE_LINK164" w:colFirst="2" w:colLast="3"/>
            <w:bookmarkStart w:id="171" w:name="OLE_LINK163" w:colFirst="2" w:colLast="3"/>
          </w:p>
        </w:tc>
        <w:tc>
          <w:tcPr>
            <w:tcW w:w="1261" w:type="dxa"/>
            <w:vMerge w:val="continue"/>
            <w:tcBorders>
              <w:left w:val="single" w:color="auto" w:sz="4" w:space="0"/>
              <w:right w:val="single" w:color="auto" w:sz="4" w:space="0"/>
            </w:tcBorders>
            <w:shd w:val="clear" w:color="auto" w:fill="auto"/>
            <w:noWrap w:val="0"/>
            <w:vAlign w:val="center"/>
          </w:tcPr>
          <w:p w14:paraId="31DB587B">
            <w:pPr>
              <w:keepNext w:val="0"/>
              <w:keepLines w:val="0"/>
              <w:suppressLineNumbers w:val="0"/>
              <w:spacing w:before="0" w:beforeAutospacing="0" w:after="0" w:afterAutospacing="0"/>
              <w:ind w:left="0" w:right="0"/>
              <w:jc w:val="center"/>
              <w:rPr>
                <w:rFonts w:hint="eastAsia" w:ascii="宋体" w:hAnsi="宋体" w:cs="仿宋"/>
                <w:color w:val="auto"/>
                <w:szCs w:val="21"/>
                <w:highlight w:val="none"/>
              </w:rPr>
            </w:pPr>
          </w:p>
        </w:tc>
        <w:tc>
          <w:tcPr>
            <w:tcW w:w="2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C3778">
            <w:pPr>
              <w:keepNext w:val="0"/>
              <w:keepLines w:val="0"/>
              <w:widowControl/>
              <w:suppressLineNumbers w:val="0"/>
              <w:snapToGrid/>
              <w:spacing w:before="0" w:beforeAutospacing="0" w:after="0" w:afterAutospacing="0"/>
              <w:ind w:left="0" w:right="0"/>
              <w:jc w:val="center"/>
              <w:textAlignment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工程获奖</w:t>
            </w:r>
          </w:p>
          <w:p w14:paraId="4ACEABDF">
            <w:pPr>
              <w:keepNext w:val="0"/>
              <w:keepLines w:val="0"/>
              <w:widowControl/>
              <w:suppressLineNumbers w:val="0"/>
              <w:snapToGrid/>
              <w:spacing w:before="0" w:beforeAutospacing="0" w:after="0" w:afterAutospacing="0"/>
              <w:ind w:left="0" w:leftChars="0" w:right="0" w:right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val="en-US" w:eastAsia="zh-CN"/>
              </w:rPr>
              <w:t>2</w:t>
            </w:r>
            <w:r>
              <w:rPr>
                <w:rFonts w:hint="eastAsia" w:ascii="宋体" w:hAnsi="宋体" w:eastAsia="宋体" w:cs="宋体"/>
                <w:color w:val="auto"/>
                <w:sz w:val="22"/>
                <w:highlight w:val="none"/>
              </w:rPr>
              <w:t>分）</w:t>
            </w:r>
          </w:p>
        </w:tc>
        <w:tc>
          <w:tcPr>
            <w:tcW w:w="10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8B4E0">
            <w:pPr>
              <w:keepNext w:val="0"/>
              <w:keepLines w:val="0"/>
              <w:suppressLineNumbers w:val="0"/>
              <w:tabs>
                <w:tab w:val="left" w:pos="360"/>
              </w:tabs>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投标人自2022年1月1日至投标截止时间（以获奖证书颁发时间为准）完成的建筑工程施工总承包或工程总承包项目：</w:t>
            </w:r>
          </w:p>
          <w:p w14:paraId="6A729102">
            <w:pPr>
              <w:keepNext w:val="0"/>
              <w:keepLines w:val="0"/>
              <w:suppressLineNumbers w:val="0"/>
              <w:tabs>
                <w:tab w:val="left" w:pos="360"/>
              </w:tabs>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（1）获得过国家级工程质量奖项的，每项得</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bidi="ar"/>
              </w:rPr>
              <w:t>分，本小项最多得</w:t>
            </w:r>
            <w:r>
              <w:rPr>
                <w:rFonts w:hint="eastAsia" w:ascii="宋体" w:hAnsi="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bidi="ar"/>
              </w:rPr>
              <w:t>分；</w:t>
            </w:r>
          </w:p>
          <w:p w14:paraId="688A33CB">
            <w:pPr>
              <w:keepNext w:val="0"/>
              <w:keepLines w:val="0"/>
              <w:suppressLineNumbers w:val="0"/>
              <w:tabs>
                <w:tab w:val="left" w:pos="360"/>
              </w:tabs>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（2）获得过省级工程质量奖项的，每项得</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bidi="ar"/>
              </w:rPr>
              <w:t>分，本小项最多得</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bidi="ar"/>
              </w:rPr>
              <w:t>分；</w:t>
            </w:r>
          </w:p>
          <w:p w14:paraId="511C0DFA">
            <w:pPr>
              <w:keepNext w:val="0"/>
              <w:keepLines w:val="0"/>
              <w:suppressLineNumbers w:val="0"/>
              <w:tabs>
                <w:tab w:val="left" w:pos="360"/>
              </w:tabs>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（3）获得过市级（含副省级）工程质量奖项的，每项得1分，本小项最多得3分。</w:t>
            </w:r>
          </w:p>
          <w:p w14:paraId="38AC7C0B">
            <w:pPr>
              <w:keepNext w:val="0"/>
              <w:keepLines w:val="0"/>
              <w:suppressLineNumbers w:val="0"/>
              <w:tabs>
                <w:tab w:val="left" w:pos="360"/>
              </w:tabs>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不符合上述条件的不得分，本项最高得1</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bidi="ar"/>
              </w:rPr>
              <w:t>分。</w:t>
            </w:r>
          </w:p>
        </w:tc>
      </w:tr>
      <w:tr w14:paraId="3DE029E4">
        <w:tblPrEx>
          <w:shd w:val="clear" w:color="auto" w:fill="auto"/>
          <w:tblCellMar>
            <w:top w:w="0" w:type="dxa"/>
            <w:left w:w="108" w:type="dxa"/>
            <w:bottom w:w="0" w:type="dxa"/>
            <w:right w:w="108" w:type="dxa"/>
          </w:tblCellMar>
        </w:tblPrEx>
        <w:trPr>
          <w:trHeight w:val="558" w:hRule="atLeast"/>
        </w:trPr>
        <w:tc>
          <w:tcPr>
            <w:tcW w:w="1214" w:type="dxa"/>
            <w:vMerge w:val="continue"/>
            <w:tcBorders>
              <w:left w:val="single" w:color="auto" w:sz="4" w:space="0"/>
              <w:bottom w:val="single" w:color="auto" w:sz="4" w:space="0"/>
              <w:right w:val="single" w:color="auto" w:sz="4" w:space="0"/>
            </w:tcBorders>
            <w:shd w:val="clear" w:color="auto" w:fill="auto"/>
            <w:noWrap w:val="0"/>
            <w:vAlign w:val="center"/>
          </w:tcPr>
          <w:p w14:paraId="5819A6CE">
            <w:pPr>
              <w:keepNext w:val="0"/>
              <w:keepLines w:val="0"/>
              <w:widowControl/>
              <w:suppressLineNumbers w:val="0"/>
              <w:spacing w:before="0" w:beforeAutospacing="0" w:after="0" w:afterAutospacing="0"/>
              <w:ind w:left="0" w:right="0"/>
              <w:jc w:val="center"/>
              <w:textAlignment w:val="center"/>
              <w:rPr>
                <w:rFonts w:hint="eastAsia" w:ascii="宋体" w:hAnsi="宋体" w:cs="仿宋"/>
                <w:b/>
                <w:bCs/>
                <w:color w:val="auto"/>
                <w:kern w:val="0"/>
                <w:szCs w:val="21"/>
                <w:highlight w:val="none"/>
                <w:lang w:bidi="ar"/>
              </w:rPr>
            </w:pPr>
            <w:bookmarkStart w:id="172" w:name="OLE_LINK171"/>
          </w:p>
        </w:tc>
        <w:tc>
          <w:tcPr>
            <w:tcW w:w="1261" w:type="dxa"/>
            <w:vMerge w:val="continue"/>
            <w:tcBorders>
              <w:left w:val="single" w:color="auto" w:sz="4" w:space="0"/>
              <w:bottom w:val="single" w:color="auto" w:sz="4" w:space="0"/>
              <w:right w:val="single" w:color="auto" w:sz="4" w:space="0"/>
            </w:tcBorders>
            <w:shd w:val="clear" w:color="auto" w:fill="auto"/>
            <w:noWrap w:val="0"/>
            <w:vAlign w:val="center"/>
          </w:tcPr>
          <w:p w14:paraId="5604ABDD">
            <w:pPr>
              <w:keepNext w:val="0"/>
              <w:keepLines w:val="0"/>
              <w:suppressLineNumbers w:val="0"/>
              <w:spacing w:before="0" w:beforeAutospacing="0" w:after="0" w:afterAutospacing="0"/>
              <w:ind w:left="0" w:right="0"/>
              <w:jc w:val="center"/>
              <w:rPr>
                <w:rFonts w:hint="eastAsia" w:ascii="宋体" w:hAnsi="宋体" w:cs="仿宋"/>
                <w:color w:val="auto"/>
                <w:szCs w:val="21"/>
                <w:highlight w:val="none"/>
              </w:rPr>
            </w:pPr>
          </w:p>
        </w:tc>
        <w:tc>
          <w:tcPr>
            <w:tcW w:w="2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6A256">
            <w:pPr>
              <w:keepNext w:val="0"/>
              <w:keepLines w:val="0"/>
              <w:widowControl/>
              <w:suppressLineNumbers w:val="0"/>
              <w:snapToGrid/>
              <w:spacing w:before="0" w:beforeAutospacing="0" w:after="0" w:afterAutospacing="0"/>
              <w:ind w:left="0" w:leftChars="0" w:right="0" w:rightChars="0"/>
              <w:jc w:val="center"/>
              <w:textAlignment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第三方评价</w:t>
            </w:r>
          </w:p>
          <w:p w14:paraId="54E3469C">
            <w:pPr>
              <w:keepNext w:val="0"/>
              <w:keepLines w:val="0"/>
              <w:widowControl/>
              <w:suppressLineNumbers w:val="0"/>
              <w:snapToGrid/>
              <w:spacing w:before="0" w:beforeAutospacing="0" w:after="0" w:afterAutospacing="0"/>
              <w:ind w:left="0" w:leftChars="0" w:right="0" w:rightChars="0"/>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rPr>
              <w:t>分</w:t>
            </w:r>
            <w:r>
              <w:rPr>
                <w:rFonts w:hint="eastAsia" w:ascii="宋体" w:hAnsi="宋体" w:cs="宋体"/>
                <w:color w:val="auto"/>
                <w:sz w:val="22"/>
                <w:highlight w:val="none"/>
                <w:lang w:eastAsia="zh-CN"/>
              </w:rPr>
              <w:t>）</w:t>
            </w:r>
          </w:p>
        </w:tc>
        <w:tc>
          <w:tcPr>
            <w:tcW w:w="10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3A8D01">
            <w:pPr>
              <w:keepNext w:val="0"/>
              <w:keepLines w:val="0"/>
              <w:suppressLineNumbers w:val="0"/>
              <w:tabs>
                <w:tab w:val="left" w:pos="360"/>
              </w:tabs>
              <w:spacing w:before="0" w:beforeAutospacing="0" w:after="0" w:afterAutospacing="0" w:line="360" w:lineRule="auto"/>
              <w:ind w:left="0" w:leftChars="0" w:right="0" w:rightChars="0"/>
              <w:rPr>
                <w:rFonts w:hint="eastAsia" w:ascii="宋体" w:hAnsi="宋体" w:cs="宋体"/>
                <w:color w:val="auto"/>
                <w:szCs w:val="21"/>
                <w:highlight w:val="none"/>
                <w:lang w:eastAsia="zh-CN" w:bidi="ar"/>
              </w:rPr>
            </w:pPr>
            <w:r>
              <w:rPr>
                <w:rFonts w:hint="eastAsia" w:ascii="宋体" w:hAnsi="宋体" w:eastAsia="宋体" w:cs="宋体"/>
                <w:color w:val="auto"/>
                <w:szCs w:val="21"/>
                <w:highlight w:val="none"/>
                <w:lang w:bidi="ar"/>
              </w:rPr>
              <w:t>投标人自2022年1月1日至投标截止时间止，获得过省级或以上</w:t>
            </w:r>
            <w:bookmarkStart w:id="173" w:name="OLE_LINK27"/>
            <w:r>
              <w:rPr>
                <w:rFonts w:hint="eastAsia" w:ascii="宋体" w:hAnsi="宋体" w:eastAsia="宋体" w:cs="宋体"/>
                <w:color w:val="auto"/>
                <w:szCs w:val="21"/>
                <w:highlight w:val="none"/>
                <w:lang w:bidi="ar"/>
              </w:rPr>
              <w:t>建筑工程类科技创新类企业</w:t>
            </w:r>
            <w:bookmarkEnd w:id="173"/>
            <w:r>
              <w:rPr>
                <w:rFonts w:hint="eastAsia" w:ascii="宋体" w:hAnsi="宋体" w:eastAsia="宋体" w:cs="宋体"/>
                <w:color w:val="auto"/>
                <w:szCs w:val="21"/>
                <w:highlight w:val="none"/>
                <w:lang w:bidi="ar"/>
              </w:rPr>
              <w:t>的，得</w:t>
            </w:r>
            <w:r>
              <w:rPr>
                <w:rFonts w:hint="eastAsia" w:ascii="宋体" w:hAnsi="宋体" w:cs="宋体"/>
                <w:color w:val="auto"/>
                <w:szCs w:val="21"/>
                <w:highlight w:val="none"/>
                <w:lang w:val="en-US" w:eastAsia="zh-CN" w:bidi="ar"/>
              </w:rPr>
              <w:t>3</w:t>
            </w:r>
            <w:r>
              <w:rPr>
                <w:rFonts w:hint="eastAsia" w:ascii="宋体" w:hAnsi="宋体" w:eastAsia="宋体" w:cs="宋体"/>
                <w:color w:val="auto"/>
                <w:szCs w:val="21"/>
                <w:highlight w:val="none"/>
                <w:lang w:bidi="ar"/>
              </w:rPr>
              <w:t>分</w:t>
            </w:r>
            <w:r>
              <w:rPr>
                <w:rFonts w:hint="eastAsia" w:ascii="宋体" w:hAnsi="宋体" w:cs="宋体"/>
                <w:color w:val="auto"/>
                <w:szCs w:val="21"/>
                <w:highlight w:val="none"/>
                <w:lang w:eastAsia="zh-CN" w:bidi="ar"/>
              </w:rPr>
              <w:t>。</w:t>
            </w:r>
          </w:p>
          <w:p w14:paraId="47858D7F">
            <w:pPr>
              <w:keepNext w:val="0"/>
              <w:keepLines w:val="0"/>
              <w:suppressLineNumbers w:val="0"/>
              <w:tabs>
                <w:tab w:val="left" w:pos="360"/>
              </w:tabs>
              <w:spacing w:before="0" w:beforeAutospacing="0" w:after="0" w:afterAutospacing="0" w:line="360" w:lineRule="auto"/>
              <w:ind w:left="0" w:leftChars="0" w:right="0" w:rightChars="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不符合上述条件的不得分，本项最高得</w:t>
            </w:r>
            <w:r>
              <w:rPr>
                <w:rFonts w:hint="eastAsia" w:ascii="宋体" w:hAnsi="宋体" w:cs="宋体"/>
                <w:color w:val="auto"/>
                <w:szCs w:val="21"/>
                <w:highlight w:val="none"/>
                <w:lang w:val="en-US" w:eastAsia="zh-CN" w:bidi="ar"/>
              </w:rPr>
              <w:t>3</w:t>
            </w:r>
            <w:r>
              <w:rPr>
                <w:rFonts w:hint="eastAsia" w:ascii="宋体" w:hAnsi="宋体" w:eastAsia="宋体" w:cs="宋体"/>
                <w:color w:val="auto"/>
                <w:szCs w:val="21"/>
                <w:highlight w:val="none"/>
                <w:lang w:bidi="ar"/>
              </w:rPr>
              <w:t>分。</w:t>
            </w:r>
          </w:p>
        </w:tc>
      </w:tr>
      <w:tr w14:paraId="618EEDAB">
        <w:tblPrEx>
          <w:shd w:val="clear" w:color="auto" w:fill="auto"/>
          <w:tblCellMar>
            <w:top w:w="0" w:type="dxa"/>
            <w:left w:w="108" w:type="dxa"/>
            <w:bottom w:w="0" w:type="dxa"/>
            <w:right w:w="108" w:type="dxa"/>
          </w:tblCellMar>
        </w:tblPrEx>
        <w:trPr>
          <w:trHeight w:val="558" w:hRule="atLeast"/>
        </w:trPr>
        <w:tc>
          <w:tcPr>
            <w:tcW w:w="1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60DD13">
            <w:pPr>
              <w:keepNext w:val="0"/>
              <w:keepLines w:val="0"/>
              <w:widowControl/>
              <w:suppressLineNumbers w:val="0"/>
              <w:spacing w:before="0" w:beforeAutospacing="0" w:after="0" w:afterAutospacing="0"/>
              <w:ind w:left="0" w:right="0"/>
              <w:jc w:val="center"/>
              <w:textAlignment w:val="center"/>
              <w:rPr>
                <w:rFonts w:hint="default" w:ascii="宋体" w:hAnsi="宋体" w:eastAsia="宋体" w:cs="仿宋"/>
                <w:b/>
                <w:bCs/>
                <w:color w:val="auto"/>
                <w:kern w:val="0"/>
                <w:szCs w:val="21"/>
                <w:highlight w:val="none"/>
                <w:lang w:val="en-US" w:eastAsia="zh-CN" w:bidi="ar"/>
              </w:rPr>
            </w:pPr>
            <w:r>
              <w:rPr>
                <w:rFonts w:hint="eastAsia" w:ascii="宋体" w:hAnsi="宋体" w:cs="仿宋"/>
                <w:b/>
                <w:bCs/>
                <w:color w:val="auto"/>
                <w:kern w:val="0"/>
                <w:szCs w:val="21"/>
                <w:highlight w:val="none"/>
                <w:lang w:val="en-US" w:eastAsia="zh-CN" w:bidi="ar"/>
              </w:rPr>
              <w:t>10</w:t>
            </w:r>
          </w:p>
        </w:tc>
        <w:tc>
          <w:tcPr>
            <w:tcW w:w="328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3F1A8A7">
            <w:pPr>
              <w:pStyle w:val="20"/>
              <w:keepNext w:val="0"/>
              <w:keepLines w:val="0"/>
              <w:suppressLineNumbers w:val="0"/>
              <w:spacing w:before="0" w:beforeAutospacing="0" w:after="0" w:afterAutospacing="0"/>
              <w:ind w:left="0" w:right="0"/>
              <w:jc w:val="center"/>
              <w:rPr>
                <w:rFonts w:hint="eastAsia" w:cs="Calibri"/>
                <w:color w:val="auto"/>
                <w:highlight w:val="none"/>
                <w:lang w:val="en-US" w:eastAsia="zh-CN"/>
              </w:rPr>
            </w:pPr>
            <w:r>
              <w:rPr>
                <w:rFonts w:hint="eastAsia" w:cs="Calibri"/>
                <w:color w:val="auto"/>
                <w:highlight w:val="none"/>
                <w:lang w:val="en-US" w:eastAsia="zh-CN"/>
              </w:rPr>
              <w:t>项目管理团队答辩</w:t>
            </w:r>
          </w:p>
          <w:p w14:paraId="4F929A6A">
            <w:pPr>
              <w:keepNext w:val="0"/>
              <w:keepLines w:val="0"/>
              <w:widowControl/>
              <w:suppressLineNumbers w:val="0"/>
              <w:snapToGrid/>
              <w:spacing w:before="0" w:beforeAutospacing="0" w:after="0" w:afterAutospacing="0"/>
              <w:ind w:left="0" w:leftChars="0" w:right="0" w:rightChars="0"/>
              <w:jc w:val="center"/>
              <w:textAlignment w:val="center"/>
              <w:rPr>
                <w:rFonts w:hint="eastAsia" w:ascii="宋体" w:hAnsi="宋体" w:eastAsia="宋体" w:cs="宋体"/>
                <w:color w:val="auto"/>
                <w:kern w:val="2"/>
                <w:sz w:val="22"/>
                <w:szCs w:val="22"/>
                <w:highlight w:val="none"/>
                <w:lang w:bidi="ar"/>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20分）</w:t>
            </w:r>
          </w:p>
        </w:tc>
        <w:tc>
          <w:tcPr>
            <w:tcW w:w="10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A1265B">
            <w:pPr>
              <w:keepNext w:val="0"/>
              <w:keepLines w:val="0"/>
              <w:suppressLineNumbers w:val="0"/>
              <w:tabs>
                <w:tab w:val="left" w:pos="360"/>
              </w:tabs>
              <w:spacing w:before="0" w:beforeAutospacing="0" w:after="0" w:afterAutospacing="0" w:line="360" w:lineRule="auto"/>
              <w:ind w:left="0" w:right="0"/>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（一）</w:t>
            </w:r>
            <w:r>
              <w:rPr>
                <w:rFonts w:hint="eastAsia" w:ascii="宋体" w:hAnsi="宋体" w:eastAsia="宋体" w:cs="宋体"/>
                <w:color w:val="auto"/>
                <w:szCs w:val="21"/>
                <w:highlight w:val="none"/>
                <w:lang w:val="en-US" w:eastAsia="zh-CN" w:bidi="ar"/>
              </w:rPr>
              <w:t>项目负责人、技术负责人就本工程内容从以下方面进行陈述</w:t>
            </w:r>
            <w:r>
              <w:rPr>
                <w:rFonts w:hint="eastAsia" w:ascii="宋体" w:hAnsi="宋体" w:cs="宋体"/>
                <w:color w:val="auto"/>
                <w:szCs w:val="21"/>
                <w:highlight w:val="none"/>
                <w:lang w:val="en-US" w:eastAsia="zh-CN" w:bidi="ar"/>
              </w:rPr>
              <w:t>。</w:t>
            </w:r>
          </w:p>
          <w:p w14:paraId="55705DA8">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①对参与投标项目的了解情况</w:t>
            </w:r>
            <w:r>
              <w:rPr>
                <w:rFonts w:hint="eastAsia" w:ascii="宋体" w:hAnsi="宋体" w:cs="宋体"/>
                <w:color w:val="auto"/>
                <w:szCs w:val="21"/>
                <w:highlight w:val="none"/>
                <w:lang w:val="en-US" w:eastAsia="zh-CN" w:bidi="ar"/>
              </w:rPr>
              <w:t>。（2分）</w:t>
            </w:r>
          </w:p>
          <w:p w14:paraId="1C9C8977">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【优】</w:t>
            </w:r>
            <w:r>
              <w:rPr>
                <w:rFonts w:hint="eastAsia" w:ascii="宋体" w:hAnsi="宋体" w:eastAsia="宋体" w:cs="宋体"/>
                <w:color w:val="auto"/>
                <w:szCs w:val="21"/>
                <w:highlight w:val="none"/>
                <w:lang w:val="en-US" w:eastAsia="zh-CN" w:bidi="ar"/>
              </w:rPr>
              <w:t>掌握项目情况认识清晰。(</w:t>
            </w:r>
            <w:r>
              <w:rPr>
                <w:rFonts w:hint="eastAsia" w:ascii="宋体" w:hAnsi="宋体" w:cs="宋体"/>
                <w:color w:val="auto"/>
                <w:szCs w:val="21"/>
                <w:highlight w:val="none"/>
                <w:lang w:val="en-US" w:eastAsia="zh-CN" w:bidi="ar"/>
              </w:rPr>
              <w:t>1.5</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val="en-US" w:eastAsia="zh-CN" w:bidi="ar"/>
              </w:rPr>
              <w:t>]分</w:t>
            </w:r>
          </w:p>
          <w:p w14:paraId="47D94F5D">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【良】</w:t>
            </w:r>
            <w:r>
              <w:rPr>
                <w:rFonts w:hint="eastAsia" w:ascii="宋体" w:hAnsi="宋体" w:eastAsia="宋体" w:cs="宋体"/>
                <w:color w:val="auto"/>
                <w:szCs w:val="21"/>
                <w:highlight w:val="none"/>
                <w:lang w:val="en-US" w:eastAsia="zh-CN" w:bidi="ar"/>
              </w:rPr>
              <w:t>掌握项目情况认识比较清晰。(</w:t>
            </w:r>
            <w:r>
              <w:rPr>
                <w:rFonts w:hint="eastAsia" w:ascii="宋体" w:hAnsi="宋体" w:cs="宋体"/>
                <w:color w:val="auto"/>
                <w:szCs w:val="21"/>
                <w:highlight w:val="none"/>
                <w:lang w:val="en-US" w:eastAsia="zh-CN" w:bidi="ar"/>
              </w:rPr>
              <w:t>1</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1.5</w:t>
            </w:r>
            <w:r>
              <w:rPr>
                <w:rFonts w:hint="eastAsia" w:ascii="宋体" w:hAnsi="宋体" w:eastAsia="宋体" w:cs="宋体"/>
                <w:color w:val="auto"/>
                <w:szCs w:val="21"/>
                <w:highlight w:val="none"/>
                <w:lang w:val="en-US" w:eastAsia="zh-CN" w:bidi="ar"/>
              </w:rPr>
              <w:t>]分</w:t>
            </w:r>
          </w:p>
          <w:p w14:paraId="25AE8FE1">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【中】</w:t>
            </w:r>
            <w:r>
              <w:rPr>
                <w:rFonts w:hint="eastAsia" w:ascii="宋体" w:hAnsi="宋体" w:eastAsia="宋体" w:cs="宋体"/>
                <w:color w:val="auto"/>
                <w:szCs w:val="21"/>
                <w:highlight w:val="none"/>
                <w:lang w:val="en-US" w:eastAsia="zh-CN" w:bidi="ar"/>
              </w:rPr>
              <w:t>掌握项目情况认识基本清晰。(</w:t>
            </w:r>
            <w:r>
              <w:rPr>
                <w:rFonts w:hint="eastAsia" w:ascii="宋体" w:hAnsi="宋体" w:cs="宋体"/>
                <w:color w:val="auto"/>
                <w:szCs w:val="21"/>
                <w:highlight w:val="none"/>
                <w:lang w:val="en-US" w:eastAsia="zh-CN" w:bidi="ar"/>
              </w:rPr>
              <w:t>0.5</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1</w:t>
            </w:r>
            <w:r>
              <w:rPr>
                <w:rFonts w:hint="eastAsia" w:ascii="宋体" w:hAnsi="宋体" w:eastAsia="宋体" w:cs="宋体"/>
                <w:color w:val="auto"/>
                <w:szCs w:val="21"/>
                <w:highlight w:val="none"/>
                <w:lang w:val="en-US" w:eastAsia="zh-CN" w:bidi="ar"/>
              </w:rPr>
              <w:t>]分</w:t>
            </w:r>
          </w:p>
          <w:p w14:paraId="36EC04E8">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【差】</w:t>
            </w:r>
            <w:r>
              <w:rPr>
                <w:rFonts w:hint="eastAsia" w:ascii="宋体" w:hAnsi="宋体" w:eastAsia="宋体" w:cs="宋体"/>
                <w:color w:val="auto"/>
                <w:szCs w:val="21"/>
                <w:highlight w:val="none"/>
                <w:lang w:val="en-US" w:eastAsia="zh-CN" w:bidi="ar"/>
              </w:rPr>
              <w:t>掌握项目情况认识一般</w:t>
            </w:r>
            <w:r>
              <w:rPr>
                <w:rFonts w:hint="eastAsia" w:ascii="宋体" w:hAnsi="宋体" w:cs="宋体"/>
                <w:color w:val="auto"/>
                <w:szCs w:val="21"/>
                <w:highlight w:val="none"/>
                <w:lang w:val="en-US" w:eastAsia="zh-CN" w:bidi="ar"/>
              </w:rPr>
              <w:t>。</w:t>
            </w:r>
            <w:r>
              <w:rPr>
                <w:rFonts w:hint="eastAsia" w:ascii="宋体" w:hAnsi="宋体" w:eastAsia="宋体" w:cs="宋体"/>
                <w:color w:val="auto"/>
                <w:szCs w:val="21"/>
                <w:highlight w:val="none"/>
                <w:lang w:val="en-US" w:eastAsia="zh-CN" w:bidi="ar"/>
              </w:rPr>
              <w:t>（0，</w:t>
            </w:r>
            <w:r>
              <w:rPr>
                <w:rFonts w:hint="eastAsia" w:ascii="宋体" w:hAnsi="宋体" w:cs="宋体"/>
                <w:color w:val="auto"/>
                <w:szCs w:val="21"/>
                <w:highlight w:val="none"/>
                <w:lang w:val="en-US" w:eastAsia="zh-CN" w:bidi="ar"/>
              </w:rPr>
              <w:t>0.5</w:t>
            </w:r>
            <w:r>
              <w:rPr>
                <w:rFonts w:hint="eastAsia" w:ascii="宋体" w:hAnsi="宋体" w:eastAsia="宋体" w:cs="宋体"/>
                <w:color w:val="auto"/>
                <w:szCs w:val="21"/>
                <w:highlight w:val="none"/>
                <w:lang w:val="en-US" w:eastAsia="zh-CN" w:bidi="ar"/>
              </w:rPr>
              <w:t>]分</w:t>
            </w:r>
          </w:p>
          <w:p w14:paraId="18BA9E6E">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②项目施工的重点、难点分析及应对措施</w:t>
            </w:r>
            <w:r>
              <w:rPr>
                <w:rFonts w:hint="eastAsia" w:ascii="宋体" w:hAnsi="宋体" w:cs="宋体"/>
                <w:color w:val="auto"/>
                <w:szCs w:val="21"/>
                <w:highlight w:val="none"/>
                <w:lang w:val="en-US" w:eastAsia="zh-CN" w:bidi="ar"/>
              </w:rPr>
              <w:t>（医疗设施条件预留、高空大跨度钢结构连廊、管线综合平衡、机电系统调试、暖通工程、地铁保护）</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（6分）</w:t>
            </w:r>
          </w:p>
          <w:p w14:paraId="05DBE796">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【优】</w:t>
            </w:r>
            <w:r>
              <w:rPr>
                <w:rFonts w:hint="eastAsia" w:ascii="宋体" w:hAnsi="宋体" w:eastAsia="宋体" w:cs="宋体"/>
                <w:color w:val="auto"/>
                <w:szCs w:val="21"/>
                <w:highlight w:val="none"/>
                <w:lang w:val="en-US" w:eastAsia="zh-CN" w:bidi="ar"/>
              </w:rPr>
              <w:t>对施工的重点、难点认识深刻、有应对措施。(</w:t>
            </w:r>
            <w:r>
              <w:rPr>
                <w:rFonts w:hint="eastAsia" w:ascii="宋体" w:hAnsi="宋体" w:cs="宋体"/>
                <w:color w:val="auto"/>
                <w:szCs w:val="21"/>
                <w:highlight w:val="none"/>
                <w:lang w:val="en-US" w:eastAsia="zh-CN" w:bidi="ar"/>
              </w:rPr>
              <w:t>5</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6</w:t>
            </w:r>
            <w:r>
              <w:rPr>
                <w:rFonts w:hint="eastAsia" w:ascii="宋体" w:hAnsi="宋体" w:eastAsia="宋体" w:cs="宋体"/>
                <w:color w:val="auto"/>
                <w:szCs w:val="21"/>
                <w:highlight w:val="none"/>
                <w:lang w:val="en-US" w:eastAsia="zh-CN" w:bidi="ar"/>
              </w:rPr>
              <w:t>]分</w:t>
            </w:r>
          </w:p>
          <w:p w14:paraId="2188C40B">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【良】</w:t>
            </w:r>
            <w:r>
              <w:rPr>
                <w:rFonts w:hint="eastAsia" w:ascii="宋体" w:hAnsi="宋体" w:eastAsia="宋体" w:cs="宋体"/>
                <w:color w:val="auto"/>
                <w:szCs w:val="21"/>
                <w:highlight w:val="none"/>
                <w:lang w:val="en-US" w:eastAsia="zh-CN" w:bidi="ar"/>
              </w:rPr>
              <w:t>对施工的重点、难点认识比较深刻、有应对措施。(</w:t>
            </w:r>
            <w:r>
              <w:rPr>
                <w:rFonts w:hint="eastAsia" w:ascii="宋体" w:hAnsi="宋体" w:cs="宋体"/>
                <w:color w:val="auto"/>
                <w:szCs w:val="21"/>
                <w:highlight w:val="none"/>
                <w:lang w:val="en-US" w:eastAsia="zh-CN" w:bidi="ar"/>
              </w:rPr>
              <w:t>3</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5</w:t>
            </w:r>
            <w:r>
              <w:rPr>
                <w:rFonts w:hint="eastAsia" w:ascii="宋体" w:hAnsi="宋体" w:eastAsia="宋体" w:cs="宋体"/>
                <w:color w:val="auto"/>
                <w:szCs w:val="21"/>
                <w:highlight w:val="none"/>
                <w:lang w:val="en-US" w:eastAsia="zh-CN" w:bidi="ar"/>
              </w:rPr>
              <w:t>]分</w:t>
            </w:r>
          </w:p>
          <w:p w14:paraId="1EE889BA">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【中】</w:t>
            </w:r>
            <w:r>
              <w:rPr>
                <w:rFonts w:hint="eastAsia" w:ascii="宋体" w:hAnsi="宋体" w:eastAsia="宋体" w:cs="宋体"/>
                <w:color w:val="auto"/>
                <w:szCs w:val="21"/>
                <w:highlight w:val="none"/>
                <w:lang w:val="en-US" w:eastAsia="zh-CN" w:bidi="ar"/>
              </w:rPr>
              <w:t>对施工的重点、难点认识基本深刻、有应对措施。(</w:t>
            </w:r>
            <w:r>
              <w:rPr>
                <w:rFonts w:hint="eastAsia" w:ascii="宋体" w:hAnsi="宋体" w:cs="宋体"/>
                <w:color w:val="auto"/>
                <w:szCs w:val="21"/>
                <w:highlight w:val="none"/>
                <w:lang w:val="en-US" w:eastAsia="zh-CN" w:bidi="ar"/>
              </w:rPr>
              <w:t>1</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3</w:t>
            </w:r>
            <w:r>
              <w:rPr>
                <w:rFonts w:hint="eastAsia" w:ascii="宋体" w:hAnsi="宋体" w:eastAsia="宋体" w:cs="宋体"/>
                <w:color w:val="auto"/>
                <w:szCs w:val="21"/>
                <w:highlight w:val="none"/>
                <w:lang w:val="en-US" w:eastAsia="zh-CN" w:bidi="ar"/>
              </w:rPr>
              <w:t>]分</w:t>
            </w:r>
          </w:p>
          <w:p w14:paraId="11BCDBA4">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【差】</w:t>
            </w:r>
            <w:r>
              <w:rPr>
                <w:rFonts w:hint="eastAsia" w:ascii="宋体" w:hAnsi="宋体" w:eastAsia="宋体" w:cs="宋体"/>
                <w:color w:val="auto"/>
                <w:szCs w:val="21"/>
                <w:highlight w:val="none"/>
                <w:lang w:val="en-US" w:eastAsia="zh-CN" w:bidi="ar"/>
              </w:rPr>
              <w:t>对施工的重点、难点认识一般、有应对措施。（0，</w:t>
            </w:r>
            <w:r>
              <w:rPr>
                <w:rFonts w:hint="eastAsia" w:ascii="宋体" w:hAnsi="宋体" w:cs="宋体"/>
                <w:color w:val="auto"/>
                <w:szCs w:val="21"/>
                <w:highlight w:val="none"/>
                <w:lang w:val="en-US" w:eastAsia="zh-CN" w:bidi="ar"/>
              </w:rPr>
              <w:t>1</w:t>
            </w:r>
            <w:r>
              <w:rPr>
                <w:rFonts w:hint="eastAsia" w:ascii="宋体" w:hAnsi="宋体" w:eastAsia="宋体" w:cs="宋体"/>
                <w:color w:val="auto"/>
                <w:szCs w:val="21"/>
                <w:highlight w:val="none"/>
                <w:lang w:val="en-US" w:eastAsia="zh-CN" w:bidi="ar"/>
              </w:rPr>
              <w:t>]分</w:t>
            </w:r>
          </w:p>
          <w:p w14:paraId="5C420620">
            <w:pPr>
              <w:keepNext w:val="0"/>
              <w:keepLines w:val="0"/>
              <w:suppressLineNumbers w:val="0"/>
              <w:tabs>
                <w:tab w:val="left" w:pos="360"/>
              </w:tabs>
              <w:spacing w:before="0" w:beforeAutospacing="0" w:after="0" w:afterAutospacing="0" w:line="360" w:lineRule="auto"/>
              <w:ind w:left="0" w:right="0"/>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③对工程质量、工程总工期的全面掌控，保证工程保质量保工期完工。</w:t>
            </w:r>
            <w:r>
              <w:rPr>
                <w:rFonts w:hint="eastAsia" w:ascii="宋体" w:hAnsi="宋体" w:cs="宋体"/>
                <w:color w:val="auto"/>
                <w:szCs w:val="21"/>
                <w:highlight w:val="none"/>
                <w:lang w:val="en-US" w:eastAsia="zh-CN" w:bidi="ar"/>
              </w:rPr>
              <w:t>（4分）</w:t>
            </w:r>
          </w:p>
          <w:p w14:paraId="31248912">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【优】</w:t>
            </w:r>
            <w:r>
              <w:rPr>
                <w:rFonts w:hint="eastAsia" w:ascii="宋体" w:hAnsi="宋体" w:eastAsia="宋体" w:cs="宋体"/>
                <w:color w:val="auto"/>
                <w:szCs w:val="21"/>
                <w:highlight w:val="none"/>
                <w:lang w:val="en-US" w:eastAsia="zh-CN" w:bidi="ar"/>
              </w:rPr>
              <w:t>对工程质量和工期的保证合理可行。(</w:t>
            </w:r>
            <w:r>
              <w:rPr>
                <w:rFonts w:hint="eastAsia" w:ascii="宋体" w:hAnsi="宋体" w:cs="宋体"/>
                <w:color w:val="auto"/>
                <w:szCs w:val="21"/>
                <w:highlight w:val="none"/>
                <w:lang w:val="en-US" w:eastAsia="zh-CN" w:bidi="ar"/>
              </w:rPr>
              <w:t>3</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4</w:t>
            </w:r>
            <w:r>
              <w:rPr>
                <w:rFonts w:hint="eastAsia" w:ascii="宋体" w:hAnsi="宋体" w:eastAsia="宋体" w:cs="宋体"/>
                <w:color w:val="auto"/>
                <w:szCs w:val="21"/>
                <w:highlight w:val="none"/>
                <w:lang w:val="en-US" w:eastAsia="zh-CN" w:bidi="ar"/>
              </w:rPr>
              <w:t>]分</w:t>
            </w:r>
          </w:p>
          <w:p w14:paraId="44CCF34B">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【良】</w:t>
            </w:r>
            <w:r>
              <w:rPr>
                <w:rFonts w:hint="eastAsia" w:ascii="宋体" w:hAnsi="宋体" w:eastAsia="宋体" w:cs="宋体"/>
                <w:color w:val="auto"/>
                <w:szCs w:val="21"/>
                <w:highlight w:val="none"/>
                <w:lang w:val="en-US" w:eastAsia="zh-CN" w:bidi="ar"/>
              </w:rPr>
              <w:t>对工程质量和工期的保证比较合理可行。(</w:t>
            </w: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3</w:t>
            </w:r>
            <w:r>
              <w:rPr>
                <w:rFonts w:hint="eastAsia" w:ascii="宋体" w:hAnsi="宋体" w:eastAsia="宋体" w:cs="宋体"/>
                <w:color w:val="auto"/>
                <w:szCs w:val="21"/>
                <w:highlight w:val="none"/>
                <w:lang w:val="en-US" w:eastAsia="zh-CN" w:bidi="ar"/>
              </w:rPr>
              <w:t>]分</w:t>
            </w:r>
          </w:p>
          <w:p w14:paraId="44B5459A">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【中】</w:t>
            </w:r>
            <w:r>
              <w:rPr>
                <w:rFonts w:hint="eastAsia" w:ascii="宋体" w:hAnsi="宋体" w:eastAsia="宋体" w:cs="宋体"/>
                <w:color w:val="auto"/>
                <w:szCs w:val="21"/>
                <w:highlight w:val="none"/>
                <w:lang w:val="en-US" w:eastAsia="zh-CN" w:bidi="ar"/>
              </w:rPr>
              <w:t>对工程质量和工期的保证基本合理可行。(</w:t>
            </w:r>
            <w:r>
              <w:rPr>
                <w:rFonts w:hint="eastAsia" w:ascii="宋体" w:hAnsi="宋体" w:cs="宋体"/>
                <w:color w:val="auto"/>
                <w:szCs w:val="21"/>
                <w:highlight w:val="none"/>
                <w:lang w:val="en-US" w:eastAsia="zh-CN" w:bidi="ar"/>
              </w:rPr>
              <w:t>1</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val="en-US" w:eastAsia="zh-CN" w:bidi="ar"/>
              </w:rPr>
              <w:t>]分</w:t>
            </w:r>
          </w:p>
          <w:p w14:paraId="78998B22">
            <w:pPr>
              <w:keepNext w:val="0"/>
              <w:keepLines w:val="0"/>
              <w:suppressLineNumbers w:val="0"/>
              <w:tabs>
                <w:tab w:val="left" w:pos="360"/>
              </w:tabs>
              <w:spacing w:before="0" w:beforeAutospacing="0" w:after="0" w:afterAutospacing="0" w:line="360" w:lineRule="auto"/>
              <w:ind w:left="0" w:leftChars="0" w:right="0" w:rightChars="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【差】</w:t>
            </w:r>
            <w:r>
              <w:rPr>
                <w:rFonts w:hint="eastAsia" w:ascii="宋体" w:hAnsi="宋体" w:eastAsia="宋体" w:cs="宋体"/>
                <w:color w:val="auto"/>
                <w:szCs w:val="21"/>
                <w:highlight w:val="none"/>
                <w:lang w:val="en-US" w:eastAsia="zh-CN" w:bidi="ar"/>
              </w:rPr>
              <w:t>对工程质量和工期的保证一般。（0，</w:t>
            </w:r>
            <w:r>
              <w:rPr>
                <w:rFonts w:hint="eastAsia" w:ascii="宋体" w:hAnsi="宋体" w:cs="宋体"/>
                <w:color w:val="auto"/>
                <w:szCs w:val="21"/>
                <w:highlight w:val="none"/>
                <w:lang w:val="en-US" w:eastAsia="zh-CN" w:bidi="ar"/>
              </w:rPr>
              <w:t>1</w:t>
            </w:r>
            <w:r>
              <w:rPr>
                <w:rFonts w:hint="eastAsia" w:ascii="宋体" w:hAnsi="宋体" w:eastAsia="宋体" w:cs="宋体"/>
                <w:color w:val="auto"/>
                <w:szCs w:val="21"/>
                <w:highlight w:val="none"/>
                <w:lang w:val="en-US" w:eastAsia="zh-CN" w:bidi="ar"/>
              </w:rPr>
              <w:t>]分</w:t>
            </w:r>
          </w:p>
          <w:p w14:paraId="09053512">
            <w:pPr>
              <w:keepNext w:val="0"/>
              <w:keepLines w:val="0"/>
              <w:suppressLineNumbers w:val="0"/>
              <w:tabs>
                <w:tab w:val="left" w:pos="360"/>
              </w:tabs>
              <w:spacing w:before="0" w:beforeAutospacing="0" w:after="0" w:afterAutospacing="0" w:line="360" w:lineRule="auto"/>
              <w:ind w:left="0" w:leftChars="0" w:right="0" w:rightChars="0"/>
              <w:rPr>
                <w:rFonts w:hint="default"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（二）解答评标针对其陈述内容及投标文件所提的相关问题</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（8分）</w:t>
            </w:r>
          </w:p>
          <w:p w14:paraId="280F9BD6">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【优】</w:t>
            </w:r>
            <w:r>
              <w:rPr>
                <w:rFonts w:hint="eastAsia" w:ascii="宋体" w:hAnsi="宋体" w:eastAsia="宋体" w:cs="宋体"/>
                <w:color w:val="auto"/>
                <w:szCs w:val="21"/>
                <w:highlight w:val="none"/>
                <w:lang w:val="en-US" w:eastAsia="zh-CN" w:bidi="ar"/>
              </w:rPr>
              <w:t>回答评委提问思路清晰内容准确。(</w:t>
            </w:r>
            <w:r>
              <w:rPr>
                <w:rFonts w:hint="eastAsia" w:ascii="宋体" w:hAnsi="宋体" w:cs="宋体"/>
                <w:color w:val="auto"/>
                <w:szCs w:val="21"/>
                <w:highlight w:val="none"/>
                <w:lang w:val="en-US" w:eastAsia="zh-CN" w:bidi="ar"/>
              </w:rPr>
              <w:t>7</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8</w:t>
            </w:r>
            <w:r>
              <w:rPr>
                <w:rFonts w:hint="eastAsia" w:ascii="宋体" w:hAnsi="宋体" w:eastAsia="宋体" w:cs="宋体"/>
                <w:color w:val="auto"/>
                <w:szCs w:val="21"/>
                <w:highlight w:val="none"/>
                <w:lang w:val="en-US" w:eastAsia="zh-CN" w:bidi="ar"/>
              </w:rPr>
              <w:t>]分</w:t>
            </w:r>
          </w:p>
          <w:p w14:paraId="4E920696">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【良】</w:t>
            </w:r>
            <w:r>
              <w:rPr>
                <w:rFonts w:hint="eastAsia" w:ascii="宋体" w:hAnsi="宋体" w:eastAsia="宋体" w:cs="宋体"/>
                <w:color w:val="auto"/>
                <w:szCs w:val="21"/>
                <w:highlight w:val="none"/>
                <w:lang w:val="en-US" w:eastAsia="zh-CN" w:bidi="ar"/>
              </w:rPr>
              <w:t>回答评委提问思路比较清晰、内容比较准确。(</w:t>
            </w:r>
            <w:r>
              <w:rPr>
                <w:rFonts w:hint="eastAsia" w:ascii="宋体" w:hAnsi="宋体" w:cs="宋体"/>
                <w:color w:val="auto"/>
                <w:szCs w:val="21"/>
                <w:highlight w:val="none"/>
                <w:lang w:val="en-US" w:eastAsia="zh-CN" w:bidi="ar"/>
              </w:rPr>
              <w:t>4</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7</w:t>
            </w:r>
            <w:r>
              <w:rPr>
                <w:rFonts w:hint="eastAsia" w:ascii="宋体" w:hAnsi="宋体" w:eastAsia="宋体" w:cs="宋体"/>
                <w:color w:val="auto"/>
                <w:szCs w:val="21"/>
                <w:highlight w:val="none"/>
                <w:lang w:val="en-US" w:eastAsia="zh-CN" w:bidi="ar"/>
              </w:rPr>
              <w:t>]分</w:t>
            </w:r>
          </w:p>
          <w:p w14:paraId="55AF36A6">
            <w:pPr>
              <w:keepNext w:val="0"/>
              <w:keepLines w:val="0"/>
              <w:suppressLineNumbers w:val="0"/>
              <w:tabs>
                <w:tab w:val="left" w:pos="360"/>
              </w:tabs>
              <w:spacing w:before="0" w:beforeAutospacing="0" w:after="0" w:afterAutospacing="0" w:line="360" w:lineRule="auto"/>
              <w:ind w:left="0" w:right="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eastAsia="zh-CN" w:bidi="ar"/>
              </w:rPr>
              <w:t>【中】</w:t>
            </w:r>
            <w:r>
              <w:rPr>
                <w:rFonts w:hint="eastAsia" w:ascii="宋体" w:hAnsi="宋体" w:eastAsia="宋体" w:cs="宋体"/>
                <w:color w:val="auto"/>
                <w:szCs w:val="21"/>
                <w:highlight w:val="none"/>
                <w:lang w:val="en-US" w:eastAsia="zh-CN" w:bidi="ar"/>
              </w:rPr>
              <w:t>回答评委提问思路基本清晰、内容基本准确。(</w:t>
            </w: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val="en-US" w:eastAsia="zh-CN" w:bidi="ar"/>
              </w:rPr>
              <w:t>，</w:t>
            </w:r>
            <w:r>
              <w:rPr>
                <w:rFonts w:hint="eastAsia" w:ascii="宋体" w:hAnsi="宋体" w:cs="宋体"/>
                <w:color w:val="auto"/>
                <w:szCs w:val="21"/>
                <w:highlight w:val="none"/>
                <w:lang w:val="en-US" w:eastAsia="zh-CN" w:bidi="ar"/>
              </w:rPr>
              <w:t>4</w:t>
            </w:r>
            <w:r>
              <w:rPr>
                <w:rFonts w:hint="eastAsia" w:ascii="宋体" w:hAnsi="宋体" w:eastAsia="宋体" w:cs="宋体"/>
                <w:color w:val="auto"/>
                <w:szCs w:val="21"/>
                <w:highlight w:val="none"/>
                <w:lang w:val="en-US" w:eastAsia="zh-CN" w:bidi="ar"/>
              </w:rPr>
              <w:t>]分</w:t>
            </w:r>
          </w:p>
          <w:p w14:paraId="668E3DD0">
            <w:pPr>
              <w:keepNext w:val="0"/>
              <w:keepLines w:val="0"/>
              <w:suppressLineNumbers w:val="0"/>
              <w:tabs>
                <w:tab w:val="left" w:pos="360"/>
              </w:tabs>
              <w:spacing w:before="0" w:beforeAutospacing="0" w:after="0" w:afterAutospacing="0" w:line="360" w:lineRule="auto"/>
              <w:ind w:left="0" w:leftChars="0" w:right="0" w:rightChars="0"/>
              <w:rPr>
                <w:rFonts w:hint="default" w:ascii="宋体" w:hAnsi="宋体" w:cs="宋体"/>
                <w:color w:val="auto"/>
                <w:szCs w:val="21"/>
                <w:highlight w:val="none"/>
                <w:lang w:val="en-US" w:eastAsia="zh-CN" w:bidi="ar"/>
              </w:rPr>
            </w:pPr>
            <w:r>
              <w:rPr>
                <w:rFonts w:hint="eastAsia" w:ascii="宋体" w:hAnsi="宋体" w:eastAsia="宋体" w:cs="宋体"/>
                <w:color w:val="auto"/>
                <w:szCs w:val="21"/>
                <w:highlight w:val="none"/>
                <w:lang w:eastAsia="zh-CN" w:bidi="ar"/>
              </w:rPr>
              <w:t>【差】</w:t>
            </w:r>
            <w:r>
              <w:rPr>
                <w:rFonts w:hint="eastAsia" w:ascii="宋体" w:hAnsi="宋体" w:eastAsia="宋体" w:cs="宋体"/>
                <w:color w:val="auto"/>
                <w:szCs w:val="21"/>
                <w:highlight w:val="none"/>
                <w:lang w:val="en-US" w:eastAsia="zh-CN" w:bidi="ar"/>
              </w:rPr>
              <w:t>回答评委提问思路一般清晰、内容准确一般。（0，</w:t>
            </w: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val="en-US" w:eastAsia="zh-CN" w:bidi="ar"/>
              </w:rPr>
              <w:t>]分</w:t>
            </w:r>
          </w:p>
        </w:tc>
      </w:tr>
      <w:bookmarkEnd w:id="153"/>
      <w:bookmarkEnd w:id="169"/>
      <w:bookmarkEnd w:id="170"/>
      <w:bookmarkEnd w:id="171"/>
    </w:tbl>
    <w:p w14:paraId="717D8FF0">
      <w:pPr>
        <w:pStyle w:val="227"/>
        <w:tabs>
          <w:tab w:val="left" w:pos="6398"/>
        </w:tabs>
        <w:spacing w:after="0" w:line="336" w:lineRule="auto"/>
        <w:rPr>
          <w:rFonts w:hint="eastAsia" w:cs="仿宋"/>
          <w:b/>
          <w:bCs/>
          <w:color w:val="auto"/>
          <w:sz w:val="21"/>
          <w:szCs w:val="21"/>
          <w:highlight w:val="none"/>
          <w:lang w:val="en-US" w:eastAsia="zh-CN"/>
        </w:rPr>
      </w:pPr>
      <w:r>
        <w:rPr>
          <w:rFonts w:hint="eastAsia" w:cs="仿宋"/>
          <w:b/>
          <w:bCs/>
          <w:color w:val="auto"/>
          <w:sz w:val="21"/>
          <w:szCs w:val="21"/>
          <w:highlight w:val="none"/>
          <w:lang w:val="en-US" w:eastAsia="zh-CN"/>
        </w:rPr>
        <w:t>备注</w:t>
      </w:r>
      <w:bookmarkEnd w:id="172"/>
      <w:r>
        <w:rPr>
          <w:rFonts w:hint="eastAsia" w:cs="仿宋"/>
          <w:b/>
          <w:bCs/>
          <w:color w:val="auto"/>
          <w:sz w:val="21"/>
          <w:szCs w:val="21"/>
          <w:highlight w:val="none"/>
          <w:lang w:val="en-US" w:eastAsia="zh-CN"/>
        </w:rPr>
        <w:t>：</w:t>
      </w:r>
    </w:p>
    <w:p w14:paraId="2E1222FF">
      <w:pPr>
        <w:pStyle w:val="204"/>
        <w:spacing w:line="336" w:lineRule="auto"/>
        <w:rPr>
          <w:rFonts w:hint="eastAsia" w:cs="仿宋"/>
          <w:b/>
          <w:bCs/>
          <w:color w:val="auto"/>
          <w:sz w:val="21"/>
          <w:szCs w:val="21"/>
          <w:highlight w:val="none"/>
          <w:lang w:val="en-US" w:eastAsia="zh-CN" w:bidi="ar"/>
        </w:rPr>
      </w:pPr>
      <w:r>
        <w:rPr>
          <w:rFonts w:hint="eastAsia" w:cs="仿宋"/>
          <w:b/>
          <w:bCs/>
          <w:color w:val="auto"/>
          <w:sz w:val="21"/>
          <w:szCs w:val="21"/>
          <w:highlight w:val="none"/>
          <w:lang w:val="en-US" w:eastAsia="zh-CN"/>
        </w:rPr>
        <w:t>1、项目管理机构配置：</w:t>
      </w:r>
    </w:p>
    <w:p w14:paraId="249074A1">
      <w:pPr>
        <w:pStyle w:val="204"/>
        <w:spacing w:line="336" w:lineRule="auto"/>
        <w:ind w:firstLine="210" w:firstLineChars="100"/>
        <w:rPr>
          <w:rFonts w:cs="仿宋"/>
          <w:color w:val="auto"/>
          <w:sz w:val="21"/>
          <w:szCs w:val="21"/>
          <w:highlight w:val="none"/>
          <w:lang w:val="en-US" w:eastAsia="zh-CN" w:bidi="ar"/>
        </w:rPr>
      </w:pPr>
      <w:r>
        <w:rPr>
          <w:rFonts w:hint="eastAsia" w:cs="仿宋"/>
          <w:color w:val="auto"/>
          <w:sz w:val="21"/>
          <w:szCs w:val="21"/>
          <w:highlight w:val="none"/>
          <w:lang w:val="en-US" w:eastAsia="zh-CN" w:bidi="ar"/>
        </w:rPr>
        <w:t>（1）项目管理人员均不得兼任。投标人除须提供相关证明资料</w:t>
      </w:r>
      <w:bookmarkStart w:id="174" w:name="OLE_LINK52"/>
      <w:r>
        <w:rPr>
          <w:rFonts w:hint="eastAsia" w:cs="仿宋"/>
          <w:color w:val="auto"/>
          <w:sz w:val="21"/>
          <w:szCs w:val="21"/>
          <w:highlight w:val="none"/>
          <w:lang w:val="en-US" w:eastAsia="zh-CN" w:bidi="ar"/>
        </w:rPr>
        <w:t>清晰</w:t>
      </w:r>
      <w:bookmarkEnd w:id="174"/>
      <w:r>
        <w:rPr>
          <w:rFonts w:hint="eastAsia" w:cs="仿宋"/>
          <w:color w:val="auto"/>
          <w:sz w:val="21"/>
          <w:szCs w:val="21"/>
          <w:highlight w:val="none"/>
          <w:lang w:val="en-US" w:eastAsia="zh-CN" w:bidi="ar"/>
        </w:rPr>
        <w:t>扫描件外，还须提供近1个月</w:t>
      </w:r>
      <w:bookmarkStart w:id="175" w:name="OLE_LINK172"/>
      <w:r>
        <w:rPr>
          <w:rFonts w:hint="eastAsia" w:cs="仿宋"/>
          <w:color w:val="auto"/>
          <w:sz w:val="21"/>
          <w:szCs w:val="21"/>
          <w:highlight w:val="none"/>
          <w:lang w:val="en-US" w:eastAsia="zh-CN" w:bidi="ar"/>
        </w:rPr>
        <w:t>（2025年11月）</w:t>
      </w:r>
      <w:bookmarkEnd w:id="175"/>
      <w:r>
        <w:rPr>
          <w:rFonts w:hint="eastAsia" w:cs="仿宋"/>
          <w:color w:val="auto"/>
          <w:sz w:val="21"/>
          <w:szCs w:val="21"/>
          <w:highlight w:val="none"/>
          <w:lang w:val="en-US" w:eastAsia="zh-CN" w:bidi="ar"/>
        </w:rPr>
        <w:t>在投标人单位（或分公司）参保的社保缴纳记录证明清晰扫描件。职称证书以人社部门核发为准，若不是人社部门核发的职称证书，投标人应同时提供人社部门委托核发机构开展职称评审工作的证明文件或其他可由该机构核发的政策文件依据，或在“全国人力资源和社会保障政务服务平台”中查询的信息记录网页及截图，否则，对该职称证书不予认可。</w:t>
      </w:r>
    </w:p>
    <w:p w14:paraId="15704979">
      <w:pPr>
        <w:pStyle w:val="204"/>
        <w:spacing w:line="336" w:lineRule="auto"/>
        <w:ind w:firstLine="210" w:firstLineChars="100"/>
        <w:rPr>
          <w:rFonts w:hint="eastAsia" w:cs="仿宋"/>
          <w:b/>
          <w:bCs/>
          <w:color w:val="auto"/>
          <w:sz w:val="21"/>
          <w:szCs w:val="21"/>
          <w:highlight w:val="none"/>
          <w:u w:val="single"/>
          <w:lang w:val="en-US" w:eastAsia="zh-CN" w:bidi="ar"/>
        </w:rPr>
      </w:pPr>
      <w:r>
        <w:rPr>
          <w:rFonts w:hint="eastAsia" w:cs="仿宋"/>
          <w:color w:val="auto"/>
          <w:sz w:val="21"/>
          <w:szCs w:val="21"/>
          <w:highlight w:val="none"/>
          <w:lang w:val="en-US" w:eastAsia="zh-CN" w:bidi="ar"/>
        </w:rPr>
        <w:t>（2）</w:t>
      </w:r>
      <w:bookmarkStart w:id="176" w:name="OLE_LINK141"/>
      <w:r>
        <w:rPr>
          <w:rFonts w:hint="eastAsia" w:cs="仿宋"/>
          <w:bCs/>
          <w:color w:val="auto"/>
          <w:sz w:val="21"/>
          <w:szCs w:val="21"/>
          <w:highlight w:val="none"/>
          <w:lang w:val="en-US" w:eastAsia="zh-CN" w:bidi="ar"/>
        </w:rPr>
        <w:t>建筑工程或相关专业职称专业包括但不限于：建筑工程、建筑施工、土木工程、给水排水、建筑结构、暖通与空调、建筑电气、建筑学、装配式建筑、建筑装饰、建筑幕墙、建筑机电设备安装、建筑工程管理、建筑工程检测、建筑工程监测、建筑工程造价、绿色建筑、数字建筑、建筑智能化、建筑材料专业职称。</w:t>
      </w:r>
      <w:bookmarkEnd w:id="176"/>
      <w:r>
        <w:rPr>
          <w:rFonts w:hint="eastAsia" w:cs="仿宋"/>
          <w:bCs/>
          <w:color w:val="auto"/>
          <w:sz w:val="21"/>
          <w:szCs w:val="21"/>
          <w:highlight w:val="none"/>
          <w:lang w:val="en-US" w:eastAsia="zh-CN" w:bidi="ar"/>
        </w:rPr>
        <w:t>建筑工程造价相关专业包括但不限于：工程造价、建筑预算、建筑经济、工程概预算、建筑工程造价专业职称。</w:t>
      </w:r>
    </w:p>
    <w:p w14:paraId="45DB94BD">
      <w:pPr>
        <w:pStyle w:val="227"/>
        <w:tabs>
          <w:tab w:val="left" w:pos="6398"/>
        </w:tabs>
        <w:spacing w:line="336" w:lineRule="auto"/>
        <w:ind w:firstLine="210" w:firstLineChars="100"/>
        <w:rPr>
          <w:rFonts w:cs="仿宋"/>
          <w:color w:val="auto"/>
          <w:kern w:val="0"/>
          <w:sz w:val="21"/>
          <w:szCs w:val="21"/>
          <w:highlight w:val="none"/>
          <w:lang w:eastAsia="zh-CN" w:bidi="ar"/>
        </w:rPr>
      </w:pPr>
      <w:r>
        <w:rPr>
          <w:rFonts w:hint="eastAsia" w:cs="仿宋"/>
          <w:color w:val="auto"/>
          <w:kern w:val="0"/>
          <w:sz w:val="21"/>
          <w:szCs w:val="21"/>
          <w:highlight w:val="none"/>
          <w:lang w:bidi="ar"/>
        </w:rPr>
        <w:t>（</w:t>
      </w:r>
      <w:r>
        <w:rPr>
          <w:rFonts w:hint="eastAsia" w:cs="仿宋"/>
          <w:color w:val="auto"/>
          <w:kern w:val="0"/>
          <w:sz w:val="21"/>
          <w:szCs w:val="21"/>
          <w:highlight w:val="none"/>
          <w:lang w:eastAsia="zh-CN" w:bidi="ar"/>
        </w:rPr>
        <w:t>3</w:t>
      </w:r>
      <w:r>
        <w:rPr>
          <w:rFonts w:hint="eastAsia" w:cs="仿宋"/>
          <w:color w:val="auto"/>
          <w:kern w:val="0"/>
          <w:sz w:val="21"/>
          <w:szCs w:val="21"/>
          <w:highlight w:val="none"/>
          <w:lang w:bidi="ar"/>
        </w:rPr>
        <w:t>）人员业绩</w:t>
      </w:r>
      <w:r>
        <w:rPr>
          <w:rFonts w:hint="eastAsia" w:cs="仿宋"/>
          <w:color w:val="auto"/>
          <w:kern w:val="0"/>
          <w:sz w:val="21"/>
          <w:szCs w:val="21"/>
          <w:highlight w:val="none"/>
          <w:lang w:eastAsia="zh-CN" w:bidi="ar"/>
        </w:rPr>
        <w:t>（</w:t>
      </w:r>
      <w:r>
        <w:rPr>
          <w:rFonts w:hint="eastAsia" w:cs="仿宋"/>
          <w:color w:val="auto"/>
          <w:kern w:val="0"/>
          <w:sz w:val="21"/>
          <w:szCs w:val="21"/>
          <w:highlight w:val="none"/>
          <w:lang w:val="en-US" w:eastAsia="zh-CN" w:bidi="ar"/>
        </w:rPr>
        <w:t>技术负责人钢结构施工业绩除外</w:t>
      </w:r>
      <w:r>
        <w:rPr>
          <w:rFonts w:hint="eastAsia" w:cs="仿宋"/>
          <w:color w:val="auto"/>
          <w:kern w:val="0"/>
          <w:sz w:val="21"/>
          <w:szCs w:val="21"/>
          <w:highlight w:val="none"/>
          <w:lang w:eastAsia="zh-CN" w:bidi="ar"/>
        </w:rPr>
        <w:t>）</w:t>
      </w:r>
      <w:r>
        <w:rPr>
          <w:rFonts w:hint="eastAsia" w:cs="仿宋"/>
          <w:color w:val="auto"/>
          <w:kern w:val="0"/>
          <w:szCs w:val="21"/>
          <w:highlight w:val="none"/>
          <w:lang w:bidi="ar"/>
        </w:rPr>
        <w:t>可</w:t>
      </w:r>
      <w:r>
        <w:rPr>
          <w:rFonts w:hint="eastAsia" w:cs="仿宋"/>
          <w:color w:val="auto"/>
          <w:kern w:val="0"/>
          <w:sz w:val="21"/>
          <w:szCs w:val="21"/>
          <w:highlight w:val="none"/>
          <w:lang w:bidi="ar"/>
        </w:rPr>
        <w:t>取自</w:t>
      </w:r>
      <w:bookmarkStart w:id="177" w:name="OLE_LINK46"/>
      <w:r>
        <w:rPr>
          <w:rFonts w:hint="eastAsia" w:cs="仿宋"/>
          <w:color w:val="auto"/>
          <w:kern w:val="0"/>
          <w:sz w:val="21"/>
          <w:szCs w:val="21"/>
          <w:highlight w:val="none"/>
          <w:lang w:bidi="ar"/>
        </w:rPr>
        <w:t>广州市住建行业信用管理平台</w:t>
      </w:r>
      <w:bookmarkEnd w:id="177"/>
      <w:r>
        <w:rPr>
          <w:rFonts w:hint="eastAsia" w:cs="仿宋"/>
          <w:color w:val="auto"/>
          <w:kern w:val="0"/>
          <w:sz w:val="21"/>
          <w:szCs w:val="21"/>
          <w:highlight w:val="none"/>
          <w:lang w:bidi="ar"/>
        </w:rPr>
        <w:t>或提供业绩证明</w:t>
      </w:r>
      <w:r>
        <w:rPr>
          <w:rFonts w:hint="eastAsia" w:cs="仿宋"/>
          <w:color w:val="auto"/>
          <w:sz w:val="21"/>
          <w:szCs w:val="21"/>
          <w:highlight w:val="none"/>
          <w:lang w:val="en-US" w:eastAsia="zh-CN" w:bidi="ar"/>
        </w:rPr>
        <w:t>清晰</w:t>
      </w:r>
      <w:r>
        <w:rPr>
          <w:rFonts w:hint="eastAsia" w:cs="仿宋"/>
          <w:color w:val="auto"/>
          <w:kern w:val="0"/>
          <w:sz w:val="21"/>
          <w:szCs w:val="21"/>
          <w:highlight w:val="none"/>
          <w:lang w:bidi="ar"/>
        </w:rPr>
        <w:t>扫描件。</w:t>
      </w:r>
    </w:p>
    <w:p w14:paraId="21A4AC26">
      <w:pPr>
        <w:pStyle w:val="227"/>
        <w:tabs>
          <w:tab w:val="left" w:pos="6398"/>
        </w:tabs>
        <w:spacing w:line="336" w:lineRule="auto"/>
        <w:ind w:firstLine="420" w:firstLineChars="200"/>
        <w:rPr>
          <w:rFonts w:cs="仿宋"/>
          <w:color w:val="auto"/>
          <w:kern w:val="0"/>
          <w:sz w:val="21"/>
          <w:szCs w:val="21"/>
          <w:highlight w:val="none"/>
          <w:lang w:eastAsia="zh-CN" w:bidi="ar"/>
        </w:rPr>
      </w:pPr>
      <w:r>
        <w:rPr>
          <w:rFonts w:hint="eastAsia" w:cs="仿宋"/>
          <w:color w:val="auto"/>
          <w:kern w:val="0"/>
          <w:sz w:val="21"/>
          <w:szCs w:val="21"/>
          <w:highlight w:val="none"/>
          <w:lang w:bidi="ar"/>
        </w:rPr>
        <w:t>1）业绩取自广州市住建行业信用管理平台的，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w:t>
      </w:r>
      <w:r>
        <w:rPr>
          <w:rFonts w:hint="eastAsia" w:cs="仿宋"/>
          <w:color w:val="auto"/>
          <w:kern w:val="0"/>
          <w:sz w:val="21"/>
          <w:szCs w:val="21"/>
          <w:highlight w:val="none"/>
          <w:u w:val="single"/>
          <w:lang w:bidi="ar"/>
        </w:rPr>
        <w:t>（业绩相关附件的上传件取广州市住建行业信用管理平台，投标阶段可不重复提交）</w:t>
      </w:r>
      <w:r>
        <w:rPr>
          <w:rFonts w:hint="eastAsia" w:cs="仿宋"/>
          <w:color w:val="auto"/>
          <w:kern w:val="0"/>
          <w:sz w:val="21"/>
          <w:szCs w:val="21"/>
          <w:highlight w:val="none"/>
          <w:lang w:bidi="ar"/>
        </w:rPr>
        <w:t>。</w:t>
      </w:r>
      <w:r>
        <w:rPr>
          <w:rFonts w:hint="eastAsia" w:cs="仿宋"/>
          <w:b/>
          <w:bCs/>
          <w:color w:val="auto"/>
          <w:kern w:val="0"/>
          <w:sz w:val="21"/>
          <w:szCs w:val="21"/>
          <w:highlight w:val="none"/>
          <w:lang w:bidi="ar"/>
        </w:rPr>
        <w:t>不提供项目名称、项目编号及网页信息截图的业绩不予评审。</w:t>
      </w:r>
      <w:r>
        <w:rPr>
          <w:rFonts w:hint="eastAsia" w:cs="仿宋"/>
          <w:color w:val="auto"/>
          <w:kern w:val="0"/>
          <w:sz w:val="21"/>
          <w:szCs w:val="21"/>
          <w:highlight w:val="none"/>
          <w:lang w:bidi="ar"/>
        </w:rPr>
        <w:t>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247EEAF9">
      <w:pPr>
        <w:pStyle w:val="227"/>
        <w:tabs>
          <w:tab w:val="left" w:pos="6398"/>
        </w:tabs>
        <w:spacing w:line="336" w:lineRule="auto"/>
        <w:ind w:firstLine="420" w:firstLineChars="200"/>
        <w:rPr>
          <w:rFonts w:cs="仿宋"/>
          <w:color w:val="auto"/>
          <w:kern w:val="0"/>
          <w:sz w:val="21"/>
          <w:szCs w:val="21"/>
          <w:highlight w:val="none"/>
          <w:lang w:eastAsia="zh-CN" w:bidi="ar"/>
        </w:rPr>
      </w:pPr>
      <w:r>
        <w:rPr>
          <w:rFonts w:hint="eastAsia" w:cs="仿宋"/>
          <w:bCs/>
          <w:color w:val="auto"/>
          <w:sz w:val="21"/>
          <w:szCs w:val="21"/>
          <w:highlight w:val="none"/>
          <w:lang w:eastAsia="zh-CN"/>
        </w:rPr>
        <w:t>2）</w:t>
      </w:r>
      <w:r>
        <w:rPr>
          <w:rFonts w:hint="eastAsia" w:cs="仿宋"/>
          <w:bCs/>
          <w:color w:val="auto"/>
          <w:sz w:val="21"/>
          <w:szCs w:val="21"/>
          <w:highlight w:val="none"/>
        </w:rPr>
        <w:t>业绩不取自广州市住建行业信用管理平台的，投标人须同时提供中标通知书（或免招标证明）、施工合同、验收文件的</w:t>
      </w:r>
      <w:r>
        <w:rPr>
          <w:rFonts w:hint="eastAsia" w:cs="仿宋"/>
          <w:color w:val="auto"/>
          <w:sz w:val="21"/>
          <w:szCs w:val="21"/>
          <w:highlight w:val="none"/>
          <w:lang w:val="en-US" w:eastAsia="zh-CN" w:bidi="ar"/>
        </w:rPr>
        <w:t>清晰</w:t>
      </w:r>
      <w:r>
        <w:rPr>
          <w:rFonts w:hint="eastAsia" w:cs="仿宋"/>
          <w:bCs/>
          <w:color w:val="auto"/>
          <w:sz w:val="21"/>
          <w:szCs w:val="21"/>
          <w:highlight w:val="none"/>
        </w:rPr>
        <w:t>扫描件。</w:t>
      </w:r>
    </w:p>
    <w:p w14:paraId="545BE8EF">
      <w:pPr>
        <w:pStyle w:val="227"/>
        <w:tabs>
          <w:tab w:val="left" w:pos="6398"/>
        </w:tabs>
        <w:spacing w:line="336" w:lineRule="auto"/>
        <w:ind w:firstLine="420" w:firstLineChars="200"/>
        <w:rPr>
          <w:rFonts w:hint="eastAsia" w:cs="仿宋"/>
          <w:color w:val="auto"/>
          <w:kern w:val="0"/>
          <w:sz w:val="21"/>
          <w:szCs w:val="21"/>
          <w:highlight w:val="none"/>
          <w:lang w:val="en-US" w:eastAsia="zh-CN" w:bidi="ar"/>
        </w:rPr>
      </w:pPr>
      <w:r>
        <w:rPr>
          <w:rFonts w:hint="eastAsia" w:cs="仿宋"/>
          <w:color w:val="auto"/>
          <w:kern w:val="0"/>
          <w:sz w:val="21"/>
          <w:szCs w:val="21"/>
          <w:highlight w:val="none"/>
          <w:lang w:val="en-US" w:eastAsia="zh-CN" w:bidi="ar"/>
        </w:rPr>
        <w:t>3）金额以中标通知书为准，中标通知书上没有金额或免招标的，以施工合同（不含补充合同）金额为准。工程总承包项目，金额以施工部分中标金额为准，中标通知书上没有施工部分中标金额或免招标的，以工程总承包合同的施工部分合同金额（不含补充合同）为准。</w:t>
      </w:r>
    </w:p>
    <w:p w14:paraId="3D6D6D5B">
      <w:pPr>
        <w:pStyle w:val="227"/>
        <w:tabs>
          <w:tab w:val="left" w:pos="6398"/>
        </w:tabs>
        <w:spacing w:line="336" w:lineRule="auto"/>
        <w:ind w:firstLine="420" w:firstLineChars="200"/>
        <w:rPr>
          <w:rFonts w:cs="仿宋"/>
          <w:color w:val="auto"/>
          <w:kern w:val="0"/>
          <w:sz w:val="21"/>
          <w:szCs w:val="21"/>
          <w:highlight w:val="none"/>
          <w:lang w:val="en-US" w:eastAsia="zh-CN" w:bidi="ar"/>
        </w:rPr>
      </w:pPr>
      <w:r>
        <w:rPr>
          <w:rFonts w:hint="eastAsia" w:cs="仿宋"/>
          <w:color w:val="auto"/>
          <w:kern w:val="0"/>
          <w:sz w:val="21"/>
          <w:szCs w:val="21"/>
          <w:highlight w:val="none"/>
          <w:lang w:val="en-US" w:eastAsia="zh-CN" w:bidi="ar"/>
        </w:rPr>
        <w:t>4）</w:t>
      </w:r>
      <w:r>
        <w:rPr>
          <w:rFonts w:hint="eastAsia" w:ascii="宋体" w:hAnsi="宋体" w:cs="仿宋"/>
          <w:color w:val="auto"/>
          <w:kern w:val="0"/>
          <w:sz w:val="21"/>
          <w:szCs w:val="21"/>
          <w:highlight w:val="none"/>
          <w:lang w:val="en-US" w:eastAsia="zh-CN" w:bidi="ar"/>
        </w:rPr>
        <w:t>完成时间以竣工验收文件为准。</w:t>
      </w:r>
      <w:r>
        <w:rPr>
          <w:rFonts w:hint="eastAsia" w:cs="仿宋"/>
          <w:color w:val="auto"/>
          <w:kern w:val="0"/>
          <w:sz w:val="21"/>
          <w:szCs w:val="21"/>
          <w:highlight w:val="none"/>
          <w:lang w:val="en-US" w:eastAsia="zh-CN" w:bidi="ar"/>
        </w:rPr>
        <w:t>验收文件至少需要具有建设单位、设计、施工和监理单位盖章。若竣工验收文件无法体现项目负责人或技术负责人或质量负责人或造价负责人名字及岗位的，</w:t>
      </w:r>
      <w:r>
        <w:rPr>
          <w:rFonts w:hint="eastAsia" w:ascii="宋体" w:hAnsi="宋体" w:cs="仿宋"/>
          <w:b w:val="0"/>
          <w:bCs w:val="0"/>
          <w:color w:val="auto"/>
          <w:kern w:val="0"/>
          <w:sz w:val="21"/>
          <w:szCs w:val="21"/>
          <w:highlight w:val="none"/>
          <w:lang w:val="en-US" w:eastAsia="zh-CN" w:bidi="ar"/>
        </w:rPr>
        <w:t>则提供建设单位出具的证明材料</w:t>
      </w:r>
      <w:r>
        <w:rPr>
          <w:rFonts w:hint="eastAsia" w:cs="仿宋"/>
          <w:color w:val="auto"/>
          <w:kern w:val="0"/>
          <w:sz w:val="21"/>
          <w:szCs w:val="21"/>
          <w:highlight w:val="none"/>
          <w:lang w:val="en-US" w:eastAsia="zh-CN" w:bidi="ar"/>
        </w:rPr>
        <w:t>。</w:t>
      </w:r>
    </w:p>
    <w:p w14:paraId="062D284B">
      <w:pPr>
        <w:pStyle w:val="227"/>
        <w:tabs>
          <w:tab w:val="left" w:pos="6398"/>
        </w:tabs>
        <w:spacing w:line="336" w:lineRule="auto"/>
        <w:ind w:firstLine="420" w:firstLineChars="200"/>
        <w:rPr>
          <w:rFonts w:hint="eastAsia" w:ascii="宋体" w:hAnsi="宋体" w:eastAsia="宋体" w:cs="仿宋"/>
          <w:color w:val="auto"/>
          <w:kern w:val="0"/>
          <w:sz w:val="21"/>
          <w:szCs w:val="21"/>
          <w:highlight w:val="none"/>
          <w:lang w:bidi="ar"/>
        </w:rPr>
      </w:pPr>
      <w:r>
        <w:rPr>
          <w:rFonts w:hint="eastAsia" w:cs="仿宋"/>
          <w:color w:val="auto"/>
          <w:kern w:val="0"/>
          <w:sz w:val="21"/>
          <w:szCs w:val="21"/>
          <w:highlight w:val="none"/>
          <w:lang w:val="en-US" w:eastAsia="zh-CN" w:bidi="ar"/>
        </w:rPr>
        <w:t>5）</w:t>
      </w:r>
      <w:r>
        <w:rPr>
          <w:rFonts w:hint="eastAsia" w:cs="仿宋"/>
          <w:color w:val="auto"/>
          <w:kern w:val="0"/>
          <w:sz w:val="21"/>
          <w:szCs w:val="21"/>
          <w:highlight w:val="none"/>
          <w:lang w:bidi="ar"/>
        </w:rPr>
        <w:t>提供的业绩证明材料需能体现其为项目负责人（或技术负责人</w:t>
      </w:r>
      <w:r>
        <w:rPr>
          <w:rFonts w:hint="eastAsia" w:cs="仿宋"/>
          <w:color w:val="auto"/>
          <w:kern w:val="0"/>
          <w:sz w:val="21"/>
          <w:szCs w:val="21"/>
          <w:highlight w:val="none"/>
          <w:lang w:eastAsia="zh-CN" w:bidi="ar"/>
        </w:rPr>
        <w:t>、</w:t>
      </w:r>
      <w:r>
        <w:rPr>
          <w:rFonts w:hint="eastAsia" w:cs="仿宋"/>
          <w:color w:val="auto"/>
          <w:kern w:val="0"/>
          <w:sz w:val="21"/>
          <w:szCs w:val="21"/>
          <w:highlight w:val="none"/>
          <w:lang w:val="en-US" w:eastAsia="zh-CN" w:bidi="ar"/>
        </w:rPr>
        <w:t>质量负责人</w:t>
      </w:r>
      <w:r>
        <w:rPr>
          <w:rFonts w:hint="eastAsia" w:cs="仿宋"/>
          <w:color w:val="auto"/>
          <w:kern w:val="0"/>
          <w:sz w:val="21"/>
          <w:szCs w:val="21"/>
          <w:highlight w:val="none"/>
          <w:lang w:eastAsia="zh-CN" w:bidi="ar"/>
        </w:rPr>
        <w:t>、</w:t>
      </w:r>
      <w:r>
        <w:rPr>
          <w:rFonts w:hint="eastAsia" w:cs="仿宋"/>
          <w:color w:val="auto"/>
          <w:kern w:val="0"/>
          <w:sz w:val="21"/>
          <w:szCs w:val="21"/>
          <w:highlight w:val="none"/>
          <w:lang w:val="en-US" w:eastAsia="zh-CN" w:bidi="ar"/>
        </w:rPr>
        <w:t>造价负责人</w:t>
      </w:r>
      <w:r>
        <w:rPr>
          <w:rFonts w:hint="eastAsia" w:cs="仿宋"/>
          <w:color w:val="auto"/>
          <w:kern w:val="0"/>
          <w:sz w:val="21"/>
          <w:szCs w:val="21"/>
          <w:highlight w:val="none"/>
          <w:lang w:bidi="ar"/>
        </w:rPr>
        <w:t>），没有明确担任岗位或没有提供证明为项目负责人（或技术负责人</w:t>
      </w:r>
      <w:r>
        <w:rPr>
          <w:rFonts w:hint="eastAsia" w:cs="仿宋"/>
          <w:color w:val="auto"/>
          <w:kern w:val="0"/>
          <w:sz w:val="21"/>
          <w:szCs w:val="21"/>
          <w:highlight w:val="none"/>
          <w:lang w:eastAsia="zh-CN" w:bidi="ar"/>
        </w:rPr>
        <w:t>、</w:t>
      </w:r>
      <w:r>
        <w:rPr>
          <w:rFonts w:hint="eastAsia" w:cs="仿宋"/>
          <w:color w:val="auto"/>
          <w:kern w:val="0"/>
          <w:sz w:val="21"/>
          <w:szCs w:val="21"/>
          <w:highlight w:val="none"/>
          <w:lang w:val="en-US" w:eastAsia="zh-CN" w:bidi="ar"/>
        </w:rPr>
        <w:t>质量负责人</w:t>
      </w:r>
      <w:r>
        <w:rPr>
          <w:rFonts w:hint="eastAsia" w:cs="仿宋"/>
          <w:color w:val="auto"/>
          <w:kern w:val="0"/>
          <w:sz w:val="21"/>
          <w:szCs w:val="21"/>
          <w:highlight w:val="none"/>
          <w:lang w:eastAsia="zh-CN" w:bidi="ar"/>
        </w:rPr>
        <w:t>、</w:t>
      </w:r>
      <w:r>
        <w:rPr>
          <w:rFonts w:hint="eastAsia" w:cs="仿宋"/>
          <w:color w:val="auto"/>
          <w:kern w:val="0"/>
          <w:sz w:val="21"/>
          <w:szCs w:val="21"/>
          <w:highlight w:val="none"/>
          <w:lang w:val="en-US" w:eastAsia="zh-CN" w:bidi="ar"/>
        </w:rPr>
        <w:t>造价负责人</w:t>
      </w:r>
      <w:r>
        <w:rPr>
          <w:rFonts w:hint="eastAsia" w:cs="仿宋"/>
          <w:color w:val="auto"/>
          <w:kern w:val="0"/>
          <w:sz w:val="21"/>
          <w:szCs w:val="21"/>
          <w:highlight w:val="none"/>
          <w:lang w:bidi="ar"/>
        </w:rPr>
        <w:t>）或担任岗位不清晰的</w:t>
      </w:r>
      <w:r>
        <w:rPr>
          <w:rFonts w:hint="eastAsia" w:ascii="宋体" w:hAnsi="宋体" w:eastAsia="宋体" w:cs="仿宋"/>
          <w:color w:val="auto"/>
          <w:kern w:val="0"/>
          <w:sz w:val="21"/>
          <w:szCs w:val="21"/>
          <w:highlight w:val="none"/>
          <w:lang w:bidi="ar"/>
        </w:rPr>
        <w:t>均不得分。</w:t>
      </w:r>
    </w:p>
    <w:p w14:paraId="5985FB2E">
      <w:pPr>
        <w:pStyle w:val="227"/>
        <w:tabs>
          <w:tab w:val="left" w:pos="6398"/>
        </w:tabs>
        <w:spacing w:line="336" w:lineRule="auto"/>
        <w:ind w:firstLine="420" w:firstLineChars="200"/>
        <w:rPr>
          <w:rFonts w:hint="eastAsia" w:cs="仿宋"/>
          <w:color w:val="auto"/>
          <w:kern w:val="0"/>
          <w:sz w:val="21"/>
          <w:szCs w:val="21"/>
          <w:highlight w:val="none"/>
          <w:lang w:val="en-US" w:eastAsia="zh-CN" w:bidi="ar"/>
        </w:rPr>
      </w:pPr>
      <w:r>
        <w:rPr>
          <w:rFonts w:hint="eastAsia" w:cs="仿宋"/>
          <w:color w:val="auto"/>
          <w:kern w:val="0"/>
          <w:sz w:val="21"/>
          <w:szCs w:val="21"/>
          <w:highlight w:val="none"/>
          <w:lang w:val="en-US" w:eastAsia="zh-CN" w:bidi="ar"/>
        </w:rPr>
        <w:t>6）</w:t>
      </w:r>
      <w:bookmarkStart w:id="178" w:name="OLE_LINK49"/>
      <w:r>
        <w:rPr>
          <w:rFonts w:hint="eastAsia" w:cs="仿宋"/>
          <w:color w:val="auto"/>
          <w:kern w:val="0"/>
          <w:sz w:val="21"/>
          <w:szCs w:val="21"/>
          <w:highlight w:val="none"/>
          <w:lang w:val="en-US" w:eastAsia="zh-CN" w:bidi="ar"/>
        </w:rPr>
        <w:t>平台内业绩上传件不符合上述要求的或登记的工程资质内容与施工合同或EPC合同施工部分等业绩证明资料不相符的，该项业绩不予认定。</w:t>
      </w:r>
      <w:bookmarkEnd w:id="178"/>
    </w:p>
    <w:p w14:paraId="0F92EE34">
      <w:pPr>
        <w:pStyle w:val="227"/>
        <w:tabs>
          <w:tab w:val="left" w:pos="6398"/>
        </w:tabs>
        <w:spacing w:line="360" w:lineRule="auto"/>
        <w:ind w:firstLine="420" w:firstLineChars="200"/>
        <w:rPr>
          <w:rFonts w:hint="eastAsia" w:cs="仿宋"/>
          <w:b w:val="0"/>
          <w:bCs w:val="0"/>
          <w:color w:val="auto"/>
          <w:kern w:val="0"/>
          <w:sz w:val="21"/>
          <w:szCs w:val="21"/>
          <w:highlight w:val="none"/>
          <w:lang w:val="en-US" w:eastAsia="zh-CN" w:bidi="ar"/>
        </w:rPr>
      </w:pPr>
      <w:r>
        <w:rPr>
          <w:rFonts w:hint="eastAsia" w:cs="仿宋"/>
          <w:b w:val="0"/>
          <w:bCs w:val="0"/>
          <w:color w:val="auto"/>
          <w:kern w:val="0"/>
          <w:sz w:val="21"/>
          <w:szCs w:val="21"/>
          <w:highlight w:val="none"/>
          <w:lang w:val="en-US" w:eastAsia="zh-CN" w:bidi="ar"/>
        </w:rPr>
        <w:t>（4）技术负责人钢结构施工业绩：</w:t>
      </w:r>
    </w:p>
    <w:p w14:paraId="547F8E31">
      <w:pPr>
        <w:pStyle w:val="227"/>
        <w:tabs>
          <w:tab w:val="left" w:pos="6398"/>
        </w:tabs>
        <w:spacing w:line="360" w:lineRule="auto"/>
        <w:ind w:firstLine="420" w:firstLineChars="200"/>
        <w:rPr>
          <w:rFonts w:hint="eastAsia" w:ascii="宋体" w:hAnsi="宋体" w:eastAsia="宋体" w:cs="仿宋"/>
          <w:color w:val="auto"/>
          <w:kern w:val="0"/>
          <w:sz w:val="21"/>
          <w:szCs w:val="21"/>
          <w:highlight w:val="none"/>
          <w:lang w:val="en-US" w:eastAsia="zh-CN" w:bidi="ar"/>
        </w:rPr>
      </w:pPr>
      <w:r>
        <w:rPr>
          <w:rFonts w:hint="eastAsia" w:cs="仿宋"/>
          <w:b w:val="0"/>
          <w:bCs w:val="0"/>
          <w:color w:val="auto"/>
          <w:kern w:val="0"/>
          <w:sz w:val="21"/>
          <w:szCs w:val="21"/>
          <w:highlight w:val="none"/>
          <w:lang w:val="en-US" w:eastAsia="zh-CN" w:bidi="ar"/>
        </w:rPr>
        <w:t>1）含钢结构工程的</w:t>
      </w:r>
      <w:r>
        <w:rPr>
          <w:rFonts w:hint="eastAsia" w:ascii="宋体" w:hAnsi="宋体" w:eastAsia="宋体" w:cs="仿宋"/>
          <w:color w:val="auto"/>
          <w:kern w:val="0"/>
          <w:sz w:val="21"/>
          <w:szCs w:val="21"/>
          <w:highlight w:val="none"/>
          <w:lang w:val="en-US" w:eastAsia="zh-CN" w:bidi="ar"/>
        </w:rPr>
        <w:t>施工总承包业绩或单独发包的</w:t>
      </w:r>
      <w:r>
        <w:rPr>
          <w:rFonts w:hint="eastAsia" w:cs="仿宋"/>
          <w:color w:val="auto"/>
          <w:kern w:val="0"/>
          <w:sz w:val="21"/>
          <w:szCs w:val="21"/>
          <w:highlight w:val="none"/>
          <w:lang w:val="en-US" w:eastAsia="zh-CN" w:bidi="ar"/>
        </w:rPr>
        <w:t>钢结构</w:t>
      </w:r>
      <w:r>
        <w:rPr>
          <w:rFonts w:hint="eastAsia" w:ascii="宋体" w:hAnsi="宋体" w:eastAsia="宋体" w:cs="仿宋"/>
          <w:color w:val="auto"/>
          <w:kern w:val="0"/>
          <w:sz w:val="21"/>
          <w:szCs w:val="21"/>
          <w:highlight w:val="none"/>
          <w:lang w:val="en-US" w:eastAsia="zh-CN" w:bidi="ar"/>
        </w:rPr>
        <w:t>工程业绩，需同时提供中标通知书或免招标的相关证明、施工合同、</w:t>
      </w:r>
      <w:r>
        <w:rPr>
          <w:rFonts w:hint="eastAsia" w:ascii="宋体" w:hAnsi="宋体" w:cs="仿宋"/>
          <w:color w:val="auto"/>
          <w:kern w:val="0"/>
          <w:sz w:val="21"/>
          <w:szCs w:val="21"/>
          <w:highlight w:val="none"/>
          <w:lang w:val="en-US" w:eastAsia="zh-CN" w:bidi="ar"/>
        </w:rPr>
        <w:t>竣工验收文件</w:t>
      </w:r>
      <w:r>
        <w:rPr>
          <w:rFonts w:hint="eastAsia" w:cs="仿宋"/>
          <w:color w:val="auto"/>
          <w:kern w:val="0"/>
          <w:sz w:val="21"/>
          <w:szCs w:val="21"/>
          <w:highlight w:val="none"/>
          <w:lang w:val="en-US" w:eastAsia="zh-CN" w:bidi="ar"/>
        </w:rPr>
        <w:t>或</w:t>
      </w:r>
      <w:r>
        <w:rPr>
          <w:rFonts w:hint="eastAsia" w:ascii="宋体" w:hAnsi="宋体" w:eastAsia="宋体" w:cs="宋体"/>
          <w:color w:val="auto"/>
          <w:kern w:val="2"/>
          <w:sz w:val="21"/>
          <w:szCs w:val="21"/>
          <w:highlight w:val="none"/>
        </w:rPr>
        <w:t>子分部工程质量验收记录</w:t>
      </w:r>
      <w:r>
        <w:rPr>
          <w:rFonts w:hint="eastAsia" w:cs="仿宋"/>
          <w:color w:val="auto"/>
          <w:kern w:val="0"/>
          <w:sz w:val="21"/>
          <w:szCs w:val="21"/>
          <w:highlight w:val="none"/>
          <w:lang w:val="en-US" w:eastAsia="zh-CN" w:bidi="ar"/>
        </w:rPr>
        <w:t>的</w:t>
      </w:r>
      <w:r>
        <w:rPr>
          <w:rFonts w:hint="eastAsia" w:ascii="宋体" w:hAnsi="宋体" w:eastAsia="宋体" w:cs="仿宋"/>
          <w:color w:val="auto"/>
          <w:kern w:val="0"/>
          <w:sz w:val="21"/>
          <w:szCs w:val="21"/>
          <w:highlight w:val="none"/>
          <w:lang w:val="en-US" w:eastAsia="zh-CN" w:bidi="ar"/>
        </w:rPr>
        <w:t>扫描件。</w:t>
      </w:r>
    </w:p>
    <w:p w14:paraId="329AC1E5">
      <w:pPr>
        <w:pStyle w:val="227"/>
        <w:numPr>
          <w:ilvl w:val="0"/>
          <w:numId w:val="0"/>
        </w:numPr>
        <w:tabs>
          <w:tab w:val="left" w:pos="6398"/>
        </w:tabs>
        <w:spacing w:line="360" w:lineRule="auto"/>
        <w:ind w:firstLine="420" w:firstLineChars="200"/>
        <w:rPr>
          <w:rFonts w:hint="eastAsia" w:ascii="宋体" w:hAnsi="宋体" w:eastAsia="宋体" w:cs="仿宋"/>
          <w:color w:val="auto"/>
          <w:kern w:val="0"/>
          <w:sz w:val="21"/>
          <w:szCs w:val="21"/>
          <w:highlight w:val="none"/>
          <w:lang w:val="en-US" w:eastAsia="zh-CN" w:bidi="ar"/>
        </w:rPr>
      </w:pPr>
      <w:r>
        <w:rPr>
          <w:rFonts w:hint="eastAsia" w:ascii="宋体" w:hAnsi="宋体" w:eastAsia="宋体" w:cs="仿宋"/>
          <w:color w:val="auto"/>
          <w:kern w:val="0"/>
          <w:sz w:val="21"/>
          <w:szCs w:val="21"/>
          <w:highlight w:val="none"/>
          <w:lang w:val="en-US" w:eastAsia="zh-CN" w:bidi="ar"/>
        </w:rPr>
        <w:t>2）由总承包单位依法分包的</w:t>
      </w:r>
      <w:r>
        <w:rPr>
          <w:rFonts w:hint="eastAsia" w:cs="仿宋"/>
          <w:color w:val="auto"/>
          <w:kern w:val="0"/>
          <w:sz w:val="21"/>
          <w:szCs w:val="21"/>
          <w:highlight w:val="none"/>
          <w:lang w:val="en-US" w:eastAsia="zh-CN" w:bidi="ar"/>
        </w:rPr>
        <w:t>钢结构</w:t>
      </w:r>
      <w:r>
        <w:rPr>
          <w:rFonts w:hint="eastAsia" w:ascii="宋体" w:hAnsi="宋体" w:eastAsia="宋体" w:cs="仿宋"/>
          <w:color w:val="auto"/>
          <w:kern w:val="0"/>
          <w:sz w:val="21"/>
          <w:szCs w:val="21"/>
          <w:highlight w:val="none"/>
          <w:lang w:val="en-US" w:eastAsia="zh-CN" w:bidi="ar"/>
        </w:rPr>
        <w:t>工程业绩，需同时提供经业主和总承包单位确认的分包合同、</w:t>
      </w:r>
      <w:r>
        <w:rPr>
          <w:rFonts w:hint="eastAsia" w:ascii="宋体" w:hAnsi="宋体" w:cs="仿宋"/>
          <w:color w:val="auto"/>
          <w:kern w:val="0"/>
          <w:sz w:val="21"/>
          <w:szCs w:val="21"/>
          <w:highlight w:val="none"/>
          <w:lang w:val="en-US" w:eastAsia="zh-CN" w:bidi="ar"/>
        </w:rPr>
        <w:t>竣工验收文件</w:t>
      </w:r>
      <w:r>
        <w:rPr>
          <w:rFonts w:hint="eastAsia" w:cs="仿宋"/>
          <w:color w:val="auto"/>
          <w:kern w:val="0"/>
          <w:sz w:val="21"/>
          <w:szCs w:val="21"/>
          <w:highlight w:val="none"/>
          <w:lang w:val="en-US" w:eastAsia="zh-CN" w:bidi="ar"/>
        </w:rPr>
        <w:t>或</w:t>
      </w:r>
      <w:r>
        <w:rPr>
          <w:rFonts w:hint="eastAsia" w:ascii="宋体" w:hAnsi="宋体" w:eastAsia="宋体" w:cs="宋体"/>
          <w:color w:val="auto"/>
          <w:kern w:val="2"/>
          <w:sz w:val="21"/>
          <w:szCs w:val="21"/>
          <w:highlight w:val="none"/>
        </w:rPr>
        <w:t>子分部工程质量验收记录</w:t>
      </w:r>
      <w:r>
        <w:rPr>
          <w:rFonts w:hint="eastAsia" w:cs="仿宋"/>
          <w:color w:val="auto"/>
          <w:kern w:val="0"/>
          <w:sz w:val="21"/>
          <w:szCs w:val="21"/>
          <w:highlight w:val="none"/>
          <w:lang w:val="en-US" w:eastAsia="zh-CN" w:bidi="ar"/>
        </w:rPr>
        <w:t>的</w:t>
      </w:r>
      <w:r>
        <w:rPr>
          <w:rFonts w:hint="eastAsia" w:ascii="宋体" w:hAnsi="宋体" w:eastAsia="宋体" w:cs="仿宋"/>
          <w:color w:val="auto"/>
          <w:kern w:val="0"/>
          <w:sz w:val="21"/>
          <w:szCs w:val="21"/>
          <w:highlight w:val="none"/>
          <w:lang w:val="en-US" w:eastAsia="zh-CN" w:bidi="ar"/>
        </w:rPr>
        <w:t>扫描件。</w:t>
      </w:r>
    </w:p>
    <w:p w14:paraId="01FA9E1B">
      <w:pPr>
        <w:pStyle w:val="227"/>
        <w:numPr>
          <w:ilvl w:val="0"/>
          <w:numId w:val="0"/>
        </w:numPr>
        <w:tabs>
          <w:tab w:val="left" w:pos="6398"/>
        </w:tabs>
        <w:spacing w:line="360" w:lineRule="auto"/>
        <w:ind w:firstLine="420" w:firstLineChars="200"/>
        <w:rPr>
          <w:rFonts w:hint="eastAsia" w:ascii="宋体" w:hAnsi="宋体" w:eastAsia="宋体" w:cs="仿宋"/>
          <w:color w:val="auto"/>
          <w:kern w:val="0"/>
          <w:sz w:val="21"/>
          <w:szCs w:val="21"/>
          <w:highlight w:val="none"/>
          <w:lang w:val="en-US" w:eastAsia="zh-CN" w:bidi="ar"/>
        </w:rPr>
      </w:pPr>
      <w:r>
        <w:rPr>
          <w:rFonts w:hint="eastAsia" w:ascii="宋体" w:hAnsi="宋体" w:eastAsia="宋体" w:cs="仿宋"/>
          <w:color w:val="auto"/>
          <w:kern w:val="0"/>
          <w:sz w:val="21"/>
          <w:szCs w:val="21"/>
          <w:highlight w:val="none"/>
          <w:lang w:val="en-US" w:eastAsia="zh-CN" w:bidi="ar"/>
        </w:rPr>
        <w:t>3）竣工验收</w:t>
      </w:r>
      <w:r>
        <w:rPr>
          <w:rFonts w:hint="eastAsia" w:cs="仿宋"/>
          <w:color w:val="auto"/>
          <w:kern w:val="0"/>
          <w:sz w:val="21"/>
          <w:szCs w:val="21"/>
          <w:highlight w:val="none"/>
          <w:lang w:val="en-US" w:eastAsia="zh-CN" w:bidi="ar"/>
        </w:rPr>
        <w:t>文件</w:t>
      </w:r>
      <w:r>
        <w:rPr>
          <w:rFonts w:hint="eastAsia" w:ascii="宋体" w:hAnsi="宋体" w:eastAsia="宋体" w:cs="仿宋"/>
          <w:color w:val="auto"/>
          <w:kern w:val="0"/>
          <w:sz w:val="21"/>
          <w:szCs w:val="21"/>
          <w:highlight w:val="none"/>
          <w:lang w:val="en-US" w:eastAsia="zh-CN" w:bidi="ar"/>
        </w:rPr>
        <w:t>或</w:t>
      </w:r>
      <w:r>
        <w:rPr>
          <w:rFonts w:hint="eastAsia" w:ascii="宋体" w:hAnsi="宋体" w:eastAsia="宋体" w:cs="宋体"/>
          <w:color w:val="auto"/>
          <w:kern w:val="2"/>
          <w:sz w:val="21"/>
          <w:szCs w:val="21"/>
          <w:highlight w:val="none"/>
        </w:rPr>
        <w:t>子分部工程质量验收记录</w:t>
      </w:r>
      <w:r>
        <w:rPr>
          <w:rFonts w:hint="eastAsia" w:ascii="宋体" w:hAnsi="宋体" w:eastAsia="宋体" w:cs="仿宋"/>
          <w:color w:val="auto"/>
          <w:kern w:val="0"/>
          <w:sz w:val="21"/>
          <w:szCs w:val="21"/>
          <w:highlight w:val="none"/>
          <w:lang w:val="en-US" w:eastAsia="zh-CN" w:bidi="ar"/>
        </w:rPr>
        <w:t>至少具有建设单位、设计、施工和监理单位盖章</w:t>
      </w:r>
      <w:r>
        <w:rPr>
          <w:rFonts w:hint="eastAsia" w:cs="仿宋"/>
          <w:color w:val="auto"/>
          <w:kern w:val="0"/>
          <w:sz w:val="21"/>
          <w:szCs w:val="21"/>
          <w:highlight w:val="none"/>
          <w:lang w:val="en-US" w:eastAsia="zh-CN" w:bidi="ar"/>
        </w:rPr>
        <w:t>，</w:t>
      </w:r>
      <w:r>
        <w:rPr>
          <w:rFonts w:hint="eastAsia" w:ascii="宋体" w:hAnsi="宋体" w:eastAsia="宋体" w:cs="仿宋"/>
          <w:color w:val="auto"/>
          <w:kern w:val="0"/>
          <w:sz w:val="21"/>
          <w:szCs w:val="21"/>
          <w:highlight w:val="none"/>
          <w:lang w:val="en-US" w:eastAsia="zh-CN" w:bidi="ar"/>
        </w:rPr>
        <w:t>如以上资料不能证明业绩规模的技术指标（指</w:t>
      </w:r>
      <w:r>
        <w:rPr>
          <w:rFonts w:hint="eastAsia" w:cs="仿宋"/>
          <w:color w:val="auto"/>
          <w:kern w:val="0"/>
          <w:sz w:val="21"/>
          <w:szCs w:val="21"/>
          <w:highlight w:val="none"/>
          <w:lang w:val="en-US" w:eastAsia="zh-CN" w:bidi="ar"/>
        </w:rPr>
        <w:t>单跨跨度</w:t>
      </w:r>
      <w:r>
        <w:rPr>
          <w:rFonts w:hint="eastAsia" w:ascii="宋体" w:hAnsi="宋体" w:eastAsia="宋体" w:cs="仿宋"/>
          <w:color w:val="auto"/>
          <w:kern w:val="0"/>
          <w:sz w:val="21"/>
          <w:szCs w:val="21"/>
          <w:highlight w:val="none"/>
          <w:lang w:val="en-US" w:eastAsia="zh-CN" w:bidi="ar"/>
        </w:rPr>
        <w:t>）的，</w:t>
      </w:r>
      <w:r>
        <w:rPr>
          <w:rFonts w:hint="eastAsia" w:ascii="宋体" w:hAnsi="宋体" w:cs="仿宋"/>
          <w:b w:val="0"/>
          <w:bCs w:val="0"/>
          <w:color w:val="auto"/>
          <w:kern w:val="0"/>
          <w:sz w:val="21"/>
          <w:szCs w:val="21"/>
          <w:highlight w:val="none"/>
          <w:lang w:val="en-US" w:eastAsia="zh-CN" w:bidi="ar"/>
        </w:rPr>
        <w:t>则提供建设单位出具的</w:t>
      </w:r>
      <w:r>
        <w:rPr>
          <w:rFonts w:hint="eastAsia" w:ascii="宋体" w:hAnsi="宋体" w:eastAsia="宋体" w:cs="仿宋"/>
          <w:color w:val="auto"/>
          <w:kern w:val="0"/>
          <w:sz w:val="21"/>
          <w:szCs w:val="21"/>
          <w:highlight w:val="none"/>
          <w:lang w:val="en-US" w:eastAsia="zh-CN" w:bidi="ar"/>
        </w:rPr>
        <w:t>可证明业绩技术指标</w:t>
      </w:r>
      <w:r>
        <w:rPr>
          <w:rFonts w:hint="eastAsia" w:cs="仿宋"/>
          <w:color w:val="auto"/>
          <w:kern w:val="0"/>
          <w:sz w:val="21"/>
          <w:szCs w:val="21"/>
          <w:highlight w:val="none"/>
          <w:lang w:val="en-US" w:eastAsia="zh-CN" w:bidi="ar"/>
        </w:rPr>
        <w:t>（指单跨跨度）的</w:t>
      </w:r>
      <w:r>
        <w:rPr>
          <w:rFonts w:hint="eastAsia" w:ascii="宋体" w:hAnsi="宋体" w:cs="仿宋"/>
          <w:b w:val="0"/>
          <w:bCs w:val="0"/>
          <w:color w:val="auto"/>
          <w:kern w:val="0"/>
          <w:sz w:val="21"/>
          <w:szCs w:val="21"/>
          <w:highlight w:val="none"/>
          <w:lang w:val="en-US" w:eastAsia="zh-CN" w:bidi="ar"/>
        </w:rPr>
        <w:t>证明材料</w:t>
      </w:r>
      <w:r>
        <w:rPr>
          <w:rFonts w:hint="eastAsia" w:ascii="宋体" w:hAnsi="宋体" w:eastAsia="宋体" w:cs="仿宋"/>
          <w:color w:val="auto"/>
          <w:kern w:val="0"/>
          <w:sz w:val="21"/>
          <w:szCs w:val="21"/>
          <w:highlight w:val="none"/>
          <w:lang w:val="en-US" w:eastAsia="zh-CN" w:bidi="ar"/>
        </w:rPr>
        <w:t>。</w:t>
      </w:r>
    </w:p>
    <w:p w14:paraId="0E8972E9">
      <w:pPr>
        <w:pStyle w:val="227"/>
        <w:spacing w:line="360" w:lineRule="auto"/>
        <w:ind w:firstLine="420" w:firstLineChars="200"/>
        <w:rPr>
          <w:rFonts w:hint="eastAsia" w:cs="仿宋"/>
          <w:color w:val="auto"/>
          <w:kern w:val="0"/>
          <w:sz w:val="21"/>
          <w:szCs w:val="21"/>
          <w:highlight w:val="none"/>
          <w:lang w:val="en-US" w:eastAsia="zh-CN" w:bidi="ar"/>
        </w:rPr>
      </w:pPr>
      <w:r>
        <w:rPr>
          <w:rFonts w:hint="eastAsia" w:cs="仿宋"/>
          <w:color w:val="auto"/>
          <w:kern w:val="0"/>
          <w:sz w:val="21"/>
          <w:szCs w:val="21"/>
          <w:highlight w:val="none"/>
          <w:lang w:val="en-US" w:eastAsia="zh-CN" w:bidi="ar"/>
        </w:rPr>
        <w:t>4）若上述文件无法体现技术负责人名字及岗位的，</w:t>
      </w:r>
      <w:r>
        <w:rPr>
          <w:rFonts w:hint="eastAsia" w:ascii="宋体" w:hAnsi="宋体" w:cs="仿宋"/>
          <w:b w:val="0"/>
          <w:bCs w:val="0"/>
          <w:color w:val="auto"/>
          <w:kern w:val="0"/>
          <w:sz w:val="21"/>
          <w:szCs w:val="21"/>
          <w:highlight w:val="none"/>
          <w:lang w:val="en-US" w:eastAsia="zh-CN" w:bidi="ar"/>
        </w:rPr>
        <w:t>则提供建设单位出具的证明材料</w:t>
      </w:r>
      <w:r>
        <w:rPr>
          <w:rFonts w:hint="eastAsia" w:cs="仿宋"/>
          <w:color w:val="auto"/>
          <w:kern w:val="0"/>
          <w:sz w:val="21"/>
          <w:szCs w:val="21"/>
          <w:highlight w:val="none"/>
          <w:lang w:val="en-US" w:eastAsia="zh-CN" w:bidi="ar"/>
        </w:rPr>
        <w:t>。</w:t>
      </w:r>
    </w:p>
    <w:p w14:paraId="223617F3">
      <w:pPr>
        <w:pStyle w:val="227"/>
        <w:tabs>
          <w:tab w:val="left" w:pos="6398"/>
        </w:tabs>
        <w:spacing w:line="336" w:lineRule="auto"/>
        <w:ind w:firstLine="422" w:firstLineChars="200"/>
        <w:rPr>
          <w:rFonts w:hint="eastAsia" w:cs="仿宋"/>
          <w:b/>
          <w:bCs/>
          <w:color w:val="auto"/>
          <w:kern w:val="0"/>
          <w:sz w:val="21"/>
          <w:szCs w:val="21"/>
          <w:highlight w:val="none"/>
          <w:lang w:bidi="ar"/>
        </w:rPr>
      </w:pPr>
      <w:r>
        <w:rPr>
          <w:rFonts w:hint="eastAsia" w:cs="仿宋"/>
          <w:b/>
          <w:bCs/>
          <w:color w:val="auto"/>
          <w:kern w:val="0"/>
          <w:sz w:val="21"/>
          <w:szCs w:val="21"/>
          <w:highlight w:val="none"/>
          <w:lang w:eastAsia="zh-CN" w:bidi="ar"/>
        </w:rPr>
        <w:t>（</w:t>
      </w:r>
      <w:r>
        <w:rPr>
          <w:rFonts w:hint="eastAsia" w:cs="仿宋"/>
          <w:b/>
          <w:bCs/>
          <w:color w:val="auto"/>
          <w:kern w:val="0"/>
          <w:sz w:val="21"/>
          <w:szCs w:val="21"/>
          <w:highlight w:val="none"/>
          <w:lang w:val="en-US" w:eastAsia="zh-CN" w:bidi="ar"/>
        </w:rPr>
        <w:t>5</w:t>
      </w:r>
      <w:r>
        <w:rPr>
          <w:rFonts w:hint="eastAsia" w:cs="仿宋"/>
          <w:b/>
          <w:bCs/>
          <w:color w:val="auto"/>
          <w:kern w:val="0"/>
          <w:sz w:val="21"/>
          <w:szCs w:val="21"/>
          <w:highlight w:val="none"/>
          <w:lang w:eastAsia="zh-CN" w:bidi="ar"/>
        </w:rPr>
        <w:t>）</w:t>
      </w:r>
      <w:r>
        <w:rPr>
          <w:rFonts w:hint="eastAsia" w:cs="仿宋"/>
          <w:b/>
          <w:bCs/>
          <w:color w:val="auto"/>
          <w:kern w:val="0"/>
          <w:sz w:val="21"/>
          <w:szCs w:val="21"/>
          <w:highlight w:val="none"/>
          <w:lang w:val="en-US" w:eastAsia="zh-CN" w:bidi="ar"/>
        </w:rPr>
        <w:t>项目负责人获奖：按“3、工程获奖”要求提供，若获奖证书中无法体现项目负责人名字的，则须提供竣工验收文件（验收文件至少具有建设单位、设计、施工和监理单位盖章）或建设单位出具的证明材料，否则不予计分。</w:t>
      </w:r>
    </w:p>
    <w:p w14:paraId="07559C6C">
      <w:pPr>
        <w:pStyle w:val="227"/>
        <w:tabs>
          <w:tab w:val="left" w:pos="6398"/>
        </w:tabs>
        <w:spacing w:line="336" w:lineRule="auto"/>
        <w:ind w:firstLine="422" w:firstLineChars="200"/>
        <w:rPr>
          <w:rFonts w:hint="eastAsia" w:cs="仿宋"/>
          <w:b/>
          <w:bCs/>
          <w:color w:val="auto"/>
          <w:kern w:val="0"/>
          <w:sz w:val="21"/>
          <w:szCs w:val="21"/>
          <w:highlight w:val="none"/>
          <w:lang w:val="en-US" w:eastAsia="zh-CN" w:bidi="ar"/>
        </w:rPr>
      </w:pPr>
      <w:r>
        <w:rPr>
          <w:rFonts w:hint="eastAsia" w:cs="仿宋"/>
          <w:b/>
          <w:bCs/>
          <w:color w:val="auto"/>
          <w:kern w:val="0"/>
          <w:sz w:val="21"/>
          <w:szCs w:val="21"/>
          <w:highlight w:val="none"/>
          <w:lang w:val="en-US" w:eastAsia="zh-CN" w:bidi="ar"/>
        </w:rPr>
        <w:t>（6）未提供或所提供的证明资料不符合要求的，则不予得分。</w:t>
      </w:r>
    </w:p>
    <w:p w14:paraId="06AC2EE6">
      <w:pPr>
        <w:pStyle w:val="227"/>
        <w:tabs>
          <w:tab w:val="left" w:pos="6398"/>
        </w:tabs>
        <w:spacing w:line="336" w:lineRule="auto"/>
        <w:rPr>
          <w:rFonts w:hint="eastAsia" w:cs="仿宋"/>
          <w:b/>
          <w:bCs/>
          <w:color w:val="auto"/>
          <w:sz w:val="21"/>
          <w:szCs w:val="21"/>
          <w:highlight w:val="none"/>
          <w:lang w:val="en-US" w:eastAsia="zh-CN" w:bidi="ar"/>
        </w:rPr>
      </w:pPr>
      <w:r>
        <w:rPr>
          <w:rFonts w:hint="eastAsia" w:cs="仿宋"/>
          <w:b/>
          <w:bCs/>
          <w:color w:val="auto"/>
          <w:sz w:val="21"/>
          <w:szCs w:val="21"/>
          <w:highlight w:val="none"/>
          <w:lang w:val="en-US" w:eastAsia="zh-CN" w:bidi="ar"/>
        </w:rPr>
        <w:t>2、企业类似业绩：</w:t>
      </w:r>
    </w:p>
    <w:p w14:paraId="51BA689D">
      <w:pPr>
        <w:spacing w:line="336" w:lineRule="auto"/>
        <w:ind w:firstLine="420" w:firstLineChars="200"/>
        <w:rPr>
          <w:rFonts w:ascii="宋体" w:hAnsi="宋体" w:cs="仿宋"/>
          <w:color w:val="auto"/>
          <w:kern w:val="0"/>
          <w:szCs w:val="21"/>
          <w:highlight w:val="none"/>
          <w:lang w:bidi="ar"/>
        </w:rPr>
      </w:pPr>
      <w:r>
        <w:rPr>
          <w:rFonts w:hint="eastAsia" w:ascii="宋体" w:hAnsi="宋体" w:cs="仿宋"/>
          <w:color w:val="auto"/>
          <w:kern w:val="0"/>
          <w:szCs w:val="21"/>
          <w:highlight w:val="none"/>
          <w:lang w:bidi="ar"/>
        </w:rPr>
        <w:t>业绩取自广州市住建行业信用管理平台或提供业绩证明</w:t>
      </w:r>
      <w:r>
        <w:rPr>
          <w:rFonts w:hint="eastAsia" w:cs="仿宋"/>
          <w:color w:val="auto"/>
          <w:szCs w:val="21"/>
          <w:highlight w:val="none"/>
          <w:lang w:bidi="ar"/>
        </w:rPr>
        <w:t>清晰</w:t>
      </w:r>
      <w:r>
        <w:rPr>
          <w:rFonts w:hint="eastAsia" w:ascii="宋体" w:hAnsi="宋体" w:cs="仿宋"/>
          <w:color w:val="auto"/>
          <w:kern w:val="0"/>
          <w:szCs w:val="21"/>
          <w:highlight w:val="none"/>
          <w:lang w:bidi="ar"/>
        </w:rPr>
        <w:t>扫描件。</w:t>
      </w:r>
    </w:p>
    <w:p w14:paraId="58BCE1B5">
      <w:pPr>
        <w:spacing w:line="336" w:lineRule="auto"/>
        <w:ind w:firstLine="420" w:firstLineChars="200"/>
        <w:rPr>
          <w:rFonts w:ascii="宋体" w:hAnsi="宋体" w:cs="仿宋"/>
          <w:color w:val="auto"/>
          <w:kern w:val="0"/>
          <w:szCs w:val="21"/>
          <w:highlight w:val="none"/>
          <w:lang w:bidi="ar"/>
        </w:rPr>
      </w:pPr>
      <w:r>
        <w:rPr>
          <w:rFonts w:hint="eastAsia" w:ascii="宋体" w:hAnsi="宋体" w:cs="仿宋"/>
          <w:color w:val="auto"/>
          <w:kern w:val="0"/>
          <w:szCs w:val="21"/>
          <w:highlight w:val="none"/>
          <w:lang w:bidi="ar"/>
        </w:rPr>
        <w:t>（1）业绩取自广州市住建行业信用管理平台的，投标人除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w:t>
      </w:r>
      <w:bookmarkStart w:id="179" w:name="OLE_LINK47"/>
      <w:r>
        <w:rPr>
          <w:rFonts w:hint="eastAsia" w:ascii="宋体" w:hAnsi="宋体" w:cs="仿宋"/>
          <w:color w:val="auto"/>
          <w:kern w:val="0"/>
          <w:szCs w:val="21"/>
          <w:highlight w:val="none"/>
          <w:lang w:bidi="ar"/>
        </w:rPr>
        <w:t>业绩相关附件的上传件取广州市住建行业信用管理平台，投标阶段可不重复提交</w:t>
      </w:r>
      <w:bookmarkEnd w:id="179"/>
      <w:r>
        <w:rPr>
          <w:rFonts w:hint="eastAsia" w:ascii="宋体" w:hAnsi="宋体" w:cs="仿宋"/>
          <w:color w:val="auto"/>
          <w:kern w:val="0"/>
          <w:szCs w:val="21"/>
          <w:highlight w:val="none"/>
          <w:lang w:bidi="ar"/>
        </w:rPr>
        <w:t>）。</w:t>
      </w:r>
      <w:r>
        <w:rPr>
          <w:rFonts w:hint="eastAsia" w:ascii="宋体" w:hAnsi="宋体" w:cs="仿宋"/>
          <w:b/>
          <w:bCs/>
          <w:color w:val="auto"/>
          <w:kern w:val="0"/>
          <w:szCs w:val="21"/>
          <w:highlight w:val="none"/>
          <w:lang w:bidi="ar"/>
        </w:rPr>
        <w:t>不提供项目名称、项目编号及网页信息截图的业绩不予评审。</w:t>
      </w:r>
      <w:r>
        <w:rPr>
          <w:rFonts w:hint="eastAsia" w:ascii="宋体" w:hAnsi="宋体" w:cs="仿宋"/>
          <w:color w:val="auto"/>
          <w:kern w:val="0"/>
          <w:szCs w:val="21"/>
          <w:highlight w:val="none"/>
          <w:lang w:bidi="ar"/>
        </w:rPr>
        <w:t>若投标人提供的项目名称与项目编号不一致：①项目名称和项目编号在平台内分别对应不同业绩的，以项目名称对应的业绩为准；</w:t>
      </w:r>
      <w:bookmarkStart w:id="180" w:name="OLE_LINK48"/>
      <w:r>
        <w:rPr>
          <w:rFonts w:hint="eastAsia" w:ascii="宋体" w:hAnsi="宋体" w:cs="仿宋"/>
          <w:color w:val="auto"/>
          <w:kern w:val="0"/>
          <w:szCs w:val="21"/>
          <w:highlight w:val="none"/>
          <w:lang w:bidi="ar"/>
        </w:rPr>
        <w:t>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bookmarkEnd w:id="180"/>
      <w:r>
        <w:rPr>
          <w:rFonts w:hint="eastAsia" w:ascii="宋体" w:hAnsi="宋体" w:cs="仿宋"/>
          <w:color w:val="auto"/>
          <w:kern w:val="0"/>
          <w:szCs w:val="21"/>
          <w:highlight w:val="none"/>
          <w:lang w:bidi="ar"/>
        </w:rPr>
        <w:t>。</w:t>
      </w:r>
    </w:p>
    <w:p w14:paraId="0C81B22C">
      <w:pPr>
        <w:pStyle w:val="227"/>
        <w:tabs>
          <w:tab w:val="left" w:pos="6398"/>
        </w:tabs>
        <w:spacing w:line="336" w:lineRule="auto"/>
        <w:ind w:firstLine="420" w:firstLineChars="200"/>
        <w:rPr>
          <w:rFonts w:cs="仿宋"/>
          <w:color w:val="auto"/>
          <w:kern w:val="0"/>
          <w:sz w:val="21"/>
          <w:szCs w:val="21"/>
          <w:highlight w:val="none"/>
          <w:lang w:eastAsia="zh-CN" w:bidi="ar"/>
        </w:rPr>
      </w:pPr>
      <w:r>
        <w:rPr>
          <w:rFonts w:hint="eastAsia" w:cs="仿宋"/>
          <w:bCs/>
          <w:color w:val="auto"/>
          <w:sz w:val="21"/>
          <w:szCs w:val="21"/>
          <w:highlight w:val="none"/>
        </w:rPr>
        <w:t>（</w:t>
      </w:r>
      <w:r>
        <w:rPr>
          <w:rFonts w:hint="eastAsia" w:cs="仿宋"/>
          <w:bCs/>
          <w:color w:val="auto"/>
          <w:sz w:val="21"/>
          <w:szCs w:val="21"/>
          <w:highlight w:val="none"/>
          <w:lang w:eastAsia="zh-CN"/>
        </w:rPr>
        <w:t>3</w:t>
      </w:r>
      <w:r>
        <w:rPr>
          <w:rFonts w:hint="eastAsia" w:cs="仿宋"/>
          <w:bCs/>
          <w:color w:val="auto"/>
          <w:sz w:val="21"/>
          <w:szCs w:val="21"/>
          <w:highlight w:val="none"/>
        </w:rPr>
        <w:t>）业绩不取自广州市住建行业信用管理平台的，投标人须同时提供中标通知书（或免招标证明）、施工合同、验收文件的</w:t>
      </w:r>
      <w:r>
        <w:rPr>
          <w:rFonts w:hint="eastAsia" w:cs="仿宋"/>
          <w:color w:val="auto"/>
          <w:sz w:val="21"/>
          <w:szCs w:val="21"/>
          <w:highlight w:val="none"/>
          <w:lang w:val="en-US" w:eastAsia="zh-CN" w:bidi="ar"/>
        </w:rPr>
        <w:t>清晰</w:t>
      </w:r>
      <w:r>
        <w:rPr>
          <w:rFonts w:hint="eastAsia" w:cs="仿宋"/>
          <w:bCs/>
          <w:color w:val="auto"/>
          <w:sz w:val="21"/>
          <w:szCs w:val="21"/>
          <w:highlight w:val="none"/>
        </w:rPr>
        <w:t>扫描件。</w:t>
      </w:r>
    </w:p>
    <w:p w14:paraId="0D5A968E">
      <w:pPr>
        <w:spacing w:line="336" w:lineRule="auto"/>
        <w:ind w:firstLine="420" w:firstLineChars="200"/>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（4）金额以中标通知书为准，中标通知书上没有金额或免招标的，以施工合同（不含补充合同）金额为准。</w:t>
      </w:r>
      <w:r>
        <w:rPr>
          <w:rFonts w:hint="eastAsia" w:cs="仿宋"/>
          <w:color w:val="auto"/>
          <w:kern w:val="0"/>
          <w:szCs w:val="21"/>
          <w:highlight w:val="none"/>
          <w:lang w:bidi="ar"/>
        </w:rPr>
        <w:t>工程总承包项目，金额以施工部分中标金额为准，中标通知书上没有施工部分中标金额或免招标的，以工程总承包合同的施工部分合同金额（不含补充合同）为准。</w:t>
      </w:r>
    </w:p>
    <w:p w14:paraId="7DB94C6D">
      <w:pPr>
        <w:spacing w:line="336" w:lineRule="auto"/>
        <w:ind w:firstLine="420" w:firstLineChars="200"/>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（5）完成时间以竣工验收文件为准。验收文件至少具有建设单位、设计、施工和监理单位盖章。</w:t>
      </w:r>
    </w:p>
    <w:p w14:paraId="53516BE9">
      <w:pPr>
        <w:spacing w:line="336" w:lineRule="auto"/>
        <w:ind w:firstLine="420" w:firstLineChars="200"/>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（6）平台内业绩上传件不符合上述要求的或登记的工程资质内容与施工合同或EPC合同施工部分等业绩证明资料不相符的，该项业绩不予认定。</w:t>
      </w:r>
    </w:p>
    <w:p w14:paraId="5D504149">
      <w:pPr>
        <w:pStyle w:val="227"/>
        <w:tabs>
          <w:tab w:val="left" w:pos="6398"/>
        </w:tabs>
        <w:spacing w:line="336" w:lineRule="auto"/>
        <w:ind w:firstLine="422" w:firstLineChars="200"/>
        <w:rPr>
          <w:rFonts w:hint="eastAsia" w:cs="仿宋"/>
          <w:b/>
          <w:bCs/>
          <w:color w:val="auto"/>
          <w:kern w:val="0"/>
          <w:sz w:val="21"/>
          <w:szCs w:val="21"/>
          <w:highlight w:val="none"/>
          <w:u w:val="single"/>
          <w:lang w:bidi="ar"/>
        </w:rPr>
      </w:pPr>
      <w:r>
        <w:rPr>
          <w:rFonts w:hint="eastAsia" w:cs="仿宋"/>
          <w:b/>
          <w:bCs/>
          <w:color w:val="auto"/>
          <w:kern w:val="0"/>
          <w:sz w:val="21"/>
          <w:szCs w:val="21"/>
          <w:highlight w:val="none"/>
          <w:lang w:bidi="ar"/>
        </w:rPr>
        <w:t>（</w:t>
      </w:r>
      <w:r>
        <w:rPr>
          <w:rFonts w:hint="eastAsia" w:cs="仿宋"/>
          <w:b/>
          <w:bCs/>
          <w:color w:val="auto"/>
          <w:kern w:val="0"/>
          <w:sz w:val="21"/>
          <w:szCs w:val="21"/>
          <w:highlight w:val="none"/>
          <w:lang w:val="en-US" w:eastAsia="zh-CN" w:bidi="ar"/>
        </w:rPr>
        <w:t>7</w:t>
      </w:r>
      <w:r>
        <w:rPr>
          <w:rFonts w:hint="eastAsia" w:cs="仿宋"/>
          <w:b/>
          <w:bCs/>
          <w:color w:val="auto"/>
          <w:kern w:val="0"/>
          <w:sz w:val="21"/>
          <w:szCs w:val="21"/>
          <w:highlight w:val="none"/>
          <w:lang w:bidi="ar"/>
        </w:rPr>
        <w:t>）未提供或所提供的证明资料不符合要求的，则不予得分。</w:t>
      </w:r>
    </w:p>
    <w:p w14:paraId="58BB7A51">
      <w:pPr>
        <w:spacing w:line="336" w:lineRule="auto"/>
        <w:rPr>
          <w:rFonts w:hint="eastAsia" w:ascii="宋体" w:hAnsi="宋体" w:cs="仿宋"/>
          <w:b/>
          <w:bCs/>
          <w:color w:val="auto"/>
          <w:kern w:val="0"/>
          <w:szCs w:val="21"/>
          <w:highlight w:val="none"/>
          <w:lang w:bidi="ar"/>
        </w:rPr>
      </w:pPr>
      <w:r>
        <w:rPr>
          <w:rFonts w:hint="eastAsia" w:ascii="宋体" w:hAnsi="宋体" w:cs="仿宋"/>
          <w:b/>
          <w:bCs/>
          <w:color w:val="auto"/>
          <w:kern w:val="0"/>
          <w:szCs w:val="21"/>
          <w:highlight w:val="none"/>
          <w:lang w:bidi="ar"/>
        </w:rPr>
        <w:t>3、工程获奖：</w:t>
      </w:r>
    </w:p>
    <w:p w14:paraId="52A5C087">
      <w:pPr>
        <w:widowControl/>
        <w:shd w:val="clear"/>
        <w:spacing w:line="336" w:lineRule="auto"/>
        <w:ind w:firstLine="420" w:firstLineChars="200"/>
        <w:rPr>
          <w:rFonts w:ascii="宋体" w:hAnsi="宋体" w:cs="仿宋"/>
          <w:color w:val="auto"/>
          <w:kern w:val="0"/>
          <w:szCs w:val="21"/>
          <w:highlight w:val="none"/>
          <w:lang w:bidi="ar"/>
        </w:rPr>
      </w:pPr>
      <w:r>
        <w:rPr>
          <w:rFonts w:hint="eastAsia" w:ascii="宋体" w:hAnsi="宋体" w:cs="仿宋"/>
          <w:color w:val="auto"/>
          <w:kern w:val="0"/>
          <w:szCs w:val="21"/>
          <w:highlight w:val="none"/>
          <w:lang w:bidi="ar"/>
        </w:rPr>
        <w:t>工程获奖可取自广州市住建行业信用管理平台或提供获奖证书清晰扫描件。</w:t>
      </w:r>
    </w:p>
    <w:p w14:paraId="778CB8E2">
      <w:pPr>
        <w:spacing w:line="336" w:lineRule="auto"/>
        <w:ind w:firstLine="420" w:firstLineChars="200"/>
        <w:rPr>
          <w:rFonts w:ascii="宋体" w:hAnsi="宋体" w:cs="仿宋"/>
          <w:color w:val="auto"/>
          <w:kern w:val="0"/>
          <w:szCs w:val="21"/>
          <w:highlight w:val="none"/>
          <w:lang w:bidi="ar"/>
        </w:rPr>
      </w:pPr>
      <w:r>
        <w:rPr>
          <w:rFonts w:hint="eastAsia" w:ascii="宋体" w:hAnsi="宋体" w:cs="仿宋"/>
          <w:color w:val="auto"/>
          <w:kern w:val="0"/>
          <w:szCs w:val="21"/>
          <w:highlight w:val="none"/>
          <w:lang w:bidi="ar"/>
        </w:rPr>
        <w:t>（1）奖项取自广州市住建行业信用管理平台的，投标人须提交广州市住建行业信用管理平台的网页信息截图（网页信息截图须能清晰显示带有“住建行业信用管理平台”名称，并至少包含“项目基本信息”、“奖项信息”、“工程对应的企业资质”等信息，且“工程对应的企业资质”中资质名称为建筑工程施工总承包（原房屋建筑工程施工总承包））以供核对（获奖相关附件的上传件取广州市住建行业信用管理平台，投标阶段可不重复提交）。评标委员会对取自广州市住建行业信用管理平台的工程获奖评审以投标截止时间在平台内奖项上传件为依据。</w:t>
      </w:r>
    </w:p>
    <w:p w14:paraId="09752A54">
      <w:pPr>
        <w:widowControl/>
        <w:shd w:val="clear"/>
        <w:spacing w:line="336" w:lineRule="auto"/>
        <w:ind w:firstLine="420" w:firstLineChars="200"/>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（2）奖项提供获奖证书清晰扫描件的，投标人除须提供获奖证书清晰扫描件外，还须提供获奖业绩的中标通知书（或免招标证明文件）、施工合同或工程总承包合同施工部分（不含补充合同）</w:t>
      </w:r>
      <w:r>
        <w:rPr>
          <w:rFonts w:hint="eastAsia" w:ascii="宋体" w:hAnsi="宋体" w:cs="仿宋"/>
          <w:bCs w:val="0"/>
          <w:color w:val="auto"/>
          <w:kern w:val="0"/>
          <w:szCs w:val="21"/>
          <w:highlight w:val="none"/>
          <w:lang w:bidi="ar"/>
        </w:rPr>
        <w:t>的</w:t>
      </w:r>
      <w:r>
        <w:rPr>
          <w:rFonts w:hint="eastAsia" w:ascii="宋体" w:hAnsi="宋体" w:cs="仿宋"/>
          <w:color w:val="auto"/>
          <w:kern w:val="0"/>
          <w:szCs w:val="21"/>
          <w:highlight w:val="none"/>
          <w:lang w:bidi="ar"/>
        </w:rPr>
        <w:t>清晰</w:t>
      </w:r>
      <w:r>
        <w:rPr>
          <w:rFonts w:hint="eastAsia" w:ascii="宋体" w:hAnsi="宋体" w:cs="仿宋"/>
          <w:bCs w:val="0"/>
          <w:color w:val="auto"/>
          <w:kern w:val="0"/>
          <w:szCs w:val="21"/>
          <w:highlight w:val="none"/>
          <w:lang w:bidi="ar"/>
        </w:rPr>
        <w:t>扫描件</w:t>
      </w:r>
      <w:r>
        <w:rPr>
          <w:rFonts w:hint="eastAsia" w:ascii="宋体" w:hAnsi="宋体" w:cs="仿宋"/>
          <w:color w:val="auto"/>
          <w:kern w:val="0"/>
          <w:szCs w:val="21"/>
          <w:highlight w:val="none"/>
          <w:lang w:bidi="ar"/>
        </w:rPr>
        <w:t>。</w:t>
      </w:r>
    </w:p>
    <w:p w14:paraId="6B8FE80C">
      <w:pPr>
        <w:widowControl/>
        <w:shd w:val="clear"/>
        <w:spacing w:line="336" w:lineRule="auto"/>
        <w:ind w:firstLine="420" w:firstLineChars="200"/>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（2）时间以获奖证书颁发时间为准。</w:t>
      </w:r>
    </w:p>
    <w:p w14:paraId="467DA00C">
      <w:pPr>
        <w:widowControl/>
        <w:shd w:val="clear"/>
        <w:spacing w:line="336" w:lineRule="auto"/>
        <w:ind w:firstLine="420" w:firstLineChars="200"/>
        <w:rPr>
          <w:rFonts w:hint="eastAsia" w:ascii="宋体" w:hAnsi="宋体" w:eastAsia="宋体" w:cs="仿宋"/>
          <w:color w:val="auto"/>
          <w:kern w:val="0"/>
          <w:szCs w:val="21"/>
          <w:highlight w:val="none"/>
          <w:lang w:bidi="ar"/>
        </w:rPr>
      </w:pPr>
      <w:r>
        <w:rPr>
          <w:rFonts w:hint="eastAsia" w:ascii="宋体" w:hAnsi="宋体" w:eastAsia="宋体" w:cs="仿宋"/>
          <w:color w:val="auto"/>
          <w:kern w:val="0"/>
          <w:szCs w:val="21"/>
          <w:highlight w:val="none"/>
          <w:lang w:bidi="ar"/>
        </w:rPr>
        <w:t>（3）国家级工程质量奖项指的是中国建设工程鲁班奖、国家优质工程金奖、国家优质工程奖、中国土木工程詹天佑奖；②省或市级奖项包括：由省、市级建设行政主管部门或</w:t>
      </w:r>
      <w:r>
        <w:rPr>
          <w:rFonts w:hint="eastAsia" w:ascii="宋体" w:hAnsi="宋体" w:cs="仿宋"/>
          <w:color w:val="auto"/>
          <w:kern w:val="0"/>
          <w:szCs w:val="21"/>
          <w:highlight w:val="none"/>
          <w:lang w:val="en-US" w:eastAsia="zh-CN" w:bidi="ar"/>
        </w:rPr>
        <w:t>建筑类</w:t>
      </w:r>
      <w:r>
        <w:rPr>
          <w:rFonts w:hint="eastAsia" w:ascii="宋体" w:hAnsi="宋体" w:eastAsia="宋体" w:cs="仿宋"/>
          <w:color w:val="auto"/>
          <w:kern w:val="0"/>
          <w:szCs w:val="21"/>
          <w:highlight w:val="none"/>
          <w:lang w:bidi="ar"/>
        </w:rPr>
        <w:t>行业协会（行业协会须在民政部门取得成立登记批准）颁发的质量类工程奖项或优质工程评价或质量评价优良或质量水平评价A级（或以上），奖项不含安全文明、绿色施工、技术创新QC成果及技术应用、钢结构、机电安装</w:t>
      </w:r>
      <w:r>
        <w:rPr>
          <w:rFonts w:hint="eastAsia" w:ascii="宋体" w:hAnsi="宋体" w:eastAsia="宋体" w:cs="仿宋"/>
          <w:color w:val="auto"/>
          <w:kern w:val="0"/>
          <w:szCs w:val="21"/>
          <w:highlight w:val="none"/>
          <w:lang w:eastAsia="zh-CN" w:bidi="ar"/>
        </w:rPr>
        <w:t>、</w:t>
      </w:r>
      <w:r>
        <w:rPr>
          <w:rFonts w:hint="eastAsia" w:ascii="宋体" w:hAnsi="宋体" w:eastAsia="宋体" w:cs="仿宋"/>
          <w:color w:val="auto"/>
          <w:kern w:val="0"/>
          <w:szCs w:val="21"/>
          <w:highlight w:val="none"/>
          <w:lang w:val="en-US" w:eastAsia="zh-CN" w:bidi="ar"/>
        </w:rPr>
        <w:t>装饰</w:t>
      </w:r>
      <w:r>
        <w:rPr>
          <w:rFonts w:hint="eastAsia" w:ascii="宋体" w:hAnsi="宋体" w:eastAsia="宋体" w:cs="仿宋"/>
          <w:color w:val="auto"/>
          <w:kern w:val="0"/>
          <w:szCs w:val="21"/>
          <w:highlight w:val="none"/>
          <w:lang w:bidi="ar"/>
        </w:rPr>
        <w:t>奖项；③只计算建筑工程类项目获奖，其他非建筑工程项目，如：路桥、铁路、水利、电力、化工、冶金、市政、港口航道等的获奖不参与计分。</w:t>
      </w:r>
    </w:p>
    <w:p w14:paraId="6E580E2E">
      <w:pPr>
        <w:widowControl/>
        <w:shd w:val="clear"/>
        <w:spacing w:line="336" w:lineRule="auto"/>
        <w:ind w:firstLine="420" w:firstLineChars="200"/>
        <w:rPr>
          <w:rFonts w:hint="eastAsia" w:ascii="宋体" w:hAnsi="宋体" w:eastAsia="宋体" w:cs="仿宋"/>
          <w:color w:val="auto"/>
          <w:kern w:val="0"/>
          <w:szCs w:val="21"/>
          <w:highlight w:val="none"/>
          <w:lang w:bidi="ar"/>
        </w:rPr>
      </w:pPr>
      <w:r>
        <w:rPr>
          <w:rFonts w:hint="eastAsia" w:ascii="宋体" w:hAnsi="宋体" w:eastAsia="宋体" w:cs="仿宋"/>
          <w:color w:val="auto"/>
          <w:kern w:val="0"/>
          <w:szCs w:val="21"/>
          <w:highlight w:val="none"/>
          <w:lang w:bidi="ar"/>
        </w:rPr>
        <w:t>（5）投标人须为该获奖项目的施工总承包单位，须提供相关证明材料（如施工合同、</w:t>
      </w:r>
      <w:bookmarkStart w:id="181" w:name="OLE_LINK20"/>
      <w:r>
        <w:rPr>
          <w:rFonts w:hint="eastAsia" w:ascii="宋体" w:hAnsi="宋体" w:eastAsia="宋体" w:cs="仿宋"/>
          <w:color w:val="auto"/>
          <w:kern w:val="0"/>
          <w:szCs w:val="21"/>
          <w:highlight w:val="none"/>
          <w:lang w:bidi="ar"/>
        </w:rPr>
        <w:t>工程总承包</w:t>
      </w:r>
      <w:bookmarkEnd w:id="181"/>
      <w:r>
        <w:rPr>
          <w:rFonts w:hint="eastAsia" w:ascii="宋体" w:hAnsi="宋体" w:eastAsia="宋体" w:cs="仿宋"/>
          <w:color w:val="auto"/>
          <w:kern w:val="0"/>
          <w:szCs w:val="21"/>
          <w:highlight w:val="none"/>
          <w:lang w:bidi="ar"/>
        </w:rPr>
        <w:t>合同施工部分（不含补充合同）或业主证明或评审申请材料或批复文件或竣工验收文件等）体现其施工总承包单位身份，否则不予计分。</w:t>
      </w:r>
    </w:p>
    <w:p w14:paraId="1E28E1E0">
      <w:pPr>
        <w:widowControl/>
        <w:shd w:val="clear"/>
        <w:spacing w:line="336" w:lineRule="auto"/>
        <w:ind w:firstLine="420" w:firstLineChars="200"/>
        <w:rPr>
          <w:rFonts w:hint="eastAsia" w:ascii="宋体" w:hAnsi="宋体" w:cs="仿宋"/>
          <w:color w:val="auto"/>
          <w:kern w:val="0"/>
          <w:szCs w:val="21"/>
          <w:highlight w:val="none"/>
          <w:lang w:bidi="ar"/>
        </w:rPr>
      </w:pPr>
      <w:r>
        <w:rPr>
          <w:rFonts w:hint="eastAsia" w:ascii="宋体" w:hAnsi="宋体" w:cs="仿宋"/>
          <w:color w:val="auto"/>
          <w:kern w:val="0"/>
          <w:szCs w:val="21"/>
          <w:highlight w:val="none"/>
          <w:lang w:bidi="ar"/>
        </w:rPr>
        <w:t>（6）</w:t>
      </w:r>
      <w:r>
        <w:rPr>
          <w:rFonts w:hint="eastAsia" w:ascii="宋体" w:hAnsi="宋体" w:cs="仿宋"/>
          <w:b/>
          <w:bCs/>
          <w:color w:val="auto"/>
          <w:kern w:val="0"/>
          <w:szCs w:val="21"/>
          <w:highlight w:val="none"/>
          <w:lang w:bidi="ar"/>
        </w:rPr>
        <w:t>同一项目获得多个奖项的，按最高级别奖项只计一次得分。</w:t>
      </w:r>
      <w:bookmarkStart w:id="182" w:name="OLE_LINK165"/>
      <w:r>
        <w:rPr>
          <w:rFonts w:hint="eastAsia" w:ascii="宋体" w:hAnsi="宋体" w:cs="仿宋"/>
          <w:color w:val="auto"/>
          <w:kern w:val="0"/>
          <w:szCs w:val="21"/>
          <w:highlight w:val="none"/>
          <w:lang w:bidi="ar"/>
        </w:rPr>
        <w:t>如投标人提供的省级奖项数量已超过该级别满分数量要求时，超过的省级奖项可以按市级奖项计算市级奖项得分。</w:t>
      </w:r>
    </w:p>
    <w:bookmarkEnd w:id="182"/>
    <w:p w14:paraId="4CE7905D">
      <w:pPr>
        <w:pStyle w:val="227"/>
        <w:tabs>
          <w:tab w:val="left" w:pos="6398"/>
        </w:tabs>
        <w:spacing w:line="336" w:lineRule="auto"/>
        <w:ind w:firstLine="422" w:firstLineChars="200"/>
        <w:rPr>
          <w:rFonts w:hint="eastAsia" w:cs="仿宋"/>
          <w:b/>
          <w:bCs/>
          <w:color w:val="auto"/>
          <w:kern w:val="0"/>
          <w:sz w:val="21"/>
          <w:szCs w:val="21"/>
          <w:highlight w:val="none"/>
          <w:u w:val="single"/>
          <w:lang w:bidi="ar"/>
        </w:rPr>
      </w:pPr>
      <w:r>
        <w:rPr>
          <w:rFonts w:hint="eastAsia" w:cs="仿宋"/>
          <w:b/>
          <w:bCs/>
          <w:color w:val="auto"/>
          <w:kern w:val="0"/>
          <w:sz w:val="21"/>
          <w:szCs w:val="21"/>
          <w:highlight w:val="none"/>
          <w:lang w:bidi="ar"/>
        </w:rPr>
        <w:t>（</w:t>
      </w:r>
      <w:r>
        <w:rPr>
          <w:rFonts w:hint="eastAsia" w:cs="仿宋"/>
          <w:b/>
          <w:bCs/>
          <w:color w:val="auto"/>
          <w:kern w:val="0"/>
          <w:sz w:val="21"/>
          <w:szCs w:val="21"/>
          <w:highlight w:val="none"/>
          <w:lang w:eastAsia="zh-CN" w:bidi="ar"/>
        </w:rPr>
        <w:t>7</w:t>
      </w:r>
      <w:r>
        <w:rPr>
          <w:rFonts w:hint="eastAsia" w:cs="仿宋"/>
          <w:b/>
          <w:bCs/>
          <w:color w:val="auto"/>
          <w:kern w:val="0"/>
          <w:sz w:val="21"/>
          <w:szCs w:val="21"/>
          <w:highlight w:val="none"/>
          <w:lang w:bidi="ar"/>
        </w:rPr>
        <w:t>）未提供或所提供的证明资料不符合要求的，则不予得分。</w:t>
      </w:r>
    </w:p>
    <w:p w14:paraId="1BBC80B4">
      <w:pPr>
        <w:pStyle w:val="227"/>
        <w:tabs>
          <w:tab w:val="left" w:pos="6398"/>
        </w:tabs>
        <w:spacing w:line="336" w:lineRule="auto"/>
        <w:rPr>
          <w:rFonts w:hint="eastAsia" w:cs="仿宋"/>
          <w:b/>
          <w:bCs/>
          <w:color w:val="auto"/>
          <w:sz w:val="21"/>
          <w:szCs w:val="21"/>
          <w:highlight w:val="none"/>
          <w:lang w:val="en-US" w:eastAsia="zh-CN" w:bidi="ar"/>
        </w:rPr>
      </w:pPr>
      <w:r>
        <w:rPr>
          <w:rFonts w:hint="eastAsia" w:cs="仿宋"/>
          <w:b/>
          <w:bCs/>
          <w:color w:val="auto"/>
          <w:sz w:val="21"/>
          <w:szCs w:val="21"/>
          <w:highlight w:val="none"/>
          <w:lang w:val="en-US" w:eastAsia="zh-CN" w:bidi="ar"/>
        </w:rPr>
        <w:t>4、第三方评价：</w:t>
      </w:r>
    </w:p>
    <w:p w14:paraId="4395046F">
      <w:pPr>
        <w:pStyle w:val="227"/>
        <w:keepNext w:val="0"/>
        <w:keepLines w:val="0"/>
        <w:pageBreakBefore w:val="0"/>
        <w:widowControl w:val="0"/>
        <w:tabs>
          <w:tab w:val="left" w:pos="6398"/>
        </w:tabs>
        <w:kinsoku/>
        <w:wordWrap/>
        <w:overflowPunct/>
        <w:topLinePunct w:val="0"/>
        <w:autoSpaceDE/>
        <w:autoSpaceDN/>
        <w:bidi w:val="0"/>
        <w:adjustRightInd/>
        <w:snapToGrid/>
        <w:spacing w:line="336" w:lineRule="auto"/>
        <w:ind w:firstLine="420" w:firstLineChars="200"/>
        <w:textAlignment w:val="auto"/>
        <w:rPr>
          <w:rFonts w:hint="default" w:cs="仿宋"/>
          <w:b w:val="0"/>
          <w:bCs w:val="0"/>
          <w:color w:val="auto"/>
          <w:sz w:val="21"/>
          <w:szCs w:val="21"/>
          <w:highlight w:val="none"/>
          <w:lang w:val="en-US" w:eastAsia="zh-CN" w:bidi="ar"/>
        </w:rPr>
      </w:pPr>
      <w:r>
        <w:rPr>
          <w:rFonts w:hint="default" w:cs="仿宋"/>
          <w:b w:val="0"/>
          <w:bCs w:val="0"/>
          <w:color w:val="auto"/>
          <w:sz w:val="21"/>
          <w:szCs w:val="21"/>
          <w:highlight w:val="none"/>
          <w:lang w:val="en-US" w:eastAsia="zh-CN" w:bidi="ar"/>
        </w:rPr>
        <w:t>科技创新类企业证书：科技创新企业类证书是指科技创新企业类、科学技术创新类、科技创新能力类和科技创新大赛的获奖证书（如获奖证书中的证书名称与上述名称不完全相同，但获奖证书属于科学技术创新的也视为满足该要求），须提供网上查询获奖名单公示或公布截图（须由省级(或以上)建设行政主管部门或行业协会或学会颁发）以及获奖证书的扫描件（证书获奖单位必须与投标单位名称一致，不包含上级公司、子分公司及区域公司），时间以网上查询结果截图或证书载明的年度为准。若颁发单位是行业协会或学会，须同时提供该颁发单位在“中国社会组织政务服务平台”网站(https://chinanpo.mca.gov.cn)登记的查询结果截图，否则该获奖证书不予认定。不满足上述要求的或未提供相关证明材料的不计分。</w:t>
      </w:r>
    </w:p>
    <w:p w14:paraId="0DE68EE6">
      <w:pPr>
        <w:pStyle w:val="227"/>
        <w:tabs>
          <w:tab w:val="left" w:pos="6398"/>
        </w:tabs>
        <w:spacing w:line="336" w:lineRule="auto"/>
        <w:rPr>
          <w:rFonts w:hint="eastAsia" w:cs="仿宋"/>
          <w:b/>
          <w:bCs/>
          <w:color w:val="auto"/>
          <w:sz w:val="21"/>
          <w:szCs w:val="21"/>
          <w:highlight w:val="none"/>
          <w:lang w:val="en-US" w:eastAsia="zh-CN" w:bidi="ar"/>
        </w:rPr>
      </w:pPr>
      <w:r>
        <w:rPr>
          <w:rFonts w:hint="eastAsia" w:cs="仿宋"/>
          <w:b/>
          <w:bCs/>
          <w:color w:val="auto"/>
          <w:sz w:val="21"/>
          <w:szCs w:val="21"/>
          <w:highlight w:val="none"/>
          <w:lang w:val="en-US" w:eastAsia="zh-CN" w:bidi="ar"/>
        </w:rPr>
        <w:t>5、项目管理团队答辩：</w:t>
      </w:r>
    </w:p>
    <w:p w14:paraId="40C360A7">
      <w:pPr>
        <w:widowControl/>
        <w:shd w:val="clear"/>
        <w:spacing w:line="336" w:lineRule="auto"/>
        <w:ind w:firstLine="420" w:firstLineChars="200"/>
        <w:rPr>
          <w:rFonts w:hint="eastAsia" w:ascii="宋体" w:hAnsi="宋体" w:eastAsia="宋体" w:cs="仿宋"/>
          <w:b w:val="0"/>
          <w:bCs w:val="0"/>
          <w:color w:val="auto"/>
          <w:kern w:val="0"/>
          <w:sz w:val="21"/>
          <w:szCs w:val="21"/>
          <w:highlight w:val="none"/>
          <w:lang w:val="en-US" w:eastAsia="zh-CN" w:bidi="ar"/>
        </w:rPr>
      </w:pPr>
      <w:r>
        <w:rPr>
          <w:rFonts w:hint="eastAsia" w:ascii="宋体" w:hAnsi="宋体" w:eastAsia="宋体" w:cs="仿宋"/>
          <w:b w:val="0"/>
          <w:bCs w:val="0"/>
          <w:color w:val="auto"/>
          <w:kern w:val="0"/>
          <w:sz w:val="21"/>
          <w:szCs w:val="21"/>
          <w:highlight w:val="none"/>
          <w:lang w:val="en-US" w:eastAsia="zh-CN" w:bidi="ar"/>
        </w:rPr>
        <w:t>（1）参加现场答辩的人员：项目负责人、技术负责人。</w:t>
      </w:r>
    </w:p>
    <w:p w14:paraId="702ACDE4">
      <w:pPr>
        <w:widowControl/>
        <w:shd w:val="clear"/>
        <w:spacing w:line="336" w:lineRule="auto"/>
        <w:ind w:firstLine="420" w:firstLineChars="200"/>
        <w:rPr>
          <w:rFonts w:hint="eastAsia" w:ascii="宋体" w:hAnsi="宋体" w:eastAsia="宋体" w:cs="仿宋"/>
          <w:b w:val="0"/>
          <w:bCs w:val="0"/>
          <w:color w:val="auto"/>
          <w:kern w:val="0"/>
          <w:sz w:val="21"/>
          <w:szCs w:val="21"/>
          <w:highlight w:val="none"/>
          <w:lang w:val="en-US" w:eastAsia="zh-CN" w:bidi="ar"/>
        </w:rPr>
      </w:pPr>
      <w:r>
        <w:rPr>
          <w:rFonts w:hint="eastAsia" w:ascii="宋体" w:hAnsi="宋体" w:eastAsia="宋体" w:cs="仿宋"/>
          <w:b w:val="0"/>
          <w:bCs w:val="0"/>
          <w:color w:val="auto"/>
          <w:kern w:val="0"/>
          <w:sz w:val="21"/>
          <w:szCs w:val="21"/>
          <w:highlight w:val="none"/>
          <w:lang w:val="en-US" w:eastAsia="zh-CN" w:bidi="ar"/>
        </w:rPr>
        <w:t>（2）答辩顺序的确定：根据《开标一览表》中投标人的排序，按</w:t>
      </w:r>
      <w:r>
        <w:rPr>
          <w:rFonts w:hint="eastAsia"/>
          <w:b w:val="0"/>
          <w:bCs w:val="0"/>
          <w:color w:val="auto"/>
          <w:highlight w:val="none"/>
        </w:rPr>
        <w:t>序号</w:t>
      </w:r>
      <w:r>
        <w:rPr>
          <w:rFonts w:hint="eastAsia" w:ascii="宋体" w:hAnsi="宋体" w:eastAsia="宋体" w:cs="仿宋"/>
          <w:b w:val="0"/>
          <w:bCs w:val="0"/>
          <w:color w:val="auto"/>
          <w:kern w:val="0"/>
          <w:sz w:val="21"/>
          <w:szCs w:val="21"/>
          <w:highlight w:val="none"/>
          <w:lang w:val="en-US" w:eastAsia="zh-CN" w:bidi="ar"/>
        </w:rPr>
        <w:t>从小到大的优先顺序代表相应投标人的现场答辩顺序。</w:t>
      </w:r>
    </w:p>
    <w:p w14:paraId="3B6E66CE">
      <w:pPr>
        <w:widowControl/>
        <w:shd w:val="clear"/>
        <w:spacing w:line="336" w:lineRule="auto"/>
        <w:ind w:firstLine="420" w:firstLineChars="200"/>
        <w:rPr>
          <w:rFonts w:hint="eastAsia" w:ascii="宋体" w:hAnsi="宋体" w:eastAsia="宋体" w:cs="仿宋"/>
          <w:b w:val="0"/>
          <w:bCs w:val="0"/>
          <w:color w:val="auto"/>
          <w:kern w:val="0"/>
          <w:sz w:val="21"/>
          <w:szCs w:val="21"/>
          <w:highlight w:val="none"/>
          <w:lang w:val="en-US" w:eastAsia="zh-CN" w:bidi="ar"/>
        </w:rPr>
      </w:pPr>
      <w:r>
        <w:rPr>
          <w:rFonts w:hint="eastAsia" w:ascii="宋体" w:hAnsi="宋体" w:eastAsia="宋体" w:cs="仿宋"/>
          <w:b w:val="0"/>
          <w:bCs w:val="0"/>
          <w:color w:val="auto"/>
          <w:kern w:val="0"/>
          <w:sz w:val="21"/>
          <w:szCs w:val="21"/>
          <w:highlight w:val="none"/>
          <w:lang w:val="en-US" w:eastAsia="zh-CN" w:bidi="ar"/>
        </w:rPr>
        <w:t>（3）答辩人员的到场要求：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未能提供法定代表人证明书及授权委托书的单位不予参加答辩环节。</w:t>
      </w:r>
    </w:p>
    <w:p w14:paraId="279C8568">
      <w:pPr>
        <w:widowControl/>
        <w:shd w:val="clear"/>
        <w:spacing w:line="336" w:lineRule="auto"/>
        <w:ind w:firstLine="420" w:firstLineChars="200"/>
        <w:rPr>
          <w:rFonts w:hint="eastAsia" w:ascii="宋体" w:hAnsi="宋体" w:eastAsia="宋体" w:cs="仿宋"/>
          <w:b w:val="0"/>
          <w:bCs w:val="0"/>
          <w:color w:val="auto"/>
          <w:kern w:val="0"/>
          <w:sz w:val="21"/>
          <w:szCs w:val="21"/>
          <w:highlight w:val="none"/>
          <w:lang w:val="en-US" w:eastAsia="zh-CN" w:bidi="ar"/>
        </w:rPr>
      </w:pPr>
      <w:r>
        <w:rPr>
          <w:rFonts w:hint="eastAsia" w:ascii="宋体" w:hAnsi="宋体" w:eastAsia="宋体" w:cs="仿宋"/>
          <w:b w:val="0"/>
          <w:bCs w:val="0"/>
          <w:color w:val="auto"/>
          <w:kern w:val="0"/>
          <w:sz w:val="21"/>
          <w:szCs w:val="21"/>
          <w:highlight w:val="none"/>
          <w:lang w:val="en-US" w:eastAsia="zh-CN" w:bidi="ar"/>
        </w:rPr>
        <w:t>（4）答辩开始时间：评标委员会在完成资格审查及技术标有效性审查后可开始答辩，具体答辩开始时间以评标委员会通知为准（具体通知时间以答辩开始前1小时通知为准）。未通过资格审查及技术标有效性审查的投标单位无需再参与答辩。</w:t>
      </w:r>
    </w:p>
    <w:p w14:paraId="5A0D71B0">
      <w:pPr>
        <w:widowControl/>
        <w:shd w:val="clear"/>
        <w:spacing w:line="336" w:lineRule="auto"/>
        <w:ind w:firstLine="420" w:firstLineChars="200"/>
        <w:rPr>
          <w:rFonts w:hint="eastAsia" w:ascii="宋体" w:hAnsi="宋体" w:eastAsia="宋体" w:cs="仿宋"/>
          <w:b w:val="0"/>
          <w:bCs w:val="0"/>
          <w:color w:val="auto"/>
          <w:kern w:val="0"/>
          <w:sz w:val="21"/>
          <w:szCs w:val="21"/>
          <w:highlight w:val="none"/>
          <w:lang w:val="en-US" w:eastAsia="zh-CN" w:bidi="ar"/>
        </w:rPr>
      </w:pPr>
      <w:r>
        <w:rPr>
          <w:rFonts w:hint="eastAsia" w:ascii="宋体" w:hAnsi="宋体" w:eastAsia="宋体" w:cs="仿宋"/>
          <w:b w:val="0"/>
          <w:bCs w:val="0"/>
          <w:color w:val="auto"/>
          <w:kern w:val="0"/>
          <w:sz w:val="21"/>
          <w:szCs w:val="21"/>
          <w:highlight w:val="none"/>
          <w:lang w:val="en-US" w:eastAsia="zh-CN" w:bidi="ar"/>
        </w:rPr>
        <w:t>（5）答辩形式与要求：答辩人员按要求进入答辩区域；答辩人员先陈述，评委针对陈述内容提问，由答辩人员进行解答。</w:t>
      </w:r>
    </w:p>
    <w:p w14:paraId="490769CA">
      <w:pPr>
        <w:widowControl/>
        <w:shd w:val="clear"/>
        <w:spacing w:line="336" w:lineRule="auto"/>
        <w:ind w:firstLine="420" w:firstLineChars="200"/>
        <w:rPr>
          <w:rFonts w:hint="eastAsia" w:ascii="宋体" w:hAnsi="宋体" w:eastAsia="宋体" w:cs="仿宋"/>
          <w:b w:val="0"/>
          <w:bCs w:val="0"/>
          <w:color w:val="auto"/>
          <w:kern w:val="0"/>
          <w:sz w:val="21"/>
          <w:szCs w:val="21"/>
          <w:highlight w:val="none"/>
          <w:lang w:val="en-US" w:eastAsia="zh-CN" w:bidi="ar"/>
        </w:rPr>
      </w:pPr>
      <w:r>
        <w:rPr>
          <w:rFonts w:hint="eastAsia" w:ascii="宋体" w:hAnsi="宋体" w:eastAsia="宋体" w:cs="仿宋"/>
          <w:b w:val="0"/>
          <w:bCs w:val="0"/>
          <w:color w:val="auto"/>
          <w:kern w:val="0"/>
          <w:sz w:val="21"/>
          <w:szCs w:val="21"/>
          <w:highlight w:val="none"/>
          <w:lang w:val="en-US" w:eastAsia="zh-CN" w:bidi="ar"/>
        </w:rPr>
        <w:t>（6）答辩时长控制：控制在10分钟内。</w:t>
      </w:r>
    </w:p>
    <w:p w14:paraId="7DE0542C">
      <w:pPr>
        <w:pStyle w:val="227"/>
        <w:tabs>
          <w:tab w:val="left" w:pos="6398"/>
        </w:tabs>
        <w:spacing w:line="336" w:lineRule="auto"/>
        <w:rPr>
          <w:rFonts w:hint="eastAsia" w:cs="仿宋"/>
          <w:b/>
          <w:bCs/>
          <w:color w:val="auto"/>
          <w:sz w:val="21"/>
          <w:szCs w:val="21"/>
          <w:highlight w:val="none"/>
        </w:rPr>
      </w:pPr>
      <w:r>
        <w:rPr>
          <w:rFonts w:hint="eastAsia" w:cs="仿宋"/>
          <w:b/>
          <w:bCs/>
          <w:color w:val="auto"/>
          <w:sz w:val="21"/>
          <w:szCs w:val="21"/>
          <w:highlight w:val="none"/>
          <w:lang w:val="en-US" w:eastAsia="zh-CN"/>
        </w:rPr>
        <w:t>6、</w:t>
      </w:r>
      <w:bookmarkStart w:id="183" w:name="OLE_LINK43"/>
      <w:r>
        <w:rPr>
          <w:rFonts w:hint="eastAsia" w:cs="仿宋"/>
          <w:b/>
          <w:bCs/>
          <w:color w:val="auto"/>
          <w:sz w:val="21"/>
          <w:szCs w:val="21"/>
          <w:highlight w:val="none"/>
          <w:lang w:val="en-US" w:eastAsia="zh-CN"/>
        </w:rPr>
        <w:t>工程总承包业绩包括勘察设计施工总承包或设计施工总承包或设计采购施工总承包或勘察设计采购施工总承包业绩。</w:t>
      </w:r>
    </w:p>
    <w:bookmarkEnd w:id="183"/>
    <w:p w14:paraId="59116D99">
      <w:pPr>
        <w:spacing w:line="336" w:lineRule="auto"/>
        <w:rPr>
          <w:rFonts w:hint="eastAsia" w:ascii="宋体" w:hAnsi="宋体" w:cs="仿宋"/>
          <w:b/>
          <w:bCs/>
          <w:color w:val="auto"/>
          <w:szCs w:val="21"/>
          <w:highlight w:val="none"/>
          <w:lang w:bidi="zh-TW"/>
        </w:rPr>
      </w:pPr>
      <w:r>
        <w:rPr>
          <w:rFonts w:hint="eastAsia" w:ascii="宋体" w:hAnsi="宋体" w:cs="仿宋"/>
          <w:b/>
          <w:bCs/>
          <w:color w:val="auto"/>
          <w:szCs w:val="21"/>
          <w:highlight w:val="none"/>
          <w:lang w:val="en-US" w:eastAsia="zh-CN"/>
        </w:rPr>
        <w:t>7</w:t>
      </w:r>
      <w:r>
        <w:rPr>
          <w:rFonts w:hint="eastAsia" w:ascii="宋体" w:hAnsi="宋体" w:cs="仿宋"/>
          <w:b/>
          <w:bCs/>
          <w:color w:val="auto"/>
          <w:szCs w:val="21"/>
          <w:highlight w:val="none"/>
        </w:rPr>
        <w:t>、投标人得分为各评委评分的算术平均值（若分数出现小数点时，保留小数点后二位，第三位小数四舍五入）。</w:t>
      </w:r>
    </w:p>
    <w:p w14:paraId="64CF3558">
      <w:pPr>
        <w:ind w:firstLine="422" w:firstLineChars="200"/>
        <w:rPr>
          <w:b/>
          <w:bCs/>
          <w:color w:val="auto"/>
          <w:sz w:val="24"/>
          <w:szCs w:val="24"/>
          <w:highlight w:val="none"/>
        </w:rPr>
      </w:pPr>
      <w:r>
        <w:rPr>
          <w:rFonts w:hint="eastAsia"/>
          <w:b/>
          <w:bCs/>
          <w:color w:val="auto"/>
          <w:szCs w:val="21"/>
          <w:highlight w:val="none"/>
        </w:rPr>
        <w:br w:type="page"/>
      </w:r>
      <w:r>
        <w:rPr>
          <w:rFonts w:hint="eastAsia"/>
          <w:b/>
          <w:bCs/>
          <w:color w:val="auto"/>
          <w:szCs w:val="21"/>
          <w:highlight w:val="none"/>
        </w:rPr>
        <w:t>附表五（适用于区间抽取法）</w:t>
      </w:r>
    </w:p>
    <w:p w14:paraId="39A75E5F">
      <w:pPr>
        <w:jc w:val="center"/>
        <w:rPr>
          <w:b/>
          <w:color w:val="auto"/>
          <w:sz w:val="36"/>
          <w:szCs w:val="36"/>
          <w:highlight w:val="none"/>
        </w:rPr>
      </w:pPr>
      <w:r>
        <w:rPr>
          <w:rFonts w:hint="eastAsia"/>
          <w:b/>
          <w:color w:val="auto"/>
          <w:sz w:val="36"/>
          <w:szCs w:val="36"/>
          <w:highlight w:val="none"/>
        </w:rPr>
        <w:t>经济标评分表</w:t>
      </w:r>
    </w:p>
    <w:p w14:paraId="6F503983">
      <w:pPr>
        <w:rPr>
          <w:color w:val="auto"/>
          <w:szCs w:val="21"/>
          <w:highlight w:val="none"/>
        </w:rPr>
      </w:pPr>
      <w:r>
        <w:rPr>
          <w:rFonts w:hint="eastAsia"/>
          <w:color w:val="auto"/>
          <w:szCs w:val="21"/>
          <w:highlight w:val="none"/>
        </w:rPr>
        <w:t>工程名称：</w:t>
      </w:r>
    </w:p>
    <w:tbl>
      <w:tblPr>
        <w:tblStyle w:val="3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34D7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2F46E12F">
            <w:pPr>
              <w:keepNext w:val="0"/>
              <w:keepLines w:val="0"/>
              <w:suppressLineNumbers w:val="0"/>
              <w:spacing w:before="0" w:beforeAutospacing="0" w:after="0" w:afterAutospacing="0"/>
              <w:ind w:left="0" w:right="0"/>
              <w:rPr>
                <w:rFonts w:hint="eastAsia" w:ascii="宋体" w:hAnsi="宋体" w:cs="Calibri"/>
                <w:color w:val="auto"/>
                <w:szCs w:val="21"/>
                <w:highlight w:val="none"/>
              </w:rPr>
            </w:pPr>
            <w:r>
              <w:rPr>
                <w:rFonts w:hint="eastAsia" w:ascii="宋体" w:hAnsi="宋体" w:cs="Calibri"/>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D51B59D">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91C5B35">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4DB27C5">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3DDA142">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9307B8">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5C26C31">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11722FC">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02F4EF">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5D90FFD">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4CE2BCB">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2A210E">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E247DEA">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r>
      <w:tr w14:paraId="38CF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DCC8CB9">
            <w:pPr>
              <w:keepNext w:val="0"/>
              <w:keepLines w:val="0"/>
              <w:suppressLineNumbers w:val="0"/>
              <w:spacing w:before="0" w:beforeAutospacing="0" w:after="0" w:afterAutospacing="0"/>
              <w:ind w:left="0" w:right="0"/>
              <w:rPr>
                <w:rFonts w:hint="eastAsia" w:ascii="宋体" w:hAnsi="宋体" w:cs="Calibri"/>
                <w:color w:val="auto"/>
                <w:szCs w:val="21"/>
                <w:highlight w:val="none"/>
              </w:rPr>
            </w:pPr>
            <w:r>
              <w:rPr>
                <w:rFonts w:hint="eastAsia" w:ascii="宋体" w:hAnsi="宋体" w:cs="Calibri"/>
                <w:color w:val="auto"/>
                <w:szCs w:val="21"/>
                <w:highlight w:val="none"/>
              </w:rPr>
              <w:t>投标报价</w:t>
            </w:r>
            <w:r>
              <w:rPr>
                <w:rFonts w:hint="default" w:ascii="宋体" w:hAnsi="宋体" w:cs="Calibri"/>
                <w:color w:val="auto"/>
                <w:szCs w:val="21"/>
                <w:highlight w:val="none"/>
              </w:rPr>
              <w:t>PT</w:t>
            </w:r>
            <w:r>
              <w:rPr>
                <w:rFonts w:hint="eastAsia" w:ascii="宋体" w:hAnsi="宋体" w:cs="Calibri"/>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ACD3746">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F9B36E0">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E5FA3D5">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F1C8B39">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A40001">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AEAF6E">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9E123FE">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C3555DF">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8D6D36B">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7FE412">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3E8206A">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11E0E00">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r>
      <w:tr w14:paraId="68F0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142EDA48">
            <w:pPr>
              <w:keepNext w:val="0"/>
              <w:keepLines w:val="0"/>
              <w:suppressLineNumbers w:val="0"/>
              <w:spacing w:before="0" w:beforeAutospacing="0" w:after="0" w:afterAutospacing="0"/>
              <w:ind w:left="0" w:right="0"/>
              <w:rPr>
                <w:rFonts w:hint="eastAsia" w:ascii="宋体" w:hAnsi="宋体" w:cs="Calibri"/>
                <w:color w:val="auto"/>
                <w:szCs w:val="21"/>
                <w:highlight w:val="none"/>
              </w:rPr>
            </w:pPr>
            <w:r>
              <w:rPr>
                <w:rFonts w:hint="eastAsia" w:ascii="宋体" w:hAnsi="宋体" w:cs="Calibri"/>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26CFDEA3">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r>
      <w:tr w14:paraId="07BF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5209DADE">
            <w:pPr>
              <w:keepNext w:val="0"/>
              <w:keepLines w:val="0"/>
              <w:suppressLineNumbers w:val="0"/>
              <w:spacing w:before="0" w:beforeAutospacing="0" w:after="0" w:afterAutospacing="0"/>
              <w:ind w:left="0" w:right="0"/>
              <w:rPr>
                <w:rFonts w:hint="eastAsia" w:ascii="宋体" w:hAnsi="宋体" w:cs="Calibri"/>
                <w:color w:val="auto"/>
                <w:szCs w:val="21"/>
                <w:highlight w:val="none"/>
              </w:rPr>
            </w:pPr>
            <w:r>
              <w:rPr>
                <w:rFonts w:hint="eastAsia" w:ascii="宋体" w:hAnsi="宋体" w:cs="Calibri"/>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7A8CF71C">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r>
      <w:tr w14:paraId="331C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7164145A">
            <w:pPr>
              <w:keepNext w:val="0"/>
              <w:keepLines w:val="0"/>
              <w:suppressLineNumbers w:val="0"/>
              <w:spacing w:before="0" w:beforeAutospacing="0" w:after="0" w:afterAutospacing="0"/>
              <w:ind w:left="0" w:right="0"/>
              <w:rPr>
                <w:rFonts w:hint="eastAsia" w:ascii="宋体" w:hAnsi="宋体" w:cs="Calibri"/>
                <w:color w:val="auto"/>
                <w:szCs w:val="21"/>
                <w:highlight w:val="none"/>
              </w:rPr>
            </w:pPr>
            <w:r>
              <w:rPr>
                <w:rFonts w:hint="eastAsia" w:ascii="宋体" w:hAnsi="宋体" w:cs="Calibri"/>
                <w:color w:val="auto"/>
                <w:szCs w:val="21"/>
                <w:highlight w:val="none"/>
              </w:rPr>
              <w:t>偏差（（</w:t>
            </w:r>
            <w:r>
              <w:rPr>
                <w:rFonts w:hint="default" w:ascii="宋体" w:hAnsi="宋体" w:cs="Calibri"/>
                <w:color w:val="auto"/>
                <w:szCs w:val="21"/>
                <w:highlight w:val="none"/>
              </w:rPr>
              <w:t>PT-PC</w:t>
            </w:r>
            <w:r>
              <w:rPr>
                <w:rFonts w:hint="eastAsia" w:ascii="宋体" w:hAnsi="宋体" w:cs="Calibri"/>
                <w:color w:val="auto"/>
                <w:szCs w:val="21"/>
                <w:highlight w:val="none"/>
              </w:rPr>
              <w:t>）</w:t>
            </w:r>
            <w:r>
              <w:rPr>
                <w:rFonts w:hint="default" w:ascii="宋体" w:hAnsi="宋体" w:cs="Calibri"/>
                <w:color w:val="auto"/>
                <w:szCs w:val="21"/>
                <w:highlight w:val="none"/>
              </w:rPr>
              <w:t>/PC</w:t>
            </w:r>
            <w:r>
              <w:rPr>
                <w:rFonts w:hint="eastAsia" w:ascii="宋体" w:hAnsi="宋体" w:cs="Calibri"/>
                <w:color w:val="auto"/>
                <w:szCs w:val="21"/>
                <w:highlight w:val="none"/>
              </w:rPr>
              <w:t>）（</w:t>
            </w:r>
            <w:r>
              <w:rPr>
                <w:rFonts w:hint="default" w:ascii="宋体" w:hAnsi="宋体" w:cs="Calibri"/>
                <w:color w:val="auto"/>
                <w:szCs w:val="21"/>
                <w:highlight w:val="none"/>
              </w:rPr>
              <w:t>%</w:t>
            </w:r>
            <w:r>
              <w:rPr>
                <w:rFonts w:hint="eastAsia" w:ascii="宋体" w:hAnsi="宋体" w:cs="Calibri"/>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9594873">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95E5CA6">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55DD9A2">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14AA4FC">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D71819A">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8624D8">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4546FD">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6F22BA">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57B8B80">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C1CB01">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F927D7E">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FF58A5A">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r>
      <w:tr w14:paraId="274E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62D33D4">
            <w:pPr>
              <w:keepNext w:val="0"/>
              <w:keepLines w:val="0"/>
              <w:suppressLineNumbers w:val="0"/>
              <w:spacing w:before="0" w:beforeAutospacing="0" w:after="0" w:afterAutospacing="0"/>
              <w:ind w:left="0" w:right="0"/>
              <w:rPr>
                <w:rFonts w:hint="eastAsia" w:ascii="宋体" w:hAnsi="宋体" w:cs="Calibri"/>
                <w:color w:val="auto"/>
                <w:szCs w:val="21"/>
                <w:highlight w:val="none"/>
              </w:rPr>
            </w:pPr>
            <w:r>
              <w:rPr>
                <w:rFonts w:hint="eastAsia" w:ascii="宋体" w:hAnsi="宋体" w:cs="Calibri"/>
                <w:color w:val="auto"/>
                <w:szCs w:val="21"/>
                <w:highlight w:val="none"/>
              </w:rPr>
              <w:t>减分（</w:t>
            </w:r>
            <w:r>
              <w:rPr>
                <w:rFonts w:hint="default" w:ascii="宋体" w:hAnsi="宋体" w:cs="Calibri"/>
                <w:color w:val="auto"/>
                <w:szCs w:val="21"/>
                <w:highlight w:val="none"/>
              </w:rPr>
              <w:t>A</w:t>
            </w:r>
            <w:r>
              <w:rPr>
                <w:rFonts w:hint="eastAsia" w:ascii="宋体" w:hAnsi="宋体" w:cs="Calibri"/>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65294E">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25C983">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6C31F98">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F84248">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06E06D8">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FE8E55B">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B3D74AC">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A9EB5D8">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F645FB">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AD00168">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7E5BD4B">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5826E62">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r>
      <w:tr w14:paraId="2D00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067B2458">
            <w:pPr>
              <w:keepNext w:val="0"/>
              <w:keepLines w:val="0"/>
              <w:suppressLineNumbers w:val="0"/>
              <w:spacing w:before="0" w:beforeAutospacing="0" w:after="0" w:afterAutospacing="0"/>
              <w:ind w:left="0" w:right="0"/>
              <w:rPr>
                <w:rFonts w:hint="eastAsia" w:ascii="宋体" w:hAnsi="宋体" w:cs="Calibri"/>
                <w:color w:val="auto"/>
                <w:szCs w:val="21"/>
                <w:highlight w:val="none"/>
              </w:rPr>
            </w:pPr>
            <w:r>
              <w:rPr>
                <w:rFonts w:hint="eastAsia" w:ascii="宋体" w:hAnsi="宋体" w:cs="Calibri"/>
                <w:color w:val="auto"/>
                <w:szCs w:val="21"/>
                <w:highlight w:val="none"/>
              </w:rPr>
              <w:t>得分</w:t>
            </w:r>
            <w:r>
              <w:rPr>
                <w:rFonts w:hint="default" w:ascii="宋体" w:hAnsi="宋体" w:cs="Calibri"/>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62070AE">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DE27617">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A0D54CF">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7B41E25">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A4D6C9F">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E6C8DF">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0911AE5">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AE41815">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14CEFA1">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F8B7A9A">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575B32D">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5D8D9ED">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r>
      <w:tr w14:paraId="1265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5460B3B0">
            <w:pPr>
              <w:keepNext w:val="0"/>
              <w:keepLines w:val="0"/>
              <w:suppressLineNumbers w:val="0"/>
              <w:spacing w:before="0" w:beforeAutospacing="0" w:after="0" w:afterAutospacing="0"/>
              <w:ind w:left="0" w:right="0"/>
              <w:rPr>
                <w:rFonts w:hint="eastAsia" w:ascii="宋体" w:hAnsi="宋体" w:cs="Calibri"/>
                <w:color w:val="auto"/>
                <w:szCs w:val="21"/>
                <w:highlight w:val="none"/>
              </w:rPr>
            </w:pPr>
            <w:r>
              <w:rPr>
                <w:rFonts w:hint="eastAsia" w:ascii="宋体" w:hAnsi="宋体" w:cs="Calibri"/>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416B31D">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F1C7D6E">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DAF7FF">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76D554">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D248737">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B6F61F8">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E3D0EC7">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2BA97A">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EC25AAD">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3508736">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8D2768">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12CD17A">
            <w:pPr>
              <w:keepNext w:val="0"/>
              <w:keepLines w:val="0"/>
              <w:suppressLineNumbers w:val="0"/>
              <w:spacing w:before="0" w:beforeAutospacing="0" w:after="0" w:afterAutospacing="0"/>
              <w:ind w:left="0" w:right="0"/>
              <w:rPr>
                <w:rFonts w:hint="eastAsia" w:ascii="宋体" w:hAnsi="宋体" w:cs="Calibri"/>
                <w:color w:val="auto"/>
                <w:szCs w:val="21"/>
                <w:highlight w:val="none"/>
              </w:rPr>
            </w:pPr>
          </w:p>
        </w:tc>
      </w:tr>
    </w:tbl>
    <w:p w14:paraId="20939B25">
      <w:pPr>
        <w:rPr>
          <w:color w:val="auto"/>
          <w:szCs w:val="21"/>
          <w:highlight w:val="none"/>
        </w:rPr>
      </w:pPr>
      <w:r>
        <w:rPr>
          <w:rFonts w:hint="eastAsia"/>
          <w:color w:val="auto"/>
          <w:szCs w:val="21"/>
          <w:highlight w:val="none"/>
        </w:rPr>
        <w:t>评委签名：</w:t>
      </w:r>
    </w:p>
    <w:p w14:paraId="498FDB8D">
      <w:pPr>
        <w:rPr>
          <w:b/>
          <w:bCs/>
          <w:strike/>
          <w:dstrike w:val="0"/>
          <w:color w:val="auto"/>
          <w:szCs w:val="21"/>
          <w:highlight w:val="none"/>
        </w:rPr>
      </w:pPr>
      <w:r>
        <w:rPr>
          <w:b/>
          <w:color w:val="auto"/>
          <w:sz w:val="36"/>
          <w:szCs w:val="36"/>
          <w:highlight w:val="none"/>
        </w:rPr>
        <w:br w:type="page"/>
      </w:r>
      <w:r>
        <w:rPr>
          <w:rFonts w:hint="eastAsia"/>
          <w:b/>
          <w:bCs/>
          <w:strike/>
          <w:dstrike w:val="0"/>
          <w:color w:val="auto"/>
          <w:szCs w:val="21"/>
          <w:highlight w:val="none"/>
        </w:rPr>
        <w:t>附表六</w:t>
      </w:r>
    </w:p>
    <w:p w14:paraId="347D92F6">
      <w:pPr>
        <w:jc w:val="center"/>
        <w:rPr>
          <w:b/>
          <w:strike/>
          <w:dstrike w:val="0"/>
          <w:color w:val="auto"/>
          <w:sz w:val="36"/>
          <w:szCs w:val="36"/>
          <w:highlight w:val="none"/>
        </w:rPr>
      </w:pPr>
      <w:r>
        <w:rPr>
          <w:rFonts w:hint="eastAsia"/>
          <w:b/>
          <w:strike/>
          <w:dstrike w:val="0"/>
          <w:color w:val="auto"/>
          <w:sz w:val="36"/>
          <w:szCs w:val="36"/>
          <w:highlight w:val="none"/>
        </w:rPr>
        <w:t>算术复核表</w:t>
      </w:r>
    </w:p>
    <w:p w14:paraId="767FCAD1">
      <w:pPr>
        <w:rPr>
          <w:rFonts w:hint="eastAsia" w:ascii="宋体" w:hAnsi="宋体"/>
          <w:strike/>
          <w:dstrike w:val="0"/>
          <w:color w:val="auto"/>
          <w:kern w:val="0"/>
          <w:szCs w:val="21"/>
          <w:highlight w:val="none"/>
        </w:rPr>
      </w:pPr>
      <w:r>
        <w:rPr>
          <w:rFonts w:hint="eastAsia"/>
          <w:strike/>
          <w:dstrike w:val="0"/>
          <w:color w:val="auto"/>
          <w:kern w:val="0"/>
          <w:szCs w:val="21"/>
          <w:highlight w:val="none"/>
        </w:rPr>
        <w:t xml:space="preserve">工程名称：                                    </w:t>
      </w:r>
      <w:r>
        <w:rPr>
          <w:rFonts w:hint="eastAsia" w:ascii="宋体" w:hAnsi="宋体"/>
          <w:strike/>
          <w:dstrike w:val="0"/>
          <w:color w:val="auto"/>
          <w:kern w:val="0"/>
          <w:szCs w:val="21"/>
          <w:highlight w:val="none"/>
        </w:rPr>
        <w:t>投标人</w:t>
      </w:r>
      <w:r>
        <w:rPr>
          <w:rFonts w:ascii="宋体" w:hAnsi="宋体"/>
          <w:strike/>
          <w:dstrike w:val="0"/>
          <w:color w:val="auto"/>
          <w:kern w:val="0"/>
          <w:szCs w:val="21"/>
          <w:highlight w:val="none"/>
        </w:rPr>
        <w:t xml:space="preserve">:                                                  </w:t>
      </w:r>
      <w:r>
        <w:rPr>
          <w:rFonts w:hint="eastAsia" w:ascii="宋体" w:hAnsi="宋体"/>
          <w:strike/>
          <w:dstrike w:val="0"/>
          <w:color w:val="auto"/>
          <w:kern w:val="0"/>
          <w:szCs w:val="21"/>
          <w:highlight w:val="none"/>
        </w:rPr>
        <w:t>单位：元</w:t>
      </w:r>
    </w:p>
    <w:tbl>
      <w:tblPr>
        <w:tblStyle w:val="39"/>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67F3A952">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6B982553">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755F9EC2">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557FE42E">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修正前投标</w:t>
            </w:r>
          </w:p>
          <w:p w14:paraId="445EFD87">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报价</w:t>
            </w:r>
            <w:r>
              <w:rPr>
                <w:rFonts w:hint="default" w:ascii="宋体" w:hAnsi="宋体" w:cs="Calibri"/>
                <w:strike/>
                <w:dstrike w:val="0"/>
                <w:color w:val="auto"/>
                <w:kern w:val="0"/>
                <w:szCs w:val="21"/>
                <w:highlight w:val="none"/>
              </w:rPr>
              <w:t>A</w:t>
            </w:r>
          </w:p>
        </w:tc>
        <w:tc>
          <w:tcPr>
            <w:tcW w:w="1575" w:type="dxa"/>
            <w:tcBorders>
              <w:top w:val="single" w:color="auto" w:sz="4" w:space="0"/>
              <w:left w:val="nil"/>
              <w:bottom w:val="single" w:color="auto" w:sz="4" w:space="0"/>
              <w:right w:val="single" w:color="auto" w:sz="4" w:space="0"/>
            </w:tcBorders>
            <w:noWrap w:val="0"/>
            <w:vAlign w:val="center"/>
          </w:tcPr>
          <w:p w14:paraId="513EE4C1">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修正后投标</w:t>
            </w:r>
          </w:p>
          <w:p w14:paraId="47E0A141">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报价</w:t>
            </w:r>
            <w:r>
              <w:rPr>
                <w:rFonts w:hint="default" w:ascii="宋体" w:hAnsi="宋体" w:cs="Calibri"/>
                <w:strike/>
                <w:dstrike w:val="0"/>
                <w:color w:val="auto"/>
                <w:kern w:val="0"/>
                <w:szCs w:val="21"/>
                <w:highlight w:val="none"/>
              </w:rPr>
              <w:t>B</w:t>
            </w:r>
          </w:p>
        </w:tc>
        <w:tc>
          <w:tcPr>
            <w:tcW w:w="1575" w:type="dxa"/>
            <w:tcBorders>
              <w:top w:val="single" w:color="auto" w:sz="4" w:space="0"/>
              <w:left w:val="nil"/>
              <w:bottom w:val="single" w:color="auto" w:sz="4" w:space="0"/>
              <w:right w:val="single" w:color="auto" w:sz="4" w:space="0"/>
            </w:tcBorders>
            <w:noWrap w:val="0"/>
            <w:vAlign w:val="center"/>
          </w:tcPr>
          <w:p w14:paraId="0873C859">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修正率</w:t>
            </w:r>
          </w:p>
          <w:p w14:paraId="65FB4CF1">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default" w:ascii="宋体" w:hAnsi="宋体" w:cs="Calibri"/>
                <w:strike/>
                <w:dstrike w:val="0"/>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14:paraId="2B685462">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364B5097">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当</w:t>
            </w:r>
            <w:r>
              <w:rPr>
                <w:rFonts w:hint="default" w:ascii="宋体" w:hAnsi="宋体" w:cs="Calibri"/>
                <w:strike/>
                <w:dstrike w:val="0"/>
                <w:color w:val="auto"/>
                <w:kern w:val="0"/>
                <w:szCs w:val="21"/>
                <w:highlight w:val="none"/>
              </w:rPr>
              <w:t>B&gt;A</w:t>
            </w:r>
            <w:r>
              <w:rPr>
                <w:rFonts w:hint="eastAsia" w:ascii="宋体" w:hAnsi="宋体" w:cs="Calibri"/>
                <w:strike/>
                <w:dstrike w:val="0"/>
                <w:color w:val="auto"/>
                <w:kern w:val="0"/>
                <w:szCs w:val="21"/>
                <w:highlight w:val="none"/>
              </w:rPr>
              <w:t>时，修正后报价与原报价的差额；当</w:t>
            </w:r>
            <w:r>
              <w:rPr>
                <w:rFonts w:hint="default" w:ascii="宋体" w:hAnsi="宋体" w:cs="Calibri"/>
                <w:strike/>
                <w:dstrike w:val="0"/>
                <w:color w:val="auto"/>
                <w:kern w:val="0"/>
                <w:szCs w:val="21"/>
                <w:highlight w:val="none"/>
              </w:rPr>
              <w:t>B</w:t>
            </w:r>
            <w:r>
              <w:rPr>
                <w:rFonts w:hint="eastAsia" w:ascii="宋体" w:hAnsi="宋体" w:cs="Calibri"/>
                <w:strike/>
                <w:dstrike w:val="0"/>
                <w:color w:val="auto"/>
                <w:kern w:val="0"/>
                <w:szCs w:val="21"/>
                <w:highlight w:val="none"/>
              </w:rPr>
              <w:t>≤</w:t>
            </w:r>
            <w:r>
              <w:rPr>
                <w:rFonts w:hint="default" w:ascii="宋体" w:hAnsi="宋体" w:cs="Calibri"/>
                <w:strike/>
                <w:dstrike w:val="0"/>
                <w:color w:val="auto"/>
                <w:kern w:val="0"/>
                <w:szCs w:val="21"/>
                <w:highlight w:val="none"/>
              </w:rPr>
              <w:t>A</w:t>
            </w:r>
            <w:r>
              <w:rPr>
                <w:rFonts w:hint="eastAsia" w:ascii="宋体" w:hAnsi="宋体" w:cs="Calibri"/>
                <w:strike/>
                <w:dstrike w:val="0"/>
                <w:color w:val="auto"/>
                <w:kern w:val="0"/>
                <w:szCs w:val="21"/>
                <w:highlight w:val="none"/>
              </w:rPr>
              <w:t>时</w:t>
            </w:r>
            <w:r>
              <w:rPr>
                <w:rFonts w:hint="default" w:ascii="宋体" w:hAnsi="宋体" w:cs="Calibri"/>
                <w:strike/>
                <w:dstrike w:val="0"/>
                <w:color w:val="auto"/>
                <w:kern w:val="0"/>
                <w:szCs w:val="21"/>
                <w:highlight w:val="none"/>
              </w:rPr>
              <w:t>,R=0</w:t>
            </w:r>
          </w:p>
        </w:tc>
      </w:tr>
      <w:tr w14:paraId="5D92504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6BA6C35">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default" w:ascii="宋体" w:hAnsi="宋体" w:cs="Calibri"/>
                <w:strike/>
                <w:dstrike w:val="0"/>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4CC1179C">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default" w:ascii="宋体" w:hAnsi="宋体" w:cs="Calibri"/>
                <w:strike/>
                <w:dstrike w:val="0"/>
                <w:color w:val="auto"/>
                <w:kern w:val="0"/>
                <w:szCs w:val="21"/>
                <w:highlight w:val="none"/>
              </w:rPr>
              <w:t>[</w:t>
            </w:r>
            <w:r>
              <w:rPr>
                <w:rFonts w:hint="eastAsia" w:ascii="宋体" w:hAnsi="宋体" w:cs="Calibri"/>
                <w:strike/>
                <w:dstrike w:val="0"/>
                <w:color w:val="auto"/>
                <w:kern w:val="0"/>
                <w:szCs w:val="21"/>
                <w:highlight w:val="none"/>
              </w:rPr>
              <w:t>单位工程</w:t>
            </w:r>
            <w:r>
              <w:rPr>
                <w:rFonts w:hint="default" w:ascii="宋体" w:hAnsi="宋体" w:cs="Calibri"/>
                <w:strike/>
                <w:dstrike w:val="0"/>
                <w:color w:val="auto"/>
                <w:kern w:val="0"/>
                <w:szCs w:val="21"/>
                <w:highlight w:val="none"/>
              </w:rPr>
              <w:t>1]</w:t>
            </w:r>
          </w:p>
        </w:tc>
        <w:tc>
          <w:tcPr>
            <w:tcW w:w="1602" w:type="dxa"/>
            <w:tcBorders>
              <w:top w:val="nil"/>
              <w:left w:val="nil"/>
              <w:bottom w:val="single" w:color="auto" w:sz="4" w:space="0"/>
              <w:right w:val="single" w:color="auto" w:sz="4" w:space="0"/>
            </w:tcBorders>
            <w:noWrap w:val="0"/>
            <w:vAlign w:val="center"/>
          </w:tcPr>
          <w:p w14:paraId="5C7E94B8">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3831D11">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6149F560">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3DA84353">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3DDB647D">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p>
        </w:tc>
      </w:tr>
      <w:tr w14:paraId="4764CD3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CEA0F1F">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default" w:ascii="宋体" w:hAnsi="宋体" w:cs="Calibri"/>
                <w:strike/>
                <w:dstrike w:val="0"/>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02D028C0">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default" w:ascii="宋体" w:hAnsi="宋体" w:cs="Calibri"/>
                <w:strike/>
                <w:dstrike w:val="0"/>
                <w:color w:val="auto"/>
                <w:kern w:val="0"/>
                <w:szCs w:val="21"/>
                <w:highlight w:val="none"/>
              </w:rPr>
              <w:t>[</w:t>
            </w:r>
            <w:r>
              <w:rPr>
                <w:rFonts w:hint="eastAsia" w:ascii="宋体" w:hAnsi="宋体" w:cs="Calibri"/>
                <w:strike/>
                <w:dstrike w:val="0"/>
                <w:color w:val="auto"/>
                <w:kern w:val="0"/>
                <w:szCs w:val="21"/>
                <w:highlight w:val="none"/>
              </w:rPr>
              <w:t>单位工程</w:t>
            </w:r>
            <w:r>
              <w:rPr>
                <w:rFonts w:hint="default" w:ascii="宋体" w:hAnsi="宋体" w:cs="Calibri"/>
                <w:strike/>
                <w:dstrike w:val="0"/>
                <w:color w:val="auto"/>
                <w:kern w:val="0"/>
                <w:szCs w:val="21"/>
                <w:highlight w:val="none"/>
              </w:rPr>
              <w:t>2]</w:t>
            </w:r>
          </w:p>
        </w:tc>
        <w:tc>
          <w:tcPr>
            <w:tcW w:w="1602" w:type="dxa"/>
            <w:tcBorders>
              <w:top w:val="nil"/>
              <w:left w:val="nil"/>
              <w:bottom w:val="single" w:color="auto" w:sz="4" w:space="0"/>
              <w:right w:val="single" w:color="auto" w:sz="4" w:space="0"/>
            </w:tcBorders>
            <w:noWrap w:val="0"/>
            <w:vAlign w:val="center"/>
          </w:tcPr>
          <w:p w14:paraId="5EF6ED99">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68317D29">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A44D3F7">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7EA9DB2F">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A6C9D9C">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p>
        </w:tc>
      </w:tr>
      <w:tr w14:paraId="5C5F6B7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727A5C0">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0634889A">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57C61D76">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5AC3227">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7EDAFC04">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143BC5D2">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21B5E66B">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p>
        </w:tc>
      </w:tr>
      <w:tr w14:paraId="7CE01A6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BE3B1E3">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59866104">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4198373A">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3C395019">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F4752B4">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58657C51">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43CAE99D">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p>
        </w:tc>
      </w:tr>
      <w:tr w14:paraId="5AD422F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7FDDE0D5">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5EEB97E3">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0C9D0298">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EFF1ECF">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6E703959">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7D12033E">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2AB7BA1D">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p>
        </w:tc>
      </w:tr>
      <w:tr w14:paraId="25983AF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31EB8E1">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default" w:ascii="宋体" w:hAnsi="宋体" w:cs="Calibri"/>
                <w:strike/>
                <w:dstrike w:val="0"/>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2D669177">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default" w:ascii="宋体" w:hAnsi="宋体" w:cs="Calibri"/>
                <w:strike/>
                <w:dstrike w:val="0"/>
                <w:color w:val="auto"/>
                <w:kern w:val="0"/>
                <w:szCs w:val="21"/>
                <w:highlight w:val="none"/>
              </w:rPr>
              <w:t>[</w:t>
            </w:r>
            <w:r>
              <w:rPr>
                <w:rFonts w:hint="eastAsia" w:ascii="宋体" w:hAnsi="宋体" w:cs="Calibri"/>
                <w:strike/>
                <w:dstrike w:val="0"/>
                <w:color w:val="auto"/>
                <w:kern w:val="0"/>
                <w:szCs w:val="21"/>
                <w:highlight w:val="none"/>
              </w:rPr>
              <w:t>单位工程</w:t>
            </w:r>
            <w:r>
              <w:rPr>
                <w:rFonts w:hint="default" w:ascii="宋体" w:hAnsi="宋体" w:cs="Calibri"/>
                <w:strike/>
                <w:dstrike w:val="0"/>
                <w:color w:val="auto"/>
                <w:kern w:val="0"/>
                <w:szCs w:val="21"/>
                <w:highlight w:val="none"/>
              </w:rPr>
              <w:t>n]</w:t>
            </w:r>
          </w:p>
        </w:tc>
        <w:tc>
          <w:tcPr>
            <w:tcW w:w="1602" w:type="dxa"/>
            <w:tcBorders>
              <w:top w:val="nil"/>
              <w:left w:val="nil"/>
              <w:bottom w:val="single" w:color="auto" w:sz="4" w:space="0"/>
              <w:right w:val="single" w:color="auto" w:sz="4" w:space="0"/>
            </w:tcBorders>
            <w:noWrap w:val="0"/>
            <w:vAlign w:val="center"/>
          </w:tcPr>
          <w:p w14:paraId="5D6761F6">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67D730A4">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5BBFFDDA">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77BE1843">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1B17DD5A">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p>
        </w:tc>
      </w:tr>
      <w:tr w14:paraId="359088A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4274AD25">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7E91C901">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14:paraId="783D8DB6">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5AAB6262">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781F00C8">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0DF1295E">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60CE0D60">
            <w:pPr>
              <w:keepNext w:val="0"/>
              <w:keepLines w:val="0"/>
              <w:suppressLineNumbers w:val="0"/>
              <w:spacing w:before="0" w:beforeAutospacing="0" w:after="0" w:afterAutospacing="0"/>
              <w:ind w:left="0" w:right="0"/>
              <w:rPr>
                <w:rFonts w:hint="eastAsia" w:ascii="宋体" w:hAnsi="宋体" w:cs="Calibri"/>
                <w:strike/>
                <w:dstrike w:val="0"/>
                <w:color w:val="auto"/>
                <w:kern w:val="0"/>
                <w:szCs w:val="21"/>
                <w:highlight w:val="none"/>
              </w:rPr>
            </w:pPr>
            <w:r>
              <w:rPr>
                <w:rFonts w:hint="eastAsia" w:ascii="宋体" w:hAnsi="宋体" w:cs="Calibri"/>
                <w:strike/>
                <w:dstrike w:val="0"/>
                <w:color w:val="auto"/>
                <w:kern w:val="0"/>
                <w:szCs w:val="21"/>
                <w:highlight w:val="none"/>
              </w:rPr>
              <w:t>∑</w:t>
            </w:r>
            <w:r>
              <w:rPr>
                <w:rFonts w:hint="default" w:ascii="宋体" w:hAnsi="宋体" w:cs="Calibri"/>
                <w:strike/>
                <w:dstrike w:val="0"/>
                <w:color w:val="auto"/>
                <w:kern w:val="0"/>
                <w:szCs w:val="21"/>
                <w:highlight w:val="none"/>
              </w:rPr>
              <w:t>A=A</w:t>
            </w:r>
            <w:r>
              <w:rPr>
                <w:rFonts w:hint="default" w:ascii="宋体" w:hAnsi="宋体" w:cs="Calibri"/>
                <w:strike/>
                <w:dstrike w:val="0"/>
                <w:color w:val="auto"/>
                <w:kern w:val="0"/>
                <w:szCs w:val="21"/>
                <w:highlight w:val="none"/>
                <w:vertAlign w:val="subscript"/>
              </w:rPr>
              <w:t>1</w:t>
            </w:r>
            <w:r>
              <w:rPr>
                <w:rFonts w:hint="default" w:ascii="宋体" w:hAnsi="宋体" w:cs="Calibri"/>
                <w:strike/>
                <w:dstrike w:val="0"/>
                <w:color w:val="auto"/>
                <w:kern w:val="0"/>
                <w:szCs w:val="21"/>
                <w:highlight w:val="none"/>
              </w:rPr>
              <w:t>+A</w:t>
            </w:r>
            <w:r>
              <w:rPr>
                <w:rFonts w:hint="default" w:ascii="宋体" w:hAnsi="宋体" w:cs="Calibri"/>
                <w:strike/>
                <w:dstrike w:val="0"/>
                <w:color w:val="auto"/>
                <w:kern w:val="0"/>
                <w:szCs w:val="21"/>
                <w:highlight w:val="none"/>
                <w:vertAlign w:val="subscript"/>
              </w:rPr>
              <w:t>2</w:t>
            </w:r>
            <w:r>
              <w:rPr>
                <w:rFonts w:hint="default" w:ascii="宋体" w:hAnsi="宋体" w:cs="Calibri"/>
                <w:strike/>
                <w:dstrike w:val="0"/>
                <w:color w:val="auto"/>
                <w:kern w:val="0"/>
                <w:szCs w:val="21"/>
                <w:highlight w:val="none"/>
              </w:rPr>
              <w:t>+</w:t>
            </w:r>
            <w:r>
              <w:rPr>
                <w:rFonts w:hint="eastAsia" w:ascii="宋体" w:hAnsi="宋体" w:cs="Calibri"/>
                <w:strike/>
                <w:dstrike w:val="0"/>
                <w:color w:val="auto"/>
                <w:kern w:val="0"/>
                <w:szCs w:val="21"/>
                <w:highlight w:val="none"/>
              </w:rPr>
              <w:t>…</w:t>
            </w:r>
            <w:r>
              <w:rPr>
                <w:rFonts w:hint="default" w:ascii="宋体" w:hAnsi="宋体" w:cs="Calibri"/>
                <w:strike/>
                <w:dstrike w:val="0"/>
                <w:color w:val="auto"/>
                <w:kern w:val="0"/>
                <w:szCs w:val="21"/>
                <w:highlight w:val="none"/>
              </w:rPr>
              <w:t>An</w:t>
            </w:r>
            <w:r>
              <w:rPr>
                <w:rFonts w:hint="eastAsia" w:ascii="宋体" w:hAnsi="宋体" w:cs="Calibri"/>
                <w:strike/>
                <w:dstrike w:val="0"/>
                <w:color w:val="auto"/>
                <w:kern w:val="0"/>
                <w:szCs w:val="21"/>
                <w:highlight w:val="none"/>
              </w:rPr>
              <w:t>；∑</w:t>
            </w:r>
            <w:r>
              <w:rPr>
                <w:rFonts w:hint="default" w:ascii="宋体" w:hAnsi="宋体" w:cs="Calibri"/>
                <w:strike/>
                <w:dstrike w:val="0"/>
                <w:color w:val="auto"/>
                <w:kern w:val="0"/>
                <w:szCs w:val="21"/>
                <w:highlight w:val="none"/>
              </w:rPr>
              <w:t>B=B</w:t>
            </w:r>
            <w:r>
              <w:rPr>
                <w:rFonts w:hint="default" w:ascii="宋体" w:hAnsi="宋体" w:cs="Calibri"/>
                <w:strike/>
                <w:dstrike w:val="0"/>
                <w:color w:val="auto"/>
                <w:kern w:val="0"/>
                <w:szCs w:val="21"/>
                <w:highlight w:val="none"/>
                <w:vertAlign w:val="subscript"/>
              </w:rPr>
              <w:t>1</w:t>
            </w:r>
            <w:r>
              <w:rPr>
                <w:rFonts w:hint="default" w:ascii="宋体" w:hAnsi="宋体" w:cs="Calibri"/>
                <w:strike/>
                <w:dstrike w:val="0"/>
                <w:color w:val="auto"/>
                <w:kern w:val="0"/>
                <w:szCs w:val="21"/>
                <w:highlight w:val="none"/>
              </w:rPr>
              <w:t>+B</w:t>
            </w:r>
            <w:r>
              <w:rPr>
                <w:rFonts w:hint="default" w:ascii="宋体" w:hAnsi="宋体" w:cs="Calibri"/>
                <w:strike/>
                <w:dstrike w:val="0"/>
                <w:color w:val="auto"/>
                <w:kern w:val="0"/>
                <w:szCs w:val="21"/>
                <w:highlight w:val="none"/>
                <w:vertAlign w:val="subscript"/>
              </w:rPr>
              <w:t>2</w:t>
            </w:r>
            <w:r>
              <w:rPr>
                <w:rFonts w:hint="default" w:ascii="宋体" w:hAnsi="宋体" w:cs="Calibri"/>
                <w:strike/>
                <w:dstrike w:val="0"/>
                <w:color w:val="auto"/>
                <w:kern w:val="0"/>
                <w:szCs w:val="21"/>
                <w:highlight w:val="none"/>
              </w:rPr>
              <w:t>+</w:t>
            </w:r>
            <w:r>
              <w:rPr>
                <w:rFonts w:hint="eastAsia" w:ascii="宋体" w:hAnsi="宋体" w:cs="Calibri"/>
                <w:strike/>
                <w:dstrike w:val="0"/>
                <w:color w:val="auto"/>
                <w:kern w:val="0"/>
                <w:szCs w:val="21"/>
                <w:highlight w:val="none"/>
              </w:rPr>
              <w:t>…</w:t>
            </w:r>
            <w:r>
              <w:rPr>
                <w:rFonts w:hint="default" w:ascii="宋体" w:hAnsi="宋体" w:cs="Calibri"/>
                <w:strike/>
                <w:dstrike w:val="0"/>
                <w:color w:val="auto"/>
                <w:kern w:val="0"/>
                <w:szCs w:val="21"/>
                <w:highlight w:val="none"/>
              </w:rPr>
              <w:t>Bn</w:t>
            </w:r>
          </w:p>
        </w:tc>
      </w:tr>
    </w:tbl>
    <w:p w14:paraId="687C0BA5">
      <w:pPr>
        <w:rPr>
          <w:rFonts w:cs="宋体"/>
          <w:strike/>
          <w:dstrike w:val="0"/>
          <w:color w:val="auto"/>
          <w:kern w:val="0"/>
          <w:szCs w:val="21"/>
          <w:highlight w:val="none"/>
        </w:rPr>
      </w:pPr>
      <w:r>
        <w:rPr>
          <w:rFonts w:hint="eastAsia" w:cs="宋体"/>
          <w:strike/>
          <w:dstrike w:val="0"/>
          <w:color w:val="auto"/>
          <w:kern w:val="0"/>
          <w:szCs w:val="21"/>
          <w:highlight w:val="none"/>
        </w:rPr>
        <w:t>修正原则：</w:t>
      </w:r>
      <w:r>
        <w:rPr>
          <w:rFonts w:hint="eastAsia"/>
          <w:strike/>
          <w:dstrike w:val="0"/>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strike/>
          <w:dstrike w:val="0"/>
          <w:color w:val="auto"/>
          <w:kern w:val="0"/>
          <w:szCs w:val="21"/>
          <w:highlight w:val="none"/>
        </w:rPr>
        <w:tab/>
      </w:r>
    </w:p>
    <w:p w14:paraId="20D7BE2F">
      <w:pPr>
        <w:rPr>
          <w:strike/>
          <w:dstrike w:val="0"/>
          <w:color w:val="auto"/>
          <w:kern w:val="0"/>
          <w:szCs w:val="21"/>
          <w:highlight w:val="none"/>
        </w:rPr>
      </w:pPr>
    </w:p>
    <w:p w14:paraId="1B171245">
      <w:pPr>
        <w:rPr>
          <w:strike/>
          <w:dstrike w:val="0"/>
          <w:color w:val="auto"/>
          <w:kern w:val="0"/>
          <w:szCs w:val="21"/>
          <w:highlight w:val="none"/>
        </w:rPr>
      </w:pPr>
      <w:r>
        <w:rPr>
          <w:rFonts w:hint="eastAsia"/>
          <w:strike/>
          <w:dstrike w:val="0"/>
          <w:color w:val="auto"/>
          <w:kern w:val="0"/>
          <w:szCs w:val="21"/>
          <w:highlight w:val="none"/>
        </w:rPr>
        <w:t>评委签名：</w:t>
      </w:r>
      <w:r>
        <w:rPr>
          <w:strike/>
          <w:dstrike w:val="0"/>
          <w:color w:val="auto"/>
          <w:kern w:val="0"/>
          <w:szCs w:val="21"/>
          <w:highlight w:val="none"/>
        </w:rPr>
        <w:tab/>
      </w:r>
      <w:r>
        <w:rPr>
          <w:strike/>
          <w:dstrike w:val="0"/>
          <w:color w:val="auto"/>
          <w:kern w:val="0"/>
          <w:szCs w:val="21"/>
          <w:highlight w:val="none"/>
        </w:rPr>
        <w:tab/>
      </w:r>
      <w:r>
        <w:rPr>
          <w:strike/>
          <w:dstrike w:val="0"/>
          <w:color w:val="auto"/>
          <w:kern w:val="0"/>
          <w:szCs w:val="21"/>
          <w:highlight w:val="none"/>
        </w:rPr>
        <w:tab/>
      </w:r>
      <w:r>
        <w:rPr>
          <w:strike/>
          <w:dstrike w:val="0"/>
          <w:color w:val="auto"/>
          <w:kern w:val="0"/>
          <w:szCs w:val="21"/>
          <w:highlight w:val="none"/>
        </w:rPr>
        <w:tab/>
      </w:r>
      <w:r>
        <w:rPr>
          <w:strike/>
          <w:dstrike w:val="0"/>
          <w:color w:val="auto"/>
          <w:kern w:val="0"/>
          <w:szCs w:val="21"/>
          <w:highlight w:val="none"/>
        </w:rPr>
        <w:tab/>
      </w:r>
      <w:r>
        <w:rPr>
          <w:rFonts w:hint="eastAsia"/>
          <w:strike/>
          <w:dstrike w:val="0"/>
          <w:color w:val="auto"/>
          <w:kern w:val="0"/>
          <w:szCs w:val="21"/>
          <w:highlight w:val="none"/>
        </w:rPr>
        <w:t>日期：</w:t>
      </w:r>
    </w:p>
    <w:p w14:paraId="21D323FB">
      <w:pPr>
        <w:rPr>
          <w:strike/>
          <w:dstrike w:val="0"/>
          <w:color w:val="auto"/>
          <w:highlight w:val="none"/>
        </w:rPr>
      </w:pPr>
    </w:p>
    <w:p w14:paraId="49E1459A">
      <w:pPr>
        <w:rPr>
          <w:strike/>
          <w:dstrike w:val="0"/>
          <w:color w:val="auto"/>
          <w:szCs w:val="21"/>
          <w:highlight w:val="none"/>
        </w:rPr>
      </w:pPr>
    </w:p>
    <w:p w14:paraId="0A79A19B">
      <w:pPr>
        <w:jc w:val="center"/>
        <w:rPr>
          <w:rFonts w:ascii="宋体" w:hAnsi="宋体" w:cs="宋体"/>
          <w:b/>
          <w:bCs/>
          <w:strike/>
          <w:dstrike w:val="0"/>
          <w:color w:val="auto"/>
          <w:sz w:val="36"/>
          <w:szCs w:val="36"/>
          <w:highlight w:val="none"/>
        </w:rPr>
      </w:pPr>
      <w:r>
        <w:rPr>
          <w:rFonts w:hint="eastAsia" w:ascii="宋体" w:hAnsi="宋体" w:cs="宋体"/>
          <w:b/>
          <w:bCs/>
          <w:strike/>
          <w:dstrike w:val="0"/>
          <w:color w:val="auto"/>
          <w:sz w:val="36"/>
          <w:szCs w:val="36"/>
          <w:highlight w:val="none"/>
        </w:rPr>
        <w:br w:type="page"/>
      </w:r>
      <w:r>
        <w:rPr>
          <w:rFonts w:hint="eastAsia" w:ascii="宋体" w:hAnsi="宋体" w:cs="宋体"/>
          <w:b/>
          <w:bCs/>
          <w:strike/>
          <w:dstrike w:val="0"/>
          <w:color w:val="auto"/>
          <w:sz w:val="36"/>
          <w:szCs w:val="36"/>
          <w:highlight w:val="none"/>
        </w:rPr>
        <w:t>算术复核表</w:t>
      </w:r>
    </w:p>
    <w:p w14:paraId="20288C62">
      <w:pPr>
        <w:rPr>
          <w:rFonts w:ascii="宋体" w:hAnsi="宋体" w:cs="宋体"/>
          <w:strike/>
          <w:dstrike w:val="0"/>
          <w:color w:val="auto"/>
          <w:highlight w:val="none"/>
        </w:rPr>
      </w:pPr>
      <w:r>
        <w:rPr>
          <w:rFonts w:hint="eastAsia" w:ascii="宋体" w:hAnsi="宋体" w:cs="宋体"/>
          <w:strike/>
          <w:dstrike w:val="0"/>
          <w:color w:val="auto"/>
          <w:highlight w:val="none"/>
        </w:rPr>
        <w:t>工程名称：</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080"/>
        <w:gridCol w:w="2268"/>
        <w:gridCol w:w="3380"/>
        <w:gridCol w:w="3423"/>
      </w:tblGrid>
      <w:tr w14:paraId="1124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05D1E03A">
            <w:pPr>
              <w:keepNext w:val="0"/>
              <w:keepLines w:val="0"/>
              <w:suppressLineNumbers w:val="0"/>
              <w:spacing w:before="0" w:beforeAutospacing="0" w:after="0" w:afterAutospacing="0"/>
              <w:ind w:left="0" w:right="0"/>
              <w:rPr>
                <w:rFonts w:hint="default" w:ascii="宋体" w:hAnsi="宋体" w:cs="宋体"/>
                <w:b/>
                <w:bCs/>
                <w:strike/>
                <w:dstrike w:val="0"/>
                <w:color w:val="auto"/>
                <w:sz w:val="28"/>
                <w:szCs w:val="28"/>
                <w:highlight w:val="none"/>
              </w:rPr>
            </w:pPr>
            <w:r>
              <w:rPr>
                <w:rFonts w:hint="eastAsia" w:ascii="宋体" w:hAnsi="宋体" w:cs="宋体"/>
                <w:b/>
                <w:bCs/>
                <w:strike/>
                <w:dstrike w:val="0"/>
                <w:color w:val="auto"/>
                <w:sz w:val="28"/>
                <w:szCs w:val="28"/>
                <w:highlight w:val="none"/>
              </w:rPr>
              <w:t>编号</w:t>
            </w:r>
          </w:p>
        </w:tc>
        <w:tc>
          <w:tcPr>
            <w:tcW w:w="4080" w:type="dxa"/>
            <w:tcBorders>
              <w:top w:val="single" w:color="auto" w:sz="4" w:space="0"/>
              <w:left w:val="nil"/>
              <w:bottom w:val="single" w:color="auto" w:sz="4" w:space="0"/>
              <w:right w:val="single" w:color="auto" w:sz="4" w:space="0"/>
            </w:tcBorders>
            <w:noWrap w:val="0"/>
            <w:vAlign w:val="top"/>
          </w:tcPr>
          <w:p w14:paraId="4EA63E09">
            <w:pPr>
              <w:keepNext w:val="0"/>
              <w:keepLines w:val="0"/>
              <w:suppressLineNumbers w:val="0"/>
              <w:spacing w:before="0" w:beforeAutospacing="0" w:after="0" w:afterAutospacing="0"/>
              <w:ind w:left="0" w:right="0"/>
              <w:rPr>
                <w:rFonts w:hint="default" w:ascii="宋体" w:hAnsi="宋体" w:cs="宋体"/>
                <w:b/>
                <w:bCs/>
                <w:strike/>
                <w:dstrike w:val="0"/>
                <w:color w:val="auto"/>
                <w:sz w:val="28"/>
                <w:szCs w:val="28"/>
                <w:highlight w:val="none"/>
              </w:rPr>
            </w:pPr>
            <w:r>
              <w:rPr>
                <w:rFonts w:hint="eastAsia" w:ascii="宋体" w:hAnsi="宋体" w:cs="宋体"/>
                <w:b/>
                <w:bCs/>
                <w:strike/>
                <w:dstrike w:val="0"/>
                <w:color w:val="auto"/>
                <w:sz w:val="28"/>
                <w:szCs w:val="28"/>
                <w:highlight w:val="none"/>
              </w:rPr>
              <w:t>投标人名称</w:t>
            </w:r>
          </w:p>
        </w:tc>
        <w:tc>
          <w:tcPr>
            <w:tcW w:w="2268" w:type="dxa"/>
            <w:tcBorders>
              <w:top w:val="single" w:color="auto" w:sz="4" w:space="0"/>
              <w:left w:val="nil"/>
              <w:bottom w:val="single" w:color="auto" w:sz="4" w:space="0"/>
              <w:right w:val="single" w:color="auto" w:sz="4" w:space="0"/>
            </w:tcBorders>
            <w:noWrap w:val="0"/>
            <w:vAlign w:val="top"/>
          </w:tcPr>
          <w:p w14:paraId="6E86B945">
            <w:pPr>
              <w:keepNext w:val="0"/>
              <w:keepLines w:val="0"/>
              <w:suppressLineNumbers w:val="0"/>
              <w:spacing w:before="0" w:beforeAutospacing="0" w:after="0" w:afterAutospacing="0"/>
              <w:ind w:left="0" w:right="0"/>
              <w:rPr>
                <w:rFonts w:hint="default" w:ascii="宋体" w:hAnsi="宋体" w:cs="宋体"/>
                <w:b/>
                <w:bCs/>
                <w:strike/>
                <w:dstrike w:val="0"/>
                <w:color w:val="auto"/>
                <w:sz w:val="28"/>
                <w:szCs w:val="28"/>
                <w:highlight w:val="none"/>
              </w:rPr>
            </w:pPr>
            <w:r>
              <w:rPr>
                <w:rFonts w:hint="eastAsia" w:ascii="宋体" w:hAnsi="宋体" w:cs="宋体"/>
                <w:b/>
                <w:bCs/>
                <w:strike/>
                <w:dstrike w:val="0"/>
                <w:color w:val="auto"/>
                <w:sz w:val="28"/>
                <w:szCs w:val="28"/>
                <w:highlight w:val="none"/>
              </w:rPr>
              <w:t>原投标报价（A）</w:t>
            </w:r>
          </w:p>
        </w:tc>
        <w:tc>
          <w:tcPr>
            <w:tcW w:w="3380" w:type="dxa"/>
            <w:tcBorders>
              <w:top w:val="single" w:color="auto" w:sz="4" w:space="0"/>
              <w:left w:val="nil"/>
              <w:bottom w:val="single" w:color="auto" w:sz="4" w:space="0"/>
              <w:right w:val="single" w:color="auto" w:sz="4" w:space="0"/>
            </w:tcBorders>
            <w:noWrap w:val="0"/>
            <w:vAlign w:val="top"/>
          </w:tcPr>
          <w:p w14:paraId="3E0EBA09">
            <w:pPr>
              <w:keepNext w:val="0"/>
              <w:keepLines w:val="0"/>
              <w:suppressLineNumbers w:val="0"/>
              <w:spacing w:before="0" w:beforeAutospacing="0" w:after="0" w:afterAutospacing="0"/>
              <w:ind w:left="0" w:right="0"/>
              <w:rPr>
                <w:rFonts w:hint="default" w:ascii="宋体" w:hAnsi="宋体" w:cs="宋体"/>
                <w:b/>
                <w:bCs/>
                <w:strike/>
                <w:dstrike w:val="0"/>
                <w:color w:val="auto"/>
                <w:sz w:val="28"/>
                <w:szCs w:val="28"/>
                <w:highlight w:val="none"/>
              </w:rPr>
            </w:pPr>
            <w:r>
              <w:rPr>
                <w:rFonts w:hint="eastAsia" w:ascii="宋体" w:hAnsi="宋体" w:cs="宋体"/>
                <w:b/>
                <w:bCs/>
                <w:strike/>
                <w:dstrike w:val="0"/>
                <w:color w:val="auto"/>
                <w:sz w:val="28"/>
                <w:szCs w:val="28"/>
                <w:highlight w:val="none"/>
              </w:rPr>
              <w:t>算数复核后投标报价（B）</w:t>
            </w:r>
          </w:p>
        </w:tc>
        <w:tc>
          <w:tcPr>
            <w:tcW w:w="3423" w:type="dxa"/>
            <w:tcBorders>
              <w:top w:val="single" w:color="auto" w:sz="4" w:space="0"/>
              <w:left w:val="nil"/>
              <w:bottom w:val="single" w:color="auto" w:sz="4" w:space="0"/>
              <w:right w:val="single" w:color="auto" w:sz="4" w:space="0"/>
            </w:tcBorders>
            <w:noWrap w:val="0"/>
            <w:vAlign w:val="top"/>
          </w:tcPr>
          <w:p w14:paraId="2BC139B4">
            <w:pPr>
              <w:keepNext w:val="0"/>
              <w:keepLines w:val="0"/>
              <w:suppressLineNumbers w:val="0"/>
              <w:spacing w:before="0" w:beforeAutospacing="0" w:after="0" w:afterAutospacing="0"/>
              <w:ind w:left="0" w:right="0"/>
              <w:rPr>
                <w:rFonts w:hint="default" w:ascii="宋体" w:hAnsi="宋体" w:cs="宋体"/>
                <w:b/>
                <w:bCs/>
                <w:strike/>
                <w:dstrike w:val="0"/>
                <w:color w:val="auto"/>
                <w:sz w:val="28"/>
                <w:szCs w:val="28"/>
                <w:highlight w:val="none"/>
              </w:rPr>
            </w:pPr>
            <w:r>
              <w:rPr>
                <w:rFonts w:hint="eastAsia" w:ascii="宋体" w:hAnsi="宋体" w:cs="宋体"/>
                <w:b/>
                <w:bCs/>
                <w:strike/>
                <w:dstrike w:val="0"/>
                <w:color w:val="auto"/>
                <w:sz w:val="28"/>
                <w:szCs w:val="28"/>
                <w:highlight w:val="none"/>
              </w:rPr>
              <w:t>误差率（r=|A-B|/A*100%）</w:t>
            </w:r>
          </w:p>
        </w:tc>
      </w:tr>
      <w:tr w14:paraId="0060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43ACA58F">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4080" w:type="dxa"/>
            <w:tcBorders>
              <w:top w:val="single" w:color="auto" w:sz="4" w:space="0"/>
              <w:left w:val="nil"/>
              <w:bottom w:val="single" w:color="auto" w:sz="4" w:space="0"/>
              <w:right w:val="single" w:color="auto" w:sz="4" w:space="0"/>
            </w:tcBorders>
            <w:noWrap w:val="0"/>
            <w:vAlign w:val="top"/>
          </w:tcPr>
          <w:p w14:paraId="7A5F10FF">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2268" w:type="dxa"/>
            <w:tcBorders>
              <w:top w:val="single" w:color="auto" w:sz="4" w:space="0"/>
              <w:left w:val="nil"/>
              <w:bottom w:val="single" w:color="auto" w:sz="4" w:space="0"/>
              <w:right w:val="single" w:color="auto" w:sz="4" w:space="0"/>
            </w:tcBorders>
            <w:noWrap w:val="0"/>
            <w:vAlign w:val="top"/>
          </w:tcPr>
          <w:p w14:paraId="441AD1F6">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3380" w:type="dxa"/>
            <w:tcBorders>
              <w:top w:val="single" w:color="auto" w:sz="4" w:space="0"/>
              <w:left w:val="nil"/>
              <w:bottom w:val="single" w:color="auto" w:sz="4" w:space="0"/>
              <w:right w:val="single" w:color="auto" w:sz="4" w:space="0"/>
            </w:tcBorders>
            <w:noWrap w:val="0"/>
            <w:vAlign w:val="top"/>
          </w:tcPr>
          <w:p w14:paraId="6C025076">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73B7127D">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r>
      <w:tr w14:paraId="58A6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4098CFE7">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4080" w:type="dxa"/>
            <w:tcBorders>
              <w:top w:val="single" w:color="auto" w:sz="4" w:space="0"/>
              <w:left w:val="nil"/>
              <w:bottom w:val="single" w:color="auto" w:sz="4" w:space="0"/>
              <w:right w:val="single" w:color="auto" w:sz="4" w:space="0"/>
            </w:tcBorders>
            <w:noWrap w:val="0"/>
            <w:vAlign w:val="top"/>
          </w:tcPr>
          <w:p w14:paraId="549471DB">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2268" w:type="dxa"/>
            <w:tcBorders>
              <w:top w:val="single" w:color="auto" w:sz="4" w:space="0"/>
              <w:left w:val="nil"/>
              <w:bottom w:val="single" w:color="auto" w:sz="4" w:space="0"/>
              <w:right w:val="single" w:color="auto" w:sz="4" w:space="0"/>
            </w:tcBorders>
            <w:noWrap w:val="0"/>
            <w:vAlign w:val="top"/>
          </w:tcPr>
          <w:p w14:paraId="5CC2D766">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3380" w:type="dxa"/>
            <w:tcBorders>
              <w:top w:val="single" w:color="auto" w:sz="4" w:space="0"/>
              <w:left w:val="nil"/>
              <w:bottom w:val="single" w:color="auto" w:sz="4" w:space="0"/>
              <w:right w:val="single" w:color="auto" w:sz="4" w:space="0"/>
            </w:tcBorders>
            <w:noWrap w:val="0"/>
            <w:vAlign w:val="top"/>
          </w:tcPr>
          <w:p w14:paraId="25C600CF">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40F9B725">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r>
      <w:tr w14:paraId="5EBA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0789BCDB">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4080" w:type="dxa"/>
            <w:tcBorders>
              <w:top w:val="single" w:color="auto" w:sz="4" w:space="0"/>
              <w:left w:val="nil"/>
              <w:bottom w:val="single" w:color="auto" w:sz="4" w:space="0"/>
              <w:right w:val="single" w:color="auto" w:sz="4" w:space="0"/>
            </w:tcBorders>
            <w:noWrap w:val="0"/>
            <w:vAlign w:val="top"/>
          </w:tcPr>
          <w:p w14:paraId="711938FE">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2268" w:type="dxa"/>
            <w:tcBorders>
              <w:top w:val="single" w:color="auto" w:sz="4" w:space="0"/>
              <w:left w:val="nil"/>
              <w:bottom w:val="single" w:color="auto" w:sz="4" w:space="0"/>
              <w:right w:val="single" w:color="auto" w:sz="4" w:space="0"/>
            </w:tcBorders>
            <w:noWrap w:val="0"/>
            <w:vAlign w:val="top"/>
          </w:tcPr>
          <w:p w14:paraId="54F89A85">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3380" w:type="dxa"/>
            <w:tcBorders>
              <w:top w:val="single" w:color="auto" w:sz="4" w:space="0"/>
              <w:left w:val="nil"/>
              <w:bottom w:val="single" w:color="auto" w:sz="4" w:space="0"/>
              <w:right w:val="single" w:color="auto" w:sz="4" w:space="0"/>
            </w:tcBorders>
            <w:noWrap w:val="0"/>
            <w:vAlign w:val="top"/>
          </w:tcPr>
          <w:p w14:paraId="6158C3B3">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6F257983">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r>
      <w:tr w14:paraId="4404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4E3A58E8">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4080" w:type="dxa"/>
            <w:tcBorders>
              <w:top w:val="single" w:color="auto" w:sz="4" w:space="0"/>
              <w:left w:val="nil"/>
              <w:bottom w:val="single" w:color="auto" w:sz="4" w:space="0"/>
              <w:right w:val="single" w:color="auto" w:sz="4" w:space="0"/>
            </w:tcBorders>
            <w:noWrap w:val="0"/>
            <w:vAlign w:val="top"/>
          </w:tcPr>
          <w:p w14:paraId="6B4D5ED8">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2268" w:type="dxa"/>
            <w:tcBorders>
              <w:top w:val="single" w:color="auto" w:sz="4" w:space="0"/>
              <w:left w:val="nil"/>
              <w:bottom w:val="single" w:color="auto" w:sz="4" w:space="0"/>
              <w:right w:val="single" w:color="auto" w:sz="4" w:space="0"/>
            </w:tcBorders>
            <w:noWrap w:val="0"/>
            <w:vAlign w:val="top"/>
          </w:tcPr>
          <w:p w14:paraId="00D9AF20">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3380" w:type="dxa"/>
            <w:tcBorders>
              <w:top w:val="single" w:color="auto" w:sz="4" w:space="0"/>
              <w:left w:val="nil"/>
              <w:bottom w:val="single" w:color="auto" w:sz="4" w:space="0"/>
              <w:right w:val="single" w:color="auto" w:sz="4" w:space="0"/>
            </w:tcBorders>
            <w:noWrap w:val="0"/>
            <w:vAlign w:val="top"/>
          </w:tcPr>
          <w:p w14:paraId="348B9B1A">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c>
          <w:tcPr>
            <w:tcW w:w="3423" w:type="dxa"/>
            <w:tcBorders>
              <w:top w:val="single" w:color="auto" w:sz="4" w:space="0"/>
              <w:left w:val="nil"/>
              <w:bottom w:val="single" w:color="auto" w:sz="4" w:space="0"/>
              <w:right w:val="single" w:color="auto" w:sz="4" w:space="0"/>
            </w:tcBorders>
            <w:noWrap w:val="0"/>
            <w:vAlign w:val="top"/>
          </w:tcPr>
          <w:p w14:paraId="39EA25A1">
            <w:pPr>
              <w:keepNext w:val="0"/>
              <w:keepLines w:val="0"/>
              <w:suppressLineNumbers w:val="0"/>
              <w:spacing w:before="0" w:beforeAutospacing="0" w:after="0" w:afterAutospacing="0"/>
              <w:ind w:left="0" w:right="0"/>
              <w:rPr>
                <w:rFonts w:hint="default" w:ascii="宋体" w:hAnsi="宋体" w:cs="宋体"/>
                <w:strike/>
                <w:dstrike w:val="0"/>
                <w:color w:val="auto"/>
                <w:sz w:val="36"/>
                <w:szCs w:val="36"/>
                <w:highlight w:val="none"/>
              </w:rPr>
            </w:pPr>
          </w:p>
        </w:tc>
      </w:tr>
    </w:tbl>
    <w:p w14:paraId="7A4411F2">
      <w:pPr>
        <w:pStyle w:val="3"/>
        <w:rPr>
          <w:rFonts w:hint="eastAsia"/>
          <w:color w:val="auto"/>
          <w:highlight w:val="none"/>
        </w:rPr>
        <w:sectPr>
          <w:headerReference r:id="rId4" w:type="default"/>
          <w:endnotePr>
            <w:numFmt w:val="decimal"/>
          </w:endnotePr>
          <w:pgSz w:w="16838" w:h="11906" w:orient="landscape"/>
          <w:pgMar w:top="1440" w:right="1440" w:bottom="1440" w:left="1440" w:header="851" w:footer="907" w:gutter="0"/>
          <w:pgBorders>
            <w:top w:val="none" w:sz="0" w:space="0"/>
            <w:left w:val="none" w:sz="0" w:space="0"/>
            <w:bottom w:val="none" w:sz="0" w:space="0"/>
            <w:right w:val="none" w:sz="0" w:space="0"/>
          </w:pgBorders>
          <w:cols w:space="720" w:num="1"/>
          <w:docGrid w:type="lines" w:linePitch="312" w:charSpace="0"/>
        </w:sectPr>
      </w:pPr>
    </w:p>
    <w:p w14:paraId="34FFF938">
      <w:pPr>
        <w:ind w:firstLine="313"/>
        <w:outlineLvl w:val="2"/>
        <w:rPr>
          <w:rFonts w:hint="eastAsia" w:ascii="宋体" w:hAnsi="宋体" w:cs="宋体"/>
          <w:b/>
          <w:bCs/>
          <w:color w:val="auto"/>
          <w:szCs w:val="21"/>
          <w:highlight w:val="none"/>
        </w:rPr>
      </w:pPr>
      <w:bookmarkStart w:id="184" w:name="_Toc94347354"/>
      <w:bookmarkStart w:id="185" w:name="_Toc97576595"/>
      <w:r>
        <w:rPr>
          <w:rFonts w:hint="eastAsia" w:ascii="宋体" w:hAnsi="宋体" w:cs="宋体"/>
          <w:b/>
          <w:bCs/>
          <w:color w:val="auto"/>
          <w:szCs w:val="21"/>
          <w:highlight w:val="none"/>
        </w:rPr>
        <w:t>附表</w:t>
      </w:r>
      <w:bookmarkEnd w:id="184"/>
      <w:bookmarkEnd w:id="185"/>
      <w:r>
        <w:rPr>
          <w:rFonts w:hint="eastAsia" w:ascii="宋体" w:hAnsi="宋体" w:cs="宋体"/>
          <w:b/>
          <w:bCs/>
          <w:color w:val="auto"/>
          <w:szCs w:val="21"/>
          <w:highlight w:val="none"/>
        </w:rPr>
        <w:t>七</w:t>
      </w:r>
    </w:p>
    <w:p w14:paraId="6277FF57">
      <w:pPr>
        <w:jc w:val="center"/>
        <w:rPr>
          <w:rFonts w:hint="eastAsia" w:ascii="宋体" w:hAnsi="宋体" w:cs="宋体"/>
          <w:b/>
          <w:color w:val="auto"/>
          <w:sz w:val="28"/>
          <w:szCs w:val="28"/>
          <w:highlight w:val="none"/>
        </w:rPr>
      </w:pPr>
      <w:bookmarkStart w:id="186" w:name="OLE_LINK36"/>
      <w:bookmarkStart w:id="187" w:name="_Hlk196744877"/>
      <w:r>
        <w:rPr>
          <w:rFonts w:hint="eastAsia" w:ascii="宋体" w:hAnsi="宋体" w:cs="宋体"/>
          <w:b/>
          <w:color w:val="auto"/>
          <w:sz w:val="28"/>
          <w:szCs w:val="28"/>
          <w:highlight w:val="none"/>
        </w:rPr>
        <w:t>定标因素表</w:t>
      </w:r>
    </w:p>
    <w:bookmarkEnd w:id="186"/>
    <w:p w14:paraId="4983E5FD">
      <w:pPr>
        <w:pStyle w:val="173"/>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工程名称：</w:t>
      </w:r>
    </w:p>
    <w:tbl>
      <w:tblPr>
        <w:tblStyle w:val="39"/>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547"/>
        <w:gridCol w:w="7081"/>
      </w:tblGrid>
      <w:tr w14:paraId="2DB4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0973E15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bookmarkStart w:id="188" w:name="_Hlk188370559"/>
            <w:bookmarkStart w:id="189" w:name="OLE_LINK64"/>
            <w:r>
              <w:rPr>
                <w:rFonts w:hint="eastAsia" w:ascii="宋体" w:hAnsi="宋体" w:cs="宋体"/>
                <w:b/>
                <w:bCs/>
                <w:color w:val="auto"/>
                <w:szCs w:val="21"/>
                <w:highlight w:val="none"/>
              </w:rPr>
              <w:t>序号</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43F7753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定标因素</w:t>
            </w:r>
          </w:p>
        </w:tc>
        <w:tc>
          <w:tcPr>
            <w:tcW w:w="7081" w:type="dxa"/>
            <w:tcBorders>
              <w:top w:val="single" w:color="auto" w:sz="4" w:space="0"/>
              <w:left w:val="single" w:color="auto" w:sz="4" w:space="0"/>
              <w:bottom w:val="single" w:color="auto" w:sz="4" w:space="0"/>
              <w:right w:val="single" w:color="auto" w:sz="4" w:space="0"/>
            </w:tcBorders>
            <w:noWrap w:val="0"/>
            <w:vAlign w:val="center"/>
          </w:tcPr>
          <w:p w14:paraId="65F1877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评价内容</w:t>
            </w:r>
          </w:p>
        </w:tc>
      </w:tr>
      <w:tr w14:paraId="2C41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Merge w:val="restart"/>
            <w:tcBorders>
              <w:left w:val="single" w:color="auto" w:sz="4" w:space="0"/>
              <w:right w:val="single" w:color="auto" w:sz="4" w:space="0"/>
            </w:tcBorders>
            <w:noWrap w:val="0"/>
            <w:vAlign w:val="center"/>
          </w:tcPr>
          <w:p w14:paraId="53612ED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47" w:type="dxa"/>
            <w:vMerge w:val="restart"/>
            <w:tcBorders>
              <w:top w:val="single" w:color="auto" w:sz="4" w:space="0"/>
              <w:left w:val="single" w:color="auto" w:sz="4" w:space="0"/>
              <w:right w:val="single" w:color="auto" w:sz="4" w:space="0"/>
            </w:tcBorders>
            <w:noWrap w:val="0"/>
            <w:vAlign w:val="center"/>
          </w:tcPr>
          <w:p w14:paraId="5DA47FC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施工方案因素</w:t>
            </w:r>
          </w:p>
        </w:tc>
        <w:tc>
          <w:tcPr>
            <w:tcW w:w="7081" w:type="dxa"/>
            <w:tcBorders>
              <w:top w:val="single" w:color="auto" w:sz="4" w:space="0"/>
              <w:left w:val="single" w:color="auto" w:sz="4" w:space="0"/>
              <w:bottom w:val="single" w:color="auto" w:sz="4" w:space="0"/>
              <w:right w:val="single" w:color="auto" w:sz="4" w:space="0"/>
            </w:tcBorders>
            <w:noWrap w:val="0"/>
            <w:vAlign w:val="center"/>
          </w:tcPr>
          <w:p w14:paraId="5EBBD7ED">
            <w:pPr>
              <w:keepNext w:val="0"/>
              <w:keepLines w:val="0"/>
              <w:suppressLineNumbers w:val="0"/>
              <w:spacing w:before="0" w:beforeAutospacing="0" w:after="0" w:afterAutospacing="0"/>
              <w:ind w:left="0" w:right="0"/>
              <w:rPr>
                <w:rFonts w:hint="default" w:ascii="宋体" w:hAnsi="宋体" w:cs="宋体"/>
                <w:b/>
                <w:bCs/>
                <w:color w:val="auto"/>
                <w:szCs w:val="21"/>
                <w:highlight w:val="none"/>
              </w:rPr>
            </w:pPr>
            <w:r>
              <w:rPr>
                <w:rFonts w:hint="eastAsia" w:ascii="宋体" w:hAnsi="宋体" w:cs="宋体"/>
                <w:b/>
                <w:bCs/>
                <w:color w:val="auto"/>
                <w:szCs w:val="21"/>
                <w:highlight w:val="none"/>
              </w:rPr>
              <w:t>1、定标委员会对合格的中标候选人提交的</w:t>
            </w:r>
            <w:bookmarkStart w:id="190" w:name="_Hlk198806859"/>
            <w:r>
              <w:rPr>
                <w:rFonts w:hint="eastAsia" w:ascii="宋体" w:hAnsi="宋体" w:cs="宋体"/>
                <w:b/>
                <w:bCs/>
                <w:color w:val="auto"/>
                <w:szCs w:val="21"/>
                <w:highlight w:val="none"/>
              </w:rPr>
              <w:t>重点分析</w:t>
            </w:r>
            <w:r>
              <w:rPr>
                <w:rFonts w:hint="eastAsia" w:ascii="宋体" w:hAnsi="宋体" w:cs="宋体"/>
                <w:b/>
                <w:bCs/>
                <w:color w:val="auto"/>
                <w:szCs w:val="21"/>
                <w:highlight w:val="none"/>
                <w:lang w:val="en-US" w:eastAsia="zh-CN"/>
              </w:rPr>
              <w:t>和</w:t>
            </w:r>
            <w:r>
              <w:rPr>
                <w:rFonts w:hint="eastAsia" w:ascii="宋体" w:hAnsi="宋体" w:cs="宋体"/>
                <w:b/>
                <w:bCs/>
                <w:color w:val="auto"/>
                <w:szCs w:val="21"/>
                <w:highlight w:val="none"/>
              </w:rPr>
              <w:t>保障措施</w:t>
            </w:r>
            <w:bookmarkEnd w:id="190"/>
            <w:r>
              <w:rPr>
                <w:rFonts w:hint="eastAsia" w:ascii="宋体" w:hAnsi="宋体" w:cs="仿宋"/>
                <w:b/>
                <w:bCs/>
                <w:color w:val="auto"/>
                <w:szCs w:val="21"/>
                <w:highlight w:val="none"/>
              </w:rPr>
              <w:t>进行横向对比：</w:t>
            </w:r>
          </w:p>
          <w:p w14:paraId="0DDC8976">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Calibri"/>
                <w:color w:val="auto"/>
                <w:szCs w:val="21"/>
                <w:highlight w:val="none"/>
              </w:rPr>
              <w:t>结合本项目特点，包括</w:t>
            </w:r>
            <w:r>
              <w:rPr>
                <w:rFonts w:hint="eastAsia" w:ascii="宋体" w:hAnsi="宋体" w:eastAsia="宋体" w:cs="Times New Roman"/>
                <w:color w:val="auto"/>
                <w:szCs w:val="21"/>
                <w:highlight w:val="none"/>
              </w:rPr>
              <w:t>但不限于以下内容：医疗设施条件预留、高空大跨度钢结构连廊、管线综合平衡、机电系统调试、暖通工程、地铁保护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投标人对本项目的</w:t>
            </w:r>
            <w:r>
              <w:rPr>
                <w:rFonts w:hint="eastAsia" w:ascii="宋体" w:hAnsi="宋体" w:cs="Times New Roman"/>
                <w:color w:val="auto"/>
                <w:szCs w:val="21"/>
                <w:highlight w:val="none"/>
              </w:rPr>
              <w:t>重点分析及相应的保障措施。</w:t>
            </w:r>
          </w:p>
          <w:p w14:paraId="7D4804AE">
            <w:pPr>
              <w:keepNext w:val="0"/>
              <w:keepLines w:val="0"/>
              <w:suppressLineNumbers w:val="0"/>
              <w:spacing w:before="0" w:beforeAutospacing="0" w:after="0" w:afterAutospacing="0"/>
              <w:ind w:left="0" w:right="0"/>
              <w:rPr>
                <w:rFonts w:hint="default" w:ascii="Calibri" w:hAnsi="Calibri" w:cs="Calibri"/>
                <w:b/>
                <w:bCs/>
                <w:color w:val="auto"/>
                <w:highlight w:val="none"/>
              </w:rPr>
            </w:pPr>
            <w:r>
              <w:rPr>
                <w:rFonts w:hint="eastAsia" w:ascii="宋体" w:hAnsi="宋体" w:cs="宋体"/>
                <w:b/>
                <w:bCs/>
                <w:color w:val="auto"/>
                <w:szCs w:val="21"/>
                <w:highlight w:val="none"/>
              </w:rPr>
              <w:t>备注：提交重点分析</w:t>
            </w:r>
            <w:r>
              <w:rPr>
                <w:rFonts w:hint="eastAsia" w:ascii="宋体" w:hAnsi="宋体" w:cs="宋体"/>
                <w:b/>
                <w:bCs/>
                <w:color w:val="auto"/>
                <w:szCs w:val="21"/>
                <w:highlight w:val="none"/>
                <w:lang w:val="en-US" w:eastAsia="zh-CN"/>
              </w:rPr>
              <w:t>和</w:t>
            </w:r>
            <w:r>
              <w:rPr>
                <w:rFonts w:hint="eastAsia" w:ascii="宋体" w:hAnsi="宋体" w:cs="宋体"/>
                <w:b/>
                <w:bCs/>
                <w:color w:val="auto"/>
                <w:szCs w:val="21"/>
                <w:highlight w:val="none"/>
              </w:rPr>
              <w:t>保障措施</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以及</w:t>
            </w:r>
            <w:r>
              <w:rPr>
                <w:rFonts w:hint="eastAsia" w:ascii="Calibri" w:hAnsi="Calibri" w:cs="Calibri"/>
                <w:b/>
                <w:bCs/>
                <w:color w:val="auto"/>
                <w:highlight w:val="none"/>
              </w:rPr>
              <w:t>总体字数800-1000字以内的摘要。</w:t>
            </w:r>
          </w:p>
          <w:p w14:paraId="17FFC340">
            <w:pPr>
              <w:keepNext w:val="0"/>
              <w:keepLines w:val="0"/>
              <w:suppressLineNumbers w:val="0"/>
              <w:spacing w:before="0" w:beforeAutospacing="0" w:after="0" w:afterAutospacing="0"/>
              <w:ind w:left="0" w:right="0"/>
              <w:rPr>
                <w:rFonts w:hint="default" w:ascii="Calibri" w:hAnsi="Calibri" w:cs="Calibri"/>
                <w:b/>
                <w:bCs/>
                <w:color w:val="auto"/>
                <w:highlight w:val="none"/>
              </w:rPr>
            </w:pPr>
            <w:r>
              <w:rPr>
                <w:rFonts w:hint="eastAsia" w:ascii="Calibri" w:hAnsi="Calibri" w:cs="Calibri"/>
                <w:b/>
                <w:bCs/>
                <w:color w:val="auto"/>
                <w:highlight w:val="none"/>
              </w:rPr>
              <w:t>【优】内容</w:t>
            </w:r>
            <w:r>
              <w:rPr>
                <w:rFonts w:hint="eastAsia" w:ascii="Calibri" w:hAnsi="Calibri" w:cs="Calibri"/>
                <w:b/>
                <w:bCs/>
                <w:color w:val="auto"/>
                <w:highlight w:val="none"/>
                <w:lang w:val="en-US" w:eastAsia="zh-CN"/>
              </w:rPr>
              <w:t>针对性强</w:t>
            </w:r>
            <w:r>
              <w:rPr>
                <w:rFonts w:hint="eastAsia" w:ascii="Calibri" w:hAnsi="Calibri" w:cs="Calibri"/>
                <w:b/>
                <w:bCs/>
                <w:color w:val="auto"/>
                <w:highlight w:val="none"/>
              </w:rPr>
              <w:t>、操作具体、可行性高。</w:t>
            </w:r>
          </w:p>
          <w:p w14:paraId="2D30994E">
            <w:pPr>
              <w:keepNext w:val="0"/>
              <w:keepLines w:val="0"/>
              <w:suppressLineNumbers w:val="0"/>
              <w:spacing w:before="0" w:beforeAutospacing="0" w:after="0" w:afterAutospacing="0"/>
              <w:ind w:left="0" w:right="0"/>
              <w:rPr>
                <w:rFonts w:hint="default" w:ascii="Calibri" w:hAnsi="Calibri" w:cs="Calibri"/>
                <w:b/>
                <w:bCs/>
                <w:color w:val="auto"/>
                <w:highlight w:val="none"/>
              </w:rPr>
            </w:pPr>
            <w:r>
              <w:rPr>
                <w:rFonts w:hint="eastAsia" w:ascii="Calibri" w:hAnsi="Calibri" w:cs="Calibri"/>
                <w:b/>
                <w:bCs/>
                <w:color w:val="auto"/>
                <w:highlight w:val="none"/>
              </w:rPr>
              <w:t>【良】内容</w:t>
            </w:r>
            <w:r>
              <w:rPr>
                <w:rFonts w:hint="eastAsia" w:ascii="Calibri" w:hAnsi="Calibri" w:cs="Calibri"/>
                <w:b/>
                <w:bCs/>
                <w:color w:val="auto"/>
                <w:highlight w:val="none"/>
                <w:lang w:val="en-US" w:eastAsia="zh-CN"/>
              </w:rPr>
              <w:t>针对性较强</w:t>
            </w:r>
            <w:r>
              <w:rPr>
                <w:rFonts w:hint="eastAsia" w:ascii="Calibri" w:hAnsi="Calibri" w:cs="Calibri"/>
                <w:b/>
                <w:bCs/>
                <w:color w:val="auto"/>
                <w:highlight w:val="none"/>
              </w:rPr>
              <w:t>、操作较具体、可行性较高。</w:t>
            </w:r>
          </w:p>
          <w:p w14:paraId="417C4483">
            <w:pPr>
              <w:keepNext w:val="0"/>
              <w:keepLines w:val="0"/>
              <w:suppressLineNumbers w:val="0"/>
              <w:spacing w:before="0" w:beforeAutospacing="0" w:after="0" w:afterAutospacing="0"/>
              <w:ind w:left="0" w:right="0"/>
              <w:rPr>
                <w:rFonts w:hint="eastAsia" w:ascii="Calibri" w:hAnsi="Calibri" w:cs="Calibri"/>
                <w:b/>
                <w:bCs/>
                <w:color w:val="auto"/>
                <w:highlight w:val="none"/>
              </w:rPr>
            </w:pPr>
            <w:r>
              <w:rPr>
                <w:rFonts w:hint="eastAsia" w:ascii="Calibri" w:hAnsi="Calibri" w:cs="Calibri"/>
                <w:b/>
                <w:bCs/>
                <w:color w:val="auto"/>
                <w:highlight w:val="none"/>
              </w:rPr>
              <w:t>【一般】内容</w:t>
            </w:r>
            <w:r>
              <w:rPr>
                <w:rFonts w:hint="eastAsia" w:ascii="Calibri" w:hAnsi="Calibri" w:cs="Calibri"/>
                <w:b/>
                <w:bCs/>
                <w:color w:val="auto"/>
                <w:highlight w:val="none"/>
                <w:lang w:val="en-US" w:eastAsia="zh-CN"/>
              </w:rPr>
              <w:t>针对性不足</w:t>
            </w:r>
            <w:r>
              <w:rPr>
                <w:rFonts w:hint="eastAsia" w:ascii="Calibri" w:hAnsi="Calibri" w:cs="Calibri"/>
                <w:b/>
                <w:bCs/>
                <w:color w:val="auto"/>
                <w:highlight w:val="none"/>
              </w:rPr>
              <w:t>、操作一般、可行性一般。</w:t>
            </w:r>
          </w:p>
        </w:tc>
      </w:tr>
      <w:tr w14:paraId="6E9E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782" w:type="dxa"/>
            <w:vMerge w:val="continue"/>
            <w:tcBorders>
              <w:left w:val="single" w:color="auto" w:sz="4" w:space="0"/>
              <w:right w:val="single" w:color="auto" w:sz="4" w:space="0"/>
            </w:tcBorders>
            <w:noWrap w:val="0"/>
            <w:vAlign w:val="center"/>
          </w:tcPr>
          <w:p w14:paraId="1080DEE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47" w:type="dxa"/>
            <w:vMerge w:val="continue"/>
            <w:tcBorders>
              <w:left w:val="single" w:color="auto" w:sz="4" w:space="0"/>
              <w:right w:val="single" w:color="auto" w:sz="4" w:space="0"/>
            </w:tcBorders>
            <w:noWrap w:val="0"/>
            <w:vAlign w:val="center"/>
          </w:tcPr>
          <w:p w14:paraId="313540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81" w:type="dxa"/>
            <w:tcBorders>
              <w:top w:val="single" w:color="auto" w:sz="4" w:space="0"/>
              <w:left w:val="single" w:color="auto" w:sz="4" w:space="0"/>
              <w:bottom w:val="single" w:color="auto" w:sz="4" w:space="0"/>
              <w:right w:val="single" w:color="auto" w:sz="4" w:space="0"/>
            </w:tcBorders>
            <w:noWrap w:val="0"/>
            <w:vAlign w:val="center"/>
          </w:tcPr>
          <w:p w14:paraId="42582031">
            <w:pPr>
              <w:keepNext w:val="0"/>
              <w:keepLines w:val="0"/>
              <w:suppressLineNumbers w:val="0"/>
              <w:spacing w:before="0" w:beforeAutospacing="0" w:after="0" w:afterAutospacing="0"/>
              <w:ind w:left="0" w:right="0"/>
              <w:rPr>
                <w:rFonts w:hint="eastAsia" w:ascii="宋体" w:hAnsi="宋体" w:cs="仿宋"/>
                <w:b/>
                <w:bCs/>
                <w:color w:val="auto"/>
                <w:highlight w:val="none"/>
              </w:rPr>
            </w:pPr>
            <w:r>
              <w:rPr>
                <w:rFonts w:hint="eastAsia" w:ascii="宋体" w:hAnsi="宋体" w:cs="仿宋"/>
                <w:b/>
                <w:bCs/>
                <w:color w:val="auto"/>
                <w:szCs w:val="21"/>
                <w:highlight w:val="none"/>
              </w:rPr>
              <w:t>2、定标委员会对合格的中标候选人提交的</w:t>
            </w:r>
            <w:bookmarkStart w:id="191" w:name="_Hlk198806866"/>
            <w:r>
              <w:rPr>
                <w:rFonts w:hint="eastAsia" w:ascii="宋体" w:hAnsi="宋体" w:cs="仿宋"/>
                <w:b/>
                <w:bCs/>
                <w:color w:val="auto"/>
                <w:highlight w:val="none"/>
              </w:rPr>
              <w:t>质量控制和安全文明管理措施</w:t>
            </w:r>
            <w:bookmarkEnd w:id="191"/>
            <w:r>
              <w:rPr>
                <w:rFonts w:hint="eastAsia" w:ascii="宋体" w:hAnsi="宋体" w:cs="仿宋"/>
                <w:b/>
                <w:bCs/>
                <w:color w:val="auto"/>
                <w:szCs w:val="21"/>
                <w:highlight w:val="none"/>
              </w:rPr>
              <w:t>的</w:t>
            </w:r>
            <w:r>
              <w:rPr>
                <w:rFonts w:hint="eastAsia" w:ascii="宋体" w:hAnsi="宋体" w:cs="仿宋"/>
                <w:b/>
                <w:bCs/>
                <w:color w:val="auto"/>
                <w:highlight w:val="none"/>
              </w:rPr>
              <w:t>进行横向对比：</w:t>
            </w:r>
          </w:p>
          <w:p w14:paraId="65F969F4">
            <w:pPr>
              <w:keepNext w:val="0"/>
              <w:keepLines w:val="0"/>
              <w:suppressLineNumbers w:val="0"/>
              <w:spacing w:before="0" w:beforeAutospacing="0" w:after="0" w:afterAutospacing="0"/>
              <w:ind w:left="0" w:right="0"/>
              <w:rPr>
                <w:rFonts w:hint="eastAsia" w:ascii="宋体" w:hAnsi="宋体" w:eastAsia="宋体" w:cs="仿宋"/>
                <w:color w:val="auto"/>
                <w:szCs w:val="21"/>
                <w:highlight w:val="none"/>
              </w:rPr>
            </w:pPr>
            <w:r>
              <w:rPr>
                <w:rFonts w:hint="eastAsia" w:ascii="宋体" w:hAnsi="宋体" w:cs="仿宋"/>
                <w:color w:val="auto"/>
                <w:szCs w:val="21"/>
                <w:highlight w:val="none"/>
              </w:rPr>
              <w:t>结合本项目特点，包括但不限于</w:t>
            </w:r>
            <w:r>
              <w:rPr>
                <w:rFonts w:hint="eastAsia" w:ascii="宋体" w:hAnsi="宋体" w:eastAsia="宋体" w:cs="仿宋"/>
                <w:color w:val="auto"/>
                <w:szCs w:val="21"/>
                <w:highlight w:val="none"/>
              </w:rPr>
              <w:t>以下内容：质量及安全文明创优策划和组织实施</w:t>
            </w:r>
            <w:r>
              <w:rPr>
                <w:rFonts w:hint="eastAsia" w:ascii="宋体" w:hAnsi="宋体" w:eastAsia="宋体" w:cs="仿宋"/>
                <w:color w:val="auto"/>
                <w:szCs w:val="21"/>
                <w:highlight w:val="none"/>
                <w:lang w:eastAsia="zh-CN"/>
              </w:rPr>
              <w:t>、场地总平面布局、BIM技术应用及管理、深化设计管理重点、对各专业工程的管理和协调</w:t>
            </w:r>
            <w:r>
              <w:rPr>
                <w:rFonts w:hint="eastAsia" w:ascii="宋体" w:hAnsi="宋体" w:eastAsia="宋体" w:cs="仿宋"/>
                <w:color w:val="auto"/>
                <w:szCs w:val="21"/>
                <w:highlight w:val="none"/>
              </w:rPr>
              <w:t>。</w:t>
            </w:r>
          </w:p>
          <w:p w14:paraId="1B7C193F">
            <w:pPr>
              <w:keepNext w:val="0"/>
              <w:keepLines w:val="0"/>
              <w:suppressLineNumbers w:val="0"/>
              <w:spacing w:before="0" w:beforeAutospacing="0" w:after="0" w:afterAutospacing="0"/>
              <w:ind w:left="0" w:right="0"/>
              <w:rPr>
                <w:rFonts w:hint="default" w:ascii="Calibri" w:hAnsi="Calibri" w:cs="Calibri"/>
                <w:b/>
                <w:bCs/>
                <w:color w:val="auto"/>
                <w:highlight w:val="none"/>
              </w:rPr>
            </w:pPr>
            <w:r>
              <w:rPr>
                <w:rFonts w:hint="eastAsia" w:ascii="宋体" w:hAnsi="宋体" w:cs="宋体"/>
                <w:b/>
                <w:bCs/>
                <w:color w:val="auto"/>
                <w:szCs w:val="21"/>
                <w:highlight w:val="none"/>
              </w:rPr>
              <w:t>备注：提交</w:t>
            </w:r>
            <w:r>
              <w:rPr>
                <w:rFonts w:hint="eastAsia" w:ascii="宋体" w:hAnsi="宋体" w:cs="仿宋"/>
                <w:b/>
                <w:bCs/>
                <w:color w:val="auto"/>
                <w:highlight w:val="none"/>
              </w:rPr>
              <w:t>质量控制和安全文明管理措施</w:t>
            </w:r>
            <w:r>
              <w:rPr>
                <w:rFonts w:hint="eastAsia" w:ascii="宋体" w:hAnsi="宋体" w:cs="仿宋"/>
                <w:b/>
                <w:bCs/>
                <w:color w:val="auto"/>
                <w:highlight w:val="none"/>
                <w:lang w:eastAsia="zh-CN"/>
              </w:rPr>
              <w:t>，</w:t>
            </w:r>
            <w:r>
              <w:rPr>
                <w:rFonts w:hint="eastAsia" w:ascii="宋体" w:hAnsi="宋体" w:cs="仿宋"/>
                <w:b/>
                <w:bCs/>
                <w:color w:val="auto"/>
                <w:highlight w:val="none"/>
                <w:lang w:val="en-US" w:eastAsia="zh-CN"/>
              </w:rPr>
              <w:t>以及</w:t>
            </w:r>
            <w:r>
              <w:rPr>
                <w:rFonts w:hint="eastAsia" w:ascii="Calibri" w:hAnsi="Calibri" w:cs="Calibri"/>
                <w:b/>
                <w:bCs/>
                <w:color w:val="auto"/>
                <w:highlight w:val="none"/>
              </w:rPr>
              <w:t>总体字数800-1000字以内的摘要。</w:t>
            </w:r>
          </w:p>
          <w:p w14:paraId="1158751A">
            <w:pPr>
              <w:keepNext w:val="0"/>
              <w:keepLines w:val="0"/>
              <w:suppressLineNumbers w:val="0"/>
              <w:spacing w:before="0" w:beforeAutospacing="0" w:after="0" w:afterAutospacing="0"/>
              <w:ind w:left="0" w:right="0"/>
              <w:rPr>
                <w:rFonts w:hint="default" w:ascii="Calibri" w:hAnsi="Calibri" w:cs="Calibri"/>
                <w:b/>
                <w:bCs/>
                <w:color w:val="auto"/>
                <w:highlight w:val="none"/>
              </w:rPr>
            </w:pPr>
            <w:r>
              <w:rPr>
                <w:rFonts w:hint="eastAsia" w:ascii="Calibri" w:hAnsi="Calibri" w:cs="Calibri"/>
                <w:b/>
                <w:bCs/>
                <w:color w:val="auto"/>
                <w:highlight w:val="none"/>
              </w:rPr>
              <w:t>【优】内容</w:t>
            </w:r>
            <w:r>
              <w:rPr>
                <w:rFonts w:hint="eastAsia" w:ascii="Calibri" w:hAnsi="Calibri" w:cs="Calibri"/>
                <w:b/>
                <w:bCs/>
                <w:color w:val="auto"/>
                <w:highlight w:val="none"/>
                <w:lang w:val="en-US" w:eastAsia="zh-CN"/>
              </w:rPr>
              <w:t>针对性强</w:t>
            </w:r>
            <w:r>
              <w:rPr>
                <w:rFonts w:hint="eastAsia" w:ascii="Calibri" w:hAnsi="Calibri" w:cs="Calibri"/>
                <w:b/>
                <w:bCs/>
                <w:color w:val="auto"/>
                <w:highlight w:val="none"/>
              </w:rPr>
              <w:t>、操作具体、可行性高。</w:t>
            </w:r>
          </w:p>
          <w:p w14:paraId="1AF87C8D">
            <w:pPr>
              <w:keepNext w:val="0"/>
              <w:keepLines w:val="0"/>
              <w:suppressLineNumbers w:val="0"/>
              <w:spacing w:before="0" w:beforeAutospacing="0" w:after="0" w:afterAutospacing="0"/>
              <w:ind w:left="0" w:right="0"/>
              <w:rPr>
                <w:rFonts w:hint="default" w:ascii="Calibri" w:hAnsi="Calibri" w:cs="Calibri"/>
                <w:b/>
                <w:bCs/>
                <w:color w:val="auto"/>
                <w:highlight w:val="none"/>
              </w:rPr>
            </w:pPr>
            <w:r>
              <w:rPr>
                <w:rFonts w:hint="eastAsia" w:ascii="Calibri" w:hAnsi="Calibri" w:cs="Calibri"/>
                <w:b/>
                <w:bCs/>
                <w:color w:val="auto"/>
                <w:highlight w:val="none"/>
              </w:rPr>
              <w:t>【良】内容</w:t>
            </w:r>
            <w:r>
              <w:rPr>
                <w:rFonts w:hint="eastAsia" w:ascii="Calibri" w:hAnsi="Calibri" w:cs="Calibri"/>
                <w:b/>
                <w:bCs/>
                <w:color w:val="auto"/>
                <w:highlight w:val="none"/>
                <w:lang w:val="en-US" w:eastAsia="zh-CN"/>
              </w:rPr>
              <w:t>针对性较强</w:t>
            </w:r>
            <w:r>
              <w:rPr>
                <w:rFonts w:hint="eastAsia" w:ascii="Calibri" w:hAnsi="Calibri" w:cs="Calibri"/>
                <w:b/>
                <w:bCs/>
                <w:color w:val="auto"/>
                <w:highlight w:val="none"/>
              </w:rPr>
              <w:t>、操作较具体、可行性较高。</w:t>
            </w:r>
          </w:p>
          <w:p w14:paraId="3E698C12">
            <w:pPr>
              <w:keepNext w:val="0"/>
              <w:keepLines w:val="0"/>
              <w:suppressLineNumbers w:val="0"/>
              <w:spacing w:before="0" w:beforeAutospacing="0" w:after="0" w:afterAutospacing="0"/>
              <w:ind w:left="0" w:right="0"/>
              <w:rPr>
                <w:rFonts w:hint="eastAsia" w:ascii="宋体" w:hAnsi="宋体" w:cs="宋体"/>
                <w:b/>
                <w:bCs/>
                <w:color w:val="auto"/>
                <w:szCs w:val="21"/>
                <w:highlight w:val="none"/>
              </w:rPr>
            </w:pPr>
            <w:r>
              <w:rPr>
                <w:rFonts w:hint="eastAsia" w:ascii="Calibri" w:hAnsi="Calibri" w:cs="Calibri"/>
                <w:b/>
                <w:bCs/>
                <w:color w:val="auto"/>
                <w:highlight w:val="none"/>
              </w:rPr>
              <w:t>【一般】内容</w:t>
            </w:r>
            <w:r>
              <w:rPr>
                <w:rFonts w:hint="eastAsia" w:ascii="Calibri" w:hAnsi="Calibri" w:cs="Calibri"/>
                <w:b/>
                <w:bCs/>
                <w:color w:val="auto"/>
                <w:highlight w:val="none"/>
                <w:lang w:val="en-US" w:eastAsia="zh-CN"/>
              </w:rPr>
              <w:t>针对性不足</w:t>
            </w:r>
            <w:r>
              <w:rPr>
                <w:rFonts w:hint="eastAsia" w:ascii="Calibri" w:hAnsi="Calibri" w:cs="Calibri"/>
                <w:b/>
                <w:bCs/>
                <w:color w:val="auto"/>
                <w:highlight w:val="none"/>
              </w:rPr>
              <w:t>、操作一般、可行性一般。</w:t>
            </w:r>
          </w:p>
        </w:tc>
      </w:tr>
      <w:tr w14:paraId="5AAC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jc w:val="center"/>
        </w:trPr>
        <w:tc>
          <w:tcPr>
            <w:tcW w:w="782" w:type="dxa"/>
            <w:vMerge w:val="continue"/>
            <w:tcBorders>
              <w:left w:val="single" w:color="auto" w:sz="4" w:space="0"/>
              <w:right w:val="single" w:color="auto" w:sz="4" w:space="0"/>
            </w:tcBorders>
            <w:noWrap w:val="0"/>
            <w:vAlign w:val="center"/>
          </w:tcPr>
          <w:p w14:paraId="4AA40E5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47" w:type="dxa"/>
            <w:vMerge w:val="continue"/>
            <w:tcBorders>
              <w:left w:val="single" w:color="auto" w:sz="4" w:space="0"/>
              <w:right w:val="single" w:color="auto" w:sz="4" w:space="0"/>
            </w:tcBorders>
            <w:noWrap w:val="0"/>
            <w:vAlign w:val="center"/>
          </w:tcPr>
          <w:p w14:paraId="0E14C12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81" w:type="dxa"/>
            <w:tcBorders>
              <w:top w:val="single" w:color="auto" w:sz="4" w:space="0"/>
              <w:left w:val="single" w:color="auto" w:sz="4" w:space="0"/>
              <w:bottom w:val="single" w:color="auto" w:sz="4" w:space="0"/>
              <w:right w:val="single" w:color="auto" w:sz="4" w:space="0"/>
            </w:tcBorders>
            <w:noWrap w:val="0"/>
            <w:vAlign w:val="center"/>
          </w:tcPr>
          <w:p w14:paraId="70109CDC">
            <w:pPr>
              <w:keepNext w:val="0"/>
              <w:keepLines w:val="0"/>
              <w:suppressLineNumbers w:val="0"/>
              <w:spacing w:before="0" w:beforeAutospacing="0" w:after="0" w:afterAutospacing="0"/>
              <w:ind w:left="0" w:right="0"/>
              <w:rPr>
                <w:rFonts w:hint="eastAsia" w:ascii="宋体" w:hAnsi="宋体" w:cs="仿宋"/>
                <w:b/>
                <w:bCs/>
                <w:color w:val="auto"/>
                <w:szCs w:val="21"/>
                <w:highlight w:val="none"/>
              </w:rPr>
            </w:pPr>
            <w:r>
              <w:rPr>
                <w:rFonts w:hint="eastAsia" w:ascii="宋体" w:hAnsi="宋体" w:cs="仿宋"/>
                <w:b/>
                <w:bCs/>
                <w:color w:val="auto"/>
                <w:szCs w:val="21"/>
                <w:highlight w:val="none"/>
              </w:rPr>
              <w:t>3、定标委员会对合格的中标候选人提交的</w:t>
            </w:r>
            <w:bookmarkStart w:id="192" w:name="_Hlk198806873"/>
            <w:r>
              <w:rPr>
                <w:rFonts w:hint="eastAsia" w:ascii="宋体" w:hAnsi="宋体" w:cs="仿宋"/>
                <w:b/>
                <w:bCs/>
                <w:color w:val="auto"/>
                <w:szCs w:val="21"/>
                <w:highlight w:val="none"/>
              </w:rPr>
              <w:t>进度控制措施</w:t>
            </w:r>
            <w:bookmarkEnd w:id="192"/>
            <w:r>
              <w:rPr>
                <w:rFonts w:hint="eastAsia" w:ascii="宋体" w:hAnsi="宋体" w:cs="仿宋"/>
                <w:b/>
                <w:bCs/>
                <w:color w:val="auto"/>
                <w:szCs w:val="21"/>
                <w:highlight w:val="none"/>
              </w:rPr>
              <w:t>进行横向对比：</w:t>
            </w:r>
          </w:p>
          <w:p w14:paraId="0F05241A">
            <w:pPr>
              <w:keepNext w:val="0"/>
              <w:keepLines w:val="0"/>
              <w:suppressLineNumbers w:val="0"/>
              <w:spacing w:before="0" w:beforeAutospacing="0" w:after="0" w:afterAutospacing="0"/>
              <w:ind w:left="0" w:right="0"/>
              <w:rPr>
                <w:rFonts w:hint="default" w:ascii="宋体" w:hAnsi="宋体" w:cs="仿宋"/>
                <w:color w:val="auto"/>
                <w:szCs w:val="21"/>
                <w:highlight w:val="none"/>
              </w:rPr>
            </w:pPr>
            <w:r>
              <w:rPr>
                <w:rFonts w:hint="eastAsia" w:ascii="宋体" w:hAnsi="宋体" w:cs="仿宋"/>
                <w:color w:val="auto"/>
                <w:szCs w:val="21"/>
                <w:highlight w:val="none"/>
              </w:rPr>
              <w:t>结合本项目特点，包括但不限于以下内容：整体工期控制管理体系、进度控制措施；在保证工期的基础上，提出合理化的优化建议。</w:t>
            </w:r>
          </w:p>
          <w:p w14:paraId="5AB0D116">
            <w:pPr>
              <w:keepNext w:val="0"/>
              <w:keepLines w:val="0"/>
              <w:suppressLineNumbers w:val="0"/>
              <w:spacing w:before="0" w:beforeAutospacing="0" w:after="0" w:afterAutospacing="0"/>
              <w:ind w:left="0" w:right="0"/>
              <w:rPr>
                <w:rFonts w:hint="default" w:ascii="Calibri" w:hAnsi="Calibri" w:cs="Calibri"/>
                <w:b/>
                <w:bCs/>
                <w:color w:val="auto"/>
                <w:highlight w:val="none"/>
              </w:rPr>
            </w:pPr>
            <w:r>
              <w:rPr>
                <w:rFonts w:hint="eastAsia" w:ascii="宋体" w:hAnsi="宋体" w:cs="宋体"/>
                <w:b/>
                <w:bCs/>
                <w:color w:val="auto"/>
                <w:szCs w:val="21"/>
                <w:highlight w:val="none"/>
              </w:rPr>
              <w:t>备注：提交</w:t>
            </w:r>
            <w:r>
              <w:rPr>
                <w:rFonts w:hint="eastAsia" w:ascii="宋体" w:hAnsi="宋体" w:cs="仿宋"/>
                <w:b/>
                <w:bCs/>
                <w:color w:val="auto"/>
                <w:szCs w:val="21"/>
                <w:highlight w:val="none"/>
              </w:rPr>
              <w:t>进度控制措施</w:t>
            </w:r>
            <w:r>
              <w:rPr>
                <w:rFonts w:hint="eastAsia" w:ascii="宋体" w:hAnsi="宋体" w:cs="仿宋"/>
                <w:b/>
                <w:bCs/>
                <w:color w:val="auto"/>
                <w:szCs w:val="21"/>
                <w:highlight w:val="none"/>
                <w:lang w:eastAsia="zh-CN"/>
              </w:rPr>
              <w:t>，</w:t>
            </w:r>
            <w:r>
              <w:rPr>
                <w:rFonts w:hint="eastAsia" w:ascii="宋体" w:hAnsi="宋体" w:cs="仿宋"/>
                <w:b/>
                <w:bCs/>
                <w:color w:val="auto"/>
                <w:szCs w:val="21"/>
                <w:highlight w:val="none"/>
                <w:lang w:val="en-US" w:eastAsia="zh-CN"/>
              </w:rPr>
              <w:t>以及</w:t>
            </w:r>
            <w:r>
              <w:rPr>
                <w:rFonts w:hint="eastAsia" w:ascii="Calibri" w:hAnsi="Calibri" w:cs="Calibri"/>
                <w:b/>
                <w:bCs/>
                <w:color w:val="auto"/>
                <w:highlight w:val="none"/>
              </w:rPr>
              <w:t>总体字数800-1000字以内的摘要。</w:t>
            </w:r>
          </w:p>
          <w:p w14:paraId="44E0E501">
            <w:pPr>
              <w:keepNext w:val="0"/>
              <w:keepLines w:val="0"/>
              <w:suppressLineNumbers w:val="0"/>
              <w:spacing w:before="0" w:beforeAutospacing="0" w:after="0" w:afterAutospacing="0"/>
              <w:ind w:left="0" w:right="0"/>
              <w:rPr>
                <w:rFonts w:hint="default" w:ascii="Calibri" w:hAnsi="Calibri" w:cs="Calibri"/>
                <w:b/>
                <w:bCs/>
                <w:color w:val="auto"/>
                <w:highlight w:val="none"/>
              </w:rPr>
            </w:pPr>
            <w:r>
              <w:rPr>
                <w:rFonts w:hint="eastAsia" w:ascii="Calibri" w:hAnsi="Calibri" w:cs="Calibri"/>
                <w:b/>
                <w:bCs/>
                <w:color w:val="auto"/>
                <w:highlight w:val="none"/>
              </w:rPr>
              <w:t>【优】内容</w:t>
            </w:r>
            <w:r>
              <w:rPr>
                <w:rFonts w:hint="eastAsia" w:ascii="Calibri" w:hAnsi="Calibri" w:cs="Calibri"/>
                <w:b/>
                <w:bCs/>
                <w:color w:val="auto"/>
                <w:highlight w:val="none"/>
                <w:lang w:val="en-US" w:eastAsia="zh-CN"/>
              </w:rPr>
              <w:t>针对性强</w:t>
            </w:r>
            <w:r>
              <w:rPr>
                <w:rFonts w:hint="eastAsia" w:ascii="Calibri" w:hAnsi="Calibri" w:cs="Calibri"/>
                <w:b/>
                <w:bCs/>
                <w:color w:val="auto"/>
                <w:highlight w:val="none"/>
              </w:rPr>
              <w:t>、操作具体、可行性高。</w:t>
            </w:r>
          </w:p>
          <w:p w14:paraId="67C5AF56">
            <w:pPr>
              <w:keepNext w:val="0"/>
              <w:keepLines w:val="0"/>
              <w:suppressLineNumbers w:val="0"/>
              <w:spacing w:before="0" w:beforeAutospacing="0" w:after="0" w:afterAutospacing="0"/>
              <w:ind w:left="0" w:right="0"/>
              <w:rPr>
                <w:rFonts w:hint="default" w:ascii="Calibri" w:hAnsi="Calibri" w:cs="Calibri"/>
                <w:b/>
                <w:bCs/>
                <w:color w:val="auto"/>
                <w:highlight w:val="none"/>
              </w:rPr>
            </w:pPr>
            <w:r>
              <w:rPr>
                <w:rFonts w:hint="eastAsia" w:ascii="Calibri" w:hAnsi="Calibri" w:cs="Calibri"/>
                <w:b/>
                <w:bCs/>
                <w:color w:val="auto"/>
                <w:highlight w:val="none"/>
              </w:rPr>
              <w:t>【良】内容</w:t>
            </w:r>
            <w:r>
              <w:rPr>
                <w:rFonts w:hint="eastAsia" w:ascii="Calibri" w:hAnsi="Calibri" w:cs="Calibri"/>
                <w:b/>
                <w:bCs/>
                <w:color w:val="auto"/>
                <w:highlight w:val="none"/>
                <w:lang w:val="en-US" w:eastAsia="zh-CN"/>
              </w:rPr>
              <w:t>针对性较强</w:t>
            </w:r>
            <w:r>
              <w:rPr>
                <w:rFonts w:hint="eastAsia" w:ascii="Calibri" w:hAnsi="Calibri" w:cs="Calibri"/>
                <w:b/>
                <w:bCs/>
                <w:color w:val="auto"/>
                <w:highlight w:val="none"/>
              </w:rPr>
              <w:t>、操作较具体、可行性较高。</w:t>
            </w:r>
          </w:p>
          <w:p w14:paraId="230C69A6">
            <w:pPr>
              <w:keepNext w:val="0"/>
              <w:keepLines w:val="0"/>
              <w:suppressLineNumbers w:val="0"/>
              <w:spacing w:before="0" w:beforeAutospacing="0" w:after="0" w:afterAutospacing="0"/>
              <w:ind w:left="0" w:right="0"/>
              <w:rPr>
                <w:rFonts w:hint="eastAsia" w:ascii="宋体" w:hAnsi="宋体" w:cs="仿宋"/>
                <w:b/>
                <w:bCs/>
                <w:color w:val="auto"/>
                <w:szCs w:val="21"/>
                <w:highlight w:val="none"/>
              </w:rPr>
            </w:pPr>
            <w:r>
              <w:rPr>
                <w:rFonts w:hint="eastAsia" w:ascii="Calibri" w:hAnsi="Calibri" w:cs="Calibri"/>
                <w:b/>
                <w:bCs/>
                <w:color w:val="auto"/>
                <w:highlight w:val="none"/>
              </w:rPr>
              <w:t>【一般】内容</w:t>
            </w:r>
            <w:r>
              <w:rPr>
                <w:rFonts w:hint="eastAsia" w:ascii="Calibri" w:hAnsi="Calibri" w:cs="Calibri"/>
                <w:b/>
                <w:bCs/>
                <w:color w:val="auto"/>
                <w:highlight w:val="none"/>
                <w:lang w:val="en-US" w:eastAsia="zh-CN"/>
              </w:rPr>
              <w:t>针对性不足</w:t>
            </w:r>
            <w:r>
              <w:rPr>
                <w:rFonts w:hint="eastAsia" w:ascii="Calibri" w:hAnsi="Calibri" w:cs="Calibri"/>
                <w:b/>
                <w:bCs/>
                <w:color w:val="auto"/>
                <w:highlight w:val="none"/>
              </w:rPr>
              <w:t>、操作一般、可行性一般。</w:t>
            </w:r>
          </w:p>
        </w:tc>
      </w:tr>
      <w:tr w14:paraId="4794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6B1A576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34D5EE6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价格因素</w:t>
            </w:r>
          </w:p>
        </w:tc>
        <w:tc>
          <w:tcPr>
            <w:tcW w:w="7081" w:type="dxa"/>
            <w:tcBorders>
              <w:top w:val="single" w:color="auto" w:sz="4" w:space="0"/>
              <w:left w:val="single" w:color="auto" w:sz="4" w:space="0"/>
              <w:bottom w:val="single" w:color="auto" w:sz="4" w:space="0"/>
              <w:right w:val="single" w:color="auto" w:sz="4" w:space="0"/>
            </w:tcBorders>
            <w:noWrap w:val="0"/>
            <w:vAlign w:val="center"/>
          </w:tcPr>
          <w:p w14:paraId="60ADE3E3">
            <w:pPr>
              <w:keepNext w:val="0"/>
              <w:keepLines w:val="0"/>
              <w:suppressLineNumbers w:val="0"/>
              <w:spacing w:before="0" w:beforeAutospacing="0" w:after="0" w:afterAutospacing="0"/>
              <w:ind w:left="0" w:right="0"/>
              <w:jc w:val="left"/>
              <w:rPr>
                <w:rFonts w:hint="eastAsia" w:ascii="宋体" w:hAnsi="宋体" w:eastAsia="宋体" w:cs="仿宋"/>
                <w:color w:val="auto"/>
                <w:szCs w:val="21"/>
                <w:highlight w:val="none"/>
              </w:rPr>
            </w:pPr>
            <w:r>
              <w:rPr>
                <w:rFonts w:hint="eastAsia" w:ascii="宋体" w:hAnsi="宋体" w:eastAsia="宋体" w:cs="仿宋"/>
                <w:color w:val="auto"/>
                <w:szCs w:val="21"/>
                <w:highlight w:val="none"/>
              </w:rPr>
              <w:t>定标委员会对合格中标候选人投标报价进行分析，遵循“兼顾</w:t>
            </w:r>
            <w:bookmarkStart w:id="193" w:name="OLE_LINK28"/>
            <w:r>
              <w:rPr>
                <w:rFonts w:hint="eastAsia" w:ascii="宋体" w:hAnsi="宋体" w:eastAsia="宋体" w:cs="仿宋"/>
                <w:color w:val="auto"/>
                <w:szCs w:val="21"/>
                <w:highlight w:val="none"/>
              </w:rPr>
              <w:t>择优与竞价</w:t>
            </w:r>
            <w:bookmarkEnd w:id="193"/>
            <w:r>
              <w:rPr>
                <w:rFonts w:hint="eastAsia" w:ascii="宋体" w:hAnsi="宋体" w:eastAsia="宋体" w:cs="仿宋"/>
                <w:color w:val="auto"/>
                <w:szCs w:val="21"/>
                <w:highlight w:val="none"/>
              </w:rPr>
              <w:t>”的原则，主要从以下方面进行评审：</w:t>
            </w:r>
          </w:p>
          <w:p w14:paraId="3FDC4E1B">
            <w:pPr>
              <w:keepNext w:val="0"/>
              <w:keepLines w:val="0"/>
              <w:suppressLineNumbers w:val="0"/>
              <w:spacing w:before="0" w:beforeAutospacing="0" w:after="0" w:afterAutospacing="0"/>
              <w:ind w:left="0" w:right="0"/>
              <w:jc w:val="left"/>
              <w:rPr>
                <w:rFonts w:hint="eastAsia" w:ascii="宋体" w:hAnsi="宋体" w:eastAsia="宋体" w:cs="仿宋"/>
                <w:color w:val="auto"/>
                <w:szCs w:val="21"/>
                <w:highlight w:val="none"/>
              </w:rPr>
            </w:pPr>
            <w:r>
              <w:rPr>
                <w:rFonts w:hint="eastAsia" w:ascii="宋体" w:hAnsi="宋体" w:eastAsia="宋体" w:cs="仿宋"/>
                <w:color w:val="auto"/>
                <w:szCs w:val="21"/>
                <w:highlight w:val="none"/>
              </w:rPr>
              <w:t>1.对投标报价的竞争性、合理性及不平衡性进行评审；</w:t>
            </w:r>
          </w:p>
          <w:p w14:paraId="41C162BD">
            <w:pPr>
              <w:keepNext w:val="0"/>
              <w:keepLines w:val="0"/>
              <w:suppressLineNumbers w:val="0"/>
              <w:spacing w:before="0" w:beforeAutospacing="0" w:after="0" w:afterAutospacing="0"/>
              <w:ind w:left="0" w:right="0"/>
              <w:jc w:val="left"/>
              <w:rPr>
                <w:rFonts w:hint="default"/>
                <w:color w:val="auto"/>
                <w:highlight w:val="none"/>
              </w:rPr>
            </w:pPr>
            <w:r>
              <w:rPr>
                <w:rFonts w:hint="eastAsia" w:ascii="宋体" w:hAnsi="宋体" w:eastAsia="宋体" w:cs="仿宋"/>
                <w:color w:val="auto"/>
                <w:szCs w:val="21"/>
                <w:highlight w:val="none"/>
              </w:rPr>
              <w:t>2.综合考虑中标候选人投标报价的下浮情况。</w:t>
            </w:r>
          </w:p>
          <w:p w14:paraId="0B597A22">
            <w:pPr>
              <w:keepNext w:val="0"/>
              <w:keepLines w:val="0"/>
              <w:suppressLineNumbers w:val="0"/>
              <w:spacing w:before="0" w:beforeAutospacing="0" w:after="0" w:afterAutospacing="0"/>
              <w:ind w:left="0" w:right="0"/>
              <w:rPr>
                <w:rFonts w:hint="eastAsia" w:ascii="Calibri" w:hAnsi="Calibri" w:eastAsia="宋体" w:cs="Calibri"/>
                <w:b/>
                <w:bCs/>
                <w:color w:val="auto"/>
                <w:highlight w:val="none"/>
              </w:rPr>
            </w:pPr>
            <w:r>
              <w:rPr>
                <w:rFonts w:hint="eastAsia" w:ascii="Calibri" w:hAnsi="Calibri" w:eastAsia="宋体" w:cs="Calibri"/>
                <w:b/>
                <w:bCs/>
                <w:color w:val="auto"/>
                <w:highlight w:val="none"/>
              </w:rPr>
              <w:t>【优】投标报价具竞争性，合理性强，下浮幅度充分契合项目实际，兼顾择优与竞价原则。</w:t>
            </w:r>
          </w:p>
          <w:p w14:paraId="79A81A78">
            <w:pPr>
              <w:keepNext w:val="0"/>
              <w:keepLines w:val="0"/>
              <w:suppressLineNumbers w:val="0"/>
              <w:spacing w:before="0" w:beforeAutospacing="0" w:after="0" w:afterAutospacing="0"/>
              <w:ind w:left="0" w:right="0"/>
              <w:rPr>
                <w:rFonts w:hint="eastAsia" w:ascii="Calibri" w:hAnsi="Calibri" w:eastAsia="宋体" w:cs="Calibri"/>
                <w:b/>
                <w:bCs/>
                <w:color w:val="auto"/>
                <w:highlight w:val="none"/>
              </w:rPr>
            </w:pPr>
            <w:r>
              <w:rPr>
                <w:rFonts w:hint="eastAsia" w:ascii="Calibri" w:hAnsi="Calibri" w:eastAsia="宋体" w:cs="Calibri"/>
                <w:b/>
                <w:bCs/>
                <w:color w:val="auto"/>
                <w:highlight w:val="none"/>
              </w:rPr>
              <w:t>【</w:t>
            </w:r>
            <w:r>
              <w:rPr>
                <w:rFonts w:hint="eastAsia" w:ascii="Calibri" w:hAnsi="Calibri" w:cs="Calibri"/>
                <w:b/>
                <w:bCs/>
                <w:color w:val="auto"/>
                <w:highlight w:val="none"/>
                <w:lang w:val="en-US" w:eastAsia="zh-CN"/>
              </w:rPr>
              <w:t>良</w:t>
            </w:r>
            <w:r>
              <w:rPr>
                <w:rFonts w:hint="eastAsia" w:ascii="Calibri" w:hAnsi="Calibri" w:eastAsia="宋体" w:cs="Calibri"/>
                <w:b/>
                <w:bCs/>
                <w:color w:val="auto"/>
                <w:highlight w:val="none"/>
              </w:rPr>
              <w:t>】投标报价具备较强竞争力，整体合理。</w:t>
            </w:r>
          </w:p>
          <w:p w14:paraId="2E0C4B49">
            <w:pPr>
              <w:keepNext w:val="0"/>
              <w:keepLines w:val="0"/>
              <w:suppressLineNumbers w:val="0"/>
              <w:spacing w:before="0" w:beforeAutospacing="0" w:after="0" w:afterAutospacing="0"/>
              <w:ind w:left="0" w:right="0"/>
              <w:rPr>
                <w:rFonts w:hint="eastAsia" w:ascii="Calibri" w:hAnsi="Calibri" w:eastAsia="宋体" w:cs="Calibri"/>
                <w:b/>
                <w:bCs/>
                <w:color w:val="auto"/>
                <w:highlight w:val="none"/>
              </w:rPr>
            </w:pPr>
            <w:r>
              <w:rPr>
                <w:rFonts w:hint="eastAsia" w:ascii="Calibri" w:hAnsi="Calibri" w:cs="Calibri"/>
                <w:b/>
                <w:bCs/>
                <w:color w:val="auto"/>
                <w:highlight w:val="none"/>
              </w:rPr>
              <w:t>【一般】投标报价竞争力一般，存在不合理之处。</w:t>
            </w:r>
          </w:p>
        </w:tc>
      </w:tr>
      <w:bookmarkEnd w:id="187"/>
      <w:bookmarkEnd w:id="188"/>
      <w:bookmarkEnd w:id="189"/>
    </w:tbl>
    <w:p w14:paraId="2C5095FA">
      <w:pPr>
        <w:pStyle w:val="20"/>
        <w:jc w:val="left"/>
        <w:rPr>
          <w:color w:val="auto"/>
          <w:highlight w:val="none"/>
        </w:rPr>
      </w:pPr>
    </w:p>
    <w:p w14:paraId="12D957C7">
      <w:pPr>
        <w:pStyle w:val="20"/>
        <w:jc w:val="left"/>
        <w:rPr>
          <w:rFonts w:ascii="黑体" w:hAnsi="黑体" w:eastAsia="黑体"/>
          <w:b/>
          <w:bCs/>
          <w:color w:val="auto"/>
          <w:sz w:val="32"/>
          <w:szCs w:val="32"/>
          <w:highlight w:val="none"/>
        </w:rPr>
      </w:pPr>
      <w:r>
        <w:rPr>
          <w:rFonts w:hint="eastAsia"/>
          <w:color w:val="auto"/>
          <w:highlight w:val="none"/>
        </w:rPr>
        <w:br w:type="page"/>
      </w:r>
      <w:r>
        <w:rPr>
          <w:rFonts w:hint="eastAsia" w:hAnsi="宋体" w:cs="宋体"/>
          <w:b/>
          <w:bCs/>
          <w:color w:val="auto"/>
          <w:szCs w:val="21"/>
          <w:highlight w:val="none"/>
        </w:rPr>
        <w:t>附表八</w:t>
      </w:r>
    </w:p>
    <w:p w14:paraId="5C7A5F1D">
      <w:pPr>
        <w:pStyle w:val="20"/>
        <w:jc w:val="center"/>
        <w:rPr>
          <w:rFonts w:hint="eastAsia" w:hAnsi="宋体"/>
          <w:b/>
          <w:color w:val="auto"/>
          <w:sz w:val="36"/>
          <w:szCs w:val="36"/>
          <w:highlight w:val="none"/>
        </w:rPr>
      </w:pPr>
      <w:bookmarkStart w:id="194" w:name="_Hlk197459126"/>
      <w:r>
        <w:rPr>
          <w:rFonts w:hint="eastAsia" w:hAnsi="宋体"/>
          <w:b/>
          <w:color w:val="auto"/>
          <w:sz w:val="36"/>
          <w:szCs w:val="36"/>
          <w:highlight w:val="none"/>
        </w:rPr>
        <w:t>定标因素评审表</w:t>
      </w:r>
    </w:p>
    <w:bookmarkEnd w:id="194"/>
    <w:p w14:paraId="7E747FFA">
      <w:pPr>
        <w:pStyle w:val="20"/>
        <w:jc w:val="center"/>
        <w:rPr>
          <w:rFonts w:hint="eastAsia" w:hAnsi="宋体"/>
          <w:b/>
          <w:color w:val="auto"/>
          <w:sz w:val="36"/>
          <w:szCs w:val="36"/>
          <w:highlight w:val="none"/>
        </w:rPr>
      </w:pPr>
    </w:p>
    <w:p w14:paraId="62BE7C2E">
      <w:pPr>
        <w:pStyle w:val="173"/>
        <w:jc w:val="left"/>
        <w:rPr>
          <w:rFonts w:hint="eastAsia" w:ascii="宋体" w:hAnsi="宋体" w:eastAsia="宋体" w:cs="宋体"/>
          <w:color w:val="auto"/>
          <w:highlight w:val="none"/>
        </w:rPr>
      </w:pPr>
      <w:r>
        <w:rPr>
          <w:rFonts w:hint="eastAsia" w:ascii="宋体" w:hAnsi="宋体" w:eastAsia="宋体" w:cs="宋体"/>
          <w:color w:val="auto"/>
          <w:highlight w:val="none"/>
        </w:rPr>
        <w:t>工程名称：</w:t>
      </w:r>
    </w:p>
    <w:tbl>
      <w:tblPr>
        <w:tblStyle w:val="3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176"/>
        <w:gridCol w:w="1760"/>
        <w:gridCol w:w="1760"/>
        <w:gridCol w:w="1760"/>
        <w:gridCol w:w="1761"/>
      </w:tblGrid>
      <w:tr w14:paraId="74DE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2867" w:type="dxa"/>
            <w:gridSpan w:val="2"/>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091C1430">
            <w:pPr>
              <w:keepNext w:val="0"/>
              <w:keepLines w:val="0"/>
              <w:suppressLineNumbers w:val="0"/>
              <w:spacing w:before="0" w:beforeAutospacing="0" w:after="0" w:afterAutospacing="0"/>
              <w:ind w:left="0" w:right="0" w:firstLine="1054" w:firstLineChars="50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评语</w:t>
            </w:r>
          </w:p>
          <w:p w14:paraId="0FDA07AD">
            <w:pPr>
              <w:keepNext w:val="0"/>
              <w:keepLines w:val="0"/>
              <w:suppressLineNumbers w:val="0"/>
              <w:spacing w:before="0" w:beforeAutospacing="0" w:after="0" w:afterAutospacing="0"/>
              <w:ind w:left="0" w:right="0" w:firstLine="422" w:firstLineChars="200"/>
              <w:jc w:val="left"/>
              <w:rPr>
                <w:rFonts w:hint="eastAsia" w:ascii="宋体" w:hAnsi="宋体" w:cs="宋体"/>
                <w:b/>
                <w:bCs/>
                <w:color w:val="auto"/>
                <w:szCs w:val="21"/>
                <w:highlight w:val="none"/>
              </w:rPr>
            </w:pPr>
            <w:r>
              <w:rPr>
                <w:rFonts w:hint="eastAsia" w:ascii="宋体" w:hAnsi="宋体" w:cs="Times New Roman"/>
                <w:b/>
                <w:bCs/>
                <w:color w:val="auto"/>
                <w:szCs w:val="21"/>
                <w:highlight w:val="none"/>
              </w:rPr>
              <w:t>定标因素</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DD12BB9">
            <w:pPr>
              <w:keepNext w:val="0"/>
              <w:keepLines w:val="0"/>
              <w:suppressLineNumbers w:val="0"/>
              <w:spacing w:before="0" w:beforeAutospacing="0" w:after="0" w:afterAutospacing="0"/>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lang w:bidi="ar"/>
              </w:rPr>
              <w:t>合格的中标候选人名称</w:t>
            </w:r>
            <w:r>
              <w:rPr>
                <w:rFonts w:hint="eastAsia" w:ascii="宋体" w:hAnsi="宋体" w:cs="Times New Roman"/>
                <w:b/>
                <w:bCs/>
                <w:color w:val="auto"/>
                <w:szCs w:val="21"/>
                <w:highlight w:val="none"/>
              </w:rPr>
              <w:t>1</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74F5A1C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合格的中标候选人名称2</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96F165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default" w:ascii="Arial" w:hAnsi="Arial" w:cs="Arial"/>
                <w:b/>
                <w:bCs/>
                <w:color w:val="auto"/>
                <w:szCs w:val="21"/>
                <w:highlight w:val="none"/>
              </w:rPr>
              <w:t>……</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14:paraId="70F6B92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合格的中标候选人名称</w:t>
            </w:r>
            <w:r>
              <w:rPr>
                <w:rFonts w:hint="eastAsia" w:ascii="宋体" w:hAnsi="宋体" w:cs="Times New Roman"/>
                <w:b/>
                <w:bCs/>
                <w:color w:val="auto"/>
                <w:szCs w:val="21"/>
                <w:highlight w:val="none"/>
              </w:rPr>
              <w:t>n</w:t>
            </w:r>
          </w:p>
        </w:tc>
      </w:tr>
      <w:tr w14:paraId="14FA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91" w:type="dxa"/>
            <w:vMerge w:val="restart"/>
            <w:tcBorders>
              <w:top w:val="single" w:color="000000" w:sz="4" w:space="0"/>
              <w:left w:val="single" w:color="auto" w:sz="4" w:space="0"/>
              <w:bottom w:val="single" w:color="000000" w:sz="4" w:space="0"/>
              <w:right w:val="single" w:color="auto" w:sz="4" w:space="0"/>
            </w:tcBorders>
            <w:noWrap w:val="0"/>
            <w:vAlign w:val="center"/>
          </w:tcPr>
          <w:p w14:paraId="64A81EA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施工方案因素</w:t>
            </w:r>
          </w:p>
        </w:tc>
        <w:tc>
          <w:tcPr>
            <w:tcW w:w="2176" w:type="dxa"/>
            <w:tcBorders>
              <w:top w:val="single" w:color="000000" w:sz="4" w:space="0"/>
              <w:left w:val="single" w:color="auto" w:sz="4" w:space="0"/>
              <w:bottom w:val="single" w:color="000000" w:sz="4" w:space="0"/>
              <w:right w:val="single" w:color="auto" w:sz="4" w:space="0"/>
            </w:tcBorders>
            <w:noWrap w:val="0"/>
            <w:vAlign w:val="center"/>
          </w:tcPr>
          <w:p w14:paraId="7B6D868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重点分析及保障措施</w:t>
            </w:r>
          </w:p>
        </w:tc>
        <w:tc>
          <w:tcPr>
            <w:tcW w:w="1760" w:type="dxa"/>
            <w:tcBorders>
              <w:top w:val="single" w:color="000000" w:sz="4" w:space="0"/>
              <w:left w:val="single" w:color="auto" w:sz="4" w:space="0"/>
              <w:right w:val="single" w:color="auto" w:sz="4" w:space="0"/>
            </w:tcBorders>
            <w:noWrap w:val="0"/>
            <w:vAlign w:val="center"/>
          </w:tcPr>
          <w:p w14:paraId="0BD157F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0" w:type="dxa"/>
            <w:tcBorders>
              <w:top w:val="single" w:color="000000" w:sz="4" w:space="0"/>
              <w:left w:val="single" w:color="auto" w:sz="4" w:space="0"/>
              <w:right w:val="single" w:color="auto" w:sz="4" w:space="0"/>
            </w:tcBorders>
            <w:noWrap w:val="0"/>
            <w:vAlign w:val="center"/>
          </w:tcPr>
          <w:p w14:paraId="125DA50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0" w:type="dxa"/>
            <w:tcBorders>
              <w:top w:val="single" w:color="000000" w:sz="4" w:space="0"/>
              <w:left w:val="single" w:color="auto" w:sz="4" w:space="0"/>
              <w:right w:val="single" w:color="auto" w:sz="4" w:space="0"/>
            </w:tcBorders>
            <w:noWrap w:val="0"/>
            <w:vAlign w:val="center"/>
          </w:tcPr>
          <w:p w14:paraId="03C30A4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1" w:type="dxa"/>
            <w:tcBorders>
              <w:top w:val="single" w:color="000000" w:sz="4" w:space="0"/>
              <w:left w:val="single" w:color="auto" w:sz="4" w:space="0"/>
              <w:right w:val="single" w:color="auto" w:sz="4" w:space="0"/>
            </w:tcBorders>
            <w:noWrap w:val="0"/>
            <w:vAlign w:val="center"/>
          </w:tcPr>
          <w:p w14:paraId="790EDD8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141A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91" w:type="dxa"/>
            <w:vMerge w:val="continue"/>
            <w:tcBorders>
              <w:top w:val="single" w:color="000000" w:sz="4" w:space="0"/>
              <w:left w:val="single" w:color="auto" w:sz="4" w:space="0"/>
              <w:bottom w:val="single" w:color="000000" w:sz="4" w:space="0"/>
              <w:right w:val="single" w:color="auto" w:sz="4" w:space="0"/>
            </w:tcBorders>
            <w:noWrap w:val="0"/>
            <w:vAlign w:val="center"/>
          </w:tcPr>
          <w:p w14:paraId="43FA421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76" w:type="dxa"/>
            <w:tcBorders>
              <w:top w:val="single" w:color="000000" w:sz="4" w:space="0"/>
              <w:left w:val="single" w:color="auto" w:sz="4" w:space="0"/>
              <w:bottom w:val="single" w:color="000000" w:sz="4" w:space="0"/>
              <w:right w:val="single" w:color="auto" w:sz="4" w:space="0"/>
            </w:tcBorders>
            <w:noWrap w:val="0"/>
            <w:vAlign w:val="center"/>
          </w:tcPr>
          <w:p w14:paraId="227E008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质量控制和安全文明管理措施</w:t>
            </w:r>
          </w:p>
        </w:tc>
        <w:tc>
          <w:tcPr>
            <w:tcW w:w="1760" w:type="dxa"/>
            <w:tcBorders>
              <w:top w:val="single" w:color="000000" w:sz="4" w:space="0"/>
              <w:left w:val="single" w:color="auto" w:sz="4" w:space="0"/>
              <w:right w:val="single" w:color="auto" w:sz="4" w:space="0"/>
            </w:tcBorders>
            <w:noWrap w:val="0"/>
            <w:vAlign w:val="center"/>
          </w:tcPr>
          <w:p w14:paraId="099BCF7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0" w:type="dxa"/>
            <w:tcBorders>
              <w:top w:val="single" w:color="000000" w:sz="4" w:space="0"/>
              <w:left w:val="single" w:color="auto" w:sz="4" w:space="0"/>
              <w:right w:val="single" w:color="auto" w:sz="4" w:space="0"/>
            </w:tcBorders>
            <w:noWrap w:val="0"/>
            <w:vAlign w:val="center"/>
          </w:tcPr>
          <w:p w14:paraId="6BB3627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0" w:type="dxa"/>
            <w:tcBorders>
              <w:top w:val="single" w:color="000000" w:sz="4" w:space="0"/>
              <w:left w:val="single" w:color="auto" w:sz="4" w:space="0"/>
              <w:right w:val="single" w:color="auto" w:sz="4" w:space="0"/>
            </w:tcBorders>
            <w:noWrap w:val="0"/>
            <w:vAlign w:val="center"/>
          </w:tcPr>
          <w:p w14:paraId="78988DC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1" w:type="dxa"/>
            <w:tcBorders>
              <w:top w:val="single" w:color="000000" w:sz="4" w:space="0"/>
              <w:left w:val="single" w:color="auto" w:sz="4" w:space="0"/>
              <w:right w:val="single" w:color="auto" w:sz="4" w:space="0"/>
            </w:tcBorders>
            <w:noWrap w:val="0"/>
            <w:vAlign w:val="center"/>
          </w:tcPr>
          <w:p w14:paraId="7A33D8A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2270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691" w:type="dxa"/>
            <w:vMerge w:val="continue"/>
            <w:tcBorders>
              <w:left w:val="single" w:color="auto" w:sz="4" w:space="0"/>
              <w:right w:val="single" w:color="auto" w:sz="4" w:space="0"/>
            </w:tcBorders>
            <w:noWrap w:val="0"/>
            <w:vAlign w:val="center"/>
          </w:tcPr>
          <w:p w14:paraId="444782F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3D11F68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进度控制措施</w:t>
            </w:r>
          </w:p>
        </w:tc>
        <w:tc>
          <w:tcPr>
            <w:tcW w:w="1760" w:type="dxa"/>
            <w:tcBorders>
              <w:left w:val="single" w:color="auto" w:sz="4" w:space="0"/>
              <w:right w:val="single" w:color="auto" w:sz="4" w:space="0"/>
            </w:tcBorders>
            <w:noWrap w:val="0"/>
            <w:vAlign w:val="center"/>
          </w:tcPr>
          <w:p w14:paraId="42618C0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0" w:type="dxa"/>
            <w:tcBorders>
              <w:left w:val="single" w:color="auto" w:sz="4" w:space="0"/>
              <w:right w:val="single" w:color="auto" w:sz="4" w:space="0"/>
            </w:tcBorders>
            <w:noWrap w:val="0"/>
            <w:vAlign w:val="center"/>
          </w:tcPr>
          <w:p w14:paraId="19CF32E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0" w:type="dxa"/>
            <w:tcBorders>
              <w:left w:val="single" w:color="auto" w:sz="4" w:space="0"/>
              <w:right w:val="single" w:color="auto" w:sz="4" w:space="0"/>
            </w:tcBorders>
            <w:noWrap w:val="0"/>
            <w:vAlign w:val="center"/>
          </w:tcPr>
          <w:p w14:paraId="7465497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1" w:type="dxa"/>
            <w:tcBorders>
              <w:left w:val="single" w:color="auto" w:sz="4" w:space="0"/>
              <w:right w:val="single" w:color="auto" w:sz="4" w:space="0"/>
            </w:tcBorders>
            <w:noWrap w:val="0"/>
            <w:vAlign w:val="center"/>
          </w:tcPr>
          <w:p w14:paraId="5193E4F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1B6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2867" w:type="dxa"/>
            <w:gridSpan w:val="2"/>
            <w:tcBorders>
              <w:top w:val="single" w:color="auto" w:sz="4" w:space="0"/>
              <w:left w:val="single" w:color="auto" w:sz="4" w:space="0"/>
              <w:bottom w:val="single" w:color="auto" w:sz="4" w:space="0"/>
              <w:right w:val="single" w:color="auto" w:sz="4" w:space="0"/>
            </w:tcBorders>
            <w:noWrap w:val="0"/>
            <w:vAlign w:val="center"/>
          </w:tcPr>
          <w:p w14:paraId="7EE3C8D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价格因素</w:t>
            </w:r>
          </w:p>
        </w:tc>
        <w:tc>
          <w:tcPr>
            <w:tcW w:w="1760" w:type="dxa"/>
            <w:tcBorders>
              <w:left w:val="single" w:color="auto" w:sz="4" w:space="0"/>
              <w:right w:val="single" w:color="auto" w:sz="4" w:space="0"/>
            </w:tcBorders>
            <w:noWrap w:val="0"/>
            <w:vAlign w:val="center"/>
          </w:tcPr>
          <w:p w14:paraId="142F8A6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0" w:type="dxa"/>
            <w:tcBorders>
              <w:left w:val="single" w:color="auto" w:sz="4" w:space="0"/>
              <w:right w:val="single" w:color="auto" w:sz="4" w:space="0"/>
            </w:tcBorders>
            <w:noWrap w:val="0"/>
            <w:vAlign w:val="center"/>
          </w:tcPr>
          <w:p w14:paraId="28CFB27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0" w:type="dxa"/>
            <w:tcBorders>
              <w:left w:val="single" w:color="auto" w:sz="4" w:space="0"/>
              <w:right w:val="single" w:color="auto" w:sz="4" w:space="0"/>
            </w:tcBorders>
            <w:noWrap w:val="0"/>
            <w:vAlign w:val="center"/>
          </w:tcPr>
          <w:p w14:paraId="6EB9A78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761" w:type="dxa"/>
            <w:tcBorders>
              <w:left w:val="single" w:color="auto" w:sz="4" w:space="0"/>
              <w:right w:val="single" w:color="auto" w:sz="4" w:space="0"/>
            </w:tcBorders>
            <w:noWrap w:val="0"/>
            <w:vAlign w:val="center"/>
          </w:tcPr>
          <w:p w14:paraId="546AC22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53820B16">
      <w:pPr>
        <w:pStyle w:val="173"/>
        <w:jc w:val="left"/>
        <w:rPr>
          <w:rFonts w:hint="eastAsia" w:ascii="宋体" w:hAnsi="宋体" w:eastAsia="宋体" w:cs="宋体"/>
          <w:color w:val="auto"/>
          <w:highlight w:val="none"/>
        </w:rPr>
      </w:pPr>
    </w:p>
    <w:p w14:paraId="1FD86FFB">
      <w:pPr>
        <w:tabs>
          <w:tab w:val="left" w:pos="0"/>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备注：</w:t>
      </w:r>
    </w:p>
    <w:p w14:paraId="4B633849">
      <w:pPr>
        <w:tabs>
          <w:tab w:val="left" w:pos="0"/>
        </w:tabs>
        <w:snapToGrid w:val="0"/>
        <w:spacing w:line="360" w:lineRule="auto"/>
        <w:jc w:val="left"/>
        <w:rPr>
          <w:rFonts w:ascii="宋体" w:hAnsi="宋体" w:cs="宋体"/>
          <w:b/>
          <w:bCs/>
          <w:color w:val="auto"/>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1</w:t>
      </w:r>
      <w:r>
        <w:rPr>
          <w:rFonts w:ascii="宋体" w:hAnsi="宋体" w:cs="宋体"/>
          <w:b/>
          <w:bCs/>
          <w:color w:val="auto"/>
          <w:szCs w:val="21"/>
          <w:highlight w:val="none"/>
        </w:rPr>
        <w:t>）</w:t>
      </w:r>
      <w:r>
        <w:rPr>
          <w:rFonts w:hint="eastAsia" w:ascii="宋体" w:hAnsi="宋体" w:cs="宋体"/>
          <w:b/>
          <w:bCs/>
          <w:color w:val="auto"/>
          <w:szCs w:val="21"/>
          <w:highlight w:val="none"/>
          <w:lang w:eastAsia="zh-CN"/>
        </w:rPr>
        <w:t>定标委员会阅读评标委员会提交的评标报告，同时对比各合格的中标候选人的投标文件</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含定标文件）</w:t>
      </w:r>
      <w:r>
        <w:rPr>
          <w:rFonts w:hint="eastAsia" w:ascii="宋体" w:hAnsi="宋体" w:cs="宋体"/>
          <w:b/>
          <w:bCs/>
          <w:color w:val="auto"/>
          <w:szCs w:val="21"/>
          <w:highlight w:val="none"/>
          <w:lang w:eastAsia="zh-CN"/>
        </w:rPr>
        <w:t>等情况，综合考虑定标候选人的情况，根据招标文件规定的定标因素进行评审，撰写评语</w:t>
      </w:r>
      <w:r>
        <w:rPr>
          <w:rFonts w:hint="eastAsia" w:ascii="宋体" w:hAnsi="宋体" w:cs="宋体"/>
          <w:b/>
          <w:bCs/>
          <w:color w:val="auto"/>
          <w:szCs w:val="21"/>
          <w:highlight w:val="none"/>
        </w:rPr>
        <w:t>。</w:t>
      </w:r>
    </w:p>
    <w:p w14:paraId="0A925936">
      <w:pPr>
        <w:tabs>
          <w:tab w:val="left" w:pos="0"/>
        </w:tabs>
        <w:snapToGrid w:val="0"/>
        <w:spacing w:line="360" w:lineRule="auto"/>
        <w:jc w:val="left"/>
        <w:rPr>
          <w:rFonts w:hint="eastAsia" w:ascii="宋体" w:hAnsi="宋体" w:cs="宋体"/>
          <w:b/>
          <w:bCs/>
          <w:color w:val="auto"/>
          <w:kern w:val="0"/>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2</w:t>
      </w:r>
      <w:r>
        <w:rPr>
          <w:rFonts w:ascii="宋体" w:hAnsi="宋体" w:cs="宋体"/>
          <w:b/>
          <w:bCs/>
          <w:color w:val="auto"/>
          <w:szCs w:val="21"/>
          <w:highlight w:val="none"/>
        </w:rPr>
        <w:t>）</w:t>
      </w:r>
      <w:r>
        <w:rPr>
          <w:rFonts w:hint="eastAsia" w:ascii="宋体" w:hAnsi="宋体" w:cs="宋体"/>
          <w:b/>
          <w:bCs/>
          <w:color w:val="auto"/>
          <w:kern w:val="0"/>
          <w:szCs w:val="21"/>
          <w:highlight w:val="none"/>
        </w:rPr>
        <w:t>定标委员会成员应当独立评审，任何人不得非法干预、影响评审过程，不得使用通信联络工具。</w:t>
      </w:r>
    </w:p>
    <w:p w14:paraId="001E6827">
      <w:pPr>
        <w:tabs>
          <w:tab w:val="left" w:pos="0"/>
        </w:tabs>
        <w:snapToGrid w:val="0"/>
        <w:spacing w:line="360" w:lineRule="auto"/>
        <w:jc w:val="left"/>
        <w:rPr>
          <w:rFonts w:hint="eastAsia" w:ascii="宋体" w:hAnsi="宋体" w:cs="宋体"/>
          <w:b/>
          <w:bCs/>
          <w:color w:val="auto"/>
          <w:szCs w:val="21"/>
          <w:highlight w:val="none"/>
          <w:u w:val="single"/>
        </w:rPr>
      </w:pPr>
    </w:p>
    <w:p w14:paraId="36F9DFB7">
      <w:pPr>
        <w:tabs>
          <w:tab w:val="left" w:pos="0"/>
        </w:tabs>
        <w:snapToGrid w:val="0"/>
        <w:ind w:left="-2"/>
        <w:jc w:val="left"/>
        <w:rPr>
          <w:rFonts w:hint="eastAsia" w:ascii="宋体" w:hAnsi="宋体" w:cs="宋体"/>
          <w:color w:val="auto"/>
          <w:szCs w:val="21"/>
          <w:highlight w:val="none"/>
        </w:rPr>
      </w:pPr>
    </w:p>
    <w:p w14:paraId="52DEC637">
      <w:pPr>
        <w:ind w:firstLine="420" w:firstLineChars="200"/>
        <w:rPr>
          <w:rFonts w:hint="eastAsia" w:ascii="宋体" w:hAnsi="宋体" w:cs="宋体"/>
          <w:color w:val="auto"/>
          <w:kern w:val="0"/>
          <w:sz w:val="28"/>
          <w:szCs w:val="28"/>
          <w:highlight w:val="none"/>
        </w:rPr>
      </w:pPr>
      <w:r>
        <w:rPr>
          <w:rFonts w:hint="eastAsia" w:ascii="宋体" w:hAnsi="宋体" w:cs="宋体"/>
          <w:color w:val="auto"/>
          <w:kern w:val="0"/>
          <w:szCs w:val="21"/>
          <w:highlight w:val="none"/>
        </w:rPr>
        <w:t xml:space="preserve">定标委员签名：                                                           日期：   </w:t>
      </w:r>
    </w:p>
    <w:p w14:paraId="2CB9E9BA">
      <w:pPr>
        <w:widowControl/>
        <w:jc w:val="left"/>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附表九</w:t>
      </w:r>
    </w:p>
    <w:p w14:paraId="61CBD961">
      <w:pPr>
        <w:widowControl/>
        <w:jc w:val="left"/>
        <w:rPr>
          <w:rFonts w:hint="eastAsia" w:ascii="宋体" w:hAnsi="宋体" w:cs="宋体"/>
          <w:color w:val="auto"/>
          <w:szCs w:val="21"/>
          <w:highlight w:val="none"/>
        </w:rPr>
      </w:pPr>
    </w:p>
    <w:p w14:paraId="2D08C95C">
      <w:pPr>
        <w:adjustRightInd w:val="0"/>
        <w:snapToGrid w:val="0"/>
        <w:spacing w:line="360" w:lineRule="auto"/>
        <w:ind w:firstLine="562" w:firstLineChars="200"/>
        <w:jc w:val="center"/>
        <w:rPr>
          <w:rFonts w:hint="eastAsia" w:ascii="宋体" w:hAnsi="宋体" w:cs="宋体"/>
          <w:b/>
          <w:color w:val="auto"/>
          <w:sz w:val="28"/>
          <w:szCs w:val="28"/>
          <w:highlight w:val="none"/>
        </w:rPr>
      </w:pPr>
      <w:bookmarkStart w:id="195" w:name="_Hlk197459214"/>
      <w:r>
        <w:rPr>
          <w:rFonts w:hint="eastAsia" w:ascii="宋体" w:hAnsi="宋体" w:cs="宋体"/>
          <w:b/>
          <w:bCs/>
          <w:color w:val="auto"/>
          <w:kern w:val="0"/>
          <w:sz w:val="28"/>
          <w:szCs w:val="28"/>
          <w:highlight w:val="none"/>
        </w:rPr>
        <w:t>定标投票表</w:t>
      </w:r>
      <w:r>
        <w:rPr>
          <w:rFonts w:hint="eastAsia" w:ascii="宋体" w:hAnsi="宋体" w:cs="宋体"/>
          <w:b/>
          <w:color w:val="auto"/>
          <w:sz w:val="28"/>
          <w:szCs w:val="28"/>
          <w:highlight w:val="none"/>
        </w:rPr>
        <w:t>（定标阶段）</w:t>
      </w:r>
    </w:p>
    <w:bookmarkEnd w:id="195"/>
    <w:p w14:paraId="70C90705">
      <w:pPr>
        <w:pStyle w:val="3"/>
        <w:rPr>
          <w:rFonts w:hint="eastAsia"/>
          <w:color w:val="auto"/>
          <w:highlight w:val="none"/>
        </w:rPr>
      </w:pPr>
    </w:p>
    <w:p w14:paraId="6D6AC51F">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工程名称：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585"/>
      </w:tblGrid>
      <w:tr w14:paraId="5252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965" w:type="dxa"/>
            <w:noWrap w:val="0"/>
            <w:vAlign w:val="center"/>
          </w:tcPr>
          <w:p w14:paraId="5A44D403">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投票支持的合格的中标候选人名称</w:t>
            </w:r>
          </w:p>
        </w:tc>
        <w:tc>
          <w:tcPr>
            <w:tcW w:w="6585" w:type="dxa"/>
            <w:noWrap w:val="0"/>
            <w:vAlign w:val="center"/>
          </w:tcPr>
          <w:p w14:paraId="6B2BA85B">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评语</w:t>
            </w:r>
          </w:p>
        </w:tc>
      </w:tr>
      <w:tr w14:paraId="1440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965" w:type="dxa"/>
            <w:noWrap w:val="0"/>
            <w:vAlign w:val="center"/>
          </w:tcPr>
          <w:p w14:paraId="711B8F37">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c>
          <w:tcPr>
            <w:tcW w:w="6585" w:type="dxa"/>
            <w:noWrap w:val="0"/>
            <w:vAlign w:val="center"/>
          </w:tcPr>
          <w:p w14:paraId="485652FE">
            <w:pPr>
              <w:keepNext w:val="0"/>
              <w:keepLines w:val="0"/>
              <w:suppressLineNumbers w:val="0"/>
              <w:spacing w:before="0" w:beforeAutospacing="0" w:after="0" w:afterAutospacing="0"/>
              <w:ind w:left="0" w:right="0"/>
              <w:jc w:val="center"/>
              <w:rPr>
                <w:rFonts w:hint="default" w:ascii="宋体" w:hAnsi="宋体" w:cs="Times New Roman"/>
                <w:color w:val="auto"/>
                <w:szCs w:val="21"/>
                <w:highlight w:val="none"/>
              </w:rPr>
            </w:pPr>
          </w:p>
        </w:tc>
      </w:tr>
    </w:tbl>
    <w:p w14:paraId="5CF71A65">
      <w:pPr>
        <w:pStyle w:val="173"/>
        <w:rPr>
          <w:rFonts w:hint="eastAsia" w:ascii="宋体" w:hAnsi="宋体" w:eastAsia="宋体" w:cs="宋体"/>
          <w:color w:val="auto"/>
          <w:kern w:val="0"/>
          <w:szCs w:val="21"/>
          <w:highlight w:val="none"/>
        </w:rPr>
      </w:pPr>
    </w:p>
    <w:p w14:paraId="50305287">
      <w:pPr>
        <w:adjustRightInd w:val="0"/>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p w14:paraId="73563229">
      <w:pPr>
        <w:adjustRightInd w:val="0"/>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（1）定标委员会集体进行一次性票决（即一轮票决），每位定标委员每轮只有1票表决权，即每位定标委员只能对其中一家合格中标候选人投票。</w:t>
      </w:r>
    </w:p>
    <w:p w14:paraId="181B00DA">
      <w:pPr>
        <w:adjustRightInd w:val="0"/>
        <w:snapToGrid w:val="0"/>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投票若出现票数相同且无法决出中标人时，对票数相同的合格的中标候选人再集体进行一次附加票决（一轮票决）。若附加票决后再有相同票数的情形且无法决出中标人，对票数相同的合格的中标候选人再集体进行一次附加票决（一轮票决），直至决出得票数最多的确认为中标人</w:t>
      </w:r>
      <w:r>
        <w:rPr>
          <w:rFonts w:hint="eastAsia" w:ascii="宋体" w:hAnsi="宋体" w:cs="宋体"/>
          <w:b/>
          <w:bCs/>
          <w:color w:val="auto"/>
          <w:szCs w:val="21"/>
          <w:highlight w:val="none"/>
        </w:rPr>
        <w:t>。</w:t>
      </w:r>
    </w:p>
    <w:p w14:paraId="43099B21">
      <w:pPr>
        <w:adjustRightInd w:val="0"/>
        <w:snapToGrid w:val="0"/>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（3）定标委员会成员应当独立投票，自投票开始至最终排名统计结果公布期间，任何人不得非法干预、影响投票过程，不得透露、协商、改变投票结果，不得使用通信联络工具。</w:t>
      </w:r>
    </w:p>
    <w:p w14:paraId="5F7A8234">
      <w:pPr>
        <w:adjustRightInd w:val="0"/>
        <w:snapToGrid w:val="0"/>
        <w:spacing w:line="360" w:lineRule="auto"/>
        <w:rPr>
          <w:rFonts w:hint="eastAsia" w:ascii="宋体" w:hAnsi="宋体" w:cs="宋体"/>
          <w:color w:val="auto"/>
          <w:kern w:val="0"/>
          <w:szCs w:val="21"/>
          <w:highlight w:val="none"/>
        </w:rPr>
      </w:pPr>
    </w:p>
    <w:p w14:paraId="48A80689">
      <w:pPr>
        <w:adjustRightInd w:val="0"/>
        <w:snapToGrid w:val="0"/>
        <w:spacing w:line="360" w:lineRule="auto"/>
        <w:rPr>
          <w:rFonts w:hint="eastAsia" w:ascii="宋体" w:hAnsi="宋体" w:cs="宋体"/>
          <w:color w:val="auto"/>
          <w:kern w:val="0"/>
          <w:szCs w:val="21"/>
          <w:highlight w:val="none"/>
        </w:rPr>
      </w:pPr>
    </w:p>
    <w:p w14:paraId="45898938">
      <w:pPr>
        <w:spacing w:line="360" w:lineRule="auto"/>
        <w:ind w:firstLine="632" w:firstLineChars="300"/>
        <w:rPr>
          <w:rFonts w:ascii="宋体" w:hAnsi="宋体"/>
          <w:b/>
          <w:bCs/>
          <w:color w:val="auto"/>
          <w:szCs w:val="21"/>
          <w:highlight w:val="none"/>
        </w:rPr>
      </w:pPr>
      <w:r>
        <w:rPr>
          <w:rFonts w:hint="eastAsia" w:ascii="宋体" w:hAnsi="宋体"/>
          <w:b/>
          <w:bCs/>
          <w:color w:val="auto"/>
          <w:szCs w:val="21"/>
          <w:highlight w:val="none"/>
        </w:rPr>
        <w:t>定标委员签名：                               日期：</w:t>
      </w:r>
    </w:p>
    <w:p w14:paraId="4A923770">
      <w:pPr>
        <w:adjustRightInd w:val="0"/>
        <w:snapToGrid w:val="0"/>
        <w:spacing w:line="360" w:lineRule="auto"/>
        <w:rPr>
          <w:rFonts w:hint="eastAsia" w:ascii="宋体" w:hAnsi="宋体" w:cs="宋体"/>
          <w:color w:val="auto"/>
          <w:kern w:val="0"/>
          <w:highlight w:val="none"/>
        </w:rPr>
      </w:pPr>
    </w:p>
    <w:p w14:paraId="568C133C">
      <w:pP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 xml:space="preserve"> </w:t>
      </w:r>
    </w:p>
    <w:p w14:paraId="6991C488">
      <w:pPr>
        <w:rPr>
          <w:rFonts w:hint="eastAsia" w:ascii="宋体" w:hAnsi="宋体"/>
          <w:b/>
          <w:bCs/>
          <w:color w:val="auto"/>
          <w:sz w:val="32"/>
          <w:szCs w:val="32"/>
          <w:highlight w:val="none"/>
        </w:rPr>
      </w:pPr>
      <w:r>
        <w:rPr>
          <w:rFonts w:hint="eastAsia" w:ascii="宋体" w:hAnsi="宋体" w:cs="宋体"/>
          <w:color w:val="auto"/>
          <w:highlight w:val="none"/>
        </w:rPr>
        <w:br w:type="page"/>
      </w:r>
      <w:bookmarkStart w:id="196" w:name="_Hlk190776725"/>
      <w:r>
        <w:rPr>
          <w:rFonts w:hint="eastAsia" w:ascii="宋体" w:hAnsi="宋体" w:cs="宋体"/>
          <w:b/>
          <w:bCs/>
          <w:color w:val="auto"/>
          <w:sz w:val="24"/>
          <w:szCs w:val="24"/>
          <w:highlight w:val="none"/>
        </w:rPr>
        <w:t>附表</w:t>
      </w:r>
      <w:bookmarkEnd w:id="196"/>
      <w:r>
        <w:rPr>
          <w:rFonts w:hint="eastAsia" w:ascii="宋体" w:hAnsi="宋体" w:cs="宋体"/>
          <w:b/>
          <w:bCs/>
          <w:color w:val="auto"/>
          <w:sz w:val="24"/>
          <w:szCs w:val="24"/>
          <w:highlight w:val="none"/>
        </w:rPr>
        <w:t>十（定标阶段-票数相同时定标委员会个人用表）</w:t>
      </w:r>
    </w:p>
    <w:p w14:paraId="0FB78582">
      <w:pPr>
        <w:pStyle w:val="20"/>
        <w:jc w:val="center"/>
        <w:rPr>
          <w:rFonts w:hAnsi="宋体"/>
          <w:b/>
          <w:color w:val="auto"/>
          <w:sz w:val="28"/>
          <w:szCs w:val="28"/>
          <w:highlight w:val="none"/>
        </w:rPr>
      </w:pPr>
    </w:p>
    <w:p w14:paraId="0BB53DA2">
      <w:pPr>
        <w:pStyle w:val="173"/>
        <w:spacing w:line="360" w:lineRule="auto"/>
        <w:jc w:val="center"/>
        <w:rPr>
          <w:rFonts w:ascii="宋体" w:hAnsi="宋体" w:eastAsia="宋体"/>
          <w:b/>
          <w:color w:val="auto"/>
          <w:sz w:val="28"/>
          <w:szCs w:val="28"/>
          <w:highlight w:val="none"/>
        </w:rPr>
      </w:pPr>
      <w:bookmarkStart w:id="197" w:name="_Hlk197459189"/>
      <w:r>
        <w:rPr>
          <w:rFonts w:hint="eastAsia" w:ascii="宋体" w:hAnsi="宋体" w:eastAsia="宋体"/>
          <w:b/>
          <w:color w:val="auto"/>
          <w:sz w:val="28"/>
          <w:szCs w:val="28"/>
          <w:highlight w:val="none"/>
        </w:rPr>
        <w:t>附加</w:t>
      </w:r>
      <w:r>
        <w:rPr>
          <w:rFonts w:hint="eastAsia" w:ascii="宋体" w:hAnsi="宋体" w:eastAsia="宋体"/>
          <w:b/>
          <w:bCs/>
          <w:color w:val="auto"/>
          <w:sz w:val="28"/>
          <w:szCs w:val="28"/>
          <w:highlight w:val="none"/>
        </w:rPr>
        <w:t>投票</w:t>
      </w:r>
      <w:r>
        <w:rPr>
          <w:rFonts w:hint="eastAsia" w:ascii="宋体" w:hAnsi="宋体" w:eastAsia="宋体"/>
          <w:b/>
          <w:color w:val="auto"/>
          <w:sz w:val="28"/>
          <w:szCs w:val="28"/>
          <w:highlight w:val="none"/>
        </w:rPr>
        <w:t>表</w:t>
      </w:r>
    </w:p>
    <w:bookmarkEnd w:id="197"/>
    <w:p w14:paraId="60AD2ED0">
      <w:pPr>
        <w:pStyle w:val="173"/>
        <w:spacing w:line="360" w:lineRule="auto"/>
        <w:jc w:val="center"/>
        <w:rPr>
          <w:rFonts w:ascii="宋体" w:hAnsi="宋体" w:eastAsia="宋体"/>
          <w:b/>
          <w:color w:val="auto"/>
          <w:sz w:val="28"/>
          <w:szCs w:val="28"/>
          <w:highlight w:val="none"/>
        </w:rPr>
      </w:pPr>
    </w:p>
    <w:p w14:paraId="4A18BEAC">
      <w:pPr>
        <w:adjustRightInd w:val="0"/>
        <w:snapToGrid w:val="0"/>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工程名称：</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2083"/>
        <w:gridCol w:w="1793"/>
        <w:gridCol w:w="2406"/>
      </w:tblGrid>
      <w:tr w14:paraId="5EB7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961" w:type="dxa"/>
            <w:tcBorders>
              <w:top w:val="single" w:color="auto" w:sz="4" w:space="0"/>
              <w:left w:val="single" w:color="auto" w:sz="4" w:space="0"/>
              <w:bottom w:val="single" w:color="auto" w:sz="4" w:space="0"/>
              <w:right w:val="single" w:color="auto" w:sz="4" w:space="0"/>
            </w:tcBorders>
            <w:noWrap w:val="0"/>
            <w:vAlign w:val="center"/>
          </w:tcPr>
          <w:p w14:paraId="4F74F5A9">
            <w:pPr>
              <w:keepNext w:val="0"/>
              <w:keepLines w:val="0"/>
              <w:suppressLineNumbers w:val="0"/>
              <w:spacing w:before="0" w:beforeAutospacing="0" w:after="0" w:afterAutospacing="0" w:line="360" w:lineRule="auto"/>
              <w:ind w:left="0" w:right="0"/>
              <w:jc w:val="center"/>
              <w:rPr>
                <w:rFonts w:hint="default" w:ascii="宋体" w:hAnsi="宋体" w:cs="Times New Roman"/>
                <w:b/>
                <w:bCs/>
                <w:color w:val="auto"/>
                <w:kern w:val="0"/>
                <w:szCs w:val="21"/>
                <w:highlight w:val="none"/>
              </w:rPr>
            </w:pPr>
            <w:r>
              <w:rPr>
                <w:rFonts w:hint="eastAsia" w:ascii="宋体" w:hAnsi="宋体" w:cs="Times New Roman"/>
                <w:b/>
                <w:bCs/>
                <w:color w:val="auto"/>
                <w:kern w:val="0"/>
                <w:szCs w:val="21"/>
                <w:highlight w:val="none"/>
              </w:rPr>
              <w:t>合格的中标候选人名称</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E9EE552">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宋体"/>
                <w:b/>
                <w:bCs/>
                <w:color w:val="auto"/>
                <w:szCs w:val="21"/>
                <w:highlight w:val="none"/>
                <w:lang w:bidi="ar"/>
              </w:rPr>
              <w:t>合格的中标候选人名称</w:t>
            </w:r>
            <w:r>
              <w:rPr>
                <w:rFonts w:hint="eastAsia" w:ascii="宋体" w:hAnsi="宋体" w:cs="Times New Roman"/>
                <w:b/>
                <w:bCs/>
                <w:color w:val="auto"/>
                <w:szCs w:val="21"/>
                <w:highlight w:val="none"/>
              </w:rPr>
              <w:t>1</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26269E3C">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宋体"/>
                <w:b/>
                <w:bCs/>
                <w:color w:val="auto"/>
                <w:szCs w:val="21"/>
                <w:highlight w:val="none"/>
                <w:lang w:bidi="ar"/>
              </w:rPr>
              <w:t>合格的中标候选人名称</w:t>
            </w:r>
            <w:r>
              <w:rPr>
                <w:rFonts w:hint="eastAsia" w:ascii="宋体" w:hAnsi="宋体" w:cs="Times New Roman"/>
                <w:b/>
                <w:bCs/>
                <w:color w:val="auto"/>
                <w:szCs w:val="21"/>
                <w:highlight w:val="none"/>
              </w:rPr>
              <w:t>1</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4C881C57">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w:t>
            </w:r>
          </w:p>
        </w:tc>
      </w:tr>
      <w:tr w14:paraId="70E4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961" w:type="dxa"/>
            <w:tcBorders>
              <w:top w:val="single" w:color="auto" w:sz="4" w:space="0"/>
              <w:left w:val="single" w:color="auto" w:sz="4" w:space="0"/>
              <w:bottom w:val="single" w:color="auto" w:sz="4" w:space="0"/>
              <w:right w:val="single" w:color="auto" w:sz="4" w:space="0"/>
            </w:tcBorders>
            <w:noWrap w:val="0"/>
            <w:vAlign w:val="center"/>
          </w:tcPr>
          <w:p w14:paraId="47407E6B">
            <w:pPr>
              <w:keepNext w:val="0"/>
              <w:keepLines w:val="0"/>
              <w:suppressLineNumbers w:val="0"/>
              <w:spacing w:before="0" w:beforeAutospacing="0" w:after="0" w:afterAutospacing="0" w:line="360" w:lineRule="auto"/>
              <w:ind w:left="0" w:right="0"/>
              <w:jc w:val="center"/>
              <w:rPr>
                <w:rFonts w:hint="default" w:ascii="宋体" w:hAnsi="宋体" w:cs="Times New Roman"/>
                <w:b/>
                <w:bCs/>
                <w:color w:val="auto"/>
                <w:kern w:val="0"/>
                <w:szCs w:val="21"/>
                <w:highlight w:val="none"/>
              </w:rPr>
            </w:pPr>
            <w:r>
              <w:rPr>
                <w:rFonts w:hint="eastAsia" w:ascii="宋体" w:hAnsi="宋体" w:cs="Times New Roman"/>
                <w:b/>
                <w:bCs/>
                <w:color w:val="auto"/>
                <w:kern w:val="0"/>
                <w:szCs w:val="21"/>
                <w:highlight w:val="none"/>
              </w:rPr>
              <w:t>票决意见</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7EFB58ED">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0"/>
                <w:szCs w:val="21"/>
                <w:highlight w:val="none"/>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268DE37D">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0"/>
                <w:szCs w:val="21"/>
                <w:highlight w:val="none"/>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0B4A8D96">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0"/>
                <w:szCs w:val="21"/>
                <w:highlight w:val="none"/>
              </w:rPr>
            </w:pPr>
          </w:p>
        </w:tc>
      </w:tr>
    </w:tbl>
    <w:p w14:paraId="30AED237">
      <w:pPr>
        <w:pStyle w:val="173"/>
        <w:spacing w:line="360" w:lineRule="auto"/>
        <w:rPr>
          <w:rFonts w:ascii="宋体" w:hAnsi="宋体"/>
          <w:color w:val="auto"/>
          <w:sz w:val="24"/>
          <w:szCs w:val="24"/>
          <w:highlight w:val="none"/>
        </w:rPr>
      </w:pPr>
    </w:p>
    <w:p w14:paraId="2264869D">
      <w:pPr>
        <w:pStyle w:val="173"/>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3AC2AC71">
      <w:pPr>
        <w:pStyle w:val="173"/>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（1）投票若出现票数相同且无法决出中标人时，对票数相同的合格的中标候选人再进行一次性票决（即一轮票决），直至决出得票数最多的确认为中标人。</w:t>
      </w:r>
    </w:p>
    <w:p w14:paraId="604891DA">
      <w:pPr>
        <w:pStyle w:val="173"/>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由定标委员会成员进行附加投票，票决意见分别为“投票”或“不投票”，各定标委员会成员只有1票表决权（即只能对其中一名合格的中标候选人“投票”），票决意见为“投票”的，用“○”表示；票决意见为“不投票”，用“×”表示。</w:t>
      </w:r>
    </w:p>
    <w:p w14:paraId="6CD297B3">
      <w:pPr>
        <w:spacing w:line="360" w:lineRule="auto"/>
        <w:ind w:firstLine="480"/>
        <w:rPr>
          <w:rFonts w:ascii="宋体" w:hAnsi="宋体"/>
          <w:b/>
          <w:bCs/>
          <w:color w:val="auto"/>
          <w:szCs w:val="21"/>
          <w:highlight w:val="none"/>
        </w:rPr>
      </w:pPr>
      <w:r>
        <w:rPr>
          <w:rFonts w:hint="eastAsia" w:ascii="宋体" w:hAnsi="宋体"/>
          <w:b/>
          <w:bCs/>
          <w:color w:val="auto"/>
          <w:szCs w:val="21"/>
          <w:highlight w:val="none"/>
        </w:rPr>
        <w:t>（3）汇总票决意见，</w:t>
      </w:r>
      <w:r>
        <w:rPr>
          <w:rFonts w:hint="eastAsia" w:ascii="宋体" w:hAnsi="宋体" w:cs="宋体"/>
          <w:b/>
          <w:bCs/>
          <w:color w:val="auto"/>
          <w:kern w:val="0"/>
          <w:szCs w:val="21"/>
          <w:highlight w:val="none"/>
        </w:rPr>
        <w:t>得票数最多的合格的中标候选人确定为中标人。</w:t>
      </w:r>
    </w:p>
    <w:p w14:paraId="14B81D3A">
      <w:pPr>
        <w:spacing w:line="360" w:lineRule="auto"/>
        <w:ind w:firstLine="480"/>
        <w:rPr>
          <w:rFonts w:ascii="宋体" w:hAnsi="宋体"/>
          <w:b/>
          <w:bCs/>
          <w:color w:val="auto"/>
          <w:szCs w:val="21"/>
          <w:highlight w:val="none"/>
        </w:rPr>
      </w:pPr>
      <w:r>
        <w:rPr>
          <w:rFonts w:hint="eastAsia" w:ascii="宋体" w:hAnsi="宋体"/>
          <w:b/>
          <w:bCs/>
          <w:color w:val="auto"/>
          <w:szCs w:val="21"/>
          <w:highlight w:val="none"/>
        </w:rPr>
        <w:t>（4）定标委员会成员应当独立投票，自投票开始至最终排名统计结果公布期间，任何人不得非法干预、影响投票过程，不得透露、协商、改变投票结果，不得使用通信联络工具。</w:t>
      </w:r>
    </w:p>
    <w:p w14:paraId="63171C85">
      <w:pPr>
        <w:spacing w:line="360" w:lineRule="auto"/>
        <w:ind w:firstLine="480"/>
        <w:rPr>
          <w:rFonts w:ascii="宋体" w:hAnsi="宋体"/>
          <w:color w:val="auto"/>
          <w:sz w:val="24"/>
          <w:szCs w:val="24"/>
          <w:highlight w:val="none"/>
        </w:rPr>
      </w:pPr>
    </w:p>
    <w:p w14:paraId="20342C4C">
      <w:pPr>
        <w:spacing w:line="360" w:lineRule="auto"/>
        <w:ind w:firstLine="632" w:firstLineChars="300"/>
        <w:rPr>
          <w:rFonts w:ascii="宋体" w:hAnsi="宋体"/>
          <w:b/>
          <w:bCs/>
          <w:color w:val="auto"/>
          <w:szCs w:val="21"/>
          <w:highlight w:val="none"/>
        </w:rPr>
      </w:pPr>
      <w:r>
        <w:rPr>
          <w:rFonts w:hint="eastAsia" w:ascii="宋体" w:hAnsi="宋体"/>
          <w:b/>
          <w:bCs/>
          <w:color w:val="auto"/>
          <w:szCs w:val="21"/>
          <w:highlight w:val="none"/>
        </w:rPr>
        <w:t>定标委员签名：                               日期：</w:t>
      </w:r>
    </w:p>
    <w:p w14:paraId="6BB7303A">
      <w:pPr>
        <w:pStyle w:val="173"/>
        <w:rPr>
          <w:rFonts w:hint="eastAsia" w:ascii="宋体" w:hAnsi="宋体" w:eastAsia="宋体" w:cs="宋体"/>
          <w:b/>
          <w:bCs/>
          <w:color w:val="auto"/>
          <w:szCs w:val="21"/>
          <w:highlight w:val="none"/>
        </w:rPr>
      </w:pPr>
      <w:r>
        <w:rPr>
          <w:rFonts w:hint="eastAsia" w:ascii="黑体" w:hAnsi="黑体" w:eastAsia="黑体"/>
          <w:color w:val="auto"/>
          <w:sz w:val="32"/>
          <w:szCs w:val="32"/>
          <w:highlight w:val="none"/>
        </w:rPr>
        <w:br w:type="page"/>
      </w:r>
      <w:r>
        <w:rPr>
          <w:rFonts w:hint="eastAsia" w:ascii="宋体" w:hAnsi="宋体" w:eastAsia="宋体" w:cs="宋体"/>
          <w:b/>
          <w:bCs/>
          <w:color w:val="auto"/>
          <w:sz w:val="24"/>
          <w:szCs w:val="24"/>
          <w:highlight w:val="none"/>
        </w:rPr>
        <w:t>附表十一</w:t>
      </w:r>
    </w:p>
    <w:p w14:paraId="54E67EC1">
      <w:pPr>
        <w:pStyle w:val="173"/>
        <w:rPr>
          <w:rFonts w:hint="eastAsia" w:ascii="宋体" w:hAnsi="宋体" w:eastAsia="宋体" w:cs="宋体"/>
          <w:b/>
          <w:bCs/>
          <w:color w:val="auto"/>
          <w:szCs w:val="21"/>
          <w:highlight w:val="none"/>
        </w:rPr>
      </w:pPr>
    </w:p>
    <w:p w14:paraId="7D8661A0">
      <w:pPr>
        <w:jc w:val="center"/>
        <w:rPr>
          <w:rFonts w:hint="eastAsia" w:ascii="宋体" w:hAnsi="宋体"/>
          <w:b/>
          <w:color w:val="auto"/>
          <w:sz w:val="28"/>
          <w:szCs w:val="28"/>
          <w:highlight w:val="none"/>
        </w:rPr>
      </w:pPr>
      <w:bookmarkStart w:id="198" w:name="_Hlk197461374"/>
      <w:r>
        <w:rPr>
          <w:rFonts w:hint="eastAsia" w:ascii="宋体" w:hAnsi="宋体"/>
          <w:b/>
          <w:color w:val="auto"/>
          <w:sz w:val="28"/>
          <w:szCs w:val="28"/>
          <w:highlight w:val="none"/>
        </w:rPr>
        <w:t>投票汇总表格（定标阶段）</w:t>
      </w:r>
    </w:p>
    <w:bookmarkEnd w:id="198"/>
    <w:p w14:paraId="421B5370">
      <w:pPr>
        <w:pStyle w:val="20"/>
        <w:rPr>
          <w:rFonts w:hint="eastAsia" w:hAnsi="宋体"/>
          <w:b/>
          <w:color w:val="auto"/>
          <w:sz w:val="28"/>
          <w:szCs w:val="28"/>
          <w:highlight w:val="none"/>
        </w:rPr>
      </w:pPr>
      <w:r>
        <w:rPr>
          <w:rFonts w:hint="eastAsia" w:hAnsi="宋体" w:cs="宋体"/>
          <w:color w:val="auto"/>
          <w:szCs w:val="21"/>
          <w:highlight w:val="none"/>
        </w:rPr>
        <w:t>工程名称：</w:t>
      </w:r>
    </w:p>
    <w:p w14:paraId="3ABA83D5">
      <w:pPr>
        <w:pStyle w:val="20"/>
        <w:rPr>
          <w:rFonts w:hint="eastAsia" w:hAnsi="宋体"/>
          <w:b/>
          <w:color w:val="auto"/>
          <w:sz w:val="28"/>
          <w:szCs w:val="28"/>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581"/>
        <w:gridCol w:w="871"/>
        <w:gridCol w:w="1069"/>
        <w:gridCol w:w="1718"/>
        <w:gridCol w:w="1243"/>
        <w:gridCol w:w="1098"/>
      </w:tblGrid>
      <w:tr w14:paraId="61E7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062118A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81" w:type="dxa"/>
            <w:tcBorders>
              <w:top w:val="single" w:color="auto" w:sz="4" w:space="0"/>
              <w:left w:val="single" w:color="auto" w:sz="4" w:space="0"/>
              <w:right w:val="single" w:color="auto" w:sz="4" w:space="0"/>
            </w:tcBorders>
            <w:noWrap w:val="0"/>
            <w:vAlign w:val="center"/>
          </w:tcPr>
          <w:p w14:paraId="6D45747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合格的中标候选人名称</w:t>
            </w:r>
          </w:p>
        </w:tc>
        <w:tc>
          <w:tcPr>
            <w:tcW w:w="871" w:type="dxa"/>
            <w:tcBorders>
              <w:top w:val="single" w:color="auto" w:sz="4" w:space="0"/>
              <w:left w:val="single" w:color="auto" w:sz="4" w:space="0"/>
              <w:bottom w:val="single" w:color="auto" w:sz="4" w:space="0"/>
              <w:right w:val="single" w:color="auto" w:sz="4" w:space="0"/>
            </w:tcBorders>
            <w:noWrap w:val="0"/>
            <w:vAlign w:val="center"/>
          </w:tcPr>
          <w:p w14:paraId="0CAE99A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得票数</w:t>
            </w:r>
          </w:p>
        </w:tc>
        <w:tc>
          <w:tcPr>
            <w:tcW w:w="1069" w:type="dxa"/>
            <w:tcBorders>
              <w:top w:val="single" w:color="auto" w:sz="4" w:space="0"/>
              <w:left w:val="single" w:color="auto" w:sz="4" w:space="0"/>
              <w:right w:val="single" w:color="auto" w:sz="4" w:space="0"/>
            </w:tcBorders>
            <w:noWrap w:val="0"/>
            <w:vAlign w:val="center"/>
          </w:tcPr>
          <w:p w14:paraId="2FC86B6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附加投票（如有）</w:t>
            </w:r>
          </w:p>
        </w:tc>
        <w:tc>
          <w:tcPr>
            <w:tcW w:w="1718" w:type="dxa"/>
            <w:tcBorders>
              <w:top w:val="single" w:color="auto" w:sz="4" w:space="0"/>
              <w:left w:val="single" w:color="auto" w:sz="4" w:space="0"/>
              <w:right w:val="single" w:color="auto" w:sz="4" w:space="0"/>
            </w:tcBorders>
            <w:noWrap w:val="0"/>
            <w:vAlign w:val="center"/>
          </w:tcPr>
          <w:p w14:paraId="28343813">
            <w:pPr>
              <w:keepNext w:val="0"/>
              <w:keepLines w:val="0"/>
              <w:suppressLineNumbers w:val="0"/>
              <w:spacing w:before="0" w:beforeAutospacing="0" w:after="0" w:afterAutospacing="0"/>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评语汇总</w:t>
            </w:r>
          </w:p>
        </w:tc>
        <w:tc>
          <w:tcPr>
            <w:tcW w:w="1243" w:type="dxa"/>
            <w:tcBorders>
              <w:top w:val="single" w:color="auto" w:sz="4" w:space="0"/>
              <w:left w:val="single" w:color="auto" w:sz="4" w:space="0"/>
              <w:right w:val="single" w:color="auto" w:sz="4" w:space="0"/>
            </w:tcBorders>
            <w:noWrap w:val="0"/>
            <w:vAlign w:val="center"/>
          </w:tcPr>
          <w:p w14:paraId="33F2392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是否被确认为中标人</w:t>
            </w:r>
          </w:p>
        </w:tc>
        <w:tc>
          <w:tcPr>
            <w:tcW w:w="1098" w:type="dxa"/>
            <w:tcBorders>
              <w:top w:val="single" w:color="auto" w:sz="4" w:space="0"/>
              <w:left w:val="single" w:color="auto" w:sz="4" w:space="0"/>
              <w:right w:val="single" w:color="auto" w:sz="4" w:space="0"/>
            </w:tcBorders>
            <w:noWrap w:val="0"/>
            <w:vAlign w:val="center"/>
          </w:tcPr>
          <w:p w14:paraId="52503E8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26DE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16CBC54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81" w:type="dxa"/>
            <w:tcBorders>
              <w:top w:val="single" w:color="auto" w:sz="4" w:space="0"/>
              <w:left w:val="single" w:color="auto" w:sz="4" w:space="0"/>
              <w:bottom w:val="single" w:color="auto" w:sz="4" w:space="0"/>
              <w:right w:val="single" w:color="auto" w:sz="4" w:space="0"/>
            </w:tcBorders>
            <w:noWrap w:val="0"/>
            <w:vAlign w:val="top"/>
          </w:tcPr>
          <w:p w14:paraId="711D329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5D4A0B6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top"/>
          </w:tcPr>
          <w:p w14:paraId="7B7FDCA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14:paraId="2B315CC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46A19F9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03722B4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1BF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530D474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81" w:type="dxa"/>
            <w:tcBorders>
              <w:top w:val="single" w:color="auto" w:sz="4" w:space="0"/>
              <w:left w:val="single" w:color="auto" w:sz="4" w:space="0"/>
              <w:bottom w:val="single" w:color="auto" w:sz="4" w:space="0"/>
              <w:right w:val="single" w:color="auto" w:sz="4" w:space="0"/>
            </w:tcBorders>
            <w:noWrap w:val="0"/>
            <w:vAlign w:val="top"/>
          </w:tcPr>
          <w:p w14:paraId="52E86E6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69B8E80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top"/>
          </w:tcPr>
          <w:p w14:paraId="5182A40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14:paraId="1F13172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5E18FAD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12A4C35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91F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3704FAD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81" w:type="dxa"/>
            <w:tcBorders>
              <w:top w:val="single" w:color="auto" w:sz="4" w:space="0"/>
              <w:left w:val="single" w:color="auto" w:sz="4" w:space="0"/>
              <w:bottom w:val="single" w:color="auto" w:sz="4" w:space="0"/>
              <w:right w:val="single" w:color="auto" w:sz="4" w:space="0"/>
            </w:tcBorders>
            <w:noWrap w:val="0"/>
            <w:vAlign w:val="top"/>
          </w:tcPr>
          <w:p w14:paraId="384F092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4D00151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top"/>
          </w:tcPr>
          <w:p w14:paraId="48DF00C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14:paraId="517513E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61863FB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086F6E2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B77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0920E47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81" w:type="dxa"/>
            <w:tcBorders>
              <w:top w:val="single" w:color="auto" w:sz="4" w:space="0"/>
              <w:left w:val="single" w:color="auto" w:sz="4" w:space="0"/>
              <w:bottom w:val="single" w:color="auto" w:sz="4" w:space="0"/>
              <w:right w:val="single" w:color="auto" w:sz="4" w:space="0"/>
            </w:tcBorders>
            <w:noWrap w:val="0"/>
            <w:vAlign w:val="top"/>
          </w:tcPr>
          <w:p w14:paraId="66BE6AF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70F23D1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top"/>
          </w:tcPr>
          <w:p w14:paraId="4266E1D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14:paraId="0D3BC5E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0C412C9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0615429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4F2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147F7C7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581" w:type="dxa"/>
            <w:tcBorders>
              <w:top w:val="single" w:color="auto" w:sz="4" w:space="0"/>
              <w:left w:val="single" w:color="auto" w:sz="4" w:space="0"/>
              <w:bottom w:val="single" w:color="auto" w:sz="4" w:space="0"/>
              <w:right w:val="single" w:color="auto" w:sz="4" w:space="0"/>
            </w:tcBorders>
            <w:noWrap w:val="0"/>
            <w:vAlign w:val="top"/>
          </w:tcPr>
          <w:p w14:paraId="714D7FD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07B3208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top"/>
          </w:tcPr>
          <w:p w14:paraId="794B79A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14:paraId="769A4EA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65C5813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5C46AFF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340596F0">
      <w:pPr>
        <w:rPr>
          <w:color w:val="auto"/>
          <w:highlight w:val="none"/>
        </w:rPr>
      </w:pPr>
    </w:p>
    <w:p w14:paraId="79FCC8B5">
      <w:pPr>
        <w:jc w:val="left"/>
        <w:rPr>
          <w:rFonts w:ascii="黑体" w:hAnsi="黑体" w:eastAsia="黑体"/>
          <w:color w:val="auto"/>
          <w:sz w:val="32"/>
          <w:szCs w:val="32"/>
          <w:highlight w:val="none"/>
        </w:rPr>
      </w:pPr>
      <w:r>
        <w:rPr>
          <w:rFonts w:hint="eastAsia" w:ascii="宋体" w:hAnsi="宋体"/>
          <w:b/>
          <w:bCs/>
          <w:color w:val="auto"/>
          <w:szCs w:val="21"/>
          <w:highlight w:val="none"/>
        </w:rPr>
        <w:t>定标委员签名：                               日期：</w:t>
      </w:r>
    </w:p>
    <w:p w14:paraId="3272624A">
      <w:pPr>
        <w:jc w:val="left"/>
        <w:rPr>
          <w:rFonts w:ascii="黑体" w:hAnsi="黑体" w:eastAsia="黑体"/>
          <w:b/>
          <w:bCs/>
          <w:color w:val="auto"/>
          <w:sz w:val="32"/>
          <w:szCs w:val="32"/>
          <w:highlight w:val="none"/>
        </w:rPr>
      </w:pPr>
      <w:r>
        <w:rPr>
          <w:rFonts w:hint="eastAsia" w:ascii="宋体" w:hAnsi="宋体" w:cs="宋体"/>
          <w:color w:val="auto"/>
          <w:sz w:val="24"/>
          <w:szCs w:val="24"/>
          <w:highlight w:val="none"/>
        </w:rPr>
        <w:br w:type="page"/>
      </w:r>
      <w:r>
        <w:rPr>
          <w:rFonts w:hint="eastAsia" w:ascii="宋体" w:hAnsi="宋体" w:cs="宋体"/>
          <w:b/>
          <w:bCs/>
          <w:color w:val="auto"/>
          <w:sz w:val="24"/>
          <w:szCs w:val="24"/>
          <w:highlight w:val="none"/>
        </w:rPr>
        <w:t>附表十二</w:t>
      </w:r>
    </w:p>
    <w:p w14:paraId="4B4EBB8D">
      <w:pPr>
        <w:jc w:val="center"/>
        <w:rPr>
          <w:rFonts w:ascii="宋体" w:hAnsi="宋体"/>
          <w:b/>
          <w:bCs/>
          <w:color w:val="auto"/>
          <w:sz w:val="32"/>
          <w:szCs w:val="32"/>
          <w:highlight w:val="none"/>
        </w:rPr>
      </w:pPr>
      <w:r>
        <w:rPr>
          <w:rFonts w:hint="eastAsia" w:ascii="宋体" w:hAnsi="宋体"/>
          <w:b/>
          <w:bCs/>
          <w:color w:val="auto"/>
          <w:sz w:val="32"/>
          <w:szCs w:val="32"/>
          <w:highlight w:val="none"/>
        </w:rPr>
        <w:t>评标委员会成员声明</w:t>
      </w:r>
    </w:p>
    <w:p w14:paraId="697E9467">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本项目招标人</w:t>
      </w:r>
      <w:r>
        <w:rPr>
          <w:rFonts w:hint="eastAsia" w:ascii="宋体" w:hAnsi="宋体"/>
          <w:color w:val="auto"/>
          <w:sz w:val="24"/>
          <w:szCs w:val="24"/>
          <w:highlight w:val="none"/>
        </w:rPr>
        <w:t>：</w:t>
      </w:r>
    </w:p>
    <w:p w14:paraId="153AACBC">
      <w:pPr>
        <w:spacing w:line="360" w:lineRule="auto"/>
        <w:rPr>
          <w:rFonts w:ascii="宋体" w:hAnsi="宋体"/>
          <w:color w:val="auto"/>
          <w:sz w:val="24"/>
          <w:szCs w:val="24"/>
          <w:highlight w:val="none"/>
        </w:rPr>
      </w:pPr>
      <w:r>
        <w:rPr>
          <w:rFonts w:hint="eastAsia" w:ascii="宋体" w:hAnsi="宋体"/>
          <w:color w:val="auto"/>
          <w:sz w:val="24"/>
          <w:szCs w:val="24"/>
          <w:highlight w:val="none"/>
        </w:rPr>
        <w:t>本人就参与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项目的评标工作，作出郑重声明：</w:t>
      </w:r>
    </w:p>
    <w:p w14:paraId="08CD1B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CD5B0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2D0702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8285C2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7C32A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19BAC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如果本人违反上述声明内容，造成的后果由本人自行承担。</w:t>
      </w:r>
    </w:p>
    <w:p w14:paraId="59EF3835">
      <w:pPr>
        <w:spacing w:line="360" w:lineRule="auto"/>
        <w:ind w:firstLine="4960" w:firstLineChars="2067"/>
        <w:rPr>
          <w:rFonts w:ascii="宋体" w:hAnsi="宋体"/>
          <w:color w:val="auto"/>
          <w:sz w:val="24"/>
          <w:szCs w:val="24"/>
          <w:highlight w:val="none"/>
          <w:u w:val="single"/>
        </w:rPr>
      </w:pPr>
      <w:r>
        <w:rPr>
          <w:rFonts w:hint="eastAsia" w:ascii="宋体" w:hAnsi="宋体"/>
          <w:color w:val="auto"/>
          <w:sz w:val="24"/>
          <w:szCs w:val="24"/>
          <w:highlight w:val="none"/>
        </w:rPr>
        <w:t>声明人：</w:t>
      </w:r>
      <w:r>
        <w:rPr>
          <w:rFonts w:hint="eastAsia" w:ascii="宋体" w:hAnsi="宋体"/>
          <w:color w:val="auto"/>
          <w:sz w:val="24"/>
          <w:szCs w:val="24"/>
          <w:highlight w:val="none"/>
          <w:u w:val="single"/>
        </w:rPr>
        <w:t xml:space="preserve">（签名）  </w:t>
      </w:r>
    </w:p>
    <w:p w14:paraId="0444C162">
      <w:pPr>
        <w:spacing w:line="360" w:lineRule="auto"/>
        <w:ind w:firstLine="4960" w:firstLineChars="2067"/>
        <w:rPr>
          <w:rFonts w:ascii="宋体" w:hAnsi="宋体"/>
          <w:color w:val="auto"/>
          <w:sz w:val="24"/>
          <w:szCs w:val="24"/>
          <w:highlight w:val="none"/>
        </w:rPr>
      </w:pPr>
      <w:r>
        <w:rPr>
          <w:rFonts w:hint="eastAsia" w:ascii="宋体" w:hAnsi="宋体"/>
          <w:color w:val="auto"/>
          <w:sz w:val="24"/>
          <w:szCs w:val="24"/>
          <w:highlight w:val="none"/>
        </w:rPr>
        <w:t>日   期：</w:t>
      </w:r>
    </w:p>
    <w:p w14:paraId="25E6DA1A">
      <w:pPr>
        <w:keepNext/>
        <w:keepLines/>
        <w:spacing w:before="120" w:after="120" w:line="360" w:lineRule="auto"/>
        <w:jc w:val="center"/>
        <w:outlineLvl w:val="0"/>
        <w:rPr>
          <w:rFonts w:hint="eastAsia" w:ascii="宋体" w:hAnsi="宋体" w:cs="宋体"/>
          <w:b/>
          <w:color w:val="auto"/>
          <w:kern w:val="44"/>
          <w:sz w:val="28"/>
          <w:szCs w:val="28"/>
          <w:highlight w:val="none"/>
        </w:rPr>
      </w:pPr>
      <w:bookmarkStart w:id="199" w:name="_Toc97576598"/>
      <w:r>
        <w:rPr>
          <w:rFonts w:hint="eastAsia" w:ascii="宋体" w:hAnsi="宋体" w:cs="宋体"/>
          <w:b/>
          <w:color w:val="auto"/>
          <w:kern w:val="44"/>
          <w:sz w:val="28"/>
          <w:szCs w:val="28"/>
          <w:highlight w:val="none"/>
        </w:rPr>
        <w:br w:type="page"/>
      </w:r>
      <w:r>
        <w:rPr>
          <w:rFonts w:hint="eastAsia" w:ascii="宋体" w:hAnsi="宋体" w:cs="宋体"/>
          <w:b/>
          <w:color w:val="auto"/>
          <w:kern w:val="44"/>
          <w:sz w:val="28"/>
          <w:szCs w:val="28"/>
          <w:highlight w:val="none"/>
        </w:rPr>
        <w:t>第三章  合同条款</w:t>
      </w:r>
      <w:bookmarkEnd w:id="199"/>
    </w:p>
    <w:p w14:paraId="551C328D">
      <w:pPr>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（另册）</w:t>
      </w:r>
    </w:p>
    <w:p w14:paraId="464C8C82">
      <w:pPr>
        <w:spacing w:line="360" w:lineRule="auto"/>
        <w:jc w:val="center"/>
        <w:rPr>
          <w:rFonts w:hint="eastAsia" w:ascii="宋体" w:hAnsi="宋体" w:cs="宋体"/>
          <w:color w:val="auto"/>
          <w:sz w:val="28"/>
          <w:szCs w:val="28"/>
          <w:highlight w:val="none"/>
        </w:rPr>
      </w:pPr>
    </w:p>
    <w:p w14:paraId="71C06913">
      <w:pPr>
        <w:keepNext/>
        <w:keepLines/>
        <w:spacing w:before="120" w:after="120" w:line="360" w:lineRule="auto"/>
        <w:jc w:val="center"/>
        <w:outlineLvl w:val="0"/>
        <w:rPr>
          <w:rFonts w:hint="eastAsia" w:ascii="宋体" w:hAnsi="宋体" w:cs="宋体"/>
          <w:b/>
          <w:color w:val="auto"/>
          <w:kern w:val="44"/>
          <w:sz w:val="28"/>
          <w:szCs w:val="28"/>
          <w:highlight w:val="none"/>
        </w:rPr>
      </w:pPr>
      <w:r>
        <w:rPr>
          <w:rFonts w:hint="eastAsia" w:ascii="宋体" w:hAnsi="宋体" w:cs="宋体"/>
          <w:color w:val="auto"/>
          <w:sz w:val="24"/>
          <w:szCs w:val="24"/>
          <w:highlight w:val="none"/>
        </w:rPr>
        <w:br w:type="page"/>
      </w:r>
      <w:bookmarkStart w:id="200" w:name="_Toc97576599"/>
      <w:r>
        <w:rPr>
          <w:rFonts w:hint="eastAsia" w:ascii="宋体" w:hAnsi="宋体" w:cs="宋体"/>
          <w:b/>
          <w:color w:val="auto"/>
          <w:kern w:val="44"/>
          <w:sz w:val="28"/>
          <w:szCs w:val="28"/>
          <w:highlight w:val="none"/>
        </w:rPr>
        <w:t>第四章  投标文件格式</w:t>
      </w:r>
      <w:bookmarkEnd w:id="200"/>
    </w:p>
    <w:p w14:paraId="7224AC71">
      <w:pPr>
        <w:spacing w:line="360" w:lineRule="auto"/>
        <w:jc w:val="center"/>
        <w:rPr>
          <w:rFonts w:hint="eastAsia" w:ascii="宋体" w:hAnsi="宋体" w:cs="宋体"/>
          <w:b/>
          <w:color w:val="auto"/>
          <w:kern w:val="44"/>
          <w:sz w:val="28"/>
          <w:szCs w:val="28"/>
          <w:highlight w:val="none"/>
        </w:rPr>
      </w:pPr>
      <w:r>
        <w:rPr>
          <w:rFonts w:hint="eastAsia" w:ascii="宋体" w:hAnsi="宋体" w:cs="宋体"/>
          <w:color w:val="auto"/>
          <w:highlight w:val="none"/>
        </w:rPr>
        <w:br w:type="page"/>
      </w:r>
      <w:bookmarkStart w:id="201" w:name="_Toc94347360"/>
      <w:bookmarkStart w:id="202" w:name="_Toc97576601"/>
      <w:r>
        <w:rPr>
          <w:rFonts w:hint="eastAsia" w:ascii="宋体" w:hAnsi="宋体" w:cs="宋体"/>
          <w:b/>
          <w:color w:val="auto"/>
          <w:kern w:val="44"/>
          <w:sz w:val="28"/>
          <w:szCs w:val="28"/>
          <w:highlight w:val="none"/>
        </w:rPr>
        <w:t>一、</w:t>
      </w:r>
      <w:bookmarkStart w:id="203" w:name="OLE_LINK143"/>
      <w:r>
        <w:rPr>
          <w:rFonts w:hint="eastAsia" w:ascii="宋体" w:hAnsi="宋体" w:cs="宋体"/>
          <w:b/>
          <w:color w:val="auto"/>
          <w:kern w:val="44"/>
          <w:sz w:val="28"/>
          <w:szCs w:val="28"/>
          <w:highlight w:val="none"/>
        </w:rPr>
        <w:t>技术标投标文件格式</w:t>
      </w:r>
      <w:bookmarkEnd w:id="203"/>
    </w:p>
    <w:p w14:paraId="3E750F4B">
      <w:pPr>
        <w:outlineLvl w:val="2"/>
        <w:rPr>
          <w:rFonts w:hint="eastAsia" w:ascii="宋体" w:hAnsi="宋体" w:cs="宋体"/>
          <w:color w:val="auto"/>
          <w:highlight w:val="none"/>
        </w:rPr>
      </w:pPr>
    </w:p>
    <w:p w14:paraId="1C2E984C">
      <w:pPr>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格式一：</w:t>
      </w:r>
      <w:bookmarkEnd w:id="201"/>
      <w:bookmarkEnd w:id="202"/>
      <w:bookmarkStart w:id="204" w:name="_Toc94347361"/>
      <w:bookmarkStart w:id="205" w:name="_Toc97576602"/>
      <w:r>
        <w:rPr>
          <w:rFonts w:hint="eastAsia" w:ascii="宋体" w:hAnsi="宋体" w:cs="宋体"/>
          <w:b/>
          <w:color w:val="auto"/>
          <w:sz w:val="24"/>
          <w:szCs w:val="24"/>
          <w:highlight w:val="none"/>
        </w:rPr>
        <w:t>广州建设工程施工招标投标书</w:t>
      </w:r>
      <w:bookmarkEnd w:id="204"/>
      <w:bookmarkEnd w:id="205"/>
    </w:p>
    <w:p w14:paraId="13760546">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54EFC741">
      <w:pPr>
        <w:autoSpaceDE w:val="0"/>
        <w:autoSpaceDN w:val="0"/>
        <w:adjustRightInd w:val="0"/>
        <w:ind w:left="-540" w:leftChars="-257" w:firstLine="1135" w:firstLineChars="257"/>
        <w:jc w:val="center"/>
        <w:rPr>
          <w:rFonts w:hint="eastAsia" w:ascii="宋体" w:hAnsi="宋体" w:cs="宋体"/>
          <w:b/>
          <w:bCs/>
          <w:color w:val="auto"/>
          <w:sz w:val="52"/>
          <w:szCs w:val="52"/>
          <w:highlight w:val="none"/>
        </w:rPr>
      </w:pPr>
      <w:bookmarkStart w:id="206" w:name="OLE_LINK147"/>
      <w:r>
        <w:rPr>
          <w:rFonts w:hint="eastAsia" w:ascii="宋体" w:hAnsi="宋体" w:cs="宋体"/>
          <w:b/>
          <w:bCs/>
          <w:color w:val="auto"/>
          <w:sz w:val="44"/>
          <w:szCs w:val="44"/>
          <w:highlight w:val="none"/>
          <w:lang w:val="zh-CN"/>
        </w:rPr>
        <w:t>广州建设工程施工招标投标书</w:t>
      </w:r>
    </w:p>
    <w:bookmarkEnd w:id="206"/>
    <w:tbl>
      <w:tblPr>
        <w:tblStyle w:val="39"/>
        <w:tblpPr w:leftFromText="180" w:rightFromText="180" w:vertAnchor="text" w:horzAnchor="margin" w:tblpX="1"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4653"/>
      </w:tblGrid>
      <w:tr w14:paraId="732F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6DBD81D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
                <w:bCs/>
                <w:color w:val="auto"/>
                <w:sz w:val="24"/>
                <w:szCs w:val="24"/>
                <w:highlight w:val="none"/>
                <w:lang w:val="zh-CN"/>
              </w:rPr>
            </w:pPr>
            <w:bookmarkStart w:id="207" w:name="_Toc94347364"/>
            <w:bookmarkStart w:id="208" w:name="_Toc97576603"/>
            <w:r>
              <w:rPr>
                <w:rFonts w:hint="eastAsia" w:ascii="宋体" w:hAnsi="宋体" w:cs="宋体"/>
                <w:b/>
                <w:color w:val="auto"/>
                <w:sz w:val="24"/>
                <w:szCs w:val="24"/>
                <w:highlight w:val="none"/>
                <w:lang w:val="zh-CN"/>
              </w:rPr>
              <w:t>工 程 名 称</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1BF14749">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en-US" w:eastAsia="zh-CN"/>
              </w:rPr>
            </w:pPr>
          </w:p>
        </w:tc>
      </w:tr>
      <w:tr w14:paraId="3B2B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676B68A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r>
              <w:rPr>
                <w:rFonts w:hint="eastAsia" w:ascii="宋体" w:hAnsi="宋体" w:cs="宋体"/>
                <w:b/>
                <w:color w:val="auto"/>
                <w:sz w:val="24"/>
                <w:szCs w:val="24"/>
                <w:highlight w:val="none"/>
                <w:lang w:val="en-US" w:eastAsia="zh-CN"/>
              </w:rPr>
              <w:t>含</w:t>
            </w:r>
            <w:r>
              <w:rPr>
                <w:rFonts w:hint="eastAsia" w:ascii="宋体" w:hAnsi="宋体" w:cs="宋体"/>
                <w:b/>
                <w:color w:val="auto"/>
                <w:sz w:val="24"/>
                <w:szCs w:val="24"/>
                <w:highlight w:val="none"/>
                <w:lang w:val="zh-CN"/>
              </w:rPr>
              <w:t>安全生产措施费，暂列金额</w:t>
            </w:r>
            <w:r>
              <w:rPr>
                <w:rFonts w:hint="eastAsia" w:ascii="宋体" w:hAnsi="宋体" w:cs="宋体"/>
                <w:b/>
                <w:color w:val="auto"/>
                <w:sz w:val="24"/>
                <w:szCs w:val="24"/>
                <w:highlight w:val="none"/>
                <w:lang w:val="en-US" w:eastAsia="zh-CN"/>
              </w:rPr>
              <w:t>以及</w:t>
            </w:r>
            <w:r>
              <w:rPr>
                <w:rFonts w:hint="eastAsia" w:ascii="宋体" w:hAnsi="宋体" w:cs="宋体"/>
                <w:b/>
                <w:color w:val="auto"/>
                <w:sz w:val="24"/>
                <w:szCs w:val="24"/>
                <w:highlight w:val="none"/>
                <w:lang w:val="zh-CN"/>
              </w:rPr>
              <w:t>暂估价）</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18151AF0">
            <w:pPr>
              <w:keepNext w:val="0"/>
              <w:keepLines w:val="0"/>
              <w:suppressLineNumbers w:val="0"/>
              <w:autoSpaceDE w:val="0"/>
              <w:autoSpaceDN w:val="0"/>
              <w:adjustRightInd w:val="0"/>
              <w:spacing w:before="0" w:beforeAutospacing="0" w:after="0" w:afterAutospacing="0"/>
              <w:ind w:left="0" w:right="0"/>
              <w:rPr>
                <w:rFonts w:hint="eastAsia" w:ascii="宋体" w:hAnsi="宋体" w:cs="宋体"/>
                <w:b/>
                <w:bCs/>
                <w:color w:val="auto"/>
                <w:sz w:val="24"/>
                <w:szCs w:val="24"/>
                <w:highlight w:val="none"/>
                <w:lang w:val="zh-CN"/>
              </w:rPr>
            </w:pPr>
          </w:p>
        </w:tc>
      </w:tr>
      <w:tr w14:paraId="0133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167B15A0">
            <w:pPr>
              <w:keepNext w:val="0"/>
              <w:keepLines w:val="0"/>
              <w:widowControl/>
              <w:suppressLineNumbers w:val="0"/>
              <w:spacing w:before="0" w:beforeAutospacing="0" w:after="0" w:afterAutospacing="0"/>
              <w:ind w:left="0" w:right="0"/>
              <w:jc w:val="center"/>
              <w:rPr>
                <w:rFonts w:hint="eastAsia" w:ascii="宋体" w:hAnsi="宋体" w:cs="宋体"/>
                <w:b/>
                <w:bCs/>
                <w:color w:val="auto"/>
                <w:sz w:val="24"/>
                <w:szCs w:val="24"/>
                <w:highlight w:val="none"/>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309AF47A">
            <w:pPr>
              <w:keepNext w:val="0"/>
              <w:keepLines w:val="0"/>
              <w:suppressLineNumbers w:val="0"/>
              <w:autoSpaceDE w:val="0"/>
              <w:autoSpaceDN w:val="0"/>
              <w:adjustRightInd w:val="0"/>
              <w:spacing w:before="0" w:beforeAutospacing="0" w:after="0" w:afterAutospacing="0"/>
              <w:ind w:left="0" w:right="0"/>
              <w:rPr>
                <w:rFonts w:hint="eastAsia" w:ascii="宋体" w:hAnsi="宋体" w:cs="宋体"/>
                <w:b/>
                <w:bCs/>
                <w:color w:val="auto"/>
                <w:sz w:val="24"/>
                <w:szCs w:val="24"/>
                <w:highlight w:val="none"/>
                <w:lang w:val="zh-CN"/>
              </w:rPr>
            </w:pPr>
          </w:p>
        </w:tc>
      </w:tr>
      <w:tr w14:paraId="3994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48B6F6A5">
            <w:pPr>
              <w:keepNext w:val="0"/>
              <w:keepLines w:val="0"/>
              <w:widowControl/>
              <w:suppressLineNumbers w:val="0"/>
              <w:spacing w:before="0" w:beforeAutospacing="0" w:after="0" w:afterAutospacing="0"/>
              <w:ind w:left="0" w:right="0"/>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暂列金额（元，</w:t>
            </w:r>
            <w:r>
              <w:rPr>
                <w:rFonts w:hint="eastAsia" w:ascii="宋体" w:hAnsi="宋体" w:cs="宋体"/>
                <w:b/>
                <w:color w:val="auto"/>
                <w:sz w:val="24"/>
                <w:szCs w:val="24"/>
                <w:highlight w:val="none"/>
                <w:lang w:val="en-US" w:eastAsia="zh-CN"/>
              </w:rPr>
              <w:t>不可竞争</w:t>
            </w:r>
            <w:r>
              <w:rPr>
                <w:rFonts w:hint="eastAsia" w:ascii="宋体" w:hAnsi="宋体" w:cs="宋体"/>
                <w:b/>
                <w:color w:val="auto"/>
                <w:sz w:val="24"/>
                <w:szCs w:val="24"/>
                <w:highlight w:val="none"/>
                <w:lang w:val="zh-CN"/>
              </w:rPr>
              <w:t>）</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49A57908">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b w:val="0"/>
                <w:bCs/>
                <w:color w:val="auto"/>
                <w:sz w:val="28"/>
                <w:szCs w:val="28"/>
                <w:highlight w:val="none"/>
                <w:lang w:val="en-US"/>
              </w:rPr>
            </w:pPr>
            <w:r>
              <w:rPr>
                <w:rFonts w:hint="eastAsia" w:ascii="宋体" w:hAnsi="宋体" w:eastAsia="宋体" w:cs="宋体"/>
                <w:b w:val="0"/>
                <w:bCs/>
                <w:color w:val="auto"/>
                <w:sz w:val="28"/>
                <w:szCs w:val="28"/>
                <w:highlight w:val="none"/>
                <w:lang w:val="en-US"/>
              </w:rPr>
              <w:t>37710901.87</w:t>
            </w:r>
          </w:p>
        </w:tc>
      </w:tr>
      <w:tr w14:paraId="6251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480CFFA8">
            <w:pPr>
              <w:keepNext w:val="0"/>
              <w:keepLines w:val="0"/>
              <w:widowControl/>
              <w:suppressLineNumbers w:val="0"/>
              <w:spacing w:before="0" w:beforeAutospacing="0" w:after="0" w:afterAutospacing="0"/>
              <w:ind w:left="0" w:right="0"/>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安全生产措施费（元，</w:t>
            </w:r>
            <w:r>
              <w:rPr>
                <w:rFonts w:hint="eastAsia" w:ascii="宋体" w:hAnsi="宋体" w:cs="宋体"/>
                <w:b/>
                <w:color w:val="auto"/>
                <w:sz w:val="24"/>
                <w:szCs w:val="24"/>
                <w:highlight w:val="none"/>
                <w:lang w:val="en-US" w:eastAsia="zh-CN"/>
              </w:rPr>
              <w:t>不可竞争</w:t>
            </w:r>
            <w:r>
              <w:rPr>
                <w:rFonts w:hint="eastAsia" w:ascii="宋体" w:hAnsi="宋体" w:cs="宋体"/>
                <w:b/>
                <w:color w:val="auto"/>
                <w:sz w:val="24"/>
                <w:szCs w:val="24"/>
                <w:highlight w:val="none"/>
                <w:lang w:val="zh-CN"/>
              </w:rPr>
              <w:t>）</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2F82C528">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b w:val="0"/>
                <w:bCs/>
                <w:color w:val="auto"/>
                <w:sz w:val="28"/>
                <w:szCs w:val="28"/>
                <w:highlight w:val="none"/>
                <w:lang w:val="en-US"/>
              </w:rPr>
            </w:pPr>
            <w:r>
              <w:rPr>
                <w:rFonts w:hint="eastAsia" w:ascii="宋体" w:hAnsi="宋体" w:eastAsia="宋体" w:cs="宋体"/>
                <w:b w:val="0"/>
                <w:bCs/>
                <w:color w:val="auto"/>
                <w:kern w:val="2"/>
                <w:sz w:val="28"/>
                <w:szCs w:val="28"/>
                <w:highlight w:val="none"/>
                <w:u w:val="none"/>
                <w:lang w:val="en-US" w:eastAsia="zh-CN" w:bidi="ar"/>
              </w:rPr>
              <w:t>13793103.41</w:t>
            </w:r>
          </w:p>
        </w:tc>
      </w:tr>
      <w:tr w14:paraId="548E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64F1E530">
            <w:pPr>
              <w:keepNext w:val="0"/>
              <w:keepLines w:val="0"/>
              <w:widowControl/>
              <w:suppressLineNumbers w:val="0"/>
              <w:spacing w:before="0" w:beforeAutospacing="0" w:after="0" w:afterAutospacing="0"/>
              <w:ind w:left="0" w:right="0"/>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暂估价（元，</w:t>
            </w:r>
            <w:r>
              <w:rPr>
                <w:rFonts w:hint="eastAsia" w:ascii="宋体" w:hAnsi="宋体" w:cs="宋体"/>
                <w:b/>
                <w:color w:val="auto"/>
                <w:sz w:val="24"/>
                <w:szCs w:val="24"/>
                <w:highlight w:val="none"/>
                <w:lang w:val="en-US" w:eastAsia="zh-CN"/>
              </w:rPr>
              <w:t>不可竞争</w:t>
            </w:r>
            <w:r>
              <w:rPr>
                <w:rFonts w:hint="eastAsia" w:ascii="宋体" w:hAnsi="宋体" w:cs="宋体"/>
                <w:b/>
                <w:color w:val="auto"/>
                <w:sz w:val="24"/>
                <w:szCs w:val="24"/>
                <w:highlight w:val="none"/>
                <w:lang w:val="zh-CN"/>
              </w:rPr>
              <w:t>）</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55CBB058">
            <w:pPr>
              <w:keepNext w:val="0"/>
              <w:keepLines w:val="0"/>
              <w:widowControl/>
              <w:suppressLineNumbers w:val="0"/>
              <w:autoSpaceDE/>
              <w:autoSpaceDN/>
              <w:adjustRightInd/>
              <w:spacing w:before="0" w:beforeAutospacing="0" w:after="0" w:afterAutospacing="0"/>
              <w:ind w:left="0" w:right="0"/>
              <w:jc w:val="center"/>
              <w:rPr>
                <w:rFonts w:hint="eastAsia" w:ascii="宋体" w:hAnsi="宋体" w:eastAsia="宋体" w:cs="宋体"/>
                <w:b w:val="0"/>
                <w:bCs/>
                <w:color w:val="auto"/>
                <w:sz w:val="28"/>
                <w:szCs w:val="28"/>
                <w:highlight w:val="none"/>
                <w:lang w:val="en-US"/>
              </w:rPr>
            </w:pPr>
            <w:r>
              <w:rPr>
                <w:rFonts w:hint="eastAsia" w:ascii="宋体" w:hAnsi="宋体" w:eastAsia="宋体" w:cs="宋体"/>
                <w:b w:val="0"/>
                <w:bCs/>
                <w:color w:val="auto"/>
                <w:kern w:val="2"/>
                <w:sz w:val="28"/>
                <w:szCs w:val="28"/>
                <w:highlight w:val="none"/>
                <w:u w:val="none"/>
                <w:lang w:val="en-US" w:eastAsia="zh-CN" w:bidi="ar"/>
              </w:rPr>
              <w:t>141812400.00</w:t>
            </w:r>
          </w:p>
        </w:tc>
      </w:tr>
      <w:tr w14:paraId="0BFB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06D1FB6F">
            <w:pPr>
              <w:keepNext w:val="0"/>
              <w:keepLines w:val="0"/>
              <w:suppressLineNumbers w:val="0"/>
              <w:spacing w:before="0" w:beforeAutospacing="0" w:after="0" w:afterAutospacing="0"/>
              <w:ind w:left="0" w:right="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34EA4F7B">
            <w:pPr>
              <w:keepNext w:val="0"/>
              <w:keepLines w:val="0"/>
              <w:suppressLineNumbers w:val="0"/>
              <w:autoSpaceDE w:val="0"/>
              <w:autoSpaceDN w:val="0"/>
              <w:adjustRightInd w:val="0"/>
              <w:spacing w:before="0" w:beforeAutospacing="0" w:after="0" w:afterAutospacing="0"/>
              <w:ind w:left="0" w:right="1277" w:rightChars="608"/>
              <w:jc w:val="right"/>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en-US" w:eastAsia="zh-CN"/>
              </w:rPr>
              <w:t>日历天</w:t>
            </w:r>
          </w:p>
        </w:tc>
      </w:tr>
      <w:tr w14:paraId="4A1C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60BB4628">
            <w:pPr>
              <w:keepNext w:val="0"/>
              <w:keepLines w:val="0"/>
              <w:suppressLineNumbers w:val="0"/>
              <w:spacing w:before="0" w:beforeAutospacing="0" w:after="0" w:afterAutospacing="0"/>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3654D6B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
                <w:bCs/>
                <w:color w:val="auto"/>
                <w:sz w:val="24"/>
                <w:szCs w:val="24"/>
                <w:highlight w:val="none"/>
                <w:lang w:val="zh-CN"/>
              </w:rPr>
            </w:pPr>
          </w:p>
        </w:tc>
      </w:tr>
      <w:tr w14:paraId="71A8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36686AD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11DCD19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
                <w:bCs/>
                <w:color w:val="auto"/>
                <w:sz w:val="24"/>
                <w:szCs w:val="24"/>
                <w:highlight w:val="none"/>
                <w:lang w:val="zh-CN"/>
              </w:rPr>
            </w:pPr>
          </w:p>
        </w:tc>
      </w:tr>
      <w:tr w14:paraId="6CDC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3BFA13A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项目负责人</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02737235">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en-US" w:eastAsia="zh-CN"/>
              </w:rPr>
            </w:pPr>
          </w:p>
          <w:p w14:paraId="6A30A787">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en-US" w:eastAsia="zh-CN"/>
              </w:rPr>
            </w:pPr>
          </w:p>
        </w:tc>
      </w:tr>
      <w:tr w14:paraId="2E73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1660A7A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技术负责人</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31860BC1">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en-US" w:eastAsia="zh-CN"/>
              </w:rPr>
            </w:pPr>
          </w:p>
        </w:tc>
      </w:tr>
      <w:tr w14:paraId="6A22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726" w:type="dxa"/>
            <w:tcBorders>
              <w:top w:val="single" w:color="auto" w:sz="4" w:space="0"/>
              <w:left w:val="single" w:color="auto" w:sz="4" w:space="0"/>
              <w:bottom w:val="single" w:color="auto" w:sz="4" w:space="0"/>
              <w:right w:val="single" w:color="auto" w:sz="4" w:space="0"/>
            </w:tcBorders>
            <w:noWrap w:val="0"/>
            <w:vAlign w:val="center"/>
          </w:tcPr>
          <w:p w14:paraId="3B2CED2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专职安全员</w:t>
            </w:r>
          </w:p>
        </w:tc>
        <w:tc>
          <w:tcPr>
            <w:tcW w:w="4653" w:type="dxa"/>
            <w:tcBorders>
              <w:top w:val="single" w:color="auto" w:sz="4" w:space="0"/>
              <w:left w:val="single" w:color="auto" w:sz="4" w:space="0"/>
              <w:bottom w:val="single" w:color="auto" w:sz="4" w:space="0"/>
              <w:right w:val="single" w:color="auto" w:sz="4" w:space="0"/>
            </w:tcBorders>
            <w:noWrap w:val="0"/>
            <w:vAlign w:val="center"/>
          </w:tcPr>
          <w:p w14:paraId="283768E6">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en-US" w:eastAsia="zh-CN"/>
              </w:rPr>
            </w:pPr>
          </w:p>
        </w:tc>
      </w:tr>
    </w:tbl>
    <w:p w14:paraId="24EBCD0A">
      <w:pPr>
        <w:pStyle w:val="234"/>
        <w:spacing w:before="240" w:after="240"/>
        <w:rPr>
          <w:rFonts w:hint="eastAsia"/>
          <w:color w:val="auto"/>
          <w:highlight w:val="none"/>
        </w:rPr>
      </w:pPr>
    </w:p>
    <w:p w14:paraId="26987B51">
      <w:pPr>
        <w:rPr>
          <w:rFonts w:hint="eastAsia"/>
          <w:color w:val="auto"/>
          <w:highlight w:val="none"/>
        </w:rPr>
      </w:pPr>
    </w:p>
    <w:p w14:paraId="4E9A2703">
      <w:pPr>
        <w:outlineLvl w:val="2"/>
        <w:rPr>
          <w:rFonts w:hint="eastAsia" w:ascii="宋体" w:hAnsi="宋体" w:cs="宋体"/>
          <w:b/>
          <w:color w:val="auto"/>
          <w:spacing w:val="4"/>
          <w:kern w:val="0"/>
          <w:sz w:val="24"/>
          <w:szCs w:val="24"/>
          <w:highlight w:val="none"/>
        </w:rPr>
      </w:pPr>
      <w:bookmarkStart w:id="209" w:name="OLE_LINK109"/>
      <w:r>
        <w:rPr>
          <w:rFonts w:cs="宋体"/>
          <w:b/>
          <w:color w:val="auto"/>
          <w:sz w:val="24"/>
          <w:szCs w:val="24"/>
          <w:highlight w:val="none"/>
        </w:rPr>
        <w:br w:type="page"/>
      </w:r>
      <w:r>
        <w:rPr>
          <w:rFonts w:hint="eastAsia" w:ascii="宋体" w:hAnsi="宋体" w:cs="宋体"/>
          <w:b/>
          <w:color w:val="auto"/>
          <w:sz w:val="24"/>
          <w:szCs w:val="24"/>
          <w:highlight w:val="none"/>
        </w:rPr>
        <w:t>格式二：</w:t>
      </w:r>
      <w:bookmarkEnd w:id="207"/>
      <w:bookmarkEnd w:id="208"/>
      <w:r>
        <w:rPr>
          <w:rFonts w:hint="eastAsia" w:ascii="宋体" w:hAnsi="宋体" w:cs="宋体"/>
          <w:color w:val="auto"/>
          <w:highlight w:val="none"/>
        </w:rPr>
        <w:t xml:space="preserve"> </w:t>
      </w:r>
      <w:bookmarkStart w:id="210" w:name="_Toc94347367"/>
      <w:bookmarkStart w:id="211" w:name="_Toc97576605"/>
      <w:r>
        <w:rPr>
          <w:rFonts w:hint="eastAsia" w:ascii="宋体" w:hAnsi="宋体" w:cs="宋体"/>
          <w:b/>
          <w:color w:val="auto"/>
          <w:spacing w:val="4"/>
          <w:kern w:val="0"/>
          <w:sz w:val="24"/>
          <w:szCs w:val="24"/>
          <w:highlight w:val="none"/>
        </w:rPr>
        <w:t>投标函</w:t>
      </w:r>
      <w:bookmarkEnd w:id="209"/>
    </w:p>
    <w:p w14:paraId="058F37D1">
      <w:pPr>
        <w:pStyle w:val="135"/>
        <w:ind w:firstLine="496"/>
        <w:rPr>
          <w:rFonts w:hint="eastAsia" w:ascii="宋体" w:hAnsi="宋体" w:cs="宋体"/>
          <w:color w:val="auto"/>
          <w:highlight w:val="none"/>
        </w:rPr>
      </w:pPr>
    </w:p>
    <w:p w14:paraId="09022FAC">
      <w:pPr>
        <w:pStyle w:val="244"/>
        <w:rPr>
          <w:rFonts w:hint="eastAsia" w:ascii="宋体" w:hAnsi="宋体" w:eastAsia="宋体" w:cs="宋体"/>
          <w:color w:val="auto"/>
          <w:highlight w:val="none"/>
        </w:rPr>
      </w:pPr>
      <w:r>
        <w:rPr>
          <w:rFonts w:hint="eastAsia" w:ascii="宋体" w:hAnsi="宋体" w:eastAsia="宋体" w:cs="宋体"/>
          <w:color w:val="auto"/>
          <w:highlight w:val="none"/>
        </w:rPr>
        <w:t>投 标 函</w:t>
      </w:r>
    </w:p>
    <w:p w14:paraId="6CAEEBB9">
      <w:pPr>
        <w:pStyle w:val="135"/>
        <w:ind w:firstLine="496"/>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（招标人名称） </w:t>
      </w:r>
    </w:p>
    <w:p w14:paraId="3C698BF1">
      <w:pPr>
        <w:pStyle w:val="135"/>
        <w:ind w:firstLine="496"/>
        <w:rPr>
          <w:rFonts w:hint="eastAsia" w:ascii="宋体" w:hAnsi="宋体" w:cs="宋体"/>
          <w:color w:val="auto"/>
          <w:highlight w:val="none"/>
        </w:rPr>
      </w:pPr>
      <w:r>
        <w:rPr>
          <w:rFonts w:hint="eastAsia" w:ascii="宋体" w:hAnsi="宋体" w:cs="宋体"/>
          <w:color w:val="auto"/>
          <w:highlight w:val="none"/>
        </w:rPr>
        <w:t>1.根据招标人</w:t>
      </w:r>
      <w:r>
        <w:rPr>
          <w:rFonts w:hint="eastAsia" w:ascii="宋体" w:hAnsi="宋体" w:cs="宋体"/>
          <w:color w:val="auto"/>
          <w:highlight w:val="none"/>
          <w:u w:val="single"/>
        </w:rPr>
        <w:t xml:space="preserve"> （工程项目名称） </w:t>
      </w:r>
      <w:r>
        <w:rPr>
          <w:rFonts w:hint="eastAsia" w:ascii="宋体" w:hAnsi="宋体" w:cs="宋体"/>
          <w:color w:val="auto"/>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1AB56B3E">
      <w:pPr>
        <w:pStyle w:val="135"/>
        <w:ind w:firstLine="496"/>
        <w:rPr>
          <w:rFonts w:hint="eastAsia" w:ascii="宋体" w:hAnsi="宋体" w:cs="宋体"/>
          <w:color w:val="auto"/>
          <w:highlight w:val="none"/>
        </w:rPr>
      </w:pPr>
      <w:r>
        <w:rPr>
          <w:rFonts w:hint="eastAsia" w:ascii="宋体" w:hAnsi="宋体" w:cs="宋体"/>
          <w:color w:val="auto"/>
          <w:highlight w:val="none"/>
        </w:rPr>
        <w:t>2.</w:t>
      </w:r>
      <w:bookmarkStart w:id="212" w:name="OLE_LINK180"/>
      <w:r>
        <w:rPr>
          <w:rFonts w:hint="eastAsia" w:ascii="宋体" w:hAnsi="宋体" w:cs="宋体"/>
          <w:color w:val="auto"/>
          <w:highlight w:val="none"/>
        </w:rPr>
        <w:t>我方已详细审核全部招标文件，包括修改文件（如有时）及有关附件</w:t>
      </w:r>
      <w:bookmarkEnd w:id="212"/>
      <w:r>
        <w:rPr>
          <w:rFonts w:hint="eastAsia" w:ascii="宋体" w:hAnsi="宋体" w:cs="宋体"/>
          <w:color w:val="auto"/>
          <w:highlight w:val="none"/>
        </w:rPr>
        <w:t>。</w:t>
      </w:r>
    </w:p>
    <w:p w14:paraId="3B185DFE">
      <w:pPr>
        <w:pStyle w:val="135"/>
        <w:ind w:firstLine="496"/>
        <w:rPr>
          <w:rFonts w:hint="eastAsia" w:ascii="宋体" w:hAnsi="宋体" w:cs="宋体"/>
          <w:color w:val="auto"/>
          <w:highlight w:val="none"/>
        </w:rPr>
      </w:pPr>
      <w:r>
        <w:rPr>
          <w:rFonts w:hint="eastAsia" w:ascii="宋体" w:hAnsi="宋体" w:cs="宋体"/>
          <w:color w:val="auto"/>
          <w:highlight w:val="none"/>
        </w:rPr>
        <w:t>3.</w:t>
      </w:r>
      <w:bookmarkStart w:id="213" w:name="OLE_LINK181"/>
      <w:r>
        <w:rPr>
          <w:rFonts w:hint="eastAsia" w:ascii="宋体" w:hAnsi="宋体" w:cs="宋体"/>
          <w:color w:val="auto"/>
          <w:highlight w:val="none"/>
        </w:rPr>
        <w:t>如果我方中标，我方保证按照合同文件中规定的开工日期开始施工，并按规定的预计竣工日期完成和交付全部工程</w:t>
      </w:r>
      <w:bookmarkEnd w:id="213"/>
      <w:r>
        <w:rPr>
          <w:rFonts w:hint="eastAsia" w:ascii="宋体" w:hAnsi="宋体" w:cs="宋体"/>
          <w:color w:val="auto"/>
          <w:highlight w:val="none"/>
        </w:rPr>
        <w:t>。</w:t>
      </w:r>
    </w:p>
    <w:p w14:paraId="77543703">
      <w:pPr>
        <w:pStyle w:val="135"/>
        <w:ind w:firstLine="496"/>
        <w:rPr>
          <w:rFonts w:hint="eastAsia" w:ascii="宋体" w:hAnsi="宋体" w:cs="宋体"/>
          <w:color w:val="auto"/>
          <w:highlight w:val="none"/>
        </w:rPr>
      </w:pPr>
      <w:r>
        <w:rPr>
          <w:rFonts w:hint="eastAsia" w:ascii="宋体" w:hAnsi="宋体" w:cs="宋体"/>
          <w:color w:val="auto"/>
          <w:highlight w:val="none"/>
        </w:rPr>
        <w:t>4.</w:t>
      </w:r>
      <w:bookmarkStart w:id="214" w:name="OLE_LINK182"/>
      <w:r>
        <w:rPr>
          <w:rFonts w:hint="eastAsia" w:ascii="宋体" w:hAnsi="宋体" w:cs="宋体"/>
          <w:color w:val="auto"/>
          <w:highlight w:val="none"/>
        </w:rPr>
        <w:t>如果我方中标，我方承诺在充分考虑场地环境变化及政策性调整等风险因素的前提下，继续补充完善施工组织设计，直至招标人满意为止并加以实施，由此产生的费用已包含在投标报价中</w:t>
      </w:r>
      <w:bookmarkEnd w:id="214"/>
      <w:r>
        <w:rPr>
          <w:rFonts w:hint="eastAsia" w:ascii="宋体" w:hAnsi="宋体" w:cs="宋体"/>
          <w:color w:val="auto"/>
          <w:highlight w:val="none"/>
        </w:rPr>
        <w:t>。</w:t>
      </w:r>
    </w:p>
    <w:p w14:paraId="0BEA0E05">
      <w:pPr>
        <w:pStyle w:val="135"/>
        <w:ind w:firstLine="496"/>
        <w:rPr>
          <w:rFonts w:hint="eastAsia" w:ascii="宋体" w:hAnsi="宋体" w:cs="宋体"/>
          <w:color w:val="auto"/>
          <w:highlight w:val="none"/>
        </w:rPr>
      </w:pPr>
      <w:r>
        <w:rPr>
          <w:rFonts w:hint="eastAsia" w:ascii="宋体" w:hAnsi="宋体" w:cs="宋体"/>
          <w:color w:val="auto"/>
          <w:highlight w:val="none"/>
        </w:rPr>
        <w:t>5.</w:t>
      </w:r>
      <w:bookmarkStart w:id="215" w:name="OLE_LINK183"/>
      <w:r>
        <w:rPr>
          <w:rFonts w:hint="eastAsia" w:ascii="宋体" w:hAnsi="宋体" w:cs="宋体"/>
          <w:color w:val="auto"/>
          <w:highlight w:val="none"/>
          <w:u w:val="single"/>
        </w:rPr>
        <w:t>如果我方中标，我方承诺按《建设工程质量管理条例》（中华人民共和国国务院令第279号）、《建设工程安全生产管理条例》（中华人民共和国国务院令第393号）的规定对承包工程的全部建设工程质量和施工现场的安全生产负责</w:t>
      </w:r>
      <w:bookmarkEnd w:id="215"/>
      <w:r>
        <w:rPr>
          <w:rFonts w:hint="eastAsia" w:ascii="宋体" w:hAnsi="宋体" w:cs="宋体"/>
          <w:color w:val="auto"/>
          <w:highlight w:val="none"/>
          <w:u w:val="single"/>
        </w:rPr>
        <w:t>。</w:t>
      </w:r>
    </w:p>
    <w:p w14:paraId="100491EC">
      <w:pPr>
        <w:pStyle w:val="135"/>
        <w:ind w:firstLine="496"/>
        <w:rPr>
          <w:rFonts w:hint="eastAsia" w:ascii="宋体" w:hAnsi="宋体" w:cs="宋体"/>
          <w:color w:val="auto"/>
          <w:highlight w:val="none"/>
        </w:rPr>
      </w:pPr>
      <w:r>
        <w:rPr>
          <w:rFonts w:hint="eastAsia" w:ascii="宋体" w:hAnsi="宋体" w:cs="宋体"/>
          <w:color w:val="auto"/>
          <w:highlight w:val="none"/>
        </w:rPr>
        <w:t>6.</w:t>
      </w:r>
      <w:bookmarkStart w:id="216" w:name="OLE_LINK184"/>
      <w:r>
        <w:rPr>
          <w:rFonts w:hint="eastAsia" w:ascii="宋体" w:hAnsi="宋体" w:cs="宋体"/>
          <w:color w:val="auto"/>
          <w:highlight w:val="none"/>
        </w:rPr>
        <w:t>如果我方中标，我方将按照招标文件的规定，按时提交履约担保，以保障本项目优质、优价、按期、顺利完成</w:t>
      </w:r>
      <w:bookmarkEnd w:id="216"/>
      <w:r>
        <w:rPr>
          <w:rFonts w:hint="eastAsia" w:ascii="宋体" w:hAnsi="宋体" w:cs="宋体"/>
          <w:color w:val="auto"/>
          <w:highlight w:val="none"/>
        </w:rPr>
        <w:t>。</w:t>
      </w:r>
    </w:p>
    <w:p w14:paraId="016131C8">
      <w:pPr>
        <w:pStyle w:val="135"/>
        <w:ind w:firstLine="496"/>
        <w:rPr>
          <w:rFonts w:hint="eastAsia" w:ascii="宋体" w:hAnsi="宋体" w:cs="宋体"/>
          <w:color w:val="auto"/>
          <w:highlight w:val="none"/>
        </w:rPr>
      </w:pPr>
      <w:r>
        <w:rPr>
          <w:rFonts w:hint="eastAsia" w:ascii="宋体" w:hAnsi="宋体" w:cs="宋体"/>
          <w:color w:val="auto"/>
          <w:highlight w:val="none"/>
        </w:rPr>
        <w:t>7.</w:t>
      </w:r>
      <w:bookmarkStart w:id="217" w:name="OLE_LINK185"/>
      <w:r>
        <w:rPr>
          <w:rFonts w:hint="eastAsia" w:ascii="宋体" w:hAnsi="宋体" w:cs="宋体"/>
          <w:color w:val="auto"/>
          <w:highlight w:val="none"/>
        </w:rPr>
        <w:t>我方同意所提交的投标文件在招标文件投标须知中第15条规定的投标有效期内有效，在此期限届满之前，本投标书始终将对我方具有约束力，并随时接受中标</w:t>
      </w:r>
      <w:bookmarkEnd w:id="217"/>
      <w:r>
        <w:rPr>
          <w:rFonts w:hint="eastAsia" w:ascii="宋体" w:hAnsi="宋体" w:cs="宋体"/>
          <w:color w:val="auto"/>
          <w:highlight w:val="none"/>
        </w:rPr>
        <w:t>。</w:t>
      </w:r>
    </w:p>
    <w:p w14:paraId="558738EF">
      <w:pPr>
        <w:pStyle w:val="135"/>
        <w:ind w:firstLine="496"/>
        <w:rPr>
          <w:rFonts w:hint="eastAsia" w:ascii="宋体" w:hAnsi="宋体" w:cs="宋体"/>
          <w:color w:val="auto"/>
          <w:highlight w:val="none"/>
        </w:rPr>
      </w:pPr>
      <w:r>
        <w:rPr>
          <w:rFonts w:hint="eastAsia" w:ascii="宋体" w:hAnsi="宋体" w:cs="宋体"/>
          <w:color w:val="auto"/>
          <w:highlight w:val="none"/>
        </w:rPr>
        <w:t>8.</w:t>
      </w:r>
      <w:bookmarkStart w:id="218" w:name="OLE_LINK186"/>
      <w:r>
        <w:rPr>
          <w:rFonts w:hint="eastAsia" w:ascii="宋体" w:hAnsi="宋体" w:cs="宋体"/>
          <w:color w:val="auto"/>
          <w:highlight w:val="none"/>
        </w:rPr>
        <w:t>在合同协议书正式签署生效之前，本投标书连同你单位的中标通知书将构成我们双方之间共同遵守的文件，对双方具有约束力</w:t>
      </w:r>
      <w:bookmarkEnd w:id="218"/>
      <w:r>
        <w:rPr>
          <w:rFonts w:hint="eastAsia" w:ascii="宋体" w:hAnsi="宋体" w:cs="宋体"/>
          <w:color w:val="auto"/>
          <w:highlight w:val="none"/>
        </w:rPr>
        <w:t>。</w:t>
      </w:r>
    </w:p>
    <w:p w14:paraId="19C763D8">
      <w:pPr>
        <w:pStyle w:val="135"/>
        <w:ind w:firstLine="496"/>
        <w:rPr>
          <w:rFonts w:hint="eastAsia" w:ascii="宋体" w:hAnsi="宋体" w:cs="宋体"/>
          <w:color w:val="auto"/>
          <w:highlight w:val="none"/>
        </w:rPr>
      </w:pPr>
      <w:r>
        <w:rPr>
          <w:rFonts w:hint="eastAsia" w:ascii="宋体" w:hAnsi="宋体" w:cs="宋体"/>
          <w:color w:val="auto"/>
          <w:highlight w:val="none"/>
        </w:rPr>
        <w:t>9.</w:t>
      </w:r>
      <w:bookmarkStart w:id="219" w:name="OLE_LINK187"/>
      <w:r>
        <w:rPr>
          <w:rFonts w:hint="eastAsia" w:ascii="宋体" w:hAnsi="宋体" w:cs="宋体"/>
          <w:color w:val="auto"/>
          <w:highlight w:val="none"/>
        </w:rPr>
        <w:t>我方理解，你单位不一定接受最低标价的投标或你单位接到的其它任何投标。同时也理解，你单位不负担我方的任何投标费用</w:t>
      </w:r>
      <w:bookmarkEnd w:id="219"/>
      <w:r>
        <w:rPr>
          <w:rFonts w:hint="eastAsia" w:ascii="宋体" w:hAnsi="宋体" w:cs="宋体"/>
          <w:color w:val="auto"/>
          <w:highlight w:val="none"/>
        </w:rPr>
        <w:t>。</w:t>
      </w:r>
    </w:p>
    <w:p w14:paraId="360C939D">
      <w:pPr>
        <w:pStyle w:val="135"/>
        <w:ind w:firstLine="496"/>
        <w:rPr>
          <w:rFonts w:cs="宋体"/>
          <w:color w:val="auto"/>
          <w:highlight w:val="none"/>
          <w:u w:val="single"/>
        </w:rPr>
      </w:pPr>
      <w:r>
        <w:rPr>
          <w:rFonts w:hint="eastAsia" w:ascii="宋体" w:hAnsi="宋体" w:cs="宋体"/>
          <w:color w:val="auto"/>
          <w:highlight w:val="none"/>
        </w:rPr>
        <w:t>10.</w:t>
      </w:r>
      <w:bookmarkStart w:id="220" w:name="OLE_LINK188"/>
      <w:r>
        <w:rPr>
          <w:rFonts w:hint="eastAsia" w:cs="宋体"/>
          <w:color w:val="auto"/>
          <w:highlight w:val="none"/>
          <w:u w:val="single"/>
        </w:rPr>
        <w:t>如果我方中标，我方承诺按《广东省建设工程施工扬尘污染防治管理办法（试行）》（粤办函〔2017〕708号）、《广州市提升建设工程安全文明施工管理水平的工作指引》2.0版本、《广州市住房和城乡建设局等9部门关于印发广州市建设工程绿色施工围蔽指导图集（V2.0版）的通知》（穗建质〔2020〕1号）、《广州市住房和城乡建设局关于印发广州市房屋建筑工程安全防护指导图集（防高坠篇）的通知》、《广州市住房和城乡建设局关于规范建筑施工立面外防护架标准的通知》、《广州市住房和城乡建设局等8部门关于印发广州市建设工程扬尘防治“</w:t>
      </w:r>
      <w:bookmarkStart w:id="221" w:name="OLE_LINK189"/>
      <w:r>
        <w:rPr>
          <w:rFonts w:hint="eastAsia" w:cs="宋体"/>
          <w:color w:val="auto"/>
          <w:highlight w:val="none"/>
          <w:u w:val="single"/>
        </w:rPr>
        <w:t>6个100%”管理标准图集（V2.0版）的通知》、《广州市城乡建设委员会关于印发广州市加强建筑工地环保管理工作方案的通知》(穗建质〔2014〕754号)、《广州市提升建设工程安全文明施工管理水平的工作指引》(穗建质〔2017〕815号)等文件的要求，并按招标文件和合同要求对施工范围内绿色施工、新型防护、施工围蔽工作负责，加强建筑工地文明施工管理，控制施工扬尘、噪声污染，推进生态文明建设，全面落实各项扬尘污染防治措施、绿色施工围蔽措施和安全防护措施，接受招标人及建设行政主管部门的监督、检查。确保噪声污染、扬尘污染等环境污染问题零投诉</w:t>
      </w:r>
      <w:bookmarkEnd w:id="220"/>
      <w:bookmarkEnd w:id="221"/>
      <w:r>
        <w:rPr>
          <w:rFonts w:hint="eastAsia" w:cs="宋体"/>
          <w:color w:val="auto"/>
          <w:highlight w:val="none"/>
          <w:u w:val="single"/>
        </w:rPr>
        <w:t>。</w:t>
      </w:r>
    </w:p>
    <w:p w14:paraId="53A626BC">
      <w:pPr>
        <w:topLinePunct/>
        <w:adjustRightInd w:val="0"/>
        <w:snapToGrid w:val="0"/>
        <w:spacing w:line="360" w:lineRule="auto"/>
        <w:ind w:firstLine="669" w:firstLineChars="27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11.如未履行上述承诺，经招标人催告后逾期不履行承诺或经教育后拒不整改或整改后仍不符合相关技术标准规定的，我方自愿接受被招标人拒绝规定时期参与后续工程投标的后果。</w:t>
      </w:r>
    </w:p>
    <w:p w14:paraId="59C8480C">
      <w:pPr>
        <w:topLinePunct/>
        <w:adjustRightInd w:val="0"/>
        <w:snapToGrid w:val="0"/>
        <w:spacing w:line="360" w:lineRule="auto"/>
        <w:ind w:firstLine="669" w:firstLineChars="27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12.</w:t>
      </w:r>
      <w:bookmarkStart w:id="222" w:name="OLE_LINK190"/>
      <w:r>
        <w:rPr>
          <w:rFonts w:hint="eastAsia" w:ascii="宋体" w:hAnsi="宋体" w:cs="宋体"/>
          <w:color w:val="auto"/>
          <w:sz w:val="24"/>
          <w:szCs w:val="24"/>
          <w:highlight w:val="none"/>
          <w:u w:val="single"/>
        </w:rPr>
        <w:t>我方承诺合同履行期间不更换项目管理团队人员。合同履行期间，除不可抗力因素外，我方更换项目管理团队人员，按合同约定承担违约责任</w:t>
      </w:r>
      <w:bookmarkEnd w:id="222"/>
      <w:r>
        <w:rPr>
          <w:rFonts w:hint="eastAsia" w:ascii="宋体" w:hAnsi="宋体" w:cs="宋体"/>
          <w:color w:val="auto"/>
          <w:sz w:val="24"/>
          <w:szCs w:val="24"/>
          <w:highlight w:val="none"/>
          <w:u w:val="single"/>
        </w:rPr>
        <w:t>。</w:t>
      </w:r>
    </w:p>
    <w:p w14:paraId="7CC95378">
      <w:pPr>
        <w:pStyle w:val="135"/>
        <w:ind w:firstLine="744" w:firstLineChars="300"/>
        <w:rPr>
          <w:rFonts w:ascii="宋体" w:hAnsi="宋体" w:cs="宋体"/>
          <w:color w:val="auto"/>
          <w:highlight w:val="none"/>
          <w:u w:val="single"/>
        </w:rPr>
      </w:pPr>
      <w:bookmarkStart w:id="223" w:name="OLE_LINK192"/>
      <w:r>
        <w:rPr>
          <w:rFonts w:hint="eastAsia" w:ascii="宋体" w:hAnsi="宋体" w:cs="宋体"/>
          <w:color w:val="auto"/>
          <w:highlight w:val="none"/>
          <w:u w:val="single"/>
        </w:rPr>
        <w:t>13.</w:t>
      </w:r>
      <w:bookmarkStart w:id="224" w:name="OLE_LINK191"/>
      <w:r>
        <w:rPr>
          <w:rFonts w:hint="eastAsia" w:ascii="宋体" w:hAnsi="宋体" w:cs="宋体"/>
          <w:color w:val="auto"/>
          <w:highlight w:val="none"/>
          <w:u w:val="single"/>
        </w:rPr>
        <w:t>我方因分包引起质量、安全事故以及社会舆情事件，自愿计入</w:t>
      </w:r>
      <w:r>
        <w:rPr>
          <w:rFonts w:hint="eastAsia" w:ascii="宋体" w:hAnsi="宋体" w:cs="宋体"/>
          <w:color w:val="auto"/>
          <w:highlight w:val="none"/>
          <w:u w:val="single"/>
          <w:lang w:val="en-US" w:eastAsia="zh-CN"/>
        </w:rPr>
        <w:t>招标人</w:t>
      </w:r>
      <w:r>
        <w:rPr>
          <w:rFonts w:hint="eastAsia" w:ascii="宋体" w:hAnsi="宋体" w:cs="宋体"/>
          <w:color w:val="auto"/>
          <w:highlight w:val="none"/>
          <w:u w:val="single"/>
        </w:rPr>
        <w:t>履约诚信记录，同时两年内自愿放弃参与</w:t>
      </w:r>
      <w:r>
        <w:rPr>
          <w:rFonts w:hint="eastAsia" w:ascii="宋体" w:hAnsi="宋体" w:cs="宋体"/>
          <w:color w:val="auto"/>
          <w:highlight w:val="none"/>
          <w:u w:val="single"/>
          <w:lang w:val="en-US" w:eastAsia="zh-CN"/>
        </w:rPr>
        <w:t>招标人</w:t>
      </w:r>
      <w:r>
        <w:rPr>
          <w:rFonts w:hint="eastAsia" w:ascii="宋体" w:hAnsi="宋体" w:cs="宋体"/>
          <w:color w:val="auto"/>
          <w:highlight w:val="none"/>
          <w:u w:val="single"/>
        </w:rPr>
        <w:t>项目的投标活动</w:t>
      </w:r>
      <w:bookmarkEnd w:id="224"/>
      <w:r>
        <w:rPr>
          <w:rFonts w:hint="eastAsia" w:ascii="宋体" w:hAnsi="宋体" w:cs="宋体"/>
          <w:color w:val="auto"/>
          <w:highlight w:val="none"/>
          <w:u w:val="single"/>
        </w:rPr>
        <w:t>。</w:t>
      </w:r>
    </w:p>
    <w:bookmarkEnd w:id="223"/>
    <w:p w14:paraId="24F34218">
      <w:pPr>
        <w:pStyle w:val="135"/>
        <w:ind w:firstLine="691" w:firstLineChars="279"/>
        <w:rPr>
          <w:rFonts w:ascii="宋体" w:hAnsi="宋体" w:cs="宋体"/>
          <w:color w:val="auto"/>
          <w:highlight w:val="none"/>
        </w:rPr>
      </w:pPr>
    </w:p>
    <w:p w14:paraId="6F0C0259">
      <w:pPr>
        <w:pStyle w:val="135"/>
        <w:ind w:firstLine="691" w:firstLineChars="279"/>
        <w:rPr>
          <w:rFonts w:ascii="宋体" w:hAnsi="宋体" w:cs="宋体"/>
          <w:color w:val="auto"/>
          <w:highlight w:val="none"/>
        </w:rPr>
      </w:pPr>
    </w:p>
    <w:p w14:paraId="54F0EE77">
      <w:pPr>
        <w:pStyle w:val="135"/>
        <w:ind w:firstLine="4419" w:firstLineChars="1782"/>
        <w:rPr>
          <w:rFonts w:hint="eastAsia" w:ascii="宋体" w:hAnsi="宋体" w:cs="宋体"/>
          <w:color w:val="auto"/>
          <w:highlight w:val="none"/>
        </w:rPr>
      </w:pPr>
      <w:r>
        <w:rPr>
          <w:rFonts w:hint="eastAsia" w:ascii="宋体" w:hAnsi="宋体" w:cs="宋体"/>
          <w:color w:val="auto"/>
          <w:highlight w:val="none"/>
        </w:rPr>
        <w:t>投 标 人：</w:t>
      </w:r>
    </w:p>
    <w:p w14:paraId="2621EF5D">
      <w:pPr>
        <w:pStyle w:val="135"/>
        <w:ind w:firstLine="4404" w:firstLineChars="1776"/>
        <w:rPr>
          <w:rFonts w:hint="eastAsia" w:ascii="宋体" w:hAnsi="宋体" w:cs="宋体"/>
          <w:color w:val="auto"/>
          <w:highlight w:val="none"/>
        </w:rPr>
      </w:pPr>
      <w:r>
        <w:rPr>
          <w:rFonts w:hint="eastAsia" w:ascii="宋体" w:hAnsi="宋体" w:cs="宋体"/>
          <w:color w:val="auto"/>
          <w:highlight w:val="none"/>
        </w:rPr>
        <w:t>日    期：    年    月    日</w:t>
      </w:r>
    </w:p>
    <w:p w14:paraId="086635CF">
      <w:pPr>
        <w:pStyle w:val="135"/>
        <w:ind w:firstLine="496"/>
        <w:rPr>
          <w:rFonts w:hint="eastAsia" w:ascii="宋体" w:hAnsi="宋体" w:cs="宋体"/>
          <w:color w:val="auto"/>
          <w:highlight w:val="none"/>
        </w:rPr>
        <w:sectPr>
          <w:headerReference r:id="rId5" w:type="default"/>
          <w:footerReference r:id="rId6" w:type="default"/>
          <w:pgSz w:w="11907" w:h="16840"/>
          <w:pgMar w:top="1440" w:right="1440" w:bottom="1440" w:left="1440" w:header="851" w:footer="851" w:gutter="0"/>
          <w:pgBorders>
            <w:top w:val="none" w:sz="0" w:space="0"/>
            <w:left w:val="none" w:sz="0" w:space="0"/>
            <w:bottom w:val="none" w:sz="0" w:space="0"/>
            <w:right w:val="none" w:sz="0" w:space="0"/>
          </w:pgBorders>
          <w:cols w:space="720" w:num="1"/>
          <w:docGrid w:type="lines" w:linePitch="312" w:charSpace="0"/>
        </w:sectPr>
      </w:pPr>
    </w:p>
    <w:p w14:paraId="6DF8BAE6">
      <w:pPr>
        <w:widowControl/>
        <w:topLinePunct/>
        <w:adjustRightInd w:val="0"/>
        <w:snapToGrid w:val="0"/>
        <w:spacing w:after="200"/>
        <w:jc w:val="left"/>
        <w:outlineLvl w:val="2"/>
        <w:rPr>
          <w:rFonts w:ascii="宋体" w:hAnsi="宋体" w:cs="宋体"/>
          <w:b/>
          <w:color w:val="auto"/>
          <w:sz w:val="24"/>
          <w:szCs w:val="24"/>
          <w:highlight w:val="none"/>
        </w:rPr>
      </w:pPr>
      <w:bookmarkStart w:id="225" w:name="OLE_LINK110"/>
      <w:r>
        <w:rPr>
          <w:rFonts w:hint="eastAsia" w:ascii="宋体" w:hAnsi="宋体" w:cs="宋体"/>
          <w:b/>
          <w:color w:val="auto"/>
          <w:sz w:val="24"/>
          <w:szCs w:val="24"/>
          <w:highlight w:val="none"/>
        </w:rPr>
        <w:t>格式三：</w:t>
      </w:r>
      <w:bookmarkEnd w:id="210"/>
      <w:bookmarkEnd w:id="211"/>
      <w:r>
        <w:rPr>
          <w:rFonts w:hint="eastAsia" w:ascii="宋体" w:hAnsi="宋体" w:cs="宋体"/>
          <w:b/>
          <w:color w:val="auto"/>
          <w:sz w:val="24"/>
          <w:szCs w:val="24"/>
          <w:highlight w:val="none"/>
        </w:rPr>
        <w:t>投标承诺函</w:t>
      </w:r>
    </w:p>
    <w:bookmarkEnd w:id="225"/>
    <w:p w14:paraId="7C6B5BD2">
      <w:pPr>
        <w:autoSpaceDE w:val="0"/>
        <w:autoSpaceDN w:val="0"/>
        <w:adjustRightInd w:val="0"/>
        <w:spacing w:line="360" w:lineRule="auto"/>
        <w:jc w:val="center"/>
        <w:rPr>
          <w:rFonts w:hint="eastAsia" w:ascii="宋体" w:hAnsi="宋体" w:cs="宋体"/>
          <w:b/>
          <w:bCs/>
          <w:color w:val="auto"/>
          <w:sz w:val="32"/>
          <w:szCs w:val="32"/>
          <w:highlight w:val="none"/>
          <w:lang w:val="zh-CN"/>
        </w:rPr>
      </w:pPr>
      <w:bookmarkStart w:id="226" w:name="OLE_LINK173"/>
      <w:r>
        <w:rPr>
          <w:rFonts w:hint="eastAsia" w:ascii="宋体" w:hAnsi="宋体" w:cs="宋体"/>
          <w:b/>
          <w:bCs/>
          <w:color w:val="auto"/>
          <w:sz w:val="32"/>
          <w:szCs w:val="32"/>
          <w:highlight w:val="none"/>
          <w:lang w:val="zh-CN"/>
        </w:rPr>
        <w:t>投标承诺函</w:t>
      </w:r>
    </w:p>
    <w:bookmarkEnd w:id="226"/>
    <w:p w14:paraId="255A9883">
      <w:pPr>
        <w:spacing w:line="360" w:lineRule="auto"/>
        <w:rPr>
          <w:rFonts w:hint="eastAsia" w:ascii="宋体" w:hAnsi="宋体" w:cs="宋体"/>
          <w:color w:val="auto"/>
          <w:sz w:val="24"/>
          <w:highlight w:val="none"/>
        </w:rPr>
      </w:pPr>
    </w:p>
    <w:p w14:paraId="42B36532">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14:paraId="68623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招标文件的全部内容，愿意以《投标书》中承诺的投标报价和工期，按招标内容范围和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我方没有备选投标方案。</w:t>
      </w:r>
    </w:p>
    <w:p w14:paraId="49321A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我方已充分阅读了本项目招标文件并充分了解有关报价方式及变更、结算方式，我方完全响应招标文件的规定。</w:t>
      </w:r>
    </w:p>
    <w:p w14:paraId="3F4800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3．我方承诺投标文件中的一切资料、数据是真实的，并承担由此引起的一切责任。</w:t>
      </w:r>
    </w:p>
    <w:p w14:paraId="62FC6E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4．我方承诺在招标文件规定的投标有效期内不修改、撤销投标文件。</w:t>
      </w:r>
    </w:p>
    <w:p w14:paraId="73209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5．我方如果中标，我方保证：</w:t>
      </w:r>
    </w:p>
    <w:p w14:paraId="040615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14:paraId="35253D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保证所完成的设计将完全符合国家相关规范要求，符合或优于招标文件、技术条件、合同条款的要求。若我方完成的设计文件未能达到招标人（或相关政府部门）的要求，我方将无条件根据要求进行修改设计文件，直至得到招标人（及相关政府部门）的认可为止。</w:t>
      </w:r>
    </w:p>
    <w:p w14:paraId="457EC9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（3）保证尽一切力量确保投标承诺的竣工日期，若我方未能按投标承诺的工期完成本项目，除承担合同约定的违约责任外，招标人有权解除合同，我方承担由于违约解除合同退场造成的对招标人的一切损失。</w:t>
      </w:r>
    </w:p>
    <w:p w14:paraId="52744A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bookmarkStart w:id="227" w:name="OLE_LINK178"/>
      <w:r>
        <w:rPr>
          <w:rFonts w:hint="eastAsia" w:ascii="宋体" w:hAnsi="宋体" w:cs="宋体"/>
          <w:color w:val="auto"/>
          <w:sz w:val="24"/>
          <w:highlight w:val="none"/>
        </w:rPr>
        <w:t>保证所投入本项目的主要材料、设备质量符合或优于招标文件要求，所投入本项目的辅助设备、材料与主主要材料、设备质量一致并有良好的配套性。</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"javascript:;" \t "_self" </w:instrText>
      </w:r>
      <w:r>
        <w:rPr>
          <w:rFonts w:ascii="宋体" w:hAnsi="宋体" w:cs="宋体"/>
          <w:color w:val="auto"/>
          <w:sz w:val="24"/>
          <w:highlight w:val="none"/>
        </w:rPr>
        <w:fldChar w:fldCharType="separate"/>
      </w:r>
      <w:r>
        <w:rPr>
          <w:rFonts w:ascii="宋体" w:hAnsi="宋体" w:cs="宋体"/>
          <w:color w:val="auto"/>
          <w:sz w:val="24"/>
          <w:highlight w:val="none"/>
        </w:rPr>
        <w:fldChar w:fldCharType="end"/>
      </w:r>
    </w:p>
    <w:bookmarkEnd w:id="227"/>
    <w:p w14:paraId="564C5C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（5）保证按照招标文件的要求确保安全生产及文明施工，如有违反，我方愿意按合同约定承担违约责任，并为此负相关的法律责任。</w:t>
      </w:r>
    </w:p>
    <w:p w14:paraId="256CF2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（6）保证按国家的有关规定制订保证民工工资支付的方案及保证措施，否则，我方愿按合同条款规定承担违约责任并赔偿招标人的全部损失。</w:t>
      </w:r>
    </w:p>
    <w:p w14:paraId="5ABDD4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（7）保证按施工期间做好安全文明和交通保证措施，施工区全封闭围挡，根据工程进度计划分段施工分期围挡。最大限度满足交通和市民出行方便，施工行为做到便民，不扰民。</w:t>
      </w:r>
    </w:p>
    <w:p w14:paraId="21B52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（8）保证按招标人工期要求编制施工进度计划，计划内用全面详实，根据项目特点合理组织分段施工，分段逐步移交。</w:t>
      </w:r>
    </w:p>
    <w:p w14:paraId="469CBC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保证在公示后3天内将在交易平台下载的投标文件打印1正3副纸质版并加盖单位公章，合共4套投标文件提供给招标人，相关费用由我方支付。并承诺纸质版投标文件与在交易平台提交的电子版投标文件完全一致，如出现不一致则以交易平台提交的电子版投标文件为准。</w:t>
      </w:r>
    </w:p>
    <w:p w14:paraId="184F16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（10）保证严格按照本项目招标文件《</w:t>
      </w:r>
      <w:r>
        <w:rPr>
          <w:rFonts w:hint="eastAsia" w:ascii="宋体" w:hAnsi="宋体" w:cs="宋体"/>
          <w:color w:val="auto"/>
          <w:sz w:val="24"/>
          <w:highlight w:val="none"/>
          <w:lang w:val="zh-CN"/>
        </w:rPr>
        <w:t>施工项目管理团队人员信息表</w:t>
      </w:r>
      <w:r>
        <w:rPr>
          <w:rFonts w:hint="eastAsia" w:ascii="宋体" w:hAnsi="宋体" w:cs="宋体"/>
          <w:color w:val="auto"/>
          <w:sz w:val="24"/>
          <w:highlight w:val="none"/>
        </w:rPr>
        <w:t>》的</w:t>
      </w:r>
      <w:r>
        <w:rPr>
          <w:rFonts w:hint="eastAsia" w:ascii="宋体" w:hAnsi="宋体" w:cs="宋体"/>
          <w:color w:val="auto"/>
          <w:sz w:val="24"/>
          <w:highlight w:val="none"/>
          <w:lang w:val="zh-CN"/>
        </w:rPr>
        <w:t>要求</w:t>
      </w:r>
      <w:r>
        <w:rPr>
          <w:rFonts w:hint="eastAsia" w:ascii="宋体" w:hAnsi="宋体" w:cs="宋体"/>
          <w:color w:val="auto"/>
          <w:sz w:val="24"/>
          <w:highlight w:val="none"/>
        </w:rPr>
        <w:t>配备人员，并将人员名单作为合同签订的附件。我方承诺，上述人员均为我方正式员工，我方在中标后一并提供满足要求的资格资历证明文件以及上述人员在我单位的有效社保证明文件供贵单位审核。如配备的人员不满足要求，我方承诺按合同约定承担违约责任。</w:t>
      </w:r>
    </w:p>
    <w:p w14:paraId="06109A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b w:val="0"/>
          <w:bCs w:val="0"/>
          <w:color w:val="auto"/>
          <w:sz w:val="24"/>
          <w:szCs w:val="22"/>
          <w:highlight w:val="none"/>
          <w:lang w:val="en-US" w:eastAsia="zh-CN"/>
        </w:rPr>
        <w:t>我方如不接受招标文件《第五章  技术条件（工程建设标准）》的规定调整价格（如有），视为我方承诺与事实不符，我方将放弃中标资格</w:t>
      </w:r>
    </w:p>
    <w:p w14:paraId="03186287">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w:t>
      </w:r>
      <w:r>
        <w:rPr>
          <w:rFonts w:hint="eastAsia" w:ascii="宋体" w:hAnsi="宋体" w:cs="宋体"/>
          <w:color w:val="auto"/>
          <w:sz w:val="24"/>
          <w:highlight w:val="none"/>
          <w:u w:val="single"/>
        </w:rPr>
        <w:t>保证在合同履行期间不更换项目管理团队人员。合同履行期间，除不可抗力因素外，我方更换项目管理团队人员，按合同约定承担违约责任。</w:t>
      </w:r>
    </w:p>
    <w:p w14:paraId="4C29876B">
      <w:pPr>
        <w:tabs>
          <w:tab w:val="left" w:pos="7655"/>
        </w:tabs>
        <w:spacing w:line="360" w:lineRule="auto"/>
        <w:ind w:firstLine="1656" w:firstLineChars="600"/>
        <w:jc w:val="left"/>
        <w:rPr>
          <w:rFonts w:ascii="宋体" w:hAnsi="宋体" w:cs="宋体"/>
          <w:color w:val="auto"/>
          <w:spacing w:val="18"/>
          <w:kern w:val="1"/>
          <w:sz w:val="24"/>
          <w:highlight w:val="none"/>
          <w:lang w:val="zh-CN"/>
        </w:rPr>
      </w:pPr>
    </w:p>
    <w:p w14:paraId="215B34BE">
      <w:pPr>
        <w:topLinePunct/>
        <w:adjustRightInd w:val="0"/>
        <w:snapToGrid w:val="0"/>
        <w:spacing w:line="360" w:lineRule="auto"/>
        <w:ind w:firstLine="3472" w:firstLineChars="14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w:t>
      </w:r>
    </w:p>
    <w:p w14:paraId="0B6CA4AB">
      <w:pPr>
        <w:topLinePunct/>
        <w:adjustRightInd w:val="0"/>
        <w:snapToGrid w:val="0"/>
        <w:spacing w:line="360" w:lineRule="auto"/>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14:paraId="79B62796">
      <w:pPr>
        <w:pStyle w:val="20"/>
        <w:rPr>
          <w:color w:val="auto"/>
          <w:highlight w:val="none"/>
        </w:rPr>
      </w:pPr>
    </w:p>
    <w:p w14:paraId="5A104EA5">
      <w:pPr>
        <w:pStyle w:val="20"/>
        <w:rPr>
          <w:color w:val="auto"/>
          <w:highlight w:val="none"/>
        </w:rPr>
      </w:pPr>
    </w:p>
    <w:p w14:paraId="6BA01D93">
      <w:pPr>
        <w:jc w:val="left"/>
        <w:outlineLvl w:val="2"/>
        <w:rPr>
          <w:rFonts w:ascii="宋体" w:hAnsi="宋体" w:cs="宋体"/>
          <w:b/>
          <w:color w:val="auto"/>
          <w:sz w:val="24"/>
          <w:szCs w:val="24"/>
          <w:highlight w:val="none"/>
        </w:rPr>
      </w:pPr>
      <w:r>
        <w:rPr>
          <w:rFonts w:ascii="宋体" w:hAnsi="宋体" w:cs="宋体"/>
          <w:b/>
          <w:color w:val="auto"/>
          <w:sz w:val="24"/>
          <w:szCs w:val="24"/>
          <w:highlight w:val="none"/>
        </w:rPr>
        <w:br w:type="page"/>
      </w:r>
      <w:bookmarkStart w:id="228" w:name="OLE_LINK111"/>
      <w:r>
        <w:rPr>
          <w:rFonts w:hint="eastAsia" w:ascii="宋体" w:hAnsi="宋体" w:cs="宋体"/>
          <w:b/>
          <w:color w:val="auto"/>
          <w:sz w:val="24"/>
          <w:szCs w:val="24"/>
          <w:highlight w:val="none"/>
        </w:rPr>
        <w:t>格式四：</w:t>
      </w:r>
      <w:bookmarkStart w:id="229" w:name="OLE_LINK170"/>
      <w:r>
        <w:rPr>
          <w:rFonts w:hint="eastAsia" w:ascii="宋体" w:hAnsi="宋体" w:cs="宋体"/>
          <w:b/>
          <w:color w:val="auto"/>
          <w:sz w:val="24"/>
          <w:szCs w:val="24"/>
          <w:highlight w:val="none"/>
        </w:rPr>
        <w:t>投标人提交履约担保承诺书</w:t>
      </w:r>
      <w:bookmarkEnd w:id="228"/>
      <w:bookmarkEnd w:id="229"/>
    </w:p>
    <w:p w14:paraId="55CE2BF7">
      <w:pPr>
        <w:pStyle w:val="20"/>
        <w:rPr>
          <w:rFonts w:hint="eastAsia"/>
          <w:color w:val="auto"/>
          <w:highlight w:val="none"/>
        </w:rPr>
      </w:pPr>
    </w:p>
    <w:p w14:paraId="312202C0">
      <w:pPr>
        <w:autoSpaceDE w:val="0"/>
        <w:autoSpaceDN w:val="0"/>
        <w:adjustRightIn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投标人提交履约</w:t>
      </w:r>
      <w:bookmarkStart w:id="230" w:name="OLE_LINK179"/>
      <w:r>
        <w:rPr>
          <w:rFonts w:hint="eastAsia" w:ascii="宋体" w:hAnsi="宋体" w:cs="宋体"/>
          <w:b/>
          <w:color w:val="auto"/>
          <w:sz w:val="24"/>
          <w:szCs w:val="24"/>
          <w:highlight w:val="none"/>
        </w:rPr>
        <w:t>担保</w:t>
      </w:r>
      <w:bookmarkEnd w:id="230"/>
      <w:r>
        <w:rPr>
          <w:rFonts w:hint="eastAsia" w:ascii="宋体" w:hAnsi="宋体" w:cs="宋体"/>
          <w:b/>
          <w:color w:val="auto"/>
          <w:sz w:val="24"/>
          <w:szCs w:val="24"/>
          <w:highlight w:val="none"/>
        </w:rPr>
        <w:t>承诺书</w:t>
      </w:r>
    </w:p>
    <w:p w14:paraId="332A05A6">
      <w:pPr>
        <w:autoSpaceDE w:val="0"/>
        <w:autoSpaceDN w:val="0"/>
        <w:adjustRightInd w:val="0"/>
        <w:jc w:val="center"/>
        <w:rPr>
          <w:rFonts w:ascii="宋体" w:hAnsi="宋体" w:cs="宋体"/>
          <w:b/>
          <w:color w:val="auto"/>
          <w:sz w:val="24"/>
          <w:szCs w:val="24"/>
          <w:highlight w:val="none"/>
        </w:rPr>
      </w:pPr>
    </w:p>
    <w:p w14:paraId="6B384A71">
      <w:pPr>
        <w:widowControl/>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南方医科大学皮肤病医院(广东省皮肤病医院、广东省皮肤性病防治中心、中国麻风防治研究中心)</w:t>
      </w:r>
    </w:p>
    <w:p w14:paraId="6F531219">
      <w:pPr>
        <w:widowControl/>
        <w:spacing w:line="360" w:lineRule="auto"/>
        <w:ind w:firstLine="496" w:firstLineChars="200"/>
        <w:jc w:val="left"/>
        <w:rPr>
          <w:rFonts w:hint="eastAsia" w:ascii="宋体" w:hAnsi="宋体" w:eastAsia="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如果我单位在</w:t>
      </w:r>
      <w:r>
        <w:rPr>
          <w:rFonts w:hint="eastAsia" w:ascii="宋体" w:hAnsi="宋体" w:cs="宋体"/>
          <w:bCs/>
          <w:color w:val="auto"/>
          <w:spacing w:val="4"/>
          <w:kern w:val="0"/>
          <w:sz w:val="24"/>
          <w:szCs w:val="24"/>
          <w:highlight w:val="none"/>
          <w:u w:val="single"/>
        </w:rPr>
        <w:t xml:space="preserve">                    </w:t>
      </w:r>
      <w:r>
        <w:rPr>
          <w:rFonts w:hint="eastAsia" w:ascii="宋体" w:hAnsi="宋体" w:cs="宋体"/>
          <w:bCs/>
          <w:color w:val="auto"/>
          <w:spacing w:val="4"/>
          <w:kern w:val="0"/>
          <w:sz w:val="24"/>
          <w:szCs w:val="24"/>
          <w:highlight w:val="none"/>
        </w:rPr>
        <w:t>项目招标中，被确定为中标人，我单位能够按照招标文件约定</w:t>
      </w:r>
      <w:r>
        <w:rPr>
          <w:rFonts w:hint="eastAsia" w:ascii="宋体" w:hAnsi="宋体" w:eastAsia="宋体" w:cs="宋体"/>
          <w:bCs/>
          <w:color w:val="auto"/>
          <w:spacing w:val="4"/>
          <w:kern w:val="0"/>
          <w:sz w:val="24"/>
          <w:szCs w:val="24"/>
          <w:highlight w:val="none"/>
        </w:rPr>
        <w:t>的时间和格式，按照中标金额（不含专业暂估价、暂列金额）的10%向贵</w:t>
      </w:r>
      <w:r>
        <w:rPr>
          <w:rFonts w:hint="eastAsia" w:ascii="宋体" w:hAnsi="宋体" w:eastAsia="宋体" w:cs="宋体"/>
          <w:bCs/>
          <w:color w:val="auto"/>
          <w:spacing w:val="4"/>
          <w:kern w:val="0"/>
          <w:sz w:val="24"/>
          <w:szCs w:val="24"/>
          <w:highlight w:val="none"/>
          <w:lang w:val="en-US" w:eastAsia="zh-CN"/>
        </w:rPr>
        <w:t>单位</w:t>
      </w:r>
      <w:r>
        <w:rPr>
          <w:rFonts w:hint="eastAsia" w:ascii="宋体" w:hAnsi="宋体" w:eastAsia="宋体" w:cs="宋体"/>
          <w:bCs/>
          <w:color w:val="auto"/>
          <w:spacing w:val="4"/>
          <w:kern w:val="0"/>
          <w:sz w:val="24"/>
          <w:szCs w:val="24"/>
          <w:highlight w:val="none"/>
        </w:rPr>
        <w:t>提供履约担保。履约担保的担保期限从提供履约担保之日起至本工程完成结算和保修期服务之日止。如我单位采用履约保函提供履约担保的，但未能按照</w:t>
      </w:r>
      <w:r>
        <w:rPr>
          <w:rFonts w:hint="eastAsia" w:ascii="宋体" w:hAnsi="宋体" w:eastAsia="宋体" w:cs="宋体"/>
          <w:bCs/>
          <w:color w:val="auto"/>
          <w:spacing w:val="4"/>
          <w:kern w:val="0"/>
          <w:sz w:val="24"/>
          <w:szCs w:val="24"/>
          <w:highlight w:val="none"/>
          <w:u w:val="none"/>
        </w:rPr>
        <w:t>合同</w:t>
      </w:r>
      <w:r>
        <w:rPr>
          <w:rFonts w:hint="eastAsia" w:ascii="宋体" w:hAnsi="宋体" w:eastAsia="宋体" w:cs="宋体"/>
          <w:bCs/>
          <w:color w:val="auto"/>
          <w:spacing w:val="4"/>
          <w:kern w:val="0"/>
          <w:sz w:val="24"/>
          <w:szCs w:val="24"/>
          <w:highlight w:val="none"/>
        </w:rPr>
        <w:t>规定的时间和格式提供合格的履约保函</w:t>
      </w:r>
      <w:r>
        <w:rPr>
          <w:rFonts w:hint="eastAsia" w:ascii="宋体" w:hAnsi="宋体" w:eastAsia="宋体" w:cs="宋体"/>
          <w:bCs/>
          <w:color w:val="auto"/>
          <w:spacing w:val="4"/>
          <w:kern w:val="0"/>
          <w:sz w:val="24"/>
          <w:szCs w:val="24"/>
          <w:highlight w:val="none"/>
          <w:u w:val="none"/>
        </w:rPr>
        <w:t>的</w:t>
      </w:r>
      <w:r>
        <w:rPr>
          <w:rFonts w:hint="eastAsia" w:ascii="宋体" w:hAnsi="宋体" w:eastAsia="宋体" w:cs="宋体"/>
          <w:bCs/>
          <w:color w:val="auto"/>
          <w:spacing w:val="4"/>
          <w:kern w:val="0"/>
          <w:sz w:val="24"/>
          <w:szCs w:val="24"/>
          <w:highlight w:val="none"/>
        </w:rPr>
        <w:t>，我单位自愿放弃中标资格，并承担相应责任。</w:t>
      </w:r>
    </w:p>
    <w:p w14:paraId="34B8DB51">
      <w:pPr>
        <w:widowControl/>
        <w:snapToGrid/>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具体</w:t>
      </w:r>
      <w:r>
        <w:rPr>
          <w:rFonts w:hint="eastAsia" w:ascii="宋体" w:hAnsi="宋体" w:eastAsia="宋体" w:cs="宋体"/>
          <w:bCs/>
          <w:color w:val="auto"/>
          <w:spacing w:val="4"/>
          <w:kern w:val="0"/>
          <w:sz w:val="24"/>
          <w:szCs w:val="24"/>
          <w:highlight w:val="none"/>
        </w:rPr>
        <w:t>格式</w:t>
      </w:r>
      <w:r>
        <w:rPr>
          <w:rFonts w:hint="eastAsia" w:ascii="宋体" w:hAnsi="宋体" w:cs="宋体"/>
          <w:bCs/>
          <w:color w:val="auto"/>
          <w:kern w:val="0"/>
          <w:sz w:val="24"/>
          <w:highlight w:val="none"/>
        </w:rPr>
        <w:t>要求详见合同。</w:t>
      </w:r>
    </w:p>
    <w:p w14:paraId="0815444A">
      <w:pPr>
        <w:topLinePunct/>
        <w:adjustRightInd w:val="0"/>
        <w:snapToGrid w:val="0"/>
        <w:spacing w:line="360" w:lineRule="auto"/>
        <w:jc w:val="center"/>
        <w:rPr>
          <w:rFonts w:hint="eastAsia" w:ascii="宋体" w:hAnsi="宋体" w:cs="宋体"/>
          <w:b/>
          <w:color w:val="auto"/>
          <w:spacing w:val="4"/>
          <w:kern w:val="0"/>
          <w:sz w:val="36"/>
          <w:szCs w:val="36"/>
          <w:highlight w:val="none"/>
        </w:rPr>
      </w:pPr>
    </w:p>
    <w:p w14:paraId="608B317E">
      <w:pPr>
        <w:topLinePunct/>
        <w:adjustRightInd w:val="0"/>
        <w:snapToGrid w:val="0"/>
        <w:spacing w:line="360" w:lineRule="auto"/>
        <w:ind w:firstLine="3472" w:firstLineChars="14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w:t>
      </w:r>
    </w:p>
    <w:p w14:paraId="12BCA795">
      <w:pPr>
        <w:topLinePunct/>
        <w:adjustRightInd w:val="0"/>
        <w:snapToGrid w:val="0"/>
        <w:spacing w:line="360" w:lineRule="auto"/>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14:paraId="4076D7AD">
      <w:pPr>
        <w:pStyle w:val="20"/>
        <w:rPr>
          <w:color w:val="auto"/>
          <w:highlight w:val="none"/>
        </w:rPr>
      </w:pPr>
    </w:p>
    <w:p w14:paraId="349D87AD">
      <w:pPr>
        <w:jc w:val="left"/>
        <w:outlineLvl w:val="2"/>
        <w:rPr>
          <w:rFonts w:hint="eastAsia" w:cs="宋体"/>
          <w:b/>
          <w:color w:val="auto"/>
          <w:spacing w:val="4"/>
          <w:sz w:val="24"/>
          <w:szCs w:val="24"/>
          <w:highlight w:val="none"/>
        </w:rPr>
      </w:pPr>
      <w:r>
        <w:rPr>
          <w:color w:val="auto"/>
          <w:highlight w:val="none"/>
        </w:rPr>
        <w:br w:type="page"/>
      </w:r>
      <w:bookmarkStart w:id="231" w:name="_Toc94347377"/>
      <w:r>
        <w:rPr>
          <w:rFonts w:hint="eastAsia" w:cs="宋体"/>
          <w:b/>
          <w:color w:val="auto"/>
          <w:spacing w:val="4"/>
          <w:sz w:val="24"/>
          <w:szCs w:val="24"/>
          <w:highlight w:val="none"/>
        </w:rPr>
        <w:t>格式五：</w:t>
      </w:r>
      <w:r>
        <w:rPr>
          <w:rFonts w:hint="eastAsia" w:ascii="宋体" w:hAnsi="宋体" w:cs="宋体"/>
          <w:b/>
          <w:color w:val="auto"/>
          <w:sz w:val="24"/>
          <w:szCs w:val="24"/>
          <w:highlight w:val="none"/>
        </w:rPr>
        <w:t>参与编制技术标投标文件人员名单</w:t>
      </w:r>
      <w:bookmarkEnd w:id="231"/>
    </w:p>
    <w:p w14:paraId="0A4F70F8">
      <w:pPr>
        <w:tabs>
          <w:tab w:val="left" w:pos="720"/>
        </w:tabs>
        <w:snapToGrid w:val="0"/>
        <w:spacing w:line="360" w:lineRule="auto"/>
        <w:rPr>
          <w:rFonts w:hint="eastAsia" w:ascii="宋体" w:hAnsi="宋体" w:cs="宋体"/>
          <w:color w:val="auto"/>
          <w:szCs w:val="21"/>
          <w:highlight w:val="none"/>
        </w:rPr>
      </w:pPr>
    </w:p>
    <w:p w14:paraId="5469B9CE">
      <w:pPr>
        <w:topLinePunct/>
        <w:adjustRightInd w:val="0"/>
        <w:snapToGrid w:val="0"/>
        <w:spacing w:before="156" w:after="156" w:line="360" w:lineRule="auto"/>
        <w:jc w:val="center"/>
        <w:rPr>
          <w:rFonts w:hint="eastAsia" w:ascii="宋体" w:hAnsi="宋体" w:cs="宋体"/>
          <w:b/>
          <w:bCs/>
          <w:snapToGrid w:val="0"/>
          <w:color w:val="auto"/>
          <w:spacing w:val="4"/>
          <w:kern w:val="0"/>
          <w:sz w:val="36"/>
          <w:szCs w:val="36"/>
          <w:highlight w:val="none"/>
        </w:rPr>
      </w:pPr>
      <w:r>
        <w:rPr>
          <w:rFonts w:hint="eastAsia" w:ascii="宋体" w:hAnsi="宋体" w:cs="宋体"/>
          <w:b/>
          <w:bCs/>
          <w:snapToGrid w:val="0"/>
          <w:color w:val="auto"/>
          <w:spacing w:val="4"/>
          <w:kern w:val="0"/>
          <w:sz w:val="36"/>
          <w:szCs w:val="36"/>
          <w:highlight w:val="none"/>
        </w:rPr>
        <w:t>参与编制技术标投标文件人员名单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1"/>
        <w:gridCol w:w="2245"/>
        <w:gridCol w:w="1361"/>
      </w:tblGrid>
      <w:tr w14:paraId="0E69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0" w:type="dxa"/>
            <w:gridSpan w:val="5"/>
            <w:tcBorders>
              <w:top w:val="single" w:color="auto" w:sz="4" w:space="0"/>
              <w:left w:val="single" w:color="auto" w:sz="4" w:space="0"/>
              <w:bottom w:val="single" w:color="auto" w:sz="4" w:space="0"/>
              <w:right w:val="single" w:color="auto" w:sz="4" w:space="0"/>
            </w:tcBorders>
            <w:noWrap w:val="0"/>
            <w:vAlign w:val="center"/>
          </w:tcPr>
          <w:p w14:paraId="181F50E6">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r>
      <w:tr w14:paraId="7979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7AA404C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4CC0353">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3076D35E">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721B1C91">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6F0677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14:paraId="01AE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2813C8C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F95A1A0">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24A4B39">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75A645BE">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0833A2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4F85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46214B2D">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CF3678A">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4AD24ED8">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2EE73A8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62E122E">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538B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7C1E9B06">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BA7345B">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F92EA70">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7949E01D">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427054D">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164A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7BBD9F27">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0F5B2BD">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63E8B4F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358A6F16">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0A6FD47">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45B5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0C3D7F50">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1785AE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128FE7B9">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F68FF63">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D74780A">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44D3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6AF695B7">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9D536FD">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10ECF721">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07A8672E">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FFFAE05">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1C64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369068A6">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706031A">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4971B969">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82104E0">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FE44243">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6651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5ADF4C6A">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35A8A18">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41F7DF18">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6BD46B70">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D4CE2CE">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76031613">
      <w:pPr>
        <w:tabs>
          <w:tab w:val="left" w:pos="720"/>
        </w:tabs>
        <w:snapToGrid w:val="0"/>
        <w:spacing w:line="360" w:lineRule="auto"/>
        <w:rPr>
          <w:rFonts w:hint="eastAsia" w:ascii="宋体" w:hAnsi="宋体" w:cs="宋体"/>
          <w:color w:val="auto"/>
          <w:sz w:val="24"/>
          <w:szCs w:val="24"/>
          <w:highlight w:val="none"/>
        </w:rPr>
      </w:pPr>
    </w:p>
    <w:p w14:paraId="28D91865">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注：参与编制技术标书所有人员名单应包括如编制技术投标方案、负责清样校对、负责打印及复印等所有人员在内的人员名单。 </w:t>
      </w:r>
    </w:p>
    <w:p w14:paraId="1AE9F148">
      <w:pPr>
        <w:rPr>
          <w:rFonts w:hint="eastAsia"/>
          <w:color w:val="auto"/>
          <w:highlight w:val="none"/>
        </w:rPr>
      </w:pPr>
      <w:bookmarkStart w:id="232" w:name="_Toc94347378"/>
      <w:bookmarkStart w:id="233" w:name="_Toc97576610"/>
    </w:p>
    <w:bookmarkEnd w:id="232"/>
    <w:bookmarkEnd w:id="233"/>
    <w:p w14:paraId="03891493">
      <w:pPr>
        <w:pStyle w:val="4"/>
        <w:rPr>
          <w:rFonts w:hint="eastAsia" w:cs="宋体"/>
          <w:b/>
          <w:color w:val="auto"/>
          <w:spacing w:val="4"/>
          <w:sz w:val="24"/>
          <w:szCs w:val="24"/>
          <w:highlight w:val="none"/>
        </w:rPr>
      </w:pPr>
    </w:p>
    <w:p w14:paraId="0B93F620">
      <w:pPr>
        <w:spacing w:line="360" w:lineRule="auto"/>
        <w:ind w:right="360"/>
        <w:rPr>
          <w:rFonts w:hint="eastAsia" w:ascii="宋体" w:hAnsi="宋体" w:cs="宋体"/>
          <w:color w:val="auto"/>
          <w:sz w:val="24"/>
          <w:szCs w:val="20"/>
          <w:highlight w:val="none"/>
        </w:rPr>
        <w:sectPr>
          <w:footerReference r:id="rId7"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7" w:charSpace="0"/>
        </w:sectPr>
      </w:pPr>
    </w:p>
    <w:p w14:paraId="07EFC424">
      <w:pPr>
        <w:pStyle w:val="4"/>
        <w:rPr>
          <w:rFonts w:hint="eastAsia" w:cs="宋体"/>
          <w:b/>
          <w:color w:val="auto"/>
          <w:spacing w:val="4"/>
          <w:sz w:val="24"/>
          <w:szCs w:val="24"/>
          <w:highlight w:val="none"/>
        </w:rPr>
      </w:pPr>
      <w:r>
        <w:rPr>
          <w:rFonts w:hint="eastAsia" w:cs="宋体"/>
          <w:b/>
          <w:color w:val="auto"/>
          <w:spacing w:val="4"/>
          <w:sz w:val="24"/>
          <w:szCs w:val="24"/>
          <w:highlight w:val="none"/>
        </w:rPr>
        <w:t>格式六：危险性较大的分部分项工程安全管理措施</w:t>
      </w:r>
    </w:p>
    <w:p w14:paraId="07DC9B88">
      <w:pPr>
        <w:pStyle w:val="244"/>
        <w:spacing w:before="158" w:beforeLines="50" w:after="156"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危险性较大的分部分项工程安全管理措施</w:t>
      </w:r>
    </w:p>
    <w:p w14:paraId="1D9E4875">
      <w:pPr>
        <w:numPr>
          <w:ilvl w:val="0"/>
          <w:numId w:val="4"/>
        </w:numPr>
        <w:autoSpaceDE w:val="0"/>
        <w:autoSpaceDN w:val="0"/>
        <w:adjustRightInd w:val="0"/>
        <w:spacing w:line="360" w:lineRule="auto"/>
        <w:jc w:val="left"/>
        <w:rPr>
          <w:rFonts w:hint="eastAsia" w:ascii="宋体" w:hAnsi="宋体" w:cs="宋体"/>
          <w:snapToGrid w:val="0"/>
          <w:color w:val="auto"/>
          <w:spacing w:val="4"/>
          <w:kern w:val="0"/>
          <w:sz w:val="24"/>
          <w:szCs w:val="24"/>
          <w:highlight w:val="none"/>
        </w:rPr>
      </w:pPr>
      <w:r>
        <w:rPr>
          <w:rFonts w:hint="eastAsia" w:ascii="宋体" w:hAnsi="宋体" w:cs="宋体"/>
          <w:color w:val="auto"/>
          <w:sz w:val="24"/>
          <w:szCs w:val="28"/>
          <w:highlight w:val="none"/>
        </w:rPr>
        <w:t>根据中华人民共和国住房和城乡建设部令第47号《危险性较大的分部分项工程安全管理规定》（以下简称“47号文”），投标人在投标时须补充完善危大工程清单并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3D718784">
      <w:pPr>
        <w:numPr>
          <w:ilvl w:val="0"/>
          <w:numId w:val="4"/>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招标人根据设计文件的要求及47号文的规定列出“危险性较大的分部分项工程清单及超过一定规模的危险性较大的分部分项工程清单”中与本招标项目相关的清单项，具体详见第5点“打</w:t>
      </w:r>
      <w:r>
        <w:rPr>
          <w:rFonts w:hint="eastAsia" w:ascii="宋体" w:hAnsi="宋体" w:cs="宋体"/>
          <w:color w:val="auto"/>
          <w:sz w:val="24"/>
          <w:szCs w:val="36"/>
          <w:highlight w:val="none"/>
        </w:rPr>
        <w:t>√”标识。</w:t>
      </w:r>
    </w:p>
    <w:p w14:paraId="33B5F01A">
      <w:pPr>
        <w:autoSpaceDE w:val="0"/>
        <w:autoSpaceDN w:val="0"/>
        <w:adjustRightInd w:val="0"/>
        <w:spacing w:line="360" w:lineRule="auto"/>
        <w:ind w:firstLine="240" w:firstLineChars="100"/>
        <w:jc w:val="left"/>
        <w:rPr>
          <w:rFonts w:hint="eastAsia" w:ascii="宋体" w:hAnsi="宋体" w:cs="宋体"/>
          <w:color w:val="auto"/>
          <w:sz w:val="24"/>
          <w:szCs w:val="36"/>
          <w:highlight w:val="none"/>
        </w:rPr>
      </w:pPr>
      <w:r>
        <w:rPr>
          <w:rFonts w:hint="eastAsia" w:ascii="宋体" w:hAnsi="宋体" w:cs="宋体"/>
          <w:color w:val="auto"/>
          <w:sz w:val="24"/>
          <w:szCs w:val="28"/>
          <w:highlight w:val="none"/>
        </w:rPr>
        <w:t>（1）投标单位同意招标人在清单中标识的该项请在对应项打“</w:t>
      </w:r>
      <w:r>
        <w:rPr>
          <w:rFonts w:hint="eastAsia" w:ascii="宋体" w:hAnsi="宋体" w:cs="宋体"/>
          <w:color w:val="auto"/>
          <w:sz w:val="24"/>
          <w:szCs w:val="36"/>
          <w:highlight w:val="none"/>
        </w:rPr>
        <w:t>√”标识，并在投标文件中提供相应的安全管理措施。</w:t>
      </w:r>
    </w:p>
    <w:p w14:paraId="0975B822">
      <w:pPr>
        <w:autoSpaceDE w:val="0"/>
        <w:autoSpaceDN w:val="0"/>
        <w:adjustRightInd w:val="0"/>
        <w:spacing w:line="360" w:lineRule="auto"/>
        <w:ind w:firstLine="240" w:firstLineChars="100"/>
        <w:jc w:val="left"/>
        <w:rPr>
          <w:rFonts w:hint="eastAsia" w:ascii="宋体" w:hAnsi="宋体" w:cs="宋体"/>
          <w:color w:val="auto"/>
          <w:sz w:val="24"/>
          <w:szCs w:val="36"/>
          <w:highlight w:val="none"/>
        </w:rPr>
      </w:pPr>
      <w:r>
        <w:rPr>
          <w:rFonts w:hint="eastAsia" w:ascii="宋体" w:hAnsi="宋体" w:cs="宋体"/>
          <w:color w:val="auto"/>
          <w:sz w:val="24"/>
          <w:szCs w:val="28"/>
          <w:highlight w:val="none"/>
        </w:rPr>
        <w:t>（2）投标单位对清单中认为需要补充的该项请在对应项打“</w:t>
      </w:r>
      <w:r>
        <w:rPr>
          <w:rFonts w:hint="eastAsia" w:ascii="宋体" w:hAnsi="宋体" w:cs="宋体"/>
          <w:color w:val="auto"/>
          <w:sz w:val="24"/>
          <w:szCs w:val="36"/>
          <w:highlight w:val="none"/>
        </w:rPr>
        <w:t>√”标识，并在投标文件中提供相应的安全管理措施。</w:t>
      </w:r>
    </w:p>
    <w:p w14:paraId="4E6CE60D">
      <w:pPr>
        <w:autoSpaceDE w:val="0"/>
        <w:autoSpaceDN w:val="0"/>
        <w:adjustRightInd w:val="0"/>
        <w:spacing w:line="360" w:lineRule="auto"/>
        <w:ind w:firstLine="240" w:firstLineChars="100"/>
        <w:jc w:val="left"/>
        <w:rPr>
          <w:rFonts w:hint="eastAsia" w:ascii="宋体" w:hAnsi="宋体" w:cs="宋体"/>
          <w:color w:val="auto"/>
          <w:sz w:val="24"/>
          <w:szCs w:val="28"/>
          <w:highlight w:val="none"/>
        </w:rPr>
      </w:pPr>
      <w:r>
        <w:rPr>
          <w:rFonts w:hint="eastAsia" w:ascii="宋体" w:hAnsi="宋体" w:cs="宋体"/>
          <w:color w:val="auto"/>
          <w:sz w:val="24"/>
          <w:szCs w:val="36"/>
          <w:highlight w:val="none"/>
        </w:rPr>
        <w:t>（3）投标单位不同意招标人</w:t>
      </w:r>
      <w:r>
        <w:rPr>
          <w:rFonts w:hint="eastAsia" w:ascii="宋体" w:hAnsi="宋体" w:cs="宋体"/>
          <w:color w:val="auto"/>
          <w:sz w:val="24"/>
          <w:szCs w:val="28"/>
          <w:highlight w:val="none"/>
        </w:rPr>
        <w:t>在清单中标识的该项</w:t>
      </w:r>
      <w:r>
        <w:rPr>
          <w:rFonts w:hint="eastAsia" w:ascii="宋体" w:hAnsi="宋体" w:cs="宋体"/>
          <w:color w:val="auto"/>
          <w:sz w:val="24"/>
          <w:szCs w:val="36"/>
          <w:highlight w:val="none"/>
        </w:rPr>
        <w:t>请在对应项打“×”标识，并在备注栏填上相关说明。</w:t>
      </w:r>
    </w:p>
    <w:p w14:paraId="026300F2">
      <w:pPr>
        <w:numPr>
          <w:ilvl w:val="0"/>
          <w:numId w:val="4"/>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投标单位应当在投标时根据招标人提供的下述第5点清单，在投标文件中编制专项施工方案。</w:t>
      </w:r>
    </w:p>
    <w:p w14:paraId="65EDF601">
      <w:pPr>
        <w:numPr>
          <w:ilvl w:val="0"/>
          <w:numId w:val="4"/>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92B3101">
      <w:pPr>
        <w:numPr>
          <w:ilvl w:val="0"/>
          <w:numId w:val="4"/>
        </w:num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 w:val="24"/>
          <w:szCs w:val="28"/>
          <w:highlight w:val="none"/>
        </w:rPr>
        <w:t>危险性较大的分部分项工程清单及超过一定规模的危险性较大的分部分项工程清单：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3"/>
        <w:gridCol w:w="1353"/>
        <w:gridCol w:w="1353"/>
        <w:gridCol w:w="1057"/>
      </w:tblGrid>
      <w:tr w14:paraId="7C3E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53" w:type="dxa"/>
            <w:tcBorders>
              <w:top w:val="single" w:color="auto" w:sz="4" w:space="0"/>
              <w:left w:val="single" w:color="auto" w:sz="4" w:space="0"/>
              <w:bottom w:val="single" w:color="auto" w:sz="4" w:space="0"/>
              <w:right w:val="single" w:color="auto" w:sz="4" w:space="0"/>
            </w:tcBorders>
            <w:noWrap w:val="0"/>
            <w:vAlign w:val="center"/>
          </w:tcPr>
          <w:p w14:paraId="2F3A977B">
            <w:pPr>
              <w:keepNext w:val="0"/>
              <w:keepLines w:val="0"/>
              <w:widowControl/>
              <w:suppressLineNumbers w:val="0"/>
              <w:spacing w:before="0" w:beforeAutospacing="0" w:after="0" w:afterAutospacing="0"/>
              <w:ind w:left="0" w:right="0"/>
              <w:jc w:val="left"/>
              <w:rPr>
                <w:rFonts w:hint="default" w:ascii="宋体" w:hAnsi="宋体" w:cs="Calibri"/>
                <w:b/>
                <w:bCs/>
                <w:color w:val="auto"/>
                <w:kern w:val="0"/>
                <w:highlight w:val="none"/>
              </w:rPr>
            </w:pPr>
            <w:r>
              <w:rPr>
                <w:rFonts w:hint="eastAsia" w:ascii="宋体" w:hAnsi="宋体" w:cs="Calibri"/>
                <w:b/>
                <w:bCs/>
                <w:color w:val="auto"/>
                <w:kern w:val="0"/>
                <w:highlight w:val="none"/>
              </w:rPr>
              <w:t>第一部分、危险性较大的分部分项工程清单</w:t>
            </w:r>
          </w:p>
        </w:tc>
        <w:tc>
          <w:tcPr>
            <w:tcW w:w="1353" w:type="dxa"/>
            <w:tcBorders>
              <w:top w:val="single" w:color="auto" w:sz="4" w:space="0"/>
              <w:left w:val="nil"/>
              <w:bottom w:val="single" w:color="auto" w:sz="4" w:space="0"/>
              <w:right w:val="single" w:color="auto" w:sz="4" w:space="0"/>
            </w:tcBorders>
            <w:noWrap w:val="0"/>
            <w:vAlign w:val="center"/>
          </w:tcPr>
          <w:p w14:paraId="44BFF217">
            <w:pPr>
              <w:keepNext w:val="0"/>
              <w:keepLines w:val="0"/>
              <w:widowControl/>
              <w:suppressLineNumbers w:val="0"/>
              <w:spacing w:before="0" w:beforeAutospacing="0" w:after="0" w:afterAutospacing="0"/>
              <w:ind w:left="0" w:right="0"/>
              <w:jc w:val="center"/>
              <w:rPr>
                <w:rFonts w:hint="default" w:ascii="宋体" w:hAnsi="宋体" w:cs="Calibri"/>
                <w:b/>
                <w:bCs/>
                <w:color w:val="auto"/>
                <w:kern w:val="0"/>
                <w:highlight w:val="none"/>
              </w:rPr>
            </w:pPr>
            <w:r>
              <w:rPr>
                <w:rFonts w:hint="eastAsia" w:ascii="宋体" w:hAnsi="宋体" w:cs="Calibri"/>
                <w:b/>
                <w:bCs/>
                <w:color w:val="auto"/>
                <w:kern w:val="0"/>
                <w:highlight w:val="none"/>
              </w:rPr>
              <w:t>招标人</w:t>
            </w:r>
          </w:p>
        </w:tc>
        <w:tc>
          <w:tcPr>
            <w:tcW w:w="1353" w:type="dxa"/>
            <w:tcBorders>
              <w:top w:val="single" w:color="auto" w:sz="4" w:space="0"/>
              <w:left w:val="nil"/>
              <w:bottom w:val="single" w:color="auto" w:sz="4" w:space="0"/>
              <w:right w:val="single" w:color="auto" w:sz="4" w:space="0"/>
            </w:tcBorders>
            <w:noWrap w:val="0"/>
            <w:vAlign w:val="center"/>
          </w:tcPr>
          <w:p w14:paraId="4B652AED">
            <w:pPr>
              <w:keepNext w:val="0"/>
              <w:keepLines w:val="0"/>
              <w:widowControl/>
              <w:suppressLineNumbers w:val="0"/>
              <w:spacing w:before="0" w:beforeAutospacing="0" w:after="0" w:afterAutospacing="0"/>
              <w:ind w:left="0" w:right="0"/>
              <w:jc w:val="center"/>
              <w:rPr>
                <w:rFonts w:hint="default" w:ascii="宋体" w:hAnsi="宋体" w:cs="Calibri"/>
                <w:b/>
                <w:bCs/>
                <w:color w:val="auto"/>
                <w:kern w:val="0"/>
                <w:highlight w:val="none"/>
              </w:rPr>
            </w:pPr>
            <w:r>
              <w:rPr>
                <w:rFonts w:hint="eastAsia" w:ascii="宋体" w:hAnsi="宋体" w:cs="Calibri"/>
                <w:b/>
                <w:bCs/>
                <w:color w:val="auto"/>
                <w:kern w:val="0"/>
                <w:highlight w:val="none"/>
              </w:rPr>
              <w:t>投标人</w:t>
            </w:r>
          </w:p>
        </w:tc>
        <w:tc>
          <w:tcPr>
            <w:tcW w:w="1057" w:type="dxa"/>
            <w:tcBorders>
              <w:top w:val="single" w:color="auto" w:sz="4" w:space="0"/>
              <w:left w:val="nil"/>
              <w:bottom w:val="single" w:color="auto" w:sz="4" w:space="0"/>
              <w:right w:val="single" w:color="auto" w:sz="4" w:space="0"/>
            </w:tcBorders>
            <w:noWrap w:val="0"/>
            <w:vAlign w:val="center"/>
          </w:tcPr>
          <w:p w14:paraId="04C3ED80">
            <w:pPr>
              <w:keepNext w:val="0"/>
              <w:keepLines w:val="0"/>
              <w:widowControl/>
              <w:suppressLineNumbers w:val="0"/>
              <w:spacing w:before="0" w:beforeAutospacing="0" w:after="0" w:afterAutospacing="0"/>
              <w:ind w:left="0" w:right="0"/>
              <w:jc w:val="center"/>
              <w:rPr>
                <w:rFonts w:hint="default" w:ascii="宋体" w:hAnsi="宋体" w:cs="Calibri"/>
                <w:b/>
                <w:bCs/>
                <w:color w:val="auto"/>
                <w:kern w:val="0"/>
                <w:highlight w:val="none"/>
              </w:rPr>
            </w:pPr>
            <w:r>
              <w:rPr>
                <w:rFonts w:hint="eastAsia" w:ascii="宋体" w:hAnsi="宋体" w:cs="Calibri"/>
                <w:b/>
                <w:bCs/>
                <w:color w:val="auto"/>
                <w:kern w:val="0"/>
                <w:highlight w:val="none"/>
              </w:rPr>
              <w:t>备注</w:t>
            </w:r>
          </w:p>
        </w:tc>
      </w:tr>
      <w:tr w14:paraId="27AC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29078C61">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一、基坑工程</w:t>
            </w:r>
          </w:p>
        </w:tc>
        <w:tc>
          <w:tcPr>
            <w:tcW w:w="1353" w:type="dxa"/>
            <w:tcBorders>
              <w:top w:val="single" w:color="auto" w:sz="4" w:space="0"/>
              <w:left w:val="nil"/>
              <w:bottom w:val="single" w:color="auto" w:sz="4" w:space="0"/>
              <w:right w:val="single" w:color="auto" w:sz="4" w:space="0"/>
            </w:tcBorders>
            <w:noWrap w:val="0"/>
            <w:vAlign w:val="center"/>
          </w:tcPr>
          <w:p w14:paraId="6AA7487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3013D94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274B2FF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288E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04624EE4">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（一）开挖深度超过3m（含3m）的基坑（槽）的土方开挖、支护、降水工程。</w:t>
            </w:r>
          </w:p>
        </w:tc>
        <w:tc>
          <w:tcPr>
            <w:tcW w:w="1353" w:type="dxa"/>
            <w:tcBorders>
              <w:top w:val="single" w:color="auto" w:sz="4" w:space="0"/>
              <w:left w:val="nil"/>
              <w:bottom w:val="single" w:color="auto" w:sz="4" w:space="0"/>
              <w:right w:val="single" w:color="auto" w:sz="4" w:space="0"/>
            </w:tcBorders>
            <w:noWrap w:val="0"/>
            <w:vAlign w:val="center"/>
          </w:tcPr>
          <w:p w14:paraId="034583EA">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09AC9E92">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50FF116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55AD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2E76F3FC">
            <w:pPr>
              <w:keepNext w:val="0"/>
              <w:keepLines w:val="0"/>
              <w:widowControl/>
              <w:suppressLineNumbers w:val="0"/>
              <w:spacing w:before="0" w:beforeAutospacing="0" w:after="0" w:afterAutospacing="0" w:line="360" w:lineRule="atLeast"/>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（二）开挖深度虽未超过3m，但地质条件、周围环境和地下管线复杂，或影响毗邻建、构筑物安全的基坑（槽）的土方开挖、支护、降水工程。</w:t>
            </w:r>
          </w:p>
        </w:tc>
        <w:tc>
          <w:tcPr>
            <w:tcW w:w="1353" w:type="dxa"/>
            <w:tcBorders>
              <w:top w:val="single" w:color="auto" w:sz="4" w:space="0"/>
              <w:left w:val="nil"/>
              <w:bottom w:val="single" w:color="auto" w:sz="4" w:space="0"/>
              <w:right w:val="single" w:color="auto" w:sz="4" w:space="0"/>
            </w:tcBorders>
            <w:noWrap w:val="0"/>
            <w:vAlign w:val="center"/>
          </w:tcPr>
          <w:p w14:paraId="71B9BF60">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373623E2">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2D4312F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5991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420D3B6D">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二、模板工程及支撑体系</w:t>
            </w:r>
          </w:p>
        </w:tc>
        <w:tc>
          <w:tcPr>
            <w:tcW w:w="1353" w:type="dxa"/>
            <w:tcBorders>
              <w:top w:val="single" w:color="auto" w:sz="4" w:space="0"/>
              <w:left w:val="nil"/>
              <w:bottom w:val="single" w:color="auto" w:sz="4" w:space="0"/>
              <w:right w:val="single" w:color="auto" w:sz="4" w:space="0"/>
            </w:tcBorders>
            <w:noWrap w:val="0"/>
            <w:vAlign w:val="center"/>
          </w:tcPr>
          <w:p w14:paraId="67CBF486">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054F2BF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7DE1D1A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5833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0F1CE472">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（一）各类工具式模板工程：包括滑模、爬模、飞模、隧道模等工程。</w:t>
            </w:r>
          </w:p>
        </w:tc>
        <w:tc>
          <w:tcPr>
            <w:tcW w:w="1353" w:type="dxa"/>
            <w:tcBorders>
              <w:top w:val="single" w:color="auto" w:sz="4" w:space="0"/>
              <w:left w:val="nil"/>
              <w:bottom w:val="single" w:color="auto" w:sz="4" w:space="0"/>
              <w:right w:val="single" w:color="auto" w:sz="4" w:space="0"/>
            </w:tcBorders>
            <w:noWrap w:val="0"/>
            <w:vAlign w:val="center"/>
          </w:tcPr>
          <w:p w14:paraId="16C11A2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3D20EC2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0A3588F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633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39AC496A">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tcBorders>
              <w:top w:val="single" w:color="auto" w:sz="4" w:space="0"/>
              <w:left w:val="nil"/>
              <w:bottom w:val="single" w:color="auto" w:sz="4" w:space="0"/>
              <w:right w:val="single" w:color="auto" w:sz="4" w:space="0"/>
            </w:tcBorders>
            <w:noWrap w:val="0"/>
            <w:vAlign w:val="center"/>
          </w:tcPr>
          <w:p w14:paraId="5D3D95D9">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w:t>
            </w:r>
            <w:r>
              <w:rPr>
                <w:rFonts w:hint="eastAsia" w:ascii="宋体" w:hAnsi="宋体" w:cs="Calibri"/>
                <w:color w:val="auto"/>
                <w:kern w:val="0"/>
                <w:highlight w:val="none"/>
                <w:lang w:val="en-US" w:eastAsia="zh-CN"/>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lang w:val="en-US" w:eastAsia="zh-CN"/>
              </w:rPr>
              <w:t xml:space="preserve"> </w:t>
            </w:r>
            <w:r>
              <w:rPr>
                <w:rFonts w:hint="eastAsia" w:ascii="宋体" w:hAnsi="宋体" w:cs="Calibri"/>
                <w:color w:val="auto"/>
                <w:kern w:val="0"/>
                <w:highlight w:val="none"/>
              </w:rPr>
              <w:t>)</w:t>
            </w:r>
          </w:p>
        </w:tc>
        <w:tc>
          <w:tcPr>
            <w:tcW w:w="1353" w:type="dxa"/>
            <w:tcBorders>
              <w:top w:val="single" w:color="auto" w:sz="4" w:space="0"/>
              <w:left w:val="nil"/>
              <w:bottom w:val="single" w:color="auto" w:sz="4" w:space="0"/>
              <w:right w:val="single" w:color="auto" w:sz="4" w:space="0"/>
            </w:tcBorders>
            <w:noWrap w:val="0"/>
            <w:vAlign w:val="center"/>
          </w:tcPr>
          <w:p w14:paraId="5F74E53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292BA079">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1D1B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297B8FD1">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（三）承重支撑体系：用于钢结构安装等满堂支撑体系。</w:t>
            </w:r>
          </w:p>
        </w:tc>
        <w:tc>
          <w:tcPr>
            <w:tcW w:w="1353" w:type="dxa"/>
            <w:tcBorders>
              <w:top w:val="single" w:color="auto" w:sz="4" w:space="0"/>
              <w:left w:val="nil"/>
              <w:bottom w:val="single" w:color="auto" w:sz="4" w:space="0"/>
              <w:right w:val="single" w:color="auto" w:sz="4" w:space="0"/>
            </w:tcBorders>
            <w:noWrap w:val="0"/>
            <w:vAlign w:val="center"/>
          </w:tcPr>
          <w:p w14:paraId="7DDEE588">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77554FC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617CD340">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784C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4C7EF06E">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三、起重吊装及起重机械安装拆卸工程</w:t>
            </w:r>
          </w:p>
        </w:tc>
        <w:tc>
          <w:tcPr>
            <w:tcW w:w="1353" w:type="dxa"/>
            <w:tcBorders>
              <w:top w:val="single" w:color="auto" w:sz="4" w:space="0"/>
              <w:left w:val="nil"/>
              <w:bottom w:val="single" w:color="auto" w:sz="4" w:space="0"/>
              <w:right w:val="single" w:color="auto" w:sz="4" w:space="0"/>
            </w:tcBorders>
            <w:noWrap w:val="0"/>
            <w:vAlign w:val="center"/>
          </w:tcPr>
          <w:p w14:paraId="320FEAA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57895FBE">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0CCE9EF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CDB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31F7BE74">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（一）采用非常规起重设备、方法，且单件起吊重量在10kN及以上的起重吊装工程。</w:t>
            </w:r>
          </w:p>
        </w:tc>
        <w:tc>
          <w:tcPr>
            <w:tcW w:w="1353" w:type="dxa"/>
            <w:tcBorders>
              <w:top w:val="single" w:color="auto" w:sz="4" w:space="0"/>
              <w:left w:val="nil"/>
              <w:bottom w:val="single" w:color="auto" w:sz="4" w:space="0"/>
              <w:right w:val="single" w:color="auto" w:sz="4" w:space="0"/>
            </w:tcBorders>
            <w:noWrap w:val="0"/>
            <w:vAlign w:val="center"/>
          </w:tcPr>
          <w:p w14:paraId="231966B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7FB3FCB6">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59B0383A">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1E72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0A9DE580">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（二）采用起重机械进行安装的工程。</w:t>
            </w:r>
          </w:p>
        </w:tc>
        <w:tc>
          <w:tcPr>
            <w:tcW w:w="1353" w:type="dxa"/>
            <w:tcBorders>
              <w:top w:val="single" w:color="auto" w:sz="4" w:space="0"/>
              <w:left w:val="nil"/>
              <w:bottom w:val="single" w:color="auto" w:sz="4" w:space="0"/>
              <w:right w:val="single" w:color="auto" w:sz="4" w:space="0"/>
            </w:tcBorders>
            <w:noWrap w:val="0"/>
            <w:vAlign w:val="center"/>
          </w:tcPr>
          <w:p w14:paraId="39C0A4B6">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42BA47A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54BDAB36">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08C9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6A8FEA8D">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（三）起重机械安装和拆卸工程。</w:t>
            </w:r>
          </w:p>
        </w:tc>
        <w:tc>
          <w:tcPr>
            <w:tcW w:w="1353" w:type="dxa"/>
            <w:tcBorders>
              <w:top w:val="single" w:color="auto" w:sz="4" w:space="0"/>
              <w:left w:val="nil"/>
              <w:bottom w:val="single" w:color="auto" w:sz="4" w:space="0"/>
              <w:right w:val="single" w:color="auto" w:sz="4" w:space="0"/>
            </w:tcBorders>
            <w:noWrap w:val="0"/>
            <w:vAlign w:val="center"/>
          </w:tcPr>
          <w:p w14:paraId="75082A6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0CD7FDCA">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63E1B8E4">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14D7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109A7B74">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四、脚手架工程</w:t>
            </w:r>
          </w:p>
        </w:tc>
        <w:tc>
          <w:tcPr>
            <w:tcW w:w="1353" w:type="dxa"/>
            <w:tcBorders>
              <w:top w:val="single" w:color="auto" w:sz="4" w:space="0"/>
              <w:left w:val="nil"/>
              <w:bottom w:val="single" w:color="auto" w:sz="4" w:space="0"/>
              <w:right w:val="single" w:color="auto" w:sz="4" w:space="0"/>
            </w:tcBorders>
            <w:noWrap w:val="0"/>
            <w:vAlign w:val="center"/>
          </w:tcPr>
          <w:p w14:paraId="2FAB714A">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696A2562">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0BA2FC6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117B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5C07C1BA">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（一）搭设高度24m及以上的落地式钢管脚手架工程（包括采光井、电梯井脚手架）。</w:t>
            </w:r>
          </w:p>
        </w:tc>
        <w:tc>
          <w:tcPr>
            <w:tcW w:w="1353" w:type="dxa"/>
            <w:tcBorders>
              <w:top w:val="single" w:color="auto" w:sz="4" w:space="0"/>
              <w:left w:val="nil"/>
              <w:bottom w:val="single" w:color="auto" w:sz="4" w:space="0"/>
              <w:right w:val="single" w:color="auto" w:sz="4" w:space="0"/>
            </w:tcBorders>
            <w:noWrap w:val="0"/>
            <w:vAlign w:val="center"/>
          </w:tcPr>
          <w:p w14:paraId="1BBE0CE4">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w:t>
            </w:r>
            <w:r>
              <w:rPr>
                <w:rFonts w:hint="eastAsia" w:ascii="宋体" w:hAnsi="宋体" w:cs="Calibri"/>
                <w:color w:val="auto"/>
                <w:kern w:val="0"/>
                <w:highlight w:val="none"/>
                <w:lang w:val="en-US" w:eastAsia="zh-CN"/>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lang w:val="en-US" w:eastAsia="zh-CN"/>
              </w:rPr>
              <w:t xml:space="preserve"> </w:t>
            </w:r>
            <w:r>
              <w:rPr>
                <w:rFonts w:hint="eastAsia" w:ascii="宋体" w:hAnsi="宋体" w:cs="Calibri"/>
                <w:color w:val="auto"/>
                <w:kern w:val="0"/>
                <w:highlight w:val="none"/>
              </w:rPr>
              <w:t>)</w:t>
            </w:r>
          </w:p>
        </w:tc>
        <w:tc>
          <w:tcPr>
            <w:tcW w:w="1353" w:type="dxa"/>
            <w:tcBorders>
              <w:top w:val="single" w:color="auto" w:sz="4" w:space="0"/>
              <w:left w:val="nil"/>
              <w:bottom w:val="single" w:color="auto" w:sz="4" w:space="0"/>
              <w:right w:val="single" w:color="auto" w:sz="4" w:space="0"/>
            </w:tcBorders>
            <w:noWrap w:val="0"/>
            <w:vAlign w:val="center"/>
          </w:tcPr>
          <w:p w14:paraId="06D6E839">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4F5890C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1C44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09BF8B74">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（二）附着式升降脚手架工程。</w:t>
            </w:r>
          </w:p>
        </w:tc>
        <w:tc>
          <w:tcPr>
            <w:tcW w:w="1353" w:type="dxa"/>
            <w:tcBorders>
              <w:top w:val="single" w:color="auto" w:sz="4" w:space="0"/>
              <w:left w:val="nil"/>
              <w:bottom w:val="single" w:color="auto" w:sz="4" w:space="0"/>
              <w:right w:val="single" w:color="auto" w:sz="4" w:space="0"/>
            </w:tcBorders>
            <w:noWrap w:val="0"/>
            <w:vAlign w:val="center"/>
          </w:tcPr>
          <w:p w14:paraId="341024D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717E53E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27C28AE6">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2F8D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1EE9999C">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（三）悬挑式脚手架工程。</w:t>
            </w:r>
          </w:p>
        </w:tc>
        <w:tc>
          <w:tcPr>
            <w:tcW w:w="1353" w:type="dxa"/>
            <w:tcBorders>
              <w:top w:val="single" w:color="auto" w:sz="4" w:space="0"/>
              <w:left w:val="nil"/>
              <w:bottom w:val="single" w:color="auto" w:sz="4" w:space="0"/>
              <w:right w:val="single" w:color="auto" w:sz="4" w:space="0"/>
            </w:tcBorders>
            <w:noWrap w:val="0"/>
            <w:vAlign w:val="center"/>
          </w:tcPr>
          <w:p w14:paraId="01D09182">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w:t>
            </w:r>
            <w:r>
              <w:rPr>
                <w:rFonts w:hint="eastAsia" w:ascii="宋体" w:hAnsi="宋体" w:cs="Calibri"/>
                <w:color w:val="auto"/>
                <w:kern w:val="0"/>
                <w:highlight w:val="none"/>
                <w:lang w:val="en-US" w:eastAsia="zh-CN"/>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lang w:val="en-US" w:eastAsia="zh-CN"/>
              </w:rPr>
              <w:t xml:space="preserve"> </w:t>
            </w:r>
            <w:r>
              <w:rPr>
                <w:rFonts w:hint="eastAsia" w:ascii="宋体" w:hAnsi="宋体" w:cs="Calibri"/>
                <w:color w:val="auto"/>
                <w:kern w:val="0"/>
                <w:highlight w:val="none"/>
              </w:rPr>
              <w:t>)</w:t>
            </w:r>
          </w:p>
        </w:tc>
        <w:tc>
          <w:tcPr>
            <w:tcW w:w="1353" w:type="dxa"/>
            <w:tcBorders>
              <w:top w:val="single" w:color="auto" w:sz="4" w:space="0"/>
              <w:left w:val="nil"/>
              <w:bottom w:val="single" w:color="auto" w:sz="4" w:space="0"/>
              <w:right w:val="single" w:color="auto" w:sz="4" w:space="0"/>
            </w:tcBorders>
            <w:noWrap w:val="0"/>
            <w:vAlign w:val="center"/>
          </w:tcPr>
          <w:p w14:paraId="6079BBF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3E2CAE20">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4925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18CCBBFF">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（四）高处作业吊篮。</w:t>
            </w:r>
          </w:p>
        </w:tc>
        <w:tc>
          <w:tcPr>
            <w:tcW w:w="1353" w:type="dxa"/>
            <w:tcBorders>
              <w:top w:val="single" w:color="auto" w:sz="4" w:space="0"/>
              <w:left w:val="nil"/>
              <w:bottom w:val="single" w:color="auto" w:sz="4" w:space="0"/>
              <w:right w:val="single" w:color="auto" w:sz="4" w:space="0"/>
            </w:tcBorders>
            <w:noWrap w:val="0"/>
            <w:vAlign w:val="center"/>
          </w:tcPr>
          <w:p w14:paraId="3C3A3388">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0B88DE7E">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356ECDB9">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45F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2CC841DC">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（五）卸料平台、操作平台工程。</w:t>
            </w:r>
          </w:p>
        </w:tc>
        <w:tc>
          <w:tcPr>
            <w:tcW w:w="1353" w:type="dxa"/>
            <w:tcBorders>
              <w:top w:val="single" w:color="auto" w:sz="4" w:space="0"/>
              <w:left w:val="nil"/>
              <w:bottom w:val="single" w:color="auto" w:sz="4" w:space="0"/>
              <w:right w:val="single" w:color="auto" w:sz="4" w:space="0"/>
            </w:tcBorders>
            <w:noWrap w:val="0"/>
            <w:vAlign w:val="center"/>
          </w:tcPr>
          <w:p w14:paraId="74A790B4">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4A033FC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1200AEA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5F0A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5669BDAF">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（六）异型脚手架工程。</w:t>
            </w:r>
          </w:p>
        </w:tc>
        <w:tc>
          <w:tcPr>
            <w:tcW w:w="1353" w:type="dxa"/>
            <w:tcBorders>
              <w:top w:val="single" w:color="auto" w:sz="4" w:space="0"/>
              <w:left w:val="nil"/>
              <w:bottom w:val="single" w:color="auto" w:sz="4" w:space="0"/>
              <w:right w:val="single" w:color="auto" w:sz="4" w:space="0"/>
            </w:tcBorders>
            <w:noWrap w:val="0"/>
            <w:vAlign w:val="center"/>
          </w:tcPr>
          <w:p w14:paraId="3541AD1D">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00109CF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71680C0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48B4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344A6443">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五、拆除工程</w:t>
            </w:r>
          </w:p>
        </w:tc>
        <w:tc>
          <w:tcPr>
            <w:tcW w:w="1353" w:type="dxa"/>
            <w:tcBorders>
              <w:top w:val="single" w:color="auto" w:sz="4" w:space="0"/>
              <w:left w:val="nil"/>
              <w:bottom w:val="single" w:color="auto" w:sz="4" w:space="0"/>
              <w:right w:val="single" w:color="auto" w:sz="4" w:space="0"/>
            </w:tcBorders>
            <w:noWrap w:val="0"/>
            <w:vAlign w:val="center"/>
          </w:tcPr>
          <w:p w14:paraId="62E494DE">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79AC23B4">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5C20914E">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2160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7E767142">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可能影响行人、交通、电力设施、通讯设施或其它建、构筑物安全的拆除工程。</w:t>
            </w:r>
          </w:p>
        </w:tc>
        <w:tc>
          <w:tcPr>
            <w:tcW w:w="1353" w:type="dxa"/>
            <w:tcBorders>
              <w:top w:val="single" w:color="auto" w:sz="4" w:space="0"/>
              <w:left w:val="nil"/>
              <w:bottom w:val="single" w:color="auto" w:sz="4" w:space="0"/>
              <w:right w:val="single" w:color="auto" w:sz="4" w:space="0"/>
            </w:tcBorders>
            <w:noWrap w:val="0"/>
            <w:vAlign w:val="center"/>
          </w:tcPr>
          <w:p w14:paraId="3A463E9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46CFB57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1EFA7250">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B65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3890EBAE">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六、暗挖工程</w:t>
            </w:r>
          </w:p>
        </w:tc>
        <w:tc>
          <w:tcPr>
            <w:tcW w:w="1353" w:type="dxa"/>
            <w:tcBorders>
              <w:top w:val="single" w:color="auto" w:sz="4" w:space="0"/>
              <w:left w:val="nil"/>
              <w:bottom w:val="single" w:color="auto" w:sz="4" w:space="0"/>
              <w:right w:val="single" w:color="auto" w:sz="4" w:space="0"/>
            </w:tcBorders>
            <w:noWrap w:val="0"/>
            <w:vAlign w:val="center"/>
          </w:tcPr>
          <w:p w14:paraId="2B642A9D">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44984B7E">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15AE098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7122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3C4E63F5">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采用矿山法、盾构法、顶管法施工的隧道、洞室工程。</w:t>
            </w:r>
          </w:p>
        </w:tc>
        <w:tc>
          <w:tcPr>
            <w:tcW w:w="1353" w:type="dxa"/>
            <w:tcBorders>
              <w:top w:val="single" w:color="auto" w:sz="4" w:space="0"/>
              <w:left w:val="nil"/>
              <w:bottom w:val="single" w:color="auto" w:sz="4" w:space="0"/>
              <w:right w:val="single" w:color="auto" w:sz="4" w:space="0"/>
            </w:tcBorders>
            <w:noWrap w:val="0"/>
            <w:vAlign w:val="center"/>
          </w:tcPr>
          <w:p w14:paraId="122A1F3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653E58B6">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6D77D52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5EFA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2153F463">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七、其它</w:t>
            </w:r>
          </w:p>
        </w:tc>
        <w:tc>
          <w:tcPr>
            <w:tcW w:w="1353" w:type="dxa"/>
            <w:tcBorders>
              <w:top w:val="single" w:color="auto" w:sz="4" w:space="0"/>
              <w:left w:val="nil"/>
              <w:bottom w:val="single" w:color="auto" w:sz="4" w:space="0"/>
              <w:right w:val="single" w:color="auto" w:sz="4" w:space="0"/>
            </w:tcBorders>
            <w:noWrap w:val="0"/>
            <w:vAlign w:val="center"/>
          </w:tcPr>
          <w:p w14:paraId="46B48E1D">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1558052E">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6DB05E4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00F5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734C787A">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（一）建筑幕墙安装工程。</w:t>
            </w:r>
          </w:p>
        </w:tc>
        <w:tc>
          <w:tcPr>
            <w:tcW w:w="1353" w:type="dxa"/>
            <w:tcBorders>
              <w:top w:val="single" w:color="auto" w:sz="4" w:space="0"/>
              <w:left w:val="nil"/>
              <w:bottom w:val="single" w:color="auto" w:sz="4" w:space="0"/>
              <w:right w:val="single" w:color="auto" w:sz="4" w:space="0"/>
            </w:tcBorders>
            <w:noWrap w:val="0"/>
            <w:vAlign w:val="center"/>
          </w:tcPr>
          <w:p w14:paraId="12C8DEF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7B96198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1682D069">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4ACE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1CDF84C0">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（二）钢结构、网架和索膜结构安装工程。</w:t>
            </w:r>
          </w:p>
        </w:tc>
        <w:tc>
          <w:tcPr>
            <w:tcW w:w="1353" w:type="dxa"/>
            <w:tcBorders>
              <w:top w:val="single" w:color="auto" w:sz="4" w:space="0"/>
              <w:left w:val="nil"/>
              <w:bottom w:val="single" w:color="auto" w:sz="4" w:space="0"/>
              <w:right w:val="single" w:color="auto" w:sz="4" w:space="0"/>
            </w:tcBorders>
            <w:noWrap w:val="0"/>
            <w:vAlign w:val="center"/>
          </w:tcPr>
          <w:p w14:paraId="2266A06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4CEEAEE4">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5195369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646B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60C2D888">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（三）人工挖孔桩工程。</w:t>
            </w:r>
          </w:p>
        </w:tc>
        <w:tc>
          <w:tcPr>
            <w:tcW w:w="1353" w:type="dxa"/>
            <w:tcBorders>
              <w:top w:val="single" w:color="auto" w:sz="4" w:space="0"/>
              <w:left w:val="nil"/>
              <w:bottom w:val="single" w:color="auto" w:sz="4" w:space="0"/>
              <w:right w:val="single" w:color="auto" w:sz="4" w:space="0"/>
            </w:tcBorders>
            <w:noWrap w:val="0"/>
            <w:vAlign w:val="center"/>
          </w:tcPr>
          <w:p w14:paraId="33ED3B6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02B0380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72BD3E76">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F7C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057A5E38">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（四）水下作业工程。</w:t>
            </w:r>
          </w:p>
        </w:tc>
        <w:tc>
          <w:tcPr>
            <w:tcW w:w="1353" w:type="dxa"/>
            <w:tcBorders>
              <w:top w:val="single" w:color="auto" w:sz="4" w:space="0"/>
              <w:left w:val="nil"/>
              <w:bottom w:val="single" w:color="auto" w:sz="4" w:space="0"/>
              <w:right w:val="single" w:color="auto" w:sz="4" w:space="0"/>
            </w:tcBorders>
            <w:noWrap w:val="0"/>
            <w:vAlign w:val="center"/>
          </w:tcPr>
          <w:p w14:paraId="4E6AA1C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6A2F43C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3C63725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467D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36C390B8">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（五）装配式建筑混凝土预制构件安装工程。</w:t>
            </w:r>
          </w:p>
        </w:tc>
        <w:tc>
          <w:tcPr>
            <w:tcW w:w="1353" w:type="dxa"/>
            <w:tcBorders>
              <w:top w:val="single" w:color="auto" w:sz="4" w:space="0"/>
              <w:left w:val="nil"/>
              <w:bottom w:val="single" w:color="auto" w:sz="4" w:space="0"/>
              <w:right w:val="single" w:color="auto" w:sz="4" w:space="0"/>
            </w:tcBorders>
            <w:noWrap w:val="0"/>
            <w:vAlign w:val="center"/>
          </w:tcPr>
          <w:p w14:paraId="476A36F2">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w:t>
            </w:r>
            <w:r>
              <w:rPr>
                <w:rFonts w:hint="eastAsia" w:ascii="宋体" w:hAnsi="宋体" w:cs="Calibri"/>
                <w:color w:val="auto"/>
                <w:kern w:val="0"/>
                <w:highlight w:val="none"/>
                <w:lang w:val="en-US" w:eastAsia="zh-CN"/>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lang w:val="en-US" w:eastAsia="zh-CN"/>
              </w:rPr>
              <w:t xml:space="preserve"> </w:t>
            </w:r>
            <w:r>
              <w:rPr>
                <w:rFonts w:hint="eastAsia" w:ascii="宋体" w:hAnsi="宋体" w:cs="Calibri"/>
                <w:color w:val="auto"/>
                <w:kern w:val="0"/>
                <w:highlight w:val="none"/>
              </w:rPr>
              <w:t>)</w:t>
            </w:r>
          </w:p>
        </w:tc>
        <w:tc>
          <w:tcPr>
            <w:tcW w:w="1353" w:type="dxa"/>
            <w:tcBorders>
              <w:top w:val="single" w:color="auto" w:sz="4" w:space="0"/>
              <w:left w:val="nil"/>
              <w:bottom w:val="single" w:color="auto" w:sz="4" w:space="0"/>
              <w:right w:val="single" w:color="auto" w:sz="4" w:space="0"/>
            </w:tcBorders>
            <w:noWrap w:val="0"/>
            <w:vAlign w:val="center"/>
          </w:tcPr>
          <w:p w14:paraId="64CBFB0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45A57DD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4373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58FFBA1B">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（六）采用新技术、新工艺、新材料、新设备可能影响工程施工安全，尚无国家、行业及地方技术标准的分部分项工程。</w:t>
            </w:r>
          </w:p>
        </w:tc>
        <w:tc>
          <w:tcPr>
            <w:tcW w:w="1353" w:type="dxa"/>
            <w:tcBorders>
              <w:top w:val="single" w:color="auto" w:sz="4" w:space="0"/>
              <w:left w:val="nil"/>
              <w:bottom w:val="single" w:color="auto" w:sz="4" w:space="0"/>
              <w:right w:val="single" w:color="auto" w:sz="4" w:space="0"/>
            </w:tcBorders>
            <w:noWrap w:val="0"/>
            <w:vAlign w:val="center"/>
          </w:tcPr>
          <w:p w14:paraId="3E29585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w:t>
            </w:r>
            <w:r>
              <w:rPr>
                <w:rFonts w:hint="eastAsia" w:ascii="宋体" w:hAnsi="宋体" w:cs="Calibri"/>
                <w:color w:val="auto"/>
                <w:kern w:val="0"/>
                <w:highlight w:val="none"/>
                <w:lang w:val="en-US" w:eastAsia="zh-CN"/>
              </w:rPr>
              <w:t xml:space="preserve">  </w:t>
            </w:r>
            <w:r>
              <w:rPr>
                <w:rFonts w:hint="eastAsia" w:ascii="宋体" w:hAnsi="宋体" w:cs="Calibri"/>
                <w:color w:val="auto"/>
                <w:kern w:val="0"/>
                <w:highlight w:val="none"/>
              </w:rPr>
              <w:t>)</w:t>
            </w:r>
          </w:p>
        </w:tc>
        <w:tc>
          <w:tcPr>
            <w:tcW w:w="1353" w:type="dxa"/>
            <w:tcBorders>
              <w:top w:val="single" w:color="auto" w:sz="4" w:space="0"/>
              <w:left w:val="nil"/>
              <w:bottom w:val="single" w:color="auto" w:sz="4" w:space="0"/>
              <w:right w:val="single" w:color="auto" w:sz="4" w:space="0"/>
            </w:tcBorders>
            <w:noWrap w:val="0"/>
            <w:vAlign w:val="center"/>
          </w:tcPr>
          <w:p w14:paraId="0CFCB86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6333C1C0">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44C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0664DF0F">
            <w:pPr>
              <w:keepNext w:val="0"/>
              <w:keepLines w:val="0"/>
              <w:widowControl/>
              <w:suppressLineNumbers w:val="0"/>
              <w:spacing w:before="0" w:beforeAutospacing="0" w:after="0" w:afterAutospacing="0"/>
              <w:ind w:left="0" w:right="0"/>
              <w:jc w:val="left"/>
              <w:rPr>
                <w:rFonts w:hint="default" w:ascii="宋体" w:hAnsi="宋体" w:cs="Calibri"/>
                <w:b/>
                <w:bCs/>
                <w:color w:val="auto"/>
                <w:kern w:val="0"/>
                <w:highlight w:val="none"/>
              </w:rPr>
            </w:pPr>
            <w:r>
              <w:rPr>
                <w:rFonts w:hint="eastAsia" w:ascii="宋体" w:hAnsi="宋体" w:cs="Calibri"/>
                <w:b/>
                <w:bCs/>
                <w:color w:val="auto"/>
                <w:kern w:val="0"/>
                <w:highlight w:val="none"/>
              </w:rPr>
              <w:t>第二部分、超过一定规模的危险性较大的分部分项工程清单</w:t>
            </w:r>
          </w:p>
        </w:tc>
        <w:tc>
          <w:tcPr>
            <w:tcW w:w="1353" w:type="dxa"/>
            <w:tcBorders>
              <w:top w:val="single" w:color="auto" w:sz="4" w:space="0"/>
              <w:left w:val="nil"/>
              <w:bottom w:val="single" w:color="auto" w:sz="4" w:space="0"/>
              <w:right w:val="single" w:color="auto" w:sz="4" w:space="0"/>
            </w:tcBorders>
            <w:noWrap w:val="0"/>
            <w:vAlign w:val="center"/>
          </w:tcPr>
          <w:p w14:paraId="44C1F76D">
            <w:pPr>
              <w:keepNext w:val="0"/>
              <w:keepLines w:val="0"/>
              <w:widowControl/>
              <w:suppressLineNumbers w:val="0"/>
              <w:spacing w:before="0" w:beforeAutospacing="0" w:after="0" w:afterAutospacing="0"/>
              <w:ind w:left="0" w:right="0"/>
              <w:jc w:val="center"/>
              <w:rPr>
                <w:rFonts w:hint="default" w:ascii="宋体" w:hAnsi="宋体" w:cs="Calibri"/>
                <w:b/>
                <w:bCs/>
                <w:color w:val="auto"/>
                <w:kern w:val="0"/>
                <w:highlight w:val="none"/>
              </w:rPr>
            </w:pPr>
            <w:r>
              <w:rPr>
                <w:rFonts w:hint="eastAsia" w:ascii="宋体" w:hAnsi="宋体" w:cs="Calibri"/>
                <w:b/>
                <w:bCs/>
                <w:color w:val="auto"/>
                <w:kern w:val="0"/>
                <w:highlight w:val="none"/>
              </w:rPr>
              <w:t>招标人</w:t>
            </w:r>
          </w:p>
        </w:tc>
        <w:tc>
          <w:tcPr>
            <w:tcW w:w="1353" w:type="dxa"/>
            <w:tcBorders>
              <w:top w:val="single" w:color="auto" w:sz="4" w:space="0"/>
              <w:left w:val="nil"/>
              <w:bottom w:val="single" w:color="auto" w:sz="4" w:space="0"/>
              <w:right w:val="single" w:color="auto" w:sz="4" w:space="0"/>
            </w:tcBorders>
            <w:noWrap w:val="0"/>
            <w:vAlign w:val="center"/>
          </w:tcPr>
          <w:p w14:paraId="1E817CB3">
            <w:pPr>
              <w:keepNext w:val="0"/>
              <w:keepLines w:val="0"/>
              <w:widowControl/>
              <w:suppressLineNumbers w:val="0"/>
              <w:spacing w:before="0" w:beforeAutospacing="0" w:after="0" w:afterAutospacing="0"/>
              <w:ind w:left="0" w:right="0"/>
              <w:jc w:val="center"/>
              <w:rPr>
                <w:rFonts w:hint="default" w:ascii="宋体" w:hAnsi="宋体" w:cs="Calibri"/>
                <w:b/>
                <w:bCs/>
                <w:color w:val="auto"/>
                <w:kern w:val="0"/>
                <w:highlight w:val="none"/>
              </w:rPr>
            </w:pPr>
            <w:r>
              <w:rPr>
                <w:rFonts w:hint="eastAsia" w:ascii="宋体" w:hAnsi="宋体" w:cs="Calibri"/>
                <w:b/>
                <w:bCs/>
                <w:color w:val="auto"/>
                <w:kern w:val="0"/>
                <w:highlight w:val="none"/>
              </w:rPr>
              <w:t>投标人</w:t>
            </w:r>
          </w:p>
        </w:tc>
        <w:tc>
          <w:tcPr>
            <w:tcW w:w="1057" w:type="dxa"/>
            <w:tcBorders>
              <w:top w:val="single" w:color="auto" w:sz="4" w:space="0"/>
              <w:left w:val="nil"/>
              <w:bottom w:val="single" w:color="auto" w:sz="4" w:space="0"/>
              <w:right w:val="single" w:color="auto" w:sz="4" w:space="0"/>
            </w:tcBorders>
            <w:noWrap w:val="0"/>
            <w:vAlign w:val="center"/>
          </w:tcPr>
          <w:p w14:paraId="2E2560B5">
            <w:pPr>
              <w:keepNext w:val="0"/>
              <w:keepLines w:val="0"/>
              <w:widowControl/>
              <w:suppressLineNumbers w:val="0"/>
              <w:spacing w:before="0" w:beforeAutospacing="0" w:after="0" w:afterAutospacing="0"/>
              <w:ind w:left="0" w:right="0"/>
              <w:jc w:val="center"/>
              <w:rPr>
                <w:rFonts w:hint="default" w:ascii="宋体" w:hAnsi="宋体" w:cs="Calibri"/>
                <w:b/>
                <w:bCs/>
                <w:color w:val="auto"/>
                <w:kern w:val="0"/>
                <w:highlight w:val="none"/>
              </w:rPr>
            </w:pPr>
            <w:r>
              <w:rPr>
                <w:rFonts w:hint="eastAsia" w:ascii="宋体" w:hAnsi="宋体" w:cs="Calibri"/>
                <w:b/>
                <w:bCs/>
                <w:color w:val="auto"/>
                <w:kern w:val="0"/>
                <w:highlight w:val="none"/>
              </w:rPr>
              <w:t>备注</w:t>
            </w:r>
          </w:p>
        </w:tc>
      </w:tr>
      <w:tr w14:paraId="6FA0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4EEE3255">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一、深基坑工程</w:t>
            </w:r>
          </w:p>
        </w:tc>
        <w:tc>
          <w:tcPr>
            <w:tcW w:w="1353" w:type="dxa"/>
            <w:tcBorders>
              <w:top w:val="single" w:color="auto" w:sz="4" w:space="0"/>
              <w:left w:val="nil"/>
              <w:bottom w:val="single" w:color="auto" w:sz="4" w:space="0"/>
              <w:right w:val="single" w:color="auto" w:sz="4" w:space="0"/>
            </w:tcBorders>
            <w:noWrap w:val="0"/>
            <w:vAlign w:val="center"/>
          </w:tcPr>
          <w:p w14:paraId="3437997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43C2023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3B49D02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64A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368A8615">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开挖深度超过5m（含5m）的基坑（槽）的土方开挖、支护、降水工程。</w:t>
            </w:r>
          </w:p>
        </w:tc>
        <w:tc>
          <w:tcPr>
            <w:tcW w:w="1353" w:type="dxa"/>
            <w:tcBorders>
              <w:top w:val="single" w:color="auto" w:sz="4" w:space="0"/>
              <w:left w:val="nil"/>
              <w:bottom w:val="single" w:color="auto" w:sz="4" w:space="0"/>
              <w:right w:val="single" w:color="auto" w:sz="4" w:space="0"/>
            </w:tcBorders>
            <w:noWrap w:val="0"/>
            <w:vAlign w:val="center"/>
          </w:tcPr>
          <w:p w14:paraId="03968F4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w:t>
            </w:r>
            <w:r>
              <w:rPr>
                <w:rFonts w:hint="eastAsia" w:ascii="宋体" w:hAnsi="宋体" w:cs="Calibri"/>
                <w:color w:val="auto"/>
                <w:kern w:val="0"/>
                <w:highlight w:val="none"/>
                <w:lang w:val="en-US" w:eastAsia="zh-CN"/>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lang w:val="en-US" w:eastAsia="zh-CN"/>
              </w:rPr>
              <w:t xml:space="preserve"> </w:t>
            </w:r>
            <w:r>
              <w:rPr>
                <w:rFonts w:hint="eastAsia" w:ascii="宋体" w:hAnsi="宋体" w:cs="Calibri"/>
                <w:color w:val="auto"/>
                <w:kern w:val="0"/>
                <w:highlight w:val="none"/>
              </w:rPr>
              <w:t>)</w:t>
            </w:r>
          </w:p>
        </w:tc>
        <w:tc>
          <w:tcPr>
            <w:tcW w:w="1353" w:type="dxa"/>
            <w:tcBorders>
              <w:top w:val="single" w:color="auto" w:sz="4" w:space="0"/>
              <w:left w:val="nil"/>
              <w:bottom w:val="single" w:color="auto" w:sz="4" w:space="0"/>
              <w:right w:val="single" w:color="auto" w:sz="4" w:space="0"/>
            </w:tcBorders>
            <w:noWrap w:val="0"/>
            <w:vAlign w:val="center"/>
          </w:tcPr>
          <w:p w14:paraId="5BDC110A">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45E11B12">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2914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22A7A161">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二、模板工程及支撑体系</w:t>
            </w:r>
          </w:p>
        </w:tc>
        <w:tc>
          <w:tcPr>
            <w:tcW w:w="1353" w:type="dxa"/>
            <w:tcBorders>
              <w:top w:val="single" w:color="auto" w:sz="4" w:space="0"/>
              <w:left w:val="nil"/>
              <w:bottom w:val="single" w:color="auto" w:sz="4" w:space="0"/>
              <w:right w:val="single" w:color="auto" w:sz="4" w:space="0"/>
            </w:tcBorders>
            <w:noWrap w:val="0"/>
            <w:vAlign w:val="center"/>
          </w:tcPr>
          <w:p w14:paraId="2DCF5F6A">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771441A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49A8D148">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608D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33632228">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（一）各类工具式模板工程：包括滑模、爬模、飞模、隧道模等工程。</w:t>
            </w:r>
          </w:p>
        </w:tc>
        <w:tc>
          <w:tcPr>
            <w:tcW w:w="1353" w:type="dxa"/>
            <w:tcBorders>
              <w:top w:val="single" w:color="auto" w:sz="4" w:space="0"/>
              <w:left w:val="nil"/>
              <w:bottom w:val="single" w:color="auto" w:sz="4" w:space="0"/>
              <w:right w:val="single" w:color="auto" w:sz="4" w:space="0"/>
            </w:tcBorders>
            <w:noWrap w:val="0"/>
            <w:vAlign w:val="center"/>
          </w:tcPr>
          <w:p w14:paraId="5C100870">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26173D1D">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3CE10F24">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794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5337236F">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（二）混凝土模板支撑工程：搭设高度8m及以上，或搭设跨度18m及以上，或施工总荷载（设计值）15kN/m2及以上，或集中线荷载（设计值）20kN/m及以上。</w:t>
            </w:r>
          </w:p>
        </w:tc>
        <w:tc>
          <w:tcPr>
            <w:tcW w:w="1353" w:type="dxa"/>
            <w:tcBorders>
              <w:top w:val="single" w:color="auto" w:sz="4" w:space="0"/>
              <w:left w:val="nil"/>
              <w:bottom w:val="single" w:color="auto" w:sz="4" w:space="0"/>
              <w:right w:val="single" w:color="auto" w:sz="4" w:space="0"/>
            </w:tcBorders>
            <w:noWrap w:val="0"/>
            <w:vAlign w:val="center"/>
          </w:tcPr>
          <w:p w14:paraId="7D964CFA">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3548419E">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46C0A5D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1C09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58D8B0F3">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（三）承重支撑体系：用于钢结构安装等满堂支撑体系，承受单点集中荷载7kN及以上。</w:t>
            </w:r>
          </w:p>
        </w:tc>
        <w:tc>
          <w:tcPr>
            <w:tcW w:w="1353" w:type="dxa"/>
            <w:tcBorders>
              <w:top w:val="single" w:color="auto" w:sz="4" w:space="0"/>
              <w:left w:val="nil"/>
              <w:bottom w:val="single" w:color="auto" w:sz="4" w:space="0"/>
              <w:right w:val="single" w:color="auto" w:sz="4" w:space="0"/>
            </w:tcBorders>
            <w:noWrap w:val="0"/>
            <w:vAlign w:val="center"/>
          </w:tcPr>
          <w:p w14:paraId="6A323BB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25E33CD9">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7E4FC34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0CD3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6C6ED4F3">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三、起重吊装及起重机械安装拆卸工程</w:t>
            </w:r>
          </w:p>
        </w:tc>
        <w:tc>
          <w:tcPr>
            <w:tcW w:w="1353" w:type="dxa"/>
            <w:tcBorders>
              <w:top w:val="single" w:color="auto" w:sz="4" w:space="0"/>
              <w:left w:val="nil"/>
              <w:bottom w:val="single" w:color="auto" w:sz="4" w:space="0"/>
              <w:right w:val="single" w:color="auto" w:sz="4" w:space="0"/>
            </w:tcBorders>
            <w:noWrap w:val="0"/>
            <w:vAlign w:val="center"/>
          </w:tcPr>
          <w:p w14:paraId="67AC2F6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5D0C017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62B17EA0">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6C7E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1BA633DA">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（一）采用非常规起重设备、方法，且单件起吊重量在100kN及以上的起重吊装工程。</w:t>
            </w:r>
          </w:p>
        </w:tc>
        <w:tc>
          <w:tcPr>
            <w:tcW w:w="1353" w:type="dxa"/>
            <w:tcBorders>
              <w:top w:val="single" w:color="auto" w:sz="4" w:space="0"/>
              <w:left w:val="nil"/>
              <w:bottom w:val="single" w:color="auto" w:sz="4" w:space="0"/>
              <w:right w:val="single" w:color="auto" w:sz="4" w:space="0"/>
            </w:tcBorders>
            <w:noWrap w:val="0"/>
            <w:vAlign w:val="center"/>
          </w:tcPr>
          <w:p w14:paraId="4C477F2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49D416D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0A3C013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195A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1AE940E1">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（二）起重量300kN及以上，或搭设总高度200m及以上，或搭设基础标高在200m及以上的起重机械安装和拆卸工程。</w:t>
            </w:r>
          </w:p>
        </w:tc>
        <w:tc>
          <w:tcPr>
            <w:tcW w:w="1353" w:type="dxa"/>
            <w:tcBorders>
              <w:top w:val="single" w:color="auto" w:sz="4" w:space="0"/>
              <w:left w:val="nil"/>
              <w:bottom w:val="single" w:color="auto" w:sz="4" w:space="0"/>
              <w:right w:val="single" w:color="auto" w:sz="4" w:space="0"/>
            </w:tcBorders>
            <w:noWrap w:val="0"/>
            <w:vAlign w:val="center"/>
          </w:tcPr>
          <w:p w14:paraId="378C1369">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124B7E4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42DCA7C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14E9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60C9A97D">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四、脚手架工程</w:t>
            </w:r>
          </w:p>
        </w:tc>
        <w:tc>
          <w:tcPr>
            <w:tcW w:w="1353" w:type="dxa"/>
            <w:tcBorders>
              <w:top w:val="single" w:color="auto" w:sz="4" w:space="0"/>
              <w:left w:val="nil"/>
              <w:bottom w:val="single" w:color="auto" w:sz="4" w:space="0"/>
              <w:right w:val="single" w:color="auto" w:sz="4" w:space="0"/>
            </w:tcBorders>
            <w:noWrap w:val="0"/>
            <w:vAlign w:val="center"/>
          </w:tcPr>
          <w:p w14:paraId="651A675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7B3D641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005DD9B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7145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0D4C0B5C">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（一）搭设高度50m及以上的落地式钢管脚手架工程。</w:t>
            </w:r>
          </w:p>
        </w:tc>
        <w:tc>
          <w:tcPr>
            <w:tcW w:w="1353" w:type="dxa"/>
            <w:tcBorders>
              <w:top w:val="single" w:color="auto" w:sz="4" w:space="0"/>
              <w:left w:val="nil"/>
              <w:bottom w:val="single" w:color="auto" w:sz="4" w:space="0"/>
              <w:right w:val="single" w:color="auto" w:sz="4" w:space="0"/>
            </w:tcBorders>
            <w:noWrap w:val="0"/>
            <w:vAlign w:val="center"/>
          </w:tcPr>
          <w:p w14:paraId="3A41704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286D0FD4">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0B4F1A7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15A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0F2605A5">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（二）提升高度在150m及以上的附着式升降脚手架工程或附着式升降操作平台工程。</w:t>
            </w:r>
          </w:p>
        </w:tc>
        <w:tc>
          <w:tcPr>
            <w:tcW w:w="1353" w:type="dxa"/>
            <w:tcBorders>
              <w:top w:val="single" w:color="auto" w:sz="4" w:space="0"/>
              <w:left w:val="nil"/>
              <w:bottom w:val="single" w:color="auto" w:sz="4" w:space="0"/>
              <w:right w:val="single" w:color="auto" w:sz="4" w:space="0"/>
            </w:tcBorders>
            <w:noWrap w:val="0"/>
            <w:vAlign w:val="center"/>
          </w:tcPr>
          <w:p w14:paraId="3ED60750">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05E1AAD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6ADDDAA9">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D21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245D234E">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（三）分段架体搭设高度20m及以上的悬挑式脚手架工程。</w:t>
            </w:r>
          </w:p>
        </w:tc>
        <w:tc>
          <w:tcPr>
            <w:tcW w:w="1353" w:type="dxa"/>
            <w:tcBorders>
              <w:top w:val="single" w:color="auto" w:sz="4" w:space="0"/>
              <w:left w:val="nil"/>
              <w:bottom w:val="single" w:color="auto" w:sz="4" w:space="0"/>
              <w:right w:val="single" w:color="auto" w:sz="4" w:space="0"/>
            </w:tcBorders>
            <w:noWrap w:val="0"/>
            <w:vAlign w:val="center"/>
          </w:tcPr>
          <w:p w14:paraId="2BF4A8C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14199956">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2A9CECB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22EE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5340B0D1">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五、拆除工程</w:t>
            </w:r>
          </w:p>
        </w:tc>
        <w:tc>
          <w:tcPr>
            <w:tcW w:w="1353" w:type="dxa"/>
            <w:tcBorders>
              <w:top w:val="single" w:color="auto" w:sz="4" w:space="0"/>
              <w:left w:val="nil"/>
              <w:bottom w:val="single" w:color="auto" w:sz="4" w:space="0"/>
              <w:right w:val="single" w:color="auto" w:sz="4" w:space="0"/>
            </w:tcBorders>
            <w:noWrap w:val="0"/>
            <w:vAlign w:val="center"/>
          </w:tcPr>
          <w:p w14:paraId="08A016E0">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168C5F6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2CD613C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0BDE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282191F2">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（一）码头、桥梁、高架、烟囱、水塔或拆除中容易引起有毒有害气（液）体或粉尘扩散、易燃易爆事故发生的特殊建、构筑物的拆除工程。</w:t>
            </w:r>
          </w:p>
        </w:tc>
        <w:tc>
          <w:tcPr>
            <w:tcW w:w="1353" w:type="dxa"/>
            <w:tcBorders>
              <w:top w:val="single" w:color="auto" w:sz="4" w:space="0"/>
              <w:left w:val="nil"/>
              <w:bottom w:val="single" w:color="auto" w:sz="4" w:space="0"/>
              <w:right w:val="single" w:color="auto" w:sz="4" w:space="0"/>
            </w:tcBorders>
            <w:noWrap w:val="0"/>
            <w:vAlign w:val="center"/>
          </w:tcPr>
          <w:p w14:paraId="654994B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2648AB38">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364BF83E">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1ACA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2D3F85B0">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（二）文物保护建筑、优秀历史建筑或历史文化风貌区影响范围内的拆除工程。</w:t>
            </w:r>
          </w:p>
        </w:tc>
        <w:tc>
          <w:tcPr>
            <w:tcW w:w="1353" w:type="dxa"/>
            <w:tcBorders>
              <w:top w:val="single" w:color="auto" w:sz="4" w:space="0"/>
              <w:left w:val="nil"/>
              <w:bottom w:val="single" w:color="auto" w:sz="4" w:space="0"/>
              <w:right w:val="single" w:color="auto" w:sz="4" w:space="0"/>
            </w:tcBorders>
            <w:noWrap w:val="0"/>
            <w:vAlign w:val="center"/>
          </w:tcPr>
          <w:p w14:paraId="0123D158">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78144302">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090F3E98">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4C34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708E5090">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六、暗挖工程</w:t>
            </w:r>
          </w:p>
        </w:tc>
        <w:tc>
          <w:tcPr>
            <w:tcW w:w="1353" w:type="dxa"/>
            <w:tcBorders>
              <w:top w:val="single" w:color="auto" w:sz="4" w:space="0"/>
              <w:left w:val="nil"/>
              <w:bottom w:val="single" w:color="auto" w:sz="4" w:space="0"/>
              <w:right w:val="single" w:color="auto" w:sz="4" w:space="0"/>
            </w:tcBorders>
            <w:noWrap w:val="0"/>
            <w:vAlign w:val="center"/>
          </w:tcPr>
          <w:p w14:paraId="43D55606">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029A9AC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1CC17EB9">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5B7F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37C39238">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采用矿山法、盾构法、顶管法施工的隧道、洞室工程。</w:t>
            </w:r>
          </w:p>
        </w:tc>
        <w:tc>
          <w:tcPr>
            <w:tcW w:w="1353" w:type="dxa"/>
            <w:tcBorders>
              <w:top w:val="single" w:color="auto" w:sz="4" w:space="0"/>
              <w:left w:val="nil"/>
              <w:bottom w:val="single" w:color="auto" w:sz="4" w:space="0"/>
              <w:right w:val="single" w:color="auto" w:sz="4" w:space="0"/>
            </w:tcBorders>
            <w:noWrap w:val="0"/>
            <w:vAlign w:val="center"/>
          </w:tcPr>
          <w:p w14:paraId="2BCD5AA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5CA087D2">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3CA379F4">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C85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7559D7AA">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七、其它</w:t>
            </w:r>
          </w:p>
        </w:tc>
        <w:tc>
          <w:tcPr>
            <w:tcW w:w="1353" w:type="dxa"/>
            <w:tcBorders>
              <w:top w:val="single" w:color="auto" w:sz="4" w:space="0"/>
              <w:left w:val="nil"/>
              <w:bottom w:val="single" w:color="auto" w:sz="4" w:space="0"/>
              <w:right w:val="single" w:color="auto" w:sz="4" w:space="0"/>
            </w:tcBorders>
            <w:noWrap w:val="0"/>
            <w:vAlign w:val="center"/>
          </w:tcPr>
          <w:p w14:paraId="78DCA5E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353" w:type="dxa"/>
            <w:tcBorders>
              <w:top w:val="single" w:color="auto" w:sz="4" w:space="0"/>
              <w:left w:val="nil"/>
              <w:bottom w:val="single" w:color="auto" w:sz="4" w:space="0"/>
              <w:right w:val="single" w:color="auto" w:sz="4" w:space="0"/>
            </w:tcBorders>
            <w:noWrap w:val="0"/>
            <w:vAlign w:val="center"/>
          </w:tcPr>
          <w:p w14:paraId="5EB955E1">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c>
          <w:tcPr>
            <w:tcW w:w="1057" w:type="dxa"/>
            <w:tcBorders>
              <w:top w:val="single" w:color="auto" w:sz="4" w:space="0"/>
              <w:left w:val="nil"/>
              <w:bottom w:val="single" w:color="auto" w:sz="4" w:space="0"/>
              <w:right w:val="single" w:color="auto" w:sz="4" w:space="0"/>
            </w:tcBorders>
            <w:noWrap w:val="0"/>
            <w:vAlign w:val="center"/>
          </w:tcPr>
          <w:p w14:paraId="42AE1CA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3D67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143AA06F">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（一）施工高度50m及以上的建筑幕墙安装工程。</w:t>
            </w:r>
          </w:p>
        </w:tc>
        <w:tc>
          <w:tcPr>
            <w:tcW w:w="1353" w:type="dxa"/>
            <w:tcBorders>
              <w:top w:val="single" w:color="auto" w:sz="4" w:space="0"/>
              <w:left w:val="nil"/>
              <w:bottom w:val="single" w:color="auto" w:sz="4" w:space="0"/>
              <w:right w:val="single" w:color="auto" w:sz="4" w:space="0"/>
            </w:tcBorders>
            <w:noWrap w:val="0"/>
            <w:vAlign w:val="center"/>
          </w:tcPr>
          <w:p w14:paraId="603F0E33">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457256ED">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6EA64C34">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64BF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570EB5A6">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（二）跨度36m及以上的钢结构安装工程，或跨度60m及以上的网架和索膜结构安装工程。</w:t>
            </w:r>
          </w:p>
        </w:tc>
        <w:tc>
          <w:tcPr>
            <w:tcW w:w="1353" w:type="dxa"/>
            <w:tcBorders>
              <w:top w:val="single" w:color="auto" w:sz="4" w:space="0"/>
              <w:left w:val="nil"/>
              <w:bottom w:val="single" w:color="auto" w:sz="4" w:space="0"/>
              <w:right w:val="single" w:color="auto" w:sz="4" w:space="0"/>
            </w:tcBorders>
            <w:noWrap w:val="0"/>
            <w:vAlign w:val="center"/>
          </w:tcPr>
          <w:p w14:paraId="1B16E992">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12448CA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4A96C4FB">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1F0A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5994346B">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（三）开挖深度16m及以上的人工挖孔桩工程。</w:t>
            </w:r>
          </w:p>
        </w:tc>
        <w:tc>
          <w:tcPr>
            <w:tcW w:w="1353" w:type="dxa"/>
            <w:tcBorders>
              <w:top w:val="single" w:color="auto" w:sz="4" w:space="0"/>
              <w:left w:val="nil"/>
              <w:bottom w:val="single" w:color="auto" w:sz="4" w:space="0"/>
              <w:right w:val="single" w:color="auto" w:sz="4" w:space="0"/>
            </w:tcBorders>
            <w:noWrap w:val="0"/>
            <w:vAlign w:val="center"/>
          </w:tcPr>
          <w:p w14:paraId="3907351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17CE134A">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1EDD92F7">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0558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0AB1EF0D">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（四）水下作业工程。</w:t>
            </w:r>
          </w:p>
        </w:tc>
        <w:tc>
          <w:tcPr>
            <w:tcW w:w="1353" w:type="dxa"/>
            <w:tcBorders>
              <w:top w:val="single" w:color="auto" w:sz="4" w:space="0"/>
              <w:left w:val="nil"/>
              <w:bottom w:val="single" w:color="auto" w:sz="4" w:space="0"/>
              <w:right w:val="single" w:color="auto" w:sz="4" w:space="0"/>
            </w:tcBorders>
            <w:noWrap w:val="0"/>
            <w:vAlign w:val="center"/>
          </w:tcPr>
          <w:p w14:paraId="622ED76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6B171522">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060CBF1A">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4049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4AA4B0EE">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（五）重量1000kN及以上的大型结构整体顶升、平移、转体等施工工艺。</w:t>
            </w:r>
          </w:p>
        </w:tc>
        <w:tc>
          <w:tcPr>
            <w:tcW w:w="1353" w:type="dxa"/>
            <w:tcBorders>
              <w:top w:val="single" w:color="auto" w:sz="4" w:space="0"/>
              <w:left w:val="nil"/>
              <w:bottom w:val="single" w:color="auto" w:sz="4" w:space="0"/>
              <w:right w:val="single" w:color="auto" w:sz="4" w:space="0"/>
            </w:tcBorders>
            <w:noWrap w:val="0"/>
            <w:vAlign w:val="center"/>
          </w:tcPr>
          <w:p w14:paraId="73B00DB9">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xml:space="preserve">( </w:t>
            </w:r>
            <w:r>
              <w:rPr>
                <w:rFonts w:hint="eastAsia" w:ascii="宋体" w:hAnsi="宋体" w:cs="宋体"/>
                <w:color w:val="auto"/>
                <w:sz w:val="24"/>
                <w:szCs w:val="36"/>
                <w:highlight w:val="none"/>
              </w:rPr>
              <w:t>√</w:t>
            </w:r>
            <w:r>
              <w:rPr>
                <w:rFonts w:hint="eastAsia" w:ascii="宋体" w:hAnsi="宋体" w:cs="Calibri"/>
                <w:color w:val="auto"/>
                <w:kern w:val="0"/>
                <w:highlight w:val="none"/>
              </w:rPr>
              <w:t xml:space="preserve"> )</w:t>
            </w:r>
          </w:p>
        </w:tc>
        <w:tc>
          <w:tcPr>
            <w:tcW w:w="1353" w:type="dxa"/>
            <w:tcBorders>
              <w:top w:val="single" w:color="auto" w:sz="4" w:space="0"/>
              <w:left w:val="nil"/>
              <w:bottom w:val="single" w:color="auto" w:sz="4" w:space="0"/>
              <w:right w:val="single" w:color="auto" w:sz="4" w:space="0"/>
            </w:tcBorders>
            <w:noWrap w:val="0"/>
            <w:vAlign w:val="center"/>
          </w:tcPr>
          <w:p w14:paraId="617A3745">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46B9CB2F">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r w14:paraId="2705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3" w:type="dxa"/>
            <w:tcBorders>
              <w:top w:val="single" w:color="auto" w:sz="4" w:space="0"/>
              <w:left w:val="single" w:color="auto" w:sz="4" w:space="0"/>
              <w:bottom w:val="single" w:color="auto" w:sz="4" w:space="0"/>
              <w:right w:val="single" w:color="auto" w:sz="4" w:space="0"/>
            </w:tcBorders>
            <w:noWrap w:val="0"/>
            <w:vAlign w:val="top"/>
          </w:tcPr>
          <w:p w14:paraId="07E5A732">
            <w:pPr>
              <w:keepNext w:val="0"/>
              <w:keepLines w:val="0"/>
              <w:widowControl/>
              <w:suppressLineNumbers w:val="0"/>
              <w:spacing w:before="0" w:beforeAutospacing="0" w:after="0" w:afterAutospacing="0"/>
              <w:ind w:left="0" w:right="0"/>
              <w:jc w:val="left"/>
              <w:rPr>
                <w:rFonts w:hint="default" w:ascii="宋体" w:hAnsi="宋体" w:cs="Calibri"/>
                <w:color w:val="auto"/>
                <w:kern w:val="0"/>
                <w:highlight w:val="none"/>
              </w:rPr>
            </w:pPr>
            <w:r>
              <w:rPr>
                <w:rFonts w:hint="eastAsia" w:ascii="宋体" w:hAnsi="宋体" w:cs="Calibri"/>
                <w:color w:val="auto"/>
                <w:kern w:val="0"/>
                <w:highlight w:val="none"/>
              </w:rPr>
              <w:t>（六）采用新技术、新工艺、新材料、新设备可能影响工程施工安全，尚无国家、行业及地方技术标准的分部分项工程。</w:t>
            </w:r>
          </w:p>
        </w:tc>
        <w:tc>
          <w:tcPr>
            <w:tcW w:w="1353" w:type="dxa"/>
            <w:tcBorders>
              <w:top w:val="single" w:color="auto" w:sz="4" w:space="0"/>
              <w:left w:val="nil"/>
              <w:bottom w:val="single" w:color="auto" w:sz="4" w:space="0"/>
              <w:right w:val="single" w:color="auto" w:sz="4" w:space="0"/>
            </w:tcBorders>
            <w:noWrap w:val="0"/>
            <w:vAlign w:val="center"/>
          </w:tcPr>
          <w:p w14:paraId="0689B4F6">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3F5C2EA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r>
              <w:rPr>
                <w:rFonts w:hint="eastAsia" w:ascii="宋体" w:hAnsi="宋体" w:cs="Calibri"/>
                <w:color w:val="auto"/>
                <w:kern w:val="0"/>
                <w:highlight w:val="none"/>
              </w:rPr>
              <w:t>(    )</w:t>
            </w:r>
          </w:p>
        </w:tc>
        <w:tc>
          <w:tcPr>
            <w:tcW w:w="1057" w:type="dxa"/>
            <w:tcBorders>
              <w:top w:val="single" w:color="auto" w:sz="4" w:space="0"/>
              <w:left w:val="nil"/>
              <w:bottom w:val="single" w:color="auto" w:sz="4" w:space="0"/>
              <w:right w:val="single" w:color="auto" w:sz="4" w:space="0"/>
            </w:tcBorders>
            <w:noWrap w:val="0"/>
            <w:vAlign w:val="center"/>
          </w:tcPr>
          <w:p w14:paraId="542EFAEC">
            <w:pPr>
              <w:keepNext w:val="0"/>
              <w:keepLines w:val="0"/>
              <w:widowControl/>
              <w:suppressLineNumbers w:val="0"/>
              <w:spacing w:before="0" w:beforeAutospacing="0" w:after="0" w:afterAutospacing="0"/>
              <w:ind w:left="0" w:right="0"/>
              <w:jc w:val="center"/>
              <w:rPr>
                <w:rFonts w:hint="default" w:ascii="宋体" w:hAnsi="宋体" w:cs="Calibri"/>
                <w:color w:val="auto"/>
                <w:kern w:val="0"/>
                <w:highlight w:val="none"/>
              </w:rPr>
            </w:pPr>
          </w:p>
        </w:tc>
      </w:tr>
    </w:tbl>
    <w:p w14:paraId="4DD68FF8">
      <w:pPr>
        <w:spacing w:line="360" w:lineRule="auto"/>
        <w:ind w:firstLine="4418" w:firstLineChars="1841"/>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投标人名称：</w:t>
      </w:r>
    </w:p>
    <w:p w14:paraId="3B724678">
      <w:pPr>
        <w:spacing w:line="360" w:lineRule="auto"/>
        <w:ind w:right="360" w:firstLine="4418" w:firstLineChars="1841"/>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日  期：   年   月   日</w:t>
      </w:r>
    </w:p>
    <w:p w14:paraId="15BB34BF">
      <w:pPr>
        <w:jc w:val="left"/>
        <w:rPr>
          <w:rFonts w:hint="eastAsia" w:ascii="宋体" w:hAnsi="宋体" w:cs="宋体"/>
          <w:b/>
          <w:color w:val="auto"/>
          <w:spacing w:val="4"/>
          <w:kern w:val="0"/>
          <w:sz w:val="24"/>
          <w:szCs w:val="24"/>
          <w:highlight w:val="none"/>
          <w:lang w:val="zh-CN"/>
        </w:rPr>
      </w:pPr>
      <w:r>
        <w:rPr>
          <w:rFonts w:hint="eastAsia" w:ascii="宋体" w:hAnsi="宋体" w:cs="宋体"/>
          <w:color w:val="auto"/>
          <w:szCs w:val="20"/>
          <w:highlight w:val="none"/>
        </w:rPr>
        <w:br w:type="page"/>
      </w:r>
      <w:bookmarkStart w:id="234" w:name="OLE_LINK157"/>
      <w:bookmarkStart w:id="235" w:name="_Toc114572568"/>
      <w:r>
        <w:rPr>
          <w:rFonts w:hint="eastAsia" w:ascii="宋体" w:hAnsi="宋体" w:cs="宋体"/>
          <w:b/>
          <w:color w:val="auto"/>
          <w:spacing w:val="4"/>
          <w:kern w:val="0"/>
          <w:sz w:val="24"/>
          <w:szCs w:val="24"/>
          <w:highlight w:val="none"/>
          <w:lang w:val="zh-CN"/>
        </w:rPr>
        <w:t>格式七</w:t>
      </w:r>
      <w:bookmarkEnd w:id="234"/>
      <w:r>
        <w:rPr>
          <w:rFonts w:hint="eastAsia" w:ascii="宋体" w:hAnsi="宋体" w:cs="宋体"/>
          <w:b/>
          <w:color w:val="auto"/>
          <w:spacing w:val="4"/>
          <w:kern w:val="0"/>
          <w:sz w:val="24"/>
          <w:szCs w:val="24"/>
          <w:highlight w:val="none"/>
          <w:lang w:val="zh-CN"/>
        </w:rPr>
        <w:t>：其他投标人认为应该提供的资料</w:t>
      </w:r>
      <w:bookmarkEnd w:id="235"/>
    </w:p>
    <w:p w14:paraId="68747DA3">
      <w:pPr>
        <w:jc w:val="center"/>
        <w:rPr>
          <w:b/>
          <w:color w:val="auto"/>
          <w:sz w:val="36"/>
          <w:highlight w:val="none"/>
        </w:rPr>
      </w:pPr>
    </w:p>
    <w:p w14:paraId="18F390E0">
      <w:pPr>
        <w:widowControl/>
        <w:jc w:val="left"/>
        <w:rPr>
          <w:rFonts w:ascii="宋体" w:hAnsi="宋体"/>
          <w:color w:val="auto"/>
          <w:szCs w:val="21"/>
          <w:highlight w:val="none"/>
        </w:rPr>
      </w:pPr>
    </w:p>
    <w:p w14:paraId="3BF7C899">
      <w:pPr>
        <w:widowControl/>
        <w:jc w:val="left"/>
        <w:rPr>
          <w:rFonts w:ascii="宋体" w:hAnsi="宋体"/>
          <w:b/>
          <w:bCs/>
          <w:color w:val="auto"/>
          <w:szCs w:val="21"/>
          <w:highlight w:val="none"/>
        </w:rPr>
      </w:pPr>
      <w:r>
        <w:rPr>
          <w:rFonts w:hint="eastAsia" w:ascii="宋体" w:hAnsi="宋体"/>
          <w:b/>
          <w:bCs/>
          <w:color w:val="auto"/>
          <w:szCs w:val="21"/>
          <w:highlight w:val="none"/>
        </w:rPr>
        <w:t>备注：投标人认为有必要或招标文件要求提供的其他资料（格式自拟），均需单位盖电子印章。</w:t>
      </w:r>
    </w:p>
    <w:p w14:paraId="15E7F69C">
      <w:pPr>
        <w:spacing w:line="360" w:lineRule="auto"/>
        <w:ind w:right="360"/>
        <w:jc w:val="center"/>
        <w:rPr>
          <w:rFonts w:hint="eastAsia" w:ascii="宋体" w:hAnsi="宋体" w:cs="宋体"/>
          <w:color w:val="auto"/>
          <w:sz w:val="24"/>
          <w:szCs w:val="20"/>
          <w:highlight w:val="none"/>
        </w:rPr>
        <w:sectPr>
          <w:footerReference r:id="rId8" w:type="default"/>
          <w:pgSz w:w="11906" w:h="16838"/>
          <w:pgMar w:top="1440" w:right="1274" w:bottom="1440" w:left="1440" w:header="851" w:footer="992" w:gutter="0"/>
          <w:pgBorders>
            <w:top w:val="none" w:sz="0" w:space="0"/>
            <w:left w:val="none" w:sz="0" w:space="0"/>
            <w:bottom w:val="none" w:sz="0" w:space="0"/>
            <w:right w:val="none" w:sz="0" w:space="0"/>
          </w:pgBorders>
          <w:cols w:space="720" w:num="1"/>
          <w:docGrid w:type="lines" w:linePitch="317" w:charSpace="0"/>
        </w:sectPr>
      </w:pPr>
    </w:p>
    <w:p w14:paraId="25C1D190">
      <w:pPr>
        <w:spacing w:line="360" w:lineRule="auto"/>
        <w:ind w:right="360"/>
        <w:jc w:val="center"/>
        <w:rPr>
          <w:rFonts w:hint="eastAsia" w:ascii="宋体" w:hAnsi="宋体" w:cs="宋体"/>
          <w:color w:val="auto"/>
          <w:spacing w:val="4"/>
          <w:kern w:val="0"/>
          <w:sz w:val="24"/>
          <w:szCs w:val="24"/>
          <w:highlight w:val="none"/>
        </w:rPr>
      </w:pPr>
      <w:bookmarkStart w:id="236" w:name="_Toc97576611"/>
      <w:r>
        <w:rPr>
          <w:rFonts w:hint="eastAsia" w:ascii="宋体" w:hAnsi="宋体" w:cs="宋体"/>
          <w:b/>
          <w:color w:val="auto"/>
          <w:spacing w:val="4"/>
          <w:kern w:val="0"/>
          <w:sz w:val="30"/>
          <w:szCs w:val="30"/>
          <w:highlight w:val="none"/>
        </w:rPr>
        <w:t>二、经济标投标文件格式</w:t>
      </w:r>
      <w:bookmarkEnd w:id="236"/>
    </w:p>
    <w:p w14:paraId="089AB534">
      <w:pPr>
        <w:outlineLvl w:val="2"/>
        <w:rPr>
          <w:rFonts w:hint="eastAsia" w:ascii="宋体" w:hAnsi="宋体" w:cs="宋体"/>
          <w:b/>
          <w:color w:val="auto"/>
          <w:highlight w:val="none"/>
        </w:rPr>
      </w:pPr>
      <w:bookmarkStart w:id="237" w:name="_Toc97576612"/>
      <w:bookmarkStart w:id="238" w:name="_Toc94347380"/>
    </w:p>
    <w:p w14:paraId="78A6BA80">
      <w:pPr>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格式一：</w:t>
      </w:r>
      <w:bookmarkEnd w:id="237"/>
      <w:bookmarkEnd w:id="238"/>
      <w:bookmarkStart w:id="239" w:name="_Toc26826"/>
      <w:r>
        <w:rPr>
          <w:rFonts w:hint="eastAsia" w:ascii="宋体" w:hAnsi="宋体" w:cs="宋体"/>
          <w:b/>
          <w:color w:val="auto"/>
          <w:sz w:val="24"/>
          <w:szCs w:val="24"/>
          <w:highlight w:val="none"/>
        </w:rPr>
        <w:t>工程量清单计价表</w:t>
      </w:r>
      <w:bookmarkEnd w:id="239"/>
    </w:p>
    <w:p w14:paraId="666E9078">
      <w:pPr>
        <w:topLinePunct/>
        <w:adjustRightInd w:val="0"/>
        <w:snapToGrid w:val="0"/>
        <w:spacing w:line="360" w:lineRule="auto"/>
        <w:ind w:firstLine="498" w:firstLineChars="200"/>
        <w:rPr>
          <w:rFonts w:hint="eastAsia" w:ascii="宋体" w:hAnsi="宋体" w:cs="宋体"/>
          <w:b/>
          <w:snapToGrid w:val="0"/>
          <w:color w:val="auto"/>
          <w:spacing w:val="4"/>
          <w:kern w:val="0"/>
          <w:sz w:val="24"/>
          <w:szCs w:val="24"/>
          <w:highlight w:val="none"/>
        </w:rPr>
      </w:pPr>
    </w:p>
    <w:p w14:paraId="576D8567">
      <w:pPr>
        <w:topLinePunct/>
        <w:adjustRightInd w:val="0"/>
        <w:snapToGrid w:val="0"/>
        <w:spacing w:before="156" w:after="156" w:line="360" w:lineRule="auto"/>
        <w:ind w:firstLine="617"/>
        <w:jc w:val="center"/>
        <w:rPr>
          <w:rFonts w:hint="eastAsia" w:ascii="宋体" w:hAnsi="宋体" w:cs="宋体"/>
          <w:b/>
          <w:snapToGrid w:val="0"/>
          <w:color w:val="auto"/>
          <w:spacing w:val="4"/>
          <w:kern w:val="0"/>
          <w:sz w:val="36"/>
          <w:szCs w:val="36"/>
          <w:highlight w:val="none"/>
        </w:rPr>
      </w:pPr>
      <w:r>
        <w:rPr>
          <w:rFonts w:hint="eastAsia" w:ascii="宋体" w:hAnsi="宋体" w:cs="宋体"/>
          <w:b/>
          <w:snapToGrid w:val="0"/>
          <w:color w:val="auto"/>
          <w:spacing w:val="4"/>
          <w:kern w:val="0"/>
          <w:sz w:val="36"/>
          <w:szCs w:val="36"/>
          <w:highlight w:val="none"/>
        </w:rPr>
        <w:t>工程量清单计价表</w:t>
      </w:r>
    </w:p>
    <w:p w14:paraId="0635FB7F">
      <w:pPr>
        <w:topLinePunct/>
        <w:adjustRightInd w:val="0"/>
        <w:snapToGrid w:val="0"/>
        <w:spacing w:line="360" w:lineRule="auto"/>
        <w:ind w:firstLine="498" w:firstLineChars="200"/>
        <w:rPr>
          <w:rFonts w:hint="eastAsia" w:ascii="宋体" w:hAnsi="宋体" w:cs="宋体"/>
          <w:b/>
          <w:snapToGrid w:val="0"/>
          <w:color w:val="auto"/>
          <w:spacing w:val="4"/>
          <w:kern w:val="0"/>
          <w:sz w:val="24"/>
          <w:szCs w:val="24"/>
          <w:highlight w:val="none"/>
        </w:rPr>
      </w:pPr>
    </w:p>
    <w:p w14:paraId="1D1AFAB2">
      <w:pPr>
        <w:topLinePunct/>
        <w:adjustRightInd w:val="0"/>
        <w:snapToGrid w:val="0"/>
        <w:spacing w:line="360" w:lineRule="auto"/>
        <w:ind w:firstLine="498" w:firstLineChars="200"/>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本部分内容详见招标文件第七章工程量清单。</w:t>
      </w:r>
    </w:p>
    <w:p w14:paraId="375FB95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285C7B68">
      <w:pPr>
        <w:outlineLvl w:val="2"/>
        <w:rPr>
          <w:rFonts w:hint="eastAsia" w:ascii="宋体" w:hAnsi="宋体" w:cs="宋体"/>
          <w:b/>
          <w:color w:val="auto"/>
          <w:sz w:val="24"/>
          <w:szCs w:val="24"/>
          <w:highlight w:val="none"/>
        </w:rPr>
      </w:pPr>
      <w:r>
        <w:rPr>
          <w:rFonts w:hint="eastAsia" w:ascii="宋体" w:hAnsi="宋体" w:cs="宋体"/>
          <w:color w:val="auto"/>
          <w:highlight w:val="none"/>
        </w:rPr>
        <w:br w:type="page"/>
      </w:r>
      <w:bookmarkStart w:id="240" w:name="_Toc20428"/>
      <w:r>
        <w:rPr>
          <w:rFonts w:hint="eastAsia" w:ascii="宋体" w:hAnsi="宋体" w:cs="宋体"/>
          <w:b/>
          <w:color w:val="auto"/>
          <w:sz w:val="24"/>
          <w:szCs w:val="24"/>
          <w:highlight w:val="none"/>
        </w:rPr>
        <w:t>格式二：参与编制经济标投标文件人员名单</w:t>
      </w:r>
      <w:bookmarkEnd w:id="240"/>
    </w:p>
    <w:p w14:paraId="7F2E3E8E">
      <w:pPr>
        <w:tabs>
          <w:tab w:val="left" w:pos="720"/>
        </w:tabs>
        <w:snapToGrid w:val="0"/>
        <w:spacing w:line="360" w:lineRule="auto"/>
        <w:jc w:val="center"/>
        <w:rPr>
          <w:rFonts w:hint="eastAsia" w:ascii="宋体" w:hAnsi="宋体" w:cs="宋体"/>
          <w:color w:val="auto"/>
          <w:sz w:val="24"/>
          <w:highlight w:val="none"/>
        </w:rPr>
      </w:pPr>
    </w:p>
    <w:p w14:paraId="4A8C5B83">
      <w:pPr>
        <w:topLinePunct/>
        <w:adjustRightInd w:val="0"/>
        <w:snapToGrid w:val="0"/>
        <w:spacing w:before="156" w:after="156" w:line="360" w:lineRule="auto"/>
        <w:jc w:val="center"/>
        <w:rPr>
          <w:rFonts w:hint="eastAsia" w:ascii="宋体" w:hAnsi="宋体" w:cs="宋体"/>
          <w:b/>
          <w:bCs/>
          <w:snapToGrid w:val="0"/>
          <w:color w:val="auto"/>
          <w:spacing w:val="4"/>
          <w:kern w:val="0"/>
          <w:sz w:val="36"/>
          <w:szCs w:val="36"/>
          <w:highlight w:val="none"/>
        </w:rPr>
      </w:pPr>
      <w:r>
        <w:rPr>
          <w:rFonts w:hint="eastAsia" w:ascii="宋体" w:hAnsi="宋体" w:cs="宋体"/>
          <w:b/>
          <w:bCs/>
          <w:snapToGrid w:val="0"/>
          <w:color w:val="auto"/>
          <w:spacing w:val="4"/>
          <w:kern w:val="0"/>
          <w:sz w:val="36"/>
          <w:szCs w:val="36"/>
          <w:highlight w:val="none"/>
        </w:rPr>
        <w:t>参与编制经济标投标文件人员名单</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1614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noWrap w:val="0"/>
            <w:vAlign w:val="center"/>
          </w:tcPr>
          <w:p w14:paraId="34ECE6A8">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投标单位名称</w:t>
            </w:r>
          </w:p>
        </w:tc>
      </w:tr>
      <w:tr w14:paraId="1FE3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0"/>
            <w:vAlign w:val="center"/>
          </w:tcPr>
          <w:p w14:paraId="376E59A7">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姓名</w:t>
            </w:r>
          </w:p>
        </w:tc>
        <w:tc>
          <w:tcPr>
            <w:tcW w:w="1382" w:type="dxa"/>
            <w:noWrap w:val="0"/>
            <w:vAlign w:val="center"/>
          </w:tcPr>
          <w:p w14:paraId="7AC6CF99">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职务</w:t>
            </w:r>
          </w:p>
        </w:tc>
        <w:tc>
          <w:tcPr>
            <w:tcW w:w="2341" w:type="dxa"/>
            <w:noWrap w:val="0"/>
            <w:vAlign w:val="center"/>
          </w:tcPr>
          <w:p w14:paraId="7595C705">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所承担工作</w:t>
            </w:r>
          </w:p>
        </w:tc>
        <w:tc>
          <w:tcPr>
            <w:tcW w:w="2245" w:type="dxa"/>
            <w:noWrap w:val="0"/>
            <w:vAlign w:val="center"/>
          </w:tcPr>
          <w:p w14:paraId="2C20B50B">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w:t>
            </w:r>
          </w:p>
        </w:tc>
        <w:tc>
          <w:tcPr>
            <w:tcW w:w="2304" w:type="dxa"/>
            <w:noWrap w:val="0"/>
            <w:vAlign w:val="center"/>
          </w:tcPr>
          <w:p w14:paraId="64D4D4B9">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本人签名栏</w:t>
            </w:r>
          </w:p>
        </w:tc>
      </w:tr>
      <w:tr w14:paraId="1ED7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noWrap w:val="0"/>
            <w:vAlign w:val="center"/>
          </w:tcPr>
          <w:p w14:paraId="2247D5B8">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1382" w:type="dxa"/>
            <w:noWrap w:val="0"/>
            <w:vAlign w:val="center"/>
          </w:tcPr>
          <w:p w14:paraId="6D861E4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41" w:type="dxa"/>
            <w:noWrap w:val="0"/>
            <w:vAlign w:val="center"/>
          </w:tcPr>
          <w:p w14:paraId="68A69E51">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245" w:type="dxa"/>
            <w:noWrap w:val="0"/>
            <w:vAlign w:val="center"/>
          </w:tcPr>
          <w:p w14:paraId="5A99F686">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04" w:type="dxa"/>
            <w:noWrap w:val="0"/>
            <w:vAlign w:val="center"/>
          </w:tcPr>
          <w:p w14:paraId="51D5C0F3">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r>
      <w:tr w14:paraId="03B6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583C6D61">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1382" w:type="dxa"/>
            <w:noWrap w:val="0"/>
            <w:vAlign w:val="center"/>
          </w:tcPr>
          <w:p w14:paraId="2D6C6787">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41" w:type="dxa"/>
            <w:noWrap w:val="0"/>
            <w:vAlign w:val="center"/>
          </w:tcPr>
          <w:p w14:paraId="7EA5F766">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245" w:type="dxa"/>
            <w:noWrap w:val="0"/>
            <w:vAlign w:val="center"/>
          </w:tcPr>
          <w:p w14:paraId="1B6DDD31">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04" w:type="dxa"/>
            <w:noWrap w:val="0"/>
            <w:vAlign w:val="center"/>
          </w:tcPr>
          <w:p w14:paraId="383647DB">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r>
      <w:tr w14:paraId="1E05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21621AC3">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1382" w:type="dxa"/>
            <w:noWrap w:val="0"/>
            <w:vAlign w:val="center"/>
          </w:tcPr>
          <w:p w14:paraId="31624057">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41" w:type="dxa"/>
            <w:noWrap w:val="0"/>
            <w:vAlign w:val="center"/>
          </w:tcPr>
          <w:p w14:paraId="361C994B">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245" w:type="dxa"/>
            <w:noWrap w:val="0"/>
            <w:vAlign w:val="center"/>
          </w:tcPr>
          <w:p w14:paraId="0B8B3282">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04" w:type="dxa"/>
            <w:noWrap w:val="0"/>
            <w:vAlign w:val="center"/>
          </w:tcPr>
          <w:p w14:paraId="1F631C59">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r>
      <w:tr w14:paraId="6883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7E178776">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1382" w:type="dxa"/>
            <w:noWrap w:val="0"/>
            <w:vAlign w:val="center"/>
          </w:tcPr>
          <w:p w14:paraId="18E96BE3">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41" w:type="dxa"/>
            <w:noWrap w:val="0"/>
            <w:vAlign w:val="center"/>
          </w:tcPr>
          <w:p w14:paraId="05A58E47">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245" w:type="dxa"/>
            <w:noWrap w:val="0"/>
            <w:vAlign w:val="center"/>
          </w:tcPr>
          <w:p w14:paraId="4FC3CF5F">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04" w:type="dxa"/>
            <w:noWrap w:val="0"/>
            <w:vAlign w:val="center"/>
          </w:tcPr>
          <w:p w14:paraId="1D2AC523">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r>
      <w:tr w14:paraId="0C88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414C3F1F">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1382" w:type="dxa"/>
            <w:noWrap w:val="0"/>
            <w:vAlign w:val="center"/>
          </w:tcPr>
          <w:p w14:paraId="03B98622">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41" w:type="dxa"/>
            <w:noWrap w:val="0"/>
            <w:vAlign w:val="center"/>
          </w:tcPr>
          <w:p w14:paraId="733FC318">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245" w:type="dxa"/>
            <w:noWrap w:val="0"/>
            <w:vAlign w:val="center"/>
          </w:tcPr>
          <w:p w14:paraId="00F872B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04" w:type="dxa"/>
            <w:noWrap w:val="0"/>
            <w:vAlign w:val="center"/>
          </w:tcPr>
          <w:p w14:paraId="3510DF1B">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r>
      <w:tr w14:paraId="391E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7F7A36D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1382" w:type="dxa"/>
            <w:noWrap w:val="0"/>
            <w:vAlign w:val="center"/>
          </w:tcPr>
          <w:p w14:paraId="4DF02B8D">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41" w:type="dxa"/>
            <w:noWrap w:val="0"/>
            <w:vAlign w:val="center"/>
          </w:tcPr>
          <w:p w14:paraId="6F23588E">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245" w:type="dxa"/>
            <w:noWrap w:val="0"/>
            <w:vAlign w:val="center"/>
          </w:tcPr>
          <w:p w14:paraId="70989522">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04" w:type="dxa"/>
            <w:noWrap w:val="0"/>
            <w:vAlign w:val="center"/>
          </w:tcPr>
          <w:p w14:paraId="03246C05">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r>
      <w:tr w14:paraId="4734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14:paraId="43428268">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1382" w:type="dxa"/>
            <w:noWrap w:val="0"/>
            <w:vAlign w:val="center"/>
          </w:tcPr>
          <w:p w14:paraId="2221488D">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41" w:type="dxa"/>
            <w:noWrap w:val="0"/>
            <w:vAlign w:val="center"/>
          </w:tcPr>
          <w:p w14:paraId="29E2396F">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245" w:type="dxa"/>
            <w:noWrap w:val="0"/>
            <w:vAlign w:val="center"/>
          </w:tcPr>
          <w:p w14:paraId="471E63E8">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04" w:type="dxa"/>
            <w:noWrap w:val="0"/>
            <w:vAlign w:val="center"/>
          </w:tcPr>
          <w:p w14:paraId="63892DE0">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r>
      <w:tr w14:paraId="3E14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noWrap w:val="0"/>
            <w:vAlign w:val="center"/>
          </w:tcPr>
          <w:p w14:paraId="550DAC24">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1382" w:type="dxa"/>
            <w:noWrap w:val="0"/>
            <w:vAlign w:val="center"/>
          </w:tcPr>
          <w:p w14:paraId="14A4D10F">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41" w:type="dxa"/>
            <w:noWrap w:val="0"/>
            <w:vAlign w:val="center"/>
          </w:tcPr>
          <w:p w14:paraId="37F79E82">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245" w:type="dxa"/>
            <w:noWrap w:val="0"/>
            <w:vAlign w:val="center"/>
          </w:tcPr>
          <w:p w14:paraId="0C3AAF9C">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c>
          <w:tcPr>
            <w:tcW w:w="2304" w:type="dxa"/>
            <w:noWrap w:val="0"/>
            <w:vAlign w:val="center"/>
          </w:tcPr>
          <w:p w14:paraId="13C3574B">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color w:val="auto"/>
                <w:sz w:val="24"/>
                <w:highlight w:val="none"/>
              </w:rPr>
            </w:pPr>
          </w:p>
        </w:tc>
      </w:tr>
    </w:tbl>
    <w:p w14:paraId="46ABEB83">
      <w:pPr>
        <w:tabs>
          <w:tab w:val="left" w:pos="720"/>
        </w:tabs>
        <w:snapToGrid w:val="0"/>
        <w:spacing w:line="360" w:lineRule="auto"/>
        <w:rPr>
          <w:rFonts w:hint="eastAsia" w:ascii="宋体" w:hAnsi="宋体" w:cs="宋体"/>
          <w:color w:val="auto"/>
          <w:sz w:val="24"/>
          <w:highlight w:val="none"/>
        </w:rPr>
      </w:pPr>
    </w:p>
    <w:p w14:paraId="25346D42">
      <w:pPr>
        <w:autoSpaceDE w:val="0"/>
        <w:autoSpaceDN w:val="0"/>
        <w:adjustRightInd w:val="0"/>
        <w:spacing w:line="360" w:lineRule="auto"/>
        <w:ind w:firstLine="368"/>
        <w:rPr>
          <w:rFonts w:hint="eastAsia" w:ascii="宋体" w:hAnsi="宋体" w:cs="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r>
        <w:rPr>
          <w:rFonts w:hint="eastAsia" w:ascii="宋体" w:hAnsi="宋体" w:cs="宋体"/>
          <w:bCs/>
          <w:color w:val="auto"/>
          <w:sz w:val="24"/>
          <w:highlight w:val="none"/>
        </w:rPr>
        <w:t xml:space="preserve"> </w:t>
      </w:r>
    </w:p>
    <w:p w14:paraId="3E871116">
      <w:pPr>
        <w:autoSpaceDE w:val="0"/>
        <w:autoSpaceDN w:val="0"/>
        <w:adjustRightInd w:val="0"/>
        <w:outlineLvl w:val="2"/>
        <w:rPr>
          <w:rFonts w:hint="eastAsia" w:ascii="宋体" w:hAnsi="宋体" w:cs="宋体"/>
          <w:b/>
          <w:color w:val="auto"/>
          <w:sz w:val="24"/>
          <w:szCs w:val="24"/>
          <w:highlight w:val="none"/>
        </w:rPr>
      </w:pPr>
      <w:r>
        <w:rPr>
          <w:rFonts w:hint="eastAsia" w:ascii="宋体" w:hAnsi="宋体" w:cs="宋体"/>
          <w:color w:val="auto"/>
          <w:sz w:val="24"/>
          <w:highlight w:val="none"/>
        </w:rPr>
        <w:br w:type="page"/>
      </w:r>
      <w:bookmarkStart w:id="241" w:name="_Toc16521"/>
      <w:r>
        <w:rPr>
          <w:rFonts w:hint="eastAsia" w:ascii="宋体" w:hAnsi="宋体" w:cs="宋体"/>
          <w:b/>
          <w:color w:val="auto"/>
          <w:sz w:val="24"/>
          <w:szCs w:val="24"/>
          <w:highlight w:val="none"/>
        </w:rPr>
        <w:t>格式三：对投标文件编制的承诺</w:t>
      </w:r>
      <w:bookmarkEnd w:id="241"/>
    </w:p>
    <w:p w14:paraId="7F75A492">
      <w:pPr>
        <w:autoSpaceDE w:val="0"/>
        <w:autoSpaceDN w:val="0"/>
        <w:adjustRightInd w:val="0"/>
        <w:rPr>
          <w:rFonts w:hint="eastAsia" w:ascii="宋体" w:hAnsi="宋体" w:cs="宋体"/>
          <w:color w:val="auto"/>
          <w:szCs w:val="21"/>
          <w:highlight w:val="none"/>
        </w:rPr>
      </w:pPr>
    </w:p>
    <w:p w14:paraId="7EAF33D4">
      <w:pPr>
        <w:spacing w:line="360" w:lineRule="auto"/>
        <w:jc w:val="center"/>
        <w:rPr>
          <w:rFonts w:hint="eastAsia" w:ascii="宋体" w:hAnsi="宋体" w:cs="宋体"/>
          <w:color w:val="auto"/>
          <w:kern w:val="0"/>
          <w:sz w:val="32"/>
          <w:szCs w:val="32"/>
          <w:highlight w:val="none"/>
        </w:rPr>
      </w:pPr>
      <w:r>
        <w:rPr>
          <w:rFonts w:hint="eastAsia" w:ascii="宋体" w:hAnsi="宋体" w:cs="宋体"/>
          <w:b/>
          <w:color w:val="auto"/>
          <w:kern w:val="0"/>
          <w:sz w:val="32"/>
          <w:szCs w:val="32"/>
          <w:highlight w:val="none"/>
        </w:rPr>
        <w:t>对投标文件编制的承诺</w:t>
      </w:r>
    </w:p>
    <w:p w14:paraId="76902CCD">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本公司授权</w:t>
      </w:r>
      <w:r>
        <w:rPr>
          <w:rFonts w:hint="eastAsia" w:ascii="宋体" w:hAnsi="宋体" w:cs="宋体"/>
          <w:color w:val="auto"/>
          <w:kern w:val="0"/>
          <w:sz w:val="24"/>
          <w:szCs w:val="20"/>
          <w:highlight w:val="none"/>
          <w:u w:val="single"/>
        </w:rPr>
        <w:t xml:space="preserve">         （身份证号：               ）</w:t>
      </w:r>
      <w:r>
        <w:rPr>
          <w:rFonts w:hint="eastAsia" w:ascii="宋体" w:hAnsi="宋体" w:cs="宋体"/>
          <w:color w:val="auto"/>
          <w:kern w:val="0"/>
          <w:sz w:val="24"/>
          <w:szCs w:val="20"/>
          <w:highlight w:val="none"/>
        </w:rPr>
        <w:t>负责对投标文件的编制及内容进行解释、说明，并承诺以下事项：</w:t>
      </w:r>
    </w:p>
    <w:p w14:paraId="3BE24655">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1.被授权人清楚投标文件编制的具体情况，包括技术方案文件、工程量清单、以及投标文件的加密打包的理解；</w:t>
      </w:r>
    </w:p>
    <w:p w14:paraId="53409BF3">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2.在本项目开标至评标结束前，努力确保被授权人在项目评标所在地附近；</w:t>
      </w:r>
    </w:p>
    <w:p w14:paraId="2B4E1E77">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3.从评标委员会要求澄清起二小时内，被授权人应如实地书面澄清。</w:t>
      </w:r>
    </w:p>
    <w:p w14:paraId="15099553">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如由于未遵守上述承诺内容之一导致无法进行澄清的，我公司认可和接受评标委员会作出的评审结论。 </w:t>
      </w:r>
    </w:p>
    <w:p w14:paraId="779DD344">
      <w:pPr>
        <w:spacing w:line="360" w:lineRule="auto"/>
        <w:ind w:firstLine="360" w:firstLineChars="15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 </w:t>
      </w:r>
    </w:p>
    <w:p w14:paraId="0D14F8C2">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附件：《投标文件编制情况》</w:t>
      </w:r>
    </w:p>
    <w:p w14:paraId="5A655651">
      <w:pPr>
        <w:spacing w:line="360" w:lineRule="auto"/>
        <w:ind w:right="90" w:firstLine="3240" w:firstLineChars="1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w:t>
      </w:r>
      <w:r>
        <w:rPr>
          <w:rFonts w:hint="eastAsia" w:ascii="宋体" w:hAnsi="宋体" w:cs="宋体"/>
          <w:color w:val="auto"/>
          <w:sz w:val="24"/>
          <w:szCs w:val="24"/>
          <w:highlight w:val="none"/>
          <w:u w:val="single"/>
        </w:rPr>
        <w:t xml:space="preserve">                  </w:t>
      </w:r>
    </w:p>
    <w:p w14:paraId="0F66AA4D">
      <w:pPr>
        <w:spacing w:line="360" w:lineRule="auto"/>
        <w:ind w:firstLine="4440" w:firstLineChars="18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r>
        <w:rPr>
          <w:rFonts w:hint="eastAsia" w:ascii="宋体" w:hAnsi="宋体" w:cs="宋体"/>
          <w:color w:val="auto"/>
          <w:sz w:val="18"/>
          <w:szCs w:val="18"/>
          <w:highlight w:val="none"/>
        </w:rPr>
        <w:t xml:space="preserve"> </w:t>
      </w:r>
      <w:r>
        <w:rPr>
          <w:rFonts w:hint="eastAsia" w:ascii="宋体" w:hAnsi="宋体" w:cs="宋体"/>
          <w:color w:val="auto"/>
          <w:sz w:val="24"/>
          <w:szCs w:val="24"/>
          <w:highlight w:val="none"/>
        </w:rPr>
        <w:t xml:space="preserve">    </w:t>
      </w:r>
    </w:p>
    <w:p w14:paraId="4CBF9100">
      <w:pPr>
        <w:spacing w:line="360" w:lineRule="auto"/>
        <w:rPr>
          <w:rFonts w:hint="eastAsia" w:ascii="宋体" w:hAnsi="宋体" w:cs="宋体"/>
          <w:b/>
          <w:color w:val="auto"/>
          <w:kern w:val="0"/>
          <w:sz w:val="32"/>
          <w:szCs w:val="32"/>
          <w:highlight w:val="none"/>
        </w:rPr>
      </w:pPr>
    </w:p>
    <w:p w14:paraId="098D6F95">
      <w:pPr>
        <w:spacing w:line="360" w:lineRule="auto"/>
        <w:ind w:firstLine="643" w:firstLineChars="200"/>
        <w:jc w:val="center"/>
        <w:rPr>
          <w:rFonts w:hint="eastAsia" w:ascii="宋体" w:hAnsi="宋体" w:cs="宋体"/>
          <w:color w:val="auto"/>
          <w:kern w:val="0"/>
          <w:sz w:val="18"/>
          <w:szCs w:val="18"/>
          <w:highlight w:val="none"/>
        </w:rPr>
      </w:pPr>
      <w:r>
        <w:rPr>
          <w:rFonts w:hint="eastAsia" w:ascii="宋体" w:hAnsi="宋体" w:cs="宋体"/>
          <w:b/>
          <w:color w:val="auto"/>
          <w:kern w:val="0"/>
          <w:sz w:val="32"/>
          <w:szCs w:val="32"/>
          <w:highlight w:val="none"/>
        </w:rPr>
        <w:t>投标文件编制情况</w:t>
      </w:r>
    </w:p>
    <w:tbl>
      <w:tblPr>
        <w:tblStyle w:val="39"/>
        <w:tblW w:w="0" w:type="auto"/>
        <w:jc w:val="center"/>
        <w:tblLayout w:type="fixed"/>
        <w:tblCellMar>
          <w:top w:w="0" w:type="dxa"/>
          <w:left w:w="108" w:type="dxa"/>
          <w:bottom w:w="0" w:type="dxa"/>
          <w:right w:w="108" w:type="dxa"/>
        </w:tblCellMar>
      </w:tblPr>
      <w:tblGrid>
        <w:gridCol w:w="8522"/>
      </w:tblGrid>
      <w:tr w14:paraId="7CD481F3">
        <w:tblPrEx>
          <w:tblCellMar>
            <w:top w:w="0" w:type="dxa"/>
            <w:left w:w="108" w:type="dxa"/>
            <w:bottom w:w="0" w:type="dxa"/>
            <w:right w:w="108" w:type="dxa"/>
          </w:tblCellMar>
        </w:tblPrEx>
        <w:trPr>
          <w:trHeight w:val="2819" w:hRule="atLeast"/>
          <w:jc w:val="center"/>
        </w:trPr>
        <w:tc>
          <w:tcPr>
            <w:tcW w:w="8522" w:type="dxa"/>
            <w:noWrap w:val="0"/>
            <w:vAlign w:val="top"/>
          </w:tcPr>
          <w:p w14:paraId="0F4361CF">
            <w:pPr>
              <w:keepNext w:val="0"/>
              <w:keepLines w:val="0"/>
              <w:suppressLineNumbers w:val="0"/>
              <w:spacing w:before="0" w:beforeAutospacing="0" w:after="0" w:afterAutospacing="0" w:line="360" w:lineRule="auto"/>
              <w:ind w:left="0" w:right="0"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1.投标文件报价编制方式: □自行编制的，编制的负责人：</w:t>
            </w:r>
            <w:r>
              <w:rPr>
                <w:rFonts w:hint="eastAsia" w:ascii="宋体" w:hAnsi="宋体" w:cs="宋体"/>
                <w:color w:val="auto"/>
                <w:sz w:val="24"/>
                <w:szCs w:val="20"/>
                <w:highlight w:val="none"/>
                <w:u w:val="single"/>
              </w:rPr>
              <w:t xml:space="preserve"> （盖造价工程师执业专用章或全国建设工程造价员章，执业单位应与投标人一致） </w:t>
            </w:r>
            <w:r>
              <w:rPr>
                <w:rFonts w:hint="eastAsia" w:ascii="宋体" w:hAnsi="宋体" w:cs="宋体"/>
                <w:color w:val="auto"/>
                <w:sz w:val="24"/>
                <w:szCs w:val="20"/>
                <w:highlight w:val="none"/>
              </w:rPr>
              <w:t>。□委托编制的，受委托单位</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，编制的负责人：</w:t>
            </w:r>
            <w:r>
              <w:rPr>
                <w:rFonts w:hint="eastAsia" w:ascii="宋体" w:hAnsi="宋体" w:cs="宋体"/>
                <w:color w:val="auto"/>
                <w:sz w:val="24"/>
                <w:szCs w:val="20"/>
                <w:highlight w:val="none"/>
                <w:u w:val="single"/>
              </w:rPr>
              <w:t xml:space="preserve"> （盖造价工程师执业专用章或全国建设工程造价员章，执业单位应与受委托单位一致） </w:t>
            </w:r>
            <w:r>
              <w:rPr>
                <w:rFonts w:hint="eastAsia" w:ascii="宋体" w:hAnsi="宋体" w:cs="宋体"/>
                <w:color w:val="auto"/>
                <w:sz w:val="24"/>
                <w:szCs w:val="20"/>
                <w:highlight w:val="none"/>
              </w:rPr>
              <w:t>。</w:t>
            </w:r>
          </w:p>
          <w:p w14:paraId="4589D33F">
            <w:pPr>
              <w:keepNext w:val="0"/>
              <w:keepLines w:val="0"/>
              <w:suppressLineNumbers w:val="0"/>
              <w:spacing w:before="0" w:beforeAutospacing="0" w:after="0" w:afterAutospacing="0" w:line="360" w:lineRule="auto"/>
              <w:ind w:left="0" w:right="0"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2.投标文件加密打包的电脑情况投标文件加密打包的电脑     自有    □      外包    □     其他    □</w:t>
            </w:r>
          </w:p>
          <w:p w14:paraId="318B0DF3">
            <w:pPr>
              <w:keepNext w:val="0"/>
              <w:keepLines w:val="0"/>
              <w:suppressLineNumbers w:val="0"/>
              <w:spacing w:before="0" w:beforeAutospacing="0" w:after="0" w:afterAutospacing="0" w:line="360" w:lineRule="auto"/>
              <w:ind w:left="0" w:right="0"/>
              <w:rPr>
                <w:rFonts w:hint="eastAsia" w:ascii="宋体" w:hAnsi="宋体" w:cs="宋体"/>
                <w:color w:val="auto"/>
                <w:sz w:val="24"/>
                <w:szCs w:val="20"/>
                <w:highlight w:val="none"/>
              </w:rPr>
            </w:pPr>
            <w:r>
              <w:rPr>
                <w:rFonts w:hint="eastAsia" w:ascii="宋体" w:hAnsi="宋体" w:cs="宋体"/>
                <w:color w:val="auto"/>
                <w:sz w:val="24"/>
                <w:szCs w:val="20"/>
                <w:highlight w:val="none"/>
              </w:rPr>
              <w:t>电脑类型</w:t>
            </w:r>
          </w:p>
          <w:p w14:paraId="6556516D">
            <w:pPr>
              <w:keepNext w:val="0"/>
              <w:keepLines w:val="0"/>
              <w:suppressLineNumbers w:val="0"/>
              <w:spacing w:before="0" w:beforeAutospacing="0" w:after="0" w:afterAutospacing="0" w:line="360" w:lineRule="auto"/>
              <w:ind w:left="0" w:right="0"/>
              <w:rPr>
                <w:rFonts w:hint="eastAsia" w:ascii="宋体" w:hAnsi="宋体" w:cs="宋体"/>
                <w:color w:val="auto"/>
                <w:sz w:val="24"/>
                <w:szCs w:val="20"/>
                <w:highlight w:val="none"/>
              </w:rPr>
            </w:pPr>
            <w:r>
              <w:rPr>
                <w:rFonts w:hint="eastAsia" w:ascii="宋体" w:hAnsi="宋体" w:cs="宋体"/>
                <w:color w:val="auto"/>
                <w:sz w:val="24"/>
                <w:szCs w:val="20"/>
                <w:highlight w:val="none"/>
              </w:rPr>
              <w:t>电脑所属单位</w:t>
            </w:r>
          </w:p>
          <w:p w14:paraId="34DFD8FB">
            <w:pPr>
              <w:keepNext w:val="0"/>
              <w:keepLines w:val="0"/>
              <w:suppressLineNumbers w:val="0"/>
              <w:spacing w:before="0" w:beforeAutospacing="0" w:after="0" w:afterAutospacing="0" w:line="360" w:lineRule="auto"/>
              <w:ind w:left="0" w:right="0"/>
              <w:rPr>
                <w:rFonts w:hint="eastAsia" w:ascii="宋体" w:hAnsi="宋体" w:cs="宋体"/>
                <w:color w:val="auto"/>
                <w:sz w:val="24"/>
                <w:szCs w:val="20"/>
                <w:highlight w:val="none"/>
              </w:rPr>
            </w:pPr>
            <w:r>
              <w:rPr>
                <w:rFonts w:hint="eastAsia" w:ascii="宋体" w:hAnsi="宋体" w:cs="宋体"/>
                <w:color w:val="auto"/>
                <w:sz w:val="24"/>
                <w:szCs w:val="20"/>
                <w:highlight w:val="none"/>
              </w:rPr>
              <w:t>电脑所在地址        （如××市××区(县) ××街（路）××号××大厦××房）</w:t>
            </w:r>
          </w:p>
        </w:tc>
      </w:tr>
    </w:tbl>
    <w:p w14:paraId="295DA4C0">
      <w:pPr>
        <w:spacing w:line="360" w:lineRule="auto"/>
        <w:ind w:right="360"/>
        <w:jc w:val="center"/>
        <w:rPr>
          <w:rFonts w:hint="eastAsia" w:ascii="宋体" w:hAnsi="宋体" w:cs="宋体"/>
          <w:color w:val="auto"/>
          <w:spacing w:val="4"/>
          <w:kern w:val="0"/>
          <w:sz w:val="24"/>
          <w:szCs w:val="24"/>
          <w:highlight w:val="none"/>
        </w:rPr>
      </w:pPr>
      <w:r>
        <w:rPr>
          <w:rFonts w:hint="eastAsia" w:ascii="宋体" w:hAnsi="宋体" w:cs="宋体"/>
          <w:color w:val="auto"/>
          <w:sz w:val="24"/>
          <w:szCs w:val="24"/>
          <w:highlight w:val="none"/>
        </w:rPr>
        <w:br w:type="page"/>
      </w:r>
      <w:r>
        <w:rPr>
          <w:rFonts w:hint="eastAsia" w:ascii="宋体" w:hAnsi="宋体" w:cs="宋体"/>
          <w:b/>
          <w:color w:val="auto"/>
          <w:spacing w:val="4"/>
          <w:kern w:val="0"/>
          <w:sz w:val="30"/>
          <w:szCs w:val="30"/>
          <w:highlight w:val="none"/>
          <w:lang w:val="en-US" w:eastAsia="zh-CN"/>
        </w:rPr>
        <w:t>三</w:t>
      </w:r>
      <w:r>
        <w:rPr>
          <w:rFonts w:hint="eastAsia" w:ascii="宋体" w:hAnsi="宋体" w:cs="宋体"/>
          <w:b/>
          <w:color w:val="auto"/>
          <w:spacing w:val="4"/>
          <w:kern w:val="0"/>
          <w:sz w:val="30"/>
          <w:szCs w:val="30"/>
          <w:highlight w:val="none"/>
        </w:rPr>
        <w:t>、定标文件格式</w:t>
      </w:r>
    </w:p>
    <w:p w14:paraId="563903A0">
      <w:pPr>
        <w:pStyle w:val="215"/>
        <w:spacing w:before="161"/>
        <w:rPr>
          <w:rFonts w:hint="eastAsia" w:ascii="宋体" w:eastAsia="宋体" w:cs="宋体"/>
          <w:color w:val="auto"/>
          <w:highlight w:val="none"/>
        </w:rPr>
      </w:pPr>
      <w:bookmarkStart w:id="242" w:name="OLE_LINK112"/>
      <w:r>
        <w:rPr>
          <w:rFonts w:hint="eastAsia" w:ascii="宋体" w:eastAsia="宋体" w:cs="宋体"/>
          <w:color w:val="auto"/>
          <w:highlight w:val="none"/>
        </w:rPr>
        <w:t>格式一：定标文件评审索引表</w:t>
      </w:r>
      <w:bookmarkEnd w:id="242"/>
    </w:p>
    <w:p w14:paraId="584E7029">
      <w:pPr>
        <w:pStyle w:val="215"/>
        <w:spacing w:beforeLines="0" w:line="360" w:lineRule="auto"/>
        <w:rPr>
          <w:rFonts w:ascii="宋体" w:eastAsia="宋体" w:cs="宋体"/>
          <w:b w:val="0"/>
          <w:color w:val="auto"/>
          <w:sz w:val="27"/>
          <w:highlight w:val="none"/>
        </w:rPr>
      </w:pPr>
    </w:p>
    <w:p w14:paraId="294DAEB5">
      <w:pPr>
        <w:widowControl/>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定标文件评审索引表</w:t>
      </w:r>
    </w:p>
    <w:p w14:paraId="4E5EB2A5">
      <w:pPr>
        <w:spacing w:line="360" w:lineRule="auto"/>
        <w:rPr>
          <w:rFonts w:hint="eastAsia" w:ascii="宋体" w:hAnsi="宋体" w:cs="宋体"/>
          <w:b/>
          <w:color w:val="auto"/>
          <w:sz w:val="24"/>
          <w:highlight w:val="none"/>
        </w:rPr>
      </w:pPr>
    </w:p>
    <w:p w14:paraId="4D174271">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请投标人按定标办法的评审内容填写下述表格，注明对各评审项目响应情况所在的定标文件页码：</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328"/>
        <w:gridCol w:w="2811"/>
        <w:gridCol w:w="1902"/>
      </w:tblGrid>
      <w:tr w14:paraId="58FC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76A5152D">
            <w:pPr>
              <w:keepNext w:val="0"/>
              <w:keepLines w:val="0"/>
              <w:suppressLineNumbers w:val="0"/>
              <w:spacing w:before="0" w:beforeAutospacing="0" w:after="0" w:afterAutospacing="0"/>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3328" w:type="dxa"/>
            <w:noWrap w:val="0"/>
            <w:vAlign w:val="center"/>
          </w:tcPr>
          <w:p w14:paraId="01AEC778">
            <w:pPr>
              <w:keepNext w:val="0"/>
              <w:keepLines w:val="0"/>
              <w:suppressLineNumbers w:val="0"/>
              <w:spacing w:before="0" w:beforeAutospacing="0" w:after="0" w:afterAutospacing="0"/>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评审项目</w:t>
            </w:r>
          </w:p>
        </w:tc>
        <w:tc>
          <w:tcPr>
            <w:tcW w:w="2811" w:type="dxa"/>
            <w:noWrap w:val="0"/>
            <w:vAlign w:val="center"/>
          </w:tcPr>
          <w:p w14:paraId="4FDD69E9">
            <w:pPr>
              <w:keepNext w:val="0"/>
              <w:keepLines w:val="0"/>
              <w:suppressLineNumbers w:val="0"/>
              <w:spacing w:before="0" w:beforeAutospacing="0" w:after="0" w:afterAutospacing="0"/>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证明材料</w:t>
            </w:r>
          </w:p>
          <w:p w14:paraId="211F1FC0">
            <w:pPr>
              <w:keepNext w:val="0"/>
              <w:keepLines w:val="0"/>
              <w:suppressLineNumbers w:val="0"/>
              <w:spacing w:before="0" w:beforeAutospacing="0" w:after="0" w:afterAutospacing="0"/>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（所在定标文件页码）</w:t>
            </w:r>
          </w:p>
        </w:tc>
        <w:tc>
          <w:tcPr>
            <w:tcW w:w="1902" w:type="dxa"/>
            <w:noWrap w:val="0"/>
            <w:vAlign w:val="center"/>
          </w:tcPr>
          <w:p w14:paraId="6C8E5CAA">
            <w:pPr>
              <w:keepNext w:val="0"/>
              <w:keepLines w:val="0"/>
              <w:suppressLineNumbers w:val="0"/>
              <w:spacing w:before="0" w:beforeAutospacing="0" w:after="0" w:afterAutospacing="0"/>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响应情况简述</w:t>
            </w:r>
          </w:p>
        </w:tc>
      </w:tr>
      <w:tr w14:paraId="36E1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305A04F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328" w:type="dxa"/>
            <w:noWrap w:val="0"/>
            <w:vAlign w:val="center"/>
          </w:tcPr>
          <w:p w14:paraId="5701AF5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2811" w:type="dxa"/>
            <w:noWrap w:val="0"/>
            <w:vAlign w:val="center"/>
          </w:tcPr>
          <w:p w14:paraId="11EA8AC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见定标文件第（ ）页</w:t>
            </w:r>
          </w:p>
        </w:tc>
        <w:tc>
          <w:tcPr>
            <w:tcW w:w="1902" w:type="dxa"/>
            <w:noWrap w:val="0"/>
            <w:vAlign w:val="center"/>
          </w:tcPr>
          <w:p w14:paraId="70860E7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3E9B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5FFAA9C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328" w:type="dxa"/>
            <w:noWrap w:val="0"/>
            <w:vAlign w:val="center"/>
          </w:tcPr>
          <w:p w14:paraId="3B72996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2811" w:type="dxa"/>
            <w:noWrap w:val="0"/>
            <w:vAlign w:val="center"/>
          </w:tcPr>
          <w:p w14:paraId="04FA379D">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见定标文件第（ ）页</w:t>
            </w:r>
          </w:p>
        </w:tc>
        <w:tc>
          <w:tcPr>
            <w:tcW w:w="1902" w:type="dxa"/>
            <w:noWrap w:val="0"/>
            <w:vAlign w:val="center"/>
          </w:tcPr>
          <w:p w14:paraId="313AFE5D">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5E2D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2A4452C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328" w:type="dxa"/>
            <w:noWrap w:val="0"/>
            <w:vAlign w:val="center"/>
          </w:tcPr>
          <w:p w14:paraId="4D46342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2811" w:type="dxa"/>
            <w:noWrap w:val="0"/>
            <w:vAlign w:val="center"/>
          </w:tcPr>
          <w:p w14:paraId="412BBC4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见定标文件第（ ）页</w:t>
            </w:r>
          </w:p>
        </w:tc>
        <w:tc>
          <w:tcPr>
            <w:tcW w:w="1902" w:type="dxa"/>
            <w:noWrap w:val="0"/>
            <w:vAlign w:val="center"/>
          </w:tcPr>
          <w:p w14:paraId="074B9F0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06F4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213D473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3328" w:type="dxa"/>
            <w:noWrap w:val="0"/>
            <w:vAlign w:val="center"/>
          </w:tcPr>
          <w:p w14:paraId="145891E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2811" w:type="dxa"/>
            <w:noWrap w:val="0"/>
            <w:vAlign w:val="center"/>
          </w:tcPr>
          <w:p w14:paraId="5F5995F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见定标文件第（ ）页</w:t>
            </w:r>
          </w:p>
        </w:tc>
        <w:tc>
          <w:tcPr>
            <w:tcW w:w="1902" w:type="dxa"/>
            <w:noWrap w:val="0"/>
            <w:vAlign w:val="center"/>
          </w:tcPr>
          <w:p w14:paraId="54C8A398">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3883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6666D1D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3328" w:type="dxa"/>
            <w:noWrap w:val="0"/>
            <w:vAlign w:val="center"/>
          </w:tcPr>
          <w:p w14:paraId="69E7931E">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2811" w:type="dxa"/>
            <w:noWrap w:val="0"/>
            <w:vAlign w:val="center"/>
          </w:tcPr>
          <w:p w14:paraId="1759EF99">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见定标文件第（ ）页</w:t>
            </w:r>
          </w:p>
        </w:tc>
        <w:tc>
          <w:tcPr>
            <w:tcW w:w="1902" w:type="dxa"/>
            <w:noWrap w:val="0"/>
            <w:vAlign w:val="center"/>
          </w:tcPr>
          <w:p w14:paraId="0D582EA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bl>
    <w:p w14:paraId="34139B2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备注：1、为便于评审，除编制相对应的目录外，还需编制定标索引。</w:t>
      </w:r>
    </w:p>
    <w:p w14:paraId="48906D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2、索引列于</w:t>
      </w:r>
      <w:r>
        <w:rPr>
          <w:rFonts w:hint="eastAsia" w:ascii="宋体" w:hAnsi="宋体" w:cs="宋体"/>
          <w:b/>
          <w:bCs/>
          <w:color w:val="auto"/>
          <w:sz w:val="24"/>
          <w:szCs w:val="24"/>
          <w:highlight w:val="none"/>
        </w:rPr>
        <w:t>定标文件</w:t>
      </w:r>
      <w:r>
        <w:rPr>
          <w:rFonts w:hint="eastAsia" w:ascii="宋体" w:hAnsi="宋体" w:cs="宋体"/>
          <w:color w:val="auto"/>
          <w:sz w:val="24"/>
          <w:szCs w:val="24"/>
          <w:highlight w:val="none"/>
        </w:rPr>
        <w:t>封面页之后，随后再放置目录。</w:t>
      </w:r>
    </w:p>
    <w:p w14:paraId="7258E54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3、根据定标办法附表中评审内容要求，需要提交相应证明材料的，格式自拟。</w:t>
      </w:r>
    </w:p>
    <w:p w14:paraId="388999B1">
      <w:pPr>
        <w:spacing w:line="360" w:lineRule="auto"/>
        <w:ind w:firstLine="482" w:firstLineChars="200"/>
        <w:rPr>
          <w:rFonts w:hint="eastAsia" w:ascii="宋体" w:hAnsi="宋体" w:cs="宋体"/>
          <w:color w:val="auto"/>
          <w:highlight w:val="none"/>
        </w:rPr>
      </w:pPr>
      <w:r>
        <w:rPr>
          <w:rFonts w:hint="eastAsia" w:ascii="宋体" w:hAnsi="宋体" w:cs="宋体"/>
          <w:b/>
          <w:bCs/>
          <w:color w:val="auto"/>
          <w:sz w:val="24"/>
          <w:szCs w:val="24"/>
          <w:highlight w:val="none"/>
        </w:rPr>
        <w:t>4、本表格仅供投标人参考，具体评审内容，请以定标办法为准。</w:t>
      </w:r>
    </w:p>
    <w:p w14:paraId="2FAAD625">
      <w:pPr>
        <w:pStyle w:val="135"/>
        <w:ind w:firstLine="3596" w:firstLineChars="1450"/>
        <w:rPr>
          <w:rFonts w:ascii="宋体" w:hAnsi="宋体" w:cs="宋体"/>
          <w:color w:val="auto"/>
          <w:highlight w:val="none"/>
        </w:rPr>
      </w:pPr>
    </w:p>
    <w:p w14:paraId="6E1813D4">
      <w:pPr>
        <w:keepNext/>
        <w:keepLines/>
        <w:numPr>
          <w:ilvl w:val="0"/>
          <w:numId w:val="5"/>
        </w:numPr>
        <w:spacing w:before="120" w:after="120" w:line="360" w:lineRule="auto"/>
        <w:jc w:val="center"/>
        <w:outlineLvl w:val="0"/>
        <w:rPr>
          <w:rFonts w:hint="eastAsia" w:ascii="宋体" w:hAnsi="宋体" w:cs="宋体"/>
          <w:b/>
          <w:color w:val="auto"/>
          <w:kern w:val="44"/>
          <w:sz w:val="28"/>
          <w:szCs w:val="28"/>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22" w:charSpace="0"/>
        </w:sectPr>
      </w:pPr>
    </w:p>
    <w:p w14:paraId="7DE22C55">
      <w:pPr>
        <w:keepNext/>
        <w:keepLines/>
        <w:numPr>
          <w:ilvl w:val="0"/>
          <w:numId w:val="5"/>
        </w:numPr>
        <w:spacing w:before="120" w:after="120" w:line="360" w:lineRule="auto"/>
        <w:jc w:val="center"/>
        <w:outlineLvl w:val="0"/>
        <w:rPr>
          <w:rFonts w:hint="eastAsia" w:ascii="宋体" w:hAnsi="宋体" w:cs="宋体"/>
          <w:b/>
          <w:color w:val="auto"/>
          <w:kern w:val="44"/>
          <w:sz w:val="28"/>
          <w:szCs w:val="28"/>
          <w:highlight w:val="none"/>
        </w:rPr>
      </w:pPr>
      <w:bookmarkStart w:id="243" w:name="_Toc97576617"/>
      <w:r>
        <w:rPr>
          <w:rFonts w:hint="eastAsia" w:ascii="宋体" w:hAnsi="宋体" w:cs="宋体"/>
          <w:b/>
          <w:color w:val="auto"/>
          <w:kern w:val="44"/>
          <w:sz w:val="28"/>
          <w:szCs w:val="28"/>
          <w:highlight w:val="none"/>
        </w:rPr>
        <w:t xml:space="preserve"> </w:t>
      </w:r>
      <w:bookmarkEnd w:id="243"/>
      <w:bookmarkStart w:id="244" w:name="OLE_LINK113"/>
      <w:bookmarkStart w:id="245" w:name="_Toc41306281"/>
      <w:r>
        <w:rPr>
          <w:rFonts w:hint="eastAsia" w:ascii="宋体" w:hAnsi="宋体" w:cs="宋体"/>
          <w:b/>
          <w:color w:val="auto"/>
          <w:kern w:val="44"/>
          <w:sz w:val="28"/>
          <w:szCs w:val="28"/>
          <w:highlight w:val="none"/>
        </w:rPr>
        <w:t>技术条件（工程建设标准）</w:t>
      </w:r>
      <w:bookmarkEnd w:id="244"/>
    </w:p>
    <w:bookmarkEnd w:id="245"/>
    <w:p w14:paraId="04D90A8A">
      <w:pPr>
        <w:keepNext w:val="0"/>
        <w:keepLines w:val="0"/>
        <w:numPr>
          <w:ilvl w:val="-1"/>
          <w:numId w:val="0"/>
        </w:numPr>
        <w:spacing w:before="0" w:after="0" w:line="360" w:lineRule="auto"/>
        <w:jc w:val="center"/>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另册。</w:t>
      </w:r>
    </w:p>
    <w:p w14:paraId="27CFE48C">
      <w:pPr>
        <w:keepNext w:val="0"/>
        <w:keepLines w:val="0"/>
        <w:numPr>
          <w:ilvl w:val="-1"/>
          <w:numId w:val="0"/>
        </w:numPr>
        <w:spacing w:before="0" w:after="0" w:line="360" w:lineRule="auto"/>
        <w:jc w:val="left"/>
        <w:outlineLvl w:val="9"/>
        <w:rPr>
          <w:rFonts w:hint="eastAsia" w:ascii="宋体" w:hAnsi="宋体" w:cs="宋体"/>
          <w:b/>
          <w:color w:val="auto"/>
          <w:kern w:val="44"/>
          <w:sz w:val="28"/>
          <w:szCs w:val="28"/>
          <w:highlight w:val="none"/>
        </w:rPr>
      </w:pPr>
    </w:p>
    <w:p w14:paraId="371B1762">
      <w:pPr>
        <w:keepNext/>
        <w:keepLines/>
        <w:numPr>
          <w:ilvl w:val="0"/>
          <w:numId w:val="5"/>
        </w:numPr>
        <w:spacing w:before="120" w:after="120" w:line="360" w:lineRule="auto"/>
        <w:jc w:val="center"/>
        <w:outlineLvl w:val="0"/>
        <w:rPr>
          <w:rFonts w:hint="eastAsia" w:ascii="宋体" w:hAnsi="宋体" w:cs="宋体"/>
          <w:b/>
          <w:color w:val="auto"/>
          <w:kern w:val="44"/>
          <w:sz w:val="28"/>
          <w:szCs w:val="28"/>
          <w:highlight w:val="none"/>
        </w:rPr>
      </w:pPr>
      <w:r>
        <w:rPr>
          <w:rFonts w:hint="eastAsia" w:ascii="宋体" w:hAnsi="宋体" w:cs="宋体"/>
          <w:b/>
          <w:bCs/>
          <w:color w:val="auto"/>
          <w:sz w:val="24"/>
          <w:szCs w:val="24"/>
          <w:highlight w:val="none"/>
        </w:rPr>
        <w:br w:type="page"/>
      </w:r>
      <w:bookmarkStart w:id="246" w:name="_Toc97576619"/>
      <w:r>
        <w:rPr>
          <w:rFonts w:hint="eastAsia" w:ascii="宋体" w:hAnsi="宋体" w:cs="宋体"/>
          <w:b/>
          <w:color w:val="auto"/>
          <w:kern w:val="44"/>
          <w:sz w:val="28"/>
          <w:szCs w:val="28"/>
          <w:highlight w:val="none"/>
        </w:rPr>
        <w:t xml:space="preserve"> 图纸及勘察资料</w:t>
      </w:r>
      <w:bookmarkEnd w:id="246"/>
    </w:p>
    <w:p w14:paraId="7A99AF4D">
      <w:pPr>
        <w:topLinePunct/>
        <w:adjustRightInd w:val="0"/>
        <w:snapToGrid w:val="0"/>
        <w:spacing w:line="360" w:lineRule="auto"/>
        <w:jc w:val="center"/>
        <w:rPr>
          <w:rFonts w:hint="eastAsia" w:ascii="宋体" w:hAnsi="宋体" w:cs="宋体"/>
          <w:b/>
          <w:bCs/>
          <w:snapToGrid w:val="0"/>
          <w:color w:val="auto"/>
          <w:spacing w:val="4"/>
          <w:kern w:val="0"/>
          <w:sz w:val="24"/>
          <w:szCs w:val="24"/>
          <w:highlight w:val="none"/>
        </w:rPr>
      </w:pPr>
      <w:r>
        <w:rPr>
          <w:rFonts w:hint="eastAsia" w:ascii="宋体" w:hAnsi="宋体" w:cs="宋体"/>
          <w:b/>
          <w:bCs/>
          <w:snapToGrid w:val="0"/>
          <w:color w:val="auto"/>
          <w:spacing w:val="4"/>
          <w:kern w:val="0"/>
          <w:sz w:val="24"/>
          <w:szCs w:val="24"/>
          <w:highlight w:val="none"/>
        </w:rPr>
        <w:t>（另册）</w:t>
      </w:r>
    </w:p>
    <w:p w14:paraId="6561A175">
      <w:pPr>
        <w:keepNext/>
        <w:keepLines/>
        <w:numPr>
          <w:ilvl w:val="0"/>
          <w:numId w:val="5"/>
        </w:numPr>
        <w:spacing w:before="120" w:after="120" w:line="360" w:lineRule="auto"/>
        <w:jc w:val="center"/>
        <w:outlineLvl w:val="0"/>
        <w:rPr>
          <w:rFonts w:hint="eastAsia" w:ascii="宋体" w:hAnsi="宋体" w:cs="宋体"/>
          <w:b/>
          <w:color w:val="auto"/>
          <w:kern w:val="44"/>
          <w:sz w:val="28"/>
          <w:szCs w:val="28"/>
          <w:highlight w:val="none"/>
        </w:rPr>
      </w:pPr>
      <w:r>
        <w:rPr>
          <w:rFonts w:hint="eastAsia" w:ascii="宋体" w:hAnsi="宋体" w:cs="宋体"/>
          <w:color w:val="auto"/>
          <w:sz w:val="24"/>
          <w:szCs w:val="24"/>
          <w:highlight w:val="none"/>
        </w:rPr>
        <w:br w:type="page"/>
      </w:r>
      <w:bookmarkStart w:id="247" w:name="_Toc97576620"/>
      <w:r>
        <w:rPr>
          <w:rFonts w:hint="eastAsia" w:ascii="宋体" w:hAnsi="宋体" w:cs="宋体"/>
          <w:b/>
          <w:color w:val="auto"/>
          <w:kern w:val="44"/>
          <w:sz w:val="28"/>
          <w:szCs w:val="28"/>
          <w:highlight w:val="none"/>
        </w:rPr>
        <w:t xml:space="preserve"> 工程量清单</w:t>
      </w:r>
      <w:bookmarkEnd w:id="247"/>
    </w:p>
    <w:p w14:paraId="524458B9">
      <w:pPr>
        <w:topLinePunct/>
        <w:adjustRightInd w:val="0"/>
        <w:snapToGrid w:val="0"/>
        <w:spacing w:line="360" w:lineRule="auto"/>
        <w:jc w:val="center"/>
        <w:rPr>
          <w:rFonts w:hint="eastAsia" w:ascii="宋体" w:hAnsi="宋体" w:cs="宋体"/>
          <w:b/>
          <w:bCs/>
          <w:snapToGrid w:val="0"/>
          <w:color w:val="auto"/>
          <w:spacing w:val="4"/>
          <w:kern w:val="0"/>
          <w:sz w:val="24"/>
          <w:szCs w:val="24"/>
          <w:highlight w:val="none"/>
        </w:rPr>
      </w:pPr>
      <w:r>
        <w:rPr>
          <w:rFonts w:hint="eastAsia" w:ascii="宋体" w:hAnsi="宋体" w:cs="宋体"/>
          <w:b/>
          <w:bCs/>
          <w:snapToGrid w:val="0"/>
          <w:color w:val="auto"/>
          <w:spacing w:val="4"/>
          <w:kern w:val="0"/>
          <w:sz w:val="24"/>
          <w:szCs w:val="24"/>
          <w:highlight w:val="none"/>
        </w:rPr>
        <w:t>（另册）</w:t>
      </w:r>
    </w:p>
    <w:p w14:paraId="5E93C4E2">
      <w:pPr>
        <w:keepNext/>
        <w:keepLines/>
        <w:spacing w:before="120" w:after="120" w:line="360" w:lineRule="auto"/>
        <w:jc w:val="center"/>
        <w:outlineLvl w:val="0"/>
        <w:rPr>
          <w:rFonts w:hint="eastAsia" w:ascii="宋体" w:hAnsi="宋体" w:cs="宋体"/>
          <w:b/>
          <w:color w:val="auto"/>
          <w:kern w:val="44"/>
          <w:sz w:val="28"/>
          <w:szCs w:val="28"/>
          <w:highlight w:val="none"/>
        </w:rPr>
      </w:pPr>
      <w:r>
        <w:rPr>
          <w:rFonts w:hint="eastAsia" w:ascii="宋体" w:hAnsi="宋体" w:cs="宋体"/>
          <w:b/>
          <w:color w:val="auto"/>
          <w:kern w:val="44"/>
          <w:sz w:val="28"/>
          <w:szCs w:val="28"/>
          <w:highlight w:val="none"/>
        </w:rPr>
        <w:br w:type="page"/>
      </w:r>
      <w:bookmarkStart w:id="248" w:name="_Toc97576621"/>
      <w:r>
        <w:rPr>
          <w:rFonts w:hint="eastAsia" w:ascii="宋体" w:hAnsi="宋体" w:cs="宋体"/>
          <w:b/>
          <w:color w:val="auto"/>
          <w:kern w:val="44"/>
          <w:sz w:val="28"/>
          <w:szCs w:val="28"/>
          <w:highlight w:val="none"/>
        </w:rPr>
        <w:t>第八章  最高投标限价</w:t>
      </w:r>
      <w:bookmarkEnd w:id="248"/>
    </w:p>
    <w:p w14:paraId="0991C026">
      <w:pPr>
        <w:topLinePunct/>
        <w:adjustRightInd w:val="0"/>
        <w:snapToGrid w:val="0"/>
        <w:spacing w:line="360" w:lineRule="auto"/>
        <w:jc w:val="center"/>
        <w:rPr>
          <w:rFonts w:hint="eastAsia" w:ascii="宋体" w:hAnsi="宋体" w:cs="宋体"/>
          <w:b/>
          <w:bCs/>
          <w:snapToGrid w:val="0"/>
          <w:color w:val="auto"/>
          <w:spacing w:val="4"/>
          <w:kern w:val="0"/>
          <w:sz w:val="24"/>
          <w:szCs w:val="24"/>
          <w:highlight w:val="none"/>
        </w:rPr>
      </w:pPr>
      <w:r>
        <w:rPr>
          <w:rFonts w:hint="eastAsia" w:ascii="宋体" w:hAnsi="宋体" w:cs="宋体"/>
          <w:b/>
          <w:bCs/>
          <w:snapToGrid w:val="0"/>
          <w:color w:val="auto"/>
          <w:spacing w:val="4"/>
          <w:kern w:val="0"/>
          <w:sz w:val="24"/>
          <w:szCs w:val="24"/>
          <w:highlight w:val="none"/>
        </w:rPr>
        <w:t>（另册）</w:t>
      </w:r>
    </w:p>
    <w:p w14:paraId="405D7A63">
      <w:pPr>
        <w:jc w:val="center"/>
        <w:rPr>
          <w:rFonts w:hint="eastAsia" w:ascii="宋体" w:hAnsi="宋体" w:cs="宋体"/>
          <w:b/>
          <w:bCs/>
          <w:color w:val="auto"/>
          <w:highlight w:val="none"/>
        </w:rPr>
      </w:pPr>
    </w:p>
    <w:sectPr>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Century Schoolbook">
    <w:altName w:val="Segoe Print"/>
    <w:panose1 w:val="02040604050505020304"/>
    <w:charset w:val="00"/>
    <w:family w:val="roman"/>
    <w:pitch w:val="default"/>
    <w:sig w:usb0="00000000"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新宋体">
    <w:panose1 w:val="02010609030101010101"/>
    <w:charset w:val="86"/>
    <w:family w:val="modern"/>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3FA1">
    <w:pPr>
      <w:pStyle w:val="25"/>
      <w:jc w:val="center"/>
    </w:pPr>
    <w:r>
      <w:fldChar w:fldCharType="begin"/>
    </w:r>
    <w:r>
      <w:instrText xml:space="preserve">PAGE   \* MERGEFORMAT</w:instrText>
    </w:r>
    <w:r>
      <w:fldChar w:fldCharType="separate"/>
    </w:r>
    <w:r>
      <w:rPr>
        <w:lang w:val="zh-CN"/>
      </w:rPr>
      <w:t>3</w:t>
    </w:r>
    <w:r>
      <w:fldChar w:fldCharType="end"/>
    </w:r>
  </w:p>
  <w:p w14:paraId="63959860">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CD47">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3B135D">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333B135D">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889A0">
    <w:pPr>
      <w:pStyle w:val="25"/>
      <w:jc w:val="center"/>
    </w:pPr>
    <w:r>
      <w:fldChar w:fldCharType="begin"/>
    </w:r>
    <w:r>
      <w:instrText xml:space="preserve">PAGE   \* MERGEFORMAT</w:instrText>
    </w:r>
    <w:r>
      <w:fldChar w:fldCharType="separate"/>
    </w:r>
    <w:r>
      <w:rPr>
        <w:lang w:val="zh-CN"/>
      </w:rPr>
      <w:t>91</w:t>
    </w:r>
    <w:r>
      <w:fldChar w:fldCharType="end"/>
    </w:r>
  </w:p>
  <w:p w14:paraId="4401135F">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B43B">
    <w:pPr>
      <w:pStyle w:val="25"/>
      <w:jc w:val="center"/>
    </w:pPr>
    <w:r>
      <w:fldChar w:fldCharType="begin"/>
    </w:r>
    <w:r>
      <w:instrText xml:space="preserve">PAGE   \* MERGEFORMAT</w:instrText>
    </w:r>
    <w:r>
      <w:fldChar w:fldCharType="separate"/>
    </w:r>
    <w:r>
      <w:rPr>
        <w:lang w:val="zh-CN"/>
      </w:rPr>
      <w:t>99</w:t>
    </w:r>
    <w:r>
      <w:fldChar w:fldCharType="end"/>
    </w:r>
  </w:p>
  <w:p w14:paraId="4549412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7837">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8D70">
    <w:pPr>
      <w:pStyle w:val="15"/>
      <w:tabs>
        <w:tab w:val="left" w:pos="3240"/>
      </w:tabs>
      <w:kinsoku w:val="0"/>
      <w:overflowPunct w:val="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26653"/>
    <w:multiLevelType w:val="singleLevel"/>
    <w:tmpl w:val="DEF26653"/>
    <w:lvl w:ilvl="0" w:tentative="0">
      <w:start w:val="31"/>
      <w:numFmt w:val="decimal"/>
      <w:suff w:val="nothing"/>
      <w:lvlText w:val="%1．"/>
      <w:lvlJc w:val="left"/>
    </w:lvl>
  </w:abstractNum>
  <w:abstractNum w:abstractNumId="1">
    <w:nsid w:val="E4AF95CF"/>
    <w:multiLevelType w:val="singleLevel"/>
    <w:tmpl w:val="E4AF95CF"/>
    <w:lvl w:ilvl="0" w:tentative="0">
      <w:start w:val="5"/>
      <w:numFmt w:val="chineseCounting"/>
      <w:suff w:val="space"/>
      <w:lvlText w:val="第%1章"/>
      <w:lvlJc w:val="left"/>
      <w:rPr>
        <w:rFonts w:hint="eastAsia"/>
      </w:rPr>
    </w:lvl>
  </w:abstractNum>
  <w:abstractNum w:abstractNumId="2">
    <w:nsid w:val="00000003"/>
    <w:multiLevelType w:val="multilevel"/>
    <w:tmpl w:val="00000003"/>
    <w:lvl w:ilvl="0" w:tentative="0">
      <w:start w:val="1"/>
      <w:numFmt w:val="japaneseCounting"/>
      <w:pStyle w:val="137"/>
      <w:lvlText w:val="%1、"/>
      <w:lvlJc w:val="left"/>
      <w:pPr>
        <w:tabs>
          <w:tab w:val="left" w:pos="1271"/>
        </w:tabs>
        <w:ind w:left="1271" w:hanging="720"/>
      </w:pPr>
      <w:rPr>
        <w:lang w:val="en-US"/>
      </w:rPr>
    </w:lvl>
    <w:lvl w:ilvl="1" w:tentative="0">
      <w:start w:val="1"/>
      <w:numFmt w:val="lowerLetter"/>
      <w:lvlText w:val="%2)"/>
      <w:lvlJc w:val="left"/>
      <w:pPr>
        <w:tabs>
          <w:tab w:val="left" w:pos="1391"/>
        </w:tabs>
        <w:ind w:left="1391" w:hanging="420"/>
      </w:pPr>
    </w:lvl>
    <w:lvl w:ilvl="2" w:tentative="0">
      <w:start w:val="1"/>
      <w:numFmt w:val="lowerRoman"/>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3">
    <w:nsid w:val="00000005"/>
    <w:multiLevelType w:val="multilevel"/>
    <w:tmpl w:val="00000005"/>
    <w:lvl w:ilvl="0" w:tentative="0">
      <w:start w:val="1"/>
      <w:numFmt w:val="decimal"/>
      <w:pStyle w:val="20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displayBackgroundShape w:val="1"/>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YmI1MzA1YTMyZTBmY2M5NThjZWZlYThhMjBmZDAifQ=="/>
    <w:docVar w:name="KSO_WPS_MARK_KEY" w:val="e9a07dfe-e4b5-4a11-9295-349366e81e1d"/>
  </w:docVars>
  <w:rsids>
    <w:rsidRoot w:val="00FD0420"/>
    <w:rsid w:val="000026FB"/>
    <w:rsid w:val="00002B53"/>
    <w:rsid w:val="00002EF7"/>
    <w:rsid w:val="0000743C"/>
    <w:rsid w:val="000119A6"/>
    <w:rsid w:val="00013CF4"/>
    <w:rsid w:val="000146F3"/>
    <w:rsid w:val="0001475B"/>
    <w:rsid w:val="0001505D"/>
    <w:rsid w:val="00015568"/>
    <w:rsid w:val="00017F81"/>
    <w:rsid w:val="00022931"/>
    <w:rsid w:val="00022FFA"/>
    <w:rsid w:val="00023792"/>
    <w:rsid w:val="000240AC"/>
    <w:rsid w:val="00025692"/>
    <w:rsid w:val="00026090"/>
    <w:rsid w:val="00027050"/>
    <w:rsid w:val="00030109"/>
    <w:rsid w:val="00032919"/>
    <w:rsid w:val="00032B78"/>
    <w:rsid w:val="00032C5F"/>
    <w:rsid w:val="00033691"/>
    <w:rsid w:val="000350A0"/>
    <w:rsid w:val="0003768D"/>
    <w:rsid w:val="000408E2"/>
    <w:rsid w:val="00040B90"/>
    <w:rsid w:val="00040CD5"/>
    <w:rsid w:val="00040D26"/>
    <w:rsid w:val="000430E6"/>
    <w:rsid w:val="000440E9"/>
    <w:rsid w:val="00044583"/>
    <w:rsid w:val="00050258"/>
    <w:rsid w:val="0005196E"/>
    <w:rsid w:val="00051B65"/>
    <w:rsid w:val="000522E6"/>
    <w:rsid w:val="00054E00"/>
    <w:rsid w:val="00056A2D"/>
    <w:rsid w:val="00056C15"/>
    <w:rsid w:val="00061E5A"/>
    <w:rsid w:val="00066717"/>
    <w:rsid w:val="000674AF"/>
    <w:rsid w:val="0007176D"/>
    <w:rsid w:val="00073495"/>
    <w:rsid w:val="00073F32"/>
    <w:rsid w:val="00074632"/>
    <w:rsid w:val="000746F7"/>
    <w:rsid w:val="00075231"/>
    <w:rsid w:val="00075D74"/>
    <w:rsid w:val="00076B6A"/>
    <w:rsid w:val="00077D1E"/>
    <w:rsid w:val="00081DD4"/>
    <w:rsid w:val="000827B6"/>
    <w:rsid w:val="00083F63"/>
    <w:rsid w:val="00084821"/>
    <w:rsid w:val="00090C20"/>
    <w:rsid w:val="00091BC1"/>
    <w:rsid w:val="00092334"/>
    <w:rsid w:val="00094C17"/>
    <w:rsid w:val="00095454"/>
    <w:rsid w:val="000A03B4"/>
    <w:rsid w:val="000A199C"/>
    <w:rsid w:val="000A400C"/>
    <w:rsid w:val="000A4E50"/>
    <w:rsid w:val="000A705B"/>
    <w:rsid w:val="000A71CF"/>
    <w:rsid w:val="000B01D2"/>
    <w:rsid w:val="000B09E5"/>
    <w:rsid w:val="000B158D"/>
    <w:rsid w:val="000B4A09"/>
    <w:rsid w:val="000B4D32"/>
    <w:rsid w:val="000C021C"/>
    <w:rsid w:val="000C08AB"/>
    <w:rsid w:val="000C27A7"/>
    <w:rsid w:val="000C3B92"/>
    <w:rsid w:val="000C47C2"/>
    <w:rsid w:val="000C755A"/>
    <w:rsid w:val="000D069A"/>
    <w:rsid w:val="000D0E00"/>
    <w:rsid w:val="000D4A81"/>
    <w:rsid w:val="000D7A3E"/>
    <w:rsid w:val="000E2900"/>
    <w:rsid w:val="000E5437"/>
    <w:rsid w:val="000F1E51"/>
    <w:rsid w:val="000F52FA"/>
    <w:rsid w:val="000F5CF3"/>
    <w:rsid w:val="00101C6A"/>
    <w:rsid w:val="001060FC"/>
    <w:rsid w:val="00106149"/>
    <w:rsid w:val="001076DD"/>
    <w:rsid w:val="00111876"/>
    <w:rsid w:val="00113011"/>
    <w:rsid w:val="0011396C"/>
    <w:rsid w:val="00115BDC"/>
    <w:rsid w:val="00115EF6"/>
    <w:rsid w:val="00120ED0"/>
    <w:rsid w:val="001237A6"/>
    <w:rsid w:val="00125F66"/>
    <w:rsid w:val="00130391"/>
    <w:rsid w:val="00130AD7"/>
    <w:rsid w:val="0013193A"/>
    <w:rsid w:val="0013228B"/>
    <w:rsid w:val="001336E5"/>
    <w:rsid w:val="0013479C"/>
    <w:rsid w:val="001360B4"/>
    <w:rsid w:val="001361D8"/>
    <w:rsid w:val="001369C4"/>
    <w:rsid w:val="001431A7"/>
    <w:rsid w:val="0014339B"/>
    <w:rsid w:val="00145359"/>
    <w:rsid w:val="00146BAF"/>
    <w:rsid w:val="001502FF"/>
    <w:rsid w:val="00150ADB"/>
    <w:rsid w:val="00151094"/>
    <w:rsid w:val="001553EE"/>
    <w:rsid w:val="00155597"/>
    <w:rsid w:val="00155DEB"/>
    <w:rsid w:val="001577BE"/>
    <w:rsid w:val="00157B47"/>
    <w:rsid w:val="00157E90"/>
    <w:rsid w:val="00162BB8"/>
    <w:rsid w:val="001659B9"/>
    <w:rsid w:val="00165DC8"/>
    <w:rsid w:val="00166574"/>
    <w:rsid w:val="00166B09"/>
    <w:rsid w:val="001701C0"/>
    <w:rsid w:val="00170700"/>
    <w:rsid w:val="001709A2"/>
    <w:rsid w:val="001716A0"/>
    <w:rsid w:val="00171B0A"/>
    <w:rsid w:val="001727F1"/>
    <w:rsid w:val="00172BD7"/>
    <w:rsid w:val="001742CA"/>
    <w:rsid w:val="0017475A"/>
    <w:rsid w:val="001747DE"/>
    <w:rsid w:val="00175A31"/>
    <w:rsid w:val="001760A7"/>
    <w:rsid w:val="00176ABE"/>
    <w:rsid w:val="001779BC"/>
    <w:rsid w:val="0018144A"/>
    <w:rsid w:val="00181FC6"/>
    <w:rsid w:val="00183291"/>
    <w:rsid w:val="00183AB4"/>
    <w:rsid w:val="00185ADC"/>
    <w:rsid w:val="0018683D"/>
    <w:rsid w:val="00186876"/>
    <w:rsid w:val="00186F96"/>
    <w:rsid w:val="0018786B"/>
    <w:rsid w:val="001906DB"/>
    <w:rsid w:val="00192587"/>
    <w:rsid w:val="00192EC1"/>
    <w:rsid w:val="00194830"/>
    <w:rsid w:val="0019549F"/>
    <w:rsid w:val="00195599"/>
    <w:rsid w:val="001968FB"/>
    <w:rsid w:val="00196C3F"/>
    <w:rsid w:val="00196DA3"/>
    <w:rsid w:val="001A19B5"/>
    <w:rsid w:val="001A1B45"/>
    <w:rsid w:val="001A2043"/>
    <w:rsid w:val="001A36E2"/>
    <w:rsid w:val="001A572E"/>
    <w:rsid w:val="001A7EA0"/>
    <w:rsid w:val="001B0258"/>
    <w:rsid w:val="001B369C"/>
    <w:rsid w:val="001B5764"/>
    <w:rsid w:val="001B69DF"/>
    <w:rsid w:val="001B6A80"/>
    <w:rsid w:val="001B7038"/>
    <w:rsid w:val="001C0B59"/>
    <w:rsid w:val="001C1F5F"/>
    <w:rsid w:val="001D0134"/>
    <w:rsid w:val="001D1E88"/>
    <w:rsid w:val="001D1EF4"/>
    <w:rsid w:val="001D1FC9"/>
    <w:rsid w:val="001D3EEE"/>
    <w:rsid w:val="001D570C"/>
    <w:rsid w:val="001D649C"/>
    <w:rsid w:val="001D6EEB"/>
    <w:rsid w:val="001D7378"/>
    <w:rsid w:val="001E0C52"/>
    <w:rsid w:val="001E5186"/>
    <w:rsid w:val="001E6244"/>
    <w:rsid w:val="001E648C"/>
    <w:rsid w:val="001E7749"/>
    <w:rsid w:val="001E7752"/>
    <w:rsid w:val="001F071F"/>
    <w:rsid w:val="001F29AD"/>
    <w:rsid w:val="001F3934"/>
    <w:rsid w:val="001F7F14"/>
    <w:rsid w:val="00200397"/>
    <w:rsid w:val="002016F8"/>
    <w:rsid w:val="00204E4E"/>
    <w:rsid w:val="00206156"/>
    <w:rsid w:val="002127A3"/>
    <w:rsid w:val="00213ECC"/>
    <w:rsid w:val="00215C80"/>
    <w:rsid w:val="00215CAA"/>
    <w:rsid w:val="00215EDD"/>
    <w:rsid w:val="00216359"/>
    <w:rsid w:val="0022054B"/>
    <w:rsid w:val="002208C4"/>
    <w:rsid w:val="002208E9"/>
    <w:rsid w:val="0022173F"/>
    <w:rsid w:val="00224B0D"/>
    <w:rsid w:val="00224EE5"/>
    <w:rsid w:val="002263DC"/>
    <w:rsid w:val="002312EC"/>
    <w:rsid w:val="0023573C"/>
    <w:rsid w:val="002366E5"/>
    <w:rsid w:val="00237C12"/>
    <w:rsid w:val="002419B6"/>
    <w:rsid w:val="00245FB0"/>
    <w:rsid w:val="0025041E"/>
    <w:rsid w:val="00250BFC"/>
    <w:rsid w:val="0025222C"/>
    <w:rsid w:val="00252F6C"/>
    <w:rsid w:val="00254508"/>
    <w:rsid w:val="0025655F"/>
    <w:rsid w:val="00260588"/>
    <w:rsid w:val="00262E9B"/>
    <w:rsid w:val="00263BD2"/>
    <w:rsid w:val="00263D5F"/>
    <w:rsid w:val="0026416A"/>
    <w:rsid w:val="00264730"/>
    <w:rsid w:val="002662FC"/>
    <w:rsid w:val="00271B44"/>
    <w:rsid w:val="00271B48"/>
    <w:rsid w:val="00272C2D"/>
    <w:rsid w:val="00272E0E"/>
    <w:rsid w:val="00276FB8"/>
    <w:rsid w:val="00280979"/>
    <w:rsid w:val="00280D18"/>
    <w:rsid w:val="00280F96"/>
    <w:rsid w:val="002821D9"/>
    <w:rsid w:val="00282370"/>
    <w:rsid w:val="00282979"/>
    <w:rsid w:val="0028335A"/>
    <w:rsid w:val="002835C7"/>
    <w:rsid w:val="0028450B"/>
    <w:rsid w:val="00284920"/>
    <w:rsid w:val="002858F2"/>
    <w:rsid w:val="00285B8F"/>
    <w:rsid w:val="00294138"/>
    <w:rsid w:val="0029459A"/>
    <w:rsid w:val="00295CA4"/>
    <w:rsid w:val="00295F76"/>
    <w:rsid w:val="00295F88"/>
    <w:rsid w:val="002A0979"/>
    <w:rsid w:val="002A0C0C"/>
    <w:rsid w:val="002A18F2"/>
    <w:rsid w:val="002A280F"/>
    <w:rsid w:val="002A28A8"/>
    <w:rsid w:val="002A4140"/>
    <w:rsid w:val="002A53AD"/>
    <w:rsid w:val="002A63FD"/>
    <w:rsid w:val="002A643D"/>
    <w:rsid w:val="002A66B3"/>
    <w:rsid w:val="002B22DD"/>
    <w:rsid w:val="002B2AB0"/>
    <w:rsid w:val="002B58B8"/>
    <w:rsid w:val="002B66CD"/>
    <w:rsid w:val="002B72CA"/>
    <w:rsid w:val="002B7338"/>
    <w:rsid w:val="002C215E"/>
    <w:rsid w:val="002C3703"/>
    <w:rsid w:val="002C38C4"/>
    <w:rsid w:val="002C4175"/>
    <w:rsid w:val="002C63D2"/>
    <w:rsid w:val="002C6FA5"/>
    <w:rsid w:val="002D088D"/>
    <w:rsid w:val="002D091A"/>
    <w:rsid w:val="002D152F"/>
    <w:rsid w:val="002D207A"/>
    <w:rsid w:val="002D3029"/>
    <w:rsid w:val="002D49B6"/>
    <w:rsid w:val="002D5FB7"/>
    <w:rsid w:val="002D71E6"/>
    <w:rsid w:val="002D7DE7"/>
    <w:rsid w:val="002E0713"/>
    <w:rsid w:val="002E0D3C"/>
    <w:rsid w:val="002E15F2"/>
    <w:rsid w:val="002E2915"/>
    <w:rsid w:val="002E377B"/>
    <w:rsid w:val="002E3DFD"/>
    <w:rsid w:val="002E419D"/>
    <w:rsid w:val="002E41C8"/>
    <w:rsid w:val="002E5359"/>
    <w:rsid w:val="002F3BDC"/>
    <w:rsid w:val="002F4C8B"/>
    <w:rsid w:val="002F5623"/>
    <w:rsid w:val="002F5660"/>
    <w:rsid w:val="002F6056"/>
    <w:rsid w:val="002F70B9"/>
    <w:rsid w:val="002F7FCA"/>
    <w:rsid w:val="00303504"/>
    <w:rsid w:val="00304697"/>
    <w:rsid w:val="00305133"/>
    <w:rsid w:val="00306C51"/>
    <w:rsid w:val="00311901"/>
    <w:rsid w:val="00311A78"/>
    <w:rsid w:val="003122F2"/>
    <w:rsid w:val="00312C8D"/>
    <w:rsid w:val="00315629"/>
    <w:rsid w:val="00316A0E"/>
    <w:rsid w:val="003174A3"/>
    <w:rsid w:val="003179F2"/>
    <w:rsid w:val="00320E46"/>
    <w:rsid w:val="00321CBF"/>
    <w:rsid w:val="00323294"/>
    <w:rsid w:val="0032349E"/>
    <w:rsid w:val="003251A5"/>
    <w:rsid w:val="003266B4"/>
    <w:rsid w:val="0032685B"/>
    <w:rsid w:val="00327BEE"/>
    <w:rsid w:val="0033672D"/>
    <w:rsid w:val="00337379"/>
    <w:rsid w:val="0033747E"/>
    <w:rsid w:val="003423B2"/>
    <w:rsid w:val="0034367C"/>
    <w:rsid w:val="00346F47"/>
    <w:rsid w:val="00350688"/>
    <w:rsid w:val="003510AD"/>
    <w:rsid w:val="00351535"/>
    <w:rsid w:val="00352188"/>
    <w:rsid w:val="003527E7"/>
    <w:rsid w:val="0035342A"/>
    <w:rsid w:val="00356C34"/>
    <w:rsid w:val="003605B8"/>
    <w:rsid w:val="00360726"/>
    <w:rsid w:val="003641DE"/>
    <w:rsid w:val="00366AC3"/>
    <w:rsid w:val="00366D7F"/>
    <w:rsid w:val="00367619"/>
    <w:rsid w:val="00370733"/>
    <w:rsid w:val="00370EE4"/>
    <w:rsid w:val="00374B78"/>
    <w:rsid w:val="003753D7"/>
    <w:rsid w:val="00375F25"/>
    <w:rsid w:val="00376363"/>
    <w:rsid w:val="00381509"/>
    <w:rsid w:val="0038184A"/>
    <w:rsid w:val="003818CD"/>
    <w:rsid w:val="003818D4"/>
    <w:rsid w:val="00385BE0"/>
    <w:rsid w:val="00385C17"/>
    <w:rsid w:val="003869BE"/>
    <w:rsid w:val="003876D5"/>
    <w:rsid w:val="00392EB9"/>
    <w:rsid w:val="003930DF"/>
    <w:rsid w:val="00394D92"/>
    <w:rsid w:val="00396143"/>
    <w:rsid w:val="0039658A"/>
    <w:rsid w:val="00396F27"/>
    <w:rsid w:val="003A2863"/>
    <w:rsid w:val="003A6165"/>
    <w:rsid w:val="003A656B"/>
    <w:rsid w:val="003B206D"/>
    <w:rsid w:val="003B4CA2"/>
    <w:rsid w:val="003B5D54"/>
    <w:rsid w:val="003C0DAC"/>
    <w:rsid w:val="003C1DF7"/>
    <w:rsid w:val="003C2B3F"/>
    <w:rsid w:val="003C36EC"/>
    <w:rsid w:val="003C39CB"/>
    <w:rsid w:val="003C4C01"/>
    <w:rsid w:val="003C654E"/>
    <w:rsid w:val="003C67D9"/>
    <w:rsid w:val="003C7F16"/>
    <w:rsid w:val="003D2B54"/>
    <w:rsid w:val="003D47ED"/>
    <w:rsid w:val="003D4CD2"/>
    <w:rsid w:val="003D4E72"/>
    <w:rsid w:val="003D54B4"/>
    <w:rsid w:val="003D6087"/>
    <w:rsid w:val="003D7C3B"/>
    <w:rsid w:val="003E0FDD"/>
    <w:rsid w:val="003E3787"/>
    <w:rsid w:val="003E751B"/>
    <w:rsid w:val="003F0038"/>
    <w:rsid w:val="003F11B7"/>
    <w:rsid w:val="003F22D6"/>
    <w:rsid w:val="003F26EB"/>
    <w:rsid w:val="003F62E3"/>
    <w:rsid w:val="003F6AF5"/>
    <w:rsid w:val="003F7C41"/>
    <w:rsid w:val="0040253F"/>
    <w:rsid w:val="00403B44"/>
    <w:rsid w:val="004049EC"/>
    <w:rsid w:val="004059B3"/>
    <w:rsid w:val="0040654B"/>
    <w:rsid w:val="00407687"/>
    <w:rsid w:val="00407BCE"/>
    <w:rsid w:val="00410950"/>
    <w:rsid w:val="00410969"/>
    <w:rsid w:val="00411B1E"/>
    <w:rsid w:val="00411DA9"/>
    <w:rsid w:val="004143CE"/>
    <w:rsid w:val="004164BD"/>
    <w:rsid w:val="00416840"/>
    <w:rsid w:val="0041776E"/>
    <w:rsid w:val="00417EA0"/>
    <w:rsid w:val="00420B69"/>
    <w:rsid w:val="00422517"/>
    <w:rsid w:val="0042517D"/>
    <w:rsid w:val="0042540B"/>
    <w:rsid w:val="00425EEA"/>
    <w:rsid w:val="00426428"/>
    <w:rsid w:val="00426736"/>
    <w:rsid w:val="0043177C"/>
    <w:rsid w:val="004321DE"/>
    <w:rsid w:val="00432B16"/>
    <w:rsid w:val="0043309F"/>
    <w:rsid w:val="004348EA"/>
    <w:rsid w:val="00434DCB"/>
    <w:rsid w:val="0043555D"/>
    <w:rsid w:val="00435AF1"/>
    <w:rsid w:val="00436CE1"/>
    <w:rsid w:val="00440540"/>
    <w:rsid w:val="00441711"/>
    <w:rsid w:val="004448A5"/>
    <w:rsid w:val="00444A7B"/>
    <w:rsid w:val="0044514D"/>
    <w:rsid w:val="004451E8"/>
    <w:rsid w:val="00445F3F"/>
    <w:rsid w:val="00447389"/>
    <w:rsid w:val="004479C7"/>
    <w:rsid w:val="004506AA"/>
    <w:rsid w:val="00450FBA"/>
    <w:rsid w:val="0045132E"/>
    <w:rsid w:val="00453B49"/>
    <w:rsid w:val="00453E99"/>
    <w:rsid w:val="00454C20"/>
    <w:rsid w:val="00454E25"/>
    <w:rsid w:val="00455D2F"/>
    <w:rsid w:val="00456607"/>
    <w:rsid w:val="004601B9"/>
    <w:rsid w:val="00460EBE"/>
    <w:rsid w:val="004611F1"/>
    <w:rsid w:val="0046136E"/>
    <w:rsid w:val="0046273F"/>
    <w:rsid w:val="004645B4"/>
    <w:rsid w:val="00465408"/>
    <w:rsid w:val="00465D30"/>
    <w:rsid w:val="00471651"/>
    <w:rsid w:val="00471CEE"/>
    <w:rsid w:val="004727CA"/>
    <w:rsid w:val="00472C35"/>
    <w:rsid w:val="0047312A"/>
    <w:rsid w:val="00473FC4"/>
    <w:rsid w:val="004749E5"/>
    <w:rsid w:val="00475570"/>
    <w:rsid w:val="00481526"/>
    <w:rsid w:val="00482EDA"/>
    <w:rsid w:val="004843A3"/>
    <w:rsid w:val="004844AC"/>
    <w:rsid w:val="004845E6"/>
    <w:rsid w:val="00484D0D"/>
    <w:rsid w:val="00487449"/>
    <w:rsid w:val="004877DE"/>
    <w:rsid w:val="004901FC"/>
    <w:rsid w:val="00490412"/>
    <w:rsid w:val="0049110A"/>
    <w:rsid w:val="0049166B"/>
    <w:rsid w:val="004926FC"/>
    <w:rsid w:val="0049311A"/>
    <w:rsid w:val="0049576B"/>
    <w:rsid w:val="00496BE8"/>
    <w:rsid w:val="004A02C8"/>
    <w:rsid w:val="004A218E"/>
    <w:rsid w:val="004A5E9F"/>
    <w:rsid w:val="004B1E1C"/>
    <w:rsid w:val="004B1FB4"/>
    <w:rsid w:val="004B237F"/>
    <w:rsid w:val="004B2D33"/>
    <w:rsid w:val="004B384F"/>
    <w:rsid w:val="004B4F4D"/>
    <w:rsid w:val="004B4F5E"/>
    <w:rsid w:val="004B6F9E"/>
    <w:rsid w:val="004C0100"/>
    <w:rsid w:val="004C1B5E"/>
    <w:rsid w:val="004C24C6"/>
    <w:rsid w:val="004C31AC"/>
    <w:rsid w:val="004C31DB"/>
    <w:rsid w:val="004C373A"/>
    <w:rsid w:val="004C3D63"/>
    <w:rsid w:val="004D07E0"/>
    <w:rsid w:val="004D1C13"/>
    <w:rsid w:val="004D1E85"/>
    <w:rsid w:val="004D2EBF"/>
    <w:rsid w:val="004D361A"/>
    <w:rsid w:val="004D3C5C"/>
    <w:rsid w:val="004D5C67"/>
    <w:rsid w:val="004D6E2C"/>
    <w:rsid w:val="004D7224"/>
    <w:rsid w:val="004D7342"/>
    <w:rsid w:val="004D7EF2"/>
    <w:rsid w:val="004E019D"/>
    <w:rsid w:val="004E1176"/>
    <w:rsid w:val="004E56EE"/>
    <w:rsid w:val="004E61F0"/>
    <w:rsid w:val="004E6C31"/>
    <w:rsid w:val="004E6D8B"/>
    <w:rsid w:val="004E7378"/>
    <w:rsid w:val="004E7636"/>
    <w:rsid w:val="004F236B"/>
    <w:rsid w:val="004F3359"/>
    <w:rsid w:val="004F3626"/>
    <w:rsid w:val="004F36DC"/>
    <w:rsid w:val="004F3AD6"/>
    <w:rsid w:val="004F458F"/>
    <w:rsid w:val="004F467B"/>
    <w:rsid w:val="004F4ECC"/>
    <w:rsid w:val="004F5A0E"/>
    <w:rsid w:val="004F5D18"/>
    <w:rsid w:val="004F6305"/>
    <w:rsid w:val="004F6A2F"/>
    <w:rsid w:val="00500176"/>
    <w:rsid w:val="0050189F"/>
    <w:rsid w:val="005035B9"/>
    <w:rsid w:val="00503774"/>
    <w:rsid w:val="0050406E"/>
    <w:rsid w:val="00505AFD"/>
    <w:rsid w:val="00511C3F"/>
    <w:rsid w:val="00512E2C"/>
    <w:rsid w:val="00513EAA"/>
    <w:rsid w:val="005163FD"/>
    <w:rsid w:val="005166FB"/>
    <w:rsid w:val="0051769F"/>
    <w:rsid w:val="0052005B"/>
    <w:rsid w:val="00523E5B"/>
    <w:rsid w:val="00525258"/>
    <w:rsid w:val="00525611"/>
    <w:rsid w:val="00525CD9"/>
    <w:rsid w:val="00526E4F"/>
    <w:rsid w:val="00526F9F"/>
    <w:rsid w:val="00527D3A"/>
    <w:rsid w:val="00527DB8"/>
    <w:rsid w:val="005313FB"/>
    <w:rsid w:val="00532D1C"/>
    <w:rsid w:val="00533262"/>
    <w:rsid w:val="00533C53"/>
    <w:rsid w:val="00535976"/>
    <w:rsid w:val="005407ED"/>
    <w:rsid w:val="00540E7B"/>
    <w:rsid w:val="0054313E"/>
    <w:rsid w:val="00544160"/>
    <w:rsid w:val="005442CE"/>
    <w:rsid w:val="00546F28"/>
    <w:rsid w:val="005514C4"/>
    <w:rsid w:val="005524D0"/>
    <w:rsid w:val="00555D44"/>
    <w:rsid w:val="005567AE"/>
    <w:rsid w:val="00560877"/>
    <w:rsid w:val="00566A7C"/>
    <w:rsid w:val="00566FA7"/>
    <w:rsid w:val="00567274"/>
    <w:rsid w:val="005707FD"/>
    <w:rsid w:val="00570B63"/>
    <w:rsid w:val="0057156D"/>
    <w:rsid w:val="00571732"/>
    <w:rsid w:val="005734B8"/>
    <w:rsid w:val="00574C79"/>
    <w:rsid w:val="0057584F"/>
    <w:rsid w:val="005758A4"/>
    <w:rsid w:val="005800D2"/>
    <w:rsid w:val="0058113D"/>
    <w:rsid w:val="0058401D"/>
    <w:rsid w:val="00584791"/>
    <w:rsid w:val="00584C61"/>
    <w:rsid w:val="00586370"/>
    <w:rsid w:val="0059056D"/>
    <w:rsid w:val="0059059E"/>
    <w:rsid w:val="00591149"/>
    <w:rsid w:val="0059181E"/>
    <w:rsid w:val="00592B8F"/>
    <w:rsid w:val="00592BE7"/>
    <w:rsid w:val="00593585"/>
    <w:rsid w:val="00596605"/>
    <w:rsid w:val="00596879"/>
    <w:rsid w:val="0059725C"/>
    <w:rsid w:val="00597438"/>
    <w:rsid w:val="0059772E"/>
    <w:rsid w:val="005A0D59"/>
    <w:rsid w:val="005A223A"/>
    <w:rsid w:val="005A26C0"/>
    <w:rsid w:val="005A2EF8"/>
    <w:rsid w:val="005A5382"/>
    <w:rsid w:val="005A5788"/>
    <w:rsid w:val="005A59ED"/>
    <w:rsid w:val="005A5CE7"/>
    <w:rsid w:val="005B46DD"/>
    <w:rsid w:val="005B4DC3"/>
    <w:rsid w:val="005B55F3"/>
    <w:rsid w:val="005B5983"/>
    <w:rsid w:val="005B6FD8"/>
    <w:rsid w:val="005C135D"/>
    <w:rsid w:val="005C1D03"/>
    <w:rsid w:val="005C244B"/>
    <w:rsid w:val="005C25BF"/>
    <w:rsid w:val="005C2BA1"/>
    <w:rsid w:val="005C2D0A"/>
    <w:rsid w:val="005C30E5"/>
    <w:rsid w:val="005C3A86"/>
    <w:rsid w:val="005C5535"/>
    <w:rsid w:val="005C561E"/>
    <w:rsid w:val="005C726F"/>
    <w:rsid w:val="005C75C1"/>
    <w:rsid w:val="005D1950"/>
    <w:rsid w:val="005D20E9"/>
    <w:rsid w:val="005D212F"/>
    <w:rsid w:val="005D2B8D"/>
    <w:rsid w:val="005D3321"/>
    <w:rsid w:val="005D46B8"/>
    <w:rsid w:val="005D4DB2"/>
    <w:rsid w:val="005E0169"/>
    <w:rsid w:val="005E43A4"/>
    <w:rsid w:val="005E5B98"/>
    <w:rsid w:val="005E7640"/>
    <w:rsid w:val="005F04B0"/>
    <w:rsid w:val="005F35A6"/>
    <w:rsid w:val="005F4F41"/>
    <w:rsid w:val="006013D4"/>
    <w:rsid w:val="00602265"/>
    <w:rsid w:val="00603728"/>
    <w:rsid w:val="00605868"/>
    <w:rsid w:val="00605C68"/>
    <w:rsid w:val="0060632F"/>
    <w:rsid w:val="00616BAC"/>
    <w:rsid w:val="00617021"/>
    <w:rsid w:val="0061750C"/>
    <w:rsid w:val="00620D21"/>
    <w:rsid w:val="00620DAD"/>
    <w:rsid w:val="00621570"/>
    <w:rsid w:val="00621C19"/>
    <w:rsid w:val="00621E98"/>
    <w:rsid w:val="00622B92"/>
    <w:rsid w:val="00622D9A"/>
    <w:rsid w:val="00627EDE"/>
    <w:rsid w:val="00633E43"/>
    <w:rsid w:val="006360E1"/>
    <w:rsid w:val="006419E3"/>
    <w:rsid w:val="00641C6D"/>
    <w:rsid w:val="00641E7B"/>
    <w:rsid w:val="00642EFB"/>
    <w:rsid w:val="006444BD"/>
    <w:rsid w:val="00644E3B"/>
    <w:rsid w:val="00644FDE"/>
    <w:rsid w:val="0064545F"/>
    <w:rsid w:val="006456F1"/>
    <w:rsid w:val="006461E0"/>
    <w:rsid w:val="0065013F"/>
    <w:rsid w:val="00651305"/>
    <w:rsid w:val="00651FDD"/>
    <w:rsid w:val="0065565E"/>
    <w:rsid w:val="0065643D"/>
    <w:rsid w:val="00657048"/>
    <w:rsid w:val="00660C34"/>
    <w:rsid w:val="0066333A"/>
    <w:rsid w:val="00664D44"/>
    <w:rsid w:val="00666033"/>
    <w:rsid w:val="0066617C"/>
    <w:rsid w:val="00666FFB"/>
    <w:rsid w:val="006672DA"/>
    <w:rsid w:val="006676AE"/>
    <w:rsid w:val="00667DBB"/>
    <w:rsid w:val="006725AD"/>
    <w:rsid w:val="006736BF"/>
    <w:rsid w:val="00674A90"/>
    <w:rsid w:val="00675132"/>
    <w:rsid w:val="00675CCB"/>
    <w:rsid w:val="006760C8"/>
    <w:rsid w:val="00676452"/>
    <w:rsid w:val="00676715"/>
    <w:rsid w:val="006827D5"/>
    <w:rsid w:val="0068426A"/>
    <w:rsid w:val="0068589E"/>
    <w:rsid w:val="00685AAE"/>
    <w:rsid w:val="00687A3A"/>
    <w:rsid w:val="00687F23"/>
    <w:rsid w:val="00690EED"/>
    <w:rsid w:val="00692530"/>
    <w:rsid w:val="006939F6"/>
    <w:rsid w:val="00693BA9"/>
    <w:rsid w:val="006949DC"/>
    <w:rsid w:val="00694E5F"/>
    <w:rsid w:val="006969A8"/>
    <w:rsid w:val="006A0286"/>
    <w:rsid w:val="006A03D3"/>
    <w:rsid w:val="006A069B"/>
    <w:rsid w:val="006A3079"/>
    <w:rsid w:val="006A3456"/>
    <w:rsid w:val="006A40B9"/>
    <w:rsid w:val="006A4C17"/>
    <w:rsid w:val="006A648D"/>
    <w:rsid w:val="006A6567"/>
    <w:rsid w:val="006A7028"/>
    <w:rsid w:val="006A7515"/>
    <w:rsid w:val="006B086C"/>
    <w:rsid w:val="006B2092"/>
    <w:rsid w:val="006B2B14"/>
    <w:rsid w:val="006B5317"/>
    <w:rsid w:val="006B571D"/>
    <w:rsid w:val="006B5BD1"/>
    <w:rsid w:val="006B5DB0"/>
    <w:rsid w:val="006B797E"/>
    <w:rsid w:val="006B7B08"/>
    <w:rsid w:val="006B7BEF"/>
    <w:rsid w:val="006C00EB"/>
    <w:rsid w:val="006C11D8"/>
    <w:rsid w:val="006C224C"/>
    <w:rsid w:val="006C3792"/>
    <w:rsid w:val="006C4689"/>
    <w:rsid w:val="006C4E36"/>
    <w:rsid w:val="006C503E"/>
    <w:rsid w:val="006C5409"/>
    <w:rsid w:val="006C67DE"/>
    <w:rsid w:val="006C680F"/>
    <w:rsid w:val="006C70EA"/>
    <w:rsid w:val="006C7344"/>
    <w:rsid w:val="006D061D"/>
    <w:rsid w:val="006D0FBA"/>
    <w:rsid w:val="006D17AE"/>
    <w:rsid w:val="006D3510"/>
    <w:rsid w:val="006D5741"/>
    <w:rsid w:val="006D70DC"/>
    <w:rsid w:val="006D7691"/>
    <w:rsid w:val="006D798F"/>
    <w:rsid w:val="006E000D"/>
    <w:rsid w:val="006E03B5"/>
    <w:rsid w:val="006E139D"/>
    <w:rsid w:val="006E25FE"/>
    <w:rsid w:val="006E3B24"/>
    <w:rsid w:val="006E4888"/>
    <w:rsid w:val="006E4987"/>
    <w:rsid w:val="006E56EA"/>
    <w:rsid w:val="006E60C8"/>
    <w:rsid w:val="006E6E7F"/>
    <w:rsid w:val="006F1D06"/>
    <w:rsid w:val="006F3829"/>
    <w:rsid w:val="006F3892"/>
    <w:rsid w:val="006F4FA8"/>
    <w:rsid w:val="006F655E"/>
    <w:rsid w:val="006F7FF8"/>
    <w:rsid w:val="0070027F"/>
    <w:rsid w:val="00700A70"/>
    <w:rsid w:val="00701F23"/>
    <w:rsid w:val="00702107"/>
    <w:rsid w:val="00702AB9"/>
    <w:rsid w:val="00702D61"/>
    <w:rsid w:val="00702D63"/>
    <w:rsid w:val="00702EF6"/>
    <w:rsid w:val="007076AB"/>
    <w:rsid w:val="0071065C"/>
    <w:rsid w:val="00711837"/>
    <w:rsid w:val="00711C1F"/>
    <w:rsid w:val="007134CD"/>
    <w:rsid w:val="00713A36"/>
    <w:rsid w:val="00715248"/>
    <w:rsid w:val="007152F7"/>
    <w:rsid w:val="00716062"/>
    <w:rsid w:val="00720272"/>
    <w:rsid w:val="00723158"/>
    <w:rsid w:val="00723FB6"/>
    <w:rsid w:val="00724283"/>
    <w:rsid w:val="00725126"/>
    <w:rsid w:val="00725E6F"/>
    <w:rsid w:val="00726E9E"/>
    <w:rsid w:val="007271CE"/>
    <w:rsid w:val="0072735C"/>
    <w:rsid w:val="007338EA"/>
    <w:rsid w:val="00734064"/>
    <w:rsid w:val="007340FB"/>
    <w:rsid w:val="00734A1E"/>
    <w:rsid w:val="00734C74"/>
    <w:rsid w:val="00735AD1"/>
    <w:rsid w:val="007379DC"/>
    <w:rsid w:val="0074726E"/>
    <w:rsid w:val="007477F4"/>
    <w:rsid w:val="00751189"/>
    <w:rsid w:val="00752AC3"/>
    <w:rsid w:val="007557B2"/>
    <w:rsid w:val="00755B64"/>
    <w:rsid w:val="00756F5E"/>
    <w:rsid w:val="00757EE7"/>
    <w:rsid w:val="00763F98"/>
    <w:rsid w:val="007660A8"/>
    <w:rsid w:val="00766884"/>
    <w:rsid w:val="00771FF7"/>
    <w:rsid w:val="00772315"/>
    <w:rsid w:val="00773AE4"/>
    <w:rsid w:val="007740A5"/>
    <w:rsid w:val="00774E34"/>
    <w:rsid w:val="0077778F"/>
    <w:rsid w:val="0078029D"/>
    <w:rsid w:val="007804E3"/>
    <w:rsid w:val="00784C61"/>
    <w:rsid w:val="00785F85"/>
    <w:rsid w:val="007860E9"/>
    <w:rsid w:val="00790437"/>
    <w:rsid w:val="0079081F"/>
    <w:rsid w:val="00792525"/>
    <w:rsid w:val="00793071"/>
    <w:rsid w:val="00793DC5"/>
    <w:rsid w:val="00794708"/>
    <w:rsid w:val="00795E22"/>
    <w:rsid w:val="0079621B"/>
    <w:rsid w:val="007A3CDB"/>
    <w:rsid w:val="007A528D"/>
    <w:rsid w:val="007A54FE"/>
    <w:rsid w:val="007A56B7"/>
    <w:rsid w:val="007A600F"/>
    <w:rsid w:val="007B0DEB"/>
    <w:rsid w:val="007B1C69"/>
    <w:rsid w:val="007B2435"/>
    <w:rsid w:val="007B2492"/>
    <w:rsid w:val="007B4A6B"/>
    <w:rsid w:val="007B539C"/>
    <w:rsid w:val="007B58C3"/>
    <w:rsid w:val="007B6E6C"/>
    <w:rsid w:val="007B7854"/>
    <w:rsid w:val="007C0B06"/>
    <w:rsid w:val="007C32AF"/>
    <w:rsid w:val="007C36E3"/>
    <w:rsid w:val="007C3F9F"/>
    <w:rsid w:val="007C4C1B"/>
    <w:rsid w:val="007C5BD7"/>
    <w:rsid w:val="007C605A"/>
    <w:rsid w:val="007C6B65"/>
    <w:rsid w:val="007C7C27"/>
    <w:rsid w:val="007D02AD"/>
    <w:rsid w:val="007D11CE"/>
    <w:rsid w:val="007D263E"/>
    <w:rsid w:val="007D29A9"/>
    <w:rsid w:val="007D2CD1"/>
    <w:rsid w:val="007D33B4"/>
    <w:rsid w:val="007D3457"/>
    <w:rsid w:val="007D3831"/>
    <w:rsid w:val="007D3869"/>
    <w:rsid w:val="007D4C27"/>
    <w:rsid w:val="007D5EAA"/>
    <w:rsid w:val="007D65F6"/>
    <w:rsid w:val="007D7A80"/>
    <w:rsid w:val="007D7F4B"/>
    <w:rsid w:val="007E2375"/>
    <w:rsid w:val="007E462F"/>
    <w:rsid w:val="007E4736"/>
    <w:rsid w:val="007E5AC3"/>
    <w:rsid w:val="007F0484"/>
    <w:rsid w:val="007F07E7"/>
    <w:rsid w:val="007F09D5"/>
    <w:rsid w:val="007F13B0"/>
    <w:rsid w:val="007F1579"/>
    <w:rsid w:val="007F20F1"/>
    <w:rsid w:val="007F22F5"/>
    <w:rsid w:val="007F4A8E"/>
    <w:rsid w:val="007F5360"/>
    <w:rsid w:val="00800427"/>
    <w:rsid w:val="00800B0C"/>
    <w:rsid w:val="00801E2C"/>
    <w:rsid w:val="0080227A"/>
    <w:rsid w:val="008022EB"/>
    <w:rsid w:val="00803134"/>
    <w:rsid w:val="00803954"/>
    <w:rsid w:val="00803D1A"/>
    <w:rsid w:val="00803E75"/>
    <w:rsid w:val="008055A2"/>
    <w:rsid w:val="008056D2"/>
    <w:rsid w:val="00806E13"/>
    <w:rsid w:val="008076E2"/>
    <w:rsid w:val="00807FAF"/>
    <w:rsid w:val="00812C75"/>
    <w:rsid w:val="00813EEE"/>
    <w:rsid w:val="008153E5"/>
    <w:rsid w:val="0081551B"/>
    <w:rsid w:val="00815D71"/>
    <w:rsid w:val="00816254"/>
    <w:rsid w:val="00816AE4"/>
    <w:rsid w:val="00820330"/>
    <w:rsid w:val="008213AF"/>
    <w:rsid w:val="0082169C"/>
    <w:rsid w:val="00822BF5"/>
    <w:rsid w:val="00824C60"/>
    <w:rsid w:val="00824CCC"/>
    <w:rsid w:val="0082780E"/>
    <w:rsid w:val="008303C5"/>
    <w:rsid w:val="00831BBA"/>
    <w:rsid w:val="00835B3E"/>
    <w:rsid w:val="00837FA2"/>
    <w:rsid w:val="008402E0"/>
    <w:rsid w:val="00840AB1"/>
    <w:rsid w:val="00840CCB"/>
    <w:rsid w:val="00843218"/>
    <w:rsid w:val="00844109"/>
    <w:rsid w:val="00845459"/>
    <w:rsid w:val="008473F4"/>
    <w:rsid w:val="008478A7"/>
    <w:rsid w:val="00847DD7"/>
    <w:rsid w:val="00850CFB"/>
    <w:rsid w:val="00851207"/>
    <w:rsid w:val="008520F5"/>
    <w:rsid w:val="00854D84"/>
    <w:rsid w:val="008557C6"/>
    <w:rsid w:val="00855E04"/>
    <w:rsid w:val="008563B9"/>
    <w:rsid w:val="00857BC7"/>
    <w:rsid w:val="008605F2"/>
    <w:rsid w:val="00860BED"/>
    <w:rsid w:val="00860C07"/>
    <w:rsid w:val="00864AC8"/>
    <w:rsid w:val="008674CE"/>
    <w:rsid w:val="0086755C"/>
    <w:rsid w:val="00870989"/>
    <w:rsid w:val="00872C52"/>
    <w:rsid w:val="00873853"/>
    <w:rsid w:val="00875465"/>
    <w:rsid w:val="00875F6E"/>
    <w:rsid w:val="00876C9C"/>
    <w:rsid w:val="00877CA2"/>
    <w:rsid w:val="00881802"/>
    <w:rsid w:val="00881A4D"/>
    <w:rsid w:val="00881B4D"/>
    <w:rsid w:val="008837BA"/>
    <w:rsid w:val="00883A15"/>
    <w:rsid w:val="00886739"/>
    <w:rsid w:val="0088692D"/>
    <w:rsid w:val="008869D3"/>
    <w:rsid w:val="00887B64"/>
    <w:rsid w:val="00890895"/>
    <w:rsid w:val="00891CDB"/>
    <w:rsid w:val="00894039"/>
    <w:rsid w:val="00894434"/>
    <w:rsid w:val="0089521F"/>
    <w:rsid w:val="0089559F"/>
    <w:rsid w:val="008976B0"/>
    <w:rsid w:val="008A1D6B"/>
    <w:rsid w:val="008A2306"/>
    <w:rsid w:val="008A377F"/>
    <w:rsid w:val="008A40B9"/>
    <w:rsid w:val="008A5334"/>
    <w:rsid w:val="008A562C"/>
    <w:rsid w:val="008A5C99"/>
    <w:rsid w:val="008A7ACE"/>
    <w:rsid w:val="008B1793"/>
    <w:rsid w:val="008B1A59"/>
    <w:rsid w:val="008B213F"/>
    <w:rsid w:val="008B21C4"/>
    <w:rsid w:val="008B259C"/>
    <w:rsid w:val="008B3FA9"/>
    <w:rsid w:val="008B5A79"/>
    <w:rsid w:val="008B6D71"/>
    <w:rsid w:val="008C12E4"/>
    <w:rsid w:val="008C1997"/>
    <w:rsid w:val="008C5892"/>
    <w:rsid w:val="008D0257"/>
    <w:rsid w:val="008D058A"/>
    <w:rsid w:val="008D07F9"/>
    <w:rsid w:val="008D1CD5"/>
    <w:rsid w:val="008D213D"/>
    <w:rsid w:val="008D31A3"/>
    <w:rsid w:val="008D4D31"/>
    <w:rsid w:val="008D60CF"/>
    <w:rsid w:val="008E0808"/>
    <w:rsid w:val="008E0902"/>
    <w:rsid w:val="008E2AAE"/>
    <w:rsid w:val="008E4B11"/>
    <w:rsid w:val="008E7552"/>
    <w:rsid w:val="008F2195"/>
    <w:rsid w:val="008F3293"/>
    <w:rsid w:val="008F6582"/>
    <w:rsid w:val="008F68ED"/>
    <w:rsid w:val="008F6B61"/>
    <w:rsid w:val="00900963"/>
    <w:rsid w:val="00902039"/>
    <w:rsid w:val="0090346A"/>
    <w:rsid w:val="0090422A"/>
    <w:rsid w:val="0090560A"/>
    <w:rsid w:val="00910686"/>
    <w:rsid w:val="00910BC9"/>
    <w:rsid w:val="00912ACA"/>
    <w:rsid w:val="00912ED6"/>
    <w:rsid w:val="00913D67"/>
    <w:rsid w:val="009148A1"/>
    <w:rsid w:val="00915A75"/>
    <w:rsid w:val="009209DC"/>
    <w:rsid w:val="00923289"/>
    <w:rsid w:val="00924E1F"/>
    <w:rsid w:val="00924E56"/>
    <w:rsid w:val="009277E5"/>
    <w:rsid w:val="009316DD"/>
    <w:rsid w:val="0093383E"/>
    <w:rsid w:val="00933ED7"/>
    <w:rsid w:val="0093450B"/>
    <w:rsid w:val="00934D79"/>
    <w:rsid w:val="00937D07"/>
    <w:rsid w:val="009438D8"/>
    <w:rsid w:val="0094417B"/>
    <w:rsid w:val="009456A0"/>
    <w:rsid w:val="00950DB5"/>
    <w:rsid w:val="00951ABD"/>
    <w:rsid w:val="00953825"/>
    <w:rsid w:val="00955612"/>
    <w:rsid w:val="0095584D"/>
    <w:rsid w:val="00962F34"/>
    <w:rsid w:val="00965213"/>
    <w:rsid w:val="00965977"/>
    <w:rsid w:val="009664F8"/>
    <w:rsid w:val="0096745F"/>
    <w:rsid w:val="0097062C"/>
    <w:rsid w:val="00970909"/>
    <w:rsid w:val="00970D1B"/>
    <w:rsid w:val="009728A9"/>
    <w:rsid w:val="00974C38"/>
    <w:rsid w:val="00976D4B"/>
    <w:rsid w:val="00977077"/>
    <w:rsid w:val="0097774A"/>
    <w:rsid w:val="0098042B"/>
    <w:rsid w:val="00980642"/>
    <w:rsid w:val="009809C4"/>
    <w:rsid w:val="00980E86"/>
    <w:rsid w:val="00982DFD"/>
    <w:rsid w:val="00983AF9"/>
    <w:rsid w:val="00985217"/>
    <w:rsid w:val="00985CCA"/>
    <w:rsid w:val="009867DE"/>
    <w:rsid w:val="009877D9"/>
    <w:rsid w:val="0099175E"/>
    <w:rsid w:val="00991F35"/>
    <w:rsid w:val="009920AA"/>
    <w:rsid w:val="00992607"/>
    <w:rsid w:val="00992BA4"/>
    <w:rsid w:val="00994D7B"/>
    <w:rsid w:val="00995FE2"/>
    <w:rsid w:val="0099750F"/>
    <w:rsid w:val="0099794A"/>
    <w:rsid w:val="00997D04"/>
    <w:rsid w:val="009A016B"/>
    <w:rsid w:val="009A07B8"/>
    <w:rsid w:val="009A1AF9"/>
    <w:rsid w:val="009A2792"/>
    <w:rsid w:val="009A3480"/>
    <w:rsid w:val="009A45DD"/>
    <w:rsid w:val="009A584C"/>
    <w:rsid w:val="009A5FD3"/>
    <w:rsid w:val="009A6048"/>
    <w:rsid w:val="009A7605"/>
    <w:rsid w:val="009A7A63"/>
    <w:rsid w:val="009B3142"/>
    <w:rsid w:val="009B46FF"/>
    <w:rsid w:val="009B4D2E"/>
    <w:rsid w:val="009B51CD"/>
    <w:rsid w:val="009B76AD"/>
    <w:rsid w:val="009C20F7"/>
    <w:rsid w:val="009C385E"/>
    <w:rsid w:val="009C44C8"/>
    <w:rsid w:val="009C5441"/>
    <w:rsid w:val="009C5E69"/>
    <w:rsid w:val="009C6556"/>
    <w:rsid w:val="009C6572"/>
    <w:rsid w:val="009C6639"/>
    <w:rsid w:val="009C7BB4"/>
    <w:rsid w:val="009D01B2"/>
    <w:rsid w:val="009D0DBD"/>
    <w:rsid w:val="009D1FA0"/>
    <w:rsid w:val="009D263A"/>
    <w:rsid w:val="009D38CD"/>
    <w:rsid w:val="009D3E34"/>
    <w:rsid w:val="009D4264"/>
    <w:rsid w:val="009D494F"/>
    <w:rsid w:val="009D52BC"/>
    <w:rsid w:val="009D6AC9"/>
    <w:rsid w:val="009D715F"/>
    <w:rsid w:val="009D7C0C"/>
    <w:rsid w:val="009E06FB"/>
    <w:rsid w:val="009E10E2"/>
    <w:rsid w:val="009E26AC"/>
    <w:rsid w:val="009E333F"/>
    <w:rsid w:val="009E3E08"/>
    <w:rsid w:val="009E5371"/>
    <w:rsid w:val="009E60D1"/>
    <w:rsid w:val="009F4473"/>
    <w:rsid w:val="009F7193"/>
    <w:rsid w:val="00A00C1D"/>
    <w:rsid w:val="00A00E18"/>
    <w:rsid w:val="00A01914"/>
    <w:rsid w:val="00A02EE5"/>
    <w:rsid w:val="00A03174"/>
    <w:rsid w:val="00A057DB"/>
    <w:rsid w:val="00A05F5A"/>
    <w:rsid w:val="00A07DED"/>
    <w:rsid w:val="00A10993"/>
    <w:rsid w:val="00A1130C"/>
    <w:rsid w:val="00A138C1"/>
    <w:rsid w:val="00A139D7"/>
    <w:rsid w:val="00A1455C"/>
    <w:rsid w:val="00A1494B"/>
    <w:rsid w:val="00A162FA"/>
    <w:rsid w:val="00A17497"/>
    <w:rsid w:val="00A17A9B"/>
    <w:rsid w:val="00A232BE"/>
    <w:rsid w:val="00A23DA6"/>
    <w:rsid w:val="00A25F1E"/>
    <w:rsid w:val="00A31793"/>
    <w:rsid w:val="00A32216"/>
    <w:rsid w:val="00A32AD9"/>
    <w:rsid w:val="00A32BA9"/>
    <w:rsid w:val="00A32FBC"/>
    <w:rsid w:val="00A33F31"/>
    <w:rsid w:val="00A3592B"/>
    <w:rsid w:val="00A36FD3"/>
    <w:rsid w:val="00A40A37"/>
    <w:rsid w:val="00A422F0"/>
    <w:rsid w:val="00A42F28"/>
    <w:rsid w:val="00A43F99"/>
    <w:rsid w:val="00A44AB3"/>
    <w:rsid w:val="00A46F73"/>
    <w:rsid w:val="00A50D66"/>
    <w:rsid w:val="00A5145E"/>
    <w:rsid w:val="00A52C86"/>
    <w:rsid w:val="00A52F6F"/>
    <w:rsid w:val="00A60516"/>
    <w:rsid w:val="00A616C6"/>
    <w:rsid w:val="00A61B5E"/>
    <w:rsid w:val="00A62691"/>
    <w:rsid w:val="00A62FA5"/>
    <w:rsid w:val="00A63568"/>
    <w:rsid w:val="00A6382B"/>
    <w:rsid w:val="00A64EAB"/>
    <w:rsid w:val="00A67016"/>
    <w:rsid w:val="00A7129D"/>
    <w:rsid w:val="00A7339E"/>
    <w:rsid w:val="00A7352D"/>
    <w:rsid w:val="00A73CF7"/>
    <w:rsid w:val="00A73EF1"/>
    <w:rsid w:val="00A7424E"/>
    <w:rsid w:val="00A7448A"/>
    <w:rsid w:val="00A74603"/>
    <w:rsid w:val="00A7489B"/>
    <w:rsid w:val="00A7537C"/>
    <w:rsid w:val="00A75FDA"/>
    <w:rsid w:val="00A772FB"/>
    <w:rsid w:val="00A779F9"/>
    <w:rsid w:val="00A8050E"/>
    <w:rsid w:val="00A80D48"/>
    <w:rsid w:val="00A81F52"/>
    <w:rsid w:val="00A83F6F"/>
    <w:rsid w:val="00A8408E"/>
    <w:rsid w:val="00A854C2"/>
    <w:rsid w:val="00A85B87"/>
    <w:rsid w:val="00A85DB1"/>
    <w:rsid w:val="00A922B6"/>
    <w:rsid w:val="00A936C4"/>
    <w:rsid w:val="00A944B0"/>
    <w:rsid w:val="00A95F37"/>
    <w:rsid w:val="00A96656"/>
    <w:rsid w:val="00A9668A"/>
    <w:rsid w:val="00A972B8"/>
    <w:rsid w:val="00A978E1"/>
    <w:rsid w:val="00A97F08"/>
    <w:rsid w:val="00AA10F0"/>
    <w:rsid w:val="00AA19C6"/>
    <w:rsid w:val="00AA637F"/>
    <w:rsid w:val="00AA723B"/>
    <w:rsid w:val="00AA742A"/>
    <w:rsid w:val="00AB22A1"/>
    <w:rsid w:val="00AB7AA3"/>
    <w:rsid w:val="00AC014D"/>
    <w:rsid w:val="00AC0993"/>
    <w:rsid w:val="00AC4EBB"/>
    <w:rsid w:val="00AC5438"/>
    <w:rsid w:val="00AC60DD"/>
    <w:rsid w:val="00AC6477"/>
    <w:rsid w:val="00AC6B05"/>
    <w:rsid w:val="00AD1E79"/>
    <w:rsid w:val="00AD48C4"/>
    <w:rsid w:val="00AD48E7"/>
    <w:rsid w:val="00AD6807"/>
    <w:rsid w:val="00AD784F"/>
    <w:rsid w:val="00AD7C5A"/>
    <w:rsid w:val="00AE12EF"/>
    <w:rsid w:val="00AE1C03"/>
    <w:rsid w:val="00AE209B"/>
    <w:rsid w:val="00AE241C"/>
    <w:rsid w:val="00AE398E"/>
    <w:rsid w:val="00AE6704"/>
    <w:rsid w:val="00AE6F29"/>
    <w:rsid w:val="00AE7D42"/>
    <w:rsid w:val="00AF28E7"/>
    <w:rsid w:val="00AF3261"/>
    <w:rsid w:val="00AF480B"/>
    <w:rsid w:val="00AF55D7"/>
    <w:rsid w:val="00AF5818"/>
    <w:rsid w:val="00AF5CC3"/>
    <w:rsid w:val="00AF7A02"/>
    <w:rsid w:val="00B00D7C"/>
    <w:rsid w:val="00B03113"/>
    <w:rsid w:val="00B05705"/>
    <w:rsid w:val="00B06549"/>
    <w:rsid w:val="00B07A1C"/>
    <w:rsid w:val="00B112B3"/>
    <w:rsid w:val="00B1251F"/>
    <w:rsid w:val="00B130B4"/>
    <w:rsid w:val="00B1711D"/>
    <w:rsid w:val="00B17FCF"/>
    <w:rsid w:val="00B20A03"/>
    <w:rsid w:val="00B223DA"/>
    <w:rsid w:val="00B23C67"/>
    <w:rsid w:val="00B24975"/>
    <w:rsid w:val="00B2601C"/>
    <w:rsid w:val="00B264D7"/>
    <w:rsid w:val="00B27689"/>
    <w:rsid w:val="00B27FF4"/>
    <w:rsid w:val="00B31045"/>
    <w:rsid w:val="00B321FC"/>
    <w:rsid w:val="00B34532"/>
    <w:rsid w:val="00B35B9E"/>
    <w:rsid w:val="00B37C07"/>
    <w:rsid w:val="00B41B7F"/>
    <w:rsid w:val="00B421BD"/>
    <w:rsid w:val="00B43CBF"/>
    <w:rsid w:val="00B448F5"/>
    <w:rsid w:val="00B44C74"/>
    <w:rsid w:val="00B465BD"/>
    <w:rsid w:val="00B53AAE"/>
    <w:rsid w:val="00B541CE"/>
    <w:rsid w:val="00B5468D"/>
    <w:rsid w:val="00B54883"/>
    <w:rsid w:val="00B54A58"/>
    <w:rsid w:val="00B556BC"/>
    <w:rsid w:val="00B577AE"/>
    <w:rsid w:val="00B57C15"/>
    <w:rsid w:val="00B6324E"/>
    <w:rsid w:val="00B648C9"/>
    <w:rsid w:val="00B65317"/>
    <w:rsid w:val="00B66E58"/>
    <w:rsid w:val="00B70FAA"/>
    <w:rsid w:val="00B7178F"/>
    <w:rsid w:val="00B7185C"/>
    <w:rsid w:val="00B72C1D"/>
    <w:rsid w:val="00B73CB9"/>
    <w:rsid w:val="00B74B99"/>
    <w:rsid w:val="00B74E89"/>
    <w:rsid w:val="00B74F78"/>
    <w:rsid w:val="00B75F0A"/>
    <w:rsid w:val="00B7690A"/>
    <w:rsid w:val="00B77B1D"/>
    <w:rsid w:val="00B77FA7"/>
    <w:rsid w:val="00B80E5A"/>
    <w:rsid w:val="00B8169F"/>
    <w:rsid w:val="00B8256D"/>
    <w:rsid w:val="00B82D8F"/>
    <w:rsid w:val="00B8467A"/>
    <w:rsid w:val="00B8574E"/>
    <w:rsid w:val="00B85C1C"/>
    <w:rsid w:val="00B863B4"/>
    <w:rsid w:val="00B87952"/>
    <w:rsid w:val="00B87C47"/>
    <w:rsid w:val="00B915C8"/>
    <w:rsid w:val="00B924A7"/>
    <w:rsid w:val="00B93D40"/>
    <w:rsid w:val="00B94DE3"/>
    <w:rsid w:val="00B970D1"/>
    <w:rsid w:val="00BA6475"/>
    <w:rsid w:val="00BA7A0F"/>
    <w:rsid w:val="00BA7AF9"/>
    <w:rsid w:val="00BB0C70"/>
    <w:rsid w:val="00BB315B"/>
    <w:rsid w:val="00BB35EB"/>
    <w:rsid w:val="00BB38DB"/>
    <w:rsid w:val="00BB3DBA"/>
    <w:rsid w:val="00BB5219"/>
    <w:rsid w:val="00BB59C7"/>
    <w:rsid w:val="00BB5A06"/>
    <w:rsid w:val="00BB5C48"/>
    <w:rsid w:val="00BB6145"/>
    <w:rsid w:val="00BB72A3"/>
    <w:rsid w:val="00BB7AC7"/>
    <w:rsid w:val="00BC0A13"/>
    <w:rsid w:val="00BC0C1D"/>
    <w:rsid w:val="00BC0F45"/>
    <w:rsid w:val="00BC10A8"/>
    <w:rsid w:val="00BC2C4D"/>
    <w:rsid w:val="00BC4305"/>
    <w:rsid w:val="00BC55FB"/>
    <w:rsid w:val="00BC5646"/>
    <w:rsid w:val="00BC72FA"/>
    <w:rsid w:val="00BD0EF5"/>
    <w:rsid w:val="00BD334B"/>
    <w:rsid w:val="00BD3CB9"/>
    <w:rsid w:val="00BD4BC1"/>
    <w:rsid w:val="00BD5C1B"/>
    <w:rsid w:val="00BD7046"/>
    <w:rsid w:val="00BD79EE"/>
    <w:rsid w:val="00BE024E"/>
    <w:rsid w:val="00BE0442"/>
    <w:rsid w:val="00BE1353"/>
    <w:rsid w:val="00BE17EA"/>
    <w:rsid w:val="00BE216C"/>
    <w:rsid w:val="00BE22E2"/>
    <w:rsid w:val="00BE241A"/>
    <w:rsid w:val="00BE2D2B"/>
    <w:rsid w:val="00BE337F"/>
    <w:rsid w:val="00BE3B78"/>
    <w:rsid w:val="00BE535B"/>
    <w:rsid w:val="00BE5DC3"/>
    <w:rsid w:val="00BE602D"/>
    <w:rsid w:val="00BE6C95"/>
    <w:rsid w:val="00BE7EB9"/>
    <w:rsid w:val="00BF2CA5"/>
    <w:rsid w:val="00BF529A"/>
    <w:rsid w:val="00BF5B8D"/>
    <w:rsid w:val="00BF6F13"/>
    <w:rsid w:val="00BF7364"/>
    <w:rsid w:val="00BF7B7F"/>
    <w:rsid w:val="00C02E4A"/>
    <w:rsid w:val="00C0342E"/>
    <w:rsid w:val="00C03905"/>
    <w:rsid w:val="00C03B00"/>
    <w:rsid w:val="00C04E06"/>
    <w:rsid w:val="00C05A89"/>
    <w:rsid w:val="00C07EFE"/>
    <w:rsid w:val="00C11EB5"/>
    <w:rsid w:val="00C12402"/>
    <w:rsid w:val="00C12D07"/>
    <w:rsid w:val="00C12F1F"/>
    <w:rsid w:val="00C12F66"/>
    <w:rsid w:val="00C16C60"/>
    <w:rsid w:val="00C1703E"/>
    <w:rsid w:val="00C17292"/>
    <w:rsid w:val="00C20C0A"/>
    <w:rsid w:val="00C21B59"/>
    <w:rsid w:val="00C224B9"/>
    <w:rsid w:val="00C30670"/>
    <w:rsid w:val="00C31719"/>
    <w:rsid w:val="00C31A79"/>
    <w:rsid w:val="00C32141"/>
    <w:rsid w:val="00C33005"/>
    <w:rsid w:val="00C330D7"/>
    <w:rsid w:val="00C35EA7"/>
    <w:rsid w:val="00C36143"/>
    <w:rsid w:val="00C36228"/>
    <w:rsid w:val="00C363B6"/>
    <w:rsid w:val="00C36D30"/>
    <w:rsid w:val="00C4175D"/>
    <w:rsid w:val="00C464D0"/>
    <w:rsid w:val="00C4708B"/>
    <w:rsid w:val="00C51B66"/>
    <w:rsid w:val="00C52DE1"/>
    <w:rsid w:val="00C56F9A"/>
    <w:rsid w:val="00C579C3"/>
    <w:rsid w:val="00C600B8"/>
    <w:rsid w:val="00C613F5"/>
    <w:rsid w:val="00C61C68"/>
    <w:rsid w:val="00C63076"/>
    <w:rsid w:val="00C63AFF"/>
    <w:rsid w:val="00C64ED3"/>
    <w:rsid w:val="00C65FEF"/>
    <w:rsid w:val="00C676A3"/>
    <w:rsid w:val="00C67EC3"/>
    <w:rsid w:val="00C7025D"/>
    <w:rsid w:val="00C70C9A"/>
    <w:rsid w:val="00C70CEC"/>
    <w:rsid w:val="00C713C0"/>
    <w:rsid w:val="00C71421"/>
    <w:rsid w:val="00C72022"/>
    <w:rsid w:val="00C73B50"/>
    <w:rsid w:val="00C74EDA"/>
    <w:rsid w:val="00C77C9A"/>
    <w:rsid w:val="00C8004D"/>
    <w:rsid w:val="00C80A5C"/>
    <w:rsid w:val="00C8504A"/>
    <w:rsid w:val="00C87833"/>
    <w:rsid w:val="00C92BF5"/>
    <w:rsid w:val="00C93317"/>
    <w:rsid w:val="00C938EF"/>
    <w:rsid w:val="00C94887"/>
    <w:rsid w:val="00C956E6"/>
    <w:rsid w:val="00C9707E"/>
    <w:rsid w:val="00C97D2C"/>
    <w:rsid w:val="00CA0274"/>
    <w:rsid w:val="00CA065A"/>
    <w:rsid w:val="00CA0CD4"/>
    <w:rsid w:val="00CA179B"/>
    <w:rsid w:val="00CA4112"/>
    <w:rsid w:val="00CA431D"/>
    <w:rsid w:val="00CA5C56"/>
    <w:rsid w:val="00CA6238"/>
    <w:rsid w:val="00CA6A52"/>
    <w:rsid w:val="00CA6ECB"/>
    <w:rsid w:val="00CA73B4"/>
    <w:rsid w:val="00CA76CD"/>
    <w:rsid w:val="00CA7F0A"/>
    <w:rsid w:val="00CA7FE8"/>
    <w:rsid w:val="00CB033E"/>
    <w:rsid w:val="00CB04A8"/>
    <w:rsid w:val="00CB0793"/>
    <w:rsid w:val="00CB09CD"/>
    <w:rsid w:val="00CB1724"/>
    <w:rsid w:val="00CB1EE3"/>
    <w:rsid w:val="00CB3170"/>
    <w:rsid w:val="00CB447A"/>
    <w:rsid w:val="00CB6232"/>
    <w:rsid w:val="00CB6A52"/>
    <w:rsid w:val="00CC0A5B"/>
    <w:rsid w:val="00CC2B33"/>
    <w:rsid w:val="00CC49F6"/>
    <w:rsid w:val="00CC5341"/>
    <w:rsid w:val="00CC5C43"/>
    <w:rsid w:val="00CC5EE3"/>
    <w:rsid w:val="00CD1489"/>
    <w:rsid w:val="00CD1C78"/>
    <w:rsid w:val="00CD1E94"/>
    <w:rsid w:val="00CD2376"/>
    <w:rsid w:val="00CD24CD"/>
    <w:rsid w:val="00CD3E78"/>
    <w:rsid w:val="00CD3E7B"/>
    <w:rsid w:val="00CD4106"/>
    <w:rsid w:val="00CD5F58"/>
    <w:rsid w:val="00CD65A8"/>
    <w:rsid w:val="00CE0EDC"/>
    <w:rsid w:val="00CE1D62"/>
    <w:rsid w:val="00CE1EA4"/>
    <w:rsid w:val="00CE2739"/>
    <w:rsid w:val="00CE32C6"/>
    <w:rsid w:val="00CE3304"/>
    <w:rsid w:val="00CE332A"/>
    <w:rsid w:val="00CE3C07"/>
    <w:rsid w:val="00CE3F12"/>
    <w:rsid w:val="00CE3FE8"/>
    <w:rsid w:val="00CE66E2"/>
    <w:rsid w:val="00CE7035"/>
    <w:rsid w:val="00CE7073"/>
    <w:rsid w:val="00CE73BD"/>
    <w:rsid w:val="00CF0668"/>
    <w:rsid w:val="00CF0F46"/>
    <w:rsid w:val="00CF1945"/>
    <w:rsid w:val="00CF1CBC"/>
    <w:rsid w:val="00CF1CF8"/>
    <w:rsid w:val="00CF278C"/>
    <w:rsid w:val="00CF3752"/>
    <w:rsid w:val="00CF38CA"/>
    <w:rsid w:val="00CF44CE"/>
    <w:rsid w:val="00CF7400"/>
    <w:rsid w:val="00CF76BA"/>
    <w:rsid w:val="00D009E6"/>
    <w:rsid w:val="00D00EDE"/>
    <w:rsid w:val="00D021E9"/>
    <w:rsid w:val="00D02824"/>
    <w:rsid w:val="00D035A7"/>
    <w:rsid w:val="00D0421B"/>
    <w:rsid w:val="00D0439B"/>
    <w:rsid w:val="00D04A57"/>
    <w:rsid w:val="00D05478"/>
    <w:rsid w:val="00D059D5"/>
    <w:rsid w:val="00D100F8"/>
    <w:rsid w:val="00D10EC1"/>
    <w:rsid w:val="00D112A7"/>
    <w:rsid w:val="00D11C54"/>
    <w:rsid w:val="00D12D23"/>
    <w:rsid w:val="00D1471B"/>
    <w:rsid w:val="00D15786"/>
    <w:rsid w:val="00D15F74"/>
    <w:rsid w:val="00D16017"/>
    <w:rsid w:val="00D164F4"/>
    <w:rsid w:val="00D17897"/>
    <w:rsid w:val="00D202CF"/>
    <w:rsid w:val="00D20CB2"/>
    <w:rsid w:val="00D21B50"/>
    <w:rsid w:val="00D23434"/>
    <w:rsid w:val="00D25B11"/>
    <w:rsid w:val="00D273E8"/>
    <w:rsid w:val="00D3204C"/>
    <w:rsid w:val="00D35ED9"/>
    <w:rsid w:val="00D40977"/>
    <w:rsid w:val="00D40C3E"/>
    <w:rsid w:val="00D41F3E"/>
    <w:rsid w:val="00D43E27"/>
    <w:rsid w:val="00D4413B"/>
    <w:rsid w:val="00D4554E"/>
    <w:rsid w:val="00D45E4B"/>
    <w:rsid w:val="00D50368"/>
    <w:rsid w:val="00D5111C"/>
    <w:rsid w:val="00D52869"/>
    <w:rsid w:val="00D52A04"/>
    <w:rsid w:val="00D52DA1"/>
    <w:rsid w:val="00D532AC"/>
    <w:rsid w:val="00D53D9D"/>
    <w:rsid w:val="00D55C66"/>
    <w:rsid w:val="00D55F12"/>
    <w:rsid w:val="00D5688F"/>
    <w:rsid w:val="00D569E4"/>
    <w:rsid w:val="00D61E07"/>
    <w:rsid w:val="00D62706"/>
    <w:rsid w:val="00D64AE1"/>
    <w:rsid w:val="00D76788"/>
    <w:rsid w:val="00D76F9E"/>
    <w:rsid w:val="00D80400"/>
    <w:rsid w:val="00D8042F"/>
    <w:rsid w:val="00D80809"/>
    <w:rsid w:val="00D81456"/>
    <w:rsid w:val="00D832F8"/>
    <w:rsid w:val="00D83D4D"/>
    <w:rsid w:val="00D9012A"/>
    <w:rsid w:val="00D924AF"/>
    <w:rsid w:val="00D928AC"/>
    <w:rsid w:val="00D94526"/>
    <w:rsid w:val="00D95A37"/>
    <w:rsid w:val="00D966C9"/>
    <w:rsid w:val="00D97B31"/>
    <w:rsid w:val="00DA221C"/>
    <w:rsid w:val="00DA2408"/>
    <w:rsid w:val="00DA2C12"/>
    <w:rsid w:val="00DA3B51"/>
    <w:rsid w:val="00DA5266"/>
    <w:rsid w:val="00DA7DB8"/>
    <w:rsid w:val="00DA7DDB"/>
    <w:rsid w:val="00DB036F"/>
    <w:rsid w:val="00DB1D45"/>
    <w:rsid w:val="00DB1E37"/>
    <w:rsid w:val="00DB27A3"/>
    <w:rsid w:val="00DB39EA"/>
    <w:rsid w:val="00DB3B74"/>
    <w:rsid w:val="00DB4CCA"/>
    <w:rsid w:val="00DB5352"/>
    <w:rsid w:val="00DB6B24"/>
    <w:rsid w:val="00DB7654"/>
    <w:rsid w:val="00DB7746"/>
    <w:rsid w:val="00DC13CC"/>
    <w:rsid w:val="00DC1D6A"/>
    <w:rsid w:val="00DC2651"/>
    <w:rsid w:val="00DC2A32"/>
    <w:rsid w:val="00DC2F8B"/>
    <w:rsid w:val="00DC4076"/>
    <w:rsid w:val="00DC4228"/>
    <w:rsid w:val="00DC65E0"/>
    <w:rsid w:val="00DD2AFD"/>
    <w:rsid w:val="00DD2FF5"/>
    <w:rsid w:val="00DD34C3"/>
    <w:rsid w:val="00DD466A"/>
    <w:rsid w:val="00DD6E97"/>
    <w:rsid w:val="00DD6F15"/>
    <w:rsid w:val="00DE0DCA"/>
    <w:rsid w:val="00DE25F4"/>
    <w:rsid w:val="00DE4088"/>
    <w:rsid w:val="00DE57D6"/>
    <w:rsid w:val="00DE5FA0"/>
    <w:rsid w:val="00DF1568"/>
    <w:rsid w:val="00DF1AB7"/>
    <w:rsid w:val="00DF209D"/>
    <w:rsid w:val="00DF2A45"/>
    <w:rsid w:val="00DF2A64"/>
    <w:rsid w:val="00DF3011"/>
    <w:rsid w:val="00DF4764"/>
    <w:rsid w:val="00DF4B97"/>
    <w:rsid w:val="00DF4C0F"/>
    <w:rsid w:val="00DF4FC6"/>
    <w:rsid w:val="00DF56D0"/>
    <w:rsid w:val="00DF62BF"/>
    <w:rsid w:val="00E01AEC"/>
    <w:rsid w:val="00E03BD8"/>
    <w:rsid w:val="00E03E91"/>
    <w:rsid w:val="00E059FA"/>
    <w:rsid w:val="00E05D17"/>
    <w:rsid w:val="00E07B87"/>
    <w:rsid w:val="00E110F7"/>
    <w:rsid w:val="00E11432"/>
    <w:rsid w:val="00E11BE6"/>
    <w:rsid w:val="00E11F51"/>
    <w:rsid w:val="00E133F2"/>
    <w:rsid w:val="00E16D2C"/>
    <w:rsid w:val="00E17AAA"/>
    <w:rsid w:val="00E21BD1"/>
    <w:rsid w:val="00E22C83"/>
    <w:rsid w:val="00E22DEE"/>
    <w:rsid w:val="00E235DF"/>
    <w:rsid w:val="00E2375B"/>
    <w:rsid w:val="00E2414F"/>
    <w:rsid w:val="00E2496D"/>
    <w:rsid w:val="00E2691E"/>
    <w:rsid w:val="00E26B98"/>
    <w:rsid w:val="00E3136C"/>
    <w:rsid w:val="00E31548"/>
    <w:rsid w:val="00E33F54"/>
    <w:rsid w:val="00E3544A"/>
    <w:rsid w:val="00E36E3B"/>
    <w:rsid w:val="00E40233"/>
    <w:rsid w:val="00E40D95"/>
    <w:rsid w:val="00E41114"/>
    <w:rsid w:val="00E415BA"/>
    <w:rsid w:val="00E4222F"/>
    <w:rsid w:val="00E42DCF"/>
    <w:rsid w:val="00E45FC6"/>
    <w:rsid w:val="00E47177"/>
    <w:rsid w:val="00E477B5"/>
    <w:rsid w:val="00E506F8"/>
    <w:rsid w:val="00E52E53"/>
    <w:rsid w:val="00E556AB"/>
    <w:rsid w:val="00E560F6"/>
    <w:rsid w:val="00E56A21"/>
    <w:rsid w:val="00E57411"/>
    <w:rsid w:val="00E605A6"/>
    <w:rsid w:val="00E611D3"/>
    <w:rsid w:val="00E63644"/>
    <w:rsid w:val="00E65D0D"/>
    <w:rsid w:val="00E67E7D"/>
    <w:rsid w:val="00E70785"/>
    <w:rsid w:val="00E7141D"/>
    <w:rsid w:val="00E722B0"/>
    <w:rsid w:val="00E7292D"/>
    <w:rsid w:val="00E72F07"/>
    <w:rsid w:val="00E732E4"/>
    <w:rsid w:val="00E73482"/>
    <w:rsid w:val="00E73AA3"/>
    <w:rsid w:val="00E74B4B"/>
    <w:rsid w:val="00E76041"/>
    <w:rsid w:val="00E762D1"/>
    <w:rsid w:val="00E76E39"/>
    <w:rsid w:val="00E7718E"/>
    <w:rsid w:val="00E77271"/>
    <w:rsid w:val="00E77582"/>
    <w:rsid w:val="00E8019E"/>
    <w:rsid w:val="00E82033"/>
    <w:rsid w:val="00E82287"/>
    <w:rsid w:val="00E8294C"/>
    <w:rsid w:val="00E8316F"/>
    <w:rsid w:val="00E83CE4"/>
    <w:rsid w:val="00E84253"/>
    <w:rsid w:val="00E84816"/>
    <w:rsid w:val="00E85454"/>
    <w:rsid w:val="00E858FB"/>
    <w:rsid w:val="00E8680E"/>
    <w:rsid w:val="00E90CD1"/>
    <w:rsid w:val="00E90F48"/>
    <w:rsid w:val="00E91D5B"/>
    <w:rsid w:val="00E9240F"/>
    <w:rsid w:val="00E9354D"/>
    <w:rsid w:val="00E939E2"/>
    <w:rsid w:val="00E970AB"/>
    <w:rsid w:val="00EA00FC"/>
    <w:rsid w:val="00EA0DBA"/>
    <w:rsid w:val="00EA22D3"/>
    <w:rsid w:val="00EA3A86"/>
    <w:rsid w:val="00EA3D48"/>
    <w:rsid w:val="00EA4177"/>
    <w:rsid w:val="00EA4D5F"/>
    <w:rsid w:val="00EA5044"/>
    <w:rsid w:val="00EA6BC7"/>
    <w:rsid w:val="00EA6CDA"/>
    <w:rsid w:val="00EA6F70"/>
    <w:rsid w:val="00EA7336"/>
    <w:rsid w:val="00EB01EE"/>
    <w:rsid w:val="00EB03D1"/>
    <w:rsid w:val="00EB15B8"/>
    <w:rsid w:val="00EB18E4"/>
    <w:rsid w:val="00EB2B31"/>
    <w:rsid w:val="00EB2B90"/>
    <w:rsid w:val="00EB3F6D"/>
    <w:rsid w:val="00EB5A80"/>
    <w:rsid w:val="00EC012D"/>
    <w:rsid w:val="00EC3A2A"/>
    <w:rsid w:val="00EC3C08"/>
    <w:rsid w:val="00EC46D2"/>
    <w:rsid w:val="00EC4C8B"/>
    <w:rsid w:val="00EC6197"/>
    <w:rsid w:val="00ED292E"/>
    <w:rsid w:val="00ED3CF5"/>
    <w:rsid w:val="00ED3DE4"/>
    <w:rsid w:val="00ED6736"/>
    <w:rsid w:val="00ED7BCC"/>
    <w:rsid w:val="00EE0442"/>
    <w:rsid w:val="00EE1C59"/>
    <w:rsid w:val="00EE2301"/>
    <w:rsid w:val="00EE2F7E"/>
    <w:rsid w:val="00EE31D0"/>
    <w:rsid w:val="00EE34DE"/>
    <w:rsid w:val="00EE406E"/>
    <w:rsid w:val="00EE44B7"/>
    <w:rsid w:val="00EE708D"/>
    <w:rsid w:val="00EE798E"/>
    <w:rsid w:val="00EF16D4"/>
    <w:rsid w:val="00EF3811"/>
    <w:rsid w:val="00EF4CE7"/>
    <w:rsid w:val="00EF54A2"/>
    <w:rsid w:val="00EF60B3"/>
    <w:rsid w:val="00F045BC"/>
    <w:rsid w:val="00F0462C"/>
    <w:rsid w:val="00F04C5F"/>
    <w:rsid w:val="00F05E24"/>
    <w:rsid w:val="00F060BD"/>
    <w:rsid w:val="00F1099F"/>
    <w:rsid w:val="00F10E96"/>
    <w:rsid w:val="00F113A6"/>
    <w:rsid w:val="00F125EA"/>
    <w:rsid w:val="00F147C7"/>
    <w:rsid w:val="00F14C63"/>
    <w:rsid w:val="00F154BD"/>
    <w:rsid w:val="00F15E34"/>
    <w:rsid w:val="00F169FC"/>
    <w:rsid w:val="00F17E7A"/>
    <w:rsid w:val="00F2133B"/>
    <w:rsid w:val="00F219B9"/>
    <w:rsid w:val="00F21EDD"/>
    <w:rsid w:val="00F220AE"/>
    <w:rsid w:val="00F22489"/>
    <w:rsid w:val="00F240EF"/>
    <w:rsid w:val="00F24225"/>
    <w:rsid w:val="00F25E7B"/>
    <w:rsid w:val="00F27479"/>
    <w:rsid w:val="00F2794E"/>
    <w:rsid w:val="00F27E56"/>
    <w:rsid w:val="00F31286"/>
    <w:rsid w:val="00F346AD"/>
    <w:rsid w:val="00F350AC"/>
    <w:rsid w:val="00F3757D"/>
    <w:rsid w:val="00F41415"/>
    <w:rsid w:val="00F421F0"/>
    <w:rsid w:val="00F43FE9"/>
    <w:rsid w:val="00F44E44"/>
    <w:rsid w:val="00F45590"/>
    <w:rsid w:val="00F46B3D"/>
    <w:rsid w:val="00F51B52"/>
    <w:rsid w:val="00F52229"/>
    <w:rsid w:val="00F53D05"/>
    <w:rsid w:val="00F54DB9"/>
    <w:rsid w:val="00F54F02"/>
    <w:rsid w:val="00F54F12"/>
    <w:rsid w:val="00F557DA"/>
    <w:rsid w:val="00F577E9"/>
    <w:rsid w:val="00F61434"/>
    <w:rsid w:val="00F61B87"/>
    <w:rsid w:val="00F61E3B"/>
    <w:rsid w:val="00F631DA"/>
    <w:rsid w:val="00F63933"/>
    <w:rsid w:val="00F639C3"/>
    <w:rsid w:val="00F676CC"/>
    <w:rsid w:val="00F6782E"/>
    <w:rsid w:val="00F67A17"/>
    <w:rsid w:val="00F7015F"/>
    <w:rsid w:val="00F70D80"/>
    <w:rsid w:val="00F7116E"/>
    <w:rsid w:val="00F71202"/>
    <w:rsid w:val="00F7328A"/>
    <w:rsid w:val="00F745B7"/>
    <w:rsid w:val="00F74CEE"/>
    <w:rsid w:val="00F74E04"/>
    <w:rsid w:val="00F757DA"/>
    <w:rsid w:val="00F758C0"/>
    <w:rsid w:val="00F763C8"/>
    <w:rsid w:val="00F768C4"/>
    <w:rsid w:val="00F80510"/>
    <w:rsid w:val="00F808B8"/>
    <w:rsid w:val="00F811B6"/>
    <w:rsid w:val="00F838BC"/>
    <w:rsid w:val="00F8605D"/>
    <w:rsid w:val="00F8673E"/>
    <w:rsid w:val="00F86D83"/>
    <w:rsid w:val="00F907AC"/>
    <w:rsid w:val="00F90A13"/>
    <w:rsid w:val="00F91751"/>
    <w:rsid w:val="00F9333E"/>
    <w:rsid w:val="00F93FF9"/>
    <w:rsid w:val="00F95198"/>
    <w:rsid w:val="00F95E01"/>
    <w:rsid w:val="00F9762C"/>
    <w:rsid w:val="00FA0AC2"/>
    <w:rsid w:val="00FA21FD"/>
    <w:rsid w:val="00FA377F"/>
    <w:rsid w:val="00FA3BCA"/>
    <w:rsid w:val="00FA3BF6"/>
    <w:rsid w:val="00FA3D57"/>
    <w:rsid w:val="00FA537D"/>
    <w:rsid w:val="00FA62C2"/>
    <w:rsid w:val="00FB2D6F"/>
    <w:rsid w:val="00FB613B"/>
    <w:rsid w:val="00FB710E"/>
    <w:rsid w:val="00FC0472"/>
    <w:rsid w:val="00FC074C"/>
    <w:rsid w:val="00FC147B"/>
    <w:rsid w:val="00FC366A"/>
    <w:rsid w:val="00FC5F24"/>
    <w:rsid w:val="00FC67DD"/>
    <w:rsid w:val="00FD0420"/>
    <w:rsid w:val="00FD1A9A"/>
    <w:rsid w:val="00FD2544"/>
    <w:rsid w:val="00FD3F16"/>
    <w:rsid w:val="00FD5A2E"/>
    <w:rsid w:val="00FD5ACA"/>
    <w:rsid w:val="00FD611C"/>
    <w:rsid w:val="00FD7CEB"/>
    <w:rsid w:val="00FE09B3"/>
    <w:rsid w:val="00FE1C58"/>
    <w:rsid w:val="00FE22DF"/>
    <w:rsid w:val="00FE2F21"/>
    <w:rsid w:val="00FE3308"/>
    <w:rsid w:val="00FE3C39"/>
    <w:rsid w:val="00FE3CD6"/>
    <w:rsid w:val="00FE5C04"/>
    <w:rsid w:val="00FE5DC5"/>
    <w:rsid w:val="00FF0BAB"/>
    <w:rsid w:val="00FF24B2"/>
    <w:rsid w:val="00FF2904"/>
    <w:rsid w:val="00FF3147"/>
    <w:rsid w:val="00FF4748"/>
    <w:rsid w:val="00FF68BF"/>
    <w:rsid w:val="00FF6C2D"/>
    <w:rsid w:val="011D1DDB"/>
    <w:rsid w:val="015A222E"/>
    <w:rsid w:val="016F0AFA"/>
    <w:rsid w:val="01CA1EDB"/>
    <w:rsid w:val="01F06DF3"/>
    <w:rsid w:val="02143AC6"/>
    <w:rsid w:val="021D3B54"/>
    <w:rsid w:val="0223390F"/>
    <w:rsid w:val="022D3CD0"/>
    <w:rsid w:val="02312DBC"/>
    <w:rsid w:val="02355837"/>
    <w:rsid w:val="0242454A"/>
    <w:rsid w:val="024D35B5"/>
    <w:rsid w:val="025A4171"/>
    <w:rsid w:val="027345B1"/>
    <w:rsid w:val="028E4F47"/>
    <w:rsid w:val="029902C7"/>
    <w:rsid w:val="02A8425B"/>
    <w:rsid w:val="02CC1957"/>
    <w:rsid w:val="02FA082F"/>
    <w:rsid w:val="030C5120"/>
    <w:rsid w:val="03205679"/>
    <w:rsid w:val="03375D2F"/>
    <w:rsid w:val="033C2341"/>
    <w:rsid w:val="034A3DE7"/>
    <w:rsid w:val="035B02C4"/>
    <w:rsid w:val="0370464D"/>
    <w:rsid w:val="037E705F"/>
    <w:rsid w:val="038871FB"/>
    <w:rsid w:val="03A14C87"/>
    <w:rsid w:val="03BA365B"/>
    <w:rsid w:val="03BE10EC"/>
    <w:rsid w:val="03C2759E"/>
    <w:rsid w:val="03C61147"/>
    <w:rsid w:val="03D7333A"/>
    <w:rsid w:val="0410030A"/>
    <w:rsid w:val="042A5C47"/>
    <w:rsid w:val="04417F3C"/>
    <w:rsid w:val="04434391"/>
    <w:rsid w:val="04440EA5"/>
    <w:rsid w:val="046E1742"/>
    <w:rsid w:val="04700FCA"/>
    <w:rsid w:val="04A741EA"/>
    <w:rsid w:val="04F458DE"/>
    <w:rsid w:val="04F574FF"/>
    <w:rsid w:val="04F955FF"/>
    <w:rsid w:val="050401A8"/>
    <w:rsid w:val="05040C44"/>
    <w:rsid w:val="050450BD"/>
    <w:rsid w:val="052F2A11"/>
    <w:rsid w:val="053F077B"/>
    <w:rsid w:val="05505361"/>
    <w:rsid w:val="055406CA"/>
    <w:rsid w:val="056A57F8"/>
    <w:rsid w:val="057475A4"/>
    <w:rsid w:val="057F039A"/>
    <w:rsid w:val="05B9677F"/>
    <w:rsid w:val="05BE1FE7"/>
    <w:rsid w:val="05C606EE"/>
    <w:rsid w:val="05CB738A"/>
    <w:rsid w:val="05D31443"/>
    <w:rsid w:val="05D93B2D"/>
    <w:rsid w:val="05E71391"/>
    <w:rsid w:val="05EA3E7E"/>
    <w:rsid w:val="05FD49BF"/>
    <w:rsid w:val="06035BD5"/>
    <w:rsid w:val="062005AC"/>
    <w:rsid w:val="06212495"/>
    <w:rsid w:val="06233DEC"/>
    <w:rsid w:val="06381982"/>
    <w:rsid w:val="0641215E"/>
    <w:rsid w:val="06B42B40"/>
    <w:rsid w:val="06E635A4"/>
    <w:rsid w:val="06F63309"/>
    <w:rsid w:val="06F86E33"/>
    <w:rsid w:val="06FA2B37"/>
    <w:rsid w:val="070B300A"/>
    <w:rsid w:val="072B4A61"/>
    <w:rsid w:val="073C7668"/>
    <w:rsid w:val="07610862"/>
    <w:rsid w:val="076369A2"/>
    <w:rsid w:val="07A105C3"/>
    <w:rsid w:val="07E31891"/>
    <w:rsid w:val="08333AAA"/>
    <w:rsid w:val="083B49A8"/>
    <w:rsid w:val="08597203"/>
    <w:rsid w:val="08801873"/>
    <w:rsid w:val="08806477"/>
    <w:rsid w:val="088210AA"/>
    <w:rsid w:val="088A7F5F"/>
    <w:rsid w:val="08A52FEB"/>
    <w:rsid w:val="08A843C0"/>
    <w:rsid w:val="08BC2CE9"/>
    <w:rsid w:val="08E730F7"/>
    <w:rsid w:val="08FB2C0B"/>
    <w:rsid w:val="08FF26FB"/>
    <w:rsid w:val="090209A3"/>
    <w:rsid w:val="091E54F2"/>
    <w:rsid w:val="09A60DC8"/>
    <w:rsid w:val="09AD65FB"/>
    <w:rsid w:val="09B545F9"/>
    <w:rsid w:val="09B94F9F"/>
    <w:rsid w:val="09BF10E2"/>
    <w:rsid w:val="09FB6836"/>
    <w:rsid w:val="0A560A40"/>
    <w:rsid w:val="0A600829"/>
    <w:rsid w:val="0A726EFC"/>
    <w:rsid w:val="0A9B50F2"/>
    <w:rsid w:val="0AAF597F"/>
    <w:rsid w:val="0AB4630E"/>
    <w:rsid w:val="0AC83782"/>
    <w:rsid w:val="0AF67B2D"/>
    <w:rsid w:val="0B225E20"/>
    <w:rsid w:val="0B2B01DF"/>
    <w:rsid w:val="0B3531E8"/>
    <w:rsid w:val="0B3A3EBE"/>
    <w:rsid w:val="0B4A29A1"/>
    <w:rsid w:val="0B4E1717"/>
    <w:rsid w:val="0B53555C"/>
    <w:rsid w:val="0B554854"/>
    <w:rsid w:val="0B87125C"/>
    <w:rsid w:val="0B9C52C5"/>
    <w:rsid w:val="0C0F5522"/>
    <w:rsid w:val="0C5D4B54"/>
    <w:rsid w:val="0C5D5CDA"/>
    <w:rsid w:val="0C6159E7"/>
    <w:rsid w:val="0C913127"/>
    <w:rsid w:val="0CAE1635"/>
    <w:rsid w:val="0CAE4DB1"/>
    <w:rsid w:val="0CB21FCD"/>
    <w:rsid w:val="0CB657C6"/>
    <w:rsid w:val="0CEA36C2"/>
    <w:rsid w:val="0CF215E6"/>
    <w:rsid w:val="0D6C1913"/>
    <w:rsid w:val="0D752442"/>
    <w:rsid w:val="0D913B3D"/>
    <w:rsid w:val="0D9D7015"/>
    <w:rsid w:val="0DAB10A3"/>
    <w:rsid w:val="0DE4239D"/>
    <w:rsid w:val="0E0662D9"/>
    <w:rsid w:val="0E123BC0"/>
    <w:rsid w:val="0E135BF1"/>
    <w:rsid w:val="0E2C4F84"/>
    <w:rsid w:val="0E3966AF"/>
    <w:rsid w:val="0E565DE8"/>
    <w:rsid w:val="0E737408"/>
    <w:rsid w:val="0E7E2314"/>
    <w:rsid w:val="0E8A0859"/>
    <w:rsid w:val="0ED360F4"/>
    <w:rsid w:val="0EDD37FC"/>
    <w:rsid w:val="0EF84509"/>
    <w:rsid w:val="0F1C1109"/>
    <w:rsid w:val="0F1D7D7F"/>
    <w:rsid w:val="0F202056"/>
    <w:rsid w:val="0F334184"/>
    <w:rsid w:val="0F53554E"/>
    <w:rsid w:val="0F615EBD"/>
    <w:rsid w:val="0F847DFE"/>
    <w:rsid w:val="0F8D788E"/>
    <w:rsid w:val="0FBA55CD"/>
    <w:rsid w:val="0FF37243"/>
    <w:rsid w:val="101D2521"/>
    <w:rsid w:val="103E2660"/>
    <w:rsid w:val="104355C3"/>
    <w:rsid w:val="10797DC1"/>
    <w:rsid w:val="10802373"/>
    <w:rsid w:val="10962FBC"/>
    <w:rsid w:val="109828C3"/>
    <w:rsid w:val="10C97699"/>
    <w:rsid w:val="10E14FA7"/>
    <w:rsid w:val="10E16AE1"/>
    <w:rsid w:val="10ED552F"/>
    <w:rsid w:val="113E0C7A"/>
    <w:rsid w:val="115B693C"/>
    <w:rsid w:val="11743261"/>
    <w:rsid w:val="118358E3"/>
    <w:rsid w:val="11845C0F"/>
    <w:rsid w:val="11B63597"/>
    <w:rsid w:val="11C45F44"/>
    <w:rsid w:val="11CC1653"/>
    <w:rsid w:val="11CC3864"/>
    <w:rsid w:val="11D230A2"/>
    <w:rsid w:val="11D73A23"/>
    <w:rsid w:val="11D877D0"/>
    <w:rsid w:val="11E87D8E"/>
    <w:rsid w:val="11EE50CC"/>
    <w:rsid w:val="120F54AE"/>
    <w:rsid w:val="12163FE7"/>
    <w:rsid w:val="121A0D4B"/>
    <w:rsid w:val="123B19A3"/>
    <w:rsid w:val="125E4739"/>
    <w:rsid w:val="130A23C8"/>
    <w:rsid w:val="130C4392"/>
    <w:rsid w:val="131D659F"/>
    <w:rsid w:val="1326458A"/>
    <w:rsid w:val="13276408"/>
    <w:rsid w:val="133964A1"/>
    <w:rsid w:val="135B2C24"/>
    <w:rsid w:val="135D369D"/>
    <w:rsid w:val="137837D5"/>
    <w:rsid w:val="13925B41"/>
    <w:rsid w:val="13B14F39"/>
    <w:rsid w:val="13D42AEF"/>
    <w:rsid w:val="13D45F67"/>
    <w:rsid w:val="13FC63F8"/>
    <w:rsid w:val="14072604"/>
    <w:rsid w:val="14215C1B"/>
    <w:rsid w:val="144B713C"/>
    <w:rsid w:val="146774CE"/>
    <w:rsid w:val="14691939"/>
    <w:rsid w:val="146C385D"/>
    <w:rsid w:val="14A2016B"/>
    <w:rsid w:val="14B27262"/>
    <w:rsid w:val="14B51C16"/>
    <w:rsid w:val="14C161DF"/>
    <w:rsid w:val="14E31EE7"/>
    <w:rsid w:val="14F757F8"/>
    <w:rsid w:val="151A5B2C"/>
    <w:rsid w:val="152C6653"/>
    <w:rsid w:val="15347EC6"/>
    <w:rsid w:val="155E69FB"/>
    <w:rsid w:val="15896A68"/>
    <w:rsid w:val="1595598C"/>
    <w:rsid w:val="15A05392"/>
    <w:rsid w:val="15E275F7"/>
    <w:rsid w:val="15F56CEF"/>
    <w:rsid w:val="160A44D3"/>
    <w:rsid w:val="160C7A5E"/>
    <w:rsid w:val="162C5B6F"/>
    <w:rsid w:val="16445BF1"/>
    <w:rsid w:val="167161B8"/>
    <w:rsid w:val="16787E93"/>
    <w:rsid w:val="16F01667"/>
    <w:rsid w:val="175045F4"/>
    <w:rsid w:val="178C3CF3"/>
    <w:rsid w:val="178D547E"/>
    <w:rsid w:val="179C49C1"/>
    <w:rsid w:val="17C0399D"/>
    <w:rsid w:val="17CC2342"/>
    <w:rsid w:val="17CE7EA2"/>
    <w:rsid w:val="18381785"/>
    <w:rsid w:val="18477C1A"/>
    <w:rsid w:val="186C142F"/>
    <w:rsid w:val="188928A0"/>
    <w:rsid w:val="18921BB6"/>
    <w:rsid w:val="18940DEF"/>
    <w:rsid w:val="18CB084B"/>
    <w:rsid w:val="18D801A6"/>
    <w:rsid w:val="18D94D16"/>
    <w:rsid w:val="18DE28D5"/>
    <w:rsid w:val="18DF3CF8"/>
    <w:rsid w:val="18E527ED"/>
    <w:rsid w:val="18FE0415"/>
    <w:rsid w:val="191044B0"/>
    <w:rsid w:val="19324427"/>
    <w:rsid w:val="19395766"/>
    <w:rsid w:val="1940793F"/>
    <w:rsid w:val="19573E8D"/>
    <w:rsid w:val="196842EC"/>
    <w:rsid w:val="19AB2AEA"/>
    <w:rsid w:val="19AE2F5B"/>
    <w:rsid w:val="19AF3CC9"/>
    <w:rsid w:val="19BB2256"/>
    <w:rsid w:val="19EA6AAF"/>
    <w:rsid w:val="19FD3410"/>
    <w:rsid w:val="1A327AE9"/>
    <w:rsid w:val="1A3C6C4D"/>
    <w:rsid w:val="1A4B592A"/>
    <w:rsid w:val="1A537512"/>
    <w:rsid w:val="1A8C5DB8"/>
    <w:rsid w:val="1A940D30"/>
    <w:rsid w:val="1A987FA9"/>
    <w:rsid w:val="1AA413FF"/>
    <w:rsid w:val="1AD379AC"/>
    <w:rsid w:val="1AF729F3"/>
    <w:rsid w:val="1B267C5A"/>
    <w:rsid w:val="1B2E7B74"/>
    <w:rsid w:val="1B3A5814"/>
    <w:rsid w:val="1B3D07E3"/>
    <w:rsid w:val="1B430B6D"/>
    <w:rsid w:val="1B4A1593"/>
    <w:rsid w:val="1B6C0C92"/>
    <w:rsid w:val="1B724FAE"/>
    <w:rsid w:val="1B860F61"/>
    <w:rsid w:val="1BA710FC"/>
    <w:rsid w:val="1BC53330"/>
    <w:rsid w:val="1BC81072"/>
    <w:rsid w:val="1BDB2D88"/>
    <w:rsid w:val="1C4C7AF8"/>
    <w:rsid w:val="1C680C2C"/>
    <w:rsid w:val="1C9E451E"/>
    <w:rsid w:val="1CA8280C"/>
    <w:rsid w:val="1CC55038"/>
    <w:rsid w:val="1CE10D48"/>
    <w:rsid w:val="1CF45F1B"/>
    <w:rsid w:val="1CFA0240"/>
    <w:rsid w:val="1D2465DE"/>
    <w:rsid w:val="1D295B40"/>
    <w:rsid w:val="1D7274E7"/>
    <w:rsid w:val="1D786800"/>
    <w:rsid w:val="1D927B8A"/>
    <w:rsid w:val="1D942394"/>
    <w:rsid w:val="1D9B5A2F"/>
    <w:rsid w:val="1DA87FC9"/>
    <w:rsid w:val="1DB84052"/>
    <w:rsid w:val="1DFA4742"/>
    <w:rsid w:val="1E012B95"/>
    <w:rsid w:val="1E0B741A"/>
    <w:rsid w:val="1E22256E"/>
    <w:rsid w:val="1E234C86"/>
    <w:rsid w:val="1E4C5F8A"/>
    <w:rsid w:val="1E7352C5"/>
    <w:rsid w:val="1E85511F"/>
    <w:rsid w:val="1E8E65A3"/>
    <w:rsid w:val="1E9B481C"/>
    <w:rsid w:val="1E9E0E60"/>
    <w:rsid w:val="1EA272B7"/>
    <w:rsid w:val="1EB53B30"/>
    <w:rsid w:val="1EEA12FF"/>
    <w:rsid w:val="1EEF2FB8"/>
    <w:rsid w:val="1EFF7A83"/>
    <w:rsid w:val="1F057882"/>
    <w:rsid w:val="1F081850"/>
    <w:rsid w:val="1F174F03"/>
    <w:rsid w:val="1F244811"/>
    <w:rsid w:val="1F422931"/>
    <w:rsid w:val="1F4D1FBA"/>
    <w:rsid w:val="1F5C21FD"/>
    <w:rsid w:val="1F7E259B"/>
    <w:rsid w:val="1F8A4FBC"/>
    <w:rsid w:val="1FC577BA"/>
    <w:rsid w:val="1FD251A4"/>
    <w:rsid w:val="200D1749"/>
    <w:rsid w:val="2017622D"/>
    <w:rsid w:val="20224B8C"/>
    <w:rsid w:val="203B3E8F"/>
    <w:rsid w:val="207275CA"/>
    <w:rsid w:val="2076109D"/>
    <w:rsid w:val="208471A5"/>
    <w:rsid w:val="208A4B48"/>
    <w:rsid w:val="209770DC"/>
    <w:rsid w:val="20B16579"/>
    <w:rsid w:val="20B73B04"/>
    <w:rsid w:val="20BC582D"/>
    <w:rsid w:val="20C97CF4"/>
    <w:rsid w:val="20D72CAA"/>
    <w:rsid w:val="20DA1C49"/>
    <w:rsid w:val="20E83750"/>
    <w:rsid w:val="20F75A0D"/>
    <w:rsid w:val="2102066A"/>
    <w:rsid w:val="210A7A37"/>
    <w:rsid w:val="213C3352"/>
    <w:rsid w:val="218E2416"/>
    <w:rsid w:val="21E375A4"/>
    <w:rsid w:val="21E53D14"/>
    <w:rsid w:val="2208468D"/>
    <w:rsid w:val="220F5A1B"/>
    <w:rsid w:val="22250FCC"/>
    <w:rsid w:val="222B5CCB"/>
    <w:rsid w:val="227E06DD"/>
    <w:rsid w:val="22A633B6"/>
    <w:rsid w:val="22B8599C"/>
    <w:rsid w:val="230F4CF3"/>
    <w:rsid w:val="232D6374"/>
    <w:rsid w:val="232F770D"/>
    <w:rsid w:val="2336732F"/>
    <w:rsid w:val="233F62A9"/>
    <w:rsid w:val="233F7E6C"/>
    <w:rsid w:val="2350790E"/>
    <w:rsid w:val="235C6C70"/>
    <w:rsid w:val="236D2C2B"/>
    <w:rsid w:val="23706277"/>
    <w:rsid w:val="23791281"/>
    <w:rsid w:val="237D24A1"/>
    <w:rsid w:val="23812F70"/>
    <w:rsid w:val="23813185"/>
    <w:rsid w:val="239E0527"/>
    <w:rsid w:val="23A80906"/>
    <w:rsid w:val="23A979DB"/>
    <w:rsid w:val="23AD5B44"/>
    <w:rsid w:val="23C055B7"/>
    <w:rsid w:val="23C10881"/>
    <w:rsid w:val="23CE7442"/>
    <w:rsid w:val="23D902C0"/>
    <w:rsid w:val="23E140A3"/>
    <w:rsid w:val="23F24EDE"/>
    <w:rsid w:val="24482D50"/>
    <w:rsid w:val="247E2C16"/>
    <w:rsid w:val="24893F97"/>
    <w:rsid w:val="249B0159"/>
    <w:rsid w:val="24A849DF"/>
    <w:rsid w:val="24B30B11"/>
    <w:rsid w:val="24B32D60"/>
    <w:rsid w:val="24B55653"/>
    <w:rsid w:val="24CD14A7"/>
    <w:rsid w:val="24E560B8"/>
    <w:rsid w:val="250C1FD0"/>
    <w:rsid w:val="251A0F27"/>
    <w:rsid w:val="25294D4D"/>
    <w:rsid w:val="25416B4F"/>
    <w:rsid w:val="254C061E"/>
    <w:rsid w:val="256E0507"/>
    <w:rsid w:val="25714030"/>
    <w:rsid w:val="25992961"/>
    <w:rsid w:val="25B475AC"/>
    <w:rsid w:val="25F0369F"/>
    <w:rsid w:val="26071DCF"/>
    <w:rsid w:val="262A6CCB"/>
    <w:rsid w:val="26415AE6"/>
    <w:rsid w:val="26505B3D"/>
    <w:rsid w:val="26835C74"/>
    <w:rsid w:val="26BC54D2"/>
    <w:rsid w:val="26BD2C8B"/>
    <w:rsid w:val="26CA3EF0"/>
    <w:rsid w:val="26CB77A8"/>
    <w:rsid w:val="26DC0B84"/>
    <w:rsid w:val="26E46BED"/>
    <w:rsid w:val="26E72CF4"/>
    <w:rsid w:val="26FC7E22"/>
    <w:rsid w:val="26FD2F8B"/>
    <w:rsid w:val="27074049"/>
    <w:rsid w:val="27192230"/>
    <w:rsid w:val="27196C26"/>
    <w:rsid w:val="274A5031"/>
    <w:rsid w:val="274E0D01"/>
    <w:rsid w:val="276520DE"/>
    <w:rsid w:val="277C5432"/>
    <w:rsid w:val="27D8419D"/>
    <w:rsid w:val="282A6B49"/>
    <w:rsid w:val="285223EF"/>
    <w:rsid w:val="28642123"/>
    <w:rsid w:val="286B1703"/>
    <w:rsid w:val="288632C1"/>
    <w:rsid w:val="288B5816"/>
    <w:rsid w:val="28AD1D1C"/>
    <w:rsid w:val="28B9421C"/>
    <w:rsid w:val="28C6070C"/>
    <w:rsid w:val="28C7547C"/>
    <w:rsid w:val="28F446F6"/>
    <w:rsid w:val="291B6C85"/>
    <w:rsid w:val="2920429C"/>
    <w:rsid w:val="292F2731"/>
    <w:rsid w:val="296C128F"/>
    <w:rsid w:val="298C36DF"/>
    <w:rsid w:val="299E1E09"/>
    <w:rsid w:val="29EC23D0"/>
    <w:rsid w:val="2A0955DB"/>
    <w:rsid w:val="2A1756A4"/>
    <w:rsid w:val="2A365B75"/>
    <w:rsid w:val="2A5226FB"/>
    <w:rsid w:val="2A783C63"/>
    <w:rsid w:val="2AA55E4D"/>
    <w:rsid w:val="2AAC01A1"/>
    <w:rsid w:val="2AAD7DB1"/>
    <w:rsid w:val="2AF412D9"/>
    <w:rsid w:val="2AF757CC"/>
    <w:rsid w:val="2B006133"/>
    <w:rsid w:val="2B1A4C9C"/>
    <w:rsid w:val="2B5F1439"/>
    <w:rsid w:val="2B632B65"/>
    <w:rsid w:val="2B807273"/>
    <w:rsid w:val="2B957FEE"/>
    <w:rsid w:val="2BDD4992"/>
    <w:rsid w:val="2BE45A54"/>
    <w:rsid w:val="2BF11F1F"/>
    <w:rsid w:val="2C1A3224"/>
    <w:rsid w:val="2C37088C"/>
    <w:rsid w:val="2C6721E1"/>
    <w:rsid w:val="2C6A365C"/>
    <w:rsid w:val="2C8150CE"/>
    <w:rsid w:val="2C83072C"/>
    <w:rsid w:val="2C8D79AC"/>
    <w:rsid w:val="2CAD66EC"/>
    <w:rsid w:val="2CBA169A"/>
    <w:rsid w:val="2CC3566A"/>
    <w:rsid w:val="2CCF79A0"/>
    <w:rsid w:val="2CD10FE6"/>
    <w:rsid w:val="2CE7470A"/>
    <w:rsid w:val="2CEF6BA1"/>
    <w:rsid w:val="2CF53E28"/>
    <w:rsid w:val="2CF823AB"/>
    <w:rsid w:val="2D0E512A"/>
    <w:rsid w:val="2D0E56C9"/>
    <w:rsid w:val="2D120365"/>
    <w:rsid w:val="2D123224"/>
    <w:rsid w:val="2D1F0CCE"/>
    <w:rsid w:val="2D294951"/>
    <w:rsid w:val="2D3B5151"/>
    <w:rsid w:val="2D41050E"/>
    <w:rsid w:val="2D433235"/>
    <w:rsid w:val="2D99461C"/>
    <w:rsid w:val="2DAE3E54"/>
    <w:rsid w:val="2DBF1599"/>
    <w:rsid w:val="2DDE45EE"/>
    <w:rsid w:val="2DF307DF"/>
    <w:rsid w:val="2DF7378D"/>
    <w:rsid w:val="2E1B3283"/>
    <w:rsid w:val="2E402CEA"/>
    <w:rsid w:val="2E4461C1"/>
    <w:rsid w:val="2E570595"/>
    <w:rsid w:val="2E7035CF"/>
    <w:rsid w:val="2E7A26A0"/>
    <w:rsid w:val="2E7D22C5"/>
    <w:rsid w:val="2E911D1B"/>
    <w:rsid w:val="2E93096A"/>
    <w:rsid w:val="2EB2173C"/>
    <w:rsid w:val="2EB9794C"/>
    <w:rsid w:val="2EF31417"/>
    <w:rsid w:val="2F0F25EC"/>
    <w:rsid w:val="2F16106B"/>
    <w:rsid w:val="2F2D326E"/>
    <w:rsid w:val="2F436F36"/>
    <w:rsid w:val="2F4622A0"/>
    <w:rsid w:val="2F676491"/>
    <w:rsid w:val="2F6A0CAC"/>
    <w:rsid w:val="2F7013AD"/>
    <w:rsid w:val="2F96141A"/>
    <w:rsid w:val="2FA12DB4"/>
    <w:rsid w:val="2FA16995"/>
    <w:rsid w:val="2FDB43F3"/>
    <w:rsid w:val="3014442E"/>
    <w:rsid w:val="30182170"/>
    <w:rsid w:val="3026171A"/>
    <w:rsid w:val="30403872"/>
    <w:rsid w:val="30944B64"/>
    <w:rsid w:val="309C68FD"/>
    <w:rsid w:val="30C13356"/>
    <w:rsid w:val="30D71504"/>
    <w:rsid w:val="31076239"/>
    <w:rsid w:val="31132D1C"/>
    <w:rsid w:val="31230DCD"/>
    <w:rsid w:val="31266BC0"/>
    <w:rsid w:val="31322DBE"/>
    <w:rsid w:val="314057A3"/>
    <w:rsid w:val="31413966"/>
    <w:rsid w:val="314B18C9"/>
    <w:rsid w:val="314B3E80"/>
    <w:rsid w:val="314F3970"/>
    <w:rsid w:val="315B0812"/>
    <w:rsid w:val="316C126B"/>
    <w:rsid w:val="3188656A"/>
    <w:rsid w:val="31C4249B"/>
    <w:rsid w:val="31C6453B"/>
    <w:rsid w:val="31CD09E9"/>
    <w:rsid w:val="31E71BAC"/>
    <w:rsid w:val="31FA7E50"/>
    <w:rsid w:val="31FE5396"/>
    <w:rsid w:val="3200413E"/>
    <w:rsid w:val="3220530C"/>
    <w:rsid w:val="32642098"/>
    <w:rsid w:val="327922EF"/>
    <w:rsid w:val="328629B0"/>
    <w:rsid w:val="3292411D"/>
    <w:rsid w:val="32D14359"/>
    <w:rsid w:val="32FD73FC"/>
    <w:rsid w:val="333034F2"/>
    <w:rsid w:val="333252F7"/>
    <w:rsid w:val="3353635E"/>
    <w:rsid w:val="335C7590"/>
    <w:rsid w:val="33AA0975"/>
    <w:rsid w:val="33AC699F"/>
    <w:rsid w:val="33D96E4A"/>
    <w:rsid w:val="33FB393B"/>
    <w:rsid w:val="340E2F73"/>
    <w:rsid w:val="343F5C9B"/>
    <w:rsid w:val="34566108"/>
    <w:rsid w:val="346A50A6"/>
    <w:rsid w:val="3472276B"/>
    <w:rsid w:val="34757756"/>
    <w:rsid w:val="34813909"/>
    <w:rsid w:val="34BF1A95"/>
    <w:rsid w:val="350727B3"/>
    <w:rsid w:val="350B22A4"/>
    <w:rsid w:val="350C534E"/>
    <w:rsid w:val="351172EE"/>
    <w:rsid w:val="35263BB0"/>
    <w:rsid w:val="353D7F83"/>
    <w:rsid w:val="35514B86"/>
    <w:rsid w:val="35A4560C"/>
    <w:rsid w:val="35C542DA"/>
    <w:rsid w:val="35D012CC"/>
    <w:rsid w:val="35D45409"/>
    <w:rsid w:val="35D5640E"/>
    <w:rsid w:val="35DC59EE"/>
    <w:rsid w:val="35E30B2B"/>
    <w:rsid w:val="35EA1E53"/>
    <w:rsid w:val="35EB79DF"/>
    <w:rsid w:val="36062A6B"/>
    <w:rsid w:val="36174C78"/>
    <w:rsid w:val="36417643"/>
    <w:rsid w:val="3646790F"/>
    <w:rsid w:val="36475009"/>
    <w:rsid w:val="3649652A"/>
    <w:rsid w:val="3674012D"/>
    <w:rsid w:val="36754B43"/>
    <w:rsid w:val="3681262D"/>
    <w:rsid w:val="36B11D65"/>
    <w:rsid w:val="36C00F96"/>
    <w:rsid w:val="36D72B39"/>
    <w:rsid w:val="36EF52AD"/>
    <w:rsid w:val="36F22169"/>
    <w:rsid w:val="36FC693A"/>
    <w:rsid w:val="3724764D"/>
    <w:rsid w:val="373A29CC"/>
    <w:rsid w:val="375C6D54"/>
    <w:rsid w:val="375D66BB"/>
    <w:rsid w:val="37705D94"/>
    <w:rsid w:val="37751C56"/>
    <w:rsid w:val="37993072"/>
    <w:rsid w:val="37C1589B"/>
    <w:rsid w:val="37D0340D"/>
    <w:rsid w:val="37F0752F"/>
    <w:rsid w:val="38003C16"/>
    <w:rsid w:val="3800650E"/>
    <w:rsid w:val="380C7B3A"/>
    <w:rsid w:val="382947EF"/>
    <w:rsid w:val="383218F5"/>
    <w:rsid w:val="384A7501"/>
    <w:rsid w:val="387B02EB"/>
    <w:rsid w:val="38A74091"/>
    <w:rsid w:val="38BE75FA"/>
    <w:rsid w:val="38CB0400"/>
    <w:rsid w:val="38E47094"/>
    <w:rsid w:val="38FF7DD0"/>
    <w:rsid w:val="391D07F7"/>
    <w:rsid w:val="39273424"/>
    <w:rsid w:val="394538AA"/>
    <w:rsid w:val="395B7C89"/>
    <w:rsid w:val="398759F6"/>
    <w:rsid w:val="39AC0900"/>
    <w:rsid w:val="39D5748A"/>
    <w:rsid w:val="39D92970"/>
    <w:rsid w:val="39F84714"/>
    <w:rsid w:val="3A0E1EEE"/>
    <w:rsid w:val="3A103EB8"/>
    <w:rsid w:val="3A1F3872"/>
    <w:rsid w:val="3A235EDB"/>
    <w:rsid w:val="3A262713"/>
    <w:rsid w:val="3A310C66"/>
    <w:rsid w:val="3A674A59"/>
    <w:rsid w:val="3A68753E"/>
    <w:rsid w:val="3A804A9B"/>
    <w:rsid w:val="3AA05F2D"/>
    <w:rsid w:val="3AAF68D2"/>
    <w:rsid w:val="3ACA72AB"/>
    <w:rsid w:val="3AD273C0"/>
    <w:rsid w:val="3AD43138"/>
    <w:rsid w:val="3ADB433A"/>
    <w:rsid w:val="3AFB6916"/>
    <w:rsid w:val="3AFF6407"/>
    <w:rsid w:val="3B253DF1"/>
    <w:rsid w:val="3B2A0FAA"/>
    <w:rsid w:val="3B60339D"/>
    <w:rsid w:val="3B6B2994"/>
    <w:rsid w:val="3B6D314C"/>
    <w:rsid w:val="3B9D352A"/>
    <w:rsid w:val="3BB73B29"/>
    <w:rsid w:val="3BC82C9D"/>
    <w:rsid w:val="3BDD3CD6"/>
    <w:rsid w:val="3BE010F2"/>
    <w:rsid w:val="3C1E2893"/>
    <w:rsid w:val="3C3F2833"/>
    <w:rsid w:val="3C4509B8"/>
    <w:rsid w:val="3C6F136A"/>
    <w:rsid w:val="3CAC0F41"/>
    <w:rsid w:val="3CD0797B"/>
    <w:rsid w:val="3CD92C87"/>
    <w:rsid w:val="3CDE2A4C"/>
    <w:rsid w:val="3CED1F15"/>
    <w:rsid w:val="3CF046C5"/>
    <w:rsid w:val="3D0728AC"/>
    <w:rsid w:val="3D2C7430"/>
    <w:rsid w:val="3D3B37BD"/>
    <w:rsid w:val="3D4E0370"/>
    <w:rsid w:val="3D541D59"/>
    <w:rsid w:val="3D6C4847"/>
    <w:rsid w:val="3D9F778F"/>
    <w:rsid w:val="3DBC7A97"/>
    <w:rsid w:val="3DE86F18"/>
    <w:rsid w:val="3DEB77FA"/>
    <w:rsid w:val="3DF23A64"/>
    <w:rsid w:val="3E7F6A62"/>
    <w:rsid w:val="3E907376"/>
    <w:rsid w:val="3E9B4698"/>
    <w:rsid w:val="3EB07A18"/>
    <w:rsid w:val="3EC742F8"/>
    <w:rsid w:val="3EF453DF"/>
    <w:rsid w:val="3EFE5C5A"/>
    <w:rsid w:val="3F0A5F08"/>
    <w:rsid w:val="3F253D28"/>
    <w:rsid w:val="3F3263B2"/>
    <w:rsid w:val="3F6C3E80"/>
    <w:rsid w:val="3F6E1604"/>
    <w:rsid w:val="3F9609BC"/>
    <w:rsid w:val="3F9E1575"/>
    <w:rsid w:val="3FD80FD4"/>
    <w:rsid w:val="40181D19"/>
    <w:rsid w:val="40232154"/>
    <w:rsid w:val="40380C20"/>
    <w:rsid w:val="40460007"/>
    <w:rsid w:val="40726BE9"/>
    <w:rsid w:val="407C5E04"/>
    <w:rsid w:val="40C652D1"/>
    <w:rsid w:val="40DA08A7"/>
    <w:rsid w:val="40F40A87"/>
    <w:rsid w:val="41004C87"/>
    <w:rsid w:val="411A73CB"/>
    <w:rsid w:val="412546ED"/>
    <w:rsid w:val="4155413F"/>
    <w:rsid w:val="415C79E3"/>
    <w:rsid w:val="41787C02"/>
    <w:rsid w:val="41807682"/>
    <w:rsid w:val="41874A60"/>
    <w:rsid w:val="41A03D74"/>
    <w:rsid w:val="41AE0941"/>
    <w:rsid w:val="41B07D19"/>
    <w:rsid w:val="41F55A6F"/>
    <w:rsid w:val="41F876F9"/>
    <w:rsid w:val="41FF0880"/>
    <w:rsid w:val="42191C59"/>
    <w:rsid w:val="421D2B41"/>
    <w:rsid w:val="422C1656"/>
    <w:rsid w:val="42530DE6"/>
    <w:rsid w:val="42666F64"/>
    <w:rsid w:val="427A6373"/>
    <w:rsid w:val="428A15BF"/>
    <w:rsid w:val="4290203A"/>
    <w:rsid w:val="42A112EA"/>
    <w:rsid w:val="42AA74C6"/>
    <w:rsid w:val="42B23D5F"/>
    <w:rsid w:val="42C35F6C"/>
    <w:rsid w:val="42E455E6"/>
    <w:rsid w:val="42E52331"/>
    <w:rsid w:val="42E944C7"/>
    <w:rsid w:val="43244531"/>
    <w:rsid w:val="43326C4D"/>
    <w:rsid w:val="43481579"/>
    <w:rsid w:val="43B9111D"/>
    <w:rsid w:val="43D62B77"/>
    <w:rsid w:val="43DC7892"/>
    <w:rsid w:val="44006D4C"/>
    <w:rsid w:val="44093E52"/>
    <w:rsid w:val="441628B7"/>
    <w:rsid w:val="441D5217"/>
    <w:rsid w:val="44305883"/>
    <w:rsid w:val="443B3088"/>
    <w:rsid w:val="443C0D76"/>
    <w:rsid w:val="443F1CE8"/>
    <w:rsid w:val="44486A97"/>
    <w:rsid w:val="44615A71"/>
    <w:rsid w:val="447A6715"/>
    <w:rsid w:val="447F6EEB"/>
    <w:rsid w:val="44A428A5"/>
    <w:rsid w:val="44A60A60"/>
    <w:rsid w:val="44F82293"/>
    <w:rsid w:val="4514278D"/>
    <w:rsid w:val="45506AF5"/>
    <w:rsid w:val="455C6356"/>
    <w:rsid w:val="458C0826"/>
    <w:rsid w:val="45C51FFB"/>
    <w:rsid w:val="45C73882"/>
    <w:rsid w:val="45E5610C"/>
    <w:rsid w:val="45F24560"/>
    <w:rsid w:val="46107320"/>
    <w:rsid w:val="46362EF9"/>
    <w:rsid w:val="464473C4"/>
    <w:rsid w:val="46497F21"/>
    <w:rsid w:val="464C5111"/>
    <w:rsid w:val="464F5D68"/>
    <w:rsid w:val="46780AF8"/>
    <w:rsid w:val="468C0D6B"/>
    <w:rsid w:val="46E34260"/>
    <w:rsid w:val="46EB7763"/>
    <w:rsid w:val="4725211A"/>
    <w:rsid w:val="47296D79"/>
    <w:rsid w:val="475C445B"/>
    <w:rsid w:val="47863A0C"/>
    <w:rsid w:val="478F466E"/>
    <w:rsid w:val="47AE590A"/>
    <w:rsid w:val="47E80223"/>
    <w:rsid w:val="48093878"/>
    <w:rsid w:val="481B4154"/>
    <w:rsid w:val="48261819"/>
    <w:rsid w:val="482A083B"/>
    <w:rsid w:val="4831736D"/>
    <w:rsid w:val="483A074C"/>
    <w:rsid w:val="484D4AB8"/>
    <w:rsid w:val="48592ECE"/>
    <w:rsid w:val="485C28DF"/>
    <w:rsid w:val="486C01D6"/>
    <w:rsid w:val="487605C8"/>
    <w:rsid w:val="487F6509"/>
    <w:rsid w:val="48963482"/>
    <w:rsid w:val="489857A5"/>
    <w:rsid w:val="48C35707"/>
    <w:rsid w:val="48CA524B"/>
    <w:rsid w:val="48E37C5F"/>
    <w:rsid w:val="48E84D47"/>
    <w:rsid w:val="48F34AB0"/>
    <w:rsid w:val="49311755"/>
    <w:rsid w:val="49325BF9"/>
    <w:rsid w:val="49332FD1"/>
    <w:rsid w:val="493E281C"/>
    <w:rsid w:val="495F2AB6"/>
    <w:rsid w:val="49787384"/>
    <w:rsid w:val="49A8026C"/>
    <w:rsid w:val="49AD5280"/>
    <w:rsid w:val="49C65FE3"/>
    <w:rsid w:val="49D23B4C"/>
    <w:rsid w:val="49EC4597"/>
    <w:rsid w:val="4A125D8D"/>
    <w:rsid w:val="4A275032"/>
    <w:rsid w:val="4A4831FA"/>
    <w:rsid w:val="4A555E3B"/>
    <w:rsid w:val="4A705BF0"/>
    <w:rsid w:val="4A8076E0"/>
    <w:rsid w:val="4A9738A2"/>
    <w:rsid w:val="4AA2147E"/>
    <w:rsid w:val="4ADA55B0"/>
    <w:rsid w:val="4B0B07DC"/>
    <w:rsid w:val="4B486FDB"/>
    <w:rsid w:val="4B4A3A22"/>
    <w:rsid w:val="4B5C6F5D"/>
    <w:rsid w:val="4B7712C2"/>
    <w:rsid w:val="4B811B6D"/>
    <w:rsid w:val="4BAD15EA"/>
    <w:rsid w:val="4BB80361"/>
    <w:rsid w:val="4BCD1694"/>
    <w:rsid w:val="4BCF5981"/>
    <w:rsid w:val="4BDC009E"/>
    <w:rsid w:val="4BDD4118"/>
    <w:rsid w:val="4BE72014"/>
    <w:rsid w:val="4C3B2785"/>
    <w:rsid w:val="4C3F2FD7"/>
    <w:rsid w:val="4C5D32D8"/>
    <w:rsid w:val="4C6B7F80"/>
    <w:rsid w:val="4C6F2CC0"/>
    <w:rsid w:val="4CC806AC"/>
    <w:rsid w:val="4CF85AD3"/>
    <w:rsid w:val="4CFF3A9B"/>
    <w:rsid w:val="4D0300D3"/>
    <w:rsid w:val="4D3E7F58"/>
    <w:rsid w:val="4D446482"/>
    <w:rsid w:val="4D52332B"/>
    <w:rsid w:val="4DB52955"/>
    <w:rsid w:val="4DBE3EFF"/>
    <w:rsid w:val="4DF902C1"/>
    <w:rsid w:val="4E2E2CD5"/>
    <w:rsid w:val="4E463DE6"/>
    <w:rsid w:val="4E600E59"/>
    <w:rsid w:val="4E946A0E"/>
    <w:rsid w:val="4ECC0A4F"/>
    <w:rsid w:val="4ED716E9"/>
    <w:rsid w:val="4EDB38E7"/>
    <w:rsid w:val="4F075432"/>
    <w:rsid w:val="4F424489"/>
    <w:rsid w:val="4F4A0E90"/>
    <w:rsid w:val="4F553017"/>
    <w:rsid w:val="4F7505EE"/>
    <w:rsid w:val="4F7A3FBE"/>
    <w:rsid w:val="4F900270"/>
    <w:rsid w:val="4FBC51CA"/>
    <w:rsid w:val="4FBF5D0D"/>
    <w:rsid w:val="4FD27BF9"/>
    <w:rsid w:val="4FEB0FA6"/>
    <w:rsid w:val="4FEC5DC0"/>
    <w:rsid w:val="501222E0"/>
    <w:rsid w:val="504227DE"/>
    <w:rsid w:val="505563CD"/>
    <w:rsid w:val="506A7037"/>
    <w:rsid w:val="506B5DB0"/>
    <w:rsid w:val="506B71A0"/>
    <w:rsid w:val="50B36711"/>
    <w:rsid w:val="50DD09B5"/>
    <w:rsid w:val="511E34FE"/>
    <w:rsid w:val="51254295"/>
    <w:rsid w:val="512F0E81"/>
    <w:rsid w:val="518941A2"/>
    <w:rsid w:val="51A4485C"/>
    <w:rsid w:val="51AC1CA8"/>
    <w:rsid w:val="51C70EA9"/>
    <w:rsid w:val="51CE70B6"/>
    <w:rsid w:val="51E60E2B"/>
    <w:rsid w:val="5220694C"/>
    <w:rsid w:val="522C1CB1"/>
    <w:rsid w:val="5257781B"/>
    <w:rsid w:val="527C1C93"/>
    <w:rsid w:val="528E3260"/>
    <w:rsid w:val="52A511EA"/>
    <w:rsid w:val="52BA269C"/>
    <w:rsid w:val="52D561D1"/>
    <w:rsid w:val="52FB247A"/>
    <w:rsid w:val="53065A01"/>
    <w:rsid w:val="53135C11"/>
    <w:rsid w:val="531665C4"/>
    <w:rsid w:val="533413E1"/>
    <w:rsid w:val="534B00B0"/>
    <w:rsid w:val="53683B01"/>
    <w:rsid w:val="537A2B93"/>
    <w:rsid w:val="53AE4702"/>
    <w:rsid w:val="53CA4C80"/>
    <w:rsid w:val="53D62E19"/>
    <w:rsid w:val="53E134AA"/>
    <w:rsid w:val="53ED40C7"/>
    <w:rsid w:val="53F1045F"/>
    <w:rsid w:val="54115BF9"/>
    <w:rsid w:val="541D1254"/>
    <w:rsid w:val="543A0058"/>
    <w:rsid w:val="544F4D74"/>
    <w:rsid w:val="54506C95"/>
    <w:rsid w:val="546136CF"/>
    <w:rsid w:val="547366AF"/>
    <w:rsid w:val="5474270F"/>
    <w:rsid w:val="54845235"/>
    <w:rsid w:val="54A0435F"/>
    <w:rsid w:val="54D55F7F"/>
    <w:rsid w:val="54F5466C"/>
    <w:rsid w:val="55081F04"/>
    <w:rsid w:val="552C4D7E"/>
    <w:rsid w:val="553F69B3"/>
    <w:rsid w:val="55482300"/>
    <w:rsid w:val="55607300"/>
    <w:rsid w:val="55643A30"/>
    <w:rsid w:val="55780E38"/>
    <w:rsid w:val="558060E1"/>
    <w:rsid w:val="55AB179A"/>
    <w:rsid w:val="55D253C2"/>
    <w:rsid w:val="55F71F43"/>
    <w:rsid w:val="560C2CC8"/>
    <w:rsid w:val="561D378D"/>
    <w:rsid w:val="563C2DF4"/>
    <w:rsid w:val="56565FEB"/>
    <w:rsid w:val="566B4D58"/>
    <w:rsid w:val="5674519D"/>
    <w:rsid w:val="56815ACA"/>
    <w:rsid w:val="56996E27"/>
    <w:rsid w:val="569C7E2B"/>
    <w:rsid w:val="56A93588"/>
    <w:rsid w:val="56BF65F2"/>
    <w:rsid w:val="56DA167E"/>
    <w:rsid w:val="56E04408"/>
    <w:rsid w:val="56EE7786"/>
    <w:rsid w:val="57123B48"/>
    <w:rsid w:val="572A43B4"/>
    <w:rsid w:val="572F19CA"/>
    <w:rsid w:val="57637DE8"/>
    <w:rsid w:val="57672F12"/>
    <w:rsid w:val="57CC2D79"/>
    <w:rsid w:val="57E02F55"/>
    <w:rsid w:val="582172BD"/>
    <w:rsid w:val="583441A3"/>
    <w:rsid w:val="58523BC2"/>
    <w:rsid w:val="585A65D3"/>
    <w:rsid w:val="58705DF6"/>
    <w:rsid w:val="587663E0"/>
    <w:rsid w:val="58A720FA"/>
    <w:rsid w:val="58A81A34"/>
    <w:rsid w:val="58A837E2"/>
    <w:rsid w:val="58BF0B2C"/>
    <w:rsid w:val="58ED7D45"/>
    <w:rsid w:val="590A6D21"/>
    <w:rsid w:val="5915270D"/>
    <w:rsid w:val="591B6BF7"/>
    <w:rsid w:val="59305299"/>
    <w:rsid w:val="59530B38"/>
    <w:rsid w:val="59B1302B"/>
    <w:rsid w:val="59B61676"/>
    <w:rsid w:val="59E1504D"/>
    <w:rsid w:val="59EE16C8"/>
    <w:rsid w:val="59FB3DE5"/>
    <w:rsid w:val="5A1552ED"/>
    <w:rsid w:val="5A1F1D41"/>
    <w:rsid w:val="5A451B53"/>
    <w:rsid w:val="5A51327F"/>
    <w:rsid w:val="5A5654C0"/>
    <w:rsid w:val="5A6E0A5B"/>
    <w:rsid w:val="5A76346C"/>
    <w:rsid w:val="5A9B1124"/>
    <w:rsid w:val="5AB660F1"/>
    <w:rsid w:val="5ABB0AB2"/>
    <w:rsid w:val="5ADA1C4D"/>
    <w:rsid w:val="5AFF7905"/>
    <w:rsid w:val="5B0311A3"/>
    <w:rsid w:val="5B1038C0"/>
    <w:rsid w:val="5B2E3D47"/>
    <w:rsid w:val="5B354888"/>
    <w:rsid w:val="5B540F34"/>
    <w:rsid w:val="5B6C3CDC"/>
    <w:rsid w:val="5B6C4AFA"/>
    <w:rsid w:val="5BAC5647"/>
    <w:rsid w:val="5BAF30D9"/>
    <w:rsid w:val="5BBB2829"/>
    <w:rsid w:val="5BC03546"/>
    <w:rsid w:val="5BC80D36"/>
    <w:rsid w:val="5BD637EC"/>
    <w:rsid w:val="5BE64A8D"/>
    <w:rsid w:val="5BF46063"/>
    <w:rsid w:val="5BF907F8"/>
    <w:rsid w:val="5C0C5CE2"/>
    <w:rsid w:val="5C281946"/>
    <w:rsid w:val="5C314435"/>
    <w:rsid w:val="5C353FC9"/>
    <w:rsid w:val="5C7D3452"/>
    <w:rsid w:val="5C8F1046"/>
    <w:rsid w:val="5CC52489"/>
    <w:rsid w:val="5CC979C2"/>
    <w:rsid w:val="5CF039A9"/>
    <w:rsid w:val="5CFA0384"/>
    <w:rsid w:val="5D361E7D"/>
    <w:rsid w:val="5DA54794"/>
    <w:rsid w:val="5DB94316"/>
    <w:rsid w:val="5DE30E18"/>
    <w:rsid w:val="5DF64FF0"/>
    <w:rsid w:val="5E2868F7"/>
    <w:rsid w:val="5E3622DD"/>
    <w:rsid w:val="5E3C480C"/>
    <w:rsid w:val="5E60050A"/>
    <w:rsid w:val="5E79352B"/>
    <w:rsid w:val="5EA7453C"/>
    <w:rsid w:val="5EAC64D4"/>
    <w:rsid w:val="5EBE0F4D"/>
    <w:rsid w:val="5ED110D1"/>
    <w:rsid w:val="5ED71637"/>
    <w:rsid w:val="5EE4309A"/>
    <w:rsid w:val="5EF57055"/>
    <w:rsid w:val="5EF60708"/>
    <w:rsid w:val="5EF97984"/>
    <w:rsid w:val="5F097068"/>
    <w:rsid w:val="5F1953DA"/>
    <w:rsid w:val="5F2416E8"/>
    <w:rsid w:val="5F4351E4"/>
    <w:rsid w:val="5F6664B4"/>
    <w:rsid w:val="5F775CBC"/>
    <w:rsid w:val="5F7E3FDB"/>
    <w:rsid w:val="5F8F74AA"/>
    <w:rsid w:val="5FD6518C"/>
    <w:rsid w:val="5FEF0754"/>
    <w:rsid w:val="60025ECE"/>
    <w:rsid w:val="602045A6"/>
    <w:rsid w:val="60367D1F"/>
    <w:rsid w:val="605F719B"/>
    <w:rsid w:val="60895CED"/>
    <w:rsid w:val="608E64F4"/>
    <w:rsid w:val="60B44CEE"/>
    <w:rsid w:val="60C20BDB"/>
    <w:rsid w:val="60C91662"/>
    <w:rsid w:val="60CB661A"/>
    <w:rsid w:val="60CD1866"/>
    <w:rsid w:val="60D65A4A"/>
    <w:rsid w:val="60ED3098"/>
    <w:rsid w:val="610526D1"/>
    <w:rsid w:val="61061E20"/>
    <w:rsid w:val="6110599A"/>
    <w:rsid w:val="611B4D6D"/>
    <w:rsid w:val="61471FEF"/>
    <w:rsid w:val="61563D8A"/>
    <w:rsid w:val="61573FF7"/>
    <w:rsid w:val="61AD242D"/>
    <w:rsid w:val="61B509CC"/>
    <w:rsid w:val="61C34158"/>
    <w:rsid w:val="61D27FA2"/>
    <w:rsid w:val="61E12055"/>
    <w:rsid w:val="61E57DCC"/>
    <w:rsid w:val="61EF4230"/>
    <w:rsid w:val="61F22FA9"/>
    <w:rsid w:val="62107AF1"/>
    <w:rsid w:val="624605DC"/>
    <w:rsid w:val="62715869"/>
    <w:rsid w:val="6271733B"/>
    <w:rsid w:val="6277070C"/>
    <w:rsid w:val="629923ED"/>
    <w:rsid w:val="62C82001"/>
    <w:rsid w:val="62D0207C"/>
    <w:rsid w:val="62EC4C13"/>
    <w:rsid w:val="62F015E7"/>
    <w:rsid w:val="630F26B0"/>
    <w:rsid w:val="631D48DF"/>
    <w:rsid w:val="6328747F"/>
    <w:rsid w:val="63376BBD"/>
    <w:rsid w:val="63452D69"/>
    <w:rsid w:val="63487311"/>
    <w:rsid w:val="635051A2"/>
    <w:rsid w:val="636179C3"/>
    <w:rsid w:val="637A48C9"/>
    <w:rsid w:val="637A4DA1"/>
    <w:rsid w:val="63941622"/>
    <w:rsid w:val="639478BF"/>
    <w:rsid w:val="639C263D"/>
    <w:rsid w:val="63AA4DE8"/>
    <w:rsid w:val="63AE197D"/>
    <w:rsid w:val="63B514A9"/>
    <w:rsid w:val="63E678B4"/>
    <w:rsid w:val="63FE69AC"/>
    <w:rsid w:val="64015741"/>
    <w:rsid w:val="64300B2F"/>
    <w:rsid w:val="643E4B3F"/>
    <w:rsid w:val="644626AD"/>
    <w:rsid w:val="644C569A"/>
    <w:rsid w:val="648F0A8A"/>
    <w:rsid w:val="64CA0F84"/>
    <w:rsid w:val="64E20582"/>
    <w:rsid w:val="64EE60A8"/>
    <w:rsid w:val="65014172"/>
    <w:rsid w:val="650C3169"/>
    <w:rsid w:val="650C79AA"/>
    <w:rsid w:val="651641C9"/>
    <w:rsid w:val="653C68A2"/>
    <w:rsid w:val="65520088"/>
    <w:rsid w:val="65631FA2"/>
    <w:rsid w:val="656C5B97"/>
    <w:rsid w:val="656E584F"/>
    <w:rsid w:val="65766A16"/>
    <w:rsid w:val="657835FE"/>
    <w:rsid w:val="6578453C"/>
    <w:rsid w:val="659A2704"/>
    <w:rsid w:val="659E0CDD"/>
    <w:rsid w:val="65A24758"/>
    <w:rsid w:val="65B8027F"/>
    <w:rsid w:val="65CA0A9A"/>
    <w:rsid w:val="65D126E2"/>
    <w:rsid w:val="65D53390"/>
    <w:rsid w:val="65DB7500"/>
    <w:rsid w:val="65E2598A"/>
    <w:rsid w:val="65E46075"/>
    <w:rsid w:val="6603474E"/>
    <w:rsid w:val="661C10A4"/>
    <w:rsid w:val="662841B4"/>
    <w:rsid w:val="6635242D"/>
    <w:rsid w:val="663D00FA"/>
    <w:rsid w:val="663F4385"/>
    <w:rsid w:val="6662394B"/>
    <w:rsid w:val="668533B4"/>
    <w:rsid w:val="668E3F6B"/>
    <w:rsid w:val="66B56DF3"/>
    <w:rsid w:val="66BF00F7"/>
    <w:rsid w:val="66C900BE"/>
    <w:rsid w:val="67010C0E"/>
    <w:rsid w:val="670C5884"/>
    <w:rsid w:val="6759039D"/>
    <w:rsid w:val="676254A4"/>
    <w:rsid w:val="67786A75"/>
    <w:rsid w:val="67917B37"/>
    <w:rsid w:val="67A1421E"/>
    <w:rsid w:val="67A96A9E"/>
    <w:rsid w:val="68064081"/>
    <w:rsid w:val="68071BA7"/>
    <w:rsid w:val="683B54B8"/>
    <w:rsid w:val="683F4298"/>
    <w:rsid w:val="688D6692"/>
    <w:rsid w:val="68B105B0"/>
    <w:rsid w:val="68B27D65"/>
    <w:rsid w:val="68CD2AEB"/>
    <w:rsid w:val="68E85A88"/>
    <w:rsid w:val="68F71C1C"/>
    <w:rsid w:val="6918085C"/>
    <w:rsid w:val="691E4584"/>
    <w:rsid w:val="69296D2D"/>
    <w:rsid w:val="693955D4"/>
    <w:rsid w:val="693F7BBD"/>
    <w:rsid w:val="694503FF"/>
    <w:rsid w:val="695C327B"/>
    <w:rsid w:val="69823BDB"/>
    <w:rsid w:val="699B7743"/>
    <w:rsid w:val="69CE4E77"/>
    <w:rsid w:val="6A01578D"/>
    <w:rsid w:val="6A0171F6"/>
    <w:rsid w:val="6A0A22CF"/>
    <w:rsid w:val="6A3E3BDE"/>
    <w:rsid w:val="6A43773F"/>
    <w:rsid w:val="6A682818"/>
    <w:rsid w:val="6AB228FF"/>
    <w:rsid w:val="6AC92500"/>
    <w:rsid w:val="6AE85CC0"/>
    <w:rsid w:val="6AF608BF"/>
    <w:rsid w:val="6B0074AE"/>
    <w:rsid w:val="6B4A24D7"/>
    <w:rsid w:val="6B5946D6"/>
    <w:rsid w:val="6B766D32"/>
    <w:rsid w:val="6B8A1C13"/>
    <w:rsid w:val="6BAA1044"/>
    <w:rsid w:val="6BB40298"/>
    <w:rsid w:val="6BBE323B"/>
    <w:rsid w:val="6BBF7CDA"/>
    <w:rsid w:val="6BD83F86"/>
    <w:rsid w:val="6BF2523D"/>
    <w:rsid w:val="6BFD1C3F"/>
    <w:rsid w:val="6C027255"/>
    <w:rsid w:val="6C05600D"/>
    <w:rsid w:val="6C430463"/>
    <w:rsid w:val="6C5775A1"/>
    <w:rsid w:val="6C8044FD"/>
    <w:rsid w:val="6CA36342"/>
    <w:rsid w:val="6CAF031A"/>
    <w:rsid w:val="6CB42D91"/>
    <w:rsid w:val="6CB5494D"/>
    <w:rsid w:val="6CD04C5E"/>
    <w:rsid w:val="6CE371F5"/>
    <w:rsid w:val="6CE50C01"/>
    <w:rsid w:val="6CEB7CE9"/>
    <w:rsid w:val="6D057E3F"/>
    <w:rsid w:val="6D090170"/>
    <w:rsid w:val="6D0A4613"/>
    <w:rsid w:val="6D1A4FAB"/>
    <w:rsid w:val="6D5676C6"/>
    <w:rsid w:val="6DB4653A"/>
    <w:rsid w:val="6DB63AE1"/>
    <w:rsid w:val="6DCB23C4"/>
    <w:rsid w:val="6DD16EDF"/>
    <w:rsid w:val="6E464524"/>
    <w:rsid w:val="6E4D69C6"/>
    <w:rsid w:val="6E5738C8"/>
    <w:rsid w:val="6E6246A6"/>
    <w:rsid w:val="6E957F0D"/>
    <w:rsid w:val="6EBE69E2"/>
    <w:rsid w:val="6EE80984"/>
    <w:rsid w:val="6F002130"/>
    <w:rsid w:val="6F3A3A1F"/>
    <w:rsid w:val="6F4B32A0"/>
    <w:rsid w:val="6F695514"/>
    <w:rsid w:val="6F743A67"/>
    <w:rsid w:val="6F9246C7"/>
    <w:rsid w:val="6FAC1505"/>
    <w:rsid w:val="6FB1521A"/>
    <w:rsid w:val="6FB55339"/>
    <w:rsid w:val="6FCD1928"/>
    <w:rsid w:val="6FD1766A"/>
    <w:rsid w:val="6FD3327C"/>
    <w:rsid w:val="7011468B"/>
    <w:rsid w:val="705636CC"/>
    <w:rsid w:val="70893AA1"/>
    <w:rsid w:val="70A52770"/>
    <w:rsid w:val="70AC7032"/>
    <w:rsid w:val="70DC1328"/>
    <w:rsid w:val="710A268A"/>
    <w:rsid w:val="714040DC"/>
    <w:rsid w:val="714D1756"/>
    <w:rsid w:val="71711275"/>
    <w:rsid w:val="717277A7"/>
    <w:rsid w:val="71764F9E"/>
    <w:rsid w:val="718E50BE"/>
    <w:rsid w:val="71940950"/>
    <w:rsid w:val="71AB3DB5"/>
    <w:rsid w:val="71AB6694"/>
    <w:rsid w:val="71BA2BE6"/>
    <w:rsid w:val="71F66F14"/>
    <w:rsid w:val="72127AC6"/>
    <w:rsid w:val="7248033D"/>
    <w:rsid w:val="72543E12"/>
    <w:rsid w:val="72A72729"/>
    <w:rsid w:val="72A9136A"/>
    <w:rsid w:val="72AD539E"/>
    <w:rsid w:val="72C36CAA"/>
    <w:rsid w:val="73120896"/>
    <w:rsid w:val="7319641C"/>
    <w:rsid w:val="731D5769"/>
    <w:rsid w:val="734259C2"/>
    <w:rsid w:val="7343559A"/>
    <w:rsid w:val="738C2348"/>
    <w:rsid w:val="73AF4C83"/>
    <w:rsid w:val="73DB0AB8"/>
    <w:rsid w:val="73EA28ED"/>
    <w:rsid w:val="742E7B56"/>
    <w:rsid w:val="746074EE"/>
    <w:rsid w:val="747F7695"/>
    <w:rsid w:val="74827185"/>
    <w:rsid w:val="74836A59"/>
    <w:rsid w:val="74CD57D8"/>
    <w:rsid w:val="74CE5F27"/>
    <w:rsid w:val="74E73AD7"/>
    <w:rsid w:val="74F355FB"/>
    <w:rsid w:val="75082123"/>
    <w:rsid w:val="75133772"/>
    <w:rsid w:val="7548217D"/>
    <w:rsid w:val="75824622"/>
    <w:rsid w:val="75A9073C"/>
    <w:rsid w:val="75AA1B20"/>
    <w:rsid w:val="75DA2AFD"/>
    <w:rsid w:val="75E31EA6"/>
    <w:rsid w:val="75EC0639"/>
    <w:rsid w:val="76206C56"/>
    <w:rsid w:val="76263B40"/>
    <w:rsid w:val="762E6C88"/>
    <w:rsid w:val="763C7AC4"/>
    <w:rsid w:val="76426BCC"/>
    <w:rsid w:val="764346F2"/>
    <w:rsid w:val="76503D0E"/>
    <w:rsid w:val="76AD14BD"/>
    <w:rsid w:val="76B70020"/>
    <w:rsid w:val="76B77C66"/>
    <w:rsid w:val="76CC0B8C"/>
    <w:rsid w:val="76CF7A9A"/>
    <w:rsid w:val="76ED003D"/>
    <w:rsid w:val="76EE065D"/>
    <w:rsid w:val="76F123A0"/>
    <w:rsid w:val="77593879"/>
    <w:rsid w:val="77814A03"/>
    <w:rsid w:val="7791148D"/>
    <w:rsid w:val="77BA6C36"/>
    <w:rsid w:val="77BF249E"/>
    <w:rsid w:val="77E20532"/>
    <w:rsid w:val="77F23A73"/>
    <w:rsid w:val="78014865"/>
    <w:rsid w:val="781400F4"/>
    <w:rsid w:val="78CF04BF"/>
    <w:rsid w:val="78F607FB"/>
    <w:rsid w:val="79123ACC"/>
    <w:rsid w:val="79297BCF"/>
    <w:rsid w:val="793248DA"/>
    <w:rsid w:val="79326829"/>
    <w:rsid w:val="796E5F2A"/>
    <w:rsid w:val="79703A50"/>
    <w:rsid w:val="797D059E"/>
    <w:rsid w:val="798B14CE"/>
    <w:rsid w:val="79D833A4"/>
    <w:rsid w:val="79FF3413"/>
    <w:rsid w:val="7A505630"/>
    <w:rsid w:val="7A5D64E9"/>
    <w:rsid w:val="7A760168"/>
    <w:rsid w:val="7A7F1A71"/>
    <w:rsid w:val="7A8F3624"/>
    <w:rsid w:val="7A9E02FF"/>
    <w:rsid w:val="7AB23BF5"/>
    <w:rsid w:val="7AB64D97"/>
    <w:rsid w:val="7AB756AF"/>
    <w:rsid w:val="7ACA6830"/>
    <w:rsid w:val="7AE51291"/>
    <w:rsid w:val="7AED182A"/>
    <w:rsid w:val="7B021898"/>
    <w:rsid w:val="7B1E26EF"/>
    <w:rsid w:val="7B310FBD"/>
    <w:rsid w:val="7B3D27B4"/>
    <w:rsid w:val="7B4105A4"/>
    <w:rsid w:val="7B583DA5"/>
    <w:rsid w:val="7BA05134"/>
    <w:rsid w:val="7BA14395"/>
    <w:rsid w:val="7BB67714"/>
    <w:rsid w:val="7BB91132"/>
    <w:rsid w:val="7BC40F49"/>
    <w:rsid w:val="7BC561A8"/>
    <w:rsid w:val="7C0D0B98"/>
    <w:rsid w:val="7C1125FE"/>
    <w:rsid w:val="7C1508DF"/>
    <w:rsid w:val="7C562894"/>
    <w:rsid w:val="7C671AA5"/>
    <w:rsid w:val="7C951E7A"/>
    <w:rsid w:val="7CA852AF"/>
    <w:rsid w:val="7CFB3477"/>
    <w:rsid w:val="7D2117F9"/>
    <w:rsid w:val="7D3D633F"/>
    <w:rsid w:val="7D412114"/>
    <w:rsid w:val="7D584F27"/>
    <w:rsid w:val="7D71240A"/>
    <w:rsid w:val="7D8F021D"/>
    <w:rsid w:val="7DB90A86"/>
    <w:rsid w:val="7DD72601"/>
    <w:rsid w:val="7DE43C29"/>
    <w:rsid w:val="7E042739"/>
    <w:rsid w:val="7E6D2DE2"/>
    <w:rsid w:val="7E8F4979"/>
    <w:rsid w:val="7ED3194B"/>
    <w:rsid w:val="7EE85911"/>
    <w:rsid w:val="7EF944E8"/>
    <w:rsid w:val="7F242086"/>
    <w:rsid w:val="7F2C0419"/>
    <w:rsid w:val="7F323556"/>
    <w:rsid w:val="7F4514DB"/>
    <w:rsid w:val="7F4A4D43"/>
    <w:rsid w:val="7F5A598F"/>
    <w:rsid w:val="7F686985"/>
    <w:rsid w:val="7F7734B1"/>
    <w:rsid w:val="7F8B1AF8"/>
    <w:rsid w:val="7F90064F"/>
    <w:rsid w:val="7FBB7FE8"/>
    <w:rsid w:val="7FC87D08"/>
    <w:rsid w:val="7FD82F57"/>
    <w:rsid w:val="7FDD7966"/>
    <w:rsid w:val="7FF977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4"/>
    <w:qFormat/>
    <w:uiPriority w:val="0"/>
    <w:pPr>
      <w:keepNext/>
      <w:keepLines/>
      <w:spacing w:after="120" w:line="360" w:lineRule="auto"/>
      <w:jc w:val="left"/>
      <w:outlineLvl w:val="0"/>
    </w:pPr>
    <w:rPr>
      <w:kern w:val="44"/>
      <w:sz w:val="28"/>
      <w:szCs w:val="28"/>
    </w:rPr>
  </w:style>
  <w:style w:type="paragraph" w:styleId="3">
    <w:name w:val="heading 2"/>
    <w:basedOn w:val="1"/>
    <w:next w:val="1"/>
    <w:link w:val="57"/>
    <w:qFormat/>
    <w:uiPriority w:val="0"/>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paragraph" w:styleId="4">
    <w:name w:val="heading 3"/>
    <w:basedOn w:val="1"/>
    <w:next w:val="1"/>
    <w:link w:val="58"/>
    <w:qFormat/>
    <w:uiPriority w:val="0"/>
    <w:pPr>
      <w:widowControl/>
      <w:spacing w:before="100" w:beforeAutospacing="1" w:after="100" w:afterAutospacing="1"/>
      <w:jc w:val="left"/>
      <w:outlineLvl w:val="2"/>
    </w:pPr>
    <w:rPr>
      <w:rFonts w:ascii="宋体" w:hAnsi="宋体"/>
      <w:kern w:val="0"/>
      <w:sz w:val="27"/>
      <w:szCs w:val="27"/>
      <w:lang w:val="zh-CN"/>
    </w:rPr>
  </w:style>
  <w:style w:type="paragraph" w:styleId="5">
    <w:name w:val="heading 4"/>
    <w:basedOn w:val="4"/>
    <w:next w:val="6"/>
    <w:link w:val="59"/>
    <w:qFormat/>
    <w:uiPriority w:val="0"/>
    <w:pPr>
      <w:keepNext/>
      <w:keepLines/>
      <w:widowControl w:val="0"/>
      <w:spacing w:before="0" w:beforeLines="50" w:beforeAutospacing="0" w:after="0" w:afterAutospacing="0" w:line="360" w:lineRule="auto"/>
      <w:ind w:left="284" w:hanging="284"/>
      <w:outlineLvl w:val="3"/>
    </w:pPr>
    <w:rPr>
      <w:rFonts w:ascii="Arial" w:hAnsi="Arial"/>
      <w:color w:val="000000"/>
      <w:sz w:val="20"/>
      <w:szCs w:val="21"/>
    </w:rPr>
  </w:style>
  <w:style w:type="paragraph" w:styleId="7">
    <w:name w:val="heading 5"/>
    <w:basedOn w:val="5"/>
    <w:next w:val="6"/>
    <w:link w:val="61"/>
    <w:qFormat/>
    <w:uiPriority w:val="0"/>
    <w:pPr>
      <w:spacing w:line="240" w:lineRule="exact"/>
      <w:outlineLvl w:val="4"/>
    </w:pPr>
  </w:style>
  <w:style w:type="paragraph" w:styleId="8">
    <w:name w:val="heading 6"/>
    <w:basedOn w:val="1"/>
    <w:next w:val="1"/>
    <w:link w:val="62"/>
    <w:qFormat/>
    <w:uiPriority w:val="0"/>
    <w:pPr>
      <w:keepNext/>
      <w:keepLines/>
      <w:spacing w:before="240" w:after="64" w:line="319" w:lineRule="auto"/>
      <w:outlineLvl w:val="5"/>
    </w:pPr>
    <w:rPr>
      <w:rFonts w:ascii="Arial" w:hAnsi="Arial" w:eastAsia="黑体"/>
      <w:b/>
      <w:bCs/>
      <w:kern w:val="0"/>
      <w:sz w:val="24"/>
      <w:szCs w:val="24"/>
      <w:lang w:val="zh-CN"/>
    </w:rPr>
  </w:style>
  <w:style w:type="paragraph" w:styleId="9">
    <w:name w:val="heading 7"/>
    <w:basedOn w:val="1"/>
    <w:next w:val="6"/>
    <w:link w:val="63"/>
    <w:qFormat/>
    <w:uiPriority w:val="0"/>
    <w:pPr>
      <w:keepNext/>
      <w:keepLines/>
      <w:spacing w:before="240" w:after="64" w:line="319" w:lineRule="auto"/>
      <w:outlineLvl w:val="6"/>
    </w:pPr>
    <w:rPr>
      <w:b/>
      <w:kern w:val="0"/>
      <w:sz w:val="24"/>
      <w:szCs w:val="20"/>
      <w:lang w:val="zh-CN"/>
    </w:rPr>
  </w:style>
  <w:style w:type="paragraph" w:styleId="10">
    <w:name w:val="heading 8"/>
    <w:basedOn w:val="1"/>
    <w:next w:val="6"/>
    <w:link w:val="64"/>
    <w:qFormat/>
    <w:uiPriority w:val="0"/>
    <w:pPr>
      <w:keepNext/>
      <w:keepLines/>
      <w:spacing w:before="240" w:after="64" w:line="319" w:lineRule="auto"/>
      <w:outlineLvl w:val="7"/>
    </w:pPr>
    <w:rPr>
      <w:rFonts w:ascii="Arial" w:hAnsi="Arial" w:eastAsia="黑体"/>
      <w:kern w:val="0"/>
      <w:sz w:val="24"/>
      <w:szCs w:val="20"/>
      <w:lang w:val="zh-CN"/>
    </w:rPr>
  </w:style>
  <w:style w:type="paragraph" w:styleId="11">
    <w:name w:val="heading 9"/>
    <w:basedOn w:val="1"/>
    <w:next w:val="6"/>
    <w:link w:val="65"/>
    <w:qFormat/>
    <w:uiPriority w:val="0"/>
    <w:pPr>
      <w:keepNext/>
      <w:keepLines/>
      <w:spacing w:before="240" w:after="64" w:line="319" w:lineRule="auto"/>
      <w:outlineLvl w:val="8"/>
    </w:pPr>
    <w:rPr>
      <w:rFonts w:ascii="Arial" w:hAnsi="Arial" w:eastAsia="黑体"/>
      <w:kern w:val="0"/>
      <w:sz w:val="20"/>
      <w:szCs w:val="20"/>
      <w:lang w:val="zh-CN"/>
    </w:rPr>
  </w:style>
  <w:style w:type="character" w:default="1" w:styleId="41">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6">
    <w:name w:val="Normal Indent"/>
    <w:basedOn w:val="1"/>
    <w:next w:val="1"/>
    <w:link w:val="60"/>
    <w:qFormat/>
    <w:uiPriority w:val="0"/>
    <w:pPr>
      <w:ind w:firstLine="420"/>
    </w:pPr>
    <w:rPr>
      <w:szCs w:val="20"/>
    </w:rPr>
  </w:style>
  <w:style w:type="paragraph" w:styleId="12">
    <w:name w:val="Document Map"/>
    <w:basedOn w:val="1"/>
    <w:link w:val="66"/>
    <w:qFormat/>
    <w:uiPriority w:val="0"/>
    <w:pPr>
      <w:shd w:val="clear" w:color="auto" w:fill="000080"/>
    </w:pPr>
    <w:rPr>
      <w:szCs w:val="20"/>
    </w:rPr>
  </w:style>
  <w:style w:type="paragraph" w:styleId="13">
    <w:name w:val="annotation text"/>
    <w:basedOn w:val="1"/>
    <w:link w:val="67"/>
    <w:qFormat/>
    <w:uiPriority w:val="0"/>
    <w:pPr>
      <w:jc w:val="left"/>
    </w:pPr>
  </w:style>
  <w:style w:type="paragraph" w:styleId="14">
    <w:name w:val="Body Text 3"/>
    <w:basedOn w:val="1"/>
    <w:link w:val="68"/>
    <w:qFormat/>
    <w:uiPriority w:val="0"/>
    <w:rPr>
      <w:rFonts w:ascii="宋体"/>
      <w:kern w:val="0"/>
      <w:sz w:val="24"/>
      <w:szCs w:val="20"/>
    </w:rPr>
  </w:style>
  <w:style w:type="paragraph" w:styleId="15">
    <w:name w:val="Body Text"/>
    <w:basedOn w:val="1"/>
    <w:next w:val="1"/>
    <w:link w:val="55"/>
    <w:qFormat/>
    <w:uiPriority w:val="0"/>
    <w:pPr>
      <w:spacing w:after="120"/>
    </w:pPr>
  </w:style>
  <w:style w:type="paragraph" w:styleId="16">
    <w:name w:val="Body Text Indent"/>
    <w:basedOn w:val="1"/>
    <w:link w:val="69"/>
    <w:qFormat/>
    <w:uiPriority w:val="0"/>
    <w:pPr>
      <w:ind w:firstLine="570"/>
    </w:pPr>
    <w:rPr>
      <w:sz w:val="28"/>
      <w:szCs w:val="20"/>
    </w:rPr>
  </w:style>
  <w:style w:type="paragraph" w:styleId="17">
    <w:name w:val="Block Text"/>
    <w:basedOn w:val="1"/>
    <w:qFormat/>
    <w:uiPriority w:val="0"/>
    <w:pPr>
      <w:autoSpaceDE w:val="0"/>
      <w:autoSpaceDN w:val="0"/>
      <w:adjustRightInd w:val="0"/>
      <w:spacing w:line="360" w:lineRule="auto"/>
      <w:ind w:left="420" w:leftChars="200" w:right="11" w:firstLine="479" w:firstLineChars="228"/>
    </w:pPr>
    <w:rPr>
      <w:rFonts w:ascii="宋体" w:hAnsi="Arial"/>
      <w:szCs w:val="21"/>
      <w:lang w:val="zh-CN"/>
    </w:rPr>
  </w:style>
  <w:style w:type="paragraph" w:styleId="18">
    <w:name w:val="toc 5"/>
    <w:basedOn w:val="1"/>
    <w:next w:val="1"/>
    <w:qFormat/>
    <w:uiPriority w:val="0"/>
    <w:pPr>
      <w:ind w:left="800" w:leftChars="800"/>
    </w:pPr>
    <w:rPr>
      <w:rFonts w:ascii="Times New Roman" w:hAnsi="Times New Roman"/>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70"/>
    <w:qFormat/>
    <w:uiPriority w:val="99"/>
    <w:rPr>
      <w:rFonts w:ascii="宋体" w:hAnsi="Courier New"/>
      <w:szCs w:val="20"/>
    </w:rPr>
  </w:style>
  <w:style w:type="paragraph" w:styleId="21">
    <w:name w:val="Date"/>
    <w:basedOn w:val="1"/>
    <w:next w:val="1"/>
    <w:link w:val="71"/>
    <w:qFormat/>
    <w:uiPriority w:val="0"/>
    <w:rPr>
      <w:szCs w:val="20"/>
    </w:rPr>
  </w:style>
  <w:style w:type="paragraph" w:styleId="22">
    <w:name w:val="Body Text Indent 2"/>
    <w:basedOn w:val="1"/>
    <w:link w:val="72"/>
    <w:qFormat/>
    <w:uiPriority w:val="0"/>
    <w:pPr>
      <w:spacing w:line="400" w:lineRule="exact"/>
      <w:ind w:left="425"/>
    </w:pPr>
    <w:rPr>
      <w:color w:val="000000"/>
      <w:sz w:val="24"/>
      <w:szCs w:val="20"/>
    </w:rPr>
  </w:style>
  <w:style w:type="paragraph" w:styleId="23">
    <w:name w:val="endnote text"/>
    <w:basedOn w:val="1"/>
    <w:link w:val="73"/>
    <w:qFormat/>
    <w:uiPriority w:val="0"/>
    <w:pPr>
      <w:snapToGrid w:val="0"/>
      <w:jc w:val="left"/>
    </w:pPr>
    <w:rPr>
      <w:szCs w:val="20"/>
    </w:rPr>
  </w:style>
  <w:style w:type="paragraph" w:styleId="24">
    <w:name w:val="Balloon Text"/>
    <w:basedOn w:val="1"/>
    <w:link w:val="74"/>
    <w:qFormat/>
    <w:uiPriority w:val="0"/>
    <w:rPr>
      <w:sz w:val="18"/>
      <w:szCs w:val="18"/>
    </w:rPr>
  </w:style>
  <w:style w:type="paragraph" w:styleId="25">
    <w:name w:val="footer"/>
    <w:basedOn w:val="1"/>
    <w:link w:val="75"/>
    <w:unhideWhenUsed/>
    <w:qFormat/>
    <w:uiPriority w:val="0"/>
    <w:pPr>
      <w:tabs>
        <w:tab w:val="center" w:pos="4153"/>
        <w:tab w:val="right" w:pos="8306"/>
      </w:tabs>
      <w:snapToGrid w:val="0"/>
      <w:jc w:val="left"/>
    </w:pPr>
    <w:rPr>
      <w:kern w:val="0"/>
      <w:sz w:val="18"/>
      <w:szCs w:val="18"/>
    </w:rPr>
  </w:style>
  <w:style w:type="paragraph" w:styleId="26">
    <w:name w:val="header"/>
    <w:basedOn w:val="1"/>
    <w:link w:val="7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pPr>
      <w:tabs>
        <w:tab w:val="right" w:leader="dot" w:pos="9060"/>
      </w:tabs>
      <w:adjustRightInd w:val="0"/>
      <w:snapToGrid w:val="0"/>
      <w:spacing w:line="360" w:lineRule="auto"/>
      <w:jc w:val="left"/>
    </w:pPr>
    <w:rPr>
      <w:rFonts w:ascii="宋体" w:hAnsi="宋体"/>
      <w:caps/>
      <w:kern w:val="0"/>
      <w:sz w:val="24"/>
      <w:szCs w:val="32"/>
    </w:rPr>
  </w:style>
  <w:style w:type="paragraph" w:styleId="28">
    <w:name w:val="footnote text"/>
    <w:basedOn w:val="1"/>
    <w:link w:val="7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78"/>
    <w:qFormat/>
    <w:uiPriority w:val="0"/>
    <w:pPr>
      <w:tabs>
        <w:tab w:val="left" w:pos="0"/>
      </w:tabs>
      <w:spacing w:line="400" w:lineRule="exact"/>
      <w:ind w:left="563" w:leftChars="228" w:hanging="84" w:hangingChars="35"/>
    </w:pPr>
    <w:rPr>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79"/>
    <w:qFormat/>
    <w:uiPriority w:val="0"/>
    <w:rPr>
      <w:rFonts w:ascii="宋体" w:hAnsi="宋体"/>
      <w:szCs w:val="24"/>
      <w:u w:val="single"/>
    </w:rPr>
  </w:style>
  <w:style w:type="paragraph" w:styleId="3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33">
    <w:name w:val="List Continue 3"/>
    <w:basedOn w:val="1"/>
    <w:qFormat/>
    <w:uiPriority w:val="0"/>
    <w:pPr>
      <w:spacing w:after="120"/>
      <w:ind w:left="1260" w:leftChars="600"/>
    </w:pPr>
    <w:rPr>
      <w:rFonts w:ascii="Calibri" w:hAnsi="Calibri"/>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Title"/>
    <w:basedOn w:val="1"/>
    <w:link w:val="53"/>
    <w:qFormat/>
    <w:uiPriority w:val="0"/>
    <w:pPr>
      <w:spacing w:before="120" w:after="60"/>
      <w:jc w:val="center"/>
    </w:pPr>
    <w:rPr>
      <w:rFonts w:ascii="Arial" w:hAnsi="Arial"/>
      <w:b/>
      <w:sz w:val="44"/>
      <w:szCs w:val="20"/>
    </w:rPr>
  </w:style>
  <w:style w:type="paragraph" w:styleId="36">
    <w:name w:val="annotation subject"/>
    <w:basedOn w:val="13"/>
    <w:next w:val="13"/>
    <w:link w:val="80"/>
    <w:qFormat/>
    <w:uiPriority w:val="0"/>
    <w:pPr>
      <w:spacing w:line="360" w:lineRule="auto"/>
      <w:ind w:firstLine="523" w:firstLineChars="218"/>
    </w:pPr>
    <w:rPr>
      <w:rFonts w:ascii="宋体" w:hAnsi="宋体"/>
      <w:b/>
      <w:bCs/>
      <w:sz w:val="24"/>
      <w:szCs w:val="24"/>
    </w:rPr>
  </w:style>
  <w:style w:type="paragraph" w:styleId="37">
    <w:name w:val="Body Text First Indent"/>
    <w:basedOn w:val="15"/>
    <w:link w:val="56"/>
    <w:qFormat/>
    <w:uiPriority w:val="0"/>
    <w:pPr>
      <w:ind w:firstLine="420"/>
    </w:pPr>
  </w:style>
  <w:style w:type="paragraph" w:styleId="38">
    <w:name w:val="Body Text First Indent 2"/>
    <w:basedOn w:val="16"/>
    <w:link w:val="81"/>
    <w:unhideWhenUsed/>
    <w:qFormat/>
    <w:uiPriority w:val="0"/>
    <w:pPr>
      <w:ind w:firstLine="420" w:firstLineChars="200"/>
    </w:pPr>
    <w:rPr>
      <w:kern w:val="0"/>
      <w:lang w:val="en-US" w:eastAsia="zh-CN"/>
    </w:rPr>
  </w:style>
  <w:style w:type="table" w:styleId="40">
    <w:name w:val="Table Grid"/>
    <w:basedOn w:val="3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rFonts w:ascii="Calibri" w:hAnsi="Calibri" w:eastAsia="宋体" w:cs="Times New Roman"/>
      <w:b/>
    </w:rPr>
  </w:style>
  <w:style w:type="character" w:styleId="43">
    <w:name w:val="endnote reference"/>
    <w:qFormat/>
    <w:uiPriority w:val="0"/>
    <w:rPr>
      <w:rFonts w:ascii="Calibri" w:hAnsi="Calibri" w:eastAsia="宋体" w:cs="Times New Roman"/>
      <w:vertAlign w:val="superscript"/>
    </w:rPr>
  </w:style>
  <w:style w:type="character" w:styleId="44">
    <w:name w:val="page number"/>
    <w:qFormat/>
    <w:uiPriority w:val="0"/>
    <w:rPr>
      <w:rFonts w:hint="default" w:ascii="Times New Roman" w:hAnsi="Times New Roman" w:eastAsia="宋体" w:cs="Times New Roman"/>
    </w:rPr>
  </w:style>
  <w:style w:type="character" w:styleId="45">
    <w:name w:val="FollowedHyperlink"/>
    <w:qFormat/>
    <w:uiPriority w:val="99"/>
    <w:rPr>
      <w:rFonts w:ascii="微软雅黑" w:hAnsi="微软雅黑" w:eastAsia="微软雅黑" w:cs="微软雅黑"/>
      <w:color w:val="337AB7"/>
      <w:u w:val="none"/>
    </w:rPr>
  </w:style>
  <w:style w:type="character" w:styleId="46">
    <w:name w:val="HTML Definition"/>
    <w:qFormat/>
    <w:uiPriority w:val="99"/>
    <w:rPr>
      <w:rFonts w:ascii="Calibri" w:hAnsi="Calibri" w:eastAsia="宋体" w:cs="Times New Roman"/>
      <w:i/>
      <w:color w:val="555555"/>
      <w:sz w:val="14"/>
      <w:szCs w:val="14"/>
      <w:bdr w:val="single" w:color="E9E9E9" w:sz="4" w:space="0"/>
      <w:shd w:val="clear" w:color="auto" w:fill="FFFFFF"/>
    </w:rPr>
  </w:style>
  <w:style w:type="character" w:styleId="47">
    <w:name w:val="Hyperlink"/>
    <w:qFormat/>
    <w:uiPriority w:val="99"/>
    <w:rPr>
      <w:rFonts w:ascii="Calibri" w:hAnsi="Calibri" w:eastAsia="宋体" w:cs="Times New Roman"/>
      <w:color w:val="000000"/>
      <w:u w:val="none"/>
    </w:rPr>
  </w:style>
  <w:style w:type="character" w:styleId="48">
    <w:name w:val="HTML Code"/>
    <w:qFormat/>
    <w:uiPriority w:val="99"/>
    <w:rPr>
      <w:rFonts w:hint="default" w:ascii="Consolas" w:hAnsi="Consolas" w:eastAsia="Consolas" w:cs="Consolas"/>
      <w:color w:val="C7254E"/>
      <w:sz w:val="21"/>
      <w:szCs w:val="21"/>
      <w:bdr w:val="single" w:color="E1E1E1" w:sz="4" w:space="0"/>
      <w:shd w:val="clear" w:color="auto" w:fill="F9F2F4"/>
    </w:rPr>
  </w:style>
  <w:style w:type="character" w:styleId="49">
    <w:name w:val="annotation reference"/>
    <w:qFormat/>
    <w:uiPriority w:val="0"/>
    <w:rPr>
      <w:rFonts w:ascii="Calibri" w:hAnsi="Calibri" w:eastAsia="宋体" w:cs="Times New Roman"/>
      <w:sz w:val="21"/>
      <w:szCs w:val="21"/>
    </w:rPr>
  </w:style>
  <w:style w:type="character" w:styleId="50">
    <w:name w:val="footnote reference"/>
    <w:qFormat/>
    <w:uiPriority w:val="0"/>
    <w:rPr>
      <w:rFonts w:ascii="Calibri" w:hAnsi="Calibri" w:eastAsia="宋体" w:cs="Times New Roman"/>
      <w:vertAlign w:val="superscript"/>
    </w:rPr>
  </w:style>
  <w:style w:type="character" w:styleId="51">
    <w:name w:val="HTML Keyboard"/>
    <w:qFormat/>
    <w:uiPriority w:val="99"/>
    <w:rPr>
      <w:rFonts w:ascii="Consolas" w:hAnsi="Consolas" w:eastAsia="Consolas" w:cs="Consolas"/>
      <w:color w:val="FFFFFF"/>
      <w:sz w:val="21"/>
      <w:szCs w:val="21"/>
      <w:shd w:val="clear" w:color="auto" w:fill="333333"/>
    </w:rPr>
  </w:style>
  <w:style w:type="character" w:styleId="52">
    <w:name w:val="HTML Sample"/>
    <w:qFormat/>
    <w:uiPriority w:val="99"/>
    <w:rPr>
      <w:rFonts w:hint="default" w:ascii="Consolas" w:hAnsi="Consolas" w:eastAsia="Consolas" w:cs="Consolas"/>
      <w:sz w:val="21"/>
      <w:szCs w:val="21"/>
    </w:rPr>
  </w:style>
  <w:style w:type="character" w:customStyle="1" w:styleId="53">
    <w:name w:val="标题 字符1"/>
    <w:link w:val="35"/>
    <w:qFormat/>
    <w:uiPriority w:val="0"/>
    <w:rPr>
      <w:rFonts w:ascii="Arial" w:hAnsi="Arial"/>
      <w:b/>
      <w:kern w:val="2"/>
      <w:sz w:val="44"/>
    </w:rPr>
  </w:style>
  <w:style w:type="character" w:customStyle="1" w:styleId="54">
    <w:name w:val="标题 1 字符1"/>
    <w:link w:val="2"/>
    <w:qFormat/>
    <w:uiPriority w:val="0"/>
    <w:rPr>
      <w:rFonts w:ascii="Arial" w:hAnsi="Arial"/>
      <w:b/>
      <w:kern w:val="44"/>
      <w:sz w:val="28"/>
      <w:szCs w:val="28"/>
    </w:rPr>
  </w:style>
  <w:style w:type="character" w:customStyle="1" w:styleId="55">
    <w:name w:val="正文文本 字符1"/>
    <w:link w:val="15"/>
    <w:qFormat/>
    <w:uiPriority w:val="0"/>
    <w:rPr>
      <w:kern w:val="2"/>
      <w:sz w:val="21"/>
      <w:szCs w:val="22"/>
    </w:rPr>
  </w:style>
  <w:style w:type="character" w:customStyle="1" w:styleId="56">
    <w:name w:val="正文文本首行缩进 字符"/>
    <w:link w:val="37"/>
    <w:qFormat/>
    <w:uiPriority w:val="0"/>
    <w:rPr>
      <w:kern w:val="2"/>
      <w:sz w:val="21"/>
      <w:szCs w:val="22"/>
    </w:rPr>
  </w:style>
  <w:style w:type="character" w:customStyle="1" w:styleId="57">
    <w:name w:val="标题 2 字符1"/>
    <w:link w:val="3"/>
    <w:qFormat/>
    <w:uiPriority w:val="0"/>
    <w:rPr>
      <w:rFonts w:ascii="Arial" w:hAnsi="Arial"/>
      <w:b/>
      <w:color w:val="000000"/>
      <w:sz w:val="24"/>
      <w:szCs w:val="24"/>
      <w:lang w:val="zh-CN"/>
    </w:rPr>
  </w:style>
  <w:style w:type="character" w:customStyle="1" w:styleId="58">
    <w:name w:val="标题 3 字符1"/>
    <w:link w:val="4"/>
    <w:qFormat/>
    <w:uiPriority w:val="0"/>
    <w:rPr>
      <w:rFonts w:ascii="宋体" w:hAnsi="宋体"/>
      <w:sz w:val="27"/>
      <w:szCs w:val="27"/>
      <w:lang w:val="zh-CN"/>
    </w:rPr>
  </w:style>
  <w:style w:type="character" w:customStyle="1" w:styleId="59">
    <w:name w:val="标题 4 字符1"/>
    <w:link w:val="5"/>
    <w:qFormat/>
    <w:uiPriority w:val="0"/>
    <w:rPr>
      <w:rFonts w:ascii="Arial" w:hAnsi="Arial"/>
      <w:color w:val="000000"/>
      <w:szCs w:val="21"/>
      <w:lang w:val="zh-CN"/>
    </w:rPr>
  </w:style>
  <w:style w:type="character" w:customStyle="1" w:styleId="60">
    <w:name w:val="正文缩进 字符"/>
    <w:link w:val="6"/>
    <w:qFormat/>
    <w:uiPriority w:val="0"/>
    <w:rPr>
      <w:kern w:val="2"/>
      <w:sz w:val="21"/>
    </w:rPr>
  </w:style>
  <w:style w:type="character" w:customStyle="1" w:styleId="61">
    <w:name w:val="标题 5 字符1"/>
    <w:link w:val="7"/>
    <w:qFormat/>
    <w:uiPriority w:val="0"/>
    <w:rPr>
      <w:rFonts w:ascii="Arial" w:hAnsi="Arial"/>
      <w:color w:val="000000"/>
      <w:szCs w:val="21"/>
      <w:lang w:val="zh-CN"/>
    </w:rPr>
  </w:style>
  <w:style w:type="character" w:customStyle="1" w:styleId="62">
    <w:name w:val="标题 6 字符1"/>
    <w:link w:val="8"/>
    <w:qFormat/>
    <w:uiPriority w:val="0"/>
    <w:rPr>
      <w:rFonts w:ascii="Arial" w:hAnsi="Arial" w:eastAsia="黑体"/>
      <w:b/>
      <w:bCs/>
      <w:sz w:val="24"/>
      <w:szCs w:val="24"/>
      <w:lang w:val="zh-CN"/>
    </w:rPr>
  </w:style>
  <w:style w:type="character" w:customStyle="1" w:styleId="63">
    <w:name w:val="标题 7 字符1"/>
    <w:link w:val="9"/>
    <w:qFormat/>
    <w:uiPriority w:val="0"/>
    <w:rPr>
      <w:rFonts w:ascii="Times New Roman" w:hAnsi="Times New Roman"/>
      <w:b/>
      <w:sz w:val="24"/>
      <w:lang w:val="zh-CN"/>
    </w:rPr>
  </w:style>
  <w:style w:type="character" w:customStyle="1" w:styleId="64">
    <w:name w:val="标题 8 字符1"/>
    <w:link w:val="10"/>
    <w:qFormat/>
    <w:uiPriority w:val="0"/>
    <w:rPr>
      <w:rFonts w:ascii="Arial" w:hAnsi="Arial" w:eastAsia="黑体"/>
      <w:sz w:val="24"/>
      <w:lang w:val="zh-CN"/>
    </w:rPr>
  </w:style>
  <w:style w:type="character" w:customStyle="1" w:styleId="65">
    <w:name w:val="标题 9 字符1"/>
    <w:link w:val="11"/>
    <w:qFormat/>
    <w:uiPriority w:val="0"/>
    <w:rPr>
      <w:rFonts w:ascii="Arial" w:hAnsi="Arial" w:eastAsia="黑体"/>
      <w:lang w:val="zh-CN"/>
    </w:rPr>
  </w:style>
  <w:style w:type="character" w:customStyle="1" w:styleId="66">
    <w:name w:val="文档结构图 字符1"/>
    <w:link w:val="12"/>
    <w:qFormat/>
    <w:uiPriority w:val="0"/>
    <w:rPr>
      <w:rFonts w:ascii="Times New Roman" w:hAnsi="Times New Roman"/>
      <w:kern w:val="2"/>
      <w:sz w:val="21"/>
      <w:shd w:val="clear" w:color="auto" w:fill="000080"/>
    </w:rPr>
  </w:style>
  <w:style w:type="character" w:customStyle="1" w:styleId="67">
    <w:name w:val="批注文字 字符1"/>
    <w:link w:val="13"/>
    <w:qFormat/>
    <w:uiPriority w:val="0"/>
    <w:rPr>
      <w:kern w:val="2"/>
      <w:sz w:val="21"/>
      <w:szCs w:val="22"/>
    </w:rPr>
  </w:style>
  <w:style w:type="character" w:customStyle="1" w:styleId="68">
    <w:name w:val="正文文本 3 字符"/>
    <w:link w:val="14"/>
    <w:qFormat/>
    <w:uiPriority w:val="0"/>
    <w:rPr>
      <w:rFonts w:ascii="宋体"/>
      <w:sz w:val="24"/>
    </w:rPr>
  </w:style>
  <w:style w:type="character" w:customStyle="1" w:styleId="69">
    <w:name w:val="正文文本缩进 字符1"/>
    <w:link w:val="16"/>
    <w:qFormat/>
    <w:uiPriority w:val="0"/>
    <w:rPr>
      <w:rFonts w:ascii="Times New Roman" w:hAnsi="Times New Roman"/>
      <w:kern w:val="2"/>
      <w:sz w:val="28"/>
    </w:rPr>
  </w:style>
  <w:style w:type="character" w:customStyle="1" w:styleId="70">
    <w:name w:val="纯文本 字符1"/>
    <w:link w:val="20"/>
    <w:qFormat/>
    <w:uiPriority w:val="99"/>
    <w:rPr>
      <w:rFonts w:ascii="宋体" w:hAnsi="Courier New"/>
      <w:kern w:val="2"/>
      <w:sz w:val="21"/>
    </w:rPr>
  </w:style>
  <w:style w:type="character" w:customStyle="1" w:styleId="71">
    <w:name w:val="日期 字符1"/>
    <w:link w:val="21"/>
    <w:qFormat/>
    <w:uiPriority w:val="0"/>
    <w:rPr>
      <w:rFonts w:ascii="Times New Roman" w:hAnsi="Times New Roman"/>
      <w:kern w:val="2"/>
      <w:sz w:val="21"/>
    </w:rPr>
  </w:style>
  <w:style w:type="character" w:customStyle="1" w:styleId="72">
    <w:name w:val="正文文本缩进 2 字符1"/>
    <w:link w:val="22"/>
    <w:qFormat/>
    <w:uiPriority w:val="0"/>
    <w:rPr>
      <w:rFonts w:ascii="Times New Roman" w:hAnsi="Times New Roman"/>
      <w:color w:val="000000"/>
      <w:kern w:val="2"/>
      <w:sz w:val="24"/>
    </w:rPr>
  </w:style>
  <w:style w:type="character" w:customStyle="1" w:styleId="73">
    <w:name w:val="尾注文本 字符1"/>
    <w:link w:val="23"/>
    <w:qFormat/>
    <w:uiPriority w:val="0"/>
    <w:rPr>
      <w:rFonts w:ascii="Times New Roman" w:hAnsi="Times New Roman"/>
      <w:kern w:val="2"/>
      <w:sz w:val="21"/>
    </w:rPr>
  </w:style>
  <w:style w:type="character" w:customStyle="1" w:styleId="74">
    <w:name w:val="批注框文本 字符1"/>
    <w:link w:val="24"/>
    <w:qFormat/>
    <w:uiPriority w:val="0"/>
    <w:rPr>
      <w:rFonts w:ascii="Times New Roman" w:hAnsi="Times New Roman"/>
      <w:kern w:val="2"/>
      <w:sz w:val="18"/>
      <w:szCs w:val="18"/>
    </w:rPr>
  </w:style>
  <w:style w:type="character" w:customStyle="1" w:styleId="75">
    <w:name w:val="页脚 字符1"/>
    <w:link w:val="25"/>
    <w:qFormat/>
    <w:uiPriority w:val="0"/>
    <w:rPr>
      <w:sz w:val="18"/>
      <w:szCs w:val="18"/>
    </w:rPr>
  </w:style>
  <w:style w:type="character" w:customStyle="1" w:styleId="76">
    <w:name w:val="页眉 字符1"/>
    <w:link w:val="26"/>
    <w:qFormat/>
    <w:uiPriority w:val="0"/>
    <w:rPr>
      <w:sz w:val="18"/>
      <w:szCs w:val="18"/>
    </w:rPr>
  </w:style>
  <w:style w:type="character" w:customStyle="1" w:styleId="77">
    <w:name w:val="脚注文本 字符1"/>
    <w:link w:val="28"/>
    <w:qFormat/>
    <w:uiPriority w:val="0"/>
    <w:rPr>
      <w:rFonts w:ascii="宋体" w:hAnsi="宋体"/>
      <w:kern w:val="2"/>
      <w:sz w:val="18"/>
      <w:szCs w:val="18"/>
    </w:rPr>
  </w:style>
  <w:style w:type="character" w:customStyle="1" w:styleId="78">
    <w:name w:val="正文文本缩进 3 字符1"/>
    <w:link w:val="29"/>
    <w:qFormat/>
    <w:uiPriority w:val="0"/>
    <w:rPr>
      <w:rFonts w:ascii="Times New Roman" w:hAnsi="Times New Roman"/>
      <w:color w:val="000000"/>
      <w:kern w:val="2"/>
      <w:sz w:val="24"/>
    </w:rPr>
  </w:style>
  <w:style w:type="character" w:customStyle="1" w:styleId="79">
    <w:name w:val="正文文本 2 字符1"/>
    <w:link w:val="31"/>
    <w:qFormat/>
    <w:uiPriority w:val="0"/>
    <w:rPr>
      <w:rFonts w:ascii="宋体" w:hAnsi="宋体"/>
      <w:kern w:val="2"/>
      <w:sz w:val="21"/>
      <w:szCs w:val="24"/>
      <w:u w:val="single"/>
    </w:rPr>
  </w:style>
  <w:style w:type="character" w:customStyle="1" w:styleId="80">
    <w:name w:val="批注主题 字符1"/>
    <w:link w:val="36"/>
    <w:qFormat/>
    <w:uiPriority w:val="0"/>
    <w:rPr>
      <w:rFonts w:ascii="宋体" w:hAnsi="宋体"/>
      <w:b/>
      <w:bCs/>
      <w:kern w:val="2"/>
      <w:sz w:val="24"/>
      <w:szCs w:val="24"/>
    </w:rPr>
  </w:style>
  <w:style w:type="character" w:customStyle="1" w:styleId="81">
    <w:name w:val="正文文本首行缩进 2 字符"/>
    <w:link w:val="38"/>
    <w:qFormat/>
    <w:uiPriority w:val="0"/>
  </w:style>
  <w:style w:type="character" w:customStyle="1" w:styleId="82">
    <w:name w:val="批注主题 Char2"/>
    <w:qFormat/>
    <w:uiPriority w:val="0"/>
    <w:rPr>
      <w:rFonts w:hint="default" w:ascii="Times New Roman" w:hAnsi="Times New Roman" w:eastAsia="宋体" w:cs="Times New Roman"/>
      <w:b/>
      <w:bCs/>
      <w:kern w:val="2"/>
      <w:sz w:val="21"/>
      <w:szCs w:val="22"/>
    </w:rPr>
  </w:style>
  <w:style w:type="character" w:customStyle="1" w:styleId="83">
    <w:name w:val="标题 Char4"/>
    <w:qFormat/>
    <w:uiPriority w:val="0"/>
    <w:rPr>
      <w:rFonts w:ascii="Cambria" w:hAnsi="Cambria" w:cs="Times New Roman"/>
      <w:b/>
      <w:bCs/>
      <w:kern w:val="2"/>
      <w:sz w:val="32"/>
      <w:szCs w:val="32"/>
    </w:rPr>
  </w:style>
  <w:style w:type="character" w:customStyle="1" w:styleId="84">
    <w:name w:val="文档结构图 Char3"/>
    <w:qFormat/>
    <w:uiPriority w:val="0"/>
    <w:rPr>
      <w:rFonts w:ascii="宋体"/>
      <w:kern w:val="2"/>
      <w:sz w:val="18"/>
      <w:szCs w:val="18"/>
    </w:rPr>
  </w:style>
  <w:style w:type="character" w:customStyle="1" w:styleId="85">
    <w:name w:val="hover27"/>
    <w:qFormat/>
    <w:uiPriority w:val="0"/>
    <w:rPr>
      <w:shd w:val="clear" w:color="auto" w:fill="EEEEEE"/>
    </w:rPr>
  </w:style>
  <w:style w:type="character" w:customStyle="1" w:styleId="86">
    <w:name w:val="文档结构图 Char2"/>
    <w:qFormat/>
    <w:uiPriority w:val="0"/>
    <w:rPr>
      <w:rFonts w:hint="eastAsia" w:ascii="宋体" w:hAnsi="宋体" w:eastAsia="宋体" w:cs="Times New Roman"/>
      <w:kern w:val="2"/>
      <w:sz w:val="18"/>
      <w:szCs w:val="18"/>
    </w:rPr>
  </w:style>
  <w:style w:type="character" w:customStyle="1" w:styleId="87">
    <w:name w:val="times"/>
    <w:qFormat/>
    <w:uiPriority w:val="0"/>
    <w:rPr>
      <w:rFonts w:ascii="Calibri" w:hAnsi="Calibri" w:eastAsia="宋体" w:cs="Times New Roman"/>
      <w:color w:val="3399FF"/>
      <w:bdr w:val="single" w:color="D1EDF8" w:sz="4" w:space="0"/>
      <w:shd w:val="clear" w:color="auto" w:fill="EAF9FF"/>
    </w:rPr>
  </w:style>
  <w:style w:type="character" w:customStyle="1" w:styleId="88">
    <w:name w:val="正文文本缩进 2 Char3"/>
    <w:qFormat/>
    <w:uiPriority w:val="0"/>
    <w:rPr>
      <w:kern w:val="2"/>
      <w:sz w:val="21"/>
      <w:szCs w:val="22"/>
    </w:rPr>
  </w:style>
  <w:style w:type="character" w:customStyle="1" w:styleId="89">
    <w:name w:val="批注文字 Char"/>
    <w:qFormat/>
    <w:uiPriority w:val="0"/>
    <w:rPr>
      <w:kern w:val="2"/>
      <w:sz w:val="21"/>
      <w:szCs w:val="22"/>
    </w:rPr>
  </w:style>
  <w:style w:type="character" w:customStyle="1" w:styleId="90">
    <w:name w:val="尾注文本 Char2"/>
    <w:qFormat/>
    <w:uiPriority w:val="0"/>
    <w:rPr>
      <w:rFonts w:ascii="Calibri" w:hAnsi="Calibri" w:eastAsia="宋体" w:cs="Times New Roman"/>
      <w:kern w:val="2"/>
      <w:sz w:val="21"/>
      <w:szCs w:val="22"/>
    </w:rPr>
  </w:style>
  <w:style w:type="character" w:customStyle="1" w:styleId="91">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character" w:customStyle="1" w:styleId="92">
    <w:name w:val="正文文本 Char3"/>
    <w:qFormat/>
    <w:uiPriority w:val="0"/>
    <w:rPr>
      <w:rFonts w:ascii="Calibri" w:hAnsi="Calibri" w:eastAsia="宋体" w:cs="Times New Roman"/>
      <w:kern w:val="2"/>
      <w:sz w:val="21"/>
      <w:szCs w:val="22"/>
    </w:rPr>
  </w:style>
  <w:style w:type="character" w:customStyle="1" w:styleId="93">
    <w:name w:val="日期 字符"/>
    <w:qFormat/>
    <w:uiPriority w:val="99"/>
    <w:rPr>
      <w:rFonts w:hint="default" w:ascii="Calibri" w:hAnsi="Calibri" w:eastAsia="宋体" w:cs="Times New Roman"/>
    </w:rPr>
  </w:style>
  <w:style w:type="character" w:customStyle="1" w:styleId="94">
    <w:name w:val="正文文本 字符"/>
    <w:qFormat/>
    <w:uiPriority w:val="99"/>
    <w:rPr>
      <w:rFonts w:hint="default" w:ascii="Calibri" w:hAnsi="Calibri" w:eastAsia="宋体" w:cs="Times New Roman"/>
    </w:rPr>
  </w:style>
  <w:style w:type="character" w:customStyle="1" w:styleId="95">
    <w:name w:val="正文首行缩进 Char"/>
    <w:qFormat/>
    <w:uiPriority w:val="0"/>
    <w:rPr>
      <w:rFonts w:ascii="Calibri" w:hAnsi="Calibri" w:eastAsia="宋体" w:cs="Times New Roman"/>
      <w:kern w:val="2"/>
      <w:sz w:val="21"/>
      <w:szCs w:val="22"/>
    </w:rPr>
  </w:style>
  <w:style w:type="character" w:customStyle="1" w:styleId="96">
    <w:name w:val="文档结构图 Char1"/>
    <w:qFormat/>
    <w:uiPriority w:val="0"/>
    <w:rPr>
      <w:rFonts w:hint="eastAsia" w:ascii="宋体" w:hAnsi="Calibri" w:eastAsia="宋体" w:cs="Times New Roman"/>
      <w:sz w:val="18"/>
      <w:szCs w:val="18"/>
    </w:rPr>
  </w:style>
  <w:style w:type="character" w:customStyle="1" w:styleId="97">
    <w:name w:val="hover42"/>
    <w:qFormat/>
    <w:uiPriority w:val="0"/>
    <w:rPr>
      <w:rFonts w:ascii="Calibri" w:hAnsi="Calibri" w:eastAsia="宋体" w:cs="Times New Roman"/>
    </w:rPr>
  </w:style>
  <w:style w:type="character" w:customStyle="1" w:styleId="98">
    <w:name w:val="脚注文本 Char1"/>
    <w:qFormat/>
    <w:uiPriority w:val="0"/>
    <w:rPr>
      <w:rFonts w:hint="default" w:ascii="Calibri" w:hAnsi="Calibri" w:eastAsia="宋体" w:cs="Times New Roman"/>
      <w:sz w:val="18"/>
      <w:szCs w:val="18"/>
    </w:rPr>
  </w:style>
  <w:style w:type="character" w:customStyle="1" w:styleId="99">
    <w:name w:val="正文文本 2 Char1"/>
    <w:qFormat/>
    <w:uiPriority w:val="0"/>
    <w:rPr>
      <w:rFonts w:hint="default" w:ascii="Calibri" w:hAnsi="Calibri" w:eastAsia="宋体" w:cs="Times New Roman"/>
    </w:rPr>
  </w:style>
  <w:style w:type="character" w:customStyle="1" w:styleId="100">
    <w:name w:val="正文首行缩进 字符"/>
    <w:qFormat/>
    <w:uiPriority w:val="99"/>
    <w:rPr>
      <w:rFonts w:ascii="Calibri" w:hAnsi="Calibri" w:eastAsia="宋体" w:cs="Times New Roman"/>
    </w:rPr>
  </w:style>
  <w:style w:type="character" w:customStyle="1" w:styleId="101">
    <w:name w:val="批注框文本 Char1"/>
    <w:qFormat/>
    <w:uiPriority w:val="0"/>
    <w:rPr>
      <w:rFonts w:hint="default" w:ascii="Calibri" w:hAnsi="Calibri" w:eastAsia="宋体" w:cs="Times New Roman"/>
      <w:sz w:val="18"/>
      <w:szCs w:val="18"/>
    </w:rPr>
  </w:style>
  <w:style w:type="character" w:customStyle="1" w:styleId="102">
    <w:name w:val="脚注文本 Char3"/>
    <w:qFormat/>
    <w:uiPriority w:val="0"/>
    <w:rPr>
      <w:kern w:val="2"/>
      <w:sz w:val="18"/>
      <w:szCs w:val="18"/>
    </w:rPr>
  </w:style>
  <w:style w:type="character" w:customStyle="1" w:styleId="103">
    <w:name w:val="sort"/>
    <w:qFormat/>
    <w:uiPriority w:val="0"/>
    <w:rPr>
      <w:rFonts w:ascii="微软雅黑" w:hAnsi="微软雅黑" w:eastAsia="微软雅黑" w:cs="微软雅黑"/>
      <w:b/>
      <w:bCs/>
      <w:color w:val="6D6D6D"/>
    </w:rPr>
  </w:style>
  <w:style w:type="character" w:customStyle="1" w:styleId="104">
    <w:name w:val="尾注文本 Char1"/>
    <w:qFormat/>
    <w:uiPriority w:val="0"/>
    <w:rPr>
      <w:rFonts w:hint="default" w:ascii="Calibri" w:hAnsi="Calibri" w:eastAsia="宋体" w:cs="Times New Roman"/>
    </w:rPr>
  </w:style>
  <w:style w:type="character" w:customStyle="1" w:styleId="105">
    <w:name w:val="正文首行缩进 Char1"/>
    <w:qFormat/>
    <w:uiPriority w:val="0"/>
    <w:rPr>
      <w:rFonts w:ascii="Calibri" w:hAnsi="Calibri" w:eastAsia="宋体" w:cs="Times New Roman"/>
    </w:rPr>
  </w:style>
  <w:style w:type="character" w:customStyle="1" w:styleId="106">
    <w:name w:val="正文文本 2 Char2"/>
    <w:qFormat/>
    <w:uiPriority w:val="0"/>
    <w:rPr>
      <w:rFonts w:ascii="Calibri" w:hAnsi="Calibri" w:eastAsia="宋体" w:cs="Times New Roman"/>
      <w:kern w:val="2"/>
      <w:sz w:val="21"/>
      <w:szCs w:val="22"/>
    </w:rPr>
  </w:style>
  <w:style w:type="character" w:customStyle="1" w:styleId="107">
    <w:name w:val="title21"/>
    <w:qFormat/>
    <w:uiPriority w:val="0"/>
    <w:rPr>
      <w:rFonts w:ascii="Calibri" w:hAnsi="Calibri" w:eastAsia="宋体" w:cs="Times New Roman"/>
    </w:rPr>
  </w:style>
  <w:style w:type="character" w:customStyle="1" w:styleId="108">
    <w:name w:val="正文文本缩进 2 Char2"/>
    <w:qFormat/>
    <w:uiPriority w:val="0"/>
    <w:rPr>
      <w:rFonts w:ascii="Calibri" w:hAnsi="Calibri" w:eastAsia="宋体" w:cs="Times New Roman"/>
      <w:kern w:val="2"/>
      <w:sz w:val="21"/>
      <w:szCs w:val="22"/>
    </w:rPr>
  </w:style>
  <w:style w:type="character" w:customStyle="1" w:styleId="109">
    <w:name w:val="new"/>
    <w:qFormat/>
    <w:uiPriority w:val="0"/>
    <w:rPr>
      <w:color w:val="999999"/>
    </w:rPr>
  </w:style>
  <w:style w:type="character" w:customStyle="1" w:styleId="110">
    <w:name w:val="标题 Char1"/>
    <w:qFormat/>
    <w:uiPriority w:val="0"/>
    <w:rPr>
      <w:rFonts w:hint="default" w:ascii="Cambria" w:hAnsi="Cambria" w:eastAsia="宋体" w:cs="Times New Roman"/>
      <w:b/>
      <w:bCs/>
      <w:kern w:val="2"/>
      <w:sz w:val="32"/>
      <w:szCs w:val="32"/>
    </w:rPr>
  </w:style>
  <w:style w:type="character" w:customStyle="1" w:styleId="111">
    <w:name w:val="正文文本缩进 Char2"/>
    <w:qFormat/>
    <w:uiPriority w:val="0"/>
    <w:rPr>
      <w:rFonts w:ascii="Calibri" w:hAnsi="Calibri" w:eastAsia="宋体" w:cs="Times New Roman"/>
      <w:kern w:val="2"/>
      <w:sz w:val="21"/>
      <w:szCs w:val="22"/>
    </w:rPr>
  </w:style>
  <w:style w:type="character" w:customStyle="1" w:styleId="112">
    <w:name w:val="脚注文本 字符"/>
    <w:qFormat/>
    <w:uiPriority w:val="99"/>
    <w:rPr>
      <w:rFonts w:hint="default" w:ascii="Calibri" w:hAnsi="Calibri" w:eastAsia="宋体" w:cs="Times New Roman"/>
      <w:sz w:val="18"/>
      <w:szCs w:val="18"/>
    </w:rPr>
  </w:style>
  <w:style w:type="character" w:customStyle="1" w:styleId="113">
    <w:name w:val="批注文字 Char3"/>
    <w:qFormat/>
    <w:uiPriority w:val="0"/>
    <w:rPr>
      <w:rFonts w:hint="default" w:ascii="Calibri" w:hAnsi="Calibri" w:eastAsia="宋体" w:cs="Times New Roman"/>
    </w:rPr>
  </w:style>
  <w:style w:type="character" w:customStyle="1" w:styleId="114">
    <w:name w:val="页眉 Char2"/>
    <w:qFormat/>
    <w:uiPriority w:val="0"/>
    <w:rPr>
      <w:rFonts w:ascii="Calibri" w:hAnsi="Calibri" w:eastAsia="宋体" w:cs="Times New Roman"/>
      <w:kern w:val="2"/>
      <w:sz w:val="18"/>
      <w:szCs w:val="18"/>
    </w:rPr>
  </w:style>
  <w:style w:type="character" w:customStyle="1" w:styleId="115">
    <w:name w:val="正文文本缩进 3 Char2"/>
    <w:qFormat/>
    <w:uiPriority w:val="0"/>
    <w:rPr>
      <w:rFonts w:ascii="Calibri" w:hAnsi="Calibri" w:eastAsia="宋体" w:cs="Times New Roman"/>
      <w:kern w:val="2"/>
      <w:sz w:val="16"/>
      <w:szCs w:val="16"/>
    </w:rPr>
  </w:style>
  <w:style w:type="character" w:customStyle="1" w:styleId="116">
    <w:name w:val="页脚 Char2"/>
    <w:qFormat/>
    <w:uiPriority w:val="0"/>
    <w:rPr>
      <w:rFonts w:ascii="Calibri" w:hAnsi="Calibri" w:eastAsia="宋体" w:cs="Times New Roman"/>
      <w:kern w:val="2"/>
      <w:sz w:val="18"/>
      <w:szCs w:val="18"/>
    </w:rPr>
  </w:style>
  <w:style w:type="character" w:customStyle="1" w:styleId="117">
    <w:name w:val="testimonials-name"/>
    <w:qFormat/>
    <w:uiPriority w:val="0"/>
    <w:rPr>
      <w:color w:val="E6400C"/>
      <w:sz w:val="19"/>
      <w:szCs w:val="19"/>
    </w:rPr>
  </w:style>
  <w:style w:type="character" w:customStyle="1" w:styleId="118">
    <w:name w:val="正文文本缩进 3 字符"/>
    <w:qFormat/>
    <w:uiPriority w:val="99"/>
    <w:rPr>
      <w:rFonts w:hint="default" w:ascii="Calibri" w:hAnsi="Calibri" w:eastAsia="宋体" w:cs="Times New Roman"/>
      <w:sz w:val="16"/>
      <w:szCs w:val="16"/>
    </w:rPr>
  </w:style>
  <w:style w:type="character" w:customStyle="1" w:styleId="119">
    <w:name w:val="纯文本 字符3"/>
    <w:qFormat/>
    <w:uiPriority w:val="0"/>
    <w:rPr>
      <w:rFonts w:ascii="宋体" w:hAnsi="Courier New"/>
    </w:rPr>
  </w:style>
  <w:style w:type="character" w:customStyle="1" w:styleId="120">
    <w:name w:val="批注主题 Char3"/>
    <w:qFormat/>
    <w:uiPriority w:val="0"/>
    <w:rPr>
      <w:b/>
      <w:bCs/>
      <w:kern w:val="2"/>
      <w:sz w:val="21"/>
      <w:szCs w:val="22"/>
    </w:rPr>
  </w:style>
  <w:style w:type="character" w:customStyle="1" w:styleId="121">
    <w:name w:val="NormalCharacter"/>
    <w:qFormat/>
    <w:uiPriority w:val="0"/>
  </w:style>
  <w:style w:type="character" w:customStyle="1" w:styleId="122">
    <w:name w:val="current"/>
    <w:qFormat/>
    <w:uiPriority w:val="0"/>
    <w:rPr>
      <w:color w:val="FFFFFF"/>
      <w:bdr w:val="single" w:color="2B55AF" w:sz="6" w:space="0"/>
      <w:shd w:val="clear" w:color="auto" w:fill="4F616C"/>
    </w:rPr>
  </w:style>
  <w:style w:type="character" w:customStyle="1" w:styleId="123">
    <w:name w:val="正文文本 Char2"/>
    <w:qFormat/>
    <w:uiPriority w:val="0"/>
    <w:rPr>
      <w:rFonts w:hint="default" w:ascii="Calibri" w:hAnsi="Calibri" w:eastAsia="宋体" w:cs="Times New Roman"/>
    </w:rPr>
  </w:style>
  <w:style w:type="character" w:customStyle="1" w:styleId="124">
    <w:name w:val="标题 5 字符"/>
    <w:qFormat/>
    <w:uiPriority w:val="9"/>
    <w:rPr>
      <w:rFonts w:hint="default" w:ascii="Calibri" w:hAnsi="Calibri" w:eastAsia="宋体" w:cs="Times New Roman"/>
      <w:b/>
      <w:bCs/>
      <w:sz w:val="28"/>
      <w:szCs w:val="28"/>
    </w:rPr>
  </w:style>
  <w:style w:type="character" w:customStyle="1" w:styleId="125">
    <w:name w:val="正文文本缩进 Char3"/>
    <w:qFormat/>
    <w:uiPriority w:val="0"/>
    <w:rPr>
      <w:kern w:val="2"/>
      <w:sz w:val="21"/>
      <w:szCs w:val="22"/>
    </w:rPr>
  </w:style>
  <w:style w:type="character" w:customStyle="1" w:styleId="126">
    <w:name w:val="正文首行缩进 Char5"/>
    <w:qFormat/>
    <w:uiPriority w:val="0"/>
  </w:style>
  <w:style w:type="character" w:customStyle="1" w:styleId="127">
    <w:name w:val="页脚 Char1"/>
    <w:qFormat/>
    <w:uiPriority w:val="0"/>
    <w:rPr>
      <w:rFonts w:hint="default" w:ascii="Calibri" w:hAnsi="Calibri" w:eastAsia="宋体" w:cs="Times New Roman"/>
      <w:sz w:val="18"/>
      <w:szCs w:val="18"/>
    </w:rPr>
  </w:style>
  <w:style w:type="character" w:customStyle="1" w:styleId="128">
    <w:name w:val="日期 Char1"/>
    <w:qFormat/>
    <w:uiPriority w:val="0"/>
    <w:rPr>
      <w:rFonts w:hint="default" w:ascii="Calibri" w:hAnsi="Calibri" w:eastAsia="宋体" w:cs="Times New Roman"/>
    </w:rPr>
  </w:style>
  <w:style w:type="character" w:customStyle="1" w:styleId="129">
    <w:name w:val="批注文字 Char2"/>
    <w:qFormat/>
    <w:uiPriority w:val="0"/>
    <w:rPr>
      <w:rFonts w:hint="eastAsia" w:ascii="宋体" w:hAnsi="宋体" w:eastAsia="宋体" w:cs="Times New Roman"/>
      <w:sz w:val="24"/>
      <w:szCs w:val="24"/>
    </w:rPr>
  </w:style>
  <w:style w:type="character" w:customStyle="1" w:styleId="130">
    <w:name w:val="color-mode-label"/>
    <w:qFormat/>
    <w:uiPriority w:val="0"/>
  </w:style>
  <w:style w:type="character" w:customStyle="1" w:styleId="131">
    <w:name w:val="标题 8 字符"/>
    <w:qFormat/>
    <w:uiPriority w:val="9"/>
    <w:rPr>
      <w:rFonts w:hint="eastAsia" w:ascii="等线 Light" w:hAnsi="等线 Light" w:eastAsia="等线 Light" w:cs="Times New Roman"/>
      <w:sz w:val="24"/>
      <w:szCs w:val="24"/>
    </w:rPr>
  </w:style>
  <w:style w:type="character" w:customStyle="1" w:styleId="132">
    <w:name w:val="testimonials-post"/>
    <w:qFormat/>
    <w:uiPriority w:val="0"/>
    <w:rPr>
      <w:color w:val="656565"/>
      <w:sz w:val="18"/>
      <w:szCs w:val="18"/>
    </w:rPr>
  </w:style>
  <w:style w:type="character" w:customStyle="1" w:styleId="133">
    <w:name w:val="times1"/>
    <w:qFormat/>
    <w:uiPriority w:val="0"/>
    <w:rPr>
      <w:rFonts w:ascii="Calibri" w:hAnsi="Calibri" w:eastAsia="宋体" w:cs="Times New Roman"/>
      <w:color w:val="CDCDCD"/>
      <w:bdr w:val="single" w:color="CDCDCD" w:sz="4" w:space="0"/>
      <w:shd w:val="clear" w:color="auto" w:fill="EFEFEF"/>
    </w:rPr>
  </w:style>
  <w:style w:type="character" w:customStyle="1" w:styleId="134">
    <w:name w:val="文一 Char"/>
    <w:link w:val="135"/>
    <w:qFormat/>
    <w:uiPriority w:val="0"/>
    <w:rPr>
      <w:spacing w:val="4"/>
      <w:sz w:val="24"/>
      <w:szCs w:val="24"/>
    </w:rPr>
  </w:style>
  <w:style w:type="paragraph" w:customStyle="1" w:styleId="135">
    <w:name w:val="文一"/>
    <w:basedOn w:val="1"/>
    <w:next w:val="1"/>
    <w:link w:val="134"/>
    <w:qFormat/>
    <w:uiPriority w:val="0"/>
    <w:pPr>
      <w:topLinePunct/>
      <w:adjustRightInd w:val="0"/>
      <w:snapToGrid w:val="0"/>
      <w:spacing w:line="360" w:lineRule="auto"/>
      <w:ind w:firstLine="200" w:firstLineChars="200"/>
    </w:pPr>
    <w:rPr>
      <w:spacing w:val="4"/>
      <w:kern w:val="0"/>
      <w:sz w:val="24"/>
      <w:szCs w:val="24"/>
    </w:rPr>
  </w:style>
  <w:style w:type="character" w:customStyle="1" w:styleId="136">
    <w:name w:val="样式1 Char Char"/>
    <w:link w:val="137"/>
    <w:qFormat/>
    <w:uiPriority w:val="0"/>
    <w:rPr>
      <w:rFonts w:ascii="Cambria" w:eastAsia="黑体"/>
      <w:b/>
      <w:kern w:val="2"/>
      <w:sz w:val="44"/>
    </w:rPr>
  </w:style>
  <w:style w:type="paragraph" w:customStyle="1" w:styleId="137">
    <w:name w:val="样式1"/>
    <w:basedOn w:val="35"/>
    <w:link w:val="136"/>
    <w:qFormat/>
    <w:uiPriority w:val="0"/>
    <w:pPr>
      <w:numPr>
        <w:ilvl w:val="0"/>
        <w:numId w:val="1"/>
      </w:numPr>
      <w:spacing w:line="560" w:lineRule="exact"/>
      <w:jc w:val="left"/>
    </w:pPr>
    <w:rPr>
      <w:rFonts w:ascii="Cambria" w:hAnsi="Times New Roman" w:eastAsia="黑体"/>
    </w:rPr>
  </w:style>
  <w:style w:type="character" w:customStyle="1" w:styleId="138">
    <w:name w:val="正文文本缩进 3 Char1"/>
    <w:qFormat/>
    <w:uiPriority w:val="0"/>
    <w:rPr>
      <w:rFonts w:hint="default" w:ascii="Calibri" w:hAnsi="Calibri" w:eastAsia="宋体" w:cs="Times New Roman"/>
      <w:sz w:val="16"/>
      <w:szCs w:val="16"/>
    </w:rPr>
  </w:style>
  <w:style w:type="character" w:customStyle="1" w:styleId="139">
    <w:name w:val="title26"/>
    <w:qFormat/>
    <w:uiPriority w:val="0"/>
    <w:rPr>
      <w:rFonts w:ascii="Calibri" w:hAnsi="Calibri" w:eastAsia="宋体" w:cs="Times New Roman"/>
    </w:rPr>
  </w:style>
  <w:style w:type="character" w:customStyle="1" w:styleId="140">
    <w:name w:val="username"/>
    <w:qFormat/>
    <w:uiPriority w:val="0"/>
    <w:rPr>
      <w:rFonts w:ascii="Calibri" w:hAnsi="Calibri" w:eastAsia="宋体" w:cs="Times New Roman"/>
    </w:rPr>
  </w:style>
  <w:style w:type="character" w:customStyle="1" w:styleId="141">
    <w:name w:val="正文文本缩进 2 Char1"/>
    <w:qFormat/>
    <w:uiPriority w:val="0"/>
    <w:rPr>
      <w:rFonts w:hint="default" w:ascii="Calibri" w:hAnsi="Calibri" w:eastAsia="宋体" w:cs="Times New Roman"/>
    </w:rPr>
  </w:style>
  <w:style w:type="character" w:customStyle="1" w:styleId="142">
    <w:name w:val="hover41"/>
    <w:qFormat/>
    <w:uiPriority w:val="0"/>
    <w:rPr>
      <w:rFonts w:ascii="Calibri" w:hAnsi="Calibri" w:eastAsia="宋体" w:cs="Times New Roman"/>
    </w:rPr>
  </w:style>
  <w:style w:type="character" w:customStyle="1" w:styleId="143">
    <w:name w:val="纯文本 Char"/>
    <w:qFormat/>
    <w:uiPriority w:val="0"/>
    <w:rPr>
      <w:rFonts w:ascii="宋体" w:hAnsi="Courier New" w:eastAsia="宋体" w:cs="Times New Roman"/>
      <w:szCs w:val="20"/>
    </w:rPr>
  </w:style>
  <w:style w:type="character" w:customStyle="1" w:styleId="144">
    <w:name w:val="标题 6 字符"/>
    <w:qFormat/>
    <w:uiPriority w:val="9"/>
    <w:rPr>
      <w:rFonts w:hint="eastAsia" w:ascii="等线 Light" w:hAnsi="等线 Light" w:eastAsia="等线 Light" w:cs="Times New Roman"/>
      <w:b/>
      <w:bCs/>
      <w:sz w:val="24"/>
      <w:szCs w:val="24"/>
    </w:rPr>
  </w:style>
  <w:style w:type="character" w:customStyle="1" w:styleId="145">
    <w:name w:val="title24"/>
    <w:qFormat/>
    <w:uiPriority w:val="0"/>
  </w:style>
  <w:style w:type="character" w:customStyle="1" w:styleId="146">
    <w:name w:val="尾注文本 字符"/>
    <w:qFormat/>
    <w:uiPriority w:val="99"/>
    <w:rPr>
      <w:rFonts w:hint="default" w:ascii="Calibri" w:hAnsi="Calibri" w:eastAsia="宋体" w:cs="Times New Roman"/>
    </w:rPr>
  </w:style>
  <w:style w:type="character" w:customStyle="1" w:styleId="147">
    <w:name w:val="Char Char26"/>
    <w:qFormat/>
    <w:uiPriority w:val="0"/>
    <w:rPr>
      <w:rFonts w:hint="default" w:ascii="Arial" w:hAnsi="Arial" w:eastAsia="宋体" w:cs="Times New Roman"/>
      <w:b/>
      <w:color w:val="000000"/>
      <w:sz w:val="24"/>
      <w:szCs w:val="24"/>
    </w:rPr>
  </w:style>
  <w:style w:type="character" w:customStyle="1" w:styleId="148">
    <w:name w:val="正文文本缩进 2 字符"/>
    <w:qFormat/>
    <w:uiPriority w:val="99"/>
    <w:rPr>
      <w:rFonts w:hint="default" w:ascii="Calibri" w:hAnsi="Calibri" w:eastAsia="宋体" w:cs="Times New Roman"/>
    </w:rPr>
  </w:style>
  <w:style w:type="character" w:customStyle="1" w:styleId="149">
    <w:name w:val="文一 Char Char"/>
    <w:qFormat/>
    <w:uiPriority w:val="0"/>
    <w:rPr>
      <w:rFonts w:ascii="Calibri" w:hAnsi="Calibri" w:eastAsia="宋体" w:cs="Times New Roman"/>
      <w:snapToGrid/>
      <w:spacing w:val="4"/>
      <w:sz w:val="24"/>
      <w:szCs w:val="24"/>
    </w:rPr>
  </w:style>
  <w:style w:type="character" w:customStyle="1" w:styleId="150">
    <w:name w:val="纯文本 Char2"/>
    <w:qFormat/>
    <w:uiPriority w:val="0"/>
    <w:rPr>
      <w:rFonts w:hint="eastAsia" w:ascii="宋体" w:hAnsi="Courier New" w:eastAsia="宋体" w:cs="Courier New"/>
      <w:kern w:val="2"/>
      <w:sz w:val="21"/>
      <w:szCs w:val="21"/>
    </w:rPr>
  </w:style>
  <w:style w:type="character" w:customStyle="1" w:styleId="151">
    <w:name w:val="more8"/>
    <w:qFormat/>
    <w:uiPriority w:val="0"/>
    <w:rPr>
      <w:color w:val="FFFFFF"/>
    </w:rPr>
  </w:style>
  <w:style w:type="character" w:customStyle="1" w:styleId="152">
    <w:name w:val="纯文本 Char1"/>
    <w:qFormat/>
    <w:uiPriority w:val="0"/>
    <w:rPr>
      <w:rFonts w:hint="eastAsia" w:ascii="宋体" w:hAnsi="Courier New" w:eastAsia="宋体" w:cs="Courier New"/>
      <w:szCs w:val="21"/>
    </w:rPr>
  </w:style>
  <w:style w:type="character" w:customStyle="1" w:styleId="153">
    <w:name w:val="正文文本 2 字符"/>
    <w:qFormat/>
    <w:uiPriority w:val="99"/>
    <w:rPr>
      <w:rFonts w:hint="default" w:ascii="Calibri" w:hAnsi="Calibri" w:eastAsia="宋体" w:cs="Times New Roman"/>
    </w:rPr>
  </w:style>
  <w:style w:type="character" w:customStyle="1" w:styleId="154">
    <w:name w:val="批注文字 字符"/>
    <w:qFormat/>
    <w:uiPriority w:val="99"/>
    <w:rPr>
      <w:rFonts w:hint="default" w:ascii="Calibri" w:hAnsi="Calibri" w:eastAsia="宋体" w:cs="Times New Roman"/>
    </w:rPr>
  </w:style>
  <w:style w:type="character" w:customStyle="1" w:styleId="155">
    <w:name w:val="批注框文本 Char2"/>
    <w:qFormat/>
    <w:uiPriority w:val="0"/>
    <w:rPr>
      <w:rFonts w:ascii="Calibri" w:hAnsi="Calibri" w:eastAsia="宋体" w:cs="Times New Roman"/>
      <w:kern w:val="2"/>
      <w:sz w:val="18"/>
      <w:szCs w:val="18"/>
    </w:rPr>
  </w:style>
  <w:style w:type="character" w:customStyle="1" w:styleId="156">
    <w:name w:val="脚注文本 Char2"/>
    <w:qFormat/>
    <w:uiPriority w:val="0"/>
    <w:rPr>
      <w:rFonts w:ascii="Calibri" w:hAnsi="Calibri" w:eastAsia="宋体" w:cs="Times New Roman"/>
      <w:kern w:val="2"/>
      <w:sz w:val="18"/>
      <w:szCs w:val="18"/>
    </w:rPr>
  </w:style>
  <w:style w:type="character" w:customStyle="1" w:styleId="157">
    <w:name w:val="尾注文本 Char3"/>
    <w:qFormat/>
    <w:uiPriority w:val="0"/>
    <w:rPr>
      <w:kern w:val="2"/>
      <w:sz w:val="21"/>
      <w:szCs w:val="22"/>
    </w:rPr>
  </w:style>
  <w:style w:type="character" w:customStyle="1" w:styleId="158">
    <w:name w:val="16"/>
    <w:qFormat/>
    <w:uiPriority w:val="0"/>
    <w:rPr>
      <w:rFonts w:hint="eastAsia" w:ascii="宋体" w:hAnsi="宋体" w:eastAsia="宋体" w:cs="Times New Roman"/>
      <w:color w:val="000000"/>
      <w:sz w:val="20"/>
      <w:szCs w:val="20"/>
    </w:rPr>
  </w:style>
  <w:style w:type="character" w:customStyle="1" w:styleId="159">
    <w:name w:val="批注主题 Char1"/>
    <w:qFormat/>
    <w:uiPriority w:val="0"/>
    <w:rPr>
      <w:rFonts w:hint="default" w:ascii="Calibri" w:hAnsi="Calibri" w:eastAsia="宋体" w:cs="Times New Roman"/>
      <w:b/>
      <w:bCs/>
    </w:rPr>
  </w:style>
  <w:style w:type="character" w:customStyle="1" w:styleId="160">
    <w:name w:val="正文文本 Char1"/>
    <w:qFormat/>
    <w:uiPriority w:val="0"/>
    <w:rPr>
      <w:rFonts w:hint="default" w:ascii="Times New Roman" w:hAnsi="Times New Roman" w:eastAsia="宋体" w:cs="Times New Roman"/>
      <w:szCs w:val="20"/>
    </w:rPr>
  </w:style>
  <w:style w:type="character" w:customStyle="1" w:styleId="161">
    <w:name w:val="正文文本 Char4"/>
    <w:qFormat/>
    <w:uiPriority w:val="0"/>
    <w:rPr>
      <w:kern w:val="2"/>
      <w:sz w:val="21"/>
      <w:szCs w:val="22"/>
    </w:rPr>
  </w:style>
  <w:style w:type="character" w:customStyle="1" w:styleId="162">
    <w:name w:val="日期 Char2"/>
    <w:qFormat/>
    <w:uiPriority w:val="0"/>
    <w:rPr>
      <w:rFonts w:ascii="Calibri" w:hAnsi="Calibri" w:eastAsia="宋体" w:cs="Times New Roman"/>
      <w:kern w:val="2"/>
      <w:sz w:val="21"/>
      <w:szCs w:val="22"/>
    </w:rPr>
  </w:style>
  <w:style w:type="character" w:customStyle="1" w:styleId="163">
    <w:name w:val="标题 字符"/>
    <w:qFormat/>
    <w:uiPriority w:val="10"/>
    <w:rPr>
      <w:rFonts w:hint="eastAsia" w:ascii="等线 Light" w:hAnsi="等线 Light" w:eastAsia="等线 Light" w:cs="Times New Roman"/>
      <w:b/>
      <w:bCs/>
      <w:sz w:val="32"/>
      <w:szCs w:val="32"/>
    </w:rPr>
  </w:style>
  <w:style w:type="character" w:customStyle="1" w:styleId="164">
    <w:name w:val="标题 2 字符"/>
    <w:qFormat/>
    <w:uiPriority w:val="9"/>
    <w:rPr>
      <w:rFonts w:hint="eastAsia" w:ascii="等线 Light" w:hAnsi="等线 Light" w:eastAsia="等线 Light" w:cs="Times New Roman"/>
      <w:b/>
      <w:bCs/>
      <w:sz w:val="32"/>
      <w:szCs w:val="32"/>
    </w:rPr>
  </w:style>
  <w:style w:type="character" w:customStyle="1" w:styleId="165">
    <w:name w:val="纯文本 字符"/>
    <w:qFormat/>
    <w:uiPriority w:val="99"/>
    <w:rPr>
      <w:rFonts w:hint="eastAsia" w:ascii="等线" w:hAnsi="Courier New" w:eastAsia="等线" w:cs="Courier New"/>
    </w:rPr>
  </w:style>
  <w:style w:type="character" w:customStyle="1" w:styleId="166">
    <w:name w:val="disabled"/>
    <w:qFormat/>
    <w:uiPriority w:val="0"/>
    <w:rPr>
      <w:vanish/>
    </w:rPr>
  </w:style>
  <w:style w:type="character" w:customStyle="1" w:styleId="167">
    <w:name w:val="!我的正文 Ctr+Q Char Char"/>
    <w:link w:val="168"/>
    <w:qFormat/>
    <w:uiPriority w:val="0"/>
    <w:rPr>
      <w:rFonts w:ascii="Arial" w:hAnsi="Arial"/>
      <w:sz w:val="24"/>
      <w:szCs w:val="21"/>
    </w:rPr>
  </w:style>
  <w:style w:type="paragraph" w:customStyle="1" w:styleId="168">
    <w:name w:val="!我的正文 Ctr+Q"/>
    <w:basedOn w:val="1"/>
    <w:link w:val="167"/>
    <w:qFormat/>
    <w:uiPriority w:val="0"/>
    <w:pPr>
      <w:adjustRightInd w:val="0"/>
      <w:snapToGrid w:val="0"/>
      <w:spacing w:line="360" w:lineRule="auto"/>
      <w:ind w:firstLine="480" w:firstLineChars="200"/>
    </w:pPr>
    <w:rPr>
      <w:rFonts w:ascii="Arial" w:hAnsi="Arial"/>
      <w:kern w:val="0"/>
      <w:sz w:val="24"/>
      <w:szCs w:val="21"/>
    </w:rPr>
  </w:style>
  <w:style w:type="character" w:customStyle="1" w:styleId="169">
    <w:name w:val="批注主题 字符"/>
    <w:qFormat/>
    <w:uiPriority w:val="99"/>
    <w:rPr>
      <w:rFonts w:hint="default" w:ascii="Calibri" w:hAnsi="Calibri" w:eastAsia="宋体" w:cs="Times New Roman"/>
      <w:b/>
      <w:bCs/>
    </w:rPr>
  </w:style>
  <w:style w:type="character" w:customStyle="1" w:styleId="170">
    <w:name w:val="正文文本缩进 Char1"/>
    <w:qFormat/>
    <w:uiPriority w:val="0"/>
    <w:rPr>
      <w:rFonts w:hint="default" w:ascii="Calibri" w:hAnsi="Calibri" w:eastAsia="宋体" w:cs="Times New Roman"/>
    </w:rPr>
  </w:style>
  <w:style w:type="character" w:customStyle="1" w:styleId="171">
    <w:name w:val="标题 Char3"/>
    <w:qFormat/>
    <w:uiPriority w:val="0"/>
    <w:rPr>
      <w:rFonts w:hint="default" w:ascii="Cambria" w:hAnsi="Cambria" w:eastAsia="宋体" w:cs="Times New Roman"/>
      <w:b/>
      <w:bCs/>
      <w:kern w:val="2"/>
      <w:sz w:val="32"/>
      <w:szCs w:val="32"/>
    </w:rPr>
  </w:style>
  <w:style w:type="character" w:customStyle="1" w:styleId="172">
    <w:name w:val="无间隔 字符"/>
    <w:link w:val="173"/>
    <w:qFormat/>
    <w:uiPriority w:val="0"/>
    <w:rPr>
      <w:rFonts w:eastAsia="等线"/>
      <w:kern w:val="2"/>
      <w:sz w:val="21"/>
      <w:szCs w:val="22"/>
      <w:lang w:bidi="ar-SA"/>
    </w:rPr>
  </w:style>
  <w:style w:type="paragraph" w:styleId="173">
    <w:name w:val="No Spacing"/>
    <w:link w:val="172"/>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174">
    <w:name w:val="页眉 Char1"/>
    <w:qFormat/>
    <w:uiPriority w:val="0"/>
    <w:rPr>
      <w:rFonts w:hint="default" w:ascii="Calibri" w:hAnsi="Calibri" w:eastAsia="宋体" w:cs="Times New Roman"/>
      <w:sz w:val="18"/>
      <w:szCs w:val="18"/>
    </w:rPr>
  </w:style>
  <w:style w:type="character" w:customStyle="1" w:styleId="175">
    <w:name w:val="正文文本 2 Char3"/>
    <w:qFormat/>
    <w:uiPriority w:val="0"/>
    <w:rPr>
      <w:kern w:val="2"/>
      <w:sz w:val="21"/>
      <w:szCs w:val="22"/>
    </w:rPr>
  </w:style>
  <w:style w:type="character" w:customStyle="1" w:styleId="176">
    <w:name w:val="标题 7 字符"/>
    <w:qFormat/>
    <w:uiPriority w:val="9"/>
    <w:rPr>
      <w:rFonts w:hint="default" w:ascii="Calibri" w:hAnsi="Calibri" w:eastAsia="宋体" w:cs="Times New Roman"/>
      <w:b/>
      <w:bCs/>
      <w:sz w:val="24"/>
      <w:szCs w:val="24"/>
    </w:rPr>
  </w:style>
  <w:style w:type="character" w:customStyle="1" w:styleId="177">
    <w:name w:val="文档结构图 字符"/>
    <w:qFormat/>
    <w:uiPriority w:val="99"/>
    <w:rPr>
      <w:rFonts w:hint="eastAsia" w:ascii="Microsoft YaHei UI" w:hAnsi="Calibri" w:eastAsia="Microsoft YaHei UI" w:cs="Times New Roman"/>
      <w:sz w:val="18"/>
      <w:szCs w:val="18"/>
    </w:rPr>
  </w:style>
  <w:style w:type="character" w:customStyle="1" w:styleId="178">
    <w:name w:val="批注框文本 Char3"/>
    <w:qFormat/>
    <w:uiPriority w:val="0"/>
    <w:rPr>
      <w:kern w:val="2"/>
      <w:sz w:val="18"/>
      <w:szCs w:val="18"/>
    </w:rPr>
  </w:style>
  <w:style w:type="character" w:customStyle="1" w:styleId="179">
    <w:name w:val="标题 Char2"/>
    <w:qFormat/>
    <w:uiPriority w:val="0"/>
    <w:rPr>
      <w:rFonts w:hint="default" w:ascii="Cambria" w:hAnsi="Cambria" w:eastAsia="宋体" w:cs="Times New Roman"/>
      <w:b/>
      <w:bCs/>
      <w:sz w:val="32"/>
      <w:szCs w:val="32"/>
    </w:rPr>
  </w:style>
  <w:style w:type="character" w:customStyle="1" w:styleId="180">
    <w:name w:val="批注文字 Char5"/>
    <w:qFormat/>
    <w:uiPriority w:val="0"/>
    <w:rPr>
      <w:kern w:val="2"/>
      <w:sz w:val="21"/>
      <w:szCs w:val="22"/>
    </w:rPr>
  </w:style>
  <w:style w:type="character" w:customStyle="1" w:styleId="181">
    <w:name w:val="sep"/>
    <w:qFormat/>
    <w:uiPriority w:val="0"/>
    <w:rPr>
      <w:shd w:val="clear" w:color="auto" w:fill="EAEAEA"/>
    </w:rPr>
  </w:style>
  <w:style w:type="character" w:customStyle="1" w:styleId="182">
    <w:name w:val="Char Char27"/>
    <w:qFormat/>
    <w:uiPriority w:val="0"/>
    <w:rPr>
      <w:rFonts w:hint="default" w:ascii="Arial" w:hAnsi="Arial" w:eastAsia="宋体" w:cs="Times New Roman"/>
      <w:b/>
      <w:kern w:val="44"/>
      <w:sz w:val="28"/>
      <w:szCs w:val="28"/>
    </w:rPr>
  </w:style>
  <w:style w:type="character" w:customStyle="1" w:styleId="183">
    <w:name w:val="正文首行缩进 Char4"/>
    <w:qFormat/>
    <w:uiPriority w:val="0"/>
    <w:rPr>
      <w:rFonts w:ascii="Calibri" w:hAnsi="Calibri" w:eastAsia="宋体" w:cs="Times New Roman"/>
    </w:rPr>
  </w:style>
  <w:style w:type="character" w:customStyle="1" w:styleId="184">
    <w:name w:val="正文文本缩进 3 Char3"/>
    <w:qFormat/>
    <w:uiPriority w:val="0"/>
    <w:rPr>
      <w:kern w:val="2"/>
      <w:sz w:val="16"/>
      <w:szCs w:val="16"/>
    </w:rPr>
  </w:style>
  <w:style w:type="character" w:customStyle="1" w:styleId="185">
    <w:name w:val="正文首行缩进 Char3"/>
    <w:qFormat/>
    <w:uiPriority w:val="0"/>
    <w:rPr>
      <w:rFonts w:ascii="Calibri" w:hAnsi="Calibri" w:eastAsia="宋体" w:cs="Times New Roman"/>
    </w:rPr>
  </w:style>
  <w:style w:type="character" w:customStyle="1" w:styleId="186">
    <w:name w:val="标题 1 字符"/>
    <w:qFormat/>
    <w:uiPriority w:val="9"/>
    <w:rPr>
      <w:rFonts w:hint="default" w:ascii="Calibri" w:hAnsi="Calibri" w:eastAsia="宋体" w:cs="Times New Roman"/>
      <w:b/>
      <w:bCs/>
      <w:kern w:val="44"/>
      <w:sz w:val="44"/>
      <w:szCs w:val="44"/>
    </w:rPr>
  </w:style>
  <w:style w:type="character" w:customStyle="1" w:styleId="187">
    <w:name w:val="日期 Char3"/>
    <w:qFormat/>
    <w:uiPriority w:val="0"/>
    <w:rPr>
      <w:kern w:val="2"/>
      <w:sz w:val="21"/>
      <w:szCs w:val="22"/>
    </w:rPr>
  </w:style>
  <w:style w:type="character" w:customStyle="1" w:styleId="188">
    <w:name w:val="old"/>
    <w:qFormat/>
    <w:uiPriority w:val="0"/>
    <w:rPr>
      <w:color w:val="999999"/>
    </w:rPr>
  </w:style>
  <w:style w:type="character" w:customStyle="1" w:styleId="189">
    <w:name w:val="标题 3 字符"/>
    <w:qFormat/>
    <w:uiPriority w:val="9"/>
    <w:rPr>
      <w:rFonts w:hint="default" w:ascii="Calibri" w:hAnsi="Calibri" w:eastAsia="宋体" w:cs="Times New Roman"/>
      <w:b/>
      <w:bCs/>
      <w:sz w:val="32"/>
      <w:szCs w:val="32"/>
    </w:rPr>
  </w:style>
  <w:style w:type="character" w:customStyle="1" w:styleId="190">
    <w:name w:val="纯文本 Char3"/>
    <w:qFormat/>
    <w:uiPriority w:val="0"/>
    <w:rPr>
      <w:rFonts w:ascii="宋体" w:hAnsi="Courier New" w:cs="Courier New"/>
      <w:kern w:val="2"/>
      <w:sz w:val="21"/>
      <w:szCs w:val="21"/>
    </w:rPr>
  </w:style>
  <w:style w:type="character" w:customStyle="1" w:styleId="191">
    <w:name w:val="页脚 字符"/>
    <w:qFormat/>
    <w:uiPriority w:val="99"/>
    <w:rPr>
      <w:rFonts w:hint="default" w:ascii="Calibri" w:hAnsi="Calibri" w:eastAsia="宋体" w:cs="Times New Roman"/>
      <w:sz w:val="18"/>
      <w:szCs w:val="18"/>
    </w:rPr>
  </w:style>
  <w:style w:type="character" w:customStyle="1" w:styleId="192">
    <w:name w:val="标题 4 字符"/>
    <w:qFormat/>
    <w:uiPriority w:val="9"/>
    <w:rPr>
      <w:rFonts w:hint="eastAsia" w:ascii="等线 Light" w:hAnsi="等线 Light" w:eastAsia="等线 Light" w:cs="Times New Roman"/>
      <w:b/>
      <w:bCs/>
      <w:sz w:val="28"/>
      <w:szCs w:val="28"/>
    </w:rPr>
  </w:style>
  <w:style w:type="character" w:customStyle="1" w:styleId="193">
    <w:name w:val="正文文本缩进 字符"/>
    <w:qFormat/>
    <w:uiPriority w:val="99"/>
    <w:rPr>
      <w:rFonts w:hint="default" w:ascii="Calibri" w:hAnsi="Calibri" w:eastAsia="宋体" w:cs="Times New Roman"/>
    </w:rPr>
  </w:style>
  <w:style w:type="character" w:customStyle="1" w:styleId="194">
    <w:name w:val="标题 9 字符"/>
    <w:qFormat/>
    <w:uiPriority w:val="9"/>
    <w:rPr>
      <w:rFonts w:hint="eastAsia" w:ascii="等线 Light" w:hAnsi="等线 Light" w:eastAsia="等线 Light" w:cs="Times New Roman"/>
      <w:szCs w:val="21"/>
    </w:rPr>
  </w:style>
  <w:style w:type="character" w:customStyle="1" w:styleId="195">
    <w:name w:val="font51"/>
    <w:qFormat/>
    <w:uiPriority w:val="0"/>
    <w:rPr>
      <w:rFonts w:hint="eastAsia" w:ascii="宋体" w:hAnsi="宋体" w:eastAsia="宋体" w:cs="宋体"/>
      <w:color w:val="000000"/>
      <w:sz w:val="20"/>
      <w:szCs w:val="20"/>
      <w:u w:val="none"/>
    </w:rPr>
  </w:style>
  <w:style w:type="character" w:customStyle="1" w:styleId="196">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97">
    <w:name w:val="批注文字 Char1"/>
    <w:qFormat/>
    <w:uiPriority w:val="0"/>
    <w:rPr>
      <w:rFonts w:ascii="Calibri" w:hAnsi="Calibri" w:eastAsia="宋体" w:cs="Times New Roman"/>
      <w:kern w:val="2"/>
      <w:sz w:val="21"/>
      <w:szCs w:val="22"/>
    </w:rPr>
  </w:style>
  <w:style w:type="character" w:customStyle="1" w:styleId="198">
    <w:name w:val="批注文字 Char4"/>
    <w:qFormat/>
    <w:uiPriority w:val="0"/>
    <w:rPr>
      <w:rFonts w:hint="default" w:ascii="Times New Roman" w:hAnsi="Times New Roman" w:eastAsia="宋体" w:cs="Times New Roman"/>
      <w:kern w:val="2"/>
      <w:sz w:val="21"/>
      <w:szCs w:val="22"/>
    </w:rPr>
  </w:style>
  <w:style w:type="character" w:customStyle="1" w:styleId="199">
    <w:name w:val="正文编号 Char"/>
    <w:link w:val="200"/>
    <w:qFormat/>
    <w:uiPriority w:val="0"/>
    <w:rPr>
      <w:rFonts w:ascii="宋体" w:hAnsi="宋体"/>
      <w:sz w:val="24"/>
      <w:szCs w:val="24"/>
      <w:lang w:val="zh-CN"/>
    </w:rPr>
  </w:style>
  <w:style w:type="paragraph" w:customStyle="1" w:styleId="200">
    <w:name w:val="正文编号"/>
    <w:basedOn w:val="201"/>
    <w:link w:val="199"/>
    <w:qFormat/>
    <w:uiPriority w:val="0"/>
    <w:pPr>
      <w:widowControl/>
      <w:numPr>
        <w:ilvl w:val="0"/>
        <w:numId w:val="2"/>
      </w:numPr>
      <w:snapToGrid w:val="0"/>
      <w:spacing w:beforeLines="50" w:line="288" w:lineRule="auto"/>
      <w:ind w:firstLine="0" w:firstLineChars="0"/>
      <w:jc w:val="left"/>
    </w:pPr>
    <w:rPr>
      <w:rFonts w:ascii="宋体" w:hAnsi="宋体"/>
      <w:kern w:val="0"/>
      <w:sz w:val="24"/>
      <w:szCs w:val="24"/>
      <w:lang w:val="zh-CN"/>
    </w:rPr>
  </w:style>
  <w:style w:type="paragraph" w:styleId="201">
    <w:name w:val="List Paragraph"/>
    <w:basedOn w:val="1"/>
    <w:qFormat/>
    <w:uiPriority w:val="34"/>
    <w:pPr>
      <w:ind w:firstLine="420" w:firstLineChars="200"/>
    </w:pPr>
    <w:rPr>
      <w:rFonts w:ascii="Times New Roman" w:hAnsi="Times New Roman"/>
      <w:szCs w:val="20"/>
    </w:rPr>
  </w:style>
  <w:style w:type="character" w:customStyle="1" w:styleId="202">
    <w:name w:val="批注框文本 字符"/>
    <w:qFormat/>
    <w:uiPriority w:val="99"/>
    <w:rPr>
      <w:rFonts w:hint="default" w:ascii="Calibri" w:hAnsi="Calibri" w:eastAsia="宋体" w:cs="Times New Roman"/>
      <w:sz w:val="18"/>
      <w:szCs w:val="18"/>
    </w:rPr>
  </w:style>
  <w:style w:type="character" w:customStyle="1" w:styleId="203">
    <w:name w:val="页眉 字符"/>
    <w:qFormat/>
    <w:uiPriority w:val="99"/>
    <w:rPr>
      <w:rFonts w:hint="default" w:ascii="Calibri" w:hAnsi="Calibri" w:eastAsia="宋体" w:cs="Times New Roman"/>
      <w:sz w:val="18"/>
      <w:szCs w:val="18"/>
    </w:rPr>
  </w:style>
  <w:style w:type="paragraph" w:customStyle="1" w:styleId="204">
    <w:name w:val="Other|1"/>
    <w:basedOn w:val="1"/>
    <w:qFormat/>
    <w:uiPriority w:val="0"/>
    <w:pPr>
      <w:spacing w:line="228" w:lineRule="exact"/>
    </w:pPr>
    <w:rPr>
      <w:rFonts w:ascii="宋体" w:hAnsi="宋体" w:cs="宋体"/>
      <w:sz w:val="17"/>
      <w:szCs w:val="17"/>
      <w:lang w:val="zh-TW" w:eastAsia="zh-TW" w:bidi="zh-TW"/>
    </w:rPr>
  </w:style>
  <w:style w:type="paragraph" w:customStyle="1" w:styleId="205">
    <w:name w:val="BodyText"/>
    <w:basedOn w:val="1"/>
    <w:qFormat/>
    <w:uiPriority w:val="0"/>
    <w:pPr>
      <w:spacing w:after="120"/>
    </w:pPr>
    <w:rPr>
      <w:kern w:val="0"/>
      <w:sz w:val="20"/>
      <w:szCs w:val="20"/>
    </w:rPr>
  </w:style>
  <w:style w:type="paragraph" w:customStyle="1" w:styleId="206">
    <w:name w:val="表头"/>
    <w:basedOn w:val="1"/>
    <w:qFormat/>
    <w:uiPriority w:val="0"/>
    <w:pPr>
      <w:spacing w:line="360" w:lineRule="auto"/>
      <w:jc w:val="center"/>
    </w:pPr>
    <w:rPr>
      <w:rFonts w:ascii="黑体" w:hAnsi="Times New Roman" w:eastAsia="黑体"/>
      <w:kern w:val="0"/>
      <w:sz w:val="24"/>
      <w:szCs w:val="20"/>
    </w:rPr>
  </w:style>
  <w:style w:type="paragraph" w:customStyle="1" w:styleId="207">
    <w:name w:val="正文 New New"/>
    <w:basedOn w:val="1"/>
    <w:qFormat/>
    <w:uiPriority w:val="0"/>
    <w:rPr>
      <w:rFonts w:ascii="Times New Roman" w:hAnsi="Times New Roman" w:eastAsia="楷体_GB2312" w:cs="宋体"/>
      <w:szCs w:val="21"/>
    </w:rPr>
  </w:style>
  <w:style w:type="paragraph" w:customStyle="1" w:styleId="208">
    <w:name w:val="_Style 4"/>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customStyle="1" w:styleId="209">
    <w:name w:val="样式 宋体 行距: 1.5 倍行距"/>
    <w:basedOn w:val="1"/>
    <w:qFormat/>
    <w:uiPriority w:val="0"/>
    <w:pPr>
      <w:jc w:val="center"/>
    </w:pPr>
    <w:rPr>
      <w:rFonts w:ascii="Times New Roman" w:hAnsi="Times New Roman"/>
      <w:b/>
      <w:szCs w:val="20"/>
    </w:rPr>
  </w:style>
  <w:style w:type="paragraph" w:customStyle="1" w:styleId="210">
    <w:name w:val="列表段落1"/>
    <w:basedOn w:val="1"/>
    <w:qFormat/>
    <w:uiPriority w:val="34"/>
    <w:pPr>
      <w:ind w:firstLine="420"/>
    </w:pPr>
  </w:style>
  <w:style w:type="paragraph" w:customStyle="1" w:styleId="211">
    <w:name w:val="TOC 标题1"/>
    <w:basedOn w:val="2"/>
    <w:next w:val="1"/>
    <w:qFormat/>
    <w:uiPriority w:val="0"/>
    <w:pPr>
      <w:widowControl/>
      <w:spacing w:before="480" w:after="0" w:line="276" w:lineRule="auto"/>
      <w:outlineLvl w:val="9"/>
    </w:pPr>
    <w:rPr>
      <w:rFonts w:ascii="Cambria" w:hAnsi="Cambria"/>
      <w:color w:val="365F91"/>
      <w:kern w:val="0"/>
    </w:rPr>
  </w:style>
  <w:style w:type="paragraph" w:customStyle="1" w:styleId="212">
    <w:name w:val="Char Char Char Char"/>
    <w:basedOn w:val="1"/>
    <w:qFormat/>
    <w:uiPriority w:val="0"/>
    <w:rPr>
      <w:rFonts w:ascii="Times New Roman" w:hAnsi="Times New Roman"/>
      <w:sz w:val="30"/>
      <w:szCs w:val="24"/>
    </w:rPr>
  </w:style>
  <w:style w:type="paragraph" w:customStyle="1" w:styleId="213">
    <w:name w:val="表内文字"/>
    <w:basedOn w:val="1"/>
    <w:qFormat/>
    <w:uiPriority w:val="0"/>
    <w:pPr>
      <w:spacing w:line="240" w:lineRule="atLeast"/>
      <w:jc w:val="center"/>
    </w:pPr>
    <w:rPr>
      <w:rFonts w:ascii="Times New Roman" w:hAnsi="Times New Roman"/>
      <w:b/>
      <w:snapToGrid w:val="0"/>
      <w:kern w:val="0"/>
      <w:sz w:val="15"/>
      <w:lang w:val="zh-CN"/>
    </w:rPr>
  </w:style>
  <w:style w:type="paragraph" w:customStyle="1" w:styleId="214">
    <w:name w:val="2"/>
    <w:next w:val="1"/>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15">
    <w:name w:val="章节三"/>
    <w:basedOn w:val="135"/>
    <w:next w:val="135"/>
    <w:qFormat/>
    <w:uiPriority w:val="0"/>
    <w:pPr>
      <w:spacing w:beforeLines="50" w:line="240" w:lineRule="auto"/>
      <w:ind w:firstLine="0" w:firstLineChars="0"/>
      <w:jc w:val="left"/>
      <w:outlineLvl w:val="2"/>
    </w:pPr>
    <w:rPr>
      <w:rFonts w:ascii="黑体" w:hAnsi="宋体" w:eastAsia="黑体"/>
      <w:b/>
    </w:rPr>
  </w:style>
  <w:style w:type="paragraph" w:customStyle="1" w:styleId="216">
    <w:name w:val="_Style 60"/>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7">
    <w:name w:val="Char1"/>
    <w:basedOn w:val="1"/>
    <w:qFormat/>
    <w:uiPriority w:val="0"/>
    <w:pPr>
      <w:ind w:left="567" w:hanging="279"/>
    </w:pPr>
    <w:rPr>
      <w:rFonts w:ascii="Times New Roman" w:hAnsi="Times New Roman"/>
      <w:sz w:val="24"/>
      <w:szCs w:val="24"/>
    </w:rPr>
  </w:style>
  <w:style w:type="paragraph" w:customStyle="1" w:styleId="218">
    <w:name w:val=" Char Char Char1 Char Char Char Char Char Char Char Char Char Char Char Char Char"/>
    <w:basedOn w:val="12"/>
    <w:qFormat/>
    <w:uiPriority w:val="0"/>
    <w:rPr>
      <w:rFonts w:ascii="Tahoma" w:hAnsi="Tahoma"/>
      <w:sz w:val="24"/>
      <w:szCs w:val="24"/>
    </w:rPr>
  </w:style>
  <w:style w:type="paragraph" w:customStyle="1" w:styleId="219">
    <w:name w:val="Default"/>
    <w:basedOn w:val="220"/>
    <w:next w:val="1"/>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paragraph" w:customStyle="1" w:styleId="220">
    <w:name w:val="Normal_0"/>
    <w:next w:val="219"/>
    <w:qFormat/>
    <w:uiPriority w:val="0"/>
    <w:pPr>
      <w:widowControl w:val="0"/>
      <w:jc w:val="both"/>
    </w:pPr>
    <w:rPr>
      <w:rFonts w:ascii="Calibri" w:hAnsi="Calibri" w:eastAsia="宋体" w:cs="Times New Roman"/>
      <w:szCs w:val="21"/>
      <w:lang w:val="en-US" w:eastAsia="zh-CN" w:bidi="ar-SA"/>
    </w:rPr>
  </w:style>
  <w:style w:type="paragraph" w:customStyle="1" w:styleId="221">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2">
    <w:name w:val="章节二"/>
    <w:basedOn w:val="1"/>
    <w:next w:val="1"/>
    <w:qFormat/>
    <w:uiPriority w:val="0"/>
    <w:pPr>
      <w:topLinePunct/>
      <w:adjustRightInd w:val="0"/>
      <w:snapToGrid w:val="0"/>
      <w:spacing w:beforeLines="50"/>
      <w:jc w:val="center"/>
      <w:outlineLvl w:val="1"/>
    </w:pPr>
    <w:rPr>
      <w:rFonts w:ascii="Times New Roman" w:hAnsi="Times New Roman" w:eastAsia="黑体"/>
      <w:b/>
      <w:spacing w:val="4"/>
      <w:kern w:val="0"/>
      <w:sz w:val="30"/>
      <w:szCs w:val="30"/>
    </w:rPr>
  </w:style>
  <w:style w:type="paragraph" w:customStyle="1" w:styleId="223">
    <w:name w:val="_Style 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4">
    <w:name w:val="正文1"/>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2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227">
    <w:name w:val="Body text|3"/>
    <w:basedOn w:val="1"/>
    <w:qFormat/>
    <w:uiPriority w:val="0"/>
    <w:rPr>
      <w:rFonts w:ascii="宋体" w:hAnsi="宋体" w:cs="宋体"/>
      <w:sz w:val="20"/>
      <w:szCs w:val="20"/>
      <w:lang w:val="zh-TW" w:eastAsia="zh-TW" w:bidi="zh-TW"/>
    </w:rPr>
  </w:style>
  <w:style w:type="paragraph" w:customStyle="1" w:styleId="228">
    <w:name w:val="4、"/>
    <w:basedOn w:val="135"/>
    <w:next w:val="1"/>
    <w:qFormat/>
    <w:uiPriority w:val="0"/>
    <w:pPr>
      <w:widowControl/>
      <w:spacing w:beforeLines="50" w:afterLines="50"/>
      <w:jc w:val="left"/>
      <w:outlineLvl w:val="3"/>
    </w:pPr>
  </w:style>
  <w:style w:type="paragraph" w:customStyle="1" w:styleId="229">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230">
    <w:name w:val="发文落款"/>
    <w:basedOn w:val="225"/>
    <w:qFormat/>
    <w:uiPriority w:val="0"/>
    <w:pPr>
      <w:ind w:left="4094" w:right="607" w:firstLine="0"/>
      <w:jc w:val="center"/>
    </w:pPr>
    <w:rPr>
      <w:rFonts w:ascii="Calibri" w:hAnsi="Calibri" w:eastAsia="宋体"/>
    </w:rPr>
  </w:style>
  <w:style w:type="paragraph" w:customStyle="1" w:styleId="231">
    <w:name w:val="公文抬头"/>
    <w:basedOn w:val="6"/>
    <w:qFormat/>
    <w:uiPriority w:val="0"/>
    <w:pPr>
      <w:ind w:firstLine="0"/>
    </w:pPr>
    <w:rPr>
      <w:rFonts w:ascii="仿宋_GB2312" w:hAnsi="Calibri" w:eastAsia="仿宋_GB2312"/>
      <w:sz w:val="30"/>
      <w:szCs w:val="24"/>
    </w:rPr>
  </w:style>
  <w:style w:type="paragraph" w:customStyle="1" w:styleId="23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封二"/>
    <w:basedOn w:val="135"/>
    <w:next w:val="135"/>
    <w:qFormat/>
    <w:uiPriority w:val="0"/>
    <w:pPr>
      <w:ind w:firstLine="0" w:firstLineChars="0"/>
      <w:jc w:val="center"/>
    </w:pPr>
    <w:rPr>
      <w:rFonts w:eastAsia="黑体"/>
      <w:b/>
      <w:sz w:val="36"/>
      <w:szCs w:val="36"/>
    </w:rPr>
  </w:style>
  <w:style w:type="paragraph" w:customStyle="1" w:styleId="234">
    <w:name w:val="_Style 25"/>
    <w:basedOn w:val="1"/>
    <w:next w:val="1"/>
    <w:qFormat/>
    <w:uiPriority w:val="0"/>
  </w:style>
  <w:style w:type="paragraph" w:customStyle="1" w:styleId="235">
    <w:name w:val="封一"/>
    <w:basedOn w:val="135"/>
    <w:next w:val="135"/>
    <w:qFormat/>
    <w:uiPriority w:val="0"/>
    <w:pPr>
      <w:ind w:firstLine="0" w:firstLineChars="0"/>
      <w:jc w:val="center"/>
    </w:pPr>
    <w:rPr>
      <w:rFonts w:eastAsia="黑体"/>
      <w:b/>
      <w:sz w:val="84"/>
      <w:szCs w:val="84"/>
    </w:rPr>
  </w:style>
  <w:style w:type="paragraph" w:customStyle="1" w:styleId="23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37">
    <w:name w:val="_Style 236"/>
    <w:qFormat/>
    <w:uiPriority w:val="99"/>
    <w:rPr>
      <w:rFonts w:ascii="Times New Roman" w:hAnsi="Times New Roman" w:eastAsia="宋体" w:cs="Times New Roman"/>
      <w:kern w:val="2"/>
      <w:sz w:val="21"/>
      <w:lang w:val="en-US" w:eastAsia="zh-CN" w:bidi="ar-SA"/>
    </w:rPr>
  </w:style>
  <w:style w:type="paragraph" w:customStyle="1" w:styleId="238">
    <w:name w:val="文提"/>
    <w:basedOn w:val="135"/>
    <w:qFormat/>
    <w:uiPriority w:val="0"/>
    <w:pPr>
      <w:ind w:firstLine="0" w:firstLineChars="0"/>
    </w:pPr>
    <w:rPr>
      <w:rFonts w:eastAsia="黑体" w:cs="宋体"/>
      <w:b/>
    </w:rPr>
  </w:style>
  <w:style w:type="paragraph" w:customStyle="1" w:styleId="239">
    <w:name w:val="公文标题"/>
    <w:basedOn w:val="4"/>
    <w:qFormat/>
    <w:uiPriority w:val="0"/>
    <w:pPr>
      <w:keepNext/>
      <w:keepLines/>
      <w:widowControl w:val="0"/>
      <w:spacing w:before="0" w:beforeAutospacing="0" w:after="0" w:afterAutospacing="0"/>
      <w:ind w:left="1469" w:right="1542"/>
    </w:pPr>
    <w:rPr>
      <w:rFonts w:ascii="Calibri" w:hAnsi="Times New Roman"/>
      <w:b/>
      <w:kern w:val="2"/>
      <w:sz w:val="44"/>
      <w:szCs w:val="21"/>
    </w:rPr>
  </w:style>
  <w:style w:type="paragraph" w:customStyle="1" w:styleId="240">
    <w:name w:val="文二"/>
    <w:basedOn w:val="1"/>
    <w:qFormat/>
    <w:uiPriority w:val="0"/>
    <w:pPr>
      <w:jc w:val="left"/>
    </w:pPr>
    <w:rPr>
      <w:rFonts w:ascii="宋体" w:hAnsi="宋体"/>
      <w:szCs w:val="21"/>
    </w:rPr>
  </w:style>
  <w:style w:type="paragraph" w:customStyle="1" w:styleId="241">
    <w:name w:val="Char Char Char1 Char"/>
    <w:basedOn w:val="12"/>
    <w:qFormat/>
    <w:uiPriority w:val="0"/>
    <w:rPr>
      <w:rFonts w:ascii="Tahoma" w:hAnsi="Tahoma"/>
      <w:sz w:val="24"/>
      <w:szCs w:val="24"/>
    </w:rPr>
  </w:style>
  <w:style w:type="paragraph" w:customStyle="1" w:styleId="242">
    <w:name w:val="_Style 72"/>
    <w:basedOn w:val="1"/>
    <w:next w:val="1"/>
    <w:qFormat/>
    <w:uiPriority w:val="0"/>
  </w:style>
  <w:style w:type="paragraph" w:customStyle="1" w:styleId="243">
    <w:name w:val="_Style 132"/>
    <w:basedOn w:val="16"/>
    <w:next w:val="15"/>
    <w:qFormat/>
    <w:uiPriority w:val="0"/>
    <w:pPr>
      <w:spacing w:after="120"/>
      <w:ind w:left="420" w:leftChars="200" w:firstLine="420" w:firstLineChars="200"/>
    </w:pPr>
    <w:rPr>
      <w:kern w:val="0"/>
      <w:sz w:val="20"/>
    </w:rPr>
  </w:style>
  <w:style w:type="paragraph" w:customStyle="1" w:styleId="244">
    <w:name w:val="正题"/>
    <w:basedOn w:val="135"/>
    <w:next w:val="135"/>
    <w:qFormat/>
    <w:uiPriority w:val="0"/>
    <w:pPr>
      <w:ind w:firstLine="0" w:firstLineChars="0"/>
      <w:jc w:val="center"/>
    </w:pPr>
    <w:rPr>
      <w:rFonts w:eastAsia="黑体"/>
      <w:b/>
      <w:sz w:val="36"/>
      <w:szCs w:val="36"/>
    </w:rPr>
  </w:style>
  <w:style w:type="paragraph" w:customStyle="1" w:styleId="245">
    <w:name w:val="_Style 244"/>
    <w:basedOn w:val="2"/>
    <w:next w:val="1"/>
    <w:qFormat/>
    <w:uiPriority w:val="39"/>
    <w:pPr>
      <w:widowControl/>
      <w:spacing w:before="480" w:after="0" w:line="276" w:lineRule="auto"/>
      <w:outlineLvl w:val="9"/>
    </w:pPr>
    <w:rPr>
      <w:rFonts w:ascii="Cambria" w:hAnsi="Cambria"/>
      <w:color w:val="365F91"/>
      <w:kern w:val="0"/>
    </w:rPr>
  </w:style>
  <w:style w:type="paragraph" w:customStyle="1" w:styleId="246">
    <w:name w:val="封四"/>
    <w:basedOn w:val="135"/>
    <w:next w:val="135"/>
    <w:qFormat/>
    <w:uiPriority w:val="0"/>
    <w:pPr>
      <w:jc w:val="left"/>
    </w:pPr>
    <w:rPr>
      <w:sz w:val="30"/>
      <w:szCs w:val="30"/>
    </w:rPr>
  </w:style>
  <w:style w:type="paragraph" w:customStyle="1" w:styleId="247">
    <w:name w:val="Char"/>
    <w:basedOn w:val="1"/>
    <w:qFormat/>
    <w:uiPriority w:val="0"/>
    <w:rPr>
      <w:rFonts w:ascii="Tahoma" w:hAnsi="Tahoma"/>
      <w:sz w:val="24"/>
      <w:szCs w:val="20"/>
    </w:rPr>
  </w:style>
  <w:style w:type="paragraph" w:customStyle="1" w:styleId="248">
    <w:name w:val="修订1"/>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106</Pages>
  <Words>71017</Words>
  <Characters>74059</Characters>
  <Lines>1</Lines>
  <Paragraphs>1</Paragraphs>
  <TotalTime>30</TotalTime>
  <ScaleCrop>false</ScaleCrop>
  <LinksUpToDate>false</LinksUpToDate>
  <CharactersWithSpaces>77435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2025-08-06T10:05:00Z</dcterms:created>
  <dc:creator>未定义</dc:creator>
  <cp:lastModifiedBy>代理机构</cp:lastModifiedBy>
  <cp:lastPrinted>2025-12-08T06:53:00Z</cp:lastPrinted>
  <dcterms:modified xsi:type="dcterms:W3CDTF">2025-12-11T12:46:02Z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12C3BCA2E1F249C3AEC8EAD46210C272_13</vt:lpwstr>
  </property>
  <property fmtid="{D5CDD505-2E9C-101B-9397-08002B2CF9AE}" pid="4" name="KSOTemplateDocerSaveRecord">
    <vt:lpwstr>eyJoZGlkIjoiNDA5YTE4OWE0ODhhZTc0MDliNmNmNDZjODMyOWQyYzMiLCJ1c2VySWQiOiIxNzg3NjIyMyJ9</vt:lpwstr>
  </property>
</Properties>
</file>