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C0BDB">
      <w:pPr>
        <w:pStyle w:val="4"/>
        <w:adjustRightInd w:val="0"/>
        <w:snapToGrid w:val="0"/>
        <w:spacing w:before="156" w:beforeLines="50" w:line="360" w:lineRule="auto"/>
        <w:jc w:val="center"/>
        <w:rPr>
          <w:rFonts w:ascii="宋体" w:eastAsia="宋体"/>
          <w:b/>
          <w:bCs/>
          <w:sz w:val="44"/>
        </w:rPr>
      </w:pPr>
      <w:r>
        <w:rPr>
          <w:rFonts w:hint="eastAsia" w:ascii="宋体" w:eastAsia="宋体"/>
          <w:b/>
          <w:bCs/>
          <w:sz w:val="44"/>
        </w:rPr>
        <w:t>广东省皮肤性病防治中心(南方医科大学皮肤病医院)白云院区建设项目施工总承包工程</w:t>
      </w:r>
    </w:p>
    <w:p w14:paraId="5E7E6BCE">
      <w:pPr>
        <w:pStyle w:val="4"/>
        <w:adjustRightInd w:val="0"/>
        <w:snapToGrid w:val="0"/>
        <w:spacing w:before="156" w:beforeLines="50" w:line="360" w:lineRule="auto"/>
        <w:jc w:val="center"/>
        <w:rPr>
          <w:rFonts w:ascii="宋体" w:eastAsia="宋体"/>
          <w:b/>
          <w:bCs/>
          <w:sz w:val="44"/>
        </w:rPr>
      </w:pPr>
      <w:r>
        <w:rPr>
          <w:rFonts w:hint="eastAsia" w:ascii="宋体" w:eastAsia="宋体"/>
          <w:b/>
          <w:bCs/>
          <w:sz w:val="44"/>
        </w:rPr>
        <w:t>工程量清单编制说明</w:t>
      </w:r>
    </w:p>
    <w:p w14:paraId="743D5201">
      <w:pPr>
        <w:pStyle w:val="2"/>
        <w:spacing w:before="0" w:after="0" w:line="560" w:lineRule="exact"/>
        <w:ind w:firstLine="643" w:firstLineChars="200"/>
        <w:rPr>
          <w:rFonts w:ascii="黑体" w:hAnsi="Times New Roman" w:eastAsia="黑体" w:cs="Times New Roman"/>
          <w:sz w:val="32"/>
          <w:szCs w:val="32"/>
        </w:rPr>
      </w:pPr>
      <w:r>
        <w:rPr>
          <w:rFonts w:hint="eastAsia" w:ascii="黑体" w:hAnsi="Times New Roman" w:eastAsia="黑体" w:cs="Times New Roman"/>
          <w:sz w:val="32"/>
          <w:szCs w:val="32"/>
        </w:rPr>
        <w:t>一、项目概况</w:t>
      </w:r>
    </w:p>
    <w:p w14:paraId="1FEE23ED">
      <w:pPr>
        <w:tabs>
          <w:tab w:val="left" w:pos="900"/>
          <w:tab w:val="left" w:pos="1080"/>
        </w:tabs>
        <w:spacing w:line="560" w:lineRule="exact"/>
        <w:ind w:firstLine="640" w:firstLineChars="200"/>
        <w:rPr>
          <w:rFonts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（一）工程名称：</w:t>
      </w:r>
      <w:r>
        <w:rPr>
          <w:rFonts w:hint="eastAsia" w:ascii="仿宋_GB2312" w:hAnsi="Times New Roman" w:eastAsia="仿宋_GB2312" w:cs="Times New Roman"/>
          <w:sz w:val="32"/>
          <w:szCs w:val="32"/>
        </w:rPr>
        <w:t>广东省皮肤性病防治中心（南方医科大学皮肤病医院）白云院区建设项目施工总承包</w:t>
      </w:r>
      <w:r>
        <w:rPr>
          <w:rFonts w:hint="eastAsia" w:ascii="仿宋_GB2312" w:hAnsi="Times New Roman" w:eastAsia="仿宋_GB2312" w:cs="Times New Roman"/>
          <w:snapToGrid w:val="0"/>
          <w:kern w:val="0"/>
          <w:sz w:val="32"/>
          <w:szCs w:val="24"/>
        </w:rPr>
        <w:t>。</w:t>
      </w:r>
    </w:p>
    <w:p w14:paraId="1B6E2369">
      <w:pPr>
        <w:tabs>
          <w:tab w:val="left" w:pos="900"/>
          <w:tab w:val="left" w:pos="1080"/>
        </w:tabs>
        <w:spacing w:line="560" w:lineRule="exact"/>
        <w:ind w:firstLine="640" w:firstLineChars="200"/>
        <w:rPr>
          <w:rFonts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（二）工程地点:位于广东省广州市白云区石门街红星村珠岗路两侧。</w:t>
      </w:r>
    </w:p>
    <w:p w14:paraId="059087CE">
      <w:pPr>
        <w:tabs>
          <w:tab w:val="left" w:pos="900"/>
          <w:tab w:val="left" w:pos="1080"/>
        </w:tabs>
        <w:spacing w:line="560" w:lineRule="exact"/>
        <w:ind w:firstLine="640" w:firstLineChars="200"/>
        <w:rPr>
          <w:rFonts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（三）实施单位</w:t>
      </w:r>
    </w:p>
    <w:p w14:paraId="34551732">
      <w:pPr>
        <w:tabs>
          <w:tab w:val="left" w:pos="900"/>
          <w:tab w:val="left" w:pos="1080"/>
        </w:tabs>
        <w:spacing w:line="560" w:lineRule="exact"/>
        <w:ind w:firstLine="640" w:firstLineChars="200"/>
        <w:rPr>
          <w:rFonts w:hint="eastAsia" w:ascii="仿宋_GB2312" w:hAnsi="宋体" w:eastAsia="仿宋_GB2312" w:cs="Times New Roman"/>
          <w:sz w:val="32"/>
          <w:szCs w:val="32"/>
        </w:rPr>
      </w:pPr>
      <w:r>
        <w:rPr>
          <w:rFonts w:hint="eastAsia" w:ascii="仿宋_GB2312" w:hAnsi="Times New Roman" w:eastAsia="仿宋_GB2312" w:cs="Times New Roman"/>
          <w:snapToGrid w:val="0"/>
          <w:kern w:val="0"/>
          <w:sz w:val="32"/>
          <w:szCs w:val="24"/>
        </w:rPr>
        <w:t>1.</w:t>
      </w:r>
      <w:r>
        <w:rPr>
          <w:rFonts w:hint="eastAsia" w:ascii="仿宋_GB2312" w:hAnsi="Times New Roman" w:eastAsia="仿宋_GB2312" w:cs="Times New Roman"/>
          <w:snapToGrid w:val="0"/>
          <w:kern w:val="0"/>
          <w:sz w:val="32"/>
          <w:szCs w:val="32"/>
        </w:rPr>
        <w:t>建设单位：</w:t>
      </w:r>
      <w:r>
        <w:rPr>
          <w:rFonts w:hint="eastAsia" w:ascii="仿宋_GB2312" w:hAnsi="Times New Roman" w:eastAsia="仿宋_GB2312" w:cs="Times New Roman"/>
          <w:sz w:val="32"/>
          <w:szCs w:val="32"/>
        </w:rPr>
        <w:t>南方医科大学皮肤病医院（广东省皮肤病医院、广东省皮肤性病防治中心、中国麻风防治研究中心）；</w:t>
      </w:r>
    </w:p>
    <w:p w14:paraId="20831E03">
      <w:pPr>
        <w:tabs>
          <w:tab w:val="left" w:pos="900"/>
          <w:tab w:val="left" w:pos="1080"/>
        </w:tabs>
        <w:spacing w:line="560" w:lineRule="exact"/>
        <w:ind w:firstLine="640" w:firstLineChars="200"/>
        <w:rPr>
          <w:rFonts w:hint="eastAsia" w:ascii="仿宋_GB2312" w:hAnsi="宋体" w:eastAsia="仿宋_GB2312" w:cs="Times New Roman"/>
          <w:sz w:val="32"/>
          <w:szCs w:val="32"/>
        </w:rPr>
      </w:pPr>
      <w:r>
        <w:rPr>
          <w:rFonts w:hint="eastAsia" w:ascii="仿宋_GB2312" w:hAnsi="Times New Roman" w:eastAsia="仿宋_GB2312" w:cs="Times New Roman"/>
          <w:snapToGrid w:val="0"/>
          <w:kern w:val="0"/>
          <w:sz w:val="32"/>
          <w:szCs w:val="24"/>
        </w:rPr>
        <w:t>2.</w:t>
      </w:r>
      <w:r>
        <w:rPr>
          <w:rFonts w:hint="eastAsia" w:ascii="仿宋_GB2312" w:hAnsi="Times New Roman" w:eastAsia="仿宋_GB2312" w:cs="Times New Roman"/>
          <w:snapToGrid w:val="0"/>
          <w:kern w:val="0"/>
          <w:sz w:val="32"/>
          <w:szCs w:val="32"/>
        </w:rPr>
        <w:t>设计单位</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广东华方工程设计有限公司（联合体牵头人）、广州地铁设计研究院股份有限公司（联合体成员方）。</w:t>
      </w:r>
    </w:p>
    <w:p w14:paraId="10FB58E7">
      <w:pPr>
        <w:tabs>
          <w:tab w:val="left" w:pos="629"/>
          <w:tab w:val="left" w:pos="900"/>
          <w:tab w:val="left" w:pos="1080"/>
        </w:tabs>
        <w:spacing w:line="520" w:lineRule="exact"/>
        <w:ind w:firstLine="640" w:firstLineChars="200"/>
        <w:rPr>
          <w:rFonts w:hint="eastAsia" w:ascii="仿宋_GB2312" w:hAnsi="Times New Roman" w:eastAsia="仿宋_GB2312" w:cs="Times New Roman"/>
          <w:snapToGrid w:val="0"/>
          <w:kern w:val="0"/>
          <w:sz w:val="32"/>
          <w:szCs w:val="32"/>
          <w:lang w:eastAsia="zh-CN"/>
        </w:rPr>
      </w:pPr>
      <w:r>
        <w:rPr>
          <w:rFonts w:hint="eastAsia" w:ascii="仿宋_GB2312" w:hAnsi="Times New Roman" w:eastAsia="仿宋_GB2312" w:cs="Times New Roman"/>
          <w:snapToGrid w:val="0"/>
          <w:kern w:val="0"/>
          <w:sz w:val="32"/>
          <w:szCs w:val="32"/>
        </w:rPr>
        <w:t>（四）项目内容</w:t>
      </w:r>
    </w:p>
    <w:p w14:paraId="6F190422">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本项目为广东省皮肤性病防治中心（南方医科大学皮肤病医院）白云院区建设项目。主要内容包括：门诊、急诊、医技、住院、行政后勤、保障系统、科研实验、地下车库、设备用房、室外工程、地下人防工程等。病床数500床，总占地面积52532.56</w:t>
      </w:r>
      <w:r>
        <w:rPr>
          <w:rFonts w:hint="eastAsia" w:ascii="仿宋_GB2312" w:hAnsi="Times New Roman" w:eastAsia="仿宋_GB2312" w:cs="Times New Roman"/>
          <w:snapToGrid w:val="0"/>
          <w:kern w:val="0"/>
          <w:sz w:val="32"/>
          <w:szCs w:val="24"/>
          <w:lang w:val="en-US" w:eastAsia="zh-CN"/>
        </w:rPr>
        <w:t>m</w:t>
      </w:r>
      <w:r>
        <w:rPr>
          <w:rFonts w:hint="eastAsia" w:ascii="仿宋_GB2312" w:hAnsi="Times New Roman" w:eastAsia="仿宋_GB2312" w:cs="Times New Roman"/>
          <w:snapToGrid w:val="0"/>
          <w:kern w:val="0"/>
          <w:sz w:val="32"/>
          <w:szCs w:val="24"/>
          <w:vertAlign w:val="superscript"/>
          <w:lang w:val="en-US" w:eastAsia="zh-CN"/>
        </w:rPr>
        <w:t>2</w:t>
      </w:r>
      <w:r>
        <w:rPr>
          <w:rFonts w:hint="eastAsia" w:ascii="仿宋_GB2312" w:hAnsi="Times New Roman" w:eastAsia="仿宋_GB2312" w:cs="Times New Roman"/>
          <w:snapToGrid w:val="0"/>
          <w:kern w:val="0"/>
          <w:sz w:val="32"/>
          <w:szCs w:val="24"/>
        </w:rPr>
        <w:t>，总建筑面积108139.15</w:t>
      </w:r>
      <w:r>
        <w:rPr>
          <w:rFonts w:hint="eastAsia" w:ascii="仿宋_GB2312" w:hAnsi="Times New Roman" w:eastAsia="仿宋_GB2312" w:cs="Times New Roman"/>
          <w:snapToGrid w:val="0"/>
          <w:kern w:val="0"/>
          <w:sz w:val="32"/>
          <w:szCs w:val="24"/>
          <w:lang w:val="en-US" w:eastAsia="zh-CN"/>
        </w:rPr>
        <w:t>m</w:t>
      </w:r>
      <w:r>
        <w:rPr>
          <w:rFonts w:hint="eastAsia" w:ascii="仿宋_GB2312" w:hAnsi="Times New Roman" w:eastAsia="仿宋_GB2312" w:cs="Times New Roman"/>
          <w:snapToGrid w:val="0"/>
          <w:kern w:val="0"/>
          <w:sz w:val="32"/>
          <w:szCs w:val="24"/>
          <w:vertAlign w:val="superscript"/>
          <w:lang w:val="en-US" w:eastAsia="zh-CN"/>
        </w:rPr>
        <w:t>2</w:t>
      </w:r>
      <w:r>
        <w:rPr>
          <w:rFonts w:hint="eastAsia" w:ascii="仿宋_GB2312" w:hAnsi="Times New Roman" w:eastAsia="仿宋_GB2312" w:cs="Times New Roman"/>
          <w:snapToGrid w:val="0"/>
          <w:kern w:val="0"/>
          <w:sz w:val="32"/>
          <w:szCs w:val="24"/>
        </w:rPr>
        <w:t>（即工程规划许可证载明的建筑面积），其中：1#医院楼1幢，地上15层，73332.89</w:t>
      </w:r>
      <w:r>
        <w:rPr>
          <w:rFonts w:hint="eastAsia" w:ascii="仿宋_GB2312" w:hAnsi="Times New Roman" w:eastAsia="仿宋_GB2312" w:cs="Times New Roman"/>
          <w:snapToGrid w:val="0"/>
          <w:kern w:val="0"/>
          <w:sz w:val="32"/>
          <w:szCs w:val="24"/>
          <w:lang w:val="en-US" w:eastAsia="zh-CN"/>
        </w:rPr>
        <w:t>m</w:t>
      </w:r>
      <w:r>
        <w:rPr>
          <w:rFonts w:hint="eastAsia" w:ascii="仿宋_GB2312" w:hAnsi="Times New Roman" w:eastAsia="仿宋_GB2312" w:cs="Times New Roman"/>
          <w:snapToGrid w:val="0"/>
          <w:kern w:val="0"/>
          <w:sz w:val="32"/>
          <w:szCs w:val="24"/>
          <w:vertAlign w:val="superscript"/>
          <w:lang w:val="en-US" w:eastAsia="zh-CN"/>
        </w:rPr>
        <w:t>2</w:t>
      </w:r>
      <w:r>
        <w:rPr>
          <w:rFonts w:hint="eastAsia" w:ascii="仿宋_GB2312" w:hAnsi="Times New Roman" w:eastAsia="仿宋_GB2312" w:cs="Times New Roman"/>
          <w:snapToGrid w:val="0"/>
          <w:kern w:val="0"/>
          <w:sz w:val="32"/>
          <w:szCs w:val="24"/>
        </w:rPr>
        <w:t>；2#、3#梯屋各1幢，地上一层，均为30.6</w:t>
      </w:r>
      <w:r>
        <w:rPr>
          <w:rFonts w:hint="eastAsia" w:ascii="仿宋_GB2312" w:hAnsi="Times New Roman" w:eastAsia="仿宋_GB2312" w:cs="Times New Roman"/>
          <w:snapToGrid w:val="0"/>
          <w:kern w:val="0"/>
          <w:sz w:val="32"/>
          <w:szCs w:val="24"/>
          <w:lang w:val="en-US" w:eastAsia="zh-CN"/>
        </w:rPr>
        <w:t>m</w:t>
      </w:r>
      <w:r>
        <w:rPr>
          <w:rFonts w:hint="eastAsia" w:ascii="仿宋_GB2312" w:hAnsi="Times New Roman" w:eastAsia="仿宋_GB2312" w:cs="Times New Roman"/>
          <w:snapToGrid w:val="0"/>
          <w:kern w:val="0"/>
          <w:sz w:val="32"/>
          <w:szCs w:val="24"/>
          <w:vertAlign w:val="superscript"/>
          <w:lang w:val="en-US" w:eastAsia="zh-CN"/>
        </w:rPr>
        <w:t>2</w:t>
      </w:r>
      <w:r>
        <w:rPr>
          <w:rFonts w:hint="eastAsia" w:ascii="仿宋_GB2312" w:hAnsi="Times New Roman" w:eastAsia="仿宋_GB2312" w:cs="Times New Roman"/>
          <w:snapToGrid w:val="0"/>
          <w:kern w:val="0"/>
          <w:sz w:val="32"/>
          <w:szCs w:val="24"/>
        </w:rPr>
        <w:t>；地下室1幢，地下二层，34745.06</w:t>
      </w:r>
      <w:r>
        <w:rPr>
          <w:rFonts w:hint="eastAsia" w:ascii="仿宋_GB2312" w:hAnsi="Times New Roman" w:eastAsia="仿宋_GB2312" w:cs="Times New Roman"/>
          <w:snapToGrid w:val="0"/>
          <w:kern w:val="0"/>
          <w:sz w:val="32"/>
          <w:szCs w:val="24"/>
          <w:lang w:val="en-US" w:eastAsia="zh-CN"/>
        </w:rPr>
        <w:t>m</w:t>
      </w:r>
      <w:r>
        <w:rPr>
          <w:rFonts w:hint="eastAsia" w:ascii="仿宋_GB2312" w:hAnsi="Times New Roman" w:eastAsia="仿宋_GB2312" w:cs="Times New Roman"/>
          <w:snapToGrid w:val="0"/>
          <w:kern w:val="0"/>
          <w:sz w:val="32"/>
          <w:szCs w:val="24"/>
          <w:vertAlign w:val="superscript"/>
          <w:lang w:val="en-US" w:eastAsia="zh-CN"/>
        </w:rPr>
        <w:t>2</w:t>
      </w:r>
      <w:r>
        <w:rPr>
          <w:rFonts w:hint="eastAsia" w:ascii="仿宋_GB2312" w:hAnsi="Times New Roman" w:eastAsia="仿宋_GB2312" w:cs="Times New Roman"/>
          <w:snapToGrid w:val="0"/>
          <w:kern w:val="0"/>
          <w:sz w:val="32"/>
          <w:szCs w:val="24"/>
        </w:rPr>
        <w:t>。地上15层，地下 2 层，单体建筑高度69.2</w:t>
      </w:r>
      <w:r>
        <w:rPr>
          <w:rFonts w:hint="eastAsia" w:ascii="仿宋_GB2312" w:hAnsi="Times New Roman" w:eastAsia="仿宋_GB2312" w:cs="Times New Roman"/>
          <w:snapToGrid w:val="0"/>
          <w:kern w:val="0"/>
          <w:sz w:val="32"/>
          <w:szCs w:val="24"/>
          <w:lang w:val="en-US" w:eastAsia="zh-CN"/>
        </w:rPr>
        <w:t>m</w:t>
      </w:r>
      <w:r>
        <w:rPr>
          <w:rFonts w:hint="eastAsia" w:ascii="仿宋_GB2312" w:hAnsi="Times New Roman" w:eastAsia="仿宋_GB2312" w:cs="Times New Roman"/>
          <w:snapToGrid w:val="0"/>
          <w:kern w:val="0"/>
          <w:sz w:val="32"/>
          <w:szCs w:val="24"/>
        </w:rPr>
        <w:t>，最大单跨约45</w:t>
      </w:r>
      <w:r>
        <w:rPr>
          <w:rFonts w:hint="eastAsia" w:ascii="仿宋_GB2312" w:hAnsi="Times New Roman" w:eastAsia="仿宋_GB2312" w:cs="Times New Roman"/>
          <w:snapToGrid w:val="0"/>
          <w:kern w:val="0"/>
          <w:sz w:val="32"/>
          <w:szCs w:val="24"/>
          <w:lang w:val="en-US" w:eastAsia="zh-CN"/>
        </w:rPr>
        <w:t>m</w:t>
      </w:r>
      <w:r>
        <w:rPr>
          <w:rFonts w:hint="eastAsia" w:ascii="仿宋_GB2312" w:hAnsi="Times New Roman" w:eastAsia="仿宋_GB2312" w:cs="Times New Roman"/>
          <w:snapToGrid w:val="0"/>
          <w:kern w:val="0"/>
          <w:sz w:val="32"/>
          <w:szCs w:val="24"/>
        </w:rPr>
        <w:t>。</w:t>
      </w:r>
    </w:p>
    <w:p w14:paraId="7B612A9F">
      <w:pPr>
        <w:tabs>
          <w:tab w:val="left" w:pos="900"/>
          <w:tab w:val="left" w:pos="1080"/>
        </w:tabs>
        <w:spacing w:line="560" w:lineRule="exact"/>
        <w:ind w:firstLine="643" w:firstLineChars="200"/>
        <w:rPr>
          <w:rFonts w:hint="eastAsia" w:ascii="黑体" w:hAnsi="Times New Roman" w:eastAsia="黑体" w:cs="Times New Roman"/>
          <w:b/>
          <w:bCs/>
          <w:sz w:val="32"/>
          <w:szCs w:val="32"/>
        </w:rPr>
      </w:pPr>
      <w:r>
        <w:rPr>
          <w:rFonts w:hint="eastAsia" w:ascii="黑体" w:hAnsi="Times New Roman" w:eastAsia="黑体" w:cs="Times New Roman"/>
          <w:b/>
          <w:bCs/>
          <w:sz w:val="32"/>
          <w:szCs w:val="32"/>
        </w:rPr>
        <w:t>二、工程招标范围</w:t>
      </w:r>
    </w:p>
    <w:p w14:paraId="020E125F">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w:t>
      </w:r>
      <w:r>
        <w:rPr>
          <w:rFonts w:hint="eastAsia" w:ascii="仿宋_GB2312" w:hAnsi="宋体" w:eastAsia="仿宋_GB2312" w:cs="Times New Roman"/>
          <w:b w:val="0"/>
          <w:bCs w:val="0"/>
          <w:sz w:val="32"/>
          <w:szCs w:val="32"/>
          <w:highlight w:val="none"/>
          <w:lang w:val="en-US" w:eastAsia="zh-CN"/>
        </w:rPr>
        <w:t>一</w:t>
      </w:r>
      <w:r>
        <w:rPr>
          <w:rFonts w:hint="eastAsia" w:ascii="仿宋_GB2312" w:hAnsi="宋体" w:eastAsia="仿宋_GB2312" w:cs="Times New Roman"/>
          <w:b w:val="0"/>
          <w:bCs w:val="0"/>
          <w:sz w:val="32"/>
          <w:szCs w:val="32"/>
          <w:highlight w:val="none"/>
        </w:rPr>
        <w:t>）工程施工承包范围：</w:t>
      </w:r>
    </w:p>
    <w:p w14:paraId="71129733">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lang w:eastAsia="zh-CN"/>
        </w:rPr>
      </w:pPr>
      <w:r>
        <w:rPr>
          <w:rFonts w:hint="eastAsia" w:ascii="仿宋_GB2312" w:hAnsi="宋体" w:eastAsia="仿宋_GB2312" w:cs="Times New Roman"/>
          <w:b w:val="0"/>
          <w:bCs w:val="0"/>
          <w:sz w:val="32"/>
          <w:szCs w:val="32"/>
          <w:highlight w:val="none"/>
        </w:rPr>
        <w:t>包含但不限于：建筑工程【地基与基础、主体结构（含二次结构）、装饰装修工程、屋面工程等】；安装工程【建筑电气、给排水、通风空调、智能建筑等】；室外工程【室外设施、附属建筑与室外环境等】；高低压供配电工程及其他配套工程【</w:t>
      </w:r>
      <w:r>
        <w:rPr>
          <w:rFonts w:hint="eastAsia" w:ascii="仿宋_GB2312" w:hAnsi="宋体" w:eastAsia="仿宋_GB2312" w:cs="Times New Roman"/>
          <w:b w:val="0"/>
          <w:bCs w:val="0"/>
          <w:sz w:val="32"/>
          <w:szCs w:val="32"/>
          <w:highlight w:val="none"/>
          <w:lang w:eastAsia="zh-CN"/>
        </w:rPr>
        <w:t>红线范围内室外配套</w:t>
      </w:r>
      <w:r>
        <w:rPr>
          <w:rFonts w:hint="eastAsia" w:ascii="仿宋_GB2312" w:hAnsi="宋体" w:eastAsia="仿宋_GB2312" w:cs="Times New Roman"/>
          <w:b w:val="0"/>
          <w:bCs w:val="0"/>
          <w:sz w:val="32"/>
          <w:szCs w:val="32"/>
          <w:highlight w:val="none"/>
        </w:rPr>
        <w:t>道路及排水排污工程；燃气工程；绿色建造；</w:t>
      </w:r>
      <w:r>
        <w:rPr>
          <w:rFonts w:hint="eastAsia" w:ascii="仿宋_GB2312" w:hAnsi="宋体" w:eastAsia="仿宋_GB2312" w:cs="Times New Roman"/>
          <w:b w:val="0"/>
          <w:bCs w:val="0"/>
          <w:sz w:val="32"/>
          <w:szCs w:val="32"/>
          <w:highlight w:val="none"/>
          <w:lang w:eastAsia="zh-CN"/>
        </w:rPr>
        <w:t>专业工程暂估价</w:t>
      </w:r>
      <w:r>
        <w:rPr>
          <w:rFonts w:hint="eastAsia" w:ascii="仿宋_GB2312" w:hAnsi="宋体" w:eastAsia="仿宋_GB2312" w:cs="Times New Roman"/>
          <w:b w:val="0"/>
          <w:bCs w:val="0"/>
          <w:sz w:val="32"/>
          <w:szCs w:val="32"/>
          <w:highlight w:val="none"/>
        </w:rPr>
        <w:t>；树木迁移；临电、临水；场地清理，围墙、大门工程；海绵城市等】。具体的施工内容以招标文件、招标图纸、工程量清单、工程界面划分及有关资料说明为准。若出现工程界面不清晰或界面重叠等情况，最终以发包人的意见为准</w:t>
      </w:r>
      <w:r>
        <w:rPr>
          <w:rFonts w:hint="eastAsia" w:ascii="仿宋_GB2312" w:hAnsi="宋体" w:eastAsia="仿宋_GB2312" w:cs="Times New Roman"/>
          <w:b w:val="0"/>
          <w:bCs w:val="0"/>
          <w:sz w:val="32"/>
          <w:szCs w:val="32"/>
          <w:highlight w:val="none"/>
          <w:lang w:eastAsia="zh-CN"/>
        </w:rPr>
        <w:t>。</w:t>
      </w:r>
    </w:p>
    <w:p w14:paraId="6618C702">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承包范围包括但不限于招标发出图纸、清单所含全部内容，同时包含完成各专项工程的管理、配合工作所需费用，以及施工中深化设计的设计费、样板工程建造费、气候影响和政府要求停工期间的误工费、建设单位和项目管理、监理、造价等公司驻场办公环境的建造和维护费用（包括发生的水电费用），发包人不再就上述范围及工作支付任何额外补偿。具体涵盖以下工程内容，且需特别注意</w:t>
      </w:r>
      <w:r>
        <w:rPr>
          <w:rFonts w:hint="eastAsia" w:ascii="仿宋_GB2312" w:hAnsi="宋体" w:eastAsia="仿宋_GB2312" w:cs="Times New Roman"/>
          <w:b w:val="0"/>
          <w:bCs w:val="0"/>
          <w:sz w:val="32"/>
          <w:szCs w:val="32"/>
          <w:highlight w:val="none"/>
          <w:lang w:val="en-US" w:eastAsia="zh-CN"/>
        </w:rPr>
        <w:t>专业工程暂估价</w:t>
      </w:r>
      <w:r>
        <w:rPr>
          <w:rFonts w:hint="eastAsia" w:ascii="仿宋_GB2312" w:hAnsi="宋体" w:eastAsia="仿宋_GB2312" w:cs="Times New Roman"/>
          <w:b w:val="0"/>
          <w:bCs w:val="0"/>
          <w:sz w:val="32"/>
          <w:szCs w:val="32"/>
          <w:highlight w:val="none"/>
        </w:rPr>
        <w:t>、特殊要求及责任划分等事项。</w:t>
      </w:r>
    </w:p>
    <w:p w14:paraId="2EE28E7A">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其中一：地基与基础工程中包含地基、基础、基坑支护、地下水控制、土方、边坡、地下防水、医用气体液氧站设备基础工程、污水处理站设备基础工程、土石方及清表工程（含树木迁移，场地内旧混凝土路面、废弃河涌及房屋基础的破除、清运）以及在施工过程中按照广州市地铁保护办公室的要求对附近运行的地铁8号线做好地保监控、动态监测和运营配合等工作内容。</w:t>
      </w:r>
    </w:p>
    <w:p w14:paraId="7EDCBF5F">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其中二：树木迁移按本项目《树木保护专章》内容及相关要求迁移树木（含种植及一年养护期，保证成活率达到70%以上），迁移地由发包人指定（15公里以内），无需承包人额外支付土地使用费用，树木迁移费已包含在招标范围及投标报价中。</w:t>
      </w:r>
    </w:p>
    <w:p w14:paraId="0BBA6A2B">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w:t>
      </w:r>
      <w:r>
        <w:rPr>
          <w:rFonts w:hint="eastAsia" w:ascii="仿宋_GB2312" w:hAnsi="宋体" w:eastAsia="仿宋_GB2312" w:cs="Times New Roman"/>
          <w:b w:val="0"/>
          <w:bCs w:val="0"/>
          <w:sz w:val="32"/>
          <w:szCs w:val="32"/>
          <w:highlight w:val="none"/>
          <w:lang w:val="en-US" w:eastAsia="zh-CN"/>
        </w:rPr>
        <w:t>二</w:t>
      </w:r>
      <w:r>
        <w:rPr>
          <w:rFonts w:hint="eastAsia" w:ascii="仿宋_GB2312" w:hAnsi="宋体" w:eastAsia="仿宋_GB2312" w:cs="Times New Roman"/>
          <w:b w:val="0"/>
          <w:bCs w:val="0"/>
          <w:sz w:val="32"/>
          <w:szCs w:val="32"/>
          <w:highlight w:val="none"/>
        </w:rPr>
        <w:t>）以下专业工程以暂估价形式纳入总承包管理范围，将根据项目进度安排由发包人主导，承包人配合进行二次招标，具体实施单位通过二次招标确定，承包人不得参与此类暂估价工程的投标（招标文件中所有暂估价工程均适用此规定）。承包人完成此类专业工程的管理与配合工作所需费用，按暂估价中标单位合同价（不含发包人采购的设备价款和暂列金额）的2%计取，与暂估价专业工程进度款支付节点同步，即暂估价中标单位支付当期进度款时，按同比例向承包人支付总包管理费，发包人对支付过程进行监督，发包人不再额外补偿。暂估价中标单位产生的水电费用优先按装表计量支付；无装表条件的，按双方协商确定的分摊标准执行，协商不成的最高可按暂估价中标单位合同金额的0.5%计取。</w:t>
      </w:r>
    </w:p>
    <w:p w14:paraId="63770161">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 xml:space="preserve">列入暂估价的专业工程明细如下： </w:t>
      </w:r>
    </w:p>
    <w:p w14:paraId="25956193">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专业工程一：医疗精装修工程；专业工程二：医用净化工程（含手术室、ICU）；专业工程三：实验室工程（含检验科实验室、病理科实验室、科研实验室）；专业工程四：动物实验室工程；专业工程五：医用气体工程；专业工程六：医疗辐射防护工程；专业工程七：医用中央分质供水工程；专业工程八：机器人物流工程；专业工程九：10KV备供电工程；专业工程十：园林绿化、景观、室外照明；</w:t>
      </w:r>
      <w:r>
        <w:rPr>
          <w:rFonts w:hint="eastAsia" w:ascii="仿宋_GB2312" w:hAnsi="宋体" w:eastAsia="仿宋_GB2312" w:cs="Times New Roman"/>
          <w:b w:val="0"/>
          <w:bCs w:val="0"/>
          <w:sz w:val="32"/>
          <w:szCs w:val="32"/>
          <w:highlight w:val="none"/>
          <w:lang w:val="en-US" w:eastAsia="zh-CN"/>
        </w:rPr>
        <w:t>专</w:t>
      </w:r>
      <w:r>
        <w:rPr>
          <w:rFonts w:hint="eastAsia" w:ascii="仿宋_GB2312" w:hAnsi="宋体" w:eastAsia="仿宋_GB2312" w:cs="Times New Roman"/>
          <w:b w:val="0"/>
          <w:bCs w:val="0"/>
          <w:sz w:val="32"/>
          <w:szCs w:val="32"/>
          <w:highlight w:val="none"/>
        </w:rPr>
        <w:t>业工程十一：标识工程（含室外标识标牌、楼宇字体、泛光照明、室内标识、车库交通划线标识等）；专业工程十二：信息化机房工程；专业工程十三：厨房工程（不含餐厅部分）；专业工程十四：低温药库。</w:t>
      </w:r>
    </w:p>
    <w:p w14:paraId="089A7CD3">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除上述专业工程外，若项目实施过程中新增暂估价专业工程(如医疗设备安装配套工程)，需经发包人书面确认，并纳入本文件管理及费用规定范围，承包人需按同等标准提供管理与配合服务。发包人采购的设备(电梯和“CT机、MRI 设备、大型检验设备等医疗专用设备”)需要专业公司施工和安装的项目，承包人必须积极配合，相应的管理配合费按设备安装费用(以发包人与设备供应单位签订的设备安装合同价为准)的2%计取(已包含设备安装过程中的水电费、场地配合费及管理服务费，承包人不得额外收取其他费用)。</w:t>
      </w:r>
    </w:p>
    <w:p w14:paraId="04E82795">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具体的施工内容以招标文件、招标图纸、工程量清单及有关资料说明为准。若出现工程界面不清晰或界面重叠等情况，最终以发包人的意见为准。</w:t>
      </w:r>
    </w:p>
    <w:p w14:paraId="7266A5EB">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lang w:eastAsia="zh-CN"/>
        </w:rPr>
      </w:pPr>
      <w:r>
        <w:rPr>
          <w:rFonts w:hint="eastAsia" w:ascii="仿宋_GB2312" w:hAnsi="宋体" w:eastAsia="仿宋_GB2312" w:cs="Times New Roman"/>
          <w:b w:val="0"/>
          <w:bCs w:val="0"/>
          <w:sz w:val="32"/>
          <w:szCs w:val="32"/>
          <w:highlight w:val="none"/>
          <w:lang w:eastAsia="zh-CN"/>
        </w:rPr>
        <w:t>（</w:t>
      </w:r>
      <w:r>
        <w:rPr>
          <w:rFonts w:hint="eastAsia" w:ascii="仿宋_GB2312" w:hAnsi="宋体" w:eastAsia="仿宋_GB2312" w:cs="Times New Roman"/>
          <w:b w:val="0"/>
          <w:bCs w:val="0"/>
          <w:sz w:val="32"/>
          <w:szCs w:val="32"/>
          <w:highlight w:val="none"/>
          <w:lang w:val="en-US" w:eastAsia="zh-CN"/>
        </w:rPr>
        <w:t>三</w:t>
      </w:r>
      <w:r>
        <w:rPr>
          <w:rFonts w:hint="eastAsia" w:ascii="仿宋_GB2312" w:hAnsi="宋体" w:eastAsia="仿宋_GB2312" w:cs="Times New Roman"/>
          <w:b w:val="0"/>
          <w:bCs w:val="0"/>
          <w:sz w:val="32"/>
          <w:szCs w:val="32"/>
          <w:highlight w:val="none"/>
          <w:lang w:eastAsia="zh-CN"/>
        </w:rPr>
        <w:t>）列入总包专业工程暂估价的明细如下：</w:t>
      </w:r>
    </w:p>
    <w:p w14:paraId="01DE2362">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lang w:eastAsia="zh-CN"/>
        </w:rPr>
      </w:pPr>
      <w:r>
        <w:rPr>
          <w:rFonts w:hint="eastAsia" w:ascii="仿宋_GB2312" w:hAnsi="宋体" w:eastAsia="仿宋_GB2312" w:cs="Times New Roman"/>
          <w:b w:val="0"/>
          <w:bCs w:val="0"/>
          <w:sz w:val="32"/>
          <w:szCs w:val="32"/>
          <w:highlight w:val="none"/>
          <w:lang w:eastAsia="zh-CN"/>
        </w:rPr>
        <w:t>专业工程一：充电桩预留接口（快充）；专业工程二：防洪工程；专业工程三：室外燃气工程。</w:t>
      </w:r>
    </w:p>
    <w:p w14:paraId="52CEB077">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lang w:eastAsia="zh-CN"/>
        </w:rPr>
      </w:pPr>
      <w:r>
        <w:rPr>
          <w:rFonts w:hint="eastAsia" w:ascii="仿宋_GB2312" w:hAnsi="宋体" w:eastAsia="仿宋_GB2312" w:cs="Times New Roman"/>
          <w:b w:val="0"/>
          <w:bCs w:val="0"/>
          <w:sz w:val="32"/>
          <w:szCs w:val="32"/>
          <w:highlight w:val="none"/>
          <w:lang w:eastAsia="zh-CN"/>
        </w:rPr>
        <w:t>上述专业工程招标阶段暂未提供设计图纸，招标人有权根据实际情况确认此三项专业工程暂估价是否实施；如不实施，则对应的工程款不予支付。中标人需根据招标人提供的施工图及施工总承包合同的计价条款约定，编制施工图预算，施工图预算不得超过对应专业工程暂估价的最高投标限价。施工图预算经招标人审定后，仅作为进度款支付的依据，最终结算按施工总承包合同的约定执行。</w:t>
      </w:r>
    </w:p>
    <w:p w14:paraId="4729DE60">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w:t>
      </w:r>
      <w:r>
        <w:rPr>
          <w:rFonts w:hint="eastAsia" w:ascii="仿宋_GB2312" w:hAnsi="宋体" w:eastAsia="仿宋_GB2312" w:cs="Times New Roman"/>
          <w:b w:val="0"/>
          <w:bCs w:val="0"/>
          <w:sz w:val="32"/>
          <w:szCs w:val="32"/>
          <w:highlight w:val="none"/>
          <w:lang w:val="en-US" w:eastAsia="zh-CN"/>
        </w:rPr>
        <w:t>四</w:t>
      </w:r>
      <w:r>
        <w:rPr>
          <w:rFonts w:hint="eastAsia" w:ascii="仿宋_GB2312" w:hAnsi="宋体" w:eastAsia="仿宋_GB2312" w:cs="Times New Roman"/>
          <w:b w:val="0"/>
          <w:bCs w:val="0"/>
          <w:sz w:val="32"/>
          <w:szCs w:val="32"/>
          <w:highlight w:val="none"/>
        </w:rPr>
        <w:t>）总承包管理及配合服务：对本项目由发包人另行发包的专业工程实施总承包管理、协调和配合服务，包括但不限于综合管理（施工围蔽和门禁管理、施工人员出入管理、总平面布局管理、材料堆放管理、垃圾清运等）、技术管理、资料管理、安全生产和文明施工管理、质量管理、进度管理和施工总承包管理协调，协助办理报建、工程开工及验收所需的各项手续，负责协调施工过程中的相关职能部门及周边居民、施工期间交通疏解，给专业工程承包单位提供承包人现有临水、临电接驳点、测量控制点及现场施工塔吊、人货梯、用于施工阶段使用的永久电梯、室内或室外脚手架使用等，按计划移交专业工程施工作业面。</w:t>
      </w:r>
    </w:p>
    <w:p w14:paraId="73807F26">
      <w:p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rPr>
        <w:t>根据《广州市城市轨道交通管理条例》第十四条规定对城市轨道交通设施安全有重大影响的作业，作业单位应对轨道交通结构开展动态监测、安全监控及地保运营配合服务，并在作业前与城市轨道交通经营单位签订安全生产管理协议，施工期间委托有资质的单位对地铁运营的安全性进行监测。相关的费用包含在合同总价中，发包人不再另行支付相关费用。</w:t>
      </w:r>
    </w:p>
    <w:p w14:paraId="19F07D1C">
      <w:pPr>
        <w:numPr>
          <w:ilvl w:val="0"/>
          <w:numId w:val="0"/>
        </w:numPr>
        <w:tabs>
          <w:tab w:val="left" w:pos="900"/>
          <w:tab w:val="left" w:pos="1080"/>
        </w:tabs>
        <w:spacing w:line="560" w:lineRule="exact"/>
        <w:ind w:firstLine="640"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val="0"/>
          <w:bCs w:val="0"/>
          <w:sz w:val="32"/>
          <w:szCs w:val="32"/>
          <w:highlight w:val="none"/>
          <w:lang w:eastAsia="zh-CN"/>
        </w:rPr>
        <w:t>（</w:t>
      </w:r>
      <w:r>
        <w:rPr>
          <w:rFonts w:hint="eastAsia" w:ascii="仿宋_GB2312" w:hAnsi="宋体" w:eastAsia="仿宋_GB2312" w:cs="Times New Roman"/>
          <w:b w:val="0"/>
          <w:bCs w:val="0"/>
          <w:sz w:val="32"/>
          <w:szCs w:val="32"/>
          <w:highlight w:val="none"/>
          <w:lang w:val="en-US" w:eastAsia="zh-CN"/>
        </w:rPr>
        <w:t>五）</w:t>
      </w:r>
      <w:r>
        <w:rPr>
          <w:rFonts w:hint="eastAsia" w:ascii="仿宋_GB2312" w:hAnsi="宋体" w:eastAsia="仿宋_GB2312" w:cs="Times New Roman"/>
          <w:b w:val="0"/>
          <w:bCs w:val="0"/>
          <w:sz w:val="32"/>
          <w:szCs w:val="32"/>
          <w:highlight w:val="none"/>
        </w:rPr>
        <w:t>特殊服务</w:t>
      </w:r>
      <w:r>
        <w:rPr>
          <w:rFonts w:hint="eastAsia" w:ascii="仿宋_GB2312" w:hAnsi="宋体" w:eastAsia="仿宋_GB2312" w:cs="Times New Roman"/>
          <w:b w:val="0"/>
          <w:bCs w:val="0"/>
          <w:sz w:val="32"/>
          <w:szCs w:val="32"/>
          <w:highlight w:val="none"/>
          <w:lang w:eastAsia="zh-CN"/>
        </w:rPr>
        <w:t>、</w:t>
      </w:r>
      <w:r>
        <w:rPr>
          <w:rFonts w:hint="eastAsia" w:ascii="仿宋_GB2312" w:hAnsi="宋体" w:eastAsia="仿宋_GB2312" w:cs="Times New Roman"/>
          <w:b w:val="0"/>
          <w:bCs w:val="0"/>
          <w:sz w:val="32"/>
          <w:szCs w:val="32"/>
          <w:highlight w:val="none"/>
        </w:rPr>
        <w:t>特殊责任与费用承担</w:t>
      </w:r>
    </w:p>
    <w:p w14:paraId="6CDD97DE">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rPr>
      </w:pPr>
      <w:r>
        <w:rPr>
          <w:rFonts w:hint="eastAsia" w:ascii="仿宋_GB2312" w:hAnsi="宋体" w:eastAsia="仿宋_GB2312" w:cs="Times New Roman"/>
          <w:b/>
          <w:bCs/>
          <w:sz w:val="32"/>
          <w:szCs w:val="32"/>
          <w:highlight w:val="none"/>
          <w:lang w:val="en-US" w:eastAsia="zh-CN"/>
        </w:rPr>
        <w:t>1.</w:t>
      </w:r>
      <w:r>
        <w:rPr>
          <w:rFonts w:hint="eastAsia" w:ascii="仿宋_GB2312" w:hAnsi="宋体" w:eastAsia="仿宋_GB2312" w:cs="Times New Roman"/>
          <w:b/>
          <w:bCs/>
          <w:sz w:val="32"/>
          <w:szCs w:val="32"/>
          <w:highlight w:val="none"/>
        </w:rPr>
        <w:t>BIM 服务配合：</w:t>
      </w:r>
      <w:r>
        <w:rPr>
          <w:rFonts w:hint="eastAsia" w:ascii="仿宋_GB2312" w:hAnsi="宋体" w:eastAsia="仿宋_GB2312" w:cs="Times New Roman"/>
          <w:b w:val="0"/>
          <w:bCs w:val="0"/>
          <w:sz w:val="32"/>
          <w:szCs w:val="32"/>
          <w:highlight w:val="none"/>
        </w:rPr>
        <w:t>中标人需建立 BIM 和智慧工地专门团队，至少配备BIM 建模工程师、智慧工地运营管理员，在发包人 BIM 数据模型的基础上，按发包人关于 BIM 和智慧工地的要求提交相应的深化设计、施工方案设计及智慧工地运营方案设计等文件（相关深化设计费已包含在投标报价中），中标后 30 日内提交初步方案，开工前 15 日内提交最终方案，并按要求在 BIM 及智慧工地平台上填报相应报表。该部分服务费用已包含在此次投标报价中，同时属于完成项目管理与配合工作的必要费用，投标过程中需综合考虑，不另外单独计费，发包人不再额外补偿。</w:t>
      </w:r>
    </w:p>
    <w:p w14:paraId="04A1E099">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2.地铁保护相关：</w:t>
      </w:r>
      <w:r>
        <w:rPr>
          <w:rFonts w:hint="eastAsia" w:ascii="仿宋_GB2312" w:hAnsi="宋体" w:eastAsia="仿宋_GB2312" w:cs="Times New Roman"/>
          <w:b w:val="0"/>
          <w:bCs w:val="0"/>
          <w:sz w:val="32"/>
          <w:szCs w:val="32"/>
          <w:highlight w:val="none"/>
          <w:lang w:val="en-US" w:eastAsia="zh-CN"/>
        </w:rPr>
        <w:t>中标人必须按地铁集团要求做好地铁保护动态监测、地铁保护安全监控及运营配合工作【应符合《广州市地下铁道管理条例》《广州市城市轨道交通管理条例》 《广东省城市轨道交通运营安全管理办法》等要求】，监测频率为每 2 小时 1 次，监测指标包括隧道沉降、位移等，每日向地铁集团及发包人报送监测数据；在临近地铁隧道区域设置 24 小时视频监控，安排专人巡查，巡查记录每小时存档 1 次；配合地铁集团的夜间运营检查，施工若需占用地铁运营相关区域，提前 7 个工作日向地铁集团申请。相应费用由中标单位支付，且已包含在投标报价中，发包人不再额外补偿。若因施工行为对地铁隧道及地铁相关区域造成影响，由此产生的赔偿、停工等一切责任均由中标单位承担，停工期间的误工费已包含在投标报价中。</w:t>
      </w:r>
    </w:p>
    <w:p w14:paraId="5E51887B">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3.周边房屋保护：</w:t>
      </w:r>
      <w:r>
        <w:rPr>
          <w:rFonts w:hint="eastAsia" w:ascii="仿宋_GB2312" w:hAnsi="宋体" w:eastAsia="仿宋_GB2312" w:cs="Times New Roman"/>
          <w:b w:val="0"/>
          <w:bCs w:val="0"/>
          <w:sz w:val="32"/>
          <w:szCs w:val="32"/>
          <w:highlight w:val="none"/>
          <w:lang w:val="en-US" w:eastAsia="zh-CN"/>
        </w:rPr>
        <w:t>施工期间，中标人需做好施工组织和施工措施工作，确保周边房屋不因施工出现开裂、沉降等现象。开工前，中标人需自行安排做好房屋鉴定及监测工作，房屋鉴定的第三方机构资质要求具备房屋安全鉴定甲级资质，房屋监测需对距离施工场地100 米范围内的房屋进行监测（符合《建筑基坑工程监测技术标准》GB 50497-2019 第 3.0.4 条要求，监测频率为每周 1 次，遇重大施工工序（如基坑开挖）时加密至每日 1 次，相应费用已包含在投标报价中，发包人不再额外补偿。如因施工对周边房屋造成开裂、沉降等现象并导致损失，全部赔偿责任由中标人承担，接到周边房屋业主投诉后，24 小时内组织核查，确认因施工导致损失的，15 日内与业主协商赔偿方案并签订赔偿协议处理期间若产生停工误工费，已包含在投标报价中。</w:t>
      </w:r>
    </w:p>
    <w:p w14:paraId="32B78269">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4.临时用水用电工程：</w:t>
      </w:r>
      <w:r>
        <w:rPr>
          <w:rFonts w:hint="eastAsia" w:ascii="仿宋_GB2312" w:hAnsi="宋体" w:eastAsia="仿宋_GB2312" w:cs="Times New Roman"/>
          <w:b w:val="0"/>
          <w:bCs w:val="0"/>
          <w:sz w:val="32"/>
          <w:szCs w:val="32"/>
          <w:highlight w:val="none"/>
          <w:lang w:val="en-US" w:eastAsia="zh-CN"/>
        </w:rPr>
        <w:t>本工程的施工临水临电工程由施工总承包单位实施。施工单位进场后在业主指定的接入点接入临水临电,并自行支付临水临电使用费。临水临电在红线范围内、外的接入费用由投标人自行填报（不高于招标限价），最终总价包干。同时施工单位在本工程临水临电工程接通前，自行解决进场开工用水用电问题，包括自备发电机等作为施工措施，该费用已包含在投标报价中。</w:t>
      </w:r>
    </w:p>
    <w:p w14:paraId="5E15D317">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5.钢结构检测：</w:t>
      </w:r>
      <w:r>
        <w:rPr>
          <w:rFonts w:hint="eastAsia" w:ascii="仿宋_GB2312" w:hAnsi="宋体" w:eastAsia="仿宋_GB2312" w:cs="Times New Roman"/>
          <w:b w:val="0"/>
          <w:bCs w:val="0"/>
          <w:sz w:val="32"/>
          <w:szCs w:val="32"/>
          <w:highlight w:val="none"/>
          <w:lang w:val="en-US" w:eastAsia="zh-CN"/>
        </w:rPr>
        <w:t>中标人需根据规范要求自行完成钢结构探伤检测工作，相关费用已包含在投标报价中，发包人不再额外补偿。若检测过程中需进行深化设计或样板检测，相关费用已包含在内。</w:t>
      </w:r>
    </w:p>
    <w:p w14:paraId="55FE046F">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6.装配式图纸深化：</w:t>
      </w:r>
      <w:r>
        <w:rPr>
          <w:rFonts w:hint="eastAsia" w:ascii="仿宋_GB2312" w:hAnsi="宋体" w:eastAsia="仿宋_GB2312" w:cs="Times New Roman"/>
          <w:b w:val="0"/>
          <w:bCs w:val="0"/>
          <w:sz w:val="32"/>
          <w:szCs w:val="32"/>
          <w:highlight w:val="none"/>
          <w:lang w:val="en-US" w:eastAsia="zh-CN"/>
        </w:rPr>
        <w:t>装配式图纸深化工作由中标人负责实施，相应深化设计费已包含在投标报价中，发包人不再额外补偿。</w:t>
      </w:r>
    </w:p>
    <w:p w14:paraId="2E1C5709">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7.材料检测费用：</w:t>
      </w:r>
      <w:r>
        <w:rPr>
          <w:rFonts w:hint="eastAsia" w:ascii="仿宋_GB2312" w:hAnsi="宋体" w:eastAsia="仿宋_GB2312" w:cs="Times New Roman"/>
          <w:b w:val="0"/>
          <w:bCs w:val="0"/>
          <w:sz w:val="32"/>
          <w:szCs w:val="32"/>
          <w:highlight w:val="none"/>
          <w:lang w:val="en-US" w:eastAsia="zh-CN"/>
        </w:rPr>
        <w:t>发包人已依法选择材料检测单位并支付检测费用。若因中标人送检不符合规范要求（如送检样品数量不足、样品代表性不够、送检时间延误等）、材料检测不合格（中标人需在收到不合格报告后 3 日内将不合格材料清退出场，并重新送检合格材料，重新送检费用由中标人承担），或发包人、监理单位对材料有质疑而增加检测的，发包人、监理单位提出增加检测需求时，需向中标人出具书面通知，说明增加检测的原因、范围及数量，所造成的检测费用增加部分由中标人负责，该部分增加费用已包含在投标报价考虑范围内，发包人不再额外补偿；若增加检测导致停工，误工费已包含在投标报价中。因中标人送检不符合规范要求、材料检测不合格导致增加检测的，费用由中标人承担；中标人应在收到检测费用增加通知后 10 个工作日内支付，逾期按同期 LPR 支付违约金。因发包人、监理单位无合法依据质疑导致增加检测且结果合格的，费用由发包人承担，中标人需在检测结果出具后 15 个工作日内提交费用报销申请及相关凭证，超过期限，发包人不给于报销费用。</w:t>
      </w:r>
    </w:p>
    <w:p w14:paraId="4A76A572">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8.超前钻工作：</w:t>
      </w:r>
      <w:r>
        <w:rPr>
          <w:rFonts w:hint="eastAsia" w:ascii="仿宋_GB2312" w:hAnsi="宋体" w:eastAsia="仿宋_GB2312" w:cs="Times New Roman"/>
          <w:b w:val="0"/>
          <w:bCs w:val="0"/>
          <w:sz w:val="32"/>
          <w:szCs w:val="32"/>
          <w:highlight w:val="none"/>
          <w:lang w:val="en-US" w:eastAsia="zh-CN"/>
        </w:rPr>
        <w:t>对应桩位没有详勘数据的每条桩孔（包括地下连续墙部分）承包单位需根据基础、基坑施工图的要求进行超前钻，相应费用已包含在投标报价中，发包人不再额外补偿。若超前钻过程中需深化设计方案，设计费已包含在内。</w:t>
      </w:r>
    </w:p>
    <w:p w14:paraId="77ADBB7D">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9.深化设计费用：</w:t>
      </w:r>
      <w:r>
        <w:rPr>
          <w:rFonts w:hint="eastAsia" w:ascii="仿宋_GB2312" w:hAnsi="宋体" w:eastAsia="仿宋_GB2312" w:cs="Times New Roman"/>
          <w:b w:val="0"/>
          <w:bCs w:val="0"/>
          <w:sz w:val="32"/>
          <w:szCs w:val="32"/>
          <w:highlight w:val="none"/>
          <w:lang w:val="en-US" w:eastAsia="zh-CN"/>
        </w:rPr>
        <w:t>施工过程中所有涉及的深化设计工作（如结构深化、幕墙深化、机电安装深化等），其设计费及实体增加或减少的所有费用均已包含在投标报价中，发包人不再额外补偿，深化设计成果需符合发包人及规范要求。</w:t>
      </w:r>
    </w:p>
    <w:p w14:paraId="5D2D06FA">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10.样板工程建造费：</w:t>
      </w:r>
      <w:r>
        <w:rPr>
          <w:rFonts w:hint="eastAsia" w:ascii="仿宋_GB2312" w:hAnsi="宋体" w:eastAsia="仿宋_GB2312" w:cs="Times New Roman"/>
          <w:b w:val="0"/>
          <w:bCs w:val="0"/>
          <w:sz w:val="32"/>
          <w:szCs w:val="32"/>
          <w:highlight w:val="none"/>
          <w:lang w:val="en-US" w:eastAsia="zh-CN"/>
        </w:rPr>
        <w:t>为验证施工工艺、质量标准等所需的样板工程（如装修样板、机电安装样板等）建造费用，已包含在投标报价中，发包人不再额外补偿，样板工程需经发包人、监理单位验收合格。</w:t>
      </w:r>
    </w:p>
    <w:p w14:paraId="521F7869">
      <w:pPr>
        <w:numPr>
          <w:ilvl w:val="0"/>
          <w:numId w:val="0"/>
        </w:numPr>
        <w:tabs>
          <w:tab w:val="left" w:pos="900"/>
          <w:tab w:val="left" w:pos="1080"/>
        </w:tabs>
        <w:spacing w:line="560" w:lineRule="exact"/>
        <w:ind w:firstLine="643" w:firstLineChars="200"/>
        <w:rPr>
          <w:rFonts w:hint="eastAsia"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11.停工误工费：</w:t>
      </w:r>
      <w:r>
        <w:rPr>
          <w:rFonts w:hint="eastAsia" w:ascii="仿宋_GB2312" w:hAnsi="宋体" w:eastAsia="仿宋_GB2312" w:cs="Times New Roman"/>
          <w:b w:val="0"/>
          <w:bCs w:val="0"/>
          <w:sz w:val="32"/>
          <w:szCs w:val="32"/>
          <w:highlight w:val="none"/>
          <w:lang w:val="en-US" w:eastAsia="zh-CN"/>
        </w:rPr>
        <w:t>因气候影响（如暴雨、台风等）或政府要求（如环保管控、重大活动保障等）导致的停工，期间产生的误工费（含人工、机械停滞费用等）已包含在投标报价中，发包人不再额外补偿，中标人需提前制定应对预案减少停工影响。</w:t>
      </w:r>
    </w:p>
    <w:p w14:paraId="0501149F">
      <w:pPr>
        <w:numPr>
          <w:ilvl w:val="0"/>
          <w:numId w:val="0"/>
        </w:numPr>
        <w:tabs>
          <w:tab w:val="left" w:pos="900"/>
          <w:tab w:val="left" w:pos="1080"/>
        </w:tabs>
        <w:spacing w:line="560" w:lineRule="exact"/>
        <w:ind w:firstLine="643" w:firstLineChars="200"/>
        <w:rPr>
          <w:rFonts w:hint="default" w:ascii="仿宋_GB2312" w:hAnsi="宋体" w:eastAsia="仿宋_GB2312" w:cs="Times New Roman"/>
          <w:b w:val="0"/>
          <w:bCs w:val="0"/>
          <w:sz w:val="32"/>
          <w:szCs w:val="32"/>
          <w:highlight w:val="none"/>
          <w:lang w:val="en-US" w:eastAsia="zh-CN"/>
        </w:rPr>
      </w:pPr>
      <w:r>
        <w:rPr>
          <w:rFonts w:hint="eastAsia" w:ascii="仿宋_GB2312" w:hAnsi="宋体" w:eastAsia="仿宋_GB2312" w:cs="Times New Roman"/>
          <w:b/>
          <w:bCs/>
          <w:sz w:val="32"/>
          <w:szCs w:val="32"/>
          <w:highlight w:val="none"/>
          <w:lang w:val="en-US" w:eastAsia="zh-CN"/>
        </w:rPr>
        <w:t>12.驻场办公环境建造及维护费：</w:t>
      </w:r>
      <w:r>
        <w:rPr>
          <w:rFonts w:hint="eastAsia" w:ascii="仿宋_GB2312" w:hAnsi="宋体" w:eastAsia="仿宋_GB2312" w:cs="Times New Roman"/>
          <w:b w:val="0"/>
          <w:bCs w:val="0"/>
          <w:sz w:val="32"/>
          <w:szCs w:val="32"/>
          <w:highlight w:val="none"/>
          <w:lang w:val="en-US" w:eastAsia="zh-CN"/>
        </w:rPr>
        <w:t>建设单位、项目管理公司、监理公司、造价咨询公司等相关单位驻场办公所需的办公环境（如办公室搭建、装修、办公设施配置等）的建造费用及后期维护费用，已包含在投标报价中，发包人不再额外补偿，办公环境需满足各驻场单位基本办公需求。</w:t>
      </w:r>
    </w:p>
    <w:p w14:paraId="614B8977">
      <w:pPr>
        <w:pStyle w:val="2"/>
        <w:spacing w:before="0" w:after="0" w:line="560" w:lineRule="exact"/>
        <w:ind w:firstLine="643" w:firstLineChars="200"/>
        <w:rPr>
          <w:rFonts w:ascii="黑体" w:hAnsi="Times New Roman" w:eastAsia="黑体" w:cs="Times New Roman"/>
          <w:sz w:val="32"/>
          <w:szCs w:val="32"/>
        </w:rPr>
      </w:pPr>
      <w:r>
        <w:rPr>
          <w:rFonts w:hint="eastAsia" w:ascii="黑体" w:hAnsi="Times New Roman" w:eastAsia="黑体" w:cs="Times New Roman"/>
          <w:sz w:val="32"/>
          <w:szCs w:val="32"/>
        </w:rPr>
        <w:t>三、编制依据</w:t>
      </w:r>
    </w:p>
    <w:p w14:paraId="2422D324">
      <w:pPr>
        <w:tabs>
          <w:tab w:val="left" w:pos="900"/>
          <w:tab w:val="left" w:pos="1080"/>
        </w:tabs>
        <w:spacing w:line="560" w:lineRule="exact"/>
        <w:ind w:firstLine="640" w:firstLineChars="200"/>
        <w:rPr>
          <w:rFonts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（一）图纸及相关文件依据</w:t>
      </w:r>
    </w:p>
    <w:p w14:paraId="30062F8F">
      <w:pPr>
        <w:tabs>
          <w:tab w:val="left" w:pos="900"/>
          <w:tab w:val="left" w:pos="1080"/>
        </w:tabs>
        <w:spacing w:line="560" w:lineRule="exact"/>
        <w:ind w:firstLine="640" w:firstLineChars="200"/>
        <w:rPr>
          <w:rFonts w:hint="eastAsia" w:ascii="仿宋_GB2312" w:hAnsi="宋体" w:eastAsia="仿宋_GB2312" w:cs="Times New Roman"/>
          <w:sz w:val="32"/>
          <w:szCs w:val="32"/>
        </w:rPr>
      </w:pPr>
      <w:r>
        <w:rPr>
          <w:rFonts w:ascii="仿宋_GB2312" w:hAnsi="Times New Roman" w:eastAsia="仿宋_GB2312" w:cs="Times New Roman"/>
          <w:snapToGrid w:val="0"/>
          <w:kern w:val="0"/>
          <w:sz w:val="32"/>
          <w:szCs w:val="24"/>
        </w:rPr>
        <w:t>1</w:t>
      </w:r>
      <w:r>
        <w:rPr>
          <w:rFonts w:hint="eastAsia" w:ascii="仿宋_GB2312" w:hAnsi="Times New Roman" w:eastAsia="仿宋_GB2312" w:cs="Times New Roman"/>
          <w:snapToGrid w:val="0"/>
          <w:kern w:val="0"/>
          <w:sz w:val="32"/>
          <w:szCs w:val="24"/>
        </w:rPr>
        <w:t>.</w:t>
      </w:r>
      <w:r>
        <w:rPr>
          <w:rFonts w:hint="eastAsia" w:ascii="仿宋_GB2312" w:hAnsi="宋体" w:eastAsia="仿宋_GB2312" w:cs="Times New Roman"/>
          <w:sz w:val="32"/>
          <w:szCs w:val="32"/>
          <w:lang w:val="en-US" w:eastAsia="zh-CN"/>
        </w:rPr>
        <w:t>建设单位委托的设计单位编制的电子版图纸：</w:t>
      </w:r>
      <w:r>
        <w:rPr>
          <w:rFonts w:hint="eastAsia" w:ascii="仿宋_GB2312" w:hAnsi="Times New Roman" w:eastAsia="仿宋_GB2312" w:cs="Times New Roman"/>
          <w:snapToGrid w:val="0"/>
          <w:kern w:val="0"/>
          <w:sz w:val="32"/>
          <w:szCs w:val="24"/>
        </w:rPr>
        <w:t>《南九全专业施工图文件汇总2025120</w:t>
      </w:r>
      <w:r>
        <w:rPr>
          <w:rFonts w:hint="eastAsia" w:ascii="仿宋_GB2312" w:hAnsi="Times New Roman" w:eastAsia="仿宋_GB2312" w:cs="Times New Roman"/>
          <w:snapToGrid w:val="0"/>
          <w:kern w:val="0"/>
          <w:sz w:val="32"/>
          <w:szCs w:val="24"/>
          <w:lang w:val="en-US" w:eastAsia="zh-CN"/>
        </w:rPr>
        <w:t>9</w:t>
      </w:r>
      <w:r>
        <w:rPr>
          <w:rFonts w:hint="eastAsia" w:ascii="仿宋_GB2312" w:hAnsi="Times New Roman" w:eastAsia="仿宋_GB2312" w:cs="Times New Roman"/>
          <w:snapToGrid w:val="0"/>
          <w:kern w:val="0"/>
          <w:sz w:val="32"/>
          <w:szCs w:val="24"/>
        </w:rPr>
        <w:t>》</w:t>
      </w:r>
      <w:r>
        <w:rPr>
          <w:rFonts w:hint="eastAsia" w:ascii="仿宋_GB2312" w:hAnsi="Times New Roman" w:eastAsia="仿宋_GB2312" w:cs="Times New Roman"/>
          <w:snapToGrid w:val="0"/>
          <w:kern w:val="0"/>
          <w:sz w:val="32"/>
          <w:szCs w:val="24"/>
          <w:lang w:eastAsia="zh-CN"/>
        </w:rPr>
        <w:t>；</w:t>
      </w:r>
    </w:p>
    <w:p w14:paraId="755144C7">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ascii="仿宋_GB2312" w:hAnsi="Times New Roman" w:eastAsia="仿宋_GB2312" w:cs="Times New Roman"/>
          <w:snapToGrid w:val="0"/>
          <w:kern w:val="0"/>
          <w:sz w:val="32"/>
          <w:szCs w:val="24"/>
        </w:rPr>
        <w:t>2</w:t>
      </w:r>
      <w:r>
        <w:rPr>
          <w:rFonts w:hint="eastAsia" w:ascii="仿宋_GB2312" w:hAnsi="Times New Roman" w:eastAsia="仿宋_GB2312" w:cs="Times New Roman"/>
          <w:snapToGrid w:val="0"/>
          <w:kern w:val="0"/>
          <w:sz w:val="32"/>
          <w:szCs w:val="24"/>
        </w:rPr>
        <w:t>.广州地铁设计研究院股份有限公司2025年5月编制的《</w:t>
      </w:r>
      <w:r>
        <w:rPr>
          <w:rFonts w:hint="eastAsia" w:ascii="仿宋_GB2312" w:hAnsi="Times New Roman" w:eastAsia="仿宋_GB2312" w:cs="Times New Roman"/>
          <w:snapToGrid w:val="0"/>
          <w:kern w:val="0"/>
          <w:sz w:val="32"/>
          <w:szCs w:val="24"/>
          <w:lang w:eastAsia="zh-CN"/>
        </w:rPr>
        <w:t>广东省皮肤性病防治中心（南方医科大学皮肤病医院）白云院区建设项目施工总承包</w:t>
      </w:r>
      <w:r>
        <w:rPr>
          <w:rFonts w:hint="eastAsia" w:ascii="仿宋_GB2312" w:hAnsi="Times New Roman" w:eastAsia="仿宋_GB2312" w:cs="Times New Roman"/>
          <w:snapToGrid w:val="0"/>
          <w:kern w:val="0"/>
          <w:sz w:val="32"/>
          <w:szCs w:val="24"/>
        </w:rPr>
        <w:t>详细勘察阶段岩土工程勘察报告》；</w:t>
      </w:r>
    </w:p>
    <w:p w14:paraId="3BFCCD7E">
      <w:pPr>
        <w:keepNext w:val="0"/>
        <w:keepLines w:val="0"/>
        <w:pageBreakBefore w:val="0"/>
        <w:widowControl w:val="0"/>
        <w:tabs>
          <w:tab w:val="left" w:pos="900"/>
          <w:tab w:val="left" w:pos="1080"/>
        </w:tabs>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napToGrid w:val="0"/>
          <w:kern w:val="0"/>
          <w:sz w:val="32"/>
          <w:szCs w:val="24"/>
          <w:lang w:val="en-US" w:eastAsia="zh-CN"/>
        </w:rPr>
      </w:pPr>
      <w:r>
        <w:rPr>
          <w:rFonts w:hint="eastAsia" w:ascii="仿宋_GB2312" w:hAnsi="宋体" w:eastAsia="仿宋_GB2312" w:cs="Times New Roman"/>
          <w:sz w:val="32"/>
          <w:szCs w:val="32"/>
          <w:lang w:val="en-US" w:eastAsia="zh-CN"/>
        </w:rPr>
        <w:t>3.</w:t>
      </w:r>
      <w:r>
        <w:rPr>
          <w:rFonts w:hint="eastAsia" w:ascii="仿宋_GB2312" w:hAnsi="Times New Roman" w:eastAsia="仿宋_GB2312" w:cs="Times New Roman"/>
          <w:snapToGrid w:val="0"/>
          <w:kern w:val="0"/>
          <w:sz w:val="32"/>
          <w:szCs w:val="24"/>
          <w:lang w:val="en-US" w:eastAsia="zh-CN"/>
        </w:rPr>
        <w:t>《广东省发展改革委关于广东省皮肤性病防治中心（南方医科大学皮肤病医院）白云院区建设项目施工总承包可行性研究报告的批复》（粤发改投审〔2024〕131号）；</w:t>
      </w:r>
    </w:p>
    <w:p w14:paraId="1A5AF2B2">
      <w:pPr>
        <w:tabs>
          <w:tab w:val="left" w:pos="900"/>
          <w:tab w:val="left" w:pos="1080"/>
        </w:tabs>
        <w:spacing w:line="560" w:lineRule="exact"/>
        <w:ind w:firstLine="640" w:firstLineChars="200"/>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4.《关于广东省皮肤性病防治中心（南方医科大学皮肤病医院）白云院区建设项目初步设计概算的批复》（粤发改投审〔2025〕148号）；</w:t>
      </w:r>
    </w:p>
    <w:p w14:paraId="3F77E7E0">
      <w:pPr>
        <w:tabs>
          <w:tab w:val="left" w:pos="900"/>
          <w:tab w:val="left" w:pos="1080"/>
        </w:tabs>
        <w:spacing w:line="560" w:lineRule="exact"/>
        <w:ind w:firstLine="640" w:firstLineChars="200"/>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5.招标文件（含招标公告）及相关规范技术文件、挂网版施工总承包合同、工程界面划分、主要材料品牌推荐表等。</w:t>
      </w:r>
    </w:p>
    <w:p w14:paraId="6CC16390">
      <w:pPr>
        <w:tabs>
          <w:tab w:val="left" w:pos="900"/>
          <w:tab w:val="left" w:pos="1080"/>
        </w:tabs>
        <w:spacing w:line="560" w:lineRule="exact"/>
        <w:ind w:firstLine="640" w:firstLineChars="200"/>
        <w:rPr>
          <w:rFonts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（二）执行的规范、标准</w:t>
      </w:r>
    </w:p>
    <w:p w14:paraId="5248AD7D">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1.《建设工程工程量清单计价标准》（GB/T 50500-2024）；</w:t>
      </w:r>
    </w:p>
    <w:p w14:paraId="3E7AF766">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2.《房屋建筑与装饰工程工程量计算标准》（GB/T 50854-2024）；</w:t>
      </w:r>
    </w:p>
    <w:p w14:paraId="00076C83">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3.《通用安装工程工程量计算标准》（GB/T 50856-2024）；</w:t>
      </w:r>
    </w:p>
    <w:p w14:paraId="62FDC8FF">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4.《市政工程工程量计算标准》（GB/T 50857-2024）；</w:t>
      </w:r>
    </w:p>
    <w:p w14:paraId="3E862F52">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rPr>
        <w:t>5.《园林绿化工程工程量计算标准》（GB/T 50858-2024）；</w:t>
      </w:r>
    </w:p>
    <w:p w14:paraId="2C7022F0">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lang w:val="en-US" w:eastAsia="zh-CN"/>
        </w:rPr>
        <w:t>6</w:t>
      </w:r>
      <w:r>
        <w:rPr>
          <w:rFonts w:hint="eastAsia" w:ascii="仿宋_GB2312" w:hAnsi="Times New Roman" w:eastAsia="仿宋_GB2312" w:cs="Times New Roman"/>
          <w:snapToGrid w:val="0"/>
          <w:kern w:val="0"/>
          <w:sz w:val="32"/>
          <w:szCs w:val="24"/>
        </w:rPr>
        <w:t>.《广东省住房和城乡建设厅关于调整广东省建设工程计价依据增值税税率的通知》粤建标函〔2019〕819号;</w:t>
      </w:r>
    </w:p>
    <w:p w14:paraId="3C71ABF9">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lang w:val="en-US" w:eastAsia="zh-CN"/>
        </w:rPr>
        <w:t>7</w:t>
      </w:r>
      <w:r>
        <w:rPr>
          <w:rFonts w:hint="eastAsia" w:ascii="仿宋_GB2312" w:hAnsi="Times New Roman" w:eastAsia="仿宋_GB2312" w:cs="Times New Roman"/>
          <w:snapToGrid w:val="0"/>
          <w:kern w:val="0"/>
          <w:sz w:val="32"/>
          <w:szCs w:val="24"/>
        </w:rPr>
        <w:t>.《广东省住房和城乡建设厅关于贯彻实施〈建设工程工程量清单计价标准〉及九项专业工程工程量计算标准的通知》粤建市〔2025〕196号；</w:t>
      </w:r>
    </w:p>
    <w:p w14:paraId="3CF4F8A5">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lang w:val="en-US" w:eastAsia="zh-CN"/>
        </w:rPr>
        <w:t>8</w:t>
      </w:r>
      <w:r>
        <w:rPr>
          <w:rFonts w:hint="eastAsia" w:ascii="仿宋_GB2312" w:hAnsi="Times New Roman" w:eastAsia="仿宋_GB2312" w:cs="Times New Roman"/>
          <w:snapToGrid w:val="0"/>
          <w:kern w:val="0"/>
          <w:sz w:val="32"/>
          <w:szCs w:val="24"/>
        </w:rPr>
        <w:t>.《关于贯彻执行〈建设工程工程量清单计价标准〉及九项专业工程工程量计算标准的实施意见》粤标定函〔2025〕24号；</w:t>
      </w:r>
    </w:p>
    <w:p w14:paraId="4CEB19D7">
      <w:pPr>
        <w:tabs>
          <w:tab w:val="left" w:pos="900"/>
          <w:tab w:val="left" w:pos="1080"/>
        </w:tabs>
        <w:spacing w:line="560" w:lineRule="exact"/>
        <w:ind w:firstLine="640" w:firstLineChars="200"/>
        <w:rPr>
          <w:rFonts w:ascii="仿宋_GB2312" w:hAnsi="Times New Roman" w:eastAsia="仿宋_GB2312" w:cs="Times New Roman"/>
          <w:snapToGrid w:val="0"/>
          <w:kern w:val="0"/>
          <w:sz w:val="32"/>
          <w:szCs w:val="24"/>
        </w:rPr>
      </w:pPr>
      <w:r>
        <w:rPr>
          <w:rFonts w:hint="eastAsia" w:ascii="仿宋_GB2312" w:hAnsi="Times New Roman" w:eastAsia="仿宋_GB2312" w:cs="Times New Roman"/>
          <w:snapToGrid w:val="0"/>
          <w:kern w:val="0"/>
          <w:sz w:val="32"/>
          <w:szCs w:val="24"/>
          <w:lang w:val="en-US" w:eastAsia="zh-CN"/>
        </w:rPr>
        <w:t>9</w:t>
      </w:r>
      <w:r>
        <w:rPr>
          <w:rFonts w:hint="eastAsia" w:ascii="仿宋_GB2312" w:hAnsi="Times New Roman" w:eastAsia="仿宋_GB2312" w:cs="Times New Roman"/>
          <w:snapToGrid w:val="0"/>
          <w:kern w:val="0"/>
          <w:sz w:val="32"/>
          <w:szCs w:val="24"/>
        </w:rPr>
        <w:t>.《广州市建设工程造价管理站关于转发建设工程工程量清单计价标准及九项专业工程工程量计算标准的实施意见的通知》穗建造价〔2025〕116号。</w:t>
      </w:r>
    </w:p>
    <w:p w14:paraId="4BE14C11">
      <w:pPr>
        <w:pStyle w:val="2"/>
        <w:spacing w:before="0" w:after="0" w:line="560" w:lineRule="exact"/>
        <w:ind w:firstLine="643" w:firstLineChars="200"/>
        <w:rPr>
          <w:rFonts w:ascii="黑体" w:hAnsi="Times New Roman" w:eastAsia="黑体" w:cs="Times New Roman"/>
          <w:sz w:val="32"/>
          <w:szCs w:val="32"/>
        </w:rPr>
      </w:pPr>
      <w:r>
        <w:rPr>
          <w:rFonts w:hint="eastAsia" w:ascii="黑体" w:hAnsi="Times New Roman" w:eastAsia="黑体" w:cs="Times New Roman"/>
          <w:sz w:val="32"/>
          <w:szCs w:val="32"/>
        </w:rPr>
        <w:t>四、</w:t>
      </w:r>
      <w:r>
        <w:rPr>
          <w:rFonts w:hint="eastAsia" w:ascii="黑体" w:hAnsi="Times New Roman" w:eastAsia="黑体" w:cs="Times New Roman"/>
          <w:sz w:val="32"/>
          <w:szCs w:val="32"/>
          <w:lang w:val="en-US" w:eastAsia="zh-CN"/>
        </w:rPr>
        <w:t>工程工期、</w:t>
      </w:r>
      <w:r>
        <w:rPr>
          <w:rFonts w:hint="eastAsia" w:ascii="黑体" w:hAnsi="Times New Roman" w:eastAsia="黑体" w:cs="Times New Roman"/>
          <w:sz w:val="32"/>
          <w:szCs w:val="32"/>
        </w:rPr>
        <w:t>工程质量</w:t>
      </w:r>
      <w:r>
        <w:rPr>
          <w:rFonts w:hint="eastAsia" w:ascii="黑体" w:hAnsi="Times New Roman" w:eastAsia="黑体" w:cs="Times New Roman"/>
          <w:sz w:val="32"/>
          <w:szCs w:val="32"/>
          <w:lang w:val="en-US" w:eastAsia="zh-CN"/>
        </w:rPr>
        <w:t>的</w:t>
      </w:r>
      <w:r>
        <w:rPr>
          <w:rFonts w:hint="eastAsia" w:ascii="黑体" w:hAnsi="Times New Roman" w:eastAsia="黑体" w:cs="Times New Roman"/>
          <w:sz w:val="32"/>
          <w:szCs w:val="32"/>
        </w:rPr>
        <w:t>要求</w:t>
      </w:r>
    </w:p>
    <w:p w14:paraId="170EE3E1">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highlight w:val="none"/>
          <w:lang w:eastAsia="zh-CN"/>
        </w:rPr>
      </w:pPr>
      <w:r>
        <w:rPr>
          <w:rFonts w:hint="eastAsia" w:ascii="仿宋_GB2312" w:hAnsi="Times New Roman" w:eastAsia="仿宋_GB2312" w:cs="Times New Roman"/>
          <w:snapToGrid w:val="0"/>
          <w:kern w:val="0"/>
          <w:sz w:val="32"/>
          <w:szCs w:val="24"/>
          <w:highlight w:val="none"/>
        </w:rPr>
        <w:t>（一）</w:t>
      </w:r>
      <w:r>
        <w:rPr>
          <w:rFonts w:hint="eastAsia" w:ascii="仿宋_GB2312" w:hAnsi="Times New Roman" w:eastAsia="仿宋_GB2312" w:cs="Times New Roman"/>
          <w:snapToGrid w:val="0"/>
          <w:kern w:val="0"/>
          <w:sz w:val="32"/>
          <w:szCs w:val="24"/>
          <w:highlight w:val="none"/>
          <w:lang w:val="en-US" w:eastAsia="zh-CN"/>
        </w:rPr>
        <w:t>工程合同工期总日历天数900天。</w:t>
      </w:r>
    </w:p>
    <w:p w14:paraId="649107C8">
      <w:pPr>
        <w:tabs>
          <w:tab w:val="left" w:pos="900"/>
          <w:tab w:val="left" w:pos="1080"/>
        </w:tabs>
        <w:spacing w:line="560" w:lineRule="exact"/>
        <w:ind w:firstLine="640" w:firstLineChars="200"/>
        <w:rPr>
          <w:rFonts w:hint="eastAsia" w:ascii="仿宋_GB2312" w:hAnsi="宋体" w:eastAsia="仿宋_GB2312" w:cs="Times New Roman"/>
          <w:sz w:val="32"/>
          <w:szCs w:val="32"/>
          <w:highlight w:val="yellow"/>
        </w:rPr>
      </w:pPr>
      <w:r>
        <w:rPr>
          <w:rFonts w:hint="eastAsia" w:ascii="仿宋_GB2312" w:hAnsi="Times New Roman" w:eastAsia="仿宋_GB2312" w:cs="Times New Roman"/>
          <w:snapToGrid w:val="0"/>
          <w:kern w:val="0"/>
          <w:sz w:val="32"/>
          <w:szCs w:val="24"/>
          <w:highlight w:val="none"/>
        </w:rPr>
        <w:t>（二）</w:t>
      </w:r>
      <w:r>
        <w:rPr>
          <w:rFonts w:hint="eastAsia" w:ascii="仿宋_GB2312" w:hAnsi="Times New Roman" w:eastAsia="仿宋_GB2312" w:cs="Times New Roman"/>
          <w:snapToGrid w:val="0"/>
          <w:kern w:val="0"/>
          <w:sz w:val="32"/>
          <w:szCs w:val="24"/>
          <w:highlight w:val="none"/>
          <w:lang w:val="en-US" w:eastAsia="zh-CN"/>
        </w:rPr>
        <w:t>工程质量标准</w:t>
      </w:r>
      <w:r>
        <w:rPr>
          <w:rFonts w:hint="eastAsia" w:ascii="仿宋_GB2312" w:hAnsi="宋体" w:eastAsia="仿宋_GB2312" w:cs="Times New Roman"/>
          <w:sz w:val="32"/>
          <w:szCs w:val="32"/>
          <w:highlight w:val="none"/>
          <w:lang w:eastAsia="zh-CN"/>
        </w:rPr>
        <w:t>：质量一次验收合格，符合设计、规范、标准的要求和国家、地方、行业有关标准及投标文件承诺。</w:t>
      </w:r>
    </w:p>
    <w:p w14:paraId="66D33FEF">
      <w:pPr>
        <w:pStyle w:val="2"/>
        <w:spacing w:before="0" w:after="0" w:line="560" w:lineRule="exact"/>
        <w:ind w:firstLine="643" w:firstLineChars="200"/>
        <w:rPr>
          <w:rFonts w:ascii="黑体" w:hAnsi="Times New Roman" w:eastAsia="黑体" w:cs="Times New Roman"/>
          <w:sz w:val="32"/>
          <w:szCs w:val="32"/>
        </w:rPr>
      </w:pPr>
      <w:r>
        <w:rPr>
          <w:rFonts w:hint="eastAsia" w:ascii="黑体" w:hAnsi="Times New Roman" w:eastAsia="黑体" w:cs="Times New Roman"/>
          <w:sz w:val="32"/>
          <w:szCs w:val="32"/>
        </w:rPr>
        <w:t>五、其它需要说明的问题</w:t>
      </w:r>
    </w:p>
    <w:p w14:paraId="49DEFEE9">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highlight w:val="none"/>
          <w:lang w:val="en-US" w:eastAsia="zh-CN"/>
        </w:rPr>
      </w:pPr>
      <w:r>
        <w:rPr>
          <w:rFonts w:hint="eastAsia" w:ascii="仿宋_GB2312" w:hAnsi="Times New Roman" w:eastAsia="仿宋_GB2312" w:cs="Times New Roman"/>
          <w:snapToGrid w:val="0"/>
          <w:kern w:val="0"/>
          <w:sz w:val="32"/>
          <w:szCs w:val="24"/>
          <w:highlight w:val="none"/>
          <w:lang w:val="en-US" w:eastAsia="zh-CN"/>
        </w:rPr>
        <w:t>1.工程量清单中列明所采用标准图集号的项目均包括标准图集所包含的全部工作内容（特别说明不包含的项目除外)。</w:t>
      </w:r>
    </w:p>
    <w:p w14:paraId="13572730">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24"/>
          <w:highlight w:val="none"/>
          <w:lang w:val="en-US" w:eastAsia="zh-CN"/>
        </w:rPr>
      </w:pPr>
      <w:r>
        <w:rPr>
          <w:rFonts w:hint="eastAsia" w:ascii="仿宋_GB2312" w:hAnsi="Times New Roman" w:eastAsia="仿宋_GB2312" w:cs="Times New Roman"/>
          <w:snapToGrid w:val="0"/>
          <w:kern w:val="0"/>
          <w:sz w:val="32"/>
          <w:szCs w:val="24"/>
          <w:highlight w:val="none"/>
          <w:lang w:val="en-US" w:eastAsia="zh-CN"/>
        </w:rPr>
        <w:t>2.投标人报价需综合考虑施工过程中所有涉及的深化设计工作，其设计费及实体增加或减少的所以费用均已包含在投标报价中，招标人不再额外补偿，深化设计成果需符合满足招标人、设计单位及相关规范要求，在综合单价中考虑报价。</w:t>
      </w:r>
    </w:p>
    <w:p w14:paraId="22AB61BA">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32"/>
          <w:highlight w:val="none"/>
          <w:lang w:val="en-US" w:eastAsia="zh-CN"/>
        </w:rPr>
      </w:pPr>
      <w:r>
        <w:rPr>
          <w:rFonts w:hint="eastAsia" w:ascii="仿宋_GB2312" w:hAnsi="Times New Roman" w:eastAsia="仿宋_GB2312" w:cs="Times New Roman"/>
          <w:snapToGrid w:val="0"/>
          <w:kern w:val="0"/>
          <w:sz w:val="32"/>
          <w:szCs w:val="32"/>
          <w:highlight w:val="none"/>
          <w:lang w:val="en-US" w:eastAsia="zh-CN"/>
        </w:rPr>
        <w:t>3.暂列金额、安全生产措施费、专业工程暂估价属于不可竞争费用，投标人需根据招标人发布的最高投标限价公布函填报。</w:t>
      </w:r>
    </w:p>
    <w:p w14:paraId="104292EA">
      <w:pPr>
        <w:tabs>
          <w:tab w:val="left" w:pos="900"/>
          <w:tab w:val="left" w:pos="1080"/>
        </w:tabs>
        <w:spacing w:line="560" w:lineRule="exact"/>
        <w:ind w:firstLine="640" w:firstLineChars="200"/>
        <w:rPr>
          <w:rFonts w:hint="eastAsia" w:ascii="仿宋_GB2312" w:hAnsi="Times New Roman" w:eastAsia="仿宋_GB2312" w:cs="Times New Roman"/>
          <w:snapToGrid w:val="0"/>
          <w:kern w:val="0"/>
          <w:sz w:val="32"/>
          <w:szCs w:val="32"/>
          <w:highlight w:val="none"/>
          <w:lang w:val="en-US" w:eastAsia="zh-CN"/>
        </w:rPr>
      </w:pPr>
      <w:r>
        <w:rPr>
          <w:rFonts w:hint="eastAsia" w:ascii="仿宋_GB2312" w:hAnsi="Times New Roman" w:eastAsia="仿宋_GB2312" w:cs="Times New Roman"/>
          <w:snapToGrid w:val="0"/>
          <w:kern w:val="0"/>
          <w:sz w:val="32"/>
          <w:szCs w:val="32"/>
          <w:highlight w:val="none"/>
          <w:lang w:val="en-US" w:eastAsia="zh-CN"/>
        </w:rPr>
        <w:t>4</w:t>
      </w:r>
      <w:r>
        <w:rPr>
          <w:rFonts w:hint="default" w:ascii="仿宋_GB2312" w:hAnsi="Times New Roman" w:eastAsia="仿宋_GB2312" w:cs="Times New Roman"/>
          <w:snapToGrid w:val="0"/>
          <w:kern w:val="0"/>
          <w:sz w:val="32"/>
          <w:szCs w:val="32"/>
          <w:highlight w:val="none"/>
          <w:lang w:val="en-US" w:eastAsia="zh-CN"/>
        </w:rPr>
        <w:t>.预算包干费：</w:t>
      </w:r>
      <w:r>
        <w:rPr>
          <w:rFonts w:hint="eastAsia" w:ascii="仿宋_GB2312" w:hAnsi="Times New Roman" w:eastAsia="仿宋_GB2312" w:cs="Times New Roman"/>
          <w:snapToGrid w:val="0"/>
          <w:kern w:val="0"/>
          <w:sz w:val="32"/>
          <w:szCs w:val="32"/>
          <w:highlight w:val="none"/>
          <w:lang w:val="en-US" w:eastAsia="zh-CN"/>
        </w:rPr>
        <w:t>投标人自主</w:t>
      </w:r>
      <w:r>
        <w:rPr>
          <w:rFonts w:hint="default" w:ascii="仿宋_GB2312" w:hAnsi="Times New Roman" w:eastAsia="仿宋_GB2312" w:cs="Times New Roman"/>
          <w:snapToGrid w:val="0"/>
          <w:kern w:val="0"/>
          <w:sz w:val="32"/>
          <w:szCs w:val="32"/>
          <w:highlight w:val="none"/>
          <w:lang w:val="en-US" w:eastAsia="zh-CN"/>
        </w:rPr>
        <w:t>综合考虑</w:t>
      </w:r>
      <w:r>
        <w:rPr>
          <w:rFonts w:hint="eastAsia" w:ascii="仿宋_GB2312" w:hAnsi="Times New Roman" w:eastAsia="仿宋_GB2312" w:cs="Times New Roman"/>
          <w:snapToGrid w:val="0"/>
          <w:kern w:val="0"/>
          <w:sz w:val="32"/>
          <w:szCs w:val="32"/>
          <w:highlight w:val="none"/>
          <w:lang w:val="en-US" w:eastAsia="zh-CN"/>
        </w:rPr>
        <w:t>报价，按</w:t>
      </w:r>
      <w:r>
        <w:rPr>
          <w:rFonts w:hint="default" w:ascii="仿宋_GB2312" w:hAnsi="Times New Roman" w:eastAsia="仿宋_GB2312" w:cs="Times New Roman"/>
          <w:snapToGrid w:val="0"/>
          <w:kern w:val="0"/>
          <w:sz w:val="32"/>
          <w:szCs w:val="32"/>
          <w:highlight w:val="none"/>
          <w:lang w:val="en-US" w:eastAsia="zh-CN"/>
        </w:rPr>
        <w:t>总价包干结算时不做调整</w:t>
      </w:r>
      <w:r>
        <w:rPr>
          <w:rFonts w:hint="eastAsia" w:ascii="仿宋_GB2312" w:hAnsi="Times New Roman" w:eastAsia="仿宋_GB2312" w:cs="Times New Roman"/>
          <w:snapToGrid w:val="0"/>
          <w:kern w:val="0"/>
          <w:sz w:val="32"/>
          <w:szCs w:val="32"/>
          <w:highlight w:val="none"/>
          <w:lang w:val="en-US" w:eastAsia="zh-CN"/>
        </w:rPr>
        <w:t>。</w:t>
      </w:r>
    </w:p>
    <w:p w14:paraId="360E2E31">
      <w:pPr>
        <w:tabs>
          <w:tab w:val="left" w:pos="900"/>
          <w:tab w:val="left" w:pos="1080"/>
        </w:tabs>
        <w:spacing w:line="560" w:lineRule="exact"/>
        <w:ind w:firstLine="640" w:firstLineChars="200"/>
        <w:rPr>
          <w:rFonts w:hint="default" w:ascii="仿宋_GB2312" w:hAnsi="Times New Roman" w:eastAsia="仿宋_GB2312" w:cs="Times New Roman"/>
          <w:snapToGrid w:val="0"/>
          <w:kern w:val="0"/>
          <w:sz w:val="32"/>
          <w:szCs w:val="32"/>
          <w:highlight w:val="none"/>
          <w:lang w:val="en-US" w:eastAsia="zh-CN"/>
        </w:rPr>
      </w:pPr>
      <w:r>
        <w:rPr>
          <w:rFonts w:hint="eastAsia" w:ascii="仿宋_GB2312" w:hAnsi="Times New Roman" w:eastAsia="仿宋_GB2312" w:cs="Times New Roman"/>
          <w:snapToGrid w:val="0"/>
          <w:kern w:val="0"/>
          <w:sz w:val="32"/>
          <w:szCs w:val="32"/>
          <w:highlight w:val="none"/>
          <w:lang w:val="en-US" w:eastAsia="zh-CN"/>
        </w:rPr>
        <w:t>5.</w:t>
      </w:r>
      <w:r>
        <w:rPr>
          <w:rFonts w:hint="default" w:ascii="仿宋_GB2312" w:hAnsi="Times New Roman" w:eastAsia="仿宋_GB2312" w:cs="Times New Roman"/>
          <w:snapToGrid w:val="0"/>
          <w:kern w:val="0"/>
          <w:sz w:val="32"/>
          <w:szCs w:val="32"/>
          <w:highlight w:val="none"/>
          <w:lang w:val="en-US" w:eastAsia="zh-CN"/>
        </w:rPr>
        <w:t>措施项目费用采用总价包干方式（不含模板），投标人投标的措施方案被视为是合理可行的，其报价被视为已包含履行合同责任和义务、全面完成招标工程所需发生的全部措施项目费用。中标后措施项目费不因总价合同的暂定数量清单项目价款调整、单价合同的工程量清单缺陷修正而调整，实施过程中不因投标人原因导致的措施方案不合理不可行、措施项目错漏与偏差、工作内容增减、物价波动而调整，结算时仅在非承包人原因导致措施项目实质性变化引起费用增减而相应调整。</w:t>
      </w:r>
    </w:p>
    <w:p w14:paraId="47A7AE18">
      <w:pPr>
        <w:tabs>
          <w:tab w:val="left" w:pos="900"/>
          <w:tab w:val="left" w:pos="1080"/>
        </w:tabs>
        <w:spacing w:line="560" w:lineRule="exact"/>
        <w:ind w:firstLine="640" w:firstLineChars="200"/>
        <w:rPr>
          <w:rFonts w:hint="default" w:ascii="仿宋_GB2312" w:hAnsi="Times New Roman" w:eastAsia="仿宋_GB2312" w:cs="Times New Roman"/>
          <w:snapToGrid w:val="0"/>
          <w:kern w:val="0"/>
          <w:sz w:val="32"/>
          <w:szCs w:val="32"/>
          <w:highlight w:val="none"/>
          <w:lang w:val="en-US" w:eastAsia="zh-CN"/>
        </w:rPr>
      </w:pPr>
      <w:r>
        <w:rPr>
          <w:rFonts w:hint="eastAsia" w:ascii="仿宋_GB2312" w:hAnsi="Times New Roman" w:eastAsia="仿宋_GB2312" w:cs="Times New Roman"/>
          <w:snapToGrid w:val="0"/>
          <w:kern w:val="0"/>
          <w:sz w:val="32"/>
          <w:szCs w:val="32"/>
          <w:highlight w:val="none"/>
          <w:lang w:val="en-US" w:eastAsia="zh-CN"/>
        </w:rPr>
        <w:t>6.</w:t>
      </w:r>
      <w:r>
        <w:rPr>
          <w:rFonts w:hint="default" w:ascii="仿宋_GB2312" w:hAnsi="Times New Roman" w:eastAsia="仿宋_GB2312" w:cs="Times New Roman"/>
          <w:snapToGrid w:val="0"/>
          <w:kern w:val="0"/>
          <w:sz w:val="32"/>
          <w:szCs w:val="32"/>
          <w:highlight w:val="none"/>
          <w:lang w:val="en-US" w:eastAsia="zh-CN"/>
        </w:rPr>
        <w:t>增值税销项税额: 本工程采用一般计税方法计税，按税前工程造价的9%计取。</w:t>
      </w:r>
    </w:p>
    <w:p w14:paraId="093E3A26">
      <w:pPr>
        <w:tabs>
          <w:tab w:val="left" w:pos="900"/>
          <w:tab w:val="left" w:pos="1080"/>
        </w:tabs>
        <w:spacing w:line="560" w:lineRule="exact"/>
        <w:ind w:firstLine="640" w:firstLineChars="200"/>
        <w:rPr>
          <w:rFonts w:hint="default" w:ascii="仿宋_GB2312" w:hAnsi="Times New Roman" w:eastAsia="仿宋_GB2312" w:cs="Times New Roman"/>
          <w:snapToGrid w:val="0"/>
          <w:kern w:val="0"/>
          <w:sz w:val="32"/>
          <w:szCs w:val="32"/>
          <w:highlight w:val="none"/>
          <w:lang w:val="en-US" w:eastAsia="zh-CN"/>
        </w:rPr>
      </w:pPr>
      <w:r>
        <w:rPr>
          <w:rFonts w:hint="eastAsia" w:ascii="仿宋_GB2312" w:hAnsi="Times New Roman" w:eastAsia="仿宋_GB2312" w:cs="Times New Roman"/>
          <w:snapToGrid w:val="0"/>
          <w:kern w:val="0"/>
          <w:sz w:val="32"/>
          <w:szCs w:val="32"/>
          <w:highlight w:val="none"/>
          <w:lang w:val="en-US" w:eastAsia="zh-CN"/>
        </w:rPr>
        <w:t>7.本工程</w:t>
      </w:r>
      <w:r>
        <w:rPr>
          <w:rFonts w:hint="default" w:ascii="仿宋_GB2312" w:hAnsi="Times New Roman" w:eastAsia="仿宋_GB2312" w:cs="Times New Roman"/>
          <w:snapToGrid w:val="0"/>
          <w:kern w:val="0"/>
          <w:sz w:val="32"/>
          <w:szCs w:val="32"/>
          <w:highlight w:val="none"/>
          <w:lang w:val="en-US" w:eastAsia="zh-CN"/>
        </w:rPr>
        <w:t>混凝土采用商品混凝土、</w:t>
      </w:r>
      <w:r>
        <w:rPr>
          <w:rFonts w:hint="eastAsia" w:ascii="仿宋_GB2312" w:hAnsi="Times New Roman" w:eastAsia="仿宋_GB2312" w:cs="Times New Roman"/>
          <w:snapToGrid w:val="0"/>
          <w:kern w:val="0"/>
          <w:sz w:val="32"/>
          <w:szCs w:val="32"/>
          <w:highlight w:val="none"/>
          <w:lang w:val="en-US" w:eastAsia="zh-CN"/>
        </w:rPr>
        <w:t>砂浆采用</w:t>
      </w:r>
      <w:r>
        <w:rPr>
          <w:rFonts w:hint="default" w:ascii="仿宋_GB2312" w:hAnsi="Times New Roman" w:eastAsia="仿宋_GB2312" w:cs="Times New Roman"/>
          <w:snapToGrid w:val="0"/>
          <w:kern w:val="0"/>
          <w:sz w:val="32"/>
          <w:szCs w:val="32"/>
          <w:highlight w:val="none"/>
          <w:lang w:val="en-US" w:eastAsia="zh-CN"/>
        </w:rPr>
        <w:t>商品砂浆</w:t>
      </w:r>
      <w:r>
        <w:rPr>
          <w:rFonts w:hint="eastAsia" w:ascii="仿宋_GB2312" w:hAnsi="Times New Roman" w:eastAsia="仿宋_GB2312" w:cs="Times New Roman"/>
          <w:snapToGrid w:val="0"/>
          <w:kern w:val="0"/>
          <w:sz w:val="32"/>
          <w:szCs w:val="32"/>
          <w:highlight w:val="none"/>
          <w:lang w:val="en-US" w:eastAsia="zh-CN"/>
        </w:rPr>
        <w:t>。</w:t>
      </w:r>
    </w:p>
    <w:p w14:paraId="0BF6B59E">
      <w:pPr>
        <w:ind w:firstLine="640" w:firstLineChars="200"/>
        <w:rPr>
          <w:rFonts w:hint="eastAsia" w:ascii="仿宋_GB2312" w:hAnsi="Times New Roman" w:eastAsia="仿宋_GB2312" w:cs="Times New Roman"/>
          <w:snapToGrid w:val="0"/>
          <w:kern w:val="0"/>
          <w:sz w:val="32"/>
          <w:szCs w:val="32"/>
          <w:highlight w:val="none"/>
          <w:lang w:val="en-US" w:eastAsia="zh-CN"/>
        </w:rPr>
      </w:pPr>
      <w:r>
        <w:rPr>
          <w:rFonts w:hint="eastAsia" w:ascii="仿宋_GB2312" w:hAnsi="Times New Roman" w:eastAsia="仿宋_GB2312" w:cs="Times New Roman"/>
          <w:snapToGrid w:val="0"/>
          <w:kern w:val="0"/>
          <w:sz w:val="32"/>
          <w:szCs w:val="32"/>
          <w:highlight w:val="none"/>
          <w:lang w:val="en-US" w:eastAsia="zh-CN"/>
        </w:rPr>
        <w:t>8.本工程余方弃置，投标人按所列清单项综合考虑各项因素自主报价，结算时不因运距变化调整综合单价。</w:t>
      </w:r>
    </w:p>
    <w:p w14:paraId="0AA6C9E8">
      <w:pPr>
        <w:ind w:firstLine="640" w:firstLineChars="200"/>
        <w:rPr>
          <w:rFonts w:hint="eastAsia" w:ascii="仿宋_GB2312" w:hAnsi="Times New Roman" w:eastAsia="仿宋_GB2312" w:cs="Times New Roman"/>
          <w:snapToGrid w:val="0"/>
          <w:kern w:val="0"/>
          <w:sz w:val="32"/>
          <w:szCs w:val="32"/>
          <w:highlight w:val="none"/>
          <w:lang w:val="en-US" w:eastAsia="zh-CN"/>
        </w:rPr>
      </w:pPr>
      <w:r>
        <w:rPr>
          <w:rFonts w:hint="eastAsia" w:ascii="仿宋_GB2312" w:hAnsi="Times New Roman" w:eastAsia="仿宋_GB2312" w:cs="Times New Roman"/>
          <w:snapToGrid w:val="0"/>
          <w:kern w:val="0"/>
          <w:sz w:val="32"/>
          <w:szCs w:val="32"/>
          <w:highlight w:val="none"/>
          <w:lang w:val="en-US" w:eastAsia="zh-CN"/>
        </w:rPr>
        <w:t>9.本工程土石方开挖、回填工程，投标人按所列清单项综合考虑各项因素自主报价，结算时不因地质原因变化等调整综合单价。</w:t>
      </w:r>
    </w:p>
    <w:p w14:paraId="73817439">
      <w:pPr>
        <w:ind w:firstLine="640" w:firstLineChars="200"/>
        <w:rPr>
          <w:rFonts w:hint="default" w:ascii="仿宋_GB2312" w:hAnsi="Times New Roman" w:eastAsia="仿宋_GB2312" w:cs="Times New Roman"/>
          <w:snapToGrid w:val="0"/>
          <w:kern w:val="0"/>
          <w:sz w:val="32"/>
          <w:szCs w:val="32"/>
          <w:highlight w:val="none"/>
          <w:lang w:val="en-US" w:eastAsia="zh-CN"/>
        </w:rPr>
      </w:pPr>
      <w:r>
        <w:rPr>
          <w:rFonts w:hint="eastAsia" w:ascii="仿宋_GB2312" w:hAnsi="Times New Roman" w:eastAsia="仿宋_GB2312" w:cs="Times New Roman"/>
          <w:snapToGrid w:val="0"/>
          <w:kern w:val="0"/>
          <w:sz w:val="32"/>
          <w:szCs w:val="32"/>
          <w:highlight w:val="none"/>
          <w:lang w:val="en-US" w:eastAsia="zh-CN"/>
        </w:rPr>
        <w:t>10.投标人须根据现场勘察施工现场现状情况，综合考虑现场现状的原有道路，旧钢筋混凝土基础、基础梁、柱、混凝土地面，硬化地面，废弃河涌、场地清表等施工现场现状需要拆除、外运、平整等施工工作；综合考虑将场地范围内的树木（含树墩、树根、树兜等）、灌木丛、杂草、长草等进行砍伐或移植清理，清除石块、建筑垃圾、杂物等，清理中对于机械不能清理的部位例如树根等应配合人工进行清除等相关工作，在挖单独土石方项中综合考虑投标报价，招标人不再另外补偿任何费用。</w:t>
      </w:r>
    </w:p>
    <w:p w14:paraId="0A943FED">
      <w:pPr>
        <w:tabs>
          <w:tab w:val="left" w:pos="900"/>
          <w:tab w:val="left" w:pos="1080"/>
        </w:tabs>
        <w:spacing w:line="56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Times New Roman" w:eastAsia="仿宋_GB2312" w:cs="Times New Roman"/>
          <w:snapToGrid w:val="0"/>
          <w:color w:val="auto"/>
          <w:kern w:val="0"/>
          <w:sz w:val="32"/>
          <w:szCs w:val="32"/>
          <w:highlight w:val="none"/>
          <w:lang w:val="en-US" w:eastAsia="zh-CN"/>
        </w:rPr>
        <w:t>11</w:t>
      </w:r>
      <w:r>
        <w:rPr>
          <w:rFonts w:hint="eastAsia" w:ascii="仿宋_GB2312" w:hAnsi="Times New Roman" w:eastAsia="仿宋_GB2312" w:cs="Times New Roman"/>
          <w:snapToGrid w:val="0"/>
          <w:color w:val="auto"/>
          <w:kern w:val="0"/>
          <w:sz w:val="32"/>
          <w:szCs w:val="32"/>
          <w:highlight w:val="none"/>
        </w:rPr>
        <w:t>.</w:t>
      </w:r>
      <w:r>
        <w:rPr>
          <w:rFonts w:hint="eastAsia" w:ascii="仿宋_GB2312" w:hAnsi="宋体" w:eastAsia="仿宋_GB2312" w:cs="Times New Roman"/>
          <w:color w:val="auto"/>
          <w:sz w:val="32"/>
          <w:szCs w:val="32"/>
          <w:highlight w:val="none"/>
          <w:lang w:val="en-US" w:eastAsia="zh-CN"/>
        </w:rPr>
        <w:t>智能化工程本次招标范围不包含内外网核心交换机、接入层交换机、无线AP、专业业务系统显示屏等设备。</w:t>
      </w:r>
    </w:p>
    <w:p w14:paraId="239917D4">
      <w:pPr>
        <w:pStyle w:val="2"/>
        <w:spacing w:before="0" w:after="0" w:line="560" w:lineRule="exact"/>
        <w:ind w:firstLine="643" w:firstLineChars="200"/>
        <w:rPr>
          <w:rFonts w:hint="default" w:ascii="黑体" w:hAnsi="Times New Roman" w:eastAsia="黑体" w:cs="Times New Roman"/>
          <w:sz w:val="32"/>
          <w:szCs w:val="32"/>
          <w:lang w:val="en-US" w:eastAsia="zh-CN"/>
        </w:rPr>
      </w:pPr>
      <w:r>
        <w:rPr>
          <w:rFonts w:hint="eastAsia" w:ascii="黑体" w:hAnsi="Times New Roman" w:eastAsia="黑体" w:cs="Times New Roman"/>
          <w:sz w:val="32"/>
          <w:szCs w:val="32"/>
        </w:rPr>
        <w:t>六、</w:t>
      </w:r>
      <w:r>
        <w:rPr>
          <w:rFonts w:hint="eastAsia" w:ascii="黑体" w:hAnsi="Times New Roman" w:eastAsia="黑体" w:cs="Times New Roman"/>
          <w:sz w:val="32"/>
          <w:szCs w:val="32"/>
          <w:lang w:val="en-US" w:eastAsia="zh-CN"/>
        </w:rPr>
        <w:t>其他未尽描述的内容以招标文件为准。</w:t>
      </w:r>
    </w:p>
    <w:p w14:paraId="491245EB">
      <w:pPr>
        <w:wordWrap w:val="0"/>
        <w:autoSpaceDE w:val="0"/>
        <w:autoSpaceDN w:val="0"/>
        <w:adjustRightInd w:val="0"/>
        <w:snapToGrid w:val="0"/>
        <w:spacing w:line="560" w:lineRule="exact"/>
        <w:ind w:firstLine="960" w:firstLineChars="200"/>
        <w:jc w:val="both"/>
        <w:rPr>
          <w:rFonts w:ascii="仿宋_GB2312" w:eastAsia="仿宋_GB2312"/>
          <w:snapToGrid w:val="0"/>
          <w:spacing w:val="80"/>
          <w:kern w:val="0"/>
          <w:sz w:val="32"/>
        </w:rPr>
      </w:pPr>
      <w:bookmarkStart w:id="0" w:name="_Hlk35612712"/>
      <w:bookmarkStart w:id="1" w:name="_Hlk35612678"/>
    </w:p>
    <w:p w14:paraId="7F085CCE">
      <w:pPr>
        <w:wordWrap w:val="0"/>
        <w:autoSpaceDE w:val="0"/>
        <w:autoSpaceDN w:val="0"/>
        <w:adjustRightInd w:val="0"/>
        <w:snapToGrid w:val="0"/>
        <w:spacing w:line="560" w:lineRule="exact"/>
        <w:ind w:firstLine="960" w:firstLineChars="200"/>
        <w:jc w:val="both"/>
        <w:rPr>
          <w:rFonts w:ascii="仿宋_GB2312" w:eastAsia="仿宋_GB2312"/>
          <w:snapToGrid w:val="0"/>
          <w:spacing w:val="80"/>
          <w:kern w:val="0"/>
          <w:sz w:val="32"/>
        </w:rPr>
      </w:pPr>
    </w:p>
    <w:p w14:paraId="7960FA1F">
      <w:pPr>
        <w:wordWrap w:val="0"/>
        <w:autoSpaceDE w:val="0"/>
        <w:autoSpaceDN w:val="0"/>
        <w:adjustRightInd w:val="0"/>
        <w:snapToGrid w:val="0"/>
        <w:spacing w:line="560" w:lineRule="exact"/>
        <w:ind w:firstLine="960" w:firstLineChars="200"/>
        <w:jc w:val="both"/>
        <w:rPr>
          <w:rFonts w:ascii="仿宋_GB2312" w:eastAsia="仿宋_GB2312"/>
          <w:snapToGrid w:val="0"/>
          <w:spacing w:val="80"/>
          <w:kern w:val="0"/>
          <w:sz w:val="32"/>
        </w:rPr>
      </w:pPr>
      <w:bookmarkStart w:id="2" w:name="_GoBack"/>
      <w:bookmarkEnd w:id="2"/>
    </w:p>
    <w:bookmarkEnd w:id="0"/>
    <w:bookmarkEnd w:id="1"/>
    <w:p w14:paraId="55DE56E5">
      <w:pPr>
        <w:autoSpaceDE w:val="0"/>
        <w:autoSpaceDN w:val="0"/>
        <w:adjustRightInd w:val="0"/>
        <w:snapToGrid w:val="0"/>
        <w:spacing w:line="560" w:lineRule="exact"/>
        <w:ind w:firstLine="640" w:firstLineChars="200"/>
        <w:jc w:val="center"/>
        <w:rPr>
          <w:rFonts w:eastAsia="仿宋_GB2312"/>
          <w:snapToGrid w:val="0"/>
          <w:kern w:val="0"/>
          <w:sz w:val="32"/>
          <w:highlight w:val="none"/>
        </w:rPr>
      </w:pPr>
      <w:r>
        <w:rPr>
          <w:rFonts w:hint="eastAsia" w:ascii="仿宋_GB2312" w:eastAsia="仿宋_GB2312"/>
          <w:snapToGrid w:val="0"/>
          <w:kern w:val="0"/>
          <w:sz w:val="32"/>
          <w:highlight w:val="none"/>
          <w:lang w:val="en-US" w:eastAsia="zh-CN"/>
        </w:rPr>
        <w:t xml:space="preserve">                           </w:t>
      </w:r>
      <w:r>
        <w:rPr>
          <w:rFonts w:hint="eastAsia" w:ascii="仿宋_GB2312" w:eastAsia="仿宋_GB2312"/>
          <w:snapToGrid w:val="0"/>
          <w:kern w:val="0"/>
          <w:sz w:val="32"/>
          <w:highlight w:val="none"/>
        </w:rPr>
        <w:t>华联世纪工程咨询股份有限公司</w:t>
      </w:r>
    </w:p>
    <w:p w14:paraId="6F84F543">
      <w:pPr>
        <w:wordWrap w:val="0"/>
        <w:autoSpaceDE w:val="0"/>
        <w:autoSpaceDN w:val="0"/>
        <w:adjustRightInd w:val="0"/>
        <w:snapToGrid w:val="0"/>
        <w:spacing w:line="560" w:lineRule="exact"/>
        <w:ind w:firstLine="960" w:firstLineChars="200"/>
        <w:jc w:val="both"/>
        <w:rPr>
          <w:rFonts w:hint="eastAsia" w:ascii="仿宋_GB2312" w:hAnsi="宋体" w:eastAsia="仿宋_GB2312" w:cs="Times New Roman"/>
          <w:color w:val="FF0000"/>
          <w:sz w:val="32"/>
          <w:szCs w:val="32"/>
        </w:rPr>
      </w:pPr>
      <w:r>
        <w:rPr>
          <w:rFonts w:hint="eastAsia" w:ascii="仿宋_GB2312" w:eastAsia="仿宋_GB2312"/>
          <w:snapToGrid w:val="0"/>
          <w:spacing w:val="80"/>
          <w:kern w:val="0"/>
          <w:sz w:val="32"/>
          <w:highlight w:val="none"/>
          <w:lang w:val="en-US" w:eastAsia="zh-CN"/>
        </w:rPr>
        <w:t xml:space="preserve">               </w:t>
      </w:r>
      <w:r>
        <w:rPr>
          <w:rFonts w:ascii="仿宋_GB2312" w:eastAsia="仿宋_GB2312"/>
          <w:snapToGrid w:val="0"/>
          <w:spacing w:val="80"/>
          <w:kern w:val="0"/>
          <w:sz w:val="32"/>
          <w:highlight w:val="none"/>
        </w:rPr>
        <w:t>202</w:t>
      </w:r>
      <w:r>
        <w:rPr>
          <w:rFonts w:hint="eastAsia" w:ascii="仿宋_GB2312" w:eastAsia="仿宋_GB2312"/>
          <w:snapToGrid w:val="0"/>
          <w:spacing w:val="80"/>
          <w:kern w:val="0"/>
          <w:sz w:val="32"/>
          <w:highlight w:val="none"/>
          <w:lang w:val="en-US" w:eastAsia="zh-CN"/>
        </w:rPr>
        <w:t>5</w:t>
      </w:r>
      <w:r>
        <w:rPr>
          <w:rFonts w:hint="eastAsia" w:ascii="仿宋_GB2312" w:eastAsia="仿宋_GB2312"/>
          <w:snapToGrid w:val="0"/>
          <w:spacing w:val="80"/>
          <w:kern w:val="0"/>
          <w:sz w:val="32"/>
          <w:highlight w:val="none"/>
        </w:rPr>
        <w:t>年</w:t>
      </w:r>
      <w:r>
        <w:rPr>
          <w:rFonts w:hint="eastAsia" w:ascii="仿宋_GB2312" w:eastAsia="仿宋_GB2312"/>
          <w:snapToGrid w:val="0"/>
          <w:spacing w:val="80"/>
          <w:kern w:val="0"/>
          <w:sz w:val="32"/>
          <w:highlight w:val="none"/>
          <w:lang w:val="en-US" w:eastAsia="zh-CN"/>
        </w:rPr>
        <w:t>12</w:t>
      </w:r>
      <w:r>
        <w:rPr>
          <w:rFonts w:hint="eastAsia" w:ascii="仿宋_GB2312" w:eastAsia="仿宋_GB2312"/>
          <w:snapToGrid w:val="0"/>
          <w:spacing w:val="80"/>
          <w:kern w:val="0"/>
          <w:sz w:val="32"/>
          <w:highlight w:val="none"/>
        </w:rPr>
        <w:t>月</w:t>
      </w:r>
      <w:r>
        <w:rPr>
          <w:rFonts w:hint="eastAsia" w:ascii="仿宋_GB2312" w:eastAsia="仿宋_GB2312"/>
          <w:snapToGrid w:val="0"/>
          <w:spacing w:val="80"/>
          <w:kern w:val="0"/>
          <w:sz w:val="32"/>
          <w:highlight w:val="none"/>
          <w:lang w:val="en-US" w:eastAsia="zh-CN"/>
        </w:rPr>
        <w:t>11</w:t>
      </w:r>
      <w:r>
        <w:rPr>
          <w:rFonts w:hint="eastAsia" w:ascii="仿宋_GB2312" w:eastAsia="仿宋_GB2312"/>
          <w:snapToGrid w:val="0"/>
          <w:spacing w:val="80"/>
          <w:kern w:val="0"/>
          <w:sz w:val="32"/>
          <w:highlight w:val="none"/>
        </w:rPr>
        <w:t>日</w:t>
      </w:r>
    </w:p>
    <w:sectPr>
      <w:footerReference r:id="rId3" w:type="default"/>
      <w:pgSz w:w="11906" w:h="16838"/>
      <w:pgMar w:top="1418" w:right="1077" w:bottom="1418" w:left="1304" w:header="851"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AE3E7">
    <w:pPr>
      <w:pStyle w:val="7"/>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1</w:t>
    </w:r>
    <w:r>
      <w:rPr>
        <w:kern w:val="0"/>
      </w:rPr>
      <w:fldChar w:fldCharType="end"/>
    </w:r>
    <w:r>
      <w:rPr>
        <w:rFonts w:hint="eastAsia"/>
        <w:kern w:val="0"/>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wYTI4ZDdjZWYxMWM2N2ZhM2Y2ZjRkYTgzMDVmMzIifQ=="/>
  </w:docVars>
  <w:rsids>
    <w:rsidRoot w:val="009150B6"/>
    <w:rsid w:val="00014E53"/>
    <w:rsid w:val="000249E0"/>
    <w:rsid w:val="000269CB"/>
    <w:rsid w:val="00043534"/>
    <w:rsid w:val="00080986"/>
    <w:rsid w:val="00081653"/>
    <w:rsid w:val="0009286C"/>
    <w:rsid w:val="000960D7"/>
    <w:rsid w:val="000A7114"/>
    <w:rsid w:val="000B6BA0"/>
    <w:rsid w:val="000B718E"/>
    <w:rsid w:val="000E782A"/>
    <w:rsid w:val="0010169C"/>
    <w:rsid w:val="0013191F"/>
    <w:rsid w:val="00140411"/>
    <w:rsid w:val="001436FB"/>
    <w:rsid w:val="001545BF"/>
    <w:rsid w:val="001558A9"/>
    <w:rsid w:val="00165061"/>
    <w:rsid w:val="00167364"/>
    <w:rsid w:val="00181666"/>
    <w:rsid w:val="0018377B"/>
    <w:rsid w:val="0018463F"/>
    <w:rsid w:val="0018684A"/>
    <w:rsid w:val="00195558"/>
    <w:rsid w:val="001A0824"/>
    <w:rsid w:val="001C21E2"/>
    <w:rsid w:val="001E272C"/>
    <w:rsid w:val="001F01DC"/>
    <w:rsid w:val="001F2642"/>
    <w:rsid w:val="00200779"/>
    <w:rsid w:val="002558EF"/>
    <w:rsid w:val="002B7AC9"/>
    <w:rsid w:val="00300617"/>
    <w:rsid w:val="003250A6"/>
    <w:rsid w:val="0032799C"/>
    <w:rsid w:val="003439EF"/>
    <w:rsid w:val="00354140"/>
    <w:rsid w:val="00365B73"/>
    <w:rsid w:val="00383E02"/>
    <w:rsid w:val="003C1332"/>
    <w:rsid w:val="003C1BBE"/>
    <w:rsid w:val="003E5A9B"/>
    <w:rsid w:val="003F165A"/>
    <w:rsid w:val="00403EAA"/>
    <w:rsid w:val="0040779B"/>
    <w:rsid w:val="00416737"/>
    <w:rsid w:val="004832FB"/>
    <w:rsid w:val="00492B02"/>
    <w:rsid w:val="004D2CD1"/>
    <w:rsid w:val="004D3DEC"/>
    <w:rsid w:val="00543E0B"/>
    <w:rsid w:val="005607F3"/>
    <w:rsid w:val="00573770"/>
    <w:rsid w:val="00574ED0"/>
    <w:rsid w:val="00577833"/>
    <w:rsid w:val="005A0D70"/>
    <w:rsid w:val="005A6477"/>
    <w:rsid w:val="005B66C2"/>
    <w:rsid w:val="005E27D6"/>
    <w:rsid w:val="005F249B"/>
    <w:rsid w:val="006250E1"/>
    <w:rsid w:val="00641DED"/>
    <w:rsid w:val="00643326"/>
    <w:rsid w:val="00674563"/>
    <w:rsid w:val="00674B0E"/>
    <w:rsid w:val="00681F42"/>
    <w:rsid w:val="006A654A"/>
    <w:rsid w:val="006D4C24"/>
    <w:rsid w:val="006E372E"/>
    <w:rsid w:val="006E63DB"/>
    <w:rsid w:val="007129FB"/>
    <w:rsid w:val="00714FF7"/>
    <w:rsid w:val="007403BC"/>
    <w:rsid w:val="00741B67"/>
    <w:rsid w:val="00747342"/>
    <w:rsid w:val="007526A0"/>
    <w:rsid w:val="0075276D"/>
    <w:rsid w:val="0077402F"/>
    <w:rsid w:val="007B1508"/>
    <w:rsid w:val="00802064"/>
    <w:rsid w:val="00813801"/>
    <w:rsid w:val="008330EC"/>
    <w:rsid w:val="0084232A"/>
    <w:rsid w:val="008525A1"/>
    <w:rsid w:val="0086515C"/>
    <w:rsid w:val="00866A0D"/>
    <w:rsid w:val="00881AB5"/>
    <w:rsid w:val="00890073"/>
    <w:rsid w:val="008E0E15"/>
    <w:rsid w:val="008F7D8D"/>
    <w:rsid w:val="00905878"/>
    <w:rsid w:val="009150B6"/>
    <w:rsid w:val="009744F7"/>
    <w:rsid w:val="00976FAE"/>
    <w:rsid w:val="00991F76"/>
    <w:rsid w:val="009A6DBF"/>
    <w:rsid w:val="009C0954"/>
    <w:rsid w:val="009C4463"/>
    <w:rsid w:val="009C589C"/>
    <w:rsid w:val="00A00027"/>
    <w:rsid w:val="00A03C30"/>
    <w:rsid w:val="00A06A98"/>
    <w:rsid w:val="00A50D3B"/>
    <w:rsid w:val="00A640A6"/>
    <w:rsid w:val="00A6496E"/>
    <w:rsid w:val="00A6696B"/>
    <w:rsid w:val="00A710A4"/>
    <w:rsid w:val="00A85928"/>
    <w:rsid w:val="00A9313D"/>
    <w:rsid w:val="00A95766"/>
    <w:rsid w:val="00AB59F5"/>
    <w:rsid w:val="00AC2016"/>
    <w:rsid w:val="00AC6DF2"/>
    <w:rsid w:val="00AD3128"/>
    <w:rsid w:val="00AE0C94"/>
    <w:rsid w:val="00AE2884"/>
    <w:rsid w:val="00AE6F6D"/>
    <w:rsid w:val="00AF3030"/>
    <w:rsid w:val="00B24BB8"/>
    <w:rsid w:val="00B36D3E"/>
    <w:rsid w:val="00B44288"/>
    <w:rsid w:val="00B66BBE"/>
    <w:rsid w:val="00B74EF5"/>
    <w:rsid w:val="00B74FC5"/>
    <w:rsid w:val="00B967B9"/>
    <w:rsid w:val="00BB27BB"/>
    <w:rsid w:val="00BB768F"/>
    <w:rsid w:val="00BC5DEE"/>
    <w:rsid w:val="00BC75CC"/>
    <w:rsid w:val="00BD1471"/>
    <w:rsid w:val="00BF6DA3"/>
    <w:rsid w:val="00C05941"/>
    <w:rsid w:val="00C147BD"/>
    <w:rsid w:val="00C360E9"/>
    <w:rsid w:val="00C50CA5"/>
    <w:rsid w:val="00C55063"/>
    <w:rsid w:val="00C83F68"/>
    <w:rsid w:val="00C945E2"/>
    <w:rsid w:val="00CA09A9"/>
    <w:rsid w:val="00CC2DB6"/>
    <w:rsid w:val="00CD51BA"/>
    <w:rsid w:val="00D002EA"/>
    <w:rsid w:val="00D04B71"/>
    <w:rsid w:val="00D120D9"/>
    <w:rsid w:val="00D33698"/>
    <w:rsid w:val="00D4301E"/>
    <w:rsid w:val="00D52656"/>
    <w:rsid w:val="00D5361D"/>
    <w:rsid w:val="00D57B4C"/>
    <w:rsid w:val="00D617A5"/>
    <w:rsid w:val="00D662AA"/>
    <w:rsid w:val="00D82423"/>
    <w:rsid w:val="00DA7965"/>
    <w:rsid w:val="00DD4D04"/>
    <w:rsid w:val="00E06CF5"/>
    <w:rsid w:val="00E1338E"/>
    <w:rsid w:val="00E21E92"/>
    <w:rsid w:val="00E237A3"/>
    <w:rsid w:val="00E23A86"/>
    <w:rsid w:val="00E4265A"/>
    <w:rsid w:val="00E452DD"/>
    <w:rsid w:val="00E471E4"/>
    <w:rsid w:val="00E6229B"/>
    <w:rsid w:val="00E76205"/>
    <w:rsid w:val="00EA3F8E"/>
    <w:rsid w:val="00EB3B4B"/>
    <w:rsid w:val="00EB6E24"/>
    <w:rsid w:val="00EF091C"/>
    <w:rsid w:val="00F12F94"/>
    <w:rsid w:val="00F2637D"/>
    <w:rsid w:val="00F31B4A"/>
    <w:rsid w:val="00F35FEE"/>
    <w:rsid w:val="00F37DC7"/>
    <w:rsid w:val="00F40B86"/>
    <w:rsid w:val="00F60938"/>
    <w:rsid w:val="00F60A1D"/>
    <w:rsid w:val="00F621DE"/>
    <w:rsid w:val="00F938D5"/>
    <w:rsid w:val="00FB16A8"/>
    <w:rsid w:val="01207B0A"/>
    <w:rsid w:val="01BF1C48"/>
    <w:rsid w:val="0282211E"/>
    <w:rsid w:val="04BD1B14"/>
    <w:rsid w:val="05154177"/>
    <w:rsid w:val="05E317F0"/>
    <w:rsid w:val="06D429E6"/>
    <w:rsid w:val="077D7D70"/>
    <w:rsid w:val="078B4770"/>
    <w:rsid w:val="07B91C2E"/>
    <w:rsid w:val="08B54AD9"/>
    <w:rsid w:val="08C77E48"/>
    <w:rsid w:val="09D97E13"/>
    <w:rsid w:val="0AA479FE"/>
    <w:rsid w:val="0AEC3153"/>
    <w:rsid w:val="0AF3003D"/>
    <w:rsid w:val="0C6908FF"/>
    <w:rsid w:val="0C9D4705"/>
    <w:rsid w:val="0D984ECC"/>
    <w:rsid w:val="0DCB70B9"/>
    <w:rsid w:val="1040422A"/>
    <w:rsid w:val="105F3BB6"/>
    <w:rsid w:val="10806817"/>
    <w:rsid w:val="10945E98"/>
    <w:rsid w:val="10A446F5"/>
    <w:rsid w:val="10D41743"/>
    <w:rsid w:val="11F72B09"/>
    <w:rsid w:val="136C70A8"/>
    <w:rsid w:val="13DA7FEC"/>
    <w:rsid w:val="13FC4407"/>
    <w:rsid w:val="14321BD6"/>
    <w:rsid w:val="14495172"/>
    <w:rsid w:val="144F1998"/>
    <w:rsid w:val="148770EC"/>
    <w:rsid w:val="153C0833"/>
    <w:rsid w:val="15D54F0F"/>
    <w:rsid w:val="160030F1"/>
    <w:rsid w:val="16BA5EB3"/>
    <w:rsid w:val="17035AAC"/>
    <w:rsid w:val="18392864"/>
    <w:rsid w:val="1917583F"/>
    <w:rsid w:val="197D6594"/>
    <w:rsid w:val="1ADA63FE"/>
    <w:rsid w:val="1C2A597B"/>
    <w:rsid w:val="1D864D41"/>
    <w:rsid w:val="1E3870AD"/>
    <w:rsid w:val="1F494278"/>
    <w:rsid w:val="1F75429E"/>
    <w:rsid w:val="20366DA5"/>
    <w:rsid w:val="21585BEA"/>
    <w:rsid w:val="217952E8"/>
    <w:rsid w:val="223B4D1A"/>
    <w:rsid w:val="22460F43"/>
    <w:rsid w:val="229B40EC"/>
    <w:rsid w:val="235E58E5"/>
    <w:rsid w:val="23874A23"/>
    <w:rsid w:val="246F466E"/>
    <w:rsid w:val="24B71C84"/>
    <w:rsid w:val="24EE1B49"/>
    <w:rsid w:val="25163B93"/>
    <w:rsid w:val="257026DE"/>
    <w:rsid w:val="25F211C5"/>
    <w:rsid w:val="29585672"/>
    <w:rsid w:val="2A6B792C"/>
    <w:rsid w:val="2A7B3176"/>
    <w:rsid w:val="2ACA0963"/>
    <w:rsid w:val="2B2A2A20"/>
    <w:rsid w:val="2B420BBF"/>
    <w:rsid w:val="2B820C68"/>
    <w:rsid w:val="2BB50BA9"/>
    <w:rsid w:val="2C387CAA"/>
    <w:rsid w:val="2C9254B0"/>
    <w:rsid w:val="2DD13DB6"/>
    <w:rsid w:val="307F5907"/>
    <w:rsid w:val="30EE67E5"/>
    <w:rsid w:val="310D06CE"/>
    <w:rsid w:val="319C171D"/>
    <w:rsid w:val="32473158"/>
    <w:rsid w:val="334601B2"/>
    <w:rsid w:val="33851F6A"/>
    <w:rsid w:val="34D0301A"/>
    <w:rsid w:val="34E262C1"/>
    <w:rsid w:val="36275A57"/>
    <w:rsid w:val="368578E9"/>
    <w:rsid w:val="3699568D"/>
    <w:rsid w:val="3699743B"/>
    <w:rsid w:val="36B6544F"/>
    <w:rsid w:val="36FD264A"/>
    <w:rsid w:val="37E172EC"/>
    <w:rsid w:val="380B0DFE"/>
    <w:rsid w:val="391C2105"/>
    <w:rsid w:val="39616936"/>
    <w:rsid w:val="39A54D71"/>
    <w:rsid w:val="39C46EC5"/>
    <w:rsid w:val="39EB4452"/>
    <w:rsid w:val="3A727769"/>
    <w:rsid w:val="3AB57619"/>
    <w:rsid w:val="3B9F0AD8"/>
    <w:rsid w:val="3C5A141B"/>
    <w:rsid w:val="3C7A14EF"/>
    <w:rsid w:val="3C9D73B0"/>
    <w:rsid w:val="3D1617E6"/>
    <w:rsid w:val="3D4034E7"/>
    <w:rsid w:val="3D5B18EE"/>
    <w:rsid w:val="3D962C06"/>
    <w:rsid w:val="3DBF00CF"/>
    <w:rsid w:val="3E513C30"/>
    <w:rsid w:val="41B0147E"/>
    <w:rsid w:val="422D61C5"/>
    <w:rsid w:val="431C38CE"/>
    <w:rsid w:val="432F43E7"/>
    <w:rsid w:val="438C785F"/>
    <w:rsid w:val="4615570F"/>
    <w:rsid w:val="46431A04"/>
    <w:rsid w:val="48700953"/>
    <w:rsid w:val="489D725F"/>
    <w:rsid w:val="48C447EC"/>
    <w:rsid w:val="48EC1BA7"/>
    <w:rsid w:val="49157BC8"/>
    <w:rsid w:val="49793828"/>
    <w:rsid w:val="499A5786"/>
    <w:rsid w:val="4A366699"/>
    <w:rsid w:val="4C121C30"/>
    <w:rsid w:val="4D243875"/>
    <w:rsid w:val="4DCA4492"/>
    <w:rsid w:val="4E1C01BE"/>
    <w:rsid w:val="4F756ECE"/>
    <w:rsid w:val="50A15C96"/>
    <w:rsid w:val="518D462A"/>
    <w:rsid w:val="52B501A7"/>
    <w:rsid w:val="539D0113"/>
    <w:rsid w:val="54A43723"/>
    <w:rsid w:val="555E1B24"/>
    <w:rsid w:val="565151E5"/>
    <w:rsid w:val="56667575"/>
    <w:rsid w:val="568B6949"/>
    <w:rsid w:val="56DE6098"/>
    <w:rsid w:val="57527466"/>
    <w:rsid w:val="57A53A3A"/>
    <w:rsid w:val="58AD29CB"/>
    <w:rsid w:val="59382EE9"/>
    <w:rsid w:val="59B45DE1"/>
    <w:rsid w:val="5AA61FA3"/>
    <w:rsid w:val="5D6D1F1A"/>
    <w:rsid w:val="5ED92E39"/>
    <w:rsid w:val="60830D2F"/>
    <w:rsid w:val="60ED7C6C"/>
    <w:rsid w:val="61892BD7"/>
    <w:rsid w:val="62093D8A"/>
    <w:rsid w:val="62DA2B28"/>
    <w:rsid w:val="62EC4C5D"/>
    <w:rsid w:val="632B0BFC"/>
    <w:rsid w:val="6405154C"/>
    <w:rsid w:val="64BF6946"/>
    <w:rsid w:val="65806194"/>
    <w:rsid w:val="67943D26"/>
    <w:rsid w:val="6A6106F8"/>
    <w:rsid w:val="6AA75906"/>
    <w:rsid w:val="6BAF6291"/>
    <w:rsid w:val="6BBD646A"/>
    <w:rsid w:val="6C20410C"/>
    <w:rsid w:val="6C8A7CF5"/>
    <w:rsid w:val="6CE8644B"/>
    <w:rsid w:val="6CF90658"/>
    <w:rsid w:val="6E3362DF"/>
    <w:rsid w:val="6F146F87"/>
    <w:rsid w:val="700510C2"/>
    <w:rsid w:val="701A0A52"/>
    <w:rsid w:val="70495D5B"/>
    <w:rsid w:val="715911C3"/>
    <w:rsid w:val="717B6E9D"/>
    <w:rsid w:val="71A05E66"/>
    <w:rsid w:val="724F0D0B"/>
    <w:rsid w:val="745E1129"/>
    <w:rsid w:val="767C3F65"/>
    <w:rsid w:val="779071A1"/>
    <w:rsid w:val="79470A78"/>
    <w:rsid w:val="7A356A48"/>
    <w:rsid w:val="7AAC30A3"/>
    <w:rsid w:val="7B470910"/>
    <w:rsid w:val="7C6453C2"/>
    <w:rsid w:val="7D91636D"/>
    <w:rsid w:val="7DE157C0"/>
    <w:rsid w:val="7DF72B64"/>
    <w:rsid w:val="7E344D4A"/>
    <w:rsid w:val="7E354DBB"/>
    <w:rsid w:val="7E4A627D"/>
    <w:rsid w:val="7E74499D"/>
    <w:rsid w:val="7E953F59"/>
    <w:rsid w:val="7E9C2A38"/>
    <w:rsid w:val="7ECE38C1"/>
    <w:rsid w:val="7EFE565A"/>
    <w:rsid w:val="7FA426A6"/>
    <w:rsid w:val="7FF8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autoRedefine/>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link w:val="17"/>
    <w:qFormat/>
    <w:uiPriority w:val="0"/>
    <w:rPr>
      <w:rFonts w:ascii="Times New Roman" w:hAnsi="Times New Roman" w:eastAsia="仿宋_GB2312" w:cs="Times New Roman"/>
      <w:sz w:val="30"/>
      <w:szCs w:val="24"/>
    </w:rPr>
  </w:style>
  <w:style w:type="paragraph" w:styleId="5">
    <w:name w:val="Date"/>
    <w:basedOn w:val="1"/>
    <w:next w:val="1"/>
    <w:link w:val="16"/>
    <w:autoRedefine/>
    <w:semiHidden/>
    <w:unhideWhenUsed/>
    <w:qFormat/>
    <w:uiPriority w:val="99"/>
    <w:pPr>
      <w:ind w:left="100" w:leftChars="2500"/>
    </w:pPr>
  </w:style>
  <w:style w:type="paragraph" w:styleId="6">
    <w:name w:val="Balloon Text"/>
    <w:basedOn w:val="1"/>
    <w:link w:val="15"/>
    <w:autoRedefine/>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semiHidden/>
    <w:unhideWhenUsed/>
    <w:qFormat/>
    <w:uiPriority w:val="99"/>
    <w:pPr>
      <w:spacing w:beforeAutospacing="1" w:afterAutospacing="1"/>
      <w:jc w:val="left"/>
    </w:pPr>
    <w:rPr>
      <w:rFonts w:cs="Times New Roman"/>
      <w:kern w:val="0"/>
      <w:sz w:val="24"/>
    </w:rPr>
  </w:style>
  <w:style w:type="character" w:customStyle="1" w:styleId="12">
    <w:name w:val="页眉 字符"/>
    <w:basedOn w:val="11"/>
    <w:link w:val="8"/>
    <w:autoRedefine/>
    <w:qFormat/>
    <w:uiPriority w:val="99"/>
    <w:rPr>
      <w:sz w:val="18"/>
      <w:szCs w:val="18"/>
    </w:rPr>
  </w:style>
  <w:style w:type="character" w:customStyle="1" w:styleId="13">
    <w:name w:val="页脚 字符"/>
    <w:basedOn w:val="11"/>
    <w:link w:val="7"/>
    <w:autoRedefine/>
    <w:qFormat/>
    <w:uiPriority w:val="99"/>
    <w:rPr>
      <w:sz w:val="18"/>
      <w:szCs w:val="18"/>
    </w:rPr>
  </w:style>
  <w:style w:type="character" w:customStyle="1" w:styleId="14">
    <w:name w:val="style41"/>
    <w:basedOn w:val="11"/>
    <w:autoRedefine/>
    <w:qFormat/>
    <w:uiPriority w:val="0"/>
    <w:rPr>
      <w:b/>
      <w:bCs/>
      <w:color w:val="005BA2"/>
      <w:sz w:val="21"/>
      <w:szCs w:val="21"/>
    </w:rPr>
  </w:style>
  <w:style w:type="character" w:customStyle="1" w:styleId="15">
    <w:name w:val="批注框文本 字符"/>
    <w:basedOn w:val="11"/>
    <w:link w:val="6"/>
    <w:autoRedefine/>
    <w:semiHidden/>
    <w:qFormat/>
    <w:uiPriority w:val="99"/>
    <w:rPr>
      <w:rFonts w:asciiTheme="minorHAnsi" w:hAnsiTheme="minorHAnsi" w:eastAsiaTheme="minorEastAsia" w:cstheme="minorBidi"/>
      <w:kern w:val="2"/>
      <w:sz w:val="18"/>
      <w:szCs w:val="18"/>
    </w:rPr>
  </w:style>
  <w:style w:type="character" w:customStyle="1" w:styleId="16">
    <w:name w:val="日期 字符"/>
    <w:basedOn w:val="11"/>
    <w:link w:val="5"/>
    <w:autoRedefine/>
    <w:semiHidden/>
    <w:qFormat/>
    <w:uiPriority w:val="99"/>
    <w:rPr>
      <w:rFonts w:asciiTheme="minorHAnsi" w:hAnsiTheme="minorHAnsi" w:eastAsiaTheme="minorEastAsia" w:cstheme="minorBidi"/>
      <w:kern w:val="2"/>
      <w:sz w:val="21"/>
      <w:szCs w:val="22"/>
    </w:rPr>
  </w:style>
  <w:style w:type="character" w:customStyle="1" w:styleId="17">
    <w:name w:val="正文文本 字符"/>
    <w:basedOn w:val="11"/>
    <w:link w:val="4"/>
    <w:autoRedefine/>
    <w:qFormat/>
    <w:uiPriority w:val="0"/>
    <w:rPr>
      <w:rFonts w:eastAsia="仿宋_GB2312"/>
      <w:kern w:val="2"/>
      <w:sz w:val="30"/>
      <w:szCs w:val="24"/>
    </w:rPr>
  </w:style>
  <w:style w:type="character" w:customStyle="1" w:styleId="18">
    <w:name w:val="标题 1 字符"/>
    <w:basedOn w:val="11"/>
    <w:link w:val="2"/>
    <w:autoRedefine/>
    <w:qFormat/>
    <w:uiPriority w:val="9"/>
    <w:rPr>
      <w:rFonts w:asciiTheme="minorHAnsi" w:hAnsiTheme="minorHAnsi" w:eastAsiaTheme="minorEastAsia" w:cstheme="minorBidi"/>
      <w:b/>
      <w:bCs/>
      <w:kern w:val="44"/>
      <w:sz w:val="44"/>
      <w:szCs w:val="44"/>
    </w:rPr>
  </w:style>
  <w:style w:type="paragraph" w:customStyle="1" w:styleId="19">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D2E4A-246F-4C53-8F4D-13227042D57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6705</Words>
  <Characters>6968</Characters>
  <Lines>25</Lines>
  <Paragraphs>7</Paragraphs>
  <TotalTime>1</TotalTime>
  <ScaleCrop>false</ScaleCrop>
  <LinksUpToDate>false</LinksUpToDate>
  <CharactersWithSpaces>7064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2020-03-13T06:08:00Z</dcterms:created>
  <dc:creator>微软用户</dc:creator>
  <cp:lastModifiedBy>沐ッ笙</cp:lastModifiedBy>
  <cp:lastPrinted>2019-04-15T08:43:00Z</cp:lastPrinted>
  <dcterms:modified xsi:type="dcterms:W3CDTF">2025-12-11T01:24:26Z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919AEE6497F64E689C550CEE217D2AB1_13</vt:lpwstr>
  </property>
  <property fmtid="{D5CDD505-2E9C-101B-9397-08002B2CF9AE}" pid="4" name="KSOTemplateDocerSaveRecord">
    <vt:lpwstr>eyJoZGlkIjoiZmRjYmQyYzhkYmY5YzNlZjRmMzdhN2U0MThkODMwMTkiLCJ1c2VySWQiOiI1OTU4MzI0MjYifQ==</vt:lpwstr>
  </property>
</Properties>
</file>