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9EE3D">
      <w:pPr>
        <w:spacing w:line="360" w:lineRule="auto"/>
        <w:ind w:left="359" w:leftChars="171"/>
        <w:jc w:val="left"/>
        <w:rPr>
          <w:rFonts w:ascii="宋体" w:hAnsi="宋体" w:cs="宋体"/>
          <w:b/>
          <w:bCs/>
          <w:color w:val="auto"/>
          <w:spacing w:val="40"/>
          <w:sz w:val="44"/>
          <w:szCs w:val="44"/>
        </w:rPr>
      </w:pPr>
    </w:p>
    <w:p w14:paraId="43254C47">
      <w:pPr>
        <w:spacing w:line="360" w:lineRule="auto"/>
        <w:ind w:left="359" w:leftChars="171"/>
        <w:jc w:val="left"/>
        <w:rPr>
          <w:rFonts w:ascii="宋体" w:hAnsi="宋体" w:cs="宋体"/>
          <w:b/>
          <w:bCs/>
          <w:color w:val="auto"/>
          <w:spacing w:val="40"/>
          <w:sz w:val="44"/>
          <w:szCs w:val="44"/>
        </w:rPr>
      </w:pPr>
    </w:p>
    <w:p w14:paraId="0006B8EF">
      <w:pPr>
        <w:spacing w:line="360" w:lineRule="auto"/>
        <w:jc w:val="center"/>
        <w:rPr>
          <w:rFonts w:hint="eastAsia" w:ascii="宋体" w:hAnsi="宋体" w:cs="宋体"/>
          <w:b/>
          <w:bCs/>
          <w:color w:val="auto"/>
          <w:spacing w:val="40"/>
          <w:sz w:val="52"/>
          <w:szCs w:val="60"/>
          <w:lang w:eastAsia="zh-CN"/>
        </w:rPr>
      </w:pPr>
      <w:r>
        <w:rPr>
          <w:rFonts w:hint="eastAsia" w:ascii="宋体" w:hAnsi="宋体" w:cs="宋体"/>
          <w:b/>
          <w:bCs/>
          <w:color w:val="auto"/>
          <w:spacing w:val="40"/>
          <w:sz w:val="52"/>
          <w:szCs w:val="60"/>
          <w:lang w:eastAsia="zh-CN"/>
        </w:rPr>
        <w:t>广东省皮肤性病防治中心（南方医科大学皮肤病医院）白云院区建设项目施工总承包</w:t>
      </w:r>
    </w:p>
    <w:p w14:paraId="2DE7499B">
      <w:pPr>
        <w:spacing w:line="360" w:lineRule="auto"/>
        <w:rPr>
          <w:rFonts w:hint="eastAsia" w:ascii="宋体" w:hAnsi="宋体" w:cs="宋体"/>
          <w:b/>
          <w:bCs/>
          <w:color w:val="auto"/>
          <w:spacing w:val="40"/>
          <w:sz w:val="52"/>
          <w:szCs w:val="60"/>
          <w:lang w:eastAsia="zh-CN"/>
        </w:rPr>
      </w:pPr>
    </w:p>
    <w:p w14:paraId="0A0FCEBE">
      <w:pPr>
        <w:pStyle w:val="10"/>
        <w:rPr>
          <w:rFonts w:hAnsi="宋体" w:cs="宋体"/>
          <w:color w:val="auto"/>
        </w:rPr>
      </w:pPr>
    </w:p>
    <w:p w14:paraId="4CDCF562">
      <w:pPr>
        <w:rPr>
          <w:rFonts w:hAnsi="宋体" w:cs="宋体"/>
          <w:color w:val="auto"/>
        </w:rPr>
      </w:pPr>
    </w:p>
    <w:p w14:paraId="0A56E6EF">
      <w:pPr>
        <w:rPr>
          <w:rFonts w:hAnsi="宋体" w:cs="宋体"/>
          <w:color w:val="auto"/>
        </w:rPr>
      </w:pPr>
    </w:p>
    <w:p w14:paraId="322C6317">
      <w:pPr>
        <w:spacing w:line="360" w:lineRule="auto"/>
        <w:jc w:val="center"/>
        <w:rPr>
          <w:rFonts w:ascii="宋体" w:hAnsi="宋体" w:cs="宋体"/>
          <w:b/>
          <w:bCs/>
          <w:color w:val="auto"/>
          <w:spacing w:val="26"/>
          <w:sz w:val="72"/>
          <w:szCs w:val="72"/>
        </w:rPr>
      </w:pPr>
      <w:r>
        <w:rPr>
          <w:rFonts w:hint="eastAsia" w:ascii="宋体" w:hAnsi="宋体" w:cs="宋体"/>
          <w:b/>
          <w:bCs/>
          <w:color w:val="auto"/>
          <w:spacing w:val="26"/>
          <w:sz w:val="72"/>
          <w:szCs w:val="72"/>
        </w:rPr>
        <w:t>招标</w:t>
      </w:r>
      <w:r>
        <w:rPr>
          <w:rFonts w:hint="eastAsia" w:ascii="宋体" w:hAnsi="宋体" w:cs="宋体"/>
          <w:b/>
          <w:bCs/>
          <w:color w:val="auto"/>
          <w:spacing w:val="26"/>
          <w:sz w:val="72"/>
          <w:szCs w:val="72"/>
          <w:lang w:val="en-US" w:eastAsia="zh-CN"/>
        </w:rPr>
        <w:t>公告</w:t>
      </w:r>
    </w:p>
    <w:p w14:paraId="76B730DE">
      <w:pPr>
        <w:spacing w:line="360" w:lineRule="auto"/>
        <w:jc w:val="center"/>
        <w:rPr>
          <w:rFonts w:ascii="宋体" w:hAnsi="宋体" w:cs="宋体"/>
          <w:color w:val="auto"/>
          <w:sz w:val="32"/>
        </w:rPr>
      </w:pPr>
    </w:p>
    <w:p w14:paraId="0E911F9A">
      <w:pPr>
        <w:spacing w:line="360" w:lineRule="auto"/>
        <w:ind w:firstLine="2560" w:firstLineChars="800"/>
        <w:rPr>
          <w:rFonts w:ascii="宋体" w:hAnsi="宋体" w:cs="宋体"/>
          <w:color w:val="auto"/>
          <w:sz w:val="32"/>
        </w:rPr>
      </w:pPr>
    </w:p>
    <w:p w14:paraId="29F8C468">
      <w:pPr>
        <w:spacing w:line="360" w:lineRule="auto"/>
        <w:rPr>
          <w:rFonts w:ascii="宋体" w:hAnsi="宋体" w:cs="宋体"/>
          <w:color w:val="auto"/>
          <w:sz w:val="30"/>
          <w:szCs w:val="30"/>
        </w:rPr>
      </w:pPr>
    </w:p>
    <w:p w14:paraId="293DF35B">
      <w:pPr>
        <w:spacing w:line="360" w:lineRule="auto"/>
        <w:rPr>
          <w:rFonts w:ascii="宋体" w:hAnsi="宋体" w:cs="宋体"/>
          <w:color w:val="auto"/>
          <w:sz w:val="30"/>
          <w:szCs w:val="30"/>
        </w:rPr>
      </w:pPr>
    </w:p>
    <w:p w14:paraId="61949666">
      <w:pPr>
        <w:spacing w:line="360" w:lineRule="auto"/>
        <w:ind w:left="0" w:leftChars="0" w:firstLine="835" w:firstLineChars="167"/>
        <w:rPr>
          <w:rFonts w:hint="eastAsia" w:ascii="宋体" w:hAnsi="宋体" w:eastAsia="宋体" w:cs="宋体"/>
          <w:color w:val="auto"/>
          <w:sz w:val="30"/>
          <w:szCs w:val="30"/>
          <w:u w:val="single"/>
          <w:lang w:eastAsia="zh-CN"/>
        </w:rPr>
      </w:pPr>
      <w:r>
        <w:rPr>
          <w:rFonts w:hint="eastAsia" w:ascii="宋体" w:hAnsi="宋体" w:cs="宋体"/>
          <w:color w:val="auto"/>
          <w:spacing w:val="100"/>
          <w:kern w:val="0"/>
          <w:sz w:val="30"/>
          <w:szCs w:val="30"/>
          <w:fitText w:val="1800" w:id="1221736761"/>
        </w:rPr>
        <w:t>招标单</w:t>
      </w:r>
      <w:r>
        <w:rPr>
          <w:rFonts w:hint="eastAsia" w:ascii="宋体" w:hAnsi="宋体" w:cs="宋体"/>
          <w:color w:val="auto"/>
          <w:spacing w:val="0"/>
          <w:kern w:val="0"/>
          <w:sz w:val="30"/>
          <w:szCs w:val="30"/>
          <w:fitText w:val="1800" w:id="1221736761"/>
        </w:rPr>
        <w:t>位</w:t>
      </w:r>
      <w:r>
        <w:rPr>
          <w:rFonts w:hint="eastAsia" w:ascii="宋体" w:hAnsi="宋体" w:cs="宋体"/>
          <w:color w:val="auto"/>
          <w:sz w:val="30"/>
          <w:szCs w:val="30"/>
        </w:rPr>
        <w:t>：</w:t>
      </w:r>
      <w:r>
        <w:rPr>
          <w:rFonts w:hint="eastAsia" w:ascii="宋体" w:hAnsi="宋体" w:cs="宋体"/>
          <w:color w:val="auto"/>
          <w:sz w:val="30"/>
          <w:szCs w:val="30"/>
          <w:u w:val="single"/>
          <w:lang w:eastAsia="zh-CN"/>
        </w:rPr>
        <w:t>南方医科大学皮肤病医院(广东省皮肤病医院、广东省皮肤性病防治中心、中国麻风防治研究中心)</w:t>
      </w:r>
    </w:p>
    <w:p w14:paraId="07490DB3">
      <w:pPr>
        <w:spacing w:line="360" w:lineRule="auto"/>
        <w:ind w:left="0" w:leftChars="0" w:firstLine="837" w:firstLineChars="279"/>
        <w:rPr>
          <w:rFonts w:hint="eastAsia" w:ascii="宋体" w:hAnsi="宋体" w:eastAsia="宋体" w:cs="宋体"/>
          <w:color w:val="auto"/>
          <w:sz w:val="30"/>
          <w:szCs w:val="30"/>
          <w:lang w:eastAsia="zh-CN"/>
        </w:rPr>
      </w:pPr>
      <w:r>
        <w:rPr>
          <w:rFonts w:hint="eastAsia" w:ascii="宋体" w:hAnsi="宋体" w:cs="宋体"/>
          <w:color w:val="auto"/>
          <w:sz w:val="30"/>
          <w:szCs w:val="30"/>
        </w:rPr>
        <w:t>招标代理单位：</w:t>
      </w:r>
      <w:r>
        <w:rPr>
          <w:rFonts w:hint="eastAsia" w:ascii="宋体" w:hAnsi="宋体" w:cs="宋体"/>
          <w:color w:val="auto"/>
          <w:sz w:val="30"/>
          <w:szCs w:val="30"/>
          <w:u w:val="single"/>
          <w:lang w:eastAsia="zh-CN"/>
        </w:rPr>
        <w:t>广东省机电设备招标有限公司</w:t>
      </w:r>
    </w:p>
    <w:p w14:paraId="780BFCDE">
      <w:pPr>
        <w:spacing w:line="360" w:lineRule="auto"/>
        <w:ind w:left="0" w:leftChars="0" w:firstLine="840" w:firstLineChars="56"/>
        <w:jc w:val="left"/>
        <w:rPr>
          <w:rFonts w:ascii="宋体" w:hAnsi="宋体" w:cs="宋体"/>
          <w:color w:val="auto"/>
          <w:sz w:val="30"/>
          <w:szCs w:val="30"/>
        </w:rPr>
      </w:pPr>
      <w:r>
        <w:rPr>
          <w:rFonts w:hint="eastAsia" w:ascii="宋体" w:hAnsi="宋体" w:cs="宋体"/>
          <w:color w:val="auto"/>
          <w:spacing w:val="600"/>
          <w:kern w:val="0"/>
          <w:sz w:val="30"/>
          <w:szCs w:val="30"/>
          <w:fitText w:val="1800" w:id="1221736761"/>
        </w:rPr>
        <w:t>日</w:t>
      </w:r>
      <w:r>
        <w:rPr>
          <w:rFonts w:hint="eastAsia" w:ascii="宋体" w:hAnsi="宋体" w:cs="宋体"/>
          <w:color w:val="auto"/>
          <w:spacing w:val="0"/>
          <w:kern w:val="0"/>
          <w:sz w:val="30"/>
          <w:szCs w:val="30"/>
          <w:fitText w:val="1800" w:id="1221736761"/>
        </w:rPr>
        <w:t>期</w:t>
      </w:r>
      <w:r>
        <w:rPr>
          <w:rFonts w:hint="eastAsia" w:ascii="宋体" w:hAnsi="宋体" w:cs="宋体"/>
          <w:color w:val="auto"/>
          <w:sz w:val="30"/>
          <w:szCs w:val="30"/>
        </w:rPr>
        <w:t>：202</w:t>
      </w:r>
      <w:r>
        <w:rPr>
          <w:rFonts w:hint="eastAsia" w:ascii="宋体" w:hAnsi="宋体" w:cs="宋体"/>
          <w:color w:val="auto"/>
          <w:sz w:val="30"/>
          <w:szCs w:val="30"/>
          <w:lang w:val="en-US" w:eastAsia="zh-CN"/>
        </w:rPr>
        <w:t>5</w:t>
      </w:r>
      <w:r>
        <w:rPr>
          <w:rFonts w:hint="eastAsia" w:ascii="宋体" w:hAnsi="宋体" w:cs="宋体"/>
          <w:color w:val="auto"/>
          <w:sz w:val="30"/>
          <w:szCs w:val="30"/>
        </w:rPr>
        <w:t>年</w:t>
      </w:r>
      <w:r>
        <w:rPr>
          <w:rFonts w:hint="eastAsia" w:ascii="宋体" w:hAnsi="宋体" w:cs="宋体"/>
          <w:color w:val="auto"/>
          <w:sz w:val="30"/>
          <w:szCs w:val="30"/>
          <w:lang w:val="en-US" w:eastAsia="zh-CN"/>
        </w:rPr>
        <w:t>12</w:t>
      </w:r>
      <w:r>
        <w:rPr>
          <w:rFonts w:hint="eastAsia" w:ascii="宋体" w:hAnsi="宋体" w:cs="宋体"/>
          <w:color w:val="auto"/>
          <w:sz w:val="30"/>
          <w:szCs w:val="30"/>
        </w:rPr>
        <w:t>月</w:t>
      </w:r>
    </w:p>
    <w:p w14:paraId="03602012">
      <w:pPr>
        <w:pStyle w:val="15"/>
        <w:spacing w:line="360" w:lineRule="auto"/>
        <w:jc w:val="center"/>
        <w:rPr>
          <w:rFonts w:hint="eastAsia"/>
          <w:b/>
          <w:kern w:val="2"/>
          <w:sz w:val="32"/>
          <w:u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417" w:bottom="1247" w:left="1417" w:header="851" w:footer="992" w:gutter="0"/>
          <w:cols w:space="425" w:num="1"/>
          <w:docGrid w:type="lines" w:linePitch="312" w:charSpace="0"/>
        </w:sectPr>
      </w:pPr>
    </w:p>
    <w:p w14:paraId="65EE104E">
      <w:pPr>
        <w:pStyle w:val="15"/>
        <w:spacing w:line="360" w:lineRule="auto"/>
        <w:jc w:val="center"/>
        <w:rPr>
          <w:b/>
          <w:kern w:val="2"/>
          <w:sz w:val="32"/>
          <w:szCs w:val="24"/>
          <w:u w:val="none"/>
          <w:lang w:val="en-US"/>
        </w:rPr>
      </w:pPr>
      <w:r>
        <w:rPr>
          <w:rFonts w:hint="eastAsia"/>
          <w:b/>
          <w:kern w:val="2"/>
          <w:sz w:val="32"/>
          <w:szCs w:val="24"/>
          <w:u w:val="none"/>
          <w:lang w:val="en-US" w:eastAsia="zh-CN"/>
        </w:rPr>
        <w:t>广东省皮肤性病防治中心（南方医科大学皮肤病医院）白云院区建设项目施工总承包</w:t>
      </w:r>
      <w:r>
        <w:rPr>
          <w:rFonts w:hint="eastAsia"/>
          <w:b/>
          <w:kern w:val="2"/>
          <w:sz w:val="32"/>
          <w:szCs w:val="24"/>
          <w:u w:val="none"/>
          <w:lang w:val="en-US"/>
        </w:rPr>
        <w:t>招标公告</w:t>
      </w:r>
    </w:p>
    <w:p w14:paraId="2C030891">
      <w:pPr>
        <w:spacing w:line="360" w:lineRule="auto"/>
        <w:ind w:firstLine="480" w:firstLineChars="200"/>
        <w:rPr>
          <w:rFonts w:hint="eastAsia" w:ascii="宋体" w:hAnsi="宋体"/>
          <w:sz w:val="24"/>
        </w:rPr>
      </w:pPr>
    </w:p>
    <w:p w14:paraId="50AB1AA1">
      <w:pPr>
        <w:spacing w:line="360" w:lineRule="auto"/>
        <w:ind w:firstLine="480" w:firstLineChars="200"/>
        <w:rPr>
          <w:rFonts w:ascii="宋体" w:hAnsi="宋体"/>
          <w:sz w:val="24"/>
        </w:rPr>
      </w:pPr>
      <w:r>
        <w:rPr>
          <w:rFonts w:hint="eastAsia" w:ascii="宋体" w:hAnsi="宋体"/>
          <w:sz w:val="24"/>
        </w:rPr>
        <w:t>根据</w:t>
      </w:r>
      <w:r>
        <w:rPr>
          <w:rFonts w:hint="eastAsia" w:ascii="宋体" w:hAnsi="宋体"/>
          <w:sz w:val="24"/>
          <w:u w:val="single"/>
          <w:lang w:eastAsia="zh-CN"/>
        </w:rPr>
        <w:t>《</w:t>
      </w:r>
      <w:r>
        <w:rPr>
          <w:rFonts w:hint="eastAsia" w:ascii="宋体" w:hAnsi="宋体"/>
          <w:sz w:val="24"/>
          <w:u w:val="single"/>
        </w:rPr>
        <w:t>广东省发展改革委关于广东省皮肤性病防治中心</w:t>
      </w:r>
      <w:r>
        <w:rPr>
          <w:rFonts w:hint="eastAsia" w:ascii="宋体" w:hAnsi="宋体"/>
          <w:sz w:val="24"/>
          <w:u w:val="single"/>
          <w:lang w:val="en-US" w:eastAsia="zh-CN"/>
        </w:rPr>
        <w:t>（</w:t>
      </w:r>
      <w:r>
        <w:rPr>
          <w:rFonts w:hint="eastAsia" w:ascii="宋体" w:hAnsi="宋体"/>
          <w:sz w:val="24"/>
          <w:u w:val="single"/>
        </w:rPr>
        <w:t>南方医科大学皮肤病医院</w:t>
      </w:r>
      <w:r>
        <w:rPr>
          <w:rFonts w:hint="eastAsia" w:ascii="宋体" w:hAnsi="宋体"/>
          <w:sz w:val="24"/>
          <w:u w:val="single"/>
          <w:lang w:val="en-US" w:eastAsia="zh-CN"/>
        </w:rPr>
        <w:t>）</w:t>
      </w:r>
      <w:r>
        <w:rPr>
          <w:rFonts w:hint="eastAsia" w:ascii="宋体" w:hAnsi="宋体"/>
          <w:sz w:val="24"/>
          <w:u w:val="single"/>
        </w:rPr>
        <w:t>白云院区建设项目可行性研究报告</w:t>
      </w:r>
      <w:r>
        <w:rPr>
          <w:rFonts w:hint="eastAsia" w:ascii="宋体" w:hAnsi="宋体"/>
          <w:sz w:val="24"/>
          <w:u w:val="single"/>
          <w:lang w:eastAsia="zh-CN"/>
        </w:rPr>
        <w:t>》</w:t>
      </w:r>
      <w:r>
        <w:rPr>
          <w:rFonts w:hint="eastAsia" w:ascii="宋体" w:hAnsi="宋体"/>
          <w:sz w:val="24"/>
        </w:rPr>
        <w:t>的批复</w:t>
      </w:r>
      <w:r>
        <w:rPr>
          <w:rFonts w:hint="eastAsia" w:ascii="宋体" w:hAnsi="宋体" w:cs="宋体"/>
          <w:sz w:val="24"/>
          <w:u w:val="none"/>
          <w:lang w:val="en-US" w:eastAsia="zh-CN"/>
        </w:rPr>
        <w:t>批</w:t>
      </w:r>
      <w:r>
        <w:rPr>
          <w:rFonts w:hint="eastAsia" w:ascii="宋体" w:hAnsi="宋体"/>
          <w:sz w:val="24"/>
        </w:rPr>
        <w:t>准，并且图纸和技术资料满足施工需要，</w:t>
      </w:r>
      <w:r>
        <w:rPr>
          <w:rFonts w:hint="eastAsia" w:ascii="宋体" w:hAnsi="宋体"/>
          <w:sz w:val="24"/>
          <w:u w:val="single"/>
          <w:lang w:eastAsia="zh-CN"/>
        </w:rPr>
        <w:t>南方医科大学皮肤病医院</w:t>
      </w:r>
      <w:r>
        <w:rPr>
          <w:rFonts w:hint="eastAsia" w:ascii="宋体" w:hAnsi="宋体"/>
          <w:sz w:val="24"/>
          <w:u w:val="single"/>
          <w:lang w:val="en-US" w:eastAsia="zh-CN"/>
        </w:rPr>
        <w:t>（</w:t>
      </w:r>
      <w:r>
        <w:rPr>
          <w:rFonts w:hint="eastAsia" w:ascii="宋体" w:hAnsi="宋体"/>
          <w:sz w:val="24"/>
          <w:u w:val="single"/>
          <w:lang w:eastAsia="zh-CN"/>
        </w:rPr>
        <w:t>广东省皮肤病医院、广东省皮肤性病防治中心、中国麻风防治研究中心</w:t>
      </w:r>
      <w:r>
        <w:rPr>
          <w:rFonts w:hint="eastAsia" w:ascii="宋体" w:hAnsi="宋体"/>
          <w:sz w:val="24"/>
          <w:u w:val="single"/>
          <w:lang w:val="en-US" w:eastAsia="zh-CN"/>
        </w:rPr>
        <w:t>）</w:t>
      </w:r>
      <w:r>
        <w:rPr>
          <w:rFonts w:hint="eastAsia" w:ascii="宋体" w:hAnsi="宋体"/>
          <w:sz w:val="24"/>
        </w:rPr>
        <w:t>现对</w:t>
      </w:r>
      <w:r>
        <w:rPr>
          <w:rFonts w:hint="eastAsia"/>
          <w:sz w:val="24"/>
          <w:u w:val="single"/>
          <w:lang w:eastAsia="zh-CN"/>
        </w:rPr>
        <w:t>广东省皮肤性病防治中心（南方医科大学皮肤病医院）白云院区建设项目施工总承包</w:t>
      </w:r>
      <w:r>
        <w:rPr>
          <w:rFonts w:hint="eastAsia" w:ascii="宋体" w:hAnsi="宋体"/>
          <w:sz w:val="24"/>
        </w:rPr>
        <w:t>进行公开招标，选定承包人。</w:t>
      </w:r>
    </w:p>
    <w:p w14:paraId="6C00B0ED">
      <w:pPr>
        <w:spacing w:line="360" w:lineRule="auto"/>
        <w:ind w:firstLine="537" w:firstLineChars="224"/>
        <w:rPr>
          <w:rFonts w:hint="eastAsia" w:ascii="宋体" w:hAnsi="宋体"/>
          <w:sz w:val="24"/>
          <w:u w:val="single"/>
          <w:lang w:eastAsia="zh-CN"/>
        </w:rPr>
      </w:pPr>
      <w:r>
        <w:rPr>
          <w:rFonts w:hint="eastAsia" w:ascii="宋体" w:hAnsi="宋体"/>
          <w:sz w:val="24"/>
          <w:lang w:val="en-US" w:eastAsia="zh-CN"/>
        </w:rPr>
        <w:t>一、</w:t>
      </w:r>
      <w:r>
        <w:rPr>
          <w:rFonts w:hint="eastAsia" w:ascii="宋体" w:hAnsi="宋体"/>
          <w:sz w:val="24"/>
        </w:rPr>
        <w:t>工程名称：</w:t>
      </w:r>
      <w:r>
        <w:rPr>
          <w:rFonts w:hint="eastAsia" w:ascii="宋体" w:hAnsi="宋体"/>
          <w:sz w:val="24"/>
          <w:u w:val="single"/>
          <w:lang w:eastAsia="zh-CN"/>
        </w:rPr>
        <w:t>广东省皮肤性病防治中心（南方医科大学皮肤病医院）白云院区建设项目施工总承包</w:t>
      </w:r>
    </w:p>
    <w:p w14:paraId="032D1A7D">
      <w:pPr>
        <w:numPr>
          <w:ilvl w:val="0"/>
          <w:numId w:val="0"/>
        </w:numPr>
        <w:tabs>
          <w:tab w:val="center" w:pos="4415"/>
        </w:tabs>
        <w:spacing w:line="360" w:lineRule="auto"/>
        <w:ind w:firstLine="960" w:firstLineChars="400"/>
        <w:rPr>
          <w:rFonts w:hint="default" w:ascii="宋体" w:hAnsi="宋体" w:eastAsia="宋体"/>
          <w:sz w:val="24"/>
          <w:u w:val="single"/>
          <w:lang w:val="en-US" w:eastAsia="zh-CN"/>
        </w:rPr>
      </w:pPr>
      <w:r>
        <w:rPr>
          <w:rFonts w:hint="eastAsia" w:ascii="宋体"/>
          <w:sz w:val="24"/>
        </w:rPr>
        <w:t>项目代码：</w:t>
      </w:r>
      <w:r>
        <w:rPr>
          <w:rFonts w:hint="eastAsia" w:ascii="宋体"/>
          <w:sz w:val="24"/>
          <w:u w:val="single"/>
          <w:lang w:val="en-US" w:eastAsia="zh-CN"/>
        </w:rPr>
        <w:t>2020-440111-84-01-087327</w:t>
      </w:r>
    </w:p>
    <w:p w14:paraId="1A163771">
      <w:pPr>
        <w:spacing w:line="360" w:lineRule="auto"/>
        <w:ind w:firstLine="537" w:firstLineChars="224"/>
        <w:rPr>
          <w:rFonts w:hint="eastAsia" w:ascii="宋体" w:hAnsi="宋体" w:eastAsia="宋体"/>
          <w:sz w:val="24"/>
          <w:u w:val="single"/>
          <w:lang w:eastAsia="zh-CN"/>
        </w:rPr>
      </w:pPr>
      <w:r>
        <w:rPr>
          <w:rFonts w:hint="eastAsia" w:ascii="宋体" w:hAnsi="宋体"/>
          <w:sz w:val="24"/>
        </w:rPr>
        <w:t>二、招标单位：</w:t>
      </w:r>
      <w:r>
        <w:rPr>
          <w:rFonts w:hint="eastAsia" w:ascii="宋体" w:hAnsi="宋体"/>
          <w:sz w:val="24"/>
          <w:u w:val="single"/>
          <w:lang w:eastAsia="zh-CN"/>
        </w:rPr>
        <w:t>南方医科大学皮肤病医院（广东省皮肤病医院、广东省皮肤性病防治中心、中国麻风防治研究中心）</w:t>
      </w:r>
    </w:p>
    <w:p w14:paraId="0C4C619E">
      <w:pPr>
        <w:spacing w:line="360" w:lineRule="auto"/>
        <w:ind w:left="420" w:leftChars="200" w:firstLine="537" w:firstLineChars="224"/>
        <w:jc w:val="left"/>
        <w:rPr>
          <w:rFonts w:hint="default" w:ascii="宋体" w:hAnsi="宋体" w:eastAsia="宋体"/>
          <w:color w:val="auto"/>
          <w:sz w:val="24"/>
          <w:szCs w:val="24"/>
          <w:lang w:val="en-US" w:eastAsia="zh-CN"/>
        </w:rPr>
      </w:pPr>
      <w:r>
        <w:rPr>
          <w:rFonts w:hint="eastAsia" w:ascii="宋体" w:hAnsi="宋体"/>
          <w:sz w:val="24"/>
          <w:szCs w:val="24"/>
        </w:rPr>
        <w:t>联</w:t>
      </w:r>
      <w:r>
        <w:rPr>
          <w:rFonts w:hint="eastAsia" w:ascii="宋体" w:hAnsi="宋体"/>
          <w:color w:val="auto"/>
          <w:sz w:val="24"/>
          <w:szCs w:val="24"/>
        </w:rPr>
        <w:t>系人：</w:t>
      </w:r>
      <w:r>
        <w:rPr>
          <w:rFonts w:hint="eastAsia" w:ascii="宋体" w:hAnsi="宋体"/>
          <w:color w:val="auto"/>
          <w:sz w:val="24"/>
          <w:szCs w:val="24"/>
          <w:u w:val="single"/>
        </w:rPr>
        <w:t>倪老师</w:t>
      </w:r>
      <w:r>
        <w:rPr>
          <w:rFonts w:hint="eastAsia" w:ascii="宋体" w:hAnsi="宋体"/>
          <w:color w:val="auto"/>
          <w:sz w:val="24"/>
          <w:szCs w:val="24"/>
          <w:u w:val="single"/>
          <w:lang w:eastAsia="zh-CN"/>
        </w:rPr>
        <w:t>、</w:t>
      </w:r>
      <w:r>
        <w:rPr>
          <w:rFonts w:hint="eastAsia" w:ascii="宋体" w:hAnsi="宋体"/>
          <w:color w:val="auto"/>
          <w:sz w:val="24"/>
          <w:szCs w:val="24"/>
          <w:u w:val="single"/>
          <w:lang w:val="en-US" w:eastAsia="zh-CN"/>
        </w:rPr>
        <w:t>杨老师</w:t>
      </w:r>
      <w:r>
        <w:rPr>
          <w:rFonts w:hint="eastAsia" w:ascii="宋体" w:hAnsi="宋体"/>
          <w:color w:val="auto"/>
          <w:sz w:val="24"/>
          <w:szCs w:val="24"/>
        </w:rPr>
        <w:t xml:space="preserve">   联系电话：</w:t>
      </w:r>
      <w:r>
        <w:rPr>
          <w:rFonts w:hint="eastAsia" w:ascii="宋体" w:hAnsi="宋体"/>
          <w:color w:val="auto"/>
          <w:sz w:val="24"/>
          <w:szCs w:val="24"/>
          <w:u w:val="single"/>
        </w:rPr>
        <w:t>020-</w:t>
      </w:r>
      <w:r>
        <w:rPr>
          <w:rFonts w:hint="eastAsia" w:ascii="宋体" w:hAnsi="宋体"/>
          <w:color w:val="auto"/>
          <w:sz w:val="24"/>
          <w:szCs w:val="24"/>
          <w:u w:val="single"/>
          <w:lang w:val="en-US" w:eastAsia="zh-CN"/>
        </w:rPr>
        <w:t>83224972</w:t>
      </w:r>
    </w:p>
    <w:p w14:paraId="33B1494D">
      <w:pPr>
        <w:spacing w:line="360" w:lineRule="auto"/>
        <w:ind w:left="420" w:leftChars="200" w:firstLine="537" w:firstLineChars="224"/>
        <w:jc w:val="left"/>
        <w:rPr>
          <w:rFonts w:hint="eastAsia" w:ascii="宋体" w:hAnsi="宋体"/>
          <w:color w:val="auto"/>
          <w:sz w:val="24"/>
          <w:szCs w:val="24"/>
          <w:u w:val="single"/>
        </w:rPr>
      </w:pPr>
      <w:r>
        <w:rPr>
          <w:rFonts w:hint="eastAsia" w:ascii="宋体" w:hAnsi="宋体"/>
          <w:color w:val="auto"/>
          <w:sz w:val="24"/>
          <w:szCs w:val="24"/>
        </w:rPr>
        <w:t>联系地址：</w:t>
      </w:r>
      <w:r>
        <w:rPr>
          <w:rFonts w:hint="eastAsia" w:ascii="宋体" w:hAnsi="宋体"/>
          <w:color w:val="auto"/>
          <w:sz w:val="24"/>
          <w:szCs w:val="24"/>
          <w:u w:val="single"/>
        </w:rPr>
        <w:t>广州市越秀区麓景路2号</w:t>
      </w:r>
    </w:p>
    <w:p w14:paraId="0558C8A0">
      <w:pPr>
        <w:spacing w:line="360" w:lineRule="auto"/>
        <w:ind w:left="420" w:leftChars="200" w:firstLine="537" w:firstLineChars="224"/>
        <w:jc w:val="left"/>
        <w:rPr>
          <w:rFonts w:hint="eastAsia" w:ascii="宋体" w:eastAsia="宋体"/>
          <w:sz w:val="24"/>
          <w:u w:val="single"/>
          <w:lang w:eastAsia="zh-CN"/>
        </w:rPr>
      </w:pPr>
      <w:r>
        <w:rPr>
          <w:rFonts w:hint="eastAsia" w:ascii="宋体" w:hAnsi="宋体"/>
          <w:sz w:val="24"/>
        </w:rPr>
        <w:t>招标代理机构：</w:t>
      </w:r>
      <w:r>
        <w:rPr>
          <w:rFonts w:hint="eastAsia" w:ascii="宋体" w:hAnsi="宋体"/>
          <w:sz w:val="24"/>
          <w:u w:val="single"/>
          <w:lang w:eastAsia="zh-CN"/>
        </w:rPr>
        <w:t>广东省机电设备招标有限公司</w:t>
      </w:r>
    </w:p>
    <w:p w14:paraId="1A78B0EA">
      <w:pPr>
        <w:spacing w:line="360" w:lineRule="auto"/>
        <w:ind w:left="420" w:leftChars="200" w:firstLine="537" w:firstLineChars="224"/>
        <w:jc w:val="left"/>
        <w:rPr>
          <w:rFonts w:hint="default" w:ascii="宋体" w:eastAsia="宋体"/>
          <w:sz w:val="24"/>
          <w:u w:val="single"/>
          <w:lang w:val="en-US" w:eastAsia="zh-CN"/>
        </w:rPr>
      </w:pPr>
      <w:r>
        <w:rPr>
          <w:rFonts w:hint="eastAsia" w:ascii="宋体" w:hAnsi="宋体"/>
          <w:sz w:val="24"/>
        </w:rPr>
        <w:t>联系人：</w:t>
      </w:r>
      <w:r>
        <w:rPr>
          <w:rFonts w:hint="eastAsia" w:ascii="宋体" w:hAnsi="宋体"/>
          <w:sz w:val="24"/>
          <w:szCs w:val="24"/>
          <w:u w:val="single"/>
          <w:lang w:val="en-US" w:eastAsia="zh-CN"/>
        </w:rPr>
        <w:t>黄工、刘工</w:t>
      </w:r>
      <w:r>
        <w:rPr>
          <w:rFonts w:hint="eastAsia" w:ascii="宋体" w:hAnsi="宋体"/>
          <w:sz w:val="24"/>
          <w:szCs w:val="24"/>
        </w:rPr>
        <w:t xml:space="preserve">   </w:t>
      </w:r>
      <w:r>
        <w:rPr>
          <w:rFonts w:hint="eastAsia" w:ascii="宋体" w:hAnsi="宋体"/>
          <w:sz w:val="24"/>
        </w:rPr>
        <w:t>联系电话：</w:t>
      </w:r>
      <w:r>
        <w:rPr>
          <w:rFonts w:hint="eastAsia" w:ascii="宋体" w:hAnsi="宋体"/>
          <w:sz w:val="24"/>
          <w:u w:val="single"/>
        </w:rPr>
        <w:t>020-</w:t>
      </w:r>
      <w:r>
        <w:rPr>
          <w:rFonts w:hint="eastAsia" w:ascii="宋体" w:hAnsi="宋体"/>
          <w:sz w:val="24"/>
          <w:u w:val="single"/>
          <w:lang w:val="en-US" w:eastAsia="zh-CN"/>
        </w:rPr>
        <w:t>83545535</w:t>
      </w:r>
    </w:p>
    <w:p w14:paraId="21CC120E">
      <w:pPr>
        <w:spacing w:line="360" w:lineRule="auto"/>
        <w:ind w:left="420" w:leftChars="200" w:firstLine="537" w:firstLineChars="224"/>
        <w:jc w:val="left"/>
        <w:rPr>
          <w:rFonts w:ascii="宋体" w:hAnsi="宋体"/>
          <w:sz w:val="24"/>
        </w:rPr>
      </w:pPr>
      <w:r>
        <w:rPr>
          <w:rFonts w:hint="eastAsia" w:ascii="宋体" w:hAnsi="宋体"/>
          <w:sz w:val="24"/>
        </w:rPr>
        <w:t>联系地址：</w:t>
      </w:r>
      <w:r>
        <w:rPr>
          <w:rFonts w:hint="eastAsia" w:ascii="宋体" w:hAnsi="宋体" w:cs="宋体"/>
          <w:color w:val="000000"/>
          <w:sz w:val="24"/>
          <w:szCs w:val="24"/>
          <w:highlight w:val="none"/>
          <w:u w:val="single"/>
        </w:rPr>
        <w:t>广州市环市中路316号金鹰大厦1</w:t>
      </w:r>
      <w:r>
        <w:rPr>
          <w:rFonts w:hint="eastAsia" w:ascii="宋体" w:hAnsi="宋体" w:cs="宋体"/>
          <w:color w:val="000000"/>
          <w:sz w:val="24"/>
          <w:szCs w:val="24"/>
          <w:highlight w:val="none"/>
          <w:u w:val="single"/>
          <w:lang w:val="en-US" w:eastAsia="zh-CN"/>
        </w:rPr>
        <w:t>0</w:t>
      </w:r>
      <w:r>
        <w:rPr>
          <w:rFonts w:hint="eastAsia" w:ascii="宋体" w:hAnsi="宋体" w:cs="宋体"/>
          <w:color w:val="000000"/>
          <w:sz w:val="24"/>
          <w:szCs w:val="24"/>
          <w:highlight w:val="none"/>
          <w:u w:val="single"/>
        </w:rPr>
        <w:t>楼</w:t>
      </w:r>
    </w:p>
    <w:p w14:paraId="07F16869">
      <w:pPr>
        <w:spacing w:line="360" w:lineRule="auto"/>
        <w:ind w:left="420" w:leftChars="200" w:firstLine="537" w:firstLineChars="224"/>
        <w:jc w:val="left"/>
        <w:rPr>
          <w:rFonts w:ascii="宋体"/>
          <w:sz w:val="24"/>
        </w:rPr>
      </w:pPr>
      <w:r>
        <w:rPr>
          <w:rFonts w:hint="eastAsia" w:ascii="宋体" w:hAnsi="宋体"/>
          <w:sz w:val="24"/>
        </w:rPr>
        <w:t>招标监督机构：</w:t>
      </w:r>
      <w:r>
        <w:rPr>
          <w:rFonts w:hint="eastAsia" w:ascii="宋体" w:hAnsi="宋体"/>
          <w:sz w:val="24"/>
          <w:u w:val="single"/>
        </w:rPr>
        <w:t>广州市建设工程招标管理办公室</w:t>
      </w:r>
    </w:p>
    <w:p w14:paraId="38064286">
      <w:pPr>
        <w:spacing w:line="360" w:lineRule="auto"/>
        <w:ind w:left="420" w:leftChars="200" w:firstLine="537" w:firstLineChars="224"/>
        <w:jc w:val="left"/>
        <w:rPr>
          <w:rFonts w:hint="default" w:ascii="宋体" w:hAnsi="宋体" w:eastAsia="宋体"/>
          <w:sz w:val="24"/>
          <w:u w:val="single"/>
          <w:lang w:val="en-US" w:eastAsia="zh-CN"/>
        </w:rPr>
      </w:pPr>
      <w:r>
        <w:rPr>
          <w:rFonts w:hint="eastAsia" w:ascii="宋体" w:hAnsi="宋体"/>
          <w:sz w:val="24"/>
        </w:rPr>
        <w:t>监督电话：</w:t>
      </w:r>
      <w:r>
        <w:rPr>
          <w:rFonts w:hint="eastAsia" w:ascii="宋体" w:hAnsi="宋体"/>
          <w:sz w:val="24"/>
          <w:u w:val="single"/>
        </w:rPr>
        <w:t>020-288662</w:t>
      </w:r>
      <w:r>
        <w:rPr>
          <w:rFonts w:hint="eastAsia" w:ascii="宋体" w:hAnsi="宋体"/>
          <w:sz w:val="24"/>
          <w:u w:val="single"/>
          <w:lang w:val="en-US" w:eastAsia="zh-CN"/>
        </w:rPr>
        <w:t>20</w:t>
      </w:r>
    </w:p>
    <w:p w14:paraId="2F05DE74">
      <w:pPr>
        <w:spacing w:line="360" w:lineRule="auto"/>
        <w:ind w:left="420" w:leftChars="200" w:firstLine="537" w:firstLineChars="224"/>
        <w:jc w:val="left"/>
      </w:pPr>
      <w:r>
        <w:rPr>
          <w:rFonts w:hint="eastAsia" w:ascii="宋体" w:hAnsi="宋体"/>
          <w:sz w:val="24"/>
        </w:rPr>
        <w:t>联系地址：</w:t>
      </w:r>
      <w:r>
        <w:rPr>
          <w:rFonts w:hint="eastAsia" w:ascii="宋体" w:hAnsi="宋体"/>
          <w:sz w:val="24"/>
          <w:u w:val="single"/>
        </w:rPr>
        <w:t>广州市天河区天润路333号3楼</w:t>
      </w:r>
    </w:p>
    <w:p w14:paraId="21F1F918">
      <w:pPr>
        <w:spacing w:line="360" w:lineRule="auto"/>
        <w:ind w:firstLine="537" w:firstLineChars="224"/>
        <w:rPr>
          <w:rFonts w:hint="default" w:ascii="宋体" w:hAnsi="宋体" w:eastAsia="宋体"/>
          <w:sz w:val="24"/>
          <w:u w:val="single"/>
          <w:lang w:val="en-US" w:eastAsia="zh-CN"/>
        </w:rPr>
      </w:pPr>
      <w:r>
        <w:rPr>
          <w:rFonts w:hint="eastAsia" w:ascii="宋体" w:hAnsi="宋体"/>
          <w:sz w:val="24"/>
        </w:rPr>
        <w:t>三、建设地点：</w:t>
      </w:r>
      <w:r>
        <w:rPr>
          <w:rFonts w:hint="eastAsia" w:ascii="宋体" w:hAnsi="宋体"/>
          <w:sz w:val="24"/>
          <w:u w:val="single"/>
        </w:rPr>
        <w:t>广州市白云区石门街红星村珠岗路两侧</w:t>
      </w:r>
    </w:p>
    <w:p w14:paraId="543B4CAD">
      <w:pPr>
        <w:spacing w:line="360" w:lineRule="auto"/>
        <w:ind w:firstLine="537" w:firstLineChars="224"/>
        <w:rPr>
          <w:rFonts w:hint="default" w:ascii="宋体" w:hAnsi="宋体" w:eastAsia="宋体" w:cs="Times New Roman"/>
          <w:sz w:val="24"/>
          <w:u w:val="single"/>
          <w:lang w:val="en-US" w:eastAsia="zh-CN"/>
        </w:rPr>
      </w:pPr>
      <w:r>
        <w:rPr>
          <w:rFonts w:hint="eastAsia" w:ascii="宋体" w:hAnsi="宋体"/>
          <w:sz w:val="24"/>
        </w:rPr>
        <w:t>四、项目</w:t>
      </w:r>
      <w:r>
        <w:rPr>
          <w:rFonts w:hint="eastAsia" w:ascii="宋体" w:hAnsi="宋体" w:eastAsia="宋体" w:cs="Times New Roman"/>
          <w:sz w:val="24"/>
        </w:rPr>
        <w:t>概况：</w:t>
      </w:r>
      <w:r>
        <w:rPr>
          <w:rFonts w:hint="eastAsia" w:ascii="宋体" w:hAnsi="宋体" w:eastAsia="宋体" w:cs="Times New Roman"/>
          <w:sz w:val="24"/>
          <w:u w:val="single"/>
        </w:rPr>
        <w:t>项目包含门急诊综合楼、住院综合楼、防治科研综合楼主体建筑。建设内容包括：门诊、急诊、医技、住院、行政后勤、保障系统、科研实验、地下车库、设备用房、室外工程、地下人防工程等。规划病床数500床，医院总占地面积52532.56平方米，总建筑面积108139.15平方米（即工程规划许可证载明的建筑面积），其中：1#医院楼1幢，地上15层，73332.89平方米；2#、3#梯屋各1幢，地上一层，均为30.6平方米；地下室1幢，地下二层，34745.06平方米。地上15层，地下2层，单体建筑高度69.2米，最大单跨约45米。</w:t>
      </w:r>
    </w:p>
    <w:p w14:paraId="4835FF11">
      <w:pPr>
        <w:spacing w:line="360" w:lineRule="auto"/>
        <w:ind w:firstLine="537" w:firstLineChars="224"/>
        <w:rPr>
          <w:rFonts w:ascii="宋体" w:hAnsi="宋体"/>
          <w:sz w:val="24"/>
          <w:u w:val="single"/>
        </w:rPr>
      </w:pPr>
      <w:r>
        <w:rPr>
          <w:rFonts w:hint="eastAsia" w:ascii="宋体" w:hAnsi="宋体"/>
          <w:sz w:val="24"/>
        </w:rPr>
        <w:t>五、标段划分及各标段招标内容、规模和最高投标限价：</w:t>
      </w:r>
    </w:p>
    <w:p w14:paraId="53ABA95B">
      <w:pPr>
        <w:spacing w:line="360" w:lineRule="auto"/>
        <w:ind w:firstLine="537" w:firstLineChars="224"/>
        <w:rPr>
          <w:rFonts w:ascii="宋体" w:hAnsi="宋体"/>
          <w:sz w:val="24"/>
          <w:szCs w:val="24"/>
        </w:rPr>
      </w:pPr>
      <w:r>
        <w:rPr>
          <w:rFonts w:hint="eastAsia" w:ascii="宋体" w:hAnsi="宋体"/>
          <w:sz w:val="24"/>
          <w:szCs w:val="24"/>
        </w:rPr>
        <w:t>1、本工程划分为1个标段。</w:t>
      </w:r>
    </w:p>
    <w:p w14:paraId="3C310537">
      <w:pPr>
        <w:spacing w:line="360" w:lineRule="auto"/>
        <w:ind w:firstLine="480" w:firstLineChars="200"/>
        <w:rPr>
          <w:rFonts w:hint="eastAsia" w:ascii="宋体" w:hAnsi="宋体" w:eastAsia="宋体"/>
          <w:sz w:val="24"/>
          <w:szCs w:val="24"/>
          <w:u w:val="single"/>
        </w:rPr>
      </w:pPr>
      <w:r>
        <w:rPr>
          <w:rFonts w:hint="eastAsia" w:ascii="宋体" w:hAnsi="宋体"/>
          <w:sz w:val="24"/>
          <w:szCs w:val="24"/>
        </w:rPr>
        <w:t>2、招标内容、规</w:t>
      </w:r>
      <w:r>
        <w:rPr>
          <w:rFonts w:hint="eastAsia" w:ascii="宋体" w:hAnsi="宋体" w:eastAsia="宋体"/>
          <w:sz w:val="24"/>
          <w:szCs w:val="24"/>
        </w:rPr>
        <w:t>模：</w:t>
      </w:r>
      <w:r>
        <w:rPr>
          <w:rFonts w:hint="eastAsia" w:ascii="宋体" w:hAnsi="宋体" w:eastAsia="宋体"/>
          <w:sz w:val="24"/>
          <w:szCs w:val="24"/>
          <w:u w:val="single"/>
        </w:rPr>
        <w:t>本次招标范围包括但不限于招标发出图纸、清单所含全部内容，同时包含完成各专业工程的管理、配合工作所需费用，以及施工中深化设计的设计费、样板工程建造费、气候影响和政府要求停工期间的误工费、建设单位和项目管理、监理、造价等公司驻场办公环境的建造和维护费用（包括发生的水电费用），发包人不再就上述范围及工作支付任何额外补偿。具体涵盖以下工程内容，且需特别注意</w:t>
      </w:r>
      <w:r>
        <w:rPr>
          <w:rFonts w:hint="eastAsia" w:ascii="宋体" w:hAnsi="宋体"/>
          <w:sz w:val="24"/>
          <w:szCs w:val="24"/>
          <w:u w:val="single"/>
          <w:lang w:eastAsia="zh-CN"/>
        </w:rPr>
        <w:t>专业工程暂估价</w:t>
      </w:r>
      <w:r>
        <w:rPr>
          <w:rFonts w:hint="eastAsia" w:ascii="宋体" w:hAnsi="宋体" w:eastAsia="宋体"/>
          <w:sz w:val="24"/>
          <w:szCs w:val="24"/>
          <w:u w:val="single"/>
        </w:rPr>
        <w:t>、特殊要求及责任划分等事项：</w:t>
      </w:r>
    </w:p>
    <w:p w14:paraId="3D065B5F">
      <w:pPr>
        <w:spacing w:line="360" w:lineRule="auto"/>
        <w:ind w:firstLine="480" w:firstLineChars="200"/>
        <w:rPr>
          <w:rFonts w:hint="eastAsia" w:ascii="宋体" w:hAnsi="宋体" w:eastAsia="宋体"/>
          <w:sz w:val="24"/>
          <w:szCs w:val="24"/>
          <w:u w:val="single"/>
        </w:rPr>
      </w:pPr>
      <w:r>
        <w:rPr>
          <w:rFonts w:hint="eastAsia" w:ascii="宋体" w:hAnsi="宋体" w:eastAsia="宋体"/>
          <w:sz w:val="24"/>
          <w:szCs w:val="24"/>
          <w:u w:val="single"/>
        </w:rPr>
        <w:t>（1）</w:t>
      </w:r>
      <w:r>
        <w:rPr>
          <w:rFonts w:hint="eastAsia" w:ascii="宋体" w:hAnsi="宋体"/>
          <w:snapToGrid w:val="0"/>
          <w:color w:val="auto"/>
          <w:kern w:val="0"/>
          <w:sz w:val="24"/>
          <w:szCs w:val="22"/>
          <w:highlight w:val="none"/>
          <w:u w:val="single"/>
          <w:lang w:val="en-US" w:eastAsia="zh-CN" w:bidi="ar"/>
        </w:rPr>
        <w:t>工程施工承包范围</w:t>
      </w:r>
    </w:p>
    <w:p w14:paraId="30A911E9">
      <w:pPr>
        <w:widowControl/>
        <w:numPr>
          <w:ilvl w:val="-1"/>
          <w:numId w:val="0"/>
        </w:numPr>
        <w:adjustRightInd/>
        <w:snapToGrid/>
        <w:spacing w:line="360" w:lineRule="auto"/>
        <w:ind w:right="0" w:firstLine="480" w:firstLineChars="200"/>
        <w:jc w:val="left"/>
        <w:outlineLvl w:val="9"/>
        <w:rPr>
          <w:rFonts w:hint="eastAsia" w:ascii="宋体" w:hAnsi="宋体" w:eastAsia="宋体"/>
          <w:sz w:val="24"/>
          <w:szCs w:val="24"/>
          <w:u w:val="single"/>
        </w:rPr>
      </w:pPr>
      <w:r>
        <w:rPr>
          <w:rFonts w:hint="eastAsia" w:ascii="宋体" w:hAnsi="宋体"/>
          <w:color w:val="auto"/>
          <w:sz w:val="24"/>
          <w:szCs w:val="24"/>
          <w:highlight w:val="none"/>
          <w:u w:val="single"/>
        </w:rPr>
        <w:t>包含但不限于：建筑工程【地基与基础、主体结构</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含二次结构）</w:t>
      </w:r>
      <w:r>
        <w:rPr>
          <w:rFonts w:hint="eastAsia" w:ascii="宋体" w:hAnsi="宋体"/>
          <w:color w:val="auto"/>
          <w:sz w:val="24"/>
          <w:szCs w:val="24"/>
          <w:highlight w:val="none"/>
          <w:u w:val="single"/>
        </w:rPr>
        <w:t>、装饰装修工程、屋面</w:t>
      </w:r>
      <w:r>
        <w:rPr>
          <w:rFonts w:hint="eastAsia" w:ascii="宋体" w:hAnsi="宋体"/>
          <w:color w:val="auto"/>
          <w:sz w:val="24"/>
          <w:szCs w:val="24"/>
          <w:highlight w:val="none"/>
          <w:u w:val="single"/>
          <w:lang w:val="en-US" w:eastAsia="zh-CN"/>
        </w:rPr>
        <w:t>工程、高空大跨度钢结构连廊（</w:t>
      </w:r>
      <w:r>
        <w:rPr>
          <w:rFonts w:hint="eastAsia" w:ascii="宋体" w:hAnsi="宋体" w:cs="宋体"/>
          <w:color w:val="auto"/>
          <w:spacing w:val="4"/>
          <w:kern w:val="0"/>
          <w:sz w:val="24"/>
          <w:szCs w:val="24"/>
          <w:highlight w:val="none"/>
          <w:u w:val="single"/>
          <w:lang w:bidi="ar"/>
        </w:rPr>
        <w:t>展开跨度53.5米</w:t>
      </w:r>
      <w:r>
        <w:rPr>
          <w:rFonts w:hint="eastAsia" w:ascii="宋体" w:hAnsi="宋体" w:cs="宋体"/>
          <w:color w:val="auto"/>
          <w:spacing w:val="4"/>
          <w:kern w:val="0"/>
          <w:sz w:val="24"/>
          <w:szCs w:val="24"/>
          <w:highlight w:val="none"/>
          <w:u w:val="single"/>
          <w:lang w:eastAsia="zh-CN" w:bidi="ar"/>
        </w:rPr>
        <w:t>）</w:t>
      </w:r>
      <w:r>
        <w:rPr>
          <w:rFonts w:hint="eastAsia" w:ascii="宋体" w:hAnsi="宋体"/>
          <w:color w:val="auto"/>
          <w:sz w:val="24"/>
          <w:szCs w:val="24"/>
          <w:highlight w:val="none"/>
          <w:u w:val="single"/>
          <w:lang w:val="en-US" w:eastAsia="zh-CN"/>
        </w:rPr>
        <w:t>等</w:t>
      </w:r>
      <w:r>
        <w:rPr>
          <w:rFonts w:hint="eastAsia" w:ascii="宋体" w:hAnsi="宋体"/>
          <w:color w:val="auto"/>
          <w:sz w:val="24"/>
          <w:szCs w:val="24"/>
          <w:highlight w:val="none"/>
          <w:u w:val="single"/>
        </w:rPr>
        <w:t>】；安装工程【建筑电气、给排水、通风空调、智能建筑</w:t>
      </w:r>
      <w:r>
        <w:rPr>
          <w:rFonts w:hint="eastAsia" w:ascii="宋体" w:hAnsi="宋体"/>
          <w:color w:val="auto"/>
          <w:sz w:val="24"/>
          <w:szCs w:val="24"/>
          <w:highlight w:val="none"/>
          <w:u w:val="single"/>
          <w:lang w:val="en-US" w:eastAsia="zh-CN"/>
        </w:rPr>
        <w:t>等</w:t>
      </w:r>
      <w:r>
        <w:rPr>
          <w:rFonts w:hint="eastAsia" w:ascii="宋体" w:hAnsi="宋体"/>
          <w:color w:val="auto"/>
          <w:sz w:val="24"/>
          <w:szCs w:val="24"/>
          <w:highlight w:val="none"/>
          <w:u w:val="single"/>
        </w:rPr>
        <w:t>】；室外工程【室外设施、附属建筑与室外环境</w:t>
      </w:r>
      <w:r>
        <w:rPr>
          <w:rFonts w:hint="eastAsia" w:ascii="宋体" w:hAnsi="宋体"/>
          <w:color w:val="auto"/>
          <w:sz w:val="24"/>
          <w:szCs w:val="24"/>
          <w:highlight w:val="none"/>
          <w:u w:val="single"/>
          <w:lang w:val="en-US" w:eastAsia="zh-CN"/>
        </w:rPr>
        <w:t>等</w:t>
      </w:r>
      <w:r>
        <w:rPr>
          <w:rFonts w:hint="eastAsia" w:ascii="宋体" w:hAnsi="宋体"/>
          <w:color w:val="auto"/>
          <w:sz w:val="24"/>
          <w:szCs w:val="24"/>
          <w:highlight w:val="none"/>
          <w:u w:val="single"/>
        </w:rPr>
        <w:t>】；高低压</w:t>
      </w:r>
      <w:r>
        <w:rPr>
          <w:rFonts w:hint="eastAsia" w:ascii="宋体" w:hAnsi="宋体"/>
          <w:color w:val="auto"/>
          <w:sz w:val="24"/>
          <w:szCs w:val="24"/>
          <w:highlight w:val="none"/>
          <w:u w:val="single"/>
          <w:lang w:val="en-US" w:eastAsia="zh-CN"/>
        </w:rPr>
        <w:t>供配电工程及</w:t>
      </w:r>
      <w:r>
        <w:rPr>
          <w:rFonts w:hint="eastAsia" w:ascii="宋体" w:hAnsi="宋体"/>
          <w:color w:val="auto"/>
          <w:sz w:val="24"/>
          <w:szCs w:val="24"/>
          <w:highlight w:val="none"/>
          <w:u w:val="single"/>
        </w:rPr>
        <w:t>其他配套</w:t>
      </w:r>
      <w:r>
        <w:rPr>
          <w:rFonts w:hint="eastAsia" w:ascii="宋体" w:hAnsi="宋体"/>
          <w:color w:val="auto"/>
          <w:sz w:val="24"/>
          <w:szCs w:val="24"/>
          <w:highlight w:val="none"/>
          <w:u w:val="single"/>
          <w:lang w:val="en-US" w:eastAsia="zh-CN"/>
        </w:rPr>
        <w:t>工程</w:t>
      </w:r>
      <w:r>
        <w:rPr>
          <w:rFonts w:hint="eastAsia" w:ascii="宋体" w:hAnsi="宋体"/>
          <w:color w:val="auto"/>
          <w:sz w:val="24"/>
          <w:szCs w:val="24"/>
          <w:highlight w:val="none"/>
          <w:u w:val="single"/>
        </w:rPr>
        <w:t>【室外</w:t>
      </w:r>
      <w:r>
        <w:rPr>
          <w:rFonts w:hint="eastAsia" w:ascii="宋体" w:hAnsi="宋体"/>
          <w:color w:val="auto"/>
          <w:sz w:val="24"/>
          <w:szCs w:val="24"/>
          <w:highlight w:val="none"/>
          <w:u w:val="single"/>
          <w:lang w:val="en-US" w:eastAsia="zh-CN"/>
        </w:rPr>
        <w:t>红线范围内配套</w:t>
      </w:r>
      <w:r>
        <w:rPr>
          <w:rFonts w:hint="eastAsia" w:ascii="宋体" w:hAnsi="宋体"/>
          <w:color w:val="auto"/>
          <w:sz w:val="24"/>
          <w:szCs w:val="24"/>
          <w:highlight w:val="none"/>
          <w:u w:val="single"/>
        </w:rPr>
        <w:t>道路及排水排污工程；燃气工程</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绿色建造</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专业</w:t>
      </w:r>
      <w:r>
        <w:rPr>
          <w:rFonts w:hint="eastAsia" w:ascii="宋体" w:hAnsi="宋体"/>
          <w:color w:val="auto"/>
          <w:sz w:val="24"/>
          <w:szCs w:val="24"/>
          <w:highlight w:val="none"/>
          <w:u w:val="single"/>
        </w:rPr>
        <w:t>工程</w:t>
      </w:r>
      <w:r>
        <w:rPr>
          <w:rFonts w:hint="eastAsia" w:ascii="宋体" w:hAnsi="宋体"/>
          <w:color w:val="auto"/>
          <w:sz w:val="24"/>
          <w:szCs w:val="24"/>
          <w:highlight w:val="none"/>
          <w:u w:val="single"/>
          <w:lang w:val="en-US" w:eastAsia="zh-CN"/>
        </w:rPr>
        <w:t>暂估价</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树木迁移</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临电、临水</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场地清理</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围墙、大门工程；海绵城市等】</w:t>
      </w:r>
      <w:r>
        <w:rPr>
          <w:rFonts w:hint="eastAsia" w:ascii="宋体" w:hAnsi="宋体"/>
          <w:color w:val="auto"/>
          <w:sz w:val="24"/>
          <w:szCs w:val="24"/>
          <w:highlight w:val="none"/>
          <w:u w:val="single"/>
          <w:lang w:eastAsia="zh-CN"/>
        </w:rPr>
        <w:t>。</w:t>
      </w:r>
      <w:r>
        <w:rPr>
          <w:rFonts w:hint="eastAsia" w:ascii="宋体" w:hAnsi="宋体" w:eastAsia="宋体"/>
          <w:sz w:val="24"/>
          <w:szCs w:val="24"/>
          <w:u w:val="single"/>
        </w:rPr>
        <w:t>具体的施工内容以招标文件、招标图纸、工程量清单</w:t>
      </w:r>
      <w:r>
        <w:rPr>
          <w:rFonts w:hint="eastAsia" w:ascii="宋体" w:hAnsi="宋体"/>
          <w:sz w:val="24"/>
          <w:szCs w:val="24"/>
          <w:u w:val="single"/>
          <w:lang w:eastAsia="zh-CN"/>
        </w:rPr>
        <w:t>、</w:t>
      </w:r>
      <w:r>
        <w:rPr>
          <w:rFonts w:hint="eastAsia" w:ascii="宋体" w:hAnsi="宋体"/>
          <w:color w:val="auto"/>
          <w:sz w:val="24"/>
          <w:szCs w:val="24"/>
          <w:highlight w:val="none"/>
          <w:u w:val="single"/>
          <w:lang w:eastAsia="zh-CN"/>
        </w:rPr>
        <w:t>工程界面划分</w:t>
      </w:r>
      <w:r>
        <w:rPr>
          <w:rFonts w:hint="eastAsia" w:ascii="宋体" w:hAnsi="宋体" w:eastAsia="宋体"/>
          <w:sz w:val="24"/>
          <w:szCs w:val="24"/>
          <w:u w:val="single"/>
        </w:rPr>
        <w:t>及有关资料说明为准。若出现工程界面不清晰或界面重叠等情况，最终以发包人的意见为准。</w:t>
      </w:r>
    </w:p>
    <w:p w14:paraId="3ECBBB71">
      <w:pPr>
        <w:widowControl/>
        <w:numPr>
          <w:ilvl w:val="-1"/>
          <w:numId w:val="0"/>
        </w:numPr>
        <w:adjustRightInd/>
        <w:snapToGrid/>
        <w:spacing w:line="360" w:lineRule="auto"/>
        <w:ind w:right="0" w:firstLine="480" w:firstLineChars="200"/>
        <w:jc w:val="left"/>
        <w:outlineLvl w:val="9"/>
        <w:rPr>
          <w:rFonts w:hint="eastAsia" w:ascii="宋体" w:hAnsi="宋体" w:eastAsia="宋体" w:cs="Times New Roman"/>
          <w:snapToGrid/>
          <w:color w:val="auto"/>
          <w:kern w:val="2"/>
          <w:sz w:val="24"/>
          <w:szCs w:val="24"/>
          <w:highlight w:val="none"/>
          <w:u w:val="single"/>
          <w:lang w:eastAsia="zh-CN" w:bidi="ar"/>
        </w:rPr>
      </w:pPr>
      <w:r>
        <w:rPr>
          <w:rFonts w:hint="eastAsia" w:ascii="宋体" w:hAnsi="宋体" w:cs="Times New Roman"/>
          <w:snapToGrid/>
          <w:color w:val="auto"/>
          <w:kern w:val="2"/>
          <w:sz w:val="24"/>
          <w:szCs w:val="24"/>
          <w:highlight w:val="none"/>
          <w:u w:val="single"/>
          <w:lang w:val="en-US" w:eastAsia="zh-CN" w:bidi="ar"/>
        </w:rPr>
        <w:t>承包</w:t>
      </w:r>
      <w:r>
        <w:rPr>
          <w:rFonts w:hint="eastAsia" w:ascii="宋体" w:hAnsi="宋体" w:eastAsia="宋体" w:cs="Times New Roman"/>
          <w:snapToGrid/>
          <w:color w:val="auto"/>
          <w:kern w:val="2"/>
          <w:sz w:val="24"/>
          <w:szCs w:val="24"/>
          <w:highlight w:val="none"/>
          <w:u w:val="single"/>
          <w:lang w:bidi="ar"/>
        </w:rPr>
        <w:t>范围包括但不限于招标发出图纸、清单所含全部内容，同时包含完成各专项工程的管理、配合工作所需费用，以及施工中深化设计的设计费、样板工程建造费、气候影响和政府要求停工期间的误工费、建设单位和项目管理、监理、造价等公司驻场办公环境的建造和维护费用（包括发生的水电费用），发包人不再就上述范围及工作支付任何额外补偿。具体涵盖以下工程内容，且需特别注意</w:t>
      </w:r>
      <w:r>
        <w:rPr>
          <w:rFonts w:hint="eastAsia" w:ascii="宋体" w:hAnsi="宋体" w:cs="Times New Roman"/>
          <w:snapToGrid/>
          <w:color w:val="auto"/>
          <w:kern w:val="2"/>
          <w:sz w:val="24"/>
          <w:szCs w:val="24"/>
          <w:highlight w:val="none"/>
          <w:u w:val="single"/>
          <w:lang w:eastAsia="zh-CN" w:bidi="ar"/>
        </w:rPr>
        <w:t>专业工程暂估价</w:t>
      </w:r>
      <w:r>
        <w:rPr>
          <w:rFonts w:hint="eastAsia" w:ascii="宋体" w:hAnsi="宋体" w:eastAsia="宋体" w:cs="Times New Roman"/>
          <w:snapToGrid/>
          <w:color w:val="auto"/>
          <w:kern w:val="2"/>
          <w:sz w:val="24"/>
          <w:szCs w:val="24"/>
          <w:highlight w:val="none"/>
          <w:u w:val="single"/>
          <w:lang w:bidi="ar"/>
        </w:rPr>
        <w:t>、特殊要求及责任划分等事项</w:t>
      </w:r>
      <w:r>
        <w:rPr>
          <w:rFonts w:hint="eastAsia" w:ascii="宋体" w:hAnsi="宋体" w:eastAsia="宋体" w:cs="Times New Roman"/>
          <w:snapToGrid/>
          <w:color w:val="auto"/>
          <w:kern w:val="2"/>
          <w:sz w:val="24"/>
          <w:szCs w:val="24"/>
          <w:highlight w:val="none"/>
          <w:u w:val="single"/>
          <w:lang w:eastAsia="zh-CN" w:bidi="ar"/>
        </w:rPr>
        <w:t>。</w:t>
      </w:r>
    </w:p>
    <w:p w14:paraId="2F3E861F">
      <w:pPr>
        <w:widowControl/>
        <w:numPr>
          <w:ilvl w:val="-1"/>
          <w:numId w:val="0"/>
        </w:numPr>
        <w:adjustRightInd/>
        <w:snapToGrid/>
        <w:spacing w:line="360" w:lineRule="auto"/>
        <w:ind w:right="0" w:firstLine="480" w:firstLineChars="200"/>
        <w:jc w:val="left"/>
        <w:outlineLvl w:val="9"/>
        <w:rPr>
          <w:rFonts w:hint="eastAsia" w:ascii="宋体" w:hAnsi="宋体" w:eastAsia="宋体" w:cs="Times New Roman"/>
          <w:snapToGrid/>
          <w:color w:val="auto"/>
          <w:kern w:val="2"/>
          <w:sz w:val="24"/>
          <w:szCs w:val="24"/>
          <w:highlight w:val="none"/>
          <w:u w:val="single"/>
          <w:lang w:bidi="ar"/>
        </w:rPr>
      </w:pPr>
      <w:r>
        <w:rPr>
          <w:rFonts w:hint="eastAsia" w:ascii="宋体" w:hAnsi="宋体" w:eastAsia="宋体" w:cs="Times New Roman"/>
          <w:snapToGrid/>
          <w:color w:val="auto"/>
          <w:kern w:val="2"/>
          <w:sz w:val="24"/>
          <w:szCs w:val="24"/>
          <w:highlight w:val="none"/>
          <w:u w:val="single"/>
          <w:lang w:bidi="ar"/>
        </w:rPr>
        <w:t>其中</w:t>
      </w:r>
      <w:r>
        <w:rPr>
          <w:rFonts w:hint="eastAsia" w:ascii="宋体" w:hAnsi="宋体" w:eastAsia="宋体" w:cs="Times New Roman"/>
          <w:snapToGrid/>
          <w:color w:val="auto"/>
          <w:kern w:val="2"/>
          <w:sz w:val="24"/>
          <w:szCs w:val="24"/>
          <w:highlight w:val="none"/>
          <w:u w:val="single"/>
          <w:lang w:eastAsia="zh-CN" w:bidi="ar"/>
        </w:rPr>
        <w:t>一：</w:t>
      </w:r>
      <w:r>
        <w:rPr>
          <w:rFonts w:hint="eastAsia" w:ascii="宋体" w:hAnsi="宋体" w:eastAsia="宋体" w:cs="Times New Roman"/>
          <w:snapToGrid/>
          <w:color w:val="auto"/>
          <w:kern w:val="2"/>
          <w:sz w:val="24"/>
          <w:szCs w:val="24"/>
          <w:highlight w:val="none"/>
          <w:u w:val="single"/>
          <w:lang w:bidi="ar"/>
        </w:rPr>
        <w:t>地基与基础工程中包含地基、基础、基坑支护、地下水控制、土方、边坡、地下防水、医用气体液氧站设备基础工程、污水处理站设备基础工程、土石方及清表工程（含树木迁移，场地内旧混凝土路面、</w:t>
      </w:r>
      <w:r>
        <w:rPr>
          <w:rFonts w:hint="eastAsia" w:ascii="宋体" w:hAnsi="宋体" w:cs="Times New Roman"/>
          <w:snapToGrid/>
          <w:color w:val="auto"/>
          <w:kern w:val="2"/>
          <w:sz w:val="24"/>
          <w:szCs w:val="24"/>
          <w:highlight w:val="none"/>
          <w:u w:val="single"/>
          <w:lang w:val="en-US" w:eastAsia="zh-CN" w:bidi="ar"/>
        </w:rPr>
        <w:t>河涌</w:t>
      </w:r>
      <w:r>
        <w:rPr>
          <w:rFonts w:hint="eastAsia" w:ascii="宋体" w:hAnsi="宋体" w:eastAsia="宋体" w:cs="Times New Roman"/>
          <w:snapToGrid/>
          <w:color w:val="auto"/>
          <w:kern w:val="2"/>
          <w:sz w:val="24"/>
          <w:szCs w:val="24"/>
          <w:highlight w:val="none"/>
          <w:u w:val="single"/>
          <w:lang w:bidi="ar"/>
        </w:rPr>
        <w:t>及房屋基础的破除、清运</w:t>
      </w:r>
      <w:r>
        <w:rPr>
          <w:rFonts w:hint="eastAsia" w:ascii="宋体" w:hAnsi="宋体" w:cs="Times New Roman"/>
          <w:snapToGrid/>
          <w:color w:val="auto"/>
          <w:kern w:val="2"/>
          <w:sz w:val="24"/>
          <w:szCs w:val="24"/>
          <w:highlight w:val="none"/>
          <w:u w:val="single"/>
          <w:lang w:eastAsia="zh-CN" w:bidi="ar"/>
        </w:rPr>
        <w:t>）以及在施工过程中按照广州市地铁保护办公室的要求对附近运行的地铁8号线做好地保监控、动态监测和运营配合</w:t>
      </w:r>
      <w:r>
        <w:rPr>
          <w:rFonts w:hint="eastAsia" w:ascii="宋体" w:hAnsi="宋体" w:eastAsia="宋体" w:cs="Times New Roman"/>
          <w:snapToGrid/>
          <w:color w:val="auto"/>
          <w:kern w:val="2"/>
          <w:sz w:val="24"/>
          <w:szCs w:val="24"/>
          <w:highlight w:val="none"/>
          <w:u w:val="single"/>
          <w:lang w:bidi="ar"/>
        </w:rPr>
        <w:t>等工作内容。</w:t>
      </w:r>
    </w:p>
    <w:p w14:paraId="23F12937">
      <w:pPr>
        <w:widowControl/>
        <w:numPr>
          <w:ilvl w:val="-1"/>
          <w:numId w:val="0"/>
        </w:numPr>
        <w:adjustRightInd/>
        <w:snapToGrid/>
        <w:spacing w:line="360" w:lineRule="auto"/>
        <w:ind w:right="0" w:firstLine="480" w:firstLineChars="200"/>
        <w:jc w:val="left"/>
        <w:outlineLvl w:val="9"/>
        <w:rPr>
          <w:rFonts w:hint="eastAsia" w:ascii="宋体" w:hAnsi="宋体" w:eastAsia="宋体" w:cs="Times New Roman"/>
          <w:snapToGrid/>
          <w:color w:val="auto"/>
          <w:kern w:val="2"/>
          <w:sz w:val="24"/>
          <w:szCs w:val="24"/>
          <w:highlight w:val="none"/>
          <w:u w:val="single"/>
          <w:lang w:bidi="ar"/>
        </w:rPr>
      </w:pPr>
      <w:r>
        <w:rPr>
          <w:rFonts w:hint="eastAsia" w:ascii="宋体" w:hAnsi="宋体" w:eastAsia="宋体" w:cs="Times New Roman"/>
          <w:snapToGrid/>
          <w:color w:val="auto"/>
          <w:kern w:val="2"/>
          <w:sz w:val="24"/>
          <w:szCs w:val="24"/>
          <w:highlight w:val="none"/>
          <w:u w:val="single"/>
          <w:lang w:bidi="ar"/>
        </w:rPr>
        <w:t>其中</w:t>
      </w:r>
      <w:r>
        <w:rPr>
          <w:rFonts w:hint="eastAsia" w:ascii="宋体" w:hAnsi="宋体" w:cs="Times New Roman"/>
          <w:snapToGrid/>
          <w:color w:val="auto"/>
          <w:kern w:val="2"/>
          <w:sz w:val="24"/>
          <w:szCs w:val="24"/>
          <w:highlight w:val="none"/>
          <w:u w:val="single"/>
          <w:lang w:val="en-US" w:eastAsia="zh-CN" w:bidi="ar"/>
        </w:rPr>
        <w:t>二</w:t>
      </w:r>
      <w:r>
        <w:rPr>
          <w:rFonts w:hint="eastAsia" w:ascii="宋体" w:hAnsi="宋体" w:eastAsia="宋体" w:cs="Times New Roman"/>
          <w:snapToGrid/>
          <w:color w:val="auto"/>
          <w:kern w:val="2"/>
          <w:sz w:val="24"/>
          <w:szCs w:val="24"/>
          <w:highlight w:val="none"/>
          <w:u w:val="single"/>
          <w:lang w:eastAsia="zh-CN" w:bidi="ar"/>
        </w:rPr>
        <w:t>：</w:t>
      </w:r>
      <w:r>
        <w:rPr>
          <w:rFonts w:hint="eastAsia" w:ascii="宋体" w:hAnsi="宋体" w:eastAsia="宋体" w:cs="Times New Roman"/>
          <w:snapToGrid/>
          <w:color w:val="auto"/>
          <w:kern w:val="2"/>
          <w:sz w:val="24"/>
          <w:szCs w:val="24"/>
          <w:highlight w:val="none"/>
          <w:u w:val="single"/>
          <w:lang w:bidi="ar"/>
        </w:rPr>
        <w:t>树木迁移按本项目《树木保护专章》内容及相关要求迁移树木（含种植及一年养护期，保证成活率达到70%以上），迁移地由发包人指定（15公里以内），无需</w:t>
      </w:r>
      <w:r>
        <w:rPr>
          <w:rFonts w:hint="eastAsia" w:ascii="宋体" w:hAnsi="宋体" w:eastAsia="宋体" w:cs="Times New Roman"/>
          <w:snapToGrid/>
          <w:color w:val="auto"/>
          <w:kern w:val="2"/>
          <w:sz w:val="24"/>
          <w:szCs w:val="24"/>
          <w:highlight w:val="none"/>
          <w:u w:val="single"/>
          <w:lang w:val="en-US" w:eastAsia="zh-CN" w:bidi="ar"/>
        </w:rPr>
        <w:t>承包</w:t>
      </w:r>
      <w:r>
        <w:rPr>
          <w:rFonts w:hint="eastAsia" w:ascii="宋体" w:hAnsi="宋体" w:eastAsia="宋体" w:cs="Times New Roman"/>
          <w:snapToGrid/>
          <w:color w:val="auto"/>
          <w:kern w:val="2"/>
          <w:sz w:val="24"/>
          <w:szCs w:val="24"/>
          <w:highlight w:val="none"/>
          <w:u w:val="single"/>
          <w:lang w:bidi="ar"/>
        </w:rPr>
        <w:t>人额外支付土地使用费用，树木迁移费已包含在招标范围及投标报价中。</w:t>
      </w:r>
    </w:p>
    <w:p w14:paraId="1FB762BC">
      <w:pPr>
        <w:keepNext w:val="0"/>
        <w:keepLines w:val="0"/>
        <w:widowControl/>
        <w:suppressLineNumbers w:val="0"/>
        <w:adjustRightInd/>
        <w:snapToGrid/>
        <w:spacing w:line="360" w:lineRule="auto"/>
        <w:ind w:right="0" w:firstLine="480" w:firstLineChars="200"/>
        <w:jc w:val="left"/>
        <w:outlineLvl w:val="9"/>
        <w:rPr>
          <w:rFonts w:hint="eastAsia" w:ascii="宋体" w:hAnsi="宋体" w:eastAsia="宋体" w:cs="Times New Roman"/>
          <w:snapToGrid/>
          <w:color w:val="auto"/>
          <w:kern w:val="2"/>
          <w:sz w:val="24"/>
          <w:szCs w:val="24"/>
          <w:highlight w:val="none"/>
          <w:u w:val="single"/>
          <w:lang w:val="en-US" w:eastAsia="zh-CN" w:bidi="ar"/>
        </w:rPr>
      </w:pPr>
      <w:r>
        <w:rPr>
          <w:rFonts w:hint="eastAsia" w:ascii="宋体" w:hAnsi="宋体"/>
          <w:snapToGrid/>
          <w:color w:val="auto"/>
          <w:kern w:val="2"/>
          <w:sz w:val="24"/>
          <w:szCs w:val="24"/>
          <w:highlight w:val="none"/>
          <w:u w:val="single"/>
          <w:lang w:eastAsia="zh-CN" w:bidi="ar"/>
        </w:rPr>
        <w:t>（</w:t>
      </w:r>
      <w:r>
        <w:rPr>
          <w:rFonts w:hint="eastAsia" w:ascii="宋体" w:hAnsi="宋体"/>
          <w:snapToGrid/>
          <w:color w:val="auto"/>
          <w:kern w:val="2"/>
          <w:sz w:val="24"/>
          <w:szCs w:val="24"/>
          <w:highlight w:val="none"/>
          <w:u w:val="single"/>
          <w:lang w:val="en-US" w:eastAsia="zh-CN" w:bidi="ar"/>
        </w:rPr>
        <w:t>2</w:t>
      </w:r>
      <w:r>
        <w:rPr>
          <w:rFonts w:hint="eastAsia" w:ascii="宋体" w:hAnsi="宋体"/>
          <w:snapToGrid/>
          <w:color w:val="auto"/>
          <w:kern w:val="2"/>
          <w:sz w:val="24"/>
          <w:szCs w:val="24"/>
          <w:highlight w:val="none"/>
          <w:u w:val="single"/>
          <w:lang w:eastAsia="zh-CN" w:bidi="ar"/>
        </w:rPr>
        <w:t>）</w:t>
      </w:r>
      <w:r>
        <w:rPr>
          <w:rFonts w:hint="eastAsia" w:ascii="宋体" w:hAnsi="宋体" w:eastAsia="宋体" w:cs="Times New Roman"/>
          <w:snapToGrid/>
          <w:color w:val="auto"/>
          <w:kern w:val="2"/>
          <w:sz w:val="24"/>
          <w:szCs w:val="24"/>
          <w:highlight w:val="none"/>
          <w:u w:val="single"/>
          <w:lang w:val="en-US" w:eastAsia="zh-CN" w:bidi="ar"/>
        </w:rPr>
        <w:t>以下</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工程以暂估价形式纳入总</w:t>
      </w:r>
      <w:r>
        <w:rPr>
          <w:rFonts w:hint="eastAsia" w:ascii="宋体" w:hAnsi="宋体" w:cs="Times New Roman"/>
          <w:snapToGrid/>
          <w:color w:val="auto"/>
          <w:kern w:val="2"/>
          <w:sz w:val="24"/>
          <w:szCs w:val="24"/>
          <w:highlight w:val="none"/>
          <w:u w:val="single"/>
          <w:lang w:val="en-US" w:eastAsia="zh-CN" w:bidi="ar"/>
        </w:rPr>
        <w:t>承</w:t>
      </w:r>
      <w:r>
        <w:rPr>
          <w:rFonts w:hint="eastAsia" w:ascii="宋体" w:hAnsi="宋体" w:eastAsia="宋体" w:cs="Times New Roman"/>
          <w:snapToGrid/>
          <w:color w:val="auto"/>
          <w:kern w:val="2"/>
          <w:sz w:val="24"/>
          <w:szCs w:val="24"/>
          <w:highlight w:val="none"/>
          <w:u w:val="single"/>
          <w:lang w:val="en-US" w:eastAsia="zh-CN" w:bidi="ar"/>
        </w:rPr>
        <w:t>包</w:t>
      </w:r>
      <w:r>
        <w:rPr>
          <w:rFonts w:hint="eastAsia" w:ascii="宋体" w:hAnsi="宋体" w:cs="Times New Roman"/>
          <w:snapToGrid/>
          <w:color w:val="auto"/>
          <w:kern w:val="2"/>
          <w:sz w:val="24"/>
          <w:szCs w:val="24"/>
          <w:highlight w:val="none"/>
          <w:u w:val="single"/>
          <w:lang w:val="en-US" w:eastAsia="zh-CN" w:bidi="ar"/>
        </w:rPr>
        <w:t>管理</w:t>
      </w:r>
      <w:r>
        <w:rPr>
          <w:rFonts w:hint="eastAsia" w:ascii="宋体" w:hAnsi="宋体" w:eastAsia="宋体" w:cs="Times New Roman"/>
          <w:snapToGrid/>
          <w:color w:val="auto"/>
          <w:kern w:val="2"/>
          <w:sz w:val="24"/>
          <w:szCs w:val="24"/>
          <w:highlight w:val="none"/>
          <w:u w:val="single"/>
          <w:lang w:val="en-US" w:eastAsia="zh-CN" w:bidi="ar"/>
        </w:rPr>
        <w:t>范围，将根据项目进度安排由发包人主导，</w:t>
      </w:r>
      <w:r>
        <w:rPr>
          <w:rFonts w:hint="eastAsia" w:ascii="宋体" w:hAnsi="宋体" w:cs="Times New Roman"/>
          <w:snapToGrid/>
          <w:color w:val="auto"/>
          <w:kern w:val="2"/>
          <w:sz w:val="24"/>
          <w:szCs w:val="24"/>
          <w:highlight w:val="none"/>
          <w:u w:val="single"/>
          <w:lang w:val="en-US" w:eastAsia="zh-CN" w:bidi="ar"/>
        </w:rPr>
        <w:t>承包人</w:t>
      </w:r>
      <w:r>
        <w:rPr>
          <w:rFonts w:hint="eastAsia" w:ascii="宋体" w:hAnsi="宋体" w:eastAsia="宋体" w:cs="Times New Roman"/>
          <w:snapToGrid/>
          <w:color w:val="auto"/>
          <w:kern w:val="2"/>
          <w:sz w:val="24"/>
          <w:szCs w:val="24"/>
          <w:highlight w:val="none"/>
          <w:u w:val="single"/>
          <w:lang w:val="en-US" w:eastAsia="zh-CN" w:bidi="ar"/>
        </w:rPr>
        <w:t>配合进行二次招标，具体实施单位通过二次招标确定，</w:t>
      </w:r>
      <w:r>
        <w:rPr>
          <w:rFonts w:hint="eastAsia" w:ascii="宋体" w:hAnsi="宋体" w:cs="Times New Roman"/>
          <w:snapToGrid/>
          <w:color w:val="auto"/>
          <w:kern w:val="2"/>
          <w:sz w:val="24"/>
          <w:szCs w:val="24"/>
          <w:highlight w:val="none"/>
          <w:u w:val="single"/>
          <w:lang w:val="en-US" w:eastAsia="zh-CN" w:bidi="ar"/>
        </w:rPr>
        <w:t>承</w:t>
      </w:r>
      <w:r>
        <w:rPr>
          <w:rFonts w:hint="eastAsia" w:ascii="宋体" w:hAnsi="宋体" w:eastAsia="宋体" w:cs="Times New Roman"/>
          <w:snapToGrid/>
          <w:color w:val="auto"/>
          <w:kern w:val="2"/>
          <w:sz w:val="24"/>
          <w:szCs w:val="24"/>
          <w:highlight w:val="none"/>
          <w:u w:val="single"/>
          <w:lang w:val="en-US" w:eastAsia="zh-CN" w:bidi="ar"/>
        </w:rPr>
        <w:t>包人不得参与此类暂估价工程的投标（招标文件中所有暂估价工程均适用此规定）。</w:t>
      </w:r>
      <w:r>
        <w:rPr>
          <w:rFonts w:hint="eastAsia" w:ascii="宋体" w:hAnsi="宋体" w:cs="Times New Roman"/>
          <w:snapToGrid/>
          <w:color w:val="auto"/>
          <w:kern w:val="2"/>
          <w:sz w:val="24"/>
          <w:szCs w:val="24"/>
          <w:highlight w:val="none"/>
          <w:u w:val="single"/>
          <w:lang w:val="en-US" w:eastAsia="zh-CN" w:bidi="ar"/>
        </w:rPr>
        <w:t>承</w:t>
      </w:r>
      <w:r>
        <w:rPr>
          <w:rFonts w:hint="eastAsia" w:ascii="宋体" w:hAnsi="宋体" w:eastAsia="宋体" w:cs="Times New Roman"/>
          <w:snapToGrid/>
          <w:color w:val="auto"/>
          <w:kern w:val="2"/>
          <w:sz w:val="24"/>
          <w:szCs w:val="24"/>
          <w:highlight w:val="none"/>
          <w:u w:val="single"/>
          <w:lang w:val="en-US" w:eastAsia="zh-CN" w:bidi="ar"/>
        </w:rPr>
        <w:t>包人完成此类专</w:t>
      </w:r>
      <w:r>
        <w:rPr>
          <w:rFonts w:hint="eastAsia" w:ascii="宋体" w:hAnsi="宋体" w:cs="Times New Roman"/>
          <w:snapToGrid/>
          <w:color w:val="auto"/>
          <w:kern w:val="2"/>
          <w:sz w:val="24"/>
          <w:szCs w:val="24"/>
          <w:highlight w:val="none"/>
          <w:u w:val="single"/>
          <w:lang w:val="en-US" w:eastAsia="zh-CN" w:bidi="ar"/>
        </w:rPr>
        <w:t>业</w:t>
      </w:r>
      <w:r>
        <w:rPr>
          <w:rFonts w:hint="eastAsia" w:ascii="宋体" w:hAnsi="宋体" w:eastAsia="宋体" w:cs="Times New Roman"/>
          <w:snapToGrid/>
          <w:color w:val="auto"/>
          <w:kern w:val="2"/>
          <w:sz w:val="24"/>
          <w:szCs w:val="24"/>
          <w:highlight w:val="none"/>
          <w:u w:val="single"/>
          <w:lang w:val="en-US" w:eastAsia="zh-CN" w:bidi="ar"/>
        </w:rPr>
        <w:t>工程的管理与配合工作所需费用，按暂估价中标单位合同</w:t>
      </w:r>
      <w:r>
        <w:rPr>
          <w:rFonts w:hint="eastAsia" w:ascii="宋体" w:hAnsi="宋体" w:cs="Times New Roman"/>
          <w:snapToGrid/>
          <w:color w:val="auto"/>
          <w:kern w:val="2"/>
          <w:sz w:val="24"/>
          <w:szCs w:val="24"/>
          <w:highlight w:val="none"/>
          <w:u w:val="single"/>
          <w:lang w:val="en-US" w:eastAsia="zh-CN" w:bidi="ar"/>
        </w:rPr>
        <w:t>价（不含发包人采购的设备价款和暂列金额）</w:t>
      </w:r>
      <w:r>
        <w:rPr>
          <w:rFonts w:hint="eastAsia" w:ascii="宋体" w:hAnsi="宋体" w:eastAsia="宋体" w:cs="Times New Roman"/>
          <w:snapToGrid/>
          <w:color w:val="auto"/>
          <w:kern w:val="2"/>
          <w:sz w:val="24"/>
          <w:szCs w:val="24"/>
          <w:highlight w:val="none"/>
          <w:u w:val="single"/>
          <w:lang w:val="en-US" w:eastAsia="zh-CN" w:bidi="ar"/>
        </w:rPr>
        <w:t>的2%计取，与</w:t>
      </w:r>
      <w:r>
        <w:rPr>
          <w:rFonts w:hint="eastAsia" w:ascii="宋体" w:hAnsi="宋体" w:cs="Times New Roman"/>
          <w:snapToGrid/>
          <w:color w:val="auto"/>
          <w:kern w:val="2"/>
          <w:sz w:val="24"/>
          <w:szCs w:val="24"/>
          <w:highlight w:val="none"/>
          <w:u w:val="single"/>
          <w:lang w:val="en-US" w:eastAsia="zh-CN" w:bidi="ar"/>
        </w:rPr>
        <w:t>专业工程暂估价</w:t>
      </w:r>
      <w:r>
        <w:rPr>
          <w:rFonts w:hint="eastAsia" w:ascii="宋体" w:hAnsi="宋体" w:eastAsia="宋体" w:cs="Times New Roman"/>
          <w:snapToGrid/>
          <w:color w:val="auto"/>
          <w:kern w:val="2"/>
          <w:sz w:val="24"/>
          <w:szCs w:val="24"/>
          <w:highlight w:val="none"/>
          <w:u w:val="single"/>
          <w:lang w:val="en-US" w:eastAsia="zh-CN" w:bidi="ar"/>
        </w:rPr>
        <w:t>进度款支付节点同步，即暂估价中标单位支付当期进度款时，按同比例向</w:t>
      </w:r>
      <w:r>
        <w:rPr>
          <w:rFonts w:hint="eastAsia" w:ascii="宋体" w:hAnsi="宋体" w:cs="Times New Roman"/>
          <w:snapToGrid/>
          <w:color w:val="auto"/>
          <w:kern w:val="2"/>
          <w:sz w:val="24"/>
          <w:szCs w:val="24"/>
          <w:highlight w:val="none"/>
          <w:u w:val="single"/>
          <w:lang w:val="en-US" w:eastAsia="zh-CN" w:bidi="ar"/>
        </w:rPr>
        <w:t>承包人</w:t>
      </w:r>
      <w:r>
        <w:rPr>
          <w:rFonts w:hint="eastAsia" w:ascii="宋体" w:hAnsi="宋体" w:eastAsia="宋体" w:cs="Times New Roman"/>
          <w:snapToGrid/>
          <w:color w:val="auto"/>
          <w:kern w:val="2"/>
          <w:sz w:val="24"/>
          <w:szCs w:val="24"/>
          <w:highlight w:val="none"/>
          <w:u w:val="single"/>
          <w:lang w:val="en-US" w:eastAsia="zh-CN" w:bidi="ar"/>
        </w:rPr>
        <w:t>支付总包管理费，发包人对支付过程进行监督，发包人不再额外补偿。暂估价中标单位产生的水电费用优先按装表计量支付</w:t>
      </w:r>
      <w:r>
        <w:rPr>
          <w:rFonts w:hint="eastAsia" w:ascii="宋体" w:hAnsi="宋体" w:cs="Times New Roman"/>
          <w:snapToGrid/>
          <w:color w:val="auto"/>
          <w:kern w:val="2"/>
          <w:sz w:val="24"/>
          <w:szCs w:val="24"/>
          <w:highlight w:val="none"/>
          <w:u w:val="single"/>
          <w:lang w:val="en-US" w:eastAsia="zh-CN" w:bidi="ar"/>
        </w:rPr>
        <w:t>；</w:t>
      </w:r>
      <w:r>
        <w:rPr>
          <w:rFonts w:hint="eastAsia" w:ascii="宋体" w:hAnsi="宋体" w:eastAsia="宋体" w:cs="Times New Roman"/>
          <w:snapToGrid/>
          <w:color w:val="auto"/>
          <w:kern w:val="2"/>
          <w:sz w:val="24"/>
          <w:szCs w:val="24"/>
          <w:highlight w:val="none"/>
          <w:u w:val="single"/>
          <w:lang w:val="en-US" w:eastAsia="zh-CN" w:bidi="ar"/>
        </w:rPr>
        <w:t>无装表条件的，按双方协商确定的分摊标准执行，协商不成的最高可按暂估价中标单位合同金额的 0.5% 计取。</w:t>
      </w:r>
    </w:p>
    <w:p w14:paraId="2469382A">
      <w:pPr>
        <w:keepNext w:val="0"/>
        <w:keepLines w:val="0"/>
        <w:widowControl/>
        <w:numPr>
          <w:ilvl w:val="-1"/>
          <w:numId w:val="0"/>
        </w:numPr>
        <w:suppressLineNumbers w:val="0"/>
        <w:adjustRightInd/>
        <w:snapToGrid/>
        <w:spacing w:line="360" w:lineRule="auto"/>
        <w:ind w:left="0" w:right="0" w:firstLine="480" w:firstLineChars="200"/>
        <w:jc w:val="left"/>
        <w:outlineLvl w:val="9"/>
        <w:rPr>
          <w:rFonts w:hint="eastAsia" w:ascii="宋体" w:hAnsi="宋体" w:eastAsia="宋体" w:cs="Times New Roman"/>
          <w:snapToGrid/>
          <w:color w:val="auto"/>
          <w:kern w:val="2"/>
          <w:sz w:val="24"/>
          <w:szCs w:val="24"/>
          <w:highlight w:val="none"/>
          <w:u w:val="single"/>
          <w:lang w:val="en-US" w:eastAsia="zh-CN" w:bidi="ar"/>
        </w:rPr>
      </w:pPr>
      <w:r>
        <w:rPr>
          <w:rFonts w:hint="eastAsia" w:ascii="宋体" w:hAnsi="宋体"/>
          <w:snapToGrid/>
          <w:color w:val="auto"/>
          <w:kern w:val="2"/>
          <w:sz w:val="24"/>
          <w:szCs w:val="24"/>
          <w:highlight w:val="none"/>
          <w:u w:val="single"/>
          <w:lang w:val="en-US" w:eastAsia="zh-CN" w:bidi="ar"/>
        </w:rPr>
        <w:t>①</w:t>
      </w:r>
      <w:r>
        <w:rPr>
          <w:rFonts w:hint="eastAsia" w:ascii="宋体" w:hAnsi="宋体" w:cs="Times New Roman"/>
          <w:snapToGrid/>
          <w:color w:val="auto"/>
          <w:kern w:val="2"/>
          <w:sz w:val="24"/>
          <w:szCs w:val="24"/>
          <w:highlight w:val="none"/>
          <w:u w:val="single"/>
          <w:lang w:val="en-US" w:eastAsia="zh-CN" w:bidi="ar"/>
        </w:rPr>
        <w:t>列入</w:t>
      </w:r>
      <w:r>
        <w:rPr>
          <w:rFonts w:hint="eastAsia" w:ascii="宋体" w:hAnsi="宋体" w:eastAsia="宋体" w:cs="宋体"/>
          <w:i w:val="0"/>
          <w:iCs w:val="0"/>
          <w:color w:val="000000"/>
          <w:kern w:val="0"/>
          <w:sz w:val="24"/>
          <w:szCs w:val="24"/>
          <w:u w:val="none"/>
          <w:lang w:val="en-US" w:eastAsia="zh-CN" w:bidi="ar"/>
        </w:rPr>
        <w:t>发包人</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工程暂估价</w:t>
      </w:r>
      <w:r>
        <w:rPr>
          <w:rFonts w:hint="eastAsia" w:ascii="宋体" w:hAnsi="宋体" w:cs="Times New Roman"/>
          <w:snapToGrid/>
          <w:color w:val="auto"/>
          <w:kern w:val="2"/>
          <w:sz w:val="24"/>
          <w:szCs w:val="24"/>
          <w:highlight w:val="none"/>
          <w:u w:val="single"/>
          <w:lang w:val="en-US" w:eastAsia="zh-CN" w:bidi="ar"/>
        </w:rPr>
        <w:t>的</w:t>
      </w:r>
      <w:r>
        <w:rPr>
          <w:rFonts w:hint="eastAsia" w:ascii="宋体" w:hAnsi="宋体" w:eastAsia="宋体" w:cs="Times New Roman"/>
          <w:snapToGrid/>
          <w:color w:val="auto"/>
          <w:kern w:val="2"/>
          <w:sz w:val="24"/>
          <w:szCs w:val="24"/>
          <w:highlight w:val="none"/>
          <w:u w:val="single"/>
          <w:lang w:val="en-US" w:eastAsia="zh-CN" w:bidi="ar"/>
        </w:rPr>
        <w:t>明细如下：</w:t>
      </w:r>
    </w:p>
    <w:p w14:paraId="3C51E2AC">
      <w:pPr>
        <w:keepNext w:val="0"/>
        <w:keepLines w:val="0"/>
        <w:widowControl/>
        <w:numPr>
          <w:ilvl w:val="-1"/>
          <w:numId w:val="0"/>
        </w:numPr>
        <w:suppressLineNumbers w:val="0"/>
        <w:adjustRightInd/>
        <w:snapToGrid/>
        <w:spacing w:line="360" w:lineRule="auto"/>
        <w:ind w:right="0" w:firstLine="480" w:firstLineChars="200"/>
        <w:jc w:val="left"/>
        <w:outlineLvl w:val="9"/>
        <w:rPr>
          <w:rFonts w:hint="eastAsia" w:ascii="宋体" w:hAnsi="宋体" w:eastAsia="宋体" w:cs="Times New Roman"/>
          <w:snapToGrid/>
          <w:color w:val="auto"/>
          <w:kern w:val="2"/>
          <w:sz w:val="24"/>
          <w:szCs w:val="24"/>
          <w:highlight w:val="none"/>
          <w:u w:val="single"/>
          <w:lang w:val="en-US" w:eastAsia="zh-CN" w:bidi="ar"/>
        </w:rPr>
      </w:pP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工程一：医疗精装修工程</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工程二：医用净化工程（含手术室、ICU）</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工程三：实验室工程（含检验科实验室、病理科实验室、科研实验室）</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工程四：动物实验室工程</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工程五：医用气体工程</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工程六：医疗辐射防护工程</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工程七：医用中央分质供水工程</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工程八：机器人物流工程</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工程九：10KV备供电工程</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工程十：园林绿化、景观、室外照明</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工程十一：标识工程（含室外标识标牌、楼宇字体、泛光照明、室内标识、车库交通划线标识等）</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工程十二：信息化机房工程</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工程十三：厨房工程（不含餐厅部分）</w:t>
      </w:r>
      <w:r>
        <w:rPr>
          <w:rFonts w:hint="eastAsia" w:ascii="宋体" w:hAnsi="宋体" w:cs="Times New Roman"/>
          <w:snapToGrid/>
          <w:color w:val="auto"/>
          <w:kern w:val="2"/>
          <w:sz w:val="24"/>
          <w:szCs w:val="24"/>
          <w:highlight w:val="none"/>
          <w:u w:val="single"/>
          <w:lang w:val="en-US" w:eastAsia="zh-CN" w:bidi="ar"/>
        </w:rPr>
        <w:t>；专业</w:t>
      </w:r>
      <w:r>
        <w:rPr>
          <w:rFonts w:hint="eastAsia" w:ascii="宋体" w:hAnsi="宋体" w:eastAsia="宋体" w:cs="Times New Roman"/>
          <w:snapToGrid/>
          <w:color w:val="auto"/>
          <w:kern w:val="2"/>
          <w:sz w:val="24"/>
          <w:szCs w:val="24"/>
          <w:highlight w:val="none"/>
          <w:u w:val="single"/>
          <w:lang w:val="en-US" w:eastAsia="zh-CN" w:bidi="ar"/>
        </w:rPr>
        <w:t>工程十四</w:t>
      </w:r>
      <w:r>
        <w:rPr>
          <w:rFonts w:hint="eastAsia" w:ascii="宋体" w:hAnsi="宋体" w:cs="Times New Roman"/>
          <w:snapToGrid/>
          <w:color w:val="auto"/>
          <w:kern w:val="2"/>
          <w:sz w:val="24"/>
          <w:szCs w:val="24"/>
          <w:highlight w:val="none"/>
          <w:u w:val="single"/>
          <w:lang w:val="en-US" w:eastAsia="zh-CN" w:bidi="ar"/>
        </w:rPr>
        <w:t>：</w:t>
      </w:r>
      <w:r>
        <w:rPr>
          <w:rFonts w:hint="eastAsia" w:ascii="宋体" w:hAnsi="宋体" w:eastAsia="宋体" w:cs="Times New Roman"/>
          <w:snapToGrid/>
          <w:color w:val="auto"/>
          <w:kern w:val="2"/>
          <w:sz w:val="24"/>
          <w:szCs w:val="24"/>
          <w:highlight w:val="none"/>
          <w:u w:val="single"/>
          <w:lang w:val="en-US" w:eastAsia="zh-CN" w:bidi="ar"/>
        </w:rPr>
        <w:t>低温药库</w:t>
      </w:r>
      <w:r>
        <w:rPr>
          <w:rFonts w:hint="eastAsia" w:ascii="宋体" w:hAnsi="宋体" w:cs="Times New Roman"/>
          <w:snapToGrid/>
          <w:color w:val="auto"/>
          <w:kern w:val="2"/>
          <w:sz w:val="24"/>
          <w:szCs w:val="24"/>
          <w:highlight w:val="none"/>
          <w:u w:val="single"/>
          <w:lang w:val="en-US" w:eastAsia="zh-CN" w:bidi="ar"/>
        </w:rPr>
        <w:t>。</w:t>
      </w:r>
    </w:p>
    <w:p w14:paraId="090C7CC3">
      <w:pPr>
        <w:keepNext w:val="0"/>
        <w:keepLines w:val="0"/>
        <w:widowControl/>
        <w:suppressLineNumbers w:val="0"/>
        <w:adjustRightInd/>
        <w:snapToGrid/>
        <w:spacing w:line="360" w:lineRule="auto"/>
        <w:ind w:right="0" w:firstLine="480" w:firstLineChars="200"/>
        <w:jc w:val="left"/>
        <w:outlineLvl w:val="9"/>
        <w:rPr>
          <w:rFonts w:hint="eastAsia" w:ascii="宋体" w:hAnsi="宋体" w:eastAsia="宋体" w:cs="Times New Roman"/>
          <w:snapToGrid/>
          <w:color w:val="auto"/>
          <w:kern w:val="2"/>
          <w:sz w:val="24"/>
          <w:szCs w:val="24"/>
          <w:highlight w:val="none"/>
          <w:u w:val="single"/>
          <w:lang w:val="en-US" w:eastAsia="zh-CN" w:bidi="ar"/>
        </w:rPr>
      </w:pPr>
      <w:r>
        <w:rPr>
          <w:rFonts w:hint="eastAsia" w:ascii="宋体" w:hAnsi="宋体" w:eastAsia="宋体" w:cs="Times New Roman"/>
          <w:snapToGrid/>
          <w:color w:val="auto"/>
          <w:kern w:val="2"/>
          <w:sz w:val="24"/>
          <w:szCs w:val="24"/>
          <w:highlight w:val="none"/>
          <w:u w:val="single"/>
          <w:lang w:val="en-US" w:eastAsia="zh-CN" w:bidi="ar"/>
        </w:rPr>
        <w:t>除上述专业工程外，若项目实施过程中新增</w:t>
      </w:r>
      <w:r>
        <w:rPr>
          <w:rFonts w:hint="eastAsia" w:ascii="宋体" w:hAnsi="宋体" w:cs="Times New Roman"/>
          <w:snapToGrid/>
          <w:color w:val="auto"/>
          <w:kern w:val="2"/>
          <w:sz w:val="24"/>
          <w:szCs w:val="24"/>
          <w:highlight w:val="none"/>
          <w:u w:val="single"/>
          <w:lang w:val="en-US" w:eastAsia="zh-CN" w:bidi="ar"/>
        </w:rPr>
        <w:t>专业工程暂估价</w:t>
      </w:r>
      <w:r>
        <w:rPr>
          <w:rFonts w:hint="eastAsia" w:ascii="宋体" w:hAnsi="宋体" w:eastAsia="宋体" w:cs="Times New Roman"/>
          <w:snapToGrid/>
          <w:color w:val="auto"/>
          <w:kern w:val="2"/>
          <w:sz w:val="24"/>
          <w:szCs w:val="24"/>
          <w:highlight w:val="none"/>
          <w:u w:val="single"/>
          <w:lang w:val="en-US" w:eastAsia="zh-CN" w:bidi="ar"/>
        </w:rPr>
        <w:t>(如医疗设备安装配套工程)，需经发包人书面确认，并纳入本文件管理及费用规定范围，</w:t>
      </w:r>
      <w:r>
        <w:rPr>
          <w:rFonts w:hint="eastAsia" w:ascii="宋体" w:hAnsi="宋体" w:cs="Times New Roman"/>
          <w:snapToGrid/>
          <w:color w:val="auto"/>
          <w:kern w:val="2"/>
          <w:sz w:val="24"/>
          <w:szCs w:val="24"/>
          <w:highlight w:val="none"/>
          <w:u w:val="single"/>
          <w:lang w:val="en-US" w:eastAsia="zh-CN" w:bidi="ar"/>
        </w:rPr>
        <w:t>承包人</w:t>
      </w:r>
      <w:r>
        <w:rPr>
          <w:rFonts w:hint="eastAsia" w:ascii="宋体" w:hAnsi="宋体" w:eastAsia="宋体" w:cs="Times New Roman"/>
          <w:snapToGrid/>
          <w:color w:val="auto"/>
          <w:kern w:val="2"/>
          <w:sz w:val="24"/>
          <w:szCs w:val="24"/>
          <w:highlight w:val="none"/>
          <w:u w:val="single"/>
          <w:lang w:val="en-US" w:eastAsia="zh-CN" w:bidi="ar"/>
        </w:rPr>
        <w:t>需按同等标准提供管理与配合服务。</w:t>
      </w:r>
      <w:r>
        <w:rPr>
          <w:rFonts w:hint="eastAsia" w:ascii="宋体" w:hAnsi="宋体" w:cs="Times New Roman"/>
          <w:snapToGrid/>
          <w:color w:val="auto"/>
          <w:kern w:val="2"/>
          <w:sz w:val="24"/>
          <w:szCs w:val="24"/>
          <w:highlight w:val="none"/>
          <w:u w:val="single"/>
          <w:lang w:val="en-US" w:eastAsia="zh-CN" w:bidi="ar"/>
        </w:rPr>
        <w:t>发包人</w:t>
      </w:r>
      <w:r>
        <w:rPr>
          <w:rFonts w:hint="eastAsia" w:ascii="宋体" w:hAnsi="宋体" w:eastAsia="宋体" w:cs="Times New Roman"/>
          <w:snapToGrid/>
          <w:color w:val="auto"/>
          <w:kern w:val="2"/>
          <w:sz w:val="24"/>
          <w:szCs w:val="24"/>
          <w:highlight w:val="none"/>
          <w:u w:val="single"/>
          <w:lang w:val="en-US" w:eastAsia="zh-CN" w:bidi="ar"/>
        </w:rPr>
        <w:t>采购的设备(</w:t>
      </w:r>
      <w:r>
        <w:rPr>
          <w:rFonts w:hint="eastAsia" w:ascii="宋体" w:hAnsi="宋体" w:cs="Times New Roman"/>
          <w:snapToGrid/>
          <w:color w:val="auto"/>
          <w:kern w:val="2"/>
          <w:sz w:val="24"/>
          <w:szCs w:val="24"/>
          <w:highlight w:val="none"/>
          <w:u w:val="single"/>
          <w:lang w:val="en-US" w:eastAsia="zh-CN" w:bidi="ar"/>
        </w:rPr>
        <w:t>电梯和</w:t>
      </w:r>
      <w:r>
        <w:rPr>
          <w:rFonts w:hint="eastAsia" w:ascii="宋体" w:hAnsi="宋体" w:eastAsia="宋体" w:cs="Times New Roman"/>
          <w:snapToGrid/>
          <w:color w:val="auto"/>
          <w:kern w:val="2"/>
          <w:sz w:val="24"/>
          <w:szCs w:val="24"/>
          <w:highlight w:val="none"/>
          <w:u w:val="single"/>
          <w:lang w:val="en-US" w:eastAsia="zh-CN" w:bidi="ar"/>
        </w:rPr>
        <w:t>“CT机、MRI设备、大型检验设备等医疗专用设备”)需要专业公司施工和安装的项目，</w:t>
      </w:r>
      <w:r>
        <w:rPr>
          <w:rFonts w:hint="eastAsia" w:ascii="宋体" w:hAnsi="宋体" w:cs="Times New Roman"/>
          <w:snapToGrid/>
          <w:color w:val="auto"/>
          <w:kern w:val="2"/>
          <w:sz w:val="24"/>
          <w:szCs w:val="24"/>
          <w:highlight w:val="none"/>
          <w:u w:val="single"/>
          <w:lang w:val="en-US" w:eastAsia="zh-CN" w:bidi="ar"/>
        </w:rPr>
        <w:t>承包</w:t>
      </w:r>
      <w:r>
        <w:rPr>
          <w:rFonts w:hint="eastAsia" w:ascii="宋体" w:hAnsi="宋体" w:eastAsia="宋体" w:cs="Times New Roman"/>
          <w:snapToGrid/>
          <w:color w:val="auto"/>
          <w:kern w:val="2"/>
          <w:sz w:val="24"/>
          <w:szCs w:val="24"/>
          <w:highlight w:val="none"/>
          <w:u w:val="single"/>
          <w:lang w:val="en-US" w:eastAsia="zh-CN" w:bidi="ar"/>
        </w:rPr>
        <w:t>人必须积极配合，相应的管理配合费按设备安装费用(以</w:t>
      </w:r>
      <w:r>
        <w:rPr>
          <w:rFonts w:hint="eastAsia" w:ascii="宋体" w:hAnsi="宋体" w:cs="Times New Roman"/>
          <w:snapToGrid/>
          <w:color w:val="auto"/>
          <w:kern w:val="2"/>
          <w:sz w:val="24"/>
          <w:szCs w:val="24"/>
          <w:highlight w:val="none"/>
          <w:u w:val="single"/>
          <w:lang w:val="en-US" w:eastAsia="zh-CN" w:bidi="ar"/>
        </w:rPr>
        <w:t>发包人</w:t>
      </w:r>
      <w:r>
        <w:rPr>
          <w:rFonts w:hint="eastAsia" w:ascii="宋体" w:hAnsi="宋体" w:eastAsia="宋体" w:cs="Times New Roman"/>
          <w:snapToGrid/>
          <w:color w:val="auto"/>
          <w:kern w:val="2"/>
          <w:sz w:val="24"/>
          <w:szCs w:val="24"/>
          <w:highlight w:val="none"/>
          <w:u w:val="single"/>
          <w:lang w:val="en-US" w:eastAsia="zh-CN" w:bidi="ar"/>
        </w:rPr>
        <w:t>与设备供应单位签订的设备安装合同</w:t>
      </w:r>
      <w:r>
        <w:rPr>
          <w:rFonts w:hint="eastAsia" w:ascii="宋体" w:hAnsi="宋体" w:cs="Times New Roman"/>
          <w:snapToGrid/>
          <w:color w:val="auto"/>
          <w:kern w:val="2"/>
          <w:sz w:val="24"/>
          <w:szCs w:val="24"/>
          <w:highlight w:val="none"/>
          <w:u w:val="single"/>
          <w:lang w:val="en-US" w:eastAsia="zh-CN" w:bidi="ar"/>
        </w:rPr>
        <w:t>价</w:t>
      </w:r>
      <w:r>
        <w:rPr>
          <w:rFonts w:hint="eastAsia" w:ascii="宋体" w:hAnsi="宋体" w:eastAsia="宋体" w:cs="Times New Roman"/>
          <w:snapToGrid/>
          <w:color w:val="auto"/>
          <w:kern w:val="2"/>
          <w:sz w:val="24"/>
          <w:szCs w:val="24"/>
          <w:highlight w:val="none"/>
          <w:u w:val="single"/>
          <w:lang w:val="en-US" w:eastAsia="zh-CN" w:bidi="ar"/>
        </w:rPr>
        <w:t>为准)的2%计取(已包含设备安装过程中的水电费、场地配合费及管理服务费，</w:t>
      </w:r>
      <w:r>
        <w:rPr>
          <w:rFonts w:hint="eastAsia" w:ascii="宋体" w:hAnsi="宋体" w:cs="Times New Roman"/>
          <w:snapToGrid/>
          <w:color w:val="auto"/>
          <w:kern w:val="2"/>
          <w:sz w:val="24"/>
          <w:szCs w:val="24"/>
          <w:highlight w:val="none"/>
          <w:u w:val="single"/>
          <w:lang w:val="en-US" w:eastAsia="zh-CN" w:bidi="ar"/>
        </w:rPr>
        <w:t>承包人</w:t>
      </w:r>
      <w:r>
        <w:rPr>
          <w:rFonts w:hint="eastAsia" w:ascii="宋体" w:hAnsi="宋体" w:eastAsia="宋体" w:cs="Times New Roman"/>
          <w:snapToGrid/>
          <w:color w:val="auto"/>
          <w:kern w:val="2"/>
          <w:sz w:val="24"/>
          <w:szCs w:val="24"/>
          <w:highlight w:val="none"/>
          <w:u w:val="single"/>
          <w:lang w:val="en-US" w:eastAsia="zh-CN" w:bidi="ar"/>
        </w:rPr>
        <w:t>不得额外收取其他费用)。</w:t>
      </w:r>
    </w:p>
    <w:p w14:paraId="03599184">
      <w:pPr>
        <w:keepNext w:val="0"/>
        <w:keepLines w:val="0"/>
        <w:widowControl/>
        <w:numPr>
          <w:ilvl w:val="-1"/>
          <w:numId w:val="0"/>
        </w:numPr>
        <w:suppressLineNumbers w:val="0"/>
        <w:adjustRightInd/>
        <w:snapToGrid/>
        <w:spacing w:line="360" w:lineRule="auto"/>
        <w:ind w:left="0" w:right="0" w:firstLine="480" w:firstLineChars="200"/>
        <w:jc w:val="left"/>
        <w:outlineLvl w:val="9"/>
        <w:rPr>
          <w:rFonts w:hint="eastAsia" w:ascii="宋体" w:hAnsi="宋体" w:eastAsia="宋体" w:cs="Times New Roman"/>
          <w:snapToGrid/>
          <w:color w:val="auto"/>
          <w:kern w:val="2"/>
          <w:sz w:val="24"/>
          <w:szCs w:val="24"/>
          <w:highlight w:val="none"/>
          <w:u w:val="single"/>
          <w:lang w:val="en-US" w:eastAsia="zh-CN" w:bidi="ar"/>
        </w:rPr>
      </w:pPr>
      <w:r>
        <w:rPr>
          <w:rFonts w:hint="eastAsia" w:ascii="宋体" w:hAnsi="宋体" w:eastAsia="宋体" w:cs="Times New Roman"/>
          <w:snapToGrid/>
          <w:color w:val="auto"/>
          <w:kern w:val="2"/>
          <w:sz w:val="24"/>
          <w:szCs w:val="24"/>
          <w:highlight w:val="none"/>
          <w:u w:val="single"/>
          <w:lang w:val="en-US" w:eastAsia="zh-CN" w:bidi="ar"/>
        </w:rPr>
        <w:t>②列入总包专业工程暂估价的明细如下：</w:t>
      </w:r>
    </w:p>
    <w:p w14:paraId="7636B850">
      <w:pPr>
        <w:keepNext w:val="0"/>
        <w:keepLines w:val="0"/>
        <w:widowControl/>
        <w:numPr>
          <w:ilvl w:val="0"/>
          <w:numId w:val="0"/>
        </w:numPr>
        <w:suppressLineNumbers w:val="0"/>
        <w:adjustRightInd/>
        <w:snapToGrid/>
        <w:spacing w:line="360" w:lineRule="auto"/>
        <w:ind w:right="0" w:firstLine="480" w:firstLineChars="200"/>
        <w:jc w:val="left"/>
        <w:outlineLvl w:val="9"/>
        <w:rPr>
          <w:rFonts w:hint="default" w:ascii="宋体" w:hAnsi="宋体" w:eastAsia="宋体" w:cs="Times New Roman"/>
          <w:snapToGrid/>
          <w:color w:val="auto"/>
          <w:kern w:val="2"/>
          <w:sz w:val="24"/>
          <w:szCs w:val="24"/>
          <w:highlight w:val="none"/>
          <w:u w:val="single"/>
          <w:lang w:val="en-US" w:eastAsia="zh-CN" w:bidi="ar"/>
        </w:rPr>
      </w:pPr>
      <w:r>
        <w:rPr>
          <w:rFonts w:hint="eastAsia" w:ascii="宋体" w:hAnsi="宋体" w:eastAsia="宋体" w:cs="Times New Roman"/>
          <w:snapToGrid/>
          <w:color w:val="auto"/>
          <w:kern w:val="2"/>
          <w:sz w:val="24"/>
          <w:szCs w:val="24"/>
          <w:highlight w:val="none"/>
          <w:u w:val="single"/>
          <w:lang w:val="en-US" w:eastAsia="zh-CN" w:bidi="ar"/>
        </w:rPr>
        <w:t>专业工程一：充电桩预留接口（快充）；专业工程二：防洪工程；专业工程三：室外燃气工程。</w:t>
      </w:r>
    </w:p>
    <w:p w14:paraId="106BD01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outlineLvl w:val="9"/>
        <w:rPr>
          <w:rFonts w:hint="eastAsia" w:ascii="宋体" w:hAnsi="宋体" w:eastAsia="宋体" w:cs="Times New Roman"/>
          <w:color w:val="auto"/>
          <w:sz w:val="24"/>
          <w:szCs w:val="24"/>
          <w:highlight w:val="none"/>
          <w:u w:val="single"/>
          <w:lang w:bidi="ar"/>
        </w:rPr>
      </w:pPr>
      <w:r>
        <w:rPr>
          <w:rFonts w:hint="eastAsia" w:ascii="宋体" w:hAnsi="宋体" w:eastAsia="宋体" w:cs="Times New Roman"/>
          <w:b w:val="0"/>
          <w:bCs w:val="0"/>
          <w:i w:val="0"/>
          <w:color w:val="auto"/>
          <w:kern w:val="2"/>
          <w:sz w:val="24"/>
          <w:szCs w:val="24"/>
          <w:highlight w:val="none"/>
          <w:u w:val="single"/>
          <w:lang w:val="en-US" w:eastAsia="zh-CN" w:bidi="ar"/>
        </w:rPr>
        <w:t>上述专业工程招标阶段暂未提供设计图纸，</w:t>
      </w:r>
      <w:r>
        <w:rPr>
          <w:rFonts w:hint="eastAsia" w:ascii="宋体" w:hAnsi="宋体" w:eastAsia="宋体" w:cs="Times New Roman"/>
          <w:b w:val="0"/>
          <w:bCs w:val="0"/>
          <w:i w:val="0"/>
          <w:color w:val="auto"/>
          <w:sz w:val="24"/>
          <w:szCs w:val="24"/>
          <w:highlight w:val="none"/>
          <w:u w:val="single"/>
          <w:lang w:val="en-US" w:eastAsia="zh-CN" w:bidi="ar"/>
        </w:rPr>
        <w:t>招标人有权根据实际情况确认此三项专业工程暂估价是否实施；如不实施，则对应的工程款不予支付。中标人需根据招标人提供的施工图及施工总承包合同的计价条款约定，编制施工图预算，施工图预算不得超过对应专业工程暂估价的最高投标限价。施工图预算经招标人审定后，仅作为进度款支付的依据，最终结算按施工总承包合同的约定执行。</w:t>
      </w:r>
    </w:p>
    <w:p w14:paraId="5FBFDC96">
      <w:pPr>
        <w:keepNext w:val="0"/>
        <w:keepLines w:val="0"/>
        <w:widowControl/>
        <w:suppressLineNumbers w:val="0"/>
        <w:adjustRightInd/>
        <w:snapToGrid/>
        <w:spacing w:line="360" w:lineRule="auto"/>
        <w:ind w:right="0" w:firstLine="480" w:firstLineChars="200"/>
        <w:jc w:val="left"/>
        <w:outlineLvl w:val="9"/>
        <w:rPr>
          <w:rFonts w:hint="eastAsia" w:ascii="宋体" w:hAnsi="宋体" w:eastAsia="宋体" w:cs="Times New Roman"/>
          <w:snapToGrid/>
          <w:color w:val="auto"/>
          <w:kern w:val="2"/>
          <w:sz w:val="24"/>
          <w:szCs w:val="24"/>
          <w:highlight w:val="none"/>
          <w:u w:val="single"/>
          <w:lang w:val="en-US" w:eastAsia="zh-CN" w:bidi="ar"/>
        </w:rPr>
      </w:pPr>
      <w:r>
        <w:rPr>
          <w:rFonts w:hint="eastAsia" w:ascii="宋体" w:hAnsi="宋体" w:eastAsia="宋体" w:cs="Times New Roman"/>
          <w:snapToGrid/>
          <w:color w:val="auto"/>
          <w:kern w:val="2"/>
          <w:sz w:val="24"/>
          <w:szCs w:val="24"/>
          <w:highlight w:val="none"/>
          <w:u w:val="single"/>
          <w:lang w:bidi="ar"/>
        </w:rPr>
        <w:t>具体的施工内容以招标文件、招标图纸、工程量清单及有关资料说明为准。若出现工程界面不清晰或界面重叠等情况，最终以发包人的意见为准。</w:t>
      </w:r>
    </w:p>
    <w:p w14:paraId="396F6E70">
      <w:pPr>
        <w:widowControl/>
        <w:numPr>
          <w:ilvl w:val="-1"/>
          <w:numId w:val="0"/>
        </w:numPr>
        <w:adjustRightInd/>
        <w:snapToGrid/>
        <w:spacing w:line="360" w:lineRule="auto"/>
        <w:ind w:right="0" w:firstLine="480" w:firstLineChars="200"/>
        <w:jc w:val="left"/>
        <w:outlineLvl w:val="9"/>
        <w:rPr>
          <w:rFonts w:hint="eastAsia" w:ascii="宋体" w:hAnsi="宋体"/>
          <w:snapToGrid/>
          <w:color w:val="auto"/>
          <w:kern w:val="2"/>
          <w:sz w:val="24"/>
          <w:szCs w:val="24"/>
          <w:highlight w:val="none"/>
          <w:u w:val="single"/>
          <w:lang w:bidi="ar"/>
        </w:rPr>
      </w:pPr>
      <w:r>
        <w:rPr>
          <w:rFonts w:hint="eastAsia" w:ascii="宋体" w:hAnsi="宋体" w:eastAsia="宋体" w:cs="Times New Roman"/>
          <w:snapToGrid/>
          <w:color w:val="auto"/>
          <w:kern w:val="2"/>
          <w:sz w:val="24"/>
          <w:szCs w:val="24"/>
          <w:highlight w:val="none"/>
          <w:u w:val="single"/>
          <w:lang w:eastAsia="zh-CN" w:bidi="ar"/>
        </w:rPr>
        <w:t>（</w:t>
      </w:r>
      <w:r>
        <w:rPr>
          <w:rFonts w:hint="eastAsia" w:ascii="宋体" w:hAnsi="宋体" w:cs="Times New Roman"/>
          <w:snapToGrid/>
          <w:color w:val="auto"/>
          <w:kern w:val="2"/>
          <w:sz w:val="24"/>
          <w:szCs w:val="24"/>
          <w:highlight w:val="none"/>
          <w:u w:val="single"/>
          <w:lang w:val="en-US" w:eastAsia="zh-CN" w:bidi="ar"/>
        </w:rPr>
        <w:t>3</w:t>
      </w:r>
      <w:r>
        <w:rPr>
          <w:rFonts w:hint="eastAsia" w:ascii="宋体" w:hAnsi="宋体" w:eastAsia="宋体" w:cs="Times New Roman"/>
          <w:snapToGrid/>
          <w:color w:val="auto"/>
          <w:kern w:val="2"/>
          <w:sz w:val="24"/>
          <w:szCs w:val="24"/>
          <w:highlight w:val="none"/>
          <w:u w:val="single"/>
          <w:lang w:eastAsia="zh-CN" w:bidi="ar"/>
        </w:rPr>
        <w:t>）</w:t>
      </w:r>
      <w:r>
        <w:rPr>
          <w:rFonts w:hint="eastAsia" w:ascii="宋体" w:hAnsi="宋体" w:eastAsia="宋体" w:cs="Times New Roman"/>
          <w:snapToGrid/>
          <w:color w:val="auto"/>
          <w:kern w:val="2"/>
          <w:sz w:val="24"/>
          <w:szCs w:val="24"/>
          <w:highlight w:val="none"/>
          <w:u w:val="single"/>
          <w:lang w:bidi="ar"/>
        </w:rPr>
        <w:t>总承包管理及配合服务：对本项目由发包人另行发包的专业工程实施总承包管理、协调和配合服务，包括但不限于综合管理（施工围蔽和门禁管理、施工人员出入管理、总平面布局管理、材料堆放管理、垃圾清运等）、技术管理、资料管理、安全生产和文明施工管理、质量管理、进度管理和施工总承包管理协调，协助办理</w:t>
      </w:r>
      <w:r>
        <w:rPr>
          <w:rFonts w:hint="eastAsia" w:ascii="宋体" w:hAnsi="宋体"/>
          <w:snapToGrid/>
          <w:color w:val="auto"/>
          <w:kern w:val="2"/>
          <w:sz w:val="24"/>
          <w:szCs w:val="24"/>
          <w:highlight w:val="none"/>
          <w:u w:val="single"/>
          <w:lang w:val="en-US" w:eastAsia="zh-CN" w:bidi="ar"/>
        </w:rPr>
        <w:t>报建、</w:t>
      </w:r>
      <w:r>
        <w:rPr>
          <w:rFonts w:hint="eastAsia" w:ascii="宋体" w:hAnsi="宋体" w:eastAsia="宋体" w:cs="Times New Roman"/>
          <w:snapToGrid/>
          <w:color w:val="auto"/>
          <w:kern w:val="2"/>
          <w:sz w:val="24"/>
          <w:szCs w:val="24"/>
          <w:highlight w:val="none"/>
          <w:u w:val="single"/>
          <w:lang w:bidi="ar"/>
        </w:rPr>
        <w:t>工程开工及验收所需的各项手续，负责协调施工过程中的相关职能部门及周边居民、施工期间交通疏解，给专业工程承包单位提供承包人现有临水、临电接驳点、测量控制点及现场施工塔吊、人货梯、用于施工阶段使用的永久电梯、室内或室外脚手架使用等，按计划移交专业工程施工作业面</w:t>
      </w:r>
      <w:r>
        <w:rPr>
          <w:rFonts w:hint="eastAsia" w:ascii="宋体" w:hAnsi="宋体" w:eastAsia="宋体" w:cs="Times New Roman"/>
          <w:snapToGrid/>
          <w:color w:val="auto"/>
          <w:kern w:val="2"/>
          <w:sz w:val="24"/>
          <w:szCs w:val="24"/>
          <w:highlight w:val="none"/>
          <w:u w:val="single"/>
          <w:lang w:eastAsia="zh-CN" w:bidi="ar"/>
        </w:rPr>
        <w:t>。</w:t>
      </w:r>
      <w:r>
        <w:rPr>
          <w:rFonts w:hint="eastAsia" w:ascii="宋体" w:hAnsi="宋体" w:cs="Times New Roman"/>
          <w:snapToGrid/>
          <w:color w:val="auto"/>
          <w:spacing w:val="0"/>
          <w:kern w:val="2"/>
          <w:sz w:val="24"/>
          <w:szCs w:val="24"/>
          <w:highlight w:val="none"/>
          <w:u w:val="single"/>
          <w:lang w:val="en-US" w:eastAsia="zh-CN" w:bidi="ar"/>
        </w:rPr>
        <w:t>根据《广州市城市轨道交通管理条例》第十四条规定对城市轨道交通设施安全有重大影响的作业，作业单位应对轨道交通结构开展动态监测、安全监控及地保运营配合服务，并在作业前与城市轨道交通经营单位签订安全生产管理协议，施工期间委托有资质的单位对地铁运营的安全性进行监测。相关的费用包含在合同总价中，发包人不再另行支付相关费用。</w:t>
      </w:r>
    </w:p>
    <w:p w14:paraId="62733AD5">
      <w:pPr>
        <w:spacing w:line="360" w:lineRule="auto"/>
        <w:ind w:firstLine="537" w:firstLineChars="224"/>
        <w:rPr>
          <w:rFonts w:hint="eastAsia" w:eastAsia="宋体"/>
          <w:lang w:eastAsia="zh-CN"/>
        </w:rPr>
      </w:pPr>
      <w:r>
        <w:rPr>
          <w:rFonts w:hint="eastAsia" w:ascii="宋体" w:hAnsi="宋体"/>
          <w:sz w:val="24"/>
          <w:szCs w:val="24"/>
        </w:rPr>
        <w:t>3、最高投标限价：</w:t>
      </w:r>
      <w:r>
        <w:rPr>
          <w:rFonts w:hint="eastAsia" w:ascii="宋体" w:hAnsi="宋体"/>
          <w:sz w:val="24"/>
          <w:szCs w:val="24"/>
          <w:u w:val="single"/>
          <w:lang w:val="en-US" w:eastAsia="zh-CN"/>
        </w:rPr>
        <w:t>¥648,837,718.00</w:t>
      </w:r>
      <w:r>
        <w:rPr>
          <w:rFonts w:hint="eastAsia" w:ascii="宋体" w:hAnsi="宋体"/>
          <w:sz w:val="24"/>
          <w:szCs w:val="24"/>
          <w:u w:val="single"/>
        </w:rPr>
        <w:t>元</w:t>
      </w:r>
    </w:p>
    <w:p w14:paraId="4B7244AD">
      <w:pPr>
        <w:spacing w:line="360" w:lineRule="auto"/>
        <w:ind w:firstLine="537" w:firstLineChars="224"/>
        <w:rPr>
          <w:rFonts w:ascii="宋体" w:hAnsi="宋体"/>
          <w:sz w:val="24"/>
          <w:u w:val="single"/>
        </w:rPr>
      </w:pPr>
      <w:r>
        <w:rPr>
          <w:rFonts w:hint="eastAsia" w:ascii="宋体" w:hAnsi="宋体"/>
          <w:sz w:val="24"/>
        </w:rPr>
        <w:t>六、资金来源：</w:t>
      </w:r>
      <w:r>
        <w:rPr>
          <w:rFonts w:hint="eastAsia" w:ascii="宋体" w:hAnsi="宋体"/>
          <w:sz w:val="24"/>
          <w:szCs w:val="24"/>
          <w:u w:val="single"/>
        </w:rPr>
        <w:t>财政资金</w:t>
      </w:r>
      <w:r>
        <w:rPr>
          <w:rFonts w:hint="eastAsia" w:ascii="宋体" w:hAnsi="宋体"/>
          <w:sz w:val="24"/>
          <w:szCs w:val="24"/>
          <w:u w:val="single"/>
          <w:lang w:val="en-US" w:eastAsia="zh-CN"/>
        </w:rPr>
        <w:t>和自有资金</w:t>
      </w:r>
      <w:r>
        <w:rPr>
          <w:rFonts w:hint="eastAsia" w:ascii="宋体" w:hAnsi="宋体"/>
          <w:sz w:val="24"/>
          <w:szCs w:val="24"/>
          <w:u w:val="single"/>
        </w:rPr>
        <w:t>。</w:t>
      </w:r>
    </w:p>
    <w:p w14:paraId="5E777A7E">
      <w:pPr>
        <w:spacing w:line="360" w:lineRule="auto"/>
        <w:ind w:left="120" w:leftChars="57" w:firstLine="417" w:firstLineChars="174"/>
        <w:rPr>
          <w:rFonts w:ascii="宋体"/>
          <w:sz w:val="24"/>
        </w:rPr>
      </w:pPr>
      <w:r>
        <w:rPr>
          <w:rFonts w:hint="eastAsia" w:ascii="宋体" w:hAnsi="宋体"/>
          <w:sz w:val="24"/>
        </w:rPr>
        <w:t>注：政府投资项目一律不得以建筑业企业带资承包的方式进行建设。</w:t>
      </w:r>
    </w:p>
    <w:p w14:paraId="35BF1E86">
      <w:pPr>
        <w:snapToGrid w:val="0"/>
        <w:spacing w:line="360" w:lineRule="auto"/>
        <w:ind w:left="435"/>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14:paraId="23E4E734">
      <w:pPr>
        <w:snapToGrid w:val="0"/>
        <w:spacing w:line="360" w:lineRule="auto"/>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szCs w:val="24"/>
          <w:u w:val="single"/>
          <w:lang w:val="en-US" w:eastAsia="zh-CN"/>
        </w:rPr>
        <w:t xml:space="preserve">  </w:t>
      </w:r>
      <w:r>
        <w:rPr>
          <w:rFonts w:hint="eastAsia" w:ascii="宋体" w:hAnsi="宋体"/>
          <w:sz w:val="24"/>
        </w:rPr>
        <w:t>月</w:t>
      </w:r>
      <w:r>
        <w:rPr>
          <w:rFonts w:hint="eastAsia" w:ascii="宋体" w:hAnsi="宋体"/>
          <w:sz w:val="24"/>
          <w:szCs w:val="24"/>
          <w:u w:val="single"/>
          <w:lang w:val="en-US" w:eastAsia="zh-CN"/>
        </w:rPr>
        <w:t xml:space="preserve">  </w:t>
      </w:r>
      <w:r>
        <w:rPr>
          <w:rFonts w:hint="eastAsia" w:ascii="宋体" w:hAnsi="宋体"/>
          <w:sz w:val="24"/>
        </w:rPr>
        <w:t>日至</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rPr>
        <w:t>年</w:t>
      </w:r>
      <w:r>
        <w:rPr>
          <w:rFonts w:hint="eastAsia" w:ascii="宋体" w:hAnsi="宋体"/>
          <w:sz w:val="24"/>
          <w:szCs w:val="24"/>
          <w:u w:val="single"/>
          <w:lang w:val="en-US" w:eastAsia="zh-CN"/>
        </w:rPr>
        <w:t xml:space="preserve">  </w:t>
      </w:r>
      <w:r>
        <w:rPr>
          <w:rFonts w:hint="eastAsia" w:ascii="宋体" w:hAnsi="宋体"/>
          <w:sz w:val="24"/>
        </w:rPr>
        <w:t>月</w:t>
      </w:r>
      <w:r>
        <w:rPr>
          <w:rFonts w:hint="eastAsia" w:ascii="宋体" w:hAnsi="宋体"/>
          <w:sz w:val="24"/>
          <w:szCs w:val="24"/>
          <w:u w:val="single"/>
          <w:lang w:val="en-US" w:eastAsia="zh-CN"/>
        </w:rPr>
        <w:t xml:space="preserve">  </w:t>
      </w:r>
      <w:r>
        <w:rPr>
          <w:rFonts w:hint="eastAsia" w:ascii="宋体" w:hAnsi="宋体"/>
          <w:sz w:val="24"/>
        </w:rPr>
        <w:t>日</w:t>
      </w:r>
    </w:p>
    <w:p w14:paraId="40D4DA97">
      <w:pPr>
        <w:snapToGrid w:val="0"/>
        <w:spacing w:line="360" w:lineRule="auto"/>
        <w:ind w:firstLine="480" w:firstLineChars="200"/>
        <w:rPr>
          <w:rFonts w:ascii="宋体" w:cs="宋体"/>
          <w:kern w:val="0"/>
          <w:sz w:val="24"/>
          <w:szCs w:val="24"/>
        </w:rPr>
      </w:pPr>
      <w:r>
        <w:rPr>
          <w:rFonts w:hint="eastAsia" w:ascii="宋体" w:hAnsi="宋体"/>
          <w:sz w:val="24"/>
        </w:rPr>
        <w:t>凡有意参加投标者，请登录</w:t>
      </w:r>
      <w:r>
        <w:rPr>
          <w:rFonts w:hint="eastAsia"/>
          <w:sz w:val="24"/>
          <w:szCs w:val="24"/>
          <w:u w:val="single"/>
          <w:lang w:eastAsia="zh-CN"/>
        </w:rPr>
        <w:t>广州交易集团有限公司（广州公共资源交易中心）</w:t>
      </w:r>
      <w:r>
        <w:rPr>
          <w:rFonts w:hint="eastAsia" w:ascii="宋体" w:hAnsi="宋体"/>
          <w:sz w:val="24"/>
          <w:szCs w:val="24"/>
        </w:rPr>
        <w:t>交易平台</w:t>
      </w:r>
      <w:r>
        <w:rPr>
          <w:rFonts w:hint="eastAsia" w:ascii="宋体" w:hAnsi="宋体"/>
          <w:sz w:val="24"/>
        </w:rPr>
        <w:t>网站下载电子招标文件。</w:t>
      </w:r>
    </w:p>
    <w:p w14:paraId="3D5D4EEE">
      <w:pPr>
        <w:snapToGrid w:val="0"/>
        <w:spacing w:line="360" w:lineRule="auto"/>
        <w:ind w:left="435"/>
        <w:rPr>
          <w:rFonts w:ascii="宋体" w:hAnsi="宋体" w:cs="宋体"/>
          <w:kern w:val="0"/>
          <w:sz w:val="24"/>
          <w:szCs w:val="24"/>
        </w:rPr>
      </w:pPr>
      <w:r>
        <w:rPr>
          <w:rFonts w:hint="eastAsia" w:ascii="宋体" w:hAnsi="宋体" w:cs="宋体"/>
          <w:kern w:val="0"/>
          <w:sz w:val="24"/>
          <w:szCs w:val="24"/>
        </w:rPr>
        <w:t>注：发布</w:t>
      </w:r>
      <w:r>
        <w:rPr>
          <w:rFonts w:hint="eastAsia" w:ascii="宋体" w:hAnsi="宋体" w:eastAsia="宋体" w:cs="Times New Roman"/>
          <w:sz w:val="24"/>
        </w:rPr>
        <w:t>招标</w:t>
      </w:r>
      <w:r>
        <w:rPr>
          <w:rFonts w:hint="eastAsia" w:ascii="宋体" w:hAnsi="宋体" w:cs="宋体"/>
          <w:kern w:val="0"/>
          <w:sz w:val="24"/>
          <w:szCs w:val="24"/>
        </w:rPr>
        <w:t>公告的时间为招标公告发出之日起</w:t>
      </w:r>
      <w:bookmarkStart w:id="0" w:name="_GoBack"/>
      <w:bookmarkEnd w:id="0"/>
      <w:r>
        <w:rPr>
          <w:rFonts w:hint="eastAsia" w:ascii="宋体" w:hAnsi="宋体" w:cs="宋体"/>
          <w:kern w:val="0"/>
          <w:sz w:val="24"/>
          <w:szCs w:val="24"/>
        </w:rPr>
        <w:t>至投标截止时间止。</w:t>
      </w:r>
    </w:p>
    <w:p w14:paraId="3A10E23D">
      <w:pPr>
        <w:snapToGrid w:val="0"/>
        <w:spacing w:line="360" w:lineRule="auto"/>
        <w:ind w:firstLine="480" w:firstLineChars="200"/>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202</w:t>
      </w:r>
      <w:r>
        <w:rPr>
          <w:rFonts w:hint="eastAsia" w:ascii="宋体" w:hAnsi="宋体"/>
          <w:sz w:val="24"/>
          <w:szCs w:val="24"/>
          <w:u w:val="single"/>
          <w:lang w:val="en-US" w:eastAsia="zh-CN"/>
        </w:rPr>
        <w:t>5</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w:t>
      </w:r>
    </w:p>
    <w:p w14:paraId="7B4D4DA9">
      <w:pPr>
        <w:snapToGrid w:val="0"/>
        <w:spacing w:line="360" w:lineRule="auto"/>
        <w:ind w:left="435" w:leftChars="0" w:firstLine="1884" w:firstLineChars="785"/>
        <w:rPr>
          <w:rFonts w:ascii="宋体" w:hAnsi="宋体" w:cs="宋体"/>
          <w:sz w:val="24"/>
          <w:szCs w:val="24"/>
        </w:rPr>
      </w:pPr>
      <w:r>
        <w:rPr>
          <w:rFonts w:hint="eastAsia" w:ascii="宋体" w:hAnsi="宋体" w:cs="宋体"/>
          <w:sz w:val="24"/>
          <w:szCs w:val="24"/>
        </w:rPr>
        <w:t>截止时间：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rPr>
        <w:t>年</w:t>
      </w:r>
      <w:r>
        <w:rPr>
          <w:rFonts w:hint="eastAsia" w:ascii="宋体" w:hAnsi="宋体"/>
          <w:sz w:val="24"/>
          <w:szCs w:val="24"/>
          <w:u w:val="single"/>
          <w:lang w:val="en-US" w:eastAsia="zh-CN"/>
        </w:rPr>
        <w:t xml:space="preserve">  </w:t>
      </w:r>
      <w:r>
        <w:rPr>
          <w:rFonts w:hint="eastAsia" w:ascii="宋体" w:hAnsi="宋体"/>
          <w:sz w:val="24"/>
        </w:rPr>
        <w:t>月</w:t>
      </w:r>
      <w:r>
        <w:rPr>
          <w:rFonts w:hint="eastAsia" w:ascii="宋体" w:hAnsi="宋体"/>
          <w:sz w:val="24"/>
          <w:szCs w:val="24"/>
          <w:u w:val="single"/>
          <w:lang w:val="en-US" w:eastAsia="zh-CN"/>
        </w:rPr>
        <w:t xml:space="preserve">  </w:t>
      </w:r>
      <w:r>
        <w:rPr>
          <w:rFonts w:hint="eastAsia" w:ascii="宋体" w:hAnsi="宋体"/>
          <w:sz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w:t>
      </w:r>
    </w:p>
    <w:p w14:paraId="77F502E3">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rPr>
        <w:t>年</w:t>
      </w:r>
      <w:r>
        <w:rPr>
          <w:rFonts w:hint="eastAsia" w:ascii="宋体" w:hAnsi="宋体"/>
          <w:sz w:val="24"/>
          <w:szCs w:val="24"/>
          <w:u w:val="single"/>
          <w:lang w:val="en-US" w:eastAsia="zh-CN"/>
        </w:rPr>
        <w:t xml:space="preserve">  </w:t>
      </w:r>
      <w:r>
        <w:rPr>
          <w:rFonts w:hint="eastAsia" w:ascii="宋体" w:hAnsi="宋体"/>
          <w:sz w:val="24"/>
        </w:rPr>
        <w:t>月</w:t>
      </w:r>
      <w:r>
        <w:rPr>
          <w:rFonts w:hint="eastAsia" w:ascii="宋体" w:hAnsi="宋体"/>
          <w:sz w:val="24"/>
          <w:szCs w:val="24"/>
          <w:u w:val="single"/>
          <w:lang w:val="en-US" w:eastAsia="zh-CN"/>
        </w:rPr>
        <w:t xml:space="preserve">  </w:t>
      </w:r>
      <w:r>
        <w:rPr>
          <w:rFonts w:hint="eastAsia" w:ascii="宋体" w:hAnsi="宋体"/>
          <w:sz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w:t>
      </w:r>
    </w:p>
    <w:p w14:paraId="187A3FA0">
      <w:pPr>
        <w:snapToGrid w:val="0"/>
        <w:spacing w:line="360" w:lineRule="auto"/>
        <w:ind w:firstLine="480" w:firstLineChars="200"/>
        <w:rPr>
          <w:rFonts w:ascii="宋体" w:hAnsi="宋体" w:cs="宋体"/>
          <w:sz w:val="24"/>
          <w:szCs w:val="24"/>
        </w:rPr>
      </w:pP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23D89EBB">
      <w:pPr>
        <w:snapToGrid w:val="0"/>
        <w:spacing w:line="360" w:lineRule="auto"/>
        <w:ind w:firstLine="480" w:firstLineChars="200"/>
        <w:rPr>
          <w:rFonts w:ascii="宋体" w:hAnsi="宋体" w:cs="仿宋_GB2312"/>
          <w:sz w:val="24"/>
          <w:szCs w:val="24"/>
        </w:rPr>
      </w:pPr>
      <w:r>
        <w:rPr>
          <w:rFonts w:hint="eastAsia" w:ascii="宋体" w:hAnsi="宋体" w:cs="宋体"/>
          <w:sz w:val="24"/>
          <w:szCs w:val="24"/>
        </w:rPr>
        <w:t>5、</w:t>
      </w:r>
      <w:r>
        <w:rPr>
          <w:rFonts w:hint="eastAsia" w:ascii="宋体" w:hAnsi="宋体"/>
          <w:bCs/>
          <w:sz w:val="24"/>
        </w:rPr>
        <w:t>投标人通过</w:t>
      </w:r>
      <w:r>
        <w:rPr>
          <w:rFonts w:hint="eastAsia"/>
          <w:sz w:val="24"/>
          <w:szCs w:val="24"/>
          <w:u w:val="single"/>
          <w:lang w:eastAsia="zh-CN"/>
        </w:rPr>
        <w:t>广州交易集团有限公司（广州公共资源交易中心）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sz w:val="24"/>
          <w:szCs w:val="24"/>
          <w:u w:val="single"/>
          <w:lang w:eastAsia="zh-CN"/>
        </w:rPr>
        <w:t>广州交易集团有限公司（广州公共资源交易中心）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网站办理网上投标登记手续。按照交易平台关于全流程电子化项目的相关指南进行操作。详见：</w:t>
      </w:r>
      <w:r>
        <w:rPr>
          <w:rFonts w:hint="eastAsia" w:ascii="宋体" w:hAnsi="宋体" w:cs="仿宋_GB2312"/>
          <w:sz w:val="24"/>
          <w:szCs w:val="24"/>
          <w:lang w:eastAsia="zh-CN"/>
        </w:rPr>
        <w:t>广州交易集团有限公司（广州公共资源交易中心）</w:t>
      </w:r>
      <w:r>
        <w:rPr>
          <w:rFonts w:hint="eastAsia" w:ascii="宋体" w:hAnsi="宋体" w:cs="仿宋_GB2312"/>
          <w:sz w:val="24"/>
          <w:szCs w:val="24"/>
        </w:rPr>
        <w:t>网站http://www.gzggzy.cn）《房屋建筑和市政基础设施工程全流程电子化项目专章》。</w:t>
      </w:r>
    </w:p>
    <w:p w14:paraId="51AC25D7">
      <w:pPr>
        <w:snapToGrid w:val="0"/>
        <w:spacing w:line="360" w:lineRule="auto"/>
        <w:ind w:firstLine="480" w:firstLineChars="200"/>
        <w:rPr>
          <w:rFonts w:ascii="宋体" w:hAnsi="宋体"/>
          <w:sz w:val="24"/>
          <w:szCs w:val="24"/>
          <w:u w:val="single"/>
        </w:rPr>
      </w:pPr>
      <w:r>
        <w:rPr>
          <w:rFonts w:hint="eastAsia" w:ascii="宋体" w:hAnsi="宋体" w:cs="仿宋_GB2312"/>
          <w:sz w:val="24"/>
          <w:szCs w:val="24"/>
        </w:rPr>
        <w:t>6</w:t>
      </w:r>
      <w:r>
        <w:rPr>
          <w:rFonts w:hint="eastAsia" w:ascii="宋体" w:hAnsi="宋体" w:cs="仿宋_GB2312"/>
          <w:sz w:val="24"/>
          <w:szCs w:val="24"/>
          <w:lang w:eastAsia="zh-CN"/>
        </w:rPr>
        <w:t>、</w:t>
      </w:r>
      <w:r>
        <w:rPr>
          <w:rFonts w:hint="eastAsia" w:ascii="宋体" w:hAnsi="宋体" w:cs="仿宋_GB2312"/>
          <w:sz w:val="24"/>
          <w:szCs w:val="24"/>
        </w:rPr>
        <w:t>在投标登记时，投标人应按要求在交易系统中填写《施工项目管理团队人员信息表》（详见附件</w:t>
      </w:r>
      <w:r>
        <w:rPr>
          <w:rFonts w:hint="eastAsia" w:ascii="宋体" w:hAnsi="宋体" w:cs="仿宋_GB2312"/>
          <w:sz w:val="24"/>
          <w:szCs w:val="24"/>
          <w:lang w:val="en-US" w:eastAsia="zh-CN"/>
        </w:rPr>
        <w:t>二</w:t>
      </w:r>
      <w:r>
        <w:rPr>
          <w:rFonts w:hint="eastAsia" w:ascii="宋体" w:hAnsi="宋体" w:cs="仿宋_GB2312"/>
          <w:sz w:val="24"/>
          <w:szCs w:val="24"/>
        </w:rPr>
        <w:t>），表中的项目管理团队人员信息作为投标文件的一部分，将由交易系统提取后供各相关单位在中标人履约时进行比对、查核。</w:t>
      </w:r>
    </w:p>
    <w:p w14:paraId="5FAB485C">
      <w:pPr>
        <w:spacing w:line="360" w:lineRule="auto"/>
        <w:ind w:firstLine="537" w:firstLineChars="224"/>
        <w:rPr>
          <w:rFonts w:ascii="宋体" w:cs="宋体"/>
          <w:kern w:val="0"/>
          <w:sz w:val="24"/>
          <w:szCs w:val="24"/>
        </w:rPr>
      </w:pPr>
      <w:r>
        <w:rPr>
          <w:rFonts w:hint="eastAsia" w:ascii="宋体" w:hAnsi="宋体" w:cs="宋体"/>
          <w:kern w:val="0"/>
          <w:sz w:val="24"/>
          <w:szCs w:val="24"/>
        </w:rPr>
        <w:t>八、招标文件获取方式：</w:t>
      </w:r>
    </w:p>
    <w:p w14:paraId="476009B2">
      <w:pPr>
        <w:spacing w:line="360" w:lineRule="auto"/>
        <w:ind w:firstLine="537" w:firstLineChars="224"/>
        <w:rPr>
          <w:rFonts w:asci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cs="宋体"/>
          <w:sz w:val="24"/>
          <w:szCs w:val="24"/>
          <w:u w:val="single"/>
          <w:lang w:eastAsia="zh-CN"/>
        </w:rPr>
        <w:t>广州交易集团有限公司（广州公共资源交易中心）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ascii="宋体" w:hAnsi="宋体" w:cs="宋体"/>
          <w:sz w:val="24"/>
          <w:szCs w:val="24"/>
          <w:u w:val="single"/>
          <w:lang w:eastAsia="zh-CN"/>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cs="宋体"/>
          <w:sz w:val="24"/>
          <w:szCs w:val="24"/>
          <w:u w:val="single"/>
          <w:lang w:eastAsia="zh-CN"/>
        </w:rPr>
        <w:t>广州交易集团有限公司（广州公共资源交易中心）</w:t>
      </w:r>
      <w:r>
        <w:rPr>
          <w:rFonts w:hint="eastAsia" w:ascii="宋体" w:hAnsi="宋体"/>
          <w:sz w:val="24"/>
          <w:szCs w:val="24"/>
        </w:rPr>
        <w:t>交易平台</w:t>
      </w:r>
      <w:r>
        <w:rPr>
          <w:rFonts w:hint="eastAsia" w:ascii="宋体" w:hAnsi="宋体" w:cs="宋体"/>
          <w:kern w:val="0"/>
          <w:sz w:val="24"/>
          <w:szCs w:val="24"/>
        </w:rPr>
        <w:t>网站下载。</w:t>
      </w:r>
    </w:p>
    <w:p w14:paraId="0BA921C4">
      <w:pPr>
        <w:spacing w:line="360" w:lineRule="auto"/>
        <w:ind w:firstLine="537" w:firstLineChars="224"/>
        <w:rPr>
          <w:rFonts w:ascii="宋体"/>
          <w:sz w:val="24"/>
        </w:rPr>
      </w:pPr>
      <w:r>
        <w:rPr>
          <w:rFonts w:hint="eastAsia" w:ascii="宋体" w:hAnsi="宋体"/>
          <w:sz w:val="24"/>
        </w:rPr>
        <w:t>九、投标人合格条件：</w:t>
      </w:r>
    </w:p>
    <w:p w14:paraId="72F03EC9">
      <w:pPr>
        <w:spacing w:line="360" w:lineRule="auto"/>
        <w:ind w:firstLine="537" w:firstLineChars="224"/>
        <w:rPr>
          <w:rFonts w:ascii="宋体" w:hAnsi="宋体"/>
          <w:sz w:val="24"/>
        </w:rPr>
      </w:pPr>
      <w:r>
        <w:rPr>
          <w:rFonts w:ascii="宋体" w:hAnsi="宋体"/>
          <w:sz w:val="24"/>
        </w:rPr>
        <w:t>1</w:t>
      </w:r>
      <w:r>
        <w:rPr>
          <w:rFonts w:hint="eastAsia" w:ascii="宋体" w:hAnsi="宋体"/>
          <w:sz w:val="24"/>
        </w:rPr>
        <w:t>、投标人参加投标的意思表达清楚，投标人代表被授权有效。</w:t>
      </w:r>
    </w:p>
    <w:p w14:paraId="07D0F567">
      <w:pPr>
        <w:spacing w:line="360" w:lineRule="auto"/>
        <w:ind w:firstLine="537" w:firstLineChars="224"/>
        <w:rPr>
          <w:rFonts w:ascii="宋体" w:hAnsi="宋体"/>
          <w:sz w:val="24"/>
        </w:rPr>
      </w:pPr>
      <w:r>
        <w:rPr>
          <w:rFonts w:hint="eastAsia" w:ascii="宋体" w:hAnsi="宋体"/>
          <w:sz w:val="24"/>
        </w:rPr>
        <w:t>2、投标人均具有独立法人资格，按国家法律经营。</w:t>
      </w:r>
    </w:p>
    <w:p w14:paraId="7C6855EE">
      <w:pPr>
        <w:spacing w:line="360" w:lineRule="auto"/>
        <w:ind w:firstLine="537" w:firstLineChars="224"/>
        <w:rPr>
          <w:rFonts w:ascii="宋体" w:hAnsi="宋体"/>
          <w:sz w:val="24"/>
        </w:rPr>
      </w:pPr>
      <w:r>
        <w:rPr>
          <w:rFonts w:hint="eastAsia" w:ascii="宋体" w:hAnsi="宋体"/>
          <w:sz w:val="24"/>
        </w:rPr>
        <w:t>3、投标人均持有建设行政主管部门颁发的</w:t>
      </w:r>
      <w:r>
        <w:rPr>
          <w:rFonts w:hint="eastAsia" w:ascii="宋体" w:hAnsi="宋体" w:cs="宋体"/>
          <w:sz w:val="24"/>
        </w:rPr>
        <w:t>有效期内的</w:t>
      </w:r>
      <w:r>
        <w:rPr>
          <w:rFonts w:hint="eastAsia" w:ascii="宋体" w:hAnsi="宋体"/>
          <w:sz w:val="24"/>
        </w:rPr>
        <w:t>企业资质证书及安全生产许可证；</w:t>
      </w:r>
    </w:p>
    <w:p w14:paraId="478ECF9B">
      <w:pPr>
        <w:spacing w:line="360" w:lineRule="auto"/>
        <w:ind w:firstLine="537" w:firstLineChars="224"/>
        <w:rPr>
          <w:rFonts w:hint="eastAsia" w:ascii="宋体" w:hAnsi="宋体"/>
          <w:sz w:val="24"/>
        </w:rPr>
      </w:pPr>
      <w:r>
        <w:rPr>
          <w:rFonts w:hint="eastAsia" w:ascii="宋体" w:hAnsi="宋体"/>
          <w:sz w:val="24"/>
        </w:rPr>
        <w:t>4、投标人须具有承接本工程所需的</w:t>
      </w:r>
      <w:r>
        <w:rPr>
          <w:rFonts w:hint="eastAsia" w:ascii="宋体" w:hAnsi="宋体"/>
          <w:sz w:val="24"/>
          <w:u w:val="single"/>
          <w:lang w:val="en-US" w:eastAsia="zh-CN"/>
        </w:rPr>
        <w:t>建筑工程施工总承包一级（或以上）</w:t>
      </w:r>
      <w:r>
        <w:rPr>
          <w:rFonts w:hint="eastAsia" w:ascii="宋体" w:hAnsi="宋体"/>
          <w:sz w:val="24"/>
          <w:lang w:val="en-US" w:eastAsia="zh-CN"/>
        </w:rPr>
        <w:t>资质。</w:t>
      </w:r>
    </w:p>
    <w:p w14:paraId="782E7F99">
      <w:pPr>
        <w:spacing w:line="360" w:lineRule="auto"/>
        <w:ind w:firstLine="537" w:firstLineChars="224"/>
        <w:rPr>
          <w:rFonts w:ascii="宋体" w:hAnsi="宋体"/>
          <w:sz w:val="24"/>
        </w:rPr>
      </w:pPr>
      <w:r>
        <w:rPr>
          <w:rFonts w:hint="eastAsia" w:ascii="宋体" w:hAnsi="宋体"/>
          <w:sz w:val="24"/>
        </w:rPr>
        <w:t>投标人拟担任本工程项目负责人的人员为：</w:t>
      </w:r>
      <w:r>
        <w:rPr>
          <w:rFonts w:hint="eastAsia" w:ascii="宋体" w:hAnsi="宋体"/>
          <w:sz w:val="24"/>
          <w:u w:val="single"/>
        </w:rPr>
        <w:t>建筑工程专业</w:t>
      </w:r>
      <w:r>
        <w:rPr>
          <w:rFonts w:hint="eastAsia" w:ascii="宋体" w:hAnsi="宋体"/>
          <w:sz w:val="24"/>
          <w:u w:val="single"/>
          <w:lang w:val="en-US" w:eastAsia="zh-CN"/>
        </w:rPr>
        <w:t>一</w:t>
      </w:r>
      <w:r>
        <w:rPr>
          <w:rFonts w:hint="eastAsia" w:ascii="宋体" w:hAnsi="宋体"/>
          <w:sz w:val="24"/>
          <w:u w:val="single"/>
        </w:rPr>
        <w:t>级注册建造师</w:t>
      </w:r>
      <w:r>
        <w:rPr>
          <w:rFonts w:hint="eastAsia" w:ascii="宋体" w:hAnsi="宋体"/>
          <w:sz w:val="24"/>
        </w:rPr>
        <w:t>。</w:t>
      </w:r>
    </w:p>
    <w:p w14:paraId="02A50169">
      <w:pPr>
        <w:spacing w:line="360" w:lineRule="auto"/>
        <w:ind w:firstLine="448" w:firstLineChars="224"/>
        <w:rPr>
          <w:rFonts w:hint="eastAsia" w:ascii="宋体" w:hAnsi="宋体" w:cs="宋体"/>
          <w:sz w:val="20"/>
          <w:szCs w:val="18"/>
        </w:rPr>
      </w:pPr>
      <w:r>
        <w:rPr>
          <w:rFonts w:hint="eastAsia" w:ascii="宋体" w:hAnsi="宋体" w:cs="宋体"/>
          <w:sz w:val="20"/>
          <w:szCs w:val="18"/>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1C28190D">
      <w:pPr>
        <w:spacing w:line="360" w:lineRule="auto"/>
        <w:ind w:firstLine="448" w:firstLineChars="224"/>
        <w:rPr>
          <w:rFonts w:hint="eastAsia" w:ascii="宋体" w:hAnsi="宋体" w:cs="宋体"/>
          <w:sz w:val="20"/>
          <w:szCs w:val="18"/>
        </w:rPr>
      </w:pPr>
      <w:r>
        <w:rPr>
          <w:rFonts w:hint="eastAsia" w:ascii="宋体" w:hAnsi="宋体" w:cs="宋体"/>
          <w:sz w:val="20"/>
          <w:szCs w:val="18"/>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p>
    <w:p w14:paraId="021BD91E">
      <w:pPr>
        <w:spacing w:line="360" w:lineRule="auto"/>
        <w:ind w:firstLine="448" w:firstLineChars="224"/>
        <w:rPr>
          <w:rFonts w:hint="eastAsia" w:ascii="宋体" w:hAnsi="宋体" w:cs="宋体"/>
          <w:sz w:val="20"/>
          <w:szCs w:val="18"/>
        </w:rPr>
      </w:pPr>
      <w:r>
        <w:rPr>
          <w:rFonts w:hint="eastAsia" w:ascii="宋体" w:hAnsi="宋体" w:cs="宋体"/>
          <w:sz w:val="20"/>
          <w:szCs w:val="18"/>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A6D01CD">
      <w:pPr>
        <w:spacing w:line="360" w:lineRule="auto"/>
        <w:ind w:firstLine="448" w:firstLineChars="224"/>
        <w:rPr>
          <w:rFonts w:ascii="宋体" w:hAnsi="宋体"/>
          <w:sz w:val="24"/>
        </w:rPr>
      </w:pPr>
      <w:r>
        <w:rPr>
          <w:rFonts w:hint="eastAsia" w:ascii="宋体" w:hAnsi="宋体" w:cs="宋体"/>
          <w:sz w:val="20"/>
          <w:szCs w:val="18"/>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r>
        <w:rPr>
          <w:rFonts w:hint="eastAsia" w:ascii="宋体" w:hAnsi="宋体"/>
          <w:sz w:val="24"/>
        </w:rPr>
        <w:t>5、项目负责人持有安全生产考核合格证（B类）或建筑施工企业项目负责人安全生产考核合格证书；</w:t>
      </w:r>
    </w:p>
    <w:p w14:paraId="681757D6">
      <w:pPr>
        <w:spacing w:line="360" w:lineRule="auto"/>
        <w:ind w:firstLine="537" w:firstLineChars="224"/>
        <w:rPr>
          <w:rFonts w:ascii="宋体" w:hAnsi="宋体"/>
          <w:sz w:val="24"/>
        </w:rPr>
      </w:pPr>
      <w:r>
        <w:rPr>
          <w:rFonts w:hint="eastAsia" w:ascii="宋体" w:hAnsi="宋体"/>
          <w:sz w:val="24"/>
        </w:rPr>
        <w:t>6、投标人拟担任本工程技术负责人的资格要求为：</w:t>
      </w:r>
      <w:r>
        <w:rPr>
          <w:rFonts w:hint="eastAsia" w:ascii="宋体" w:hAnsi="宋体"/>
          <w:sz w:val="24"/>
          <w:u w:val="single"/>
        </w:rPr>
        <w:t>具有</w:t>
      </w:r>
      <w:r>
        <w:rPr>
          <w:rFonts w:hint="eastAsia" w:ascii="宋体" w:hAnsi="宋体"/>
          <w:sz w:val="24"/>
          <w:u w:val="single"/>
          <w:lang w:val="en-US" w:eastAsia="zh-CN"/>
        </w:rPr>
        <w:t>建筑工程</w:t>
      </w:r>
      <w:r>
        <w:rPr>
          <w:rFonts w:hint="eastAsia" w:ascii="宋体" w:hAnsi="宋体"/>
          <w:sz w:val="24"/>
          <w:u w:val="single"/>
        </w:rPr>
        <w:t>类专业</w:t>
      </w:r>
      <w:r>
        <w:rPr>
          <w:rFonts w:hint="eastAsia" w:ascii="宋体" w:hAnsi="宋体"/>
          <w:sz w:val="24"/>
          <w:u w:val="single"/>
          <w:lang w:val="en-US" w:eastAsia="zh-CN"/>
        </w:rPr>
        <w:t>高</w:t>
      </w:r>
      <w:r>
        <w:rPr>
          <w:rFonts w:hint="eastAsia" w:ascii="宋体" w:hAnsi="宋体"/>
          <w:sz w:val="24"/>
          <w:u w:val="single"/>
        </w:rPr>
        <w:t>级工程师</w:t>
      </w:r>
      <w:r>
        <w:rPr>
          <w:rFonts w:hint="eastAsia" w:ascii="宋体" w:hAnsi="宋体"/>
          <w:sz w:val="24"/>
          <w:u w:val="single"/>
          <w:lang w:eastAsia="zh-CN"/>
        </w:rPr>
        <w:t>（</w:t>
      </w:r>
      <w:r>
        <w:rPr>
          <w:rFonts w:hint="eastAsia" w:ascii="宋体" w:hAnsi="宋体"/>
          <w:sz w:val="24"/>
          <w:u w:val="single"/>
        </w:rPr>
        <w:t>或以上</w:t>
      </w:r>
      <w:r>
        <w:rPr>
          <w:rFonts w:hint="eastAsia" w:ascii="宋体" w:hAnsi="宋体"/>
          <w:sz w:val="24"/>
          <w:u w:val="single"/>
          <w:lang w:eastAsia="zh-CN"/>
        </w:rPr>
        <w:t>）</w:t>
      </w:r>
      <w:r>
        <w:rPr>
          <w:rFonts w:hint="eastAsia" w:ascii="宋体" w:hAnsi="宋体"/>
          <w:sz w:val="24"/>
          <w:u w:val="single"/>
        </w:rPr>
        <w:t>职称证书</w:t>
      </w:r>
      <w:r>
        <w:rPr>
          <w:rFonts w:hint="eastAsia" w:ascii="宋体" w:hAnsi="宋体"/>
          <w:sz w:val="24"/>
        </w:rPr>
        <w:t>。</w:t>
      </w:r>
    </w:p>
    <w:p w14:paraId="178AEC07">
      <w:pPr>
        <w:spacing w:line="360" w:lineRule="auto"/>
        <w:ind w:firstLine="400" w:firstLineChars="200"/>
        <w:rPr>
          <w:rFonts w:hint="eastAsia" w:ascii="宋体" w:hAnsi="宋体" w:cs="宋体"/>
          <w:sz w:val="20"/>
          <w:szCs w:val="18"/>
        </w:rPr>
      </w:pPr>
      <w:r>
        <w:rPr>
          <w:rFonts w:hint="eastAsia" w:ascii="宋体" w:hAnsi="宋体" w:cs="宋体"/>
          <w:sz w:val="20"/>
          <w:szCs w:val="18"/>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14:paraId="1657CACB">
      <w:pPr>
        <w:spacing w:line="360" w:lineRule="auto"/>
        <w:ind w:firstLine="537" w:firstLineChars="224"/>
        <w:rPr>
          <w:rFonts w:ascii="宋体" w:hAnsi="宋体"/>
          <w:sz w:val="24"/>
        </w:rPr>
      </w:pPr>
      <w:r>
        <w:rPr>
          <w:rFonts w:hint="eastAsia" w:ascii="宋体" w:hAnsi="宋体"/>
          <w:sz w:val="24"/>
        </w:rPr>
        <w:t>7、投标人拟担任本工程专职安全员须具有安全生产考核合格证（C类）或建筑施工企业专职安全生产管理人员安全生产考核合格证书（C3类）。</w:t>
      </w:r>
    </w:p>
    <w:p w14:paraId="086DC131">
      <w:pPr>
        <w:spacing w:line="360" w:lineRule="auto"/>
        <w:ind w:firstLine="400" w:firstLineChars="200"/>
        <w:rPr>
          <w:rFonts w:ascii="宋体" w:hAnsi="宋体" w:cs="宋体"/>
          <w:sz w:val="20"/>
          <w:szCs w:val="18"/>
        </w:rPr>
      </w:pPr>
      <w:r>
        <w:rPr>
          <w:rFonts w:hint="eastAsia" w:ascii="宋体" w:hAnsi="宋体" w:cs="宋体"/>
          <w:sz w:val="20"/>
          <w:szCs w:val="18"/>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4CFF7A1">
      <w:pPr>
        <w:spacing w:line="360" w:lineRule="auto"/>
        <w:ind w:firstLine="537" w:firstLineChars="224"/>
        <w:rPr>
          <w:rFonts w:ascii="宋体" w:hAnsi="宋体"/>
          <w:sz w:val="24"/>
        </w:rPr>
      </w:pPr>
      <w:r>
        <w:rPr>
          <w:rFonts w:hint="eastAsia" w:ascii="宋体" w:hAnsi="宋体"/>
          <w:sz w:val="24"/>
        </w:rPr>
        <w:t>8、投标人已按照附件一的内容签署盖章的投标人声明。</w:t>
      </w:r>
    </w:p>
    <w:p w14:paraId="1A5BAA00">
      <w:pPr>
        <w:spacing w:line="360" w:lineRule="auto"/>
        <w:ind w:firstLine="537" w:firstLineChars="224"/>
        <w:rPr>
          <w:rFonts w:hint="default" w:ascii="宋体" w:hAnsi="宋体" w:eastAsia="宋体"/>
          <w:sz w:val="20"/>
          <w:szCs w:val="20"/>
          <w:lang w:val="en-US" w:eastAsia="zh-CN"/>
        </w:rPr>
      </w:pPr>
      <w:r>
        <w:rPr>
          <w:rFonts w:hint="eastAsia" w:ascii="宋体" w:hAnsi="宋体"/>
          <w:sz w:val="24"/>
        </w:rPr>
        <w:t>9、</w:t>
      </w:r>
      <w:r>
        <w:rPr>
          <w:rFonts w:hint="eastAsia" w:ascii="宋体" w:hAnsi="宋体"/>
          <w:sz w:val="24"/>
          <w:szCs w:val="24"/>
        </w:rPr>
        <w:t>关于联合体投标：</w:t>
      </w:r>
      <w:r>
        <w:rPr>
          <w:rFonts w:hint="eastAsia" w:ascii="宋体" w:hAnsi="宋体"/>
          <w:sz w:val="24"/>
          <w:szCs w:val="24"/>
          <w:lang w:val="en-US" w:eastAsia="zh-CN"/>
        </w:rPr>
        <w:t>本项目不接受联合体投标。</w:t>
      </w:r>
    </w:p>
    <w:p w14:paraId="310CBE12">
      <w:pPr>
        <w:spacing w:line="360" w:lineRule="auto"/>
        <w:ind w:firstLine="537" w:firstLineChars="224"/>
        <w:rPr>
          <w:rFonts w:ascii="宋体" w:hAnsi="宋体"/>
          <w:sz w:val="24"/>
        </w:rPr>
      </w:pPr>
      <w:r>
        <w:rPr>
          <w:rFonts w:hint="eastAsia" w:ascii="宋体" w:hAnsi="宋体"/>
          <w:sz w:val="24"/>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26005DE3">
      <w:pPr>
        <w:spacing w:line="360" w:lineRule="auto"/>
        <w:ind w:firstLine="537" w:firstLineChars="224"/>
        <w:rPr>
          <w:rFonts w:ascii="宋体" w:hAnsi="宋体"/>
          <w:sz w:val="24"/>
        </w:rPr>
      </w:pPr>
      <w:r>
        <w:rPr>
          <w:rFonts w:hint="eastAsia" w:ascii="宋体" w:hAnsi="宋体"/>
          <w:sz w:val="24"/>
        </w:rPr>
        <w:t>http://zfcj.gz.gov.cn/zwgk/zsdwxxgkzl/gzsjzyglfwzx/bszy/content/post_8484886.html）</w:t>
      </w:r>
    </w:p>
    <w:p w14:paraId="23067C4B">
      <w:pPr>
        <w:spacing w:line="360" w:lineRule="auto"/>
        <w:ind w:firstLine="537" w:firstLineChars="224"/>
        <w:rPr>
          <w:rFonts w:ascii="宋体" w:hAnsi="宋体"/>
          <w:sz w:val="24"/>
        </w:rPr>
      </w:pPr>
      <w:r>
        <w:rPr>
          <w:rFonts w:hint="eastAsia" w:ascii="宋体" w:hAnsi="宋体"/>
          <w:sz w:val="24"/>
        </w:rPr>
        <w:t>11、投标人未出现以下情形：与其它投标人的单位负责人为同一人或者存在控股、管理关系的（按投标人提供的《投标人声明》第</w:t>
      </w:r>
      <w:r>
        <w:rPr>
          <w:rFonts w:hint="eastAsia" w:ascii="宋体" w:hAnsi="宋体"/>
          <w:sz w:val="24"/>
          <w:lang w:val="en-US" w:eastAsia="zh-CN"/>
        </w:rPr>
        <w:t>九</w:t>
      </w:r>
      <w:r>
        <w:rPr>
          <w:rFonts w:hint="eastAsia" w:ascii="宋体" w:hAnsi="宋体"/>
          <w:sz w:val="24"/>
        </w:rPr>
        <w:t>条内容进行评审）。如不同投标申请人出现单位负责人为同一人或者存在控股、管理关系的情形，则视为无效投标。</w:t>
      </w:r>
    </w:p>
    <w:p w14:paraId="0026FE48">
      <w:pPr>
        <w:pStyle w:val="18"/>
        <w:tabs>
          <w:tab w:val="left" w:pos="7380"/>
        </w:tabs>
        <w:spacing w:after="0" w:line="360" w:lineRule="auto"/>
        <w:ind w:firstLine="480" w:firstLineChars="200"/>
        <w:rPr>
          <w:rFonts w:hint="eastAsia" w:ascii="宋体" w:hAnsi="宋体" w:cs="宋体"/>
          <w:sz w:val="24"/>
          <w:szCs w:val="24"/>
        </w:rPr>
      </w:pPr>
      <w:r>
        <w:rPr>
          <w:rFonts w:hint="eastAsia" w:ascii="宋体" w:hAnsi="宋体" w:cs="宋体"/>
          <w:sz w:val="24"/>
          <w:szCs w:val="24"/>
        </w:rPr>
        <w:t>12、未被列入拖欠农民工工资失信联合惩戒对象名单和失信被执行人。</w:t>
      </w:r>
    </w:p>
    <w:p w14:paraId="58C0B03F">
      <w:pPr>
        <w:pStyle w:val="18"/>
        <w:tabs>
          <w:tab w:val="left" w:pos="7380"/>
        </w:tabs>
        <w:spacing w:after="0" w:line="360" w:lineRule="auto"/>
        <w:ind w:firstLine="480" w:firstLineChars="200"/>
        <w:rPr>
          <w:rFonts w:ascii="宋体"/>
          <w:sz w:val="24"/>
        </w:rPr>
      </w:pPr>
      <w:r>
        <w:rPr>
          <w:rFonts w:hint="eastAsia" w:ascii="宋体" w:hAnsi="宋体"/>
          <w:sz w:val="24"/>
        </w:rPr>
        <w:t>注：未在招标公告第九条单列的资审合格条件，不作为资审不合格的依据。</w:t>
      </w:r>
    </w:p>
    <w:p w14:paraId="1BB221E9">
      <w:pPr>
        <w:snapToGrid w:val="0"/>
        <w:spacing w:line="360" w:lineRule="auto"/>
        <w:ind w:firstLine="480" w:firstLineChars="200"/>
        <w:rPr>
          <w:rFonts w:ascii="宋体" w:cs="宋体"/>
          <w:sz w:val="24"/>
          <w:szCs w:val="24"/>
        </w:rPr>
      </w:pPr>
      <w:r>
        <w:rPr>
          <w:rFonts w:hint="eastAsia" w:ascii="宋体" w:hAnsi="宋体" w:cs="宋体"/>
          <w:sz w:val="24"/>
          <w:szCs w:val="24"/>
        </w:rPr>
        <w:t>十、资格审查方式：</w:t>
      </w:r>
    </w:p>
    <w:p w14:paraId="24528997">
      <w:pPr>
        <w:widowControl/>
        <w:snapToGrid w:val="0"/>
        <w:spacing w:line="36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14:paraId="00D3C891">
      <w:pPr>
        <w:snapToGrid w:val="0"/>
        <w:spacing w:line="360" w:lineRule="auto"/>
        <w:ind w:firstLine="480" w:firstLineChars="200"/>
        <w:rPr>
          <w:rFonts w:ascii="宋体" w:hAnsi="宋体"/>
          <w:sz w:val="24"/>
        </w:rPr>
      </w:pPr>
      <w:r>
        <w:rPr>
          <w:rFonts w:hint="eastAsia" w:ascii="宋体" w:hAnsi="宋体"/>
          <w:sz w:val="24"/>
        </w:rPr>
        <w:t>十一、资格审查结果将在</w:t>
      </w:r>
      <w:r>
        <w:rPr>
          <w:rFonts w:hint="eastAsia"/>
          <w:sz w:val="24"/>
          <w:szCs w:val="24"/>
          <w:u w:val="single"/>
          <w:lang w:eastAsia="zh-CN"/>
        </w:rPr>
        <w:t>广州交易集团有限公司（广州公共资源交易中心）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14:paraId="06C825C9">
      <w:pPr>
        <w:spacing w:line="360" w:lineRule="auto"/>
        <w:ind w:firstLine="537" w:firstLineChars="224"/>
        <w:rPr>
          <w:rFonts w:hint="eastAsia" w:ascii="宋体" w:hAnsi="宋体" w:eastAsia="宋体" w:cs="Times New Roman"/>
          <w:sz w:val="24"/>
        </w:rPr>
      </w:pPr>
      <w:r>
        <w:rPr>
          <w:rFonts w:hint="eastAsia" w:ascii="宋体" w:hAnsi="宋体" w:eastAsia="宋体" w:cs="Times New Roman"/>
          <w:sz w:val="24"/>
        </w:rPr>
        <w:t>十二、满足资格审查合格条件的投标人不足 3 名或通过有效性审查的投标人不足3名时为招标失败。招标人分析招标失败原因，修正招标方案，报有关管理部门核准后，重新组织招标。</w:t>
      </w:r>
    </w:p>
    <w:p w14:paraId="4D9A46AE">
      <w:pPr>
        <w:spacing w:line="360" w:lineRule="auto"/>
        <w:ind w:firstLine="537" w:firstLineChars="224"/>
        <w:rPr>
          <w:rFonts w:hint="eastAsia" w:ascii="宋体" w:hAnsi="宋体" w:eastAsia="宋体" w:cs="Times New Roman"/>
          <w:sz w:val="24"/>
        </w:rPr>
      </w:pPr>
      <w:r>
        <w:rPr>
          <w:rFonts w:hint="eastAsia" w:ascii="宋体" w:hAnsi="宋体" w:eastAsia="宋体" w:cs="Times New Roman"/>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53812C9">
      <w:pPr>
        <w:spacing w:line="360" w:lineRule="auto"/>
        <w:ind w:firstLine="537" w:firstLineChars="224"/>
        <w:rPr>
          <w:rFonts w:hint="eastAsia" w:ascii="宋体" w:hAnsi="宋体" w:eastAsia="宋体" w:cs="Times New Roman"/>
          <w:sz w:val="24"/>
        </w:rPr>
      </w:pPr>
      <w:r>
        <w:rPr>
          <w:rFonts w:hint="eastAsia" w:ascii="宋体" w:hAnsi="宋体" w:eastAsia="宋体" w:cs="Times New Roman"/>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229B52CB">
      <w:pPr>
        <w:spacing w:line="360" w:lineRule="auto"/>
        <w:ind w:firstLine="537" w:firstLineChars="224"/>
        <w:rPr>
          <w:rFonts w:ascii="宋体" w:hAnsi="宋体"/>
          <w:sz w:val="24"/>
        </w:rPr>
      </w:pPr>
      <w:r>
        <w:rPr>
          <w:rFonts w:hint="eastAsia" w:ascii="宋体" w:hAnsi="宋体"/>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2195888A">
      <w:pPr>
        <w:spacing w:line="360" w:lineRule="auto"/>
        <w:ind w:firstLine="480" w:firstLineChars="200"/>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14:paraId="3553CB92">
      <w:pPr>
        <w:spacing w:line="360" w:lineRule="auto"/>
        <w:ind w:firstLine="480" w:firstLineChars="200"/>
        <w:rPr>
          <w:rFonts w:hint="eastAsia" w:ascii="宋体" w:eastAsia="宋体"/>
          <w:sz w:val="24"/>
          <w:u w:val="single"/>
          <w:lang w:eastAsia="zh-CN"/>
        </w:rPr>
      </w:pPr>
      <w:r>
        <w:rPr>
          <w:rFonts w:hint="eastAsia" w:ascii="宋体" w:hAnsi="宋体"/>
          <w:sz w:val="24"/>
        </w:rPr>
        <w:t>异议受理部门：</w:t>
      </w:r>
      <w:r>
        <w:rPr>
          <w:rFonts w:hint="eastAsia" w:ascii="宋体" w:hAnsi="宋体"/>
          <w:sz w:val="24"/>
          <w:u w:val="single"/>
          <w:lang w:eastAsia="zh-CN"/>
        </w:rPr>
        <w:t>南方医科大学皮肤病医院（广东省皮肤病医院、广东省皮肤性病防治中心、中国麻风防治研究中心）</w:t>
      </w:r>
    </w:p>
    <w:p w14:paraId="4AB6A2FA">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异议受理电话：</w:t>
      </w:r>
      <w:r>
        <w:rPr>
          <w:rFonts w:hint="eastAsia" w:ascii="宋体" w:hAnsi="宋体"/>
          <w:color w:val="auto"/>
          <w:sz w:val="24"/>
          <w:szCs w:val="24"/>
          <w:u w:val="single"/>
        </w:rPr>
        <w:t>020-</w:t>
      </w:r>
      <w:r>
        <w:rPr>
          <w:rFonts w:hint="eastAsia" w:ascii="宋体" w:hAnsi="宋体"/>
          <w:color w:val="auto"/>
          <w:sz w:val="24"/>
          <w:szCs w:val="24"/>
          <w:u w:val="single"/>
          <w:lang w:val="en-US" w:eastAsia="zh-CN"/>
        </w:rPr>
        <w:t>83224972</w:t>
      </w:r>
    </w:p>
    <w:p w14:paraId="34ED4112">
      <w:pPr>
        <w:spacing w:line="360" w:lineRule="auto"/>
        <w:ind w:firstLine="480" w:firstLineChars="200"/>
        <w:rPr>
          <w:rFonts w:hint="eastAsia" w:ascii="宋体" w:hAnsi="宋体" w:eastAsia="宋体"/>
          <w:sz w:val="24"/>
          <w:szCs w:val="24"/>
          <w:u w:val="single"/>
          <w:lang w:eastAsia="zh-CN"/>
        </w:rPr>
      </w:pPr>
      <w:r>
        <w:rPr>
          <w:rFonts w:hint="eastAsia" w:ascii="宋体" w:hAnsi="宋体"/>
          <w:sz w:val="24"/>
          <w:szCs w:val="24"/>
        </w:rPr>
        <w:t>地址：</w:t>
      </w:r>
      <w:r>
        <w:rPr>
          <w:rFonts w:hint="eastAsia" w:ascii="宋体" w:hAnsi="宋体"/>
          <w:sz w:val="24"/>
          <w:szCs w:val="24"/>
          <w:u w:val="single"/>
          <w:lang w:eastAsia="zh-CN"/>
        </w:rPr>
        <w:t>广州市越秀区麓景路2号</w:t>
      </w:r>
    </w:p>
    <w:p w14:paraId="2E7F36C4">
      <w:pPr>
        <w:spacing w:line="360" w:lineRule="auto"/>
        <w:ind w:firstLine="480" w:firstLineChars="200"/>
        <w:rPr>
          <w:rFonts w:ascii="宋体" w:hAnsi="宋体"/>
          <w:sz w:val="24"/>
          <w:u w:val="single"/>
        </w:rPr>
      </w:pPr>
      <w:r>
        <w:rPr>
          <w:rFonts w:hint="eastAsia" w:ascii="宋体" w:hAnsi="宋体"/>
          <w:sz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75546DB">
      <w:pPr>
        <w:spacing w:line="360" w:lineRule="auto"/>
        <w:ind w:firstLine="480" w:firstLineChars="200"/>
        <w:rPr>
          <w:rFonts w:ascii="宋体" w:hAnsi="宋体"/>
          <w:sz w:val="24"/>
        </w:rPr>
      </w:pPr>
      <w:r>
        <w:rPr>
          <w:rFonts w:hint="eastAsia" w:ascii="宋体" w:hAnsi="宋体"/>
          <w:sz w:val="24"/>
        </w:rPr>
        <w:t>十六、本公告在</w:t>
      </w:r>
      <w:r>
        <w:rPr>
          <w:rFonts w:hint="eastAsia" w:ascii="宋体" w:hAnsi="宋体"/>
          <w:sz w:val="24"/>
          <w:lang w:eastAsia="zh-CN"/>
        </w:rPr>
        <w:t>广州交易集团有限公司（广州公共资源交易中心</w:t>
      </w:r>
      <w:r>
        <w:rPr>
          <w:rFonts w:hint="eastAsia" w:ascii="宋体" w:hAnsi="宋体"/>
          <w:sz w:val="24"/>
        </w:rPr>
        <w:t>）官网（网址：http://www.gzggzy.cn）、广东省招标投标监管网（网址：https://zbtb.gd.gov.cn/）和中国招标投标公共服务平台（网址：</w:t>
      </w:r>
      <w:r>
        <w:fldChar w:fldCharType="begin"/>
      </w:r>
      <w:r>
        <w:instrText xml:space="preserve"> HYPERLINK "http://www.cebpubservice.com/）发布，本公告的修改、补充，在广州交易集团有限公司（广州公共资源交易中心）官网发布。" </w:instrText>
      </w:r>
      <w:r>
        <w:fldChar w:fldCharType="separate"/>
      </w:r>
      <w:r>
        <w:rPr>
          <w:rStyle w:val="26"/>
          <w:rFonts w:hint="eastAsia" w:ascii="宋体" w:hAnsi="宋体"/>
          <w:sz w:val="24"/>
        </w:rPr>
        <w:t>http://www.cebpubservice.com/）发布，本公告的修改、补充，在广州交易集团有限公司（</w:t>
      </w:r>
      <w:r>
        <w:rPr>
          <w:rStyle w:val="26"/>
          <w:rFonts w:hint="eastAsia" w:ascii="宋体" w:hAnsi="宋体"/>
          <w:sz w:val="24"/>
          <w:lang w:eastAsia="zh-CN"/>
        </w:rPr>
        <w:t>广州公共资源交易中心</w:t>
      </w:r>
      <w:r>
        <w:rPr>
          <w:rStyle w:val="26"/>
          <w:rFonts w:hint="eastAsia" w:ascii="宋体" w:hAnsi="宋体"/>
          <w:sz w:val="24"/>
        </w:rPr>
        <w:t>）官网发布。</w:t>
      </w:r>
      <w:r>
        <w:rPr>
          <w:rStyle w:val="26"/>
          <w:rFonts w:hint="eastAsia" w:ascii="宋体" w:hAnsi="宋体"/>
          <w:sz w:val="24"/>
        </w:rPr>
        <w:fldChar w:fldCharType="end"/>
      </w:r>
    </w:p>
    <w:p w14:paraId="10F9F037">
      <w:pPr>
        <w:spacing w:line="360"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14:paraId="00EE439A">
      <w:pPr>
        <w:spacing w:line="360" w:lineRule="auto"/>
        <w:ind w:firstLine="537" w:firstLineChars="224"/>
        <w:rPr>
          <w:rFonts w:ascii="宋体" w:hAns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3134C9AA">
      <w:pPr>
        <w:spacing w:line="360" w:lineRule="auto"/>
        <w:ind w:firstLine="537" w:firstLineChars="224"/>
        <w:rPr>
          <w:rFonts w:ascii="宋体"/>
          <w:sz w:val="24"/>
        </w:rPr>
      </w:pPr>
      <w:r>
        <w:rPr>
          <w:rFonts w:hint="eastAsia" w:ascii="宋体"/>
          <w:sz w:val="24"/>
        </w:rPr>
        <w:t>十九、《投诉处理决定书》和《行政处理决定书》在</w:t>
      </w:r>
      <w:r>
        <w:rPr>
          <w:rFonts w:hint="eastAsia" w:ascii="宋体" w:hAnsi="宋体"/>
          <w:sz w:val="24"/>
        </w:rPr>
        <w:t>广州市住房和城乡建设局</w:t>
      </w:r>
      <w:r>
        <w:rPr>
          <w:rFonts w:hint="eastAsia" w:ascii="宋体"/>
          <w:sz w:val="24"/>
        </w:rPr>
        <w:t>网站上公布的，视为送达其他与决定书有关的当事人。</w:t>
      </w:r>
    </w:p>
    <w:p w14:paraId="58EB214B">
      <w:pPr>
        <w:spacing w:line="360" w:lineRule="auto"/>
        <w:ind w:firstLine="537" w:firstLineChars="224"/>
        <w:rPr>
          <w:rFonts w:ascii="宋体"/>
          <w:sz w:val="24"/>
        </w:rPr>
      </w:pPr>
      <w:r>
        <w:rPr>
          <w:rFonts w:hint="eastAsia" w:ascii="宋体"/>
          <w:sz w:val="24"/>
        </w:rPr>
        <w:t>特别提示：投标人在本项目招标人的工程项目中存在下列行为的，将被拒绝</w:t>
      </w:r>
      <w:r>
        <w:rPr>
          <w:rFonts w:hint="eastAsia" w:ascii="宋体"/>
          <w:sz w:val="24"/>
          <w:u w:val="single"/>
          <w:lang w:val="en-US" w:eastAsia="zh-CN"/>
        </w:rPr>
        <w:t>2年</w:t>
      </w:r>
      <w:r>
        <w:rPr>
          <w:rFonts w:hint="eastAsia" w:ascii="宋体"/>
          <w:sz w:val="24"/>
        </w:rPr>
        <w:t>内参与招标人后续工程投标。（</w:t>
      </w:r>
      <w:r>
        <w:rPr>
          <w:rFonts w:hint="eastAsia" w:ascii="宋体"/>
          <w:color w:val="auto"/>
          <w:sz w:val="24"/>
          <w:highlight w:val="none"/>
          <w:u w:val="single"/>
        </w:rPr>
        <w:t>注：拒绝投标时限自招标人发出通知之日起计</w:t>
      </w:r>
      <w:r>
        <w:rPr>
          <w:rFonts w:hint="eastAsia" w:ascii="宋体"/>
          <w:sz w:val="24"/>
        </w:rPr>
        <w:t>）</w:t>
      </w:r>
    </w:p>
    <w:p w14:paraId="2AEABDC7">
      <w:pPr>
        <w:spacing w:line="360" w:lineRule="auto"/>
        <w:ind w:firstLine="537" w:firstLineChars="224"/>
        <w:rPr>
          <w:rFonts w:hint="eastAsia" w:ascii="宋体" w:eastAsia="宋体"/>
          <w:sz w:val="24"/>
          <w:lang w:eastAsia="zh-CN"/>
        </w:rPr>
      </w:pPr>
      <w:r>
        <w:rPr>
          <w:rFonts w:hint="eastAsia" w:ascii="宋体"/>
          <w:sz w:val="24"/>
        </w:rPr>
        <w:t>1.将中标工程转包或者违法分包的</w:t>
      </w:r>
      <w:r>
        <w:rPr>
          <w:rFonts w:hint="eastAsia" w:ascii="宋体"/>
          <w:sz w:val="24"/>
          <w:lang w:eastAsia="zh-CN"/>
        </w:rPr>
        <w:t>；</w:t>
      </w:r>
    </w:p>
    <w:p w14:paraId="14F25AE0">
      <w:pPr>
        <w:spacing w:line="360" w:lineRule="auto"/>
        <w:ind w:firstLine="537" w:firstLineChars="224"/>
        <w:rPr>
          <w:rFonts w:ascii="宋体"/>
          <w:sz w:val="24"/>
        </w:rPr>
      </w:pPr>
      <w:r>
        <w:rPr>
          <w:rFonts w:hint="eastAsia" w:ascii="宋体"/>
          <w:sz w:val="24"/>
        </w:rPr>
        <w:t>2.在中标工程中不执行质量、安全生产相关规定的，造成质量或安全事故的；</w:t>
      </w:r>
    </w:p>
    <w:p w14:paraId="723EFC92">
      <w:pPr>
        <w:spacing w:line="360" w:lineRule="auto"/>
        <w:ind w:firstLine="537" w:firstLineChars="224"/>
        <w:rPr>
          <w:rFonts w:ascii="宋体"/>
          <w:sz w:val="24"/>
        </w:rPr>
      </w:pPr>
      <w:r>
        <w:rPr>
          <w:rFonts w:hint="eastAsia" w:ascii="宋体"/>
          <w:sz w:val="24"/>
        </w:rPr>
        <w:t>3.出让投标资格的；</w:t>
      </w:r>
    </w:p>
    <w:p w14:paraId="2F2E5203">
      <w:pPr>
        <w:spacing w:line="360" w:lineRule="auto"/>
        <w:ind w:firstLine="537" w:firstLineChars="224"/>
        <w:rPr>
          <w:rFonts w:ascii="宋体"/>
          <w:sz w:val="24"/>
        </w:rPr>
      </w:pPr>
      <w:r>
        <w:rPr>
          <w:rFonts w:hint="eastAsia" w:ascii="宋体"/>
          <w:sz w:val="24"/>
        </w:rPr>
        <w:t>4.存在围标或串标情形的；</w:t>
      </w:r>
    </w:p>
    <w:p w14:paraId="10F8D394">
      <w:pPr>
        <w:spacing w:line="360" w:lineRule="auto"/>
        <w:ind w:firstLine="537" w:firstLineChars="224"/>
        <w:rPr>
          <w:rFonts w:ascii="宋体"/>
          <w:sz w:val="24"/>
        </w:rPr>
      </w:pPr>
      <w:r>
        <w:rPr>
          <w:rFonts w:hint="eastAsia" w:ascii="宋体"/>
          <w:sz w:val="24"/>
        </w:rPr>
        <w:t>5.在投标文件中提供虚假材料的；</w:t>
      </w:r>
    </w:p>
    <w:p w14:paraId="56FFA51D">
      <w:pPr>
        <w:spacing w:line="360" w:lineRule="auto"/>
        <w:ind w:firstLine="537" w:firstLineChars="224"/>
        <w:rPr>
          <w:rFonts w:ascii="宋体"/>
          <w:sz w:val="24"/>
        </w:rPr>
      </w:pPr>
      <w:r>
        <w:rPr>
          <w:rFonts w:hint="eastAsia" w:ascii="宋体"/>
          <w:sz w:val="24"/>
        </w:rPr>
        <w:t>6.存在少放、不放业绩、奖项等客观评审资料，减少自身竞争力情形的；</w:t>
      </w:r>
    </w:p>
    <w:p w14:paraId="06D2830F">
      <w:pPr>
        <w:spacing w:line="360" w:lineRule="auto"/>
        <w:ind w:firstLine="537" w:firstLineChars="224"/>
        <w:rPr>
          <w:rFonts w:hint="eastAsia" w:ascii="宋体" w:eastAsia="宋体" w:cs="Times New Roman"/>
          <w:sz w:val="24"/>
        </w:rPr>
      </w:pPr>
      <w:r>
        <w:rPr>
          <w:rFonts w:hint="eastAsia" w:ascii="宋体" w:eastAsia="宋体" w:cs="Times New Roman"/>
          <w:sz w:val="24"/>
        </w:rPr>
        <w:t>7.存在行贿情形的；</w:t>
      </w:r>
    </w:p>
    <w:p w14:paraId="264AC81C">
      <w:pPr>
        <w:spacing w:line="360" w:lineRule="auto"/>
        <w:ind w:firstLine="537" w:firstLineChars="224"/>
        <w:rPr>
          <w:rFonts w:hint="eastAsia" w:ascii="宋体" w:eastAsia="宋体" w:cs="Times New Roman"/>
          <w:sz w:val="24"/>
        </w:rPr>
      </w:pPr>
      <w:r>
        <w:rPr>
          <w:rFonts w:hint="eastAsia" w:ascii="宋体" w:eastAsia="宋体" w:cs="Times New Roman"/>
          <w:sz w:val="24"/>
        </w:rPr>
        <w:t>8.拖欠农民工工资的；</w:t>
      </w:r>
    </w:p>
    <w:p w14:paraId="62417842">
      <w:pPr>
        <w:spacing w:line="360" w:lineRule="auto"/>
        <w:ind w:firstLine="537" w:firstLineChars="224"/>
        <w:rPr>
          <w:rFonts w:hint="eastAsia" w:ascii="宋体" w:eastAsia="宋体" w:cs="Times New Roman"/>
          <w:sz w:val="24"/>
          <w:lang w:eastAsia="zh-CN"/>
        </w:rPr>
      </w:pPr>
      <w:r>
        <w:rPr>
          <w:rFonts w:hint="eastAsia" w:ascii="宋体" w:eastAsia="宋体" w:cs="Times New Roman"/>
          <w:sz w:val="24"/>
        </w:rPr>
        <w:t>9.未按照国家、省、市有关建筑施工实名制管理和工人工资支付分账管理的规定执行，被行政监管部门处罚的</w:t>
      </w:r>
      <w:r>
        <w:rPr>
          <w:rFonts w:hint="eastAsia" w:ascii="宋体" w:eastAsia="宋体" w:cs="Times New Roman"/>
          <w:sz w:val="24"/>
          <w:lang w:eastAsia="zh-CN"/>
        </w:rPr>
        <w:t>；</w:t>
      </w:r>
    </w:p>
    <w:p w14:paraId="09AF3E05">
      <w:pPr>
        <w:spacing w:line="360" w:lineRule="auto"/>
        <w:ind w:firstLine="537" w:firstLineChars="224"/>
        <w:rPr>
          <w:rFonts w:hint="eastAsia" w:ascii="宋体" w:eastAsia="宋体" w:cs="Times New Roman"/>
          <w:sz w:val="24"/>
          <w:lang w:eastAsia="zh-CN"/>
        </w:rPr>
      </w:pPr>
      <w:r>
        <w:rPr>
          <w:rFonts w:hint="eastAsia" w:ascii="宋体" w:eastAsia="宋体" w:cs="Times New Roman"/>
          <w:sz w:val="24"/>
          <w:lang w:eastAsia="zh-CN"/>
        </w:rPr>
        <w:t>10.本项目投标时拟派的专职安全员在其他项目中有任职且在本项目开工前未完成更换确保专职安全员只在本项目上任职的。</w:t>
      </w:r>
    </w:p>
    <w:p w14:paraId="05A8C7FE">
      <w:pPr>
        <w:spacing w:line="360" w:lineRule="auto"/>
        <w:ind w:right="1348" w:rightChars="642"/>
        <w:jc w:val="right"/>
        <w:rPr>
          <w:rFonts w:hint="eastAsia" w:ascii="宋体" w:hAnsi="宋体"/>
          <w:sz w:val="24"/>
          <w:lang w:eastAsia="zh-CN"/>
        </w:rPr>
      </w:pPr>
    </w:p>
    <w:p w14:paraId="72FF6B37">
      <w:pPr>
        <w:spacing w:line="240" w:lineRule="auto"/>
        <w:rPr>
          <w:rFonts w:hint="eastAsia" w:ascii="宋体" w:hAnsi="宋体" w:eastAsia="宋体"/>
          <w:sz w:val="24"/>
          <w:lang w:val="en-US" w:eastAsia="zh-CN"/>
        </w:rPr>
      </w:pPr>
      <w:r>
        <w:rPr>
          <w:rFonts w:hint="eastAsia" w:ascii="宋体" w:hAnsi="宋体"/>
          <w:sz w:val="24"/>
        </w:rPr>
        <w:br w:type="page"/>
      </w:r>
    </w:p>
    <w:p w14:paraId="2042D419">
      <w:pPr>
        <w:spacing w:line="360" w:lineRule="auto"/>
        <w:rPr>
          <w:b/>
          <w:sz w:val="44"/>
        </w:rPr>
      </w:pPr>
      <w:r>
        <w:rPr>
          <w:rFonts w:hint="eastAsia" w:ascii="宋体" w:hAnsi="宋体"/>
          <w:sz w:val="24"/>
        </w:rPr>
        <w:t>附件一：</w:t>
      </w:r>
    </w:p>
    <w:p w14:paraId="7648DFEB">
      <w:pPr>
        <w:spacing w:line="360" w:lineRule="auto"/>
        <w:jc w:val="center"/>
        <w:rPr>
          <w:b/>
          <w:kern w:val="0"/>
          <w:sz w:val="32"/>
          <w:szCs w:val="32"/>
        </w:rPr>
      </w:pPr>
      <w:r>
        <w:rPr>
          <w:rFonts w:hint="eastAsia"/>
          <w:b/>
          <w:kern w:val="0"/>
          <w:sz w:val="32"/>
          <w:szCs w:val="32"/>
        </w:rPr>
        <w:t>投标人声明</w:t>
      </w:r>
    </w:p>
    <w:p w14:paraId="5382254E">
      <w:pPr>
        <w:pStyle w:val="36"/>
        <w:ind w:firstLine="0"/>
        <w:rPr>
          <w:rFonts w:ascii="宋体" w:hAnsi="宋体" w:eastAsia="宋体"/>
          <w:color w:val="auto"/>
          <w:sz w:val="21"/>
          <w:szCs w:val="21"/>
        </w:rPr>
      </w:pPr>
    </w:p>
    <w:p w14:paraId="2D69CE5C">
      <w:pPr>
        <w:pStyle w:val="36"/>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14:paraId="72340F14">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14:paraId="0FC16D60">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14:paraId="6648FBF2">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AAF6682">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14:paraId="31293687">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（一）为招标人不具有独立法人资格的附属机构（单位）；</w:t>
      </w:r>
    </w:p>
    <w:p w14:paraId="033AC396">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（二）为本标段前期准备提供设计或咨询服务或者与本项目设计人或提供咨询服务的机构存在附属关系的；</w:t>
      </w:r>
    </w:p>
    <w:p w14:paraId="2BD4974C">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（三）为本标段监理人或者与本标段监理人存在隶属关系或者其他利害关系；</w:t>
      </w:r>
    </w:p>
    <w:p w14:paraId="3B1D1784">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（四）为本标段的代建人；</w:t>
      </w:r>
    </w:p>
    <w:p w14:paraId="21B3A4A5">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（五）为本标段提供招标代理服务的；</w:t>
      </w:r>
    </w:p>
    <w:p w14:paraId="24A40148">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（六）与本标段的监理人或代建人或招标代理机构同为一个法定代表人的；</w:t>
      </w:r>
    </w:p>
    <w:p w14:paraId="70684980">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（七）与本标段的监理人或代建人或招标代理机构互相控股或参股的；</w:t>
      </w:r>
    </w:p>
    <w:p w14:paraId="4B362C5D">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（八）与本标段的监理人或代建人或招标代理机构相互任职或工作的；</w:t>
      </w:r>
    </w:p>
    <w:p w14:paraId="6AFBD91C">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（九）与本标段的检测机构有隶属关系或者其他利害关系；</w:t>
      </w:r>
    </w:p>
    <w:p w14:paraId="305C8939">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 xml:space="preserve">（十）与招标人存在利害关系且可能影响招标公正性； </w:t>
      </w:r>
    </w:p>
    <w:p w14:paraId="538519C0">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（十一）被依法暂停或取消投标资格的；（</w:t>
      </w:r>
      <w:r>
        <w:rPr>
          <w:rFonts w:hint="eastAsia" w:hAnsi="宋体" w:cs="宋体"/>
          <w:bCs/>
          <w:color w:val="000000"/>
          <w:kern w:val="0"/>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000000"/>
          <w:kern w:val="0"/>
          <w:szCs w:val="21"/>
        </w:rPr>
        <w:t xml:space="preserve">） </w:t>
      </w:r>
    </w:p>
    <w:p w14:paraId="70FE3DA4">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（十二）被责令停产停业、暂扣或者吊销许可证、暂扣或者吊销执照的（</w:t>
      </w:r>
      <w:r>
        <w:rPr>
          <w:rFonts w:hint="eastAsia" w:hAnsi="宋体" w:cs="宋体"/>
          <w:bCs/>
          <w:color w:val="000000"/>
          <w:kern w:val="0"/>
          <w:szCs w:val="21"/>
          <w:lang w:val="zh-CN"/>
        </w:rPr>
        <w:t>本项事实应当以根据《中华人民共和国行政处罚法》依法作出并已经生效的行政处罚决定为认定依据。</w:t>
      </w:r>
      <w:r>
        <w:rPr>
          <w:rFonts w:hint="eastAsia" w:hAnsi="宋体" w:cs="宋体"/>
          <w:bCs/>
          <w:color w:val="000000"/>
          <w:kern w:val="0"/>
          <w:szCs w:val="21"/>
        </w:rPr>
        <w:t>）；</w:t>
      </w:r>
    </w:p>
    <w:p w14:paraId="0C72E1F9">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（十三）进入清算程序，或被宣布破产，或其他丧失履约能力的情形；</w:t>
      </w:r>
    </w:p>
    <w:p w14:paraId="3C07A28D">
      <w:pPr>
        <w:pStyle w:val="10"/>
        <w:spacing w:line="360" w:lineRule="auto"/>
        <w:ind w:firstLine="420" w:firstLineChars="200"/>
        <w:rPr>
          <w:rFonts w:hAnsi="宋体" w:cs="宋体"/>
          <w:bCs/>
          <w:color w:val="000000"/>
          <w:kern w:val="0"/>
          <w:szCs w:val="21"/>
        </w:rPr>
      </w:pPr>
      <w:r>
        <w:rPr>
          <w:rFonts w:hint="eastAsia" w:hAnsi="宋体" w:cs="宋体"/>
          <w:bCs/>
          <w:color w:val="000000"/>
          <w:kern w:val="0"/>
          <w:szCs w:val="21"/>
        </w:rPr>
        <w:t>（十四）在最近三年内有严重违约或重大工程质量问题的；（</w:t>
      </w:r>
      <w:r>
        <w:rPr>
          <w:rFonts w:hint="eastAsia" w:hAnsi="宋体" w:cs="宋体"/>
          <w:bCs/>
          <w:color w:val="000000"/>
          <w:kern w:val="0"/>
          <w:szCs w:val="21"/>
          <w:lang w:val="zh-CN"/>
        </w:rPr>
        <w:t>“严重违约”事实应当以</w:t>
      </w:r>
      <w:r>
        <w:rPr>
          <w:rFonts w:hint="eastAsia" w:hAnsi="宋体" w:cs="宋体"/>
          <w:bCs/>
          <w:color w:val="000000"/>
          <w:kern w:val="0"/>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B50D680">
      <w:pPr>
        <w:pStyle w:val="36"/>
        <w:ind w:firstLine="420" w:firstLineChars="200"/>
        <w:rPr>
          <w:rFonts w:ascii="宋体" w:hAnsi="宋体" w:eastAsia="宋体" w:cs="宋体"/>
          <w:bCs/>
          <w:sz w:val="21"/>
          <w:szCs w:val="21"/>
        </w:rPr>
      </w:pPr>
      <w:r>
        <w:rPr>
          <w:rFonts w:hint="eastAsia" w:ascii="宋体" w:hAnsi="宋体" w:eastAsia="宋体" w:cs="宋体"/>
          <w:bCs/>
          <w:sz w:val="21"/>
          <w:szCs w:val="21"/>
        </w:rPr>
        <w:t>（十五）法律法规规定的其他情形。</w:t>
      </w:r>
    </w:p>
    <w:p w14:paraId="6555F15C">
      <w:pPr>
        <w:pStyle w:val="36"/>
        <w:ind w:firstLine="420" w:firstLineChars="200"/>
        <w:rPr>
          <w:rFonts w:hint="eastAsia" w:ascii="宋体" w:hAnsi="宋体" w:eastAsia="宋体" w:cs="Times New Roman"/>
          <w:bCs/>
          <w:color w:val="auto"/>
          <w:sz w:val="21"/>
          <w:szCs w:val="21"/>
        </w:rPr>
      </w:pPr>
      <w:r>
        <w:rPr>
          <w:rFonts w:hint="eastAsia" w:ascii="宋体" w:hAnsi="宋体" w:eastAsia="宋体"/>
          <w:bCs/>
          <w:color w:val="auto"/>
          <w:sz w:val="21"/>
          <w:szCs w:val="21"/>
        </w:rPr>
        <w:t>四、本公司保证：本项目拟派的项目负</w:t>
      </w:r>
      <w:r>
        <w:rPr>
          <w:rFonts w:hint="eastAsia" w:ascii="宋体" w:hAnsi="宋体" w:eastAsia="宋体" w:cs="Times New Roman"/>
          <w:bCs/>
          <w:color w:val="auto"/>
          <w:sz w:val="21"/>
          <w:szCs w:val="21"/>
        </w:rPr>
        <w:t>责人</w:t>
      </w:r>
      <w:r>
        <w:rPr>
          <w:rFonts w:hint="eastAsia" w:ascii="宋体" w:hAnsi="宋体" w:eastAsia="宋体" w:cs="Times New Roman"/>
          <w:bCs/>
          <w:color w:val="auto"/>
          <w:sz w:val="21"/>
          <w:szCs w:val="21"/>
          <w:lang w:val="en-US" w:eastAsia="zh-CN"/>
        </w:rPr>
        <w:t>在</w:t>
      </w:r>
      <w:r>
        <w:rPr>
          <w:rFonts w:hint="eastAsia" w:ascii="宋体" w:hAnsi="宋体" w:eastAsia="宋体" w:cs="Times New Roman"/>
          <w:bCs/>
          <w:color w:val="auto"/>
          <w:sz w:val="21"/>
          <w:szCs w:val="21"/>
        </w:rPr>
        <w:t>投标截止时没</w:t>
      </w:r>
      <w:r>
        <w:rPr>
          <w:rFonts w:hint="eastAsia" w:ascii="宋体" w:hAnsi="宋体" w:eastAsia="宋体"/>
          <w:bCs/>
          <w:color w:val="auto"/>
          <w:sz w:val="21"/>
          <w:szCs w:val="21"/>
        </w:rPr>
        <w:t>有在其他在建项目中任施工单位项目负责人，</w:t>
      </w:r>
      <w:r>
        <w:rPr>
          <w:rFonts w:hint="eastAsia" w:ascii="宋体" w:hAnsi="宋体" w:eastAsia="宋体" w:cs="Times New Roman"/>
          <w:bCs/>
          <w:color w:val="auto"/>
          <w:sz w:val="21"/>
          <w:szCs w:val="21"/>
        </w:rPr>
        <w:t>本项目拟派的专职安全员没有在其他在建项目中任职。</w:t>
      </w:r>
    </w:p>
    <w:p w14:paraId="2C18900D">
      <w:pPr>
        <w:pStyle w:val="36"/>
        <w:ind w:firstLine="420" w:firstLineChars="200"/>
        <w:rPr>
          <w:rFonts w:hint="eastAsia" w:ascii="宋体" w:hAnsi="宋体" w:eastAsia="宋体" w:cs="Times New Roman"/>
          <w:bCs/>
          <w:color w:val="auto"/>
          <w:sz w:val="21"/>
          <w:szCs w:val="21"/>
        </w:rPr>
      </w:pPr>
      <w:r>
        <w:rPr>
          <w:rFonts w:hint="eastAsia" w:ascii="宋体" w:hAnsi="宋体" w:eastAsia="宋体" w:cs="Times New Roman"/>
          <w:bCs/>
          <w:color w:val="auto"/>
          <w:sz w:val="21"/>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1A1BA20A">
      <w:pPr>
        <w:widowControl/>
        <w:spacing w:line="360" w:lineRule="auto"/>
        <w:ind w:firstLine="420" w:firstLineChars="200"/>
        <w:jc w:val="left"/>
        <w:rPr>
          <w:rFonts w:ascii="宋体" w:hAnsi="宋体"/>
          <w:bCs/>
          <w:kern w:val="0"/>
          <w:szCs w:val="21"/>
        </w:rPr>
      </w:pPr>
      <w:r>
        <w:rPr>
          <w:rFonts w:hint="eastAsia" w:ascii="宋体" w:hAnsi="宋体"/>
          <w:bCs/>
          <w:kern w:val="0"/>
          <w:szCs w:val="21"/>
          <w:lang w:val="en-US" w:eastAsia="zh-CN"/>
        </w:rPr>
        <w:t>六</w:t>
      </w:r>
      <w:r>
        <w:rPr>
          <w:rFonts w:hint="eastAsia" w:ascii="宋体" w:hAnsi="宋体"/>
          <w:bCs/>
          <w:kern w:val="0"/>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6B979BB">
      <w:pPr>
        <w:widowControl/>
        <w:spacing w:line="360" w:lineRule="auto"/>
        <w:ind w:firstLine="420" w:firstLineChars="200"/>
        <w:jc w:val="left"/>
        <w:rPr>
          <w:rFonts w:ascii="宋体" w:hAnsi="宋体"/>
          <w:kern w:val="0"/>
          <w:szCs w:val="21"/>
        </w:rPr>
      </w:pPr>
      <w:r>
        <w:rPr>
          <w:rFonts w:hint="eastAsia" w:ascii="宋体" w:hAnsi="宋体"/>
          <w:kern w:val="0"/>
          <w:szCs w:val="21"/>
          <w:lang w:val="en-US" w:eastAsia="zh-CN"/>
        </w:rPr>
        <w:t>七</w:t>
      </w:r>
      <w:r>
        <w:rPr>
          <w:rFonts w:hint="eastAsia" w:ascii="宋体" w:hAnsi="宋体"/>
          <w:kern w:val="0"/>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685E6D9">
      <w:pPr>
        <w:pStyle w:val="36"/>
        <w:ind w:firstLine="420" w:firstLineChars="200"/>
        <w:rPr>
          <w:rFonts w:ascii="宋体" w:hAnsi="宋体" w:eastAsia="宋体"/>
          <w:color w:val="auto"/>
          <w:sz w:val="21"/>
          <w:szCs w:val="21"/>
        </w:rPr>
      </w:pPr>
      <w:r>
        <w:rPr>
          <w:rFonts w:hint="eastAsia" w:ascii="宋体" w:hAnsi="宋体" w:eastAsia="宋体"/>
          <w:color w:val="auto"/>
          <w:sz w:val="21"/>
          <w:szCs w:val="21"/>
          <w:lang w:val="en-US" w:eastAsia="zh-CN"/>
        </w:rPr>
        <w:t>八</w:t>
      </w:r>
      <w:r>
        <w:rPr>
          <w:rFonts w:hint="eastAsia" w:ascii="宋体" w:hAnsi="宋体" w:eastAsia="宋体"/>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4A5B16A4">
      <w:pPr>
        <w:pStyle w:val="36"/>
        <w:ind w:firstLine="420" w:firstLineChars="200"/>
        <w:jc w:val="left"/>
        <w:rPr>
          <w:rFonts w:ascii="宋体" w:hAnsi="宋体" w:eastAsia="宋体"/>
          <w:color w:val="auto"/>
          <w:sz w:val="21"/>
          <w:szCs w:val="21"/>
        </w:rPr>
      </w:pPr>
      <w:r>
        <w:rPr>
          <w:rFonts w:hint="eastAsia" w:ascii="宋体" w:hAnsi="宋体" w:eastAsia="宋体"/>
          <w:color w:val="auto"/>
          <w:sz w:val="21"/>
          <w:szCs w:val="21"/>
          <w:lang w:val="en-US" w:eastAsia="zh-CN"/>
        </w:rPr>
        <w:t>九</w:t>
      </w:r>
      <w:r>
        <w:rPr>
          <w:rFonts w:hint="eastAsia" w:ascii="宋体" w:hAnsi="宋体" w:eastAsia="宋体"/>
          <w:color w:val="auto"/>
          <w:sz w:val="21"/>
          <w:szCs w:val="21"/>
        </w:rPr>
        <w:t>、与本公司单位负责人为同一人或者与本公司存在控股、管理关系的其他单位包括：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。（注：本条由投标人如实填写，如有，应列出全部满足招标公告资质要求的相关单位的名称；如无，则填写“无”。）</w:t>
      </w:r>
    </w:p>
    <w:p w14:paraId="7FF89ED2">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lang w:val="en-US" w:eastAsia="zh-CN"/>
        </w:rPr>
        <w:t>十</w:t>
      </w:r>
      <w:r>
        <w:rPr>
          <w:rFonts w:hint="eastAsia" w:ascii="宋体" w:hAnsi="宋体" w:eastAsia="宋体"/>
          <w:color w:val="auto"/>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19C48C4E">
      <w:pPr>
        <w:pStyle w:val="36"/>
        <w:ind w:firstLine="420" w:firstLineChars="200"/>
        <w:rPr>
          <w:rFonts w:hint="eastAsia" w:ascii="宋体" w:hAnsi="宋体" w:eastAsia="宋体"/>
          <w:color w:val="auto"/>
          <w:sz w:val="21"/>
          <w:szCs w:val="21"/>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一</w:t>
      </w:r>
      <w:r>
        <w:rPr>
          <w:rFonts w:hint="eastAsia" w:ascii="宋体" w:hAnsi="宋体" w:eastAsia="宋体"/>
          <w:color w:val="auto"/>
          <w:sz w:val="21"/>
          <w:szCs w:val="21"/>
        </w:rPr>
        <w:t>、本公司承诺，中标后将按招标人要求，积极响应广州市关于投身“百千万工程”的号召，主动参与建筑业结对帮扶。</w:t>
      </w:r>
    </w:p>
    <w:p w14:paraId="6D90EC95">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二</w:t>
      </w:r>
      <w:r>
        <w:rPr>
          <w:rFonts w:hint="eastAsia" w:ascii="宋体" w:hAnsi="宋体" w:eastAsia="宋体"/>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31D3890">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三</w:t>
      </w:r>
      <w:r>
        <w:rPr>
          <w:rFonts w:hint="eastAsia" w:ascii="宋体" w:hAnsi="宋体" w:eastAsia="宋体"/>
          <w:color w:val="auto"/>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E456DA0">
      <w:pPr>
        <w:pStyle w:val="36"/>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14:paraId="0DF5CC4B">
      <w:pPr>
        <w:pStyle w:val="37"/>
        <w:ind w:left="629" w:leftChars="0" w:right="1449" w:firstLine="3790" w:firstLineChars="1805"/>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声明企业：</w:t>
      </w:r>
    </w:p>
    <w:p w14:paraId="0E07D2D4">
      <w:pPr>
        <w:pStyle w:val="37"/>
        <w:ind w:left="629" w:leftChars="0" w:right="1449" w:firstLine="3790" w:firstLineChars="1805"/>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项目负责人签字：</w:t>
      </w:r>
    </w:p>
    <w:p w14:paraId="54313AE3">
      <w:pPr>
        <w:pStyle w:val="37"/>
        <w:ind w:left="629" w:leftChars="0" w:right="1449" w:firstLine="3790" w:firstLineChars="1805"/>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技术负责人签字：</w:t>
      </w:r>
    </w:p>
    <w:p w14:paraId="6940971E">
      <w:pPr>
        <w:pStyle w:val="36"/>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年   月   日</w:t>
      </w:r>
    </w:p>
    <w:p w14:paraId="54C9DD88">
      <w:pPr>
        <w:widowControl/>
        <w:snapToGrid w:val="0"/>
        <w:spacing w:line="360" w:lineRule="auto"/>
        <w:ind w:right="102"/>
        <w:jc w:val="left"/>
        <w:rPr>
          <w:rFonts w:ascii="宋体" w:hAnsi="宋体"/>
          <w:kern w:val="0"/>
          <w:szCs w:val="21"/>
        </w:rPr>
      </w:pPr>
      <w:r>
        <w:rPr>
          <w:rFonts w:hint="eastAsia" w:ascii="宋体" w:hAnsi="宋体"/>
          <w:kern w:val="0"/>
          <w:szCs w:val="21"/>
        </w:rPr>
        <w:t xml:space="preserve">注：招标人应当要求投标人的项目负责人和技术负责人签字。 </w:t>
      </w:r>
    </w:p>
    <w:p w14:paraId="5F2BA9EE">
      <w:pPr>
        <w:widowControl/>
        <w:spacing w:line="360" w:lineRule="auto"/>
        <w:jc w:val="left"/>
        <w:rPr>
          <w:rFonts w:ascii="宋体" w:hAnsi="宋体"/>
          <w:kern w:val="0"/>
          <w:szCs w:val="21"/>
        </w:rPr>
      </w:pPr>
    </w:p>
    <w:p w14:paraId="4CB89185">
      <w:pPr>
        <w:rPr>
          <w:rFonts w:hint="eastAsia" w:ascii="宋体" w:hAnsi="宋体" w:cs="宋体"/>
          <w:sz w:val="24"/>
        </w:rPr>
      </w:pPr>
      <w:r>
        <w:rPr>
          <w:rFonts w:hint="eastAsia" w:ascii="宋体" w:hAnsi="宋体" w:cs="宋体"/>
          <w:sz w:val="24"/>
        </w:rPr>
        <w:br w:type="page"/>
      </w:r>
    </w:p>
    <w:p w14:paraId="2001694B">
      <w:pPr>
        <w:pStyle w:val="4"/>
        <w:ind w:firstLine="0"/>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二</w:t>
      </w:r>
      <w:r>
        <w:rPr>
          <w:rFonts w:hint="eastAsia" w:ascii="宋体" w:hAnsi="宋体" w:cs="宋体"/>
          <w:sz w:val="24"/>
        </w:rPr>
        <w:t>：</w:t>
      </w:r>
    </w:p>
    <w:p w14:paraId="72722513">
      <w:pPr>
        <w:snapToGrid w:val="0"/>
        <w:spacing w:after="78" w:afterLines="25" w:line="360" w:lineRule="auto"/>
        <w:ind w:firstLine="629"/>
        <w:rPr>
          <w:rFonts w:ascii="宋体" w:hAnsi="宋体"/>
          <w:kern w:val="0"/>
          <w:szCs w:val="21"/>
        </w:rPr>
      </w:pPr>
    </w:p>
    <w:p w14:paraId="114CA7E4">
      <w:pPr>
        <w:snapToGrid w:val="0"/>
        <w:spacing w:after="78" w:afterLines="25" w:line="360" w:lineRule="auto"/>
        <w:jc w:val="center"/>
        <w:rPr>
          <w:rFonts w:ascii="宋体" w:hAnsi="宋体"/>
          <w:b/>
          <w:kern w:val="0"/>
          <w:sz w:val="36"/>
          <w:szCs w:val="36"/>
        </w:rPr>
      </w:pPr>
      <w:r>
        <w:rPr>
          <w:rFonts w:hint="eastAsia" w:ascii="宋体" w:hAnsi="宋体"/>
          <w:b/>
          <w:kern w:val="0"/>
          <w:sz w:val="36"/>
          <w:szCs w:val="36"/>
        </w:rPr>
        <w:t>施工项目管理团队人员信息表</w:t>
      </w:r>
    </w:p>
    <w:tbl>
      <w:tblPr>
        <w:tblStyle w:val="20"/>
        <w:tblW w:w="9850" w:type="dxa"/>
        <w:jc w:val="center"/>
        <w:tblLayout w:type="fixed"/>
        <w:tblCellMar>
          <w:top w:w="0" w:type="dxa"/>
          <w:left w:w="108" w:type="dxa"/>
          <w:bottom w:w="0" w:type="dxa"/>
          <w:right w:w="108" w:type="dxa"/>
        </w:tblCellMar>
      </w:tblPr>
      <w:tblGrid>
        <w:gridCol w:w="715"/>
        <w:gridCol w:w="845"/>
        <w:gridCol w:w="1365"/>
        <w:gridCol w:w="4470"/>
        <w:gridCol w:w="2455"/>
      </w:tblGrid>
      <w:tr w14:paraId="16E58B02">
        <w:tblPrEx>
          <w:tblCellMar>
            <w:top w:w="0" w:type="dxa"/>
            <w:left w:w="108" w:type="dxa"/>
            <w:bottom w:w="0" w:type="dxa"/>
            <w:right w:w="108" w:type="dxa"/>
          </w:tblCellMar>
        </w:tblPrEx>
        <w:trPr>
          <w:trHeight w:val="48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2EB474DD">
            <w:pPr>
              <w:snapToGrid w:val="0"/>
              <w:spacing w:line="360" w:lineRule="auto"/>
              <w:ind w:left="-53" w:leftChars="-25" w:right="-53" w:rightChars="-25"/>
              <w:jc w:val="center"/>
              <w:rPr>
                <w:rFonts w:ascii="宋体" w:hAnsi="宋体" w:cs="宋体"/>
                <w:b/>
                <w:bCs/>
                <w:szCs w:val="21"/>
              </w:rPr>
            </w:pPr>
            <w:r>
              <w:rPr>
                <w:rFonts w:hint="eastAsia" w:ascii="宋体" w:hAnsi="宋体" w:cs="宋体"/>
                <w:b/>
                <w:bCs/>
                <w:szCs w:val="21"/>
              </w:rPr>
              <w:t>序号</w:t>
            </w:r>
          </w:p>
        </w:tc>
        <w:tc>
          <w:tcPr>
            <w:tcW w:w="845" w:type="dxa"/>
            <w:tcBorders>
              <w:top w:val="single" w:color="auto" w:sz="4" w:space="0"/>
              <w:left w:val="nil"/>
              <w:bottom w:val="single" w:color="auto" w:sz="4" w:space="0"/>
              <w:right w:val="single" w:color="auto" w:sz="4" w:space="0"/>
            </w:tcBorders>
            <w:vAlign w:val="center"/>
          </w:tcPr>
          <w:p w14:paraId="33187516">
            <w:pPr>
              <w:snapToGrid w:val="0"/>
              <w:spacing w:line="360" w:lineRule="auto"/>
              <w:ind w:left="-53" w:leftChars="-25" w:right="-53" w:rightChars="-25"/>
              <w:jc w:val="center"/>
              <w:rPr>
                <w:rFonts w:ascii="宋体" w:hAnsi="宋体" w:cs="宋体"/>
                <w:b/>
                <w:bCs/>
                <w:szCs w:val="21"/>
              </w:rPr>
            </w:pPr>
            <w:r>
              <w:rPr>
                <w:rFonts w:hint="eastAsia" w:ascii="宋体" w:hAnsi="宋体" w:cs="宋体"/>
                <w:b/>
                <w:bCs/>
                <w:szCs w:val="21"/>
              </w:rPr>
              <w:t>姓名</w:t>
            </w:r>
          </w:p>
        </w:tc>
        <w:tc>
          <w:tcPr>
            <w:tcW w:w="1365" w:type="dxa"/>
            <w:tcBorders>
              <w:top w:val="single" w:color="auto" w:sz="4" w:space="0"/>
              <w:left w:val="nil"/>
              <w:bottom w:val="single" w:color="auto" w:sz="4" w:space="0"/>
              <w:right w:val="single" w:color="auto" w:sz="4" w:space="0"/>
            </w:tcBorders>
            <w:vAlign w:val="center"/>
          </w:tcPr>
          <w:p w14:paraId="1F250A5A">
            <w:pPr>
              <w:snapToGrid w:val="0"/>
              <w:spacing w:line="360" w:lineRule="auto"/>
              <w:ind w:left="-53" w:leftChars="-25" w:right="-53" w:rightChars="-25"/>
              <w:jc w:val="center"/>
              <w:rPr>
                <w:rFonts w:ascii="宋体" w:hAnsi="宋体" w:cs="宋体"/>
                <w:b/>
                <w:bCs/>
                <w:szCs w:val="21"/>
              </w:rPr>
            </w:pPr>
            <w:r>
              <w:rPr>
                <w:rFonts w:hint="eastAsia" w:ascii="宋体" w:hAnsi="宋体" w:cs="宋体"/>
                <w:b/>
                <w:bCs/>
                <w:szCs w:val="21"/>
              </w:rPr>
              <w:t>岗位</w:t>
            </w:r>
          </w:p>
        </w:tc>
        <w:tc>
          <w:tcPr>
            <w:tcW w:w="4470" w:type="dxa"/>
            <w:tcBorders>
              <w:top w:val="single" w:color="auto" w:sz="4" w:space="0"/>
              <w:left w:val="nil"/>
              <w:bottom w:val="single" w:color="auto" w:sz="4" w:space="0"/>
              <w:right w:val="single" w:color="auto" w:sz="4" w:space="0"/>
            </w:tcBorders>
            <w:vAlign w:val="center"/>
          </w:tcPr>
          <w:p w14:paraId="248B96C8">
            <w:pPr>
              <w:snapToGrid w:val="0"/>
              <w:spacing w:line="360" w:lineRule="auto"/>
              <w:ind w:left="-53" w:leftChars="-25" w:right="-53" w:rightChars="-25"/>
              <w:jc w:val="center"/>
              <w:rPr>
                <w:rFonts w:ascii="宋体" w:hAnsi="宋体" w:cs="宋体"/>
                <w:b/>
                <w:bCs/>
                <w:szCs w:val="21"/>
              </w:rPr>
            </w:pPr>
            <w:r>
              <w:rPr>
                <w:rFonts w:hint="eastAsia" w:ascii="宋体" w:hAnsi="宋体" w:cs="宋体"/>
                <w:b/>
                <w:bCs/>
                <w:szCs w:val="21"/>
              </w:rPr>
              <w:t>职称</w:t>
            </w:r>
          </w:p>
        </w:tc>
        <w:tc>
          <w:tcPr>
            <w:tcW w:w="2455" w:type="dxa"/>
            <w:tcBorders>
              <w:top w:val="single" w:color="auto" w:sz="4" w:space="0"/>
              <w:left w:val="nil"/>
              <w:bottom w:val="single" w:color="auto" w:sz="4" w:space="0"/>
              <w:right w:val="single" w:color="auto" w:sz="4" w:space="0"/>
            </w:tcBorders>
            <w:vAlign w:val="center"/>
          </w:tcPr>
          <w:p w14:paraId="7DC27DFC">
            <w:pPr>
              <w:snapToGrid w:val="0"/>
              <w:spacing w:line="360" w:lineRule="auto"/>
              <w:ind w:left="-53" w:leftChars="-25" w:right="-53" w:rightChars="-25"/>
              <w:jc w:val="center"/>
              <w:rPr>
                <w:rFonts w:ascii="宋体" w:hAnsi="宋体" w:cs="宋体"/>
                <w:b/>
                <w:bCs/>
                <w:szCs w:val="21"/>
              </w:rPr>
            </w:pPr>
            <w:r>
              <w:rPr>
                <w:rFonts w:hint="eastAsia" w:ascii="宋体" w:hAnsi="宋体" w:cs="宋体"/>
                <w:b/>
                <w:bCs/>
                <w:szCs w:val="21"/>
              </w:rPr>
              <w:t>职称证书或资格证书编号</w:t>
            </w:r>
          </w:p>
        </w:tc>
      </w:tr>
      <w:tr w14:paraId="1A782661">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FCAEB54">
            <w:pPr>
              <w:snapToGrid w:val="0"/>
              <w:spacing w:line="360" w:lineRule="auto"/>
              <w:ind w:left="-53" w:leftChars="-25" w:right="-53" w:rightChars="-25"/>
              <w:jc w:val="center"/>
              <w:rPr>
                <w:rFonts w:ascii="宋体" w:hAnsi="宋体" w:cs="宋体"/>
                <w:bCs/>
                <w:szCs w:val="21"/>
              </w:rPr>
            </w:pPr>
            <w:r>
              <w:rPr>
                <w:rFonts w:ascii="宋体" w:hAnsi="宋体" w:cs="宋体"/>
                <w:bCs/>
                <w:szCs w:val="21"/>
              </w:rPr>
              <w:t>1</w:t>
            </w:r>
          </w:p>
        </w:tc>
        <w:tc>
          <w:tcPr>
            <w:tcW w:w="845" w:type="dxa"/>
            <w:tcBorders>
              <w:top w:val="single" w:color="auto" w:sz="4" w:space="0"/>
              <w:left w:val="nil"/>
              <w:bottom w:val="single" w:color="auto" w:sz="4" w:space="0"/>
              <w:right w:val="single" w:color="auto" w:sz="4" w:space="0"/>
            </w:tcBorders>
            <w:vAlign w:val="center"/>
          </w:tcPr>
          <w:p w14:paraId="3ACA1223">
            <w:pPr>
              <w:snapToGrid w:val="0"/>
              <w:spacing w:line="360" w:lineRule="auto"/>
              <w:ind w:left="-53" w:leftChars="-25" w:right="-53" w:rightChars="-25"/>
              <w:jc w:val="center"/>
              <w:rPr>
                <w:rFonts w:ascii="宋体" w:hAnsi="宋体" w:cs="宋体"/>
                <w:bCs/>
                <w:szCs w:val="21"/>
              </w:rPr>
            </w:pPr>
          </w:p>
        </w:tc>
        <w:tc>
          <w:tcPr>
            <w:tcW w:w="1365" w:type="dxa"/>
            <w:tcBorders>
              <w:top w:val="single" w:color="auto" w:sz="4" w:space="0"/>
              <w:left w:val="nil"/>
              <w:bottom w:val="single" w:color="auto" w:sz="4" w:space="0"/>
              <w:right w:val="single" w:color="auto" w:sz="4" w:space="0"/>
            </w:tcBorders>
            <w:vAlign w:val="center"/>
          </w:tcPr>
          <w:p w14:paraId="7C28B5FB">
            <w:pPr>
              <w:widowControl/>
              <w:jc w:val="center"/>
              <w:rPr>
                <w:rFonts w:ascii="宋体" w:cs="宋体"/>
                <w:bCs/>
                <w:szCs w:val="21"/>
              </w:rPr>
            </w:pPr>
            <w:r>
              <w:rPr>
                <w:rFonts w:hint="eastAsia" w:ascii="宋体" w:cs="宋体"/>
                <w:bCs/>
                <w:szCs w:val="21"/>
              </w:rPr>
              <w:t>技术负责人</w:t>
            </w:r>
          </w:p>
        </w:tc>
        <w:tc>
          <w:tcPr>
            <w:tcW w:w="4470" w:type="dxa"/>
            <w:tcBorders>
              <w:top w:val="single" w:color="auto" w:sz="4" w:space="0"/>
              <w:left w:val="nil"/>
              <w:bottom w:val="single" w:color="auto" w:sz="4" w:space="0"/>
              <w:right w:val="single" w:color="auto" w:sz="4" w:space="0"/>
            </w:tcBorders>
            <w:vAlign w:val="center"/>
          </w:tcPr>
          <w:p w14:paraId="337AB50F">
            <w:pPr>
              <w:widowControl/>
              <w:jc w:val="left"/>
              <w:rPr>
                <w:rFonts w:ascii="宋体" w:hAnsi="宋体" w:cs="宋体"/>
                <w:bCs/>
                <w:szCs w:val="21"/>
              </w:rPr>
            </w:pPr>
          </w:p>
        </w:tc>
        <w:tc>
          <w:tcPr>
            <w:tcW w:w="2455" w:type="dxa"/>
            <w:tcBorders>
              <w:top w:val="single" w:color="auto" w:sz="4" w:space="0"/>
              <w:left w:val="nil"/>
              <w:bottom w:val="single" w:color="auto" w:sz="4" w:space="0"/>
              <w:right w:val="single" w:color="auto" w:sz="4" w:space="0"/>
            </w:tcBorders>
            <w:vAlign w:val="center"/>
          </w:tcPr>
          <w:p w14:paraId="5CEC2C9B">
            <w:pPr>
              <w:snapToGrid w:val="0"/>
              <w:spacing w:line="360" w:lineRule="auto"/>
              <w:ind w:left="-53" w:leftChars="-25" w:right="-53" w:rightChars="-25"/>
              <w:rPr>
                <w:rFonts w:ascii="宋体" w:hAnsi="宋体" w:cs="宋体"/>
                <w:bCs/>
                <w:szCs w:val="21"/>
              </w:rPr>
            </w:pPr>
          </w:p>
        </w:tc>
      </w:tr>
      <w:tr w14:paraId="644B11CD">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D47720A">
            <w:pPr>
              <w:snapToGrid w:val="0"/>
              <w:spacing w:line="360" w:lineRule="auto"/>
              <w:ind w:left="-53" w:leftChars="-25" w:right="-53" w:rightChars="-25"/>
              <w:jc w:val="center"/>
              <w:rPr>
                <w:rFonts w:ascii="宋体" w:hAnsi="宋体" w:cs="宋体"/>
                <w:bCs/>
                <w:szCs w:val="21"/>
              </w:rPr>
            </w:pPr>
            <w:r>
              <w:rPr>
                <w:rFonts w:ascii="宋体" w:hAnsi="宋体" w:cs="宋体"/>
                <w:bCs/>
                <w:szCs w:val="21"/>
              </w:rPr>
              <w:t>2</w:t>
            </w:r>
          </w:p>
        </w:tc>
        <w:tc>
          <w:tcPr>
            <w:tcW w:w="845" w:type="dxa"/>
            <w:tcBorders>
              <w:top w:val="single" w:color="auto" w:sz="4" w:space="0"/>
              <w:left w:val="nil"/>
              <w:bottom w:val="single" w:color="auto" w:sz="4" w:space="0"/>
              <w:right w:val="single" w:color="auto" w:sz="4" w:space="0"/>
            </w:tcBorders>
            <w:vAlign w:val="center"/>
          </w:tcPr>
          <w:p w14:paraId="1AEBA999">
            <w:pPr>
              <w:snapToGrid w:val="0"/>
              <w:spacing w:line="360" w:lineRule="auto"/>
              <w:ind w:left="-53" w:leftChars="-25" w:right="-53" w:rightChars="-25"/>
              <w:jc w:val="center"/>
              <w:rPr>
                <w:rFonts w:ascii="宋体" w:hAnsi="宋体" w:cs="宋体"/>
                <w:bCs/>
                <w:szCs w:val="21"/>
              </w:rPr>
            </w:pPr>
          </w:p>
        </w:tc>
        <w:tc>
          <w:tcPr>
            <w:tcW w:w="1365" w:type="dxa"/>
            <w:tcBorders>
              <w:top w:val="single" w:color="auto" w:sz="4" w:space="0"/>
              <w:left w:val="nil"/>
              <w:bottom w:val="single" w:color="auto" w:sz="4" w:space="0"/>
              <w:right w:val="single" w:color="auto" w:sz="4" w:space="0"/>
            </w:tcBorders>
            <w:vAlign w:val="center"/>
          </w:tcPr>
          <w:p w14:paraId="70BB9651">
            <w:pPr>
              <w:widowControl/>
              <w:jc w:val="center"/>
              <w:rPr>
                <w:rFonts w:ascii="宋体" w:cs="宋体"/>
                <w:bCs/>
                <w:szCs w:val="21"/>
              </w:rPr>
            </w:pPr>
            <w:r>
              <w:rPr>
                <w:rFonts w:ascii="宋体" w:cs="宋体"/>
                <w:bCs/>
                <w:szCs w:val="21"/>
              </w:rPr>
              <w:t>质量负责人</w:t>
            </w:r>
          </w:p>
        </w:tc>
        <w:tc>
          <w:tcPr>
            <w:tcW w:w="4470" w:type="dxa"/>
            <w:tcBorders>
              <w:top w:val="single" w:color="auto" w:sz="4" w:space="0"/>
              <w:left w:val="nil"/>
              <w:bottom w:val="single" w:color="auto" w:sz="4" w:space="0"/>
              <w:right w:val="single" w:color="auto" w:sz="4" w:space="0"/>
            </w:tcBorders>
            <w:vAlign w:val="center"/>
          </w:tcPr>
          <w:p w14:paraId="35C99593">
            <w:pPr>
              <w:widowControl/>
              <w:jc w:val="center"/>
              <w:rPr>
                <w:rFonts w:ascii="宋体" w:cs="宋体"/>
                <w:bCs/>
                <w:szCs w:val="21"/>
              </w:rPr>
            </w:pPr>
          </w:p>
        </w:tc>
        <w:tc>
          <w:tcPr>
            <w:tcW w:w="2455" w:type="dxa"/>
            <w:tcBorders>
              <w:top w:val="single" w:color="auto" w:sz="4" w:space="0"/>
              <w:left w:val="nil"/>
              <w:bottom w:val="single" w:color="auto" w:sz="4" w:space="0"/>
              <w:right w:val="single" w:color="auto" w:sz="4" w:space="0"/>
            </w:tcBorders>
            <w:vAlign w:val="center"/>
          </w:tcPr>
          <w:p w14:paraId="62862248">
            <w:pPr>
              <w:snapToGrid w:val="0"/>
              <w:spacing w:line="360" w:lineRule="auto"/>
              <w:ind w:left="-53" w:leftChars="-25" w:right="-53" w:rightChars="-25"/>
              <w:rPr>
                <w:rFonts w:ascii="宋体" w:hAnsi="宋体" w:cs="宋体"/>
                <w:bCs/>
                <w:szCs w:val="21"/>
              </w:rPr>
            </w:pPr>
          </w:p>
        </w:tc>
      </w:tr>
      <w:tr w14:paraId="78D9C696">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9D786A6">
            <w:pPr>
              <w:snapToGrid w:val="0"/>
              <w:spacing w:line="360" w:lineRule="auto"/>
              <w:ind w:left="-53" w:leftChars="-25" w:right="-53" w:rightChars="-25"/>
              <w:jc w:val="center"/>
              <w:rPr>
                <w:rFonts w:ascii="宋体" w:hAnsi="宋体" w:cs="宋体"/>
                <w:bCs/>
                <w:szCs w:val="21"/>
              </w:rPr>
            </w:pPr>
            <w:r>
              <w:rPr>
                <w:rFonts w:ascii="宋体" w:hAnsi="宋体" w:cs="宋体"/>
                <w:bCs/>
                <w:szCs w:val="21"/>
              </w:rPr>
              <w:t>3</w:t>
            </w:r>
          </w:p>
        </w:tc>
        <w:tc>
          <w:tcPr>
            <w:tcW w:w="845" w:type="dxa"/>
            <w:tcBorders>
              <w:top w:val="single" w:color="auto" w:sz="4" w:space="0"/>
              <w:left w:val="nil"/>
              <w:bottom w:val="single" w:color="auto" w:sz="4" w:space="0"/>
              <w:right w:val="single" w:color="auto" w:sz="4" w:space="0"/>
            </w:tcBorders>
            <w:vAlign w:val="center"/>
          </w:tcPr>
          <w:p w14:paraId="0B54DAA2">
            <w:pPr>
              <w:snapToGrid w:val="0"/>
              <w:spacing w:line="360" w:lineRule="auto"/>
              <w:ind w:left="-53" w:leftChars="-25" w:right="-53" w:rightChars="-25"/>
              <w:jc w:val="center"/>
              <w:rPr>
                <w:rFonts w:ascii="宋体" w:hAnsi="宋体" w:cs="宋体"/>
                <w:bCs/>
                <w:szCs w:val="21"/>
              </w:rPr>
            </w:pPr>
          </w:p>
        </w:tc>
        <w:tc>
          <w:tcPr>
            <w:tcW w:w="1365" w:type="dxa"/>
            <w:tcBorders>
              <w:top w:val="single" w:color="auto" w:sz="4" w:space="0"/>
              <w:left w:val="nil"/>
              <w:bottom w:val="single" w:color="auto" w:sz="4" w:space="0"/>
              <w:right w:val="single" w:color="auto" w:sz="4" w:space="0"/>
            </w:tcBorders>
            <w:vAlign w:val="center"/>
          </w:tcPr>
          <w:p w14:paraId="072622D0">
            <w:pPr>
              <w:widowControl/>
              <w:jc w:val="center"/>
              <w:rPr>
                <w:rFonts w:ascii="宋体" w:cs="宋体"/>
                <w:bCs/>
                <w:szCs w:val="21"/>
              </w:rPr>
            </w:pPr>
            <w:r>
              <w:rPr>
                <w:rFonts w:ascii="宋体" w:cs="宋体"/>
                <w:bCs/>
                <w:szCs w:val="21"/>
              </w:rPr>
              <w:t>安全负责人</w:t>
            </w:r>
          </w:p>
        </w:tc>
        <w:tc>
          <w:tcPr>
            <w:tcW w:w="4470" w:type="dxa"/>
            <w:tcBorders>
              <w:top w:val="single" w:color="auto" w:sz="4" w:space="0"/>
              <w:left w:val="nil"/>
              <w:bottom w:val="single" w:color="auto" w:sz="4" w:space="0"/>
              <w:right w:val="single" w:color="auto" w:sz="4" w:space="0"/>
            </w:tcBorders>
            <w:vAlign w:val="center"/>
          </w:tcPr>
          <w:p w14:paraId="186B053A">
            <w:pPr>
              <w:widowControl/>
              <w:jc w:val="center"/>
              <w:rPr>
                <w:rFonts w:ascii="宋体" w:cs="宋体"/>
                <w:bCs/>
                <w:szCs w:val="21"/>
              </w:rPr>
            </w:pPr>
          </w:p>
        </w:tc>
        <w:tc>
          <w:tcPr>
            <w:tcW w:w="2455" w:type="dxa"/>
            <w:tcBorders>
              <w:top w:val="single" w:color="auto" w:sz="4" w:space="0"/>
              <w:left w:val="nil"/>
              <w:bottom w:val="single" w:color="auto" w:sz="4" w:space="0"/>
              <w:right w:val="single" w:color="auto" w:sz="4" w:space="0"/>
            </w:tcBorders>
            <w:vAlign w:val="center"/>
          </w:tcPr>
          <w:p w14:paraId="53B2E46C">
            <w:pPr>
              <w:snapToGrid w:val="0"/>
              <w:spacing w:line="360" w:lineRule="auto"/>
              <w:ind w:left="-53" w:leftChars="-25" w:right="-53" w:rightChars="-25"/>
              <w:rPr>
                <w:rFonts w:ascii="宋体" w:hAnsi="宋体" w:cs="宋体"/>
                <w:bCs/>
                <w:szCs w:val="21"/>
              </w:rPr>
            </w:pPr>
          </w:p>
        </w:tc>
      </w:tr>
      <w:tr w14:paraId="09F406E3">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DA8EEDD">
            <w:pPr>
              <w:snapToGrid w:val="0"/>
              <w:spacing w:line="360" w:lineRule="auto"/>
              <w:ind w:left="-53" w:leftChars="-25" w:right="-53" w:rightChars="-25"/>
              <w:jc w:val="center"/>
              <w:rPr>
                <w:rFonts w:hint="eastAsia" w:ascii="宋体" w:hAnsi="宋体" w:eastAsia="宋体" w:cs="宋体"/>
                <w:bCs/>
                <w:szCs w:val="21"/>
                <w:lang w:val="en-US" w:eastAsia="zh-CN"/>
              </w:rPr>
            </w:pPr>
            <w:r>
              <w:rPr>
                <w:rFonts w:hint="eastAsia" w:ascii="宋体" w:hAnsi="宋体" w:cs="宋体"/>
                <w:bCs/>
                <w:szCs w:val="21"/>
                <w:lang w:val="en-US" w:eastAsia="zh-CN"/>
              </w:rPr>
              <w:t>4</w:t>
            </w:r>
          </w:p>
        </w:tc>
        <w:tc>
          <w:tcPr>
            <w:tcW w:w="845" w:type="dxa"/>
            <w:tcBorders>
              <w:top w:val="single" w:color="auto" w:sz="4" w:space="0"/>
              <w:left w:val="nil"/>
              <w:bottom w:val="single" w:color="auto" w:sz="4" w:space="0"/>
              <w:right w:val="single" w:color="auto" w:sz="4" w:space="0"/>
            </w:tcBorders>
            <w:vAlign w:val="center"/>
          </w:tcPr>
          <w:p w14:paraId="3B463976">
            <w:pPr>
              <w:snapToGrid w:val="0"/>
              <w:spacing w:line="360" w:lineRule="auto"/>
              <w:ind w:left="-53" w:leftChars="-25" w:right="-53" w:rightChars="-25"/>
              <w:jc w:val="center"/>
              <w:rPr>
                <w:rFonts w:ascii="宋体" w:hAnsi="宋体" w:cs="宋体"/>
                <w:bCs/>
                <w:szCs w:val="21"/>
              </w:rPr>
            </w:pPr>
          </w:p>
        </w:tc>
        <w:tc>
          <w:tcPr>
            <w:tcW w:w="1365" w:type="dxa"/>
            <w:tcBorders>
              <w:top w:val="single" w:color="auto" w:sz="4" w:space="0"/>
              <w:left w:val="nil"/>
              <w:bottom w:val="single" w:color="auto" w:sz="4" w:space="0"/>
              <w:right w:val="single" w:color="auto" w:sz="4" w:space="0"/>
            </w:tcBorders>
            <w:vAlign w:val="center"/>
          </w:tcPr>
          <w:p w14:paraId="6ACE6947">
            <w:pPr>
              <w:widowControl/>
              <w:jc w:val="center"/>
              <w:rPr>
                <w:rFonts w:ascii="宋体" w:cs="宋体"/>
                <w:bCs/>
                <w:szCs w:val="21"/>
              </w:rPr>
            </w:pPr>
            <w:r>
              <w:rPr>
                <w:rFonts w:hint="eastAsia" w:ascii="宋体" w:cs="宋体"/>
                <w:bCs/>
                <w:szCs w:val="21"/>
              </w:rPr>
              <w:t>造价负责人</w:t>
            </w:r>
          </w:p>
        </w:tc>
        <w:tc>
          <w:tcPr>
            <w:tcW w:w="4470" w:type="dxa"/>
            <w:tcBorders>
              <w:top w:val="single" w:color="auto" w:sz="4" w:space="0"/>
              <w:left w:val="nil"/>
              <w:bottom w:val="single" w:color="auto" w:sz="4" w:space="0"/>
              <w:right w:val="single" w:color="auto" w:sz="4" w:space="0"/>
            </w:tcBorders>
            <w:vAlign w:val="center"/>
          </w:tcPr>
          <w:p w14:paraId="59D37C44">
            <w:pPr>
              <w:widowControl/>
              <w:jc w:val="center"/>
              <w:rPr>
                <w:rFonts w:ascii="宋体" w:cs="宋体"/>
                <w:bCs/>
                <w:szCs w:val="21"/>
              </w:rPr>
            </w:pPr>
          </w:p>
        </w:tc>
        <w:tc>
          <w:tcPr>
            <w:tcW w:w="2455" w:type="dxa"/>
            <w:tcBorders>
              <w:top w:val="single" w:color="auto" w:sz="4" w:space="0"/>
              <w:left w:val="nil"/>
              <w:bottom w:val="single" w:color="auto" w:sz="4" w:space="0"/>
              <w:right w:val="single" w:color="auto" w:sz="4" w:space="0"/>
            </w:tcBorders>
            <w:vAlign w:val="center"/>
          </w:tcPr>
          <w:p w14:paraId="51F0924F">
            <w:pPr>
              <w:snapToGrid w:val="0"/>
              <w:spacing w:line="360" w:lineRule="auto"/>
              <w:ind w:left="-53" w:leftChars="-25" w:right="-53" w:rightChars="-25"/>
              <w:rPr>
                <w:rFonts w:ascii="宋体" w:hAnsi="宋体" w:cs="宋体"/>
                <w:bCs/>
                <w:szCs w:val="21"/>
              </w:rPr>
            </w:pPr>
          </w:p>
        </w:tc>
      </w:tr>
      <w:tr w14:paraId="15DAFB5A">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D31CB50">
            <w:pPr>
              <w:snapToGrid w:val="0"/>
              <w:spacing w:line="360" w:lineRule="auto"/>
              <w:ind w:left="-53" w:leftChars="-25" w:right="-53" w:rightChars="-25"/>
              <w:jc w:val="center"/>
              <w:rPr>
                <w:rFonts w:hint="eastAsia" w:ascii="宋体" w:hAnsi="宋体" w:eastAsia="宋体" w:cs="宋体"/>
                <w:bCs/>
                <w:szCs w:val="21"/>
                <w:lang w:val="en-US" w:eastAsia="zh-CN"/>
              </w:rPr>
            </w:pPr>
            <w:r>
              <w:rPr>
                <w:rFonts w:hint="eastAsia" w:ascii="宋体" w:hAnsi="宋体" w:cs="宋体"/>
                <w:bCs/>
                <w:szCs w:val="21"/>
                <w:lang w:val="en-US" w:eastAsia="zh-CN"/>
              </w:rPr>
              <w:t>5</w:t>
            </w:r>
          </w:p>
        </w:tc>
        <w:tc>
          <w:tcPr>
            <w:tcW w:w="845" w:type="dxa"/>
            <w:tcBorders>
              <w:top w:val="single" w:color="auto" w:sz="4" w:space="0"/>
              <w:left w:val="nil"/>
              <w:bottom w:val="single" w:color="auto" w:sz="4" w:space="0"/>
              <w:right w:val="single" w:color="auto" w:sz="4" w:space="0"/>
            </w:tcBorders>
            <w:vAlign w:val="center"/>
          </w:tcPr>
          <w:p w14:paraId="1D89226A">
            <w:pPr>
              <w:snapToGrid w:val="0"/>
              <w:spacing w:line="360" w:lineRule="auto"/>
              <w:ind w:left="-53" w:leftChars="-25" w:right="-53" w:rightChars="-25"/>
              <w:jc w:val="center"/>
              <w:rPr>
                <w:rFonts w:ascii="宋体" w:hAnsi="宋体" w:cs="宋体"/>
                <w:bCs/>
                <w:szCs w:val="21"/>
              </w:rPr>
            </w:pPr>
          </w:p>
        </w:tc>
        <w:tc>
          <w:tcPr>
            <w:tcW w:w="1365" w:type="dxa"/>
            <w:tcBorders>
              <w:top w:val="single" w:color="auto" w:sz="4" w:space="0"/>
              <w:left w:val="nil"/>
              <w:bottom w:val="single" w:color="auto" w:sz="4" w:space="0"/>
              <w:right w:val="single" w:color="auto" w:sz="4" w:space="0"/>
            </w:tcBorders>
            <w:vAlign w:val="center"/>
          </w:tcPr>
          <w:p w14:paraId="277E3C69">
            <w:pPr>
              <w:widowControl/>
              <w:jc w:val="center"/>
              <w:rPr>
                <w:rFonts w:hint="eastAsia" w:ascii="宋体" w:cs="宋体"/>
                <w:bCs/>
                <w:szCs w:val="21"/>
              </w:rPr>
            </w:pPr>
            <w:r>
              <w:rPr>
                <w:rFonts w:hint="eastAsia" w:ascii="宋体" w:cs="宋体"/>
                <w:bCs/>
                <w:szCs w:val="21"/>
                <w:lang w:val="en-US" w:eastAsia="zh-CN"/>
              </w:rPr>
              <w:t>...</w:t>
            </w:r>
          </w:p>
        </w:tc>
        <w:tc>
          <w:tcPr>
            <w:tcW w:w="4470" w:type="dxa"/>
            <w:tcBorders>
              <w:top w:val="single" w:color="auto" w:sz="4" w:space="0"/>
              <w:left w:val="nil"/>
              <w:bottom w:val="single" w:color="auto" w:sz="4" w:space="0"/>
              <w:right w:val="single" w:color="auto" w:sz="4" w:space="0"/>
            </w:tcBorders>
            <w:vAlign w:val="center"/>
          </w:tcPr>
          <w:p w14:paraId="1A227929">
            <w:pPr>
              <w:widowControl/>
              <w:jc w:val="center"/>
              <w:rPr>
                <w:rFonts w:ascii="宋体" w:cs="宋体"/>
                <w:bCs/>
                <w:szCs w:val="21"/>
              </w:rPr>
            </w:pPr>
          </w:p>
        </w:tc>
        <w:tc>
          <w:tcPr>
            <w:tcW w:w="2455" w:type="dxa"/>
            <w:tcBorders>
              <w:top w:val="single" w:color="auto" w:sz="4" w:space="0"/>
              <w:left w:val="nil"/>
              <w:bottom w:val="single" w:color="auto" w:sz="4" w:space="0"/>
              <w:right w:val="single" w:color="auto" w:sz="4" w:space="0"/>
            </w:tcBorders>
            <w:vAlign w:val="center"/>
          </w:tcPr>
          <w:p w14:paraId="026B1E17">
            <w:pPr>
              <w:snapToGrid w:val="0"/>
              <w:spacing w:line="360" w:lineRule="auto"/>
              <w:ind w:left="-53" w:leftChars="-25" w:right="-53" w:rightChars="-25"/>
              <w:rPr>
                <w:rFonts w:ascii="宋体" w:hAnsi="宋体" w:cs="宋体"/>
                <w:bCs/>
                <w:szCs w:val="21"/>
              </w:rPr>
            </w:pPr>
          </w:p>
        </w:tc>
      </w:tr>
      <w:tr w14:paraId="48CB77A3">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642C5BD">
            <w:pPr>
              <w:snapToGrid w:val="0"/>
              <w:spacing w:line="360" w:lineRule="auto"/>
              <w:ind w:left="-53" w:leftChars="-25" w:right="-53" w:rightChars="-25"/>
              <w:jc w:val="center"/>
              <w:rPr>
                <w:rFonts w:hint="eastAsia" w:ascii="宋体" w:hAnsi="宋体" w:eastAsia="宋体" w:cs="宋体"/>
                <w:bCs/>
                <w:szCs w:val="21"/>
                <w:lang w:val="en-US" w:eastAsia="zh-CN"/>
              </w:rPr>
            </w:pPr>
            <w:r>
              <w:rPr>
                <w:rFonts w:hint="eastAsia" w:ascii="宋体" w:hAnsi="宋体" w:cs="宋体"/>
                <w:bCs/>
                <w:szCs w:val="21"/>
                <w:lang w:val="en-US" w:eastAsia="zh-CN"/>
              </w:rPr>
              <w:t>6</w:t>
            </w:r>
          </w:p>
        </w:tc>
        <w:tc>
          <w:tcPr>
            <w:tcW w:w="845" w:type="dxa"/>
            <w:tcBorders>
              <w:top w:val="single" w:color="auto" w:sz="4" w:space="0"/>
              <w:left w:val="nil"/>
              <w:bottom w:val="single" w:color="auto" w:sz="4" w:space="0"/>
              <w:right w:val="single" w:color="auto" w:sz="4" w:space="0"/>
            </w:tcBorders>
            <w:vAlign w:val="center"/>
          </w:tcPr>
          <w:p w14:paraId="06BF5584">
            <w:pPr>
              <w:snapToGrid w:val="0"/>
              <w:spacing w:line="360" w:lineRule="auto"/>
              <w:ind w:left="-53" w:leftChars="-25" w:right="-53" w:rightChars="-25"/>
              <w:jc w:val="center"/>
              <w:rPr>
                <w:rFonts w:ascii="宋体" w:hAnsi="宋体" w:cs="宋体"/>
                <w:bCs/>
                <w:szCs w:val="21"/>
              </w:rPr>
            </w:pPr>
          </w:p>
        </w:tc>
        <w:tc>
          <w:tcPr>
            <w:tcW w:w="1365" w:type="dxa"/>
            <w:tcBorders>
              <w:top w:val="single" w:color="auto" w:sz="4" w:space="0"/>
              <w:left w:val="nil"/>
              <w:bottom w:val="single" w:color="auto" w:sz="4" w:space="0"/>
              <w:right w:val="single" w:color="auto" w:sz="4" w:space="0"/>
            </w:tcBorders>
            <w:vAlign w:val="center"/>
          </w:tcPr>
          <w:p w14:paraId="2C3D1C41">
            <w:pPr>
              <w:widowControl/>
              <w:jc w:val="center"/>
              <w:rPr>
                <w:rFonts w:hint="default" w:ascii="宋体" w:eastAsia="宋体" w:cs="宋体"/>
                <w:bCs/>
                <w:szCs w:val="21"/>
                <w:lang w:val="en-US" w:eastAsia="zh-CN"/>
              </w:rPr>
            </w:pPr>
            <w:r>
              <w:rPr>
                <w:rFonts w:hint="eastAsia" w:ascii="宋体" w:cs="宋体"/>
                <w:bCs/>
                <w:szCs w:val="21"/>
                <w:lang w:val="en-US" w:eastAsia="zh-CN"/>
              </w:rPr>
              <w:t>...</w:t>
            </w:r>
          </w:p>
        </w:tc>
        <w:tc>
          <w:tcPr>
            <w:tcW w:w="4470" w:type="dxa"/>
            <w:tcBorders>
              <w:top w:val="single" w:color="auto" w:sz="4" w:space="0"/>
              <w:left w:val="nil"/>
              <w:bottom w:val="single" w:color="auto" w:sz="4" w:space="0"/>
              <w:right w:val="single" w:color="auto" w:sz="4" w:space="0"/>
            </w:tcBorders>
            <w:vAlign w:val="center"/>
          </w:tcPr>
          <w:p w14:paraId="55131FD5">
            <w:pPr>
              <w:widowControl/>
              <w:jc w:val="center"/>
              <w:rPr>
                <w:rFonts w:ascii="宋体" w:cs="宋体"/>
                <w:bCs/>
                <w:szCs w:val="21"/>
              </w:rPr>
            </w:pPr>
          </w:p>
        </w:tc>
        <w:tc>
          <w:tcPr>
            <w:tcW w:w="2455" w:type="dxa"/>
            <w:tcBorders>
              <w:top w:val="single" w:color="auto" w:sz="4" w:space="0"/>
              <w:left w:val="nil"/>
              <w:bottom w:val="single" w:color="auto" w:sz="4" w:space="0"/>
              <w:right w:val="single" w:color="auto" w:sz="4" w:space="0"/>
            </w:tcBorders>
            <w:vAlign w:val="center"/>
          </w:tcPr>
          <w:p w14:paraId="0112B095">
            <w:pPr>
              <w:snapToGrid w:val="0"/>
              <w:spacing w:line="360" w:lineRule="auto"/>
              <w:ind w:left="-53" w:leftChars="-25" w:right="-53" w:rightChars="-25"/>
              <w:rPr>
                <w:rFonts w:ascii="宋体" w:hAnsi="宋体" w:cs="宋体"/>
                <w:bCs/>
                <w:szCs w:val="21"/>
              </w:rPr>
            </w:pPr>
          </w:p>
        </w:tc>
      </w:tr>
      <w:tr w14:paraId="69474FF3">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EC2DD1C">
            <w:pPr>
              <w:snapToGrid w:val="0"/>
              <w:spacing w:line="360" w:lineRule="auto"/>
              <w:ind w:left="-53" w:leftChars="-25" w:right="-53" w:rightChars="-25"/>
              <w:jc w:val="center"/>
              <w:rPr>
                <w:rFonts w:hint="eastAsia" w:ascii="宋体" w:hAnsi="宋体" w:eastAsia="宋体" w:cs="宋体"/>
                <w:bCs/>
                <w:szCs w:val="21"/>
                <w:lang w:val="en-US" w:eastAsia="zh-CN"/>
              </w:rPr>
            </w:pPr>
            <w:r>
              <w:rPr>
                <w:rFonts w:hint="eastAsia" w:ascii="宋体" w:hAnsi="宋体" w:cs="宋体"/>
                <w:bCs/>
                <w:szCs w:val="21"/>
                <w:lang w:val="en-US" w:eastAsia="zh-CN"/>
              </w:rPr>
              <w:t>7</w:t>
            </w:r>
          </w:p>
        </w:tc>
        <w:tc>
          <w:tcPr>
            <w:tcW w:w="845" w:type="dxa"/>
            <w:tcBorders>
              <w:top w:val="single" w:color="auto" w:sz="4" w:space="0"/>
              <w:left w:val="nil"/>
              <w:bottom w:val="single" w:color="auto" w:sz="4" w:space="0"/>
              <w:right w:val="single" w:color="auto" w:sz="4" w:space="0"/>
            </w:tcBorders>
            <w:vAlign w:val="center"/>
          </w:tcPr>
          <w:p w14:paraId="7D95998C">
            <w:pPr>
              <w:snapToGrid w:val="0"/>
              <w:spacing w:line="360" w:lineRule="auto"/>
              <w:ind w:left="-53" w:leftChars="-25" w:right="-53" w:rightChars="-25"/>
              <w:jc w:val="center"/>
              <w:rPr>
                <w:rFonts w:ascii="宋体" w:hAnsi="宋体" w:cs="宋体"/>
                <w:bCs/>
                <w:szCs w:val="21"/>
              </w:rPr>
            </w:pPr>
          </w:p>
        </w:tc>
        <w:tc>
          <w:tcPr>
            <w:tcW w:w="1365" w:type="dxa"/>
            <w:tcBorders>
              <w:top w:val="single" w:color="auto" w:sz="4" w:space="0"/>
              <w:left w:val="nil"/>
              <w:bottom w:val="single" w:color="auto" w:sz="4" w:space="0"/>
              <w:right w:val="single" w:color="auto" w:sz="4" w:space="0"/>
            </w:tcBorders>
            <w:vAlign w:val="center"/>
          </w:tcPr>
          <w:p w14:paraId="476CCC77">
            <w:pPr>
              <w:widowControl/>
              <w:jc w:val="center"/>
              <w:rPr>
                <w:rFonts w:hint="default" w:ascii="宋体" w:eastAsia="宋体" w:cs="宋体"/>
                <w:bCs/>
                <w:szCs w:val="21"/>
                <w:lang w:val="en-US" w:eastAsia="zh-CN"/>
              </w:rPr>
            </w:pPr>
            <w:r>
              <w:rPr>
                <w:rFonts w:hint="eastAsia" w:ascii="宋体" w:cs="宋体"/>
                <w:bCs/>
                <w:szCs w:val="21"/>
                <w:lang w:val="en-US" w:eastAsia="zh-CN"/>
              </w:rPr>
              <w:t>...</w:t>
            </w:r>
          </w:p>
        </w:tc>
        <w:tc>
          <w:tcPr>
            <w:tcW w:w="4470" w:type="dxa"/>
            <w:tcBorders>
              <w:top w:val="single" w:color="auto" w:sz="4" w:space="0"/>
              <w:left w:val="nil"/>
              <w:bottom w:val="single" w:color="auto" w:sz="4" w:space="0"/>
              <w:right w:val="single" w:color="auto" w:sz="4" w:space="0"/>
            </w:tcBorders>
            <w:vAlign w:val="center"/>
          </w:tcPr>
          <w:p w14:paraId="45940530">
            <w:pPr>
              <w:widowControl/>
              <w:jc w:val="center"/>
              <w:rPr>
                <w:rFonts w:ascii="宋体" w:cs="宋体"/>
                <w:bCs/>
                <w:szCs w:val="21"/>
              </w:rPr>
            </w:pPr>
          </w:p>
        </w:tc>
        <w:tc>
          <w:tcPr>
            <w:tcW w:w="2455" w:type="dxa"/>
            <w:tcBorders>
              <w:top w:val="single" w:color="auto" w:sz="4" w:space="0"/>
              <w:left w:val="nil"/>
              <w:bottom w:val="single" w:color="auto" w:sz="4" w:space="0"/>
              <w:right w:val="single" w:color="auto" w:sz="4" w:space="0"/>
            </w:tcBorders>
            <w:vAlign w:val="center"/>
          </w:tcPr>
          <w:p w14:paraId="239E8F59">
            <w:pPr>
              <w:snapToGrid w:val="0"/>
              <w:spacing w:line="360" w:lineRule="auto"/>
              <w:ind w:left="-53" w:leftChars="-25" w:right="-53" w:rightChars="-25"/>
              <w:rPr>
                <w:rFonts w:ascii="宋体" w:hAnsi="宋体" w:cs="宋体"/>
                <w:bCs/>
                <w:szCs w:val="21"/>
              </w:rPr>
            </w:pPr>
          </w:p>
        </w:tc>
      </w:tr>
      <w:tr w14:paraId="1DC8C11A">
        <w:tblPrEx>
          <w:tblCellMar>
            <w:top w:w="0" w:type="dxa"/>
            <w:left w:w="108" w:type="dxa"/>
            <w:bottom w:w="0" w:type="dxa"/>
            <w:right w:w="108" w:type="dxa"/>
          </w:tblCellMar>
        </w:tblPrEx>
        <w:trPr>
          <w:trHeight w:val="454"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58B6B7E">
            <w:pPr>
              <w:snapToGrid w:val="0"/>
              <w:spacing w:line="360" w:lineRule="auto"/>
              <w:ind w:left="-53" w:leftChars="-25" w:right="-53" w:rightChars="-25"/>
              <w:jc w:val="center"/>
              <w:rPr>
                <w:rFonts w:hint="eastAsia" w:ascii="宋体" w:hAnsi="宋体" w:eastAsia="宋体" w:cs="宋体"/>
                <w:bCs/>
                <w:szCs w:val="21"/>
                <w:lang w:val="en-US" w:eastAsia="zh-CN"/>
              </w:rPr>
            </w:pPr>
            <w:r>
              <w:rPr>
                <w:rFonts w:hint="eastAsia" w:ascii="宋体" w:hAnsi="宋体" w:cs="宋体"/>
                <w:bCs/>
                <w:szCs w:val="21"/>
                <w:lang w:val="en-US" w:eastAsia="zh-CN"/>
              </w:rPr>
              <w:t>8</w:t>
            </w:r>
          </w:p>
        </w:tc>
        <w:tc>
          <w:tcPr>
            <w:tcW w:w="845" w:type="dxa"/>
            <w:tcBorders>
              <w:top w:val="single" w:color="auto" w:sz="4" w:space="0"/>
              <w:left w:val="nil"/>
              <w:bottom w:val="single" w:color="auto" w:sz="4" w:space="0"/>
              <w:right w:val="single" w:color="auto" w:sz="4" w:space="0"/>
            </w:tcBorders>
            <w:vAlign w:val="center"/>
          </w:tcPr>
          <w:p w14:paraId="5ECDEBCC">
            <w:pPr>
              <w:snapToGrid w:val="0"/>
              <w:spacing w:line="360" w:lineRule="auto"/>
              <w:ind w:left="-53" w:leftChars="-25" w:right="-53" w:rightChars="-25"/>
              <w:jc w:val="center"/>
              <w:rPr>
                <w:rFonts w:ascii="宋体" w:hAnsi="宋体" w:cs="宋体"/>
                <w:bCs/>
                <w:szCs w:val="21"/>
              </w:rPr>
            </w:pPr>
          </w:p>
        </w:tc>
        <w:tc>
          <w:tcPr>
            <w:tcW w:w="1365" w:type="dxa"/>
            <w:tcBorders>
              <w:top w:val="single" w:color="auto" w:sz="4" w:space="0"/>
              <w:left w:val="nil"/>
              <w:bottom w:val="single" w:color="auto" w:sz="4" w:space="0"/>
              <w:right w:val="single" w:color="auto" w:sz="4" w:space="0"/>
            </w:tcBorders>
            <w:vAlign w:val="center"/>
          </w:tcPr>
          <w:p w14:paraId="2D45D57D">
            <w:pPr>
              <w:widowControl/>
              <w:jc w:val="center"/>
              <w:rPr>
                <w:rFonts w:hint="default" w:ascii="宋体" w:eastAsia="宋体" w:cs="宋体"/>
                <w:bCs/>
                <w:szCs w:val="21"/>
                <w:lang w:val="en-US" w:eastAsia="zh-CN"/>
              </w:rPr>
            </w:pPr>
            <w:r>
              <w:rPr>
                <w:rFonts w:hint="eastAsia" w:ascii="宋体" w:cs="宋体"/>
                <w:bCs/>
                <w:szCs w:val="21"/>
                <w:lang w:val="en-US" w:eastAsia="zh-CN"/>
              </w:rPr>
              <w:t>...</w:t>
            </w:r>
          </w:p>
        </w:tc>
        <w:tc>
          <w:tcPr>
            <w:tcW w:w="4470" w:type="dxa"/>
            <w:tcBorders>
              <w:top w:val="single" w:color="auto" w:sz="4" w:space="0"/>
              <w:left w:val="nil"/>
              <w:bottom w:val="single" w:color="auto" w:sz="4" w:space="0"/>
              <w:right w:val="single" w:color="auto" w:sz="4" w:space="0"/>
            </w:tcBorders>
            <w:vAlign w:val="center"/>
          </w:tcPr>
          <w:p w14:paraId="35A36B74">
            <w:pPr>
              <w:widowControl/>
              <w:jc w:val="center"/>
              <w:rPr>
                <w:rFonts w:ascii="宋体" w:cs="宋体"/>
                <w:bCs/>
                <w:szCs w:val="21"/>
              </w:rPr>
            </w:pPr>
          </w:p>
        </w:tc>
        <w:tc>
          <w:tcPr>
            <w:tcW w:w="2455" w:type="dxa"/>
            <w:tcBorders>
              <w:top w:val="single" w:color="auto" w:sz="4" w:space="0"/>
              <w:left w:val="nil"/>
              <w:bottom w:val="single" w:color="auto" w:sz="4" w:space="0"/>
              <w:right w:val="single" w:color="auto" w:sz="4" w:space="0"/>
            </w:tcBorders>
            <w:vAlign w:val="center"/>
          </w:tcPr>
          <w:p w14:paraId="06EDD1D3">
            <w:pPr>
              <w:snapToGrid w:val="0"/>
              <w:spacing w:line="360" w:lineRule="auto"/>
              <w:ind w:left="-53" w:leftChars="-25" w:right="-53" w:rightChars="-25"/>
              <w:rPr>
                <w:rFonts w:ascii="宋体" w:hAnsi="宋体" w:cs="宋体"/>
                <w:bCs/>
                <w:szCs w:val="21"/>
              </w:rPr>
            </w:pPr>
          </w:p>
        </w:tc>
      </w:tr>
      <w:tr w14:paraId="225B162E">
        <w:tblPrEx>
          <w:tblCellMar>
            <w:top w:w="0" w:type="dxa"/>
            <w:left w:w="108" w:type="dxa"/>
            <w:bottom w:w="0" w:type="dxa"/>
            <w:right w:w="108" w:type="dxa"/>
          </w:tblCellMar>
        </w:tblPrEx>
        <w:trPr>
          <w:trHeight w:val="3487" w:hRule="atLeast"/>
          <w:jc w:val="center"/>
        </w:trPr>
        <w:tc>
          <w:tcPr>
            <w:tcW w:w="9850" w:type="dxa"/>
            <w:gridSpan w:val="5"/>
            <w:tcBorders>
              <w:top w:val="single" w:color="auto" w:sz="4" w:space="0"/>
              <w:left w:val="single" w:color="auto" w:sz="4" w:space="0"/>
              <w:bottom w:val="single" w:color="auto" w:sz="4" w:space="0"/>
              <w:right w:val="single" w:color="auto" w:sz="4" w:space="0"/>
            </w:tcBorders>
            <w:vAlign w:val="center"/>
          </w:tcPr>
          <w:p w14:paraId="32E43EF1">
            <w:pPr>
              <w:snapToGrid w:val="0"/>
              <w:spacing w:line="360" w:lineRule="auto"/>
              <w:rPr>
                <w:rFonts w:ascii="宋体" w:hAnsi="宋体"/>
                <w:kern w:val="0"/>
                <w:szCs w:val="21"/>
              </w:rPr>
            </w:pPr>
            <w:r>
              <w:rPr>
                <w:rFonts w:hint="eastAsia" w:ascii="宋体" w:hAnsi="宋体"/>
                <w:kern w:val="0"/>
                <w:szCs w:val="21"/>
              </w:rPr>
              <w:t>备注：</w:t>
            </w:r>
          </w:p>
          <w:p w14:paraId="4187853D">
            <w:pPr>
              <w:snapToGrid w:val="0"/>
              <w:spacing w:line="360" w:lineRule="auto"/>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w:t>
            </w:r>
            <w:r>
              <w:rPr>
                <w:rFonts w:hint="eastAsia" w:ascii="宋体" w:hAnsi="宋体"/>
                <w:kern w:val="0"/>
                <w:szCs w:val="21"/>
                <w:u w:val="single"/>
              </w:rPr>
              <w:t>“岗</w:t>
            </w:r>
            <w:r>
              <w:rPr>
                <w:rFonts w:hint="eastAsia" w:ascii="宋体" w:hAnsi="宋体"/>
                <w:spacing w:val="-2"/>
                <w:kern w:val="0"/>
                <w:szCs w:val="21"/>
                <w:u w:val="single"/>
              </w:rPr>
              <w:t>位”要求（除项目负责人和专职安全员外）：拟派驻施工现场的技术负责人、质量负责人</w:t>
            </w:r>
            <w:r>
              <w:rPr>
                <w:rFonts w:hint="eastAsia" w:ascii="宋体" w:hAnsi="宋体"/>
                <w:spacing w:val="-2"/>
                <w:kern w:val="0"/>
                <w:szCs w:val="21"/>
                <w:u w:val="single"/>
                <w:lang w:eastAsia="zh-CN"/>
              </w:rPr>
              <w:t>、</w:t>
            </w:r>
            <w:r>
              <w:rPr>
                <w:rFonts w:hint="eastAsia" w:ascii="宋体" w:hAnsi="宋体"/>
                <w:spacing w:val="-2"/>
                <w:kern w:val="0"/>
                <w:szCs w:val="21"/>
                <w:u w:val="single"/>
              </w:rPr>
              <w:t>安全负责人</w:t>
            </w:r>
            <w:r>
              <w:rPr>
                <w:rFonts w:hint="eastAsia" w:ascii="宋体" w:hAnsi="宋体"/>
                <w:spacing w:val="-2"/>
                <w:kern w:val="0"/>
                <w:szCs w:val="21"/>
                <w:u w:val="single"/>
                <w:lang w:eastAsia="zh-CN"/>
              </w:rPr>
              <w:t>、</w:t>
            </w:r>
            <w:r>
              <w:rPr>
                <w:rFonts w:hint="eastAsia" w:ascii="宋体" w:hAnsi="宋体"/>
                <w:spacing w:val="-2"/>
                <w:kern w:val="0"/>
                <w:szCs w:val="21"/>
                <w:u w:val="single"/>
              </w:rPr>
              <w:t>造价负责人</w:t>
            </w:r>
            <w:r>
              <w:rPr>
                <w:rFonts w:hint="eastAsia" w:ascii="宋体" w:hAnsi="宋体"/>
                <w:spacing w:val="-2"/>
                <w:kern w:val="0"/>
                <w:szCs w:val="21"/>
                <w:u w:val="single"/>
                <w:lang w:eastAsia="zh-CN"/>
              </w:rPr>
              <w:t>、</w:t>
            </w:r>
            <w:r>
              <w:rPr>
                <w:rFonts w:hint="eastAsia" w:ascii="宋体" w:hAnsi="宋体"/>
                <w:spacing w:val="-2"/>
                <w:kern w:val="0"/>
                <w:szCs w:val="21"/>
                <w:u w:val="single"/>
              </w:rPr>
              <w:t>装修工程师</w:t>
            </w:r>
            <w:r>
              <w:rPr>
                <w:rFonts w:hint="eastAsia" w:ascii="宋体" w:hAnsi="宋体"/>
                <w:spacing w:val="-2"/>
                <w:kern w:val="0"/>
                <w:szCs w:val="21"/>
                <w:u w:val="single"/>
                <w:lang w:eastAsia="zh-CN"/>
              </w:rPr>
              <w:t>、</w:t>
            </w:r>
            <w:r>
              <w:rPr>
                <w:rFonts w:hint="eastAsia" w:ascii="宋体" w:hAnsi="宋体"/>
                <w:spacing w:val="-2"/>
                <w:kern w:val="0"/>
                <w:szCs w:val="21"/>
                <w:u w:val="single"/>
              </w:rPr>
              <w:t>其他人员等</w:t>
            </w:r>
            <w:r>
              <w:rPr>
                <w:rFonts w:hint="eastAsia" w:ascii="宋体" w:hAnsi="宋体"/>
                <w:spacing w:val="-2"/>
                <w:kern w:val="0"/>
                <w:szCs w:val="21"/>
              </w:rPr>
              <w:t>。以上项目管理团队人员信息将由交易系统提取后供各相关单位在履约时比对、查核</w:t>
            </w:r>
            <w:r>
              <w:rPr>
                <w:rFonts w:hint="eastAsia" w:ascii="宋体" w:hAnsi="宋体"/>
                <w:kern w:val="0"/>
                <w:szCs w:val="21"/>
              </w:rPr>
              <w:t>。</w:t>
            </w:r>
          </w:p>
          <w:p w14:paraId="3A3B19EF">
            <w:pPr>
              <w:snapToGrid w:val="0"/>
              <w:spacing w:line="360" w:lineRule="auto"/>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kern w:val="0"/>
                <w:szCs w:val="21"/>
              </w:rPr>
              <w:t>(</w:t>
            </w:r>
            <w:r>
              <w:rPr>
                <w:rFonts w:hint="eastAsia" w:ascii="宋体" w:hAnsi="宋体"/>
                <w:kern w:val="0"/>
                <w:szCs w:val="21"/>
              </w:rPr>
              <w:t>投标截止时间前可以补充、修改、替代</w:t>
            </w:r>
            <w:r>
              <w:rPr>
                <w:rFonts w:ascii="宋体" w:hAnsi="宋体"/>
                <w:kern w:val="0"/>
                <w:szCs w:val="21"/>
              </w:rPr>
              <w:t>)</w:t>
            </w:r>
            <w:r>
              <w:rPr>
                <w:rFonts w:hint="eastAsia" w:ascii="宋体" w:hAnsi="宋体"/>
                <w:kern w:val="0"/>
                <w:szCs w:val="21"/>
              </w:rPr>
              <w:t>。</w:t>
            </w:r>
          </w:p>
          <w:p w14:paraId="19CE8447">
            <w:pPr>
              <w:snapToGrid w:val="0"/>
              <w:spacing w:line="360" w:lineRule="auto"/>
              <w:ind w:firstLine="420" w:firstLineChars="200"/>
              <w:rPr>
                <w:rFonts w:ascii="宋体" w:hAnsi="宋体"/>
                <w:kern w:val="0"/>
                <w:szCs w:val="21"/>
              </w:rPr>
            </w:pPr>
            <w:r>
              <w:rPr>
                <w:rFonts w:hint="eastAsia" w:ascii="宋体" w:hAnsi="宋体"/>
                <w:kern w:val="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BBDB973"/>
    <w:sectPr>
      <w:footerReference r:id="rId9" w:type="default"/>
      <w:pgSz w:w="11906" w:h="16838"/>
      <w:pgMar w:top="1440" w:right="148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herese">
    <w:panose1 w:val="00000500000000000000"/>
    <w:charset w:val="00"/>
    <w:family w:val="auto"/>
    <w:pitch w:val="default"/>
    <w:sig w:usb0="20000007" w:usb1="00000000" w:usb2="00000000" w:usb3="00000000" w:csb0="00000193"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FFCD4">
    <w:pPr>
      <w:pStyle w:val="12"/>
      <w:ind w:firstLine="392"/>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7A07F">
    <w:pPr>
      <w:pStyle w:val="12"/>
      <w:ind w:firstLine="392"/>
      <w:rPr>
        <w:rStyle w:val="23"/>
      </w:rPr>
    </w:pPr>
    <w:r>
      <w:rPr>
        <w:rStyle w:val="23"/>
      </w:rPr>
      <w:fldChar w:fldCharType="begin"/>
    </w:r>
    <w:r>
      <w:rPr>
        <w:rStyle w:val="23"/>
      </w:rPr>
      <w:instrText xml:space="preserve">PAGE  </w:instrText>
    </w:r>
    <w:r>
      <w:rPr>
        <w:rStyle w:val="23"/>
      </w:rPr>
      <w:fldChar w:fldCharType="separate"/>
    </w:r>
    <w:r>
      <w:rPr>
        <w:rStyle w:val="23"/>
        <w:rFonts w:hint="eastAsia"/>
      </w:rPr>
      <w:t>一</w:t>
    </w:r>
    <w:r>
      <w:rPr>
        <w:rStyle w:val="23"/>
      </w:rPr>
      <w:t>–2</w:t>
    </w:r>
    <w:r>
      <w:rPr>
        <w:rStyle w:val="23"/>
      </w:rPr>
      <w:fldChar w:fldCharType="end"/>
    </w:r>
  </w:p>
  <w:p w14:paraId="481D8275">
    <w:pPr>
      <w:pStyle w:val="12"/>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EA3C">
    <w:pPr>
      <w:pStyle w:val="12"/>
      <w:ind w:firstLine="392"/>
    </w:pPr>
    <w:r>
      <w:rPr>
        <w:rStyle w:val="23"/>
      </w:rPr>
      <w:fldChar w:fldCharType="begin"/>
    </w:r>
    <w:r>
      <w:rPr>
        <w:rStyle w:val="23"/>
      </w:rPr>
      <w:instrText xml:space="preserve"> PAGE </w:instrText>
    </w:r>
    <w:r>
      <w:rPr>
        <w:rStyle w:val="23"/>
      </w:rPr>
      <w:fldChar w:fldCharType="separate"/>
    </w:r>
    <w:r>
      <w:rPr>
        <w:rStyle w:val="23"/>
      </w:rPr>
      <w:t>10</w:t>
    </w:r>
    <w:r>
      <w:rPr>
        <w:rStyle w:val="2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ABA3">
    <w:pPr>
      <w:pStyle w:val="12"/>
      <w:ind w:firstLine="392"/>
      <w:jc w:val="center"/>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4287">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E79D">
    <w:pPr>
      <w:pStyle w:val="1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7A7C4">
    <w:pPr>
      <w:pStyle w:val="1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zE1ODViZDcyMjAwMTc2YzY0NGViNDk0OTM3OTQifQ=="/>
  </w:docVars>
  <w:rsids>
    <w:rsidRoot w:val="001C36EE"/>
    <w:rsid w:val="00011E67"/>
    <w:rsid w:val="00105DE0"/>
    <w:rsid w:val="00121C77"/>
    <w:rsid w:val="00167BFF"/>
    <w:rsid w:val="001A6843"/>
    <w:rsid w:val="001C36EE"/>
    <w:rsid w:val="0022218B"/>
    <w:rsid w:val="00283E4C"/>
    <w:rsid w:val="0028533B"/>
    <w:rsid w:val="002A642F"/>
    <w:rsid w:val="002C08E0"/>
    <w:rsid w:val="003121A1"/>
    <w:rsid w:val="00416809"/>
    <w:rsid w:val="00457788"/>
    <w:rsid w:val="00460C17"/>
    <w:rsid w:val="004956C2"/>
    <w:rsid w:val="00582188"/>
    <w:rsid w:val="00595C8A"/>
    <w:rsid w:val="00641D38"/>
    <w:rsid w:val="0067367A"/>
    <w:rsid w:val="00682E8B"/>
    <w:rsid w:val="006E1822"/>
    <w:rsid w:val="007259B2"/>
    <w:rsid w:val="007A6B3D"/>
    <w:rsid w:val="007E03D3"/>
    <w:rsid w:val="007E75F5"/>
    <w:rsid w:val="008510DF"/>
    <w:rsid w:val="00860432"/>
    <w:rsid w:val="00867B85"/>
    <w:rsid w:val="00886268"/>
    <w:rsid w:val="008C7378"/>
    <w:rsid w:val="00976D4B"/>
    <w:rsid w:val="00980613"/>
    <w:rsid w:val="009E04E5"/>
    <w:rsid w:val="00A45C9A"/>
    <w:rsid w:val="00AD3795"/>
    <w:rsid w:val="00AE0DB2"/>
    <w:rsid w:val="00B45B7C"/>
    <w:rsid w:val="00B71F65"/>
    <w:rsid w:val="00B82133"/>
    <w:rsid w:val="00BF6247"/>
    <w:rsid w:val="00C51EF3"/>
    <w:rsid w:val="00C8408A"/>
    <w:rsid w:val="00CA05F2"/>
    <w:rsid w:val="00CD3536"/>
    <w:rsid w:val="00D51F8B"/>
    <w:rsid w:val="00D5408A"/>
    <w:rsid w:val="00D752F1"/>
    <w:rsid w:val="00DE4ED6"/>
    <w:rsid w:val="00E47D01"/>
    <w:rsid w:val="00E85CCE"/>
    <w:rsid w:val="00EE0890"/>
    <w:rsid w:val="00FC12C0"/>
    <w:rsid w:val="00FE58CF"/>
    <w:rsid w:val="00FF0A65"/>
    <w:rsid w:val="00FF4E4E"/>
    <w:rsid w:val="010351AA"/>
    <w:rsid w:val="012153D7"/>
    <w:rsid w:val="013B2B96"/>
    <w:rsid w:val="013D15D2"/>
    <w:rsid w:val="015E5E12"/>
    <w:rsid w:val="017D4FB9"/>
    <w:rsid w:val="01A52705"/>
    <w:rsid w:val="01CD0AF7"/>
    <w:rsid w:val="01E93200"/>
    <w:rsid w:val="01F353DB"/>
    <w:rsid w:val="022510C3"/>
    <w:rsid w:val="022A4754"/>
    <w:rsid w:val="02446693"/>
    <w:rsid w:val="02845E60"/>
    <w:rsid w:val="029B2199"/>
    <w:rsid w:val="029F7154"/>
    <w:rsid w:val="02A14C7A"/>
    <w:rsid w:val="02C170CB"/>
    <w:rsid w:val="036E28F4"/>
    <w:rsid w:val="037C0F02"/>
    <w:rsid w:val="03A55827"/>
    <w:rsid w:val="03AF1619"/>
    <w:rsid w:val="03CE7FB1"/>
    <w:rsid w:val="03D93EDA"/>
    <w:rsid w:val="04575263"/>
    <w:rsid w:val="04783C3D"/>
    <w:rsid w:val="04826744"/>
    <w:rsid w:val="048900BC"/>
    <w:rsid w:val="04894A15"/>
    <w:rsid w:val="04AF0898"/>
    <w:rsid w:val="04B8113A"/>
    <w:rsid w:val="04F7772C"/>
    <w:rsid w:val="04FE4606"/>
    <w:rsid w:val="050C0425"/>
    <w:rsid w:val="050E6137"/>
    <w:rsid w:val="051D6775"/>
    <w:rsid w:val="052430DB"/>
    <w:rsid w:val="052C3D34"/>
    <w:rsid w:val="0532195B"/>
    <w:rsid w:val="055120EC"/>
    <w:rsid w:val="0562369C"/>
    <w:rsid w:val="05AC4062"/>
    <w:rsid w:val="05BB24F7"/>
    <w:rsid w:val="05D163BB"/>
    <w:rsid w:val="05EC0654"/>
    <w:rsid w:val="05FE6849"/>
    <w:rsid w:val="06287461"/>
    <w:rsid w:val="062E4A77"/>
    <w:rsid w:val="063D098F"/>
    <w:rsid w:val="065958F2"/>
    <w:rsid w:val="06622C7D"/>
    <w:rsid w:val="0676641E"/>
    <w:rsid w:val="06AF2867"/>
    <w:rsid w:val="06D5492D"/>
    <w:rsid w:val="06DB44D3"/>
    <w:rsid w:val="07043A2A"/>
    <w:rsid w:val="07175D1E"/>
    <w:rsid w:val="071E2D3E"/>
    <w:rsid w:val="07657615"/>
    <w:rsid w:val="07886409"/>
    <w:rsid w:val="07917873"/>
    <w:rsid w:val="079F5E6D"/>
    <w:rsid w:val="07D17DB0"/>
    <w:rsid w:val="0824254E"/>
    <w:rsid w:val="08400A92"/>
    <w:rsid w:val="084208A2"/>
    <w:rsid w:val="0850455A"/>
    <w:rsid w:val="08555818"/>
    <w:rsid w:val="08635746"/>
    <w:rsid w:val="0867191A"/>
    <w:rsid w:val="08830CDE"/>
    <w:rsid w:val="08A543EB"/>
    <w:rsid w:val="097A53C7"/>
    <w:rsid w:val="0993146A"/>
    <w:rsid w:val="09C24519"/>
    <w:rsid w:val="09C27709"/>
    <w:rsid w:val="09D4148D"/>
    <w:rsid w:val="09DB4F16"/>
    <w:rsid w:val="09F63AFE"/>
    <w:rsid w:val="09FB2DEB"/>
    <w:rsid w:val="0A005160"/>
    <w:rsid w:val="0A016858"/>
    <w:rsid w:val="0A1C13D2"/>
    <w:rsid w:val="0A2C3B1B"/>
    <w:rsid w:val="0A9652E1"/>
    <w:rsid w:val="0B187AA4"/>
    <w:rsid w:val="0B3348DE"/>
    <w:rsid w:val="0B4B2A98"/>
    <w:rsid w:val="0B765B95"/>
    <w:rsid w:val="0B7D1977"/>
    <w:rsid w:val="0BC2042A"/>
    <w:rsid w:val="0BD725F5"/>
    <w:rsid w:val="0BE300B2"/>
    <w:rsid w:val="0BFC1173"/>
    <w:rsid w:val="0C0A7D34"/>
    <w:rsid w:val="0C123173"/>
    <w:rsid w:val="0C2B2513"/>
    <w:rsid w:val="0C3D7481"/>
    <w:rsid w:val="0C496B59"/>
    <w:rsid w:val="0C8F2829"/>
    <w:rsid w:val="0C9B1B11"/>
    <w:rsid w:val="0CBD145F"/>
    <w:rsid w:val="0CCA1FD1"/>
    <w:rsid w:val="0CD803E5"/>
    <w:rsid w:val="0CFE26A9"/>
    <w:rsid w:val="0D49663A"/>
    <w:rsid w:val="0D570D57"/>
    <w:rsid w:val="0D5F19BA"/>
    <w:rsid w:val="0D8308C4"/>
    <w:rsid w:val="0D99476A"/>
    <w:rsid w:val="0DB51F60"/>
    <w:rsid w:val="0DC679A9"/>
    <w:rsid w:val="0E0D2217"/>
    <w:rsid w:val="0E0D57F7"/>
    <w:rsid w:val="0E0F3E38"/>
    <w:rsid w:val="0E2A021A"/>
    <w:rsid w:val="0E526B07"/>
    <w:rsid w:val="0E5D5183"/>
    <w:rsid w:val="0EE12586"/>
    <w:rsid w:val="0F1B54BA"/>
    <w:rsid w:val="0F2E7F13"/>
    <w:rsid w:val="0F3375A2"/>
    <w:rsid w:val="0F396A6C"/>
    <w:rsid w:val="0F4E7EE7"/>
    <w:rsid w:val="0F5E3A6B"/>
    <w:rsid w:val="0F8267DB"/>
    <w:rsid w:val="0FA43FFC"/>
    <w:rsid w:val="104A6173"/>
    <w:rsid w:val="10855BDB"/>
    <w:rsid w:val="10973517"/>
    <w:rsid w:val="10BD35C7"/>
    <w:rsid w:val="10CC7EE4"/>
    <w:rsid w:val="10FB5E9E"/>
    <w:rsid w:val="1109042B"/>
    <w:rsid w:val="111911C3"/>
    <w:rsid w:val="11325DA5"/>
    <w:rsid w:val="1143339D"/>
    <w:rsid w:val="11495112"/>
    <w:rsid w:val="116700C5"/>
    <w:rsid w:val="117A462E"/>
    <w:rsid w:val="11847C41"/>
    <w:rsid w:val="11864A5F"/>
    <w:rsid w:val="11BC4D17"/>
    <w:rsid w:val="11E22BBA"/>
    <w:rsid w:val="11E64458"/>
    <w:rsid w:val="11F272A1"/>
    <w:rsid w:val="124D60E5"/>
    <w:rsid w:val="125A3098"/>
    <w:rsid w:val="126420E9"/>
    <w:rsid w:val="126B0E01"/>
    <w:rsid w:val="12A76776"/>
    <w:rsid w:val="13192BB2"/>
    <w:rsid w:val="131C53CB"/>
    <w:rsid w:val="1323348A"/>
    <w:rsid w:val="134D6332"/>
    <w:rsid w:val="137415A0"/>
    <w:rsid w:val="139130A4"/>
    <w:rsid w:val="13A97F48"/>
    <w:rsid w:val="13B16EED"/>
    <w:rsid w:val="14397DD8"/>
    <w:rsid w:val="143F10DF"/>
    <w:rsid w:val="14671DBF"/>
    <w:rsid w:val="14854B12"/>
    <w:rsid w:val="14B22D17"/>
    <w:rsid w:val="14C32666"/>
    <w:rsid w:val="151235F9"/>
    <w:rsid w:val="157C1490"/>
    <w:rsid w:val="15835C67"/>
    <w:rsid w:val="15903CA5"/>
    <w:rsid w:val="15936911"/>
    <w:rsid w:val="15E45152"/>
    <w:rsid w:val="15EF3AF7"/>
    <w:rsid w:val="161004B7"/>
    <w:rsid w:val="162118FC"/>
    <w:rsid w:val="162400F6"/>
    <w:rsid w:val="163A1216"/>
    <w:rsid w:val="164D0F49"/>
    <w:rsid w:val="16806E74"/>
    <w:rsid w:val="169225C3"/>
    <w:rsid w:val="16A11295"/>
    <w:rsid w:val="16DA67F6"/>
    <w:rsid w:val="16E2752A"/>
    <w:rsid w:val="16E65C35"/>
    <w:rsid w:val="17017F86"/>
    <w:rsid w:val="17457E73"/>
    <w:rsid w:val="174D31CB"/>
    <w:rsid w:val="175A2A01"/>
    <w:rsid w:val="176D73C9"/>
    <w:rsid w:val="177A7C85"/>
    <w:rsid w:val="177E3384"/>
    <w:rsid w:val="177F0D27"/>
    <w:rsid w:val="17AC1E4E"/>
    <w:rsid w:val="17CD06E2"/>
    <w:rsid w:val="17FB3316"/>
    <w:rsid w:val="180977F9"/>
    <w:rsid w:val="1869796A"/>
    <w:rsid w:val="187A7192"/>
    <w:rsid w:val="18817CB2"/>
    <w:rsid w:val="18950986"/>
    <w:rsid w:val="189C3C17"/>
    <w:rsid w:val="18A51933"/>
    <w:rsid w:val="18B51C8F"/>
    <w:rsid w:val="18BB3B37"/>
    <w:rsid w:val="18BE612E"/>
    <w:rsid w:val="18BF5274"/>
    <w:rsid w:val="19173A91"/>
    <w:rsid w:val="193A152D"/>
    <w:rsid w:val="19436939"/>
    <w:rsid w:val="196B3484"/>
    <w:rsid w:val="198218CD"/>
    <w:rsid w:val="19861019"/>
    <w:rsid w:val="19A1335A"/>
    <w:rsid w:val="19B906A4"/>
    <w:rsid w:val="19DE010A"/>
    <w:rsid w:val="1A03709F"/>
    <w:rsid w:val="1A072B23"/>
    <w:rsid w:val="1A080F1B"/>
    <w:rsid w:val="1ABC48F0"/>
    <w:rsid w:val="1ADF05DE"/>
    <w:rsid w:val="1AF365C0"/>
    <w:rsid w:val="1AFD6614"/>
    <w:rsid w:val="1B1B1F29"/>
    <w:rsid w:val="1B4319C9"/>
    <w:rsid w:val="1B7E3953"/>
    <w:rsid w:val="1BC952F2"/>
    <w:rsid w:val="1BCF89D9"/>
    <w:rsid w:val="1BDB41D6"/>
    <w:rsid w:val="1BE85270"/>
    <w:rsid w:val="1C0876C1"/>
    <w:rsid w:val="1C4F3541"/>
    <w:rsid w:val="1C611550"/>
    <w:rsid w:val="1C6C40F3"/>
    <w:rsid w:val="1C870638"/>
    <w:rsid w:val="1C9F1DD3"/>
    <w:rsid w:val="1CB3587E"/>
    <w:rsid w:val="1CB7665E"/>
    <w:rsid w:val="1CBD641F"/>
    <w:rsid w:val="1CC21F65"/>
    <w:rsid w:val="1CCE4466"/>
    <w:rsid w:val="1CFD2F9D"/>
    <w:rsid w:val="1D3F35B6"/>
    <w:rsid w:val="1D405808"/>
    <w:rsid w:val="1D504EC1"/>
    <w:rsid w:val="1D7030F5"/>
    <w:rsid w:val="1D743260"/>
    <w:rsid w:val="1DDD44C8"/>
    <w:rsid w:val="1E060BE2"/>
    <w:rsid w:val="1E086616"/>
    <w:rsid w:val="1E195BB5"/>
    <w:rsid w:val="1E1E766F"/>
    <w:rsid w:val="1E3105C3"/>
    <w:rsid w:val="1EBB4EBE"/>
    <w:rsid w:val="1EEA1408"/>
    <w:rsid w:val="1F1728E6"/>
    <w:rsid w:val="1F4503F6"/>
    <w:rsid w:val="1F576995"/>
    <w:rsid w:val="1F8136F5"/>
    <w:rsid w:val="1FB350D1"/>
    <w:rsid w:val="1FB85127"/>
    <w:rsid w:val="1FCB1AFA"/>
    <w:rsid w:val="20084133"/>
    <w:rsid w:val="200F7270"/>
    <w:rsid w:val="20104D96"/>
    <w:rsid w:val="203065DE"/>
    <w:rsid w:val="205B55E2"/>
    <w:rsid w:val="205D622D"/>
    <w:rsid w:val="206F236A"/>
    <w:rsid w:val="20887022"/>
    <w:rsid w:val="20AC1E18"/>
    <w:rsid w:val="20EA1A41"/>
    <w:rsid w:val="20F90404"/>
    <w:rsid w:val="213056EF"/>
    <w:rsid w:val="213100CA"/>
    <w:rsid w:val="21494A03"/>
    <w:rsid w:val="219263AA"/>
    <w:rsid w:val="21D2064D"/>
    <w:rsid w:val="21DF48AF"/>
    <w:rsid w:val="21E46A4E"/>
    <w:rsid w:val="21EC13EF"/>
    <w:rsid w:val="21FB714B"/>
    <w:rsid w:val="2213502C"/>
    <w:rsid w:val="221E19EC"/>
    <w:rsid w:val="22210462"/>
    <w:rsid w:val="222A0391"/>
    <w:rsid w:val="225A41F0"/>
    <w:rsid w:val="225E44DE"/>
    <w:rsid w:val="22656765"/>
    <w:rsid w:val="22723AE6"/>
    <w:rsid w:val="22810396"/>
    <w:rsid w:val="22877591"/>
    <w:rsid w:val="22912EC0"/>
    <w:rsid w:val="22A139BF"/>
    <w:rsid w:val="22CA2FC7"/>
    <w:rsid w:val="230F7587"/>
    <w:rsid w:val="23162C67"/>
    <w:rsid w:val="231F3AEB"/>
    <w:rsid w:val="231F5939"/>
    <w:rsid w:val="23254AE0"/>
    <w:rsid w:val="2331574F"/>
    <w:rsid w:val="235B7CFE"/>
    <w:rsid w:val="236B6EB3"/>
    <w:rsid w:val="237F5E1F"/>
    <w:rsid w:val="2392339C"/>
    <w:rsid w:val="23943268"/>
    <w:rsid w:val="23B95D62"/>
    <w:rsid w:val="2424165E"/>
    <w:rsid w:val="24244ED4"/>
    <w:rsid w:val="242B219E"/>
    <w:rsid w:val="242D23BA"/>
    <w:rsid w:val="243B4AD7"/>
    <w:rsid w:val="245711E5"/>
    <w:rsid w:val="246B2598"/>
    <w:rsid w:val="24997BD1"/>
    <w:rsid w:val="24B11094"/>
    <w:rsid w:val="251A0B90"/>
    <w:rsid w:val="252E1F46"/>
    <w:rsid w:val="254A3177"/>
    <w:rsid w:val="25954413"/>
    <w:rsid w:val="25A30362"/>
    <w:rsid w:val="25A462E2"/>
    <w:rsid w:val="25A561C7"/>
    <w:rsid w:val="25A907A8"/>
    <w:rsid w:val="25C0501D"/>
    <w:rsid w:val="25CC4B2B"/>
    <w:rsid w:val="25CD10F9"/>
    <w:rsid w:val="25D16D75"/>
    <w:rsid w:val="25DB4803"/>
    <w:rsid w:val="2609650F"/>
    <w:rsid w:val="260D6801"/>
    <w:rsid w:val="2611620E"/>
    <w:rsid w:val="263D0486"/>
    <w:rsid w:val="265D154E"/>
    <w:rsid w:val="265E4AAD"/>
    <w:rsid w:val="26663961"/>
    <w:rsid w:val="26987911"/>
    <w:rsid w:val="269A360B"/>
    <w:rsid w:val="26BE0028"/>
    <w:rsid w:val="27194E78"/>
    <w:rsid w:val="27552761"/>
    <w:rsid w:val="27910EB2"/>
    <w:rsid w:val="27B72598"/>
    <w:rsid w:val="27E94BC4"/>
    <w:rsid w:val="27F51441"/>
    <w:rsid w:val="2809760F"/>
    <w:rsid w:val="280F6544"/>
    <w:rsid w:val="284A0044"/>
    <w:rsid w:val="289508A3"/>
    <w:rsid w:val="28AF15F0"/>
    <w:rsid w:val="28EA087A"/>
    <w:rsid w:val="28EF5660"/>
    <w:rsid w:val="28F72F97"/>
    <w:rsid w:val="29191616"/>
    <w:rsid w:val="292B4F24"/>
    <w:rsid w:val="2938245E"/>
    <w:rsid w:val="2950171F"/>
    <w:rsid w:val="298113C1"/>
    <w:rsid w:val="29E63150"/>
    <w:rsid w:val="29F41D18"/>
    <w:rsid w:val="2A3A313B"/>
    <w:rsid w:val="2A51670D"/>
    <w:rsid w:val="2A703001"/>
    <w:rsid w:val="2A8F792B"/>
    <w:rsid w:val="2A966CBE"/>
    <w:rsid w:val="2AAF4231"/>
    <w:rsid w:val="2ADC2444"/>
    <w:rsid w:val="2AE906CB"/>
    <w:rsid w:val="2AED3D33"/>
    <w:rsid w:val="2AFF555D"/>
    <w:rsid w:val="2B991D4C"/>
    <w:rsid w:val="2B9F7652"/>
    <w:rsid w:val="2BCB616A"/>
    <w:rsid w:val="2BFC211E"/>
    <w:rsid w:val="2C105A4A"/>
    <w:rsid w:val="2C133F1E"/>
    <w:rsid w:val="2C203772"/>
    <w:rsid w:val="2C2F661E"/>
    <w:rsid w:val="2C452775"/>
    <w:rsid w:val="2C736DD8"/>
    <w:rsid w:val="2C7D4415"/>
    <w:rsid w:val="2C7E5D56"/>
    <w:rsid w:val="2C97659A"/>
    <w:rsid w:val="2C9D76A2"/>
    <w:rsid w:val="2CC118F2"/>
    <w:rsid w:val="2CFC6DCE"/>
    <w:rsid w:val="2D0D2D89"/>
    <w:rsid w:val="2D5776A5"/>
    <w:rsid w:val="2DAF5BEE"/>
    <w:rsid w:val="2DD65871"/>
    <w:rsid w:val="2DD9565F"/>
    <w:rsid w:val="2E463EE6"/>
    <w:rsid w:val="2E540104"/>
    <w:rsid w:val="2E8E614B"/>
    <w:rsid w:val="2E9D3382"/>
    <w:rsid w:val="2ED43335"/>
    <w:rsid w:val="2ED563FB"/>
    <w:rsid w:val="2EF064BE"/>
    <w:rsid w:val="2EFF3620"/>
    <w:rsid w:val="2F0315A3"/>
    <w:rsid w:val="2F04676A"/>
    <w:rsid w:val="2F07200E"/>
    <w:rsid w:val="2F3C4C02"/>
    <w:rsid w:val="2F6D0B06"/>
    <w:rsid w:val="2F9E416C"/>
    <w:rsid w:val="2FA554FB"/>
    <w:rsid w:val="2FB83911"/>
    <w:rsid w:val="2FC34145"/>
    <w:rsid w:val="2FDB57F3"/>
    <w:rsid w:val="2FE91E87"/>
    <w:rsid w:val="2FFD70E5"/>
    <w:rsid w:val="30093CDB"/>
    <w:rsid w:val="30180DCD"/>
    <w:rsid w:val="30234296"/>
    <w:rsid w:val="302C1778"/>
    <w:rsid w:val="30566F5E"/>
    <w:rsid w:val="305B205D"/>
    <w:rsid w:val="30670A02"/>
    <w:rsid w:val="30810C59"/>
    <w:rsid w:val="30B312FD"/>
    <w:rsid w:val="30EC5047"/>
    <w:rsid w:val="31060DE6"/>
    <w:rsid w:val="31061FC9"/>
    <w:rsid w:val="311E38B4"/>
    <w:rsid w:val="315C6248"/>
    <w:rsid w:val="31713594"/>
    <w:rsid w:val="318B715B"/>
    <w:rsid w:val="31D61CC4"/>
    <w:rsid w:val="31D7118A"/>
    <w:rsid w:val="31DC0F7C"/>
    <w:rsid w:val="320008F1"/>
    <w:rsid w:val="32151EA7"/>
    <w:rsid w:val="32292413"/>
    <w:rsid w:val="32786EF6"/>
    <w:rsid w:val="32837BFA"/>
    <w:rsid w:val="32BD321B"/>
    <w:rsid w:val="32D81743"/>
    <w:rsid w:val="32E225C2"/>
    <w:rsid w:val="32F27C96"/>
    <w:rsid w:val="32FD149B"/>
    <w:rsid w:val="33411E93"/>
    <w:rsid w:val="33B40C5F"/>
    <w:rsid w:val="33C63C91"/>
    <w:rsid w:val="343516FB"/>
    <w:rsid w:val="345E01D1"/>
    <w:rsid w:val="3481200A"/>
    <w:rsid w:val="348C7AC7"/>
    <w:rsid w:val="34BA37F6"/>
    <w:rsid w:val="34BE2FB1"/>
    <w:rsid w:val="34D16D92"/>
    <w:rsid w:val="34EF2C5B"/>
    <w:rsid w:val="34F34F5A"/>
    <w:rsid w:val="34F84078"/>
    <w:rsid w:val="352944D8"/>
    <w:rsid w:val="352960B5"/>
    <w:rsid w:val="35492DCC"/>
    <w:rsid w:val="355E5AD1"/>
    <w:rsid w:val="35684088"/>
    <w:rsid w:val="356E282C"/>
    <w:rsid w:val="35EE4D5A"/>
    <w:rsid w:val="360A4309"/>
    <w:rsid w:val="36402C0D"/>
    <w:rsid w:val="3643781B"/>
    <w:rsid w:val="36A60369"/>
    <w:rsid w:val="36D5408F"/>
    <w:rsid w:val="36D80A21"/>
    <w:rsid w:val="36EE59D9"/>
    <w:rsid w:val="36F211FD"/>
    <w:rsid w:val="376C4282"/>
    <w:rsid w:val="37835E55"/>
    <w:rsid w:val="37CD446C"/>
    <w:rsid w:val="37D3697D"/>
    <w:rsid w:val="37D7646D"/>
    <w:rsid w:val="38080D1C"/>
    <w:rsid w:val="381476C1"/>
    <w:rsid w:val="38384CFA"/>
    <w:rsid w:val="383B2D1A"/>
    <w:rsid w:val="38545D10"/>
    <w:rsid w:val="386F277F"/>
    <w:rsid w:val="386F48F8"/>
    <w:rsid w:val="38747127"/>
    <w:rsid w:val="387737AC"/>
    <w:rsid w:val="387D6E9F"/>
    <w:rsid w:val="387F7D49"/>
    <w:rsid w:val="38961E84"/>
    <w:rsid w:val="38A32AFD"/>
    <w:rsid w:val="38B42CA6"/>
    <w:rsid w:val="38C64085"/>
    <w:rsid w:val="38D27183"/>
    <w:rsid w:val="38E57F67"/>
    <w:rsid w:val="38EF5A38"/>
    <w:rsid w:val="38F93C10"/>
    <w:rsid w:val="39660242"/>
    <w:rsid w:val="39677CC5"/>
    <w:rsid w:val="396E4BAF"/>
    <w:rsid w:val="39BF540B"/>
    <w:rsid w:val="39E06A07"/>
    <w:rsid w:val="39FB0669"/>
    <w:rsid w:val="3A257964"/>
    <w:rsid w:val="3AA62924"/>
    <w:rsid w:val="3AAD5BAB"/>
    <w:rsid w:val="3ABF2298"/>
    <w:rsid w:val="3B0C081D"/>
    <w:rsid w:val="3B0C5280"/>
    <w:rsid w:val="3B1A6930"/>
    <w:rsid w:val="3B231D40"/>
    <w:rsid w:val="3B6E2517"/>
    <w:rsid w:val="3BBA0580"/>
    <w:rsid w:val="3BC76580"/>
    <w:rsid w:val="3BEA11C9"/>
    <w:rsid w:val="3BFD046C"/>
    <w:rsid w:val="3C090015"/>
    <w:rsid w:val="3C0B0F0B"/>
    <w:rsid w:val="3C1E1EE2"/>
    <w:rsid w:val="3C4B567C"/>
    <w:rsid w:val="3C834E15"/>
    <w:rsid w:val="3C8D359F"/>
    <w:rsid w:val="3CD37EFE"/>
    <w:rsid w:val="3D082929"/>
    <w:rsid w:val="3D1B504E"/>
    <w:rsid w:val="3D6407A3"/>
    <w:rsid w:val="3D6D0F69"/>
    <w:rsid w:val="3D85696B"/>
    <w:rsid w:val="3D8E2AFE"/>
    <w:rsid w:val="3DA74050"/>
    <w:rsid w:val="3DB01892"/>
    <w:rsid w:val="3DBF00CF"/>
    <w:rsid w:val="3DC74E4C"/>
    <w:rsid w:val="3DC817DE"/>
    <w:rsid w:val="3DEA5EC6"/>
    <w:rsid w:val="3DF53E53"/>
    <w:rsid w:val="3E06004E"/>
    <w:rsid w:val="3E14256A"/>
    <w:rsid w:val="3E1C4F2E"/>
    <w:rsid w:val="3E374A24"/>
    <w:rsid w:val="3E424B35"/>
    <w:rsid w:val="3E5351D5"/>
    <w:rsid w:val="3E6B790F"/>
    <w:rsid w:val="3E8C7955"/>
    <w:rsid w:val="3EB412B6"/>
    <w:rsid w:val="3EDC080D"/>
    <w:rsid w:val="3EEA2F2A"/>
    <w:rsid w:val="3F367F1D"/>
    <w:rsid w:val="3F384FCF"/>
    <w:rsid w:val="3F3E521E"/>
    <w:rsid w:val="3F3F6F12"/>
    <w:rsid w:val="3F47212A"/>
    <w:rsid w:val="3F740A45"/>
    <w:rsid w:val="3F744EE9"/>
    <w:rsid w:val="3F982986"/>
    <w:rsid w:val="3FB65E92"/>
    <w:rsid w:val="3FB928FC"/>
    <w:rsid w:val="3FE536F1"/>
    <w:rsid w:val="3FEB5386"/>
    <w:rsid w:val="3FF05BE1"/>
    <w:rsid w:val="40084E77"/>
    <w:rsid w:val="401D2E8B"/>
    <w:rsid w:val="402B73E6"/>
    <w:rsid w:val="403918CF"/>
    <w:rsid w:val="404623E2"/>
    <w:rsid w:val="40624243"/>
    <w:rsid w:val="407056B1"/>
    <w:rsid w:val="40754A75"/>
    <w:rsid w:val="4081166C"/>
    <w:rsid w:val="40A610D2"/>
    <w:rsid w:val="40A8660C"/>
    <w:rsid w:val="40D90F20"/>
    <w:rsid w:val="41155923"/>
    <w:rsid w:val="41195D48"/>
    <w:rsid w:val="415154E2"/>
    <w:rsid w:val="41615D7E"/>
    <w:rsid w:val="41B56B53"/>
    <w:rsid w:val="41CF4659"/>
    <w:rsid w:val="41EB405B"/>
    <w:rsid w:val="422A4A7A"/>
    <w:rsid w:val="424E5D61"/>
    <w:rsid w:val="429F5713"/>
    <w:rsid w:val="42AE0712"/>
    <w:rsid w:val="42B4353C"/>
    <w:rsid w:val="42D741E3"/>
    <w:rsid w:val="42EE7A68"/>
    <w:rsid w:val="42FF7F79"/>
    <w:rsid w:val="43086074"/>
    <w:rsid w:val="43701763"/>
    <w:rsid w:val="437E00E5"/>
    <w:rsid w:val="438016CA"/>
    <w:rsid w:val="43830FEE"/>
    <w:rsid w:val="43C81360"/>
    <w:rsid w:val="43D75602"/>
    <w:rsid w:val="43F14D5A"/>
    <w:rsid w:val="44045059"/>
    <w:rsid w:val="440525B4"/>
    <w:rsid w:val="44754A2D"/>
    <w:rsid w:val="4478091B"/>
    <w:rsid w:val="44881B18"/>
    <w:rsid w:val="4497145E"/>
    <w:rsid w:val="44A3461C"/>
    <w:rsid w:val="44AE7B04"/>
    <w:rsid w:val="44B65141"/>
    <w:rsid w:val="44B6565C"/>
    <w:rsid w:val="44C55904"/>
    <w:rsid w:val="450E1174"/>
    <w:rsid w:val="45190035"/>
    <w:rsid w:val="452F5F4C"/>
    <w:rsid w:val="45383C57"/>
    <w:rsid w:val="454113CA"/>
    <w:rsid w:val="4542144E"/>
    <w:rsid w:val="454315E6"/>
    <w:rsid w:val="454C31E3"/>
    <w:rsid w:val="45724994"/>
    <w:rsid w:val="4583444B"/>
    <w:rsid w:val="45AB23B5"/>
    <w:rsid w:val="45D73F74"/>
    <w:rsid w:val="45F20A03"/>
    <w:rsid w:val="461B7E6D"/>
    <w:rsid w:val="46225CA6"/>
    <w:rsid w:val="46570B7F"/>
    <w:rsid w:val="46586D4B"/>
    <w:rsid w:val="465A795D"/>
    <w:rsid w:val="46834FC3"/>
    <w:rsid w:val="46FD57C4"/>
    <w:rsid w:val="47034758"/>
    <w:rsid w:val="47140E7E"/>
    <w:rsid w:val="4716722E"/>
    <w:rsid w:val="471746ED"/>
    <w:rsid w:val="47C354B2"/>
    <w:rsid w:val="47C9559D"/>
    <w:rsid w:val="47CC284A"/>
    <w:rsid w:val="47D048BC"/>
    <w:rsid w:val="48143A2B"/>
    <w:rsid w:val="481A20B6"/>
    <w:rsid w:val="483C1890"/>
    <w:rsid w:val="483F2463"/>
    <w:rsid w:val="4896076C"/>
    <w:rsid w:val="48A14898"/>
    <w:rsid w:val="48BB1493"/>
    <w:rsid w:val="48C52312"/>
    <w:rsid w:val="48DB1B35"/>
    <w:rsid w:val="48EC789E"/>
    <w:rsid w:val="491F2669"/>
    <w:rsid w:val="49526EB4"/>
    <w:rsid w:val="49756CB8"/>
    <w:rsid w:val="49915D1A"/>
    <w:rsid w:val="49D942C7"/>
    <w:rsid w:val="49E8117F"/>
    <w:rsid w:val="49EF7646"/>
    <w:rsid w:val="49F12736"/>
    <w:rsid w:val="49F930E0"/>
    <w:rsid w:val="4A05620B"/>
    <w:rsid w:val="4A096685"/>
    <w:rsid w:val="4A0A4DA4"/>
    <w:rsid w:val="4A1231CF"/>
    <w:rsid w:val="4A1F6E62"/>
    <w:rsid w:val="4A3C6604"/>
    <w:rsid w:val="4ABC373D"/>
    <w:rsid w:val="4AD1021E"/>
    <w:rsid w:val="4AEE0F90"/>
    <w:rsid w:val="4AF0316F"/>
    <w:rsid w:val="4B047908"/>
    <w:rsid w:val="4B0F6C8F"/>
    <w:rsid w:val="4B1067E7"/>
    <w:rsid w:val="4B2C5E19"/>
    <w:rsid w:val="4B6A3785"/>
    <w:rsid w:val="4BB06072"/>
    <w:rsid w:val="4C4009E7"/>
    <w:rsid w:val="4C5E09B9"/>
    <w:rsid w:val="4C691378"/>
    <w:rsid w:val="4C6C79C4"/>
    <w:rsid w:val="4C942727"/>
    <w:rsid w:val="4CB67F21"/>
    <w:rsid w:val="4D0C4EDB"/>
    <w:rsid w:val="4D111FCA"/>
    <w:rsid w:val="4D292E6F"/>
    <w:rsid w:val="4D4B229B"/>
    <w:rsid w:val="4D720DA7"/>
    <w:rsid w:val="4D763316"/>
    <w:rsid w:val="4D9C4497"/>
    <w:rsid w:val="4DD81EA9"/>
    <w:rsid w:val="4E473EF5"/>
    <w:rsid w:val="4E4B30FD"/>
    <w:rsid w:val="4E676345"/>
    <w:rsid w:val="4E7C3473"/>
    <w:rsid w:val="4EA56E6D"/>
    <w:rsid w:val="4EB517F2"/>
    <w:rsid w:val="4ECE29EC"/>
    <w:rsid w:val="4EE334F2"/>
    <w:rsid w:val="4EF93F04"/>
    <w:rsid w:val="4F1156F4"/>
    <w:rsid w:val="4F136945"/>
    <w:rsid w:val="4F293A6D"/>
    <w:rsid w:val="4F2B1E42"/>
    <w:rsid w:val="4F975815"/>
    <w:rsid w:val="4FDC03A1"/>
    <w:rsid w:val="4FEE214E"/>
    <w:rsid w:val="502A5210"/>
    <w:rsid w:val="502B5150"/>
    <w:rsid w:val="50304ED3"/>
    <w:rsid w:val="50387D3F"/>
    <w:rsid w:val="50554B7F"/>
    <w:rsid w:val="505D5410"/>
    <w:rsid w:val="50887192"/>
    <w:rsid w:val="50BA10E4"/>
    <w:rsid w:val="50D43A3A"/>
    <w:rsid w:val="50E74E01"/>
    <w:rsid w:val="511107EA"/>
    <w:rsid w:val="512025D6"/>
    <w:rsid w:val="515B5AA7"/>
    <w:rsid w:val="517E1EF1"/>
    <w:rsid w:val="518C6764"/>
    <w:rsid w:val="518E3BE9"/>
    <w:rsid w:val="51A508E7"/>
    <w:rsid w:val="51DD6022"/>
    <w:rsid w:val="520F53AD"/>
    <w:rsid w:val="52275EB2"/>
    <w:rsid w:val="523E0F91"/>
    <w:rsid w:val="526B1CE3"/>
    <w:rsid w:val="526E606C"/>
    <w:rsid w:val="52D003E7"/>
    <w:rsid w:val="52DB5734"/>
    <w:rsid w:val="52EA44E7"/>
    <w:rsid w:val="52F42171"/>
    <w:rsid w:val="52F43FF6"/>
    <w:rsid w:val="53463EF0"/>
    <w:rsid w:val="534D6F8E"/>
    <w:rsid w:val="537217C7"/>
    <w:rsid w:val="538A6632"/>
    <w:rsid w:val="5391176E"/>
    <w:rsid w:val="53CB1124"/>
    <w:rsid w:val="53CB1303"/>
    <w:rsid w:val="53EA5979"/>
    <w:rsid w:val="540723BD"/>
    <w:rsid w:val="543071D9"/>
    <w:rsid w:val="543B4702"/>
    <w:rsid w:val="54464B8A"/>
    <w:rsid w:val="544762AC"/>
    <w:rsid w:val="544967CB"/>
    <w:rsid w:val="544D38E7"/>
    <w:rsid w:val="54870CE9"/>
    <w:rsid w:val="548C44D0"/>
    <w:rsid w:val="54A43723"/>
    <w:rsid w:val="54AA393B"/>
    <w:rsid w:val="54AE08E3"/>
    <w:rsid w:val="54D06C3C"/>
    <w:rsid w:val="54E30B3C"/>
    <w:rsid w:val="54F00716"/>
    <w:rsid w:val="54F448A4"/>
    <w:rsid w:val="55180893"/>
    <w:rsid w:val="5526693A"/>
    <w:rsid w:val="552D54C7"/>
    <w:rsid w:val="55393E6B"/>
    <w:rsid w:val="553B4087"/>
    <w:rsid w:val="5572737D"/>
    <w:rsid w:val="55847E23"/>
    <w:rsid w:val="55AF20CE"/>
    <w:rsid w:val="55AF2380"/>
    <w:rsid w:val="55EE4C56"/>
    <w:rsid w:val="56356DBB"/>
    <w:rsid w:val="56422331"/>
    <w:rsid w:val="564A004F"/>
    <w:rsid w:val="566E3FE9"/>
    <w:rsid w:val="56824C41"/>
    <w:rsid w:val="568D446F"/>
    <w:rsid w:val="5697618B"/>
    <w:rsid w:val="56A96DCF"/>
    <w:rsid w:val="56CA2358"/>
    <w:rsid w:val="56F56C5D"/>
    <w:rsid w:val="5721105B"/>
    <w:rsid w:val="5728138D"/>
    <w:rsid w:val="574232EE"/>
    <w:rsid w:val="57AD3975"/>
    <w:rsid w:val="57C54915"/>
    <w:rsid w:val="57F9070D"/>
    <w:rsid w:val="58076362"/>
    <w:rsid w:val="582313D3"/>
    <w:rsid w:val="588817BB"/>
    <w:rsid w:val="58904C8A"/>
    <w:rsid w:val="58A4226E"/>
    <w:rsid w:val="58D2085F"/>
    <w:rsid w:val="58DC3983"/>
    <w:rsid w:val="58DE1373"/>
    <w:rsid w:val="59254E33"/>
    <w:rsid w:val="594B23BF"/>
    <w:rsid w:val="596168AD"/>
    <w:rsid w:val="59637709"/>
    <w:rsid w:val="5967369D"/>
    <w:rsid w:val="59774ACC"/>
    <w:rsid w:val="597E4A16"/>
    <w:rsid w:val="59F56B12"/>
    <w:rsid w:val="5A511C57"/>
    <w:rsid w:val="5A755946"/>
    <w:rsid w:val="5A8326F7"/>
    <w:rsid w:val="5A9A53AC"/>
    <w:rsid w:val="5AC9244D"/>
    <w:rsid w:val="5B19078A"/>
    <w:rsid w:val="5B3C756A"/>
    <w:rsid w:val="5B4A1675"/>
    <w:rsid w:val="5B51582B"/>
    <w:rsid w:val="5BA109C3"/>
    <w:rsid w:val="5BBC1352"/>
    <w:rsid w:val="5C147B09"/>
    <w:rsid w:val="5C3C0E61"/>
    <w:rsid w:val="5C672353"/>
    <w:rsid w:val="5C7920D2"/>
    <w:rsid w:val="5CCA5622"/>
    <w:rsid w:val="5CE677CD"/>
    <w:rsid w:val="5D072AA1"/>
    <w:rsid w:val="5D1325AE"/>
    <w:rsid w:val="5D292A17"/>
    <w:rsid w:val="5D2E44D2"/>
    <w:rsid w:val="5D3A7375"/>
    <w:rsid w:val="5D562647"/>
    <w:rsid w:val="5D700646"/>
    <w:rsid w:val="5D89735E"/>
    <w:rsid w:val="5D963A36"/>
    <w:rsid w:val="5DCA3A18"/>
    <w:rsid w:val="5E045326"/>
    <w:rsid w:val="5E345B18"/>
    <w:rsid w:val="5E554366"/>
    <w:rsid w:val="5E6E6F1F"/>
    <w:rsid w:val="5E952F41"/>
    <w:rsid w:val="5EAC1F1C"/>
    <w:rsid w:val="5EAE7497"/>
    <w:rsid w:val="5EBB4B7B"/>
    <w:rsid w:val="5EBE02DB"/>
    <w:rsid w:val="5ED370DF"/>
    <w:rsid w:val="5ED412BD"/>
    <w:rsid w:val="5EFB23C2"/>
    <w:rsid w:val="5F0F10E7"/>
    <w:rsid w:val="5F6C3D73"/>
    <w:rsid w:val="5F7C6A25"/>
    <w:rsid w:val="5F882086"/>
    <w:rsid w:val="5FB2142F"/>
    <w:rsid w:val="5FC7101F"/>
    <w:rsid w:val="5FCF12B9"/>
    <w:rsid w:val="5FF05A6E"/>
    <w:rsid w:val="600E18DB"/>
    <w:rsid w:val="602B48B2"/>
    <w:rsid w:val="60430294"/>
    <w:rsid w:val="60433FA6"/>
    <w:rsid w:val="60671524"/>
    <w:rsid w:val="60714E01"/>
    <w:rsid w:val="60717CF2"/>
    <w:rsid w:val="6129748A"/>
    <w:rsid w:val="61322D83"/>
    <w:rsid w:val="61373B45"/>
    <w:rsid w:val="6140449A"/>
    <w:rsid w:val="6147127B"/>
    <w:rsid w:val="61504E19"/>
    <w:rsid w:val="61A46B11"/>
    <w:rsid w:val="61AD3C17"/>
    <w:rsid w:val="61B6101A"/>
    <w:rsid w:val="61FB103A"/>
    <w:rsid w:val="62392F16"/>
    <w:rsid w:val="6269762A"/>
    <w:rsid w:val="62704B5B"/>
    <w:rsid w:val="62814BAA"/>
    <w:rsid w:val="628B569E"/>
    <w:rsid w:val="62A50D92"/>
    <w:rsid w:val="62B91878"/>
    <w:rsid w:val="62F06648"/>
    <w:rsid w:val="62F50074"/>
    <w:rsid w:val="630C7063"/>
    <w:rsid w:val="630D619B"/>
    <w:rsid w:val="631876D7"/>
    <w:rsid w:val="634563ED"/>
    <w:rsid w:val="634D0E4E"/>
    <w:rsid w:val="63642BCE"/>
    <w:rsid w:val="63AB4186"/>
    <w:rsid w:val="63C74D38"/>
    <w:rsid w:val="63D55914"/>
    <w:rsid w:val="63ED0C43"/>
    <w:rsid w:val="64121E0D"/>
    <w:rsid w:val="641D00AF"/>
    <w:rsid w:val="644F2419"/>
    <w:rsid w:val="645760BC"/>
    <w:rsid w:val="64AC6408"/>
    <w:rsid w:val="64C80D68"/>
    <w:rsid w:val="64CD47D8"/>
    <w:rsid w:val="64D21D41"/>
    <w:rsid w:val="64D4595F"/>
    <w:rsid w:val="651D7306"/>
    <w:rsid w:val="65742452"/>
    <w:rsid w:val="65982872"/>
    <w:rsid w:val="65B732B6"/>
    <w:rsid w:val="65BD63F3"/>
    <w:rsid w:val="65E41BD1"/>
    <w:rsid w:val="6638620C"/>
    <w:rsid w:val="666845B1"/>
    <w:rsid w:val="66811B16"/>
    <w:rsid w:val="66914062"/>
    <w:rsid w:val="66BA369C"/>
    <w:rsid w:val="66C67529"/>
    <w:rsid w:val="66D41C46"/>
    <w:rsid w:val="67056C17"/>
    <w:rsid w:val="67121848"/>
    <w:rsid w:val="671B3BEF"/>
    <w:rsid w:val="672076F9"/>
    <w:rsid w:val="67281F92"/>
    <w:rsid w:val="67852F40"/>
    <w:rsid w:val="67982C74"/>
    <w:rsid w:val="67987117"/>
    <w:rsid w:val="67A12C4B"/>
    <w:rsid w:val="67BA708E"/>
    <w:rsid w:val="67C879E6"/>
    <w:rsid w:val="682C160E"/>
    <w:rsid w:val="685272C6"/>
    <w:rsid w:val="68527D75"/>
    <w:rsid w:val="685327A1"/>
    <w:rsid w:val="686B65DA"/>
    <w:rsid w:val="68720F3A"/>
    <w:rsid w:val="6895071F"/>
    <w:rsid w:val="68B91BAE"/>
    <w:rsid w:val="68C77CB4"/>
    <w:rsid w:val="68D423D1"/>
    <w:rsid w:val="69390486"/>
    <w:rsid w:val="69513A22"/>
    <w:rsid w:val="696944ED"/>
    <w:rsid w:val="696A007A"/>
    <w:rsid w:val="697C30C8"/>
    <w:rsid w:val="69824A4D"/>
    <w:rsid w:val="69826147"/>
    <w:rsid w:val="699B6A4B"/>
    <w:rsid w:val="69AD6C43"/>
    <w:rsid w:val="69D81A4D"/>
    <w:rsid w:val="69EB2192"/>
    <w:rsid w:val="6A375EC2"/>
    <w:rsid w:val="6A46487F"/>
    <w:rsid w:val="6A5C442C"/>
    <w:rsid w:val="6A86657E"/>
    <w:rsid w:val="6A9C04C7"/>
    <w:rsid w:val="6AC3666E"/>
    <w:rsid w:val="6AC76A3A"/>
    <w:rsid w:val="6B151F5A"/>
    <w:rsid w:val="6B233F3B"/>
    <w:rsid w:val="6B3B334A"/>
    <w:rsid w:val="6B4B0772"/>
    <w:rsid w:val="6B5D7F37"/>
    <w:rsid w:val="6B7D59FA"/>
    <w:rsid w:val="6B8005EE"/>
    <w:rsid w:val="6B8974A3"/>
    <w:rsid w:val="6BAE7DDB"/>
    <w:rsid w:val="6BB61486"/>
    <w:rsid w:val="6BDC2F65"/>
    <w:rsid w:val="6BEA69F8"/>
    <w:rsid w:val="6C0E5BFA"/>
    <w:rsid w:val="6C2216A6"/>
    <w:rsid w:val="6C360CAD"/>
    <w:rsid w:val="6C382AE1"/>
    <w:rsid w:val="6C474C68"/>
    <w:rsid w:val="6C543D68"/>
    <w:rsid w:val="6C6B3EF7"/>
    <w:rsid w:val="6C7C7BAF"/>
    <w:rsid w:val="6C7F4402"/>
    <w:rsid w:val="6C880C7D"/>
    <w:rsid w:val="6C887F2E"/>
    <w:rsid w:val="6C9A3C64"/>
    <w:rsid w:val="6C9F7446"/>
    <w:rsid w:val="6CC81F87"/>
    <w:rsid w:val="6CD40BF2"/>
    <w:rsid w:val="6CE53294"/>
    <w:rsid w:val="6CF0352F"/>
    <w:rsid w:val="6CFC1EF7"/>
    <w:rsid w:val="6D0F6F5E"/>
    <w:rsid w:val="6D11589D"/>
    <w:rsid w:val="6D156B14"/>
    <w:rsid w:val="6D445338"/>
    <w:rsid w:val="6D48513C"/>
    <w:rsid w:val="6D68133A"/>
    <w:rsid w:val="6D692989"/>
    <w:rsid w:val="6D7E7C6A"/>
    <w:rsid w:val="6DC742B3"/>
    <w:rsid w:val="6DDB5465"/>
    <w:rsid w:val="6DEF55B7"/>
    <w:rsid w:val="6E0739D7"/>
    <w:rsid w:val="6E731A0D"/>
    <w:rsid w:val="6E7F7A62"/>
    <w:rsid w:val="6E9A19C7"/>
    <w:rsid w:val="6EB440E9"/>
    <w:rsid w:val="6EB90621"/>
    <w:rsid w:val="6EBC193D"/>
    <w:rsid w:val="6EBD1212"/>
    <w:rsid w:val="6EBE56B6"/>
    <w:rsid w:val="6ED27FA4"/>
    <w:rsid w:val="6F06705D"/>
    <w:rsid w:val="6F153637"/>
    <w:rsid w:val="6F2D283B"/>
    <w:rsid w:val="6F2F0361"/>
    <w:rsid w:val="6F4D6A39"/>
    <w:rsid w:val="6F614293"/>
    <w:rsid w:val="6F7246F2"/>
    <w:rsid w:val="6F7E124A"/>
    <w:rsid w:val="6F8F2BAE"/>
    <w:rsid w:val="6FA94A62"/>
    <w:rsid w:val="6FB94B94"/>
    <w:rsid w:val="6FF1412A"/>
    <w:rsid w:val="701337DF"/>
    <w:rsid w:val="70545BA6"/>
    <w:rsid w:val="705604C3"/>
    <w:rsid w:val="707029DF"/>
    <w:rsid w:val="70970FDE"/>
    <w:rsid w:val="709D104F"/>
    <w:rsid w:val="70A36F0F"/>
    <w:rsid w:val="70B074D1"/>
    <w:rsid w:val="70FA499F"/>
    <w:rsid w:val="70FC4273"/>
    <w:rsid w:val="7123390F"/>
    <w:rsid w:val="71401B10"/>
    <w:rsid w:val="71426F1C"/>
    <w:rsid w:val="714F3FE5"/>
    <w:rsid w:val="7169498C"/>
    <w:rsid w:val="717A200D"/>
    <w:rsid w:val="719965FB"/>
    <w:rsid w:val="71C575A5"/>
    <w:rsid w:val="71E80C9B"/>
    <w:rsid w:val="72387A54"/>
    <w:rsid w:val="72833D52"/>
    <w:rsid w:val="7285473C"/>
    <w:rsid w:val="729A01E8"/>
    <w:rsid w:val="72C76B03"/>
    <w:rsid w:val="73080A44"/>
    <w:rsid w:val="73166260"/>
    <w:rsid w:val="733A1083"/>
    <w:rsid w:val="73693C04"/>
    <w:rsid w:val="736C3DBA"/>
    <w:rsid w:val="73797C84"/>
    <w:rsid w:val="73972979"/>
    <w:rsid w:val="739F72F3"/>
    <w:rsid w:val="73AB77E2"/>
    <w:rsid w:val="73B07652"/>
    <w:rsid w:val="73DB2A7F"/>
    <w:rsid w:val="73DC6C44"/>
    <w:rsid w:val="73EC6785"/>
    <w:rsid w:val="73F42B72"/>
    <w:rsid w:val="740F250F"/>
    <w:rsid w:val="741E4DAD"/>
    <w:rsid w:val="74522E59"/>
    <w:rsid w:val="74634609"/>
    <w:rsid w:val="746F3FC4"/>
    <w:rsid w:val="748B1DCA"/>
    <w:rsid w:val="74DD0F83"/>
    <w:rsid w:val="74DE1AB1"/>
    <w:rsid w:val="74F87447"/>
    <w:rsid w:val="75526B58"/>
    <w:rsid w:val="75532D54"/>
    <w:rsid w:val="755E3691"/>
    <w:rsid w:val="75734AE6"/>
    <w:rsid w:val="757E7345"/>
    <w:rsid w:val="759C12DB"/>
    <w:rsid w:val="75B66CB7"/>
    <w:rsid w:val="75C30DC4"/>
    <w:rsid w:val="75FE283B"/>
    <w:rsid w:val="76465F91"/>
    <w:rsid w:val="765F4CD8"/>
    <w:rsid w:val="769549C0"/>
    <w:rsid w:val="76E61C4D"/>
    <w:rsid w:val="76ED6AD1"/>
    <w:rsid w:val="774535D1"/>
    <w:rsid w:val="774C75D7"/>
    <w:rsid w:val="777234E1"/>
    <w:rsid w:val="77974721"/>
    <w:rsid w:val="77A47413"/>
    <w:rsid w:val="77B7138C"/>
    <w:rsid w:val="77CA3FED"/>
    <w:rsid w:val="77D966D5"/>
    <w:rsid w:val="77DDAC0F"/>
    <w:rsid w:val="77E93077"/>
    <w:rsid w:val="77F3500A"/>
    <w:rsid w:val="78040EAB"/>
    <w:rsid w:val="782B18E2"/>
    <w:rsid w:val="78354103"/>
    <w:rsid w:val="785E1CB7"/>
    <w:rsid w:val="787D249B"/>
    <w:rsid w:val="78896A97"/>
    <w:rsid w:val="78A23952"/>
    <w:rsid w:val="78A7540C"/>
    <w:rsid w:val="78AD4F49"/>
    <w:rsid w:val="78D930EC"/>
    <w:rsid w:val="78F369D5"/>
    <w:rsid w:val="79757554"/>
    <w:rsid w:val="797F7F1D"/>
    <w:rsid w:val="798006BC"/>
    <w:rsid w:val="79907C4E"/>
    <w:rsid w:val="79975481"/>
    <w:rsid w:val="79A0404F"/>
    <w:rsid w:val="79A436FA"/>
    <w:rsid w:val="79C26734"/>
    <w:rsid w:val="79CC0695"/>
    <w:rsid w:val="7A266805"/>
    <w:rsid w:val="7A3905A1"/>
    <w:rsid w:val="7A4D3AA3"/>
    <w:rsid w:val="7A9A5FB9"/>
    <w:rsid w:val="7AA6776D"/>
    <w:rsid w:val="7AB05834"/>
    <w:rsid w:val="7ABB6F4D"/>
    <w:rsid w:val="7AD72F66"/>
    <w:rsid w:val="7AFF36A9"/>
    <w:rsid w:val="7B7F57B8"/>
    <w:rsid w:val="7BB44029"/>
    <w:rsid w:val="7BE97AEA"/>
    <w:rsid w:val="7BFC4EE4"/>
    <w:rsid w:val="7C016BE2"/>
    <w:rsid w:val="7C14558C"/>
    <w:rsid w:val="7C381D81"/>
    <w:rsid w:val="7C472F78"/>
    <w:rsid w:val="7C7F6675"/>
    <w:rsid w:val="7C926C91"/>
    <w:rsid w:val="7D697134"/>
    <w:rsid w:val="7D6E7127"/>
    <w:rsid w:val="7D7613DB"/>
    <w:rsid w:val="7D851A94"/>
    <w:rsid w:val="7D89584C"/>
    <w:rsid w:val="7DB74351"/>
    <w:rsid w:val="7DCB56F9"/>
    <w:rsid w:val="7E03353C"/>
    <w:rsid w:val="7E154BC6"/>
    <w:rsid w:val="7E311A31"/>
    <w:rsid w:val="7E3A462D"/>
    <w:rsid w:val="7E507AA1"/>
    <w:rsid w:val="7E590F57"/>
    <w:rsid w:val="7E5971A9"/>
    <w:rsid w:val="7E5A7B78"/>
    <w:rsid w:val="7E6D46AA"/>
    <w:rsid w:val="7ECA2FEF"/>
    <w:rsid w:val="7ED9163C"/>
    <w:rsid w:val="7EF853D2"/>
    <w:rsid w:val="7F017B9C"/>
    <w:rsid w:val="7F1218E7"/>
    <w:rsid w:val="7F192494"/>
    <w:rsid w:val="7F381468"/>
    <w:rsid w:val="7F452FD4"/>
    <w:rsid w:val="7F6763F4"/>
    <w:rsid w:val="7F7C2BBB"/>
    <w:rsid w:val="7F9929DC"/>
    <w:rsid w:val="7FAF7FE8"/>
    <w:rsid w:val="7FB977D3"/>
    <w:rsid w:val="7FC401FE"/>
    <w:rsid w:val="7FD27C07"/>
    <w:rsid w:val="7FD8638A"/>
    <w:rsid w:val="7FF505E8"/>
    <w:rsid w:val="FB9F993E"/>
    <w:rsid w:val="FE7FA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1"/>
    <w:next w:val="4"/>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5"/>
    <w:basedOn w:val="1"/>
    <w:next w:val="1"/>
    <w:unhideWhenUsed/>
    <w:qFormat/>
    <w:uiPriority w:val="9"/>
    <w:pPr>
      <w:keepNext/>
      <w:keepLines/>
      <w:spacing w:before="280" w:after="290" w:line="372" w:lineRule="auto"/>
      <w:outlineLvl w:val="4"/>
    </w:pPr>
    <w:rPr>
      <w:b/>
      <w:sz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pPr>
    <w:rPr>
      <w:szCs w:val="20"/>
    </w:rPr>
  </w:style>
  <w:style w:type="paragraph" w:styleId="6">
    <w:name w:val="annotation text"/>
    <w:basedOn w:val="1"/>
    <w:link w:val="38"/>
    <w:qFormat/>
    <w:uiPriority w:val="0"/>
    <w:pPr>
      <w:spacing w:line="360" w:lineRule="auto"/>
      <w:ind w:firstLine="523" w:firstLineChars="218"/>
      <w:jc w:val="left"/>
    </w:pPr>
    <w:rPr>
      <w:rFonts w:ascii="宋体" w:hAnsi="宋体"/>
      <w:kern w:val="0"/>
      <w:sz w:val="24"/>
      <w:szCs w:val="24"/>
      <w:lang w:val="zh-CN"/>
    </w:rPr>
  </w:style>
  <w:style w:type="paragraph" w:styleId="7">
    <w:name w:val="Body Text"/>
    <w:basedOn w:val="1"/>
    <w:link w:val="33"/>
    <w:semiHidden/>
    <w:unhideWhenUsed/>
    <w:qFormat/>
    <w:uiPriority w:val="99"/>
    <w:pPr>
      <w:spacing w:after="120"/>
    </w:pPr>
  </w:style>
  <w:style w:type="paragraph" w:styleId="8">
    <w:name w:val="Body Text Indent"/>
    <w:basedOn w:val="1"/>
    <w:next w:val="9"/>
    <w:qFormat/>
    <w:uiPriority w:val="0"/>
    <w:pPr>
      <w:ind w:firstLine="570"/>
    </w:pPr>
    <w:rPr>
      <w:kern w:val="0"/>
      <w:sz w:val="28"/>
      <w:szCs w:val="20"/>
    </w:rPr>
  </w:style>
  <w:style w:type="paragraph" w:styleId="9">
    <w:name w:val="envelope return"/>
    <w:basedOn w:val="1"/>
    <w:qFormat/>
    <w:uiPriority w:val="0"/>
    <w:pPr>
      <w:snapToGrid w:val="0"/>
    </w:pPr>
    <w:rPr>
      <w:rFonts w:ascii="Arial" w:hAnsi="Arial"/>
      <w:szCs w:val="24"/>
    </w:rPr>
  </w:style>
  <w:style w:type="paragraph" w:styleId="10">
    <w:name w:val="Plain Text"/>
    <w:basedOn w:val="1"/>
    <w:next w:val="1"/>
    <w:qFormat/>
    <w:uiPriority w:val="0"/>
    <w:rPr>
      <w:rFonts w:ascii="宋体" w:hAnsi="Courier New"/>
    </w:rPr>
  </w:style>
  <w:style w:type="paragraph" w:styleId="11">
    <w:name w:val="Balloon Text"/>
    <w:basedOn w:val="1"/>
    <w:link w:val="39"/>
    <w:semiHidden/>
    <w:unhideWhenUsed/>
    <w:qFormat/>
    <w:uiPriority w:val="99"/>
    <w:rPr>
      <w:sz w:val="18"/>
      <w:szCs w:val="18"/>
    </w:rPr>
  </w:style>
  <w:style w:type="paragraph" w:styleId="12">
    <w:name w:val="footer"/>
    <w:basedOn w:val="1"/>
    <w:link w:val="32"/>
    <w:unhideWhenUsed/>
    <w:qFormat/>
    <w:uiPriority w:val="0"/>
    <w:pPr>
      <w:tabs>
        <w:tab w:val="center" w:pos="4153"/>
        <w:tab w:val="right" w:pos="8306"/>
      </w:tabs>
      <w:snapToGrid w:val="0"/>
      <w:jc w:val="left"/>
    </w:pPr>
    <w:rPr>
      <w:sz w:val="18"/>
      <w:szCs w:val="18"/>
    </w:rPr>
  </w:style>
  <w:style w:type="paragraph" w:styleId="13">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296"/>
      </w:tabs>
    </w:pPr>
    <w:rPr>
      <w:rFonts w:ascii="宋体" w:hAnsi="Times New Roman" w:eastAsia="楷体_GB2312" w:cs="Therese"/>
      <w:b/>
      <w:kern w:val="0"/>
      <w:sz w:val="28"/>
      <w:szCs w:val="20"/>
    </w:rPr>
  </w:style>
  <w:style w:type="paragraph" w:styleId="15">
    <w:name w:val="Body Text 2"/>
    <w:basedOn w:val="1"/>
    <w:link w:val="35"/>
    <w:qFormat/>
    <w:uiPriority w:val="0"/>
    <w:rPr>
      <w:rFonts w:ascii="宋体" w:hAnsi="宋体"/>
      <w:kern w:val="0"/>
      <w:sz w:val="20"/>
      <w:szCs w:val="24"/>
      <w:u w:val="single"/>
      <w:lang w:val="zh-CN"/>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annotation subject"/>
    <w:basedOn w:val="6"/>
    <w:next w:val="6"/>
    <w:link w:val="40"/>
    <w:semiHidden/>
    <w:unhideWhenUsed/>
    <w:qFormat/>
    <w:uiPriority w:val="99"/>
    <w:pPr>
      <w:spacing w:line="240" w:lineRule="auto"/>
      <w:ind w:firstLine="0" w:firstLineChars="0"/>
    </w:pPr>
    <w:rPr>
      <w:rFonts w:ascii="Calibri" w:hAnsi="Calibri"/>
      <w:b/>
      <w:bCs/>
      <w:kern w:val="2"/>
      <w:sz w:val="21"/>
      <w:szCs w:val="22"/>
      <w:lang w:val="en-US"/>
    </w:rPr>
  </w:style>
  <w:style w:type="paragraph" w:styleId="18">
    <w:name w:val="Body Text First Indent"/>
    <w:basedOn w:val="7"/>
    <w:link w:val="34"/>
    <w:qFormat/>
    <w:uiPriority w:val="0"/>
    <w:pPr>
      <w:ind w:firstLine="420"/>
    </w:pPr>
    <w:rPr>
      <w:rFonts w:ascii="Times New Roman" w:hAnsi="Times New Roman"/>
      <w:kern w:val="0"/>
      <w:sz w:val="20"/>
      <w:szCs w:val="20"/>
      <w:lang w:val="zh-CN"/>
    </w:rPr>
  </w:style>
  <w:style w:type="paragraph" w:styleId="19">
    <w:name w:val="Body Text First Indent 2"/>
    <w:basedOn w:val="8"/>
    <w:qFormat/>
    <w:uiPriority w:val="99"/>
    <w:pPr>
      <w:spacing w:after="120"/>
      <w:ind w:left="200" w:leftChars="200" w:firstLine="200" w:firstLineChars="200"/>
    </w:pPr>
    <w:rPr>
      <w:rFonts w:ascii="Calibri" w:hAnsi="Calibri"/>
      <w:color w:val="0D0D0D"/>
      <w:kern w:val="2"/>
      <w:sz w:val="21"/>
      <w:szCs w:val="24"/>
      <w:lang w:eastAsia="en-US"/>
    </w:rPr>
  </w:style>
  <w:style w:type="character" w:styleId="22">
    <w:name w:val="Strong"/>
    <w:basedOn w:val="21"/>
    <w:qFormat/>
    <w:uiPriority w:val="22"/>
    <w:rPr>
      <w:b/>
      <w:bCs/>
    </w:rPr>
  </w:style>
  <w:style w:type="character" w:styleId="23">
    <w:name w:val="page number"/>
    <w:qFormat/>
    <w:uiPriority w:val="0"/>
    <w:rPr>
      <w:rFonts w:cs="Times New Roman"/>
    </w:rPr>
  </w:style>
  <w:style w:type="character" w:styleId="24">
    <w:name w:val="FollowedHyperlink"/>
    <w:basedOn w:val="21"/>
    <w:semiHidden/>
    <w:unhideWhenUsed/>
    <w:qFormat/>
    <w:uiPriority w:val="99"/>
    <w:rPr>
      <w:color w:val="000000"/>
      <w:u w:val="none"/>
    </w:rPr>
  </w:style>
  <w:style w:type="character" w:styleId="25">
    <w:name w:val="HTML Definition"/>
    <w:basedOn w:val="21"/>
    <w:semiHidden/>
    <w:unhideWhenUsed/>
    <w:qFormat/>
    <w:uiPriority w:val="99"/>
    <w:rPr>
      <w:i/>
      <w:iCs/>
    </w:rPr>
  </w:style>
  <w:style w:type="character" w:styleId="26">
    <w:name w:val="Hyperlink"/>
    <w:basedOn w:val="21"/>
    <w:semiHidden/>
    <w:unhideWhenUsed/>
    <w:qFormat/>
    <w:uiPriority w:val="99"/>
    <w:rPr>
      <w:color w:val="000000"/>
      <w:u w:val="none"/>
    </w:rPr>
  </w:style>
  <w:style w:type="character" w:styleId="27">
    <w:name w:val="HTML Code"/>
    <w:basedOn w:val="21"/>
    <w:semiHidden/>
    <w:unhideWhenUsed/>
    <w:qFormat/>
    <w:uiPriority w:val="99"/>
    <w:rPr>
      <w:rFonts w:ascii="Consolas" w:hAnsi="Consolas" w:eastAsia="Consolas" w:cs="Consolas"/>
      <w:color w:val="C7254E"/>
      <w:sz w:val="21"/>
      <w:szCs w:val="21"/>
      <w:bdr w:val="single" w:color="E1E1E1" w:sz="2" w:space="0"/>
      <w:shd w:val="clear" w:fill="F9F2F4"/>
    </w:rPr>
  </w:style>
  <w:style w:type="character" w:styleId="28">
    <w:name w:val="annotation reference"/>
    <w:qFormat/>
    <w:uiPriority w:val="0"/>
    <w:rPr>
      <w:sz w:val="21"/>
      <w:szCs w:val="21"/>
    </w:rPr>
  </w:style>
  <w:style w:type="character" w:styleId="29">
    <w:name w:val="HTML Keyboard"/>
    <w:basedOn w:val="21"/>
    <w:semiHidden/>
    <w:unhideWhenUsed/>
    <w:qFormat/>
    <w:uiPriority w:val="99"/>
    <w:rPr>
      <w:rFonts w:hint="default" w:ascii="Consolas" w:hAnsi="Consolas" w:eastAsia="Consolas" w:cs="Consolas"/>
      <w:color w:val="FFFFFF"/>
      <w:sz w:val="21"/>
      <w:szCs w:val="21"/>
      <w:shd w:val="clear" w:fill="333333"/>
    </w:rPr>
  </w:style>
  <w:style w:type="character" w:styleId="30">
    <w:name w:val="HTML Sample"/>
    <w:basedOn w:val="21"/>
    <w:semiHidden/>
    <w:unhideWhenUsed/>
    <w:qFormat/>
    <w:uiPriority w:val="99"/>
    <w:rPr>
      <w:rFonts w:hint="default" w:ascii="Consolas" w:hAnsi="Consolas" w:eastAsia="Consolas" w:cs="Consolas"/>
      <w:sz w:val="21"/>
      <w:szCs w:val="21"/>
    </w:rPr>
  </w:style>
  <w:style w:type="character" w:customStyle="1" w:styleId="31">
    <w:name w:val="页眉 Char"/>
    <w:basedOn w:val="21"/>
    <w:link w:val="13"/>
    <w:qFormat/>
    <w:uiPriority w:val="0"/>
    <w:rPr>
      <w:sz w:val="18"/>
      <w:szCs w:val="18"/>
    </w:rPr>
  </w:style>
  <w:style w:type="character" w:customStyle="1" w:styleId="32">
    <w:name w:val="页脚 Char"/>
    <w:basedOn w:val="21"/>
    <w:link w:val="12"/>
    <w:qFormat/>
    <w:uiPriority w:val="0"/>
    <w:rPr>
      <w:sz w:val="18"/>
      <w:szCs w:val="18"/>
    </w:rPr>
  </w:style>
  <w:style w:type="character" w:customStyle="1" w:styleId="33">
    <w:name w:val="正文文本 Char"/>
    <w:basedOn w:val="21"/>
    <w:link w:val="7"/>
    <w:semiHidden/>
    <w:qFormat/>
    <w:uiPriority w:val="99"/>
    <w:rPr>
      <w:rFonts w:ascii="Calibri" w:hAnsi="Calibri" w:eastAsia="宋体" w:cs="Times New Roman"/>
    </w:rPr>
  </w:style>
  <w:style w:type="character" w:customStyle="1" w:styleId="34">
    <w:name w:val="正文首行缩进 Char"/>
    <w:basedOn w:val="33"/>
    <w:link w:val="18"/>
    <w:qFormat/>
    <w:uiPriority w:val="0"/>
    <w:rPr>
      <w:rFonts w:ascii="Times New Roman" w:hAnsi="Times New Roman" w:eastAsia="宋体" w:cs="Times New Roman"/>
      <w:kern w:val="0"/>
      <w:sz w:val="20"/>
      <w:szCs w:val="20"/>
      <w:lang w:val="zh-CN" w:eastAsia="zh-CN"/>
    </w:rPr>
  </w:style>
  <w:style w:type="character" w:customStyle="1" w:styleId="35">
    <w:name w:val="正文文本 2 Char"/>
    <w:basedOn w:val="21"/>
    <w:link w:val="15"/>
    <w:qFormat/>
    <w:uiPriority w:val="0"/>
    <w:rPr>
      <w:rFonts w:ascii="宋体" w:hAnsi="宋体" w:eastAsia="宋体" w:cs="Times New Roman"/>
      <w:kern w:val="0"/>
      <w:sz w:val="20"/>
      <w:szCs w:val="24"/>
      <w:u w:val="single"/>
      <w:lang w:val="zh-CN" w:eastAsia="zh-CN"/>
    </w:rPr>
  </w:style>
  <w:style w:type="paragraph" w:customStyle="1" w:styleId="36">
    <w:name w:val="公文正文"/>
    <w:qFormat/>
    <w:uiPriority w:val="0"/>
    <w:pPr>
      <w:widowControl w:val="0"/>
      <w:spacing w:line="360" w:lineRule="auto"/>
      <w:ind w:firstLine="629"/>
      <w:jc w:val="both"/>
    </w:pPr>
    <w:rPr>
      <w:rFonts w:ascii="仿宋_GB2312" w:hAnsi="Calibri" w:eastAsia="仿宋_GB2312" w:cs="Times New Roman"/>
      <w:color w:val="000000"/>
      <w:sz w:val="32"/>
      <w:lang w:val="en-US" w:eastAsia="zh-CN" w:bidi="ar-SA"/>
    </w:rPr>
  </w:style>
  <w:style w:type="paragraph" w:customStyle="1" w:styleId="37">
    <w:name w:val="发文落款"/>
    <w:basedOn w:val="36"/>
    <w:qFormat/>
    <w:uiPriority w:val="0"/>
    <w:pPr>
      <w:ind w:left="4094" w:right="607" w:firstLine="0"/>
      <w:jc w:val="center"/>
    </w:pPr>
  </w:style>
  <w:style w:type="character" w:customStyle="1" w:styleId="38">
    <w:name w:val="批注文字 Char"/>
    <w:basedOn w:val="21"/>
    <w:link w:val="6"/>
    <w:qFormat/>
    <w:uiPriority w:val="0"/>
    <w:rPr>
      <w:rFonts w:ascii="宋体" w:hAnsi="宋体" w:eastAsia="宋体" w:cs="Times New Roman"/>
      <w:kern w:val="0"/>
      <w:sz w:val="24"/>
      <w:szCs w:val="24"/>
      <w:lang w:val="zh-CN" w:eastAsia="zh-CN"/>
    </w:rPr>
  </w:style>
  <w:style w:type="character" w:customStyle="1" w:styleId="39">
    <w:name w:val="批注框文本 Char"/>
    <w:basedOn w:val="21"/>
    <w:link w:val="11"/>
    <w:semiHidden/>
    <w:qFormat/>
    <w:uiPriority w:val="99"/>
    <w:rPr>
      <w:rFonts w:ascii="Calibri" w:hAnsi="Calibri" w:eastAsia="宋体" w:cs="Times New Roman"/>
      <w:sz w:val="18"/>
      <w:szCs w:val="18"/>
    </w:rPr>
  </w:style>
  <w:style w:type="character" w:customStyle="1" w:styleId="40">
    <w:name w:val="批注主题 Char"/>
    <w:basedOn w:val="38"/>
    <w:link w:val="17"/>
    <w:semiHidden/>
    <w:qFormat/>
    <w:uiPriority w:val="99"/>
    <w:rPr>
      <w:rFonts w:ascii="Calibri" w:hAnsi="Calibri" w:eastAsia="宋体" w:cs="Times New Roman"/>
      <w:b/>
      <w:bCs/>
      <w:kern w:val="0"/>
      <w:sz w:val="24"/>
      <w:szCs w:val="24"/>
      <w:lang w:val="zh-CN" w:eastAsia="zh-CN"/>
    </w:rPr>
  </w:style>
  <w:style w:type="paragraph" w:customStyle="1" w:styleId="41">
    <w:name w:val="列出段落1"/>
    <w:basedOn w:val="1"/>
    <w:qFormat/>
    <w:uiPriority w:val="34"/>
    <w:pPr>
      <w:widowControl/>
      <w:adjustRightInd w:val="0"/>
      <w:snapToGrid w:val="0"/>
      <w:ind w:firstLine="420"/>
      <w:jc w:val="left"/>
    </w:pPr>
    <w:rPr>
      <w:rFonts w:eastAsia="PMingLiU-ExtB"/>
      <w:snapToGrid w:val="0"/>
      <w:kern w:val="0"/>
      <w:sz w:val="22"/>
      <w:lang w:val="en-GB" w:eastAsia="en-US"/>
    </w:rPr>
  </w:style>
  <w:style w:type="character" w:customStyle="1" w:styleId="42">
    <w:name w:val="times"/>
    <w:basedOn w:val="21"/>
    <w:qFormat/>
    <w:uiPriority w:val="0"/>
    <w:rPr>
      <w:color w:val="3399FF"/>
      <w:bdr w:val="single" w:color="D1EDF8" w:sz="6" w:space="0"/>
      <w:shd w:val="clear" w:color="auto" w:fill="EAF9FF"/>
    </w:rPr>
  </w:style>
  <w:style w:type="character" w:customStyle="1" w:styleId="43">
    <w:name w:val="times1"/>
    <w:basedOn w:val="21"/>
    <w:qFormat/>
    <w:uiPriority w:val="0"/>
    <w:rPr>
      <w:color w:val="CDCDCD"/>
      <w:bdr w:val="single" w:color="CDCDCD" w:sz="6" w:space="0"/>
      <w:shd w:val="clear" w:color="auto" w:fill="EFEFEF"/>
    </w:rPr>
  </w:style>
  <w:style w:type="character" w:customStyle="1" w:styleId="44">
    <w:name w:val="hover42"/>
    <w:basedOn w:val="21"/>
    <w:qFormat/>
    <w:uiPriority w:val="0"/>
  </w:style>
  <w:style w:type="character" w:customStyle="1" w:styleId="45">
    <w:name w:val="hover40"/>
    <w:basedOn w:val="21"/>
    <w:qFormat/>
    <w:uiPriority w:val="0"/>
  </w:style>
  <w:style w:type="character" w:customStyle="1" w:styleId="46">
    <w:name w:val="hover41"/>
    <w:basedOn w:val="21"/>
    <w:qFormat/>
    <w:uiPriority w:val="0"/>
  </w:style>
  <w:style w:type="paragraph" w:customStyle="1" w:styleId="47">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48">
    <w:name w:val="UserStyle_66"/>
    <w:qFormat/>
    <w:uiPriority w:val="0"/>
    <w:pPr>
      <w:spacing w:line="360" w:lineRule="auto"/>
      <w:ind w:firstLine="629"/>
      <w:jc w:val="both"/>
      <w:textAlignment w:val="baseline"/>
    </w:pPr>
    <w:rPr>
      <w:rFonts w:ascii="仿宋_GB2312" w:hAnsi="Calibri" w:eastAsia="仿宋_GB2312" w:cs="Times New Roman"/>
      <w:color w:val="000000"/>
      <w:sz w:val="32"/>
      <w:lang w:val="en-US" w:eastAsia="zh-CN" w:bidi="ar-SA"/>
    </w:rPr>
  </w:style>
  <w:style w:type="character" w:customStyle="1" w:styleId="49">
    <w:name w:val="title24"/>
    <w:basedOn w:val="21"/>
    <w:qFormat/>
    <w:uiPriority w:val="0"/>
  </w:style>
  <w:style w:type="character" w:customStyle="1" w:styleId="50">
    <w:name w:val="username"/>
    <w:basedOn w:val="21"/>
    <w:qFormat/>
    <w:uiPriority w:val="0"/>
  </w:style>
  <w:style w:type="paragraph" w:customStyle="1" w:styleId="51">
    <w:name w:val="正题"/>
    <w:basedOn w:val="47"/>
    <w:next w:val="47"/>
    <w:qFormat/>
    <w:uiPriority w:val="0"/>
    <w:pPr>
      <w:ind w:firstLine="0" w:firstLineChars="0"/>
      <w:jc w:val="center"/>
    </w:pPr>
    <w:rPr>
      <w:rFonts w:eastAsia="黑体"/>
      <w:b/>
      <w:sz w:val="36"/>
      <w:szCs w:val="36"/>
    </w:rPr>
  </w:style>
  <w:style w:type="paragraph" w:customStyle="1" w:styleId="52">
    <w:name w:val="null3"/>
    <w:qFormat/>
    <w:uiPriority w:val="0"/>
    <w:rPr>
      <w:rFonts w:hint="eastAsia" w:ascii="Calibri" w:hAnsi="Calibri" w:eastAsia="宋体" w:cs="Times New Roman"/>
      <w:lang w:val="en-US" w:eastAsia="zh-Hans" w:bidi="ar-SA"/>
    </w:rPr>
  </w:style>
  <w:style w:type="paragraph" w:customStyle="1" w:styleId="53">
    <w:name w:val="Compact"/>
    <w:basedOn w:val="7"/>
    <w:qFormat/>
    <w:uiPriority w:val="0"/>
    <w:pPr>
      <w:spacing w:before="36" w:after="36"/>
    </w:pPr>
  </w:style>
  <w:style w:type="paragraph" w:customStyle="1" w:styleId="5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55">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10825</Words>
  <Characters>11304</Characters>
  <Lines>1</Lines>
  <Paragraphs>1</Paragraphs>
  <TotalTime>18</TotalTime>
  <ScaleCrop>false</ScaleCrop>
  <LinksUpToDate>false</LinksUpToDate>
  <CharactersWithSpaces>11351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2025-01-07T15:27:00Z</dcterms:created>
  <dc:creator>xbx</dc:creator>
  <cp:lastModifiedBy>代理机构</cp:lastModifiedBy>
  <cp:lastPrinted>2025-01-18T08:15:00Z</cp:lastPrinted>
  <dcterms:modified xsi:type="dcterms:W3CDTF">2025-12-11T12:20:09Z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96E6770BB9E34D1E88300697FDA96575_13</vt:lpwstr>
  </property>
  <property fmtid="{D5CDD505-2E9C-101B-9397-08002B2CF9AE}" pid="4" name="commondata">
    <vt:lpwstr>eyJoZGlkIjoiNDcxNjdiZTdjOTc2MTkwNWM3NDg3YmYxMTBjZDU5ODgifQ==</vt:lpwstr>
  </property>
  <property fmtid="{D5CDD505-2E9C-101B-9397-08002B2CF9AE}" pid="5" name="KSOTemplateDocerSaveRecord">
    <vt:lpwstr>eyJoZGlkIjoiNDA5YTE4OWE0ODhhZTc0MDliNmNmNDZjODMyOWQyYzMiLCJ1c2VySWQiOiIxNzg3NjIyMyJ9</vt:lpwstr>
  </property>
</Properties>
</file>