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2A40E">
      <w:pPr>
        <w:spacing w:line="360" w:lineRule="auto"/>
        <w:ind w:firstLine="0" w:firstLineChars="0"/>
        <w:jc w:val="center"/>
        <w:rPr>
          <w:rFonts w:hint="eastAsia" w:ascii="宋体" w:hAnsi="宋体" w:eastAsia="宋体" w:cs="宋体"/>
          <w:bCs/>
          <w:color w:val="auto"/>
          <w:sz w:val="52"/>
          <w:highlight w:val="none"/>
          <w:lang w:eastAsia="zh-CN"/>
        </w:rPr>
        <w:sectPr>
          <w:headerReference r:id="rId3" w:type="default"/>
          <w:footerReference r:id="rId4" w:type="default"/>
          <w:pgSz w:w="11905" w:h="16838"/>
          <w:pgMar w:top="1418" w:right="1701" w:bottom="1418" w:left="1701" w:header="851" w:footer="794" w:gutter="0"/>
          <w:pgBorders w:offsetFrom="page">
            <w:top w:val="none" w:sz="0" w:space="0"/>
            <w:left w:val="none" w:sz="0" w:space="0"/>
            <w:bottom w:val="none" w:sz="0" w:space="0"/>
            <w:right w:val="none" w:sz="0" w:space="0"/>
          </w:pgBorders>
          <w:pgNumType w:start="1"/>
          <w:cols w:space="720" w:num="1"/>
          <w:docGrid w:type="lines" w:linePitch="312" w:charSpace="0"/>
        </w:sectPr>
      </w:pPr>
      <w:bookmarkStart w:id="385" w:name="_GoBack"/>
      <w:bookmarkEnd w:id="385"/>
      <w:r>
        <w:rPr>
          <w:rFonts w:hint="eastAsia" w:ascii="宋体" w:hAnsi="宋体" w:eastAsia="宋体" w:cs="宋体"/>
          <w:bCs/>
          <w:color w:val="auto"/>
          <w:sz w:val="52"/>
          <w:highlight w:val="none"/>
          <w:lang w:eastAsia="zh-CN"/>
        </w:rPr>
        <w:drawing>
          <wp:anchor distT="0" distB="0" distL="114300" distR="114300" simplePos="0" relativeHeight="251659264" behindDoc="0" locked="0" layoutInCell="1" allowOverlap="1">
            <wp:simplePos x="0" y="0"/>
            <wp:positionH relativeFrom="column">
              <wp:posOffset>-991870</wp:posOffset>
            </wp:positionH>
            <wp:positionV relativeFrom="paragraph">
              <wp:posOffset>-887730</wp:posOffset>
            </wp:positionV>
            <wp:extent cx="7416800" cy="10487660"/>
            <wp:effectExtent l="0" t="0" r="5080" b="12700"/>
            <wp:wrapNone/>
            <wp:docPr id="3" name="图片 3" descr="检验检测服务 - 招标公文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检验检测服务 - 招标公文件_01"/>
                    <pic:cNvPicPr>
                      <a:picLocks noChangeAspect="1"/>
                    </pic:cNvPicPr>
                  </pic:nvPicPr>
                  <pic:blipFill>
                    <a:blip r:embed="rId12"/>
                    <a:stretch>
                      <a:fillRect/>
                    </a:stretch>
                  </pic:blipFill>
                  <pic:spPr>
                    <a:xfrm>
                      <a:off x="0" y="0"/>
                      <a:ext cx="7416800" cy="10487660"/>
                    </a:xfrm>
                    <a:prstGeom prst="rect">
                      <a:avLst/>
                    </a:prstGeom>
                  </pic:spPr>
                </pic:pic>
              </a:graphicData>
            </a:graphic>
          </wp:anchor>
        </w:drawing>
      </w:r>
    </w:p>
    <w:p w14:paraId="65EFB9FA">
      <w:pPr>
        <w:spacing w:line="360" w:lineRule="auto"/>
        <w:ind w:firstLine="0" w:firstLineChars="0"/>
        <w:jc w:val="center"/>
        <w:rPr>
          <w:rFonts w:hint="eastAsia" w:ascii="宋体" w:hAnsi="宋体" w:cs="宋体"/>
          <w:bCs/>
          <w:color w:val="auto"/>
          <w:sz w:val="52"/>
          <w:highlight w:val="none"/>
        </w:rPr>
      </w:pPr>
      <w:r>
        <w:rPr>
          <w:rFonts w:hint="eastAsia" w:ascii="宋体" w:hAnsi="宋体" w:cs="宋体"/>
          <w:bCs/>
          <w:color w:val="auto"/>
          <w:sz w:val="52"/>
          <w:highlight w:val="none"/>
        </w:rPr>
        <w:t>重要提示</w:t>
      </w:r>
    </w:p>
    <w:p w14:paraId="5232C9BB">
      <w:pPr>
        <w:spacing w:line="360" w:lineRule="auto"/>
        <w:ind w:firstLine="537" w:firstLineChars="224"/>
        <w:jc w:val="center"/>
        <w:rPr>
          <w:rFonts w:hint="eastAsia" w:ascii="宋体" w:hAnsi="宋体" w:cs="宋体"/>
          <w:bCs/>
          <w:color w:val="auto"/>
          <w:sz w:val="24"/>
          <w:highlight w:val="none"/>
        </w:rPr>
      </w:pPr>
    </w:p>
    <w:p w14:paraId="51F0DBF2">
      <w:pPr>
        <w:spacing w:line="360" w:lineRule="auto"/>
        <w:ind w:firstLine="480" w:firstLineChars="200"/>
        <w:rPr>
          <w:rFonts w:hint="eastAsia" w:ascii="宋体" w:hAnsi="宋体" w:cs="宋体"/>
          <w:color w:val="auto"/>
          <w:sz w:val="24"/>
          <w:highlight w:val="none"/>
        </w:rPr>
        <w:sectPr>
          <w:footerReference r:id="rId5" w:type="default"/>
          <w:pgSz w:w="11905" w:h="16838"/>
          <w:pgMar w:top="1418" w:right="1701" w:bottom="1418" w:left="1701" w:header="851" w:footer="794" w:gutter="0"/>
          <w:pgBorders w:offsetFrom="page">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color w:val="auto"/>
          <w:sz w:val="24"/>
          <w:highlight w:val="none"/>
        </w:rPr>
        <w:t>本项目实施电子招投标，投标人应先认真阅读</w:t>
      </w:r>
      <w:r>
        <w:rPr>
          <w:rFonts w:hint="eastAsia" w:ascii="宋体" w:hAnsi="宋体" w:cs="宋体"/>
          <w:color w:val="auto"/>
          <w:sz w:val="24"/>
          <w:szCs w:val="24"/>
          <w:highlight w:val="none"/>
          <w:u w:val="single"/>
          <w:lang w:val="en-US" w:eastAsia="zh-CN"/>
        </w:rPr>
        <w:t>广州交易集团有限公司（</w:t>
      </w:r>
      <w:r>
        <w:rPr>
          <w:rFonts w:hint="eastAsia" w:ascii="宋体" w:hAnsi="宋体" w:eastAsia="宋体" w:cs="宋体"/>
          <w:color w:val="auto"/>
          <w:sz w:val="24"/>
          <w:szCs w:val="24"/>
          <w:highlight w:val="none"/>
          <w:u w:val="single"/>
        </w:rPr>
        <w:t>广州公共资源交易中心</w:t>
      </w:r>
      <w:r>
        <w:rPr>
          <w:rFonts w:hint="eastAsia" w:ascii="宋体" w:hAnsi="宋体" w:cs="宋体"/>
          <w:color w:val="auto"/>
          <w:sz w:val="24"/>
          <w:szCs w:val="24"/>
          <w:highlight w:val="none"/>
          <w:u w:val="single"/>
          <w:lang w:eastAsia="zh-CN"/>
        </w:rPr>
        <w:t>）</w:t>
      </w:r>
      <w:r>
        <w:rPr>
          <w:rFonts w:hint="eastAsia" w:ascii="宋体" w:hAnsi="宋体" w:cs="宋体"/>
          <w:color w:val="auto"/>
          <w:sz w:val="24"/>
          <w:highlight w:val="none"/>
          <w:u w:val="single"/>
        </w:rPr>
        <w:t>交易平台发布的</w:t>
      </w:r>
      <w:r>
        <w:rPr>
          <w:rFonts w:hint="eastAsia" w:ascii="宋体" w:hAnsi="宋体" w:cs="宋体"/>
          <w:color w:val="auto"/>
          <w:sz w:val="24"/>
          <w:highlight w:val="none"/>
          <w:u w:val="single"/>
          <w:lang w:eastAsia="zh-CN"/>
        </w:rPr>
        <w:t>《建设工程全流程电子化项目操作指南（（适用于投标人）》</w:t>
      </w:r>
      <w:r>
        <w:rPr>
          <w:rFonts w:hint="eastAsia" w:ascii="宋体" w:hAnsi="宋体" w:cs="宋体"/>
          <w:color w:val="auto"/>
          <w:sz w:val="24"/>
          <w:highlight w:val="none"/>
          <w:u w:val="single"/>
        </w:rPr>
        <w:t>。</w:t>
      </w:r>
    </w:p>
    <w:p w14:paraId="63CD6CD3">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目录</w:t>
      </w:r>
    </w:p>
    <w:p w14:paraId="1236945C">
      <w:pPr>
        <w:pStyle w:val="12"/>
        <w:tabs>
          <w:tab w:val="right" w:leader="dot" w:pos="8503"/>
        </w:tabs>
        <w:rPr>
          <w:color w:val="auto"/>
          <w:highlight w:val="none"/>
        </w:rPr>
      </w:pPr>
      <w:bookmarkStart w:id="0" w:name="_Toc377719897"/>
      <w:r>
        <w:rPr>
          <w:rFonts w:hint="eastAsia" w:ascii="宋体" w:hAnsi="宋体" w:cs="宋体"/>
          <w:b w:val="0"/>
          <w:bCs w:val="0"/>
          <w:color w:val="auto"/>
          <w:kern w:val="44"/>
          <w:sz w:val="24"/>
          <w:szCs w:val="24"/>
          <w:highlight w:val="none"/>
        </w:rPr>
        <w:fldChar w:fldCharType="begin"/>
      </w:r>
      <w:r>
        <w:rPr>
          <w:rFonts w:hint="eastAsia" w:ascii="宋体" w:hAnsi="宋体" w:cs="宋体"/>
          <w:b w:val="0"/>
          <w:bCs w:val="0"/>
          <w:color w:val="auto"/>
          <w:kern w:val="44"/>
          <w:sz w:val="24"/>
          <w:szCs w:val="24"/>
          <w:highlight w:val="none"/>
        </w:rPr>
        <w:instrText xml:space="preserve">TOC \o "1-2" \h \u </w:instrText>
      </w:r>
      <w:r>
        <w:rPr>
          <w:rFonts w:hint="eastAsia" w:ascii="宋体" w:hAnsi="宋体" w:cs="宋体"/>
          <w:b w:val="0"/>
          <w:bCs w:val="0"/>
          <w:color w:val="auto"/>
          <w:kern w:val="44"/>
          <w:sz w:val="24"/>
          <w:szCs w:val="24"/>
          <w:highlight w:val="none"/>
        </w:rPr>
        <w:fldChar w:fldCharType="separate"/>
      </w:r>
      <w:r>
        <w:rPr>
          <w:rFonts w:hint="eastAsia" w:ascii="宋体" w:hAnsi="宋体" w:cs="宋体"/>
          <w:bCs w:val="0"/>
          <w:color w:val="auto"/>
          <w:kern w:val="44"/>
          <w:szCs w:val="24"/>
          <w:highlight w:val="none"/>
        </w:rPr>
        <w:fldChar w:fldCharType="begin"/>
      </w:r>
      <w:r>
        <w:rPr>
          <w:rFonts w:hint="eastAsia" w:ascii="宋体" w:hAnsi="宋体" w:cs="宋体"/>
          <w:bCs w:val="0"/>
          <w:color w:val="auto"/>
          <w:kern w:val="44"/>
          <w:szCs w:val="24"/>
          <w:highlight w:val="none"/>
        </w:rPr>
        <w:instrText xml:space="preserve"> HYPERLINK \l _Toc23083 </w:instrText>
      </w:r>
      <w:r>
        <w:rPr>
          <w:rFonts w:hint="eastAsia" w:ascii="宋体" w:hAnsi="宋体" w:cs="宋体"/>
          <w:bCs w:val="0"/>
          <w:color w:val="auto"/>
          <w:kern w:val="44"/>
          <w:szCs w:val="24"/>
          <w:highlight w:val="none"/>
        </w:rPr>
        <w:fldChar w:fldCharType="separate"/>
      </w:r>
      <w:r>
        <w:rPr>
          <w:rFonts w:hint="eastAsia" w:ascii="宋体" w:hAnsi="宋体" w:eastAsia="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_Toc23083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val="0"/>
          <w:color w:val="auto"/>
          <w:kern w:val="44"/>
          <w:szCs w:val="24"/>
          <w:highlight w:val="none"/>
        </w:rPr>
        <w:fldChar w:fldCharType="end"/>
      </w:r>
    </w:p>
    <w:p w14:paraId="0107F63F">
      <w:pPr>
        <w:pStyle w:val="12"/>
        <w:tabs>
          <w:tab w:val="right" w:leader="dot" w:pos="8503"/>
        </w:tabs>
        <w:rPr>
          <w:color w:val="auto"/>
          <w:highlight w:val="none"/>
        </w:rPr>
      </w:pPr>
      <w:r>
        <w:rPr>
          <w:rFonts w:hint="eastAsia" w:ascii="宋体" w:hAnsi="宋体" w:cs="宋体"/>
          <w:bCs w:val="0"/>
          <w:color w:val="auto"/>
          <w:kern w:val="44"/>
          <w:szCs w:val="24"/>
          <w:highlight w:val="none"/>
        </w:rPr>
        <w:fldChar w:fldCharType="begin"/>
      </w:r>
      <w:r>
        <w:rPr>
          <w:rFonts w:hint="eastAsia" w:ascii="宋体" w:hAnsi="宋体" w:cs="宋体"/>
          <w:bCs w:val="0"/>
          <w:color w:val="auto"/>
          <w:kern w:val="44"/>
          <w:szCs w:val="24"/>
          <w:highlight w:val="none"/>
        </w:rPr>
        <w:instrText xml:space="preserve"> HYPERLINK \l _Toc6616 </w:instrText>
      </w:r>
      <w:r>
        <w:rPr>
          <w:rFonts w:hint="eastAsia" w:ascii="宋体" w:hAnsi="宋体" w:cs="宋体"/>
          <w:bCs w:val="0"/>
          <w:color w:val="auto"/>
          <w:kern w:val="44"/>
          <w:szCs w:val="24"/>
          <w:highlight w:val="none"/>
        </w:rPr>
        <w:fldChar w:fldCharType="separate"/>
      </w:r>
      <w:r>
        <w:rPr>
          <w:rFonts w:hint="eastAsia" w:ascii="宋体" w:hAnsi="宋体" w:eastAsia="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_Toc6616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val="0"/>
          <w:color w:val="auto"/>
          <w:kern w:val="44"/>
          <w:szCs w:val="24"/>
          <w:highlight w:val="none"/>
        </w:rPr>
        <w:fldChar w:fldCharType="end"/>
      </w:r>
    </w:p>
    <w:p w14:paraId="2AB226EA">
      <w:pPr>
        <w:pStyle w:val="12"/>
        <w:tabs>
          <w:tab w:val="right" w:leader="dot" w:pos="8503"/>
        </w:tabs>
        <w:rPr>
          <w:rFonts w:hint="eastAsia" w:eastAsia="宋体"/>
          <w:color w:val="auto"/>
          <w:highlight w:val="none"/>
          <w:lang w:eastAsia="zh-CN"/>
        </w:rPr>
      </w:pPr>
      <w:r>
        <w:rPr>
          <w:rFonts w:hint="eastAsia" w:ascii="宋体" w:hAnsi="宋体" w:cs="宋体"/>
          <w:bCs w:val="0"/>
          <w:color w:val="auto"/>
          <w:kern w:val="44"/>
          <w:szCs w:val="24"/>
          <w:highlight w:val="none"/>
        </w:rPr>
        <w:fldChar w:fldCharType="begin"/>
      </w:r>
      <w:r>
        <w:rPr>
          <w:rFonts w:hint="eastAsia" w:ascii="宋体" w:hAnsi="宋体" w:cs="宋体"/>
          <w:bCs w:val="0"/>
          <w:color w:val="auto"/>
          <w:kern w:val="44"/>
          <w:szCs w:val="24"/>
          <w:highlight w:val="none"/>
        </w:rPr>
        <w:instrText xml:space="preserve"> HYPERLINK \l _Toc11428 </w:instrText>
      </w:r>
      <w:r>
        <w:rPr>
          <w:rFonts w:hint="eastAsia" w:ascii="宋体" w:hAnsi="宋体" w:cs="宋体"/>
          <w:bCs w:val="0"/>
          <w:color w:val="auto"/>
          <w:kern w:val="44"/>
          <w:szCs w:val="24"/>
          <w:highlight w:val="none"/>
        </w:rPr>
        <w:fldChar w:fldCharType="separate"/>
      </w:r>
      <w:r>
        <w:rPr>
          <w:rFonts w:hint="eastAsia" w:ascii="宋体" w:hAnsi="宋体" w:eastAsia="宋体" w:cs="宋体"/>
          <w:bCs/>
          <w:color w:val="auto"/>
          <w:szCs w:val="44"/>
          <w:highlight w:val="none"/>
        </w:rPr>
        <w:t>第三章 评标办法（综合评分法）</w:t>
      </w:r>
      <w:r>
        <w:rPr>
          <w:color w:val="auto"/>
          <w:highlight w:val="none"/>
        </w:rPr>
        <w:tab/>
      </w:r>
      <w:r>
        <w:rPr>
          <w:color w:val="auto"/>
          <w:highlight w:val="none"/>
        </w:rPr>
        <w:fldChar w:fldCharType="begin"/>
      </w:r>
      <w:r>
        <w:rPr>
          <w:color w:val="auto"/>
          <w:highlight w:val="none"/>
        </w:rPr>
        <w:instrText xml:space="preserve"> PAGEREF _Toc11428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val="0"/>
          <w:color w:val="auto"/>
          <w:kern w:val="44"/>
          <w:szCs w:val="24"/>
          <w:highlight w:val="none"/>
        </w:rPr>
        <w:fldChar w:fldCharType="end"/>
      </w:r>
    </w:p>
    <w:p w14:paraId="50C141CE">
      <w:pPr>
        <w:pStyle w:val="12"/>
        <w:tabs>
          <w:tab w:val="right" w:leader="dot" w:pos="8503"/>
        </w:tabs>
        <w:rPr>
          <w:color w:val="auto"/>
          <w:highlight w:val="none"/>
        </w:rPr>
      </w:pPr>
      <w:r>
        <w:rPr>
          <w:rFonts w:hint="eastAsia" w:ascii="宋体" w:hAnsi="宋体" w:cs="宋体"/>
          <w:bCs w:val="0"/>
          <w:color w:val="auto"/>
          <w:kern w:val="44"/>
          <w:szCs w:val="24"/>
          <w:highlight w:val="none"/>
        </w:rPr>
        <w:fldChar w:fldCharType="begin"/>
      </w:r>
      <w:r>
        <w:rPr>
          <w:rFonts w:hint="eastAsia" w:ascii="宋体" w:hAnsi="宋体" w:cs="宋体"/>
          <w:bCs w:val="0"/>
          <w:color w:val="auto"/>
          <w:kern w:val="44"/>
          <w:szCs w:val="24"/>
          <w:highlight w:val="none"/>
        </w:rPr>
        <w:instrText xml:space="preserve"> HYPERLINK \l _Toc31239 </w:instrText>
      </w:r>
      <w:r>
        <w:rPr>
          <w:rFonts w:hint="eastAsia" w:ascii="宋体" w:hAnsi="宋体" w:cs="宋体"/>
          <w:bCs w:val="0"/>
          <w:color w:val="auto"/>
          <w:kern w:val="44"/>
          <w:szCs w:val="24"/>
          <w:highlight w:val="none"/>
        </w:rPr>
        <w:fldChar w:fldCharType="separate"/>
      </w:r>
      <w:r>
        <w:rPr>
          <w:rFonts w:hint="eastAsia" w:ascii="宋体" w:hAnsi="宋体" w:eastAsia="宋体" w:cs="宋体"/>
          <w:bCs/>
          <w:color w:val="auto"/>
          <w:szCs w:val="44"/>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_Toc31239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bCs w:val="0"/>
          <w:color w:val="auto"/>
          <w:kern w:val="44"/>
          <w:szCs w:val="24"/>
          <w:highlight w:val="none"/>
        </w:rPr>
        <w:fldChar w:fldCharType="end"/>
      </w:r>
    </w:p>
    <w:p w14:paraId="0202A467">
      <w:pPr>
        <w:pStyle w:val="12"/>
        <w:tabs>
          <w:tab w:val="right" w:leader="dot" w:pos="8503"/>
        </w:tabs>
        <w:rPr>
          <w:rFonts w:hint="default" w:eastAsia="宋体"/>
          <w:color w:val="auto"/>
          <w:highlight w:val="none"/>
          <w:lang w:val="en-US" w:eastAsia="zh-CN"/>
        </w:rPr>
      </w:pPr>
      <w:r>
        <w:rPr>
          <w:rFonts w:hint="eastAsia" w:ascii="宋体" w:hAnsi="宋体" w:cs="宋体"/>
          <w:bCs w:val="0"/>
          <w:color w:val="auto"/>
          <w:kern w:val="44"/>
          <w:szCs w:val="24"/>
          <w:highlight w:val="none"/>
        </w:rPr>
        <w:fldChar w:fldCharType="begin"/>
      </w:r>
      <w:r>
        <w:rPr>
          <w:rFonts w:hint="eastAsia" w:ascii="宋体" w:hAnsi="宋体" w:cs="宋体"/>
          <w:bCs w:val="0"/>
          <w:color w:val="auto"/>
          <w:kern w:val="44"/>
          <w:szCs w:val="24"/>
          <w:highlight w:val="none"/>
        </w:rPr>
        <w:instrText xml:space="preserve"> HYPERLINK \l _Toc25771 </w:instrText>
      </w:r>
      <w:r>
        <w:rPr>
          <w:rFonts w:hint="eastAsia" w:ascii="宋体" w:hAnsi="宋体" w:cs="宋体"/>
          <w:bCs w:val="0"/>
          <w:color w:val="auto"/>
          <w:kern w:val="44"/>
          <w:szCs w:val="24"/>
          <w:highlight w:val="none"/>
        </w:rPr>
        <w:fldChar w:fldCharType="separate"/>
      </w:r>
      <w:r>
        <w:rPr>
          <w:rFonts w:hint="eastAsia" w:ascii="宋体" w:hAnsi="宋体" w:cs="宋体"/>
          <w:bCs w:val="0"/>
          <w:color w:val="auto"/>
          <w:szCs w:val="44"/>
          <w:highlight w:val="none"/>
        </w:rPr>
        <w:t xml:space="preserve">第五章 </w:t>
      </w:r>
      <w:r>
        <w:rPr>
          <w:rFonts w:hint="eastAsia" w:ascii="宋体" w:hAnsi="宋体" w:cs="宋体"/>
          <w:bCs w:val="0"/>
          <w:color w:val="auto"/>
          <w:kern w:val="44"/>
          <w:szCs w:val="24"/>
          <w:highlight w:val="none"/>
        </w:rPr>
        <w:fldChar w:fldCharType="begin"/>
      </w:r>
      <w:r>
        <w:rPr>
          <w:rFonts w:hint="eastAsia" w:ascii="宋体" w:hAnsi="宋体" w:cs="宋体"/>
          <w:bCs w:val="0"/>
          <w:color w:val="auto"/>
          <w:kern w:val="44"/>
          <w:szCs w:val="24"/>
          <w:highlight w:val="none"/>
        </w:rPr>
        <w:instrText xml:space="preserve"> HYPERLINK \l _Toc28743 </w:instrText>
      </w:r>
      <w:r>
        <w:rPr>
          <w:rFonts w:hint="eastAsia" w:ascii="宋体" w:hAnsi="宋体" w:cs="宋体"/>
          <w:bCs w:val="0"/>
          <w:color w:val="auto"/>
          <w:kern w:val="44"/>
          <w:szCs w:val="24"/>
          <w:highlight w:val="none"/>
        </w:rPr>
        <w:fldChar w:fldCharType="separate"/>
      </w:r>
      <w:r>
        <w:rPr>
          <w:rFonts w:hint="eastAsia" w:ascii="宋体" w:hAnsi="宋体" w:eastAsia="宋体" w:cs="宋体"/>
          <w:color w:val="auto"/>
          <w:kern w:val="2"/>
          <w:highlight w:val="none"/>
        </w:rPr>
        <w:t>投标文件格式</w:t>
      </w:r>
      <w:r>
        <w:rPr>
          <w:color w:val="auto"/>
          <w:highlight w:val="none"/>
        </w:rPr>
        <w:tab/>
      </w:r>
      <w:r>
        <w:rPr>
          <w:rFonts w:hint="eastAsia" w:ascii="宋体" w:hAnsi="宋体" w:cs="宋体"/>
          <w:bCs w:val="0"/>
          <w:color w:val="auto"/>
          <w:kern w:val="44"/>
          <w:szCs w:val="24"/>
          <w:highlight w:val="none"/>
        </w:rPr>
        <w:fldChar w:fldCharType="end"/>
      </w:r>
      <w:r>
        <w:rPr>
          <w:rFonts w:hint="eastAsia"/>
          <w:color w:val="auto"/>
          <w:highlight w:val="none"/>
          <w:lang w:val="en-US" w:eastAsia="zh-CN"/>
        </w:rPr>
        <w:t>38</w:t>
      </w:r>
    </w:p>
    <w:p w14:paraId="3A8D2784">
      <w:pPr>
        <w:pStyle w:val="12"/>
        <w:tabs>
          <w:tab w:val="right" w:leader="dot" w:pos="8503"/>
        </w:tabs>
        <w:rPr>
          <w:rFonts w:hint="default" w:eastAsia="宋体"/>
          <w:color w:val="auto"/>
          <w:highlight w:val="none"/>
          <w:lang w:val="en-US" w:eastAsia="zh-CN"/>
        </w:rPr>
      </w:pPr>
      <w:r>
        <w:rPr>
          <w:rFonts w:hint="eastAsia" w:ascii="宋体" w:hAnsi="宋体" w:cs="宋体"/>
          <w:bCs w:val="0"/>
          <w:color w:val="auto"/>
          <w:kern w:val="44"/>
          <w:szCs w:val="24"/>
          <w:highlight w:val="none"/>
        </w:rPr>
        <w:fldChar w:fldCharType="end"/>
      </w:r>
      <w:r>
        <w:rPr>
          <w:rFonts w:hint="eastAsia" w:ascii="宋体" w:hAnsi="宋体" w:cs="宋体"/>
          <w:bCs w:val="0"/>
          <w:color w:val="auto"/>
          <w:kern w:val="44"/>
          <w:szCs w:val="24"/>
          <w:highlight w:val="none"/>
        </w:rPr>
        <w:fldChar w:fldCharType="begin"/>
      </w:r>
      <w:r>
        <w:rPr>
          <w:rFonts w:hint="eastAsia" w:ascii="宋体" w:hAnsi="宋体" w:cs="宋体"/>
          <w:bCs w:val="0"/>
          <w:color w:val="auto"/>
          <w:kern w:val="44"/>
          <w:szCs w:val="24"/>
          <w:highlight w:val="none"/>
        </w:rPr>
        <w:instrText xml:space="preserve"> HYPERLINK \l _Toc25891 </w:instrText>
      </w:r>
      <w:r>
        <w:rPr>
          <w:rFonts w:hint="eastAsia" w:ascii="宋体" w:hAnsi="宋体" w:cs="宋体"/>
          <w:bCs w:val="0"/>
          <w:color w:val="auto"/>
          <w:kern w:val="44"/>
          <w:szCs w:val="24"/>
          <w:highlight w:val="none"/>
        </w:rPr>
        <w:fldChar w:fldCharType="separate"/>
      </w:r>
      <w:r>
        <w:rPr>
          <w:rFonts w:hint="default" w:ascii="宋体" w:hAnsi="宋体" w:eastAsia="宋体" w:cs="宋体"/>
          <w:color w:val="auto"/>
          <w:kern w:val="2"/>
          <w:highlight w:val="none"/>
        </w:rPr>
        <w:t>第</w:t>
      </w:r>
      <w:r>
        <w:rPr>
          <w:rFonts w:hint="eastAsia" w:ascii="宋体" w:hAnsi="宋体" w:eastAsia="宋体" w:cs="宋体"/>
          <w:color w:val="auto"/>
          <w:kern w:val="2"/>
          <w:highlight w:val="none"/>
          <w:lang w:val="en-US" w:eastAsia="zh-CN"/>
        </w:rPr>
        <w:t>六</w:t>
      </w:r>
      <w:r>
        <w:rPr>
          <w:rFonts w:hint="default" w:ascii="宋体" w:hAnsi="宋体" w:eastAsia="宋体" w:cs="宋体"/>
          <w:color w:val="auto"/>
          <w:kern w:val="2"/>
          <w:highlight w:val="none"/>
        </w:rPr>
        <w:t xml:space="preserve">章 </w:t>
      </w:r>
      <w:r>
        <w:rPr>
          <w:rFonts w:hint="eastAsia" w:ascii="宋体" w:hAnsi="宋体" w:eastAsia="宋体" w:cs="宋体"/>
          <w:color w:val="auto"/>
          <w:kern w:val="2"/>
          <w:highlight w:val="none"/>
        </w:rPr>
        <w:t xml:space="preserve"> </w:t>
      </w:r>
      <w:r>
        <w:rPr>
          <w:rFonts w:hint="default" w:ascii="宋体" w:hAnsi="宋体" w:eastAsia="宋体" w:cs="宋体"/>
          <w:color w:val="auto"/>
          <w:kern w:val="2"/>
          <w:highlight w:val="none"/>
        </w:rPr>
        <w:t>委托人要求</w:t>
      </w:r>
      <w:r>
        <w:rPr>
          <w:color w:val="auto"/>
          <w:highlight w:val="none"/>
        </w:rPr>
        <w:tab/>
      </w:r>
      <w:r>
        <w:rPr>
          <w:rFonts w:hint="eastAsia" w:ascii="宋体" w:hAnsi="宋体" w:cs="宋体"/>
          <w:bCs w:val="0"/>
          <w:color w:val="auto"/>
          <w:kern w:val="44"/>
          <w:szCs w:val="24"/>
          <w:highlight w:val="none"/>
        </w:rPr>
        <w:fldChar w:fldCharType="end"/>
      </w:r>
      <w:r>
        <w:rPr>
          <w:rFonts w:hint="eastAsia"/>
          <w:color w:val="auto"/>
          <w:highlight w:val="none"/>
          <w:lang w:val="en-US" w:eastAsia="zh-CN"/>
        </w:rPr>
        <w:t>55</w:t>
      </w:r>
    </w:p>
    <w:p w14:paraId="748673F7">
      <w:pPr>
        <w:rPr>
          <w:rFonts w:hint="eastAsia" w:ascii="宋体" w:hAnsi="宋体" w:cs="宋体"/>
          <w:b/>
          <w:bCs/>
          <w:color w:val="auto"/>
          <w:sz w:val="24"/>
          <w:szCs w:val="24"/>
          <w:highlight w:val="none"/>
        </w:rPr>
        <w:sectPr>
          <w:footerReference r:id="rId6" w:type="default"/>
          <w:pgSz w:w="11905" w:h="16838"/>
          <w:pgMar w:top="1418" w:right="1701" w:bottom="1418" w:left="1701" w:header="851" w:footer="794" w:gutter="0"/>
          <w:pgBorders w:offsetFrom="page">
            <w:top w:val="none" w:sz="0" w:space="0"/>
            <w:left w:val="none" w:sz="0" w:space="0"/>
            <w:bottom w:val="none" w:sz="0" w:space="0"/>
            <w:right w:val="none" w:sz="0" w:space="0"/>
          </w:pgBorders>
          <w:cols w:space="720" w:num="1"/>
          <w:docGrid w:type="lines" w:linePitch="312" w:charSpace="0"/>
        </w:sectPr>
      </w:pPr>
      <w:r>
        <w:rPr>
          <w:rFonts w:hint="eastAsia" w:ascii="宋体" w:hAnsi="宋体" w:cs="宋体"/>
          <w:bCs/>
          <w:color w:val="auto"/>
          <w:kern w:val="44"/>
          <w:szCs w:val="24"/>
          <w:highlight w:val="none"/>
        </w:rPr>
        <w:fldChar w:fldCharType="end"/>
      </w:r>
    </w:p>
    <w:p w14:paraId="1AF2BD99">
      <w:pPr>
        <w:pStyle w:val="2"/>
        <w:keepNext w:val="0"/>
        <w:keepLines w:val="0"/>
        <w:spacing w:line="480" w:lineRule="auto"/>
        <w:jc w:val="center"/>
        <w:rPr>
          <w:rFonts w:hint="eastAsia" w:ascii="宋体" w:hAnsi="宋体" w:eastAsia="宋体" w:cs="宋体"/>
          <w:color w:val="auto"/>
          <w:highlight w:val="none"/>
        </w:rPr>
      </w:pPr>
      <w:bookmarkStart w:id="1" w:name="_Toc3857"/>
      <w:bookmarkStart w:id="2" w:name="_Toc8029"/>
      <w:bookmarkStart w:id="3" w:name="_Toc18030"/>
      <w:bookmarkStart w:id="4" w:name="_Toc17573"/>
      <w:bookmarkStart w:id="5" w:name="_Toc5050"/>
      <w:bookmarkStart w:id="6" w:name="_Toc525063243"/>
      <w:bookmarkStart w:id="7" w:name="_Toc23083"/>
      <w:bookmarkStart w:id="8" w:name="_Toc30437"/>
      <w:bookmarkStart w:id="9" w:name="_Toc11832"/>
      <w:bookmarkStart w:id="10" w:name="_Toc532367869"/>
      <w:r>
        <w:rPr>
          <w:rFonts w:hint="eastAsia" w:ascii="宋体" w:hAnsi="宋体" w:eastAsia="宋体" w:cs="宋体"/>
          <w:color w:val="auto"/>
          <w:highlight w:val="none"/>
        </w:rPr>
        <w:t>第一章 招标公告</w:t>
      </w:r>
      <w:bookmarkEnd w:id="1"/>
      <w:bookmarkEnd w:id="2"/>
      <w:bookmarkEnd w:id="3"/>
      <w:bookmarkEnd w:id="4"/>
      <w:bookmarkEnd w:id="5"/>
      <w:bookmarkEnd w:id="6"/>
      <w:bookmarkEnd w:id="7"/>
      <w:bookmarkEnd w:id="8"/>
      <w:bookmarkEnd w:id="9"/>
      <w:bookmarkEnd w:id="10"/>
    </w:p>
    <w:p w14:paraId="62ABE3C6">
      <w:pPr>
        <w:ind w:firstLine="0" w:firstLineChars="0"/>
        <w:jc w:val="center"/>
        <w:rPr>
          <w:rFonts w:hint="default" w:ascii="宋体" w:hAnsi="宋体" w:cs="华文中宋"/>
          <w:b/>
          <w:bCs w:val="0"/>
          <w:color w:val="auto"/>
          <w:sz w:val="30"/>
          <w:szCs w:val="30"/>
          <w:highlight w:val="none"/>
          <w:lang w:val="en-US"/>
        </w:rPr>
      </w:pPr>
      <w:r>
        <w:rPr>
          <w:rFonts w:hint="eastAsia" w:ascii="宋体" w:hAnsi="宋体" w:eastAsia="宋体" w:cs="Times New Roman"/>
          <w:b/>
          <w:color w:val="auto"/>
          <w:sz w:val="30"/>
          <w:szCs w:val="30"/>
          <w:highlight w:val="none"/>
          <w:lang w:eastAsia="zh-CN"/>
        </w:rPr>
        <w:t>番禺区桥山村村镇工业集聚区更新改造试点项目(一期、二期、三期)</w:t>
      </w:r>
      <w:r>
        <w:rPr>
          <w:rFonts w:hint="eastAsia" w:ascii="宋体" w:hAnsi="宋体"/>
          <w:b/>
          <w:bCs w:val="0"/>
          <w:color w:val="auto"/>
          <w:sz w:val="30"/>
          <w:szCs w:val="30"/>
          <w:highlight w:val="none"/>
          <w:lang w:val="en-US" w:eastAsia="zh-CN"/>
        </w:rPr>
        <w:t>检验监测服务</w:t>
      </w:r>
    </w:p>
    <w:p w14:paraId="6C26B53A">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 xml:space="preserve"> </w:t>
      </w:r>
    </w:p>
    <w:p w14:paraId="2487F3BD">
      <w:pPr>
        <w:spacing w:line="480" w:lineRule="auto"/>
        <w:jc w:val="center"/>
        <w:rPr>
          <w:rFonts w:hint="eastAsia" w:ascii="宋体" w:hAnsi="宋体" w:cs="宋体"/>
          <w:color w:val="auto"/>
          <w:sz w:val="28"/>
          <w:highlight w:val="none"/>
        </w:rPr>
      </w:pPr>
      <w:r>
        <w:rPr>
          <w:rFonts w:hint="eastAsia" w:ascii="宋体" w:hAnsi="宋体" w:cs="宋体"/>
          <w:color w:val="auto"/>
          <w:sz w:val="28"/>
          <w:highlight w:val="none"/>
        </w:rPr>
        <w:t>招标公告（另册）</w:t>
      </w:r>
    </w:p>
    <w:p w14:paraId="1CB31E9D">
      <w:pPr>
        <w:rPr>
          <w:rFonts w:hint="eastAsia" w:ascii="宋体" w:hAnsi="宋体" w:cs="宋体"/>
          <w:b/>
          <w:bCs/>
          <w:color w:val="auto"/>
          <w:sz w:val="44"/>
          <w:szCs w:val="44"/>
          <w:highlight w:val="none"/>
        </w:rPr>
      </w:pPr>
    </w:p>
    <w:p w14:paraId="594677BB">
      <w:pPr>
        <w:rPr>
          <w:rFonts w:hint="eastAsia" w:ascii="宋体" w:hAnsi="宋体" w:cs="宋体"/>
          <w:b/>
          <w:bCs/>
          <w:color w:val="auto"/>
          <w:sz w:val="44"/>
          <w:szCs w:val="44"/>
          <w:highlight w:val="none"/>
        </w:rPr>
        <w:sectPr>
          <w:pgSz w:w="11905" w:h="16838"/>
          <w:pgMar w:top="1418" w:right="1701" w:bottom="1418" w:left="1701" w:header="851" w:footer="794" w:gutter="0"/>
          <w:pgBorders w:offsetFrom="page">
            <w:top w:val="none" w:sz="0" w:space="0"/>
            <w:left w:val="none" w:sz="0" w:space="0"/>
            <w:bottom w:val="none" w:sz="0" w:space="0"/>
            <w:right w:val="none" w:sz="0" w:space="0"/>
          </w:pgBorders>
          <w:cols w:space="720" w:num="1"/>
          <w:docGrid w:type="lines" w:linePitch="312" w:charSpace="0"/>
        </w:sectPr>
      </w:pPr>
    </w:p>
    <w:bookmarkEnd w:id="0"/>
    <w:p w14:paraId="1F2C0661">
      <w:pPr>
        <w:pStyle w:val="2"/>
        <w:keepNext w:val="0"/>
        <w:keepLines w:val="0"/>
        <w:jc w:val="center"/>
        <w:rPr>
          <w:rFonts w:hint="eastAsia" w:ascii="宋体" w:hAnsi="宋体" w:eastAsia="宋体" w:cs="宋体"/>
          <w:color w:val="auto"/>
          <w:highlight w:val="none"/>
        </w:rPr>
      </w:pPr>
      <w:bookmarkStart w:id="11" w:name="_Toc10944"/>
      <w:bookmarkStart w:id="12" w:name="_Toc525063244"/>
      <w:bookmarkStart w:id="13" w:name="_Toc17191"/>
      <w:bookmarkStart w:id="14" w:name="_Toc32023"/>
      <w:bookmarkStart w:id="15" w:name="_Toc6616"/>
      <w:bookmarkStart w:id="16" w:name="_Toc21577"/>
      <w:bookmarkStart w:id="17" w:name="_Toc25716"/>
      <w:bookmarkStart w:id="18" w:name="_Toc8572"/>
      <w:bookmarkStart w:id="19" w:name="_Toc25508"/>
      <w:bookmarkStart w:id="20" w:name="_Toc532367870"/>
      <w:r>
        <w:rPr>
          <w:rFonts w:hint="eastAsia" w:ascii="宋体" w:hAnsi="宋体" w:eastAsia="宋体" w:cs="宋体"/>
          <w:color w:val="auto"/>
          <w:highlight w:val="none"/>
        </w:rPr>
        <w:t>第二章 投标人须知</w:t>
      </w:r>
      <w:bookmarkEnd w:id="11"/>
      <w:bookmarkEnd w:id="12"/>
      <w:bookmarkEnd w:id="13"/>
      <w:bookmarkEnd w:id="14"/>
      <w:bookmarkEnd w:id="15"/>
      <w:bookmarkEnd w:id="16"/>
      <w:bookmarkEnd w:id="17"/>
      <w:bookmarkEnd w:id="18"/>
      <w:bookmarkEnd w:id="19"/>
      <w:bookmarkEnd w:id="20"/>
    </w:p>
    <w:p w14:paraId="685488DD">
      <w:pPr>
        <w:pStyle w:val="3"/>
        <w:keepNext w:val="0"/>
        <w:keepLines w:val="0"/>
        <w:jc w:val="center"/>
        <w:rPr>
          <w:rFonts w:hint="eastAsia" w:ascii="宋体" w:hAnsi="宋体" w:eastAsia="宋体" w:cs="宋体"/>
          <w:color w:val="auto"/>
          <w:highlight w:val="none"/>
        </w:rPr>
      </w:pPr>
      <w:bookmarkStart w:id="21" w:name="_Toc525063245"/>
      <w:bookmarkStart w:id="22" w:name="_Toc19745"/>
      <w:bookmarkStart w:id="23" w:name="_Toc24433"/>
      <w:bookmarkStart w:id="24" w:name="_Toc532367871"/>
      <w:bookmarkStart w:id="25" w:name="_Toc32479"/>
      <w:bookmarkStart w:id="26" w:name="_Toc16303"/>
      <w:bookmarkStart w:id="27" w:name="_Toc21151"/>
      <w:bookmarkStart w:id="28" w:name="_Toc25024"/>
      <w:bookmarkStart w:id="29" w:name="_Toc390"/>
      <w:bookmarkStart w:id="30" w:name="_Toc25608"/>
      <w:r>
        <w:rPr>
          <w:rFonts w:hint="eastAsia" w:ascii="宋体" w:hAnsi="宋体" w:eastAsia="宋体" w:cs="宋体"/>
          <w:color w:val="auto"/>
          <w:highlight w:val="none"/>
        </w:rPr>
        <w:t>投标人须知前附表</w:t>
      </w:r>
      <w:bookmarkEnd w:id="21"/>
      <w:bookmarkEnd w:id="22"/>
      <w:bookmarkEnd w:id="23"/>
      <w:bookmarkEnd w:id="24"/>
      <w:bookmarkEnd w:id="25"/>
      <w:bookmarkEnd w:id="26"/>
      <w:bookmarkEnd w:id="27"/>
      <w:bookmarkEnd w:id="28"/>
      <w:bookmarkEnd w:id="29"/>
      <w:bookmarkEnd w:id="30"/>
    </w:p>
    <w:tbl>
      <w:tblPr>
        <w:tblStyle w:val="16"/>
        <w:tblW w:w="96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3118"/>
        <w:gridCol w:w="5546"/>
      </w:tblGrid>
      <w:tr w14:paraId="045448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jc w:val="center"/>
        </w:trPr>
        <w:tc>
          <w:tcPr>
            <w:tcW w:w="959" w:type="dxa"/>
            <w:noWrap w:val="0"/>
            <w:vAlign w:val="center"/>
          </w:tcPr>
          <w:p w14:paraId="1FE5A13E">
            <w:pPr>
              <w:snapToGrid w:val="0"/>
              <w:spacing w:line="24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3118" w:type="dxa"/>
            <w:noWrap w:val="0"/>
            <w:vAlign w:val="center"/>
          </w:tcPr>
          <w:p w14:paraId="5FE82AB8">
            <w:pPr>
              <w:snapToGrid w:val="0"/>
              <w:spacing w:line="24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条款名称</w:t>
            </w:r>
          </w:p>
        </w:tc>
        <w:tc>
          <w:tcPr>
            <w:tcW w:w="5546" w:type="dxa"/>
            <w:noWrap w:val="0"/>
            <w:vAlign w:val="center"/>
          </w:tcPr>
          <w:p w14:paraId="1C1D9CCA">
            <w:pPr>
              <w:snapToGrid w:val="0"/>
              <w:spacing w:line="24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5D4896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959" w:type="dxa"/>
            <w:noWrap w:val="0"/>
            <w:vAlign w:val="center"/>
          </w:tcPr>
          <w:p w14:paraId="076E31A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1.1.2</w:t>
            </w:r>
          </w:p>
        </w:tc>
        <w:tc>
          <w:tcPr>
            <w:tcW w:w="3118" w:type="dxa"/>
            <w:noWrap w:val="0"/>
            <w:vAlign w:val="center"/>
          </w:tcPr>
          <w:p w14:paraId="651A7FEE">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招标人</w:t>
            </w:r>
          </w:p>
        </w:tc>
        <w:tc>
          <w:tcPr>
            <w:tcW w:w="5546" w:type="dxa"/>
            <w:noWrap w:val="0"/>
            <w:vAlign w:val="center"/>
          </w:tcPr>
          <w:p w14:paraId="0BCB269E">
            <w:pPr>
              <w:widowControl/>
              <w:jc w:val="left"/>
              <w:rPr>
                <w:rFonts w:hint="eastAsia" w:ascii="宋体" w:hAnsi="Times New Roman" w:eastAsia="宋体" w:cs="宋体"/>
                <w:color w:val="auto"/>
                <w:sz w:val="21"/>
                <w:szCs w:val="21"/>
                <w:highlight w:val="none"/>
                <w:lang w:eastAsia="zh-CN"/>
              </w:rPr>
            </w:pPr>
            <w:r>
              <w:rPr>
                <w:rFonts w:hint="eastAsia" w:ascii="宋体" w:hAnsi="Times New Roman" w:eastAsia="宋体" w:cs="宋体"/>
                <w:color w:val="auto"/>
                <w:sz w:val="21"/>
                <w:szCs w:val="21"/>
                <w:highlight w:val="none"/>
              </w:rPr>
              <w:t>名称：</w:t>
            </w:r>
            <w:r>
              <w:rPr>
                <w:rFonts w:hint="eastAsia" w:ascii="宋体" w:hAnsi="Times New Roman" w:eastAsia="宋体" w:cs="宋体"/>
                <w:color w:val="auto"/>
                <w:sz w:val="21"/>
                <w:szCs w:val="21"/>
                <w:highlight w:val="none"/>
                <w:lang w:eastAsia="zh-CN"/>
              </w:rPr>
              <w:t>广州市番禺区石碁镇桥山村股份合作经济社</w:t>
            </w:r>
          </w:p>
          <w:p w14:paraId="03EA13D7">
            <w:pPr>
              <w:widowControl/>
              <w:jc w:val="left"/>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地址：</w:t>
            </w:r>
            <w:r>
              <w:rPr>
                <w:rFonts w:hint="eastAsia" w:ascii="宋体" w:hAnsi="Times New Roman" w:eastAsia="宋体" w:cs="宋体"/>
                <w:color w:val="auto"/>
                <w:sz w:val="21"/>
                <w:szCs w:val="21"/>
                <w:highlight w:val="none"/>
                <w:lang w:val="en-US" w:eastAsia="zh-CN"/>
              </w:rPr>
              <w:t>广州市番禺区石碁镇桥山村村委</w:t>
            </w:r>
          </w:p>
          <w:p w14:paraId="530D21B9">
            <w:pPr>
              <w:widowControl/>
              <w:jc w:val="left"/>
              <w:rPr>
                <w:rFonts w:hint="eastAsia" w:ascii="宋体" w:hAnsi="Times New Roman" w:eastAsia="宋体" w:cs="宋体"/>
                <w:color w:val="auto"/>
                <w:sz w:val="21"/>
                <w:szCs w:val="21"/>
                <w:highlight w:val="none"/>
                <w:lang w:val="en-US" w:eastAsia="zh-CN"/>
              </w:rPr>
            </w:pPr>
            <w:r>
              <w:rPr>
                <w:rFonts w:hint="eastAsia" w:ascii="宋体" w:hAnsi="Times New Roman" w:eastAsia="宋体" w:cs="宋体"/>
                <w:color w:val="auto"/>
                <w:sz w:val="21"/>
                <w:szCs w:val="21"/>
                <w:highlight w:val="none"/>
              </w:rPr>
              <w:t>联系人：</w:t>
            </w:r>
            <w:r>
              <w:rPr>
                <w:rFonts w:hint="eastAsia" w:ascii="宋体" w:hAnsi="Times New Roman" w:eastAsia="宋体" w:cs="宋体"/>
                <w:color w:val="auto"/>
                <w:sz w:val="21"/>
                <w:szCs w:val="21"/>
                <w:highlight w:val="none"/>
                <w:lang w:val="en-US" w:eastAsia="zh-CN"/>
              </w:rPr>
              <w:t>曾先生</w:t>
            </w:r>
          </w:p>
          <w:p w14:paraId="25889249">
            <w:pPr>
              <w:widowControl/>
              <w:jc w:val="left"/>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电话：</w:t>
            </w:r>
            <w:r>
              <w:rPr>
                <w:rFonts w:hint="eastAsia" w:ascii="宋体" w:hAnsi="Times New Roman" w:eastAsia="宋体" w:cs="宋体"/>
                <w:color w:val="auto"/>
                <w:sz w:val="21"/>
                <w:szCs w:val="21"/>
                <w:highlight w:val="none"/>
                <w:lang w:val="en-US" w:eastAsia="zh-CN"/>
              </w:rPr>
              <w:t>020-</w:t>
            </w:r>
            <w:r>
              <w:rPr>
                <w:rFonts w:hint="eastAsia" w:ascii="宋体" w:hAnsi="Times New Roman" w:eastAsia="宋体" w:cs="宋体"/>
                <w:color w:val="auto"/>
                <w:sz w:val="21"/>
                <w:szCs w:val="21"/>
                <w:highlight w:val="none"/>
              </w:rPr>
              <w:t>34555693</w:t>
            </w:r>
          </w:p>
        </w:tc>
      </w:tr>
      <w:tr w14:paraId="259B3A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9" w:type="dxa"/>
            <w:noWrap w:val="0"/>
            <w:vAlign w:val="center"/>
          </w:tcPr>
          <w:p w14:paraId="2B5FF062">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1.1.3</w:t>
            </w:r>
          </w:p>
        </w:tc>
        <w:tc>
          <w:tcPr>
            <w:tcW w:w="3118" w:type="dxa"/>
            <w:noWrap w:val="0"/>
            <w:vAlign w:val="center"/>
          </w:tcPr>
          <w:p w14:paraId="5FEC859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招标代理机构</w:t>
            </w:r>
          </w:p>
        </w:tc>
        <w:tc>
          <w:tcPr>
            <w:tcW w:w="5546" w:type="dxa"/>
            <w:noWrap w:val="0"/>
            <w:vAlign w:val="center"/>
          </w:tcPr>
          <w:p w14:paraId="71D39C79">
            <w:pPr>
              <w:widowControl/>
              <w:snapToGrid/>
              <w:jc w:val="left"/>
              <w:rPr>
                <w:rFonts w:hint="eastAsia" w:ascii="宋体" w:hAnsi="Times New Roman" w:eastAsia="宋体" w:cs="宋体"/>
                <w:color w:val="auto"/>
                <w:sz w:val="21"/>
                <w:szCs w:val="21"/>
                <w:highlight w:val="none"/>
                <w:lang w:eastAsia="zh-CN"/>
              </w:rPr>
            </w:pPr>
            <w:r>
              <w:rPr>
                <w:rFonts w:hint="eastAsia" w:ascii="宋体" w:hAnsi="Times New Roman" w:eastAsia="宋体" w:cs="宋体"/>
                <w:color w:val="auto"/>
                <w:sz w:val="21"/>
                <w:szCs w:val="21"/>
                <w:highlight w:val="none"/>
              </w:rPr>
              <w:t>名称：</w:t>
            </w:r>
            <w:r>
              <w:rPr>
                <w:rFonts w:hint="eastAsia" w:ascii="宋体" w:hAnsi="Times New Roman" w:eastAsia="宋体" w:cs="宋体"/>
                <w:color w:val="auto"/>
                <w:sz w:val="21"/>
                <w:szCs w:val="21"/>
                <w:highlight w:val="none"/>
                <w:lang w:eastAsia="zh-CN"/>
              </w:rPr>
              <w:t>钺法咨询有限公司</w:t>
            </w:r>
          </w:p>
          <w:p w14:paraId="775D6AD1">
            <w:pPr>
              <w:widowControl/>
              <w:snapToGrid/>
              <w:jc w:val="left"/>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地址：广州市海珠区新港东路90号</w:t>
            </w:r>
          </w:p>
          <w:p w14:paraId="34E676CA">
            <w:pPr>
              <w:widowControl/>
              <w:snapToGrid/>
              <w:jc w:val="left"/>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联系人：</w:t>
            </w:r>
            <w:r>
              <w:rPr>
                <w:rFonts w:hint="eastAsia" w:ascii="宋体" w:hAnsi="Times New Roman" w:eastAsia="宋体" w:cs="宋体"/>
                <w:color w:val="auto"/>
                <w:sz w:val="21"/>
                <w:szCs w:val="21"/>
                <w:highlight w:val="none"/>
                <w:lang w:val="en-US" w:eastAsia="zh-CN"/>
              </w:rPr>
              <w:t>李</w:t>
            </w:r>
            <w:r>
              <w:rPr>
                <w:rFonts w:hint="eastAsia" w:ascii="宋体" w:hAnsi="Times New Roman" w:eastAsia="宋体" w:cs="宋体"/>
                <w:color w:val="auto"/>
                <w:sz w:val="21"/>
                <w:szCs w:val="21"/>
                <w:highlight w:val="none"/>
              </w:rPr>
              <w:t>工</w:t>
            </w:r>
          </w:p>
          <w:p w14:paraId="647108D0">
            <w:pPr>
              <w:widowControl/>
              <w:snapToGrid/>
              <w:jc w:val="left"/>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电话：</w:t>
            </w:r>
            <w:r>
              <w:rPr>
                <w:rFonts w:hint="eastAsia" w:ascii="宋体" w:hAnsi="Times New Roman" w:eastAsia="宋体" w:cs="宋体"/>
                <w:color w:val="auto"/>
                <w:sz w:val="21"/>
                <w:szCs w:val="21"/>
                <w:highlight w:val="none"/>
                <w:lang w:val="en-US" w:eastAsia="zh-CN"/>
              </w:rPr>
              <w:t>020-89119819、4008738338</w:t>
            </w:r>
          </w:p>
        </w:tc>
      </w:tr>
      <w:tr w14:paraId="23BD72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070ECFA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1.1.4</w:t>
            </w:r>
          </w:p>
        </w:tc>
        <w:tc>
          <w:tcPr>
            <w:tcW w:w="3118" w:type="dxa"/>
            <w:noWrap w:val="0"/>
            <w:vAlign w:val="center"/>
          </w:tcPr>
          <w:p w14:paraId="0B519BC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招标项目名称</w:t>
            </w:r>
          </w:p>
        </w:tc>
        <w:tc>
          <w:tcPr>
            <w:tcW w:w="5546" w:type="dxa"/>
            <w:noWrap w:val="0"/>
            <w:vAlign w:val="center"/>
          </w:tcPr>
          <w:p w14:paraId="3ABE2A1D">
            <w:pPr>
              <w:widowControl/>
              <w:spacing w:line="240" w:lineRule="auto"/>
              <w:jc w:val="left"/>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u w:val="none"/>
                <w:lang w:eastAsia="zh-CN"/>
              </w:rPr>
              <w:t>番禺区桥山村村镇工业集聚区更新改造试点项目(一期、二期、三期)</w:t>
            </w:r>
            <w:r>
              <w:rPr>
                <w:rFonts w:hint="eastAsia" w:ascii="宋体" w:hAnsi="Times New Roman" w:eastAsia="宋体" w:cs="宋体"/>
                <w:color w:val="auto"/>
                <w:sz w:val="21"/>
                <w:szCs w:val="21"/>
                <w:highlight w:val="none"/>
                <w:u w:val="none"/>
                <w:lang w:val="en-US" w:eastAsia="zh-CN"/>
              </w:rPr>
              <w:t>检验监测服务</w:t>
            </w:r>
          </w:p>
        </w:tc>
      </w:tr>
      <w:tr w14:paraId="014A4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6B6FD02C">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1.1.5</w:t>
            </w:r>
          </w:p>
        </w:tc>
        <w:tc>
          <w:tcPr>
            <w:tcW w:w="3118" w:type="dxa"/>
            <w:noWrap w:val="0"/>
            <w:vAlign w:val="center"/>
          </w:tcPr>
          <w:p w14:paraId="46374546">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项目建设地点</w:t>
            </w:r>
          </w:p>
        </w:tc>
        <w:tc>
          <w:tcPr>
            <w:tcW w:w="5546" w:type="dxa"/>
            <w:noWrap w:val="0"/>
            <w:vAlign w:val="center"/>
          </w:tcPr>
          <w:p w14:paraId="74185675">
            <w:pPr>
              <w:widowControl/>
              <w:snapToGrid/>
              <w:spacing w:line="240" w:lineRule="auto"/>
              <w:jc w:val="left"/>
              <w:rPr>
                <w:rFonts w:hint="eastAsia" w:ascii="宋体" w:hAnsi="Times New Roman"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D4A6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noWrap w:val="0"/>
            <w:vAlign w:val="center"/>
          </w:tcPr>
          <w:p w14:paraId="7A6500B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1.1.6</w:t>
            </w:r>
          </w:p>
        </w:tc>
        <w:tc>
          <w:tcPr>
            <w:tcW w:w="3118" w:type="dxa"/>
            <w:noWrap w:val="0"/>
            <w:vAlign w:val="center"/>
          </w:tcPr>
          <w:p w14:paraId="4093F1F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项目建设规模</w:t>
            </w:r>
          </w:p>
        </w:tc>
        <w:tc>
          <w:tcPr>
            <w:tcW w:w="5546" w:type="dxa"/>
            <w:noWrap w:val="0"/>
            <w:vAlign w:val="top"/>
          </w:tcPr>
          <w:p w14:paraId="1384A9F7">
            <w:pPr>
              <w:snapToGrid w:val="0"/>
              <w:spacing w:line="240" w:lineRule="auto"/>
              <w:ind w:right="106"/>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详见招标公告</w:t>
            </w:r>
          </w:p>
        </w:tc>
      </w:tr>
      <w:tr w14:paraId="09F03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959" w:type="dxa"/>
            <w:noWrap w:val="0"/>
            <w:vAlign w:val="center"/>
          </w:tcPr>
          <w:p w14:paraId="2B0AEEA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1.1.7</w:t>
            </w:r>
          </w:p>
        </w:tc>
        <w:tc>
          <w:tcPr>
            <w:tcW w:w="3118" w:type="dxa"/>
            <w:noWrap w:val="0"/>
            <w:vAlign w:val="center"/>
          </w:tcPr>
          <w:p w14:paraId="1B3F7B3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工程项目施工预计开工日期和建设周期</w:t>
            </w:r>
          </w:p>
        </w:tc>
        <w:tc>
          <w:tcPr>
            <w:tcW w:w="5546" w:type="dxa"/>
            <w:noWrap w:val="0"/>
            <w:vAlign w:val="center"/>
          </w:tcPr>
          <w:p w14:paraId="405497BC">
            <w:pPr>
              <w:pStyle w:val="5"/>
              <w:spacing w:line="240" w:lineRule="auto"/>
              <w:rPr>
                <w:rFonts w:hint="eastAsia" w:ascii="宋体" w:hAnsi="宋体" w:cs="宋体"/>
                <w:color w:val="auto"/>
                <w:sz w:val="21"/>
                <w:szCs w:val="21"/>
                <w:highlight w:val="none"/>
              </w:rPr>
            </w:pPr>
            <w:r>
              <w:rPr>
                <w:rFonts w:hint="eastAsia" w:ascii="宋体" w:hAnsi="宋体" w:eastAsia="宋体" w:cs="宋体"/>
                <w:b w:val="0"/>
                <w:color w:val="auto"/>
                <w:kern w:val="2"/>
                <w:sz w:val="21"/>
                <w:szCs w:val="21"/>
                <w:highlight w:val="none"/>
                <w:lang w:val="en-US" w:eastAsia="zh-CN"/>
              </w:rPr>
              <w:t>工程项目施工预计开工日期：开工时间以委托人通知为准。</w:t>
            </w:r>
          </w:p>
        </w:tc>
      </w:tr>
      <w:tr w14:paraId="28F4B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959" w:type="dxa"/>
            <w:noWrap w:val="0"/>
            <w:vAlign w:val="center"/>
          </w:tcPr>
          <w:p w14:paraId="7AE8203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1.1.8</w:t>
            </w:r>
          </w:p>
        </w:tc>
        <w:tc>
          <w:tcPr>
            <w:tcW w:w="3118" w:type="dxa"/>
            <w:noWrap w:val="0"/>
            <w:vAlign w:val="center"/>
          </w:tcPr>
          <w:p w14:paraId="2683A3E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建筑安装工程费/工程概算</w:t>
            </w:r>
          </w:p>
        </w:tc>
        <w:tc>
          <w:tcPr>
            <w:tcW w:w="5546" w:type="dxa"/>
            <w:noWrap w:val="0"/>
            <w:vAlign w:val="center"/>
          </w:tcPr>
          <w:p w14:paraId="60AE1442">
            <w:pPr>
              <w:snapToGrid w:val="0"/>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详见招标公告</w:t>
            </w:r>
          </w:p>
        </w:tc>
      </w:tr>
      <w:tr w14:paraId="653BB9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noWrap w:val="0"/>
            <w:vAlign w:val="center"/>
          </w:tcPr>
          <w:p w14:paraId="5FFB82E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1.2.1</w:t>
            </w:r>
          </w:p>
        </w:tc>
        <w:tc>
          <w:tcPr>
            <w:tcW w:w="3118" w:type="dxa"/>
            <w:noWrap w:val="0"/>
            <w:vAlign w:val="center"/>
          </w:tcPr>
          <w:p w14:paraId="18161E58">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资金来源及比例</w:t>
            </w:r>
          </w:p>
        </w:tc>
        <w:tc>
          <w:tcPr>
            <w:tcW w:w="5546" w:type="dxa"/>
            <w:noWrap w:val="0"/>
            <w:vAlign w:val="center"/>
          </w:tcPr>
          <w:p w14:paraId="26E02456">
            <w:pPr>
              <w:snapToGrid w:val="0"/>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详见招标公告</w:t>
            </w:r>
          </w:p>
        </w:tc>
      </w:tr>
      <w:tr w14:paraId="5BBB5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959" w:type="dxa"/>
            <w:noWrap w:val="0"/>
            <w:vAlign w:val="center"/>
          </w:tcPr>
          <w:p w14:paraId="78C62E37">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1.2.2</w:t>
            </w:r>
          </w:p>
        </w:tc>
        <w:tc>
          <w:tcPr>
            <w:tcW w:w="3118" w:type="dxa"/>
            <w:noWrap w:val="0"/>
            <w:vAlign w:val="center"/>
          </w:tcPr>
          <w:p w14:paraId="6BA76A9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资金落实情况</w:t>
            </w:r>
          </w:p>
        </w:tc>
        <w:tc>
          <w:tcPr>
            <w:tcW w:w="5546" w:type="dxa"/>
            <w:noWrap w:val="0"/>
            <w:vAlign w:val="center"/>
          </w:tcPr>
          <w:p w14:paraId="696D579D">
            <w:pPr>
              <w:snapToGrid w:val="0"/>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已落实</w:t>
            </w:r>
          </w:p>
        </w:tc>
      </w:tr>
      <w:tr w14:paraId="47E0C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959" w:type="dxa"/>
            <w:noWrap w:val="0"/>
            <w:vAlign w:val="center"/>
          </w:tcPr>
          <w:p w14:paraId="1B5A20A2">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1.3.1</w:t>
            </w:r>
          </w:p>
        </w:tc>
        <w:tc>
          <w:tcPr>
            <w:tcW w:w="3118" w:type="dxa"/>
            <w:noWrap w:val="0"/>
            <w:vAlign w:val="center"/>
          </w:tcPr>
          <w:p w14:paraId="5576927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招标范围</w:t>
            </w:r>
          </w:p>
        </w:tc>
        <w:tc>
          <w:tcPr>
            <w:tcW w:w="5546" w:type="dxa"/>
            <w:noWrap w:val="0"/>
            <w:vAlign w:val="top"/>
          </w:tcPr>
          <w:p w14:paraId="308ADB57">
            <w:pPr>
              <w:snapToGrid w:val="0"/>
              <w:spacing w:line="240" w:lineRule="auto"/>
              <w:ind w:right="106"/>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详见招标公告</w:t>
            </w:r>
          </w:p>
        </w:tc>
      </w:tr>
      <w:tr w14:paraId="39DA13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jc w:val="center"/>
        </w:trPr>
        <w:tc>
          <w:tcPr>
            <w:tcW w:w="959" w:type="dxa"/>
            <w:noWrap w:val="0"/>
            <w:vAlign w:val="center"/>
          </w:tcPr>
          <w:p w14:paraId="092523C4">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1.3.2</w:t>
            </w:r>
          </w:p>
        </w:tc>
        <w:tc>
          <w:tcPr>
            <w:tcW w:w="3118" w:type="dxa"/>
            <w:noWrap w:val="0"/>
            <w:vAlign w:val="center"/>
          </w:tcPr>
          <w:p w14:paraId="6EF490DE">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服务期</w:t>
            </w:r>
          </w:p>
        </w:tc>
        <w:tc>
          <w:tcPr>
            <w:tcW w:w="5546" w:type="dxa"/>
            <w:noWrap w:val="0"/>
            <w:vAlign w:val="top"/>
          </w:tcPr>
          <w:p w14:paraId="3AD998E3">
            <w:pPr>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u w:val="single"/>
              </w:rPr>
              <w:t>从中标单位接到进场通知之日起至完成所有检测监测项目，检测监测工作进度必须满足现场施工和</w:t>
            </w:r>
            <w:r>
              <w:rPr>
                <w:rFonts w:hint="eastAsia" w:ascii="宋体" w:hAnsi="宋体" w:eastAsia="宋体" w:cs="宋体"/>
                <w:color w:val="auto"/>
                <w:kern w:val="0"/>
                <w:sz w:val="21"/>
                <w:szCs w:val="21"/>
                <w:highlight w:val="none"/>
                <w:u w:val="single"/>
                <w:lang w:val="en-US" w:eastAsia="zh-CN"/>
              </w:rPr>
              <w:t>发包人</w:t>
            </w:r>
            <w:r>
              <w:rPr>
                <w:rFonts w:hint="eastAsia" w:ascii="宋体" w:hAnsi="宋体" w:eastAsia="宋体" w:cs="宋体"/>
                <w:color w:val="auto"/>
                <w:kern w:val="0"/>
                <w:sz w:val="21"/>
                <w:szCs w:val="21"/>
                <w:highlight w:val="none"/>
                <w:u w:val="single"/>
              </w:rPr>
              <w:t>的要求。</w:t>
            </w:r>
            <w:r>
              <w:rPr>
                <w:rFonts w:hint="eastAsia" w:ascii="宋体" w:hAnsi="宋体" w:eastAsia="宋体" w:cs="宋体"/>
                <w:color w:val="auto"/>
                <w:kern w:val="0"/>
                <w:sz w:val="21"/>
                <w:szCs w:val="21"/>
                <w:highlight w:val="none"/>
                <w:u w:val="single"/>
                <w:lang w:val="en-US" w:eastAsia="zh-CN"/>
              </w:rPr>
              <w:t>发包人</w:t>
            </w:r>
            <w:r>
              <w:rPr>
                <w:rFonts w:hint="eastAsia" w:ascii="宋体" w:hAnsi="宋体" w:eastAsia="宋体" w:cs="宋体"/>
                <w:color w:val="auto"/>
                <w:kern w:val="0"/>
                <w:sz w:val="21"/>
                <w:szCs w:val="21"/>
                <w:highlight w:val="none"/>
                <w:u w:val="single"/>
              </w:rPr>
              <w:t>有权根据工程实际需要调整工期，中标单位需配合</w:t>
            </w:r>
            <w:r>
              <w:rPr>
                <w:rFonts w:hint="eastAsia" w:ascii="宋体" w:hAnsi="宋体" w:eastAsia="宋体" w:cs="宋体"/>
                <w:color w:val="auto"/>
                <w:kern w:val="0"/>
                <w:sz w:val="21"/>
                <w:szCs w:val="21"/>
                <w:highlight w:val="none"/>
                <w:u w:val="single"/>
                <w:lang w:val="en-US" w:eastAsia="zh-CN"/>
              </w:rPr>
              <w:t>发包人</w:t>
            </w:r>
            <w:r>
              <w:rPr>
                <w:rFonts w:hint="eastAsia" w:ascii="宋体" w:hAnsi="宋体" w:eastAsia="宋体" w:cs="宋体"/>
                <w:color w:val="auto"/>
                <w:kern w:val="0"/>
                <w:sz w:val="21"/>
                <w:szCs w:val="21"/>
                <w:highlight w:val="none"/>
                <w:u w:val="single"/>
              </w:rPr>
              <w:t>的调整作出相应的执行计划。</w:t>
            </w:r>
          </w:p>
        </w:tc>
      </w:tr>
      <w:tr w14:paraId="01B19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59" w:type="dxa"/>
            <w:noWrap w:val="0"/>
            <w:vAlign w:val="center"/>
          </w:tcPr>
          <w:p w14:paraId="0D513BE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1.3.3</w:t>
            </w:r>
          </w:p>
        </w:tc>
        <w:tc>
          <w:tcPr>
            <w:tcW w:w="3118" w:type="dxa"/>
            <w:noWrap w:val="0"/>
            <w:vAlign w:val="center"/>
          </w:tcPr>
          <w:p w14:paraId="1FBB187E">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5546" w:type="dxa"/>
            <w:noWrap w:val="0"/>
            <w:vAlign w:val="center"/>
          </w:tcPr>
          <w:p w14:paraId="7462F1A5">
            <w:pPr>
              <w:pStyle w:val="14"/>
              <w:snapToGrid w:val="0"/>
              <w:spacing w:after="0" w:afterLines="0" w:line="240" w:lineRule="auto"/>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符合国家及省、市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区</w:t>
            </w:r>
            <w:r>
              <w:rPr>
                <w:rFonts w:hint="eastAsia" w:ascii="宋体" w:hAnsi="宋体" w:cs="宋体"/>
                <w:color w:val="auto"/>
                <w:sz w:val="21"/>
                <w:szCs w:val="21"/>
                <w:highlight w:val="none"/>
              </w:rPr>
              <w:t>有关检测</w:t>
            </w:r>
            <w:r>
              <w:rPr>
                <w:rFonts w:hint="eastAsia" w:ascii="宋体" w:hAnsi="宋体" w:cs="宋体"/>
                <w:color w:val="auto"/>
                <w:sz w:val="21"/>
                <w:szCs w:val="21"/>
                <w:highlight w:val="none"/>
                <w:lang w:val="en-US" w:eastAsia="zh-CN"/>
              </w:rPr>
              <w:t>监测</w:t>
            </w:r>
            <w:r>
              <w:rPr>
                <w:rFonts w:hint="eastAsia" w:ascii="宋体" w:hAnsi="宋体" w:cs="宋体"/>
                <w:color w:val="auto"/>
                <w:sz w:val="21"/>
                <w:szCs w:val="21"/>
                <w:highlight w:val="none"/>
              </w:rPr>
              <w:t>标准</w:t>
            </w:r>
            <w:r>
              <w:rPr>
                <w:rFonts w:hint="eastAsia" w:ascii="宋体" w:hAnsi="宋体" w:cs="宋体"/>
                <w:color w:val="auto"/>
                <w:sz w:val="21"/>
                <w:szCs w:val="21"/>
                <w:highlight w:val="none"/>
                <w:lang w:val="en-US" w:eastAsia="zh-CN"/>
              </w:rPr>
              <w:t>及相关监管或主管部门要求</w:t>
            </w:r>
            <w:r>
              <w:rPr>
                <w:rFonts w:hint="eastAsia" w:ascii="宋体" w:hAnsi="宋体" w:cs="宋体"/>
                <w:color w:val="auto"/>
                <w:sz w:val="21"/>
                <w:szCs w:val="21"/>
                <w:highlight w:val="none"/>
              </w:rPr>
              <w:t>。</w:t>
            </w:r>
          </w:p>
        </w:tc>
      </w:tr>
      <w:tr w14:paraId="6A3ED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959" w:type="dxa"/>
            <w:noWrap w:val="0"/>
            <w:vAlign w:val="center"/>
          </w:tcPr>
          <w:p w14:paraId="518FED5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1.4.1</w:t>
            </w:r>
          </w:p>
        </w:tc>
        <w:tc>
          <w:tcPr>
            <w:tcW w:w="3118" w:type="dxa"/>
            <w:noWrap w:val="0"/>
            <w:vAlign w:val="center"/>
          </w:tcPr>
          <w:p w14:paraId="04E57D18">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投标人资质条件、能力、信誉</w:t>
            </w:r>
          </w:p>
        </w:tc>
        <w:tc>
          <w:tcPr>
            <w:tcW w:w="5546" w:type="dxa"/>
            <w:noWrap w:val="0"/>
            <w:vAlign w:val="center"/>
          </w:tcPr>
          <w:p w14:paraId="5BA7F324">
            <w:pPr>
              <w:snapToGrid w:val="0"/>
              <w:spacing w:line="240" w:lineRule="auto"/>
              <w:ind w:firstLine="29" w:firstLineChars="14"/>
              <w:rPr>
                <w:rFonts w:hint="eastAsia" w:ascii="宋体" w:hAnsi="宋体" w:cs="宋体"/>
                <w:color w:val="auto"/>
                <w:sz w:val="21"/>
                <w:szCs w:val="21"/>
                <w:highlight w:val="none"/>
              </w:rPr>
            </w:pPr>
            <w:r>
              <w:rPr>
                <w:rFonts w:hint="eastAsia" w:ascii="宋体" w:hAnsi="宋体" w:cs="宋体"/>
                <w:color w:val="auto"/>
                <w:sz w:val="21"/>
                <w:szCs w:val="21"/>
                <w:highlight w:val="none"/>
              </w:rPr>
              <w:t>（1）资质要求：详见招标公告投标人资格要求。</w:t>
            </w:r>
          </w:p>
          <w:p w14:paraId="22379F43">
            <w:pPr>
              <w:snapToGrid w:val="0"/>
              <w:spacing w:line="240" w:lineRule="auto"/>
              <w:ind w:firstLine="29" w:firstLineChars="14"/>
              <w:rPr>
                <w:rFonts w:hint="eastAsia" w:ascii="宋体" w:hAnsi="宋体" w:cs="宋体"/>
                <w:color w:val="auto"/>
                <w:sz w:val="21"/>
                <w:szCs w:val="21"/>
                <w:highlight w:val="none"/>
              </w:rPr>
            </w:pPr>
            <w:r>
              <w:rPr>
                <w:rFonts w:hint="eastAsia" w:ascii="宋体" w:hAnsi="宋体" w:cs="宋体"/>
                <w:color w:val="auto"/>
                <w:sz w:val="21"/>
                <w:szCs w:val="21"/>
                <w:highlight w:val="none"/>
              </w:rPr>
              <w:t>（2）财务要求：</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（不作为资格审查内容）</w:t>
            </w:r>
          </w:p>
          <w:p w14:paraId="383BA399">
            <w:pPr>
              <w:snapToGrid w:val="0"/>
              <w:spacing w:line="240" w:lineRule="auto"/>
              <w:ind w:right="106"/>
              <w:rPr>
                <w:rFonts w:hint="eastAsia" w:ascii="宋体" w:hAnsi="宋体" w:cs="宋体"/>
                <w:color w:val="auto"/>
                <w:sz w:val="21"/>
                <w:szCs w:val="21"/>
                <w:highlight w:val="none"/>
              </w:rPr>
            </w:pPr>
            <w:r>
              <w:rPr>
                <w:rFonts w:hint="eastAsia" w:ascii="宋体" w:hAnsi="宋体" w:cs="宋体"/>
                <w:color w:val="auto"/>
                <w:sz w:val="21"/>
                <w:szCs w:val="21"/>
                <w:highlight w:val="none"/>
              </w:rPr>
              <w:t>（3）业绩要求：</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（不作为资格审查内容）</w:t>
            </w:r>
          </w:p>
          <w:p w14:paraId="5D081090">
            <w:pPr>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（4）信誉要求：</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（不作为资格审查内容）</w:t>
            </w:r>
          </w:p>
          <w:p w14:paraId="13EFD813">
            <w:pPr>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（5）项目负责人的资格要求：详见招标公告投标人资格要求。</w:t>
            </w:r>
          </w:p>
          <w:p w14:paraId="1F822472">
            <w:pPr>
              <w:snapToGrid w:val="0"/>
              <w:spacing w:line="240" w:lineRule="auto"/>
              <w:ind w:right="106"/>
              <w:rPr>
                <w:rFonts w:hint="eastAsia" w:ascii="宋体" w:hAnsi="宋体" w:cs="宋体"/>
                <w:color w:val="auto"/>
                <w:sz w:val="21"/>
                <w:szCs w:val="21"/>
                <w:highlight w:val="none"/>
              </w:rPr>
            </w:pPr>
            <w:r>
              <w:rPr>
                <w:rFonts w:hint="eastAsia" w:ascii="宋体" w:hAnsi="宋体" w:cs="宋体"/>
                <w:color w:val="auto"/>
                <w:sz w:val="21"/>
                <w:szCs w:val="21"/>
                <w:highlight w:val="none"/>
              </w:rPr>
              <w:t>（6）其他主要人员要求：</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（不作为资格审查内容）</w:t>
            </w:r>
          </w:p>
          <w:p w14:paraId="3B4C6A74">
            <w:pPr>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（7）试验检测仪器设备要求：</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（不作为资格审查内容）</w:t>
            </w:r>
          </w:p>
          <w:p w14:paraId="691F93AE">
            <w:pPr>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（8）其他要求：详见招标公告投标人资格要求。</w:t>
            </w:r>
          </w:p>
        </w:tc>
      </w:tr>
      <w:tr w14:paraId="12A01E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959" w:type="dxa"/>
            <w:noWrap w:val="0"/>
            <w:vAlign w:val="center"/>
          </w:tcPr>
          <w:p w14:paraId="6E9F3F6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1.4.2</w:t>
            </w:r>
          </w:p>
        </w:tc>
        <w:tc>
          <w:tcPr>
            <w:tcW w:w="3118" w:type="dxa"/>
            <w:noWrap w:val="0"/>
            <w:vAlign w:val="center"/>
          </w:tcPr>
          <w:p w14:paraId="7797370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5546" w:type="dxa"/>
            <w:noWrap w:val="0"/>
            <w:vAlign w:val="center"/>
          </w:tcPr>
          <w:p w14:paraId="7757EF73">
            <w:pPr>
              <w:topLinePunct/>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□不接受</w:t>
            </w:r>
          </w:p>
          <w:p w14:paraId="0D1106DC">
            <w:pPr>
              <w:topLinePunct/>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■接受</w:t>
            </w:r>
          </w:p>
        </w:tc>
      </w:tr>
      <w:tr w14:paraId="6A82D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959" w:type="dxa"/>
            <w:noWrap w:val="0"/>
            <w:vAlign w:val="center"/>
          </w:tcPr>
          <w:p w14:paraId="273061F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1.4.3</w:t>
            </w:r>
          </w:p>
        </w:tc>
        <w:tc>
          <w:tcPr>
            <w:tcW w:w="3118" w:type="dxa"/>
            <w:noWrap w:val="0"/>
            <w:vAlign w:val="center"/>
          </w:tcPr>
          <w:p w14:paraId="2CE3212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投标人不得存在的其他情形</w:t>
            </w:r>
          </w:p>
        </w:tc>
        <w:tc>
          <w:tcPr>
            <w:tcW w:w="5546" w:type="dxa"/>
            <w:noWrap w:val="0"/>
            <w:vAlign w:val="center"/>
          </w:tcPr>
          <w:p w14:paraId="03F1DEE4">
            <w:pPr>
              <w:pStyle w:val="21"/>
              <w:spacing w:line="240" w:lineRule="auto"/>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rPr>
              <w:t xml:space="preserve"> / </w:t>
            </w:r>
          </w:p>
        </w:tc>
      </w:tr>
      <w:tr w14:paraId="30743A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959" w:type="dxa"/>
            <w:noWrap w:val="0"/>
            <w:vAlign w:val="center"/>
          </w:tcPr>
          <w:p w14:paraId="2A14140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1.9.1</w:t>
            </w:r>
          </w:p>
        </w:tc>
        <w:tc>
          <w:tcPr>
            <w:tcW w:w="3118" w:type="dxa"/>
            <w:noWrap w:val="0"/>
            <w:vAlign w:val="center"/>
          </w:tcPr>
          <w:p w14:paraId="1D01B8F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踏勘现场</w:t>
            </w:r>
          </w:p>
        </w:tc>
        <w:tc>
          <w:tcPr>
            <w:tcW w:w="5546" w:type="dxa"/>
            <w:noWrap w:val="0"/>
            <w:vAlign w:val="center"/>
          </w:tcPr>
          <w:p w14:paraId="75E92EE2">
            <w:pPr>
              <w:pStyle w:val="6"/>
              <w:topLinePunct/>
              <w:spacing w:line="240" w:lineRule="auto"/>
              <w:rPr>
                <w:rFonts w:hint="eastAsia" w:hAnsi="宋体" w:cs="宋体"/>
                <w:color w:val="auto"/>
                <w:sz w:val="21"/>
                <w:szCs w:val="21"/>
                <w:highlight w:val="none"/>
              </w:rPr>
            </w:pPr>
            <w:r>
              <w:rPr>
                <w:rFonts w:hint="eastAsia" w:hAnsi="宋体" w:cs="宋体"/>
                <w:color w:val="auto"/>
                <w:sz w:val="21"/>
                <w:szCs w:val="21"/>
                <w:highlight w:val="none"/>
              </w:rPr>
              <w:t>■不组织</w:t>
            </w:r>
          </w:p>
          <w:p w14:paraId="73BF5E80">
            <w:pPr>
              <w:pStyle w:val="6"/>
              <w:topLinePunct/>
              <w:spacing w:line="240" w:lineRule="auto"/>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□组织，踏勘时间：</w:t>
            </w:r>
            <w:r>
              <w:rPr>
                <w:rFonts w:hint="eastAsia" w:hAnsi="宋体" w:cs="宋体"/>
                <w:color w:val="auto"/>
                <w:sz w:val="21"/>
                <w:szCs w:val="21"/>
                <w:highlight w:val="none"/>
                <w:lang w:val="en-US" w:eastAsia="zh-CN"/>
              </w:rPr>
              <w:t>/</w:t>
            </w:r>
          </w:p>
          <w:p w14:paraId="3638B139">
            <w:pPr>
              <w:pStyle w:val="6"/>
              <w:topLinePunct/>
              <w:spacing w:line="240" w:lineRule="auto"/>
              <w:ind w:firstLine="840" w:firstLineChars="40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踏勘集中地点：</w:t>
            </w:r>
            <w:r>
              <w:rPr>
                <w:rFonts w:hint="eastAsia" w:hAnsi="宋体" w:cs="宋体"/>
                <w:color w:val="auto"/>
                <w:sz w:val="21"/>
                <w:szCs w:val="21"/>
                <w:highlight w:val="none"/>
                <w:lang w:val="en-US" w:eastAsia="zh-CN"/>
              </w:rPr>
              <w:t>/</w:t>
            </w:r>
          </w:p>
        </w:tc>
      </w:tr>
      <w:tr w14:paraId="69326E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959" w:type="dxa"/>
            <w:noWrap w:val="0"/>
            <w:vAlign w:val="center"/>
          </w:tcPr>
          <w:p w14:paraId="72FD345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1.10.1</w:t>
            </w:r>
          </w:p>
        </w:tc>
        <w:tc>
          <w:tcPr>
            <w:tcW w:w="3118" w:type="dxa"/>
            <w:noWrap w:val="0"/>
            <w:vAlign w:val="center"/>
          </w:tcPr>
          <w:p w14:paraId="721AEEB7">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5546" w:type="dxa"/>
            <w:noWrap w:val="0"/>
            <w:vAlign w:val="center"/>
          </w:tcPr>
          <w:p w14:paraId="5BC8AC24">
            <w:pPr>
              <w:pStyle w:val="6"/>
              <w:topLinePunct/>
              <w:spacing w:line="240" w:lineRule="auto"/>
              <w:rPr>
                <w:rFonts w:hint="eastAsia" w:hAnsi="宋体" w:cs="宋体"/>
                <w:color w:val="auto"/>
                <w:sz w:val="21"/>
                <w:szCs w:val="21"/>
                <w:highlight w:val="none"/>
              </w:rPr>
            </w:pPr>
            <w:r>
              <w:rPr>
                <w:rFonts w:hint="eastAsia" w:hAnsi="宋体" w:cs="宋体"/>
                <w:color w:val="auto"/>
                <w:sz w:val="21"/>
                <w:szCs w:val="21"/>
                <w:highlight w:val="none"/>
              </w:rPr>
              <w:t>■不召开</w:t>
            </w:r>
          </w:p>
          <w:p w14:paraId="6EDACDD0">
            <w:pPr>
              <w:spacing w:line="24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□召开，召开时间：</w:t>
            </w:r>
            <w:r>
              <w:rPr>
                <w:rFonts w:hint="eastAsia" w:ascii="宋体" w:hAnsi="宋体" w:cs="宋体"/>
                <w:color w:val="auto"/>
                <w:sz w:val="21"/>
                <w:szCs w:val="21"/>
                <w:highlight w:val="none"/>
                <w:lang w:val="en-US" w:eastAsia="zh-CN"/>
              </w:rPr>
              <w:t>/</w:t>
            </w:r>
          </w:p>
          <w:p w14:paraId="131A8D37">
            <w:p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召开地点：</w:t>
            </w:r>
            <w:r>
              <w:rPr>
                <w:rFonts w:hint="eastAsia" w:ascii="宋体" w:hAnsi="宋体" w:cs="宋体"/>
                <w:color w:val="auto"/>
                <w:sz w:val="21"/>
                <w:szCs w:val="21"/>
                <w:highlight w:val="none"/>
                <w:lang w:val="en-US" w:eastAsia="zh-CN"/>
              </w:rPr>
              <w:t>/</w:t>
            </w:r>
          </w:p>
        </w:tc>
      </w:tr>
      <w:tr w14:paraId="659F71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59" w:type="dxa"/>
            <w:vMerge w:val="restart"/>
            <w:noWrap w:val="0"/>
            <w:vAlign w:val="center"/>
          </w:tcPr>
          <w:p w14:paraId="5D410A1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1.10.2</w:t>
            </w:r>
          </w:p>
        </w:tc>
        <w:tc>
          <w:tcPr>
            <w:tcW w:w="3118" w:type="dxa"/>
            <w:vMerge w:val="restart"/>
            <w:noWrap w:val="0"/>
            <w:vAlign w:val="center"/>
          </w:tcPr>
          <w:p w14:paraId="614E4BB4">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投标人在投标预备会前提出问题</w:t>
            </w:r>
          </w:p>
        </w:tc>
        <w:tc>
          <w:tcPr>
            <w:tcW w:w="5546" w:type="dxa"/>
            <w:noWrap w:val="0"/>
            <w:vAlign w:val="center"/>
          </w:tcPr>
          <w:p w14:paraId="26B867BB">
            <w:pPr>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（本项目不召开投标预备会）</w:t>
            </w:r>
          </w:p>
        </w:tc>
      </w:tr>
      <w:tr w14:paraId="1B472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959" w:type="dxa"/>
            <w:vMerge w:val="continue"/>
            <w:noWrap w:val="0"/>
            <w:vAlign w:val="center"/>
          </w:tcPr>
          <w:p w14:paraId="1F130FD1">
            <w:pPr>
              <w:keepNext/>
              <w:keepLines/>
              <w:snapToGrid w:val="0"/>
              <w:spacing w:before="120" w:beforeLines="0" w:after="120" w:afterLines="0" w:line="240" w:lineRule="auto"/>
              <w:jc w:val="center"/>
              <w:outlineLvl w:val="2"/>
              <w:rPr>
                <w:rFonts w:hint="eastAsia" w:ascii="宋体" w:hAnsi="宋体" w:cs="宋体"/>
                <w:color w:val="auto"/>
                <w:sz w:val="21"/>
                <w:szCs w:val="21"/>
                <w:highlight w:val="none"/>
              </w:rPr>
            </w:pPr>
          </w:p>
        </w:tc>
        <w:tc>
          <w:tcPr>
            <w:tcW w:w="3118" w:type="dxa"/>
            <w:vMerge w:val="continue"/>
            <w:noWrap w:val="0"/>
            <w:vAlign w:val="center"/>
          </w:tcPr>
          <w:p w14:paraId="02A5CAEC">
            <w:pPr>
              <w:keepNext/>
              <w:keepLines/>
              <w:snapToGrid w:val="0"/>
              <w:spacing w:before="120" w:beforeLines="0" w:after="120" w:afterLines="0" w:line="240" w:lineRule="auto"/>
              <w:jc w:val="center"/>
              <w:outlineLvl w:val="2"/>
              <w:rPr>
                <w:rFonts w:hint="eastAsia" w:ascii="宋体" w:hAnsi="宋体" w:cs="宋体"/>
                <w:color w:val="auto"/>
                <w:sz w:val="21"/>
                <w:szCs w:val="21"/>
                <w:highlight w:val="none"/>
              </w:rPr>
            </w:pPr>
          </w:p>
        </w:tc>
        <w:tc>
          <w:tcPr>
            <w:tcW w:w="5546" w:type="dxa"/>
            <w:noWrap w:val="0"/>
            <w:vAlign w:val="center"/>
          </w:tcPr>
          <w:p w14:paraId="78051518">
            <w:pPr>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形式：</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（本项目不召开投标预备会）</w:t>
            </w:r>
          </w:p>
        </w:tc>
      </w:tr>
      <w:tr w14:paraId="4CE838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959" w:type="dxa"/>
            <w:noWrap w:val="0"/>
            <w:vAlign w:val="center"/>
          </w:tcPr>
          <w:p w14:paraId="4929059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1.10.3</w:t>
            </w:r>
          </w:p>
        </w:tc>
        <w:tc>
          <w:tcPr>
            <w:tcW w:w="3118" w:type="dxa"/>
            <w:noWrap w:val="0"/>
            <w:vAlign w:val="center"/>
          </w:tcPr>
          <w:p w14:paraId="43F070D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招标文件澄清发出的形式</w:t>
            </w:r>
          </w:p>
        </w:tc>
        <w:tc>
          <w:tcPr>
            <w:tcW w:w="5546" w:type="dxa"/>
            <w:noWrap w:val="0"/>
            <w:vAlign w:val="center"/>
          </w:tcPr>
          <w:p w14:paraId="623734F5">
            <w:pPr>
              <w:snapToGrid w:val="0"/>
              <w:spacing w:line="24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（不召开投标预备会，此为投标预备会的答疑澄清）</w:t>
            </w:r>
          </w:p>
        </w:tc>
      </w:tr>
      <w:tr w14:paraId="6367BD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959" w:type="dxa"/>
            <w:noWrap w:val="0"/>
            <w:vAlign w:val="center"/>
          </w:tcPr>
          <w:p w14:paraId="5384BE76">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1.12.1</w:t>
            </w:r>
          </w:p>
        </w:tc>
        <w:tc>
          <w:tcPr>
            <w:tcW w:w="3118" w:type="dxa"/>
            <w:noWrap w:val="0"/>
            <w:vAlign w:val="center"/>
          </w:tcPr>
          <w:p w14:paraId="4CE313C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实质性要求和条件</w:t>
            </w:r>
          </w:p>
        </w:tc>
        <w:tc>
          <w:tcPr>
            <w:tcW w:w="5546" w:type="dxa"/>
            <w:noWrap w:val="0"/>
            <w:vAlign w:val="center"/>
          </w:tcPr>
          <w:p w14:paraId="58094587">
            <w:pPr>
              <w:pStyle w:val="6"/>
              <w:topLinePunct/>
              <w:snapToGrid w:val="0"/>
              <w:spacing w:line="240" w:lineRule="auto"/>
              <w:rPr>
                <w:rFonts w:hint="eastAsia" w:hAnsi="宋体" w:cs="宋体"/>
                <w:color w:val="auto"/>
                <w:sz w:val="21"/>
                <w:szCs w:val="21"/>
                <w:highlight w:val="none"/>
              </w:rPr>
            </w:pPr>
            <w:r>
              <w:rPr>
                <w:rFonts w:hint="eastAsia" w:hAnsi="宋体" w:cs="宋体"/>
                <w:color w:val="auto"/>
                <w:sz w:val="21"/>
                <w:szCs w:val="21"/>
                <w:highlight w:val="none"/>
                <w:u w:val="single"/>
              </w:rPr>
              <w:t xml:space="preserve">  /  </w:t>
            </w:r>
          </w:p>
        </w:tc>
      </w:tr>
      <w:tr w14:paraId="0A22D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9" w:type="dxa"/>
            <w:noWrap w:val="0"/>
            <w:vAlign w:val="center"/>
          </w:tcPr>
          <w:p w14:paraId="5553025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1.12.3</w:t>
            </w:r>
          </w:p>
        </w:tc>
        <w:tc>
          <w:tcPr>
            <w:tcW w:w="3118" w:type="dxa"/>
            <w:noWrap w:val="0"/>
            <w:vAlign w:val="center"/>
          </w:tcPr>
          <w:p w14:paraId="29630BD8">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5546" w:type="dxa"/>
            <w:noWrap w:val="0"/>
            <w:vAlign w:val="top"/>
          </w:tcPr>
          <w:p w14:paraId="68E90CAA">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14:paraId="7245334E">
            <w:pPr>
              <w:pStyle w:val="6"/>
              <w:topLinePunct/>
              <w:spacing w:line="240" w:lineRule="auto"/>
              <w:rPr>
                <w:rFonts w:hint="eastAsia" w:hAnsi="宋体" w:cs="宋体"/>
                <w:color w:val="auto"/>
                <w:sz w:val="21"/>
                <w:szCs w:val="21"/>
                <w:highlight w:val="none"/>
              </w:rPr>
            </w:pPr>
            <w:r>
              <w:rPr>
                <w:rFonts w:hint="eastAsia" w:hAnsi="宋体" w:cs="宋体"/>
                <w:color w:val="auto"/>
                <w:sz w:val="21"/>
                <w:szCs w:val="21"/>
                <w:highlight w:val="none"/>
              </w:rPr>
              <w:t>□允许，偏差范围：</w:t>
            </w:r>
          </w:p>
          <w:p w14:paraId="71F919BE">
            <w:pPr>
              <w:pStyle w:val="6"/>
              <w:topLinePunct/>
              <w:spacing w:line="240" w:lineRule="auto"/>
              <w:ind w:firstLine="840" w:firstLineChars="400"/>
              <w:rPr>
                <w:rFonts w:hint="eastAsia" w:hAnsi="宋体" w:cs="宋体"/>
                <w:color w:val="auto"/>
                <w:sz w:val="21"/>
                <w:szCs w:val="21"/>
                <w:highlight w:val="none"/>
              </w:rPr>
            </w:pPr>
            <w:r>
              <w:rPr>
                <w:rFonts w:hint="eastAsia" w:hAnsi="宋体" w:cs="宋体"/>
                <w:color w:val="auto"/>
                <w:sz w:val="21"/>
                <w:szCs w:val="21"/>
                <w:highlight w:val="none"/>
              </w:rPr>
              <w:t>偏差幅度：</w:t>
            </w:r>
          </w:p>
        </w:tc>
      </w:tr>
      <w:tr w14:paraId="45CCF4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959" w:type="dxa"/>
            <w:noWrap w:val="0"/>
            <w:vAlign w:val="center"/>
          </w:tcPr>
          <w:p w14:paraId="088C1D82">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w:t>
            </w:r>
          </w:p>
        </w:tc>
        <w:tc>
          <w:tcPr>
            <w:tcW w:w="3118" w:type="dxa"/>
            <w:noWrap w:val="0"/>
            <w:vAlign w:val="center"/>
          </w:tcPr>
          <w:p w14:paraId="15CC59C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构成招标文件的其他资料</w:t>
            </w:r>
          </w:p>
        </w:tc>
        <w:tc>
          <w:tcPr>
            <w:tcW w:w="5546" w:type="dxa"/>
            <w:noWrap w:val="0"/>
            <w:vAlign w:val="center"/>
          </w:tcPr>
          <w:p w14:paraId="6985D424">
            <w:pPr>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 </w:t>
            </w:r>
          </w:p>
        </w:tc>
      </w:tr>
      <w:tr w14:paraId="458FE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7" w:hRule="atLeast"/>
          <w:jc w:val="center"/>
        </w:trPr>
        <w:tc>
          <w:tcPr>
            <w:tcW w:w="959" w:type="dxa"/>
            <w:noWrap w:val="0"/>
            <w:vAlign w:val="center"/>
          </w:tcPr>
          <w:p w14:paraId="2A6F4F75">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3118" w:type="dxa"/>
            <w:noWrap w:val="0"/>
            <w:vAlign w:val="center"/>
          </w:tcPr>
          <w:p w14:paraId="3B7F592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投标人要求澄清招标文件</w:t>
            </w:r>
          </w:p>
        </w:tc>
        <w:tc>
          <w:tcPr>
            <w:tcW w:w="5546" w:type="dxa"/>
            <w:noWrap w:val="0"/>
            <w:vAlign w:val="center"/>
          </w:tcPr>
          <w:p w14:paraId="67564E17">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形式及时间：</w:t>
            </w:r>
          </w:p>
          <w:p w14:paraId="6785C6DC">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招标答疑采用网上答疑方式进行。投标人若对招标文件有疑问的，可在规定的时间内通过广州交易集团有限公司（广州公共资源交易中心）数字交易平台无记名或匿名提交。</w:t>
            </w:r>
          </w:p>
          <w:p w14:paraId="10B94935">
            <w:pPr>
              <w:spacing w:line="24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投标人停止提出答疑问题时间以广州交易集团有限公司（广州公共资源交易中心）网站公布的时间为准。招标人应在投标截止时间15日前解答投标人对招标文件提出的疑问，形成答疑纪要，在广州交易集团有限公司（广州公共资源交易中心）网站发布。</w:t>
            </w:r>
          </w:p>
          <w:p w14:paraId="4FF4B3B3">
            <w:pPr>
              <w:pStyle w:val="14"/>
              <w:snapToGrid w:val="0"/>
              <w:spacing w:after="0" w:afterLines="0" w:line="240" w:lineRule="auto"/>
              <w:ind w:firstLine="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具体要求：操作详见广州交易集团有限公司（广州公共资源交易中心）网站指引。提问一律不得署名。</w:t>
            </w:r>
          </w:p>
        </w:tc>
      </w:tr>
      <w:tr w14:paraId="21D466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14:paraId="4E88249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tc>
        <w:tc>
          <w:tcPr>
            <w:tcW w:w="3118" w:type="dxa"/>
            <w:noWrap w:val="0"/>
            <w:vAlign w:val="center"/>
          </w:tcPr>
          <w:p w14:paraId="2E977AD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招标文件澄清发出的形式</w:t>
            </w:r>
          </w:p>
        </w:tc>
        <w:tc>
          <w:tcPr>
            <w:tcW w:w="5546" w:type="dxa"/>
            <w:noWrap w:val="0"/>
            <w:vAlign w:val="center"/>
          </w:tcPr>
          <w:p w14:paraId="221B067C">
            <w:pPr>
              <w:pStyle w:val="14"/>
              <w:snapToGrid w:val="0"/>
              <w:spacing w:after="0" w:afterLines="0" w:line="240" w:lineRule="auto"/>
              <w:ind w:firstLine="0"/>
              <w:rPr>
                <w:rFonts w:hint="eastAsia" w:ascii="宋体" w:hAnsi="宋体" w:cs="宋体"/>
                <w:color w:val="auto"/>
                <w:sz w:val="21"/>
                <w:szCs w:val="21"/>
                <w:highlight w:val="none"/>
                <w:u w:val="single"/>
              </w:rPr>
            </w:pPr>
            <w:r>
              <w:rPr>
                <w:rFonts w:hint="eastAsia" w:ascii="宋体" w:hAnsi="宋体"/>
                <w:color w:val="auto"/>
                <w:sz w:val="21"/>
                <w:szCs w:val="21"/>
                <w:highlight w:val="none"/>
              </w:rPr>
              <w:t>在递交投标文件截止时间</w:t>
            </w:r>
            <w:r>
              <w:rPr>
                <w:rFonts w:ascii="宋体" w:hAnsi="宋体"/>
                <w:color w:val="auto"/>
                <w:sz w:val="21"/>
                <w:szCs w:val="21"/>
                <w:highlight w:val="none"/>
              </w:rPr>
              <w:t>15</w:t>
            </w:r>
            <w:r>
              <w:rPr>
                <w:rFonts w:hint="eastAsia" w:ascii="宋体" w:hAnsi="宋体"/>
                <w:color w:val="auto"/>
                <w:sz w:val="21"/>
                <w:szCs w:val="21"/>
                <w:highlight w:val="none"/>
              </w:rPr>
              <w:t>天前；在</w:t>
            </w:r>
            <w:r>
              <w:rPr>
                <w:rFonts w:hint="eastAsia" w:ascii="宋体" w:hAnsi="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cs="宋体"/>
                <w:color w:val="auto"/>
                <w:sz w:val="21"/>
                <w:szCs w:val="21"/>
                <w:highlight w:val="none"/>
                <w:u w:val="single"/>
                <w:lang w:eastAsia="zh-CN"/>
              </w:rPr>
              <w:t>）</w:t>
            </w:r>
            <w:r>
              <w:rPr>
                <w:rFonts w:hint="eastAsia" w:ascii="宋体" w:hAnsi="宋体"/>
                <w:color w:val="auto"/>
                <w:sz w:val="21"/>
                <w:szCs w:val="21"/>
                <w:highlight w:val="none"/>
              </w:rPr>
              <w:t>网站通过项目答疑专区网上公开发布。</w:t>
            </w:r>
          </w:p>
        </w:tc>
      </w:tr>
      <w:tr w14:paraId="05FD2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959" w:type="dxa"/>
            <w:vMerge w:val="restart"/>
            <w:noWrap w:val="0"/>
            <w:vAlign w:val="center"/>
          </w:tcPr>
          <w:p w14:paraId="251B499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2.2.3</w:t>
            </w:r>
          </w:p>
        </w:tc>
        <w:tc>
          <w:tcPr>
            <w:tcW w:w="3118" w:type="dxa"/>
            <w:vMerge w:val="restart"/>
            <w:noWrap w:val="0"/>
            <w:vAlign w:val="center"/>
          </w:tcPr>
          <w:p w14:paraId="3A09E8ED">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投标人确认收到招标文件澄清</w:t>
            </w:r>
          </w:p>
        </w:tc>
        <w:tc>
          <w:tcPr>
            <w:tcW w:w="5546" w:type="dxa"/>
            <w:noWrap w:val="0"/>
            <w:vAlign w:val="center"/>
          </w:tcPr>
          <w:p w14:paraId="41F9A18D">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hAnsi="宋体"/>
                <w:color w:val="auto"/>
                <w:sz w:val="21"/>
                <w:szCs w:val="21"/>
                <w:highlight w:val="none"/>
                <w:u w:val="single"/>
              </w:rPr>
              <w:t>发出即视作收到。</w:t>
            </w:r>
          </w:p>
        </w:tc>
      </w:tr>
      <w:tr w14:paraId="1D0763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59" w:type="dxa"/>
            <w:vMerge w:val="continue"/>
            <w:noWrap w:val="0"/>
            <w:vAlign w:val="center"/>
          </w:tcPr>
          <w:p w14:paraId="04BFF41C">
            <w:pPr>
              <w:keepNext/>
              <w:keepLines/>
              <w:snapToGrid w:val="0"/>
              <w:spacing w:before="120" w:beforeLines="0" w:after="120" w:afterLines="0" w:line="240" w:lineRule="auto"/>
              <w:jc w:val="center"/>
              <w:outlineLvl w:val="2"/>
              <w:rPr>
                <w:rFonts w:hint="eastAsia" w:ascii="宋体" w:hAnsi="宋体" w:cs="宋体"/>
                <w:color w:val="auto"/>
                <w:sz w:val="21"/>
                <w:szCs w:val="21"/>
                <w:highlight w:val="none"/>
              </w:rPr>
            </w:pPr>
          </w:p>
        </w:tc>
        <w:tc>
          <w:tcPr>
            <w:tcW w:w="3118" w:type="dxa"/>
            <w:vMerge w:val="continue"/>
            <w:noWrap w:val="0"/>
            <w:vAlign w:val="center"/>
          </w:tcPr>
          <w:p w14:paraId="59AA621A">
            <w:pPr>
              <w:keepNext/>
              <w:keepLines/>
              <w:snapToGrid w:val="0"/>
              <w:spacing w:before="120" w:beforeLines="0" w:after="120" w:afterLines="0" w:line="240" w:lineRule="auto"/>
              <w:jc w:val="center"/>
              <w:outlineLvl w:val="2"/>
              <w:rPr>
                <w:rFonts w:hint="eastAsia" w:ascii="宋体" w:hAnsi="宋体" w:cs="宋体"/>
                <w:color w:val="auto"/>
                <w:sz w:val="21"/>
                <w:szCs w:val="21"/>
                <w:highlight w:val="none"/>
              </w:rPr>
            </w:pPr>
          </w:p>
        </w:tc>
        <w:tc>
          <w:tcPr>
            <w:tcW w:w="5546" w:type="dxa"/>
            <w:noWrap w:val="0"/>
            <w:vAlign w:val="center"/>
          </w:tcPr>
          <w:p w14:paraId="3D2B84E3">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形式：</w:t>
            </w:r>
            <w:r>
              <w:rPr>
                <w:rFonts w:hint="eastAsia" w:ascii="宋体" w:hAnsi="宋体" w:cs="宋体"/>
                <w:color w:val="auto"/>
                <w:sz w:val="21"/>
                <w:szCs w:val="21"/>
                <w:highlight w:val="none"/>
                <w:u w:val="single"/>
              </w:rPr>
              <w:t>招标文件澄清（招标答疑纪要）一经在</w:t>
            </w:r>
            <w:r>
              <w:rPr>
                <w:rFonts w:hint="eastAsia" w:ascii="宋体" w:hAnsi="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网站发布，视作已发放给所有投标人。</w:t>
            </w:r>
          </w:p>
        </w:tc>
      </w:tr>
      <w:tr w14:paraId="697685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noWrap w:val="0"/>
            <w:vAlign w:val="center"/>
          </w:tcPr>
          <w:p w14:paraId="25193CA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2.3.1</w:t>
            </w:r>
          </w:p>
        </w:tc>
        <w:tc>
          <w:tcPr>
            <w:tcW w:w="3118" w:type="dxa"/>
            <w:noWrap w:val="0"/>
            <w:vAlign w:val="center"/>
          </w:tcPr>
          <w:p w14:paraId="3063478D">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招标文件修改发出的形式</w:t>
            </w:r>
          </w:p>
        </w:tc>
        <w:tc>
          <w:tcPr>
            <w:tcW w:w="5546" w:type="dxa"/>
            <w:noWrap w:val="0"/>
            <w:vAlign w:val="center"/>
          </w:tcPr>
          <w:p w14:paraId="6BA55D67">
            <w:pPr>
              <w:snapToGrid w:val="0"/>
              <w:spacing w:line="24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以补充公告或项目答疑澄清的方式在</w:t>
            </w:r>
            <w:r>
              <w:rPr>
                <w:rFonts w:hint="eastAsia" w:ascii="宋体" w:hAnsi="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网站发布。</w:t>
            </w:r>
          </w:p>
        </w:tc>
      </w:tr>
      <w:tr w14:paraId="31CB79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Merge w:val="restart"/>
            <w:noWrap w:val="0"/>
            <w:vAlign w:val="center"/>
          </w:tcPr>
          <w:p w14:paraId="2E6B6ECE">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2.3.2</w:t>
            </w:r>
          </w:p>
        </w:tc>
        <w:tc>
          <w:tcPr>
            <w:tcW w:w="3118" w:type="dxa"/>
            <w:vMerge w:val="restart"/>
            <w:noWrap w:val="0"/>
            <w:vAlign w:val="center"/>
          </w:tcPr>
          <w:p w14:paraId="744ABF26">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投标人确认收到招标文件修改</w:t>
            </w:r>
          </w:p>
        </w:tc>
        <w:tc>
          <w:tcPr>
            <w:tcW w:w="5546" w:type="dxa"/>
            <w:noWrap w:val="0"/>
            <w:vAlign w:val="center"/>
          </w:tcPr>
          <w:p w14:paraId="45815B44">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rPr>
              <w:t>从招标文件澄清及答疑文件发布之日起即视为投标人已确认收到。</w:t>
            </w:r>
          </w:p>
        </w:tc>
      </w:tr>
      <w:tr w14:paraId="05C3F9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Merge w:val="continue"/>
            <w:noWrap w:val="0"/>
            <w:vAlign w:val="center"/>
          </w:tcPr>
          <w:p w14:paraId="41500778">
            <w:pPr>
              <w:keepNext/>
              <w:keepLines/>
              <w:snapToGrid w:val="0"/>
              <w:spacing w:before="120" w:beforeLines="0" w:after="120" w:afterLines="0" w:line="240" w:lineRule="auto"/>
              <w:jc w:val="center"/>
              <w:outlineLvl w:val="2"/>
              <w:rPr>
                <w:rFonts w:hint="eastAsia" w:ascii="宋体" w:hAnsi="宋体" w:cs="宋体"/>
                <w:color w:val="auto"/>
                <w:sz w:val="21"/>
                <w:szCs w:val="21"/>
                <w:highlight w:val="none"/>
              </w:rPr>
            </w:pPr>
          </w:p>
        </w:tc>
        <w:tc>
          <w:tcPr>
            <w:tcW w:w="3118" w:type="dxa"/>
            <w:vMerge w:val="continue"/>
            <w:noWrap w:val="0"/>
            <w:vAlign w:val="center"/>
          </w:tcPr>
          <w:p w14:paraId="53ED3C0E">
            <w:pPr>
              <w:keepNext/>
              <w:keepLines/>
              <w:snapToGrid w:val="0"/>
              <w:spacing w:before="120" w:beforeLines="0" w:after="120" w:afterLines="0" w:line="240" w:lineRule="auto"/>
              <w:jc w:val="center"/>
              <w:outlineLvl w:val="2"/>
              <w:rPr>
                <w:rFonts w:hint="eastAsia" w:ascii="宋体" w:hAnsi="宋体" w:cs="宋体"/>
                <w:color w:val="auto"/>
                <w:sz w:val="21"/>
                <w:szCs w:val="21"/>
                <w:highlight w:val="none"/>
              </w:rPr>
            </w:pPr>
          </w:p>
        </w:tc>
        <w:tc>
          <w:tcPr>
            <w:tcW w:w="5546" w:type="dxa"/>
            <w:noWrap w:val="0"/>
            <w:vAlign w:val="center"/>
          </w:tcPr>
          <w:p w14:paraId="558E014C">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形式：</w:t>
            </w:r>
            <w:r>
              <w:rPr>
                <w:rFonts w:hint="eastAsia" w:ascii="宋体" w:hAnsi="宋体" w:cs="宋体"/>
                <w:color w:val="auto"/>
                <w:sz w:val="21"/>
                <w:szCs w:val="21"/>
                <w:highlight w:val="none"/>
                <w:u w:val="single"/>
              </w:rPr>
              <w:t>招标文件修改一经在</w:t>
            </w:r>
            <w:r>
              <w:rPr>
                <w:rFonts w:hint="eastAsia" w:ascii="宋体" w:hAnsi="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网站发布，视作已发放给所有投标人，无需确认。潜在投标人应自行关注招标公告公布的网站公告，投标人自行下载，招标人不再一一通知。投标人因自身贻误行为导致投标失败的，责任自负。</w:t>
            </w:r>
          </w:p>
        </w:tc>
      </w:tr>
      <w:tr w14:paraId="7D3AD9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959" w:type="dxa"/>
            <w:noWrap w:val="0"/>
            <w:vAlign w:val="center"/>
          </w:tcPr>
          <w:p w14:paraId="61EA7A7D">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3.1.1</w:t>
            </w:r>
          </w:p>
        </w:tc>
        <w:tc>
          <w:tcPr>
            <w:tcW w:w="3118" w:type="dxa"/>
            <w:noWrap w:val="0"/>
            <w:vAlign w:val="center"/>
          </w:tcPr>
          <w:p w14:paraId="018DD738">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构成投标文件的其他资料</w:t>
            </w:r>
          </w:p>
        </w:tc>
        <w:tc>
          <w:tcPr>
            <w:tcW w:w="5546" w:type="dxa"/>
            <w:noWrap w:val="0"/>
            <w:vAlign w:val="center"/>
          </w:tcPr>
          <w:p w14:paraId="3C51EF42">
            <w:pPr>
              <w:snapToGrid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满足本项目评审要求的其他资料。</w:t>
            </w:r>
          </w:p>
        </w:tc>
      </w:tr>
      <w:tr w14:paraId="2BE025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0D168385">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3.2.1</w:t>
            </w:r>
          </w:p>
        </w:tc>
        <w:tc>
          <w:tcPr>
            <w:tcW w:w="3118" w:type="dxa"/>
            <w:noWrap w:val="0"/>
            <w:vAlign w:val="center"/>
          </w:tcPr>
          <w:p w14:paraId="20828A57">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增值税税金的计算方法</w:t>
            </w:r>
          </w:p>
        </w:tc>
        <w:tc>
          <w:tcPr>
            <w:tcW w:w="5546" w:type="dxa"/>
            <w:noWrap w:val="0"/>
            <w:vAlign w:val="center"/>
          </w:tcPr>
          <w:p w14:paraId="73A56B73">
            <w:pPr>
              <w:snapToGrid w:val="0"/>
              <w:spacing w:line="24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按国家税务机关的规定执行。</w:t>
            </w:r>
          </w:p>
        </w:tc>
      </w:tr>
      <w:tr w14:paraId="0DB780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2FCE2224">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3.2.3</w:t>
            </w:r>
          </w:p>
        </w:tc>
        <w:tc>
          <w:tcPr>
            <w:tcW w:w="3118" w:type="dxa"/>
            <w:noWrap w:val="0"/>
            <w:vAlign w:val="center"/>
          </w:tcPr>
          <w:p w14:paraId="7AB5038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5546" w:type="dxa"/>
            <w:noWrap w:val="0"/>
            <w:vAlign w:val="center"/>
          </w:tcPr>
          <w:p w14:paraId="57E9B4F7">
            <w:pPr>
              <w:numPr>
                <w:ilvl w:val="0"/>
                <w:numId w:val="0"/>
              </w:numPr>
              <w:spacing w:line="240" w:lineRule="auto"/>
              <w:rPr>
                <w:rFonts w:hint="eastAsia" w:ascii="宋体" w:hAnsi="宋体" w:cs="宋体"/>
                <w:color w:val="auto"/>
                <w:sz w:val="21"/>
                <w:szCs w:val="21"/>
                <w:highlight w:val="none"/>
              </w:rPr>
            </w:pPr>
            <w:r>
              <w:rPr>
                <w:rFonts w:hint="eastAsia" w:ascii="宋体" w:hAnsi="宋体" w:cs="宋体"/>
                <w:color w:val="auto"/>
                <w:szCs w:val="21"/>
                <w:highlight w:val="none"/>
              </w:rPr>
              <w:t>本项目实行综合单价包干。（以元为单位，精确到小数点后2位），</w:t>
            </w:r>
            <w:r>
              <w:rPr>
                <w:rFonts w:hint="eastAsia" w:ascii="宋体" w:hAnsi="宋体" w:eastAsia="宋体" w:cs="Times New Roman"/>
                <w:color w:val="auto"/>
                <w:sz w:val="21"/>
                <w:szCs w:val="21"/>
                <w:highlight w:val="none"/>
                <w:u w:val="single"/>
                <w:lang w:val="en-US" w:eastAsia="zh-CN"/>
              </w:rPr>
              <w:t>暂按可行性研究报告对应的检测监测总估算价9886000.00元；其中（一期）最高投标限价为：4365600.00元；（二期）最高投标限价为：3160000.00元；（三期）最高投标限价为：2360400.00元为基准价，</w:t>
            </w:r>
            <w:r>
              <w:rPr>
                <w:rFonts w:hint="eastAsia" w:ascii="宋体" w:hAnsi="宋体" w:eastAsia="宋体" w:cs="宋体"/>
                <w:color w:val="auto"/>
                <w:sz w:val="21"/>
                <w:szCs w:val="21"/>
                <w:highlight w:val="none"/>
                <w:u w:val="single"/>
              </w:rPr>
              <w:t>自行报价（</w:t>
            </w:r>
            <w:r>
              <w:rPr>
                <w:rFonts w:hint="eastAsia" w:ascii="宋体" w:hAnsi="宋体" w:cs="宋体"/>
                <w:color w:val="auto"/>
                <w:sz w:val="21"/>
                <w:szCs w:val="21"/>
                <w:highlight w:val="none"/>
                <w:u w:val="single"/>
                <w:lang w:val="en-US" w:eastAsia="zh-CN"/>
              </w:rPr>
              <w:t>报下浮率</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本项目不提供工程检测监测清单，</w:t>
            </w:r>
            <w:r>
              <w:rPr>
                <w:rFonts w:hint="eastAsia" w:ascii="宋体" w:hAnsi="宋体" w:cs="宋体"/>
                <w:color w:val="auto"/>
                <w:sz w:val="21"/>
                <w:szCs w:val="21"/>
                <w:highlight w:val="none"/>
                <w:u w:val="single"/>
              </w:rPr>
              <w:t>由投标人根据招标文件要求以及企业自身情况填写报价，工程量按实结算。</w:t>
            </w:r>
          </w:p>
          <w:p w14:paraId="4DF2F77D">
            <w:pPr>
              <w:numPr>
                <w:ilvl w:val="0"/>
                <w:numId w:val="0"/>
              </w:numPr>
              <w:snapToGrid/>
              <w:spacing w:line="240" w:lineRule="auto"/>
              <w:rPr>
                <w:rFonts w:hint="eastAsia" w:ascii="宋体" w:hAnsi="宋体" w:cs="宋体"/>
                <w:color w:val="auto"/>
                <w:sz w:val="21"/>
                <w:szCs w:val="21"/>
                <w:highlight w:val="none"/>
              </w:rPr>
            </w:pPr>
            <w:r>
              <w:rPr>
                <w:rFonts w:hint="eastAsia" w:ascii="宋体" w:hAnsi="宋体" w:eastAsia="宋体" w:cs="Times New Roman"/>
                <w:color w:val="auto"/>
                <w:sz w:val="21"/>
                <w:szCs w:val="21"/>
                <w:highlight w:val="none"/>
                <w:u w:val="single"/>
                <w:lang w:val="en-US" w:eastAsia="zh-CN"/>
              </w:rPr>
              <w:t>结算时按照</w:t>
            </w:r>
            <w:r>
              <w:rPr>
                <w:rFonts w:hint="default" w:ascii="宋体" w:hAnsi="宋体" w:eastAsia="宋体" w:cs="Times New Roman"/>
                <w:color w:val="auto"/>
                <w:sz w:val="21"/>
                <w:szCs w:val="21"/>
                <w:highlight w:val="none"/>
                <w:u w:val="single"/>
                <w:lang w:val="en-US" w:eastAsia="zh-CN"/>
              </w:rPr>
              <w:t>关于印发《广东省房屋建筑和市政工程质量安全检测收费指导价（第一批）》和《广东省既有房屋建筑安全性鉴定收费指导价》的通知</w:t>
            </w:r>
            <w:r>
              <w:rPr>
                <w:rFonts w:hint="eastAsia" w:ascii="宋体" w:hAnsi="宋体" w:eastAsia="宋体" w:cs="Times New Roman"/>
                <w:color w:val="auto"/>
                <w:sz w:val="21"/>
                <w:szCs w:val="21"/>
                <w:highlight w:val="none"/>
                <w:u w:val="single"/>
                <w:lang w:val="en-US" w:eastAsia="zh-CN"/>
              </w:rPr>
              <w:t>（粤建检协[2015]8号）收费标准结合中标人投标时的下浮率再结合合同相关条款进行结算，以经评审的审定金额为最终结算价，结算价超过经评审的概算中对应的检测监测服务的审定金额或最高投标限价的，则按评审审定金额和最高投标限价的低者为最终结算价。</w:t>
            </w:r>
          </w:p>
        </w:tc>
      </w:tr>
      <w:tr w14:paraId="161715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14:paraId="0C51F65C">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3.2.4</w:t>
            </w:r>
          </w:p>
        </w:tc>
        <w:tc>
          <w:tcPr>
            <w:tcW w:w="3118" w:type="dxa"/>
            <w:noWrap w:val="0"/>
            <w:vAlign w:val="center"/>
          </w:tcPr>
          <w:p w14:paraId="3C1CE7C6">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5546" w:type="dxa"/>
            <w:noWrap w:val="0"/>
            <w:vAlign w:val="center"/>
          </w:tcPr>
          <w:p w14:paraId="401764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14:paraId="6E45AD88">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■有，最高投标限价：</w:t>
            </w:r>
            <w:r>
              <w:rPr>
                <w:rFonts w:hint="eastAsia" w:ascii="宋体" w:hAnsi="宋体" w:eastAsia="宋体" w:cs="宋体"/>
                <w:color w:val="auto"/>
                <w:sz w:val="21"/>
                <w:szCs w:val="21"/>
                <w:highlight w:val="none"/>
                <w:u w:val="single"/>
              </w:rPr>
              <w:t>人民币</w:t>
            </w:r>
            <w:r>
              <w:rPr>
                <w:rFonts w:hint="eastAsia" w:ascii="宋体" w:hAnsi="宋体" w:eastAsia="宋体" w:cs="宋体"/>
                <w:color w:val="auto"/>
                <w:sz w:val="21"/>
                <w:szCs w:val="21"/>
                <w:highlight w:val="none"/>
                <w:u w:val="single"/>
                <w:lang w:val="en-US" w:eastAsia="zh-CN"/>
              </w:rPr>
              <w:t>9886000.00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u w:val="single"/>
                <w:lang w:val="en-US" w:eastAsia="zh-CN"/>
              </w:rPr>
              <w:t>；其中（一期）最高投标限价为：4365600.00元；（二期）最高投标限价为：3160000.00元；（三期）最高投标限价为：2360400.00元</w:t>
            </w:r>
            <w:r>
              <w:rPr>
                <w:rFonts w:hint="eastAsia" w:ascii="宋体" w:hAnsi="宋体" w:eastAsia="宋体" w:cs="宋体"/>
                <w:color w:val="auto"/>
                <w:sz w:val="21"/>
                <w:szCs w:val="21"/>
                <w:highlight w:val="none"/>
                <w:u w:val="single"/>
              </w:rPr>
              <w:t>。</w:t>
            </w:r>
          </w:p>
          <w:p w14:paraId="5C0F2F59">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本项目最高投标限价只作为招标的依据，投标金额及下浮率（%）作为签订合同的依据。中标价不作为竣工结算的依据。</w:t>
            </w:r>
          </w:p>
        </w:tc>
      </w:tr>
      <w:tr w14:paraId="1F58DA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9" w:type="dxa"/>
            <w:noWrap w:val="0"/>
            <w:vAlign w:val="center"/>
          </w:tcPr>
          <w:p w14:paraId="5E36E34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3.2.5</w:t>
            </w:r>
          </w:p>
        </w:tc>
        <w:tc>
          <w:tcPr>
            <w:tcW w:w="3118" w:type="dxa"/>
            <w:noWrap w:val="0"/>
            <w:vAlign w:val="center"/>
          </w:tcPr>
          <w:p w14:paraId="27974D8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5546" w:type="dxa"/>
            <w:noWrap w:val="0"/>
            <w:vAlign w:val="center"/>
          </w:tcPr>
          <w:p w14:paraId="58B5A37D">
            <w:pPr>
              <w:snapToGrid w:val="0"/>
              <w:spacing w:line="240" w:lineRule="auto"/>
              <w:ind w:firstLine="0" w:firstLineChars="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投标人必须详细审阅全部招标文件，充分考虑职责和义务，全面地理解招标文件对投标报价的要求，并按招标人提出的条件及内容进行报价。</w:t>
            </w:r>
          </w:p>
          <w:p w14:paraId="443D199A">
            <w:pPr>
              <w:snapToGrid w:val="0"/>
              <w:spacing w:line="240" w:lineRule="auto"/>
              <w:ind w:firstLine="0" w:firstLineChars="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1、各投标人自行报价，投标报价超过最高投标限价的，一律视为废标。</w:t>
            </w:r>
          </w:p>
          <w:p w14:paraId="5B48A530">
            <w:pPr>
              <w:snapToGrid w:val="0"/>
              <w:spacing w:line="240" w:lineRule="auto"/>
              <w:ind w:firstLine="0" w:firstLineChars="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2、投标报价及费用计算方式：</w:t>
            </w:r>
          </w:p>
          <w:p w14:paraId="042A603A">
            <w:pPr>
              <w:snapToGrid w:val="0"/>
              <w:spacing w:line="240" w:lineRule="auto"/>
              <w:ind w:left="0" w:leftChars="0" w:firstLine="0" w:firstLineChars="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①</w:t>
            </w:r>
            <w:r>
              <w:rPr>
                <w:rFonts w:hint="eastAsia" w:ascii="宋体" w:hAnsi="宋体" w:eastAsia="宋体" w:cs="宋体"/>
                <w:color w:val="auto"/>
                <w:szCs w:val="21"/>
                <w:highlight w:val="none"/>
                <w:u w:val="none"/>
              </w:rPr>
              <w:t>投标基准价为本项目检测监测清单根据相关计费文件</w:t>
            </w:r>
            <w:r>
              <w:rPr>
                <w:rFonts w:hint="eastAsia" w:ascii="宋体" w:hAnsi="宋体" w:eastAsia="宋体" w:cs="宋体"/>
                <w:color w:val="auto"/>
                <w:szCs w:val="21"/>
                <w:highlight w:val="none"/>
                <w:u w:val="none"/>
                <w:lang w:eastAsia="zh-CN"/>
              </w:rPr>
              <w:t>计取</w:t>
            </w:r>
            <w:r>
              <w:rPr>
                <w:rFonts w:hint="eastAsia" w:ascii="宋体" w:hAnsi="宋体" w:eastAsia="宋体" w:cs="宋体"/>
                <w:color w:val="auto"/>
                <w:szCs w:val="21"/>
                <w:highlight w:val="none"/>
                <w:u w:val="none"/>
              </w:rPr>
              <w:t>，投标基准价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 w:val="21"/>
                <w:szCs w:val="21"/>
                <w:highlight w:val="none"/>
                <w:u w:val="single"/>
                <w:lang w:val="en-US" w:eastAsia="zh-CN"/>
              </w:rPr>
              <w:t>9880000.00</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即</w:t>
            </w:r>
            <w:r>
              <w:rPr>
                <w:rFonts w:hint="eastAsia" w:ascii="宋体" w:hAnsi="宋体" w:eastAsia="宋体" w:cs="宋体"/>
                <w:color w:val="auto"/>
                <w:szCs w:val="21"/>
                <w:highlight w:val="none"/>
                <w:u w:val="none"/>
              </w:rPr>
              <w:t>最高投标限价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w:t>
            </w:r>
          </w:p>
          <w:p w14:paraId="3517578C">
            <w:pPr>
              <w:snapToGrid w:val="0"/>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u w:val="none"/>
                <w:lang w:val="en-US" w:eastAsia="zh-CN"/>
              </w:rPr>
              <w:t>②</w:t>
            </w:r>
            <w:r>
              <w:rPr>
                <w:rFonts w:hint="eastAsia" w:ascii="宋体" w:hAnsi="宋体" w:eastAsia="宋体" w:cs="宋体"/>
                <w:color w:val="auto"/>
                <w:szCs w:val="21"/>
                <w:highlight w:val="none"/>
                <w:u w:val="none"/>
              </w:rPr>
              <w:t>投标下浮率以投标基准价为下浮基数。投标报价=</w:t>
            </w:r>
            <w:r>
              <w:rPr>
                <w:rFonts w:hint="eastAsia" w:ascii="宋体" w:hAnsi="宋体" w:eastAsia="宋体" w:cs="宋体"/>
                <w:b w:val="0"/>
                <w:bCs w:val="0"/>
                <w:color w:val="auto"/>
                <w:szCs w:val="21"/>
                <w:highlight w:val="none"/>
                <w:u w:val="none"/>
                <w:lang w:val="en-US" w:eastAsia="zh-CN"/>
              </w:rPr>
              <w:t>投标基准价</w:t>
            </w:r>
            <w:r>
              <w:rPr>
                <w:rFonts w:hint="eastAsia" w:ascii="宋体" w:hAnsi="宋体" w:eastAsia="宋体" w:cs="宋体"/>
                <w:color w:val="auto"/>
                <w:szCs w:val="21"/>
                <w:highlight w:val="none"/>
                <w:u w:val="none"/>
              </w:rPr>
              <w:t>*（1-投标下浮率）。投标下浮率=【1-（投标报价/</w:t>
            </w:r>
            <w:r>
              <w:rPr>
                <w:rFonts w:hint="eastAsia" w:ascii="宋体" w:hAnsi="宋体" w:eastAsia="宋体" w:cs="宋体"/>
                <w:b w:val="0"/>
                <w:bCs w:val="0"/>
                <w:color w:val="auto"/>
                <w:szCs w:val="21"/>
                <w:highlight w:val="none"/>
                <w:u w:val="none"/>
                <w:lang w:val="en-US" w:eastAsia="zh-CN"/>
              </w:rPr>
              <w:t>投标基准价</w:t>
            </w:r>
            <w:r>
              <w:rPr>
                <w:rFonts w:hint="eastAsia" w:ascii="宋体" w:hAnsi="宋体" w:eastAsia="宋体" w:cs="宋体"/>
                <w:color w:val="auto"/>
                <w:szCs w:val="21"/>
                <w:highlight w:val="none"/>
                <w:u w:val="none"/>
              </w:rPr>
              <w:t>）】×100%，（1-投标下浮率）与</w:t>
            </w:r>
            <w:r>
              <w:rPr>
                <w:rFonts w:hint="eastAsia" w:ascii="宋体" w:hAnsi="宋体" w:eastAsia="宋体" w:cs="宋体"/>
                <w:b w:val="0"/>
                <w:bCs w:val="0"/>
                <w:color w:val="auto"/>
                <w:szCs w:val="21"/>
                <w:highlight w:val="none"/>
                <w:u w:val="none"/>
                <w:lang w:val="en-US" w:eastAsia="zh-CN"/>
              </w:rPr>
              <w:t>投标基准价</w:t>
            </w:r>
            <w:r>
              <w:rPr>
                <w:rFonts w:hint="eastAsia" w:ascii="宋体" w:hAnsi="宋体" w:eastAsia="宋体" w:cs="宋体"/>
                <w:color w:val="auto"/>
                <w:szCs w:val="21"/>
                <w:highlight w:val="none"/>
                <w:u w:val="none"/>
              </w:rPr>
              <w:t>乘积不等于投标报价的，按</w:t>
            </w:r>
            <w:r>
              <w:rPr>
                <w:rFonts w:hint="eastAsia" w:ascii="宋体" w:hAnsi="宋体" w:eastAsia="宋体" w:cs="宋体"/>
                <w:b w:val="0"/>
                <w:bCs w:val="0"/>
                <w:color w:val="auto"/>
                <w:szCs w:val="21"/>
                <w:highlight w:val="none"/>
                <w:u w:val="none"/>
                <w:lang w:val="en-US" w:eastAsia="zh-CN"/>
              </w:rPr>
              <w:t>投标基准价</w:t>
            </w:r>
            <w:r>
              <w:rPr>
                <w:rFonts w:hint="eastAsia" w:ascii="宋体" w:hAnsi="宋体" w:eastAsia="宋体" w:cs="宋体"/>
                <w:color w:val="auto"/>
                <w:szCs w:val="21"/>
                <w:highlight w:val="none"/>
                <w:u w:val="none"/>
              </w:rPr>
              <w:t>*（1-投标下浮率）修正投标报价。投标</w:t>
            </w:r>
            <w:r>
              <w:rPr>
                <w:rFonts w:hint="eastAsia" w:ascii="宋体" w:hAnsi="宋体" w:eastAsia="宋体" w:cs="宋体"/>
                <w:color w:val="auto"/>
                <w:szCs w:val="21"/>
                <w:highlight w:val="none"/>
                <w:u w:val="none"/>
                <w:lang w:val="en-US" w:eastAsia="zh-CN"/>
              </w:rPr>
              <w:t>报</w:t>
            </w:r>
            <w:r>
              <w:rPr>
                <w:rFonts w:hint="eastAsia" w:ascii="宋体" w:hAnsi="宋体" w:eastAsia="宋体" w:cs="宋体"/>
                <w:color w:val="auto"/>
                <w:szCs w:val="21"/>
                <w:highlight w:val="none"/>
                <w:u w:val="none"/>
              </w:rPr>
              <w:t>价及各</w:t>
            </w:r>
            <w:r>
              <w:rPr>
                <w:rFonts w:hint="eastAsia" w:ascii="宋体" w:hAnsi="宋体" w:eastAsia="宋体" w:cs="宋体"/>
                <w:color w:val="auto"/>
                <w:szCs w:val="21"/>
                <w:highlight w:val="none"/>
                <w:u w:val="none"/>
                <w:lang w:eastAsia="zh-CN"/>
              </w:rPr>
              <w:t>期</w:t>
            </w:r>
            <w:r>
              <w:rPr>
                <w:rFonts w:hint="eastAsia" w:ascii="宋体" w:hAnsi="宋体" w:eastAsia="宋体" w:cs="宋体"/>
                <w:color w:val="auto"/>
                <w:szCs w:val="21"/>
                <w:highlight w:val="none"/>
                <w:u w:val="none"/>
                <w:lang w:val="en-US" w:eastAsia="zh-CN"/>
              </w:rPr>
              <w:t>投标报价</w:t>
            </w:r>
            <w:r>
              <w:rPr>
                <w:rFonts w:hint="eastAsia" w:ascii="宋体" w:hAnsi="宋体" w:eastAsia="宋体" w:cs="宋体"/>
                <w:color w:val="auto"/>
                <w:szCs w:val="21"/>
                <w:highlight w:val="none"/>
                <w:u w:val="none"/>
              </w:rPr>
              <w:t>均按同等投标下浮率执行，投标报价（含下浮率）精确到小数点后两位。</w:t>
            </w:r>
          </w:p>
        </w:tc>
      </w:tr>
      <w:tr w14:paraId="599C40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1B00EE1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3.3.1</w:t>
            </w:r>
          </w:p>
        </w:tc>
        <w:tc>
          <w:tcPr>
            <w:tcW w:w="3118" w:type="dxa"/>
            <w:noWrap w:val="0"/>
            <w:vAlign w:val="center"/>
          </w:tcPr>
          <w:p w14:paraId="58405243">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546" w:type="dxa"/>
            <w:noWrap w:val="0"/>
            <w:vAlign w:val="center"/>
          </w:tcPr>
          <w:p w14:paraId="6C789AAC">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rPr>
              <w:t>日历天（从投标截止之日算起</w:t>
            </w:r>
            <w:r>
              <w:rPr>
                <w:rFonts w:hint="eastAsia" w:ascii="宋体" w:hAnsi="宋体" w:eastAsia="宋体" w:cs="宋体"/>
                <w:color w:val="auto"/>
                <w:sz w:val="21"/>
                <w:szCs w:val="21"/>
                <w:highlight w:val="none"/>
                <w:lang w:val="en-US" w:eastAsia="zh-CN"/>
              </w:rPr>
              <w:t>计算</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u w:val="single"/>
              </w:rPr>
              <w:t>如出现异议或投诉，则投标有效期自动延长至异议或投诉处理结束</w:t>
            </w:r>
            <w:r>
              <w:rPr>
                <w:rFonts w:hint="eastAsia" w:ascii="宋体" w:hAnsi="宋体" w:eastAsia="宋体" w:cs="宋体"/>
                <w:color w:val="auto"/>
                <w:sz w:val="21"/>
                <w:szCs w:val="21"/>
                <w:highlight w:val="none"/>
              </w:rPr>
              <w:t>）。</w:t>
            </w:r>
          </w:p>
        </w:tc>
      </w:tr>
      <w:tr w14:paraId="60F87D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9" w:type="dxa"/>
            <w:noWrap w:val="0"/>
            <w:vAlign w:val="center"/>
          </w:tcPr>
          <w:p w14:paraId="08A787B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3.4.1</w:t>
            </w:r>
          </w:p>
        </w:tc>
        <w:tc>
          <w:tcPr>
            <w:tcW w:w="3118" w:type="dxa"/>
            <w:noWrap w:val="0"/>
            <w:vAlign w:val="center"/>
          </w:tcPr>
          <w:p w14:paraId="422D4D52">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546" w:type="dxa"/>
            <w:noWrap w:val="0"/>
            <w:vAlign w:val="center"/>
          </w:tcPr>
          <w:p w14:paraId="15A41B20">
            <w:pPr>
              <w:pStyle w:val="6"/>
              <w:topLinePunct/>
              <w:spacing w:line="240" w:lineRule="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要求</w:t>
            </w:r>
          </w:p>
          <w:p w14:paraId="5F95FB01">
            <w:pPr>
              <w:pStyle w:val="6"/>
              <w:topLinePunct/>
              <w:snapToGrid w:val="0"/>
              <w:spacing w:line="240" w:lineRule="auto"/>
              <w:ind w:firstLine="0" w:firstLineChars="0"/>
              <w:rPr>
                <w:rFonts w:hint="eastAsia" w:hAnsi="宋体" w:cs="宋体"/>
                <w:color w:val="auto"/>
                <w:sz w:val="21"/>
                <w:szCs w:val="21"/>
                <w:highlight w:val="none"/>
              </w:rPr>
            </w:pPr>
            <w:r>
              <w:rPr>
                <w:rFonts w:hint="eastAsia" w:ascii="MS Mincho" w:hAnsi="MS Mincho" w:eastAsia="MS Mincho" w:cs="MS Mincho"/>
                <w:color w:val="auto"/>
                <w:sz w:val="21"/>
                <w:szCs w:val="21"/>
                <w:highlight w:val="none"/>
              </w:rPr>
              <w:t>■</w:t>
            </w:r>
            <w:r>
              <w:rPr>
                <w:rFonts w:hint="eastAsia" w:hAnsi="宋体" w:cs="宋体"/>
                <w:color w:val="auto"/>
                <w:sz w:val="21"/>
                <w:szCs w:val="21"/>
                <w:highlight w:val="none"/>
              </w:rPr>
              <w:t>不要求</w:t>
            </w:r>
          </w:p>
        </w:tc>
      </w:tr>
      <w:tr w14:paraId="6CE351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959" w:type="dxa"/>
            <w:noWrap w:val="0"/>
            <w:vAlign w:val="center"/>
          </w:tcPr>
          <w:p w14:paraId="7882F00F">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3.4.4</w:t>
            </w:r>
          </w:p>
        </w:tc>
        <w:tc>
          <w:tcPr>
            <w:tcW w:w="3118" w:type="dxa"/>
            <w:noWrap w:val="0"/>
            <w:vAlign w:val="center"/>
          </w:tcPr>
          <w:p w14:paraId="1A7F9C7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其他可以不予退还投标保证金的情形</w:t>
            </w:r>
          </w:p>
        </w:tc>
        <w:tc>
          <w:tcPr>
            <w:tcW w:w="5546" w:type="dxa"/>
            <w:noWrap w:val="0"/>
            <w:vAlign w:val="center"/>
          </w:tcPr>
          <w:p w14:paraId="2565174A">
            <w:pPr>
              <w:spacing w:line="24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w:t>
            </w:r>
          </w:p>
        </w:tc>
      </w:tr>
      <w:tr w14:paraId="280F86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9" w:type="dxa"/>
            <w:noWrap w:val="0"/>
            <w:vAlign w:val="center"/>
          </w:tcPr>
          <w:p w14:paraId="4C7C3817">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3.5</w:t>
            </w:r>
          </w:p>
        </w:tc>
        <w:tc>
          <w:tcPr>
            <w:tcW w:w="3118" w:type="dxa"/>
            <w:noWrap w:val="0"/>
            <w:vAlign w:val="center"/>
          </w:tcPr>
          <w:p w14:paraId="54044C68">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资格审查资料的特殊要求</w:t>
            </w:r>
          </w:p>
        </w:tc>
        <w:tc>
          <w:tcPr>
            <w:tcW w:w="5546" w:type="dxa"/>
            <w:noWrap w:val="0"/>
            <w:vAlign w:val="center"/>
          </w:tcPr>
          <w:p w14:paraId="2DD64BAC">
            <w:pPr>
              <w:pStyle w:val="6"/>
              <w:topLinePunct/>
              <w:spacing w:line="240" w:lineRule="auto"/>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rPr>
              <w:t>无</w:t>
            </w:r>
          </w:p>
          <w:p w14:paraId="4271DC32">
            <w:pPr>
              <w:pStyle w:val="6"/>
              <w:topLinePunct/>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有，具体要求：</w:t>
            </w:r>
            <w:r>
              <w:rPr>
                <w:rFonts w:hint="eastAsia" w:hAnsi="宋体" w:eastAsia="宋体" w:cs="宋体"/>
                <w:color w:val="auto"/>
                <w:sz w:val="21"/>
                <w:szCs w:val="21"/>
                <w:highlight w:val="none"/>
                <w:lang w:val="en-US" w:eastAsia="zh-CN"/>
              </w:rPr>
              <w:t>/</w:t>
            </w:r>
          </w:p>
        </w:tc>
      </w:tr>
      <w:tr w14:paraId="37B401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noWrap w:val="0"/>
            <w:vAlign w:val="center"/>
          </w:tcPr>
          <w:p w14:paraId="3D6DDE76">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3.5.2</w:t>
            </w:r>
          </w:p>
        </w:tc>
        <w:tc>
          <w:tcPr>
            <w:tcW w:w="3118" w:type="dxa"/>
            <w:noWrap w:val="0"/>
            <w:vAlign w:val="center"/>
          </w:tcPr>
          <w:p w14:paraId="491D697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近年财务状况的年份要求</w:t>
            </w:r>
          </w:p>
        </w:tc>
        <w:tc>
          <w:tcPr>
            <w:tcW w:w="5546" w:type="dxa"/>
            <w:noWrap w:val="0"/>
            <w:vAlign w:val="center"/>
          </w:tcPr>
          <w:p w14:paraId="6926AA33">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 </w:t>
            </w:r>
          </w:p>
        </w:tc>
      </w:tr>
      <w:tr w14:paraId="4831AB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959" w:type="dxa"/>
            <w:noWrap w:val="0"/>
            <w:vAlign w:val="center"/>
          </w:tcPr>
          <w:p w14:paraId="7599A02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3.5.3</w:t>
            </w:r>
          </w:p>
        </w:tc>
        <w:tc>
          <w:tcPr>
            <w:tcW w:w="3118" w:type="dxa"/>
            <w:noWrap w:val="0"/>
            <w:vAlign w:val="center"/>
          </w:tcPr>
          <w:p w14:paraId="41E339D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近年完成的类似项目情况的时间要求</w:t>
            </w:r>
          </w:p>
        </w:tc>
        <w:tc>
          <w:tcPr>
            <w:tcW w:w="5546" w:type="dxa"/>
            <w:noWrap w:val="0"/>
            <w:vAlign w:val="center"/>
          </w:tcPr>
          <w:p w14:paraId="13E8B19D">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r>
      <w:tr w14:paraId="20A954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959" w:type="dxa"/>
            <w:noWrap w:val="0"/>
            <w:vAlign w:val="center"/>
          </w:tcPr>
          <w:p w14:paraId="4B02962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3.5.5</w:t>
            </w:r>
          </w:p>
        </w:tc>
        <w:tc>
          <w:tcPr>
            <w:tcW w:w="3118" w:type="dxa"/>
            <w:noWrap w:val="0"/>
            <w:vAlign w:val="center"/>
          </w:tcPr>
          <w:p w14:paraId="24949B15">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近年发生的诉讼及仲裁情况的时间要求</w:t>
            </w:r>
          </w:p>
        </w:tc>
        <w:tc>
          <w:tcPr>
            <w:tcW w:w="5546" w:type="dxa"/>
            <w:noWrap w:val="0"/>
            <w:vAlign w:val="center"/>
          </w:tcPr>
          <w:p w14:paraId="7EDEF4D1">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p>
        </w:tc>
      </w:tr>
      <w:tr w14:paraId="27D4EE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59" w:type="dxa"/>
            <w:noWrap w:val="0"/>
            <w:vAlign w:val="center"/>
          </w:tcPr>
          <w:p w14:paraId="307589C0">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3.6.1</w:t>
            </w:r>
          </w:p>
        </w:tc>
        <w:tc>
          <w:tcPr>
            <w:tcW w:w="3118" w:type="dxa"/>
            <w:noWrap w:val="0"/>
            <w:vAlign w:val="center"/>
          </w:tcPr>
          <w:p w14:paraId="31E12B82">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是否允许递交备选投标方案</w:t>
            </w:r>
          </w:p>
        </w:tc>
        <w:tc>
          <w:tcPr>
            <w:tcW w:w="5546" w:type="dxa"/>
            <w:noWrap w:val="0"/>
            <w:vAlign w:val="center"/>
          </w:tcPr>
          <w:p w14:paraId="68B1E30B">
            <w:pPr>
              <w:pStyle w:val="6"/>
              <w:topLinePunct/>
              <w:spacing w:line="240"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■不允许</w:t>
            </w:r>
          </w:p>
          <w:p w14:paraId="4741CA3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w:t>
            </w:r>
          </w:p>
        </w:tc>
      </w:tr>
      <w:tr w14:paraId="0D991B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959" w:type="dxa"/>
            <w:noWrap w:val="0"/>
            <w:vAlign w:val="center"/>
          </w:tcPr>
          <w:p w14:paraId="4D690E2A">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3.7.3</w:t>
            </w:r>
          </w:p>
        </w:tc>
        <w:tc>
          <w:tcPr>
            <w:tcW w:w="3118" w:type="dxa"/>
            <w:noWrap w:val="0"/>
            <w:vAlign w:val="center"/>
          </w:tcPr>
          <w:p w14:paraId="79B8B0C1">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投标文件所附证书证件要求</w:t>
            </w:r>
          </w:p>
        </w:tc>
        <w:tc>
          <w:tcPr>
            <w:tcW w:w="5546" w:type="dxa"/>
            <w:noWrap w:val="0"/>
            <w:vAlign w:val="center"/>
          </w:tcPr>
          <w:p w14:paraId="76F9D680">
            <w:pPr>
              <w:pStyle w:val="6"/>
              <w:rPr>
                <w:rFonts w:hint="eastAsia" w:hAnsi="宋体" w:eastAsia="宋体" w:cs="宋体"/>
                <w:color w:val="auto"/>
                <w:sz w:val="21"/>
                <w:szCs w:val="21"/>
                <w:highlight w:val="none"/>
              </w:rPr>
            </w:pPr>
            <w:r>
              <w:rPr>
                <w:rFonts w:hint="eastAsia" w:hAnsi="宋体" w:eastAsia="宋体" w:cs="宋体"/>
                <w:color w:val="auto"/>
                <w:sz w:val="21"/>
                <w:szCs w:val="21"/>
                <w:highlight w:val="none"/>
              </w:rPr>
              <w:t>证书证件需为清晰扫描件，并采用单位数字证书，按照招标文件要求在相应位置加盖电子印章。</w:t>
            </w:r>
          </w:p>
        </w:tc>
      </w:tr>
      <w:tr w14:paraId="53B4B7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71CC2C2D">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3.7.3</w:t>
            </w:r>
          </w:p>
        </w:tc>
        <w:tc>
          <w:tcPr>
            <w:tcW w:w="3118" w:type="dxa"/>
            <w:noWrap w:val="0"/>
            <w:vAlign w:val="center"/>
          </w:tcPr>
          <w:p w14:paraId="25DD68B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投标文件签字或盖章要求</w:t>
            </w:r>
          </w:p>
        </w:tc>
        <w:tc>
          <w:tcPr>
            <w:tcW w:w="5546" w:type="dxa"/>
            <w:noWrap w:val="0"/>
            <w:vAlign w:val="center"/>
          </w:tcPr>
          <w:p w14:paraId="38E0740E">
            <w:pPr>
              <w:pStyle w:val="6"/>
              <w:topLinePunct/>
              <w:snapToGrid w:val="0"/>
              <w:spacing w:line="240" w:lineRule="auto"/>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rPr>
              <w:t>取消在招标文件中采用个人数字证书和加盖个人电子印章要求，投标文件中需个人签字或盖章的，应在线下完成后扫描上传。投标文件按招标文件要求加盖单位电子印章。具体操作详见</w:t>
            </w:r>
            <w:r>
              <w:rPr>
                <w:rFonts w:hint="eastAsia" w:ascii="宋体" w:hAnsi="宋体" w:eastAsia="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hAnsi="宋体" w:eastAsia="宋体" w:cs="宋体"/>
                <w:color w:val="auto"/>
                <w:sz w:val="21"/>
                <w:szCs w:val="21"/>
                <w:highlight w:val="none"/>
                <w:u w:val="single"/>
              </w:rPr>
              <w:t>交易平台发布的</w:t>
            </w:r>
            <w:r>
              <w:rPr>
                <w:rFonts w:hint="eastAsia" w:hAnsi="宋体" w:eastAsia="宋体" w:cs="宋体"/>
                <w:color w:val="auto"/>
                <w:sz w:val="21"/>
                <w:szCs w:val="21"/>
                <w:highlight w:val="none"/>
                <w:u w:val="single"/>
                <w:lang w:eastAsia="zh-CN"/>
              </w:rPr>
              <w:t>《建设工程全流程电子化项目操作指南（（适用于投标人）》</w:t>
            </w:r>
            <w:r>
              <w:rPr>
                <w:rFonts w:hint="eastAsia" w:hAnsi="宋体" w:eastAsia="宋体" w:cs="宋体"/>
                <w:color w:val="auto"/>
                <w:sz w:val="21"/>
                <w:szCs w:val="21"/>
                <w:highlight w:val="none"/>
                <w:u w:val="single"/>
              </w:rPr>
              <w:t>。联合体投标的，除“联合体协议书”需由联合体各方分别按要求进行签字或盖章外，投标文件其他内容落款中的“投标人”应填写联合体各方的单位全称【格式为：(主)XXXX公司(成)XXXX公司】，需要盖章或签字的部分可仅由联合体主办方（即牵头人）盖章或签字，视作符合要求。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r>
      <w:tr w14:paraId="24D0C1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55E31DAF">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4.1.1</w:t>
            </w:r>
          </w:p>
        </w:tc>
        <w:tc>
          <w:tcPr>
            <w:tcW w:w="3118" w:type="dxa"/>
            <w:noWrap w:val="0"/>
            <w:vAlign w:val="center"/>
          </w:tcPr>
          <w:p w14:paraId="717A638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投标文件加密要求</w:t>
            </w:r>
          </w:p>
        </w:tc>
        <w:tc>
          <w:tcPr>
            <w:tcW w:w="5546" w:type="dxa"/>
            <w:noWrap w:val="0"/>
            <w:vAlign w:val="center"/>
          </w:tcPr>
          <w:p w14:paraId="752FF3DD">
            <w:pPr>
              <w:pStyle w:val="6"/>
              <w:topLinePunct/>
              <w:snapToGrid w:val="0"/>
              <w:spacing w:line="240" w:lineRule="auto"/>
              <w:rPr>
                <w:rFonts w:hint="eastAsia" w:hAnsi="宋体" w:eastAsia="宋体" w:cs="宋体"/>
                <w:color w:val="auto"/>
                <w:sz w:val="21"/>
                <w:szCs w:val="21"/>
                <w:highlight w:val="none"/>
                <w:u w:val="single"/>
                <w:lang w:eastAsia="zh-CN"/>
              </w:rPr>
            </w:pPr>
            <w:r>
              <w:rPr>
                <w:rFonts w:hint="eastAsia" w:hAnsi="宋体" w:eastAsia="宋体" w:cs="宋体"/>
                <w:color w:val="auto"/>
                <w:sz w:val="21"/>
                <w:szCs w:val="21"/>
                <w:highlight w:val="none"/>
              </w:rPr>
              <w:t>网上递交的电子投标文件须进行加密。具体操作详见</w:t>
            </w:r>
            <w:r>
              <w:rPr>
                <w:rFonts w:hint="eastAsia" w:ascii="宋体" w:hAnsi="宋体" w:eastAsia="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交易平台发布的</w:t>
            </w:r>
            <w:r>
              <w:rPr>
                <w:rFonts w:hint="eastAsia" w:ascii="宋体" w:hAnsi="宋体" w:eastAsia="宋体" w:cs="宋体"/>
                <w:color w:val="auto"/>
                <w:sz w:val="21"/>
                <w:szCs w:val="21"/>
                <w:highlight w:val="none"/>
                <w:lang w:eastAsia="zh-CN"/>
              </w:rPr>
              <w:t>《建设工程全流程电子化项目操作指南（适用于投标人）》</w:t>
            </w:r>
          </w:p>
        </w:tc>
      </w:tr>
      <w:tr w14:paraId="61BF5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959" w:type="dxa"/>
            <w:noWrap w:val="0"/>
            <w:vAlign w:val="center"/>
          </w:tcPr>
          <w:p w14:paraId="31139BE4">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4.1.2</w:t>
            </w:r>
          </w:p>
        </w:tc>
        <w:tc>
          <w:tcPr>
            <w:tcW w:w="3118" w:type="dxa"/>
            <w:noWrap w:val="0"/>
            <w:vAlign w:val="center"/>
          </w:tcPr>
          <w:p w14:paraId="6DF56B8A">
            <w:pPr>
              <w:snapToGrid w:val="0"/>
              <w:spacing w:line="240" w:lineRule="auto"/>
              <w:jc w:val="center"/>
              <w:rPr>
                <w:rFonts w:hint="eastAsia" w:ascii="宋体" w:hAnsi="宋体" w:cs="宋体"/>
                <w:color w:val="auto"/>
                <w:sz w:val="21"/>
                <w:szCs w:val="21"/>
                <w:highlight w:val="none"/>
                <w:shd w:val="clear" w:color="FFFFFF" w:fill="D9D9D9"/>
              </w:rPr>
            </w:pPr>
            <w:r>
              <w:rPr>
                <w:rFonts w:hint="eastAsia" w:ascii="宋体" w:hAnsi="宋体" w:cs="宋体"/>
                <w:color w:val="auto"/>
                <w:sz w:val="21"/>
                <w:szCs w:val="21"/>
                <w:highlight w:val="none"/>
              </w:rPr>
              <w:t>封套上应载明的信息</w:t>
            </w:r>
          </w:p>
        </w:tc>
        <w:tc>
          <w:tcPr>
            <w:tcW w:w="5546" w:type="dxa"/>
            <w:noWrap w:val="0"/>
            <w:vAlign w:val="center"/>
          </w:tcPr>
          <w:p w14:paraId="0256C460">
            <w:pPr>
              <w:spacing w:line="240" w:lineRule="auto"/>
              <w:rPr>
                <w:rFonts w:hint="eastAsia" w:ascii="宋体" w:hAnsi="宋体"/>
                <w:b/>
                <w:color w:val="auto"/>
                <w:sz w:val="21"/>
                <w:szCs w:val="21"/>
                <w:highlight w:val="none"/>
                <w:u w:val="single"/>
              </w:rPr>
            </w:pPr>
            <w:r>
              <w:rPr>
                <w:rFonts w:hint="eastAsia" w:ascii="宋体" w:hAnsi="宋体"/>
                <w:b/>
                <w:color w:val="auto"/>
                <w:sz w:val="21"/>
                <w:szCs w:val="21"/>
                <w:highlight w:val="none"/>
                <w:u w:val="single"/>
              </w:rPr>
              <w:t>如有提交投标文件光盘备用，封套上应注明如下信息：</w:t>
            </w:r>
          </w:p>
          <w:p w14:paraId="5AB30C77">
            <w:pPr>
              <w:spacing w:line="240" w:lineRule="auto"/>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招标人名称：</w:t>
            </w:r>
            <w:r>
              <w:rPr>
                <w:rFonts w:hint="eastAsia" w:ascii="宋体" w:hAnsi="宋体"/>
                <w:color w:val="auto"/>
                <w:sz w:val="21"/>
                <w:szCs w:val="21"/>
                <w:highlight w:val="none"/>
                <w:u w:val="single"/>
                <w:lang w:eastAsia="zh-CN"/>
              </w:rPr>
              <w:t>广州市番禺区石碁镇桥山村股份合作经济社</w:t>
            </w:r>
          </w:p>
          <w:p w14:paraId="28964D7E">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招标人地址：</w:t>
            </w:r>
            <w:r>
              <w:rPr>
                <w:rFonts w:hint="eastAsia" w:ascii="宋体" w:hAnsi="宋体"/>
                <w:color w:val="auto"/>
                <w:sz w:val="21"/>
                <w:szCs w:val="21"/>
                <w:highlight w:val="none"/>
                <w:u w:val="single"/>
                <w:lang w:val="en-US" w:eastAsia="zh-CN"/>
              </w:rPr>
              <w:t>广州市番禺区石碁镇桥山村村委</w:t>
            </w:r>
          </w:p>
          <w:p w14:paraId="320417C1">
            <w:pPr>
              <w:spacing w:line="240" w:lineRule="auto"/>
              <w:rPr>
                <w:rFonts w:hint="eastAsia" w:ascii="宋体" w:hAnsi="宋体"/>
                <w:color w:val="auto"/>
                <w:sz w:val="21"/>
                <w:szCs w:val="21"/>
                <w:highlight w:val="none"/>
              </w:rPr>
            </w:pPr>
            <w:r>
              <w:rPr>
                <w:rFonts w:hint="eastAsia" w:ascii="宋体" w:hAnsi="宋体"/>
                <w:color w:val="auto"/>
                <w:sz w:val="21"/>
                <w:szCs w:val="21"/>
                <w:highlight w:val="none"/>
                <w:u w:val="single"/>
              </w:rPr>
              <w:t xml:space="preserve">     （项目名称）     </w:t>
            </w:r>
            <w:r>
              <w:rPr>
                <w:rFonts w:hint="eastAsia" w:ascii="宋体" w:hAnsi="宋体"/>
                <w:color w:val="auto"/>
                <w:sz w:val="21"/>
                <w:szCs w:val="21"/>
                <w:highlight w:val="none"/>
              </w:rPr>
              <w:t>招标项目投标文件</w:t>
            </w:r>
          </w:p>
          <w:p w14:paraId="295864A6">
            <w:pPr>
              <w:spacing w:line="240" w:lineRule="auto"/>
              <w:rPr>
                <w:rFonts w:hint="eastAsia" w:ascii="宋体" w:hAnsi="宋体"/>
                <w:color w:val="auto"/>
                <w:sz w:val="21"/>
                <w:szCs w:val="21"/>
                <w:highlight w:val="none"/>
                <w:u w:val="single"/>
              </w:rPr>
            </w:pPr>
            <w:r>
              <w:rPr>
                <w:rFonts w:hint="eastAsia" w:ascii="宋体" w:hAnsi="宋体"/>
                <w:color w:val="auto"/>
                <w:sz w:val="21"/>
                <w:szCs w:val="21"/>
                <w:highlight w:val="none"/>
              </w:rPr>
              <w:t>招标项目编号：</w:t>
            </w:r>
            <w:r>
              <w:rPr>
                <w:rFonts w:hint="eastAsia" w:ascii="宋体" w:hAnsi="宋体"/>
                <w:color w:val="auto"/>
                <w:sz w:val="21"/>
                <w:szCs w:val="21"/>
                <w:highlight w:val="none"/>
                <w:u w:val="single"/>
              </w:rPr>
              <w:t xml:space="preserve">                  </w:t>
            </w:r>
          </w:p>
          <w:p w14:paraId="3D264B25">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投标人名称：</w:t>
            </w:r>
            <w:r>
              <w:rPr>
                <w:rFonts w:hint="eastAsia" w:ascii="宋体" w:hAnsi="宋体"/>
                <w:color w:val="auto"/>
                <w:sz w:val="21"/>
                <w:szCs w:val="21"/>
                <w:highlight w:val="none"/>
                <w:u w:val="single"/>
              </w:rPr>
              <w:t xml:space="preserve">                    </w:t>
            </w:r>
          </w:p>
          <w:p w14:paraId="78EE5A24">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投标人地址：</w:t>
            </w:r>
            <w:r>
              <w:rPr>
                <w:rFonts w:hint="eastAsia" w:ascii="宋体" w:hAnsi="宋体"/>
                <w:color w:val="auto"/>
                <w:sz w:val="21"/>
                <w:szCs w:val="21"/>
                <w:highlight w:val="none"/>
                <w:u w:val="single"/>
              </w:rPr>
              <w:t xml:space="preserve">                    </w:t>
            </w:r>
          </w:p>
          <w:p w14:paraId="15376375">
            <w:pPr>
              <w:pStyle w:val="6"/>
              <w:topLinePunct/>
              <w:snapToGrid w:val="0"/>
              <w:spacing w:line="240" w:lineRule="auto"/>
              <w:rPr>
                <w:rFonts w:hint="eastAsia" w:hAnsi="宋体" w:eastAsia="宋体" w:cs="宋体"/>
                <w:color w:val="auto"/>
                <w:sz w:val="21"/>
                <w:szCs w:val="21"/>
                <w:highlight w:val="none"/>
              </w:rPr>
            </w:pPr>
            <w:r>
              <w:rPr>
                <w:rFonts w:hint="eastAsia" w:ascii="宋体" w:hAnsi="宋体"/>
                <w:color w:val="auto"/>
                <w:sz w:val="21"/>
                <w:szCs w:val="21"/>
                <w:highlight w:val="none"/>
              </w:rPr>
              <w:t>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时前不得开启</w:t>
            </w:r>
          </w:p>
        </w:tc>
      </w:tr>
      <w:tr w14:paraId="13518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noWrap w:val="0"/>
            <w:vAlign w:val="center"/>
          </w:tcPr>
          <w:p w14:paraId="124AF012">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4.2.1</w:t>
            </w:r>
          </w:p>
        </w:tc>
        <w:tc>
          <w:tcPr>
            <w:tcW w:w="3118" w:type="dxa"/>
            <w:noWrap w:val="0"/>
            <w:vAlign w:val="center"/>
          </w:tcPr>
          <w:p w14:paraId="0617E8E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投标截止时间</w:t>
            </w:r>
          </w:p>
        </w:tc>
        <w:tc>
          <w:tcPr>
            <w:tcW w:w="5546" w:type="dxa"/>
            <w:noWrap w:val="0"/>
            <w:vAlign w:val="center"/>
          </w:tcPr>
          <w:p w14:paraId="4AF65F97">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  月  日  时  分（北京时间）</w:t>
            </w:r>
          </w:p>
          <w:p w14:paraId="0931A571">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（详见广州公共资源交易中心网站信息）</w:t>
            </w:r>
          </w:p>
        </w:tc>
      </w:tr>
      <w:tr w14:paraId="1149F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959" w:type="dxa"/>
            <w:noWrap w:val="0"/>
            <w:vAlign w:val="center"/>
          </w:tcPr>
          <w:p w14:paraId="3E57A1A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4.2.2</w:t>
            </w:r>
          </w:p>
        </w:tc>
        <w:tc>
          <w:tcPr>
            <w:tcW w:w="3118" w:type="dxa"/>
            <w:noWrap w:val="0"/>
            <w:vAlign w:val="center"/>
          </w:tcPr>
          <w:p w14:paraId="1C86186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递交电子投标文件交易平台</w:t>
            </w:r>
          </w:p>
        </w:tc>
        <w:tc>
          <w:tcPr>
            <w:tcW w:w="5546" w:type="dxa"/>
            <w:noWrap w:val="0"/>
            <w:vAlign w:val="center"/>
          </w:tcPr>
          <w:p w14:paraId="3DBF2499">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1.递交方式：网上递交投标文件</w:t>
            </w:r>
          </w:p>
          <w:p w14:paraId="185F8951">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2.递交投标文件的起始时间：（详见</w:t>
            </w:r>
            <w:r>
              <w:rPr>
                <w:rFonts w:hint="eastAsia" w:ascii="宋体" w:hAnsi="宋体" w:eastAsia="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网站信息）。</w:t>
            </w:r>
          </w:p>
          <w:p w14:paraId="556767E6">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截止时间：（详见</w:t>
            </w:r>
            <w:r>
              <w:rPr>
                <w:rFonts w:hint="eastAsia" w:ascii="宋体" w:hAnsi="宋体" w:eastAsia="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网站信息）</w:t>
            </w:r>
          </w:p>
          <w:p w14:paraId="50D26950">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3.地点：</w:t>
            </w:r>
            <w:r>
              <w:rPr>
                <w:rFonts w:hint="eastAsia" w:ascii="宋体" w:hAnsi="宋体" w:eastAsia="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网站。</w:t>
            </w:r>
          </w:p>
          <w:p w14:paraId="52D31719">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4.上述时间及地点是否有改变，请密切留意招标答疑中的相关信息。也可登录</w:t>
            </w:r>
            <w:r>
              <w:rPr>
                <w:rFonts w:hint="eastAsia" w:ascii="宋体" w:hAnsi="宋体" w:eastAsia="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网站首页，点击“</w:t>
            </w:r>
            <w:r>
              <w:rPr>
                <w:rFonts w:hint="eastAsia" w:ascii="宋体" w:hAnsi="宋体" w:eastAsia="宋体" w:cs="宋体"/>
                <w:color w:val="auto"/>
                <w:sz w:val="21"/>
                <w:szCs w:val="21"/>
                <w:highlight w:val="none"/>
                <w:u w:val="single"/>
                <w:lang w:val="en-US" w:eastAsia="zh-CN"/>
              </w:rPr>
              <w:t>建设工程</w:t>
            </w:r>
            <w:r>
              <w:rPr>
                <w:rFonts w:hint="eastAsia" w:ascii="宋体" w:hAnsi="宋体" w:eastAsia="宋体" w:cs="宋体"/>
                <w:color w:val="auto"/>
                <w:sz w:val="21"/>
                <w:szCs w:val="21"/>
                <w:highlight w:val="none"/>
                <w:u w:val="single"/>
              </w:rPr>
              <w:t>”专栏中的“项目查询(日程安排、答疑纪要)”，输入项目编号或项目名称查询最新信息。</w:t>
            </w:r>
          </w:p>
        </w:tc>
      </w:tr>
      <w:tr w14:paraId="273D1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9" w:type="dxa"/>
            <w:noWrap w:val="0"/>
            <w:vAlign w:val="center"/>
          </w:tcPr>
          <w:p w14:paraId="61907791">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4.2.3</w:t>
            </w:r>
          </w:p>
        </w:tc>
        <w:tc>
          <w:tcPr>
            <w:tcW w:w="3118" w:type="dxa"/>
            <w:noWrap w:val="0"/>
            <w:vAlign w:val="center"/>
          </w:tcPr>
          <w:p w14:paraId="16518BA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投标文件是否退还</w:t>
            </w:r>
          </w:p>
        </w:tc>
        <w:tc>
          <w:tcPr>
            <w:tcW w:w="5546" w:type="dxa"/>
            <w:noWrap w:val="0"/>
            <w:vAlign w:val="center"/>
          </w:tcPr>
          <w:p w14:paraId="03FBDE65">
            <w:pPr>
              <w:pStyle w:val="6"/>
              <w:topLinePunct/>
              <w:spacing w:line="240"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■否</w:t>
            </w:r>
          </w:p>
          <w:p w14:paraId="71A5F523">
            <w:pPr>
              <w:pStyle w:val="6"/>
              <w:topLinePunct/>
              <w:spacing w:line="240" w:lineRule="auto"/>
              <w:rPr>
                <w:rFonts w:hint="eastAsia" w:hAnsi="宋体" w:eastAsia="宋体" w:cs="宋体"/>
                <w:color w:val="auto"/>
                <w:sz w:val="21"/>
                <w:szCs w:val="21"/>
                <w:highlight w:val="none"/>
              </w:rPr>
            </w:pPr>
            <w:r>
              <w:rPr>
                <w:rFonts w:hint="eastAsia" w:hAnsi="宋体" w:eastAsia="宋体" w:cs="宋体"/>
                <w:color w:val="auto"/>
                <w:sz w:val="21"/>
                <w:szCs w:val="21"/>
                <w:highlight w:val="none"/>
              </w:rPr>
              <w:t>□是，退还时间：</w:t>
            </w:r>
          </w:p>
        </w:tc>
      </w:tr>
      <w:tr w14:paraId="2280CD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959" w:type="dxa"/>
            <w:noWrap w:val="0"/>
            <w:vAlign w:val="center"/>
          </w:tcPr>
          <w:p w14:paraId="67A01D5C">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5.1</w:t>
            </w:r>
          </w:p>
        </w:tc>
        <w:tc>
          <w:tcPr>
            <w:tcW w:w="3118" w:type="dxa"/>
            <w:noWrap w:val="0"/>
            <w:vAlign w:val="center"/>
          </w:tcPr>
          <w:p w14:paraId="657E1B6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开标时间和地点</w:t>
            </w:r>
          </w:p>
        </w:tc>
        <w:tc>
          <w:tcPr>
            <w:tcW w:w="5546" w:type="dxa"/>
            <w:noWrap w:val="0"/>
            <w:vAlign w:val="center"/>
          </w:tcPr>
          <w:p w14:paraId="53AD1197">
            <w:pPr>
              <w:snapToGrid w:val="0"/>
              <w:spacing w:line="240" w:lineRule="auto"/>
              <w:rPr>
                <w:rFonts w:hint="eastAsia" w:ascii="宋体" w:hAnsi="宋体"/>
                <w:color w:val="auto"/>
                <w:sz w:val="21"/>
                <w:szCs w:val="21"/>
                <w:highlight w:val="none"/>
                <w:u w:val="single"/>
              </w:rPr>
            </w:pPr>
            <w:r>
              <w:rPr>
                <w:rFonts w:hint="eastAsia" w:ascii="宋体" w:hAnsi="宋体"/>
                <w:color w:val="auto"/>
                <w:sz w:val="21"/>
                <w:szCs w:val="21"/>
                <w:highlight w:val="none"/>
              </w:rPr>
              <w:t>开标时间：</w:t>
            </w:r>
            <w:r>
              <w:rPr>
                <w:rFonts w:hint="eastAsia" w:ascii="宋体" w:hAnsi="宋体"/>
                <w:color w:val="auto"/>
                <w:sz w:val="21"/>
                <w:szCs w:val="21"/>
                <w:highlight w:val="none"/>
                <w:u w:val="single"/>
              </w:rPr>
              <w:t>同投标截止时间</w:t>
            </w:r>
          </w:p>
          <w:p w14:paraId="4F308703">
            <w:pPr>
              <w:snapToGrid w:val="0"/>
              <w:spacing w:line="240" w:lineRule="auto"/>
              <w:rPr>
                <w:rFonts w:hint="eastAsia" w:ascii="宋体" w:hAnsi="宋体"/>
                <w:color w:val="auto"/>
                <w:sz w:val="21"/>
                <w:szCs w:val="21"/>
                <w:highlight w:val="none"/>
                <w:u w:val="single"/>
              </w:rPr>
            </w:pPr>
            <w:r>
              <w:rPr>
                <w:rFonts w:hint="eastAsia" w:ascii="宋体" w:hAnsi="宋体"/>
                <w:color w:val="auto"/>
                <w:sz w:val="21"/>
                <w:szCs w:val="21"/>
                <w:highlight w:val="none"/>
              </w:rPr>
              <w:t>开标地点：</w:t>
            </w:r>
            <w:r>
              <w:rPr>
                <w:rFonts w:hint="eastAsia" w:ascii="宋体" w:hAnsi="宋体"/>
                <w:color w:val="auto"/>
                <w:sz w:val="21"/>
                <w:szCs w:val="21"/>
                <w:highlight w:val="none"/>
                <w:u w:val="single"/>
              </w:rPr>
              <w:t>本项目具体的招投标活动日程安排及场地安排以广州交易集团有限公司（广州公共资源交易中心）网站公布的为准。</w:t>
            </w:r>
          </w:p>
          <w:p w14:paraId="18F6F4FA">
            <w:pPr>
              <w:snapToGrid w:val="0"/>
              <w:spacing w:line="24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注：开标时，投标人代表有权出席开标会，也可以自主决定不参加开标会，若投标人代表对开标过程提出异议，该投标人代表须同时出示本人身份证原件。</w:t>
            </w:r>
          </w:p>
        </w:tc>
      </w:tr>
      <w:tr w14:paraId="7D5650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65" w:hRule="atLeast"/>
          <w:jc w:val="center"/>
        </w:trPr>
        <w:tc>
          <w:tcPr>
            <w:tcW w:w="959" w:type="dxa"/>
            <w:noWrap w:val="0"/>
            <w:vAlign w:val="center"/>
          </w:tcPr>
          <w:p w14:paraId="215D267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5.2</w:t>
            </w:r>
          </w:p>
        </w:tc>
        <w:tc>
          <w:tcPr>
            <w:tcW w:w="3118" w:type="dxa"/>
            <w:noWrap w:val="0"/>
            <w:vAlign w:val="center"/>
          </w:tcPr>
          <w:p w14:paraId="4796337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开标程序</w:t>
            </w:r>
          </w:p>
        </w:tc>
        <w:tc>
          <w:tcPr>
            <w:tcW w:w="5546" w:type="dxa"/>
            <w:noWrap w:val="0"/>
            <w:vAlign w:val="center"/>
          </w:tcPr>
          <w:p w14:paraId="53591D60">
            <w:pPr>
              <w:snapToGrid w:val="0"/>
              <w:spacing w:line="24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5.2.1主持人按下列程序进行开标：</w:t>
            </w:r>
          </w:p>
          <w:p w14:paraId="41A6A79F">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（1）宣布开标纪律；</w:t>
            </w:r>
          </w:p>
          <w:p w14:paraId="5DD8D325">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（2）公布在投标截止时间前递交投标文件的投标人名称；</w:t>
            </w:r>
          </w:p>
          <w:p w14:paraId="78E13714">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（3）宣布开标人、唱标人、记录人、监标人等有关人员姓名；</w:t>
            </w:r>
          </w:p>
          <w:p w14:paraId="537BD8D9">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（4）投标人通过电子招标投标交易平台对已递交的电子投标文件进行解密，公布招标项目名称、投标人名称、投标报价、服务期限及其他内容，并记录在案；</w:t>
            </w:r>
          </w:p>
          <w:p w14:paraId="7D352B3A">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（5）投标人代表、招标人代表、监标人、记录人等有关人员在开标记录上签字确认；若有关人员不签字的，不影响开标程序；</w:t>
            </w:r>
          </w:p>
          <w:p w14:paraId="27764414">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（6）开标结束。</w:t>
            </w:r>
          </w:p>
          <w:p w14:paraId="448F3704">
            <w:pPr>
              <w:snapToGrid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5.2.2投标截止时间前未完成投标文件传输的或因投标人之外的原因造成投标文件未解密的或未在投标截止时间后</w:t>
            </w:r>
            <w:r>
              <w:rPr>
                <w:rFonts w:hint="eastAsia" w:ascii="宋体" w:hAnsi="宋体" w:eastAsia="宋体" w:cs="宋体"/>
                <w:color w:val="auto"/>
                <w:sz w:val="21"/>
                <w:szCs w:val="21"/>
                <w:highlight w:val="none"/>
                <w:u w:val="single"/>
                <w:lang w:eastAsia="zh-CN"/>
              </w:rPr>
              <w:t>一</w:t>
            </w:r>
            <w:r>
              <w:rPr>
                <w:rFonts w:hint="eastAsia" w:ascii="宋体" w:hAnsi="宋体" w:eastAsia="宋体" w:cs="宋体"/>
                <w:color w:val="auto"/>
                <w:sz w:val="21"/>
                <w:szCs w:val="21"/>
                <w:highlight w:val="none"/>
                <w:u w:val="single"/>
              </w:rPr>
              <w:t>小时解密的，视为投标人其撤回投标文件。因投标人原因造成投标文件未解密的，或因投标人之外原因解密失败且未递交电子光盘或递交的电子光盘不能读取的，视为撤销其投标文件。</w:t>
            </w:r>
          </w:p>
          <w:p w14:paraId="0D5FAC57">
            <w:pPr>
              <w:snapToGrid w:val="0"/>
              <w:spacing w:line="24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5.2.3开标时，两个（含两个）以上的投标人加密打包投标文件电脑机器特征码一致的，不参与下一程序，并由评标委员会否决其投标。</w:t>
            </w:r>
          </w:p>
        </w:tc>
      </w:tr>
      <w:tr w14:paraId="31BF7D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64" w:hRule="atLeast"/>
          <w:jc w:val="center"/>
        </w:trPr>
        <w:tc>
          <w:tcPr>
            <w:tcW w:w="959" w:type="dxa"/>
            <w:noWrap w:val="0"/>
            <w:vAlign w:val="center"/>
          </w:tcPr>
          <w:p w14:paraId="10C0449E">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5.3</w:t>
            </w:r>
          </w:p>
        </w:tc>
        <w:tc>
          <w:tcPr>
            <w:tcW w:w="3118" w:type="dxa"/>
            <w:noWrap w:val="0"/>
            <w:vAlign w:val="center"/>
          </w:tcPr>
          <w:p w14:paraId="5903F064">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开标异议</w:t>
            </w:r>
          </w:p>
        </w:tc>
        <w:tc>
          <w:tcPr>
            <w:tcW w:w="5546" w:type="dxa"/>
            <w:noWrap w:val="0"/>
            <w:vAlign w:val="center"/>
          </w:tcPr>
          <w:p w14:paraId="19E3122A">
            <w:pPr>
              <w:pStyle w:val="15"/>
              <w:spacing w:after="0" w:line="240" w:lineRule="auto"/>
              <w:ind w:left="0" w:leftChars="0" w:firstLine="0" w:firstLineChars="0"/>
              <w:rPr>
                <w:rFonts w:ascii="宋体" w:hAnsi="宋体" w:cs="宋体"/>
                <w:color w:val="auto"/>
                <w:sz w:val="21"/>
                <w:szCs w:val="21"/>
                <w:highlight w:val="none"/>
                <w:u w:val="single"/>
              </w:rPr>
            </w:pPr>
            <w:r>
              <w:rPr>
                <w:rFonts w:ascii="宋体" w:hAnsi="宋体" w:cs="宋体"/>
                <w:color w:val="auto"/>
                <w:sz w:val="21"/>
                <w:szCs w:val="21"/>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1047B06">
            <w:pPr>
              <w:pStyle w:val="15"/>
              <w:spacing w:after="0" w:line="240" w:lineRule="auto"/>
              <w:ind w:left="0" w:leftChars="0" w:firstLine="0" w:firstLineChars="0"/>
              <w:rPr>
                <w:rFonts w:ascii="宋体" w:hAnsi="宋体" w:cs="宋体"/>
                <w:color w:val="auto"/>
                <w:sz w:val="21"/>
                <w:szCs w:val="21"/>
                <w:highlight w:val="none"/>
                <w:u w:val="single"/>
              </w:rPr>
            </w:pPr>
            <w:r>
              <w:rPr>
                <w:rFonts w:ascii="宋体" w:hAnsi="宋体" w:cs="宋体"/>
                <w:color w:val="auto"/>
                <w:sz w:val="21"/>
                <w:szCs w:val="21"/>
                <w:highlight w:val="none"/>
                <w:u w:val="single"/>
              </w:rPr>
              <w:t>5.3.2参加现场开标的投标人对开标结果有异议的，应当在开标现场提出，该投标人代表须同时出示本人身份证原件，招标人当场作出答复，并制作记录。</w:t>
            </w:r>
          </w:p>
          <w:p w14:paraId="744D4BA4">
            <w:pPr>
              <w:pStyle w:val="15"/>
              <w:spacing w:after="0" w:line="240" w:lineRule="auto"/>
              <w:ind w:left="0" w:leftChars="0" w:firstLine="0" w:firstLineChars="0"/>
              <w:rPr>
                <w:rFonts w:ascii="宋体" w:hAnsi="宋体" w:cs="宋体"/>
                <w:color w:val="auto"/>
                <w:sz w:val="21"/>
                <w:szCs w:val="21"/>
                <w:highlight w:val="none"/>
                <w:u w:val="single"/>
              </w:rPr>
            </w:pPr>
            <w:r>
              <w:rPr>
                <w:rFonts w:ascii="宋体" w:hAnsi="宋体" w:cs="宋体"/>
                <w:color w:val="auto"/>
                <w:sz w:val="21"/>
                <w:szCs w:val="21"/>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38B80A43">
            <w:pPr>
              <w:spacing w:line="240" w:lineRule="auto"/>
              <w:rPr>
                <w:rFonts w:hint="eastAsia" w:ascii="宋体" w:hAnsi="宋体" w:eastAsia="宋体" w:cs="宋体"/>
                <w:color w:val="auto"/>
                <w:sz w:val="21"/>
                <w:szCs w:val="21"/>
                <w:highlight w:val="none"/>
                <w:u w:val="single"/>
              </w:rPr>
            </w:pPr>
            <w:r>
              <w:rPr>
                <w:rFonts w:ascii="宋体" w:hAnsi="宋体" w:cs="宋体"/>
                <w:color w:val="auto"/>
                <w:sz w:val="21"/>
                <w:szCs w:val="21"/>
                <w:highlight w:val="none"/>
                <w:u w:val="single"/>
              </w:rPr>
              <w:t>5.3.4投标人未参加开标或在规定的时间内未提出异议的，视为对开标无异议。</w:t>
            </w:r>
          </w:p>
        </w:tc>
      </w:tr>
      <w:tr w14:paraId="366D34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59" w:type="dxa"/>
            <w:noWrap w:val="0"/>
            <w:vAlign w:val="center"/>
          </w:tcPr>
          <w:p w14:paraId="157F136E">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6.1.1</w:t>
            </w:r>
          </w:p>
        </w:tc>
        <w:tc>
          <w:tcPr>
            <w:tcW w:w="3118" w:type="dxa"/>
            <w:noWrap w:val="0"/>
            <w:vAlign w:val="center"/>
          </w:tcPr>
          <w:p w14:paraId="33B064FB">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5546" w:type="dxa"/>
            <w:noWrap w:val="0"/>
            <w:vAlign w:val="center"/>
          </w:tcPr>
          <w:p w14:paraId="60AA1617">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评标委员会由招标人依法组建。</w:t>
            </w:r>
          </w:p>
        </w:tc>
      </w:tr>
      <w:tr w14:paraId="7D2A2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14:paraId="3A55E28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6.3.2</w:t>
            </w:r>
          </w:p>
        </w:tc>
        <w:tc>
          <w:tcPr>
            <w:tcW w:w="3118" w:type="dxa"/>
            <w:noWrap w:val="0"/>
            <w:vAlign w:val="center"/>
          </w:tcPr>
          <w:p w14:paraId="7D9FDCC6">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评标委员会推荐中标候选人的人数</w:t>
            </w:r>
          </w:p>
        </w:tc>
        <w:tc>
          <w:tcPr>
            <w:tcW w:w="5546" w:type="dxa"/>
            <w:noWrap w:val="0"/>
            <w:vAlign w:val="center"/>
          </w:tcPr>
          <w:p w14:paraId="56CA2C65">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推荐中标候选人</w:t>
            </w:r>
            <w:r>
              <w:rPr>
                <w:rFonts w:hint="eastAsia" w:ascii="宋体" w:hAnsi="宋体" w:eastAsia="宋体" w:cs="宋体"/>
                <w:color w:val="auto"/>
                <w:sz w:val="21"/>
                <w:szCs w:val="21"/>
                <w:highlight w:val="none"/>
                <w:lang w:val="en-US" w:eastAsia="zh-CN"/>
              </w:rPr>
              <w:t>的人数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3人</w:t>
            </w:r>
          </w:p>
        </w:tc>
      </w:tr>
      <w:tr w14:paraId="5F582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59" w:type="dxa"/>
            <w:noWrap w:val="0"/>
            <w:vAlign w:val="center"/>
          </w:tcPr>
          <w:p w14:paraId="00DA7B05">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7.1</w:t>
            </w:r>
          </w:p>
        </w:tc>
        <w:tc>
          <w:tcPr>
            <w:tcW w:w="3118" w:type="dxa"/>
            <w:noWrap w:val="0"/>
            <w:vAlign w:val="center"/>
          </w:tcPr>
          <w:p w14:paraId="0B150D5A">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中标候选人公示媒介及期限</w:t>
            </w:r>
          </w:p>
        </w:tc>
        <w:tc>
          <w:tcPr>
            <w:tcW w:w="5546" w:type="dxa"/>
            <w:noWrap w:val="0"/>
            <w:vAlign w:val="center"/>
          </w:tcPr>
          <w:p w14:paraId="5216ECD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w:t>
            </w:r>
            <w:r>
              <w:rPr>
                <w:rFonts w:hint="eastAsia" w:ascii="宋体" w:hAnsi="宋体" w:eastAsia="宋体" w:cs="宋体"/>
                <w:color w:val="auto"/>
                <w:sz w:val="21"/>
                <w:szCs w:val="21"/>
                <w:highlight w:val="none"/>
                <w:u w:val="single"/>
                <w:lang w:val="en-US" w:eastAsia="zh-CN"/>
              </w:rPr>
              <w:t>广州交易集团有限公司（</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网站、广东省招标投标监管网、中国招标投标公共服务平台</w:t>
            </w:r>
          </w:p>
          <w:p w14:paraId="4428DB5B">
            <w:pPr>
              <w:snapToGrid w:val="0"/>
              <w:spacing w:line="240" w:lineRule="auto"/>
              <w:ind w:righ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公示期限最后一天为工作日。</w:t>
            </w:r>
          </w:p>
          <w:p w14:paraId="095C9AA9">
            <w:pPr>
              <w:snapToGrid w:val="0"/>
              <w:spacing w:line="240" w:lineRule="auto"/>
              <w:ind w:right="1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1941AD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959" w:type="dxa"/>
            <w:noWrap w:val="0"/>
            <w:vAlign w:val="center"/>
          </w:tcPr>
          <w:p w14:paraId="1792ADFC">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7.4</w:t>
            </w:r>
          </w:p>
        </w:tc>
        <w:tc>
          <w:tcPr>
            <w:tcW w:w="3118" w:type="dxa"/>
            <w:noWrap w:val="0"/>
            <w:vAlign w:val="center"/>
          </w:tcPr>
          <w:p w14:paraId="184DDB8C">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是否授权评标委员会确定中标人</w:t>
            </w:r>
          </w:p>
        </w:tc>
        <w:tc>
          <w:tcPr>
            <w:tcW w:w="5546" w:type="dxa"/>
            <w:noWrap w:val="0"/>
            <w:vAlign w:val="center"/>
          </w:tcPr>
          <w:p w14:paraId="4D99C92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14:paraId="321DE9C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656E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959" w:type="dxa"/>
            <w:noWrap w:val="0"/>
            <w:vAlign w:val="center"/>
          </w:tcPr>
          <w:p w14:paraId="71E67FE9">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7.6.1</w:t>
            </w:r>
          </w:p>
        </w:tc>
        <w:tc>
          <w:tcPr>
            <w:tcW w:w="3118" w:type="dxa"/>
            <w:noWrap w:val="0"/>
            <w:vAlign w:val="center"/>
          </w:tcPr>
          <w:p w14:paraId="58643246">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履约保证金</w:t>
            </w:r>
          </w:p>
        </w:tc>
        <w:tc>
          <w:tcPr>
            <w:tcW w:w="5546" w:type="dxa"/>
            <w:noWrap w:val="0"/>
            <w:vAlign w:val="center"/>
          </w:tcPr>
          <w:p w14:paraId="27541788">
            <w:pPr>
              <w:pStyle w:val="6"/>
              <w:topLinePunct/>
              <w:spacing w:line="240" w:lineRule="auto"/>
              <w:rPr>
                <w:rFonts w:hint="eastAsia" w:hAnsi="宋体" w:eastAsia="宋体" w:cs="宋体"/>
                <w:b/>
                <w:color w:val="auto"/>
                <w:sz w:val="21"/>
                <w:szCs w:val="21"/>
                <w:highlight w:val="none"/>
              </w:rPr>
            </w:pPr>
            <w:r>
              <w:rPr>
                <w:rFonts w:hint="eastAsia" w:hAnsi="宋体" w:eastAsia="宋体" w:cs="宋体"/>
                <w:b/>
                <w:color w:val="auto"/>
                <w:sz w:val="21"/>
                <w:szCs w:val="21"/>
                <w:highlight w:val="none"/>
              </w:rPr>
              <w:t>是否要求中标人提交履约保证金：</w:t>
            </w:r>
          </w:p>
          <w:p w14:paraId="694514F5">
            <w:pPr>
              <w:spacing w:line="240" w:lineRule="auto"/>
              <w:rPr>
                <w:rFonts w:hint="eastAsia" w:ascii="宋体" w:hAnsi="宋体" w:eastAsia="宋体" w:cs="宋体"/>
                <w:b/>
                <w:color w:val="auto"/>
                <w:sz w:val="21"/>
                <w:szCs w:val="21"/>
                <w:highlight w:val="none"/>
              </w:rPr>
            </w:pPr>
            <w:r>
              <w:rPr>
                <w:rFonts w:hint="eastAsia" w:hAnsi="宋体" w:eastAsia="宋体" w:cs="宋体"/>
                <w:b/>
                <w:color w:val="auto"/>
                <w:sz w:val="21"/>
                <w:szCs w:val="21"/>
                <w:highlight w:val="none"/>
              </w:rPr>
              <w:t>■</w:t>
            </w:r>
            <w:r>
              <w:rPr>
                <w:rFonts w:hint="eastAsia" w:ascii="宋体" w:hAnsi="宋体" w:eastAsia="宋体" w:cs="宋体"/>
                <w:b/>
                <w:color w:val="auto"/>
                <w:sz w:val="21"/>
                <w:szCs w:val="21"/>
                <w:highlight w:val="none"/>
              </w:rPr>
              <w:t>要求</w:t>
            </w:r>
          </w:p>
          <w:p w14:paraId="5F5FA2DB">
            <w:pPr>
              <w:spacing w:line="240" w:lineRule="auto"/>
              <w:rPr>
                <w:rFonts w:hint="eastAsia" w:ascii="宋体" w:hAnsi="宋体" w:eastAsia="宋体" w:cs="宋体"/>
                <w:b/>
                <w:color w:val="auto"/>
                <w:sz w:val="21"/>
                <w:szCs w:val="21"/>
                <w:highlight w:val="none"/>
              </w:rPr>
            </w:pPr>
            <w:r>
              <w:rPr>
                <w:rFonts w:hint="eastAsia" w:ascii="宋体" w:hAnsi="宋体" w:cs="宋体"/>
                <w:color w:val="auto"/>
                <w:szCs w:val="21"/>
                <w:highlight w:val="none"/>
                <w:u w:val="single"/>
              </w:rPr>
              <w:t>中标人自主选择提供符合合同约定的履约担保的形式，提供的履约保证金金额为中标价款的10%。</w:t>
            </w:r>
          </w:p>
          <w:p w14:paraId="6F01042D">
            <w:pPr>
              <w:pStyle w:val="6"/>
              <w:topLinePunct/>
              <w:spacing w:line="240" w:lineRule="auto"/>
              <w:rPr>
                <w:rFonts w:hint="eastAsia"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hAnsi="宋体" w:eastAsia="宋体" w:cs="宋体"/>
                <w:b/>
                <w:color w:val="auto"/>
                <w:sz w:val="21"/>
                <w:szCs w:val="21"/>
                <w:highlight w:val="none"/>
              </w:rPr>
              <w:t>不要求</w:t>
            </w:r>
          </w:p>
        </w:tc>
      </w:tr>
      <w:tr w14:paraId="01BA0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noWrap w:val="0"/>
            <w:vAlign w:val="center"/>
          </w:tcPr>
          <w:p w14:paraId="6A608527">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3118" w:type="dxa"/>
            <w:noWrap w:val="0"/>
            <w:vAlign w:val="center"/>
          </w:tcPr>
          <w:p w14:paraId="4E05B787">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是否采用电子招标投标</w:t>
            </w:r>
          </w:p>
        </w:tc>
        <w:tc>
          <w:tcPr>
            <w:tcW w:w="5546" w:type="dxa"/>
            <w:noWrap w:val="0"/>
            <w:vAlign w:val="center"/>
          </w:tcPr>
          <w:p w14:paraId="32C52A5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14:paraId="6F9916C5">
            <w:pPr>
              <w:spacing w:line="240" w:lineRule="auto"/>
              <w:ind w:left="2099" w:leftChars="3" w:hanging="2093" w:hangingChars="9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■是，具体要求：</w:t>
            </w:r>
          </w:p>
          <w:p w14:paraId="72AF3729">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1、具体操作详见广州交易集团有限公司（广州公共资源交易中心）网站最新指引。</w:t>
            </w:r>
          </w:p>
          <w:p w14:paraId="701F14A7">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2、现场提交投标文件光盘备用</w:t>
            </w:r>
          </w:p>
          <w:p w14:paraId="1848E61F">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将按广州交易集团有限公司（广州公共资源交易中心）最新指引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14:paraId="13EF3AC7">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3、补救方案</w:t>
            </w:r>
          </w:p>
          <w:p w14:paraId="7D9A2FA6">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（1）投标文件解密失败的补救方案：</w:t>
            </w:r>
          </w:p>
          <w:p w14:paraId="5F3A3F3C">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F801285">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（2）评标时突发情况的补救方案</w:t>
            </w:r>
          </w:p>
          <w:p w14:paraId="74963956">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若遇不可抗力发生（如：网络瘫痪、服务器损坏、交易系统故障短期无法恢复等因素），由评标委员会开启现场递交的全部投标文件光盘，并按光盘内容进行评审。</w:t>
            </w:r>
          </w:p>
          <w:p w14:paraId="6868AB1B">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（3）除发生上述情况外，开标评标均以投标人通过交易平台网上递交的电子投标文件为准。</w:t>
            </w:r>
          </w:p>
        </w:tc>
      </w:tr>
      <w:tr w14:paraId="43E5CD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959" w:type="dxa"/>
            <w:noWrap w:val="0"/>
            <w:vAlign w:val="center"/>
          </w:tcPr>
          <w:p w14:paraId="6F2163F2">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3118" w:type="dxa"/>
            <w:noWrap w:val="0"/>
            <w:vAlign w:val="center"/>
          </w:tcPr>
          <w:p w14:paraId="525A4A44">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需要补充的其他内容</w:t>
            </w:r>
          </w:p>
        </w:tc>
        <w:tc>
          <w:tcPr>
            <w:tcW w:w="5546" w:type="dxa"/>
            <w:noWrap w:val="0"/>
            <w:vAlign w:val="center"/>
          </w:tcPr>
          <w:p w14:paraId="7652821C">
            <w:pPr>
              <w:keepNext/>
              <w:keepLines/>
              <w:snapToGrid w:val="0"/>
              <w:spacing w:line="240" w:lineRule="auto"/>
              <w:outlineLvl w:val="0"/>
              <w:rPr>
                <w:rFonts w:hint="eastAsia" w:ascii="宋体" w:hAnsi="宋体" w:eastAsia="宋体" w:cs="宋体"/>
                <w:color w:val="auto"/>
                <w:sz w:val="21"/>
                <w:szCs w:val="21"/>
                <w:highlight w:val="none"/>
              </w:rPr>
            </w:pPr>
          </w:p>
        </w:tc>
      </w:tr>
      <w:tr w14:paraId="1EABA4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noWrap w:val="0"/>
            <w:vAlign w:val="center"/>
          </w:tcPr>
          <w:p w14:paraId="6655F8D8">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10.1</w:t>
            </w:r>
          </w:p>
        </w:tc>
        <w:tc>
          <w:tcPr>
            <w:tcW w:w="3118" w:type="dxa"/>
            <w:noWrap w:val="0"/>
            <w:vAlign w:val="center"/>
          </w:tcPr>
          <w:p w14:paraId="6E78B2A0">
            <w:pPr>
              <w:spacing w:line="240" w:lineRule="auto"/>
              <w:jc w:val="center"/>
              <w:rPr>
                <w:rFonts w:hint="eastAsia" w:ascii="宋体" w:hAnsi="宋体" w:cs="宋体"/>
                <w:color w:val="auto"/>
                <w:sz w:val="21"/>
                <w:szCs w:val="21"/>
                <w:highlight w:val="none"/>
              </w:rPr>
            </w:pPr>
            <w:r>
              <w:rPr>
                <w:rFonts w:hint="eastAsia" w:ascii="宋体" w:hAnsi="宋体"/>
                <w:color w:val="auto"/>
                <w:sz w:val="21"/>
                <w:szCs w:val="21"/>
                <w:highlight w:val="none"/>
                <w:u w:val="single"/>
              </w:rPr>
              <w:t>招标失败的情形</w:t>
            </w:r>
          </w:p>
        </w:tc>
        <w:tc>
          <w:tcPr>
            <w:tcW w:w="5546" w:type="dxa"/>
            <w:noWrap w:val="0"/>
            <w:vAlign w:val="center"/>
          </w:tcPr>
          <w:p w14:paraId="223C8D4F">
            <w:pPr>
              <w:spacing w:line="240" w:lineRule="auto"/>
              <w:rPr>
                <w:rFonts w:hint="eastAsia" w:ascii="宋体" w:hAnsi="宋体" w:eastAsia="宋体" w:cs="宋体"/>
                <w:color w:val="auto"/>
                <w:sz w:val="21"/>
                <w:szCs w:val="21"/>
                <w:highlight w:val="none"/>
              </w:rPr>
            </w:pPr>
            <w:r>
              <w:rPr>
                <w:rFonts w:hint="eastAsia" w:ascii="宋体" w:hAnsi="宋体"/>
                <w:color w:val="auto"/>
                <w:sz w:val="21"/>
                <w:szCs w:val="21"/>
                <w:highlight w:val="none"/>
                <w:u w:val="single"/>
              </w:rPr>
              <w:t>本项目采用资格后审，</w:t>
            </w:r>
            <w:r>
              <w:rPr>
                <w:rFonts w:hint="eastAsia" w:ascii="宋体" w:hAnsi="宋体" w:cs="宋体"/>
                <w:color w:val="auto"/>
                <w:sz w:val="21"/>
                <w:szCs w:val="21"/>
                <w:highlight w:val="none"/>
                <w:u w:val="single"/>
              </w:rPr>
              <w:t>投标登记或</w:t>
            </w:r>
            <w:r>
              <w:rPr>
                <w:rFonts w:hint="eastAsia" w:ascii="宋体" w:hAnsi="宋体"/>
                <w:color w:val="auto"/>
                <w:sz w:val="21"/>
                <w:szCs w:val="21"/>
                <w:highlight w:val="none"/>
                <w:u w:val="single"/>
              </w:rPr>
              <w:t>满足资格审查合格条件的投标人不足3名</w:t>
            </w:r>
            <w:r>
              <w:rPr>
                <w:rFonts w:hint="eastAsia" w:ascii="宋体" w:hAnsi="宋体"/>
                <w:color w:val="auto"/>
                <w:sz w:val="21"/>
                <w:szCs w:val="21"/>
                <w:highlight w:val="none"/>
                <w:u w:val="single"/>
                <w:lang w:eastAsia="zh-CN"/>
              </w:rPr>
              <w:t>，或</w:t>
            </w:r>
            <w:r>
              <w:rPr>
                <w:rFonts w:hint="eastAsia" w:ascii="宋体" w:hAnsi="宋体"/>
                <w:color w:val="auto"/>
                <w:sz w:val="21"/>
                <w:szCs w:val="21"/>
                <w:highlight w:val="none"/>
                <w:u w:val="single"/>
              </w:rPr>
              <w:t>经评审有效的投标单位不足3名时为该标段招标失败。招标人分析招标失败原因，修正招标方案后，重新组织招标。</w:t>
            </w:r>
          </w:p>
        </w:tc>
      </w:tr>
      <w:tr w14:paraId="12444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noWrap w:val="0"/>
            <w:vAlign w:val="center"/>
          </w:tcPr>
          <w:p w14:paraId="2D316CF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10.2</w:t>
            </w:r>
          </w:p>
        </w:tc>
        <w:tc>
          <w:tcPr>
            <w:tcW w:w="3118" w:type="dxa"/>
            <w:noWrap w:val="0"/>
            <w:vAlign w:val="center"/>
          </w:tcPr>
          <w:p w14:paraId="5630005B">
            <w:pPr>
              <w:spacing w:line="240" w:lineRule="auto"/>
              <w:jc w:val="center"/>
              <w:rPr>
                <w:rFonts w:hint="eastAsia" w:ascii="宋体" w:hAnsi="宋体" w:cs="宋体"/>
                <w:color w:val="auto"/>
                <w:sz w:val="21"/>
                <w:szCs w:val="21"/>
                <w:highlight w:val="none"/>
              </w:rPr>
            </w:pPr>
            <w:r>
              <w:rPr>
                <w:rFonts w:hint="eastAsia" w:ascii="宋体" w:hAnsi="宋体"/>
                <w:color w:val="auto"/>
                <w:sz w:val="21"/>
                <w:szCs w:val="21"/>
                <w:highlight w:val="none"/>
                <w:u w:val="single"/>
              </w:rPr>
              <w:t>交易服务费</w:t>
            </w:r>
          </w:p>
        </w:tc>
        <w:tc>
          <w:tcPr>
            <w:tcW w:w="5546" w:type="dxa"/>
            <w:noWrap w:val="0"/>
            <w:vAlign w:val="center"/>
          </w:tcPr>
          <w:p w14:paraId="47838218">
            <w:pPr>
              <w:spacing w:line="240" w:lineRule="auto"/>
              <w:rPr>
                <w:rFonts w:hint="eastAsia" w:ascii="宋体" w:hAnsi="宋体" w:eastAsia="宋体" w:cs="宋体"/>
                <w:color w:val="auto"/>
                <w:sz w:val="21"/>
                <w:szCs w:val="21"/>
                <w:highlight w:val="none"/>
              </w:rPr>
            </w:pPr>
            <w:r>
              <w:rPr>
                <w:rFonts w:hint="eastAsia" w:ascii="宋体" w:hAnsi="宋体"/>
                <w:color w:val="auto"/>
                <w:sz w:val="21"/>
                <w:szCs w:val="21"/>
                <w:highlight w:val="none"/>
                <w:u w:val="single"/>
              </w:rPr>
              <w:t>中标人按《广州市发展改革委转发省发展改革委关于规范公共资源交易服务收费及有关问题的通知》（穗发改〔2017〕811号）文件的规定，向广州交易集团有限公司代缴交易服务费，交易服务费的金额为中标总金额的0.9‰，其费用包含在中标人投标报价中，招标人不另行支付。</w:t>
            </w:r>
          </w:p>
        </w:tc>
      </w:tr>
      <w:tr w14:paraId="535872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noWrap w:val="0"/>
            <w:vAlign w:val="center"/>
          </w:tcPr>
          <w:p w14:paraId="0DBEFC3D">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10.3</w:t>
            </w:r>
          </w:p>
        </w:tc>
        <w:tc>
          <w:tcPr>
            <w:tcW w:w="3118" w:type="dxa"/>
            <w:noWrap w:val="0"/>
            <w:vAlign w:val="center"/>
          </w:tcPr>
          <w:p w14:paraId="38C47724">
            <w:pPr>
              <w:spacing w:line="240" w:lineRule="auto"/>
              <w:jc w:val="center"/>
              <w:rPr>
                <w:rFonts w:hint="eastAsia" w:ascii="宋体" w:hAnsi="宋体" w:cs="宋体"/>
                <w:color w:val="auto"/>
                <w:sz w:val="21"/>
                <w:szCs w:val="21"/>
                <w:highlight w:val="none"/>
              </w:rPr>
            </w:pPr>
            <w:r>
              <w:rPr>
                <w:rFonts w:hint="eastAsia" w:ascii="宋体" w:hAnsi="宋体"/>
                <w:color w:val="auto"/>
                <w:sz w:val="21"/>
                <w:szCs w:val="21"/>
                <w:highlight w:val="none"/>
                <w:u w:val="single"/>
              </w:rPr>
              <w:t>其他要求</w:t>
            </w:r>
          </w:p>
        </w:tc>
        <w:tc>
          <w:tcPr>
            <w:tcW w:w="5546" w:type="dxa"/>
            <w:noWrap w:val="0"/>
            <w:vAlign w:val="center"/>
          </w:tcPr>
          <w:p w14:paraId="1AF2FE5E">
            <w:pPr>
              <w:spacing w:line="240" w:lineRule="auto"/>
              <w:rPr>
                <w:rFonts w:hint="eastAsia" w:ascii="宋体" w:hAnsi="宋体" w:eastAsia="宋体" w:cs="宋体"/>
                <w:strike/>
                <w:color w:val="auto"/>
                <w:sz w:val="21"/>
                <w:szCs w:val="21"/>
                <w:highlight w:val="none"/>
              </w:rPr>
            </w:pPr>
            <w:r>
              <w:rPr>
                <w:rFonts w:hint="eastAsia" w:ascii="宋体" w:hAnsi="宋体"/>
                <w:color w:val="auto"/>
                <w:sz w:val="21"/>
                <w:szCs w:val="21"/>
                <w:highlight w:val="none"/>
                <w:u w:val="single"/>
              </w:rPr>
              <w:t>各投标人递交投标资料参与投标，均视为接受及认同招标合同及招标人（业主单位）制发的各项相关建设管理办法。如中标人不按合同履约及未遵守招标人（业主单位）制发的各项相关建设管理办法，招标人（业主单位）有权依据相关管理办法要求中标人承担相应责任，中标人应无条件接受。</w:t>
            </w:r>
          </w:p>
        </w:tc>
      </w:tr>
      <w:tr w14:paraId="1EBC08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959" w:type="dxa"/>
            <w:noWrap w:val="0"/>
            <w:vAlign w:val="center"/>
          </w:tcPr>
          <w:p w14:paraId="1178D6F6">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10.4</w:t>
            </w:r>
          </w:p>
        </w:tc>
        <w:tc>
          <w:tcPr>
            <w:tcW w:w="3118" w:type="dxa"/>
            <w:noWrap w:val="0"/>
            <w:vAlign w:val="center"/>
          </w:tcPr>
          <w:p w14:paraId="4FF83052">
            <w:pPr>
              <w:spacing w:line="240" w:lineRule="auto"/>
              <w:jc w:val="center"/>
              <w:rPr>
                <w:rFonts w:hint="eastAsia" w:ascii="宋体" w:hAnsi="宋体" w:cs="宋体"/>
                <w:color w:val="auto"/>
                <w:sz w:val="21"/>
                <w:szCs w:val="21"/>
                <w:highlight w:val="none"/>
              </w:rPr>
            </w:pPr>
            <w:r>
              <w:rPr>
                <w:rFonts w:hint="eastAsia" w:ascii="宋体" w:hAnsi="宋体"/>
                <w:color w:val="auto"/>
                <w:sz w:val="21"/>
                <w:szCs w:val="21"/>
                <w:highlight w:val="none"/>
                <w:u w:val="single"/>
              </w:rPr>
              <w:t>投标文件公开</w:t>
            </w:r>
          </w:p>
        </w:tc>
        <w:tc>
          <w:tcPr>
            <w:tcW w:w="5546" w:type="dxa"/>
            <w:noWrap w:val="0"/>
            <w:vAlign w:val="center"/>
          </w:tcPr>
          <w:p w14:paraId="62B15BCA">
            <w:pPr>
              <w:spacing w:line="240" w:lineRule="auto"/>
              <w:rPr>
                <w:rFonts w:hint="eastAsia" w:ascii="宋体" w:hAnsi="宋体" w:eastAsia="宋体" w:cs="宋体"/>
                <w:color w:val="auto"/>
                <w:sz w:val="21"/>
                <w:szCs w:val="21"/>
                <w:highlight w:val="none"/>
              </w:rPr>
            </w:pPr>
            <w:r>
              <w:rPr>
                <w:rFonts w:hint="eastAsia" w:ascii="宋体" w:hAnsi="宋体"/>
                <w:color w:val="auto"/>
                <w:sz w:val="21"/>
                <w:szCs w:val="21"/>
                <w:highlight w:val="none"/>
                <w:u w:val="single"/>
              </w:rPr>
              <w:t>在产生中标候选人后，招标人将中标候选人的投标文件商务部分的电子版（方案等涉及商业秘密的内容除外）在广州交易集团有限公司（广州公共资源交易中心）、广东省招标投标监管网网站公开。</w:t>
            </w:r>
          </w:p>
        </w:tc>
      </w:tr>
      <w:tr w14:paraId="2FF52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959" w:type="dxa"/>
            <w:noWrap w:val="0"/>
            <w:vAlign w:val="center"/>
          </w:tcPr>
          <w:p w14:paraId="374C7F23">
            <w:pPr>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10.5</w:t>
            </w:r>
          </w:p>
        </w:tc>
        <w:tc>
          <w:tcPr>
            <w:tcW w:w="3118" w:type="dxa"/>
            <w:noWrap w:val="0"/>
            <w:vAlign w:val="center"/>
          </w:tcPr>
          <w:p w14:paraId="7D6AADEF">
            <w:pPr>
              <w:spacing w:line="240" w:lineRule="auto"/>
              <w:jc w:val="center"/>
              <w:rPr>
                <w:rFonts w:hint="eastAsia" w:ascii="宋体" w:hAnsi="宋体" w:cs="宋体"/>
                <w:color w:val="auto"/>
                <w:sz w:val="21"/>
                <w:szCs w:val="21"/>
                <w:highlight w:val="none"/>
              </w:rPr>
            </w:pPr>
            <w:r>
              <w:rPr>
                <w:rFonts w:hint="eastAsia" w:ascii="宋体" w:hAnsi="宋体"/>
                <w:color w:val="auto"/>
                <w:sz w:val="21"/>
                <w:szCs w:val="21"/>
                <w:highlight w:val="none"/>
                <w:u w:val="single"/>
              </w:rPr>
              <w:t>补交纸质投标文件</w:t>
            </w:r>
          </w:p>
        </w:tc>
        <w:tc>
          <w:tcPr>
            <w:tcW w:w="5546" w:type="dxa"/>
            <w:noWrap w:val="0"/>
            <w:vAlign w:val="center"/>
          </w:tcPr>
          <w:p w14:paraId="2EA559DE">
            <w:pPr>
              <w:spacing w:line="240" w:lineRule="auto"/>
              <w:rPr>
                <w:rFonts w:hint="eastAsia" w:ascii="宋体" w:hAnsi="宋体" w:eastAsia="宋体" w:cs="宋体"/>
                <w:color w:val="auto"/>
                <w:sz w:val="21"/>
                <w:szCs w:val="21"/>
                <w:highlight w:val="none"/>
              </w:rPr>
            </w:pPr>
            <w:r>
              <w:rPr>
                <w:rFonts w:hint="eastAsia" w:ascii="宋体" w:hAnsi="宋体"/>
                <w:color w:val="auto"/>
                <w:sz w:val="21"/>
                <w:szCs w:val="21"/>
                <w:highlight w:val="none"/>
                <w:u w:val="single"/>
              </w:rPr>
              <w:t>中标单位领取中标通知书时，补送</w:t>
            </w:r>
            <w:r>
              <w:rPr>
                <w:rFonts w:hint="eastAsia" w:ascii="宋体" w:hAnsi="宋体"/>
                <w:b/>
                <w:color w:val="auto"/>
                <w:sz w:val="21"/>
                <w:szCs w:val="21"/>
                <w:highlight w:val="none"/>
                <w:u w:val="single"/>
              </w:rPr>
              <w:t>一正</w:t>
            </w:r>
            <w:r>
              <w:rPr>
                <w:rFonts w:hint="eastAsia" w:ascii="宋体" w:hAnsi="宋体"/>
                <w:b/>
                <w:color w:val="auto"/>
                <w:sz w:val="21"/>
                <w:szCs w:val="21"/>
                <w:highlight w:val="none"/>
                <w:u w:val="single"/>
                <w:lang w:val="en-US" w:eastAsia="zh-CN"/>
              </w:rPr>
              <w:t>二</w:t>
            </w:r>
            <w:r>
              <w:rPr>
                <w:rFonts w:hint="eastAsia" w:ascii="宋体" w:hAnsi="宋体"/>
                <w:b/>
                <w:color w:val="auto"/>
                <w:sz w:val="21"/>
                <w:szCs w:val="21"/>
                <w:highlight w:val="none"/>
                <w:u w:val="single"/>
              </w:rPr>
              <w:t>副</w:t>
            </w:r>
            <w:r>
              <w:rPr>
                <w:rFonts w:hint="eastAsia" w:ascii="宋体" w:hAnsi="宋体"/>
                <w:color w:val="auto"/>
                <w:sz w:val="21"/>
                <w:szCs w:val="21"/>
                <w:highlight w:val="none"/>
                <w:u w:val="single"/>
              </w:rPr>
              <w:t>与交易平台网上递交的电子投标文件一致的</w:t>
            </w:r>
            <w:r>
              <w:rPr>
                <w:rFonts w:hint="eastAsia" w:ascii="宋体" w:hAnsi="宋体"/>
                <w:b/>
                <w:color w:val="auto"/>
                <w:sz w:val="21"/>
                <w:szCs w:val="21"/>
                <w:highlight w:val="none"/>
                <w:u w:val="single"/>
              </w:rPr>
              <w:t>书面投标文件（加盖公章）</w:t>
            </w:r>
            <w:r>
              <w:rPr>
                <w:rFonts w:hint="eastAsia" w:ascii="宋体" w:hAnsi="宋体"/>
                <w:color w:val="auto"/>
                <w:sz w:val="21"/>
                <w:szCs w:val="21"/>
                <w:highlight w:val="none"/>
                <w:u w:val="single"/>
              </w:rPr>
              <w:t>及一份与书面投标文件一致的用“Microsoft Word ”或“PDF”格式制作的电子文件（光盘）给招标人，相关费用由投标人支付。</w:t>
            </w:r>
          </w:p>
        </w:tc>
      </w:tr>
    </w:tbl>
    <w:p w14:paraId="190DB3A1">
      <w:pPr>
        <w:keepNext/>
        <w:keepLines/>
        <w:spacing w:line="576" w:lineRule="auto"/>
        <w:jc w:val="center"/>
        <w:outlineLvl w:val="1"/>
        <w:rPr>
          <w:rFonts w:hint="eastAsia"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br w:type="page"/>
      </w:r>
      <w:bookmarkStart w:id="31" w:name="_Toc21141"/>
      <w:bookmarkStart w:id="32" w:name="_Toc532367872"/>
      <w:bookmarkStart w:id="33" w:name="_Toc13257"/>
      <w:bookmarkStart w:id="34" w:name="_Toc7730"/>
      <w:bookmarkStart w:id="35" w:name="_Toc304808641"/>
      <w:bookmarkStart w:id="36" w:name="_Toc16349"/>
      <w:bookmarkStart w:id="37" w:name="_Toc377719898"/>
      <w:bookmarkStart w:id="38" w:name="_Toc22854"/>
      <w:r>
        <w:rPr>
          <w:rFonts w:hint="eastAsia" w:ascii="宋体" w:hAnsi="宋体" w:cs="宋体"/>
          <w:b/>
          <w:bCs/>
          <w:color w:val="auto"/>
          <w:kern w:val="44"/>
          <w:sz w:val="36"/>
          <w:szCs w:val="36"/>
          <w:highlight w:val="none"/>
        </w:rPr>
        <w:t>投标人须知</w:t>
      </w:r>
      <w:bookmarkEnd w:id="31"/>
      <w:bookmarkEnd w:id="32"/>
      <w:bookmarkEnd w:id="33"/>
      <w:bookmarkEnd w:id="34"/>
    </w:p>
    <w:p w14:paraId="6FB38D19">
      <w:pPr>
        <w:keepNext/>
        <w:keepLines/>
        <w:spacing w:before="240" w:beforeLines="0" w:after="240" w:afterLines="0" w:line="413" w:lineRule="auto"/>
        <w:jc w:val="left"/>
        <w:outlineLvl w:val="1"/>
        <w:rPr>
          <w:rFonts w:hint="eastAsia" w:ascii="宋体" w:hAnsi="宋体" w:cs="宋体"/>
          <w:b/>
          <w:bCs/>
          <w:color w:val="auto"/>
          <w:sz w:val="40"/>
          <w:szCs w:val="32"/>
          <w:highlight w:val="none"/>
        </w:rPr>
      </w:pPr>
      <w:bookmarkStart w:id="39" w:name="_Toc21041"/>
      <w:bookmarkStart w:id="40" w:name="_Toc14330"/>
      <w:bookmarkStart w:id="41" w:name="_Toc32719"/>
      <w:bookmarkStart w:id="42" w:name="_Toc532367873"/>
      <w:bookmarkStart w:id="43" w:name="_Toc6964"/>
      <w:bookmarkStart w:id="44" w:name="_Toc9352"/>
      <w:bookmarkStart w:id="45" w:name="_Toc31905"/>
      <w:bookmarkStart w:id="46" w:name="_Toc13865"/>
      <w:bookmarkStart w:id="47" w:name="_Toc27896"/>
      <w:bookmarkStart w:id="48" w:name="_Toc7950"/>
      <w:bookmarkStart w:id="49" w:name="_Toc8300"/>
      <w:bookmarkStart w:id="50" w:name="_Toc29394"/>
      <w:bookmarkStart w:id="51" w:name="_Toc377719900"/>
      <w:r>
        <w:rPr>
          <w:rFonts w:hint="eastAsia" w:ascii="宋体" w:hAnsi="宋体" w:cs="宋体"/>
          <w:b/>
          <w:bCs/>
          <w:color w:val="auto"/>
          <w:sz w:val="40"/>
          <w:szCs w:val="32"/>
          <w:highlight w:val="none"/>
        </w:rPr>
        <w:t>1.总则</w:t>
      </w:r>
      <w:bookmarkEnd w:id="39"/>
      <w:bookmarkEnd w:id="40"/>
      <w:bookmarkEnd w:id="41"/>
      <w:bookmarkEnd w:id="42"/>
      <w:bookmarkEnd w:id="43"/>
      <w:bookmarkEnd w:id="44"/>
      <w:bookmarkEnd w:id="45"/>
      <w:bookmarkEnd w:id="46"/>
      <w:bookmarkEnd w:id="47"/>
      <w:bookmarkEnd w:id="48"/>
      <w:bookmarkEnd w:id="49"/>
      <w:bookmarkEnd w:id="50"/>
      <w:bookmarkEnd w:id="51"/>
    </w:p>
    <w:p w14:paraId="34D3BBEC">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1.1 招标项目概况</w:t>
      </w:r>
    </w:p>
    <w:p w14:paraId="0EB8F05B">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1.1.1根据《中华人民共和国招标投标法》、《中华人民共和国招标投标法实施条例》等有关法律、法规和规章的规定，本招标项目已具备招标条件，现对检验监测服务进行招标。</w:t>
      </w:r>
    </w:p>
    <w:p w14:paraId="5127F160">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1.1.2招标人：见投标人须知前附表。</w:t>
      </w:r>
    </w:p>
    <w:p w14:paraId="252BFBF8">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1.1.3招标代理机构：见投标人须知前附表。</w:t>
      </w:r>
    </w:p>
    <w:p w14:paraId="7E46863F">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1.1.4招标项目名称：见投标人须知前附表。</w:t>
      </w:r>
    </w:p>
    <w:p w14:paraId="4497895E">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1.1.5项目建设地点：见投标人须知前附表。</w:t>
      </w:r>
    </w:p>
    <w:p w14:paraId="65D6D0EE">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1.1.6项目建设规模：见投标人须知前附表。</w:t>
      </w:r>
    </w:p>
    <w:p w14:paraId="2141AFCB">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1.1.7工程项目施工预计开工日期和建设周期：见投标人须知前附表。</w:t>
      </w:r>
    </w:p>
    <w:p w14:paraId="45F12C5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1.1.8建筑安装工程费/工程概算：见投标人须知前附表。</w:t>
      </w:r>
    </w:p>
    <w:p w14:paraId="022A0756">
      <w:pPr>
        <w:kinsoku w:val="0"/>
        <w:overflowPunct w:val="0"/>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1.2 招标项目的资金来源和落实情况</w:t>
      </w:r>
    </w:p>
    <w:p w14:paraId="24B27E69">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1.2.1资金来源及比例：见投标人须知前附表。</w:t>
      </w:r>
    </w:p>
    <w:p w14:paraId="03C97B71">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1.2.2资金落实情况：见投标人须知前附表。</w:t>
      </w:r>
    </w:p>
    <w:p w14:paraId="5CB16F03">
      <w:pPr>
        <w:kinsoku w:val="0"/>
        <w:overflowPunct w:val="0"/>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1.3 招标内容、服务期限和质量标准</w:t>
      </w:r>
    </w:p>
    <w:p w14:paraId="5EB67131">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1.3.1招标范围及内容：见投标人须知前附表。</w:t>
      </w:r>
    </w:p>
    <w:p w14:paraId="31F3AB14">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1.3.2服务期：见投标人须知前附表。</w:t>
      </w:r>
    </w:p>
    <w:p w14:paraId="24DCE302">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1.3.3质量标准：见投标人须知前附表</w:t>
      </w:r>
    </w:p>
    <w:p w14:paraId="4D2AC17B">
      <w:pPr>
        <w:kinsoku w:val="0"/>
        <w:overflowPunct w:val="0"/>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1.4 投标人资格要求</w:t>
      </w:r>
    </w:p>
    <w:p w14:paraId="0D8F11DF">
      <w:pPr>
        <w:kinsoku w:val="0"/>
        <w:overflowPunct w:val="0"/>
        <w:spacing w:line="360" w:lineRule="auto"/>
        <w:ind w:firstLine="444" w:firstLineChars="202"/>
        <w:jc w:val="lef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1.4.1投标人应具备承担本招标项目资质条件、能力和信誉：</w:t>
      </w:r>
      <w:r>
        <w:rPr>
          <w:rFonts w:hint="eastAsia" w:ascii="宋体" w:hAnsi="宋体" w:cs="宋体"/>
          <w:color w:val="auto"/>
          <w:sz w:val="22"/>
          <w:highlight w:val="none"/>
          <w:lang w:val="en-US" w:eastAsia="zh-CN"/>
        </w:rPr>
        <w:t>详见招标公告。</w:t>
      </w:r>
    </w:p>
    <w:p w14:paraId="0B9AB271">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1.4.2投标人须知前附表规定接受联合体投标的，联合体应符合投标人须知前附表的要求。</w:t>
      </w:r>
    </w:p>
    <w:p w14:paraId="35F05817">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1.4.3投标人不得存在下列情形之一：</w:t>
      </w:r>
    </w:p>
    <w:p w14:paraId="5A99EE3B">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（1）为招标人不具有独立法人资格的附属机构（单位）；</w:t>
      </w:r>
    </w:p>
    <w:p w14:paraId="7DBF659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（2）与招标人存在利害关系且可能影响招标公正性；</w:t>
      </w:r>
    </w:p>
    <w:p w14:paraId="06663C30">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（3）与本招标项目的其他投标人为同一个单位负责人；</w:t>
      </w:r>
    </w:p>
    <w:p w14:paraId="1DB3F4B5">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（4）与本招标项目的其他投标人存在控股、管理关系；</w:t>
      </w:r>
    </w:p>
    <w:p w14:paraId="1E5DA59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（5）为本招标项目的代建人；</w:t>
      </w:r>
    </w:p>
    <w:p w14:paraId="0111B3F5">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（6）为本招标项目的招标代理机构；</w:t>
      </w:r>
    </w:p>
    <w:p w14:paraId="4011282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（7）与本招标项目的代建人或招标代理机构同为一个法定代表人；</w:t>
      </w:r>
    </w:p>
    <w:p w14:paraId="39E83D77">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（8）与本招标项目的代建人或招标代理机构存在控股或参股关系；</w:t>
      </w:r>
    </w:p>
    <w:p w14:paraId="4D701A62">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（9）被依法暂停或者取消投标资格；</w:t>
      </w:r>
    </w:p>
    <w:p w14:paraId="40DDAB5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（10）被责令停产停业、暂扣或者吊销许可证、暂扣或者吊销执照；</w:t>
      </w:r>
    </w:p>
    <w:p w14:paraId="2404EB0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（11）进入清算程序，或被宣告破产，或其他丧失履约能力的情形；</w:t>
      </w:r>
    </w:p>
    <w:p w14:paraId="091FDB72">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（12）在最近三年内发生重大质量问题（以相关行招标人管部门的行政处罚决定或司法机关出具的有关法律文书为准）；</w:t>
      </w:r>
    </w:p>
    <w:p w14:paraId="74CFEB1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（13）法律法规或投标人须知前附表规定的其他情形。</w:t>
      </w:r>
    </w:p>
    <w:p w14:paraId="127615DF">
      <w:pPr>
        <w:kinsoku w:val="0"/>
        <w:overflowPunct w:val="0"/>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1.5 费用承担</w:t>
      </w:r>
    </w:p>
    <w:p w14:paraId="51CE4A2C">
      <w:pPr>
        <w:pStyle w:val="7"/>
        <w:kinsoku w:val="0"/>
        <w:overflowPunct w:val="0"/>
        <w:spacing w:line="360" w:lineRule="auto"/>
        <w:ind w:firstLine="330" w:firstLineChars="15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投标人准备和参加投标活动发生的费用自理。</w:t>
      </w:r>
    </w:p>
    <w:p w14:paraId="6AB3F938">
      <w:pPr>
        <w:kinsoku w:val="0"/>
        <w:overflowPunct w:val="0"/>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1.6 保密</w:t>
      </w:r>
    </w:p>
    <w:p w14:paraId="51638F4B">
      <w:pPr>
        <w:pStyle w:val="7"/>
        <w:kinsoku w:val="0"/>
        <w:overflowPunct w:val="0"/>
        <w:spacing w:after="0" w:afterLines="0" w:line="360" w:lineRule="auto"/>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参与招标投标活动的各方应对招标文件和投标文件中的商业和技术等秘密保密，否则应承担相应的法律责任。</w:t>
      </w:r>
    </w:p>
    <w:p w14:paraId="12E675CF">
      <w:pPr>
        <w:kinsoku w:val="0"/>
        <w:overflowPunct w:val="0"/>
        <w:spacing w:before="120" w:beforeLines="0" w:after="120" w:afterLines="0" w:line="360" w:lineRule="auto"/>
        <w:outlineLvl w:val="2"/>
        <w:rPr>
          <w:rFonts w:hint="eastAsia" w:ascii="宋体" w:hAnsi="宋体" w:cs="宋体"/>
          <w:b/>
          <w:bCs/>
          <w:color w:val="auto"/>
          <w:sz w:val="22"/>
          <w:highlight w:val="none"/>
        </w:rPr>
      </w:pPr>
      <w:bookmarkStart w:id="52" w:name="bookmark27"/>
      <w:bookmarkEnd w:id="52"/>
      <w:r>
        <w:rPr>
          <w:rFonts w:hint="eastAsia" w:ascii="宋体" w:hAnsi="宋体" w:cs="宋体"/>
          <w:b/>
          <w:bCs/>
          <w:color w:val="auto"/>
          <w:sz w:val="22"/>
          <w:highlight w:val="none"/>
        </w:rPr>
        <w:t>1.7 语言文字</w:t>
      </w:r>
    </w:p>
    <w:p w14:paraId="34755D24">
      <w:pPr>
        <w:pStyle w:val="7"/>
        <w:kinsoku w:val="0"/>
        <w:overflowPunct w:val="0"/>
        <w:spacing w:after="0" w:afterLines="0" w:line="360" w:lineRule="auto"/>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招标投标文件使用的语言文字为中文。专用术语使用外文的，应附有中文注释。</w:t>
      </w:r>
    </w:p>
    <w:p w14:paraId="715D4C81">
      <w:pPr>
        <w:kinsoku w:val="0"/>
        <w:overflowPunct w:val="0"/>
        <w:spacing w:before="120" w:beforeLines="0" w:after="120" w:afterLines="0" w:line="360" w:lineRule="auto"/>
        <w:outlineLvl w:val="2"/>
        <w:rPr>
          <w:rFonts w:hint="eastAsia" w:ascii="宋体" w:hAnsi="宋体" w:cs="宋体"/>
          <w:b/>
          <w:bCs/>
          <w:color w:val="auto"/>
          <w:sz w:val="22"/>
          <w:highlight w:val="none"/>
        </w:rPr>
      </w:pPr>
      <w:bookmarkStart w:id="53" w:name="bookmark28"/>
      <w:bookmarkEnd w:id="53"/>
      <w:r>
        <w:rPr>
          <w:rFonts w:hint="eastAsia" w:ascii="宋体" w:hAnsi="宋体" w:cs="宋体"/>
          <w:b/>
          <w:bCs/>
          <w:color w:val="auto"/>
          <w:sz w:val="22"/>
          <w:highlight w:val="none"/>
        </w:rPr>
        <w:t>1.8 计量单位</w:t>
      </w:r>
    </w:p>
    <w:p w14:paraId="22A5E6F8">
      <w:pPr>
        <w:pStyle w:val="7"/>
        <w:kinsoku w:val="0"/>
        <w:overflowPunct w:val="0"/>
        <w:spacing w:line="360" w:lineRule="auto"/>
        <w:ind w:firstLine="436" w:firstLineChars="200"/>
        <w:rPr>
          <w:rFonts w:hint="eastAsia" w:ascii="宋体" w:hAnsi="宋体" w:cs="宋体"/>
          <w:color w:val="auto"/>
          <w:sz w:val="22"/>
          <w:szCs w:val="22"/>
          <w:highlight w:val="none"/>
        </w:rPr>
      </w:pPr>
      <w:r>
        <w:rPr>
          <w:rFonts w:hint="eastAsia" w:ascii="宋体" w:hAnsi="宋体" w:cs="宋体"/>
          <w:color w:val="auto"/>
          <w:spacing w:val="-1"/>
          <w:sz w:val="22"/>
          <w:szCs w:val="22"/>
          <w:highlight w:val="none"/>
        </w:rPr>
        <w:t>所有计量均采用中华人民共和国法定计量单位。</w:t>
      </w:r>
    </w:p>
    <w:p w14:paraId="652A1385">
      <w:pPr>
        <w:kinsoku w:val="0"/>
        <w:overflowPunct w:val="0"/>
        <w:spacing w:before="120" w:beforeLines="0" w:after="120" w:afterLines="0" w:line="360" w:lineRule="auto"/>
        <w:outlineLvl w:val="2"/>
        <w:rPr>
          <w:rFonts w:hint="eastAsia" w:ascii="宋体" w:hAnsi="宋体" w:cs="宋体"/>
          <w:b/>
          <w:bCs/>
          <w:color w:val="auto"/>
          <w:sz w:val="22"/>
          <w:highlight w:val="none"/>
        </w:rPr>
      </w:pPr>
      <w:bookmarkStart w:id="54" w:name="bookmark29"/>
      <w:bookmarkEnd w:id="54"/>
      <w:r>
        <w:rPr>
          <w:rFonts w:hint="eastAsia" w:ascii="宋体" w:hAnsi="宋体" w:cs="宋体"/>
          <w:b/>
          <w:bCs/>
          <w:color w:val="auto"/>
          <w:sz w:val="22"/>
          <w:highlight w:val="none"/>
        </w:rPr>
        <w:t>1.9 踏勘现场</w:t>
      </w:r>
    </w:p>
    <w:p w14:paraId="1E1FE81F">
      <w:pPr>
        <w:pStyle w:val="7"/>
        <w:kinsoku w:val="0"/>
        <w:overflowPunct w:val="0"/>
        <w:spacing w:after="0" w:afterLines="0"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1.9.1投标人须知前附表规定组织踏勘现场的，招标人按投标人须知前附表规定的时间、地点组织投标人踏勘项目现场。部分投标人未按时参加踏勘现场的，不影响踏勘现场的正常进行。</w:t>
      </w:r>
    </w:p>
    <w:p w14:paraId="41E12A17">
      <w:pPr>
        <w:pStyle w:val="7"/>
        <w:kinsoku w:val="0"/>
        <w:overflowPunct w:val="0"/>
        <w:spacing w:after="0" w:afterLines="0"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1.9.2投标人踏勘现场发生的费用自理。</w:t>
      </w:r>
    </w:p>
    <w:p w14:paraId="5B23A697">
      <w:pPr>
        <w:pStyle w:val="7"/>
        <w:kinsoku w:val="0"/>
        <w:overflowPunct w:val="0"/>
        <w:spacing w:after="0" w:afterLines="0"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1.9.3除招标人的原因外，投标人自行负责在踏勘现场中所发生的人员伤亡和财产损失。</w:t>
      </w:r>
    </w:p>
    <w:p w14:paraId="6C8D0A0B">
      <w:pPr>
        <w:pStyle w:val="7"/>
        <w:kinsoku w:val="0"/>
        <w:overflowPunct w:val="0"/>
        <w:spacing w:after="0" w:afterLines="0"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1.9.4招标人在踏勘现场中介绍的工程场地和相关的周边环境情况，供投标人在编制投标文件时参考，招标人不对投标人据此作出的判断和决策负责。</w:t>
      </w:r>
    </w:p>
    <w:p w14:paraId="21EB7D45">
      <w:pPr>
        <w:kinsoku w:val="0"/>
        <w:overflowPunct w:val="0"/>
        <w:spacing w:before="120" w:beforeLines="0" w:after="120" w:afterLines="0" w:line="360" w:lineRule="auto"/>
        <w:outlineLvl w:val="2"/>
        <w:rPr>
          <w:rFonts w:hint="eastAsia" w:ascii="宋体" w:hAnsi="宋体" w:cs="宋体"/>
          <w:b/>
          <w:bCs/>
          <w:color w:val="auto"/>
          <w:sz w:val="22"/>
          <w:highlight w:val="none"/>
        </w:rPr>
      </w:pPr>
      <w:bookmarkStart w:id="55" w:name="bookmark30"/>
      <w:bookmarkEnd w:id="55"/>
      <w:r>
        <w:rPr>
          <w:rFonts w:hint="eastAsia" w:ascii="宋体" w:hAnsi="宋体" w:cs="宋体"/>
          <w:b/>
          <w:bCs/>
          <w:color w:val="auto"/>
          <w:sz w:val="22"/>
          <w:highlight w:val="none"/>
        </w:rPr>
        <w:t>1.10 投标预备会</w:t>
      </w:r>
    </w:p>
    <w:p w14:paraId="35559509">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1.10.1投标人须知前附表规定召开投标预备会的，招标人按投标人须知前附表规定的时间和地点召开投标预备会，澄清投标人提出的问题。</w:t>
      </w:r>
    </w:p>
    <w:p w14:paraId="07AC1B20">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1.10.2投标人应按投标人须知前附表规定的时间和形式将提出的问题送达招标人，以便招标人在会议期间澄清。</w:t>
      </w:r>
    </w:p>
    <w:p w14:paraId="3C07A65E">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1.10.3投标预备会后，招标人将对投标人所提问题的澄清，以投标人须知前附表规定的形式通知所有潜在投标人。该澄清内容为招标文件的组成部分。</w:t>
      </w:r>
      <w:bookmarkStart w:id="56" w:name="bookmark31"/>
      <w:bookmarkEnd w:id="56"/>
    </w:p>
    <w:p w14:paraId="26A9E9DA">
      <w:pPr>
        <w:kinsoku w:val="0"/>
        <w:overflowPunct w:val="0"/>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1.11 分包</w:t>
      </w:r>
    </w:p>
    <w:p w14:paraId="05EC20A7">
      <w:pPr>
        <w:pStyle w:val="7"/>
        <w:kinsoku w:val="0"/>
        <w:overflowPunct w:val="0"/>
        <w:spacing w:after="0"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项目除主要检测监测内容外，其他检测监测内容，中标人不具备资质的，经招标人同意后可依法分包给具备相关资质的检测、监测单位，分包的检测、监测工作不得再次分包，分包项目的检测、监测质量和工期及成果由中标人负责，确保不影响项目验收。此部分工作产生的费用由中标人自行承担，已含于投标报价中。</w:t>
      </w:r>
    </w:p>
    <w:p w14:paraId="0B56F5DE">
      <w:pPr>
        <w:kinsoku w:val="0"/>
        <w:overflowPunct w:val="0"/>
        <w:spacing w:before="120" w:beforeLines="0" w:after="120" w:afterLines="0" w:line="360" w:lineRule="auto"/>
        <w:outlineLvl w:val="2"/>
        <w:rPr>
          <w:rFonts w:hint="eastAsia" w:ascii="宋体" w:hAnsi="宋体" w:cs="宋体"/>
          <w:b/>
          <w:bCs/>
          <w:color w:val="auto"/>
          <w:sz w:val="22"/>
          <w:highlight w:val="none"/>
        </w:rPr>
      </w:pPr>
      <w:bookmarkStart w:id="57" w:name="bookmark32"/>
      <w:bookmarkEnd w:id="57"/>
      <w:r>
        <w:rPr>
          <w:rFonts w:hint="eastAsia" w:ascii="宋体" w:hAnsi="宋体" w:cs="宋体"/>
          <w:b/>
          <w:bCs/>
          <w:color w:val="auto"/>
          <w:sz w:val="22"/>
          <w:highlight w:val="none"/>
        </w:rPr>
        <w:t>1.12 响应和偏差</w:t>
      </w:r>
    </w:p>
    <w:p w14:paraId="0F9C75E3">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1.12.1投标文件应当对招标文件的实质性要求和条件作出满足性或更有利于招标人的响应，否则，投标人的投标将被否决。实质性要求和条件见投标人须知前附表。</w:t>
      </w:r>
    </w:p>
    <w:p w14:paraId="0AB04F72">
      <w:pPr>
        <w:kinsoku w:val="0"/>
        <w:overflowPunct w:val="0"/>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1.12.2投标人应根据招标文件的要求提供技术方案等内容以对招标文件作出响应。</w:t>
      </w:r>
    </w:p>
    <w:p w14:paraId="1D49AE24">
      <w:pPr>
        <w:kinsoku w:val="0"/>
        <w:overflowPunct w:val="0"/>
        <w:spacing w:line="360" w:lineRule="auto"/>
        <w:ind w:firstLine="444" w:firstLineChars="202"/>
        <w:jc w:val="left"/>
        <w:rPr>
          <w:rFonts w:hint="eastAsia" w:ascii="宋体" w:hAnsi="宋体" w:cs="宋体"/>
          <w:color w:val="auto"/>
          <w:sz w:val="28"/>
          <w:szCs w:val="28"/>
          <w:highlight w:val="none"/>
        </w:rPr>
      </w:pPr>
      <w:r>
        <w:rPr>
          <w:rFonts w:hint="eastAsia" w:ascii="宋体" w:hAnsi="宋体" w:cs="宋体"/>
          <w:color w:val="auto"/>
          <w:sz w:val="22"/>
          <w:highlight w:val="none"/>
        </w:rPr>
        <w:t>1.12.3投标人须知前附表允许投标文件偏离招标文件某些要求，偏差应当符合招标文件规定的偏差范围和幅度。</w:t>
      </w:r>
      <w:bookmarkStart w:id="58" w:name="_Toc3119"/>
      <w:bookmarkStart w:id="59" w:name="_Toc532367874"/>
      <w:bookmarkStart w:id="60" w:name="_Toc8885"/>
      <w:bookmarkStart w:id="61" w:name="_Toc4330"/>
      <w:bookmarkStart w:id="62" w:name="_Toc22910"/>
      <w:bookmarkStart w:id="63" w:name="_Toc377719901"/>
      <w:bookmarkStart w:id="64" w:name="_Toc8160"/>
      <w:bookmarkStart w:id="65" w:name="_Toc31365"/>
    </w:p>
    <w:p w14:paraId="219D3C02">
      <w:pPr>
        <w:keepNext/>
        <w:keepLines/>
        <w:spacing w:before="240" w:beforeLines="0" w:after="240" w:afterLines="0" w:line="413" w:lineRule="auto"/>
        <w:outlineLvl w:val="1"/>
        <w:rPr>
          <w:rFonts w:hint="eastAsia" w:ascii="宋体" w:hAnsi="宋体" w:cs="宋体"/>
          <w:b/>
          <w:bCs/>
          <w:color w:val="auto"/>
          <w:sz w:val="40"/>
          <w:szCs w:val="32"/>
          <w:highlight w:val="none"/>
        </w:rPr>
      </w:pPr>
      <w:bookmarkStart w:id="66" w:name="_Toc16602"/>
      <w:bookmarkStart w:id="67" w:name="_Toc31503"/>
      <w:bookmarkStart w:id="68" w:name="_Toc24924"/>
      <w:bookmarkStart w:id="69" w:name="_Toc32443"/>
      <w:bookmarkStart w:id="70" w:name="_Toc5598"/>
      <w:r>
        <w:rPr>
          <w:rFonts w:hint="eastAsia" w:ascii="宋体" w:hAnsi="宋体" w:cs="宋体"/>
          <w:b/>
          <w:bCs/>
          <w:color w:val="auto"/>
          <w:sz w:val="40"/>
          <w:szCs w:val="32"/>
          <w:highlight w:val="none"/>
        </w:rPr>
        <w:t>2.招标文件</w:t>
      </w:r>
      <w:bookmarkEnd w:id="58"/>
      <w:bookmarkEnd w:id="59"/>
      <w:bookmarkEnd w:id="60"/>
      <w:bookmarkEnd w:id="61"/>
      <w:bookmarkEnd w:id="62"/>
      <w:bookmarkEnd w:id="63"/>
      <w:bookmarkEnd w:id="64"/>
      <w:bookmarkEnd w:id="65"/>
      <w:bookmarkEnd w:id="66"/>
      <w:bookmarkEnd w:id="67"/>
      <w:bookmarkEnd w:id="68"/>
      <w:bookmarkEnd w:id="69"/>
      <w:bookmarkEnd w:id="70"/>
    </w:p>
    <w:p w14:paraId="3B7AEA39">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2.1  招标文件的组成</w:t>
      </w:r>
    </w:p>
    <w:p w14:paraId="22A64E6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本招标文件包括：</w:t>
      </w:r>
    </w:p>
    <w:p w14:paraId="0462C001">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（1）招标公告；</w:t>
      </w:r>
    </w:p>
    <w:p w14:paraId="4066C67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（2）投标人须知；</w:t>
      </w:r>
    </w:p>
    <w:p w14:paraId="62C09256">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（3）评标办法；</w:t>
      </w:r>
    </w:p>
    <w:p w14:paraId="1B186E7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（4）合同条款及格式；</w:t>
      </w:r>
    </w:p>
    <w:p w14:paraId="5268EAE2">
      <w:pPr>
        <w:spacing w:line="360" w:lineRule="auto"/>
        <w:ind w:firstLine="444" w:firstLineChars="202"/>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（5）技术条件</w:t>
      </w:r>
      <w:r>
        <w:rPr>
          <w:rFonts w:hint="eastAsia" w:ascii="宋体" w:hAnsi="宋体" w:cs="宋体"/>
          <w:color w:val="auto"/>
          <w:sz w:val="22"/>
          <w:highlight w:val="none"/>
          <w:lang w:eastAsia="zh-CN"/>
        </w:rPr>
        <w:t>；</w:t>
      </w:r>
    </w:p>
    <w:p w14:paraId="4359D1C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）投标文件格式；</w:t>
      </w:r>
    </w:p>
    <w:p w14:paraId="622368DE">
      <w:pPr>
        <w:spacing w:line="360" w:lineRule="auto"/>
        <w:ind w:firstLine="444" w:firstLineChars="202"/>
        <w:jc w:val="left"/>
        <w:rPr>
          <w:rFonts w:hint="eastAsia" w:ascii="宋体" w:hAnsi="宋体" w:eastAsia="宋体" w:cs="宋体"/>
          <w:color w:val="auto"/>
          <w:sz w:val="22"/>
          <w:highlight w:val="none"/>
          <w:u w:val="single"/>
          <w:lang w:eastAsia="zh-CN"/>
        </w:rPr>
      </w:pP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7</w:t>
      </w:r>
      <w:r>
        <w:rPr>
          <w:rFonts w:hint="eastAsia" w:ascii="宋体" w:hAnsi="宋体" w:eastAsia="宋体" w:cs="宋体"/>
          <w:color w:val="auto"/>
          <w:sz w:val="22"/>
          <w:highlight w:val="none"/>
          <w:u w:val="single"/>
          <w:lang w:eastAsia="zh-CN"/>
        </w:rPr>
        <w:t>）委托人要求；</w:t>
      </w:r>
    </w:p>
    <w:p w14:paraId="7333F0EA">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8</w:t>
      </w:r>
      <w:r>
        <w:rPr>
          <w:rFonts w:hint="eastAsia" w:ascii="宋体" w:hAnsi="宋体" w:cs="宋体"/>
          <w:color w:val="auto"/>
          <w:sz w:val="22"/>
          <w:highlight w:val="none"/>
          <w:u w:val="single"/>
        </w:rPr>
        <w:t>）</w:t>
      </w:r>
      <w:r>
        <w:rPr>
          <w:rFonts w:hint="eastAsia" w:ascii="宋体" w:hAnsi="宋体" w:cs="宋体"/>
          <w:color w:val="auto"/>
          <w:sz w:val="22"/>
          <w:highlight w:val="none"/>
        </w:rPr>
        <w:t>投标人须知前附表规定的其他资料。</w:t>
      </w:r>
    </w:p>
    <w:p w14:paraId="662A644E">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根据本章第1.10款、第2.2款和第2.3款对招标文件所作的澄清、修改，构成招标文件的组成部分。</w:t>
      </w:r>
    </w:p>
    <w:p w14:paraId="3E021B70">
      <w:pPr>
        <w:keepNext/>
        <w:keepLines/>
        <w:spacing w:before="120" w:beforeLines="0" w:after="120" w:afterLines="0" w:line="360" w:lineRule="auto"/>
        <w:outlineLvl w:val="2"/>
        <w:rPr>
          <w:rFonts w:hint="eastAsia" w:ascii="宋体" w:hAnsi="宋体" w:eastAsia="宋体" w:cs="宋体"/>
          <w:b/>
          <w:bCs/>
          <w:color w:val="auto"/>
          <w:sz w:val="22"/>
          <w:highlight w:val="none"/>
          <w:lang w:eastAsia="zh-CN"/>
        </w:rPr>
      </w:pPr>
      <w:bookmarkStart w:id="71" w:name="_Toc377719902"/>
      <w:r>
        <w:rPr>
          <w:rFonts w:hint="eastAsia" w:ascii="宋体" w:hAnsi="宋体" w:cs="宋体"/>
          <w:b/>
          <w:bCs/>
          <w:color w:val="auto"/>
          <w:sz w:val="22"/>
          <w:highlight w:val="none"/>
        </w:rPr>
        <w:t>2.2.招标文件的澄清</w:t>
      </w:r>
    </w:p>
    <w:p w14:paraId="05DFCA3B">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D272ABA">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15DD6CE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2.2.3 投标人在收到澄清后，应按投标人须知前附表规定的时间和形式通知招标人，确认已收到该澄清。</w:t>
      </w:r>
    </w:p>
    <w:p w14:paraId="48B2B73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2.2.4除非招标人认为确有必要答复，否则，招标人有权拒绝回复投标人在本章第2.2.1项规定的时间后的任何澄清要求。</w:t>
      </w:r>
    </w:p>
    <w:p w14:paraId="37A834A7">
      <w:pPr>
        <w:kinsoku w:val="0"/>
        <w:overflowPunct w:val="0"/>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2.3 招标文件的修改</w:t>
      </w:r>
    </w:p>
    <w:p w14:paraId="604915D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14:paraId="3E069B35">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2.3.2投标人收到修改内容后，应按投标人须知前附表规定的时间和形式通知招标人，确认已收到该修改。</w:t>
      </w:r>
    </w:p>
    <w:p w14:paraId="1E70869C">
      <w:pPr>
        <w:kinsoku w:val="0"/>
        <w:overflowPunct w:val="0"/>
        <w:spacing w:before="120" w:beforeLines="0" w:after="120" w:afterLines="0" w:line="360" w:lineRule="auto"/>
        <w:outlineLvl w:val="2"/>
        <w:rPr>
          <w:rFonts w:hint="eastAsia" w:ascii="宋体" w:hAnsi="宋体" w:cs="宋体"/>
          <w:b/>
          <w:bCs/>
          <w:color w:val="auto"/>
          <w:sz w:val="22"/>
          <w:highlight w:val="none"/>
        </w:rPr>
      </w:pPr>
      <w:bookmarkStart w:id="72" w:name="bookmark37"/>
      <w:bookmarkEnd w:id="72"/>
      <w:r>
        <w:rPr>
          <w:rFonts w:hint="eastAsia" w:ascii="宋体" w:hAnsi="宋体" w:cs="宋体"/>
          <w:b/>
          <w:bCs/>
          <w:color w:val="auto"/>
          <w:sz w:val="22"/>
          <w:highlight w:val="none"/>
        </w:rPr>
        <w:t>2.4 招标文件的异议</w:t>
      </w:r>
    </w:p>
    <w:p w14:paraId="59ACE5BC">
      <w:pPr>
        <w:spacing w:line="360" w:lineRule="auto"/>
        <w:ind w:firstLine="444" w:firstLineChars="202"/>
        <w:jc w:val="left"/>
        <w:rPr>
          <w:rFonts w:hint="eastAsia" w:ascii="宋体" w:hAnsi="宋体" w:cs="宋体"/>
          <w:color w:val="auto"/>
          <w:sz w:val="28"/>
          <w:szCs w:val="28"/>
          <w:highlight w:val="none"/>
        </w:rPr>
      </w:pPr>
      <w:r>
        <w:rPr>
          <w:rFonts w:hint="eastAsia" w:ascii="宋体" w:hAnsi="宋体" w:cs="宋体"/>
          <w:color w:val="auto"/>
          <w:sz w:val="22"/>
          <w:highlight w:val="none"/>
        </w:rPr>
        <w:t>投标人或者其他利害关系人对招标文件有异议的，应当在投标截止时间10日前以书面形式提出。招标人将在收到异议之日起3日内作出答复；作出答复前，将暂停招标投标活动。</w:t>
      </w:r>
    </w:p>
    <w:p w14:paraId="45B02A9A">
      <w:pPr>
        <w:keepNext/>
        <w:keepLines/>
        <w:spacing w:before="240" w:beforeLines="0" w:after="240" w:afterLines="0" w:line="413" w:lineRule="auto"/>
        <w:jc w:val="left"/>
        <w:outlineLvl w:val="1"/>
        <w:rPr>
          <w:rFonts w:hint="eastAsia" w:ascii="宋体" w:hAnsi="宋体" w:cs="宋体"/>
          <w:b/>
          <w:bCs/>
          <w:color w:val="auto"/>
          <w:sz w:val="40"/>
          <w:szCs w:val="32"/>
          <w:highlight w:val="none"/>
        </w:rPr>
      </w:pPr>
      <w:bookmarkStart w:id="73" w:name="_Toc17401"/>
      <w:bookmarkStart w:id="74" w:name="_Toc30380"/>
      <w:bookmarkStart w:id="75" w:name="_Toc15723"/>
      <w:bookmarkStart w:id="76" w:name="_Toc3526"/>
      <w:bookmarkStart w:id="77" w:name="_Toc6920"/>
      <w:bookmarkStart w:id="78" w:name="_Toc23329"/>
      <w:bookmarkStart w:id="79" w:name="_Toc1157"/>
      <w:bookmarkStart w:id="80" w:name="_Toc25005"/>
      <w:bookmarkStart w:id="81" w:name="_Toc14848"/>
      <w:bookmarkStart w:id="82" w:name="_Toc532367875"/>
      <w:bookmarkStart w:id="83" w:name="_Toc29001"/>
      <w:bookmarkStart w:id="84" w:name="_Toc25907"/>
      <w:r>
        <w:rPr>
          <w:rFonts w:hint="eastAsia" w:ascii="宋体" w:hAnsi="宋体" w:cs="宋体"/>
          <w:b/>
          <w:bCs/>
          <w:color w:val="auto"/>
          <w:sz w:val="40"/>
          <w:szCs w:val="32"/>
          <w:highlight w:val="none"/>
        </w:rPr>
        <w:t>3.投标文件</w:t>
      </w:r>
      <w:bookmarkEnd w:id="71"/>
      <w:bookmarkEnd w:id="73"/>
      <w:bookmarkEnd w:id="74"/>
      <w:bookmarkEnd w:id="75"/>
      <w:bookmarkEnd w:id="76"/>
      <w:bookmarkEnd w:id="77"/>
      <w:bookmarkEnd w:id="78"/>
      <w:bookmarkEnd w:id="79"/>
      <w:bookmarkEnd w:id="80"/>
      <w:bookmarkEnd w:id="81"/>
      <w:bookmarkEnd w:id="82"/>
      <w:bookmarkEnd w:id="83"/>
      <w:bookmarkEnd w:id="84"/>
    </w:p>
    <w:p w14:paraId="607AD034">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3.1  组成投标文件的文件</w:t>
      </w:r>
    </w:p>
    <w:p w14:paraId="66D6D2D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3.1.1投标文件应包括下列内容：</w:t>
      </w:r>
    </w:p>
    <w:p w14:paraId="4C44DFF2">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（1）投标函及</w:t>
      </w:r>
      <w:r>
        <w:rPr>
          <w:rFonts w:hint="eastAsia" w:ascii="宋体" w:hAnsi="宋体" w:cs="宋体"/>
          <w:color w:val="auto"/>
          <w:sz w:val="22"/>
          <w:highlight w:val="none"/>
          <w:lang w:val="en-US" w:eastAsia="zh-CN"/>
        </w:rPr>
        <w:t>其</w:t>
      </w:r>
      <w:r>
        <w:rPr>
          <w:rFonts w:hint="eastAsia" w:ascii="宋体" w:hAnsi="宋体" w:cs="宋体"/>
          <w:color w:val="auto"/>
          <w:sz w:val="22"/>
          <w:highlight w:val="none"/>
        </w:rPr>
        <w:t>附录；</w:t>
      </w:r>
    </w:p>
    <w:p w14:paraId="4FAA949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（2）法定代表人身份证明</w:t>
      </w:r>
      <w:r>
        <w:rPr>
          <w:rFonts w:hint="eastAsia" w:ascii="宋体" w:hAnsi="宋体" w:cs="宋体"/>
          <w:color w:val="auto"/>
          <w:sz w:val="22"/>
          <w:highlight w:val="none"/>
          <w:lang w:val="en-US" w:eastAsia="zh-CN"/>
        </w:rPr>
        <w:t>书</w:t>
      </w:r>
      <w:r>
        <w:rPr>
          <w:rFonts w:hint="eastAsia" w:ascii="宋体" w:hAnsi="宋体" w:cs="宋体"/>
          <w:color w:val="auto"/>
          <w:sz w:val="22"/>
          <w:highlight w:val="none"/>
        </w:rPr>
        <w:t>或授权委托书；</w:t>
      </w:r>
    </w:p>
    <w:p w14:paraId="1898B17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（3）资格审查资料；</w:t>
      </w:r>
    </w:p>
    <w:p w14:paraId="0728D31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（4）联合体协议书（如有）</w:t>
      </w:r>
      <w:r>
        <w:rPr>
          <w:rFonts w:hint="eastAsia" w:ascii="宋体" w:hAnsi="宋体" w:cs="宋体"/>
          <w:color w:val="auto"/>
          <w:sz w:val="22"/>
          <w:highlight w:val="none"/>
        </w:rPr>
        <w:tab/>
      </w:r>
      <w:r>
        <w:rPr>
          <w:rFonts w:hint="eastAsia" w:ascii="宋体" w:hAnsi="宋体" w:cs="宋体"/>
          <w:color w:val="auto"/>
          <w:sz w:val="22"/>
          <w:highlight w:val="none"/>
        </w:rPr>
        <w:t>；</w:t>
      </w:r>
    </w:p>
    <w:p w14:paraId="27056072">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（5）投标保证金（如有）</w:t>
      </w:r>
      <w:r>
        <w:rPr>
          <w:rFonts w:hint="eastAsia" w:ascii="宋体" w:hAnsi="宋体" w:cs="宋体"/>
          <w:color w:val="auto"/>
          <w:sz w:val="22"/>
          <w:highlight w:val="none"/>
        </w:rPr>
        <w:tab/>
      </w:r>
      <w:r>
        <w:rPr>
          <w:rFonts w:hint="eastAsia" w:ascii="宋体" w:hAnsi="宋体" w:cs="宋体"/>
          <w:color w:val="auto"/>
          <w:sz w:val="22"/>
          <w:highlight w:val="none"/>
        </w:rPr>
        <w:t>；</w:t>
      </w:r>
    </w:p>
    <w:p w14:paraId="233D818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（6）投标人声明；</w:t>
      </w:r>
    </w:p>
    <w:p w14:paraId="5C70A9D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（7）拟投入本项目的检</w:t>
      </w:r>
      <w:r>
        <w:rPr>
          <w:rFonts w:hint="eastAsia" w:ascii="宋体" w:hAnsi="宋体" w:cs="宋体"/>
          <w:color w:val="auto"/>
          <w:sz w:val="22"/>
          <w:highlight w:val="none"/>
          <w:lang w:val="en-US" w:eastAsia="zh-CN"/>
        </w:rPr>
        <w:t>验</w:t>
      </w:r>
      <w:r>
        <w:rPr>
          <w:rFonts w:hint="eastAsia" w:ascii="宋体" w:hAnsi="宋体" w:cs="宋体"/>
          <w:color w:val="auto"/>
          <w:sz w:val="22"/>
          <w:highlight w:val="none"/>
        </w:rPr>
        <w:t>监测人员一览表；</w:t>
      </w:r>
    </w:p>
    <w:p w14:paraId="1AFB7A85">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（8）拟投入本项目的检</w:t>
      </w:r>
      <w:r>
        <w:rPr>
          <w:rFonts w:hint="eastAsia" w:ascii="宋体" w:hAnsi="宋体" w:cs="宋体"/>
          <w:color w:val="auto"/>
          <w:sz w:val="22"/>
          <w:highlight w:val="none"/>
          <w:lang w:val="en-US" w:eastAsia="zh-CN"/>
        </w:rPr>
        <w:t>验</w:t>
      </w:r>
      <w:r>
        <w:rPr>
          <w:rFonts w:hint="eastAsia" w:ascii="宋体" w:hAnsi="宋体" w:cs="宋体"/>
          <w:color w:val="auto"/>
          <w:sz w:val="22"/>
          <w:highlight w:val="none"/>
        </w:rPr>
        <w:t>监测人员简历表；</w:t>
      </w:r>
    </w:p>
    <w:p w14:paraId="67798B3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（9）拟投入本项目的主要检</w:t>
      </w:r>
      <w:r>
        <w:rPr>
          <w:rFonts w:hint="eastAsia" w:ascii="宋体" w:hAnsi="宋体" w:cs="宋体"/>
          <w:color w:val="auto"/>
          <w:sz w:val="22"/>
          <w:highlight w:val="none"/>
          <w:lang w:val="en-US" w:eastAsia="zh-CN"/>
        </w:rPr>
        <w:t>验</w:t>
      </w:r>
      <w:r>
        <w:rPr>
          <w:rFonts w:hint="eastAsia" w:ascii="宋体" w:hAnsi="宋体" w:cs="宋体"/>
          <w:color w:val="auto"/>
          <w:sz w:val="22"/>
          <w:highlight w:val="none"/>
        </w:rPr>
        <w:t>监测仪器设备一览表；</w:t>
      </w:r>
    </w:p>
    <w:p w14:paraId="4FDE444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0</w:t>
      </w:r>
      <w:r>
        <w:rPr>
          <w:rFonts w:hint="eastAsia" w:ascii="宋体" w:hAnsi="宋体" w:cs="宋体"/>
          <w:color w:val="auto"/>
          <w:sz w:val="22"/>
          <w:highlight w:val="none"/>
        </w:rPr>
        <w:t>）</w:t>
      </w:r>
      <w:r>
        <w:rPr>
          <w:rFonts w:hint="eastAsia" w:ascii="宋体" w:hAnsi="宋体" w:cs="宋体"/>
          <w:color w:val="auto"/>
          <w:sz w:val="22"/>
          <w:highlight w:val="none"/>
          <w:lang w:eastAsia="zh-CN"/>
        </w:rPr>
        <w:t>检测监测方案</w:t>
      </w:r>
      <w:r>
        <w:rPr>
          <w:rFonts w:hint="eastAsia" w:ascii="宋体" w:hAnsi="宋体" w:cs="宋体"/>
          <w:color w:val="auto"/>
          <w:sz w:val="22"/>
          <w:highlight w:val="none"/>
        </w:rPr>
        <w:t>；</w:t>
      </w:r>
    </w:p>
    <w:p w14:paraId="7A4815A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）廉洁承诺书；</w:t>
      </w:r>
    </w:p>
    <w:p w14:paraId="5888C22E">
      <w:pPr>
        <w:spacing w:line="360" w:lineRule="auto"/>
        <w:ind w:firstLine="420"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u w:val="single"/>
        </w:rPr>
        <w:t xml:space="preserve"> 其他证明企业资信实力、获奖证明资料等扫描件</w:t>
      </w:r>
      <w:r>
        <w:rPr>
          <w:rFonts w:hint="eastAsia" w:ascii="宋体" w:hAnsi="宋体" w:eastAsia="宋体" w:cs="宋体"/>
          <w:color w:val="auto"/>
          <w:highlight w:val="none"/>
          <w:u w:val="single"/>
          <w:lang w:eastAsia="zh-CN"/>
        </w:rPr>
        <w:t>；</w:t>
      </w:r>
    </w:p>
    <w:p w14:paraId="4C38DE71">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）其他资料。</w:t>
      </w:r>
    </w:p>
    <w:p w14:paraId="08BD88A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投标人须知前附表规定的其他资料，投标人认为有必要提交的其他资料。投标人在评标过程中作出的符合法律法规和招标文件规定的澄清确认，构成投标文件的组成部分。</w:t>
      </w:r>
    </w:p>
    <w:p w14:paraId="34EADF4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3.1.2投标人须知前附表规定不接受联合体投标的，或投标人没有组成联合体的，投标文件不包括本章第3.1.1（</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）所指的联合体协议书。</w:t>
      </w:r>
    </w:p>
    <w:p w14:paraId="6D065DC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3.1.3投标人须知前附表未要求提交投标保证金的，投标文件不包括本章第3.1.1（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）所指的投标保证金。</w:t>
      </w:r>
    </w:p>
    <w:p w14:paraId="20B40DF3">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3.2  投标价格</w:t>
      </w:r>
    </w:p>
    <w:p w14:paraId="5D81DF00">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3.2.1投标报价应包括国家规定的增值税税金，除投标人须知前附表另有规定外，增值税税金按一般计税方法计算。投标人应按第六章“投标文件格式”的要求在投标函中进行报价并填写报价书。</w:t>
      </w:r>
    </w:p>
    <w:p w14:paraId="7831A03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3.2.2投标人应充分了解该项目的总体情况以及影响投标报价的其他要素。</w:t>
      </w:r>
    </w:p>
    <w:p w14:paraId="65E78AE0">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3.2.3本项目的报价方式见投标人须知前附表。投标人在投标截止时间前修改投标函中的投标报价总额，应同时修改投标文件“报价书”中的相应报价。此修改须符合本章第4.3款的有关要求。</w:t>
      </w:r>
    </w:p>
    <w:p w14:paraId="7163C52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3.2.4招标人设有最高投标限价的，投标人的投标报价不得超过最高投标限价，最高投标限价在投标人须知前附表中载明。</w:t>
      </w:r>
    </w:p>
    <w:p w14:paraId="7DA08E61">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3.2.5投标报价的其他要求见投标人须知前附表。</w:t>
      </w:r>
    </w:p>
    <w:p w14:paraId="73DBAE01">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3.3 投标有效期</w:t>
      </w:r>
    </w:p>
    <w:p w14:paraId="1015434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3.3.1除投标人须知前附表另有规定外，投标有效期为</w:t>
      </w:r>
      <w:r>
        <w:rPr>
          <w:rFonts w:hint="eastAsia" w:ascii="宋体" w:hAnsi="宋体" w:cs="宋体"/>
          <w:color w:val="auto"/>
          <w:sz w:val="22"/>
          <w:highlight w:val="none"/>
          <w:lang w:val="en-US" w:eastAsia="zh-CN"/>
        </w:rPr>
        <w:t>90</w:t>
      </w:r>
      <w:r>
        <w:rPr>
          <w:rFonts w:hint="eastAsia" w:ascii="宋体" w:hAnsi="宋体" w:cs="宋体"/>
          <w:color w:val="auto"/>
          <w:sz w:val="22"/>
          <w:highlight w:val="none"/>
        </w:rPr>
        <w:t>天。</w:t>
      </w:r>
    </w:p>
    <w:p w14:paraId="0501A7E1">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3.3.2在投标有效期内，投标人撤销投标文件的，应承担招标文件和法律规定的责任。</w:t>
      </w:r>
    </w:p>
    <w:p w14:paraId="1D4E98D7">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3.3.3出现特殊情况需要延长投标有效期的，招标人以书面形式通知所有投标人延长投标有效期。投标人应予以书面答复，同意延长的，</w:t>
      </w:r>
      <w:r>
        <w:rPr>
          <w:rFonts w:hint="eastAsia" w:ascii="宋体" w:hAnsi="宋体" w:cs="宋体"/>
          <w:strike/>
          <w:color w:val="auto"/>
          <w:sz w:val="22"/>
          <w:highlight w:val="none"/>
        </w:rPr>
        <w:t>应相应延长其投标保证金的有效期</w:t>
      </w:r>
      <w:r>
        <w:rPr>
          <w:rFonts w:hint="eastAsia" w:ascii="宋体" w:hAnsi="宋体" w:cs="宋体"/>
          <w:color w:val="auto"/>
          <w:sz w:val="22"/>
          <w:highlight w:val="none"/>
        </w:rPr>
        <w:t>，但不得要求或被允许修改其投标文件；投标人拒绝延长的，其投标失效，</w:t>
      </w:r>
      <w:r>
        <w:rPr>
          <w:rFonts w:hint="eastAsia" w:ascii="宋体" w:hAnsi="宋体" w:cs="宋体"/>
          <w:strike/>
          <w:color w:val="auto"/>
          <w:sz w:val="22"/>
          <w:highlight w:val="none"/>
        </w:rPr>
        <w:t>但投标人有权收回其投标保证金及以现金或者支票形式递交的投标保证金的银行同期存款利息</w:t>
      </w:r>
      <w:r>
        <w:rPr>
          <w:rFonts w:hint="eastAsia" w:ascii="宋体" w:hAnsi="宋体" w:cs="宋体"/>
          <w:color w:val="auto"/>
          <w:sz w:val="22"/>
          <w:highlight w:val="none"/>
        </w:rPr>
        <w:t>。</w:t>
      </w:r>
    </w:p>
    <w:p w14:paraId="18BBDB1E">
      <w:pPr>
        <w:keepNext w:val="0"/>
        <w:keepLines w:val="0"/>
        <w:spacing w:before="0" w:beforeLines="0" w:after="0" w:afterLines="0" w:line="360" w:lineRule="auto"/>
        <w:ind w:firstLine="446" w:firstLineChars="202"/>
        <w:jc w:val="left"/>
        <w:outlineLvl w:val="9"/>
        <w:rPr>
          <w:rFonts w:hint="eastAsia" w:ascii="宋体" w:hAnsi="宋体" w:cs="宋体"/>
          <w:b/>
          <w:bCs/>
          <w:color w:val="auto"/>
          <w:sz w:val="22"/>
          <w:highlight w:val="none"/>
        </w:rPr>
      </w:pPr>
    </w:p>
    <w:p w14:paraId="712E85B3">
      <w:pPr>
        <w:keepNext w:val="0"/>
        <w:keepLines w:val="0"/>
        <w:spacing w:before="0" w:beforeLines="0" w:after="0" w:afterLines="0" w:line="360" w:lineRule="auto"/>
        <w:ind w:firstLine="446" w:firstLineChars="202"/>
        <w:jc w:val="left"/>
        <w:outlineLvl w:val="9"/>
        <w:rPr>
          <w:rFonts w:hint="eastAsia" w:ascii="宋体" w:hAnsi="宋体" w:cs="宋体"/>
          <w:b/>
          <w:bCs/>
          <w:color w:val="auto"/>
          <w:sz w:val="22"/>
          <w:highlight w:val="none"/>
        </w:rPr>
      </w:pPr>
      <w:r>
        <w:rPr>
          <w:rFonts w:hint="eastAsia" w:ascii="宋体" w:hAnsi="宋体" w:cs="宋体"/>
          <w:b/>
          <w:bCs/>
          <w:color w:val="auto"/>
          <w:sz w:val="22"/>
          <w:highlight w:val="none"/>
        </w:rPr>
        <w:t>3.4  投标保证金</w:t>
      </w:r>
    </w:p>
    <w:p w14:paraId="6C255DED">
      <w:pPr>
        <w:keepNext w:val="0"/>
        <w:keepLines w:val="0"/>
        <w:spacing w:before="0" w:beforeLines="0" w:after="0" w:afterLines="0" w:line="360" w:lineRule="auto"/>
        <w:ind w:firstLine="444" w:firstLineChars="202"/>
        <w:jc w:val="left"/>
        <w:outlineLvl w:val="9"/>
        <w:rPr>
          <w:rFonts w:hint="eastAsia" w:ascii="宋体" w:hAnsi="宋体" w:cs="宋体"/>
          <w:color w:val="auto"/>
          <w:sz w:val="22"/>
          <w:highlight w:val="none"/>
        </w:rPr>
      </w:pPr>
      <w:r>
        <w:rPr>
          <w:rFonts w:hint="eastAsia" w:ascii="宋体" w:hAnsi="宋体" w:cs="宋体"/>
          <w:color w:val="auto"/>
          <w:sz w:val="22"/>
          <w:highlight w:val="none"/>
        </w:rPr>
        <w:t>3.4.1本项目免收投标保证金，投标人提供《关于投标保证金的承诺》（详见投标文件格式）。</w:t>
      </w:r>
    </w:p>
    <w:p w14:paraId="28BAE155">
      <w:pPr>
        <w:keepNext w:val="0"/>
        <w:keepLines w:val="0"/>
        <w:spacing w:before="0" w:beforeLines="0" w:after="0" w:afterLines="0" w:line="360" w:lineRule="auto"/>
        <w:ind w:firstLine="444" w:firstLineChars="202"/>
        <w:jc w:val="left"/>
        <w:outlineLvl w:val="9"/>
        <w:rPr>
          <w:rFonts w:hint="eastAsia" w:ascii="宋体" w:hAnsi="宋体" w:cs="宋体"/>
          <w:color w:val="auto"/>
          <w:sz w:val="22"/>
          <w:highlight w:val="none"/>
        </w:rPr>
      </w:pPr>
      <w:r>
        <w:rPr>
          <w:rFonts w:hint="eastAsia" w:ascii="宋体" w:hAnsi="宋体" w:cs="宋体"/>
          <w:color w:val="auto"/>
          <w:sz w:val="22"/>
          <w:highlight w:val="none"/>
        </w:rPr>
        <w:t>3.4.2对于投标人已提供《关于投标保证金的承诺》，若投标人存在3.4.4条款所列情形，该投标人应在发现存在3.4.4条款所列情形之日起5个工作日内按投标人须知前附表第3.4.1项所述金额补交投标保证金。若未按要求补交投标保证金的将暂停其参与招标人后续工程投标，直至完成补交手续为止。</w:t>
      </w:r>
    </w:p>
    <w:p w14:paraId="18927F13">
      <w:pPr>
        <w:keepNext w:val="0"/>
        <w:keepLines w:val="0"/>
        <w:spacing w:before="0" w:beforeLines="0" w:after="0" w:afterLines="0" w:line="360" w:lineRule="auto"/>
        <w:ind w:firstLine="444" w:firstLineChars="202"/>
        <w:jc w:val="left"/>
        <w:outlineLvl w:val="9"/>
        <w:rPr>
          <w:rFonts w:hint="eastAsia" w:ascii="宋体" w:hAnsi="宋体" w:cs="宋体"/>
          <w:strike/>
          <w:color w:val="auto"/>
          <w:sz w:val="22"/>
          <w:highlight w:val="none"/>
        </w:rPr>
      </w:pPr>
      <w:r>
        <w:rPr>
          <w:rFonts w:hint="eastAsia" w:ascii="宋体" w:hAnsi="宋体" w:cs="宋体"/>
          <w:strike/>
          <w:color w:val="auto"/>
          <w:sz w:val="22"/>
          <w:highlight w:val="none"/>
        </w:rPr>
        <w:t>3.4.3 投标保证金应依据法律法规的相关规定退还。</w:t>
      </w:r>
    </w:p>
    <w:p w14:paraId="5C700E6B">
      <w:pPr>
        <w:keepNext w:val="0"/>
        <w:keepLines w:val="0"/>
        <w:spacing w:before="0" w:beforeLines="0" w:after="0" w:afterLines="0" w:line="360" w:lineRule="auto"/>
        <w:ind w:firstLine="444" w:firstLineChars="202"/>
        <w:jc w:val="left"/>
        <w:outlineLvl w:val="9"/>
        <w:rPr>
          <w:rFonts w:hint="eastAsia" w:ascii="宋体" w:hAnsi="宋体" w:cs="宋体"/>
          <w:color w:val="auto"/>
          <w:sz w:val="22"/>
          <w:highlight w:val="none"/>
        </w:rPr>
      </w:pPr>
      <w:r>
        <w:rPr>
          <w:rFonts w:hint="eastAsia" w:ascii="宋体" w:hAnsi="宋体" w:cs="宋体"/>
          <w:color w:val="auto"/>
          <w:sz w:val="22"/>
          <w:highlight w:val="none"/>
        </w:rPr>
        <w:t>3.4.4如有下列情况之一的，招标人可以不予退还投标保证金（是否退还投标保证金由招标人在招标文件中规定）：</w:t>
      </w:r>
    </w:p>
    <w:p w14:paraId="1FDE998B">
      <w:pPr>
        <w:keepNext w:val="0"/>
        <w:keepLines w:val="0"/>
        <w:spacing w:before="0" w:beforeLines="0" w:after="0" w:afterLines="0" w:line="360" w:lineRule="auto"/>
        <w:ind w:firstLine="444" w:firstLineChars="202"/>
        <w:jc w:val="left"/>
        <w:outlineLvl w:val="9"/>
        <w:rPr>
          <w:rFonts w:hint="eastAsia" w:ascii="宋体" w:hAnsi="宋体" w:cs="宋体"/>
          <w:color w:val="auto"/>
          <w:sz w:val="22"/>
          <w:highlight w:val="none"/>
        </w:rPr>
      </w:pPr>
      <w:r>
        <w:rPr>
          <w:rFonts w:hint="eastAsia" w:ascii="宋体" w:hAnsi="宋体" w:cs="宋体"/>
          <w:color w:val="auto"/>
          <w:sz w:val="22"/>
          <w:highlight w:val="none"/>
        </w:rPr>
        <w:t>3.4.4.1因投标人原因造成投标文件未解密的；</w:t>
      </w:r>
    </w:p>
    <w:p w14:paraId="3881A237">
      <w:pPr>
        <w:keepNext w:val="0"/>
        <w:keepLines w:val="0"/>
        <w:spacing w:before="0" w:beforeLines="0" w:after="0" w:afterLines="0" w:line="360" w:lineRule="auto"/>
        <w:ind w:firstLine="444" w:firstLineChars="202"/>
        <w:jc w:val="left"/>
        <w:outlineLvl w:val="9"/>
        <w:rPr>
          <w:rFonts w:hint="eastAsia" w:ascii="宋体" w:hAnsi="宋体" w:cs="宋体"/>
          <w:color w:val="auto"/>
          <w:sz w:val="22"/>
          <w:highlight w:val="none"/>
        </w:rPr>
      </w:pPr>
      <w:r>
        <w:rPr>
          <w:rFonts w:hint="eastAsia" w:ascii="宋体" w:hAnsi="宋体" w:cs="宋体"/>
          <w:color w:val="auto"/>
          <w:sz w:val="22"/>
          <w:highlight w:val="none"/>
        </w:rPr>
        <w:t>3.4.4.2投标人在投标有效期内撤销投标文件；</w:t>
      </w:r>
    </w:p>
    <w:p w14:paraId="776966AA">
      <w:pPr>
        <w:keepNext w:val="0"/>
        <w:keepLines w:val="0"/>
        <w:spacing w:before="0" w:beforeLines="0" w:after="0" w:afterLines="0" w:line="360" w:lineRule="auto"/>
        <w:ind w:firstLine="444" w:firstLineChars="202"/>
        <w:jc w:val="left"/>
        <w:outlineLvl w:val="9"/>
        <w:rPr>
          <w:rFonts w:hint="eastAsia" w:ascii="宋体" w:hAnsi="宋体" w:cs="宋体"/>
          <w:color w:val="auto"/>
          <w:sz w:val="22"/>
          <w:highlight w:val="none"/>
        </w:rPr>
      </w:pPr>
      <w:r>
        <w:rPr>
          <w:rFonts w:hint="eastAsia" w:ascii="宋体" w:hAnsi="宋体" w:cs="宋体"/>
          <w:color w:val="auto"/>
          <w:sz w:val="22"/>
          <w:highlight w:val="none"/>
        </w:rPr>
        <w:t>3.4.4.3中标人未能在规定期限内按要求提交履约担保；</w:t>
      </w:r>
    </w:p>
    <w:p w14:paraId="43FBF9B5">
      <w:pPr>
        <w:keepNext w:val="0"/>
        <w:keepLines w:val="0"/>
        <w:spacing w:before="0" w:beforeLines="0" w:after="0" w:afterLines="0" w:line="360" w:lineRule="auto"/>
        <w:ind w:firstLine="444" w:firstLineChars="202"/>
        <w:jc w:val="left"/>
        <w:outlineLvl w:val="9"/>
        <w:rPr>
          <w:rFonts w:hint="eastAsia" w:ascii="宋体" w:hAnsi="宋体" w:cs="宋体"/>
          <w:color w:val="auto"/>
          <w:sz w:val="22"/>
          <w:highlight w:val="none"/>
        </w:rPr>
      </w:pPr>
      <w:r>
        <w:rPr>
          <w:rFonts w:hint="eastAsia" w:ascii="宋体" w:hAnsi="宋体" w:cs="宋体"/>
          <w:color w:val="auto"/>
          <w:sz w:val="22"/>
          <w:highlight w:val="none"/>
        </w:rPr>
        <w:t>3.4.4.4中标人未能在规定期限内签署合同协议。</w:t>
      </w:r>
    </w:p>
    <w:p w14:paraId="24615236">
      <w:pPr>
        <w:keepNext/>
        <w:keepLines/>
        <w:spacing w:before="120" w:beforeLines="0" w:after="120" w:afterLines="0"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 xml:space="preserve">3.5  </w:t>
      </w:r>
      <w:bookmarkStart w:id="85" w:name="_Toc511383850"/>
      <w:r>
        <w:rPr>
          <w:rFonts w:hint="eastAsia" w:ascii="宋体" w:hAnsi="宋体" w:cs="宋体"/>
          <w:b/>
          <w:bCs/>
          <w:color w:val="auto"/>
          <w:sz w:val="22"/>
          <w:highlight w:val="none"/>
        </w:rPr>
        <w:t>资格审查资料（适用于未进行资格预审的）</w:t>
      </w:r>
      <w:bookmarkEnd w:id="85"/>
    </w:p>
    <w:p w14:paraId="63E1D68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除投标人须知前附表另有规定外，投标人应按下列规定提供资格审查资料，以证明其满足本章第1.4款规定的资质、信誉等要求。</w:t>
      </w:r>
    </w:p>
    <w:p w14:paraId="5EC41BFC">
      <w:pPr>
        <w:spacing w:line="360" w:lineRule="auto"/>
        <w:ind w:firstLine="444" w:firstLineChars="202"/>
        <w:jc w:val="left"/>
        <w:rPr>
          <w:rFonts w:hint="eastAsia" w:ascii="宋体" w:hAnsi="宋体" w:eastAsia="宋体" w:cs="宋体"/>
          <w:color w:val="auto"/>
          <w:sz w:val="22"/>
          <w:highlight w:val="none"/>
        </w:rPr>
      </w:pPr>
      <w:r>
        <w:rPr>
          <w:rFonts w:hint="eastAsia" w:ascii="宋体" w:hAnsi="宋体" w:cs="宋体"/>
          <w:color w:val="auto"/>
          <w:sz w:val="22"/>
          <w:highlight w:val="none"/>
        </w:rPr>
        <w:t>3.5.1“投标人基本情况表”</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格式自拟），</w:t>
      </w:r>
      <w:r>
        <w:rPr>
          <w:rFonts w:hint="eastAsia" w:ascii="宋体" w:hAnsi="宋体" w:eastAsia="宋体" w:cs="宋体"/>
          <w:color w:val="auto"/>
          <w:sz w:val="22"/>
          <w:szCs w:val="22"/>
          <w:highlight w:val="none"/>
          <w:u w:val="none"/>
        </w:rPr>
        <w:t>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CMA计量认证合格证书、建设行政主管部门颁发的建设工程质量检测机构资质证书、勘察资质证书及其他相关资料。</w:t>
      </w:r>
    </w:p>
    <w:p w14:paraId="6ACE65B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3.5.2“拟投入本项目的检验监测人员一览表”应填报满足本章第1.4.1项规定的项目负责人的相关信息。“拟投入本项目的主要人员简历表”中项目负责人应附资格证明材料。包括职称证、投标人（不含子公司）为其购买的</w:t>
      </w:r>
      <w:r>
        <w:rPr>
          <w:rFonts w:hint="eastAsia" w:ascii="宋体" w:hAnsi="宋体" w:cs="宋体"/>
          <w:color w:val="auto"/>
          <w:sz w:val="22"/>
          <w:highlight w:val="none"/>
          <w:lang w:eastAsia="zh-CN"/>
        </w:rPr>
        <w:t>近1个月（即扣除招标公告发布当月前一个月）</w:t>
      </w:r>
      <w:r>
        <w:rPr>
          <w:rFonts w:hint="eastAsia" w:ascii="宋体" w:hAnsi="宋体" w:cs="宋体"/>
          <w:color w:val="auto"/>
          <w:sz w:val="22"/>
          <w:highlight w:val="none"/>
        </w:rPr>
        <w:t>社保缴纳证明材料。</w:t>
      </w:r>
    </w:p>
    <w:p w14:paraId="2CEC04B9">
      <w:pPr>
        <w:kinsoku/>
        <w:overflowPunct/>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3.5.</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投标人认为应该提供的其他资审资料（如有）。</w:t>
      </w:r>
    </w:p>
    <w:p w14:paraId="08852EE5">
      <w:pPr>
        <w:keepNext/>
        <w:keepLines/>
        <w:spacing w:before="120" w:beforeLines="0" w:after="120" w:afterLines="0"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3.6 备选投标方案</w:t>
      </w:r>
    </w:p>
    <w:p w14:paraId="11014E8C">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3.6.1除投标人须知前附表规定允许外，投标人不得递交备选投标方案，否则其投标将被否决。</w:t>
      </w:r>
    </w:p>
    <w:p w14:paraId="00C74EB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84353EB">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3.6.3投标人提供两个或两个以上投标报价，或者在投标文件中提供一个报价，但同时提供两个或两个以上服务方案的，视为提供备选方案。</w:t>
      </w:r>
    </w:p>
    <w:p w14:paraId="46FE3A73">
      <w:pPr>
        <w:spacing w:line="360" w:lineRule="auto"/>
        <w:rPr>
          <w:rFonts w:hint="eastAsia" w:ascii="宋体" w:hAnsi="宋体" w:cs="宋体"/>
          <w:color w:val="auto"/>
          <w:sz w:val="22"/>
          <w:highlight w:val="none"/>
        </w:rPr>
      </w:pPr>
    </w:p>
    <w:p w14:paraId="1E0B4740">
      <w:pPr>
        <w:keepNext/>
        <w:keepLines/>
        <w:spacing w:before="120" w:beforeLines="0" w:after="120" w:afterLines="0" w:line="360" w:lineRule="auto"/>
        <w:jc w:val="left"/>
        <w:outlineLvl w:val="2"/>
        <w:rPr>
          <w:rFonts w:hint="eastAsia" w:ascii="宋体" w:hAnsi="宋体" w:cs="宋体"/>
          <w:b/>
          <w:bCs/>
          <w:color w:val="auto"/>
          <w:sz w:val="22"/>
          <w:highlight w:val="none"/>
        </w:rPr>
      </w:pPr>
      <w:bookmarkStart w:id="86" w:name="bookmark46"/>
      <w:bookmarkEnd w:id="86"/>
      <w:r>
        <w:rPr>
          <w:rFonts w:hint="eastAsia" w:ascii="宋体" w:hAnsi="宋体" w:cs="宋体"/>
          <w:b/>
          <w:bCs/>
          <w:color w:val="auto"/>
          <w:sz w:val="22"/>
          <w:highlight w:val="none"/>
        </w:rPr>
        <w:t>3.7 投标文件的编制</w:t>
      </w:r>
    </w:p>
    <w:p w14:paraId="63ECF6BC">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3.7.1投标文件应按第六章“投标文件格式”进行编写，如有必要，可以增加附页，作为投标文件的组成部分。</w:t>
      </w:r>
    </w:p>
    <w:p w14:paraId="0C16487B">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3.7.2投标文件应当对招标文件有关服务期限、投标有效期、委托人要求、招标范围等实质性内容作出响应。</w:t>
      </w:r>
    </w:p>
    <w:p w14:paraId="62F1467F">
      <w:pPr>
        <w:spacing w:line="360" w:lineRule="auto"/>
        <w:ind w:firstLine="440" w:firstLineChars="200"/>
        <w:jc w:val="left"/>
        <w:rPr>
          <w:rFonts w:hint="eastAsia" w:ascii="宋体" w:hAnsi="宋体" w:cs="宋体"/>
          <w:color w:val="auto"/>
          <w:sz w:val="28"/>
          <w:szCs w:val="28"/>
          <w:highlight w:val="none"/>
        </w:rPr>
      </w:pPr>
      <w:r>
        <w:rPr>
          <w:rFonts w:hint="eastAsia" w:ascii="宋体" w:hAnsi="宋体" w:cs="宋体"/>
          <w:color w:val="auto"/>
          <w:sz w:val="22"/>
          <w:highlight w:val="none"/>
        </w:rPr>
        <w:t>3.7.3投标文件全部采用电子文档，除投标人须知前附表另有规定外，投标文件所附证书证件均为扫描件，并采用单位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6812BDD7">
      <w:pPr>
        <w:keepNext/>
        <w:keepLines/>
        <w:spacing w:before="240" w:beforeLines="0" w:after="240" w:afterLines="0" w:line="413" w:lineRule="auto"/>
        <w:jc w:val="left"/>
        <w:outlineLvl w:val="1"/>
        <w:rPr>
          <w:rFonts w:hint="eastAsia" w:ascii="宋体" w:hAnsi="宋体" w:cs="宋体"/>
          <w:b/>
          <w:bCs/>
          <w:color w:val="auto"/>
          <w:sz w:val="40"/>
          <w:szCs w:val="32"/>
          <w:highlight w:val="none"/>
        </w:rPr>
      </w:pPr>
      <w:bookmarkStart w:id="87" w:name="_Toc21930"/>
      <w:bookmarkStart w:id="88" w:name="_Toc532367876"/>
      <w:bookmarkStart w:id="89" w:name="_Toc29593"/>
      <w:bookmarkStart w:id="90" w:name="_Toc3264"/>
      <w:bookmarkStart w:id="91" w:name="_Toc377719903"/>
      <w:bookmarkStart w:id="92" w:name="_Toc9342"/>
      <w:bookmarkStart w:id="93" w:name="_Toc23284"/>
      <w:bookmarkStart w:id="94" w:name="_Toc24378"/>
      <w:bookmarkStart w:id="95" w:name="_Toc23220"/>
      <w:bookmarkStart w:id="96" w:name="_Toc32552"/>
      <w:bookmarkStart w:id="97" w:name="_Toc31557"/>
      <w:bookmarkStart w:id="98" w:name="_Toc3554"/>
      <w:bookmarkStart w:id="99" w:name="_Toc25065"/>
      <w:r>
        <w:rPr>
          <w:rFonts w:hint="eastAsia" w:ascii="宋体" w:hAnsi="宋体" w:cs="宋体"/>
          <w:b/>
          <w:bCs/>
          <w:color w:val="auto"/>
          <w:sz w:val="40"/>
          <w:szCs w:val="32"/>
          <w:highlight w:val="none"/>
        </w:rPr>
        <w:t>4.投标</w:t>
      </w:r>
      <w:bookmarkEnd w:id="87"/>
      <w:bookmarkEnd w:id="88"/>
      <w:bookmarkEnd w:id="89"/>
      <w:bookmarkEnd w:id="90"/>
      <w:bookmarkEnd w:id="91"/>
      <w:bookmarkEnd w:id="92"/>
      <w:bookmarkEnd w:id="93"/>
      <w:bookmarkEnd w:id="94"/>
      <w:bookmarkEnd w:id="95"/>
      <w:bookmarkEnd w:id="96"/>
      <w:bookmarkEnd w:id="97"/>
      <w:bookmarkEnd w:id="98"/>
      <w:bookmarkEnd w:id="99"/>
    </w:p>
    <w:p w14:paraId="2AC4085A">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4.1  投标文件的密封和标记</w:t>
      </w:r>
    </w:p>
    <w:p w14:paraId="4EA449B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4.1.1 投标人应当按照招标文件和电子招标投标交易平台的要求加密投标文件，具体要求见投标人须知前附表。</w:t>
      </w:r>
    </w:p>
    <w:p w14:paraId="7B9819B0">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4.1.2 投标文件封套上应写明的内容见投标人须知前附表。</w:t>
      </w:r>
    </w:p>
    <w:p w14:paraId="675A868A">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4.2  投标文件的递交</w:t>
      </w:r>
    </w:p>
    <w:p w14:paraId="053BF485">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4.2.1 投标人应在投标人须知前附表规定的投标截止时间前递交投标文件。</w:t>
      </w:r>
    </w:p>
    <w:p w14:paraId="746BE02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4.2.2 投标人通过下载招标文件的电子招标投标交易平台递交电子投标文件。</w:t>
      </w:r>
    </w:p>
    <w:p w14:paraId="2C846CA0">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4.2.3 除投标人须知前附表另有规定外，投标人所递交的投标文件不予退还。</w:t>
      </w:r>
    </w:p>
    <w:p w14:paraId="0C14C65C">
      <w:pPr>
        <w:spacing w:line="36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4.2.4 投标人完成电子投标文件上传后，电子招标投标交易平台即时向投标人发出递</w:t>
      </w:r>
    </w:p>
    <w:p w14:paraId="37B49965">
      <w:pPr>
        <w:spacing w:line="360" w:lineRule="auto"/>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交回执通知。递交时间以递交回执通知载明的传输完成时间为准。</w:t>
      </w:r>
    </w:p>
    <w:p w14:paraId="7AA273A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4.2.5 逾期送达的投标文件，电子招标投标交易平台将予以拒收。</w:t>
      </w:r>
    </w:p>
    <w:p w14:paraId="2A57EEE7">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4.3  投标文件的修改与撤回</w:t>
      </w:r>
    </w:p>
    <w:p w14:paraId="4BEA105A">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4.3.1 在本章第 4.2.1 项规定的投标截止时间前，投标人可以修改或撤回已递交的投标文件，但应以书面形式通知招标人。</w:t>
      </w:r>
    </w:p>
    <w:p w14:paraId="528CA72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4.3.2 投标人修改或撤回已递交投标文件的通知，应按照本章第 3.7.3项的要求加盖电子印章。电子招标投标交易平台收到通知后，即时向投标人发出确认回执通知。</w:t>
      </w:r>
    </w:p>
    <w:p w14:paraId="5791C296">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4.3.3 投标人撤回投标文件的，招标人自收到投标人书面撤回通知之日起 5 日内退还已收取的投标保证金。</w:t>
      </w:r>
    </w:p>
    <w:p w14:paraId="106B7A45">
      <w:pPr>
        <w:spacing w:line="360" w:lineRule="auto"/>
        <w:ind w:firstLine="444" w:firstLineChars="202"/>
        <w:jc w:val="left"/>
        <w:rPr>
          <w:rFonts w:hint="eastAsia" w:ascii="宋体" w:hAnsi="宋体" w:cs="宋体"/>
          <w:color w:val="auto"/>
          <w:sz w:val="28"/>
          <w:szCs w:val="28"/>
          <w:highlight w:val="none"/>
        </w:rPr>
      </w:pPr>
      <w:r>
        <w:rPr>
          <w:rFonts w:hint="eastAsia" w:ascii="宋体" w:hAnsi="宋体" w:cs="宋体"/>
          <w:color w:val="auto"/>
          <w:sz w:val="22"/>
          <w:highlight w:val="none"/>
        </w:rPr>
        <w:t>4.3.4 修改的内容为投标文件的组成部分。修改的投标文件应按照本章第 3 条、第 4 条的规定进行编制、密封、标记和递交，并标明“修改”字样。</w:t>
      </w:r>
    </w:p>
    <w:p w14:paraId="2A3EBAAB">
      <w:pPr>
        <w:keepNext/>
        <w:keepLines/>
        <w:spacing w:before="240" w:beforeLines="0" w:after="240" w:afterLines="0" w:line="413" w:lineRule="auto"/>
        <w:outlineLvl w:val="1"/>
        <w:rPr>
          <w:rFonts w:hint="eastAsia" w:ascii="宋体" w:hAnsi="宋体" w:cs="宋体"/>
          <w:b/>
          <w:bCs/>
          <w:color w:val="auto"/>
          <w:sz w:val="40"/>
          <w:szCs w:val="32"/>
          <w:highlight w:val="none"/>
        </w:rPr>
      </w:pPr>
      <w:bookmarkStart w:id="100" w:name="_Toc17418"/>
      <w:bookmarkStart w:id="101" w:name="_Toc17138"/>
      <w:bookmarkStart w:id="102" w:name="_Toc532367877"/>
      <w:bookmarkStart w:id="103" w:name="_Toc111"/>
      <w:bookmarkStart w:id="104" w:name="_Toc5302"/>
      <w:bookmarkStart w:id="105" w:name="_Toc377719904"/>
      <w:bookmarkStart w:id="106" w:name="_Toc10549"/>
      <w:bookmarkStart w:id="107" w:name="_Toc31186"/>
      <w:bookmarkStart w:id="108" w:name="_Toc1684"/>
      <w:bookmarkStart w:id="109" w:name="_Toc6570"/>
      <w:bookmarkStart w:id="110" w:name="_Toc31567"/>
      <w:bookmarkStart w:id="111" w:name="_Toc19088"/>
      <w:bookmarkStart w:id="112" w:name="_Toc11066"/>
      <w:r>
        <w:rPr>
          <w:rFonts w:hint="eastAsia" w:ascii="宋体" w:hAnsi="宋体" w:cs="宋体"/>
          <w:b/>
          <w:bCs/>
          <w:color w:val="auto"/>
          <w:sz w:val="40"/>
          <w:szCs w:val="32"/>
          <w:highlight w:val="none"/>
        </w:rPr>
        <w:t>5.开标</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1ABBC953">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5.1 开标时间和地点</w:t>
      </w:r>
    </w:p>
    <w:p w14:paraId="0C5363B5">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招标人在本章第 4.2.1 项规定的投标截止时间（开标时间）,通过电子招标投标交易平台公开开标，邀请所有投标人的法定代表人或其委托代理人准时参加。投标人可选择在开标室参与开标或准时在线参加开标，也可不参加开标。参加在线开标的投标人登录交易平台实时查看开标、唱标情况。</w:t>
      </w:r>
    </w:p>
    <w:p w14:paraId="56EF7C5F">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5.2 开标程序</w:t>
      </w:r>
    </w:p>
    <w:p w14:paraId="58387B10">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5.2.1主持人按下列程序进行开标：</w:t>
      </w:r>
    </w:p>
    <w:p w14:paraId="14ABCF66">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（1）宣布开标纪律；</w:t>
      </w:r>
    </w:p>
    <w:p w14:paraId="02E94BE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（2）公布在投标截止时间前递交投标文件的投标人名称；</w:t>
      </w:r>
    </w:p>
    <w:p w14:paraId="462170BB">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（3）宣布开标人、唱标人、记录人、监标人等有关人员姓名；</w:t>
      </w:r>
    </w:p>
    <w:p w14:paraId="03A8082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（4）投标人通过电子招标投标交易平台对已递交的电子投标文件进行解密，公布招标项目名称、投标人名称、投标</w:t>
      </w:r>
      <w:r>
        <w:rPr>
          <w:rFonts w:hint="default" w:ascii="宋体" w:hAnsi="宋体" w:cs="宋体"/>
          <w:color w:val="auto"/>
          <w:sz w:val="22"/>
          <w:highlight w:val="none"/>
          <w:lang w:val="en-US"/>
        </w:rPr>
        <w:t>报价</w:t>
      </w:r>
      <w:r>
        <w:rPr>
          <w:rFonts w:hint="eastAsia" w:ascii="宋体" w:hAnsi="宋体" w:cs="宋体"/>
          <w:color w:val="auto"/>
          <w:sz w:val="22"/>
          <w:highlight w:val="none"/>
          <w:lang w:val="en-US" w:eastAsia="zh-CN"/>
        </w:rPr>
        <w:t>、投标下浮率</w:t>
      </w:r>
      <w:r>
        <w:rPr>
          <w:rFonts w:hint="eastAsia" w:ascii="宋体" w:hAnsi="宋体" w:cs="宋体"/>
          <w:color w:val="auto"/>
          <w:sz w:val="22"/>
          <w:highlight w:val="none"/>
        </w:rPr>
        <w:t>、服务期限及其他内容，并记录在案；</w:t>
      </w:r>
    </w:p>
    <w:p w14:paraId="593AF1FC">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（5）投标人代表、招标人代表、监标人、记录人等有关人员使用本人的电子印章在开标记录上签字确认；若有关人员不签字的，不影响开标程序；</w:t>
      </w:r>
    </w:p>
    <w:p w14:paraId="0CE3827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（6）开标结束。</w:t>
      </w:r>
    </w:p>
    <w:p w14:paraId="17F2F986">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5.2.2投标截止时间前未完成投标文件传输的或因投标人之外的原因造成投标文件未解密的，视为投标人撤回投标文件。因投标人原因造成投标文件未解密的，视为撤销其投标文件。</w:t>
      </w:r>
      <w:r>
        <w:rPr>
          <w:rFonts w:hint="eastAsia" w:ascii="宋体" w:hAnsi="宋体" w:cs="宋体"/>
          <w:color w:val="auto"/>
          <w:sz w:val="22"/>
          <w:highlight w:val="none"/>
          <w:u w:val="single"/>
        </w:rPr>
        <w:t>本项目要求投标人在投标截止时间后</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u w:val="single"/>
        </w:rPr>
        <w:t>小时内解密其电子投标文件。</w:t>
      </w:r>
    </w:p>
    <w:p w14:paraId="1F9D4141">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5.2.3开标时，两个（含两个）以上的投标人加密打包投标文件电脑机器特征码一致的，不参与下一程序，并由评标委员会否决其投标。</w:t>
      </w:r>
    </w:p>
    <w:p w14:paraId="17B8220E">
      <w:pPr>
        <w:keepNext/>
        <w:keepLines/>
        <w:spacing w:before="120" w:beforeLines="0" w:after="120" w:afterLines="0" w:line="360" w:lineRule="auto"/>
        <w:outlineLvl w:val="2"/>
        <w:rPr>
          <w:rFonts w:hint="eastAsia" w:ascii="宋体" w:hAnsi="宋体" w:cs="宋体"/>
          <w:b/>
          <w:bCs/>
          <w:color w:val="auto"/>
          <w:sz w:val="22"/>
          <w:highlight w:val="none"/>
        </w:rPr>
      </w:pPr>
      <w:r>
        <w:rPr>
          <w:rFonts w:hint="eastAsia" w:ascii="宋体" w:hAnsi="宋体" w:cs="宋体"/>
          <w:b/>
          <w:bCs/>
          <w:color w:val="auto"/>
          <w:sz w:val="22"/>
          <w:highlight w:val="none"/>
        </w:rPr>
        <w:t>5.3 开标异议</w:t>
      </w:r>
    </w:p>
    <w:p w14:paraId="409DC90C">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5.3.1 参加现场开标的投标人对开标有异议的，应当在开标现场提出，招标人应当当场作出答复，并制作记录。</w:t>
      </w:r>
    </w:p>
    <w:p w14:paraId="0BA29EFA">
      <w:pPr>
        <w:spacing w:beforeLines="0" w:afterLines="0"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5.3.2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677DC10">
      <w:pPr>
        <w:keepNext/>
        <w:keepLines/>
        <w:spacing w:before="0" w:beforeLines="0" w:after="0" w:afterLines="0" w:line="413" w:lineRule="auto"/>
        <w:ind w:firstLine="440" w:firstLineChars="200"/>
        <w:jc w:val="left"/>
        <w:outlineLvl w:val="1"/>
        <w:rPr>
          <w:rFonts w:hint="eastAsia" w:ascii="宋体" w:hAnsi="宋体" w:cs="宋体"/>
          <w:color w:val="auto"/>
          <w:sz w:val="22"/>
          <w:highlight w:val="none"/>
        </w:rPr>
      </w:pPr>
      <w:bookmarkStart w:id="113" w:name="_Toc23127"/>
      <w:r>
        <w:rPr>
          <w:rFonts w:hint="eastAsia" w:ascii="宋体" w:hAnsi="宋体" w:cs="宋体"/>
          <w:color w:val="auto"/>
          <w:sz w:val="22"/>
          <w:highlight w:val="none"/>
        </w:rPr>
        <w:t>5.3.</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投标人未参加开标或在规定的时间内未提出异议的，视为对开标无异议。</w:t>
      </w:r>
      <w:bookmarkEnd w:id="113"/>
    </w:p>
    <w:p w14:paraId="0753A8C6">
      <w:pPr>
        <w:keepNext/>
        <w:keepLines/>
        <w:spacing w:before="240" w:beforeLines="0" w:after="240" w:afterLines="0" w:line="413" w:lineRule="auto"/>
        <w:jc w:val="left"/>
        <w:outlineLvl w:val="1"/>
        <w:rPr>
          <w:rFonts w:hint="eastAsia" w:ascii="宋体" w:hAnsi="宋体" w:cs="宋体"/>
          <w:b/>
          <w:bCs/>
          <w:color w:val="auto"/>
          <w:sz w:val="40"/>
          <w:szCs w:val="32"/>
          <w:highlight w:val="none"/>
        </w:rPr>
      </w:pPr>
      <w:bookmarkStart w:id="114" w:name="_Toc532367878"/>
      <w:bookmarkStart w:id="115" w:name="_Toc24608"/>
      <w:bookmarkStart w:id="116" w:name="_Toc17328"/>
      <w:bookmarkStart w:id="117" w:name="_Toc1989"/>
      <w:bookmarkStart w:id="118" w:name="_Toc11500"/>
      <w:bookmarkStart w:id="119" w:name="_Toc5463"/>
      <w:r>
        <w:rPr>
          <w:rFonts w:hint="eastAsia" w:ascii="宋体" w:hAnsi="宋体" w:cs="宋体"/>
          <w:b/>
          <w:bCs/>
          <w:color w:val="auto"/>
          <w:sz w:val="40"/>
          <w:szCs w:val="32"/>
          <w:highlight w:val="none"/>
        </w:rPr>
        <w:t>6.评标</w:t>
      </w:r>
      <w:bookmarkEnd w:id="114"/>
      <w:bookmarkEnd w:id="115"/>
      <w:bookmarkEnd w:id="116"/>
      <w:bookmarkEnd w:id="117"/>
      <w:bookmarkEnd w:id="118"/>
      <w:bookmarkEnd w:id="119"/>
    </w:p>
    <w:p w14:paraId="7C573563">
      <w:pPr>
        <w:keepNext/>
        <w:keepLines/>
        <w:spacing w:before="120" w:beforeLines="0" w:after="120" w:afterLines="0"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6.1 评标委员会</w:t>
      </w:r>
    </w:p>
    <w:p w14:paraId="21131CF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BAAF68B">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6.1.2 评标委员会成员有下列情形之一的，应当回避：</w:t>
      </w:r>
    </w:p>
    <w:p w14:paraId="12B68FB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（1）投标人或投标人主要负责人的近亲属；</w:t>
      </w:r>
    </w:p>
    <w:p w14:paraId="285745E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（2）项目主管部门或者行政监督部门的人员；</w:t>
      </w:r>
    </w:p>
    <w:p w14:paraId="12E9323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（3）与投标人有经济利益关系，可能影响对投标公正评审的；</w:t>
      </w:r>
    </w:p>
    <w:p w14:paraId="278AEFC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（4）曾因在招标、评标以及其他与招标投标有关活动中从事违法行为而受过行政处罚或刑事处罚的；</w:t>
      </w:r>
    </w:p>
    <w:p w14:paraId="06C4184C">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（5）与投标人有其他利害关系。</w:t>
      </w:r>
    </w:p>
    <w:p w14:paraId="783F257A">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7F5BBC4">
      <w:pPr>
        <w:keepNext/>
        <w:keepLines/>
        <w:spacing w:before="120" w:beforeLines="0" w:after="120" w:afterLines="0"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6.2 评标原则</w:t>
      </w:r>
    </w:p>
    <w:p w14:paraId="7417E99A">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评标活动遵循公平、公正、科学和择优的原则。</w:t>
      </w:r>
    </w:p>
    <w:p w14:paraId="1A0664A1">
      <w:pPr>
        <w:keepNext/>
        <w:keepLines/>
        <w:spacing w:before="120" w:beforeLines="0" w:after="120" w:afterLines="0"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6.3 评标</w:t>
      </w:r>
    </w:p>
    <w:p w14:paraId="29B69A52">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6.3.1 评标委员会按照第三章“评标办法”规定的方法、评审因素、标准和程序对投标文件进行评审。第三章“评标办法”没有规定的方法、评审因素和标准，不作为评标依据。</w:t>
      </w:r>
    </w:p>
    <w:p w14:paraId="560C1B11">
      <w:pPr>
        <w:spacing w:line="360" w:lineRule="auto"/>
        <w:ind w:firstLine="444" w:firstLineChars="202"/>
        <w:jc w:val="left"/>
        <w:rPr>
          <w:rFonts w:hint="eastAsia" w:ascii="宋体" w:hAnsi="宋体" w:cs="宋体"/>
          <w:color w:val="auto"/>
          <w:sz w:val="28"/>
          <w:szCs w:val="28"/>
          <w:highlight w:val="none"/>
        </w:rPr>
      </w:pPr>
      <w:r>
        <w:rPr>
          <w:rFonts w:hint="eastAsia" w:ascii="宋体" w:hAnsi="宋体" w:cs="宋体"/>
          <w:color w:val="auto"/>
          <w:sz w:val="22"/>
          <w:highlight w:val="none"/>
        </w:rPr>
        <w:t>6.3.2 评标完成后，评标委员会应当向招标人提交书面评标报告和中标候选人名单。评标委员会推荐中标候选人的人数见投标人须知前附表。</w:t>
      </w:r>
    </w:p>
    <w:p w14:paraId="4791E4B9">
      <w:pPr>
        <w:keepNext/>
        <w:keepLines/>
        <w:spacing w:before="240" w:beforeLines="0" w:after="240" w:afterLines="0" w:line="413" w:lineRule="auto"/>
        <w:outlineLvl w:val="1"/>
        <w:rPr>
          <w:rFonts w:hint="eastAsia" w:ascii="宋体" w:hAnsi="宋体" w:cs="宋体"/>
          <w:b/>
          <w:bCs/>
          <w:color w:val="auto"/>
          <w:sz w:val="40"/>
          <w:szCs w:val="32"/>
          <w:highlight w:val="none"/>
        </w:rPr>
      </w:pPr>
      <w:bookmarkStart w:id="120" w:name="_Toc27928"/>
      <w:bookmarkStart w:id="121" w:name="_Toc24971"/>
      <w:bookmarkStart w:id="122" w:name="_Toc17606"/>
      <w:bookmarkStart w:id="123" w:name="_Toc23147"/>
      <w:bookmarkStart w:id="124" w:name="_Toc15742"/>
      <w:bookmarkStart w:id="125" w:name="_Toc31080"/>
      <w:bookmarkStart w:id="126" w:name="_Toc377719905"/>
      <w:bookmarkStart w:id="127" w:name="_Toc11665"/>
      <w:bookmarkStart w:id="128" w:name="_Toc18237"/>
      <w:bookmarkStart w:id="129" w:name="_Toc532367879"/>
      <w:bookmarkStart w:id="130" w:name="_Toc32758"/>
      <w:bookmarkStart w:id="131" w:name="_Toc22463"/>
      <w:bookmarkStart w:id="132" w:name="_Toc21343"/>
      <w:r>
        <w:rPr>
          <w:rFonts w:hint="eastAsia" w:ascii="宋体" w:hAnsi="宋体" w:cs="宋体"/>
          <w:b/>
          <w:bCs/>
          <w:color w:val="auto"/>
          <w:sz w:val="40"/>
          <w:szCs w:val="32"/>
          <w:highlight w:val="none"/>
        </w:rPr>
        <w:t>7.合同</w:t>
      </w:r>
      <w:bookmarkEnd w:id="120"/>
      <w:bookmarkEnd w:id="121"/>
      <w:bookmarkEnd w:id="122"/>
      <w:bookmarkEnd w:id="123"/>
      <w:bookmarkEnd w:id="124"/>
      <w:bookmarkEnd w:id="125"/>
      <w:bookmarkEnd w:id="126"/>
      <w:r>
        <w:rPr>
          <w:rFonts w:hint="eastAsia" w:ascii="宋体" w:hAnsi="宋体" w:cs="宋体"/>
          <w:b/>
          <w:bCs/>
          <w:color w:val="auto"/>
          <w:sz w:val="40"/>
          <w:szCs w:val="32"/>
          <w:highlight w:val="none"/>
        </w:rPr>
        <w:t>授予</w:t>
      </w:r>
      <w:bookmarkEnd w:id="127"/>
      <w:bookmarkEnd w:id="128"/>
      <w:bookmarkEnd w:id="129"/>
      <w:bookmarkEnd w:id="130"/>
      <w:bookmarkEnd w:id="131"/>
      <w:bookmarkEnd w:id="132"/>
    </w:p>
    <w:p w14:paraId="04B57419">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7.1 中标候选人公示</w:t>
      </w:r>
    </w:p>
    <w:p w14:paraId="168E65D7">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招标人在收到评标报告之日起 3 日内，按照投标人须知前附表规定的公示媒介和期限公示中标候选人，公示期不得少于 3 天。</w:t>
      </w:r>
    </w:p>
    <w:p w14:paraId="6ADE83E5">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7.2 评标结果异议</w:t>
      </w:r>
    </w:p>
    <w:p w14:paraId="1A38AD0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投标人或者其他利害关系人对评标结果有异议的，应当在中标候选人公示期间提出。招标人将在收到异议之日起 3 日内作出答复；作出答复前，将暂停招标投标活动。</w:t>
      </w:r>
    </w:p>
    <w:p w14:paraId="5D7060EC">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7.3 中标候选人履约能力审查</w:t>
      </w:r>
    </w:p>
    <w:p w14:paraId="4EE05E6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2A2BD60">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7.4 定标</w:t>
      </w:r>
    </w:p>
    <w:p w14:paraId="6E3BE2E1">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按照投标人须知前附表的规定，招标人或招标人授权的评标委员会依法确定中标人。</w:t>
      </w:r>
    </w:p>
    <w:p w14:paraId="06A08ADB">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7.5 中标通知</w:t>
      </w:r>
    </w:p>
    <w:p w14:paraId="1C40C6DE">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在本章第 3.3 款规定的投标有效期内，招标人以书面形式向中标人发出中标通知书，同时将中标结果通知未中标的投标人。</w:t>
      </w:r>
    </w:p>
    <w:p w14:paraId="6FB68A33">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7.6 履约保证金</w:t>
      </w:r>
    </w:p>
    <w:p w14:paraId="0F87A430">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10%。联合体中标的，其履约保证金以联合体各方或者联合体主办方的名义提交。</w:t>
      </w:r>
    </w:p>
    <w:p w14:paraId="412A74D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7.6.2 中标人不能按本章第 7.6.1 项要求提交履约保证金的，视为放弃中标，其投标保证金不予退还，给招标人造成的损失超过投标保证金数额的，中标人还应当对超过部分予以赔偿。</w:t>
      </w:r>
    </w:p>
    <w:p w14:paraId="6FAFC343">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7.7 签订合同</w:t>
      </w:r>
    </w:p>
    <w:p w14:paraId="63458CB1">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A1BBF86">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7.7.2 发出中标通知书后，招标人无正当理由拒签合同，或者在签订合同时向中标人提出附加条件的，招标人向中标人退还投标保证金；给中标人造成损失的，还应当赔偿损失。</w:t>
      </w:r>
    </w:p>
    <w:p w14:paraId="311BA3B6">
      <w:pPr>
        <w:spacing w:line="360" w:lineRule="exact"/>
        <w:ind w:firstLine="565" w:firstLineChars="202"/>
        <w:jc w:val="left"/>
        <w:rPr>
          <w:rFonts w:hint="eastAsia" w:ascii="宋体" w:hAnsi="宋体" w:cs="宋体"/>
          <w:color w:val="auto"/>
          <w:sz w:val="28"/>
          <w:szCs w:val="28"/>
          <w:highlight w:val="none"/>
        </w:rPr>
      </w:pPr>
    </w:p>
    <w:p w14:paraId="4DFE4E03">
      <w:pPr>
        <w:keepNext/>
        <w:keepLines/>
        <w:spacing w:before="240" w:beforeLines="0" w:after="240" w:afterLines="0" w:line="413" w:lineRule="auto"/>
        <w:jc w:val="left"/>
        <w:outlineLvl w:val="1"/>
        <w:rPr>
          <w:rFonts w:hint="eastAsia" w:ascii="宋体" w:hAnsi="宋体" w:cs="宋体"/>
          <w:b/>
          <w:bCs/>
          <w:color w:val="auto"/>
          <w:sz w:val="40"/>
          <w:szCs w:val="32"/>
          <w:highlight w:val="none"/>
        </w:rPr>
      </w:pPr>
      <w:bookmarkStart w:id="133" w:name="_Toc3492"/>
      <w:bookmarkStart w:id="134" w:name="_Toc19621"/>
      <w:bookmarkStart w:id="135" w:name="_Toc532367880"/>
      <w:bookmarkStart w:id="136" w:name="_Toc15378"/>
      <w:bookmarkStart w:id="137" w:name="_Toc15512"/>
      <w:bookmarkStart w:id="138" w:name="_Toc25746"/>
      <w:r>
        <w:rPr>
          <w:rFonts w:hint="eastAsia" w:ascii="宋体" w:hAnsi="宋体" w:cs="宋体"/>
          <w:b/>
          <w:bCs/>
          <w:color w:val="auto"/>
          <w:sz w:val="40"/>
          <w:szCs w:val="32"/>
          <w:highlight w:val="none"/>
        </w:rPr>
        <w:t>8.纪律和监督</w:t>
      </w:r>
      <w:bookmarkEnd w:id="133"/>
      <w:bookmarkEnd w:id="134"/>
      <w:bookmarkEnd w:id="135"/>
      <w:bookmarkEnd w:id="136"/>
      <w:bookmarkEnd w:id="137"/>
      <w:bookmarkEnd w:id="138"/>
    </w:p>
    <w:p w14:paraId="492CEF85">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8.1 对招标人的纪律要求</w:t>
      </w:r>
    </w:p>
    <w:p w14:paraId="5815EA49">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招标人不得泄露招标投标活动中应当保密的情况和资料，不得与投标人串通损害国家利益、社会公共利益或者他人合法权益。</w:t>
      </w:r>
    </w:p>
    <w:p w14:paraId="6770AD69">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8.2 对投标人的纪律要求</w:t>
      </w:r>
    </w:p>
    <w:p w14:paraId="367659BE">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A5E6A54">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8.3 对评标委员会成员的纪律要求</w:t>
      </w:r>
    </w:p>
    <w:p w14:paraId="07227FAB">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8BC69E2">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8.4 对与评标活动有关的工作人员的纪律要求</w:t>
      </w:r>
    </w:p>
    <w:p w14:paraId="4200CC16">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7C1E8A7">
      <w:pPr>
        <w:spacing w:line="360" w:lineRule="auto"/>
        <w:jc w:val="left"/>
        <w:rPr>
          <w:rFonts w:hint="eastAsia" w:ascii="宋体" w:hAnsi="宋体" w:cs="宋体"/>
          <w:b/>
          <w:bCs/>
          <w:color w:val="auto"/>
          <w:sz w:val="22"/>
          <w:highlight w:val="none"/>
        </w:rPr>
      </w:pPr>
      <w:r>
        <w:rPr>
          <w:rFonts w:hint="eastAsia" w:ascii="宋体" w:hAnsi="宋体" w:cs="宋体"/>
          <w:b/>
          <w:bCs/>
          <w:color w:val="auto"/>
          <w:sz w:val="22"/>
          <w:highlight w:val="none"/>
        </w:rPr>
        <w:t>8.5 投诉</w:t>
      </w:r>
    </w:p>
    <w:p w14:paraId="4345FC0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16C0FAF6">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14:paraId="6FED85BC">
      <w:pPr>
        <w:keepNext/>
        <w:keepLines/>
        <w:spacing w:before="240" w:beforeLines="0" w:after="240" w:afterLines="0" w:line="413" w:lineRule="auto"/>
        <w:jc w:val="left"/>
        <w:outlineLvl w:val="1"/>
        <w:rPr>
          <w:rFonts w:hint="eastAsia" w:ascii="宋体" w:hAnsi="宋体" w:cs="宋体"/>
          <w:b/>
          <w:bCs/>
          <w:color w:val="auto"/>
          <w:sz w:val="40"/>
          <w:szCs w:val="32"/>
          <w:highlight w:val="none"/>
        </w:rPr>
      </w:pPr>
      <w:bookmarkStart w:id="139" w:name="_Toc23239"/>
      <w:bookmarkStart w:id="140" w:name="_Toc3441"/>
      <w:r>
        <w:rPr>
          <w:rFonts w:hint="eastAsia" w:ascii="宋体" w:hAnsi="宋体" w:cs="宋体"/>
          <w:b/>
          <w:bCs/>
          <w:color w:val="auto"/>
          <w:sz w:val="40"/>
          <w:szCs w:val="32"/>
          <w:highlight w:val="none"/>
        </w:rPr>
        <w:t>9.是否采用电子招标投标</w:t>
      </w:r>
      <w:bookmarkEnd w:id="139"/>
      <w:bookmarkEnd w:id="140"/>
    </w:p>
    <w:p w14:paraId="4DEDB010">
      <w:pPr>
        <w:spacing w:line="360" w:lineRule="exact"/>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本招标项目是否采用电子招标投标方式，见投标人须知前附表。</w:t>
      </w:r>
    </w:p>
    <w:p w14:paraId="5B1DAC94">
      <w:pPr>
        <w:keepNext/>
        <w:keepLines/>
        <w:spacing w:before="240" w:beforeLines="0" w:after="240" w:afterLines="0" w:line="413" w:lineRule="auto"/>
        <w:jc w:val="left"/>
        <w:outlineLvl w:val="1"/>
        <w:rPr>
          <w:rFonts w:hint="eastAsia" w:ascii="宋体" w:hAnsi="宋体" w:cs="宋体"/>
          <w:b/>
          <w:bCs/>
          <w:color w:val="auto"/>
          <w:sz w:val="40"/>
          <w:szCs w:val="32"/>
          <w:highlight w:val="none"/>
        </w:rPr>
      </w:pPr>
      <w:bookmarkStart w:id="141" w:name="_Toc17932"/>
      <w:bookmarkStart w:id="142" w:name="_Toc5234"/>
      <w:r>
        <w:rPr>
          <w:rFonts w:hint="eastAsia" w:ascii="宋体" w:hAnsi="宋体" w:cs="宋体"/>
          <w:b/>
          <w:bCs/>
          <w:color w:val="auto"/>
          <w:sz w:val="40"/>
          <w:szCs w:val="32"/>
          <w:highlight w:val="none"/>
        </w:rPr>
        <w:t>10.需要补充的其他内容</w:t>
      </w:r>
      <w:bookmarkEnd w:id="141"/>
      <w:bookmarkEnd w:id="142"/>
    </w:p>
    <w:p w14:paraId="41266BA1">
      <w:pPr>
        <w:spacing w:line="360" w:lineRule="exact"/>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需要补充的其他内容：见投标人须知前附表。</w:t>
      </w:r>
    </w:p>
    <w:p w14:paraId="50E54F7A">
      <w:pPr>
        <w:pStyle w:val="4"/>
        <w:keepNext w:val="0"/>
        <w:keepLines w:val="0"/>
        <w:ind w:firstLine="137"/>
        <w:rPr>
          <w:rFonts w:hint="eastAsia" w:ascii="宋体" w:hAnsi="宋体" w:eastAsia="宋体" w:cs="宋体"/>
          <w:color w:val="auto"/>
          <w:highlight w:val="none"/>
        </w:rPr>
        <w:sectPr>
          <w:pgSz w:w="11905" w:h="16838"/>
          <w:pgMar w:top="1418" w:right="1701" w:bottom="1418" w:left="1701" w:header="851" w:footer="794" w:gutter="0"/>
          <w:pgBorders w:offsetFrom="page">
            <w:top w:val="none" w:sz="0" w:space="0"/>
            <w:left w:val="none" w:sz="0" w:space="0"/>
            <w:bottom w:val="none" w:sz="0" w:space="0"/>
            <w:right w:val="none" w:sz="0" w:space="0"/>
          </w:pgBorders>
          <w:cols w:space="720" w:num="1"/>
          <w:docGrid w:type="lines" w:linePitch="312" w:charSpace="0"/>
        </w:sectPr>
      </w:pPr>
      <w:bookmarkStart w:id="143" w:name="_Toc532147716"/>
    </w:p>
    <w:p w14:paraId="56078E22">
      <w:pPr>
        <w:pStyle w:val="4"/>
        <w:keepNext w:val="0"/>
        <w:keepLines w:val="0"/>
        <w:ind w:firstLine="137"/>
        <w:rPr>
          <w:rFonts w:hint="eastAsia" w:ascii="宋体" w:hAnsi="宋体" w:eastAsia="宋体" w:cs="宋体"/>
          <w:color w:val="auto"/>
          <w:highlight w:val="none"/>
        </w:rPr>
      </w:pPr>
      <w:r>
        <w:rPr>
          <w:rFonts w:hint="eastAsia" w:ascii="宋体" w:hAnsi="宋体" w:eastAsia="宋体" w:cs="宋体"/>
          <w:color w:val="auto"/>
          <w:highlight w:val="none"/>
        </w:rPr>
        <w:t>附件一：开标记录表</w:t>
      </w:r>
      <w:bookmarkEnd w:id="143"/>
    </w:p>
    <w:p w14:paraId="78A6E0EF">
      <w:pPr>
        <w:spacing w:line="440" w:lineRule="exact"/>
        <w:jc w:val="center"/>
        <w:rPr>
          <w:rFonts w:hint="eastAsia" w:ascii="宋体" w:hAnsi="宋体" w:cs="宋体"/>
          <w:color w:val="auto"/>
          <w:sz w:val="28"/>
          <w:highlight w:val="none"/>
        </w:rPr>
      </w:pPr>
      <w:r>
        <w:rPr>
          <w:rFonts w:hint="eastAsia" w:ascii="宋体" w:hAnsi="宋体" w:cs="宋体"/>
          <w:color w:val="auto"/>
          <w:sz w:val="28"/>
          <w:highlight w:val="none"/>
        </w:rPr>
        <w:t>开标记录表</w:t>
      </w:r>
      <w:r>
        <w:rPr>
          <w:rFonts w:hint="eastAsia"/>
          <w:color w:val="auto"/>
          <w:sz w:val="28"/>
          <w:highlight w:val="none"/>
        </w:rPr>
        <w:t>（参考格式）</w:t>
      </w:r>
    </w:p>
    <w:p w14:paraId="5778C9A2">
      <w:pPr>
        <w:spacing w:before="156" w:beforeLines="50" w:after="156" w:afterLines="50" w:line="400" w:lineRule="exact"/>
        <w:ind w:right="42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开标时间：    年   月   日   时   分</w:t>
      </w:r>
    </w:p>
    <w:tbl>
      <w:tblPr>
        <w:tblStyle w:val="16"/>
        <w:tblW w:w="50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
        <w:gridCol w:w="857"/>
        <w:gridCol w:w="413"/>
        <w:gridCol w:w="539"/>
        <w:gridCol w:w="936"/>
        <w:gridCol w:w="713"/>
        <w:gridCol w:w="832"/>
        <w:gridCol w:w="1052"/>
        <w:gridCol w:w="1069"/>
        <w:gridCol w:w="832"/>
        <w:gridCol w:w="999"/>
      </w:tblGrid>
      <w:tr w14:paraId="2B39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center"/>
          </w:tcPr>
          <w:p w14:paraId="3612B71F">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8983CE9">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w:t>
            </w:r>
          </w:p>
        </w:tc>
        <w:tc>
          <w:tcPr>
            <w:tcW w:w="542" w:type="pct"/>
            <w:gridSpan w:val="2"/>
            <w:tcBorders>
              <w:top w:val="single" w:color="auto" w:sz="4" w:space="0"/>
              <w:left w:val="single" w:color="auto" w:sz="4" w:space="0"/>
              <w:bottom w:val="single" w:color="auto" w:sz="4" w:space="0"/>
              <w:right w:val="single" w:color="auto" w:sz="4" w:space="0"/>
            </w:tcBorders>
            <w:noWrap w:val="0"/>
            <w:vAlign w:val="center"/>
          </w:tcPr>
          <w:p w14:paraId="3641AB14">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w:t>
            </w:r>
            <w:r>
              <w:rPr>
                <w:rFonts w:hint="default" w:ascii="宋体" w:hAnsi="宋体" w:cs="宋体"/>
                <w:color w:val="auto"/>
                <w:sz w:val="18"/>
                <w:szCs w:val="18"/>
                <w:highlight w:val="none"/>
                <w:lang w:val="en-US"/>
              </w:rPr>
              <w:t>报价</w:t>
            </w:r>
            <w:r>
              <w:rPr>
                <w:rFonts w:hint="eastAsia" w:ascii="宋体" w:hAnsi="宋体" w:cs="宋体"/>
                <w:color w:val="auto"/>
                <w:sz w:val="18"/>
                <w:szCs w:val="18"/>
                <w:highlight w:val="none"/>
              </w:rPr>
              <w:t>（元）</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AC2EB02">
            <w:pPr>
              <w:spacing w:line="500" w:lineRule="exact"/>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投标下浮率（%）</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593566D7">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项目负责人</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3FEE39E6">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服务期</w:t>
            </w:r>
          </w:p>
        </w:tc>
        <w:tc>
          <w:tcPr>
            <w:tcW w:w="599" w:type="pct"/>
            <w:tcBorders>
              <w:top w:val="single" w:color="auto" w:sz="4" w:space="0"/>
              <w:left w:val="single" w:color="auto" w:sz="4" w:space="0"/>
              <w:bottom w:val="single" w:color="auto" w:sz="4" w:space="0"/>
              <w:right w:val="single" w:color="auto" w:sz="4" w:space="0"/>
            </w:tcBorders>
            <w:noWrap w:val="0"/>
            <w:vAlign w:val="center"/>
          </w:tcPr>
          <w:p w14:paraId="41FB19B4">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609" w:type="pct"/>
            <w:tcBorders>
              <w:top w:val="single" w:color="auto" w:sz="4" w:space="0"/>
              <w:left w:val="single" w:color="auto" w:sz="4" w:space="0"/>
              <w:bottom w:val="single" w:color="auto" w:sz="4" w:space="0"/>
              <w:right w:val="single" w:color="auto" w:sz="4" w:space="0"/>
            </w:tcBorders>
            <w:noWrap w:val="0"/>
            <w:vAlign w:val="top"/>
          </w:tcPr>
          <w:p w14:paraId="02C2549E">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474" w:type="pct"/>
            <w:tcBorders>
              <w:top w:val="single" w:color="auto" w:sz="4" w:space="0"/>
              <w:left w:val="single" w:color="auto" w:sz="4" w:space="0"/>
              <w:bottom w:val="single" w:color="auto" w:sz="4" w:space="0"/>
              <w:right w:val="single" w:color="auto" w:sz="4" w:space="0"/>
            </w:tcBorders>
            <w:noWrap w:val="0"/>
            <w:vAlign w:val="top"/>
          </w:tcPr>
          <w:p w14:paraId="6FE64401">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4AD552C0">
            <w:pPr>
              <w:spacing w:line="5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投标人代表签名</w:t>
            </w:r>
          </w:p>
        </w:tc>
      </w:tr>
      <w:tr w14:paraId="0C25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3CACFC4D">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134BAE61">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32FB8084">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36B122DF">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4B7301AB">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02F383D2">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2531E6D2">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347D970F">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1CCBBB0E">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62662A6B">
            <w:pPr>
              <w:spacing w:line="500" w:lineRule="exact"/>
              <w:jc w:val="left"/>
              <w:rPr>
                <w:rFonts w:hint="eastAsia" w:ascii="宋体" w:hAnsi="宋体" w:cs="宋体"/>
                <w:color w:val="auto"/>
                <w:sz w:val="18"/>
                <w:szCs w:val="18"/>
                <w:highlight w:val="none"/>
              </w:rPr>
            </w:pPr>
          </w:p>
        </w:tc>
      </w:tr>
      <w:tr w14:paraId="2F7F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18208E30">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7706C25B">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564BBAB7">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7EDEBBA3">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7B24CBC3">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166B940E">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5707A093">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0CB48725">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10AAAC7D">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772AA16B">
            <w:pPr>
              <w:spacing w:line="500" w:lineRule="exact"/>
              <w:jc w:val="left"/>
              <w:rPr>
                <w:rFonts w:hint="eastAsia" w:ascii="宋体" w:hAnsi="宋体" w:cs="宋体"/>
                <w:color w:val="auto"/>
                <w:sz w:val="18"/>
                <w:szCs w:val="18"/>
                <w:highlight w:val="none"/>
              </w:rPr>
            </w:pPr>
          </w:p>
        </w:tc>
      </w:tr>
      <w:tr w14:paraId="2C4F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13455085">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74B913CF">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4DF362CB">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1DE9C1D6">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70696871">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575A0F7A">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3DF143BD">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7DDC72DD">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7A184B98">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779623DB">
            <w:pPr>
              <w:spacing w:line="500" w:lineRule="exact"/>
              <w:jc w:val="left"/>
              <w:rPr>
                <w:rFonts w:hint="eastAsia" w:ascii="宋体" w:hAnsi="宋体" w:cs="宋体"/>
                <w:color w:val="auto"/>
                <w:sz w:val="18"/>
                <w:szCs w:val="18"/>
                <w:highlight w:val="none"/>
              </w:rPr>
            </w:pPr>
          </w:p>
        </w:tc>
      </w:tr>
      <w:tr w14:paraId="4187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1B36BAEA">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5D1BEAAE">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3EAB75CB">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035B9661">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4A059B43">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0A0E7F8F">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18B79AAF">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6E29FDF0">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5B02FC3D">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7840C4F3">
            <w:pPr>
              <w:spacing w:line="500" w:lineRule="exact"/>
              <w:jc w:val="left"/>
              <w:rPr>
                <w:rFonts w:hint="eastAsia" w:ascii="宋体" w:hAnsi="宋体" w:cs="宋体"/>
                <w:color w:val="auto"/>
                <w:sz w:val="18"/>
                <w:szCs w:val="18"/>
                <w:highlight w:val="none"/>
              </w:rPr>
            </w:pPr>
          </w:p>
        </w:tc>
      </w:tr>
      <w:tr w14:paraId="41CE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088A34C5">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31B55A82">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5B2D60A7">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1D4F121F">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0A8F0947">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32B07683">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1701D0EA">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74C0796C">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4D015D7D">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5CA03715">
            <w:pPr>
              <w:spacing w:line="500" w:lineRule="exact"/>
              <w:jc w:val="left"/>
              <w:rPr>
                <w:rFonts w:hint="eastAsia" w:ascii="宋体" w:hAnsi="宋体" w:cs="宋体"/>
                <w:color w:val="auto"/>
                <w:sz w:val="18"/>
                <w:szCs w:val="18"/>
                <w:highlight w:val="none"/>
              </w:rPr>
            </w:pPr>
          </w:p>
        </w:tc>
      </w:tr>
      <w:tr w14:paraId="7E61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2B19A3F0">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38D651CF">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63633ECC">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00D04898">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43293311">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0B37CE19">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05CA05CF">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7C6AB6E1">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0D7775AF">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268DD1DC">
            <w:pPr>
              <w:spacing w:line="500" w:lineRule="exact"/>
              <w:jc w:val="left"/>
              <w:rPr>
                <w:rFonts w:hint="eastAsia" w:ascii="宋体" w:hAnsi="宋体" w:cs="宋体"/>
                <w:color w:val="auto"/>
                <w:sz w:val="18"/>
                <w:szCs w:val="18"/>
                <w:highlight w:val="none"/>
              </w:rPr>
            </w:pPr>
          </w:p>
        </w:tc>
      </w:tr>
      <w:tr w14:paraId="7B60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3A93E4E2">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397B1E35">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365D2DF1">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4E86EB47">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1F452295">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3139E1D9">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09D050F7">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02E2D850">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43A253BE">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39BF7F41">
            <w:pPr>
              <w:spacing w:line="500" w:lineRule="exact"/>
              <w:jc w:val="left"/>
              <w:rPr>
                <w:rFonts w:hint="eastAsia" w:ascii="宋体" w:hAnsi="宋体" w:cs="宋体"/>
                <w:color w:val="auto"/>
                <w:sz w:val="18"/>
                <w:szCs w:val="18"/>
                <w:highlight w:val="none"/>
              </w:rPr>
            </w:pPr>
          </w:p>
        </w:tc>
      </w:tr>
      <w:tr w14:paraId="4B5E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05239839">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59B99368">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0C682FA0">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7481690C">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0D5C3AD5">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0F4AA755">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2DD8005E">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4F931DE8">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58F54F6F">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76A9C6AA">
            <w:pPr>
              <w:spacing w:line="500" w:lineRule="exact"/>
              <w:jc w:val="left"/>
              <w:rPr>
                <w:rFonts w:hint="eastAsia" w:ascii="宋体" w:hAnsi="宋体" w:cs="宋体"/>
                <w:color w:val="auto"/>
                <w:sz w:val="18"/>
                <w:szCs w:val="18"/>
                <w:highlight w:val="none"/>
              </w:rPr>
            </w:pPr>
          </w:p>
        </w:tc>
      </w:tr>
      <w:tr w14:paraId="3AF1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011BCA70">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3FB0F25C">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444FD14D">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48E10C8E">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498FF0A6">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0AADA4F3">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1DF8BCB2">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0FE04A32">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2E1E5684">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1354E90E">
            <w:pPr>
              <w:spacing w:line="500" w:lineRule="exact"/>
              <w:jc w:val="left"/>
              <w:rPr>
                <w:rFonts w:hint="eastAsia" w:ascii="宋体" w:hAnsi="宋体" w:cs="宋体"/>
                <w:color w:val="auto"/>
                <w:sz w:val="18"/>
                <w:szCs w:val="18"/>
                <w:highlight w:val="none"/>
              </w:rPr>
            </w:pPr>
          </w:p>
        </w:tc>
      </w:tr>
      <w:tr w14:paraId="1C59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76E43CDE">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38A83B23">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69524E89">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7DE11D3B">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734E4766">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5D61CF00">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20D0C4D7">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686A2FEE">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1100DF7A">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594D1FA4">
            <w:pPr>
              <w:spacing w:line="500" w:lineRule="exact"/>
              <w:jc w:val="left"/>
              <w:rPr>
                <w:rFonts w:hint="eastAsia" w:ascii="宋体" w:hAnsi="宋体" w:cs="宋体"/>
                <w:color w:val="auto"/>
                <w:sz w:val="18"/>
                <w:szCs w:val="18"/>
                <w:highlight w:val="none"/>
              </w:rPr>
            </w:pPr>
            <w:bookmarkStart w:id="144" w:name="_Toc17638"/>
          </w:p>
        </w:tc>
      </w:tr>
      <w:tr w14:paraId="2C2D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5" w:type="pct"/>
            <w:tcBorders>
              <w:top w:val="single" w:color="auto" w:sz="4" w:space="0"/>
              <w:left w:val="single" w:color="auto" w:sz="4" w:space="0"/>
              <w:bottom w:val="single" w:color="auto" w:sz="4" w:space="0"/>
              <w:right w:val="single" w:color="auto" w:sz="4" w:space="0"/>
            </w:tcBorders>
            <w:noWrap w:val="0"/>
            <w:vAlign w:val="top"/>
          </w:tcPr>
          <w:p w14:paraId="29B613FA">
            <w:pPr>
              <w:spacing w:line="500" w:lineRule="exact"/>
              <w:jc w:val="left"/>
              <w:rPr>
                <w:rFonts w:hint="eastAsia" w:ascii="宋体" w:hAnsi="宋体" w:cs="宋体"/>
                <w:color w:val="auto"/>
                <w:sz w:val="18"/>
                <w:szCs w:val="18"/>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40DF1C91">
            <w:pPr>
              <w:spacing w:line="500" w:lineRule="exact"/>
              <w:jc w:val="left"/>
              <w:rPr>
                <w:rFonts w:hint="eastAsia" w:ascii="宋体" w:hAnsi="宋体" w:cs="宋体"/>
                <w:color w:val="auto"/>
                <w:sz w:val="18"/>
                <w:szCs w:val="18"/>
                <w:highlight w:val="none"/>
              </w:rPr>
            </w:pPr>
          </w:p>
        </w:tc>
        <w:tc>
          <w:tcPr>
            <w:tcW w:w="542" w:type="pct"/>
            <w:gridSpan w:val="2"/>
            <w:tcBorders>
              <w:top w:val="single" w:color="auto" w:sz="4" w:space="0"/>
              <w:left w:val="single" w:color="auto" w:sz="4" w:space="0"/>
              <w:bottom w:val="single" w:color="auto" w:sz="4" w:space="0"/>
              <w:right w:val="single" w:color="auto" w:sz="4" w:space="0"/>
            </w:tcBorders>
            <w:noWrap w:val="0"/>
            <w:vAlign w:val="top"/>
          </w:tcPr>
          <w:p w14:paraId="095AC6FA">
            <w:pPr>
              <w:spacing w:line="500" w:lineRule="exact"/>
              <w:jc w:val="left"/>
              <w:rPr>
                <w:rFonts w:hint="eastAsia" w:ascii="宋体" w:hAnsi="宋体" w:cs="宋体"/>
                <w:color w:val="auto"/>
                <w:sz w:val="18"/>
                <w:szCs w:val="18"/>
                <w:highlight w:val="none"/>
              </w:rPr>
            </w:pPr>
          </w:p>
        </w:tc>
        <w:tc>
          <w:tcPr>
            <w:tcW w:w="533" w:type="pct"/>
            <w:tcBorders>
              <w:top w:val="single" w:color="auto" w:sz="4" w:space="0"/>
              <w:left w:val="single" w:color="auto" w:sz="4" w:space="0"/>
              <w:bottom w:val="single" w:color="auto" w:sz="4" w:space="0"/>
              <w:right w:val="single" w:color="auto" w:sz="4" w:space="0"/>
            </w:tcBorders>
            <w:noWrap w:val="0"/>
            <w:vAlign w:val="top"/>
          </w:tcPr>
          <w:p w14:paraId="2709BA78">
            <w:pPr>
              <w:spacing w:line="500" w:lineRule="exact"/>
              <w:jc w:val="left"/>
              <w:rPr>
                <w:rFonts w:hint="eastAsia" w:ascii="宋体" w:hAnsi="宋体" w:cs="宋体"/>
                <w:color w:val="auto"/>
                <w:sz w:val="18"/>
                <w:szCs w:val="18"/>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top"/>
          </w:tcPr>
          <w:p w14:paraId="5250EA88">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1B5343A4">
            <w:pPr>
              <w:spacing w:line="500" w:lineRule="exact"/>
              <w:jc w:val="left"/>
              <w:rPr>
                <w:rFonts w:hint="eastAsia" w:ascii="宋体" w:hAnsi="宋体" w:cs="宋体"/>
                <w:color w:val="auto"/>
                <w:sz w:val="18"/>
                <w:szCs w:val="18"/>
                <w:highlight w:val="none"/>
              </w:rPr>
            </w:pPr>
          </w:p>
        </w:tc>
        <w:tc>
          <w:tcPr>
            <w:tcW w:w="599" w:type="pct"/>
            <w:tcBorders>
              <w:top w:val="single" w:color="auto" w:sz="4" w:space="0"/>
              <w:left w:val="single" w:color="auto" w:sz="4" w:space="0"/>
              <w:bottom w:val="single" w:color="auto" w:sz="4" w:space="0"/>
              <w:right w:val="single" w:color="auto" w:sz="4" w:space="0"/>
            </w:tcBorders>
            <w:noWrap w:val="0"/>
            <w:vAlign w:val="top"/>
          </w:tcPr>
          <w:p w14:paraId="2B995646">
            <w:pPr>
              <w:spacing w:line="500" w:lineRule="exact"/>
              <w:jc w:val="left"/>
              <w:rPr>
                <w:rFonts w:hint="eastAsia" w:ascii="宋体" w:hAnsi="宋体" w:cs="宋体"/>
                <w:color w:val="auto"/>
                <w:sz w:val="18"/>
                <w:szCs w:val="18"/>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top"/>
          </w:tcPr>
          <w:p w14:paraId="4D2FA0F1">
            <w:pPr>
              <w:spacing w:line="500" w:lineRule="exact"/>
              <w:jc w:val="left"/>
              <w:rPr>
                <w:rFonts w:hint="eastAsia" w:ascii="宋体" w:hAnsi="宋体" w:cs="宋体"/>
                <w:color w:val="auto"/>
                <w:sz w:val="18"/>
                <w:szCs w:val="18"/>
                <w:highlight w:val="none"/>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4F1C6524">
            <w:pPr>
              <w:spacing w:line="500" w:lineRule="exact"/>
              <w:jc w:val="left"/>
              <w:rPr>
                <w:rFonts w:hint="eastAsia" w:ascii="宋体" w:hAnsi="宋体" w:cs="宋体"/>
                <w:color w:val="auto"/>
                <w:sz w:val="18"/>
                <w:szCs w:val="18"/>
                <w:highlight w:val="none"/>
              </w:rPr>
            </w:pPr>
          </w:p>
        </w:tc>
        <w:tc>
          <w:tcPr>
            <w:tcW w:w="567" w:type="pct"/>
            <w:tcBorders>
              <w:top w:val="single" w:color="auto" w:sz="4" w:space="0"/>
              <w:left w:val="single" w:color="auto" w:sz="4" w:space="0"/>
              <w:bottom w:val="single" w:color="auto" w:sz="4" w:space="0"/>
              <w:right w:val="single" w:color="auto" w:sz="4" w:space="0"/>
            </w:tcBorders>
            <w:noWrap w:val="0"/>
            <w:vAlign w:val="top"/>
          </w:tcPr>
          <w:p w14:paraId="4F8A8646">
            <w:pPr>
              <w:spacing w:line="500" w:lineRule="exact"/>
              <w:jc w:val="left"/>
              <w:rPr>
                <w:rFonts w:hint="eastAsia" w:ascii="宋体" w:hAnsi="宋体" w:cs="宋体"/>
                <w:color w:val="auto"/>
                <w:sz w:val="18"/>
                <w:szCs w:val="18"/>
                <w:highlight w:val="none"/>
              </w:rPr>
            </w:pPr>
          </w:p>
        </w:tc>
      </w:tr>
      <w:tr w14:paraId="1B44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28" w:type="pct"/>
            <w:gridSpan w:val="3"/>
            <w:tcBorders>
              <w:top w:val="single" w:color="auto" w:sz="4" w:space="0"/>
              <w:left w:val="single" w:color="auto" w:sz="4" w:space="0"/>
              <w:bottom w:val="single" w:color="auto" w:sz="4" w:space="0"/>
              <w:right w:val="single" w:color="auto" w:sz="4" w:space="0"/>
            </w:tcBorders>
            <w:noWrap w:val="0"/>
            <w:vAlign w:val="top"/>
          </w:tcPr>
          <w:p w14:paraId="3ACD6B34">
            <w:pPr>
              <w:spacing w:line="500" w:lineRule="exact"/>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最高投标限价：</w:t>
            </w:r>
          </w:p>
        </w:tc>
        <w:tc>
          <w:tcPr>
            <w:tcW w:w="3971" w:type="pct"/>
            <w:gridSpan w:val="8"/>
            <w:tcBorders>
              <w:top w:val="single" w:color="auto" w:sz="4" w:space="0"/>
              <w:left w:val="single" w:color="auto" w:sz="4" w:space="0"/>
              <w:bottom w:val="single" w:color="auto" w:sz="4" w:space="0"/>
              <w:right w:val="single" w:color="auto" w:sz="4" w:space="0"/>
            </w:tcBorders>
            <w:noWrap w:val="0"/>
            <w:vAlign w:val="top"/>
          </w:tcPr>
          <w:p w14:paraId="00A5869A">
            <w:pPr>
              <w:spacing w:line="500" w:lineRule="exact"/>
              <w:jc w:val="left"/>
              <w:rPr>
                <w:rFonts w:hint="eastAsia" w:ascii="宋体" w:hAnsi="宋体" w:cs="宋体"/>
                <w:color w:val="auto"/>
                <w:sz w:val="18"/>
                <w:szCs w:val="18"/>
                <w:highlight w:val="none"/>
              </w:rPr>
            </w:pPr>
          </w:p>
        </w:tc>
      </w:tr>
      <w:bookmarkEnd w:id="144"/>
    </w:tbl>
    <w:p w14:paraId="09288B9B">
      <w:pPr>
        <w:spacing w:line="4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3C51344B">
      <w:pPr>
        <w:spacing w:line="62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招标人代表：                      记录人：                       监标人：</w:t>
      </w:r>
    </w:p>
    <w:p w14:paraId="11DE38A7">
      <w:pPr>
        <w:spacing w:line="620" w:lineRule="exact"/>
        <w:jc w:val="right"/>
        <w:rPr>
          <w:rFonts w:hint="eastAsia" w:ascii="宋体" w:hAnsi="宋体" w:cs="宋体"/>
          <w:color w:val="auto"/>
          <w:sz w:val="20"/>
          <w:highlight w:val="none"/>
        </w:rPr>
      </w:pPr>
      <w:r>
        <w:rPr>
          <w:rFonts w:hint="eastAsia" w:ascii="宋体" w:hAnsi="宋体" w:cs="宋体"/>
          <w:color w:val="auto"/>
          <w:sz w:val="18"/>
          <w:szCs w:val="18"/>
          <w:highlight w:val="none"/>
        </w:rPr>
        <w:t>年   月   日</w:t>
      </w:r>
    </w:p>
    <w:p w14:paraId="54C3C1F9">
      <w:pPr>
        <w:keepNext/>
        <w:keepLines/>
        <w:spacing w:line="576" w:lineRule="auto"/>
        <w:rPr>
          <w:rFonts w:hint="eastAsia" w:ascii="宋体" w:hAnsi="宋体" w:cs="宋体"/>
          <w:b/>
          <w:bCs/>
          <w:color w:val="auto"/>
          <w:kern w:val="44"/>
          <w:sz w:val="32"/>
          <w:szCs w:val="32"/>
          <w:highlight w:val="none"/>
        </w:rPr>
        <w:sectPr>
          <w:pgSz w:w="11905" w:h="16838"/>
          <w:pgMar w:top="1418" w:right="1701" w:bottom="1418" w:left="1701" w:header="851" w:footer="794" w:gutter="0"/>
          <w:pgBorders w:offsetFrom="page">
            <w:top w:val="none" w:sz="0" w:space="0"/>
            <w:left w:val="none" w:sz="0" w:space="0"/>
            <w:bottom w:val="none" w:sz="0" w:space="0"/>
            <w:right w:val="none" w:sz="0" w:space="0"/>
          </w:pgBorders>
          <w:cols w:space="720" w:num="1"/>
          <w:docGrid w:type="lines" w:linePitch="312" w:charSpace="0"/>
        </w:sectPr>
      </w:pPr>
    </w:p>
    <w:p w14:paraId="1ED1F450">
      <w:pPr>
        <w:pStyle w:val="2"/>
        <w:keepNext w:val="0"/>
        <w:keepLines w:val="0"/>
        <w:rPr>
          <w:rFonts w:hint="eastAsia" w:ascii="宋体" w:hAnsi="宋体" w:eastAsia="宋体" w:cs="宋体"/>
          <w:b/>
          <w:bCs/>
          <w:color w:val="auto"/>
          <w:sz w:val="44"/>
          <w:szCs w:val="44"/>
          <w:highlight w:val="none"/>
        </w:rPr>
        <w:sectPr>
          <w:pgSz w:w="11905" w:h="16838"/>
          <w:pgMar w:top="1418" w:right="1701" w:bottom="1418" w:left="1701" w:header="851" w:footer="794" w:gutter="0"/>
          <w:pgBorders w:offsetFrom="page">
            <w:top w:val="none" w:sz="0" w:space="0"/>
            <w:left w:val="none" w:sz="0" w:space="0"/>
            <w:bottom w:val="none" w:sz="0" w:space="0"/>
            <w:right w:val="none" w:sz="0" w:space="0"/>
          </w:pgBorders>
          <w:cols w:space="720" w:num="1"/>
          <w:docGrid w:type="lines" w:linePitch="312" w:charSpace="0"/>
        </w:sectPr>
      </w:pPr>
      <w:bookmarkStart w:id="145" w:name="_Toc28959"/>
      <w:bookmarkStart w:id="146" w:name="_Toc766"/>
      <w:bookmarkStart w:id="147" w:name="_Toc11428"/>
      <w:bookmarkStart w:id="148" w:name="_Toc27037"/>
      <w:bookmarkStart w:id="149" w:name="_Toc13967"/>
      <w:bookmarkStart w:id="150" w:name="_Toc525063254"/>
      <w:bookmarkStart w:id="151" w:name="_Toc23272"/>
      <w:bookmarkStart w:id="152" w:name="_Toc11766"/>
      <w:bookmarkStart w:id="153" w:name="_Toc10229"/>
      <w:bookmarkStart w:id="154" w:name="_Toc532367881"/>
      <w:r>
        <w:rPr>
          <w:rFonts w:hint="eastAsia" w:ascii="宋体" w:hAnsi="宋体" w:eastAsia="宋体" w:cs="宋体"/>
          <w:b/>
          <w:bCs/>
          <w:color w:val="auto"/>
          <w:sz w:val="44"/>
          <w:szCs w:val="44"/>
          <w:highlight w:val="none"/>
        </w:rPr>
        <w:t>第三章 评标办法（综合评分法）</w:t>
      </w:r>
      <w:bookmarkEnd w:id="145"/>
      <w:bookmarkEnd w:id="146"/>
      <w:bookmarkEnd w:id="147"/>
      <w:bookmarkEnd w:id="148"/>
      <w:bookmarkEnd w:id="149"/>
      <w:bookmarkEnd w:id="150"/>
      <w:bookmarkEnd w:id="151"/>
      <w:bookmarkEnd w:id="152"/>
      <w:bookmarkEnd w:id="153"/>
      <w:bookmarkEnd w:id="154"/>
    </w:p>
    <w:p w14:paraId="7B04D5BE">
      <w:pPr>
        <w:pStyle w:val="3"/>
        <w:keepNext w:val="0"/>
        <w:keepLines w:val="0"/>
        <w:jc w:val="center"/>
        <w:rPr>
          <w:rFonts w:hint="eastAsia" w:ascii="宋体" w:hAnsi="宋体" w:eastAsia="宋体" w:cs="宋体"/>
          <w:color w:val="auto"/>
          <w:highlight w:val="none"/>
        </w:rPr>
      </w:pPr>
      <w:bookmarkStart w:id="155" w:name="_Toc24148"/>
      <w:bookmarkStart w:id="156" w:name="_Toc525063255"/>
      <w:bookmarkStart w:id="157" w:name="_Toc532367882"/>
      <w:bookmarkStart w:id="158" w:name="_Toc10395"/>
      <w:bookmarkStart w:id="159" w:name="_Toc2287"/>
      <w:bookmarkStart w:id="160" w:name="_Toc24355"/>
      <w:bookmarkStart w:id="161" w:name="_Toc31115"/>
      <w:bookmarkStart w:id="162" w:name="_Toc38224850"/>
      <w:bookmarkStart w:id="163" w:name="_Toc30148"/>
      <w:bookmarkStart w:id="164" w:name="_Toc5360"/>
      <w:bookmarkStart w:id="165" w:name="_Toc19559"/>
      <w:r>
        <w:rPr>
          <w:rFonts w:hint="eastAsia" w:ascii="宋体" w:hAnsi="宋体" w:eastAsia="宋体" w:cs="宋体"/>
          <w:color w:val="auto"/>
          <w:highlight w:val="none"/>
        </w:rPr>
        <w:t>评标办法前附表</w:t>
      </w:r>
      <w:bookmarkEnd w:id="155"/>
    </w:p>
    <w:tbl>
      <w:tblPr>
        <w:tblStyle w:val="16"/>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6"/>
        <w:gridCol w:w="1532"/>
        <w:gridCol w:w="6363"/>
      </w:tblGrid>
      <w:tr w14:paraId="7EE4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147" w:type="dxa"/>
            <w:gridSpan w:val="2"/>
            <w:noWrap w:val="0"/>
            <w:vAlign w:val="center"/>
          </w:tcPr>
          <w:p w14:paraId="63119229">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532" w:type="dxa"/>
            <w:noWrap w:val="0"/>
            <w:vAlign w:val="center"/>
          </w:tcPr>
          <w:p w14:paraId="7BA5BF79">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6363" w:type="dxa"/>
            <w:noWrap w:val="0"/>
            <w:vAlign w:val="center"/>
          </w:tcPr>
          <w:p w14:paraId="429B2940">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4CBB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noWrap w:val="0"/>
            <w:vAlign w:val="center"/>
          </w:tcPr>
          <w:p w14:paraId="634614C9">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96" w:type="dxa"/>
            <w:noWrap w:val="0"/>
            <w:vAlign w:val="center"/>
          </w:tcPr>
          <w:p w14:paraId="605F11A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评标方法</w:t>
            </w:r>
          </w:p>
        </w:tc>
        <w:tc>
          <w:tcPr>
            <w:tcW w:w="1532" w:type="dxa"/>
            <w:noWrap w:val="0"/>
            <w:vAlign w:val="center"/>
          </w:tcPr>
          <w:p w14:paraId="2BF953F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中标候选人排序方法</w:t>
            </w:r>
          </w:p>
        </w:tc>
        <w:tc>
          <w:tcPr>
            <w:tcW w:w="6363" w:type="dxa"/>
            <w:noWrap w:val="0"/>
            <w:vAlign w:val="center"/>
          </w:tcPr>
          <w:p w14:paraId="6D2638A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1、本次评标采用综合评分法。</w:t>
            </w:r>
          </w:p>
          <w:p w14:paraId="51A5E0A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评标委员会并按综合得分由高到低排序前3名作为第一、第二、第三中标候选人。若两家或以上的投标人综合得分相同时，则投标报价得分高的排前；若投标报价得分相同，则对具有相同情况的投标人，按中标候选人数量规定，由评标委员会采用记名投票方式，确定中标候选人的排序。</w:t>
            </w:r>
          </w:p>
          <w:p w14:paraId="7B91F3C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记名投票方式确定排序的具体步骤为：由评标委员会对出现该情况的投标人采用记名投票的方式确定，按得票数高低进行排序，根据得票数高低确定中标候选人排序。</w:t>
            </w:r>
          </w:p>
          <w:p w14:paraId="58710B5E">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3、若投标登记或递交投标文件的投标人数量、或通过初步评审的合格投标人家数不足3家的，则该招标失败。</w:t>
            </w:r>
          </w:p>
        </w:tc>
      </w:tr>
      <w:tr w14:paraId="206E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restart"/>
            <w:noWrap w:val="0"/>
            <w:vAlign w:val="center"/>
          </w:tcPr>
          <w:p w14:paraId="216421C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2.1.1</w:t>
            </w:r>
          </w:p>
        </w:tc>
        <w:tc>
          <w:tcPr>
            <w:tcW w:w="1296" w:type="dxa"/>
            <w:vMerge w:val="restart"/>
            <w:noWrap w:val="0"/>
            <w:vAlign w:val="center"/>
          </w:tcPr>
          <w:p w14:paraId="0CF96E8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形式评审标准</w:t>
            </w:r>
          </w:p>
        </w:tc>
        <w:tc>
          <w:tcPr>
            <w:tcW w:w="1532" w:type="dxa"/>
            <w:noWrap w:val="0"/>
            <w:vAlign w:val="center"/>
          </w:tcPr>
          <w:p w14:paraId="05E69107">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p>
        </w:tc>
        <w:tc>
          <w:tcPr>
            <w:tcW w:w="6363" w:type="dxa"/>
            <w:noWrap w:val="0"/>
            <w:vAlign w:val="center"/>
          </w:tcPr>
          <w:p w14:paraId="088678E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与营业执照、资质证书一致（</w:t>
            </w:r>
            <w:r>
              <w:rPr>
                <w:rFonts w:hint="eastAsia" w:ascii="宋体" w:hAnsi="宋体" w:cs="宋体"/>
                <w:b/>
                <w:color w:val="auto"/>
                <w:sz w:val="21"/>
                <w:szCs w:val="21"/>
                <w:highlight w:val="none"/>
              </w:rPr>
              <w:t>特别提示，联合体投标的，联合体各方名称需和营业执照、资质证书的名称一致</w:t>
            </w:r>
            <w:r>
              <w:rPr>
                <w:rFonts w:hint="eastAsia" w:ascii="宋体" w:hAnsi="宋体" w:cs="宋体"/>
                <w:color w:val="auto"/>
                <w:sz w:val="21"/>
                <w:szCs w:val="21"/>
                <w:highlight w:val="none"/>
              </w:rPr>
              <w:t>）；</w:t>
            </w:r>
          </w:p>
        </w:tc>
      </w:tr>
      <w:tr w14:paraId="4F45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7DD487A3">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203FF0E7">
            <w:pPr>
              <w:spacing w:line="360" w:lineRule="auto"/>
              <w:jc w:val="center"/>
              <w:rPr>
                <w:rFonts w:hint="eastAsia" w:ascii="宋体" w:hAnsi="宋体" w:cs="宋体"/>
                <w:color w:val="auto"/>
                <w:sz w:val="21"/>
                <w:szCs w:val="21"/>
                <w:highlight w:val="none"/>
              </w:rPr>
            </w:pPr>
          </w:p>
        </w:tc>
        <w:tc>
          <w:tcPr>
            <w:tcW w:w="1532" w:type="dxa"/>
            <w:noWrap w:val="0"/>
            <w:vAlign w:val="center"/>
          </w:tcPr>
          <w:p w14:paraId="531A6A87">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投标函及投标函附录签字盖章</w:t>
            </w:r>
          </w:p>
        </w:tc>
        <w:tc>
          <w:tcPr>
            <w:tcW w:w="6363" w:type="dxa"/>
            <w:noWrap w:val="0"/>
            <w:vAlign w:val="center"/>
          </w:tcPr>
          <w:p w14:paraId="6F831490">
            <w:pPr>
              <w:snapToGrid w:val="0"/>
              <w:spacing w:line="360" w:lineRule="auto"/>
              <w:rPr>
                <w:rFonts w:hint="eastAsia" w:ascii="宋体" w:hAnsi="宋体" w:cs="宋体"/>
                <w:color w:val="auto"/>
                <w:sz w:val="21"/>
                <w:szCs w:val="21"/>
                <w:highlight w:val="none"/>
              </w:rPr>
            </w:pPr>
            <w:r>
              <w:rPr>
                <w:rFonts w:hint="eastAsia" w:ascii="宋体" w:hAnsi="宋体"/>
                <w:color w:val="auto"/>
                <w:szCs w:val="21"/>
                <w:highlight w:val="none"/>
              </w:rPr>
              <w:t>投标函及其附表格式及签字盖章符合招标文件要求，</w:t>
            </w:r>
            <w:r>
              <w:rPr>
                <w:rFonts w:hint="eastAsia" w:ascii="宋体" w:hAnsi="宋体" w:cs="宋体"/>
                <w:color w:val="auto"/>
                <w:sz w:val="21"/>
                <w:szCs w:val="21"/>
                <w:highlight w:val="none"/>
              </w:rPr>
              <w:t>由法定代表人签字（或盖章）的，应附法定代表人身份证明，由代理人签字（或盖章）的，应附授权委托书，身份证明或授权委托书应符合第六章“投标文件格式”的规定；</w:t>
            </w:r>
          </w:p>
        </w:tc>
      </w:tr>
      <w:tr w14:paraId="279A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47ECAB47">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2CADC30E">
            <w:pPr>
              <w:spacing w:line="360" w:lineRule="auto"/>
              <w:jc w:val="center"/>
              <w:rPr>
                <w:rFonts w:hint="eastAsia" w:ascii="宋体" w:hAnsi="宋体" w:cs="宋体"/>
                <w:color w:val="auto"/>
                <w:sz w:val="21"/>
                <w:szCs w:val="21"/>
                <w:highlight w:val="none"/>
              </w:rPr>
            </w:pPr>
          </w:p>
        </w:tc>
        <w:tc>
          <w:tcPr>
            <w:tcW w:w="1532" w:type="dxa"/>
            <w:noWrap w:val="0"/>
            <w:vAlign w:val="center"/>
          </w:tcPr>
          <w:p w14:paraId="0D2AD949">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6363" w:type="dxa"/>
            <w:noWrap w:val="0"/>
            <w:vAlign w:val="center"/>
          </w:tcPr>
          <w:p w14:paraId="6E59E22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rPr>
              <w:t>章“投标文件格式一《投标函及投标函附录》”</w:t>
            </w:r>
            <w:r>
              <w:rPr>
                <w:rFonts w:hint="eastAsia" w:ascii="宋体" w:hAnsi="宋体" w:cs="宋体"/>
                <w:color w:val="auto"/>
                <w:sz w:val="21"/>
                <w:szCs w:val="21"/>
                <w:highlight w:val="none"/>
                <w:lang w:val="en-US" w:eastAsia="zh-CN"/>
              </w:rPr>
              <w:t>及招标公告附件一《投标人声明》、附件二《联合体协议书》（如有）</w:t>
            </w:r>
            <w:r>
              <w:rPr>
                <w:rFonts w:hint="eastAsia" w:ascii="宋体" w:hAnsi="宋体" w:cs="宋体"/>
                <w:color w:val="auto"/>
                <w:sz w:val="21"/>
                <w:szCs w:val="21"/>
                <w:highlight w:val="none"/>
              </w:rPr>
              <w:t>的规定；</w:t>
            </w:r>
          </w:p>
        </w:tc>
      </w:tr>
      <w:tr w14:paraId="1C04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1F0D00BD">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2DA3C6B9">
            <w:pPr>
              <w:spacing w:line="360" w:lineRule="auto"/>
              <w:jc w:val="center"/>
              <w:rPr>
                <w:rFonts w:hint="eastAsia" w:ascii="宋体" w:hAnsi="宋体" w:cs="宋体"/>
                <w:color w:val="auto"/>
                <w:sz w:val="21"/>
                <w:szCs w:val="21"/>
                <w:highlight w:val="none"/>
              </w:rPr>
            </w:pPr>
          </w:p>
        </w:tc>
        <w:tc>
          <w:tcPr>
            <w:tcW w:w="1532" w:type="dxa"/>
            <w:noWrap w:val="0"/>
            <w:vAlign w:val="center"/>
          </w:tcPr>
          <w:p w14:paraId="7F5ECDC3">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备选投标方案</w:t>
            </w:r>
          </w:p>
        </w:tc>
        <w:tc>
          <w:tcPr>
            <w:tcW w:w="6363" w:type="dxa"/>
            <w:noWrap w:val="0"/>
            <w:vAlign w:val="center"/>
          </w:tcPr>
          <w:p w14:paraId="59B6384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tc>
      </w:tr>
      <w:tr w14:paraId="1ECA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673179EE">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6EA6BB40">
            <w:pPr>
              <w:spacing w:line="360" w:lineRule="auto"/>
              <w:jc w:val="center"/>
              <w:rPr>
                <w:rFonts w:hint="eastAsia" w:ascii="宋体" w:hAnsi="宋体" w:cs="宋体"/>
                <w:color w:val="auto"/>
                <w:sz w:val="21"/>
                <w:szCs w:val="21"/>
                <w:highlight w:val="none"/>
              </w:rPr>
            </w:pPr>
          </w:p>
        </w:tc>
        <w:tc>
          <w:tcPr>
            <w:tcW w:w="1532" w:type="dxa"/>
            <w:noWrap w:val="0"/>
            <w:vAlign w:val="center"/>
          </w:tcPr>
          <w:p w14:paraId="25693CBB">
            <w:pPr>
              <w:spacing w:line="360" w:lineRule="auto"/>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投标人机器码</w:t>
            </w:r>
          </w:p>
        </w:tc>
        <w:tc>
          <w:tcPr>
            <w:tcW w:w="6363" w:type="dxa"/>
            <w:noWrap w:val="0"/>
            <w:vAlign w:val="center"/>
          </w:tcPr>
          <w:p w14:paraId="0F54FE8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投标人与本项目其他投标人加密打包投标文件电脑机器特征码一致的(以广州公共资源交易中心评标系统的检索信息为准),其投标将被否决；</w:t>
            </w:r>
          </w:p>
        </w:tc>
      </w:tr>
      <w:tr w14:paraId="5282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restart"/>
            <w:noWrap w:val="0"/>
            <w:vAlign w:val="center"/>
          </w:tcPr>
          <w:p w14:paraId="6F96135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2.1.2</w:t>
            </w:r>
          </w:p>
        </w:tc>
        <w:tc>
          <w:tcPr>
            <w:tcW w:w="1296" w:type="dxa"/>
            <w:vMerge w:val="restart"/>
            <w:noWrap w:val="0"/>
            <w:vAlign w:val="center"/>
          </w:tcPr>
          <w:p w14:paraId="6FD09F0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1532" w:type="dxa"/>
            <w:noWrap w:val="0"/>
            <w:vAlign w:val="center"/>
          </w:tcPr>
          <w:p w14:paraId="692EE28D">
            <w:pPr>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营业执照</w:t>
            </w:r>
            <w:r>
              <w:rPr>
                <w:rFonts w:hint="eastAsia" w:ascii="宋体" w:hAnsi="宋体" w:cs="宋体"/>
                <w:color w:val="auto"/>
                <w:sz w:val="21"/>
                <w:szCs w:val="21"/>
                <w:highlight w:val="none"/>
                <w:u w:val="single"/>
              </w:rPr>
              <w:t>或事业单位法人证书</w:t>
            </w:r>
          </w:p>
        </w:tc>
        <w:tc>
          <w:tcPr>
            <w:tcW w:w="6363" w:type="dxa"/>
            <w:noWrap w:val="0"/>
            <w:vAlign w:val="center"/>
          </w:tcPr>
          <w:p w14:paraId="69B8008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3.5.1 项规定；</w:t>
            </w:r>
          </w:p>
        </w:tc>
      </w:tr>
      <w:tr w14:paraId="0E7C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170C3F49">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2A89D917">
            <w:pPr>
              <w:spacing w:line="360" w:lineRule="auto"/>
              <w:jc w:val="center"/>
              <w:rPr>
                <w:rFonts w:hint="eastAsia" w:ascii="宋体" w:hAnsi="宋体" w:cs="宋体"/>
                <w:color w:val="auto"/>
                <w:sz w:val="21"/>
                <w:szCs w:val="21"/>
                <w:highlight w:val="none"/>
              </w:rPr>
            </w:pPr>
          </w:p>
        </w:tc>
        <w:tc>
          <w:tcPr>
            <w:tcW w:w="1532" w:type="dxa"/>
            <w:noWrap w:val="0"/>
            <w:vAlign w:val="center"/>
          </w:tcPr>
          <w:p w14:paraId="775BAE2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资质要求</w:t>
            </w:r>
          </w:p>
        </w:tc>
        <w:tc>
          <w:tcPr>
            <w:tcW w:w="6363" w:type="dxa"/>
            <w:noWrap w:val="0"/>
            <w:vAlign w:val="center"/>
          </w:tcPr>
          <w:p w14:paraId="05AE89C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1.4.1 项规定；</w:t>
            </w:r>
          </w:p>
        </w:tc>
      </w:tr>
      <w:tr w14:paraId="722D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664A5E52">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05E68468">
            <w:pPr>
              <w:spacing w:line="360" w:lineRule="auto"/>
              <w:jc w:val="center"/>
              <w:rPr>
                <w:rFonts w:hint="eastAsia" w:ascii="宋体" w:hAnsi="宋体" w:cs="宋体"/>
                <w:color w:val="auto"/>
                <w:sz w:val="21"/>
                <w:szCs w:val="21"/>
                <w:highlight w:val="none"/>
              </w:rPr>
            </w:pPr>
          </w:p>
        </w:tc>
        <w:tc>
          <w:tcPr>
            <w:tcW w:w="1532" w:type="dxa"/>
            <w:noWrap w:val="0"/>
            <w:vAlign w:val="center"/>
          </w:tcPr>
          <w:p w14:paraId="73B65A18">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财务要求</w:t>
            </w:r>
          </w:p>
        </w:tc>
        <w:tc>
          <w:tcPr>
            <w:tcW w:w="6363" w:type="dxa"/>
            <w:noWrap w:val="0"/>
            <w:vAlign w:val="center"/>
          </w:tcPr>
          <w:p w14:paraId="3A09D636">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  </w:t>
            </w:r>
          </w:p>
        </w:tc>
      </w:tr>
      <w:tr w14:paraId="3538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0EC14CFE">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5E0DCDA1">
            <w:pPr>
              <w:spacing w:line="360" w:lineRule="auto"/>
              <w:jc w:val="center"/>
              <w:rPr>
                <w:rFonts w:hint="eastAsia" w:ascii="宋体" w:hAnsi="宋体" w:cs="宋体"/>
                <w:color w:val="auto"/>
                <w:sz w:val="21"/>
                <w:szCs w:val="21"/>
                <w:highlight w:val="none"/>
              </w:rPr>
            </w:pPr>
          </w:p>
        </w:tc>
        <w:tc>
          <w:tcPr>
            <w:tcW w:w="1532" w:type="dxa"/>
            <w:noWrap w:val="0"/>
            <w:vAlign w:val="center"/>
          </w:tcPr>
          <w:p w14:paraId="10FC2C6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业绩要求</w:t>
            </w:r>
          </w:p>
        </w:tc>
        <w:tc>
          <w:tcPr>
            <w:tcW w:w="6363" w:type="dxa"/>
            <w:noWrap w:val="0"/>
            <w:vAlign w:val="center"/>
          </w:tcPr>
          <w:p w14:paraId="1BCB99E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  </w:t>
            </w:r>
          </w:p>
        </w:tc>
      </w:tr>
      <w:tr w14:paraId="0F8B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5A3C8C40">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69835A60">
            <w:pPr>
              <w:spacing w:line="360" w:lineRule="auto"/>
              <w:jc w:val="center"/>
              <w:rPr>
                <w:rFonts w:hint="eastAsia" w:ascii="宋体" w:hAnsi="宋体" w:cs="宋体"/>
                <w:color w:val="auto"/>
                <w:sz w:val="21"/>
                <w:szCs w:val="21"/>
                <w:highlight w:val="none"/>
              </w:rPr>
            </w:pPr>
          </w:p>
        </w:tc>
        <w:tc>
          <w:tcPr>
            <w:tcW w:w="1532" w:type="dxa"/>
            <w:noWrap w:val="0"/>
            <w:vAlign w:val="center"/>
          </w:tcPr>
          <w:p w14:paraId="4C77ED8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信誉要求</w:t>
            </w:r>
          </w:p>
        </w:tc>
        <w:tc>
          <w:tcPr>
            <w:tcW w:w="6363" w:type="dxa"/>
            <w:noWrap w:val="0"/>
            <w:vAlign w:val="center"/>
          </w:tcPr>
          <w:p w14:paraId="162933E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  </w:t>
            </w:r>
          </w:p>
        </w:tc>
      </w:tr>
      <w:tr w14:paraId="6990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0E6517B3">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4F70E685">
            <w:pPr>
              <w:spacing w:line="360" w:lineRule="auto"/>
              <w:jc w:val="center"/>
              <w:rPr>
                <w:rFonts w:hint="eastAsia" w:ascii="宋体" w:hAnsi="宋体" w:cs="宋体"/>
                <w:color w:val="auto"/>
                <w:sz w:val="21"/>
                <w:szCs w:val="21"/>
                <w:highlight w:val="none"/>
              </w:rPr>
            </w:pPr>
          </w:p>
        </w:tc>
        <w:tc>
          <w:tcPr>
            <w:tcW w:w="1532" w:type="dxa"/>
            <w:noWrap w:val="0"/>
            <w:vAlign w:val="center"/>
          </w:tcPr>
          <w:p w14:paraId="138516B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项目负责人</w:t>
            </w:r>
          </w:p>
        </w:tc>
        <w:tc>
          <w:tcPr>
            <w:tcW w:w="6363" w:type="dxa"/>
            <w:noWrap w:val="0"/>
            <w:vAlign w:val="center"/>
          </w:tcPr>
          <w:p w14:paraId="474775D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1.4.1 项规定；</w:t>
            </w:r>
          </w:p>
        </w:tc>
      </w:tr>
      <w:tr w14:paraId="4F5C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7AF4AD8A">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5930C7CD">
            <w:pPr>
              <w:spacing w:line="360" w:lineRule="auto"/>
              <w:jc w:val="center"/>
              <w:rPr>
                <w:rFonts w:hint="eastAsia" w:ascii="宋体" w:hAnsi="宋体" w:cs="宋体"/>
                <w:color w:val="auto"/>
                <w:sz w:val="21"/>
                <w:szCs w:val="21"/>
                <w:highlight w:val="none"/>
              </w:rPr>
            </w:pPr>
          </w:p>
        </w:tc>
        <w:tc>
          <w:tcPr>
            <w:tcW w:w="1532" w:type="dxa"/>
            <w:noWrap w:val="0"/>
            <w:vAlign w:val="center"/>
          </w:tcPr>
          <w:p w14:paraId="24F5212C">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其他主要人员</w:t>
            </w:r>
          </w:p>
        </w:tc>
        <w:tc>
          <w:tcPr>
            <w:tcW w:w="6363" w:type="dxa"/>
            <w:noWrap w:val="0"/>
            <w:vAlign w:val="center"/>
          </w:tcPr>
          <w:p w14:paraId="5D74A1D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  </w:t>
            </w:r>
          </w:p>
        </w:tc>
      </w:tr>
      <w:tr w14:paraId="5B69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5A1AD372">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18703353">
            <w:pPr>
              <w:spacing w:line="360" w:lineRule="auto"/>
              <w:jc w:val="center"/>
              <w:rPr>
                <w:rFonts w:hint="eastAsia" w:ascii="宋体" w:hAnsi="宋体" w:cs="宋体"/>
                <w:color w:val="auto"/>
                <w:sz w:val="21"/>
                <w:szCs w:val="21"/>
                <w:highlight w:val="none"/>
              </w:rPr>
            </w:pPr>
          </w:p>
        </w:tc>
        <w:tc>
          <w:tcPr>
            <w:tcW w:w="1532" w:type="dxa"/>
            <w:noWrap w:val="0"/>
            <w:vAlign w:val="center"/>
          </w:tcPr>
          <w:p w14:paraId="1306644C">
            <w:pPr>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检验监测仪器设备</w:t>
            </w:r>
          </w:p>
        </w:tc>
        <w:tc>
          <w:tcPr>
            <w:tcW w:w="6363" w:type="dxa"/>
            <w:noWrap w:val="0"/>
            <w:vAlign w:val="center"/>
          </w:tcPr>
          <w:p w14:paraId="26F02E79">
            <w:pPr>
              <w:snapToGrid w:val="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  </w:t>
            </w:r>
          </w:p>
        </w:tc>
      </w:tr>
      <w:tr w14:paraId="257F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7313606B">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503FA699">
            <w:pPr>
              <w:spacing w:line="360" w:lineRule="auto"/>
              <w:jc w:val="center"/>
              <w:rPr>
                <w:rFonts w:hint="eastAsia" w:ascii="宋体" w:hAnsi="宋体" w:cs="宋体"/>
                <w:color w:val="auto"/>
                <w:sz w:val="21"/>
                <w:szCs w:val="21"/>
                <w:highlight w:val="none"/>
              </w:rPr>
            </w:pPr>
          </w:p>
        </w:tc>
        <w:tc>
          <w:tcPr>
            <w:tcW w:w="1532" w:type="dxa"/>
            <w:noWrap w:val="0"/>
            <w:vAlign w:val="center"/>
          </w:tcPr>
          <w:p w14:paraId="324B3ED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其他要求</w:t>
            </w:r>
          </w:p>
        </w:tc>
        <w:tc>
          <w:tcPr>
            <w:tcW w:w="6363" w:type="dxa"/>
            <w:noWrap w:val="0"/>
            <w:vAlign w:val="center"/>
          </w:tcPr>
          <w:p w14:paraId="2F389F6E">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符合第二章“投标人须知”第 1.4.1 项规定；</w:t>
            </w:r>
          </w:p>
        </w:tc>
      </w:tr>
      <w:tr w14:paraId="3AC4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614DDF3F">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7996BD56">
            <w:pPr>
              <w:spacing w:line="360" w:lineRule="auto"/>
              <w:jc w:val="center"/>
              <w:rPr>
                <w:rFonts w:hint="eastAsia" w:ascii="宋体" w:hAnsi="宋体" w:cs="宋体"/>
                <w:color w:val="auto"/>
                <w:sz w:val="21"/>
                <w:szCs w:val="21"/>
                <w:highlight w:val="none"/>
              </w:rPr>
            </w:pPr>
          </w:p>
        </w:tc>
        <w:tc>
          <w:tcPr>
            <w:tcW w:w="1532" w:type="dxa"/>
            <w:noWrap w:val="0"/>
            <w:vAlign w:val="center"/>
          </w:tcPr>
          <w:p w14:paraId="6A19E6A4">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联合体投标</w:t>
            </w:r>
          </w:p>
        </w:tc>
        <w:tc>
          <w:tcPr>
            <w:tcW w:w="6363" w:type="dxa"/>
            <w:noWrap w:val="0"/>
            <w:vAlign w:val="center"/>
          </w:tcPr>
          <w:p w14:paraId="2F5B7DA6">
            <w:pPr>
              <w:spacing w:line="360" w:lineRule="auto"/>
              <w:rPr>
                <w:rFonts w:hint="eastAsia" w:ascii="宋体" w:hAnsi="宋体" w:cs="宋体"/>
                <w:color w:val="auto"/>
                <w:sz w:val="21"/>
                <w:szCs w:val="21"/>
                <w:highlight w:val="none"/>
              </w:rPr>
            </w:pPr>
            <w:r>
              <w:rPr>
                <w:rFonts w:hint="eastAsia" w:ascii="宋体" w:hAnsi="宋体" w:cs="宋体"/>
                <w:color w:val="auto"/>
                <w:szCs w:val="21"/>
                <w:highlight w:val="none"/>
              </w:rPr>
              <w:t>本项目接受联合体投标。</w:t>
            </w:r>
            <w:r>
              <w:rPr>
                <w:rFonts w:hint="eastAsia" w:ascii="宋体" w:hAnsi="宋体" w:cs="宋体"/>
                <w:color w:val="auto"/>
                <w:sz w:val="21"/>
                <w:szCs w:val="21"/>
                <w:highlight w:val="none"/>
              </w:rPr>
              <w:t>符合第二章“投标人须知”第 1.4.2 项规定；</w:t>
            </w:r>
          </w:p>
        </w:tc>
      </w:tr>
      <w:tr w14:paraId="63B5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730A1DAE">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7B75DDF8">
            <w:pPr>
              <w:spacing w:line="360" w:lineRule="auto"/>
              <w:jc w:val="center"/>
              <w:rPr>
                <w:rFonts w:hint="eastAsia" w:ascii="宋体" w:hAnsi="宋体" w:cs="宋体"/>
                <w:color w:val="auto"/>
                <w:sz w:val="21"/>
                <w:szCs w:val="21"/>
                <w:highlight w:val="none"/>
              </w:rPr>
            </w:pPr>
          </w:p>
        </w:tc>
        <w:tc>
          <w:tcPr>
            <w:tcW w:w="1532" w:type="dxa"/>
            <w:noWrap w:val="0"/>
            <w:vAlign w:val="center"/>
          </w:tcPr>
          <w:p w14:paraId="19644E49">
            <w:pPr>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不存在禁止投标的情形</w:t>
            </w:r>
          </w:p>
        </w:tc>
        <w:tc>
          <w:tcPr>
            <w:tcW w:w="6363" w:type="dxa"/>
            <w:noWrap w:val="0"/>
            <w:vAlign w:val="center"/>
          </w:tcPr>
          <w:p w14:paraId="2925E425">
            <w:pPr>
              <w:snapToGrid w:val="0"/>
              <w:rPr>
                <w:rFonts w:hint="eastAsia" w:ascii="宋体" w:hAnsi="宋体" w:cs="宋体"/>
                <w:color w:val="auto"/>
                <w:sz w:val="21"/>
                <w:szCs w:val="21"/>
                <w:highlight w:val="none"/>
              </w:rPr>
            </w:pPr>
            <w:r>
              <w:rPr>
                <w:rFonts w:hint="eastAsia" w:ascii="宋体" w:hAnsi="宋体" w:cs="宋体"/>
                <w:color w:val="auto"/>
                <w:sz w:val="21"/>
                <w:szCs w:val="21"/>
                <w:highlight w:val="none"/>
              </w:rPr>
              <w:t>不存在第二章“投标人须知”第 1.4.3 项规定的任何一种情形（以《投标人声明》为准）。</w:t>
            </w:r>
          </w:p>
        </w:tc>
      </w:tr>
      <w:tr w14:paraId="1016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restart"/>
            <w:noWrap w:val="0"/>
            <w:vAlign w:val="center"/>
          </w:tcPr>
          <w:p w14:paraId="2B22D5C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2.1.3</w:t>
            </w:r>
          </w:p>
        </w:tc>
        <w:tc>
          <w:tcPr>
            <w:tcW w:w="1296" w:type="dxa"/>
            <w:vMerge w:val="restart"/>
            <w:noWrap w:val="0"/>
            <w:vAlign w:val="center"/>
          </w:tcPr>
          <w:p w14:paraId="655D642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响应性评审标准</w:t>
            </w:r>
          </w:p>
        </w:tc>
        <w:tc>
          <w:tcPr>
            <w:tcW w:w="1532" w:type="dxa"/>
            <w:noWrap w:val="0"/>
            <w:vAlign w:val="center"/>
          </w:tcPr>
          <w:p w14:paraId="00A0108C">
            <w:pPr>
              <w:spacing w:line="360" w:lineRule="auto"/>
              <w:jc w:val="center"/>
              <w:rPr>
                <w:rFonts w:hint="eastAsia" w:ascii="宋体" w:hAnsi="宋体" w:cs="宋体"/>
                <w:strike/>
                <w:color w:val="auto"/>
                <w:sz w:val="21"/>
                <w:szCs w:val="21"/>
                <w:highlight w:val="none"/>
                <w:u w:val="single"/>
              </w:rPr>
            </w:pPr>
            <w:r>
              <w:rPr>
                <w:rFonts w:hint="eastAsia" w:ascii="宋体" w:hAnsi="宋体" w:cs="宋体"/>
                <w:color w:val="auto"/>
                <w:sz w:val="21"/>
                <w:szCs w:val="21"/>
                <w:highlight w:val="none"/>
              </w:rPr>
              <w:t>投标报价</w:t>
            </w:r>
          </w:p>
        </w:tc>
        <w:tc>
          <w:tcPr>
            <w:tcW w:w="6363" w:type="dxa"/>
            <w:noWrap w:val="0"/>
            <w:vAlign w:val="center"/>
          </w:tcPr>
          <w:p w14:paraId="2AF5623B">
            <w:pPr>
              <w:spacing w:line="360" w:lineRule="auto"/>
              <w:rPr>
                <w:rFonts w:hint="eastAsia" w:ascii="宋体" w:hAnsi="宋体" w:cs="宋体"/>
                <w:strike/>
                <w:color w:val="auto"/>
                <w:sz w:val="21"/>
                <w:szCs w:val="21"/>
                <w:highlight w:val="none"/>
                <w:u w:val="single"/>
              </w:rPr>
            </w:pPr>
            <w:r>
              <w:rPr>
                <w:rFonts w:hint="eastAsia" w:ascii="宋体" w:hAnsi="宋体" w:cs="宋体"/>
                <w:color w:val="auto"/>
                <w:sz w:val="21"/>
                <w:szCs w:val="21"/>
                <w:highlight w:val="none"/>
              </w:rPr>
              <w:t>符合第二章“投标人须知”第 3.2 款规定；</w:t>
            </w:r>
          </w:p>
        </w:tc>
      </w:tr>
      <w:tr w14:paraId="5F56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7D0EF323">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3C0B863F">
            <w:pPr>
              <w:spacing w:line="360" w:lineRule="auto"/>
              <w:jc w:val="center"/>
              <w:rPr>
                <w:rFonts w:hint="eastAsia" w:ascii="宋体" w:hAnsi="宋体" w:cs="宋体"/>
                <w:color w:val="auto"/>
                <w:sz w:val="21"/>
                <w:szCs w:val="21"/>
                <w:highlight w:val="none"/>
              </w:rPr>
            </w:pPr>
          </w:p>
        </w:tc>
        <w:tc>
          <w:tcPr>
            <w:tcW w:w="1532" w:type="dxa"/>
            <w:noWrap w:val="0"/>
            <w:vAlign w:val="center"/>
          </w:tcPr>
          <w:p w14:paraId="723B6D7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投标内容</w:t>
            </w:r>
          </w:p>
        </w:tc>
        <w:tc>
          <w:tcPr>
            <w:tcW w:w="6363" w:type="dxa"/>
            <w:noWrap w:val="0"/>
            <w:vAlign w:val="center"/>
          </w:tcPr>
          <w:p w14:paraId="3FC835D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1.3.1 项规定；</w:t>
            </w:r>
          </w:p>
        </w:tc>
      </w:tr>
      <w:tr w14:paraId="2B9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72C49F46">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1532BDF0">
            <w:pPr>
              <w:spacing w:line="360" w:lineRule="auto"/>
              <w:jc w:val="center"/>
              <w:rPr>
                <w:rFonts w:hint="eastAsia" w:ascii="宋体" w:hAnsi="宋体" w:cs="宋体"/>
                <w:color w:val="auto"/>
                <w:sz w:val="21"/>
                <w:szCs w:val="21"/>
                <w:highlight w:val="none"/>
              </w:rPr>
            </w:pPr>
          </w:p>
        </w:tc>
        <w:tc>
          <w:tcPr>
            <w:tcW w:w="1532" w:type="dxa"/>
            <w:noWrap w:val="0"/>
            <w:vAlign w:val="center"/>
          </w:tcPr>
          <w:p w14:paraId="5F53FE5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6363" w:type="dxa"/>
            <w:noWrap w:val="0"/>
            <w:vAlign w:val="center"/>
          </w:tcPr>
          <w:p w14:paraId="158BB58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1.3.2 项规定；</w:t>
            </w:r>
          </w:p>
        </w:tc>
      </w:tr>
      <w:tr w14:paraId="227E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6CD89D8F">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3BE74337">
            <w:pPr>
              <w:spacing w:line="360" w:lineRule="auto"/>
              <w:jc w:val="center"/>
              <w:rPr>
                <w:rFonts w:hint="eastAsia" w:ascii="宋体" w:hAnsi="宋体" w:cs="宋体"/>
                <w:color w:val="auto"/>
                <w:sz w:val="21"/>
                <w:szCs w:val="21"/>
                <w:highlight w:val="none"/>
              </w:rPr>
            </w:pPr>
          </w:p>
        </w:tc>
        <w:tc>
          <w:tcPr>
            <w:tcW w:w="1532" w:type="dxa"/>
            <w:noWrap w:val="0"/>
            <w:vAlign w:val="center"/>
          </w:tcPr>
          <w:p w14:paraId="01218482">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363" w:type="dxa"/>
            <w:noWrap w:val="0"/>
            <w:vAlign w:val="center"/>
          </w:tcPr>
          <w:p w14:paraId="064AD4C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1.3.3 项规定；</w:t>
            </w:r>
          </w:p>
        </w:tc>
      </w:tr>
      <w:tr w14:paraId="57DB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0B30EBAA">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24AE4141">
            <w:pPr>
              <w:spacing w:line="360" w:lineRule="auto"/>
              <w:jc w:val="center"/>
              <w:rPr>
                <w:rFonts w:hint="eastAsia" w:ascii="宋体" w:hAnsi="宋体" w:cs="宋体"/>
                <w:color w:val="auto"/>
                <w:sz w:val="21"/>
                <w:szCs w:val="21"/>
                <w:highlight w:val="none"/>
              </w:rPr>
            </w:pPr>
          </w:p>
        </w:tc>
        <w:tc>
          <w:tcPr>
            <w:tcW w:w="1532" w:type="dxa"/>
            <w:noWrap w:val="0"/>
            <w:vAlign w:val="center"/>
          </w:tcPr>
          <w:p w14:paraId="02B967FE">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6363" w:type="dxa"/>
            <w:noWrap w:val="0"/>
            <w:vAlign w:val="center"/>
          </w:tcPr>
          <w:p w14:paraId="766E3F0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3.3.1 项规定；</w:t>
            </w:r>
          </w:p>
        </w:tc>
      </w:tr>
      <w:tr w14:paraId="4B5B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vMerge w:val="continue"/>
            <w:noWrap w:val="0"/>
            <w:vAlign w:val="center"/>
          </w:tcPr>
          <w:p w14:paraId="5B846838">
            <w:pPr>
              <w:spacing w:line="360" w:lineRule="auto"/>
              <w:jc w:val="center"/>
              <w:rPr>
                <w:rFonts w:hint="eastAsia" w:ascii="宋体" w:hAnsi="宋体" w:cs="宋体"/>
                <w:color w:val="auto"/>
                <w:sz w:val="21"/>
                <w:szCs w:val="21"/>
                <w:highlight w:val="none"/>
              </w:rPr>
            </w:pPr>
          </w:p>
        </w:tc>
        <w:tc>
          <w:tcPr>
            <w:tcW w:w="1296" w:type="dxa"/>
            <w:vMerge w:val="continue"/>
            <w:noWrap w:val="0"/>
            <w:vAlign w:val="center"/>
          </w:tcPr>
          <w:p w14:paraId="43ACB5AB">
            <w:pPr>
              <w:spacing w:line="360" w:lineRule="auto"/>
              <w:jc w:val="center"/>
              <w:rPr>
                <w:rFonts w:hint="eastAsia" w:ascii="宋体" w:hAnsi="宋体" w:cs="宋体"/>
                <w:color w:val="auto"/>
                <w:sz w:val="21"/>
                <w:szCs w:val="21"/>
                <w:highlight w:val="none"/>
              </w:rPr>
            </w:pPr>
          </w:p>
        </w:tc>
        <w:tc>
          <w:tcPr>
            <w:tcW w:w="1532" w:type="dxa"/>
            <w:noWrap w:val="0"/>
            <w:vAlign w:val="center"/>
          </w:tcPr>
          <w:p w14:paraId="6A0AAAC1">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串通投标情形</w:t>
            </w:r>
          </w:p>
        </w:tc>
        <w:tc>
          <w:tcPr>
            <w:tcW w:w="6363" w:type="dxa"/>
            <w:noWrap w:val="0"/>
            <w:vAlign w:val="center"/>
          </w:tcPr>
          <w:p w14:paraId="2036EED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不存在串通投标情形（串通投标情形以《中华人民共和国招标投标法实施条例》的规定为准）。</w:t>
            </w:r>
          </w:p>
        </w:tc>
      </w:tr>
      <w:tr w14:paraId="34A9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147" w:type="dxa"/>
            <w:gridSpan w:val="2"/>
            <w:noWrap w:val="0"/>
            <w:vAlign w:val="center"/>
          </w:tcPr>
          <w:p w14:paraId="0F4EA2E8">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532" w:type="dxa"/>
            <w:noWrap w:val="0"/>
            <w:vAlign w:val="center"/>
          </w:tcPr>
          <w:p w14:paraId="104561DB">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条款内容</w:t>
            </w:r>
          </w:p>
        </w:tc>
        <w:tc>
          <w:tcPr>
            <w:tcW w:w="6363" w:type="dxa"/>
            <w:noWrap w:val="0"/>
            <w:vAlign w:val="center"/>
          </w:tcPr>
          <w:p w14:paraId="51DBF2FB">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0A32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7" w:type="dxa"/>
            <w:gridSpan w:val="2"/>
            <w:noWrap w:val="0"/>
            <w:vAlign w:val="center"/>
          </w:tcPr>
          <w:p w14:paraId="6E0BAAAF">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1532" w:type="dxa"/>
            <w:noWrap w:val="0"/>
            <w:vAlign w:val="center"/>
          </w:tcPr>
          <w:p w14:paraId="6E330D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4F5CD4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6363" w:type="dxa"/>
            <w:noWrap w:val="0"/>
            <w:vAlign w:val="center"/>
          </w:tcPr>
          <w:p w14:paraId="218DB636">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A：资信业绩部分</w:t>
            </w:r>
            <w:r>
              <w:rPr>
                <w:rFonts w:ascii="宋体" w:hAnsi="宋体" w:eastAsia="宋体"/>
                <w:color w:val="auto"/>
                <w:sz w:val="21"/>
                <w:szCs w:val="21"/>
                <w:highlight w:val="none"/>
                <w:u w:val="single"/>
              </w:rPr>
              <w:t>55</w:t>
            </w:r>
            <w:r>
              <w:rPr>
                <w:rFonts w:hint="eastAsia" w:ascii="宋体" w:hAnsi="宋体" w:eastAsia="宋体"/>
                <w:color w:val="auto"/>
                <w:sz w:val="21"/>
                <w:szCs w:val="21"/>
                <w:highlight w:val="none"/>
              </w:rPr>
              <w:t>分</w:t>
            </w:r>
          </w:p>
          <w:p w14:paraId="40421C26">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B：检测方案部分：</w:t>
            </w:r>
            <w:r>
              <w:rPr>
                <w:rFonts w:ascii="宋体" w:hAnsi="宋体" w:eastAsia="宋体"/>
                <w:color w:val="auto"/>
                <w:sz w:val="21"/>
                <w:szCs w:val="21"/>
                <w:highlight w:val="none"/>
                <w:u w:val="single"/>
              </w:rPr>
              <w:t>30</w:t>
            </w:r>
            <w:r>
              <w:rPr>
                <w:rFonts w:hint="eastAsia" w:ascii="宋体" w:hAnsi="宋体" w:eastAsia="宋体"/>
                <w:color w:val="auto"/>
                <w:sz w:val="21"/>
                <w:szCs w:val="21"/>
                <w:highlight w:val="none"/>
              </w:rPr>
              <w:t>分</w:t>
            </w:r>
          </w:p>
          <w:p w14:paraId="26914866">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C：报价部分：</w:t>
            </w:r>
            <w:r>
              <w:rPr>
                <w:rFonts w:ascii="宋体" w:hAnsi="宋体" w:eastAsia="宋体"/>
                <w:color w:val="auto"/>
                <w:sz w:val="21"/>
                <w:szCs w:val="21"/>
                <w:highlight w:val="none"/>
                <w:u w:val="single"/>
              </w:rPr>
              <w:t>10</w:t>
            </w:r>
            <w:r>
              <w:rPr>
                <w:rFonts w:hint="eastAsia" w:ascii="宋体" w:hAnsi="宋体" w:eastAsia="宋体"/>
                <w:color w:val="auto"/>
                <w:sz w:val="21"/>
                <w:szCs w:val="21"/>
                <w:highlight w:val="none"/>
              </w:rPr>
              <w:t>分</w:t>
            </w:r>
          </w:p>
          <w:p w14:paraId="4CCF815B">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D：其他评分因素：诚信综合评价排名得分</w:t>
            </w:r>
            <w:r>
              <w:rPr>
                <w:rFonts w:hint="eastAsia" w:ascii="宋体" w:hAnsi="宋体" w:eastAsia="宋体"/>
                <w:color w:val="auto"/>
                <w:sz w:val="21"/>
                <w:szCs w:val="21"/>
                <w:highlight w:val="none"/>
                <w:u w:val="single"/>
              </w:rPr>
              <w:t>5</w:t>
            </w:r>
            <w:r>
              <w:rPr>
                <w:rFonts w:hint="eastAsia" w:ascii="宋体" w:hAnsi="宋体" w:eastAsia="宋体"/>
                <w:color w:val="auto"/>
                <w:sz w:val="21"/>
                <w:szCs w:val="21"/>
                <w:highlight w:val="none"/>
              </w:rPr>
              <w:t>分。</w:t>
            </w:r>
          </w:p>
          <w:p w14:paraId="73EBAE2F">
            <w:pPr>
              <w:spacing w:line="360" w:lineRule="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投标人综合得分=A+B+C+D，A、B、C、D得分为各评委的评分汇总后去掉一个最高分和一个最低分后计取的算术平均分。分数出现小数点时，保留小数点后</w:t>
            </w:r>
            <w:r>
              <w:rPr>
                <w:rFonts w:hint="eastAsia" w:ascii="宋体" w:hAnsi="宋体" w:eastAsia="宋体"/>
                <w:color w:val="auto"/>
                <w:sz w:val="21"/>
                <w:szCs w:val="21"/>
                <w:highlight w:val="none"/>
                <w:lang w:eastAsia="zh-CN"/>
              </w:rPr>
              <w:t>两位</w:t>
            </w:r>
            <w:r>
              <w:rPr>
                <w:rFonts w:hint="eastAsia" w:ascii="宋体" w:hAnsi="宋体" w:eastAsia="宋体"/>
                <w:color w:val="auto"/>
                <w:sz w:val="21"/>
                <w:szCs w:val="21"/>
                <w:highlight w:val="none"/>
              </w:rPr>
              <w:t>，第三位小数四舍五入）；</w:t>
            </w:r>
          </w:p>
        </w:tc>
      </w:tr>
      <w:tr w14:paraId="7A61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147" w:type="dxa"/>
            <w:gridSpan w:val="2"/>
            <w:noWrap w:val="0"/>
            <w:vAlign w:val="center"/>
          </w:tcPr>
          <w:p w14:paraId="5C945226">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tc>
        <w:tc>
          <w:tcPr>
            <w:tcW w:w="1532" w:type="dxa"/>
            <w:noWrap w:val="0"/>
            <w:vAlign w:val="center"/>
          </w:tcPr>
          <w:p w14:paraId="56C833E1">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评标基准价计算方法</w:t>
            </w:r>
          </w:p>
        </w:tc>
        <w:tc>
          <w:tcPr>
            <w:tcW w:w="6363" w:type="dxa"/>
            <w:noWrap w:val="0"/>
            <w:vAlign w:val="center"/>
          </w:tcPr>
          <w:p w14:paraId="01849B6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楷体"/>
                <w:color w:val="auto"/>
                <w:kern w:val="0"/>
                <w:sz w:val="21"/>
                <w:szCs w:val="21"/>
                <w:highlight w:val="none"/>
              </w:rPr>
              <w:t>若当通过资格审查及有效性审查在位于[最高投标限价×80%，最高投标限价]区间的投标价中的有效投标人大于5名时，去掉一个最高价和一个最低价，取余下有效投标价的算术平均值作为评标参考价。若当通过资格审查及有效性审查在位于[最高投标限价×80%，最高投标限价]区间的投标价中的有效投标人小于或等于5名时，取所有入围的有效投标价的算术平均值作为评标参考价。若当通过资格审查及有效性审查没有投标价位于[最高投标限价×80%，最高投标限价]区间的有效投标人，所有投标人的报价得分为0分。</w:t>
            </w:r>
          </w:p>
        </w:tc>
      </w:tr>
      <w:tr w14:paraId="7666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7" w:type="dxa"/>
            <w:gridSpan w:val="2"/>
            <w:noWrap w:val="0"/>
            <w:vAlign w:val="center"/>
          </w:tcPr>
          <w:p w14:paraId="65C52D05">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2.2.3</w:t>
            </w:r>
          </w:p>
        </w:tc>
        <w:tc>
          <w:tcPr>
            <w:tcW w:w="1532" w:type="dxa"/>
            <w:noWrap w:val="0"/>
            <w:vAlign w:val="center"/>
          </w:tcPr>
          <w:p w14:paraId="4936241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投标报价的偏差率计算公式</w:t>
            </w:r>
          </w:p>
        </w:tc>
        <w:tc>
          <w:tcPr>
            <w:tcW w:w="6363" w:type="dxa"/>
            <w:noWrap w:val="0"/>
            <w:vAlign w:val="center"/>
          </w:tcPr>
          <w:p w14:paraId="2328680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楷体"/>
                <w:color w:val="auto"/>
                <w:kern w:val="0"/>
                <w:sz w:val="21"/>
                <w:szCs w:val="21"/>
                <w:highlight w:val="none"/>
              </w:rPr>
              <w:t>偏差率=100% ×|（投标人有效投标报价-评标基准价）|/评标基准价（偏差率以四舍五入保留2位小数点，报价偏差率不足1%的，按直线内插法计算投标报价得分）</w:t>
            </w:r>
          </w:p>
        </w:tc>
      </w:tr>
      <w:tr w14:paraId="00A4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147" w:type="dxa"/>
            <w:gridSpan w:val="2"/>
            <w:noWrap w:val="0"/>
            <w:vAlign w:val="center"/>
          </w:tcPr>
          <w:p w14:paraId="78C18114">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532" w:type="dxa"/>
            <w:noWrap w:val="0"/>
            <w:vAlign w:val="center"/>
          </w:tcPr>
          <w:p w14:paraId="6CD4C473">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评分因素</w:t>
            </w:r>
          </w:p>
        </w:tc>
        <w:tc>
          <w:tcPr>
            <w:tcW w:w="6363" w:type="dxa"/>
            <w:noWrap w:val="0"/>
            <w:vAlign w:val="center"/>
          </w:tcPr>
          <w:p w14:paraId="79752BB4">
            <w:pPr>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评分标准</w:t>
            </w:r>
          </w:p>
        </w:tc>
      </w:tr>
      <w:tr w14:paraId="213A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restart"/>
            <w:noWrap w:val="0"/>
            <w:vAlign w:val="center"/>
          </w:tcPr>
          <w:p w14:paraId="7643CE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6EC7C26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6" w:type="dxa"/>
            <w:vMerge w:val="restart"/>
            <w:noWrap w:val="0"/>
            <w:vAlign w:val="center"/>
          </w:tcPr>
          <w:p w14:paraId="14457A5C">
            <w:pPr>
              <w:widowControl/>
              <w:tabs>
                <w:tab w:val="left" w:pos="720"/>
              </w:tabs>
              <w:snapToGrid w:val="0"/>
              <w:spacing w:line="380" w:lineRule="exact"/>
              <w:ind w:left="63" w:leftChars="30"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w:t>
            </w:r>
          </w:p>
          <w:p w14:paraId="7A1B7AA5">
            <w:pPr>
              <w:widowControl/>
              <w:tabs>
                <w:tab w:val="left" w:pos="720"/>
              </w:tabs>
              <w:snapToGrid w:val="0"/>
              <w:spacing w:line="380" w:lineRule="exact"/>
              <w:ind w:right="63" w:rightChars="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p>
        </w:tc>
        <w:tc>
          <w:tcPr>
            <w:tcW w:w="1532" w:type="dxa"/>
            <w:noWrap w:val="0"/>
            <w:vAlign w:val="center"/>
          </w:tcPr>
          <w:p w14:paraId="07861B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企业资信（</w:t>
            </w:r>
            <w:r>
              <w:rPr>
                <w:rFonts w:ascii="宋体" w:hAnsi="宋体" w:eastAsia="宋体" w:cs="宋体"/>
                <w:color w:val="auto"/>
                <w:sz w:val="21"/>
                <w:szCs w:val="21"/>
                <w:highlight w:val="none"/>
                <w:lang w:bidi="ar"/>
              </w:rPr>
              <w:t>30</w:t>
            </w:r>
            <w:r>
              <w:rPr>
                <w:rFonts w:hint="eastAsia" w:ascii="宋体" w:hAnsi="宋体" w:eastAsia="宋体" w:cs="宋体"/>
                <w:color w:val="auto"/>
                <w:sz w:val="21"/>
                <w:szCs w:val="21"/>
                <w:highlight w:val="none"/>
                <w:lang w:bidi="ar"/>
              </w:rPr>
              <w:t>分）</w:t>
            </w:r>
          </w:p>
        </w:tc>
        <w:tc>
          <w:tcPr>
            <w:tcW w:w="6363" w:type="dxa"/>
            <w:noWrap w:val="0"/>
            <w:vAlign w:val="center"/>
          </w:tcPr>
          <w:p w14:paraId="34554476">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1、投标人（如为联合体，指联合体主办方）</w:t>
            </w:r>
            <w:r>
              <w:rPr>
                <w:rFonts w:hint="eastAsia" w:ascii="宋体" w:hAnsi="宋体" w:eastAsia="宋体" w:cs="宋体"/>
                <w:color w:val="auto"/>
                <w:sz w:val="21"/>
                <w:szCs w:val="21"/>
                <w:highlight w:val="none"/>
              </w:rPr>
              <w:t>具备中国合格评定国家认可委员会检验机构</w:t>
            </w:r>
            <w:r>
              <w:rPr>
                <w:rFonts w:hint="eastAsia" w:ascii="宋体" w:hAnsi="宋体" w:eastAsia="宋体" w:cs="宋体"/>
                <w:color w:val="auto"/>
                <w:sz w:val="21"/>
                <w:szCs w:val="21"/>
                <w:highlight w:val="none"/>
                <w:lang w:val="en-US" w:eastAsia="zh-CN"/>
              </w:rPr>
              <w:t>认可</w:t>
            </w:r>
            <w:r>
              <w:rPr>
                <w:rFonts w:hint="eastAsia" w:ascii="宋体" w:hAnsi="宋体" w:eastAsia="宋体" w:cs="宋体"/>
                <w:color w:val="auto"/>
                <w:sz w:val="21"/>
                <w:szCs w:val="21"/>
                <w:highlight w:val="none"/>
              </w:rPr>
              <w:t>证书和实验室认可证书（CNAS）</w:t>
            </w:r>
            <w:r>
              <w:rPr>
                <w:rFonts w:hint="eastAsia" w:ascii="宋体" w:hAnsi="宋体" w:eastAsia="宋体"/>
                <w:color w:val="auto"/>
                <w:sz w:val="21"/>
                <w:szCs w:val="21"/>
                <w:highlight w:val="none"/>
              </w:rPr>
              <w:t>，每项得</w:t>
            </w:r>
            <w:r>
              <w:rPr>
                <w:rFonts w:ascii="宋体" w:hAnsi="宋体" w:eastAsia="宋体"/>
                <w:color w:val="auto"/>
                <w:sz w:val="21"/>
                <w:szCs w:val="21"/>
                <w:highlight w:val="none"/>
              </w:rPr>
              <w:t>2分，最高</w:t>
            </w:r>
            <w:r>
              <w:rPr>
                <w:rFonts w:hint="eastAsia" w:ascii="宋体" w:hAnsi="宋体" w:eastAsia="宋体"/>
                <w:color w:val="auto"/>
                <w:sz w:val="21"/>
                <w:szCs w:val="21"/>
                <w:highlight w:val="none"/>
              </w:rPr>
              <w:t>得</w:t>
            </w:r>
            <w:r>
              <w:rPr>
                <w:rFonts w:ascii="宋体" w:hAnsi="宋体" w:eastAsia="宋体"/>
                <w:color w:val="auto"/>
                <w:sz w:val="21"/>
                <w:szCs w:val="21"/>
                <w:highlight w:val="none"/>
              </w:rPr>
              <w:t>4</w:t>
            </w:r>
            <w:r>
              <w:rPr>
                <w:rFonts w:hint="eastAsia" w:ascii="宋体" w:hAnsi="宋体" w:eastAsia="宋体"/>
                <w:color w:val="auto"/>
                <w:sz w:val="21"/>
                <w:szCs w:val="21"/>
                <w:highlight w:val="none"/>
              </w:rPr>
              <w:t>分。</w:t>
            </w:r>
          </w:p>
          <w:p w14:paraId="42CBB63A">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【注：须提交证书扫描件或相关网址查询结果截图，否则不得分。】</w:t>
            </w:r>
          </w:p>
          <w:p w14:paraId="6147B4EF">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2、投标人（如为联合体，指联合体主办方）自2020年1月1日至投标截止时间止，获得过“科学技术奖励”或“科技进步奖”证书的：</w:t>
            </w:r>
          </w:p>
          <w:p w14:paraId="78CF0598">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（1）获得省级或以上科学技术奖励或科技进步奖证书的，每项得2分；</w:t>
            </w:r>
          </w:p>
          <w:p w14:paraId="489B8D3F">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（2）获得市级（含副省级市）科学技术奖励或科技进步奖证书的，每项得1分。</w:t>
            </w:r>
          </w:p>
          <w:p w14:paraId="08DBCC5E">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无则不得分。本项最高得4分。</w:t>
            </w:r>
          </w:p>
          <w:p w14:paraId="55EA137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【注：①须提供相关证书原件清晰扫描件并加盖单位公章。同一项目获得多个奖项的，按最高奖项计取，不重复计算。获奖时间以证书中载明的发证时间为准。</w:t>
            </w:r>
          </w:p>
          <w:p w14:paraId="28B78846">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②科学技术奖励证书颁发部门为国家或地方人民政府或行业社会组织机构（行业协会）。若为行业社会组织机构（行业协会）颁发的证书，还需提供该机构（行业协会）在“中国社会组织政务服务平台(全国社会组织信用信息公示平台)”（https://xxgs.chinanpo.mca.gov.cn/gsxt/newList）有登记的网页查询截图，同时须提供其在査询结果“状态”栏必须为“正常”，查询结果截图加盖投标单位公章，否则不得分。</w:t>
            </w:r>
          </w:p>
          <w:p w14:paraId="6D819D6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③若以联合体方式投标的，本项评分内容以主办方提供资料为准，成员单位提供不计分。】</w:t>
            </w:r>
          </w:p>
          <w:p w14:paraId="304E3B05">
            <w:pPr>
              <w:widowControl/>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3、投标人（如为联合体，指联合体主办方）具有环境管理体系、职业健康安全管理体系、质量管理体系、信息安全管理体系、信息技术服务管理体系、知识产权管理体系、履约能力评价体系认证证书</w:t>
            </w:r>
          </w:p>
          <w:p w14:paraId="6E29E390">
            <w:pPr>
              <w:widowControl/>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，且在有效期内的，每具有一项得1分，最高得7分。</w:t>
            </w:r>
          </w:p>
          <w:p w14:paraId="09FB683F">
            <w:pPr>
              <w:widowControl/>
              <w:spacing w:line="360"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【注：须提供相关证书的清晰扫描件，没有提供的不得分。】</w:t>
            </w:r>
          </w:p>
          <w:p w14:paraId="41AEB0AF">
            <w:pPr>
              <w:widowControl/>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4、投标人（如为联合体，指联合体主办方）自2020年1月1日至投标截止时间止，获得省级或以上行业协会颁发的行业协会“先进单位”称号的，每一年得1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p w14:paraId="6B735510">
            <w:pPr>
              <w:widowControl/>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①需提供近五年截止至最近评审年度（2024年）的证书清晰扫描件证明材料，没有提供的不得分。同一年度获得多次的只计算一次，如提供相关行业协会颁发的证书，则须同时提供该行业协会在“中国社会组织政务服务平台(全国社会组织信用信息公示平台)”（https://xxgs.chinanpo.mca.gov.cn/gsxt/newList）有登记的网页查询截图，同时须提供其在</w:t>
            </w:r>
            <w:r>
              <w:rPr>
                <w:rFonts w:hint="eastAsia" w:ascii="宋体" w:hAnsi="宋体" w:eastAsia="宋体" w:cs="宋体"/>
                <w:color w:val="auto"/>
                <w:sz w:val="21"/>
                <w:szCs w:val="21"/>
                <w:highlight w:val="none"/>
                <w:lang w:eastAsia="zh-CN"/>
              </w:rPr>
              <w:t>查</w:t>
            </w:r>
            <w:r>
              <w:rPr>
                <w:rFonts w:hint="eastAsia" w:ascii="宋体" w:hAnsi="宋体" w:eastAsia="宋体" w:cs="宋体"/>
                <w:color w:val="auto"/>
                <w:sz w:val="21"/>
                <w:szCs w:val="21"/>
                <w:highlight w:val="none"/>
              </w:rPr>
              <w:t>询结果“状态”栏必须为“正常”，查询结果截图加盖投标单位公章，否则不予计分，没有提供的不得分。</w:t>
            </w:r>
          </w:p>
          <w:p w14:paraId="17737FB4">
            <w:pPr>
              <w:widowControl/>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【注：须提供相关证书的清晰扫描件，没有提供的不得分。】</w:t>
            </w:r>
          </w:p>
          <w:p w14:paraId="41CEE60F">
            <w:pPr>
              <w:widowControl/>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5、投标人（若联合体投标，指联合体主办方）2020年至今（含最近评审年份）获得国家税务局“A级纳税人”称号的每个得1.5分，最高得7.5分。</w:t>
            </w:r>
          </w:p>
          <w:p w14:paraId="1F191D83">
            <w:pPr>
              <w:widowControl/>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【注：“A级纳税人称号”以国家税务总局查询网页或省级（含直辖市、计划单列市）税务局查询网</w:t>
            </w:r>
            <w:r>
              <w:rPr>
                <w:rFonts w:hint="eastAsia" w:ascii="宋体" w:hAnsi="宋体" w:eastAsia="宋体"/>
                <w:color w:val="auto"/>
                <w:sz w:val="21"/>
                <w:szCs w:val="21"/>
                <w:highlight w:val="none"/>
              </w:rPr>
              <w:t>页信息查询结果截图为准，纳税人等级只计算投标人自身（不计算投标人的分公司和子公司）。投标人须提供在上述网站的查询结果网页截图（不符合条件或未提交截图的不计分）。时间以税务局官网公布的获奖年度（评价年度）为准。】</w:t>
            </w:r>
          </w:p>
        </w:tc>
      </w:tr>
      <w:tr w14:paraId="1345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continue"/>
            <w:noWrap w:val="0"/>
            <w:vAlign w:val="center"/>
          </w:tcPr>
          <w:p w14:paraId="4803558C">
            <w:pPr>
              <w:spacing w:line="360" w:lineRule="auto"/>
              <w:jc w:val="center"/>
              <w:rPr>
                <w:rFonts w:hint="eastAsia" w:ascii="宋体" w:hAnsi="宋体" w:eastAsia="宋体" w:cs="宋体"/>
                <w:color w:val="auto"/>
                <w:sz w:val="21"/>
                <w:szCs w:val="21"/>
                <w:highlight w:val="none"/>
              </w:rPr>
            </w:pPr>
          </w:p>
        </w:tc>
        <w:tc>
          <w:tcPr>
            <w:tcW w:w="1296" w:type="dxa"/>
            <w:vMerge w:val="continue"/>
            <w:noWrap w:val="0"/>
            <w:vAlign w:val="center"/>
          </w:tcPr>
          <w:p w14:paraId="5C1AC99B">
            <w:pPr>
              <w:widowControl/>
              <w:tabs>
                <w:tab w:val="left" w:pos="720"/>
              </w:tabs>
              <w:snapToGrid w:val="0"/>
              <w:spacing w:line="380" w:lineRule="exact"/>
              <w:ind w:right="63" w:rightChars="30"/>
              <w:jc w:val="center"/>
              <w:rPr>
                <w:rFonts w:hint="eastAsia" w:ascii="宋体" w:hAnsi="宋体" w:eastAsia="宋体" w:cs="宋体"/>
                <w:color w:val="auto"/>
                <w:sz w:val="21"/>
                <w:szCs w:val="21"/>
                <w:highlight w:val="none"/>
              </w:rPr>
            </w:pPr>
          </w:p>
        </w:tc>
        <w:tc>
          <w:tcPr>
            <w:tcW w:w="1532" w:type="dxa"/>
            <w:noWrap w:val="0"/>
            <w:vAlign w:val="center"/>
          </w:tcPr>
          <w:p w14:paraId="4C1B8C4D">
            <w:pPr>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Cs w:val="21"/>
                <w:highlight w:val="none"/>
              </w:rPr>
              <w:t>工程业绩（</w:t>
            </w:r>
            <w:r>
              <w:rPr>
                <w:rFonts w:ascii="宋体" w:hAnsi="宋体" w:eastAsia="宋体" w:cs="宋体"/>
                <w:color w:val="auto"/>
                <w:szCs w:val="21"/>
                <w:highlight w:val="none"/>
              </w:rPr>
              <w:t>10</w:t>
            </w:r>
            <w:r>
              <w:rPr>
                <w:rFonts w:hint="eastAsia" w:ascii="宋体" w:hAnsi="宋体" w:eastAsia="宋体" w:cs="宋体"/>
                <w:color w:val="auto"/>
                <w:szCs w:val="21"/>
                <w:highlight w:val="none"/>
              </w:rPr>
              <w:t>分）</w:t>
            </w:r>
          </w:p>
        </w:tc>
        <w:tc>
          <w:tcPr>
            <w:tcW w:w="6363" w:type="dxa"/>
            <w:noWrap w:val="0"/>
            <w:vAlign w:val="center"/>
          </w:tcPr>
          <w:p w14:paraId="6C6A9C2E">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投标人2020年1月1日至今承接过的类似检测（或检测监测）业绩，每项得2分，本项最高得10分。</w:t>
            </w:r>
          </w:p>
          <w:p w14:paraId="15E7DD8F">
            <w:pPr>
              <w:spacing w:line="300" w:lineRule="auto"/>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rPr>
              <w:t>【注：类似项目业绩是指包含类似检测监测内容（见证取样检测、地基基础工程检测、主体结构工程现场检测、基坑监测、主体沉降观测、高支模监测等）中的一项或多项的工程质量检测业绩，需提供中标通知书(或免招证明资料)及技术服务合同证明材料。类似项目业绩金额以合同为准，类似项目业绩时间以合同签订时间为准。】</w:t>
            </w:r>
          </w:p>
        </w:tc>
      </w:tr>
      <w:tr w14:paraId="1334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51" w:type="dxa"/>
            <w:vMerge w:val="continue"/>
            <w:noWrap w:val="0"/>
            <w:vAlign w:val="center"/>
          </w:tcPr>
          <w:p w14:paraId="48EC5E24">
            <w:pPr>
              <w:spacing w:line="360" w:lineRule="auto"/>
              <w:jc w:val="center"/>
              <w:rPr>
                <w:rFonts w:hint="eastAsia" w:ascii="宋体" w:hAnsi="宋体" w:eastAsia="宋体" w:cs="宋体"/>
                <w:color w:val="auto"/>
                <w:sz w:val="21"/>
                <w:szCs w:val="21"/>
                <w:highlight w:val="none"/>
              </w:rPr>
            </w:pPr>
          </w:p>
        </w:tc>
        <w:tc>
          <w:tcPr>
            <w:tcW w:w="1296" w:type="dxa"/>
            <w:vMerge w:val="continue"/>
            <w:noWrap w:val="0"/>
            <w:vAlign w:val="center"/>
          </w:tcPr>
          <w:p w14:paraId="302606C5">
            <w:pPr>
              <w:spacing w:line="360" w:lineRule="auto"/>
              <w:jc w:val="center"/>
              <w:rPr>
                <w:rFonts w:hint="eastAsia" w:ascii="宋体" w:hAnsi="宋体" w:eastAsia="宋体" w:cs="宋体"/>
                <w:color w:val="auto"/>
                <w:sz w:val="21"/>
                <w:szCs w:val="21"/>
                <w:highlight w:val="none"/>
              </w:rPr>
            </w:pPr>
          </w:p>
        </w:tc>
        <w:tc>
          <w:tcPr>
            <w:tcW w:w="1532" w:type="dxa"/>
            <w:noWrap w:val="0"/>
            <w:vAlign w:val="center"/>
          </w:tcPr>
          <w:p w14:paraId="6AD0E1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拟投入本项目人员的技术水平（15分）</w:t>
            </w:r>
          </w:p>
        </w:tc>
        <w:tc>
          <w:tcPr>
            <w:tcW w:w="6363" w:type="dxa"/>
            <w:noWrap w:val="0"/>
            <w:vAlign w:val="center"/>
          </w:tcPr>
          <w:p w14:paraId="05B8EBB0">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项目负责人（如为联合体，指联合体主办方）：</w:t>
            </w:r>
          </w:p>
          <w:p w14:paraId="1ACF573E">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（1）具备建筑工程检测高级工程师或以上职称，得2分</w:t>
            </w:r>
            <w:r>
              <w:rPr>
                <w:rFonts w:hint="eastAsia" w:ascii="宋体" w:hAnsi="宋体" w:eastAsia="宋体"/>
                <w:color w:val="auto"/>
                <w:sz w:val="21"/>
                <w:szCs w:val="21"/>
                <w:highlight w:val="none"/>
              </w:rPr>
              <w:t>;具备建筑工程检测工程师职称的，得1分。</w:t>
            </w:r>
          </w:p>
          <w:p w14:paraId="452983F9">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（2）持有省级建设工程质量安全检测和鉴定协会颁发的检测鉴定培训合格证：</w:t>
            </w:r>
          </w:p>
          <w:p w14:paraId="17526857">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1.检测项目（方法）具备20项或以上的得3分；</w:t>
            </w:r>
          </w:p>
          <w:p w14:paraId="030E98F6">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2.检测项目（方法）具备11-19项的得2分；</w:t>
            </w:r>
          </w:p>
          <w:p w14:paraId="59555827">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3.检测项目（方法）具备6-10项的得1分；</w:t>
            </w:r>
          </w:p>
          <w:p w14:paraId="22380CD2">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4.检测项目（方法）具备1-5项的得0.5分；</w:t>
            </w:r>
          </w:p>
          <w:p w14:paraId="0642DFE7">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5.没有不得分。</w:t>
            </w:r>
          </w:p>
          <w:p w14:paraId="152B6C18">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注：本项最多得5分。</w:t>
            </w:r>
          </w:p>
          <w:p w14:paraId="7BE68DD5">
            <w:pPr>
              <w:spacing w:line="360" w:lineRule="auto"/>
              <w:jc w:val="left"/>
              <w:rPr>
                <w:rFonts w:ascii="宋体" w:hAnsi="宋体" w:eastAsia="宋体" w:cs="Times New Roman"/>
                <w:color w:val="auto"/>
                <w:sz w:val="21"/>
                <w:szCs w:val="21"/>
                <w:highlight w:val="none"/>
              </w:rPr>
            </w:pPr>
          </w:p>
          <w:p w14:paraId="0E049DBD">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技术负责人（如为联合体，指联合体主办方）：</w:t>
            </w:r>
          </w:p>
          <w:p w14:paraId="21CA3606">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（1）具备高级工程师或以上职称，得2分；具备中级工程师职称，得1分。</w:t>
            </w:r>
          </w:p>
          <w:p w14:paraId="6372C41A">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（2）具有国家注册土木工程师（岩土）注册执业证书，得1分。</w:t>
            </w:r>
          </w:p>
          <w:p w14:paraId="098BD227">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（3）具有一级注册结构工程师注册执业证书，得1分。具备二级注册结构工程师注册执业证书，得0.5分。</w:t>
            </w:r>
          </w:p>
          <w:p w14:paraId="7357215F">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（4）具有省建设工程质量安全检测和鉴定协会颁发检测员证</w:t>
            </w:r>
            <w:r>
              <w:rPr>
                <w:rFonts w:hint="eastAsia" w:ascii="宋体" w:hAnsi="宋体" w:eastAsia="宋体"/>
                <w:color w:val="auto"/>
                <w:sz w:val="21"/>
                <w:szCs w:val="21"/>
                <w:highlight w:val="none"/>
              </w:rPr>
              <w:t>（检测鉴定培训合格证）</w:t>
            </w:r>
            <w:r>
              <w:rPr>
                <w:rFonts w:hint="eastAsia" w:ascii="宋体" w:hAnsi="宋体" w:eastAsia="宋体" w:cs="Times New Roman"/>
                <w:color w:val="auto"/>
                <w:sz w:val="21"/>
                <w:szCs w:val="21"/>
                <w:highlight w:val="none"/>
              </w:rPr>
              <w:t>的得1分。</w:t>
            </w:r>
          </w:p>
          <w:p w14:paraId="41B5EC54">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注：本项最多得5分。</w:t>
            </w:r>
          </w:p>
          <w:p w14:paraId="621AC608">
            <w:pPr>
              <w:spacing w:line="360" w:lineRule="auto"/>
              <w:jc w:val="left"/>
              <w:rPr>
                <w:rFonts w:ascii="宋体" w:hAnsi="宋体" w:eastAsia="宋体" w:cs="Times New Roman"/>
                <w:color w:val="auto"/>
                <w:sz w:val="21"/>
                <w:szCs w:val="21"/>
                <w:highlight w:val="none"/>
              </w:rPr>
            </w:pPr>
          </w:p>
          <w:p w14:paraId="594FE15E">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检测技术人员：</w:t>
            </w:r>
          </w:p>
          <w:p w14:paraId="4CAC954B">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（1）具有高级工程师或以上的每人得1分，最多得3分；</w:t>
            </w:r>
          </w:p>
          <w:p w14:paraId="6F3483D3">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（2）具有工程师职称的每人得0.5分，最多得2分。</w:t>
            </w:r>
          </w:p>
          <w:p w14:paraId="4391D869">
            <w:pPr>
              <w:spacing w:line="360" w:lineRule="auto"/>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注：检测技术人员指具有省级建设工程质量安全检测和鉴定协会颁发的检测员证（检测鉴定培训合格证）的企业在职人员，本项目最多得5分。</w:t>
            </w:r>
          </w:p>
          <w:p w14:paraId="53325EF1">
            <w:pPr>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注：（1）上述项目负责人、技术负责人应为不同人员，不得互相兼任；</w:t>
            </w:r>
          </w:p>
          <w:p w14:paraId="6D17F76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（2）相关人员需提供身份证、职称证（如有）、注册执业证（如有）、检测员证（或检测鉴定培训合格证）（如有）、提供投标截止前一个月（2025年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月）在单位购买社保的证明文件扫描件，否则不计分</w:t>
            </w:r>
            <w:r>
              <w:rPr>
                <w:rFonts w:hint="eastAsia" w:ascii="宋体" w:hAnsi="宋体" w:eastAsia="宋体" w:cs="宋体"/>
                <w:color w:val="auto"/>
                <w:sz w:val="21"/>
                <w:szCs w:val="21"/>
                <w:highlight w:val="none"/>
                <w:lang w:eastAsia="zh-CN"/>
              </w:rPr>
              <w:t>。</w:t>
            </w:r>
          </w:p>
        </w:tc>
      </w:tr>
      <w:tr w14:paraId="3EF9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51" w:type="dxa"/>
            <w:vMerge w:val="restart"/>
            <w:noWrap w:val="0"/>
            <w:vAlign w:val="center"/>
          </w:tcPr>
          <w:p w14:paraId="16C265D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FB3FE5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6" w:type="dxa"/>
            <w:vMerge w:val="restart"/>
            <w:noWrap w:val="0"/>
            <w:vAlign w:val="center"/>
          </w:tcPr>
          <w:p w14:paraId="4E0FDAAE">
            <w:pPr>
              <w:widowControl/>
              <w:tabs>
                <w:tab w:val="left" w:pos="720"/>
              </w:tabs>
              <w:snapToGrid w:val="0"/>
              <w:spacing w:line="380" w:lineRule="exact"/>
              <w:ind w:left="63" w:leftChars="30" w:right="63" w:rightChars="3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方案评分标准（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1532" w:type="dxa"/>
            <w:noWrap w:val="0"/>
            <w:vAlign w:val="center"/>
          </w:tcPr>
          <w:p w14:paraId="4D852274">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检测技术方案</w:t>
            </w:r>
          </w:p>
          <w:p w14:paraId="202B49D7">
            <w:pPr>
              <w:jc w:val="center"/>
              <w:rPr>
                <w:rFonts w:hint="eastAsia" w:ascii="宋体" w:hAnsi="宋体" w:eastAsia="宋体" w:cs="宋体"/>
                <w:color w:val="auto"/>
                <w:sz w:val="21"/>
                <w:szCs w:val="21"/>
                <w:highlight w:val="none"/>
                <w:lang w:val="zh-CN"/>
              </w:rPr>
            </w:pPr>
            <w:r>
              <w:rPr>
                <w:rFonts w:hint="eastAsia" w:ascii="宋体" w:hAnsi="宋体" w:eastAsia="宋体"/>
                <w:color w:val="auto"/>
                <w:sz w:val="21"/>
                <w:szCs w:val="21"/>
                <w:highlight w:val="none"/>
              </w:rPr>
              <w:t>（10分）</w:t>
            </w:r>
          </w:p>
        </w:tc>
        <w:tc>
          <w:tcPr>
            <w:tcW w:w="6363" w:type="dxa"/>
            <w:noWrap w:val="0"/>
            <w:vAlign w:val="center"/>
          </w:tcPr>
          <w:p w14:paraId="6A14B1C5">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优：检测方案详细、具体，内容齐全，方法先进，能满足本工程提出的所有检测项目，有具体可行的质量、进度确保措施，得8-10分；</w:t>
            </w:r>
          </w:p>
          <w:p w14:paraId="28784B3E">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良：检测方案较详细、较具体，内容较齐全，方法符合检测要求，有具体可行的质量、进度确保措施，得5-7分；</w:t>
            </w:r>
          </w:p>
          <w:p w14:paraId="66E3D415">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一般：方案基本完整，内容阐述缺项，方法基本满足检测要求，得2-4分；</w:t>
            </w:r>
          </w:p>
          <w:p w14:paraId="3A55FBC7">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差：方案不完整，方法不满足检测要求，得0-1分。</w:t>
            </w:r>
          </w:p>
        </w:tc>
      </w:tr>
      <w:tr w14:paraId="103B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51" w:type="dxa"/>
            <w:vMerge w:val="continue"/>
            <w:noWrap w:val="0"/>
            <w:vAlign w:val="center"/>
          </w:tcPr>
          <w:p w14:paraId="11F02714">
            <w:pPr>
              <w:spacing w:line="360" w:lineRule="auto"/>
              <w:jc w:val="center"/>
              <w:rPr>
                <w:rFonts w:hint="eastAsia" w:ascii="宋体" w:hAnsi="宋体" w:eastAsia="宋体" w:cs="宋体"/>
                <w:color w:val="auto"/>
                <w:sz w:val="21"/>
                <w:szCs w:val="21"/>
                <w:highlight w:val="none"/>
              </w:rPr>
            </w:pPr>
          </w:p>
        </w:tc>
        <w:tc>
          <w:tcPr>
            <w:tcW w:w="1296" w:type="dxa"/>
            <w:vMerge w:val="continue"/>
            <w:noWrap w:val="0"/>
            <w:vAlign w:val="center"/>
          </w:tcPr>
          <w:p w14:paraId="7B3E8156">
            <w:pPr>
              <w:widowControl/>
              <w:tabs>
                <w:tab w:val="left" w:pos="720"/>
              </w:tabs>
              <w:snapToGrid w:val="0"/>
              <w:spacing w:line="380" w:lineRule="exact"/>
              <w:ind w:left="63" w:leftChars="30" w:right="63" w:rightChars="30"/>
              <w:jc w:val="left"/>
              <w:rPr>
                <w:rFonts w:hint="eastAsia" w:ascii="宋体" w:hAnsi="宋体" w:eastAsia="宋体" w:cs="宋体"/>
                <w:color w:val="auto"/>
                <w:sz w:val="21"/>
                <w:szCs w:val="21"/>
                <w:highlight w:val="none"/>
              </w:rPr>
            </w:pPr>
          </w:p>
        </w:tc>
        <w:tc>
          <w:tcPr>
            <w:tcW w:w="1532" w:type="dxa"/>
            <w:noWrap w:val="0"/>
            <w:vAlign w:val="center"/>
          </w:tcPr>
          <w:p w14:paraId="33247313">
            <w:pPr>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拟投入的检测监测设备（2</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rPr>
              <w:t>分）</w:t>
            </w:r>
          </w:p>
        </w:tc>
        <w:tc>
          <w:tcPr>
            <w:tcW w:w="6363" w:type="dxa"/>
            <w:noWrap w:val="0"/>
            <w:vAlign w:val="center"/>
          </w:tcPr>
          <w:p w14:paraId="44EDC836">
            <w:pPr>
              <w:spacing w:line="360" w:lineRule="auto"/>
              <w:jc w:val="left"/>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（1）拟投入本项目检测监测设备（满分10分）：</w:t>
            </w:r>
          </w:p>
          <w:p w14:paraId="39A43D02">
            <w:pPr>
              <w:spacing w:line="360" w:lineRule="auto"/>
              <w:jc w:val="left"/>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优：设备齐全、先进、现代化，满足检测监测和工期需要，年检合格，并且全部设备属于自有，得8-10分；</w:t>
            </w:r>
          </w:p>
          <w:p w14:paraId="5FD7CA11">
            <w:pPr>
              <w:spacing w:line="360" w:lineRule="auto"/>
              <w:jc w:val="left"/>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良：设备齐全，满足检测监测和工期需要，设备年检合格，80％（含80％）以上设备属于自有，得5-7分；</w:t>
            </w:r>
          </w:p>
          <w:p w14:paraId="3298C0F5">
            <w:pPr>
              <w:spacing w:line="360" w:lineRule="auto"/>
              <w:jc w:val="left"/>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中：设备齐全，设备年检合格，基本满足检测监测和工期要求，60％～80％（不含80％）设备属于自有，得2-4分；</w:t>
            </w:r>
          </w:p>
          <w:p w14:paraId="2DD722D0">
            <w:pPr>
              <w:spacing w:line="360" w:lineRule="auto"/>
              <w:jc w:val="left"/>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差：设备不能满足检测监测和工期需要，60％（不含60％）以下设备属于自有，得0-1分。</w:t>
            </w:r>
          </w:p>
          <w:p w14:paraId="0A187384">
            <w:pPr>
              <w:spacing w:line="360" w:lineRule="auto"/>
              <w:jc w:val="left"/>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（2）拟投入本项目配合车辆（满分10分）（如为联合体，指联合体主办方）</w:t>
            </w:r>
          </w:p>
          <w:p w14:paraId="6D781E55">
            <w:pPr>
              <w:spacing w:line="360" w:lineRule="auto"/>
              <w:jc w:val="left"/>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自有用于静载试验检测试块运输（重型普通货车）或静载吊装车辆（重型非载货专项作业车）的，每台得2分，最多得10分。</w:t>
            </w:r>
          </w:p>
          <w:p w14:paraId="307D3D8C">
            <w:pPr>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bidi="ar"/>
              </w:rPr>
              <w:t>注：检测监测设备需提交权属证明，如仪器检定证书或仪器设备购置发票等，且检定证书在有效期内；车辆需提供行驶证及登记证等权属证明材料。检测监测设备及车辆的权属应在投标人名下（不含子公司或分公司），否则不计算得分。</w:t>
            </w:r>
          </w:p>
        </w:tc>
      </w:tr>
      <w:tr w14:paraId="139A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noWrap w:val="0"/>
            <w:vAlign w:val="center"/>
          </w:tcPr>
          <w:p w14:paraId="436AF74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777ED0C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6" w:type="dxa"/>
            <w:noWrap w:val="0"/>
            <w:vAlign w:val="center"/>
          </w:tcPr>
          <w:p w14:paraId="3DC600FF">
            <w:pPr>
              <w:pStyle w:val="25"/>
              <w:kinsoku w:val="0"/>
              <w:overflowPunct w:val="0"/>
              <w:ind w:left="-115" w:leftChars="-55" w:right="-122" w:rightChars="-58"/>
              <w:jc w:val="center"/>
              <w:rPr>
                <w:rFonts w:hint="eastAsia" w:ascii="宋体" w:hAnsi="宋体" w:eastAsia="宋体" w:cs="宋体"/>
                <w:color w:val="auto"/>
                <w:sz w:val="21"/>
                <w:szCs w:val="21"/>
                <w:highlight w:val="none"/>
                <w:lang w:bidi="ar"/>
              </w:rPr>
            </w:pPr>
            <w:r>
              <w:rPr>
                <w:rFonts w:hint="eastAsia" w:ascii="宋体" w:hAnsi="宋体" w:cs="宋体"/>
                <w:color w:val="auto"/>
                <w:szCs w:val="21"/>
                <w:highlight w:val="none"/>
              </w:rPr>
              <w:t>投标报价</w:t>
            </w:r>
            <w:r>
              <w:rPr>
                <w:rFonts w:hint="eastAsia" w:ascii="宋体" w:hAnsi="宋体"/>
                <w:color w:val="auto"/>
                <w:szCs w:val="21"/>
                <w:highlight w:val="none"/>
              </w:rPr>
              <w:t>评分标准</w:t>
            </w: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分）</w:t>
            </w:r>
          </w:p>
        </w:tc>
        <w:tc>
          <w:tcPr>
            <w:tcW w:w="1532" w:type="dxa"/>
            <w:noWrap w:val="0"/>
            <w:vAlign w:val="center"/>
          </w:tcPr>
          <w:p w14:paraId="3C3B92A8">
            <w:pPr>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投标报价（</w:t>
            </w:r>
            <w:r>
              <w:rPr>
                <w:rFonts w:ascii="宋体" w:hAnsi="宋体" w:eastAsia="宋体" w:cs="宋体"/>
                <w:color w:val="auto"/>
                <w:sz w:val="21"/>
                <w:szCs w:val="21"/>
                <w:highlight w:val="none"/>
              </w:rPr>
              <w:t>10</w:t>
            </w:r>
            <w:r>
              <w:rPr>
                <w:rFonts w:hint="eastAsia" w:ascii="宋体" w:hAnsi="宋体" w:eastAsia="宋体" w:cs="宋体"/>
                <w:color w:val="auto"/>
                <w:sz w:val="21"/>
                <w:szCs w:val="21"/>
                <w:highlight w:val="none"/>
              </w:rPr>
              <w:t>分）</w:t>
            </w:r>
          </w:p>
        </w:tc>
        <w:tc>
          <w:tcPr>
            <w:tcW w:w="6363" w:type="dxa"/>
            <w:noWrap w:val="0"/>
            <w:vAlign w:val="center"/>
          </w:tcPr>
          <w:p w14:paraId="2BFC2C36">
            <w:pPr>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以评标基准价作为计算各有效投标价得分的基础，当有效投标报价等于评标基准价时得10分；投标有效报价与评标基准价之差，每上偏1%扣</w:t>
            </w:r>
            <w:r>
              <w:rPr>
                <w:rFonts w:ascii="宋体" w:hAnsi="宋体" w:eastAsia="宋体" w:cs="宋体"/>
                <w:color w:val="auto"/>
                <w:sz w:val="21"/>
                <w:szCs w:val="21"/>
                <w:highlight w:val="none"/>
              </w:rPr>
              <w:t>0.5</w:t>
            </w:r>
            <w:r>
              <w:rPr>
                <w:rFonts w:hint="eastAsia" w:ascii="宋体" w:hAnsi="宋体" w:eastAsia="宋体" w:cs="宋体"/>
                <w:color w:val="auto"/>
                <w:sz w:val="21"/>
                <w:szCs w:val="21"/>
                <w:highlight w:val="none"/>
              </w:rPr>
              <w:t>分，下偏1%扣</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分，本项最高分为10分，最低分为0分。</w:t>
            </w:r>
          </w:p>
        </w:tc>
      </w:tr>
      <w:tr w14:paraId="3E83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 w:type="dxa"/>
            <w:noWrap w:val="0"/>
            <w:vAlign w:val="center"/>
          </w:tcPr>
          <w:p w14:paraId="5D0787A7">
            <w:pPr>
              <w:jc w:val="center"/>
              <w:rPr>
                <w:rFonts w:hint="eastAsia" w:ascii="宋体" w:hAnsi="宋体" w:eastAsia="宋体" w:cs="宋体"/>
                <w:color w:val="auto"/>
                <w:sz w:val="21"/>
                <w:szCs w:val="21"/>
                <w:highlight w:val="none"/>
              </w:rPr>
            </w:pPr>
            <w:r>
              <w:rPr>
                <w:rFonts w:hint="eastAsia" w:ascii="宋体" w:hAnsi="宋体" w:eastAsia="宋体"/>
                <w:color w:val="auto"/>
                <w:szCs w:val="21"/>
                <w:highlight w:val="none"/>
              </w:rPr>
              <w:t>2.2.4（4）</w:t>
            </w:r>
          </w:p>
        </w:tc>
        <w:tc>
          <w:tcPr>
            <w:tcW w:w="1296" w:type="dxa"/>
            <w:noWrap w:val="0"/>
            <w:vAlign w:val="center"/>
          </w:tcPr>
          <w:p w14:paraId="302F60EE">
            <w:pPr>
              <w:widowControl/>
              <w:jc w:val="center"/>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其他因素</w:t>
            </w:r>
          </w:p>
          <w:p w14:paraId="09DC48F7">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Cs w:val="21"/>
                <w:highlight w:val="none"/>
                <w:lang w:bidi="ar"/>
              </w:rPr>
              <w:t>评分标准</w:t>
            </w:r>
          </w:p>
        </w:tc>
        <w:tc>
          <w:tcPr>
            <w:tcW w:w="1532" w:type="dxa"/>
            <w:noWrap w:val="0"/>
            <w:vAlign w:val="center"/>
          </w:tcPr>
          <w:p w14:paraId="7A3844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诚信综合评价排名得分</w:t>
            </w:r>
          </w:p>
        </w:tc>
        <w:tc>
          <w:tcPr>
            <w:tcW w:w="6363" w:type="dxa"/>
            <w:noWrap w:val="0"/>
            <w:vAlign w:val="center"/>
          </w:tcPr>
          <w:p w14:paraId="0D217306">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1、投标人诚信综合评价排名得分=企业诚信综合评价排名得分×权重（权重为5%）。</w:t>
            </w:r>
          </w:p>
          <w:p w14:paraId="2566D193">
            <w:pPr>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2、企业诚信综合评价排名得分以开标当天广州市住房和城乡建设局诚信综合评价专栏网站（http://zfcj.gz.gov.cn/zjdt/ztzl/cxzhpjzl/）公布的检测机构60日诚信分为准。联合体投标的，企业诚信综合评价排名得分以联合体牵头人（主办方）得分为准。</w:t>
            </w:r>
          </w:p>
        </w:tc>
      </w:tr>
      <w:tr w14:paraId="1491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42" w:type="dxa"/>
            <w:gridSpan w:val="4"/>
            <w:noWrap w:val="0"/>
            <w:vAlign w:val="center"/>
          </w:tcPr>
          <w:p w14:paraId="3328B93B">
            <w:pPr>
              <w:spacing w:after="123" w:afterLines="0" w:line="264" w:lineRule="auto"/>
              <w:ind w:right="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2F0DCC7">
            <w:pPr>
              <w:spacing w:after="123" w:afterLines="0" w:line="264" w:lineRule="auto"/>
              <w:ind w:right="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1、企业资信的证明材料：须提供相关证明材料的原件清晰扫描件。</w:t>
            </w:r>
          </w:p>
          <w:p w14:paraId="0B39F672">
            <w:pPr>
              <w:spacing w:after="123" w:afterLines="0" w:line="264" w:lineRule="auto"/>
              <w:ind w:right="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2、项目负责人、技术负责人、主要技术人员要求：提供</w:t>
            </w:r>
            <w:r>
              <w:rPr>
                <w:rFonts w:hint="eastAsia" w:ascii="宋体" w:hAnsi="宋体" w:eastAsia="宋体" w:cs="宋体"/>
                <w:color w:val="auto"/>
                <w:sz w:val="21"/>
                <w:szCs w:val="21"/>
                <w:highlight w:val="none"/>
                <w:lang w:val="en-US" w:eastAsia="zh-CN"/>
              </w:rPr>
              <w:t>身份证及相关证书扫描件</w:t>
            </w: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的有效社保等证明材料原件清晰扫描件。所有提供的证明材料所在单位与社保购买单位一致，不按照要求提供相关证明材料的不得分。注册资格证须提供住房和城乡建设部执业资格注册中心查询网页截图，注册单位必须为投标人本单位。</w:t>
            </w:r>
          </w:p>
          <w:p w14:paraId="175D9DF5">
            <w:pPr>
              <w:spacing w:after="123" w:afterLines="0" w:line="264" w:lineRule="auto"/>
              <w:ind w:right="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3、投标人提供的网页信息截图或证明材料扫描件内容必须清晰可辨，如因网页信息截图或证明材料扫描件内容模糊导致评标时无法判断的，后果由投标人自负。</w:t>
            </w:r>
          </w:p>
          <w:p w14:paraId="2B77F43F">
            <w:pPr>
              <w:spacing w:after="123" w:afterLines="0" w:line="264" w:lineRule="auto"/>
              <w:ind w:right="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4、投标人提供的人员须为投标人在职员工，并提供投标截止前一个月（2025年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月）在单位购买社保的证明文件扫描件。</w:t>
            </w:r>
          </w:p>
          <w:p w14:paraId="3B58D6CF">
            <w:pPr>
              <w:spacing w:after="123" w:afterLines="0" w:line="264" w:lineRule="auto"/>
              <w:ind w:right="10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设备按第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章委托人要求第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条主要设备基本要求评审为准，</w:t>
            </w:r>
            <w:r>
              <w:rPr>
                <w:rFonts w:hint="eastAsia" w:ascii="宋体" w:hAnsi="宋体" w:eastAsia="宋体" w:cs="宋体"/>
                <w:color w:val="auto"/>
                <w:sz w:val="21"/>
                <w:szCs w:val="21"/>
                <w:highlight w:val="none"/>
              </w:rPr>
              <w:t>检测设备需提交权属证明，如仪器检定证书或仪器设备购置发票等</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，且检定证书在有效期内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bidi="ar"/>
              </w:rPr>
              <w:t>租赁的还需提供租赁合同扫描件。</w:t>
            </w:r>
          </w:p>
          <w:p w14:paraId="5E84996D">
            <w:pPr>
              <w:spacing w:after="123" w:afterLines="0" w:line="264" w:lineRule="auto"/>
              <w:ind w:right="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6、投标人的资信业绩、</w:t>
            </w:r>
            <w:r>
              <w:rPr>
                <w:rFonts w:hint="eastAsia" w:ascii="宋体" w:hAnsi="宋体" w:eastAsia="宋体" w:cs="宋体"/>
                <w:color w:val="auto"/>
                <w:sz w:val="21"/>
                <w:szCs w:val="21"/>
                <w:highlight w:val="none"/>
                <w:lang w:eastAsia="zh-CN"/>
              </w:rPr>
              <w:t>检测监测方案</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为各评委的评分去掉一个最高分和一个最低分后计取的算术平均分（分数出现小数点时，保留小数点后</w:t>
            </w:r>
            <w:r>
              <w:rPr>
                <w:rFonts w:hint="eastAsia" w:ascii="宋体" w:hAnsi="宋体" w:eastAsia="宋体" w:cs="宋体"/>
                <w:color w:val="auto"/>
                <w:sz w:val="21"/>
                <w:szCs w:val="21"/>
                <w:highlight w:val="none"/>
                <w:lang w:eastAsia="zh-CN"/>
              </w:rPr>
              <w:t>两位</w:t>
            </w:r>
            <w:r>
              <w:rPr>
                <w:rFonts w:hint="eastAsia" w:ascii="宋体" w:hAnsi="宋体" w:eastAsia="宋体" w:cs="宋体"/>
                <w:color w:val="auto"/>
                <w:sz w:val="21"/>
                <w:szCs w:val="21"/>
                <w:highlight w:val="none"/>
              </w:rPr>
              <w:t>，第三位小数四舍五入）。</w:t>
            </w:r>
          </w:p>
          <w:p w14:paraId="71B201CA">
            <w:pPr>
              <w:spacing w:line="276" w:lineRule="auto"/>
              <w:rPr>
                <w:rFonts w:hint="eastAsia" w:ascii="宋体" w:hAnsi="宋体" w:eastAsia="宋体" w:cs="宋体"/>
                <w:color w:val="auto"/>
                <w:sz w:val="21"/>
                <w:szCs w:val="21"/>
                <w:highlight w:val="none"/>
              </w:rPr>
            </w:pPr>
          </w:p>
        </w:tc>
      </w:tr>
    </w:tbl>
    <w:p w14:paraId="146BF846">
      <w:pPr>
        <w:rPr>
          <w:rFonts w:hint="eastAsia" w:ascii="宋体" w:hAnsi="宋体" w:cs="宋体"/>
          <w:color w:val="auto"/>
          <w:sz w:val="22"/>
          <w:highlight w:val="none"/>
        </w:rPr>
      </w:pPr>
    </w:p>
    <w:bookmarkEnd w:id="156"/>
    <w:bookmarkEnd w:id="157"/>
    <w:bookmarkEnd w:id="158"/>
    <w:bookmarkEnd w:id="159"/>
    <w:bookmarkEnd w:id="160"/>
    <w:bookmarkEnd w:id="161"/>
    <w:bookmarkEnd w:id="162"/>
    <w:bookmarkEnd w:id="163"/>
    <w:bookmarkEnd w:id="164"/>
    <w:bookmarkEnd w:id="165"/>
    <w:p w14:paraId="22A50269">
      <w:pPr>
        <w:pStyle w:val="3"/>
        <w:keepNext w:val="0"/>
        <w:keepLines w:val="0"/>
        <w:jc w:val="center"/>
        <w:rPr>
          <w:rFonts w:hint="eastAsia" w:ascii="宋体" w:hAnsi="宋体" w:eastAsia="宋体" w:cs="宋体"/>
          <w:color w:val="auto"/>
          <w:sz w:val="84"/>
          <w:szCs w:val="84"/>
          <w:highlight w:val="none"/>
        </w:rPr>
      </w:pPr>
      <w:bookmarkStart w:id="166" w:name="_Toc12458"/>
      <w:bookmarkStart w:id="167" w:name="_Toc6317"/>
      <w:bookmarkStart w:id="168" w:name="_Toc25831"/>
      <w:bookmarkStart w:id="169" w:name="_Toc525063256"/>
      <w:bookmarkStart w:id="170" w:name="_Toc38224851"/>
      <w:bookmarkStart w:id="171" w:name="_Toc28853"/>
      <w:bookmarkStart w:id="172" w:name="_Toc532367883"/>
      <w:bookmarkStart w:id="173" w:name="_Toc26875"/>
      <w:bookmarkStart w:id="174" w:name="_Toc27844"/>
      <w:bookmarkStart w:id="175" w:name="_Toc16761"/>
      <w:r>
        <w:rPr>
          <w:rFonts w:hint="eastAsia" w:ascii="宋体" w:hAnsi="宋体" w:eastAsia="宋体" w:cs="宋体"/>
          <w:color w:val="auto"/>
          <w:highlight w:val="none"/>
        </w:rPr>
        <w:br w:type="page"/>
      </w:r>
      <w:bookmarkStart w:id="176" w:name="_Toc15564"/>
      <w:r>
        <w:rPr>
          <w:rFonts w:hint="eastAsia" w:ascii="宋体" w:hAnsi="宋体" w:eastAsia="宋体" w:cs="宋体"/>
          <w:color w:val="auto"/>
          <w:highlight w:val="none"/>
        </w:rPr>
        <w:t>评标方法</w:t>
      </w:r>
      <w:bookmarkEnd w:id="166"/>
      <w:bookmarkEnd w:id="167"/>
      <w:bookmarkEnd w:id="168"/>
      <w:bookmarkEnd w:id="169"/>
      <w:bookmarkEnd w:id="170"/>
      <w:bookmarkEnd w:id="171"/>
      <w:bookmarkEnd w:id="172"/>
      <w:bookmarkEnd w:id="173"/>
      <w:bookmarkEnd w:id="174"/>
      <w:bookmarkEnd w:id="175"/>
      <w:bookmarkEnd w:id="176"/>
      <w:r>
        <w:rPr>
          <w:rFonts w:hint="eastAsia" w:ascii="宋体" w:hAnsi="宋体" w:eastAsia="宋体" w:cs="宋体"/>
          <w:b w:val="0"/>
          <w:color w:val="auto"/>
          <w:sz w:val="44"/>
          <w:szCs w:val="44"/>
          <w:highlight w:val="none"/>
        </w:rPr>
        <w:t>　</w:t>
      </w:r>
    </w:p>
    <w:p w14:paraId="2D11D99C">
      <w:pPr>
        <w:keepNext/>
        <w:keepLines/>
        <w:spacing w:before="120" w:beforeLines="0" w:after="120" w:afterLines="0"/>
        <w:jc w:val="left"/>
        <w:outlineLvl w:val="1"/>
        <w:rPr>
          <w:rFonts w:hint="eastAsia" w:ascii="宋体" w:hAnsi="宋体" w:cs="宋体"/>
          <w:b/>
          <w:bCs/>
          <w:color w:val="auto"/>
          <w:sz w:val="40"/>
          <w:szCs w:val="32"/>
          <w:highlight w:val="none"/>
        </w:rPr>
      </w:pPr>
      <w:bookmarkStart w:id="177" w:name="_Toc5223"/>
      <w:bookmarkStart w:id="178" w:name="_Toc6910"/>
      <w:r>
        <w:rPr>
          <w:rFonts w:hint="eastAsia" w:ascii="宋体" w:hAnsi="宋体" w:cs="宋体"/>
          <w:b/>
          <w:bCs/>
          <w:color w:val="auto"/>
          <w:sz w:val="28"/>
          <w:highlight w:val="none"/>
        </w:rPr>
        <w:t>1.评标方法</w:t>
      </w:r>
      <w:bookmarkEnd w:id="177"/>
      <w:bookmarkEnd w:id="178"/>
    </w:p>
    <w:p w14:paraId="214FF90A">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本次评标采用综合评分法。评标委员会对满足招标文件实质性要求的投标文件，按照本章第 2.2 款规定的评分标准进行打分，并按得分由高到低顺序推荐中标候选人，或根据招标人授权直接确定中标人，但投标报价低于其成本的除外。若两家或以上的投标人综合得分相同时，则投标报价得分高的排前；若投标报价得分相同，则对具有相同情况的投标人，按中标候选人数量规定，由评标委员会采用记名投票方式，确定中标候选人的排序。</w:t>
      </w:r>
    </w:p>
    <w:p w14:paraId="757DC714">
      <w:pPr>
        <w:spacing w:line="360" w:lineRule="auto"/>
        <w:rPr>
          <w:rFonts w:hint="eastAsia" w:ascii="宋体" w:hAnsi="宋体" w:cs="宋体"/>
          <w:color w:val="auto"/>
          <w:sz w:val="24"/>
          <w:szCs w:val="24"/>
          <w:highlight w:val="none"/>
        </w:rPr>
      </w:pPr>
      <w:r>
        <w:rPr>
          <w:rFonts w:hint="eastAsia" w:ascii="宋体" w:hAnsi="宋体" w:cs="宋体"/>
          <w:color w:val="auto"/>
          <w:sz w:val="22"/>
          <w:highlight w:val="none"/>
        </w:rPr>
        <w:t>记名投票方式确定排序的具体步骤为：由评标委员会对出现该情况的投标人采用记名投票的方式确定，按得票数高低进行排序，根据得票数高低确定中标候选人排序。</w:t>
      </w:r>
    </w:p>
    <w:p w14:paraId="18EEC231">
      <w:pPr>
        <w:keepNext/>
        <w:keepLines/>
        <w:spacing w:before="120" w:beforeLines="0" w:after="120" w:afterLines="0"/>
        <w:jc w:val="left"/>
        <w:outlineLvl w:val="1"/>
        <w:rPr>
          <w:rFonts w:hint="eastAsia" w:ascii="宋体" w:hAnsi="宋体" w:cs="宋体"/>
          <w:b/>
          <w:bCs/>
          <w:color w:val="auto"/>
          <w:sz w:val="40"/>
          <w:szCs w:val="32"/>
          <w:highlight w:val="none"/>
        </w:rPr>
      </w:pPr>
      <w:bookmarkStart w:id="179" w:name="_Toc23335"/>
      <w:bookmarkStart w:id="180" w:name="_Toc22281"/>
      <w:r>
        <w:rPr>
          <w:rFonts w:hint="eastAsia" w:ascii="宋体" w:hAnsi="宋体" w:cs="宋体"/>
          <w:b/>
          <w:bCs/>
          <w:color w:val="auto"/>
          <w:sz w:val="28"/>
          <w:szCs w:val="28"/>
          <w:highlight w:val="none"/>
        </w:rPr>
        <w:t>2.评审标准</w:t>
      </w:r>
      <w:bookmarkEnd w:id="179"/>
      <w:bookmarkEnd w:id="180"/>
    </w:p>
    <w:p w14:paraId="3B73DEE3">
      <w:pPr>
        <w:keepNext/>
        <w:keepLines/>
        <w:spacing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2.1 初步评审标准</w:t>
      </w:r>
    </w:p>
    <w:p w14:paraId="4D99EFC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2.1.1 形式评审标准：见评标办法前附表。</w:t>
      </w:r>
    </w:p>
    <w:p w14:paraId="61BD4B42">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2.1.2 资格评审标准：见评标办法前附表。</w:t>
      </w:r>
    </w:p>
    <w:p w14:paraId="15F5975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2.1.3 响应性评审标准：见评标办法前附表。</w:t>
      </w:r>
    </w:p>
    <w:p w14:paraId="54BEE55D">
      <w:pPr>
        <w:keepNext/>
        <w:keepLines/>
        <w:spacing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2.2 分值构成与评分标准</w:t>
      </w:r>
    </w:p>
    <w:p w14:paraId="5941C4F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2.2.1 分值构成</w:t>
      </w:r>
    </w:p>
    <w:p w14:paraId="4DF05EE2">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（1）资信业绩部分：见评标办法前附表；</w:t>
      </w:r>
    </w:p>
    <w:p w14:paraId="0A707BEB">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检测监测方案</w:t>
      </w:r>
      <w:r>
        <w:rPr>
          <w:rFonts w:hint="eastAsia" w:ascii="宋体" w:hAnsi="宋体" w:cs="宋体"/>
          <w:color w:val="auto"/>
          <w:sz w:val="22"/>
          <w:highlight w:val="none"/>
        </w:rPr>
        <w:t>部分：见评标办法前附表；</w:t>
      </w:r>
    </w:p>
    <w:p w14:paraId="34A48A8C">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（3）投标报价：见评标办法前附表；</w:t>
      </w:r>
    </w:p>
    <w:p w14:paraId="3D7B18AE">
      <w:pPr>
        <w:spacing w:line="360" w:lineRule="auto"/>
        <w:ind w:firstLine="444" w:firstLineChars="202"/>
        <w:jc w:val="left"/>
        <w:rPr>
          <w:rFonts w:hint="eastAsia" w:ascii="宋体" w:hAnsi="宋体" w:cs="宋体"/>
          <w:strike w:val="0"/>
          <w:color w:val="auto"/>
          <w:sz w:val="22"/>
          <w:highlight w:val="none"/>
        </w:rPr>
      </w:pPr>
      <w:r>
        <w:rPr>
          <w:rFonts w:hint="eastAsia" w:ascii="宋体" w:hAnsi="宋体" w:cs="宋体"/>
          <w:strike w:val="0"/>
          <w:color w:val="auto"/>
          <w:sz w:val="22"/>
          <w:highlight w:val="none"/>
        </w:rPr>
        <w:t>（4）其他评分因素：见评标办法前附表。</w:t>
      </w:r>
    </w:p>
    <w:p w14:paraId="09F38B5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2.2.2 评标基准价计算</w:t>
      </w:r>
    </w:p>
    <w:p w14:paraId="25F02CCB">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评标基准价计算方法：见评标办法前附表。</w:t>
      </w:r>
    </w:p>
    <w:p w14:paraId="61CEC79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2.2.3 投标报价的计算</w:t>
      </w:r>
    </w:p>
    <w:p w14:paraId="3C00663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投标报价的计算公式：见评标办法前附表。</w:t>
      </w:r>
    </w:p>
    <w:p w14:paraId="2CA121E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2.2.4 评分标准</w:t>
      </w:r>
    </w:p>
    <w:p w14:paraId="5531D4B0">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（1）资信业绩部分：见评标办法前附表；</w:t>
      </w:r>
    </w:p>
    <w:p w14:paraId="4D1657A5">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检测监测方案</w:t>
      </w:r>
      <w:r>
        <w:rPr>
          <w:rFonts w:hint="eastAsia" w:ascii="宋体" w:hAnsi="宋体" w:cs="宋体"/>
          <w:color w:val="auto"/>
          <w:sz w:val="22"/>
          <w:highlight w:val="none"/>
        </w:rPr>
        <w:t>部分：见评标办法前附表；</w:t>
      </w:r>
    </w:p>
    <w:p w14:paraId="66643B4B">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    （3）投标报价：见评标办法前附表；</w:t>
      </w:r>
    </w:p>
    <w:p w14:paraId="4833D3A4">
      <w:pPr>
        <w:spacing w:line="360" w:lineRule="auto"/>
        <w:jc w:val="left"/>
        <w:rPr>
          <w:rFonts w:hint="eastAsia" w:ascii="宋体" w:hAnsi="宋体" w:cs="宋体"/>
          <w:strike w:val="0"/>
          <w:color w:val="auto"/>
          <w:sz w:val="28"/>
          <w:szCs w:val="28"/>
          <w:highlight w:val="none"/>
        </w:rPr>
      </w:pPr>
      <w:r>
        <w:rPr>
          <w:rFonts w:hint="eastAsia" w:ascii="宋体" w:hAnsi="宋体" w:cs="宋体"/>
          <w:strike w:val="0"/>
          <w:color w:val="auto"/>
          <w:sz w:val="22"/>
          <w:highlight w:val="none"/>
        </w:rPr>
        <w:t xml:space="preserve">    （4）其他评分因素：见评标办法前附表。</w:t>
      </w:r>
    </w:p>
    <w:p w14:paraId="5375A771">
      <w:pPr>
        <w:keepNext/>
        <w:keepLines/>
        <w:spacing w:before="120" w:beforeLines="0" w:after="120" w:afterLines="0"/>
        <w:jc w:val="left"/>
        <w:outlineLvl w:val="1"/>
        <w:rPr>
          <w:rFonts w:hint="eastAsia" w:ascii="宋体" w:hAnsi="宋体" w:cs="宋体"/>
          <w:b/>
          <w:bCs/>
          <w:color w:val="auto"/>
          <w:sz w:val="40"/>
          <w:szCs w:val="32"/>
          <w:highlight w:val="none"/>
        </w:rPr>
      </w:pPr>
      <w:bookmarkStart w:id="181" w:name="_Toc25401"/>
      <w:bookmarkStart w:id="182" w:name="_Toc5298"/>
      <w:r>
        <w:rPr>
          <w:rFonts w:hint="eastAsia" w:ascii="宋体" w:hAnsi="宋体" w:cs="宋体"/>
          <w:b/>
          <w:bCs/>
          <w:color w:val="auto"/>
          <w:sz w:val="28"/>
          <w:szCs w:val="28"/>
          <w:highlight w:val="none"/>
        </w:rPr>
        <w:t>3. 评标程序</w:t>
      </w:r>
      <w:bookmarkEnd w:id="181"/>
      <w:bookmarkEnd w:id="182"/>
    </w:p>
    <w:p w14:paraId="590EF368">
      <w:pPr>
        <w:keepNext/>
        <w:keepLines/>
        <w:spacing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3.1 初步评审</w:t>
      </w:r>
    </w:p>
    <w:p w14:paraId="0CF9B3E3">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3.1.1 评标委员会依据本章第 2.1 款规定的标准对投标文件进行初步评审。有一项不符合评审标准的，评标委员会应当否决其投标。</w:t>
      </w:r>
    </w:p>
    <w:p w14:paraId="1CE511B6">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3.1.2 投标报价有算术错误及其他错误的，评标委员会按以下原则要求投标人对投标报价进行修正，并要求投标人书面澄清确认。投标人拒不澄清确认的，评标委员会应当否决其投标：</w:t>
      </w:r>
    </w:p>
    <w:p w14:paraId="08962668">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14:paraId="403E77B0">
      <w:pPr>
        <w:pStyle w:val="14"/>
        <w:rPr>
          <w:rFonts w:hint="eastAsia" w:ascii="宋体" w:hAnsi="宋体" w:cs="宋体"/>
          <w:color w:val="auto"/>
          <w:sz w:val="22"/>
          <w:highlight w:val="none"/>
        </w:rPr>
      </w:pPr>
      <w:r>
        <w:rPr>
          <w:rFonts w:hint="eastAsia" w:ascii="宋体" w:hAnsi="宋体" w:cs="宋体"/>
          <w:color w:val="auto"/>
          <w:sz w:val="22"/>
          <w:highlight w:val="none"/>
        </w:rPr>
        <w:t>（2）总价金额与单价金额不一致的，以单价金额为准，但单价金额小数点有明显错误的除外。</w:t>
      </w:r>
    </w:p>
    <w:p w14:paraId="023997F2">
      <w:pPr>
        <w:pStyle w:val="14"/>
        <w:rPr>
          <w:rFonts w:hint="eastAsia" w:ascii="宋体" w:hAnsi="宋体" w:cs="宋体"/>
          <w:color w:val="auto"/>
          <w:sz w:val="22"/>
          <w:highlight w:val="none"/>
        </w:rPr>
      </w:pPr>
      <w:r>
        <w:rPr>
          <w:rFonts w:hint="eastAsia" w:ascii="宋体" w:hAnsi="宋体" w:cs="宋体"/>
          <w:color w:val="auto"/>
          <w:sz w:val="22"/>
          <w:highlight w:val="none"/>
        </w:rPr>
        <w:t>（3）投标报价与下浮率计算不一致时，以投标报价为准修正下浮率。</w:t>
      </w:r>
    </w:p>
    <w:p w14:paraId="536E9E4F">
      <w:pPr>
        <w:keepNext/>
        <w:keepLines/>
        <w:spacing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3.2 详细评审</w:t>
      </w:r>
    </w:p>
    <w:p w14:paraId="5D13CD3F">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3.2.1 评标委员会按本章第 2.2 款规定的量化因素和分值进行打分，并计算出综合评分得分。</w:t>
      </w:r>
    </w:p>
    <w:p w14:paraId="3E2F1CF6">
      <w:pPr>
        <w:spacing w:line="360" w:lineRule="auto"/>
        <w:ind w:firstLine="446" w:firstLineChars="202"/>
        <w:jc w:val="left"/>
        <w:rPr>
          <w:rFonts w:hint="eastAsia" w:ascii="宋体" w:hAnsi="宋体" w:cs="宋体"/>
          <w:b/>
          <w:bCs/>
          <w:color w:val="auto"/>
          <w:sz w:val="22"/>
          <w:highlight w:val="none"/>
        </w:rPr>
      </w:pPr>
      <w:r>
        <w:rPr>
          <w:rFonts w:hint="eastAsia" w:ascii="宋体" w:hAnsi="宋体" w:cs="宋体"/>
          <w:b/>
          <w:bCs/>
          <w:color w:val="auto"/>
          <w:sz w:val="22"/>
          <w:highlight w:val="none"/>
        </w:rPr>
        <w:t>（1）按本章第2.2.4（1）目规定的评审因素和分值对资信业绩部分计算出得分A；</w:t>
      </w:r>
    </w:p>
    <w:p w14:paraId="11045BE4">
      <w:pPr>
        <w:spacing w:line="360" w:lineRule="auto"/>
        <w:ind w:firstLine="446" w:firstLineChars="202"/>
        <w:jc w:val="left"/>
        <w:rPr>
          <w:rFonts w:hint="eastAsia" w:ascii="宋体" w:hAnsi="宋体" w:cs="宋体"/>
          <w:b/>
          <w:bCs/>
          <w:color w:val="auto"/>
          <w:sz w:val="22"/>
          <w:highlight w:val="none"/>
        </w:rPr>
      </w:pPr>
      <w:r>
        <w:rPr>
          <w:rFonts w:hint="eastAsia" w:ascii="宋体" w:hAnsi="宋体" w:cs="宋体"/>
          <w:b/>
          <w:bCs/>
          <w:color w:val="auto"/>
          <w:sz w:val="22"/>
          <w:highlight w:val="none"/>
        </w:rPr>
        <w:t>（2）按本章第2.2.4（2）目规定的评审因素和分值对</w:t>
      </w:r>
      <w:r>
        <w:rPr>
          <w:rFonts w:hint="eastAsia" w:ascii="宋体" w:hAnsi="宋体" w:cs="宋体"/>
          <w:b/>
          <w:bCs/>
          <w:color w:val="auto"/>
          <w:sz w:val="22"/>
          <w:highlight w:val="none"/>
          <w:lang w:eastAsia="zh-CN"/>
        </w:rPr>
        <w:t>检测监测方案</w:t>
      </w:r>
      <w:r>
        <w:rPr>
          <w:rFonts w:hint="eastAsia" w:ascii="宋体" w:hAnsi="宋体" w:cs="宋体"/>
          <w:b/>
          <w:bCs/>
          <w:color w:val="auto"/>
          <w:sz w:val="22"/>
          <w:highlight w:val="none"/>
        </w:rPr>
        <w:t>部分计算出得分B；</w:t>
      </w:r>
    </w:p>
    <w:p w14:paraId="18077F31">
      <w:pPr>
        <w:spacing w:line="360" w:lineRule="auto"/>
        <w:ind w:firstLine="446" w:firstLineChars="202"/>
        <w:jc w:val="left"/>
        <w:rPr>
          <w:rFonts w:hint="eastAsia" w:ascii="宋体" w:hAnsi="宋体" w:cs="宋体"/>
          <w:b/>
          <w:bCs/>
          <w:color w:val="auto"/>
          <w:sz w:val="22"/>
          <w:highlight w:val="none"/>
        </w:rPr>
      </w:pPr>
      <w:r>
        <w:rPr>
          <w:rFonts w:hint="eastAsia" w:ascii="宋体" w:hAnsi="宋体" w:cs="宋体"/>
          <w:b/>
          <w:bCs/>
          <w:color w:val="auto"/>
          <w:sz w:val="22"/>
          <w:highlight w:val="none"/>
        </w:rPr>
        <w:t>（3）按本章第2.2.4（3）目规定的评审因素和分值对投标报价计算出得分C；</w:t>
      </w:r>
    </w:p>
    <w:p w14:paraId="5AEE5EB3">
      <w:pPr>
        <w:spacing w:line="360" w:lineRule="auto"/>
        <w:ind w:firstLine="446" w:firstLineChars="202"/>
        <w:jc w:val="left"/>
        <w:rPr>
          <w:rFonts w:hint="eastAsia" w:ascii="宋体" w:hAnsi="宋体" w:cs="宋体"/>
          <w:b/>
          <w:bCs/>
          <w:strike w:val="0"/>
          <w:color w:val="auto"/>
          <w:sz w:val="22"/>
          <w:highlight w:val="none"/>
        </w:rPr>
      </w:pPr>
      <w:r>
        <w:rPr>
          <w:rFonts w:hint="eastAsia" w:ascii="宋体" w:hAnsi="宋体" w:cs="宋体"/>
          <w:b/>
          <w:bCs/>
          <w:strike w:val="0"/>
          <w:color w:val="auto"/>
          <w:sz w:val="22"/>
          <w:highlight w:val="none"/>
        </w:rPr>
        <w:t>（4）按本章第2.2.4（4）目规定的评审因素和分值对其他部分计算出得分D。；</w:t>
      </w:r>
    </w:p>
    <w:p w14:paraId="04CBB962">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3.2.2 评分分值计算保留小数点后两位，小数点后第三位“四舍五入”。</w:t>
      </w:r>
    </w:p>
    <w:p w14:paraId="60D807B7">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3.2.3 投标人得分= A+B+C</w:t>
      </w:r>
      <w:r>
        <w:rPr>
          <w:rFonts w:hint="eastAsia" w:ascii="宋体" w:hAnsi="宋体" w:cs="宋体"/>
          <w:strike w:val="0"/>
          <w:color w:val="auto"/>
          <w:sz w:val="22"/>
          <w:highlight w:val="none"/>
        </w:rPr>
        <w:t>+D</w:t>
      </w:r>
      <w:r>
        <w:rPr>
          <w:rFonts w:hint="eastAsia" w:ascii="宋体" w:hAnsi="宋体" w:cs="宋体"/>
          <w:color w:val="auto"/>
          <w:sz w:val="22"/>
          <w:highlight w:val="none"/>
        </w:rPr>
        <w:t>。</w:t>
      </w:r>
    </w:p>
    <w:p w14:paraId="40AFB60D">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4EE6808">
      <w:pPr>
        <w:keepNext/>
        <w:keepLines/>
        <w:spacing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3.3 投标文件的澄清</w:t>
      </w:r>
    </w:p>
    <w:p w14:paraId="595984F5">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8F42031">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3.3.2 澄清、说明或补正不得超出投标文件的范围且不得改变投标文件的实质性内容，并构成投标文件的组成部分。</w:t>
      </w:r>
    </w:p>
    <w:p w14:paraId="584B06E4">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3.3.3 评标委员会对投标人提交的澄清、说明或补正有疑问的，可以要求投标人进一步澄清、说明或补正，直至满足评标委员会的要求。</w:t>
      </w:r>
    </w:p>
    <w:p w14:paraId="2DBEC1D7">
      <w:pPr>
        <w:keepNext/>
        <w:keepLines/>
        <w:spacing w:line="360" w:lineRule="auto"/>
        <w:jc w:val="left"/>
        <w:outlineLvl w:val="2"/>
        <w:rPr>
          <w:rFonts w:hint="eastAsia" w:ascii="宋体" w:hAnsi="宋体" w:cs="宋体"/>
          <w:b/>
          <w:bCs/>
          <w:color w:val="auto"/>
          <w:sz w:val="22"/>
          <w:highlight w:val="none"/>
        </w:rPr>
      </w:pPr>
      <w:r>
        <w:rPr>
          <w:rFonts w:hint="eastAsia" w:ascii="宋体" w:hAnsi="宋体" w:cs="宋体"/>
          <w:b/>
          <w:bCs/>
          <w:color w:val="auto"/>
          <w:sz w:val="22"/>
          <w:highlight w:val="none"/>
        </w:rPr>
        <w:t>3.4 评标结果</w:t>
      </w:r>
    </w:p>
    <w:p w14:paraId="7AF741EB">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3.4.1 除第二章“投标人须知”前附表授权直接确定中标人外，评标委员会按照得分由高到低的顺序推荐中标候选人，并标明排序。</w:t>
      </w:r>
    </w:p>
    <w:p w14:paraId="3B94D77A">
      <w:pPr>
        <w:spacing w:line="360" w:lineRule="auto"/>
        <w:ind w:firstLine="444" w:firstLineChars="202"/>
        <w:jc w:val="left"/>
        <w:rPr>
          <w:rFonts w:hint="eastAsia" w:ascii="宋体" w:hAnsi="宋体" w:cs="宋体"/>
          <w:color w:val="auto"/>
          <w:sz w:val="22"/>
          <w:highlight w:val="none"/>
        </w:rPr>
      </w:pPr>
      <w:r>
        <w:rPr>
          <w:rFonts w:hint="eastAsia" w:ascii="宋体" w:hAnsi="宋体" w:cs="宋体"/>
          <w:color w:val="auto"/>
          <w:sz w:val="22"/>
          <w:highlight w:val="none"/>
        </w:rPr>
        <w:t>3.4.2 评标委员会完成评标后，应当向招标人提交书面评标报告和中标候选人名单。</w:t>
      </w:r>
    </w:p>
    <w:p w14:paraId="01A7FD68">
      <w:pPr>
        <w:keepNext/>
        <w:keepLines/>
        <w:spacing w:before="120" w:beforeLines="0" w:after="120" w:afterLines="0"/>
        <w:jc w:val="left"/>
        <w:outlineLvl w:val="1"/>
        <w:rPr>
          <w:rFonts w:hint="eastAsia" w:ascii="宋体" w:hAnsi="宋体" w:cs="宋体"/>
          <w:b/>
          <w:bCs/>
          <w:color w:val="auto"/>
          <w:sz w:val="28"/>
          <w:szCs w:val="28"/>
          <w:highlight w:val="none"/>
        </w:rPr>
      </w:pPr>
      <w:bookmarkStart w:id="183" w:name="_Toc25928"/>
      <w:bookmarkStart w:id="184" w:name="_Toc9533"/>
      <w:r>
        <w:rPr>
          <w:rFonts w:hint="eastAsia" w:ascii="宋体" w:hAnsi="宋体" w:cs="宋体"/>
          <w:b/>
          <w:bCs/>
          <w:color w:val="auto"/>
          <w:sz w:val="28"/>
          <w:szCs w:val="28"/>
          <w:highlight w:val="none"/>
        </w:rPr>
        <w:t>4.其他</w:t>
      </w:r>
      <w:bookmarkEnd w:id="183"/>
      <w:bookmarkEnd w:id="184"/>
    </w:p>
    <w:p w14:paraId="4AF7047C">
      <w:pPr>
        <w:keepNext/>
        <w:keepLines/>
        <w:spacing w:line="360" w:lineRule="auto"/>
        <w:ind w:firstLine="440" w:firstLineChars="200"/>
        <w:jc w:val="left"/>
        <w:outlineLvl w:val="2"/>
        <w:rPr>
          <w:rFonts w:hint="eastAsia" w:ascii="宋体" w:hAnsi="宋体" w:cs="宋体"/>
          <w:color w:val="auto"/>
          <w:sz w:val="22"/>
          <w:highlight w:val="none"/>
        </w:rPr>
      </w:pPr>
      <w:r>
        <w:rPr>
          <w:rFonts w:hint="eastAsia" w:ascii="宋体" w:hAnsi="宋体" w:cs="宋体"/>
          <w:color w:val="auto"/>
          <w:sz w:val="22"/>
          <w:highlight w:val="none"/>
        </w:rPr>
        <w:t>若本次投标登记或递交投标文件的投标人数量或通过初步评审（含形式评审、资格评审、响应性评审）的合格投标人家数不足3家的，则该次招标失败。招标人分析招标失败原因，修正招标方案，报有关管理部门核准后，重新组织招标。</w:t>
      </w:r>
    </w:p>
    <w:p w14:paraId="66363474">
      <w:pPr>
        <w:rPr>
          <w:rFonts w:hint="eastAsia" w:ascii="宋体" w:hAnsi="宋体" w:cs="宋体"/>
          <w:color w:val="auto"/>
          <w:highlight w:val="none"/>
        </w:rPr>
      </w:pPr>
    </w:p>
    <w:p w14:paraId="5A6FF8E8">
      <w:pPr>
        <w:rPr>
          <w:rFonts w:hint="eastAsia" w:ascii="宋体" w:hAnsi="宋体" w:cs="宋体"/>
          <w:color w:val="auto"/>
          <w:highlight w:val="none"/>
        </w:rPr>
      </w:pPr>
    </w:p>
    <w:p w14:paraId="3D09FF41">
      <w:pPr>
        <w:rPr>
          <w:rFonts w:hint="eastAsia" w:ascii="宋体" w:hAnsi="宋体" w:cs="宋体"/>
          <w:color w:val="auto"/>
          <w:highlight w:val="none"/>
        </w:rPr>
      </w:pPr>
    </w:p>
    <w:p w14:paraId="38C84056">
      <w:pPr>
        <w:rPr>
          <w:rFonts w:hint="eastAsia" w:ascii="宋体" w:hAnsi="宋体" w:cs="宋体"/>
          <w:color w:val="auto"/>
          <w:highlight w:val="none"/>
        </w:rPr>
      </w:pPr>
    </w:p>
    <w:p w14:paraId="2E810294">
      <w:pPr>
        <w:pStyle w:val="2"/>
        <w:keepNext w:val="0"/>
        <w:keepLines w:val="0"/>
        <w:rPr>
          <w:rFonts w:hint="eastAsia" w:ascii="宋体" w:hAnsi="宋体" w:eastAsia="宋体" w:cs="宋体"/>
          <w:color w:val="auto"/>
          <w:highlight w:val="none"/>
        </w:rPr>
        <w:sectPr>
          <w:pgSz w:w="11905" w:h="16838"/>
          <w:pgMar w:top="1440" w:right="1425" w:bottom="1440" w:left="1800" w:header="720" w:footer="720" w:gutter="0"/>
          <w:pgBorders w:offsetFrom="page">
            <w:top w:val="none" w:sz="0" w:space="0"/>
            <w:left w:val="none" w:sz="0" w:space="0"/>
            <w:bottom w:val="none" w:sz="0" w:space="0"/>
            <w:right w:val="none" w:sz="0" w:space="0"/>
          </w:pgBorders>
          <w:cols w:space="720" w:num="1"/>
          <w:docGrid w:linePitch="286" w:charSpace="0"/>
        </w:sectPr>
      </w:pPr>
      <w:bookmarkStart w:id="185" w:name="_Toc525063257"/>
    </w:p>
    <w:p w14:paraId="56F90603">
      <w:pPr>
        <w:pStyle w:val="2"/>
        <w:keepNext w:val="0"/>
        <w:keepLines w:val="0"/>
        <w:rPr>
          <w:rFonts w:hint="eastAsia" w:ascii="宋体" w:hAnsi="宋体" w:eastAsia="宋体" w:cs="宋体"/>
          <w:color w:val="auto"/>
          <w:highlight w:val="none"/>
        </w:rPr>
      </w:pPr>
      <w:bookmarkStart w:id="186" w:name="_Toc24053"/>
      <w:bookmarkStart w:id="187" w:name="_Toc7907"/>
      <w:bookmarkStart w:id="188" w:name="_Toc31239"/>
      <w:bookmarkStart w:id="189" w:name="_Toc22323"/>
      <w:bookmarkStart w:id="190" w:name="_Toc532367884"/>
      <w:bookmarkStart w:id="191" w:name="_Toc25859"/>
      <w:bookmarkStart w:id="192" w:name="_Toc695"/>
      <w:bookmarkStart w:id="193" w:name="_Toc17141"/>
      <w:bookmarkStart w:id="194" w:name="_Toc32167"/>
      <w:r>
        <w:rPr>
          <w:rFonts w:hint="eastAsia" w:ascii="宋体" w:hAnsi="宋体" w:eastAsia="宋体" w:cs="宋体"/>
          <w:b/>
          <w:bCs/>
          <w:color w:val="auto"/>
          <w:sz w:val="44"/>
          <w:szCs w:val="44"/>
          <w:highlight w:val="none"/>
        </w:rPr>
        <w:t>第四章 合同条款及格式</w:t>
      </w:r>
      <w:bookmarkEnd w:id="185"/>
      <w:bookmarkEnd w:id="186"/>
      <w:bookmarkEnd w:id="187"/>
      <w:bookmarkEnd w:id="188"/>
      <w:bookmarkEnd w:id="189"/>
      <w:bookmarkEnd w:id="190"/>
      <w:bookmarkEnd w:id="191"/>
      <w:bookmarkEnd w:id="192"/>
      <w:bookmarkEnd w:id="193"/>
      <w:bookmarkEnd w:id="194"/>
    </w:p>
    <w:p w14:paraId="00BBAAB1">
      <w:pPr>
        <w:pStyle w:val="3"/>
        <w:keepNext w:val="0"/>
        <w:keepLines w:val="0"/>
        <w:spacing w:before="100" w:beforeLines="0" w:beforeAutospacing="1" w:after="100" w:afterLines="0" w:afterAutospacing="1" w:line="360" w:lineRule="auto"/>
        <w:jc w:val="center"/>
        <w:rPr>
          <w:rFonts w:hint="eastAsia" w:ascii="宋体" w:hAnsi="宋体"/>
          <w:b w:val="0"/>
          <w:color w:val="auto"/>
          <w:sz w:val="36"/>
          <w:szCs w:val="36"/>
          <w:highlight w:val="none"/>
        </w:rPr>
      </w:pPr>
      <w:bookmarkStart w:id="195" w:name="_Toc32434"/>
      <w:bookmarkStart w:id="196" w:name="_Toc10031"/>
      <w:bookmarkStart w:id="197" w:name="_Toc10037"/>
      <w:r>
        <w:rPr>
          <w:rFonts w:hint="eastAsia" w:ascii="宋体" w:hAnsi="宋体"/>
          <w:b w:val="0"/>
          <w:color w:val="auto"/>
          <w:sz w:val="36"/>
          <w:szCs w:val="36"/>
          <w:highlight w:val="none"/>
        </w:rPr>
        <w:t>另附</w:t>
      </w:r>
      <w:bookmarkEnd w:id="195"/>
    </w:p>
    <w:p w14:paraId="0DE215A6">
      <w:pPr>
        <w:rPr>
          <w:rFonts w:ascii="宋体" w:hAnsi="宋体"/>
          <w:color w:val="auto"/>
          <w:sz w:val="36"/>
          <w:szCs w:val="36"/>
          <w:highlight w:val="none"/>
        </w:rPr>
      </w:pPr>
    </w:p>
    <w:p w14:paraId="1AB1B4E9"/>
    <w:p w14:paraId="295EADA0">
      <w:pPr>
        <w:spacing w:line="240" w:lineRule="auto"/>
      </w:pPr>
    </w:p>
    <w:p w14:paraId="78104E5F"/>
    <w:p w14:paraId="32E42EF5"/>
    <w:p w14:paraId="2AE7F4AB"/>
    <w:p w14:paraId="0A6FD00A"/>
    <w:p w14:paraId="6091041B"/>
    <w:p w14:paraId="623879C1"/>
    <w:p w14:paraId="395E2EF3">
      <w:pPr>
        <w:pStyle w:val="26"/>
        <w:rPr>
          <w:rFonts w:ascii="宋体" w:hAnsi="宋体"/>
          <w:color w:val="auto"/>
          <w:sz w:val="24"/>
          <w:highlight w:val="none"/>
        </w:rPr>
      </w:pPr>
    </w:p>
    <w:p w14:paraId="575E2D89">
      <w:pPr>
        <w:rPr>
          <w:rFonts w:ascii="宋体" w:hAnsi="宋体"/>
          <w:color w:val="auto"/>
          <w:sz w:val="24"/>
          <w:highlight w:val="none"/>
        </w:rPr>
      </w:pPr>
    </w:p>
    <w:p w14:paraId="53B4399E">
      <w:pPr>
        <w:pStyle w:val="26"/>
        <w:rPr>
          <w:rFonts w:ascii="宋体" w:hAnsi="宋体"/>
          <w:color w:val="auto"/>
          <w:sz w:val="24"/>
          <w:highlight w:val="none"/>
        </w:rPr>
      </w:pPr>
    </w:p>
    <w:p w14:paraId="7E4FDC6A">
      <w:pPr>
        <w:rPr>
          <w:rFonts w:ascii="宋体" w:hAnsi="宋体"/>
          <w:color w:val="auto"/>
          <w:sz w:val="24"/>
          <w:highlight w:val="none"/>
        </w:rPr>
      </w:pPr>
    </w:p>
    <w:p w14:paraId="36A7789B">
      <w:pPr>
        <w:pStyle w:val="26"/>
        <w:rPr>
          <w:rFonts w:ascii="宋体" w:hAnsi="宋体"/>
          <w:color w:val="auto"/>
          <w:sz w:val="24"/>
          <w:highlight w:val="none"/>
        </w:rPr>
      </w:pPr>
    </w:p>
    <w:p w14:paraId="2D710C00">
      <w:pPr>
        <w:rPr>
          <w:rFonts w:ascii="宋体" w:hAnsi="宋体"/>
          <w:color w:val="auto"/>
          <w:sz w:val="24"/>
          <w:highlight w:val="none"/>
        </w:rPr>
      </w:pPr>
    </w:p>
    <w:p w14:paraId="52E388E8">
      <w:pPr>
        <w:pStyle w:val="26"/>
        <w:rPr>
          <w:rFonts w:ascii="宋体" w:hAnsi="宋体"/>
          <w:color w:val="auto"/>
          <w:sz w:val="24"/>
          <w:highlight w:val="none"/>
        </w:rPr>
      </w:pPr>
    </w:p>
    <w:p w14:paraId="2923EAAF">
      <w:pPr>
        <w:rPr>
          <w:rFonts w:ascii="宋体" w:hAnsi="宋体"/>
          <w:color w:val="auto"/>
          <w:sz w:val="24"/>
          <w:highlight w:val="none"/>
        </w:rPr>
      </w:pPr>
    </w:p>
    <w:p w14:paraId="25061617">
      <w:pPr>
        <w:pStyle w:val="26"/>
        <w:rPr>
          <w:rFonts w:ascii="宋体" w:hAnsi="宋体"/>
          <w:color w:val="auto"/>
          <w:sz w:val="24"/>
          <w:highlight w:val="none"/>
        </w:rPr>
      </w:pPr>
    </w:p>
    <w:p w14:paraId="338A71C7"/>
    <w:p w14:paraId="1364ADF8"/>
    <w:p w14:paraId="2807A48A"/>
    <w:p w14:paraId="7EE2E09C"/>
    <w:p w14:paraId="460A3766"/>
    <w:p w14:paraId="2B5FA249"/>
    <w:p w14:paraId="16E95290"/>
    <w:p w14:paraId="17518510"/>
    <w:p w14:paraId="4230479E"/>
    <w:p w14:paraId="69EF8365"/>
    <w:p w14:paraId="1C393124"/>
    <w:bookmarkEnd w:id="196"/>
    <w:bookmarkEnd w:id="197"/>
    <w:p w14:paraId="40346773">
      <w:pPr>
        <w:rPr>
          <w:rFonts w:hint="eastAsia"/>
        </w:rPr>
      </w:pPr>
      <w:bookmarkStart w:id="198" w:name="_Toc532367889"/>
      <w:bookmarkStart w:id="199" w:name="_Toc6966"/>
      <w:bookmarkStart w:id="200" w:name="_Toc15985"/>
      <w:bookmarkStart w:id="201" w:name="_Toc25816"/>
      <w:bookmarkStart w:id="202" w:name="_Toc525063271"/>
      <w:bookmarkStart w:id="203" w:name="_Toc8956"/>
      <w:bookmarkStart w:id="204" w:name="_Toc3296"/>
      <w:bookmarkStart w:id="205" w:name="_Toc7351"/>
      <w:bookmarkStart w:id="206" w:name="_Toc6928"/>
    </w:p>
    <w:p w14:paraId="3CA6BBFD">
      <w:pPr>
        <w:rPr>
          <w:rFonts w:hint="eastAsia"/>
        </w:rPr>
      </w:pPr>
    </w:p>
    <w:p w14:paraId="6E935FDB">
      <w:pPr>
        <w:pStyle w:val="2"/>
        <w:keepNext w:val="0"/>
        <w:keepLines w:val="0"/>
        <w:spacing w:line="240" w:lineRule="auto"/>
        <w:ind w:firstLine="1767" w:firstLineChars="400"/>
        <w:jc w:val="both"/>
        <w:rPr>
          <w:rFonts w:hint="eastAsia" w:ascii="宋体" w:hAnsi="宋体" w:eastAsia="宋体" w:cs="宋体"/>
          <w:color w:val="auto"/>
          <w:highlight w:val="none"/>
        </w:rPr>
      </w:pPr>
      <w:bookmarkStart w:id="207" w:name="_Toc28743"/>
      <w:r>
        <w:rPr>
          <w:rFonts w:hint="eastAsia" w:ascii="宋体" w:hAnsi="宋体" w:eastAsia="宋体" w:cs="宋体"/>
          <w:color w:val="auto"/>
          <w:kern w:val="2"/>
          <w:highlight w:val="none"/>
        </w:rPr>
        <w:br w:type="page"/>
      </w:r>
      <w:r>
        <w:rPr>
          <w:rFonts w:hint="eastAsia" w:ascii="宋体" w:hAnsi="宋体" w:eastAsia="宋体" w:cs="宋体"/>
          <w:color w:val="auto"/>
          <w:kern w:val="2"/>
          <w:highlight w:val="none"/>
        </w:rPr>
        <w:t>第</w:t>
      </w:r>
      <w:r>
        <w:rPr>
          <w:rFonts w:hint="eastAsia" w:ascii="宋体" w:hAnsi="宋体" w:eastAsia="宋体" w:cs="宋体"/>
          <w:color w:val="auto"/>
          <w:kern w:val="2"/>
          <w:highlight w:val="none"/>
          <w:lang w:val="en-US" w:eastAsia="zh-CN"/>
        </w:rPr>
        <w:t>五</w:t>
      </w:r>
      <w:r>
        <w:rPr>
          <w:rFonts w:hint="eastAsia" w:ascii="宋体" w:hAnsi="宋体" w:eastAsia="宋体" w:cs="宋体"/>
          <w:color w:val="auto"/>
          <w:kern w:val="2"/>
          <w:highlight w:val="none"/>
        </w:rPr>
        <w:t>章 投标文件格式</w:t>
      </w:r>
      <w:bookmarkEnd w:id="198"/>
      <w:bookmarkEnd w:id="199"/>
      <w:bookmarkEnd w:id="200"/>
      <w:bookmarkEnd w:id="201"/>
      <w:bookmarkEnd w:id="202"/>
      <w:bookmarkEnd w:id="203"/>
      <w:bookmarkEnd w:id="204"/>
      <w:bookmarkEnd w:id="205"/>
      <w:bookmarkEnd w:id="206"/>
      <w:bookmarkEnd w:id="207"/>
    </w:p>
    <w:p w14:paraId="6170B230">
      <w:pPr>
        <w:spacing w:line="400" w:lineRule="exact"/>
        <w:rPr>
          <w:rFonts w:hint="eastAsia" w:ascii="宋体" w:hAnsi="宋体" w:cs="宋体"/>
          <w:color w:val="auto"/>
          <w:highlight w:val="none"/>
        </w:rPr>
      </w:pPr>
    </w:p>
    <w:p w14:paraId="61A916C8">
      <w:pPr>
        <w:spacing w:line="400" w:lineRule="exact"/>
        <w:rPr>
          <w:rFonts w:hint="eastAsia" w:ascii="宋体" w:hAnsi="宋体" w:cs="宋体"/>
          <w:color w:val="auto"/>
          <w:highlight w:val="none"/>
        </w:rPr>
      </w:pPr>
    </w:p>
    <w:p w14:paraId="6D331CF6">
      <w:pPr>
        <w:spacing w:line="560" w:lineRule="exact"/>
        <w:ind w:firstLine="0" w:firstLineChars="0"/>
        <w:rPr>
          <w:rFonts w:hint="eastAsia" w:ascii="宋体" w:hAnsi="宋体" w:cs="华文中宋"/>
          <w:b/>
          <w:bCs w:val="0"/>
          <w:color w:val="auto"/>
          <w:sz w:val="28"/>
          <w:szCs w:val="28"/>
          <w:highlight w:val="none"/>
          <w:u w:val="none"/>
        </w:rPr>
      </w:pPr>
      <w:r>
        <w:rPr>
          <w:rFonts w:hint="eastAsia" w:ascii="宋体" w:hAnsi="宋体" w:eastAsia="宋体" w:cs="Times New Roman"/>
          <w:b/>
          <w:color w:val="auto"/>
          <w:sz w:val="32"/>
          <w:szCs w:val="32"/>
          <w:highlight w:val="none"/>
          <w:lang w:eastAsia="zh-CN"/>
        </w:rPr>
        <w:t>番禺区桥山村村镇工业集聚区更新改造试点项目(一期、二期、三期)</w:t>
      </w:r>
      <w:r>
        <w:rPr>
          <w:rFonts w:hint="eastAsia" w:ascii="宋体" w:hAnsi="宋体" w:cs="仿宋_GB2312"/>
          <w:b/>
          <w:color w:val="auto"/>
          <w:sz w:val="28"/>
          <w:szCs w:val="28"/>
          <w:highlight w:val="none"/>
          <w:u w:val="none"/>
          <w:lang w:val="en-US" w:eastAsia="zh-CN"/>
        </w:rPr>
        <w:t>检验监测服务</w:t>
      </w:r>
    </w:p>
    <w:p w14:paraId="1EB46402">
      <w:pPr>
        <w:jc w:val="center"/>
        <w:rPr>
          <w:rFonts w:hint="eastAsia" w:ascii="宋体" w:hAnsi="宋体" w:cs="华文中宋"/>
          <w:b/>
          <w:color w:val="auto"/>
          <w:sz w:val="36"/>
          <w:szCs w:val="36"/>
          <w:highlight w:val="none"/>
        </w:rPr>
      </w:pPr>
    </w:p>
    <w:p w14:paraId="3236986E">
      <w:pPr>
        <w:jc w:val="center"/>
        <w:rPr>
          <w:rFonts w:hint="eastAsia" w:ascii="宋体" w:hAnsi="宋体" w:cs="宋体"/>
          <w:color w:val="auto"/>
          <w:sz w:val="20"/>
          <w:highlight w:val="none"/>
        </w:rPr>
      </w:pPr>
    </w:p>
    <w:p w14:paraId="266A27AB">
      <w:pPr>
        <w:rPr>
          <w:rFonts w:hint="eastAsia" w:ascii="宋体" w:hAnsi="宋体" w:cs="宋体"/>
          <w:color w:val="auto"/>
          <w:sz w:val="20"/>
          <w:highlight w:val="none"/>
        </w:rPr>
      </w:pPr>
    </w:p>
    <w:p w14:paraId="2D5D2DF3">
      <w:pPr>
        <w:rPr>
          <w:rFonts w:hint="eastAsia" w:ascii="宋体" w:hAnsi="宋体" w:cs="宋体"/>
          <w:color w:val="auto"/>
          <w:sz w:val="20"/>
          <w:highlight w:val="none"/>
        </w:rPr>
      </w:pPr>
    </w:p>
    <w:p w14:paraId="3757FDB4">
      <w:pPr>
        <w:rPr>
          <w:rFonts w:hint="eastAsia" w:ascii="宋体" w:hAnsi="宋体" w:cs="宋体"/>
          <w:color w:val="auto"/>
          <w:sz w:val="20"/>
          <w:highlight w:val="none"/>
        </w:rPr>
      </w:pPr>
    </w:p>
    <w:p w14:paraId="1CF8FDED">
      <w:pPr>
        <w:rPr>
          <w:rFonts w:hint="eastAsia" w:ascii="宋体" w:hAnsi="宋体" w:cs="宋体"/>
          <w:color w:val="auto"/>
          <w:sz w:val="20"/>
          <w:highlight w:val="none"/>
        </w:rPr>
      </w:pPr>
    </w:p>
    <w:p w14:paraId="608AFCFC">
      <w:pPr>
        <w:rPr>
          <w:rFonts w:hint="eastAsia" w:ascii="宋体" w:hAnsi="宋体" w:cs="宋体"/>
          <w:color w:val="auto"/>
          <w:sz w:val="20"/>
          <w:highlight w:val="none"/>
        </w:rPr>
      </w:pPr>
    </w:p>
    <w:p w14:paraId="0BCAE016">
      <w:pPr>
        <w:rPr>
          <w:rFonts w:hint="eastAsia" w:ascii="宋体" w:hAnsi="宋体" w:cs="宋体"/>
          <w:color w:val="auto"/>
          <w:sz w:val="20"/>
          <w:highlight w:val="none"/>
        </w:rPr>
      </w:pPr>
    </w:p>
    <w:p w14:paraId="122F88CE">
      <w:pPr>
        <w:rPr>
          <w:rFonts w:hint="eastAsia" w:ascii="宋体" w:hAnsi="宋体" w:cs="宋体"/>
          <w:color w:val="auto"/>
          <w:sz w:val="20"/>
          <w:highlight w:val="none"/>
        </w:rPr>
      </w:pPr>
    </w:p>
    <w:p w14:paraId="3D00B05B">
      <w:pPr>
        <w:pStyle w:val="14"/>
        <w:rPr>
          <w:rFonts w:hint="eastAsia" w:ascii="宋体" w:hAnsi="宋体" w:cs="宋体"/>
          <w:color w:val="auto"/>
          <w:sz w:val="20"/>
          <w:highlight w:val="none"/>
        </w:rPr>
      </w:pPr>
    </w:p>
    <w:p w14:paraId="1BBD9DD8">
      <w:pPr>
        <w:pStyle w:val="14"/>
        <w:rPr>
          <w:rFonts w:hint="eastAsia" w:ascii="宋体" w:hAnsi="宋体" w:cs="宋体"/>
          <w:color w:val="auto"/>
          <w:sz w:val="20"/>
          <w:highlight w:val="none"/>
        </w:rPr>
      </w:pPr>
    </w:p>
    <w:p w14:paraId="39670A85">
      <w:pPr>
        <w:rPr>
          <w:rFonts w:hint="eastAsia" w:ascii="宋体" w:hAnsi="宋体" w:cs="宋体"/>
          <w:color w:val="auto"/>
          <w:sz w:val="20"/>
          <w:highlight w:val="none"/>
        </w:rPr>
      </w:pPr>
    </w:p>
    <w:p w14:paraId="47608D5A">
      <w:pPr>
        <w:jc w:val="center"/>
        <w:rPr>
          <w:rFonts w:hint="eastAsia" w:ascii="宋体" w:hAnsi="宋体" w:cs="宋体"/>
          <w:color w:val="auto"/>
          <w:sz w:val="44"/>
          <w:highlight w:val="none"/>
        </w:rPr>
      </w:pPr>
      <w:r>
        <w:rPr>
          <w:rFonts w:hint="eastAsia" w:ascii="宋体" w:hAnsi="宋体" w:cs="宋体"/>
          <w:color w:val="auto"/>
          <w:sz w:val="48"/>
          <w:szCs w:val="24"/>
          <w:highlight w:val="none"/>
        </w:rPr>
        <w:t>投标文件</w:t>
      </w:r>
    </w:p>
    <w:p w14:paraId="4E50AC82">
      <w:pPr>
        <w:rPr>
          <w:rFonts w:hint="eastAsia" w:ascii="宋体" w:hAnsi="宋体" w:cs="宋体"/>
          <w:color w:val="auto"/>
          <w:sz w:val="28"/>
          <w:highlight w:val="none"/>
        </w:rPr>
      </w:pPr>
    </w:p>
    <w:p w14:paraId="5B2586BD">
      <w:pPr>
        <w:rPr>
          <w:rFonts w:hint="eastAsia" w:ascii="宋体" w:hAnsi="宋体" w:cs="宋体"/>
          <w:color w:val="auto"/>
          <w:sz w:val="28"/>
          <w:highlight w:val="none"/>
        </w:rPr>
      </w:pPr>
    </w:p>
    <w:p w14:paraId="78260F9E">
      <w:pPr>
        <w:rPr>
          <w:rFonts w:hint="eastAsia" w:ascii="宋体" w:hAnsi="宋体" w:cs="宋体"/>
          <w:color w:val="auto"/>
          <w:sz w:val="28"/>
          <w:highlight w:val="none"/>
        </w:rPr>
      </w:pPr>
    </w:p>
    <w:p w14:paraId="61C1D2DE">
      <w:pPr>
        <w:rPr>
          <w:rFonts w:hint="eastAsia" w:ascii="宋体" w:hAnsi="宋体" w:cs="宋体"/>
          <w:color w:val="auto"/>
          <w:sz w:val="28"/>
          <w:highlight w:val="none"/>
        </w:rPr>
      </w:pPr>
    </w:p>
    <w:p w14:paraId="4F727656">
      <w:pPr>
        <w:rPr>
          <w:rFonts w:hint="eastAsia" w:ascii="宋体" w:hAnsi="宋体" w:cs="宋体"/>
          <w:color w:val="auto"/>
          <w:sz w:val="28"/>
          <w:highlight w:val="none"/>
        </w:rPr>
      </w:pPr>
    </w:p>
    <w:p w14:paraId="62A02B38">
      <w:pPr>
        <w:rPr>
          <w:rFonts w:hint="eastAsia" w:ascii="宋体" w:hAnsi="宋体" w:cs="宋体"/>
          <w:color w:val="auto"/>
          <w:sz w:val="28"/>
          <w:highlight w:val="none"/>
        </w:rPr>
      </w:pPr>
    </w:p>
    <w:p w14:paraId="1F1931E0">
      <w:pPr>
        <w:rPr>
          <w:rFonts w:hint="eastAsia" w:ascii="宋体" w:hAnsi="宋体" w:cs="宋体"/>
          <w:color w:val="auto"/>
          <w:sz w:val="28"/>
          <w:highlight w:val="none"/>
        </w:rPr>
      </w:pPr>
    </w:p>
    <w:p w14:paraId="5A11D9E1">
      <w:pPr>
        <w:rPr>
          <w:rFonts w:hint="eastAsia" w:ascii="宋体" w:hAnsi="宋体" w:cs="宋体"/>
          <w:color w:val="auto"/>
          <w:sz w:val="28"/>
          <w:highlight w:val="none"/>
        </w:rPr>
      </w:pPr>
    </w:p>
    <w:p w14:paraId="37268E5B">
      <w:pPr>
        <w:rPr>
          <w:rFonts w:hint="eastAsia" w:ascii="宋体" w:hAnsi="宋体" w:cs="宋体"/>
          <w:color w:val="auto"/>
          <w:sz w:val="28"/>
          <w:highlight w:val="none"/>
        </w:rPr>
      </w:pPr>
    </w:p>
    <w:p w14:paraId="4F1755C2">
      <w:pPr>
        <w:rPr>
          <w:rFonts w:hint="eastAsia" w:ascii="宋体" w:hAnsi="宋体" w:cs="宋体"/>
          <w:color w:val="auto"/>
          <w:sz w:val="28"/>
          <w:highlight w:val="none"/>
        </w:rPr>
      </w:pPr>
    </w:p>
    <w:p w14:paraId="16E44F49">
      <w:pPr>
        <w:spacing w:line="360" w:lineRule="auto"/>
        <w:rPr>
          <w:rFonts w:hint="eastAsia" w:ascii="宋体" w:hAnsi="宋体" w:cs="宋体"/>
          <w:color w:val="auto"/>
          <w:sz w:val="28"/>
          <w:highlight w:val="none"/>
        </w:rPr>
      </w:pPr>
    </w:p>
    <w:p w14:paraId="2D5C0B10">
      <w:pPr>
        <w:spacing w:line="360" w:lineRule="auto"/>
        <w:ind w:firstLine="1120" w:firstLineChars="400"/>
        <w:rPr>
          <w:rFonts w:hint="eastAsia" w:ascii="宋体" w:hAnsi="宋体" w:cs="宋体"/>
          <w:color w:val="auto"/>
          <w:sz w:val="28"/>
          <w:highlight w:val="none"/>
          <w:u w:val="single"/>
        </w:rPr>
      </w:pPr>
      <w:r>
        <w:rPr>
          <w:rFonts w:hint="eastAsia" w:ascii="宋体" w:hAnsi="宋体" w:cs="宋体"/>
          <w:color w:val="auto"/>
          <w:sz w:val="28"/>
          <w:highlight w:val="none"/>
        </w:rPr>
        <w:t>投标人：（盖单位章）</w:t>
      </w:r>
    </w:p>
    <w:p w14:paraId="3C3A51A8">
      <w:pPr>
        <w:spacing w:line="360" w:lineRule="auto"/>
        <w:ind w:firstLine="1120" w:firstLineChars="400"/>
        <w:jc w:val="left"/>
        <w:rPr>
          <w:rFonts w:hint="eastAsia" w:ascii="宋体" w:hAnsi="宋体" w:cs="宋体"/>
          <w:color w:val="auto"/>
          <w:sz w:val="28"/>
          <w:highlight w:val="none"/>
        </w:rPr>
      </w:pPr>
      <w:r>
        <w:rPr>
          <w:rFonts w:hint="eastAsia" w:ascii="宋体" w:hAnsi="宋体" w:cs="宋体"/>
          <w:color w:val="auto"/>
          <w:sz w:val="28"/>
          <w:highlight w:val="none"/>
        </w:rPr>
        <w:t>法定代表人或其委托代理人：（签字</w:t>
      </w:r>
      <w:r>
        <w:rPr>
          <w:rFonts w:hint="eastAsia" w:ascii="宋体" w:hAnsi="宋体" w:cs="宋体"/>
          <w:color w:val="auto"/>
          <w:sz w:val="28"/>
          <w:highlight w:val="none"/>
          <w:lang w:val="en-US" w:eastAsia="zh-CN"/>
        </w:rPr>
        <w:t>或盖章</w:t>
      </w:r>
      <w:r>
        <w:rPr>
          <w:rFonts w:hint="eastAsia" w:ascii="宋体" w:hAnsi="宋体" w:cs="宋体"/>
          <w:color w:val="auto"/>
          <w:sz w:val="28"/>
          <w:highlight w:val="none"/>
        </w:rPr>
        <w:t>）</w:t>
      </w:r>
    </w:p>
    <w:p w14:paraId="73AFE627">
      <w:pPr>
        <w:jc w:val="center"/>
        <w:rPr>
          <w:rFonts w:hint="eastAsia" w:ascii="宋体" w:hAnsi="宋体" w:cs="宋体"/>
          <w:color w:val="auto"/>
          <w:sz w:val="28"/>
          <w:highlight w:val="none"/>
        </w:rPr>
      </w:pPr>
    </w:p>
    <w:p w14:paraId="1BE711E8">
      <w:pPr>
        <w:spacing w:line="400" w:lineRule="exact"/>
        <w:jc w:val="center"/>
        <w:rPr>
          <w:rFonts w:hint="eastAsia" w:ascii="宋体" w:hAnsi="宋体" w:cs="宋体"/>
          <w:color w:val="auto"/>
          <w:highlight w:val="none"/>
        </w:rPr>
      </w:pPr>
      <w:r>
        <w:rPr>
          <w:rFonts w:hint="eastAsia" w:ascii="宋体" w:hAnsi="宋体" w:cs="宋体"/>
          <w:color w:val="auto"/>
          <w:sz w:val="28"/>
          <w:highlight w:val="none"/>
        </w:rPr>
        <w:t>年   月   日</w:t>
      </w:r>
    </w:p>
    <w:p w14:paraId="4AA1BA1B">
      <w:pPr>
        <w:rPr>
          <w:rFonts w:hint="eastAsia" w:ascii="宋体" w:hAnsi="宋体" w:cs="宋体"/>
          <w:color w:val="auto"/>
          <w:highlight w:val="none"/>
        </w:rPr>
      </w:pPr>
    </w:p>
    <w:p w14:paraId="2FB52323">
      <w:pPr>
        <w:pStyle w:val="3"/>
        <w:keepNext w:val="0"/>
        <w:keepLines w:val="0"/>
        <w:jc w:val="both"/>
        <w:rPr>
          <w:rFonts w:hint="eastAsia" w:ascii="宋体" w:hAnsi="宋体" w:eastAsia="宋体" w:cs="宋体"/>
          <w:color w:val="auto"/>
          <w:highlight w:val="none"/>
        </w:rPr>
        <w:sectPr>
          <w:footerReference r:id="rId7" w:type="default"/>
          <w:pgSz w:w="11905" w:h="16838"/>
          <w:pgMar w:top="1440" w:right="1425" w:bottom="1440" w:left="1800" w:header="720" w:footer="720" w:gutter="0"/>
          <w:pgBorders w:offsetFrom="page">
            <w:top w:val="none" w:sz="0" w:space="0"/>
            <w:left w:val="none" w:sz="0" w:space="0"/>
            <w:bottom w:val="none" w:sz="0" w:space="0"/>
            <w:right w:val="none" w:sz="0" w:space="0"/>
          </w:pgBorders>
          <w:cols w:space="720" w:num="1"/>
          <w:docGrid w:linePitch="286" w:charSpace="0"/>
        </w:sectPr>
      </w:pPr>
    </w:p>
    <w:p w14:paraId="4B7C4A2F">
      <w:pPr>
        <w:spacing w:line="400" w:lineRule="exact"/>
        <w:jc w:val="center"/>
        <w:rPr>
          <w:rFonts w:hint="eastAsia" w:ascii="宋体" w:hAnsi="宋体" w:cs="宋体"/>
          <w:color w:val="auto"/>
          <w:sz w:val="44"/>
          <w:szCs w:val="44"/>
          <w:highlight w:val="none"/>
        </w:rPr>
      </w:pPr>
      <w:bookmarkStart w:id="208" w:name="_Toc15847"/>
      <w:bookmarkStart w:id="209" w:name="_Toc759"/>
      <w:bookmarkStart w:id="210" w:name="_Toc525063272"/>
      <w:bookmarkStart w:id="211" w:name="_Toc7672"/>
      <w:bookmarkStart w:id="212" w:name="_Toc20192"/>
      <w:bookmarkStart w:id="213" w:name="_Toc14300"/>
      <w:r>
        <w:rPr>
          <w:rFonts w:hint="eastAsia" w:ascii="宋体" w:hAnsi="宋体" w:cs="宋体"/>
          <w:color w:val="auto"/>
          <w:sz w:val="44"/>
          <w:szCs w:val="44"/>
          <w:highlight w:val="none"/>
        </w:rPr>
        <w:t>目 录</w:t>
      </w:r>
    </w:p>
    <w:p w14:paraId="3408703C">
      <w:pPr>
        <w:spacing w:line="360" w:lineRule="auto"/>
        <w:jc w:val="left"/>
        <w:rPr>
          <w:rFonts w:hint="eastAsia" w:ascii="宋体" w:hAnsi="宋体" w:cs="宋体"/>
          <w:color w:val="auto"/>
          <w:sz w:val="22"/>
          <w:highlight w:val="none"/>
        </w:rPr>
      </w:pPr>
    </w:p>
    <w:p w14:paraId="58CF67B0">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一、投标函及</w:t>
      </w:r>
      <w:r>
        <w:rPr>
          <w:rFonts w:hint="eastAsia" w:ascii="宋体" w:hAnsi="宋体" w:cs="宋体"/>
          <w:color w:val="auto"/>
          <w:sz w:val="22"/>
          <w:highlight w:val="none"/>
          <w:lang w:val="en-US" w:eastAsia="zh-CN"/>
        </w:rPr>
        <w:t>其</w:t>
      </w:r>
      <w:r>
        <w:rPr>
          <w:rFonts w:hint="eastAsia" w:ascii="宋体" w:hAnsi="宋体" w:cs="宋体"/>
          <w:color w:val="auto"/>
          <w:sz w:val="22"/>
          <w:highlight w:val="none"/>
        </w:rPr>
        <w:t>附录</w:t>
      </w:r>
      <w:r>
        <w:rPr>
          <w:rFonts w:hint="eastAsia" w:ascii="宋体" w:hAnsi="宋体" w:cs="宋体"/>
          <w:color w:val="auto"/>
          <w:sz w:val="22"/>
          <w:highlight w:val="none"/>
        </w:rPr>
        <w:tab/>
      </w:r>
    </w:p>
    <w:p w14:paraId="2CF26520">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二、法定代表人身份证明</w:t>
      </w:r>
      <w:r>
        <w:rPr>
          <w:rFonts w:hint="eastAsia" w:ascii="宋体" w:hAnsi="宋体" w:cs="宋体"/>
          <w:color w:val="auto"/>
          <w:sz w:val="22"/>
          <w:highlight w:val="none"/>
        </w:rPr>
        <w:tab/>
      </w:r>
      <w:r>
        <w:rPr>
          <w:rFonts w:hint="eastAsia" w:ascii="宋体" w:hAnsi="宋体" w:cs="宋体"/>
          <w:color w:val="auto"/>
          <w:sz w:val="22"/>
          <w:highlight w:val="none"/>
          <w:lang w:val="en-US" w:eastAsia="zh-CN"/>
        </w:rPr>
        <w:t>书</w:t>
      </w:r>
      <w:r>
        <w:rPr>
          <w:rFonts w:hint="eastAsia" w:ascii="宋体" w:hAnsi="宋体" w:cs="宋体"/>
          <w:color w:val="auto"/>
          <w:sz w:val="22"/>
          <w:highlight w:val="none"/>
        </w:rPr>
        <w:t>或授权委托书</w:t>
      </w:r>
    </w:p>
    <w:p w14:paraId="306DBBE8">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三、</w:t>
      </w:r>
      <w:r>
        <w:rPr>
          <w:rFonts w:hint="eastAsia" w:ascii="宋体" w:hAnsi="宋体" w:cs="宋体"/>
          <w:color w:val="auto"/>
          <w:sz w:val="22"/>
          <w:highlight w:val="none"/>
        </w:rPr>
        <w:tab/>
      </w:r>
      <w:r>
        <w:rPr>
          <w:rFonts w:hint="eastAsia" w:ascii="宋体" w:hAnsi="宋体" w:cs="宋体"/>
          <w:color w:val="auto"/>
          <w:sz w:val="22"/>
          <w:highlight w:val="none"/>
        </w:rPr>
        <w:t>资格审查资料</w:t>
      </w:r>
    </w:p>
    <w:p w14:paraId="0E54D29C">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四、联合体协议书</w:t>
      </w:r>
      <w:r>
        <w:rPr>
          <w:rFonts w:hint="eastAsia" w:ascii="宋体" w:hAnsi="宋体" w:cs="宋体"/>
          <w:color w:val="auto"/>
          <w:sz w:val="22"/>
          <w:highlight w:val="none"/>
        </w:rPr>
        <w:tab/>
      </w:r>
      <w:r>
        <w:rPr>
          <w:rFonts w:hint="eastAsia" w:ascii="宋体" w:hAnsi="宋体" w:cs="宋体"/>
          <w:color w:val="auto"/>
          <w:sz w:val="22"/>
          <w:highlight w:val="none"/>
        </w:rPr>
        <w:t>（如有）</w:t>
      </w:r>
      <w:r>
        <w:rPr>
          <w:rFonts w:hint="eastAsia" w:ascii="宋体" w:hAnsi="宋体" w:cs="宋体"/>
          <w:color w:val="auto"/>
          <w:sz w:val="22"/>
          <w:highlight w:val="none"/>
        </w:rPr>
        <w:tab/>
      </w:r>
    </w:p>
    <w:p w14:paraId="4A24E41F">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五、投标保证金</w:t>
      </w:r>
      <w:r>
        <w:rPr>
          <w:rFonts w:hint="eastAsia" w:ascii="宋体" w:hAnsi="宋体" w:cs="宋体"/>
          <w:color w:val="auto"/>
          <w:sz w:val="22"/>
          <w:highlight w:val="none"/>
        </w:rPr>
        <w:tab/>
      </w:r>
      <w:r>
        <w:rPr>
          <w:rFonts w:hint="eastAsia" w:ascii="宋体" w:hAnsi="宋体" w:cs="宋体"/>
          <w:color w:val="auto"/>
          <w:sz w:val="22"/>
          <w:highlight w:val="none"/>
        </w:rPr>
        <w:t>（如有）</w:t>
      </w:r>
      <w:r>
        <w:rPr>
          <w:rFonts w:hint="eastAsia" w:ascii="宋体" w:hAnsi="宋体" w:cs="宋体"/>
          <w:color w:val="auto"/>
          <w:sz w:val="22"/>
          <w:highlight w:val="none"/>
        </w:rPr>
        <w:tab/>
      </w:r>
    </w:p>
    <w:p w14:paraId="1CD5DD68">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六、投标人声明</w:t>
      </w:r>
      <w:r>
        <w:rPr>
          <w:rFonts w:hint="eastAsia" w:ascii="宋体" w:hAnsi="宋体" w:cs="宋体"/>
          <w:color w:val="auto"/>
          <w:sz w:val="22"/>
          <w:highlight w:val="none"/>
        </w:rPr>
        <w:tab/>
      </w:r>
    </w:p>
    <w:p w14:paraId="79AE68C1">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七、拟投入本项目的检</w:t>
      </w:r>
      <w:r>
        <w:rPr>
          <w:rFonts w:hint="eastAsia" w:ascii="宋体" w:hAnsi="宋体" w:cs="宋体"/>
          <w:color w:val="auto"/>
          <w:sz w:val="22"/>
          <w:highlight w:val="none"/>
          <w:lang w:val="en-US" w:eastAsia="zh-CN"/>
        </w:rPr>
        <w:t>验</w:t>
      </w:r>
      <w:r>
        <w:rPr>
          <w:rFonts w:hint="eastAsia" w:ascii="宋体" w:hAnsi="宋体" w:cs="宋体"/>
          <w:color w:val="auto"/>
          <w:sz w:val="22"/>
          <w:highlight w:val="none"/>
        </w:rPr>
        <w:t>监测人员一览表</w:t>
      </w:r>
    </w:p>
    <w:p w14:paraId="5049DCCF">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八、拟投入本项目的检</w:t>
      </w:r>
      <w:r>
        <w:rPr>
          <w:rFonts w:hint="eastAsia" w:ascii="宋体" w:hAnsi="宋体" w:cs="宋体"/>
          <w:color w:val="auto"/>
          <w:sz w:val="22"/>
          <w:highlight w:val="none"/>
          <w:lang w:val="en-US" w:eastAsia="zh-CN"/>
        </w:rPr>
        <w:t>验</w:t>
      </w:r>
      <w:r>
        <w:rPr>
          <w:rFonts w:hint="eastAsia" w:ascii="宋体" w:hAnsi="宋体" w:cs="宋体"/>
          <w:color w:val="auto"/>
          <w:sz w:val="22"/>
          <w:highlight w:val="none"/>
        </w:rPr>
        <w:t>监测人员简历表</w:t>
      </w:r>
    </w:p>
    <w:p w14:paraId="7EC82E71">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九、拟投入本项目的主要检</w:t>
      </w:r>
      <w:r>
        <w:rPr>
          <w:rFonts w:hint="eastAsia" w:ascii="宋体" w:hAnsi="宋体" w:cs="宋体"/>
          <w:color w:val="auto"/>
          <w:sz w:val="22"/>
          <w:highlight w:val="none"/>
          <w:lang w:val="en-US" w:eastAsia="zh-CN"/>
        </w:rPr>
        <w:t>验</w:t>
      </w:r>
      <w:r>
        <w:rPr>
          <w:rFonts w:hint="eastAsia" w:ascii="宋体" w:hAnsi="宋体" w:cs="宋体"/>
          <w:color w:val="auto"/>
          <w:sz w:val="22"/>
          <w:highlight w:val="none"/>
        </w:rPr>
        <w:t>监测仪器设备一览表</w:t>
      </w:r>
    </w:p>
    <w:p w14:paraId="54074783">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十、</w:t>
      </w:r>
      <w:r>
        <w:rPr>
          <w:rFonts w:hint="eastAsia" w:ascii="宋体" w:hAnsi="宋体" w:cs="宋体"/>
          <w:color w:val="auto"/>
          <w:sz w:val="22"/>
          <w:highlight w:val="none"/>
          <w:lang w:eastAsia="zh-CN"/>
        </w:rPr>
        <w:t>检测监测方案</w:t>
      </w:r>
      <w:r>
        <w:rPr>
          <w:rFonts w:hint="eastAsia" w:ascii="宋体" w:hAnsi="宋体" w:cs="宋体"/>
          <w:color w:val="auto"/>
          <w:sz w:val="22"/>
          <w:highlight w:val="none"/>
        </w:rPr>
        <w:tab/>
      </w:r>
    </w:p>
    <w:p w14:paraId="221DEA2C">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、廉洁承诺书</w:t>
      </w:r>
    </w:p>
    <w:p w14:paraId="40EFD528">
      <w:pPr>
        <w:spacing w:line="360" w:lineRule="auto"/>
        <w:ind w:firstLine="0" w:firstLineChars="0"/>
        <w:jc w:val="left"/>
        <w:rPr>
          <w:rFonts w:hint="eastAsia"/>
          <w:color w:val="auto"/>
          <w:highlight w:val="none"/>
        </w:rPr>
      </w:pPr>
      <w:r>
        <w:rPr>
          <w:rFonts w:hint="eastAsia" w:ascii="宋体" w:hAnsi="宋体" w:eastAsia="宋体" w:cs="宋体"/>
          <w:color w:val="auto"/>
          <w:highlight w:val="none"/>
          <w:u w:val="single"/>
          <w:lang w:val="en-US" w:eastAsia="zh-CN"/>
        </w:rPr>
        <w:t>十二、</w:t>
      </w:r>
      <w:r>
        <w:rPr>
          <w:rFonts w:hint="eastAsia" w:ascii="宋体" w:hAnsi="宋体" w:eastAsia="宋体" w:cs="宋体"/>
          <w:color w:val="auto"/>
          <w:highlight w:val="none"/>
          <w:u w:val="single"/>
        </w:rPr>
        <w:t xml:space="preserve"> 其他证明企业资信实力、获奖证明资料等扫描件。</w:t>
      </w:r>
    </w:p>
    <w:bookmarkEnd w:id="208"/>
    <w:bookmarkEnd w:id="209"/>
    <w:bookmarkEnd w:id="210"/>
    <w:bookmarkEnd w:id="211"/>
    <w:bookmarkEnd w:id="212"/>
    <w:bookmarkEnd w:id="213"/>
    <w:p w14:paraId="1DF69063">
      <w:pPr>
        <w:spacing w:line="360" w:lineRule="auto"/>
        <w:jc w:val="left"/>
        <w:rPr>
          <w:rFonts w:hint="eastAsia" w:ascii="宋体" w:hAnsi="宋体" w:cs="宋体"/>
          <w:color w:val="auto"/>
          <w:sz w:val="22"/>
          <w:highlight w:val="none"/>
        </w:rPr>
      </w:pPr>
      <w:bookmarkStart w:id="214" w:name="_Toc369531691"/>
      <w:bookmarkStart w:id="215" w:name="_Toc7039"/>
      <w:bookmarkStart w:id="216" w:name="_Toc352691655"/>
      <w:r>
        <w:rPr>
          <w:rFonts w:hint="eastAsia" w:ascii="宋体" w:hAnsi="宋体" w:cs="宋体"/>
          <w:color w:val="auto"/>
          <w:sz w:val="22"/>
          <w:highlight w:val="none"/>
        </w:rPr>
        <w:t>十</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、其他资料</w:t>
      </w:r>
    </w:p>
    <w:p w14:paraId="4AED0AB1">
      <w:pPr>
        <w:spacing w:line="540" w:lineRule="exact"/>
        <w:rPr>
          <w:rFonts w:hint="eastAsia" w:ascii="宋体" w:hAnsi="宋体" w:cs="宋体"/>
          <w:color w:val="auto"/>
          <w:sz w:val="20"/>
          <w:highlight w:val="none"/>
        </w:rPr>
      </w:pPr>
    </w:p>
    <w:bookmarkEnd w:id="214"/>
    <w:bookmarkEnd w:id="215"/>
    <w:bookmarkEnd w:id="216"/>
    <w:p w14:paraId="07FE192A">
      <w:pPr>
        <w:pStyle w:val="3"/>
        <w:keepNext w:val="0"/>
        <w:keepLines w:val="0"/>
        <w:rPr>
          <w:rFonts w:hint="eastAsia" w:ascii="宋体" w:hAnsi="宋体" w:eastAsia="宋体" w:cs="宋体"/>
          <w:color w:val="auto"/>
          <w:highlight w:val="none"/>
        </w:rPr>
        <w:sectPr>
          <w:pgSz w:w="11905" w:h="16838"/>
          <w:pgMar w:top="1440" w:right="1425" w:bottom="1440" w:left="1800" w:header="720" w:footer="720" w:gutter="0"/>
          <w:pgBorders w:offsetFrom="page">
            <w:top w:val="none" w:sz="0" w:space="0"/>
            <w:left w:val="none" w:sz="0" w:space="0"/>
            <w:bottom w:val="none" w:sz="0" w:space="0"/>
            <w:right w:val="none" w:sz="0" w:space="0"/>
          </w:pgBorders>
          <w:cols w:space="720" w:num="1"/>
          <w:docGrid w:linePitch="286" w:charSpace="0"/>
        </w:sectPr>
      </w:pPr>
    </w:p>
    <w:p w14:paraId="1AB1298D">
      <w:pPr>
        <w:keepNext/>
        <w:keepLines/>
        <w:spacing w:line="360" w:lineRule="auto"/>
        <w:jc w:val="center"/>
        <w:outlineLvl w:val="1"/>
        <w:rPr>
          <w:rFonts w:hint="eastAsia" w:ascii="宋体" w:hAnsi="宋体" w:cs="宋体"/>
          <w:color w:val="auto"/>
          <w:sz w:val="32"/>
          <w:highlight w:val="none"/>
        </w:rPr>
      </w:pPr>
      <w:bookmarkStart w:id="217" w:name="_Toc14192"/>
      <w:bookmarkStart w:id="218" w:name="_Toc15006"/>
      <w:bookmarkStart w:id="219" w:name="_Toc1136"/>
      <w:bookmarkStart w:id="220" w:name="_Toc38224860"/>
      <w:bookmarkStart w:id="221" w:name="_Toc32670"/>
      <w:bookmarkStart w:id="222" w:name="_Toc15651"/>
      <w:bookmarkStart w:id="223" w:name="_Toc2849"/>
      <w:bookmarkStart w:id="224" w:name="_Toc29324"/>
      <w:bookmarkStart w:id="225" w:name="_Toc532367890"/>
      <w:bookmarkStart w:id="226" w:name="_Toc525063280"/>
      <w:bookmarkStart w:id="227" w:name="_Toc27174"/>
      <w:r>
        <w:rPr>
          <w:rFonts w:hint="eastAsia" w:ascii="宋体" w:hAnsi="宋体" w:cs="宋体"/>
          <w:color w:val="auto"/>
          <w:sz w:val="32"/>
          <w:highlight w:val="none"/>
        </w:rPr>
        <w:t>一、</w:t>
      </w:r>
      <w:r>
        <w:rPr>
          <w:rFonts w:hint="eastAsia" w:ascii="宋体" w:hAnsi="宋体" w:cs="宋体"/>
          <w:b/>
          <w:bCs/>
          <w:color w:val="auto"/>
          <w:sz w:val="32"/>
          <w:szCs w:val="32"/>
          <w:highlight w:val="none"/>
        </w:rPr>
        <w:t>投标</w:t>
      </w:r>
      <w:bookmarkStart w:id="228" w:name="_Toc369531692"/>
      <w:bookmarkStart w:id="229" w:name="_Toc6931"/>
      <w:bookmarkStart w:id="230" w:name="_Toc352691656"/>
      <w:r>
        <w:rPr>
          <w:rFonts w:hint="eastAsia" w:ascii="宋体" w:hAnsi="宋体" w:cs="宋体"/>
          <w:b/>
          <w:bCs/>
          <w:color w:val="auto"/>
          <w:sz w:val="32"/>
          <w:szCs w:val="32"/>
          <w:highlight w:val="none"/>
        </w:rPr>
        <w:t>函及投标函附录</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B741F04">
      <w:pPr>
        <w:spacing w:line="360" w:lineRule="auto"/>
        <w:jc w:val="center"/>
        <w:rPr>
          <w:rFonts w:hint="eastAsia" w:ascii="宋体" w:hAnsi="宋体" w:cs="宋体"/>
          <w:color w:val="auto"/>
          <w:sz w:val="30"/>
          <w:szCs w:val="24"/>
          <w:highlight w:val="none"/>
        </w:rPr>
      </w:pPr>
    </w:p>
    <w:p w14:paraId="1F9E02C4">
      <w:pPr>
        <w:spacing w:line="360" w:lineRule="auto"/>
        <w:jc w:val="center"/>
        <w:rPr>
          <w:rFonts w:hint="eastAsia" w:ascii="宋体" w:hAnsi="宋体" w:cs="宋体"/>
          <w:color w:val="auto"/>
          <w:sz w:val="30"/>
          <w:szCs w:val="24"/>
          <w:highlight w:val="none"/>
        </w:rPr>
      </w:pPr>
      <w:r>
        <w:rPr>
          <w:rFonts w:hint="eastAsia" w:ascii="宋体" w:hAnsi="宋体" w:cs="宋体"/>
          <w:color w:val="auto"/>
          <w:sz w:val="30"/>
          <w:szCs w:val="24"/>
          <w:highlight w:val="none"/>
          <w:lang w:eastAsia="zh-CN"/>
        </w:rPr>
        <w:t>（</w:t>
      </w:r>
      <w:r>
        <w:rPr>
          <w:rFonts w:hint="eastAsia" w:ascii="宋体" w:hAnsi="宋体" w:cs="宋体"/>
          <w:color w:val="auto"/>
          <w:sz w:val="30"/>
          <w:szCs w:val="24"/>
          <w:highlight w:val="none"/>
          <w:lang w:val="en-US" w:eastAsia="zh-CN"/>
        </w:rPr>
        <w:t>一）</w:t>
      </w:r>
      <w:r>
        <w:rPr>
          <w:rFonts w:hint="eastAsia" w:ascii="宋体" w:hAnsi="宋体" w:cs="宋体"/>
          <w:color w:val="auto"/>
          <w:sz w:val="30"/>
          <w:szCs w:val="24"/>
          <w:highlight w:val="none"/>
        </w:rPr>
        <w:t>投标函</w:t>
      </w:r>
    </w:p>
    <w:p w14:paraId="2BB813CD">
      <w:pPr>
        <w:spacing w:line="320" w:lineRule="atLeast"/>
        <w:rPr>
          <w:rFonts w:hint="eastAsia" w:ascii="宋体" w:hAnsi="宋体" w:cs="宋体"/>
          <w:color w:val="auto"/>
          <w:szCs w:val="24"/>
          <w:highlight w:val="none"/>
        </w:rPr>
      </w:pPr>
    </w:p>
    <w:p w14:paraId="4FA03218">
      <w:pPr>
        <w:spacing w:line="540" w:lineRule="exact"/>
        <w:jc w:val="left"/>
        <w:rPr>
          <w:rFonts w:hint="eastAsia" w:ascii="宋体" w:hAnsi="宋体" w:eastAsia="宋体" w:cs="宋体"/>
          <w:color w:val="auto"/>
          <w:szCs w:val="21"/>
          <w:highlight w:val="none"/>
          <w:lang w:eastAsia="zh-CN"/>
        </w:rPr>
      </w:pPr>
      <w:bookmarkStart w:id="231" w:name="_Toc152045787"/>
      <w:bookmarkStart w:id="232" w:name="_Toc361508752"/>
      <w:bookmarkStart w:id="233" w:name="_Toc247514246"/>
      <w:bookmarkStart w:id="234" w:name="_Toc369531697"/>
      <w:bookmarkStart w:id="235" w:name="_Toc352691661"/>
      <w:bookmarkStart w:id="236" w:name="_Toc384308375"/>
      <w:bookmarkStart w:id="237" w:name="_Toc144974856"/>
      <w:bookmarkStart w:id="238" w:name="_Toc247527827"/>
      <w:bookmarkStart w:id="239" w:name="_Toc152042576"/>
      <w:bookmarkStart w:id="240" w:name="_Toc300835209"/>
      <w:bookmarkStart w:id="241" w:name="_Toc17960"/>
      <w:r>
        <w:rPr>
          <w:rFonts w:hint="eastAsia" w:ascii="宋体" w:hAnsi="宋体" w:cs="宋体"/>
          <w:color w:val="auto"/>
          <w:szCs w:val="21"/>
          <w:highlight w:val="none"/>
        </w:rPr>
        <w:t>致：</w:t>
      </w:r>
      <w:r>
        <w:rPr>
          <w:rFonts w:hint="eastAsia"/>
          <w:color w:val="auto"/>
          <w:szCs w:val="21"/>
          <w:highlight w:val="none"/>
          <w:lang w:eastAsia="zh-CN"/>
        </w:rPr>
        <w:t>广州市番禺区石碁镇桥山村股份合作经济社</w:t>
      </w:r>
    </w:p>
    <w:p w14:paraId="3AB67E67">
      <w:pPr>
        <w:spacing w:line="560" w:lineRule="exact"/>
        <w:ind w:firstLine="480"/>
        <w:rPr>
          <w:rFonts w:hint="eastAsia" w:ascii="宋体" w:hAnsi="宋体" w:cs="宋体"/>
          <w:color w:val="auto"/>
          <w:sz w:val="22"/>
          <w:highlight w:val="none"/>
        </w:rPr>
      </w:pPr>
      <w:r>
        <w:rPr>
          <w:rFonts w:hint="eastAsia" w:ascii="宋体" w:hAnsi="宋体" w:cs="宋体"/>
          <w:color w:val="auto"/>
          <w:szCs w:val="21"/>
          <w:highlight w:val="none"/>
        </w:rPr>
        <w:t>1. 在仔细分析研究了贵单位提供的</w:t>
      </w:r>
      <w:r>
        <w:rPr>
          <w:rFonts w:hint="eastAsia" w:ascii="宋体" w:hAnsi="宋体" w:eastAsia="宋体" w:cs="宋体"/>
          <w:color w:val="auto"/>
          <w:sz w:val="21"/>
          <w:szCs w:val="21"/>
          <w:highlight w:val="none"/>
          <w:u w:val="single"/>
          <w:lang w:eastAsia="zh-CN"/>
        </w:rPr>
        <w:t>番禺区桥山村村镇工业集聚区更新改造试点项目(一期、二期、三期)</w:t>
      </w:r>
      <w:r>
        <w:rPr>
          <w:rFonts w:hint="eastAsia" w:ascii="宋体" w:hAnsi="宋体" w:cs="仿宋_GB2312"/>
          <w:color w:val="auto"/>
          <w:sz w:val="21"/>
          <w:szCs w:val="21"/>
          <w:highlight w:val="none"/>
          <w:u w:val="single"/>
          <w:lang w:val="en-US" w:eastAsia="zh-CN"/>
        </w:rPr>
        <w:t>检验监测服务</w:t>
      </w:r>
      <w:r>
        <w:rPr>
          <w:rFonts w:hint="eastAsia" w:ascii="宋体" w:hAnsi="宋体" w:cs="宋体"/>
          <w:color w:val="auto"/>
          <w:szCs w:val="21"/>
          <w:highlight w:val="none"/>
        </w:rPr>
        <w:t>招标文件后，我方愿意以</w:t>
      </w:r>
      <w:r>
        <w:rPr>
          <w:rFonts w:hint="eastAsia" w:ascii="宋体" w:hAnsi="宋体" w:cs="宋体"/>
          <w:color w:val="auto"/>
          <w:szCs w:val="21"/>
          <w:highlight w:val="none"/>
          <w:lang w:val="en-US" w:eastAsia="zh-CN"/>
        </w:rPr>
        <w:t>投标下浮率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[其中：一期</w:t>
      </w:r>
      <w:r>
        <w:rPr>
          <w:rFonts w:hint="eastAsia" w:ascii="宋体" w:hAnsi="宋体" w:cs="宋体"/>
          <w:color w:val="auto"/>
          <w:szCs w:val="21"/>
          <w:highlight w:val="none"/>
        </w:rPr>
        <w:t>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二期</w:t>
      </w:r>
      <w:r>
        <w:rPr>
          <w:rFonts w:hint="eastAsia" w:ascii="宋体" w:hAnsi="宋体" w:cs="宋体"/>
          <w:color w:val="auto"/>
          <w:szCs w:val="21"/>
          <w:highlight w:val="none"/>
        </w:rPr>
        <w:t>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三期</w:t>
      </w:r>
      <w:r>
        <w:rPr>
          <w:rFonts w:hint="eastAsia" w:ascii="宋体" w:hAnsi="宋体" w:cs="宋体"/>
          <w:color w:val="auto"/>
          <w:szCs w:val="21"/>
          <w:highlight w:val="none"/>
        </w:rPr>
        <w:t>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作为</w:t>
      </w:r>
      <w:r>
        <w:rPr>
          <w:rFonts w:hint="eastAsia" w:ascii="宋体" w:hAnsi="宋体" w:eastAsia="宋体" w:cs="宋体"/>
          <w:color w:val="auto"/>
          <w:sz w:val="21"/>
          <w:szCs w:val="21"/>
          <w:highlight w:val="none"/>
          <w:u w:val="single"/>
          <w:lang w:eastAsia="zh-CN"/>
        </w:rPr>
        <w:t>番禺区桥山村村镇工业集聚区更新改造试点项目(一期、二期、三期)</w:t>
      </w:r>
      <w:r>
        <w:rPr>
          <w:rFonts w:hint="eastAsia" w:ascii="宋体" w:hAnsi="宋体" w:cs="仿宋_GB2312"/>
          <w:color w:val="auto"/>
          <w:sz w:val="21"/>
          <w:szCs w:val="21"/>
          <w:highlight w:val="none"/>
          <w:u w:val="single"/>
          <w:lang w:val="en-US" w:eastAsia="zh-CN"/>
        </w:rPr>
        <w:t>检验监测服务</w:t>
      </w:r>
      <w:r>
        <w:rPr>
          <w:rFonts w:hint="eastAsia" w:ascii="宋体" w:hAnsi="宋体" w:cs="宋体"/>
          <w:color w:val="auto"/>
          <w:szCs w:val="21"/>
          <w:highlight w:val="none"/>
        </w:rPr>
        <w:t>的投标报</w:t>
      </w:r>
      <w:r>
        <w:rPr>
          <w:rFonts w:hint="eastAsia" w:ascii="宋体" w:hAnsi="宋体" w:cs="宋体"/>
          <w:color w:val="auto"/>
          <w:sz w:val="22"/>
          <w:highlight w:val="none"/>
        </w:rPr>
        <w:t>价，并遵照招标文件的有关规定要求，承担全部服务任务工作。</w:t>
      </w:r>
    </w:p>
    <w:p w14:paraId="093321F2">
      <w:pPr>
        <w:spacing w:line="54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2.我方确认的投标函是我单位投标文件的组成部分。</w:t>
      </w:r>
    </w:p>
    <w:p w14:paraId="0DC867AD">
      <w:pPr>
        <w:spacing w:line="54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3.如果贵单位接受我方的投标，我方保证按合同规定的期限内开始本工程的检验监测工作并按投标书中规定的期限内完成合同规定的全部任务。</w:t>
      </w:r>
    </w:p>
    <w:p w14:paraId="2FF78AD0">
      <w:pPr>
        <w:spacing w:line="54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4.我方同意</w:t>
      </w:r>
      <w:r>
        <w:rPr>
          <w:rFonts w:hint="eastAsia" w:ascii="宋体" w:hAnsi="宋体" w:cs="宋体"/>
          <w:color w:val="auto"/>
          <w:sz w:val="22"/>
          <w:highlight w:val="none"/>
          <w:lang w:eastAsia="zh-CN"/>
        </w:rPr>
        <w:t>在</w:t>
      </w:r>
      <w:r>
        <w:rPr>
          <w:rFonts w:hint="eastAsia" w:ascii="宋体" w:hAnsi="宋体" w:cs="宋体"/>
          <w:color w:val="auto"/>
          <w:sz w:val="22"/>
          <w:highlight w:val="none"/>
        </w:rPr>
        <w:t>规定的递交投标文件截止之日起</w:t>
      </w:r>
      <w:r>
        <w:rPr>
          <w:rFonts w:hint="eastAsia" w:ascii="宋体" w:hAnsi="宋体" w:cs="宋体"/>
          <w:color w:val="auto"/>
          <w:sz w:val="22"/>
          <w:highlight w:val="none"/>
          <w:lang w:val="en-US" w:eastAsia="zh-CN"/>
        </w:rPr>
        <w:t>90</w:t>
      </w:r>
      <w:r>
        <w:rPr>
          <w:rFonts w:hint="eastAsia" w:ascii="宋体" w:hAnsi="宋体" w:cs="宋体"/>
          <w:color w:val="auto"/>
          <w:sz w:val="22"/>
          <w:highlight w:val="none"/>
        </w:rPr>
        <w:t>天内遵守本投标文件。在此期限届满之前，本投标文件始终将对我们具有约束力并随时接受中标。</w:t>
      </w:r>
    </w:p>
    <w:p w14:paraId="60199EAE">
      <w:pPr>
        <w:spacing w:line="54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5.在合同协议制定和签署之前，本投标书连同贵单位的中标通知书、双方签认的补充、修正或澄清文件及其他文件和附件应成为约束贵、我双方的合同文件。</w:t>
      </w:r>
    </w:p>
    <w:p w14:paraId="0C7AAC30">
      <w:pPr>
        <w:spacing w:line="54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6.我们理解，贵单位不一定接受最低标价的投标文件或可能接受其他任何投标文件，同时也理解，贵单位不负担我们的任何投标费用。</w:t>
      </w:r>
    </w:p>
    <w:p w14:paraId="794EE664">
      <w:pPr>
        <w:pStyle w:val="14"/>
        <w:rPr>
          <w:rFonts w:hint="eastAsia" w:ascii="宋体" w:hAnsi="宋体" w:cs="宋体"/>
          <w:color w:val="auto"/>
          <w:sz w:val="22"/>
          <w:szCs w:val="22"/>
          <w:highlight w:val="none"/>
        </w:rPr>
      </w:pPr>
    </w:p>
    <w:p w14:paraId="746D0C94">
      <w:pPr>
        <w:pStyle w:val="14"/>
        <w:rPr>
          <w:rFonts w:hint="eastAsia" w:ascii="宋体" w:hAnsi="宋体" w:cs="宋体"/>
          <w:color w:val="auto"/>
          <w:sz w:val="22"/>
          <w:szCs w:val="22"/>
          <w:highlight w:val="none"/>
        </w:rPr>
      </w:pPr>
    </w:p>
    <w:p w14:paraId="301A610D">
      <w:pPr>
        <w:spacing w:line="360" w:lineRule="auto"/>
        <w:ind w:firstLine="5720" w:firstLineChars="2600"/>
        <w:jc w:val="left"/>
        <w:rPr>
          <w:rFonts w:hint="eastAsia" w:ascii="宋体" w:hAnsi="宋体" w:cs="宋体"/>
          <w:color w:val="auto"/>
          <w:sz w:val="22"/>
          <w:highlight w:val="none"/>
        </w:rPr>
      </w:pPr>
      <w:r>
        <w:rPr>
          <w:rFonts w:hint="eastAsia" w:ascii="宋体" w:hAnsi="宋体" w:cs="宋体"/>
          <w:color w:val="auto"/>
          <w:sz w:val="22"/>
          <w:highlight w:val="none"/>
        </w:rPr>
        <w:t>投标人：</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（盖单位章）</w:t>
      </w:r>
    </w:p>
    <w:p w14:paraId="0A393A0D">
      <w:pPr>
        <w:spacing w:line="540" w:lineRule="exact"/>
        <w:jc w:val="right"/>
        <w:rPr>
          <w:rFonts w:hint="eastAsia" w:ascii="宋体" w:hAnsi="宋体" w:cs="宋体"/>
          <w:color w:val="auto"/>
          <w:sz w:val="22"/>
          <w:highlight w:val="none"/>
        </w:rPr>
      </w:pPr>
      <w:r>
        <w:rPr>
          <w:rFonts w:hint="eastAsia" w:ascii="宋体" w:hAnsi="宋体" w:cs="宋体"/>
          <w:color w:val="auto"/>
          <w:sz w:val="22"/>
          <w:highlight w:val="none"/>
        </w:rPr>
        <w:t>法定代表人或其委托代理人：</w:t>
      </w:r>
      <w:r>
        <w:rPr>
          <w:rFonts w:hint="eastAsia" w:ascii="宋体" w:hAnsi="宋体" w:cs="宋体"/>
          <w:color w:val="auto"/>
          <w:sz w:val="22"/>
          <w:highlight w:val="none"/>
        </w:rPr>
        <w:tab/>
      </w:r>
      <w:r>
        <w:rPr>
          <w:rFonts w:hint="eastAsia" w:ascii="宋体" w:hAnsi="宋体" w:cs="宋体"/>
          <w:color w:val="auto"/>
          <w:sz w:val="22"/>
          <w:highlight w:val="none"/>
        </w:rPr>
        <w:t xml:space="preserve">   （签字</w:t>
      </w:r>
      <w:r>
        <w:rPr>
          <w:rFonts w:hint="eastAsia" w:ascii="宋体" w:hAnsi="宋体" w:cs="宋体"/>
          <w:color w:val="auto"/>
          <w:sz w:val="22"/>
          <w:highlight w:val="none"/>
          <w:lang w:eastAsia="zh-Hans"/>
        </w:rPr>
        <w:t>或盖章</w:t>
      </w:r>
      <w:r>
        <w:rPr>
          <w:rFonts w:hint="eastAsia" w:ascii="宋体" w:hAnsi="宋体" w:cs="宋体"/>
          <w:color w:val="auto"/>
          <w:sz w:val="22"/>
          <w:highlight w:val="none"/>
        </w:rPr>
        <w:t>）</w:t>
      </w:r>
    </w:p>
    <w:p w14:paraId="6E0D01DE">
      <w:pPr>
        <w:spacing w:line="540" w:lineRule="exact"/>
        <w:jc w:val="right"/>
        <w:rPr>
          <w:rFonts w:hint="eastAsia" w:ascii="宋体" w:hAnsi="宋体" w:cs="宋体"/>
          <w:color w:val="auto"/>
          <w:sz w:val="22"/>
          <w:highlight w:val="none"/>
        </w:rPr>
      </w:pPr>
      <w:r>
        <w:rPr>
          <w:rFonts w:hint="eastAsia" w:ascii="宋体" w:hAnsi="宋体" w:cs="宋体"/>
          <w:color w:val="auto"/>
          <w:sz w:val="22"/>
          <w:highlight w:val="none"/>
        </w:rPr>
        <w:tab/>
      </w:r>
      <w:r>
        <w:rPr>
          <w:rFonts w:hint="eastAsia" w:ascii="宋体" w:hAnsi="宋体" w:cs="宋体"/>
          <w:color w:val="auto"/>
          <w:sz w:val="22"/>
          <w:highlight w:val="none"/>
        </w:rPr>
        <w:t xml:space="preserve">年 </w:t>
      </w:r>
      <w:r>
        <w:rPr>
          <w:rFonts w:hint="eastAsia" w:ascii="宋体" w:hAnsi="宋体" w:cs="宋体"/>
          <w:color w:val="auto"/>
          <w:sz w:val="22"/>
          <w:highlight w:val="none"/>
        </w:rPr>
        <w:tab/>
      </w:r>
      <w:r>
        <w:rPr>
          <w:rFonts w:hint="eastAsia" w:ascii="宋体" w:hAnsi="宋体" w:cs="宋体"/>
          <w:color w:val="auto"/>
          <w:sz w:val="22"/>
          <w:highlight w:val="none"/>
        </w:rPr>
        <w:t xml:space="preserve">月  </w:t>
      </w:r>
      <w:r>
        <w:rPr>
          <w:rFonts w:hint="eastAsia" w:ascii="宋体" w:hAnsi="宋体" w:cs="宋体"/>
          <w:color w:val="auto"/>
          <w:sz w:val="22"/>
          <w:highlight w:val="none"/>
        </w:rPr>
        <w:tab/>
      </w:r>
      <w:r>
        <w:rPr>
          <w:rFonts w:hint="eastAsia" w:ascii="宋体" w:hAnsi="宋体" w:cs="宋体"/>
          <w:color w:val="auto"/>
          <w:sz w:val="22"/>
          <w:highlight w:val="none"/>
        </w:rPr>
        <w:t>日</w:t>
      </w:r>
    </w:p>
    <w:p w14:paraId="7095B4B4">
      <w:pPr>
        <w:spacing w:line="320" w:lineRule="atLeast"/>
        <w:jc w:val="center"/>
        <w:rPr>
          <w:rFonts w:hint="eastAsia" w:ascii="宋体" w:hAnsi="宋体" w:cs="宋体"/>
          <w:b/>
          <w:bCs/>
          <w:color w:val="auto"/>
          <w:sz w:val="30"/>
          <w:szCs w:val="24"/>
          <w:highlight w:val="none"/>
        </w:rPr>
      </w:pPr>
      <w:r>
        <w:rPr>
          <w:rFonts w:hint="eastAsia" w:ascii="宋体" w:hAnsi="宋体" w:cs="宋体"/>
          <w:b/>
          <w:bCs/>
          <w:color w:val="auto"/>
          <w:sz w:val="30"/>
          <w:szCs w:val="24"/>
          <w:highlight w:val="none"/>
        </w:rPr>
        <w:br w:type="page"/>
      </w:r>
      <w:r>
        <w:rPr>
          <w:rFonts w:hint="eastAsia" w:ascii="宋体" w:hAnsi="宋体" w:cs="宋体"/>
          <w:b/>
          <w:bCs/>
          <w:color w:val="auto"/>
          <w:sz w:val="30"/>
          <w:szCs w:val="24"/>
          <w:highlight w:val="none"/>
          <w:lang w:eastAsia="zh-CN"/>
        </w:rPr>
        <w:t>（</w:t>
      </w:r>
      <w:r>
        <w:rPr>
          <w:rFonts w:hint="eastAsia" w:ascii="宋体" w:hAnsi="宋体" w:cs="宋体"/>
          <w:b/>
          <w:bCs/>
          <w:color w:val="auto"/>
          <w:sz w:val="30"/>
          <w:szCs w:val="24"/>
          <w:highlight w:val="none"/>
          <w:lang w:val="en-US" w:eastAsia="zh-CN"/>
        </w:rPr>
        <w:t>二）</w:t>
      </w:r>
      <w:r>
        <w:rPr>
          <w:rFonts w:hint="eastAsia" w:ascii="宋体" w:hAnsi="宋体" w:cs="宋体"/>
          <w:b/>
          <w:bCs/>
          <w:color w:val="auto"/>
          <w:sz w:val="30"/>
          <w:szCs w:val="24"/>
          <w:highlight w:val="none"/>
        </w:rPr>
        <w:t>投标函附录</w:t>
      </w:r>
    </w:p>
    <w:p w14:paraId="5408A36D">
      <w:pPr>
        <w:spacing w:line="320" w:lineRule="atLeast"/>
        <w:rPr>
          <w:rFonts w:hint="eastAsia" w:ascii="宋体" w:hAnsi="宋体" w:cs="宋体"/>
          <w:color w:val="auto"/>
          <w:szCs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2618"/>
        <w:gridCol w:w="3487"/>
      </w:tblGrid>
      <w:tr w14:paraId="5B35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noWrap w:val="0"/>
            <w:vAlign w:val="center"/>
          </w:tcPr>
          <w:p w14:paraId="1B49B833">
            <w:pPr>
              <w:jc w:val="center"/>
              <w:rPr>
                <w:rFonts w:hint="eastAsia" w:ascii="宋体" w:hAnsi="宋体" w:cs="宋体"/>
                <w:bCs/>
                <w:color w:val="auto"/>
                <w:sz w:val="22"/>
                <w:highlight w:val="none"/>
              </w:rPr>
            </w:pPr>
            <w:r>
              <w:rPr>
                <w:rFonts w:hint="eastAsia" w:ascii="宋体" w:hAnsi="宋体" w:cs="宋体"/>
                <w:bCs/>
                <w:color w:val="auto"/>
                <w:sz w:val="22"/>
                <w:highlight w:val="none"/>
              </w:rPr>
              <w:t>工程名称</w:t>
            </w:r>
          </w:p>
        </w:tc>
        <w:tc>
          <w:tcPr>
            <w:tcW w:w="6105" w:type="dxa"/>
            <w:gridSpan w:val="2"/>
            <w:noWrap w:val="0"/>
            <w:vAlign w:val="center"/>
          </w:tcPr>
          <w:p w14:paraId="41AD34CE">
            <w:pPr>
              <w:jc w:val="center"/>
              <w:rPr>
                <w:rFonts w:hint="eastAsia" w:ascii="宋体" w:hAnsi="宋体" w:cs="宋体"/>
                <w:bCs/>
                <w:color w:val="auto"/>
                <w:sz w:val="22"/>
                <w:highlight w:val="none"/>
              </w:rPr>
            </w:pPr>
            <w:r>
              <w:rPr>
                <w:rFonts w:hint="eastAsia" w:ascii="宋体" w:hAnsi="宋体" w:eastAsia="宋体" w:cs="宋体"/>
                <w:color w:val="auto"/>
                <w:sz w:val="21"/>
                <w:szCs w:val="21"/>
                <w:highlight w:val="none"/>
                <w:u w:val="none"/>
                <w:lang w:eastAsia="zh-CN"/>
              </w:rPr>
              <w:t>番禺区桥山村村镇工业集聚区更新改造试点项目(一期、二期、三期)</w:t>
            </w:r>
            <w:r>
              <w:rPr>
                <w:rFonts w:hint="eastAsia" w:ascii="宋体" w:hAnsi="宋体" w:cs="仿宋_GB2312"/>
                <w:color w:val="auto"/>
                <w:sz w:val="21"/>
                <w:szCs w:val="21"/>
                <w:highlight w:val="none"/>
                <w:u w:val="none"/>
                <w:lang w:val="en-US" w:eastAsia="zh-CN"/>
              </w:rPr>
              <w:t>检验监测服务</w:t>
            </w:r>
          </w:p>
        </w:tc>
      </w:tr>
      <w:tr w14:paraId="7EA6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noWrap w:val="0"/>
            <w:vAlign w:val="center"/>
          </w:tcPr>
          <w:p w14:paraId="5F27C9BE">
            <w:pPr>
              <w:jc w:val="center"/>
              <w:rPr>
                <w:rFonts w:hint="eastAsia" w:ascii="宋体" w:hAnsi="宋体" w:cs="宋体"/>
                <w:bCs/>
                <w:color w:val="auto"/>
                <w:kern w:val="2"/>
                <w:sz w:val="22"/>
                <w:szCs w:val="22"/>
                <w:highlight w:val="none"/>
                <w:lang w:val="en-US" w:eastAsia="zh-CN" w:bidi="ar-SA"/>
              </w:rPr>
            </w:pPr>
            <w:r>
              <w:rPr>
                <w:rFonts w:hint="eastAsia" w:ascii="宋体" w:hAnsi="宋体" w:cs="宋体"/>
                <w:bCs/>
                <w:color w:val="auto"/>
                <w:sz w:val="22"/>
                <w:highlight w:val="none"/>
              </w:rPr>
              <w:t>投标报价</w:t>
            </w:r>
          </w:p>
        </w:tc>
        <w:tc>
          <w:tcPr>
            <w:tcW w:w="6105" w:type="dxa"/>
            <w:gridSpan w:val="2"/>
            <w:noWrap w:val="0"/>
            <w:vAlign w:val="center"/>
          </w:tcPr>
          <w:p w14:paraId="37F77D55">
            <w:pPr>
              <w:jc w:val="left"/>
              <w:rPr>
                <w:rFonts w:hint="eastAsia" w:ascii="宋体" w:hAnsi="宋体" w:cs="宋体"/>
                <w:bCs/>
                <w:color w:val="auto"/>
                <w:sz w:val="22"/>
                <w:highlight w:val="none"/>
              </w:rPr>
            </w:pPr>
            <w:r>
              <w:rPr>
                <w:rFonts w:hint="eastAsia" w:ascii="宋体" w:hAnsi="宋体" w:cs="宋体"/>
                <w:bCs/>
                <w:color w:val="auto"/>
                <w:sz w:val="22"/>
                <w:highlight w:val="none"/>
                <w:lang w:val="en-US" w:eastAsia="zh-CN"/>
              </w:rPr>
              <w:t xml:space="preserve">小写：            </w:t>
            </w:r>
            <w:r>
              <w:rPr>
                <w:rFonts w:hint="eastAsia" w:ascii="宋体" w:hAnsi="宋体" w:cs="宋体"/>
                <w:bCs/>
                <w:color w:val="auto"/>
                <w:sz w:val="22"/>
                <w:highlight w:val="none"/>
              </w:rPr>
              <w:t>元</w:t>
            </w:r>
          </w:p>
          <w:p w14:paraId="4183FEDA">
            <w:pPr>
              <w:jc w:val="both"/>
              <w:rPr>
                <w:rFonts w:hint="eastAsia" w:ascii="宋体" w:hAnsi="宋体" w:cs="宋体"/>
                <w:bCs/>
                <w:color w:val="auto"/>
                <w:kern w:val="2"/>
                <w:sz w:val="22"/>
                <w:szCs w:val="22"/>
                <w:highlight w:val="none"/>
                <w:lang w:val="en-US" w:eastAsia="zh-CN" w:bidi="ar-SA"/>
              </w:rPr>
            </w:pPr>
            <w:r>
              <w:rPr>
                <w:rFonts w:hint="eastAsia" w:ascii="宋体" w:hAnsi="宋体" w:cs="宋体"/>
                <w:bCs/>
                <w:color w:val="auto"/>
                <w:sz w:val="22"/>
                <w:highlight w:val="none"/>
              </w:rPr>
              <w:t>大写：</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u w:val="single"/>
                <w:lang w:val="en-US" w:eastAsia="zh-CN"/>
              </w:rPr>
              <w:t xml:space="preserve">          </w:t>
            </w:r>
            <w:r>
              <w:rPr>
                <w:rFonts w:hint="eastAsia" w:ascii="宋体" w:hAnsi="宋体" w:cs="宋体"/>
                <w:bCs/>
                <w:color w:val="auto"/>
                <w:sz w:val="22"/>
                <w:highlight w:val="none"/>
                <w:u w:val="single"/>
              </w:rPr>
              <w:t xml:space="preserve">       </w:t>
            </w:r>
          </w:p>
        </w:tc>
      </w:tr>
      <w:tr w14:paraId="3F82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noWrap w:val="0"/>
            <w:vAlign w:val="center"/>
          </w:tcPr>
          <w:p w14:paraId="73DBDB2A">
            <w:pPr>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（一期）投标报价</w:t>
            </w:r>
          </w:p>
        </w:tc>
        <w:tc>
          <w:tcPr>
            <w:tcW w:w="6105" w:type="dxa"/>
            <w:gridSpan w:val="2"/>
            <w:noWrap w:val="0"/>
            <w:vAlign w:val="center"/>
          </w:tcPr>
          <w:p w14:paraId="7B0E7356">
            <w:pPr>
              <w:jc w:val="left"/>
              <w:rPr>
                <w:rFonts w:hint="eastAsia" w:ascii="宋体" w:hAnsi="宋体" w:cs="宋体"/>
                <w:bCs/>
                <w:color w:val="auto"/>
                <w:sz w:val="22"/>
                <w:highlight w:val="none"/>
              </w:rPr>
            </w:pPr>
            <w:r>
              <w:rPr>
                <w:rFonts w:hint="eastAsia" w:ascii="宋体" w:hAnsi="宋体" w:cs="宋体"/>
                <w:bCs/>
                <w:color w:val="auto"/>
                <w:sz w:val="22"/>
                <w:highlight w:val="none"/>
                <w:lang w:val="en-US" w:eastAsia="zh-CN"/>
              </w:rPr>
              <w:t xml:space="preserve">小写：            </w:t>
            </w:r>
            <w:r>
              <w:rPr>
                <w:rFonts w:hint="eastAsia" w:ascii="宋体" w:hAnsi="宋体" w:cs="宋体"/>
                <w:bCs/>
                <w:color w:val="auto"/>
                <w:sz w:val="22"/>
                <w:highlight w:val="none"/>
              </w:rPr>
              <w:t>元</w:t>
            </w:r>
          </w:p>
          <w:p w14:paraId="50649D29">
            <w:pPr>
              <w:jc w:val="both"/>
              <w:rPr>
                <w:rFonts w:hint="eastAsia" w:ascii="宋体" w:hAnsi="宋体" w:cs="宋体"/>
                <w:bCs/>
                <w:color w:val="auto"/>
                <w:sz w:val="22"/>
                <w:highlight w:val="none"/>
              </w:rPr>
            </w:pPr>
            <w:r>
              <w:rPr>
                <w:rFonts w:hint="eastAsia" w:ascii="宋体" w:hAnsi="宋体" w:cs="宋体"/>
                <w:bCs/>
                <w:color w:val="auto"/>
                <w:sz w:val="22"/>
                <w:highlight w:val="none"/>
              </w:rPr>
              <w:t>大写：</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u w:val="single"/>
                <w:lang w:val="en-US" w:eastAsia="zh-CN"/>
              </w:rPr>
              <w:t xml:space="preserve">          </w:t>
            </w:r>
            <w:r>
              <w:rPr>
                <w:rFonts w:hint="eastAsia" w:ascii="宋体" w:hAnsi="宋体" w:cs="宋体"/>
                <w:bCs/>
                <w:color w:val="auto"/>
                <w:sz w:val="22"/>
                <w:highlight w:val="none"/>
                <w:u w:val="single"/>
              </w:rPr>
              <w:t xml:space="preserve">       </w:t>
            </w:r>
          </w:p>
        </w:tc>
      </w:tr>
      <w:tr w14:paraId="7F22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noWrap w:val="0"/>
            <w:vAlign w:val="center"/>
          </w:tcPr>
          <w:p w14:paraId="4520BEA2">
            <w:pPr>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（二期）投标报价</w:t>
            </w:r>
          </w:p>
        </w:tc>
        <w:tc>
          <w:tcPr>
            <w:tcW w:w="6105" w:type="dxa"/>
            <w:gridSpan w:val="2"/>
            <w:noWrap w:val="0"/>
            <w:vAlign w:val="center"/>
          </w:tcPr>
          <w:p w14:paraId="0E319EBC">
            <w:pPr>
              <w:jc w:val="left"/>
              <w:rPr>
                <w:rFonts w:hint="eastAsia" w:ascii="宋体" w:hAnsi="宋体" w:cs="宋体"/>
                <w:bCs/>
                <w:color w:val="auto"/>
                <w:sz w:val="22"/>
                <w:highlight w:val="none"/>
              </w:rPr>
            </w:pPr>
            <w:r>
              <w:rPr>
                <w:rFonts w:hint="eastAsia" w:ascii="宋体" w:hAnsi="宋体" w:cs="宋体"/>
                <w:bCs/>
                <w:color w:val="auto"/>
                <w:sz w:val="22"/>
                <w:highlight w:val="none"/>
                <w:lang w:val="en-US" w:eastAsia="zh-CN"/>
              </w:rPr>
              <w:t xml:space="preserve">小写：            </w:t>
            </w:r>
            <w:r>
              <w:rPr>
                <w:rFonts w:hint="eastAsia" w:ascii="宋体" w:hAnsi="宋体" w:cs="宋体"/>
                <w:bCs/>
                <w:color w:val="auto"/>
                <w:sz w:val="22"/>
                <w:highlight w:val="none"/>
              </w:rPr>
              <w:t>元</w:t>
            </w:r>
          </w:p>
          <w:p w14:paraId="3EAB94B4">
            <w:pPr>
              <w:jc w:val="both"/>
              <w:rPr>
                <w:rFonts w:hint="eastAsia" w:ascii="宋体" w:hAnsi="宋体" w:cs="宋体"/>
                <w:bCs/>
                <w:color w:val="auto"/>
                <w:sz w:val="22"/>
                <w:highlight w:val="none"/>
              </w:rPr>
            </w:pPr>
            <w:r>
              <w:rPr>
                <w:rFonts w:hint="eastAsia" w:ascii="宋体" w:hAnsi="宋体" w:cs="宋体"/>
                <w:bCs/>
                <w:color w:val="auto"/>
                <w:sz w:val="22"/>
                <w:highlight w:val="none"/>
              </w:rPr>
              <w:t>大写：</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u w:val="single"/>
                <w:lang w:val="en-US" w:eastAsia="zh-CN"/>
              </w:rPr>
              <w:t xml:space="preserve">          </w:t>
            </w:r>
            <w:r>
              <w:rPr>
                <w:rFonts w:hint="eastAsia" w:ascii="宋体" w:hAnsi="宋体" w:cs="宋体"/>
                <w:bCs/>
                <w:color w:val="auto"/>
                <w:sz w:val="22"/>
                <w:highlight w:val="none"/>
                <w:u w:val="single"/>
              </w:rPr>
              <w:t xml:space="preserve">       </w:t>
            </w:r>
          </w:p>
        </w:tc>
      </w:tr>
      <w:tr w14:paraId="298D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noWrap w:val="0"/>
            <w:vAlign w:val="center"/>
          </w:tcPr>
          <w:p w14:paraId="21D64740">
            <w:pPr>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（三期）投标报价</w:t>
            </w:r>
          </w:p>
        </w:tc>
        <w:tc>
          <w:tcPr>
            <w:tcW w:w="6105" w:type="dxa"/>
            <w:gridSpan w:val="2"/>
            <w:noWrap w:val="0"/>
            <w:vAlign w:val="center"/>
          </w:tcPr>
          <w:p w14:paraId="54107DB8">
            <w:pPr>
              <w:jc w:val="left"/>
              <w:rPr>
                <w:rFonts w:hint="eastAsia" w:ascii="宋体" w:hAnsi="宋体" w:cs="宋体"/>
                <w:bCs/>
                <w:color w:val="auto"/>
                <w:sz w:val="22"/>
                <w:highlight w:val="none"/>
              </w:rPr>
            </w:pPr>
            <w:r>
              <w:rPr>
                <w:rFonts w:hint="eastAsia" w:ascii="宋体" w:hAnsi="宋体" w:cs="宋体"/>
                <w:bCs/>
                <w:color w:val="auto"/>
                <w:sz w:val="22"/>
                <w:highlight w:val="none"/>
                <w:lang w:val="en-US" w:eastAsia="zh-CN"/>
              </w:rPr>
              <w:t xml:space="preserve">小写：            </w:t>
            </w:r>
            <w:r>
              <w:rPr>
                <w:rFonts w:hint="eastAsia" w:ascii="宋体" w:hAnsi="宋体" w:cs="宋体"/>
                <w:bCs/>
                <w:color w:val="auto"/>
                <w:sz w:val="22"/>
                <w:highlight w:val="none"/>
              </w:rPr>
              <w:t>元</w:t>
            </w:r>
          </w:p>
          <w:p w14:paraId="4EDAA275">
            <w:pPr>
              <w:jc w:val="both"/>
              <w:rPr>
                <w:rFonts w:hint="eastAsia" w:ascii="宋体" w:hAnsi="宋体" w:cs="宋体"/>
                <w:bCs/>
                <w:color w:val="auto"/>
                <w:sz w:val="22"/>
                <w:highlight w:val="none"/>
              </w:rPr>
            </w:pPr>
            <w:r>
              <w:rPr>
                <w:rFonts w:hint="eastAsia" w:ascii="宋体" w:hAnsi="宋体" w:cs="宋体"/>
                <w:bCs/>
                <w:color w:val="auto"/>
                <w:sz w:val="22"/>
                <w:highlight w:val="none"/>
              </w:rPr>
              <w:t>大写：</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u w:val="single"/>
                <w:lang w:val="en-US" w:eastAsia="zh-CN"/>
              </w:rPr>
              <w:t xml:space="preserve">          </w:t>
            </w:r>
            <w:r>
              <w:rPr>
                <w:rFonts w:hint="eastAsia" w:ascii="宋体" w:hAnsi="宋体" w:cs="宋体"/>
                <w:bCs/>
                <w:color w:val="auto"/>
                <w:sz w:val="22"/>
                <w:highlight w:val="none"/>
                <w:u w:val="single"/>
              </w:rPr>
              <w:t xml:space="preserve">       </w:t>
            </w:r>
          </w:p>
        </w:tc>
      </w:tr>
      <w:tr w14:paraId="2D39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noWrap w:val="0"/>
            <w:vAlign w:val="center"/>
          </w:tcPr>
          <w:p w14:paraId="0956B75E">
            <w:pPr>
              <w:jc w:val="center"/>
              <w:rPr>
                <w:rFonts w:hint="default"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投标下浮率</w:t>
            </w:r>
          </w:p>
        </w:tc>
        <w:tc>
          <w:tcPr>
            <w:tcW w:w="6105" w:type="dxa"/>
            <w:gridSpan w:val="2"/>
            <w:noWrap w:val="0"/>
            <w:vAlign w:val="center"/>
          </w:tcPr>
          <w:p w14:paraId="3FAD6AA0">
            <w:pPr>
              <w:jc w:val="center"/>
              <w:rPr>
                <w:rFonts w:hint="eastAsia"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w:t>
            </w:r>
          </w:p>
        </w:tc>
      </w:tr>
      <w:tr w14:paraId="1692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noWrap w:val="0"/>
            <w:vAlign w:val="center"/>
          </w:tcPr>
          <w:p w14:paraId="4839361C">
            <w:pPr>
              <w:jc w:val="center"/>
              <w:rPr>
                <w:rFonts w:hint="default"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服务期限</w:t>
            </w:r>
          </w:p>
        </w:tc>
        <w:tc>
          <w:tcPr>
            <w:tcW w:w="6105" w:type="dxa"/>
            <w:gridSpan w:val="2"/>
            <w:noWrap w:val="0"/>
            <w:vAlign w:val="center"/>
          </w:tcPr>
          <w:p w14:paraId="774E03AE">
            <w:pPr>
              <w:jc w:val="center"/>
              <w:rPr>
                <w:rFonts w:hint="eastAsia" w:ascii="宋体" w:hAnsi="宋体" w:cs="宋体"/>
                <w:bCs/>
                <w:color w:val="auto"/>
                <w:sz w:val="22"/>
                <w:highlight w:val="none"/>
              </w:rPr>
            </w:pPr>
          </w:p>
        </w:tc>
      </w:tr>
      <w:tr w14:paraId="3E84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noWrap w:val="0"/>
            <w:vAlign w:val="center"/>
          </w:tcPr>
          <w:p w14:paraId="5D9F3392">
            <w:pPr>
              <w:jc w:val="center"/>
              <w:rPr>
                <w:rFonts w:hint="eastAsia" w:ascii="宋体" w:hAnsi="宋体" w:cs="宋体"/>
                <w:bCs/>
                <w:color w:val="auto"/>
                <w:sz w:val="22"/>
                <w:highlight w:val="none"/>
              </w:rPr>
            </w:pPr>
            <w:r>
              <w:rPr>
                <w:rFonts w:hint="eastAsia" w:ascii="宋体" w:hAnsi="宋体" w:cs="宋体"/>
                <w:bCs/>
                <w:color w:val="auto"/>
                <w:sz w:val="22"/>
                <w:highlight w:val="none"/>
              </w:rPr>
              <w:t>质量标准</w:t>
            </w:r>
          </w:p>
        </w:tc>
        <w:tc>
          <w:tcPr>
            <w:tcW w:w="6105" w:type="dxa"/>
            <w:gridSpan w:val="2"/>
            <w:noWrap w:val="0"/>
            <w:vAlign w:val="center"/>
          </w:tcPr>
          <w:p w14:paraId="2BB5D355">
            <w:pPr>
              <w:jc w:val="center"/>
              <w:rPr>
                <w:rFonts w:hint="eastAsia" w:ascii="宋体" w:hAnsi="宋体" w:cs="宋体"/>
                <w:bCs/>
                <w:color w:val="auto"/>
                <w:sz w:val="22"/>
                <w:highlight w:val="none"/>
              </w:rPr>
            </w:pPr>
          </w:p>
        </w:tc>
      </w:tr>
      <w:tr w14:paraId="487D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vMerge w:val="restart"/>
            <w:noWrap w:val="0"/>
            <w:vAlign w:val="center"/>
          </w:tcPr>
          <w:p w14:paraId="1AF50C00">
            <w:pPr>
              <w:jc w:val="center"/>
              <w:rPr>
                <w:rFonts w:hint="eastAsia" w:ascii="宋体" w:hAnsi="宋体" w:cs="宋体"/>
                <w:bCs/>
                <w:color w:val="auto"/>
                <w:sz w:val="22"/>
                <w:highlight w:val="none"/>
              </w:rPr>
            </w:pPr>
            <w:r>
              <w:rPr>
                <w:rFonts w:hint="eastAsia" w:ascii="宋体" w:hAnsi="宋体" w:cs="宋体"/>
                <w:bCs/>
                <w:color w:val="auto"/>
                <w:sz w:val="22"/>
                <w:highlight w:val="none"/>
              </w:rPr>
              <w:t>委派的项目负责人</w:t>
            </w:r>
          </w:p>
        </w:tc>
        <w:tc>
          <w:tcPr>
            <w:tcW w:w="2618" w:type="dxa"/>
            <w:noWrap w:val="0"/>
            <w:vAlign w:val="center"/>
          </w:tcPr>
          <w:p w14:paraId="2E61F1B7">
            <w:pPr>
              <w:jc w:val="center"/>
              <w:rPr>
                <w:rFonts w:hint="eastAsia" w:ascii="宋体" w:hAnsi="宋体" w:cs="宋体"/>
                <w:bCs/>
                <w:color w:val="auto"/>
                <w:sz w:val="22"/>
                <w:highlight w:val="none"/>
              </w:rPr>
            </w:pPr>
            <w:r>
              <w:rPr>
                <w:rFonts w:hint="eastAsia" w:ascii="宋体" w:hAnsi="宋体" w:cs="宋体"/>
                <w:bCs/>
                <w:color w:val="auto"/>
                <w:sz w:val="22"/>
                <w:highlight w:val="none"/>
              </w:rPr>
              <w:t>姓名</w:t>
            </w:r>
          </w:p>
        </w:tc>
        <w:tc>
          <w:tcPr>
            <w:tcW w:w="3487" w:type="dxa"/>
            <w:noWrap w:val="0"/>
            <w:vAlign w:val="center"/>
          </w:tcPr>
          <w:p w14:paraId="5D739632">
            <w:pPr>
              <w:jc w:val="center"/>
              <w:rPr>
                <w:rFonts w:hint="eastAsia" w:ascii="宋体" w:hAnsi="宋体" w:cs="宋体"/>
                <w:bCs/>
                <w:color w:val="auto"/>
                <w:sz w:val="22"/>
                <w:highlight w:val="none"/>
              </w:rPr>
            </w:pPr>
          </w:p>
        </w:tc>
      </w:tr>
      <w:tr w14:paraId="1361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66" w:type="dxa"/>
            <w:vMerge w:val="continue"/>
            <w:noWrap w:val="0"/>
            <w:vAlign w:val="center"/>
          </w:tcPr>
          <w:p w14:paraId="1AA018D7">
            <w:pPr>
              <w:jc w:val="center"/>
              <w:rPr>
                <w:rFonts w:hint="eastAsia" w:ascii="宋体" w:hAnsi="宋体" w:cs="宋体"/>
                <w:bCs/>
                <w:color w:val="auto"/>
                <w:sz w:val="22"/>
                <w:highlight w:val="none"/>
              </w:rPr>
            </w:pPr>
          </w:p>
        </w:tc>
        <w:tc>
          <w:tcPr>
            <w:tcW w:w="2618" w:type="dxa"/>
            <w:noWrap w:val="0"/>
            <w:vAlign w:val="center"/>
          </w:tcPr>
          <w:p w14:paraId="57F03214">
            <w:pPr>
              <w:jc w:val="center"/>
              <w:rPr>
                <w:rFonts w:hint="eastAsia" w:ascii="宋体" w:hAnsi="宋体" w:cs="宋体"/>
                <w:bCs/>
                <w:color w:val="auto"/>
                <w:sz w:val="22"/>
                <w:highlight w:val="none"/>
              </w:rPr>
            </w:pPr>
            <w:r>
              <w:rPr>
                <w:rFonts w:hint="eastAsia" w:ascii="宋体" w:hAnsi="宋体" w:cs="宋体"/>
                <w:bCs/>
                <w:color w:val="auto"/>
                <w:sz w:val="22"/>
                <w:highlight w:val="none"/>
              </w:rPr>
              <w:t>技术职、技术证书编号</w:t>
            </w:r>
          </w:p>
        </w:tc>
        <w:tc>
          <w:tcPr>
            <w:tcW w:w="3487" w:type="dxa"/>
            <w:noWrap w:val="0"/>
            <w:vAlign w:val="center"/>
          </w:tcPr>
          <w:p w14:paraId="0B66A057">
            <w:pPr>
              <w:jc w:val="center"/>
              <w:rPr>
                <w:rFonts w:hint="eastAsia" w:ascii="宋体" w:hAnsi="宋体" w:cs="宋体"/>
                <w:bCs/>
                <w:color w:val="auto"/>
                <w:sz w:val="22"/>
                <w:highlight w:val="none"/>
              </w:rPr>
            </w:pPr>
          </w:p>
        </w:tc>
      </w:tr>
    </w:tbl>
    <w:p w14:paraId="3452F203">
      <w:pPr>
        <w:spacing w:line="360" w:lineRule="auto"/>
        <w:rPr>
          <w:rFonts w:hint="eastAsia" w:ascii="宋体" w:hAnsi="宋体" w:cs="宋体"/>
          <w:color w:val="auto"/>
          <w:sz w:val="22"/>
          <w:highlight w:val="none"/>
        </w:rPr>
      </w:pPr>
    </w:p>
    <w:p w14:paraId="7CDD738A">
      <w:pPr>
        <w:spacing w:line="360" w:lineRule="auto"/>
        <w:rPr>
          <w:rFonts w:hint="eastAsia" w:ascii="宋体" w:hAnsi="宋体" w:cs="宋体"/>
          <w:color w:val="auto"/>
          <w:sz w:val="22"/>
          <w:highlight w:val="none"/>
        </w:rPr>
      </w:pPr>
      <w:r>
        <w:rPr>
          <w:rFonts w:hint="eastAsia" w:ascii="宋体" w:hAnsi="宋体" w:cs="宋体"/>
          <w:color w:val="auto"/>
          <w:sz w:val="22"/>
          <w:highlight w:val="none"/>
          <w:lang w:val="en-US" w:eastAsia="zh-CN"/>
        </w:rPr>
        <w:t>注：1.</w:t>
      </w:r>
      <w:r>
        <w:rPr>
          <w:rFonts w:hint="eastAsia" w:ascii="宋体" w:hAnsi="宋体" w:cs="宋体"/>
          <w:color w:val="auto"/>
          <w:sz w:val="22"/>
          <w:highlight w:val="none"/>
        </w:rPr>
        <w:t>本项目投标报价采用的币种为人民币，以元为单位，投标报价保留小数点后两位小数,第三位小数四舍五入。</w:t>
      </w:r>
    </w:p>
    <w:p w14:paraId="2F22763F">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2.本项目投标下浮=【1-（投标报价/投标基准价）】×100%。</w:t>
      </w:r>
    </w:p>
    <w:p w14:paraId="20AD1F97">
      <w:pPr>
        <w:spacing w:line="360" w:lineRule="auto"/>
        <w:ind w:firstLine="5720" w:firstLineChars="2600"/>
        <w:jc w:val="left"/>
        <w:rPr>
          <w:rFonts w:hint="eastAsia" w:ascii="宋体" w:hAnsi="宋体" w:cs="宋体"/>
          <w:color w:val="auto"/>
          <w:sz w:val="22"/>
          <w:highlight w:val="none"/>
        </w:rPr>
      </w:pPr>
      <w:r>
        <w:rPr>
          <w:rFonts w:hint="eastAsia" w:ascii="宋体" w:hAnsi="宋体" w:cs="宋体"/>
          <w:color w:val="auto"/>
          <w:sz w:val="22"/>
          <w:highlight w:val="none"/>
        </w:rPr>
        <w:t>投标人：（盖单位章）</w:t>
      </w:r>
    </w:p>
    <w:p w14:paraId="6C1C9A95">
      <w:pPr>
        <w:spacing w:line="360" w:lineRule="auto"/>
        <w:jc w:val="right"/>
        <w:rPr>
          <w:rFonts w:hint="eastAsia" w:ascii="宋体" w:hAnsi="宋体" w:cs="宋体"/>
          <w:color w:val="auto"/>
          <w:sz w:val="22"/>
          <w:highlight w:val="none"/>
        </w:rPr>
      </w:pPr>
      <w:r>
        <w:rPr>
          <w:rFonts w:hint="eastAsia" w:ascii="宋体" w:hAnsi="宋体" w:cs="宋体"/>
          <w:color w:val="auto"/>
          <w:sz w:val="22"/>
          <w:highlight w:val="none"/>
        </w:rPr>
        <w:t>法定代表人或其委托代理人：</w:t>
      </w:r>
      <w:r>
        <w:rPr>
          <w:rFonts w:hint="eastAsia" w:ascii="宋体" w:hAnsi="宋体" w:cs="宋体"/>
          <w:color w:val="auto"/>
          <w:sz w:val="22"/>
          <w:highlight w:val="none"/>
        </w:rPr>
        <w:tab/>
      </w:r>
      <w:r>
        <w:rPr>
          <w:rFonts w:hint="eastAsia" w:ascii="宋体" w:hAnsi="宋体" w:cs="宋体"/>
          <w:color w:val="auto"/>
          <w:sz w:val="22"/>
          <w:highlight w:val="none"/>
        </w:rPr>
        <w:t xml:space="preserve">   （签字</w:t>
      </w:r>
      <w:r>
        <w:rPr>
          <w:rFonts w:hint="eastAsia" w:ascii="宋体" w:hAnsi="宋体" w:cs="宋体"/>
          <w:color w:val="auto"/>
          <w:sz w:val="22"/>
          <w:highlight w:val="none"/>
          <w:lang w:eastAsia="zh-Hans"/>
        </w:rPr>
        <w:t>或盖章</w:t>
      </w:r>
      <w:r>
        <w:rPr>
          <w:rFonts w:hint="eastAsia" w:ascii="宋体" w:hAnsi="宋体" w:cs="宋体"/>
          <w:color w:val="auto"/>
          <w:sz w:val="22"/>
          <w:highlight w:val="none"/>
        </w:rPr>
        <w:t>）</w:t>
      </w:r>
    </w:p>
    <w:p w14:paraId="1D0592F5">
      <w:pPr>
        <w:spacing w:line="360" w:lineRule="auto"/>
        <w:jc w:val="right"/>
        <w:rPr>
          <w:rFonts w:hint="eastAsia" w:ascii="宋体" w:hAnsi="宋体" w:cs="宋体"/>
          <w:color w:val="auto"/>
          <w:szCs w:val="21"/>
          <w:highlight w:val="none"/>
        </w:rPr>
      </w:pPr>
      <w:r>
        <w:rPr>
          <w:rFonts w:hint="eastAsia" w:ascii="宋体" w:hAnsi="宋体" w:cs="宋体"/>
          <w:color w:val="auto"/>
          <w:sz w:val="22"/>
          <w:highlight w:val="none"/>
        </w:rPr>
        <w:t>日期：  年  月  日</w:t>
      </w:r>
    </w:p>
    <w:p w14:paraId="4FEC4083">
      <w:pPr>
        <w:spacing w:line="440" w:lineRule="exact"/>
        <w:rPr>
          <w:rFonts w:hint="eastAsia" w:ascii="宋体" w:hAnsi="宋体" w:cs="宋体"/>
          <w:color w:val="auto"/>
          <w:szCs w:val="21"/>
          <w:highlight w:val="none"/>
        </w:rPr>
      </w:pPr>
    </w:p>
    <w:p w14:paraId="1B833DD9">
      <w:pPr>
        <w:pStyle w:val="3"/>
        <w:keepNext w:val="0"/>
        <w:keepLines w:val="0"/>
        <w:rPr>
          <w:rFonts w:hint="eastAsia" w:ascii="宋体" w:hAnsi="宋体" w:eastAsia="宋体" w:cs="宋体"/>
          <w:color w:val="auto"/>
          <w:highlight w:val="none"/>
        </w:rPr>
        <w:sectPr>
          <w:pgSz w:w="11905" w:h="16838"/>
          <w:pgMar w:top="1440" w:right="1425" w:bottom="1440" w:left="1800" w:header="720" w:footer="720" w:gutter="0"/>
          <w:pgBorders w:offsetFrom="page">
            <w:top w:val="none" w:sz="0" w:space="0"/>
            <w:left w:val="none" w:sz="0" w:space="0"/>
            <w:bottom w:val="none" w:sz="0" w:space="0"/>
            <w:right w:val="none" w:sz="0" w:space="0"/>
          </w:pgBorders>
          <w:cols w:space="720" w:num="1"/>
          <w:docGrid w:linePitch="286" w:charSpace="0"/>
        </w:sectPr>
      </w:pPr>
      <w:bookmarkStart w:id="242" w:name="_Toc525063283"/>
    </w:p>
    <w:bookmarkEnd w:id="231"/>
    <w:bookmarkEnd w:id="232"/>
    <w:bookmarkEnd w:id="233"/>
    <w:bookmarkEnd w:id="234"/>
    <w:bookmarkEnd w:id="235"/>
    <w:bookmarkEnd w:id="236"/>
    <w:bookmarkEnd w:id="237"/>
    <w:bookmarkEnd w:id="238"/>
    <w:bookmarkEnd w:id="239"/>
    <w:bookmarkEnd w:id="240"/>
    <w:bookmarkEnd w:id="241"/>
    <w:p w14:paraId="4DE64505">
      <w:pPr>
        <w:keepNext/>
        <w:keepLines/>
        <w:spacing w:line="360" w:lineRule="auto"/>
        <w:jc w:val="center"/>
        <w:outlineLvl w:val="1"/>
        <w:rPr>
          <w:rFonts w:hint="eastAsia" w:ascii="宋体" w:hAnsi="宋体" w:cs="宋体"/>
          <w:color w:val="auto"/>
          <w:sz w:val="32"/>
          <w:highlight w:val="none"/>
        </w:rPr>
      </w:pPr>
      <w:bookmarkStart w:id="243" w:name="_Toc28074"/>
      <w:bookmarkStart w:id="244" w:name="_Toc15155"/>
      <w:bookmarkStart w:id="245" w:name="_Toc15360"/>
      <w:bookmarkStart w:id="246" w:name="_Toc38224861"/>
      <w:bookmarkStart w:id="247" w:name="_Toc532367891"/>
      <w:bookmarkStart w:id="248" w:name="_Toc787"/>
      <w:bookmarkStart w:id="249" w:name="_Toc3626"/>
      <w:bookmarkStart w:id="250" w:name="_Toc24490"/>
      <w:bookmarkStart w:id="251" w:name="_Toc9391"/>
      <w:bookmarkStart w:id="252" w:name="_Toc28597"/>
      <w:r>
        <w:rPr>
          <w:rFonts w:hint="eastAsia" w:ascii="宋体" w:hAnsi="宋体" w:cs="宋体"/>
          <w:b/>
          <w:bCs/>
          <w:color w:val="auto"/>
          <w:sz w:val="32"/>
          <w:szCs w:val="32"/>
          <w:highlight w:val="none"/>
        </w:rPr>
        <w:t>二、法定代表人身份证明</w:t>
      </w:r>
      <w:bookmarkEnd w:id="243"/>
      <w:bookmarkEnd w:id="244"/>
      <w:bookmarkEnd w:id="245"/>
      <w:bookmarkEnd w:id="246"/>
    </w:p>
    <w:p w14:paraId="47426B30">
      <w:pPr>
        <w:spacing w:line="440" w:lineRule="exact"/>
        <w:rPr>
          <w:rFonts w:hint="eastAsia" w:ascii="宋体" w:hAnsi="宋体" w:cs="宋体"/>
          <w:color w:val="auto"/>
          <w:sz w:val="20"/>
          <w:highlight w:val="none"/>
        </w:rPr>
      </w:pPr>
    </w:p>
    <w:p w14:paraId="15A7EE3F">
      <w:pPr>
        <w:spacing w:line="440" w:lineRule="exact"/>
        <w:rPr>
          <w:rFonts w:hint="eastAsia" w:ascii="宋体" w:hAnsi="宋体" w:cs="宋体"/>
          <w:color w:val="auto"/>
          <w:highlight w:val="none"/>
        </w:rPr>
      </w:pPr>
    </w:p>
    <w:p w14:paraId="5B5AFAB9">
      <w:pPr>
        <w:spacing w:line="360" w:lineRule="auto"/>
        <w:rPr>
          <w:rFonts w:ascii="宋体" w:hAnsi="宋体" w:cs="宋体"/>
          <w:color w:val="auto"/>
          <w:sz w:val="22"/>
          <w:highlight w:val="none"/>
        </w:rPr>
      </w:pPr>
      <w:r>
        <w:rPr>
          <w:rFonts w:hint="eastAsia" w:ascii="宋体" w:hAnsi="宋体" w:cs="宋体"/>
          <w:color w:val="auto"/>
          <w:sz w:val="22"/>
          <w:highlight w:val="none"/>
        </w:rPr>
        <w:t>投标人名称：</w:t>
      </w:r>
      <w:r>
        <w:rPr>
          <w:rFonts w:hint="eastAsia" w:ascii="宋体" w:hAnsi="宋体" w:cs="宋体"/>
          <w:color w:val="auto"/>
          <w:sz w:val="22"/>
          <w:highlight w:val="none"/>
          <w:u w:val="single"/>
        </w:rPr>
        <w:t xml:space="preserve">                          </w:t>
      </w:r>
    </w:p>
    <w:p w14:paraId="4424934E">
      <w:pPr>
        <w:spacing w:line="360" w:lineRule="auto"/>
        <w:rPr>
          <w:rFonts w:ascii="宋体" w:hAnsi="宋体" w:cs="宋体"/>
          <w:color w:val="auto"/>
          <w:sz w:val="22"/>
          <w:highlight w:val="none"/>
        </w:rPr>
      </w:pPr>
      <w:r>
        <w:rPr>
          <w:rFonts w:hint="eastAsia" w:ascii="宋体" w:hAnsi="宋体" w:cs="宋体"/>
          <w:color w:val="auto"/>
          <w:sz w:val="22"/>
          <w:highlight w:val="none"/>
        </w:rPr>
        <w:t>姓名：</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性别：</w:t>
      </w:r>
      <w:bookmarkStart w:id="253" w:name="_Toc27897"/>
      <w:bookmarkStart w:id="254" w:name="_Toc352691662"/>
      <w:bookmarkStart w:id="255" w:name="_Toc369531698"/>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bookmarkEnd w:id="253"/>
      <w:bookmarkEnd w:id="254"/>
      <w:bookmarkEnd w:id="255"/>
      <w:r>
        <w:rPr>
          <w:rFonts w:hint="eastAsia" w:ascii="宋体" w:hAnsi="宋体" w:cs="宋体"/>
          <w:color w:val="auto"/>
          <w:sz w:val="22"/>
          <w:highlight w:val="none"/>
        </w:rPr>
        <w:t>龄</w:t>
      </w:r>
      <w:bookmarkStart w:id="256" w:name="_Toc152042578"/>
      <w:bookmarkStart w:id="257" w:name="_Toc144974858"/>
      <w:bookmarkStart w:id="258" w:name="_Toc369531699"/>
      <w:bookmarkStart w:id="259" w:name="_Toc152045789"/>
      <w:bookmarkStart w:id="260" w:name="_Toc247514248"/>
      <w:bookmarkStart w:id="261" w:name="_Toc300835211"/>
      <w:bookmarkStart w:id="262" w:name="_Toc247527829"/>
      <w:bookmarkStart w:id="263" w:name="_Toc361508754"/>
      <w:bookmarkStart w:id="264" w:name="_Toc384308377"/>
      <w:bookmarkStart w:id="265" w:name="_Toc15573"/>
      <w:bookmarkStart w:id="266" w:name="_Toc352691663"/>
      <w:r>
        <w:rPr>
          <w:rFonts w:hint="eastAsia" w:ascii="宋体" w:hAnsi="宋体" w:cs="宋体"/>
          <w:color w:val="auto"/>
          <w:sz w:val="22"/>
          <w:highlight w:val="none"/>
        </w:rPr>
        <w:t>：</w:t>
      </w:r>
      <w:bookmarkEnd w:id="256"/>
      <w:bookmarkEnd w:id="257"/>
      <w:bookmarkEnd w:id="258"/>
      <w:bookmarkEnd w:id="259"/>
      <w:bookmarkEnd w:id="260"/>
      <w:bookmarkEnd w:id="261"/>
      <w:bookmarkEnd w:id="262"/>
      <w:bookmarkEnd w:id="263"/>
      <w:bookmarkEnd w:id="264"/>
      <w:bookmarkEnd w:id="265"/>
      <w:bookmarkEnd w:id="266"/>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职务：</w:t>
      </w:r>
      <w:r>
        <w:rPr>
          <w:rFonts w:hint="eastAsia" w:ascii="宋体" w:hAnsi="宋体" w:cs="宋体"/>
          <w:color w:val="auto"/>
          <w:sz w:val="22"/>
          <w:highlight w:val="none"/>
          <w:u w:val="single"/>
        </w:rPr>
        <w:t xml:space="preserve">          </w:t>
      </w:r>
    </w:p>
    <w:p w14:paraId="1C04DA87">
      <w:pPr>
        <w:spacing w:line="360" w:lineRule="auto"/>
        <w:rPr>
          <w:rFonts w:hint="eastAsia" w:ascii="宋体" w:hAnsi="宋体" w:cs="宋体"/>
          <w:color w:val="auto"/>
          <w:sz w:val="22"/>
          <w:highlight w:val="none"/>
        </w:rPr>
      </w:pPr>
      <w:r>
        <w:rPr>
          <w:rFonts w:hint="eastAsia" w:ascii="宋体" w:hAnsi="宋体" w:cs="宋体"/>
          <w:color w:val="auto"/>
          <w:sz w:val="22"/>
          <w:highlight w:val="none"/>
        </w:rPr>
        <w:t>系</w:t>
      </w:r>
      <w:r>
        <w:rPr>
          <w:rFonts w:hint="eastAsia" w:ascii="宋体" w:hAnsi="宋体" w:cs="宋体"/>
          <w:color w:val="auto"/>
          <w:sz w:val="22"/>
          <w:highlight w:val="none"/>
          <w:u w:val="single"/>
        </w:rPr>
        <w:t xml:space="preserve">          （投标人名称）                   </w:t>
      </w:r>
      <w:r>
        <w:rPr>
          <w:rFonts w:hint="eastAsia" w:ascii="宋体" w:hAnsi="宋体" w:cs="宋体"/>
          <w:color w:val="auto"/>
          <w:sz w:val="22"/>
          <w:highlight w:val="none"/>
        </w:rPr>
        <w:t xml:space="preserve"> 的法定代表人。</w:t>
      </w:r>
    </w:p>
    <w:p w14:paraId="47268243">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特此证明。</w:t>
      </w:r>
    </w:p>
    <w:p w14:paraId="402AFCC9">
      <w:pPr>
        <w:spacing w:line="360" w:lineRule="auto"/>
        <w:rPr>
          <w:rFonts w:hint="eastAsia" w:ascii="宋体" w:hAnsi="宋体" w:cs="宋体"/>
          <w:color w:val="auto"/>
          <w:sz w:val="22"/>
          <w:highlight w:val="none"/>
        </w:rPr>
      </w:pPr>
    </w:p>
    <w:p w14:paraId="5B92DDF0">
      <w:pPr>
        <w:spacing w:line="360" w:lineRule="auto"/>
        <w:rPr>
          <w:rFonts w:hint="eastAsia" w:ascii="宋体" w:hAnsi="宋体" w:cs="宋体"/>
          <w:color w:val="auto"/>
          <w:sz w:val="22"/>
          <w:highlight w:val="none"/>
        </w:rPr>
      </w:pPr>
      <w:r>
        <w:rPr>
          <w:rFonts w:hint="eastAsia" w:ascii="宋体" w:hAnsi="宋体" w:cs="宋体"/>
          <w:color w:val="auto"/>
          <w:sz w:val="22"/>
          <w:highlight w:val="none"/>
        </w:rPr>
        <w:t>附：法定代表人身份证扫描件。</w:t>
      </w:r>
    </w:p>
    <w:p w14:paraId="32BE21A4">
      <w:pPr>
        <w:spacing w:line="360" w:lineRule="auto"/>
        <w:rPr>
          <w:rFonts w:hint="eastAsia" w:ascii="宋体" w:hAnsi="宋体" w:cs="宋体"/>
          <w:color w:val="auto"/>
          <w:sz w:val="22"/>
          <w:highlight w:val="none"/>
        </w:rPr>
      </w:pPr>
    </w:p>
    <w:p w14:paraId="70A3676B">
      <w:pPr>
        <w:spacing w:line="360" w:lineRule="auto"/>
        <w:rPr>
          <w:rFonts w:hint="eastAsia" w:ascii="宋体" w:hAnsi="宋体" w:cs="宋体"/>
          <w:color w:val="auto"/>
          <w:sz w:val="22"/>
          <w:highlight w:val="none"/>
        </w:rPr>
      </w:pPr>
      <w:r>
        <w:rPr>
          <w:rFonts w:hint="eastAsia" w:ascii="宋体" w:hAnsi="宋体" w:cs="宋体"/>
          <w:color w:val="auto"/>
          <w:sz w:val="22"/>
          <w:highlight w:val="none"/>
        </w:rPr>
        <w:t>注：本身份证明需由投标人加盖单位公章。</w:t>
      </w:r>
    </w:p>
    <w:p w14:paraId="30CF6C0C">
      <w:pPr>
        <w:spacing w:line="360" w:lineRule="auto"/>
        <w:rPr>
          <w:rFonts w:hint="eastAsia" w:ascii="宋体" w:hAnsi="宋体" w:cs="宋体"/>
          <w:color w:val="auto"/>
          <w:sz w:val="22"/>
          <w:highlight w:val="none"/>
        </w:rPr>
      </w:pPr>
    </w:p>
    <w:p w14:paraId="151F5178">
      <w:pPr>
        <w:spacing w:line="360" w:lineRule="auto"/>
        <w:rPr>
          <w:rFonts w:hint="eastAsia" w:ascii="宋体" w:hAnsi="宋体" w:cs="宋体"/>
          <w:color w:val="auto"/>
          <w:sz w:val="22"/>
          <w:highlight w:val="none"/>
        </w:rPr>
      </w:pPr>
    </w:p>
    <w:p w14:paraId="686683AC">
      <w:pPr>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投标人</w:t>
      </w:r>
      <w:r>
        <w:rPr>
          <w:rFonts w:hint="eastAsia" w:cs="宋体"/>
          <w:color w:val="auto"/>
          <w:szCs w:val="21"/>
          <w:highlight w:val="none"/>
          <w:lang w:bidi="ar"/>
        </w:rPr>
        <w:t>（或联合体主办方）</w:t>
      </w:r>
      <w:r>
        <w:rPr>
          <w:rFonts w:hint="eastAsia" w:ascii="宋体" w:hAnsi="宋体" w:cs="宋体"/>
          <w:color w:val="auto"/>
          <w:sz w:val="22"/>
          <w:highlight w:val="none"/>
        </w:rPr>
        <w:t>：</w:t>
      </w:r>
      <w:r>
        <w:rPr>
          <w:rFonts w:hint="eastAsia" w:ascii="宋体" w:hAnsi="宋体" w:cs="宋体"/>
          <w:color w:val="auto"/>
          <w:sz w:val="22"/>
          <w:highlight w:val="none"/>
          <w:u w:val="single"/>
        </w:rPr>
        <w:tab/>
      </w:r>
      <w:r>
        <w:rPr>
          <w:rFonts w:hint="eastAsia" w:ascii="宋体" w:hAnsi="宋体" w:cs="宋体"/>
          <w:color w:val="auto"/>
          <w:sz w:val="22"/>
          <w:highlight w:val="none"/>
        </w:rPr>
        <w:t>（盖单位章）</w:t>
      </w:r>
    </w:p>
    <w:p w14:paraId="2A3F8241">
      <w:pPr>
        <w:spacing w:line="360" w:lineRule="auto"/>
        <w:rPr>
          <w:rFonts w:hint="eastAsia" w:ascii="宋体" w:hAnsi="宋体" w:cs="宋体"/>
          <w:color w:val="auto"/>
          <w:sz w:val="22"/>
          <w:highlight w:val="none"/>
        </w:rPr>
      </w:pPr>
    </w:p>
    <w:p w14:paraId="381C8D34">
      <w:pPr>
        <w:spacing w:line="360" w:lineRule="auto"/>
        <w:ind w:firstLine="4840" w:firstLineChars="2200"/>
        <w:rPr>
          <w:rFonts w:hint="eastAsia" w:ascii="宋体" w:hAnsi="宋体" w:cs="宋体"/>
          <w:color w:val="auto"/>
          <w:sz w:val="22"/>
          <w:highlight w:val="none"/>
        </w:rPr>
      </w:pPr>
      <w:r>
        <w:rPr>
          <w:rFonts w:hint="eastAsia" w:ascii="宋体" w:hAnsi="宋体" w:cs="宋体"/>
          <w:color w:val="auto"/>
          <w:sz w:val="22"/>
          <w:highlight w:val="none"/>
        </w:rPr>
        <w:t>年　月　日</w:t>
      </w:r>
    </w:p>
    <w:p w14:paraId="7FA51D01">
      <w:pPr>
        <w:spacing w:line="440" w:lineRule="exact"/>
        <w:rPr>
          <w:rFonts w:hint="eastAsia" w:ascii="宋体" w:hAnsi="宋体" w:cs="宋体"/>
          <w:color w:val="auto"/>
          <w:sz w:val="20"/>
          <w:highlight w:val="none"/>
        </w:rPr>
      </w:pPr>
    </w:p>
    <w:p w14:paraId="44DDD110">
      <w:pPr>
        <w:spacing w:line="440" w:lineRule="exact"/>
        <w:rPr>
          <w:rFonts w:hint="eastAsia" w:ascii="宋体" w:hAnsi="宋体" w:cs="宋体"/>
          <w:color w:val="auto"/>
          <w:sz w:val="20"/>
          <w:highlight w:val="none"/>
        </w:rPr>
      </w:pPr>
    </w:p>
    <w:p w14:paraId="36607A92">
      <w:pPr>
        <w:spacing w:line="440" w:lineRule="exact"/>
        <w:rPr>
          <w:rFonts w:hint="eastAsia" w:ascii="宋体" w:hAnsi="宋体" w:cs="宋体"/>
          <w:color w:val="auto"/>
          <w:sz w:val="20"/>
          <w:highlight w:val="none"/>
        </w:rPr>
      </w:pPr>
    </w:p>
    <w:p w14:paraId="5A9FB331">
      <w:pPr>
        <w:spacing w:line="440" w:lineRule="exact"/>
        <w:rPr>
          <w:rFonts w:hint="eastAsia" w:ascii="宋体" w:hAnsi="宋体" w:cs="宋体"/>
          <w:color w:val="auto"/>
          <w:sz w:val="20"/>
          <w:highlight w:val="none"/>
        </w:rPr>
      </w:pPr>
    </w:p>
    <w:p w14:paraId="7E393835">
      <w:pPr>
        <w:spacing w:line="440" w:lineRule="exact"/>
        <w:rPr>
          <w:rFonts w:hint="eastAsia" w:ascii="宋体" w:hAnsi="宋体" w:cs="宋体"/>
          <w:color w:val="auto"/>
          <w:sz w:val="20"/>
          <w:highlight w:val="none"/>
        </w:rPr>
      </w:pPr>
    </w:p>
    <w:p w14:paraId="276B7F46">
      <w:pPr>
        <w:pStyle w:val="14"/>
        <w:ind w:firstLine="0"/>
        <w:rPr>
          <w:color w:val="auto"/>
          <w:highlight w:val="none"/>
        </w:rPr>
      </w:pPr>
      <w:r>
        <w:rPr>
          <w:rFonts w:hint="eastAsia"/>
          <w:color w:val="auto"/>
          <w:highlight w:val="none"/>
        </w:rPr>
        <w:t>注：联合体投标的，法定代表人身份证明书可由联合体主办方出具，“投标人名称”一栏可只填写联合体主办方名称即可。</w:t>
      </w:r>
    </w:p>
    <w:p w14:paraId="06703DBC">
      <w:pPr>
        <w:spacing w:line="440" w:lineRule="exact"/>
        <w:rPr>
          <w:rFonts w:hint="eastAsia" w:ascii="宋体" w:hAnsi="宋体" w:cs="宋体"/>
          <w:color w:val="auto"/>
          <w:sz w:val="20"/>
          <w:highlight w:val="none"/>
        </w:rPr>
      </w:pPr>
    </w:p>
    <w:p w14:paraId="5D9437F0">
      <w:pPr>
        <w:spacing w:line="440" w:lineRule="exact"/>
        <w:rPr>
          <w:rFonts w:hint="eastAsia" w:ascii="宋体" w:hAnsi="宋体" w:cs="宋体"/>
          <w:color w:val="auto"/>
          <w:sz w:val="20"/>
          <w:highlight w:val="none"/>
        </w:rPr>
      </w:pPr>
      <w:r>
        <w:rPr>
          <w:rFonts w:hint="eastAsia" w:ascii="宋体" w:hAnsi="宋体" w:cs="宋体"/>
          <w:color w:val="auto"/>
          <w:sz w:val="20"/>
          <w:highlight w:val="none"/>
        </w:rPr>
        <w:br w:type="page"/>
      </w:r>
      <w:bookmarkEnd w:id="242"/>
      <w:bookmarkEnd w:id="247"/>
      <w:bookmarkEnd w:id="248"/>
      <w:bookmarkEnd w:id="249"/>
      <w:bookmarkEnd w:id="250"/>
      <w:bookmarkEnd w:id="251"/>
      <w:bookmarkEnd w:id="252"/>
    </w:p>
    <w:p w14:paraId="3B5CE916">
      <w:pPr>
        <w:keepNext/>
        <w:keepLines/>
        <w:spacing w:line="360" w:lineRule="auto"/>
        <w:jc w:val="center"/>
        <w:outlineLvl w:val="1"/>
        <w:rPr>
          <w:rFonts w:hint="eastAsia" w:ascii="宋体" w:hAnsi="宋体" w:cs="宋体"/>
          <w:color w:val="auto"/>
          <w:sz w:val="32"/>
          <w:highlight w:val="none"/>
        </w:rPr>
      </w:pPr>
      <w:bookmarkStart w:id="267" w:name="_Toc6013"/>
      <w:bookmarkStart w:id="268" w:name="_Toc22093"/>
      <w:bookmarkStart w:id="269" w:name="_Toc38224862"/>
      <w:bookmarkStart w:id="270" w:name="_Toc16574"/>
      <w:bookmarkStart w:id="271" w:name="_Toc532367892"/>
      <w:bookmarkStart w:id="272" w:name="_Toc25035"/>
      <w:bookmarkStart w:id="273" w:name="_Toc29040"/>
      <w:bookmarkStart w:id="274" w:name="_Toc15147"/>
      <w:bookmarkStart w:id="275" w:name="_Toc525063284"/>
      <w:bookmarkStart w:id="276" w:name="_Toc23444"/>
      <w:bookmarkStart w:id="277" w:name="_Toc8221"/>
      <w:r>
        <w:rPr>
          <w:rFonts w:hint="eastAsia" w:ascii="宋体" w:hAnsi="宋体" w:cs="宋体"/>
          <w:b/>
          <w:bCs/>
          <w:color w:val="auto"/>
          <w:sz w:val="32"/>
          <w:szCs w:val="32"/>
          <w:highlight w:val="none"/>
        </w:rPr>
        <w:t>授权委托书</w:t>
      </w:r>
      <w:bookmarkEnd w:id="267"/>
      <w:bookmarkEnd w:id="268"/>
      <w:bookmarkEnd w:id="269"/>
      <w:bookmarkEnd w:id="270"/>
    </w:p>
    <w:p w14:paraId="3482B46C">
      <w:pPr>
        <w:spacing w:line="440" w:lineRule="exact"/>
        <w:rPr>
          <w:rFonts w:hint="eastAsia" w:ascii="宋体" w:hAnsi="宋体" w:cs="宋体"/>
          <w:color w:val="auto"/>
          <w:highlight w:val="none"/>
        </w:rPr>
      </w:pPr>
    </w:p>
    <w:p w14:paraId="3CE9C6DB">
      <w:pPr>
        <w:topLinePunct/>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本人</w:t>
      </w:r>
      <w:r>
        <w:rPr>
          <w:rFonts w:hint="eastAsia" w:ascii="宋体" w:hAnsi="宋体" w:cs="宋体"/>
          <w:color w:val="auto"/>
          <w:sz w:val="22"/>
          <w:highlight w:val="none"/>
          <w:u w:val="single"/>
        </w:rPr>
        <w:t xml:space="preserve">     （姓名）   </w:t>
      </w:r>
      <w:r>
        <w:rPr>
          <w:rFonts w:hint="eastAsia" w:ascii="宋体" w:hAnsi="宋体" w:cs="宋体"/>
          <w:color w:val="auto"/>
          <w:sz w:val="22"/>
          <w:highlight w:val="none"/>
        </w:rPr>
        <w:t>系</w:t>
      </w:r>
      <w:r>
        <w:rPr>
          <w:rFonts w:hint="eastAsia" w:ascii="宋体" w:hAnsi="宋体" w:cs="宋体"/>
          <w:color w:val="auto"/>
          <w:sz w:val="22"/>
          <w:highlight w:val="none"/>
          <w:u w:val="single"/>
        </w:rPr>
        <w:t xml:space="preserve">    （投标人</w:t>
      </w:r>
      <w:r>
        <w:rPr>
          <w:rFonts w:hint="eastAsia" w:cs="宋体"/>
          <w:color w:val="auto"/>
          <w:szCs w:val="21"/>
          <w:highlight w:val="none"/>
          <w:u w:val="single"/>
          <w:lang w:bidi="ar"/>
        </w:rPr>
        <w:t>或联合体主办方名称）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的法定代表人，现委托</w:t>
      </w:r>
      <w:r>
        <w:rPr>
          <w:rFonts w:hint="eastAsia" w:ascii="宋体" w:hAnsi="宋体" w:cs="宋体"/>
          <w:color w:val="auto"/>
          <w:sz w:val="22"/>
          <w:highlight w:val="none"/>
          <w:u w:val="single"/>
        </w:rPr>
        <w:t xml:space="preserve"> （姓名）  </w:t>
      </w:r>
      <w:r>
        <w:rPr>
          <w:rFonts w:hint="eastAsia" w:ascii="宋体" w:hAnsi="宋体" w:cs="宋体"/>
          <w:color w:val="auto"/>
          <w:sz w:val="22"/>
          <w:highlight w:val="none"/>
        </w:rPr>
        <w:t>为我方代理人。代理人根据授权，以我方名义签署、澄清确认、递交、撤回、修改招标项目投标文件、签订合同和处理有关事宜，其法律后果由我方承担。</w:t>
      </w:r>
    </w:p>
    <w:p w14:paraId="1EFF7451">
      <w:pPr>
        <w:spacing w:line="360" w:lineRule="auto"/>
        <w:rPr>
          <w:rFonts w:hint="eastAsia" w:ascii="宋体" w:hAnsi="宋体" w:cs="宋体"/>
          <w:color w:val="auto"/>
          <w:sz w:val="22"/>
          <w:highlight w:val="none"/>
        </w:rPr>
      </w:pPr>
      <w:r>
        <w:rPr>
          <w:rFonts w:hint="eastAsia" w:ascii="宋体" w:hAnsi="宋体" w:cs="宋体"/>
          <w:color w:val="auto"/>
          <w:sz w:val="22"/>
          <w:highlight w:val="none"/>
        </w:rPr>
        <w:t>委托期限：</w:t>
      </w:r>
      <w:r>
        <w:rPr>
          <w:rFonts w:hint="eastAsia" w:ascii="宋体" w:hAnsi="宋体" w:cs="宋体"/>
          <w:color w:val="auto"/>
          <w:sz w:val="22"/>
          <w:highlight w:val="none"/>
          <w:u w:val="single"/>
        </w:rPr>
        <w:t xml:space="preserve">                 。</w:t>
      </w:r>
    </w:p>
    <w:p w14:paraId="628F911D">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代理人无转委托权。</w:t>
      </w:r>
    </w:p>
    <w:p w14:paraId="413AC8DE">
      <w:pPr>
        <w:spacing w:line="360" w:lineRule="auto"/>
        <w:ind w:firstLine="440" w:firstLineChars="200"/>
        <w:rPr>
          <w:rFonts w:hint="eastAsia" w:ascii="宋体" w:hAnsi="宋体" w:cs="宋体"/>
          <w:color w:val="auto"/>
          <w:sz w:val="22"/>
          <w:highlight w:val="none"/>
        </w:rPr>
      </w:pPr>
    </w:p>
    <w:p w14:paraId="42468A7A">
      <w:pPr>
        <w:spacing w:line="360" w:lineRule="auto"/>
        <w:rPr>
          <w:rFonts w:hint="eastAsia" w:ascii="宋体" w:hAnsi="宋体" w:cs="宋体"/>
          <w:color w:val="auto"/>
          <w:sz w:val="22"/>
          <w:highlight w:val="none"/>
        </w:rPr>
      </w:pPr>
      <w:r>
        <w:rPr>
          <w:rFonts w:hint="eastAsia" w:ascii="宋体" w:hAnsi="宋体" w:cs="宋体"/>
          <w:color w:val="auto"/>
          <w:sz w:val="22"/>
          <w:highlight w:val="none"/>
        </w:rPr>
        <w:t>附：法定代表人身份证扫描件及委托代理人身份证扫描件。</w:t>
      </w:r>
    </w:p>
    <w:p w14:paraId="479E7332">
      <w:pPr>
        <w:spacing w:line="360" w:lineRule="auto"/>
        <w:rPr>
          <w:rFonts w:hint="eastAsia" w:ascii="宋体" w:hAnsi="宋体" w:cs="宋体"/>
          <w:color w:val="auto"/>
          <w:sz w:val="22"/>
          <w:highlight w:val="none"/>
        </w:rPr>
      </w:pPr>
    </w:p>
    <w:p w14:paraId="0B8AABB0">
      <w:pPr>
        <w:spacing w:line="360" w:lineRule="auto"/>
        <w:rPr>
          <w:rFonts w:hint="eastAsia" w:ascii="宋体" w:hAnsi="宋体" w:cs="宋体"/>
          <w:color w:val="auto"/>
          <w:sz w:val="22"/>
          <w:highlight w:val="none"/>
        </w:rPr>
      </w:pPr>
      <w:r>
        <w:rPr>
          <w:rFonts w:hint="eastAsia" w:ascii="宋体" w:hAnsi="宋体" w:cs="宋体"/>
          <w:color w:val="auto"/>
          <w:sz w:val="22"/>
          <w:highlight w:val="none"/>
        </w:rPr>
        <w:t>注：本授权委托书需由投标人加盖单位公章并由其法定代表人和委托代理人签字</w:t>
      </w:r>
      <w:r>
        <w:rPr>
          <w:rFonts w:hint="eastAsia" w:ascii="宋体" w:hAnsi="宋体" w:cs="宋体"/>
          <w:color w:val="auto"/>
          <w:sz w:val="22"/>
          <w:highlight w:val="none"/>
          <w:lang w:eastAsia="zh-Hans"/>
        </w:rPr>
        <w:t>或盖章</w:t>
      </w:r>
      <w:r>
        <w:rPr>
          <w:rFonts w:hint="eastAsia" w:ascii="宋体" w:hAnsi="宋体" w:cs="宋体"/>
          <w:color w:val="auto"/>
          <w:sz w:val="22"/>
          <w:highlight w:val="none"/>
        </w:rPr>
        <w:t>。</w:t>
      </w:r>
    </w:p>
    <w:p w14:paraId="7F1AFF21">
      <w:pPr>
        <w:spacing w:line="360" w:lineRule="auto"/>
        <w:rPr>
          <w:rFonts w:hint="eastAsia" w:ascii="宋体" w:hAnsi="宋体" w:cs="宋体"/>
          <w:color w:val="auto"/>
          <w:sz w:val="22"/>
          <w:highlight w:val="none"/>
        </w:rPr>
      </w:pPr>
    </w:p>
    <w:p w14:paraId="681C94EB">
      <w:pPr>
        <w:spacing w:line="360" w:lineRule="auto"/>
        <w:ind w:firstLine="2820" w:firstLineChars="1282"/>
        <w:rPr>
          <w:rFonts w:hint="eastAsia" w:ascii="宋体" w:hAnsi="宋体" w:cs="宋体"/>
          <w:color w:val="auto"/>
          <w:sz w:val="22"/>
          <w:highlight w:val="none"/>
        </w:rPr>
      </w:pPr>
      <w:r>
        <w:rPr>
          <w:rFonts w:hint="eastAsia" w:ascii="宋体" w:hAnsi="宋体" w:cs="宋体"/>
          <w:color w:val="auto"/>
          <w:sz w:val="22"/>
          <w:highlight w:val="none"/>
        </w:rPr>
        <w:t>投标人</w:t>
      </w:r>
      <w:r>
        <w:rPr>
          <w:rFonts w:hint="eastAsia" w:cs="宋体"/>
          <w:color w:val="auto"/>
          <w:szCs w:val="21"/>
          <w:highlight w:val="none"/>
          <w:lang w:bidi="ar"/>
        </w:rPr>
        <w:t>（或联合体主办方）</w:t>
      </w:r>
      <w:r>
        <w:rPr>
          <w:rFonts w:hint="eastAsia" w:ascii="宋体" w:hAnsi="宋体" w:cs="宋体"/>
          <w:color w:val="auto"/>
          <w:sz w:val="22"/>
          <w:highlight w:val="none"/>
        </w:rPr>
        <w:t>：（盖单位章）</w:t>
      </w:r>
    </w:p>
    <w:p w14:paraId="51C9344D">
      <w:pPr>
        <w:spacing w:line="360" w:lineRule="auto"/>
        <w:ind w:firstLine="2820" w:firstLineChars="1282"/>
        <w:rPr>
          <w:rFonts w:hint="eastAsia" w:ascii="宋体" w:hAnsi="宋体" w:cs="宋体"/>
          <w:color w:val="auto"/>
          <w:sz w:val="22"/>
          <w:highlight w:val="none"/>
        </w:rPr>
      </w:pPr>
    </w:p>
    <w:p w14:paraId="0647285C">
      <w:pPr>
        <w:spacing w:line="360" w:lineRule="auto"/>
        <w:ind w:firstLine="2818" w:firstLineChars="1281"/>
        <w:jc w:val="left"/>
        <w:rPr>
          <w:rFonts w:hint="eastAsia" w:ascii="宋体" w:hAnsi="宋体" w:cs="宋体"/>
          <w:color w:val="auto"/>
          <w:sz w:val="22"/>
          <w:highlight w:val="none"/>
        </w:rPr>
      </w:pPr>
      <w:r>
        <w:rPr>
          <w:rFonts w:hint="eastAsia" w:ascii="宋体" w:hAnsi="宋体" w:cs="宋体"/>
          <w:color w:val="auto"/>
          <w:sz w:val="22"/>
          <w:highlight w:val="none"/>
        </w:rPr>
        <w:t>法定代表人：（签字</w:t>
      </w:r>
      <w:r>
        <w:rPr>
          <w:rFonts w:hint="eastAsia" w:ascii="宋体" w:hAnsi="宋体" w:cs="宋体"/>
          <w:color w:val="auto"/>
          <w:sz w:val="22"/>
          <w:highlight w:val="none"/>
          <w:lang w:eastAsia="zh-Hans"/>
        </w:rPr>
        <w:t>或盖章</w:t>
      </w:r>
      <w:r>
        <w:rPr>
          <w:rFonts w:hint="eastAsia" w:ascii="宋体" w:hAnsi="宋体" w:cs="宋体"/>
          <w:color w:val="auto"/>
          <w:sz w:val="22"/>
          <w:highlight w:val="none"/>
        </w:rPr>
        <w:t>）</w:t>
      </w:r>
    </w:p>
    <w:p w14:paraId="0185B197">
      <w:pPr>
        <w:spacing w:line="360" w:lineRule="auto"/>
        <w:rPr>
          <w:rFonts w:hint="eastAsia" w:ascii="宋体" w:hAnsi="宋体" w:cs="宋体"/>
          <w:color w:val="auto"/>
          <w:sz w:val="22"/>
          <w:highlight w:val="none"/>
        </w:rPr>
      </w:pPr>
    </w:p>
    <w:p w14:paraId="45509D13">
      <w:pPr>
        <w:spacing w:line="360" w:lineRule="auto"/>
        <w:ind w:firstLine="2820" w:firstLineChars="1282"/>
        <w:rPr>
          <w:rFonts w:hint="eastAsia" w:ascii="宋体" w:hAnsi="宋体" w:cs="宋体"/>
          <w:color w:val="auto"/>
          <w:sz w:val="22"/>
          <w:highlight w:val="none"/>
        </w:rPr>
      </w:pPr>
      <w:r>
        <w:rPr>
          <w:rFonts w:hint="eastAsia" w:ascii="宋体" w:hAnsi="宋体" w:cs="宋体"/>
          <w:color w:val="auto"/>
          <w:sz w:val="22"/>
          <w:highlight w:val="none"/>
        </w:rPr>
        <w:t>委托代理人：（签字</w:t>
      </w:r>
      <w:r>
        <w:rPr>
          <w:rFonts w:hint="eastAsia" w:ascii="宋体" w:hAnsi="宋体" w:cs="宋体"/>
          <w:color w:val="auto"/>
          <w:sz w:val="22"/>
          <w:highlight w:val="none"/>
          <w:lang w:eastAsia="zh-Hans"/>
        </w:rPr>
        <w:t>或盖章</w:t>
      </w:r>
      <w:r>
        <w:rPr>
          <w:rFonts w:hint="eastAsia" w:ascii="宋体" w:hAnsi="宋体" w:cs="宋体"/>
          <w:color w:val="auto"/>
          <w:sz w:val="22"/>
          <w:highlight w:val="none"/>
        </w:rPr>
        <w:t>）</w:t>
      </w:r>
    </w:p>
    <w:p w14:paraId="29BC2FE2">
      <w:pPr>
        <w:spacing w:line="360" w:lineRule="auto"/>
        <w:ind w:firstLine="2820" w:firstLineChars="1282"/>
        <w:rPr>
          <w:rFonts w:hint="eastAsia" w:ascii="宋体" w:hAnsi="宋体" w:cs="宋体"/>
          <w:color w:val="auto"/>
          <w:sz w:val="22"/>
          <w:highlight w:val="none"/>
        </w:rPr>
      </w:pPr>
    </w:p>
    <w:p w14:paraId="546C9C3C">
      <w:pPr>
        <w:spacing w:line="360" w:lineRule="auto"/>
        <w:rPr>
          <w:rFonts w:hint="eastAsia" w:ascii="宋体" w:hAnsi="宋体" w:cs="宋体"/>
          <w:color w:val="auto"/>
          <w:sz w:val="22"/>
          <w:highlight w:val="none"/>
        </w:rPr>
      </w:pPr>
    </w:p>
    <w:p w14:paraId="282D2899">
      <w:pPr>
        <w:spacing w:line="360" w:lineRule="auto"/>
        <w:rPr>
          <w:rFonts w:hint="eastAsia" w:ascii="宋体" w:hAnsi="宋体" w:cs="宋体"/>
          <w:color w:val="auto"/>
          <w:sz w:val="22"/>
          <w:highlight w:val="none"/>
        </w:rPr>
      </w:pPr>
    </w:p>
    <w:p w14:paraId="6BD5E333">
      <w:pPr>
        <w:spacing w:line="360" w:lineRule="auto"/>
        <w:ind w:firstLine="4250" w:firstLineChars="1932"/>
        <w:jc w:val="right"/>
        <w:rPr>
          <w:rFonts w:hint="eastAsia" w:ascii="宋体" w:hAnsi="宋体" w:cs="宋体"/>
          <w:color w:val="auto"/>
          <w:sz w:val="22"/>
          <w:highlight w:val="none"/>
        </w:rPr>
      </w:pPr>
      <w:r>
        <w:rPr>
          <w:rFonts w:hint="eastAsia" w:ascii="宋体" w:hAnsi="宋体" w:cs="宋体"/>
          <w:color w:val="auto"/>
          <w:sz w:val="22"/>
          <w:highlight w:val="none"/>
        </w:rPr>
        <w:t>年   月   日</w:t>
      </w:r>
      <w:bookmarkEnd w:id="271"/>
      <w:bookmarkEnd w:id="272"/>
      <w:bookmarkEnd w:id="273"/>
      <w:bookmarkEnd w:id="274"/>
      <w:bookmarkEnd w:id="275"/>
      <w:bookmarkEnd w:id="276"/>
      <w:bookmarkEnd w:id="277"/>
    </w:p>
    <w:p w14:paraId="2CD13481">
      <w:pPr>
        <w:spacing w:line="440" w:lineRule="exact"/>
        <w:ind w:firstLine="4057" w:firstLineChars="1932"/>
        <w:jc w:val="right"/>
        <w:rPr>
          <w:rFonts w:hint="eastAsia" w:ascii="宋体" w:hAnsi="宋体" w:cs="宋体"/>
          <w:color w:val="auto"/>
          <w:highlight w:val="none"/>
        </w:rPr>
      </w:pPr>
    </w:p>
    <w:p w14:paraId="64BCBB74">
      <w:pPr>
        <w:pStyle w:val="14"/>
        <w:ind w:firstLine="0"/>
        <w:rPr>
          <w:color w:val="auto"/>
          <w:highlight w:val="none"/>
        </w:rPr>
      </w:pPr>
      <w:r>
        <w:rPr>
          <w:rFonts w:hint="eastAsia"/>
          <w:color w:val="auto"/>
          <w:highlight w:val="none"/>
        </w:rPr>
        <w:t>注：联合体投标的，授权委托书由联合体主办方出具，“投标人名称”一栏可只填写联合体主办方名称即可。</w:t>
      </w:r>
    </w:p>
    <w:p w14:paraId="5EDCCD66">
      <w:pPr>
        <w:pStyle w:val="14"/>
        <w:rPr>
          <w:rFonts w:hint="eastAsia"/>
          <w:color w:val="auto"/>
          <w:highlight w:val="none"/>
        </w:rPr>
      </w:pPr>
    </w:p>
    <w:p w14:paraId="63E6ED5E">
      <w:pPr>
        <w:rPr>
          <w:rFonts w:hint="eastAsia" w:ascii="宋体" w:hAnsi="宋体" w:cs="宋体"/>
          <w:color w:val="auto"/>
          <w:highlight w:val="none"/>
        </w:rPr>
      </w:pPr>
    </w:p>
    <w:p w14:paraId="66A6C643">
      <w:pPr>
        <w:pStyle w:val="3"/>
        <w:keepNext w:val="0"/>
        <w:keepLines w:val="0"/>
        <w:jc w:val="center"/>
        <w:rPr>
          <w:rFonts w:hint="eastAsia" w:ascii="宋体" w:hAnsi="宋体" w:eastAsia="宋体" w:cs="宋体"/>
          <w:color w:val="auto"/>
          <w:highlight w:val="none"/>
        </w:rPr>
        <w:sectPr>
          <w:pgSz w:w="11905" w:h="16838"/>
          <w:pgMar w:top="1440" w:right="1425" w:bottom="1440" w:left="1800" w:header="720" w:footer="720" w:gutter="0"/>
          <w:pgBorders w:offsetFrom="page">
            <w:top w:val="none" w:sz="0" w:space="0"/>
            <w:left w:val="none" w:sz="0" w:space="0"/>
            <w:bottom w:val="none" w:sz="0" w:space="0"/>
            <w:right w:val="none" w:sz="0" w:space="0"/>
          </w:pgBorders>
          <w:cols w:space="720" w:num="1"/>
          <w:docGrid w:linePitch="286" w:charSpace="0"/>
        </w:sectPr>
      </w:pPr>
      <w:bookmarkStart w:id="278" w:name="_Toc525063285"/>
    </w:p>
    <w:p w14:paraId="6FAA39F5">
      <w:pPr>
        <w:keepNext/>
        <w:keepLines/>
        <w:widowControl/>
        <w:spacing w:line="360" w:lineRule="auto"/>
        <w:jc w:val="center"/>
        <w:outlineLvl w:val="1"/>
        <w:rPr>
          <w:rFonts w:hint="eastAsia" w:ascii="宋体" w:hAnsi="宋体" w:cs="宋体"/>
          <w:b/>
          <w:bCs/>
          <w:color w:val="auto"/>
          <w:sz w:val="36"/>
          <w:szCs w:val="36"/>
          <w:highlight w:val="none"/>
        </w:rPr>
      </w:pPr>
      <w:bookmarkStart w:id="279" w:name="_Toc22927"/>
      <w:bookmarkStart w:id="280" w:name="_Toc532367893"/>
      <w:bookmarkStart w:id="281" w:name="_Toc10935"/>
      <w:bookmarkStart w:id="282" w:name="_Toc26732"/>
      <w:bookmarkStart w:id="283" w:name="_Toc11116"/>
      <w:bookmarkStart w:id="284" w:name="_Toc7590"/>
      <w:bookmarkStart w:id="285" w:name="_Toc24069"/>
      <w:bookmarkStart w:id="286" w:name="_Toc25059"/>
      <w:bookmarkStart w:id="287" w:name="_Toc29217"/>
      <w:bookmarkStart w:id="288" w:name="_Toc38224863"/>
      <w:r>
        <w:rPr>
          <w:rFonts w:hint="eastAsia" w:ascii="宋体" w:hAnsi="宋体" w:cs="宋体"/>
          <w:b/>
          <w:bCs/>
          <w:color w:val="auto"/>
          <w:sz w:val="36"/>
          <w:szCs w:val="36"/>
          <w:highlight w:val="none"/>
        </w:rPr>
        <w:t>三、资格审查资料</w:t>
      </w:r>
      <w:bookmarkEnd w:id="279"/>
    </w:p>
    <w:p w14:paraId="44B21E96">
      <w:pPr>
        <w:widowControl/>
        <w:jc w:val="center"/>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（具体资料详见招标文件）</w:t>
      </w:r>
    </w:p>
    <w:p w14:paraId="2BE547AF">
      <w:pPr>
        <w:pStyle w:val="14"/>
        <w:ind w:firstLine="0"/>
        <w:rPr>
          <w:rFonts w:hint="eastAsia" w:ascii="宋体" w:hAnsi="宋体" w:cs="宋体"/>
          <w:color w:val="auto"/>
          <w:highlight w:val="none"/>
        </w:rPr>
      </w:pPr>
    </w:p>
    <w:p w14:paraId="7E2F939C">
      <w:pPr>
        <w:pStyle w:val="14"/>
        <w:ind w:firstLine="0"/>
        <w:rPr>
          <w:rFonts w:hint="eastAsia" w:ascii="宋体" w:hAnsi="宋体" w:cs="宋体"/>
          <w:color w:val="auto"/>
          <w:highlight w:val="none"/>
        </w:rPr>
      </w:pPr>
    </w:p>
    <w:p w14:paraId="4C96C0E4">
      <w:pPr>
        <w:pStyle w:val="14"/>
        <w:ind w:firstLine="0"/>
        <w:rPr>
          <w:rFonts w:hint="eastAsia" w:ascii="宋体" w:hAnsi="宋体" w:cs="宋体"/>
          <w:color w:val="auto"/>
          <w:highlight w:val="none"/>
        </w:rPr>
      </w:pPr>
    </w:p>
    <w:p w14:paraId="485DC4D3">
      <w:pPr>
        <w:pStyle w:val="14"/>
        <w:ind w:firstLine="0"/>
        <w:rPr>
          <w:rFonts w:hint="eastAsia" w:ascii="宋体" w:hAnsi="宋体" w:cs="宋体"/>
          <w:color w:val="auto"/>
          <w:highlight w:val="none"/>
        </w:rPr>
      </w:pPr>
    </w:p>
    <w:p w14:paraId="36504163">
      <w:pPr>
        <w:pStyle w:val="14"/>
        <w:ind w:firstLine="0"/>
        <w:rPr>
          <w:rFonts w:hint="eastAsia" w:ascii="宋体" w:hAnsi="宋体" w:cs="宋体"/>
          <w:color w:val="auto"/>
          <w:highlight w:val="none"/>
        </w:rPr>
      </w:pPr>
    </w:p>
    <w:p w14:paraId="59048E0D">
      <w:pPr>
        <w:pStyle w:val="14"/>
        <w:ind w:firstLine="0"/>
        <w:rPr>
          <w:rFonts w:hint="eastAsia" w:ascii="宋体" w:hAnsi="宋体" w:cs="宋体"/>
          <w:color w:val="auto"/>
          <w:highlight w:val="none"/>
        </w:rPr>
      </w:pPr>
    </w:p>
    <w:p w14:paraId="68704EBA">
      <w:pPr>
        <w:pStyle w:val="14"/>
        <w:ind w:firstLine="0"/>
        <w:rPr>
          <w:rFonts w:hint="eastAsia" w:ascii="宋体" w:hAnsi="宋体" w:cs="宋体"/>
          <w:color w:val="auto"/>
          <w:highlight w:val="none"/>
        </w:rPr>
      </w:pPr>
    </w:p>
    <w:p w14:paraId="64ED3544">
      <w:pPr>
        <w:pStyle w:val="14"/>
        <w:ind w:firstLine="0"/>
        <w:rPr>
          <w:rFonts w:hint="eastAsia" w:ascii="宋体" w:hAnsi="宋体" w:cs="宋体"/>
          <w:color w:val="auto"/>
          <w:highlight w:val="none"/>
        </w:rPr>
      </w:pPr>
    </w:p>
    <w:p w14:paraId="4EED6EF7">
      <w:pPr>
        <w:pStyle w:val="14"/>
        <w:ind w:firstLine="0"/>
        <w:rPr>
          <w:rFonts w:hint="eastAsia" w:ascii="宋体" w:hAnsi="宋体" w:cs="宋体"/>
          <w:color w:val="auto"/>
          <w:highlight w:val="none"/>
        </w:rPr>
      </w:pPr>
    </w:p>
    <w:p w14:paraId="78DB230F">
      <w:pPr>
        <w:pStyle w:val="14"/>
        <w:ind w:firstLine="0"/>
        <w:rPr>
          <w:rFonts w:hint="eastAsia" w:ascii="宋体" w:hAnsi="宋体" w:cs="宋体"/>
          <w:color w:val="auto"/>
          <w:highlight w:val="none"/>
        </w:rPr>
      </w:pPr>
    </w:p>
    <w:p w14:paraId="4F0E4ED4">
      <w:pPr>
        <w:pStyle w:val="14"/>
        <w:ind w:firstLine="0"/>
        <w:rPr>
          <w:rFonts w:hint="eastAsia" w:ascii="宋体" w:hAnsi="宋体" w:cs="宋体"/>
          <w:color w:val="auto"/>
          <w:highlight w:val="none"/>
        </w:rPr>
      </w:pPr>
    </w:p>
    <w:p w14:paraId="1255D92F">
      <w:pPr>
        <w:pStyle w:val="14"/>
        <w:ind w:firstLine="0"/>
        <w:rPr>
          <w:rFonts w:hint="eastAsia" w:ascii="宋体" w:hAnsi="宋体" w:cs="宋体"/>
          <w:color w:val="auto"/>
          <w:highlight w:val="none"/>
        </w:rPr>
      </w:pPr>
    </w:p>
    <w:p w14:paraId="7B0C63E2">
      <w:pPr>
        <w:pStyle w:val="14"/>
        <w:ind w:firstLine="0"/>
        <w:rPr>
          <w:rFonts w:hint="eastAsia" w:ascii="宋体" w:hAnsi="宋体" w:cs="宋体"/>
          <w:color w:val="auto"/>
          <w:highlight w:val="none"/>
        </w:rPr>
      </w:pPr>
    </w:p>
    <w:p w14:paraId="7FBEF6C0">
      <w:pPr>
        <w:pStyle w:val="14"/>
        <w:ind w:firstLine="0"/>
        <w:rPr>
          <w:rFonts w:hint="eastAsia" w:ascii="宋体" w:hAnsi="宋体" w:cs="宋体"/>
          <w:color w:val="auto"/>
          <w:highlight w:val="none"/>
        </w:rPr>
      </w:pPr>
    </w:p>
    <w:p w14:paraId="151CB7A1">
      <w:pPr>
        <w:pStyle w:val="14"/>
        <w:ind w:firstLine="0"/>
        <w:rPr>
          <w:rFonts w:hint="eastAsia" w:ascii="宋体" w:hAnsi="宋体" w:cs="宋体"/>
          <w:color w:val="auto"/>
          <w:highlight w:val="none"/>
        </w:rPr>
      </w:pPr>
    </w:p>
    <w:p w14:paraId="5C1AE66A">
      <w:pPr>
        <w:pStyle w:val="14"/>
        <w:ind w:firstLine="0"/>
        <w:rPr>
          <w:rFonts w:hint="eastAsia" w:ascii="宋体" w:hAnsi="宋体" w:cs="宋体"/>
          <w:color w:val="auto"/>
          <w:highlight w:val="none"/>
        </w:rPr>
      </w:pPr>
    </w:p>
    <w:p w14:paraId="05491EA2">
      <w:pPr>
        <w:pStyle w:val="14"/>
        <w:ind w:firstLine="0"/>
        <w:rPr>
          <w:rFonts w:hint="eastAsia" w:ascii="宋体" w:hAnsi="宋体" w:cs="宋体"/>
          <w:color w:val="auto"/>
          <w:highlight w:val="none"/>
        </w:rPr>
      </w:pPr>
    </w:p>
    <w:p w14:paraId="118A890B">
      <w:pPr>
        <w:pStyle w:val="14"/>
        <w:ind w:firstLine="0"/>
        <w:rPr>
          <w:rFonts w:hint="eastAsia" w:ascii="宋体" w:hAnsi="宋体" w:cs="宋体"/>
          <w:color w:val="auto"/>
          <w:highlight w:val="none"/>
        </w:rPr>
      </w:pPr>
    </w:p>
    <w:p w14:paraId="4A93248D">
      <w:pPr>
        <w:pStyle w:val="14"/>
        <w:ind w:firstLine="0"/>
        <w:rPr>
          <w:rFonts w:hint="eastAsia" w:ascii="宋体" w:hAnsi="宋体" w:cs="宋体"/>
          <w:color w:val="auto"/>
          <w:highlight w:val="none"/>
        </w:rPr>
      </w:pPr>
    </w:p>
    <w:p w14:paraId="3A86653E">
      <w:pPr>
        <w:pStyle w:val="14"/>
        <w:ind w:firstLine="0"/>
        <w:rPr>
          <w:rFonts w:hint="eastAsia" w:ascii="宋体" w:hAnsi="宋体" w:cs="宋体"/>
          <w:color w:val="auto"/>
          <w:highlight w:val="none"/>
        </w:rPr>
      </w:pPr>
    </w:p>
    <w:p w14:paraId="13B6450C">
      <w:pPr>
        <w:pStyle w:val="14"/>
        <w:ind w:firstLine="0"/>
        <w:rPr>
          <w:rFonts w:hint="eastAsia" w:ascii="宋体" w:hAnsi="宋体" w:cs="宋体"/>
          <w:color w:val="auto"/>
          <w:highlight w:val="none"/>
        </w:rPr>
      </w:pPr>
    </w:p>
    <w:p w14:paraId="49602A2B">
      <w:pPr>
        <w:pStyle w:val="14"/>
        <w:ind w:firstLine="0"/>
        <w:rPr>
          <w:rFonts w:hint="eastAsia" w:ascii="宋体" w:hAnsi="宋体" w:cs="宋体"/>
          <w:color w:val="auto"/>
          <w:highlight w:val="none"/>
        </w:rPr>
      </w:pPr>
    </w:p>
    <w:p w14:paraId="6FD01B63">
      <w:pPr>
        <w:pStyle w:val="14"/>
        <w:ind w:firstLine="0"/>
        <w:rPr>
          <w:rFonts w:hint="eastAsia" w:ascii="宋体" w:hAnsi="宋体" w:cs="宋体"/>
          <w:color w:val="auto"/>
          <w:highlight w:val="none"/>
        </w:rPr>
      </w:pPr>
    </w:p>
    <w:p w14:paraId="469A988D">
      <w:pPr>
        <w:pStyle w:val="14"/>
        <w:ind w:firstLine="0"/>
        <w:rPr>
          <w:rFonts w:hint="eastAsia" w:ascii="宋体" w:hAnsi="宋体" w:cs="宋体"/>
          <w:color w:val="auto"/>
          <w:highlight w:val="none"/>
        </w:rPr>
      </w:pPr>
    </w:p>
    <w:p w14:paraId="36D7A0C1">
      <w:pPr>
        <w:pStyle w:val="14"/>
        <w:ind w:firstLine="0"/>
        <w:rPr>
          <w:rFonts w:hint="eastAsia" w:ascii="宋体" w:hAnsi="宋体" w:cs="宋体"/>
          <w:color w:val="auto"/>
          <w:highlight w:val="none"/>
        </w:rPr>
      </w:pPr>
    </w:p>
    <w:p w14:paraId="2FF97934">
      <w:pPr>
        <w:pStyle w:val="14"/>
        <w:ind w:firstLine="0"/>
        <w:rPr>
          <w:rFonts w:hint="eastAsia" w:ascii="宋体" w:hAnsi="宋体" w:cs="宋体"/>
          <w:color w:val="auto"/>
          <w:highlight w:val="none"/>
        </w:rPr>
      </w:pPr>
    </w:p>
    <w:p w14:paraId="463BCAE7">
      <w:pPr>
        <w:pStyle w:val="14"/>
        <w:ind w:firstLine="0"/>
        <w:rPr>
          <w:rFonts w:hint="eastAsia" w:ascii="宋体" w:hAnsi="宋体" w:cs="宋体"/>
          <w:color w:val="auto"/>
          <w:highlight w:val="none"/>
        </w:rPr>
      </w:pPr>
    </w:p>
    <w:p w14:paraId="4DEF2677">
      <w:pPr>
        <w:keepNext/>
        <w:keepLines/>
        <w:spacing w:line="360" w:lineRule="auto"/>
        <w:jc w:val="center"/>
        <w:outlineLvl w:val="1"/>
        <w:rPr>
          <w:rFonts w:hint="eastAsia" w:ascii="宋体" w:hAnsi="宋体" w:cs="宋体"/>
          <w:color w:val="auto"/>
          <w:highlight w:val="none"/>
        </w:rPr>
      </w:pPr>
      <w:bookmarkStart w:id="289" w:name="_Toc6192"/>
      <w:r>
        <w:rPr>
          <w:rFonts w:hint="eastAsia" w:ascii="宋体" w:hAnsi="宋体" w:cs="宋体"/>
          <w:b/>
          <w:bCs/>
          <w:color w:val="auto"/>
          <w:sz w:val="32"/>
          <w:szCs w:val="32"/>
          <w:highlight w:val="none"/>
        </w:rPr>
        <w:t>四、联合体协议书</w:t>
      </w:r>
      <w:bookmarkEnd w:id="278"/>
      <w:bookmarkEnd w:id="280"/>
      <w:bookmarkEnd w:id="281"/>
      <w:bookmarkEnd w:id="282"/>
      <w:bookmarkEnd w:id="283"/>
      <w:bookmarkEnd w:id="284"/>
      <w:bookmarkEnd w:id="285"/>
      <w:bookmarkEnd w:id="286"/>
      <w:bookmarkEnd w:id="287"/>
      <w:bookmarkEnd w:id="288"/>
      <w:r>
        <w:rPr>
          <w:rFonts w:hint="eastAsia" w:ascii="宋体" w:hAnsi="宋体" w:cs="宋体"/>
          <w:b/>
          <w:bCs/>
          <w:color w:val="auto"/>
          <w:sz w:val="32"/>
          <w:szCs w:val="32"/>
          <w:highlight w:val="none"/>
        </w:rPr>
        <w:t>（参考格式）</w:t>
      </w:r>
      <w:bookmarkEnd w:id="289"/>
    </w:p>
    <w:p w14:paraId="1190A0AA">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（详见招标公告附件二）</w:t>
      </w:r>
    </w:p>
    <w:p w14:paraId="6F5D7B71">
      <w:pPr>
        <w:spacing w:line="360" w:lineRule="auto"/>
        <w:ind w:left="559"/>
        <w:rPr>
          <w:rFonts w:hint="eastAsia" w:ascii="宋体" w:hAnsi="宋体" w:cs="宋体"/>
          <w:color w:val="auto"/>
          <w:highlight w:val="none"/>
        </w:rPr>
      </w:pPr>
      <w:r>
        <w:rPr>
          <w:rFonts w:hint="eastAsia" w:ascii="宋体" w:hAnsi="宋体" w:cs="宋体"/>
          <w:color w:val="auto"/>
          <w:kern w:val="0"/>
          <w:sz w:val="22"/>
          <w:szCs w:val="21"/>
          <w:highlight w:val="none"/>
          <w:lang w:bidi="ar"/>
        </w:rPr>
        <w:br w:type="page"/>
      </w:r>
    </w:p>
    <w:p w14:paraId="4F9EA26B">
      <w:pPr>
        <w:widowControl/>
        <w:ind w:firstLine="2891" w:firstLineChars="900"/>
        <w:jc w:val="left"/>
        <w:rPr>
          <w:rFonts w:hint="eastAsia" w:ascii="宋体" w:hAnsi="宋体" w:cs="宋体"/>
          <w:color w:val="auto"/>
          <w:sz w:val="32"/>
          <w:highlight w:val="none"/>
        </w:rPr>
      </w:pPr>
      <w:bookmarkStart w:id="290" w:name="_Toc38224864"/>
      <w:bookmarkStart w:id="291" w:name="_Toc8045"/>
      <w:bookmarkStart w:id="292" w:name="_Toc525063286"/>
      <w:bookmarkStart w:id="293" w:name="_Toc3553"/>
      <w:bookmarkStart w:id="294" w:name="_Toc9821"/>
      <w:bookmarkStart w:id="295" w:name="_Toc20312"/>
      <w:bookmarkStart w:id="296" w:name="_Toc31768"/>
      <w:bookmarkStart w:id="297" w:name="_Toc532367894"/>
      <w:bookmarkStart w:id="298" w:name="_Toc27945"/>
      <w:bookmarkStart w:id="299" w:name="_Toc31952"/>
      <w:r>
        <w:rPr>
          <w:rFonts w:hint="eastAsia" w:ascii="宋体" w:hAnsi="宋体" w:cs="宋体"/>
          <w:b/>
          <w:bCs/>
          <w:color w:val="auto"/>
          <w:sz w:val="32"/>
          <w:szCs w:val="32"/>
          <w:highlight w:val="none"/>
        </w:rPr>
        <w:t>五、</w:t>
      </w:r>
      <w:bookmarkStart w:id="300" w:name="_Toc369531702"/>
      <w:bookmarkStart w:id="301" w:name="_Toc13469"/>
      <w:bookmarkStart w:id="302" w:name="_Toc152045792"/>
      <w:bookmarkStart w:id="303" w:name="_Toc144974861"/>
      <w:bookmarkStart w:id="304" w:name="_Toc352691666"/>
      <w:bookmarkStart w:id="305" w:name="_Toc247527832"/>
      <w:bookmarkStart w:id="306" w:name="_Toc384308381"/>
      <w:bookmarkStart w:id="307" w:name="_Toc152042581"/>
      <w:bookmarkStart w:id="308" w:name="_Toc300835214"/>
      <w:bookmarkStart w:id="309" w:name="_Toc361508757"/>
      <w:bookmarkStart w:id="310" w:name="_Toc247514284"/>
      <w:r>
        <w:rPr>
          <w:rFonts w:hint="eastAsia" w:ascii="宋体" w:hAnsi="宋体" w:cs="宋体"/>
          <w:b/>
          <w:bCs/>
          <w:color w:val="auto"/>
          <w:sz w:val="32"/>
          <w:szCs w:val="32"/>
          <w:highlight w:val="none"/>
        </w:rPr>
        <w:t>投标保证金</w:t>
      </w:r>
      <w:bookmarkEnd w:id="290"/>
      <w:bookmarkEnd w:id="291"/>
      <w:bookmarkEnd w:id="292"/>
      <w:bookmarkEnd w:id="293"/>
      <w:bookmarkEnd w:id="294"/>
      <w:bookmarkEnd w:id="295"/>
      <w:bookmarkEnd w:id="296"/>
      <w:bookmarkEnd w:id="297"/>
      <w:bookmarkEnd w:id="298"/>
      <w:bookmarkEnd w:id="299"/>
    </w:p>
    <w:p w14:paraId="3B461D25">
      <w:pPr>
        <w:spacing w:line="360" w:lineRule="auto"/>
        <w:jc w:val="center"/>
        <w:rPr>
          <w:rFonts w:hint="default" w:ascii="宋体" w:hAnsi="宋体" w:eastAsia="宋体" w:cs="宋体"/>
          <w:color w:val="auto"/>
          <w:sz w:val="22"/>
          <w:highlight w:val="none"/>
          <w:u w:val="none"/>
          <w:lang w:val="en-US" w:eastAsia="zh-CN"/>
        </w:rPr>
        <w:sectPr>
          <w:pgSz w:w="11905" w:h="16838"/>
          <w:pgMar w:top="1440" w:right="1425" w:bottom="1440" w:left="1800" w:header="720" w:footer="720" w:gutter="0"/>
          <w:pgBorders w:offsetFrom="page">
            <w:top w:val="none" w:sz="0" w:space="0"/>
            <w:left w:val="none" w:sz="0" w:space="0"/>
            <w:bottom w:val="none" w:sz="0" w:space="0"/>
            <w:right w:val="none" w:sz="0" w:space="0"/>
          </w:pgBorders>
          <w:cols w:space="720" w:num="1"/>
          <w:docGrid w:linePitch="286" w:charSpace="0"/>
        </w:sectPr>
      </w:pPr>
      <w:r>
        <w:rPr>
          <w:rFonts w:hint="eastAsia" w:ascii="宋体" w:hAnsi="宋体" w:cs="宋体"/>
          <w:color w:val="auto"/>
          <w:sz w:val="22"/>
          <w:highlight w:val="none"/>
          <w:u w:val="none"/>
          <w:lang w:eastAsia="zh-CN"/>
        </w:rPr>
        <w:t>（</w:t>
      </w:r>
      <w:bookmarkEnd w:id="300"/>
      <w:bookmarkEnd w:id="301"/>
      <w:bookmarkEnd w:id="302"/>
      <w:bookmarkEnd w:id="303"/>
      <w:bookmarkEnd w:id="304"/>
      <w:bookmarkEnd w:id="305"/>
      <w:bookmarkEnd w:id="306"/>
      <w:bookmarkEnd w:id="307"/>
      <w:bookmarkEnd w:id="308"/>
      <w:bookmarkEnd w:id="309"/>
      <w:bookmarkEnd w:id="310"/>
      <w:r>
        <w:rPr>
          <w:rFonts w:hint="eastAsia" w:ascii="宋体" w:hAnsi="宋体" w:cs="宋体"/>
          <w:color w:val="auto"/>
          <w:sz w:val="22"/>
          <w:highlight w:val="none"/>
          <w:u w:val="none"/>
          <w:lang w:val="en-US" w:eastAsia="zh-CN"/>
        </w:rPr>
        <w:t>如有，格式自定。）</w:t>
      </w:r>
    </w:p>
    <w:p w14:paraId="31409EC8">
      <w:pPr>
        <w:keepNext/>
        <w:keepLines/>
        <w:spacing w:line="360" w:lineRule="auto"/>
        <w:jc w:val="center"/>
        <w:outlineLvl w:val="1"/>
        <w:rPr>
          <w:rFonts w:hint="eastAsia" w:ascii="宋体" w:hAnsi="宋体" w:cs="宋体"/>
          <w:b/>
          <w:bCs/>
          <w:color w:val="auto"/>
          <w:sz w:val="32"/>
          <w:szCs w:val="32"/>
          <w:highlight w:val="none"/>
        </w:rPr>
      </w:pPr>
      <w:bookmarkStart w:id="311" w:name="_Toc12800"/>
      <w:bookmarkStart w:id="312" w:name="_Toc532367896"/>
      <w:bookmarkStart w:id="313" w:name="_Toc7316"/>
      <w:bookmarkStart w:id="314" w:name="_Toc23762"/>
      <w:bookmarkStart w:id="315" w:name="_Toc29731"/>
      <w:bookmarkStart w:id="316" w:name="_Toc377719916"/>
      <w:bookmarkStart w:id="317" w:name="_Toc32483"/>
      <w:bookmarkStart w:id="318" w:name="_Toc24823"/>
      <w:bookmarkStart w:id="319" w:name="_Toc38224866"/>
      <w:bookmarkStart w:id="320" w:name="_Toc1669"/>
      <w:bookmarkStart w:id="321" w:name="_Toc17600"/>
      <w:bookmarkStart w:id="322" w:name="_Toc21254"/>
      <w:r>
        <w:rPr>
          <w:rFonts w:hint="eastAsia" w:ascii="宋体" w:hAnsi="宋体" w:cs="宋体"/>
          <w:b/>
          <w:bCs/>
          <w:color w:val="auto"/>
          <w:sz w:val="32"/>
          <w:szCs w:val="32"/>
          <w:highlight w:val="none"/>
        </w:rPr>
        <w:t>六、</w:t>
      </w:r>
      <w:bookmarkEnd w:id="311"/>
      <w:bookmarkEnd w:id="312"/>
      <w:bookmarkEnd w:id="313"/>
      <w:bookmarkEnd w:id="314"/>
      <w:bookmarkEnd w:id="315"/>
      <w:bookmarkEnd w:id="316"/>
      <w:bookmarkEnd w:id="317"/>
      <w:bookmarkEnd w:id="318"/>
      <w:r>
        <w:rPr>
          <w:rFonts w:hint="eastAsia" w:ascii="宋体" w:hAnsi="宋体" w:cs="宋体"/>
          <w:b/>
          <w:bCs/>
          <w:color w:val="auto"/>
          <w:sz w:val="32"/>
          <w:szCs w:val="32"/>
          <w:highlight w:val="none"/>
        </w:rPr>
        <w:t>投标人声明</w:t>
      </w:r>
      <w:bookmarkEnd w:id="319"/>
      <w:bookmarkEnd w:id="320"/>
      <w:bookmarkEnd w:id="321"/>
      <w:bookmarkEnd w:id="322"/>
    </w:p>
    <w:p w14:paraId="39043FC0">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（详见招标公告附件一）</w:t>
      </w:r>
    </w:p>
    <w:p w14:paraId="2B259E6F">
      <w:pPr>
        <w:keepNext/>
        <w:keepLines/>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40"/>
          <w:szCs w:val="32"/>
          <w:highlight w:val="none"/>
        </w:rPr>
        <w:br w:type="page"/>
      </w:r>
      <w:bookmarkStart w:id="323" w:name="_Toc38224867"/>
      <w:bookmarkStart w:id="324" w:name="_Toc11405"/>
      <w:bookmarkStart w:id="325" w:name="_Toc9140"/>
      <w:bookmarkStart w:id="326" w:name="_Toc25406"/>
      <w:bookmarkStart w:id="327" w:name="_Toc29747"/>
      <w:bookmarkStart w:id="328" w:name="_Toc377719917"/>
      <w:bookmarkStart w:id="329" w:name="_Toc17488"/>
      <w:bookmarkStart w:id="330" w:name="_Toc532367897"/>
      <w:bookmarkStart w:id="331" w:name="_Toc12738"/>
      <w:bookmarkStart w:id="332" w:name="_Toc18694"/>
      <w:bookmarkStart w:id="333" w:name="_Toc13214"/>
      <w:r>
        <w:rPr>
          <w:rFonts w:hint="eastAsia" w:ascii="宋体" w:hAnsi="宋体" w:cs="宋体"/>
          <w:b/>
          <w:bCs/>
          <w:color w:val="auto"/>
          <w:sz w:val="32"/>
          <w:szCs w:val="32"/>
          <w:highlight w:val="none"/>
        </w:rPr>
        <w:t>七、拟投入本项目的检</w:t>
      </w:r>
      <w:r>
        <w:rPr>
          <w:rFonts w:hint="eastAsia" w:ascii="宋体" w:hAnsi="宋体" w:cs="宋体"/>
          <w:b/>
          <w:bCs/>
          <w:color w:val="auto"/>
          <w:sz w:val="32"/>
          <w:szCs w:val="32"/>
          <w:highlight w:val="none"/>
          <w:lang w:val="en-US" w:eastAsia="zh-CN"/>
        </w:rPr>
        <w:t>验监</w:t>
      </w:r>
      <w:r>
        <w:rPr>
          <w:rFonts w:hint="eastAsia" w:ascii="宋体" w:hAnsi="宋体" w:cs="宋体"/>
          <w:b/>
          <w:bCs/>
          <w:color w:val="auto"/>
          <w:sz w:val="32"/>
          <w:szCs w:val="32"/>
          <w:highlight w:val="none"/>
        </w:rPr>
        <w:t>测人员一览表</w:t>
      </w:r>
      <w:bookmarkEnd w:id="323"/>
      <w:bookmarkEnd w:id="324"/>
      <w:bookmarkEnd w:id="325"/>
    </w:p>
    <w:bookmarkEnd w:id="326"/>
    <w:bookmarkEnd w:id="327"/>
    <w:bookmarkEnd w:id="328"/>
    <w:bookmarkEnd w:id="329"/>
    <w:bookmarkEnd w:id="330"/>
    <w:bookmarkEnd w:id="331"/>
    <w:bookmarkEnd w:id="332"/>
    <w:bookmarkEnd w:id="333"/>
    <w:p w14:paraId="4B46D4B7">
      <w:pPr>
        <w:jc w:val="left"/>
        <w:rPr>
          <w:rFonts w:hint="eastAsia" w:ascii="宋体" w:hAnsi="宋体" w:cs="宋体"/>
          <w:color w:val="auto"/>
          <w:szCs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12"/>
        <w:gridCol w:w="853"/>
        <w:gridCol w:w="1420"/>
        <w:gridCol w:w="1130"/>
        <w:gridCol w:w="1281"/>
        <w:gridCol w:w="1092"/>
      </w:tblGrid>
      <w:tr w14:paraId="67BC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815" w:type="dxa"/>
            <w:noWrap w:val="0"/>
            <w:vAlign w:val="center"/>
          </w:tcPr>
          <w:p w14:paraId="770662B3">
            <w:pPr>
              <w:snapToGrid w:val="0"/>
              <w:spacing w:line="240" w:lineRule="atLeast"/>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1212" w:type="dxa"/>
            <w:noWrap w:val="0"/>
            <w:vAlign w:val="center"/>
          </w:tcPr>
          <w:p w14:paraId="5429A022">
            <w:pPr>
              <w:snapToGrid w:val="0"/>
              <w:spacing w:line="240" w:lineRule="atLeast"/>
              <w:jc w:val="center"/>
              <w:rPr>
                <w:rFonts w:hint="eastAsia" w:ascii="宋体" w:hAnsi="宋体" w:cs="宋体"/>
                <w:color w:val="auto"/>
                <w:sz w:val="22"/>
                <w:highlight w:val="none"/>
              </w:rPr>
            </w:pPr>
            <w:r>
              <w:rPr>
                <w:rFonts w:hint="eastAsia" w:ascii="宋体" w:hAnsi="宋体" w:cs="宋体"/>
                <w:color w:val="auto"/>
                <w:sz w:val="22"/>
                <w:highlight w:val="none"/>
              </w:rPr>
              <w:t>姓名</w:t>
            </w:r>
          </w:p>
        </w:tc>
        <w:tc>
          <w:tcPr>
            <w:tcW w:w="853" w:type="dxa"/>
            <w:noWrap w:val="0"/>
            <w:vAlign w:val="center"/>
          </w:tcPr>
          <w:p w14:paraId="7085E712">
            <w:pPr>
              <w:snapToGrid w:val="0"/>
              <w:spacing w:line="240" w:lineRule="atLeast"/>
              <w:jc w:val="center"/>
              <w:rPr>
                <w:rFonts w:hint="eastAsia" w:ascii="宋体" w:hAnsi="宋体" w:cs="宋体"/>
                <w:color w:val="auto"/>
                <w:sz w:val="22"/>
                <w:highlight w:val="none"/>
              </w:rPr>
            </w:pPr>
            <w:r>
              <w:rPr>
                <w:rFonts w:hint="eastAsia" w:ascii="宋体" w:hAnsi="宋体" w:cs="宋体"/>
                <w:color w:val="auto"/>
                <w:sz w:val="22"/>
                <w:highlight w:val="none"/>
              </w:rPr>
              <w:t>年龄</w:t>
            </w:r>
          </w:p>
        </w:tc>
        <w:tc>
          <w:tcPr>
            <w:tcW w:w="1420" w:type="dxa"/>
            <w:noWrap w:val="0"/>
            <w:vAlign w:val="center"/>
          </w:tcPr>
          <w:p w14:paraId="0FAC91F1">
            <w:pPr>
              <w:snapToGrid w:val="0"/>
              <w:spacing w:line="240" w:lineRule="atLeast"/>
              <w:jc w:val="center"/>
              <w:rPr>
                <w:rFonts w:hint="eastAsia" w:ascii="宋体" w:hAnsi="宋体" w:cs="宋体"/>
                <w:color w:val="auto"/>
                <w:sz w:val="22"/>
                <w:highlight w:val="none"/>
              </w:rPr>
            </w:pPr>
            <w:r>
              <w:rPr>
                <w:rFonts w:hint="eastAsia" w:ascii="宋体" w:hAnsi="宋体" w:cs="宋体"/>
                <w:color w:val="auto"/>
                <w:sz w:val="22"/>
                <w:highlight w:val="none"/>
              </w:rPr>
              <w:t>拟在本项目任职职位</w:t>
            </w:r>
          </w:p>
        </w:tc>
        <w:tc>
          <w:tcPr>
            <w:tcW w:w="1130" w:type="dxa"/>
            <w:noWrap w:val="0"/>
            <w:vAlign w:val="center"/>
          </w:tcPr>
          <w:p w14:paraId="4C1A8082">
            <w:pPr>
              <w:snapToGrid w:val="0"/>
              <w:spacing w:line="240" w:lineRule="atLeast"/>
              <w:jc w:val="center"/>
              <w:rPr>
                <w:rFonts w:hint="eastAsia" w:ascii="宋体" w:hAnsi="宋体" w:cs="宋体"/>
                <w:color w:val="auto"/>
                <w:sz w:val="22"/>
                <w:highlight w:val="none"/>
              </w:rPr>
            </w:pPr>
            <w:r>
              <w:rPr>
                <w:rFonts w:hint="eastAsia" w:ascii="宋体" w:hAnsi="宋体" w:cs="宋体"/>
                <w:color w:val="auto"/>
                <w:sz w:val="22"/>
                <w:highlight w:val="none"/>
              </w:rPr>
              <w:t>学历</w:t>
            </w:r>
          </w:p>
        </w:tc>
        <w:tc>
          <w:tcPr>
            <w:tcW w:w="1281" w:type="dxa"/>
            <w:noWrap w:val="0"/>
            <w:vAlign w:val="center"/>
          </w:tcPr>
          <w:p w14:paraId="3DF1D7AB">
            <w:pPr>
              <w:snapToGrid w:val="0"/>
              <w:spacing w:line="240" w:lineRule="atLeast"/>
              <w:jc w:val="center"/>
              <w:rPr>
                <w:rFonts w:hint="eastAsia" w:ascii="宋体" w:hAnsi="宋体" w:cs="宋体"/>
                <w:color w:val="auto"/>
                <w:sz w:val="22"/>
                <w:highlight w:val="none"/>
              </w:rPr>
            </w:pPr>
            <w:r>
              <w:rPr>
                <w:rFonts w:hint="eastAsia" w:ascii="宋体" w:hAnsi="宋体" w:cs="宋体"/>
                <w:color w:val="auto"/>
                <w:sz w:val="22"/>
                <w:highlight w:val="none"/>
              </w:rPr>
              <w:t>职称及专业</w:t>
            </w:r>
          </w:p>
        </w:tc>
        <w:tc>
          <w:tcPr>
            <w:tcW w:w="1092" w:type="dxa"/>
            <w:noWrap w:val="0"/>
            <w:vAlign w:val="center"/>
          </w:tcPr>
          <w:p w14:paraId="7B0E4CAE">
            <w:pPr>
              <w:snapToGrid w:val="0"/>
              <w:spacing w:line="240" w:lineRule="atLeast"/>
              <w:jc w:val="center"/>
              <w:rPr>
                <w:rFonts w:hint="eastAsia" w:ascii="宋体" w:hAnsi="宋体" w:cs="宋体"/>
                <w:color w:val="auto"/>
                <w:sz w:val="22"/>
                <w:highlight w:val="none"/>
              </w:rPr>
            </w:pPr>
            <w:r>
              <w:rPr>
                <w:rFonts w:hint="eastAsia" w:ascii="宋体" w:hAnsi="宋体" w:cs="宋体"/>
                <w:color w:val="auto"/>
                <w:sz w:val="22"/>
                <w:highlight w:val="none"/>
              </w:rPr>
              <w:t>工作年限</w:t>
            </w:r>
          </w:p>
        </w:tc>
      </w:tr>
      <w:tr w14:paraId="1220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72041114">
            <w:pPr>
              <w:jc w:val="center"/>
              <w:rPr>
                <w:rFonts w:hint="eastAsia" w:ascii="宋体" w:hAnsi="宋体" w:cs="宋体"/>
                <w:color w:val="auto"/>
                <w:sz w:val="22"/>
                <w:highlight w:val="none"/>
              </w:rPr>
            </w:pPr>
          </w:p>
        </w:tc>
        <w:tc>
          <w:tcPr>
            <w:tcW w:w="1212" w:type="dxa"/>
            <w:noWrap w:val="0"/>
            <w:vAlign w:val="center"/>
          </w:tcPr>
          <w:p w14:paraId="0F775214">
            <w:pPr>
              <w:jc w:val="center"/>
              <w:rPr>
                <w:rFonts w:hint="eastAsia" w:ascii="宋体" w:hAnsi="宋体" w:cs="宋体"/>
                <w:color w:val="auto"/>
                <w:sz w:val="22"/>
                <w:highlight w:val="none"/>
              </w:rPr>
            </w:pPr>
          </w:p>
        </w:tc>
        <w:tc>
          <w:tcPr>
            <w:tcW w:w="853" w:type="dxa"/>
            <w:noWrap w:val="0"/>
            <w:vAlign w:val="center"/>
          </w:tcPr>
          <w:p w14:paraId="38A274A7">
            <w:pPr>
              <w:jc w:val="center"/>
              <w:rPr>
                <w:rFonts w:hint="eastAsia" w:ascii="宋体" w:hAnsi="宋体" w:cs="宋体"/>
                <w:color w:val="auto"/>
                <w:sz w:val="22"/>
                <w:highlight w:val="none"/>
              </w:rPr>
            </w:pPr>
          </w:p>
        </w:tc>
        <w:tc>
          <w:tcPr>
            <w:tcW w:w="1420" w:type="dxa"/>
            <w:noWrap w:val="0"/>
            <w:vAlign w:val="center"/>
          </w:tcPr>
          <w:p w14:paraId="03989FD8">
            <w:pPr>
              <w:jc w:val="center"/>
              <w:rPr>
                <w:rFonts w:hint="eastAsia" w:ascii="宋体" w:hAnsi="宋体" w:cs="宋体"/>
                <w:color w:val="auto"/>
                <w:sz w:val="22"/>
                <w:highlight w:val="none"/>
              </w:rPr>
            </w:pPr>
          </w:p>
        </w:tc>
        <w:tc>
          <w:tcPr>
            <w:tcW w:w="1130" w:type="dxa"/>
            <w:noWrap w:val="0"/>
            <w:vAlign w:val="center"/>
          </w:tcPr>
          <w:p w14:paraId="7A4E3B47">
            <w:pPr>
              <w:jc w:val="center"/>
              <w:rPr>
                <w:rFonts w:hint="eastAsia" w:ascii="宋体" w:hAnsi="宋体" w:cs="宋体"/>
                <w:color w:val="auto"/>
                <w:sz w:val="22"/>
                <w:highlight w:val="none"/>
              </w:rPr>
            </w:pPr>
          </w:p>
        </w:tc>
        <w:tc>
          <w:tcPr>
            <w:tcW w:w="1281" w:type="dxa"/>
            <w:noWrap w:val="0"/>
            <w:vAlign w:val="center"/>
          </w:tcPr>
          <w:p w14:paraId="4D1F8B37">
            <w:pPr>
              <w:jc w:val="center"/>
              <w:rPr>
                <w:rFonts w:hint="eastAsia" w:ascii="宋体" w:hAnsi="宋体" w:cs="宋体"/>
                <w:color w:val="auto"/>
                <w:sz w:val="22"/>
                <w:highlight w:val="none"/>
              </w:rPr>
            </w:pPr>
          </w:p>
        </w:tc>
        <w:tc>
          <w:tcPr>
            <w:tcW w:w="1092" w:type="dxa"/>
            <w:noWrap w:val="0"/>
            <w:vAlign w:val="center"/>
          </w:tcPr>
          <w:p w14:paraId="08FD08DA">
            <w:pPr>
              <w:jc w:val="center"/>
              <w:rPr>
                <w:rFonts w:hint="eastAsia" w:ascii="宋体" w:hAnsi="宋体" w:cs="宋体"/>
                <w:color w:val="auto"/>
                <w:sz w:val="22"/>
                <w:highlight w:val="none"/>
              </w:rPr>
            </w:pPr>
          </w:p>
        </w:tc>
      </w:tr>
      <w:tr w14:paraId="5C80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7C3A8F3E">
            <w:pPr>
              <w:jc w:val="center"/>
              <w:rPr>
                <w:rFonts w:hint="eastAsia" w:ascii="宋体" w:hAnsi="宋体" w:cs="宋体"/>
                <w:color w:val="auto"/>
                <w:sz w:val="22"/>
                <w:highlight w:val="none"/>
              </w:rPr>
            </w:pPr>
          </w:p>
        </w:tc>
        <w:tc>
          <w:tcPr>
            <w:tcW w:w="1212" w:type="dxa"/>
            <w:noWrap w:val="0"/>
            <w:vAlign w:val="center"/>
          </w:tcPr>
          <w:p w14:paraId="18C16BFA">
            <w:pPr>
              <w:jc w:val="center"/>
              <w:rPr>
                <w:rFonts w:hint="eastAsia" w:ascii="宋体" w:hAnsi="宋体" w:cs="宋体"/>
                <w:color w:val="auto"/>
                <w:sz w:val="22"/>
                <w:highlight w:val="none"/>
              </w:rPr>
            </w:pPr>
          </w:p>
        </w:tc>
        <w:tc>
          <w:tcPr>
            <w:tcW w:w="853" w:type="dxa"/>
            <w:noWrap w:val="0"/>
            <w:vAlign w:val="center"/>
          </w:tcPr>
          <w:p w14:paraId="49E9288D">
            <w:pPr>
              <w:jc w:val="center"/>
              <w:rPr>
                <w:rFonts w:hint="eastAsia" w:ascii="宋体" w:hAnsi="宋体" w:cs="宋体"/>
                <w:color w:val="auto"/>
                <w:sz w:val="22"/>
                <w:highlight w:val="none"/>
              </w:rPr>
            </w:pPr>
          </w:p>
        </w:tc>
        <w:tc>
          <w:tcPr>
            <w:tcW w:w="1420" w:type="dxa"/>
            <w:noWrap w:val="0"/>
            <w:vAlign w:val="center"/>
          </w:tcPr>
          <w:p w14:paraId="7CF426AD">
            <w:pPr>
              <w:jc w:val="center"/>
              <w:rPr>
                <w:rFonts w:hint="eastAsia" w:ascii="宋体" w:hAnsi="宋体" w:cs="宋体"/>
                <w:color w:val="auto"/>
                <w:sz w:val="22"/>
                <w:highlight w:val="none"/>
              </w:rPr>
            </w:pPr>
          </w:p>
        </w:tc>
        <w:tc>
          <w:tcPr>
            <w:tcW w:w="1130" w:type="dxa"/>
            <w:noWrap w:val="0"/>
            <w:vAlign w:val="center"/>
          </w:tcPr>
          <w:p w14:paraId="223AAB39">
            <w:pPr>
              <w:jc w:val="center"/>
              <w:rPr>
                <w:rFonts w:hint="eastAsia" w:ascii="宋体" w:hAnsi="宋体" w:cs="宋体"/>
                <w:color w:val="auto"/>
                <w:sz w:val="22"/>
                <w:highlight w:val="none"/>
              </w:rPr>
            </w:pPr>
          </w:p>
        </w:tc>
        <w:tc>
          <w:tcPr>
            <w:tcW w:w="1281" w:type="dxa"/>
            <w:noWrap w:val="0"/>
            <w:vAlign w:val="center"/>
          </w:tcPr>
          <w:p w14:paraId="6E7788C9">
            <w:pPr>
              <w:jc w:val="center"/>
              <w:rPr>
                <w:rFonts w:hint="eastAsia" w:ascii="宋体" w:hAnsi="宋体" w:cs="宋体"/>
                <w:color w:val="auto"/>
                <w:sz w:val="22"/>
                <w:highlight w:val="none"/>
              </w:rPr>
            </w:pPr>
          </w:p>
        </w:tc>
        <w:tc>
          <w:tcPr>
            <w:tcW w:w="1092" w:type="dxa"/>
            <w:noWrap w:val="0"/>
            <w:vAlign w:val="center"/>
          </w:tcPr>
          <w:p w14:paraId="75DC3B39">
            <w:pPr>
              <w:jc w:val="center"/>
              <w:rPr>
                <w:rFonts w:hint="eastAsia" w:ascii="宋体" w:hAnsi="宋体" w:cs="宋体"/>
                <w:color w:val="auto"/>
                <w:sz w:val="22"/>
                <w:highlight w:val="none"/>
              </w:rPr>
            </w:pPr>
          </w:p>
        </w:tc>
      </w:tr>
      <w:tr w14:paraId="23E1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003A15A8">
            <w:pPr>
              <w:jc w:val="center"/>
              <w:rPr>
                <w:rFonts w:hint="eastAsia" w:ascii="宋体" w:hAnsi="宋体" w:cs="宋体"/>
                <w:color w:val="auto"/>
                <w:sz w:val="22"/>
                <w:highlight w:val="none"/>
              </w:rPr>
            </w:pPr>
          </w:p>
        </w:tc>
        <w:tc>
          <w:tcPr>
            <w:tcW w:w="1212" w:type="dxa"/>
            <w:noWrap w:val="0"/>
            <w:vAlign w:val="center"/>
          </w:tcPr>
          <w:p w14:paraId="53295C54">
            <w:pPr>
              <w:jc w:val="center"/>
              <w:rPr>
                <w:rFonts w:hint="eastAsia" w:ascii="宋体" w:hAnsi="宋体" w:cs="宋体"/>
                <w:color w:val="auto"/>
                <w:sz w:val="22"/>
                <w:highlight w:val="none"/>
              </w:rPr>
            </w:pPr>
          </w:p>
        </w:tc>
        <w:tc>
          <w:tcPr>
            <w:tcW w:w="853" w:type="dxa"/>
            <w:noWrap w:val="0"/>
            <w:vAlign w:val="center"/>
          </w:tcPr>
          <w:p w14:paraId="02DE044C">
            <w:pPr>
              <w:jc w:val="center"/>
              <w:rPr>
                <w:rFonts w:hint="eastAsia" w:ascii="宋体" w:hAnsi="宋体" w:cs="宋体"/>
                <w:color w:val="auto"/>
                <w:sz w:val="22"/>
                <w:highlight w:val="none"/>
              </w:rPr>
            </w:pPr>
          </w:p>
        </w:tc>
        <w:tc>
          <w:tcPr>
            <w:tcW w:w="1420" w:type="dxa"/>
            <w:noWrap w:val="0"/>
            <w:vAlign w:val="center"/>
          </w:tcPr>
          <w:p w14:paraId="57B248C6">
            <w:pPr>
              <w:jc w:val="center"/>
              <w:rPr>
                <w:rFonts w:hint="eastAsia" w:ascii="宋体" w:hAnsi="宋体" w:cs="宋体"/>
                <w:color w:val="auto"/>
                <w:sz w:val="22"/>
                <w:highlight w:val="none"/>
              </w:rPr>
            </w:pPr>
          </w:p>
        </w:tc>
        <w:tc>
          <w:tcPr>
            <w:tcW w:w="1130" w:type="dxa"/>
            <w:noWrap w:val="0"/>
            <w:vAlign w:val="center"/>
          </w:tcPr>
          <w:p w14:paraId="21B26BEA">
            <w:pPr>
              <w:jc w:val="center"/>
              <w:rPr>
                <w:rFonts w:hint="eastAsia" w:ascii="宋体" w:hAnsi="宋体" w:cs="宋体"/>
                <w:color w:val="auto"/>
                <w:sz w:val="22"/>
                <w:highlight w:val="none"/>
              </w:rPr>
            </w:pPr>
          </w:p>
        </w:tc>
        <w:tc>
          <w:tcPr>
            <w:tcW w:w="1281" w:type="dxa"/>
            <w:noWrap w:val="0"/>
            <w:vAlign w:val="center"/>
          </w:tcPr>
          <w:p w14:paraId="21F4575E">
            <w:pPr>
              <w:jc w:val="center"/>
              <w:rPr>
                <w:rFonts w:hint="eastAsia" w:ascii="宋体" w:hAnsi="宋体" w:cs="宋体"/>
                <w:color w:val="auto"/>
                <w:sz w:val="22"/>
                <w:highlight w:val="none"/>
              </w:rPr>
            </w:pPr>
          </w:p>
        </w:tc>
        <w:tc>
          <w:tcPr>
            <w:tcW w:w="1092" w:type="dxa"/>
            <w:noWrap w:val="0"/>
            <w:vAlign w:val="center"/>
          </w:tcPr>
          <w:p w14:paraId="0A57CB8E">
            <w:pPr>
              <w:jc w:val="center"/>
              <w:rPr>
                <w:rFonts w:hint="eastAsia" w:ascii="宋体" w:hAnsi="宋体" w:cs="宋体"/>
                <w:color w:val="auto"/>
                <w:sz w:val="22"/>
                <w:highlight w:val="none"/>
              </w:rPr>
            </w:pPr>
          </w:p>
        </w:tc>
      </w:tr>
      <w:tr w14:paraId="6C11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57781E75">
            <w:pPr>
              <w:jc w:val="center"/>
              <w:rPr>
                <w:rFonts w:hint="eastAsia" w:ascii="宋体" w:hAnsi="宋体" w:cs="宋体"/>
                <w:color w:val="auto"/>
                <w:sz w:val="22"/>
                <w:highlight w:val="none"/>
              </w:rPr>
            </w:pPr>
          </w:p>
        </w:tc>
        <w:tc>
          <w:tcPr>
            <w:tcW w:w="1212" w:type="dxa"/>
            <w:noWrap w:val="0"/>
            <w:vAlign w:val="center"/>
          </w:tcPr>
          <w:p w14:paraId="1B014B9D">
            <w:pPr>
              <w:jc w:val="center"/>
              <w:rPr>
                <w:rFonts w:hint="eastAsia" w:ascii="宋体" w:hAnsi="宋体" w:cs="宋体"/>
                <w:color w:val="auto"/>
                <w:sz w:val="22"/>
                <w:highlight w:val="none"/>
              </w:rPr>
            </w:pPr>
          </w:p>
        </w:tc>
        <w:tc>
          <w:tcPr>
            <w:tcW w:w="853" w:type="dxa"/>
            <w:noWrap w:val="0"/>
            <w:vAlign w:val="center"/>
          </w:tcPr>
          <w:p w14:paraId="1A3B396A">
            <w:pPr>
              <w:jc w:val="center"/>
              <w:rPr>
                <w:rFonts w:hint="eastAsia" w:ascii="宋体" w:hAnsi="宋体" w:cs="宋体"/>
                <w:color w:val="auto"/>
                <w:sz w:val="22"/>
                <w:highlight w:val="none"/>
              </w:rPr>
            </w:pPr>
          </w:p>
        </w:tc>
        <w:tc>
          <w:tcPr>
            <w:tcW w:w="1420" w:type="dxa"/>
            <w:noWrap w:val="0"/>
            <w:vAlign w:val="center"/>
          </w:tcPr>
          <w:p w14:paraId="4579D18E">
            <w:pPr>
              <w:jc w:val="center"/>
              <w:rPr>
                <w:rFonts w:hint="eastAsia" w:ascii="宋体" w:hAnsi="宋体" w:cs="宋体"/>
                <w:color w:val="auto"/>
                <w:sz w:val="22"/>
                <w:highlight w:val="none"/>
              </w:rPr>
            </w:pPr>
          </w:p>
        </w:tc>
        <w:tc>
          <w:tcPr>
            <w:tcW w:w="1130" w:type="dxa"/>
            <w:noWrap w:val="0"/>
            <w:vAlign w:val="center"/>
          </w:tcPr>
          <w:p w14:paraId="187FA6B3">
            <w:pPr>
              <w:jc w:val="center"/>
              <w:rPr>
                <w:rFonts w:hint="eastAsia" w:ascii="宋体" w:hAnsi="宋体" w:cs="宋体"/>
                <w:color w:val="auto"/>
                <w:sz w:val="22"/>
                <w:highlight w:val="none"/>
              </w:rPr>
            </w:pPr>
          </w:p>
        </w:tc>
        <w:tc>
          <w:tcPr>
            <w:tcW w:w="1281" w:type="dxa"/>
            <w:noWrap w:val="0"/>
            <w:vAlign w:val="center"/>
          </w:tcPr>
          <w:p w14:paraId="0623A75E">
            <w:pPr>
              <w:jc w:val="center"/>
              <w:rPr>
                <w:rFonts w:hint="eastAsia" w:ascii="宋体" w:hAnsi="宋体" w:cs="宋体"/>
                <w:color w:val="auto"/>
                <w:sz w:val="22"/>
                <w:highlight w:val="none"/>
              </w:rPr>
            </w:pPr>
          </w:p>
        </w:tc>
        <w:tc>
          <w:tcPr>
            <w:tcW w:w="1092" w:type="dxa"/>
            <w:noWrap w:val="0"/>
            <w:vAlign w:val="center"/>
          </w:tcPr>
          <w:p w14:paraId="41BFF664">
            <w:pPr>
              <w:jc w:val="center"/>
              <w:rPr>
                <w:rFonts w:hint="eastAsia" w:ascii="宋体" w:hAnsi="宋体" w:cs="宋体"/>
                <w:color w:val="auto"/>
                <w:sz w:val="22"/>
                <w:highlight w:val="none"/>
              </w:rPr>
            </w:pPr>
          </w:p>
        </w:tc>
      </w:tr>
      <w:tr w14:paraId="3407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07C865F6">
            <w:pPr>
              <w:jc w:val="center"/>
              <w:rPr>
                <w:rFonts w:hint="eastAsia" w:ascii="宋体" w:hAnsi="宋体" w:cs="宋体"/>
                <w:color w:val="auto"/>
                <w:sz w:val="22"/>
                <w:highlight w:val="none"/>
              </w:rPr>
            </w:pPr>
          </w:p>
        </w:tc>
        <w:tc>
          <w:tcPr>
            <w:tcW w:w="1212" w:type="dxa"/>
            <w:noWrap w:val="0"/>
            <w:vAlign w:val="center"/>
          </w:tcPr>
          <w:p w14:paraId="06CD10FC">
            <w:pPr>
              <w:jc w:val="center"/>
              <w:rPr>
                <w:rFonts w:hint="eastAsia" w:ascii="宋体" w:hAnsi="宋体" w:cs="宋体"/>
                <w:color w:val="auto"/>
                <w:sz w:val="22"/>
                <w:highlight w:val="none"/>
              </w:rPr>
            </w:pPr>
          </w:p>
        </w:tc>
        <w:tc>
          <w:tcPr>
            <w:tcW w:w="853" w:type="dxa"/>
            <w:noWrap w:val="0"/>
            <w:vAlign w:val="center"/>
          </w:tcPr>
          <w:p w14:paraId="7972B9EC">
            <w:pPr>
              <w:jc w:val="center"/>
              <w:rPr>
                <w:rFonts w:hint="eastAsia" w:ascii="宋体" w:hAnsi="宋体" w:cs="宋体"/>
                <w:color w:val="auto"/>
                <w:sz w:val="22"/>
                <w:highlight w:val="none"/>
              </w:rPr>
            </w:pPr>
          </w:p>
        </w:tc>
        <w:tc>
          <w:tcPr>
            <w:tcW w:w="1420" w:type="dxa"/>
            <w:noWrap w:val="0"/>
            <w:vAlign w:val="center"/>
          </w:tcPr>
          <w:p w14:paraId="635D1331">
            <w:pPr>
              <w:jc w:val="center"/>
              <w:rPr>
                <w:rFonts w:hint="eastAsia" w:ascii="宋体" w:hAnsi="宋体" w:cs="宋体"/>
                <w:color w:val="auto"/>
                <w:sz w:val="22"/>
                <w:highlight w:val="none"/>
              </w:rPr>
            </w:pPr>
          </w:p>
        </w:tc>
        <w:tc>
          <w:tcPr>
            <w:tcW w:w="1130" w:type="dxa"/>
            <w:noWrap w:val="0"/>
            <w:vAlign w:val="center"/>
          </w:tcPr>
          <w:p w14:paraId="1C7A0F90">
            <w:pPr>
              <w:jc w:val="center"/>
              <w:rPr>
                <w:rFonts w:hint="eastAsia" w:ascii="宋体" w:hAnsi="宋体" w:cs="宋体"/>
                <w:color w:val="auto"/>
                <w:sz w:val="22"/>
                <w:highlight w:val="none"/>
              </w:rPr>
            </w:pPr>
          </w:p>
        </w:tc>
        <w:tc>
          <w:tcPr>
            <w:tcW w:w="1281" w:type="dxa"/>
            <w:noWrap w:val="0"/>
            <w:vAlign w:val="center"/>
          </w:tcPr>
          <w:p w14:paraId="287AC925">
            <w:pPr>
              <w:jc w:val="center"/>
              <w:rPr>
                <w:rFonts w:hint="eastAsia" w:ascii="宋体" w:hAnsi="宋体" w:cs="宋体"/>
                <w:color w:val="auto"/>
                <w:sz w:val="22"/>
                <w:highlight w:val="none"/>
              </w:rPr>
            </w:pPr>
          </w:p>
        </w:tc>
        <w:tc>
          <w:tcPr>
            <w:tcW w:w="1092" w:type="dxa"/>
            <w:noWrap w:val="0"/>
            <w:vAlign w:val="center"/>
          </w:tcPr>
          <w:p w14:paraId="6F578D13">
            <w:pPr>
              <w:jc w:val="center"/>
              <w:rPr>
                <w:rFonts w:hint="eastAsia" w:ascii="宋体" w:hAnsi="宋体" w:cs="宋体"/>
                <w:color w:val="auto"/>
                <w:sz w:val="22"/>
                <w:highlight w:val="none"/>
              </w:rPr>
            </w:pPr>
          </w:p>
        </w:tc>
      </w:tr>
      <w:tr w14:paraId="41A8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4D0097D4">
            <w:pPr>
              <w:jc w:val="center"/>
              <w:rPr>
                <w:rFonts w:hint="eastAsia" w:ascii="宋体" w:hAnsi="宋体" w:cs="宋体"/>
                <w:color w:val="auto"/>
                <w:sz w:val="22"/>
                <w:highlight w:val="none"/>
              </w:rPr>
            </w:pPr>
          </w:p>
        </w:tc>
        <w:tc>
          <w:tcPr>
            <w:tcW w:w="1212" w:type="dxa"/>
            <w:noWrap w:val="0"/>
            <w:vAlign w:val="center"/>
          </w:tcPr>
          <w:p w14:paraId="1F873B43">
            <w:pPr>
              <w:jc w:val="center"/>
              <w:rPr>
                <w:rFonts w:hint="eastAsia" w:ascii="宋体" w:hAnsi="宋体" w:cs="宋体"/>
                <w:color w:val="auto"/>
                <w:sz w:val="22"/>
                <w:highlight w:val="none"/>
              </w:rPr>
            </w:pPr>
          </w:p>
        </w:tc>
        <w:tc>
          <w:tcPr>
            <w:tcW w:w="853" w:type="dxa"/>
            <w:noWrap w:val="0"/>
            <w:vAlign w:val="center"/>
          </w:tcPr>
          <w:p w14:paraId="422B4A48">
            <w:pPr>
              <w:jc w:val="center"/>
              <w:rPr>
                <w:rFonts w:hint="eastAsia" w:ascii="宋体" w:hAnsi="宋体" w:cs="宋体"/>
                <w:color w:val="auto"/>
                <w:sz w:val="22"/>
                <w:highlight w:val="none"/>
              </w:rPr>
            </w:pPr>
          </w:p>
        </w:tc>
        <w:tc>
          <w:tcPr>
            <w:tcW w:w="1420" w:type="dxa"/>
            <w:noWrap w:val="0"/>
            <w:vAlign w:val="center"/>
          </w:tcPr>
          <w:p w14:paraId="4B5233E2">
            <w:pPr>
              <w:jc w:val="center"/>
              <w:rPr>
                <w:rFonts w:hint="eastAsia" w:ascii="宋体" w:hAnsi="宋体" w:cs="宋体"/>
                <w:color w:val="auto"/>
                <w:sz w:val="22"/>
                <w:highlight w:val="none"/>
              </w:rPr>
            </w:pPr>
          </w:p>
        </w:tc>
        <w:tc>
          <w:tcPr>
            <w:tcW w:w="1130" w:type="dxa"/>
            <w:noWrap w:val="0"/>
            <w:vAlign w:val="center"/>
          </w:tcPr>
          <w:p w14:paraId="33E5E952">
            <w:pPr>
              <w:jc w:val="center"/>
              <w:rPr>
                <w:rFonts w:hint="eastAsia" w:ascii="宋体" w:hAnsi="宋体" w:cs="宋体"/>
                <w:color w:val="auto"/>
                <w:sz w:val="22"/>
                <w:highlight w:val="none"/>
              </w:rPr>
            </w:pPr>
          </w:p>
        </w:tc>
        <w:tc>
          <w:tcPr>
            <w:tcW w:w="1281" w:type="dxa"/>
            <w:noWrap w:val="0"/>
            <w:vAlign w:val="center"/>
          </w:tcPr>
          <w:p w14:paraId="6192F4A1">
            <w:pPr>
              <w:jc w:val="center"/>
              <w:rPr>
                <w:rFonts w:hint="eastAsia" w:ascii="宋体" w:hAnsi="宋体" w:cs="宋体"/>
                <w:color w:val="auto"/>
                <w:sz w:val="22"/>
                <w:highlight w:val="none"/>
              </w:rPr>
            </w:pPr>
          </w:p>
        </w:tc>
        <w:tc>
          <w:tcPr>
            <w:tcW w:w="1092" w:type="dxa"/>
            <w:noWrap w:val="0"/>
            <w:vAlign w:val="center"/>
          </w:tcPr>
          <w:p w14:paraId="3CC8539B">
            <w:pPr>
              <w:jc w:val="center"/>
              <w:rPr>
                <w:rFonts w:hint="eastAsia" w:ascii="宋体" w:hAnsi="宋体" w:cs="宋体"/>
                <w:color w:val="auto"/>
                <w:sz w:val="22"/>
                <w:highlight w:val="none"/>
              </w:rPr>
            </w:pPr>
          </w:p>
        </w:tc>
      </w:tr>
      <w:tr w14:paraId="431C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5D511D5F">
            <w:pPr>
              <w:jc w:val="center"/>
              <w:rPr>
                <w:rFonts w:hint="eastAsia" w:ascii="宋体" w:hAnsi="宋体" w:cs="宋体"/>
                <w:color w:val="auto"/>
                <w:sz w:val="22"/>
                <w:highlight w:val="none"/>
              </w:rPr>
            </w:pPr>
          </w:p>
        </w:tc>
        <w:tc>
          <w:tcPr>
            <w:tcW w:w="1212" w:type="dxa"/>
            <w:noWrap w:val="0"/>
            <w:vAlign w:val="center"/>
          </w:tcPr>
          <w:p w14:paraId="352C4CCB">
            <w:pPr>
              <w:jc w:val="center"/>
              <w:rPr>
                <w:rFonts w:hint="eastAsia" w:ascii="宋体" w:hAnsi="宋体" w:cs="宋体"/>
                <w:color w:val="auto"/>
                <w:sz w:val="22"/>
                <w:highlight w:val="none"/>
              </w:rPr>
            </w:pPr>
          </w:p>
        </w:tc>
        <w:tc>
          <w:tcPr>
            <w:tcW w:w="853" w:type="dxa"/>
            <w:noWrap w:val="0"/>
            <w:vAlign w:val="center"/>
          </w:tcPr>
          <w:p w14:paraId="0956A7F5">
            <w:pPr>
              <w:jc w:val="center"/>
              <w:rPr>
                <w:rFonts w:hint="eastAsia" w:ascii="宋体" w:hAnsi="宋体" w:cs="宋体"/>
                <w:color w:val="auto"/>
                <w:sz w:val="22"/>
                <w:highlight w:val="none"/>
              </w:rPr>
            </w:pPr>
          </w:p>
        </w:tc>
        <w:tc>
          <w:tcPr>
            <w:tcW w:w="1420" w:type="dxa"/>
            <w:noWrap w:val="0"/>
            <w:vAlign w:val="center"/>
          </w:tcPr>
          <w:p w14:paraId="3B7C823D">
            <w:pPr>
              <w:jc w:val="center"/>
              <w:rPr>
                <w:rFonts w:hint="eastAsia" w:ascii="宋体" w:hAnsi="宋体" w:cs="宋体"/>
                <w:color w:val="auto"/>
                <w:sz w:val="22"/>
                <w:highlight w:val="none"/>
              </w:rPr>
            </w:pPr>
          </w:p>
        </w:tc>
        <w:tc>
          <w:tcPr>
            <w:tcW w:w="1130" w:type="dxa"/>
            <w:noWrap w:val="0"/>
            <w:vAlign w:val="center"/>
          </w:tcPr>
          <w:p w14:paraId="2BA14014">
            <w:pPr>
              <w:jc w:val="center"/>
              <w:rPr>
                <w:rFonts w:hint="eastAsia" w:ascii="宋体" w:hAnsi="宋体" w:cs="宋体"/>
                <w:color w:val="auto"/>
                <w:sz w:val="22"/>
                <w:highlight w:val="none"/>
              </w:rPr>
            </w:pPr>
          </w:p>
        </w:tc>
        <w:tc>
          <w:tcPr>
            <w:tcW w:w="1281" w:type="dxa"/>
            <w:noWrap w:val="0"/>
            <w:vAlign w:val="center"/>
          </w:tcPr>
          <w:p w14:paraId="23537B83">
            <w:pPr>
              <w:jc w:val="center"/>
              <w:rPr>
                <w:rFonts w:hint="eastAsia" w:ascii="宋体" w:hAnsi="宋体" w:cs="宋体"/>
                <w:color w:val="auto"/>
                <w:sz w:val="22"/>
                <w:highlight w:val="none"/>
              </w:rPr>
            </w:pPr>
          </w:p>
        </w:tc>
        <w:tc>
          <w:tcPr>
            <w:tcW w:w="1092" w:type="dxa"/>
            <w:noWrap w:val="0"/>
            <w:vAlign w:val="center"/>
          </w:tcPr>
          <w:p w14:paraId="709EDF13">
            <w:pPr>
              <w:jc w:val="center"/>
              <w:rPr>
                <w:rFonts w:hint="eastAsia" w:ascii="宋体" w:hAnsi="宋体" w:cs="宋体"/>
                <w:color w:val="auto"/>
                <w:sz w:val="22"/>
                <w:highlight w:val="none"/>
              </w:rPr>
            </w:pPr>
          </w:p>
        </w:tc>
      </w:tr>
      <w:tr w14:paraId="0EBA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6A0A38C1">
            <w:pPr>
              <w:jc w:val="center"/>
              <w:rPr>
                <w:rFonts w:hint="eastAsia" w:ascii="宋体" w:hAnsi="宋体" w:cs="宋体"/>
                <w:color w:val="auto"/>
                <w:sz w:val="22"/>
                <w:highlight w:val="none"/>
              </w:rPr>
            </w:pPr>
          </w:p>
        </w:tc>
        <w:tc>
          <w:tcPr>
            <w:tcW w:w="1212" w:type="dxa"/>
            <w:noWrap w:val="0"/>
            <w:vAlign w:val="center"/>
          </w:tcPr>
          <w:p w14:paraId="270AC755">
            <w:pPr>
              <w:jc w:val="center"/>
              <w:rPr>
                <w:rFonts w:hint="eastAsia" w:ascii="宋体" w:hAnsi="宋体" w:cs="宋体"/>
                <w:color w:val="auto"/>
                <w:sz w:val="22"/>
                <w:highlight w:val="none"/>
              </w:rPr>
            </w:pPr>
          </w:p>
        </w:tc>
        <w:tc>
          <w:tcPr>
            <w:tcW w:w="853" w:type="dxa"/>
            <w:noWrap w:val="0"/>
            <w:vAlign w:val="center"/>
          </w:tcPr>
          <w:p w14:paraId="4C09E5A7">
            <w:pPr>
              <w:jc w:val="center"/>
              <w:rPr>
                <w:rFonts w:hint="eastAsia" w:ascii="宋体" w:hAnsi="宋体" w:cs="宋体"/>
                <w:color w:val="auto"/>
                <w:sz w:val="22"/>
                <w:highlight w:val="none"/>
              </w:rPr>
            </w:pPr>
          </w:p>
        </w:tc>
        <w:tc>
          <w:tcPr>
            <w:tcW w:w="1420" w:type="dxa"/>
            <w:noWrap w:val="0"/>
            <w:vAlign w:val="center"/>
          </w:tcPr>
          <w:p w14:paraId="670081A3">
            <w:pPr>
              <w:jc w:val="center"/>
              <w:rPr>
                <w:rFonts w:hint="eastAsia" w:ascii="宋体" w:hAnsi="宋体" w:cs="宋体"/>
                <w:color w:val="auto"/>
                <w:sz w:val="22"/>
                <w:highlight w:val="none"/>
              </w:rPr>
            </w:pPr>
          </w:p>
        </w:tc>
        <w:tc>
          <w:tcPr>
            <w:tcW w:w="1130" w:type="dxa"/>
            <w:noWrap w:val="0"/>
            <w:vAlign w:val="center"/>
          </w:tcPr>
          <w:p w14:paraId="662A8B66">
            <w:pPr>
              <w:jc w:val="center"/>
              <w:rPr>
                <w:rFonts w:hint="eastAsia" w:ascii="宋体" w:hAnsi="宋体" w:cs="宋体"/>
                <w:color w:val="auto"/>
                <w:sz w:val="22"/>
                <w:highlight w:val="none"/>
              </w:rPr>
            </w:pPr>
          </w:p>
        </w:tc>
        <w:tc>
          <w:tcPr>
            <w:tcW w:w="1281" w:type="dxa"/>
            <w:noWrap w:val="0"/>
            <w:vAlign w:val="center"/>
          </w:tcPr>
          <w:p w14:paraId="13A8DDE5">
            <w:pPr>
              <w:jc w:val="center"/>
              <w:rPr>
                <w:rFonts w:hint="eastAsia" w:ascii="宋体" w:hAnsi="宋体" w:cs="宋体"/>
                <w:color w:val="auto"/>
                <w:sz w:val="22"/>
                <w:highlight w:val="none"/>
              </w:rPr>
            </w:pPr>
          </w:p>
        </w:tc>
        <w:tc>
          <w:tcPr>
            <w:tcW w:w="1092" w:type="dxa"/>
            <w:noWrap w:val="0"/>
            <w:vAlign w:val="center"/>
          </w:tcPr>
          <w:p w14:paraId="193203CD">
            <w:pPr>
              <w:jc w:val="center"/>
              <w:rPr>
                <w:rFonts w:hint="eastAsia" w:ascii="宋体" w:hAnsi="宋体" w:cs="宋体"/>
                <w:color w:val="auto"/>
                <w:sz w:val="22"/>
                <w:highlight w:val="none"/>
              </w:rPr>
            </w:pPr>
          </w:p>
        </w:tc>
      </w:tr>
      <w:tr w14:paraId="759A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5CA5A36E">
            <w:pPr>
              <w:jc w:val="center"/>
              <w:rPr>
                <w:rFonts w:hint="eastAsia" w:ascii="宋体" w:hAnsi="宋体" w:cs="宋体"/>
                <w:color w:val="auto"/>
                <w:sz w:val="22"/>
                <w:highlight w:val="none"/>
              </w:rPr>
            </w:pPr>
          </w:p>
        </w:tc>
        <w:tc>
          <w:tcPr>
            <w:tcW w:w="1212" w:type="dxa"/>
            <w:noWrap w:val="0"/>
            <w:vAlign w:val="center"/>
          </w:tcPr>
          <w:p w14:paraId="06888CFC">
            <w:pPr>
              <w:jc w:val="center"/>
              <w:rPr>
                <w:rFonts w:hint="eastAsia" w:ascii="宋体" w:hAnsi="宋体" w:cs="宋体"/>
                <w:color w:val="auto"/>
                <w:sz w:val="22"/>
                <w:highlight w:val="none"/>
              </w:rPr>
            </w:pPr>
          </w:p>
        </w:tc>
        <w:tc>
          <w:tcPr>
            <w:tcW w:w="853" w:type="dxa"/>
            <w:noWrap w:val="0"/>
            <w:vAlign w:val="center"/>
          </w:tcPr>
          <w:p w14:paraId="7D7AF40D">
            <w:pPr>
              <w:jc w:val="center"/>
              <w:rPr>
                <w:rFonts w:hint="eastAsia" w:ascii="宋体" w:hAnsi="宋体" w:cs="宋体"/>
                <w:color w:val="auto"/>
                <w:sz w:val="22"/>
                <w:highlight w:val="none"/>
              </w:rPr>
            </w:pPr>
          </w:p>
        </w:tc>
        <w:tc>
          <w:tcPr>
            <w:tcW w:w="1420" w:type="dxa"/>
            <w:noWrap w:val="0"/>
            <w:vAlign w:val="center"/>
          </w:tcPr>
          <w:p w14:paraId="48C6258B">
            <w:pPr>
              <w:jc w:val="center"/>
              <w:rPr>
                <w:rFonts w:hint="eastAsia" w:ascii="宋体" w:hAnsi="宋体" w:cs="宋体"/>
                <w:color w:val="auto"/>
                <w:sz w:val="22"/>
                <w:highlight w:val="none"/>
              </w:rPr>
            </w:pPr>
          </w:p>
        </w:tc>
        <w:tc>
          <w:tcPr>
            <w:tcW w:w="1130" w:type="dxa"/>
            <w:noWrap w:val="0"/>
            <w:vAlign w:val="center"/>
          </w:tcPr>
          <w:p w14:paraId="5CA0DABD">
            <w:pPr>
              <w:jc w:val="center"/>
              <w:rPr>
                <w:rFonts w:hint="eastAsia" w:ascii="宋体" w:hAnsi="宋体" w:cs="宋体"/>
                <w:color w:val="auto"/>
                <w:sz w:val="22"/>
                <w:highlight w:val="none"/>
              </w:rPr>
            </w:pPr>
          </w:p>
        </w:tc>
        <w:tc>
          <w:tcPr>
            <w:tcW w:w="1281" w:type="dxa"/>
            <w:noWrap w:val="0"/>
            <w:vAlign w:val="center"/>
          </w:tcPr>
          <w:p w14:paraId="2E2FCA44">
            <w:pPr>
              <w:jc w:val="center"/>
              <w:rPr>
                <w:rFonts w:hint="eastAsia" w:ascii="宋体" w:hAnsi="宋体" w:cs="宋体"/>
                <w:color w:val="auto"/>
                <w:sz w:val="22"/>
                <w:highlight w:val="none"/>
              </w:rPr>
            </w:pPr>
          </w:p>
        </w:tc>
        <w:tc>
          <w:tcPr>
            <w:tcW w:w="1092" w:type="dxa"/>
            <w:noWrap w:val="0"/>
            <w:vAlign w:val="center"/>
          </w:tcPr>
          <w:p w14:paraId="2C0D37D7">
            <w:pPr>
              <w:jc w:val="center"/>
              <w:rPr>
                <w:rFonts w:hint="eastAsia" w:ascii="宋体" w:hAnsi="宋体" w:cs="宋体"/>
                <w:color w:val="auto"/>
                <w:sz w:val="22"/>
                <w:highlight w:val="none"/>
              </w:rPr>
            </w:pPr>
          </w:p>
        </w:tc>
      </w:tr>
      <w:tr w14:paraId="3D18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7F600FB3">
            <w:pPr>
              <w:jc w:val="center"/>
              <w:rPr>
                <w:rFonts w:hint="eastAsia" w:ascii="宋体" w:hAnsi="宋体" w:cs="宋体"/>
                <w:color w:val="auto"/>
                <w:sz w:val="22"/>
                <w:highlight w:val="none"/>
              </w:rPr>
            </w:pPr>
          </w:p>
        </w:tc>
        <w:tc>
          <w:tcPr>
            <w:tcW w:w="1212" w:type="dxa"/>
            <w:noWrap w:val="0"/>
            <w:vAlign w:val="center"/>
          </w:tcPr>
          <w:p w14:paraId="44234B28">
            <w:pPr>
              <w:jc w:val="center"/>
              <w:rPr>
                <w:rFonts w:hint="eastAsia" w:ascii="宋体" w:hAnsi="宋体" w:cs="宋体"/>
                <w:color w:val="auto"/>
                <w:sz w:val="22"/>
                <w:highlight w:val="none"/>
              </w:rPr>
            </w:pPr>
          </w:p>
        </w:tc>
        <w:tc>
          <w:tcPr>
            <w:tcW w:w="853" w:type="dxa"/>
            <w:noWrap w:val="0"/>
            <w:vAlign w:val="center"/>
          </w:tcPr>
          <w:p w14:paraId="50EBE120">
            <w:pPr>
              <w:jc w:val="center"/>
              <w:rPr>
                <w:rFonts w:hint="eastAsia" w:ascii="宋体" w:hAnsi="宋体" w:cs="宋体"/>
                <w:color w:val="auto"/>
                <w:sz w:val="22"/>
                <w:highlight w:val="none"/>
              </w:rPr>
            </w:pPr>
          </w:p>
        </w:tc>
        <w:tc>
          <w:tcPr>
            <w:tcW w:w="1420" w:type="dxa"/>
            <w:noWrap w:val="0"/>
            <w:vAlign w:val="center"/>
          </w:tcPr>
          <w:p w14:paraId="253D7355">
            <w:pPr>
              <w:jc w:val="center"/>
              <w:rPr>
                <w:rFonts w:hint="eastAsia" w:ascii="宋体" w:hAnsi="宋体" w:cs="宋体"/>
                <w:color w:val="auto"/>
                <w:sz w:val="22"/>
                <w:highlight w:val="none"/>
              </w:rPr>
            </w:pPr>
          </w:p>
        </w:tc>
        <w:tc>
          <w:tcPr>
            <w:tcW w:w="1130" w:type="dxa"/>
            <w:noWrap w:val="0"/>
            <w:vAlign w:val="center"/>
          </w:tcPr>
          <w:p w14:paraId="12093BE5">
            <w:pPr>
              <w:jc w:val="center"/>
              <w:rPr>
                <w:rFonts w:hint="eastAsia" w:ascii="宋体" w:hAnsi="宋体" w:cs="宋体"/>
                <w:color w:val="auto"/>
                <w:sz w:val="22"/>
                <w:highlight w:val="none"/>
              </w:rPr>
            </w:pPr>
          </w:p>
        </w:tc>
        <w:tc>
          <w:tcPr>
            <w:tcW w:w="1281" w:type="dxa"/>
            <w:noWrap w:val="0"/>
            <w:vAlign w:val="center"/>
          </w:tcPr>
          <w:p w14:paraId="327287D7">
            <w:pPr>
              <w:jc w:val="center"/>
              <w:rPr>
                <w:rFonts w:hint="eastAsia" w:ascii="宋体" w:hAnsi="宋体" w:cs="宋体"/>
                <w:color w:val="auto"/>
                <w:sz w:val="22"/>
                <w:highlight w:val="none"/>
              </w:rPr>
            </w:pPr>
          </w:p>
        </w:tc>
        <w:tc>
          <w:tcPr>
            <w:tcW w:w="1092" w:type="dxa"/>
            <w:noWrap w:val="0"/>
            <w:vAlign w:val="center"/>
          </w:tcPr>
          <w:p w14:paraId="419E240C">
            <w:pPr>
              <w:jc w:val="center"/>
              <w:rPr>
                <w:rFonts w:hint="eastAsia" w:ascii="宋体" w:hAnsi="宋体" w:cs="宋体"/>
                <w:color w:val="auto"/>
                <w:sz w:val="22"/>
                <w:highlight w:val="none"/>
              </w:rPr>
            </w:pPr>
          </w:p>
        </w:tc>
      </w:tr>
      <w:tr w14:paraId="6E77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3302A9E7">
            <w:pPr>
              <w:jc w:val="center"/>
              <w:rPr>
                <w:rFonts w:hint="eastAsia" w:ascii="宋体" w:hAnsi="宋体" w:cs="宋体"/>
                <w:color w:val="auto"/>
                <w:sz w:val="22"/>
                <w:highlight w:val="none"/>
              </w:rPr>
            </w:pPr>
          </w:p>
        </w:tc>
        <w:tc>
          <w:tcPr>
            <w:tcW w:w="1212" w:type="dxa"/>
            <w:noWrap w:val="0"/>
            <w:vAlign w:val="center"/>
          </w:tcPr>
          <w:p w14:paraId="08831561">
            <w:pPr>
              <w:jc w:val="center"/>
              <w:rPr>
                <w:rFonts w:hint="eastAsia" w:ascii="宋体" w:hAnsi="宋体" w:cs="宋体"/>
                <w:color w:val="auto"/>
                <w:sz w:val="22"/>
                <w:highlight w:val="none"/>
              </w:rPr>
            </w:pPr>
          </w:p>
        </w:tc>
        <w:tc>
          <w:tcPr>
            <w:tcW w:w="853" w:type="dxa"/>
            <w:noWrap w:val="0"/>
            <w:vAlign w:val="center"/>
          </w:tcPr>
          <w:p w14:paraId="448E66D4">
            <w:pPr>
              <w:jc w:val="center"/>
              <w:rPr>
                <w:rFonts w:hint="eastAsia" w:ascii="宋体" w:hAnsi="宋体" w:cs="宋体"/>
                <w:color w:val="auto"/>
                <w:sz w:val="22"/>
                <w:highlight w:val="none"/>
              </w:rPr>
            </w:pPr>
          </w:p>
        </w:tc>
        <w:tc>
          <w:tcPr>
            <w:tcW w:w="1420" w:type="dxa"/>
            <w:noWrap w:val="0"/>
            <w:vAlign w:val="center"/>
          </w:tcPr>
          <w:p w14:paraId="1DD33B13">
            <w:pPr>
              <w:jc w:val="center"/>
              <w:rPr>
                <w:rFonts w:hint="eastAsia" w:ascii="宋体" w:hAnsi="宋体" w:cs="宋体"/>
                <w:color w:val="auto"/>
                <w:sz w:val="22"/>
                <w:highlight w:val="none"/>
              </w:rPr>
            </w:pPr>
          </w:p>
        </w:tc>
        <w:tc>
          <w:tcPr>
            <w:tcW w:w="1130" w:type="dxa"/>
            <w:noWrap w:val="0"/>
            <w:vAlign w:val="center"/>
          </w:tcPr>
          <w:p w14:paraId="1F9D353E">
            <w:pPr>
              <w:jc w:val="center"/>
              <w:rPr>
                <w:rFonts w:hint="eastAsia" w:ascii="宋体" w:hAnsi="宋体" w:cs="宋体"/>
                <w:color w:val="auto"/>
                <w:sz w:val="22"/>
                <w:highlight w:val="none"/>
              </w:rPr>
            </w:pPr>
          </w:p>
        </w:tc>
        <w:tc>
          <w:tcPr>
            <w:tcW w:w="1281" w:type="dxa"/>
            <w:noWrap w:val="0"/>
            <w:vAlign w:val="center"/>
          </w:tcPr>
          <w:p w14:paraId="1B6B4AA1">
            <w:pPr>
              <w:jc w:val="center"/>
              <w:rPr>
                <w:rFonts w:hint="eastAsia" w:ascii="宋体" w:hAnsi="宋体" w:cs="宋体"/>
                <w:color w:val="auto"/>
                <w:sz w:val="22"/>
                <w:highlight w:val="none"/>
              </w:rPr>
            </w:pPr>
          </w:p>
        </w:tc>
        <w:tc>
          <w:tcPr>
            <w:tcW w:w="1092" w:type="dxa"/>
            <w:noWrap w:val="0"/>
            <w:vAlign w:val="center"/>
          </w:tcPr>
          <w:p w14:paraId="61BDDC04">
            <w:pPr>
              <w:jc w:val="center"/>
              <w:rPr>
                <w:rFonts w:hint="eastAsia" w:ascii="宋体" w:hAnsi="宋体" w:cs="宋体"/>
                <w:color w:val="auto"/>
                <w:sz w:val="22"/>
                <w:highlight w:val="none"/>
              </w:rPr>
            </w:pPr>
          </w:p>
        </w:tc>
      </w:tr>
      <w:tr w14:paraId="5C78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5CFE073A">
            <w:pPr>
              <w:jc w:val="center"/>
              <w:rPr>
                <w:rFonts w:hint="eastAsia" w:ascii="宋体" w:hAnsi="宋体" w:cs="宋体"/>
                <w:color w:val="auto"/>
                <w:sz w:val="22"/>
                <w:highlight w:val="none"/>
              </w:rPr>
            </w:pPr>
          </w:p>
        </w:tc>
        <w:tc>
          <w:tcPr>
            <w:tcW w:w="1212" w:type="dxa"/>
            <w:noWrap w:val="0"/>
            <w:vAlign w:val="center"/>
          </w:tcPr>
          <w:p w14:paraId="3548FA5E">
            <w:pPr>
              <w:jc w:val="center"/>
              <w:rPr>
                <w:rFonts w:hint="eastAsia" w:ascii="宋体" w:hAnsi="宋体" w:cs="宋体"/>
                <w:color w:val="auto"/>
                <w:sz w:val="22"/>
                <w:highlight w:val="none"/>
              </w:rPr>
            </w:pPr>
          </w:p>
        </w:tc>
        <w:tc>
          <w:tcPr>
            <w:tcW w:w="853" w:type="dxa"/>
            <w:noWrap w:val="0"/>
            <w:vAlign w:val="center"/>
          </w:tcPr>
          <w:p w14:paraId="3402A655">
            <w:pPr>
              <w:jc w:val="center"/>
              <w:rPr>
                <w:rFonts w:hint="eastAsia" w:ascii="宋体" w:hAnsi="宋体" w:cs="宋体"/>
                <w:color w:val="auto"/>
                <w:sz w:val="22"/>
                <w:highlight w:val="none"/>
              </w:rPr>
            </w:pPr>
          </w:p>
        </w:tc>
        <w:tc>
          <w:tcPr>
            <w:tcW w:w="1420" w:type="dxa"/>
            <w:noWrap w:val="0"/>
            <w:vAlign w:val="center"/>
          </w:tcPr>
          <w:p w14:paraId="28F6E749">
            <w:pPr>
              <w:jc w:val="center"/>
              <w:rPr>
                <w:rFonts w:hint="eastAsia" w:ascii="宋体" w:hAnsi="宋体" w:cs="宋体"/>
                <w:color w:val="auto"/>
                <w:sz w:val="22"/>
                <w:highlight w:val="none"/>
              </w:rPr>
            </w:pPr>
          </w:p>
        </w:tc>
        <w:tc>
          <w:tcPr>
            <w:tcW w:w="1130" w:type="dxa"/>
            <w:noWrap w:val="0"/>
            <w:vAlign w:val="center"/>
          </w:tcPr>
          <w:p w14:paraId="3D42F3F3">
            <w:pPr>
              <w:jc w:val="center"/>
              <w:rPr>
                <w:rFonts w:hint="eastAsia" w:ascii="宋体" w:hAnsi="宋体" w:cs="宋体"/>
                <w:color w:val="auto"/>
                <w:sz w:val="22"/>
                <w:highlight w:val="none"/>
              </w:rPr>
            </w:pPr>
          </w:p>
        </w:tc>
        <w:tc>
          <w:tcPr>
            <w:tcW w:w="1281" w:type="dxa"/>
            <w:noWrap w:val="0"/>
            <w:vAlign w:val="center"/>
          </w:tcPr>
          <w:p w14:paraId="3DCDB167">
            <w:pPr>
              <w:jc w:val="center"/>
              <w:rPr>
                <w:rFonts w:hint="eastAsia" w:ascii="宋体" w:hAnsi="宋体" w:cs="宋体"/>
                <w:color w:val="auto"/>
                <w:sz w:val="22"/>
                <w:highlight w:val="none"/>
              </w:rPr>
            </w:pPr>
          </w:p>
        </w:tc>
        <w:tc>
          <w:tcPr>
            <w:tcW w:w="1092" w:type="dxa"/>
            <w:noWrap w:val="0"/>
            <w:vAlign w:val="center"/>
          </w:tcPr>
          <w:p w14:paraId="6E09075A">
            <w:pPr>
              <w:jc w:val="center"/>
              <w:rPr>
                <w:rFonts w:hint="eastAsia" w:ascii="宋体" w:hAnsi="宋体" w:cs="宋体"/>
                <w:color w:val="auto"/>
                <w:sz w:val="22"/>
                <w:highlight w:val="none"/>
              </w:rPr>
            </w:pPr>
          </w:p>
        </w:tc>
      </w:tr>
      <w:tr w14:paraId="1E62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5" w:type="dxa"/>
            <w:noWrap w:val="0"/>
            <w:vAlign w:val="center"/>
          </w:tcPr>
          <w:p w14:paraId="7B9E8119">
            <w:pPr>
              <w:jc w:val="center"/>
              <w:rPr>
                <w:rFonts w:hint="eastAsia" w:ascii="宋体" w:hAnsi="宋体" w:cs="宋体"/>
                <w:color w:val="auto"/>
                <w:sz w:val="22"/>
                <w:highlight w:val="none"/>
              </w:rPr>
            </w:pPr>
          </w:p>
        </w:tc>
        <w:tc>
          <w:tcPr>
            <w:tcW w:w="1212" w:type="dxa"/>
            <w:noWrap w:val="0"/>
            <w:vAlign w:val="center"/>
          </w:tcPr>
          <w:p w14:paraId="6273FC27">
            <w:pPr>
              <w:jc w:val="center"/>
              <w:rPr>
                <w:rFonts w:hint="eastAsia" w:ascii="宋体" w:hAnsi="宋体" w:cs="宋体"/>
                <w:color w:val="auto"/>
                <w:sz w:val="22"/>
                <w:highlight w:val="none"/>
              </w:rPr>
            </w:pPr>
          </w:p>
        </w:tc>
        <w:tc>
          <w:tcPr>
            <w:tcW w:w="853" w:type="dxa"/>
            <w:noWrap w:val="0"/>
            <w:vAlign w:val="center"/>
          </w:tcPr>
          <w:p w14:paraId="4B1D021F">
            <w:pPr>
              <w:jc w:val="center"/>
              <w:rPr>
                <w:rFonts w:hint="eastAsia" w:ascii="宋体" w:hAnsi="宋体" w:cs="宋体"/>
                <w:color w:val="auto"/>
                <w:sz w:val="22"/>
                <w:highlight w:val="none"/>
              </w:rPr>
            </w:pPr>
          </w:p>
        </w:tc>
        <w:tc>
          <w:tcPr>
            <w:tcW w:w="1420" w:type="dxa"/>
            <w:noWrap w:val="0"/>
            <w:vAlign w:val="center"/>
          </w:tcPr>
          <w:p w14:paraId="230AADFE">
            <w:pPr>
              <w:jc w:val="center"/>
              <w:rPr>
                <w:rFonts w:hint="eastAsia" w:ascii="宋体" w:hAnsi="宋体" w:cs="宋体"/>
                <w:color w:val="auto"/>
                <w:sz w:val="22"/>
                <w:highlight w:val="none"/>
              </w:rPr>
            </w:pPr>
          </w:p>
        </w:tc>
        <w:tc>
          <w:tcPr>
            <w:tcW w:w="1130" w:type="dxa"/>
            <w:noWrap w:val="0"/>
            <w:vAlign w:val="center"/>
          </w:tcPr>
          <w:p w14:paraId="71188DF0">
            <w:pPr>
              <w:jc w:val="center"/>
              <w:rPr>
                <w:rFonts w:hint="eastAsia" w:ascii="宋体" w:hAnsi="宋体" w:cs="宋体"/>
                <w:color w:val="auto"/>
                <w:sz w:val="22"/>
                <w:highlight w:val="none"/>
              </w:rPr>
            </w:pPr>
          </w:p>
        </w:tc>
        <w:tc>
          <w:tcPr>
            <w:tcW w:w="1281" w:type="dxa"/>
            <w:noWrap w:val="0"/>
            <w:vAlign w:val="center"/>
          </w:tcPr>
          <w:p w14:paraId="0B370EC4">
            <w:pPr>
              <w:jc w:val="center"/>
              <w:rPr>
                <w:rFonts w:hint="eastAsia" w:ascii="宋体" w:hAnsi="宋体" w:cs="宋体"/>
                <w:color w:val="auto"/>
                <w:sz w:val="22"/>
                <w:highlight w:val="none"/>
              </w:rPr>
            </w:pPr>
          </w:p>
        </w:tc>
        <w:tc>
          <w:tcPr>
            <w:tcW w:w="1092" w:type="dxa"/>
            <w:noWrap w:val="0"/>
            <w:vAlign w:val="center"/>
          </w:tcPr>
          <w:p w14:paraId="36F696A2">
            <w:pPr>
              <w:jc w:val="center"/>
              <w:rPr>
                <w:rFonts w:hint="eastAsia" w:ascii="宋体" w:hAnsi="宋体" w:cs="宋体"/>
                <w:color w:val="auto"/>
                <w:sz w:val="22"/>
                <w:highlight w:val="none"/>
              </w:rPr>
            </w:pPr>
          </w:p>
        </w:tc>
      </w:tr>
    </w:tbl>
    <w:p w14:paraId="4A34AB04">
      <w:pPr>
        <w:ind w:firstLine="440" w:firstLineChars="200"/>
        <w:rPr>
          <w:rFonts w:hint="eastAsia" w:ascii="宋体" w:hAnsi="宋体" w:cs="宋体"/>
          <w:color w:val="auto"/>
          <w:sz w:val="22"/>
          <w:highlight w:val="none"/>
        </w:rPr>
      </w:pPr>
    </w:p>
    <w:p w14:paraId="37771185">
      <w:pPr>
        <w:spacing w:line="360" w:lineRule="auto"/>
        <w:rPr>
          <w:rFonts w:hint="eastAsia" w:ascii="宋体" w:hAnsi="宋体" w:cs="宋体"/>
          <w:color w:val="auto"/>
          <w:sz w:val="22"/>
          <w:highlight w:val="none"/>
        </w:rPr>
      </w:pPr>
      <w:r>
        <w:rPr>
          <w:rFonts w:hint="eastAsia" w:ascii="宋体" w:hAnsi="宋体" w:cs="宋体"/>
          <w:color w:val="auto"/>
          <w:sz w:val="22"/>
          <w:highlight w:val="none"/>
        </w:rPr>
        <w:t>注：投标人应根据招标文件的要求在本表后附相关证明材料。</w:t>
      </w:r>
    </w:p>
    <w:p w14:paraId="7765E61B">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（本项不作为资格审查内容，但（如有）需提供，仅作为投标人的评标（综合评分）资料进行考察。表格格式可以根据实际情况调整。）</w:t>
      </w:r>
    </w:p>
    <w:p w14:paraId="1AB80800">
      <w:pPr>
        <w:jc w:val="left"/>
        <w:rPr>
          <w:rFonts w:hint="eastAsia" w:ascii="宋体" w:hAnsi="宋体" w:cs="宋体"/>
          <w:color w:val="auto"/>
          <w:szCs w:val="24"/>
          <w:highlight w:val="none"/>
        </w:rPr>
      </w:pPr>
      <w:r>
        <w:rPr>
          <w:rFonts w:hint="eastAsia" w:ascii="宋体" w:hAnsi="宋体" w:cs="宋体"/>
          <w:color w:val="auto"/>
          <w:highlight w:val="none"/>
        </w:rPr>
        <w:br w:type="page"/>
      </w:r>
    </w:p>
    <w:p w14:paraId="74F667F4">
      <w:pPr>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八、</w:t>
      </w:r>
      <w:bookmarkStart w:id="334" w:name="_Toc27070"/>
      <w:bookmarkStart w:id="335" w:name="_Toc17534"/>
      <w:bookmarkStart w:id="336" w:name="_Toc4156"/>
      <w:bookmarkStart w:id="337" w:name="_Toc16786"/>
      <w:bookmarkStart w:id="338" w:name="_Toc11072"/>
      <w:bookmarkStart w:id="339" w:name="_Toc12140"/>
      <w:r>
        <w:rPr>
          <w:rFonts w:hint="eastAsia" w:ascii="宋体" w:hAnsi="宋体" w:eastAsia="宋体" w:cs="宋体"/>
          <w:b/>
          <w:bCs/>
          <w:color w:val="auto"/>
          <w:sz w:val="32"/>
          <w:szCs w:val="32"/>
          <w:highlight w:val="none"/>
        </w:rPr>
        <w:t>拟投入本项目的检</w:t>
      </w:r>
      <w:r>
        <w:rPr>
          <w:rFonts w:hint="eastAsia" w:ascii="宋体" w:hAnsi="宋体" w:eastAsia="宋体" w:cs="宋体"/>
          <w:b/>
          <w:bCs/>
          <w:color w:val="auto"/>
          <w:sz w:val="32"/>
          <w:szCs w:val="32"/>
          <w:highlight w:val="none"/>
          <w:lang w:val="en-US" w:eastAsia="zh-CN"/>
        </w:rPr>
        <w:t>验监</w:t>
      </w:r>
      <w:r>
        <w:rPr>
          <w:rFonts w:hint="eastAsia" w:ascii="宋体" w:hAnsi="宋体" w:eastAsia="宋体" w:cs="宋体"/>
          <w:b/>
          <w:bCs/>
          <w:color w:val="auto"/>
          <w:sz w:val="32"/>
          <w:szCs w:val="32"/>
          <w:highlight w:val="none"/>
        </w:rPr>
        <w:t>测人员简历表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1086"/>
        <w:gridCol w:w="1571"/>
      </w:tblGrid>
      <w:tr w14:paraId="71733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noWrap w:val="0"/>
            <w:vAlign w:val="center"/>
          </w:tcPr>
          <w:p w14:paraId="014E337E">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姓名</w:t>
            </w:r>
          </w:p>
        </w:tc>
        <w:tc>
          <w:tcPr>
            <w:tcW w:w="1295" w:type="dxa"/>
            <w:noWrap w:val="0"/>
            <w:vAlign w:val="center"/>
          </w:tcPr>
          <w:p w14:paraId="3AB46D3B">
            <w:pPr>
              <w:snapToGrid w:val="0"/>
              <w:spacing w:line="0" w:lineRule="atLeast"/>
              <w:jc w:val="center"/>
              <w:rPr>
                <w:rFonts w:hint="eastAsia" w:ascii="宋体" w:hAnsi="宋体" w:cs="宋体"/>
                <w:color w:val="auto"/>
                <w:sz w:val="22"/>
                <w:highlight w:val="none"/>
              </w:rPr>
            </w:pPr>
          </w:p>
        </w:tc>
        <w:tc>
          <w:tcPr>
            <w:tcW w:w="1044" w:type="dxa"/>
            <w:gridSpan w:val="2"/>
            <w:noWrap w:val="0"/>
            <w:vAlign w:val="center"/>
          </w:tcPr>
          <w:p w14:paraId="196942F5">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年龄</w:t>
            </w:r>
          </w:p>
        </w:tc>
        <w:tc>
          <w:tcPr>
            <w:tcW w:w="1364" w:type="dxa"/>
            <w:gridSpan w:val="2"/>
            <w:noWrap w:val="0"/>
            <w:vAlign w:val="center"/>
          </w:tcPr>
          <w:p w14:paraId="64C165D7">
            <w:pPr>
              <w:snapToGrid w:val="0"/>
              <w:spacing w:line="0" w:lineRule="atLeast"/>
              <w:jc w:val="center"/>
              <w:rPr>
                <w:rFonts w:hint="eastAsia" w:ascii="宋体" w:hAnsi="宋体" w:cs="宋体"/>
                <w:color w:val="auto"/>
                <w:sz w:val="22"/>
                <w:highlight w:val="none"/>
              </w:rPr>
            </w:pPr>
          </w:p>
        </w:tc>
        <w:tc>
          <w:tcPr>
            <w:tcW w:w="2286" w:type="dxa"/>
            <w:gridSpan w:val="2"/>
            <w:noWrap w:val="0"/>
            <w:vAlign w:val="center"/>
          </w:tcPr>
          <w:p w14:paraId="0DAF34AD">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学历</w:t>
            </w:r>
          </w:p>
        </w:tc>
        <w:tc>
          <w:tcPr>
            <w:tcW w:w="1571" w:type="dxa"/>
            <w:noWrap w:val="0"/>
            <w:vAlign w:val="top"/>
          </w:tcPr>
          <w:p w14:paraId="5964FF49">
            <w:pPr>
              <w:snapToGrid w:val="0"/>
              <w:spacing w:line="0" w:lineRule="atLeast"/>
              <w:jc w:val="center"/>
              <w:rPr>
                <w:rFonts w:hint="eastAsia" w:ascii="宋体" w:hAnsi="宋体" w:cs="宋体"/>
                <w:color w:val="auto"/>
                <w:sz w:val="22"/>
                <w:highlight w:val="none"/>
              </w:rPr>
            </w:pPr>
          </w:p>
        </w:tc>
      </w:tr>
      <w:tr w14:paraId="69B58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noWrap w:val="0"/>
            <w:vAlign w:val="center"/>
          </w:tcPr>
          <w:p w14:paraId="77463900">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技术职称</w:t>
            </w:r>
          </w:p>
        </w:tc>
        <w:tc>
          <w:tcPr>
            <w:tcW w:w="1295" w:type="dxa"/>
            <w:noWrap w:val="0"/>
            <w:vAlign w:val="center"/>
          </w:tcPr>
          <w:p w14:paraId="39190EC8">
            <w:pPr>
              <w:snapToGrid w:val="0"/>
              <w:spacing w:line="0" w:lineRule="atLeast"/>
              <w:jc w:val="center"/>
              <w:rPr>
                <w:rFonts w:hint="eastAsia" w:ascii="宋体" w:hAnsi="宋体" w:cs="宋体"/>
                <w:color w:val="auto"/>
                <w:sz w:val="22"/>
                <w:highlight w:val="none"/>
              </w:rPr>
            </w:pPr>
          </w:p>
        </w:tc>
        <w:tc>
          <w:tcPr>
            <w:tcW w:w="1044" w:type="dxa"/>
            <w:gridSpan w:val="2"/>
            <w:noWrap w:val="0"/>
            <w:vAlign w:val="center"/>
          </w:tcPr>
          <w:p w14:paraId="326DB19D">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职务</w:t>
            </w:r>
          </w:p>
        </w:tc>
        <w:tc>
          <w:tcPr>
            <w:tcW w:w="1364" w:type="dxa"/>
            <w:gridSpan w:val="2"/>
            <w:noWrap w:val="0"/>
            <w:vAlign w:val="center"/>
          </w:tcPr>
          <w:p w14:paraId="1F58D460">
            <w:pPr>
              <w:snapToGrid w:val="0"/>
              <w:spacing w:line="0" w:lineRule="atLeast"/>
              <w:jc w:val="center"/>
              <w:rPr>
                <w:rFonts w:hint="eastAsia" w:ascii="宋体" w:hAnsi="宋体" w:cs="宋体"/>
                <w:color w:val="auto"/>
                <w:sz w:val="22"/>
                <w:highlight w:val="none"/>
              </w:rPr>
            </w:pPr>
          </w:p>
        </w:tc>
        <w:tc>
          <w:tcPr>
            <w:tcW w:w="2286" w:type="dxa"/>
            <w:gridSpan w:val="2"/>
            <w:noWrap w:val="0"/>
            <w:vAlign w:val="center"/>
          </w:tcPr>
          <w:p w14:paraId="454D8A3F">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在本项目担任职务</w:t>
            </w:r>
          </w:p>
        </w:tc>
        <w:tc>
          <w:tcPr>
            <w:tcW w:w="1571" w:type="dxa"/>
            <w:noWrap w:val="0"/>
            <w:vAlign w:val="top"/>
          </w:tcPr>
          <w:p w14:paraId="2160E34B">
            <w:pPr>
              <w:snapToGrid w:val="0"/>
              <w:spacing w:line="0" w:lineRule="atLeast"/>
              <w:jc w:val="center"/>
              <w:rPr>
                <w:rFonts w:hint="eastAsia" w:ascii="宋体" w:hAnsi="宋体" w:cs="宋体"/>
                <w:color w:val="auto"/>
                <w:sz w:val="22"/>
                <w:highlight w:val="none"/>
              </w:rPr>
            </w:pPr>
          </w:p>
        </w:tc>
      </w:tr>
      <w:tr w14:paraId="0C92A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noWrap w:val="0"/>
            <w:vAlign w:val="center"/>
          </w:tcPr>
          <w:p w14:paraId="4D99590A">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毕业学校</w:t>
            </w:r>
          </w:p>
        </w:tc>
        <w:tc>
          <w:tcPr>
            <w:tcW w:w="3703" w:type="dxa"/>
            <w:gridSpan w:val="5"/>
            <w:noWrap w:val="0"/>
            <w:vAlign w:val="center"/>
          </w:tcPr>
          <w:p w14:paraId="6C5B3F84">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毕业于      学校     专业</w:t>
            </w:r>
          </w:p>
        </w:tc>
        <w:tc>
          <w:tcPr>
            <w:tcW w:w="2286" w:type="dxa"/>
            <w:gridSpan w:val="2"/>
            <w:noWrap w:val="0"/>
            <w:vAlign w:val="center"/>
          </w:tcPr>
          <w:p w14:paraId="728C84B0">
            <w:pPr>
              <w:snapToGrid w:val="0"/>
              <w:spacing w:line="0" w:lineRule="atLeast"/>
              <w:jc w:val="center"/>
              <w:rPr>
                <w:rFonts w:hint="eastAsia" w:ascii="宋体" w:hAnsi="宋体" w:cs="宋体"/>
                <w:color w:val="auto"/>
                <w:sz w:val="22"/>
                <w:highlight w:val="none"/>
              </w:rPr>
            </w:pPr>
            <w:r>
              <w:rPr>
                <w:rFonts w:hint="eastAsia" w:ascii="宋体" w:hAnsi="宋体" w:cs="宋体"/>
                <w:color w:val="auto"/>
                <w:position w:val="-30"/>
                <w:sz w:val="22"/>
                <w:highlight w:val="none"/>
              </w:rPr>
              <w:t>工作年限</w:t>
            </w:r>
          </w:p>
        </w:tc>
        <w:tc>
          <w:tcPr>
            <w:tcW w:w="1571" w:type="dxa"/>
            <w:noWrap w:val="0"/>
            <w:vAlign w:val="top"/>
          </w:tcPr>
          <w:p w14:paraId="6CE8F953">
            <w:pPr>
              <w:snapToGrid w:val="0"/>
              <w:spacing w:line="0" w:lineRule="atLeast"/>
              <w:jc w:val="center"/>
              <w:rPr>
                <w:rFonts w:hint="eastAsia" w:ascii="宋体" w:hAnsi="宋体" w:cs="宋体"/>
                <w:color w:val="auto"/>
                <w:sz w:val="22"/>
                <w:highlight w:val="none"/>
              </w:rPr>
            </w:pPr>
          </w:p>
        </w:tc>
      </w:tr>
      <w:tr w14:paraId="369E5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noWrap w:val="0"/>
            <w:vAlign w:val="center"/>
          </w:tcPr>
          <w:p w14:paraId="0E2532DA">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执业资格证号或注册证号</w:t>
            </w:r>
          </w:p>
        </w:tc>
        <w:tc>
          <w:tcPr>
            <w:tcW w:w="5984" w:type="dxa"/>
            <w:gridSpan w:val="6"/>
            <w:noWrap w:val="0"/>
            <w:vAlign w:val="top"/>
          </w:tcPr>
          <w:p w14:paraId="291D820B">
            <w:pPr>
              <w:snapToGrid w:val="0"/>
              <w:spacing w:line="0" w:lineRule="atLeast"/>
              <w:rPr>
                <w:rFonts w:hint="eastAsia" w:ascii="宋体" w:hAnsi="宋体" w:cs="宋体"/>
                <w:color w:val="auto"/>
                <w:sz w:val="22"/>
                <w:highlight w:val="none"/>
              </w:rPr>
            </w:pPr>
          </w:p>
        </w:tc>
      </w:tr>
      <w:tr w14:paraId="667DA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noWrap w:val="0"/>
            <w:vAlign w:val="top"/>
          </w:tcPr>
          <w:p w14:paraId="19CCCE71">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主要业绩经历</w:t>
            </w:r>
          </w:p>
        </w:tc>
      </w:tr>
      <w:tr w14:paraId="695DC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noWrap w:val="0"/>
            <w:vAlign w:val="top"/>
          </w:tcPr>
          <w:p w14:paraId="4FDEBF08">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时间</w:t>
            </w:r>
          </w:p>
        </w:tc>
        <w:tc>
          <w:tcPr>
            <w:tcW w:w="3476" w:type="dxa"/>
            <w:gridSpan w:val="5"/>
            <w:noWrap w:val="0"/>
            <w:vAlign w:val="top"/>
          </w:tcPr>
          <w:p w14:paraId="3F6C0E47">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参加过的主要工作</w:t>
            </w:r>
          </w:p>
        </w:tc>
        <w:tc>
          <w:tcPr>
            <w:tcW w:w="1607" w:type="dxa"/>
            <w:gridSpan w:val="2"/>
            <w:noWrap w:val="0"/>
            <w:vAlign w:val="top"/>
          </w:tcPr>
          <w:p w14:paraId="73FA89E2">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担任何职</w:t>
            </w:r>
          </w:p>
        </w:tc>
        <w:tc>
          <w:tcPr>
            <w:tcW w:w="2657" w:type="dxa"/>
            <w:gridSpan w:val="2"/>
            <w:noWrap w:val="0"/>
            <w:vAlign w:val="top"/>
          </w:tcPr>
          <w:p w14:paraId="3DE1A5E3">
            <w:pPr>
              <w:snapToGrid w:val="0"/>
              <w:spacing w:line="0" w:lineRule="atLeast"/>
              <w:jc w:val="center"/>
              <w:rPr>
                <w:rFonts w:hint="eastAsia" w:ascii="宋体" w:hAnsi="宋体" w:cs="宋体"/>
                <w:color w:val="auto"/>
                <w:sz w:val="22"/>
                <w:highlight w:val="none"/>
              </w:rPr>
            </w:pPr>
            <w:r>
              <w:rPr>
                <w:rFonts w:hint="eastAsia" w:ascii="宋体" w:hAnsi="宋体" w:cs="宋体"/>
                <w:color w:val="auto"/>
                <w:sz w:val="22"/>
                <w:highlight w:val="none"/>
              </w:rPr>
              <w:t>委托人名称、联系方式</w:t>
            </w:r>
          </w:p>
        </w:tc>
      </w:tr>
      <w:tr w14:paraId="72AD3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572165AF">
            <w:pPr>
              <w:snapToGrid w:val="0"/>
              <w:spacing w:line="0" w:lineRule="atLeast"/>
              <w:rPr>
                <w:rFonts w:hint="eastAsia" w:ascii="宋体" w:hAnsi="宋体" w:cs="宋体"/>
                <w:color w:val="auto"/>
                <w:sz w:val="22"/>
                <w:highlight w:val="none"/>
              </w:rPr>
            </w:pPr>
          </w:p>
        </w:tc>
        <w:tc>
          <w:tcPr>
            <w:tcW w:w="3476" w:type="dxa"/>
            <w:gridSpan w:val="5"/>
            <w:noWrap w:val="0"/>
            <w:vAlign w:val="top"/>
          </w:tcPr>
          <w:p w14:paraId="4F6C7C42">
            <w:pPr>
              <w:snapToGrid w:val="0"/>
              <w:spacing w:line="0" w:lineRule="atLeast"/>
              <w:rPr>
                <w:rFonts w:hint="eastAsia" w:ascii="宋体" w:hAnsi="宋体" w:cs="宋体"/>
                <w:color w:val="auto"/>
                <w:sz w:val="22"/>
                <w:highlight w:val="none"/>
              </w:rPr>
            </w:pPr>
          </w:p>
        </w:tc>
        <w:tc>
          <w:tcPr>
            <w:tcW w:w="1607" w:type="dxa"/>
            <w:gridSpan w:val="2"/>
            <w:noWrap w:val="0"/>
            <w:vAlign w:val="top"/>
          </w:tcPr>
          <w:p w14:paraId="0771A249">
            <w:pPr>
              <w:snapToGrid w:val="0"/>
              <w:spacing w:line="0" w:lineRule="atLeast"/>
              <w:rPr>
                <w:rFonts w:hint="eastAsia" w:ascii="宋体" w:hAnsi="宋体" w:cs="宋体"/>
                <w:color w:val="auto"/>
                <w:sz w:val="22"/>
                <w:highlight w:val="none"/>
              </w:rPr>
            </w:pPr>
          </w:p>
        </w:tc>
        <w:tc>
          <w:tcPr>
            <w:tcW w:w="2657" w:type="dxa"/>
            <w:gridSpan w:val="2"/>
            <w:noWrap w:val="0"/>
            <w:vAlign w:val="top"/>
          </w:tcPr>
          <w:p w14:paraId="1D5D9908">
            <w:pPr>
              <w:snapToGrid w:val="0"/>
              <w:spacing w:line="0" w:lineRule="atLeast"/>
              <w:rPr>
                <w:rFonts w:hint="eastAsia" w:ascii="宋体" w:hAnsi="宋体" w:cs="宋体"/>
                <w:color w:val="auto"/>
                <w:sz w:val="22"/>
                <w:highlight w:val="none"/>
              </w:rPr>
            </w:pPr>
          </w:p>
        </w:tc>
      </w:tr>
      <w:tr w14:paraId="5D4C9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1ACBAFA7">
            <w:pPr>
              <w:snapToGrid w:val="0"/>
              <w:spacing w:line="0" w:lineRule="atLeast"/>
              <w:rPr>
                <w:rFonts w:hint="eastAsia" w:ascii="宋体" w:hAnsi="宋体" w:cs="宋体"/>
                <w:color w:val="auto"/>
                <w:sz w:val="22"/>
                <w:highlight w:val="none"/>
              </w:rPr>
            </w:pPr>
          </w:p>
        </w:tc>
        <w:tc>
          <w:tcPr>
            <w:tcW w:w="3476" w:type="dxa"/>
            <w:gridSpan w:val="5"/>
            <w:noWrap w:val="0"/>
            <w:vAlign w:val="top"/>
          </w:tcPr>
          <w:p w14:paraId="07570A95">
            <w:pPr>
              <w:snapToGrid w:val="0"/>
              <w:spacing w:line="0" w:lineRule="atLeast"/>
              <w:rPr>
                <w:rFonts w:hint="eastAsia" w:ascii="宋体" w:hAnsi="宋体" w:cs="宋体"/>
                <w:color w:val="auto"/>
                <w:sz w:val="22"/>
                <w:highlight w:val="none"/>
              </w:rPr>
            </w:pPr>
          </w:p>
        </w:tc>
        <w:tc>
          <w:tcPr>
            <w:tcW w:w="1607" w:type="dxa"/>
            <w:gridSpan w:val="2"/>
            <w:noWrap w:val="0"/>
            <w:vAlign w:val="top"/>
          </w:tcPr>
          <w:p w14:paraId="489836B7">
            <w:pPr>
              <w:snapToGrid w:val="0"/>
              <w:spacing w:line="0" w:lineRule="atLeast"/>
              <w:rPr>
                <w:rFonts w:hint="eastAsia" w:ascii="宋体" w:hAnsi="宋体" w:cs="宋体"/>
                <w:color w:val="auto"/>
                <w:sz w:val="22"/>
                <w:highlight w:val="none"/>
              </w:rPr>
            </w:pPr>
          </w:p>
        </w:tc>
        <w:tc>
          <w:tcPr>
            <w:tcW w:w="2657" w:type="dxa"/>
            <w:gridSpan w:val="2"/>
            <w:noWrap w:val="0"/>
            <w:vAlign w:val="top"/>
          </w:tcPr>
          <w:p w14:paraId="6C2A0C8B">
            <w:pPr>
              <w:snapToGrid w:val="0"/>
              <w:spacing w:line="0" w:lineRule="atLeast"/>
              <w:rPr>
                <w:rFonts w:hint="eastAsia" w:ascii="宋体" w:hAnsi="宋体" w:cs="宋体"/>
                <w:color w:val="auto"/>
                <w:sz w:val="22"/>
                <w:highlight w:val="none"/>
              </w:rPr>
            </w:pPr>
          </w:p>
        </w:tc>
      </w:tr>
      <w:tr w14:paraId="1C5AF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144E17D9">
            <w:pPr>
              <w:snapToGrid w:val="0"/>
              <w:spacing w:line="0" w:lineRule="atLeast"/>
              <w:rPr>
                <w:rFonts w:hint="eastAsia" w:ascii="宋体" w:hAnsi="宋体" w:cs="宋体"/>
                <w:color w:val="auto"/>
                <w:sz w:val="22"/>
                <w:highlight w:val="none"/>
              </w:rPr>
            </w:pPr>
          </w:p>
        </w:tc>
        <w:tc>
          <w:tcPr>
            <w:tcW w:w="3476" w:type="dxa"/>
            <w:gridSpan w:val="5"/>
            <w:noWrap w:val="0"/>
            <w:vAlign w:val="top"/>
          </w:tcPr>
          <w:p w14:paraId="20FE1CFB">
            <w:pPr>
              <w:snapToGrid w:val="0"/>
              <w:spacing w:line="0" w:lineRule="atLeast"/>
              <w:rPr>
                <w:rFonts w:hint="eastAsia" w:ascii="宋体" w:hAnsi="宋体" w:cs="宋体"/>
                <w:color w:val="auto"/>
                <w:sz w:val="22"/>
                <w:highlight w:val="none"/>
              </w:rPr>
            </w:pPr>
          </w:p>
        </w:tc>
        <w:tc>
          <w:tcPr>
            <w:tcW w:w="1607" w:type="dxa"/>
            <w:gridSpan w:val="2"/>
            <w:noWrap w:val="0"/>
            <w:vAlign w:val="top"/>
          </w:tcPr>
          <w:p w14:paraId="2E76557D">
            <w:pPr>
              <w:snapToGrid w:val="0"/>
              <w:spacing w:line="0" w:lineRule="atLeast"/>
              <w:rPr>
                <w:rFonts w:hint="eastAsia" w:ascii="宋体" w:hAnsi="宋体" w:cs="宋体"/>
                <w:color w:val="auto"/>
                <w:sz w:val="22"/>
                <w:highlight w:val="none"/>
              </w:rPr>
            </w:pPr>
          </w:p>
        </w:tc>
        <w:tc>
          <w:tcPr>
            <w:tcW w:w="2657" w:type="dxa"/>
            <w:gridSpan w:val="2"/>
            <w:noWrap w:val="0"/>
            <w:vAlign w:val="top"/>
          </w:tcPr>
          <w:p w14:paraId="591BC9F4">
            <w:pPr>
              <w:snapToGrid w:val="0"/>
              <w:spacing w:line="0" w:lineRule="atLeast"/>
              <w:rPr>
                <w:rFonts w:hint="eastAsia" w:ascii="宋体" w:hAnsi="宋体" w:cs="宋体"/>
                <w:color w:val="auto"/>
                <w:sz w:val="22"/>
                <w:highlight w:val="none"/>
              </w:rPr>
            </w:pPr>
          </w:p>
        </w:tc>
      </w:tr>
      <w:tr w14:paraId="6B624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35A2273B">
            <w:pPr>
              <w:snapToGrid w:val="0"/>
              <w:spacing w:line="0" w:lineRule="atLeast"/>
              <w:rPr>
                <w:rFonts w:hint="eastAsia" w:ascii="宋体" w:hAnsi="宋体" w:cs="宋体"/>
                <w:color w:val="auto"/>
                <w:sz w:val="22"/>
                <w:highlight w:val="none"/>
              </w:rPr>
            </w:pPr>
          </w:p>
        </w:tc>
        <w:tc>
          <w:tcPr>
            <w:tcW w:w="3476" w:type="dxa"/>
            <w:gridSpan w:val="5"/>
            <w:noWrap w:val="0"/>
            <w:vAlign w:val="top"/>
          </w:tcPr>
          <w:p w14:paraId="0848504C">
            <w:pPr>
              <w:snapToGrid w:val="0"/>
              <w:spacing w:line="0" w:lineRule="atLeast"/>
              <w:rPr>
                <w:rFonts w:hint="eastAsia" w:ascii="宋体" w:hAnsi="宋体" w:cs="宋体"/>
                <w:color w:val="auto"/>
                <w:sz w:val="22"/>
                <w:highlight w:val="none"/>
              </w:rPr>
            </w:pPr>
          </w:p>
        </w:tc>
        <w:tc>
          <w:tcPr>
            <w:tcW w:w="1607" w:type="dxa"/>
            <w:gridSpan w:val="2"/>
            <w:noWrap w:val="0"/>
            <w:vAlign w:val="top"/>
          </w:tcPr>
          <w:p w14:paraId="5D09CEC2">
            <w:pPr>
              <w:snapToGrid w:val="0"/>
              <w:spacing w:line="0" w:lineRule="atLeast"/>
              <w:rPr>
                <w:rFonts w:hint="eastAsia" w:ascii="宋体" w:hAnsi="宋体" w:cs="宋体"/>
                <w:color w:val="auto"/>
                <w:sz w:val="22"/>
                <w:highlight w:val="none"/>
              </w:rPr>
            </w:pPr>
          </w:p>
        </w:tc>
        <w:tc>
          <w:tcPr>
            <w:tcW w:w="2657" w:type="dxa"/>
            <w:gridSpan w:val="2"/>
            <w:noWrap w:val="0"/>
            <w:vAlign w:val="top"/>
          </w:tcPr>
          <w:p w14:paraId="5E9B9A93">
            <w:pPr>
              <w:snapToGrid w:val="0"/>
              <w:spacing w:line="0" w:lineRule="atLeast"/>
              <w:rPr>
                <w:rFonts w:hint="eastAsia" w:ascii="宋体" w:hAnsi="宋体" w:cs="宋体"/>
                <w:color w:val="auto"/>
                <w:sz w:val="22"/>
                <w:highlight w:val="none"/>
              </w:rPr>
            </w:pPr>
          </w:p>
        </w:tc>
      </w:tr>
      <w:tr w14:paraId="09EC8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47A8C510">
            <w:pPr>
              <w:snapToGrid w:val="0"/>
              <w:spacing w:line="0" w:lineRule="atLeast"/>
              <w:rPr>
                <w:rFonts w:hint="eastAsia" w:ascii="宋体" w:hAnsi="宋体" w:cs="宋体"/>
                <w:color w:val="auto"/>
                <w:sz w:val="22"/>
                <w:highlight w:val="none"/>
              </w:rPr>
            </w:pPr>
          </w:p>
        </w:tc>
        <w:tc>
          <w:tcPr>
            <w:tcW w:w="3476" w:type="dxa"/>
            <w:gridSpan w:val="5"/>
            <w:noWrap w:val="0"/>
            <w:vAlign w:val="top"/>
          </w:tcPr>
          <w:p w14:paraId="0987E9B0">
            <w:pPr>
              <w:snapToGrid w:val="0"/>
              <w:spacing w:line="0" w:lineRule="atLeast"/>
              <w:rPr>
                <w:rFonts w:hint="eastAsia" w:ascii="宋体" w:hAnsi="宋体" w:cs="宋体"/>
                <w:color w:val="auto"/>
                <w:sz w:val="22"/>
                <w:highlight w:val="none"/>
              </w:rPr>
            </w:pPr>
          </w:p>
        </w:tc>
        <w:tc>
          <w:tcPr>
            <w:tcW w:w="1607" w:type="dxa"/>
            <w:gridSpan w:val="2"/>
            <w:noWrap w:val="0"/>
            <w:vAlign w:val="top"/>
          </w:tcPr>
          <w:p w14:paraId="79AA7ED8">
            <w:pPr>
              <w:snapToGrid w:val="0"/>
              <w:spacing w:line="0" w:lineRule="atLeast"/>
              <w:rPr>
                <w:rFonts w:hint="eastAsia" w:ascii="宋体" w:hAnsi="宋体" w:cs="宋体"/>
                <w:color w:val="auto"/>
                <w:sz w:val="22"/>
                <w:highlight w:val="none"/>
              </w:rPr>
            </w:pPr>
          </w:p>
        </w:tc>
        <w:tc>
          <w:tcPr>
            <w:tcW w:w="2657" w:type="dxa"/>
            <w:gridSpan w:val="2"/>
            <w:noWrap w:val="0"/>
            <w:vAlign w:val="top"/>
          </w:tcPr>
          <w:p w14:paraId="6B3DF801">
            <w:pPr>
              <w:snapToGrid w:val="0"/>
              <w:spacing w:line="0" w:lineRule="atLeast"/>
              <w:rPr>
                <w:rFonts w:hint="eastAsia" w:ascii="宋体" w:hAnsi="宋体" w:cs="宋体"/>
                <w:color w:val="auto"/>
                <w:sz w:val="22"/>
                <w:highlight w:val="none"/>
              </w:rPr>
            </w:pPr>
          </w:p>
        </w:tc>
      </w:tr>
      <w:tr w14:paraId="57DBB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0B3D59F6">
            <w:pPr>
              <w:snapToGrid w:val="0"/>
              <w:spacing w:line="0" w:lineRule="atLeast"/>
              <w:rPr>
                <w:rFonts w:hint="eastAsia" w:ascii="宋体" w:hAnsi="宋体" w:cs="宋体"/>
                <w:color w:val="auto"/>
                <w:sz w:val="22"/>
                <w:highlight w:val="none"/>
              </w:rPr>
            </w:pPr>
          </w:p>
        </w:tc>
        <w:tc>
          <w:tcPr>
            <w:tcW w:w="3476" w:type="dxa"/>
            <w:gridSpan w:val="5"/>
            <w:noWrap w:val="0"/>
            <w:vAlign w:val="top"/>
          </w:tcPr>
          <w:p w14:paraId="561406D2">
            <w:pPr>
              <w:snapToGrid w:val="0"/>
              <w:spacing w:line="0" w:lineRule="atLeast"/>
              <w:rPr>
                <w:rFonts w:hint="eastAsia" w:ascii="宋体" w:hAnsi="宋体" w:cs="宋体"/>
                <w:color w:val="auto"/>
                <w:sz w:val="22"/>
                <w:highlight w:val="none"/>
              </w:rPr>
            </w:pPr>
          </w:p>
        </w:tc>
        <w:tc>
          <w:tcPr>
            <w:tcW w:w="1607" w:type="dxa"/>
            <w:gridSpan w:val="2"/>
            <w:noWrap w:val="0"/>
            <w:vAlign w:val="top"/>
          </w:tcPr>
          <w:p w14:paraId="1E07A147">
            <w:pPr>
              <w:snapToGrid w:val="0"/>
              <w:spacing w:line="0" w:lineRule="atLeast"/>
              <w:rPr>
                <w:rFonts w:hint="eastAsia" w:ascii="宋体" w:hAnsi="宋体" w:cs="宋体"/>
                <w:color w:val="auto"/>
                <w:sz w:val="22"/>
                <w:highlight w:val="none"/>
              </w:rPr>
            </w:pPr>
          </w:p>
        </w:tc>
        <w:tc>
          <w:tcPr>
            <w:tcW w:w="2657" w:type="dxa"/>
            <w:gridSpan w:val="2"/>
            <w:noWrap w:val="0"/>
            <w:vAlign w:val="top"/>
          </w:tcPr>
          <w:p w14:paraId="2BBD165A">
            <w:pPr>
              <w:snapToGrid w:val="0"/>
              <w:spacing w:line="0" w:lineRule="atLeast"/>
              <w:rPr>
                <w:rFonts w:hint="eastAsia" w:ascii="宋体" w:hAnsi="宋体" w:cs="宋体"/>
                <w:color w:val="auto"/>
                <w:sz w:val="22"/>
                <w:highlight w:val="none"/>
              </w:rPr>
            </w:pPr>
          </w:p>
        </w:tc>
      </w:tr>
      <w:tr w14:paraId="31003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530E34F6">
            <w:pPr>
              <w:snapToGrid w:val="0"/>
              <w:spacing w:line="0" w:lineRule="atLeast"/>
              <w:rPr>
                <w:rFonts w:hint="eastAsia" w:ascii="宋体" w:hAnsi="宋体" w:cs="宋体"/>
                <w:color w:val="auto"/>
                <w:sz w:val="22"/>
                <w:highlight w:val="none"/>
              </w:rPr>
            </w:pPr>
          </w:p>
        </w:tc>
        <w:tc>
          <w:tcPr>
            <w:tcW w:w="3476" w:type="dxa"/>
            <w:gridSpan w:val="5"/>
            <w:noWrap w:val="0"/>
            <w:vAlign w:val="top"/>
          </w:tcPr>
          <w:p w14:paraId="40BAEC1F">
            <w:pPr>
              <w:snapToGrid w:val="0"/>
              <w:spacing w:line="0" w:lineRule="atLeast"/>
              <w:rPr>
                <w:rFonts w:hint="eastAsia" w:ascii="宋体" w:hAnsi="宋体" w:cs="宋体"/>
                <w:color w:val="auto"/>
                <w:sz w:val="22"/>
                <w:highlight w:val="none"/>
              </w:rPr>
            </w:pPr>
          </w:p>
        </w:tc>
        <w:tc>
          <w:tcPr>
            <w:tcW w:w="1607" w:type="dxa"/>
            <w:gridSpan w:val="2"/>
            <w:noWrap w:val="0"/>
            <w:vAlign w:val="top"/>
          </w:tcPr>
          <w:p w14:paraId="4FA9183B">
            <w:pPr>
              <w:snapToGrid w:val="0"/>
              <w:spacing w:line="0" w:lineRule="atLeast"/>
              <w:rPr>
                <w:rFonts w:hint="eastAsia" w:ascii="宋体" w:hAnsi="宋体" w:cs="宋体"/>
                <w:color w:val="auto"/>
                <w:sz w:val="22"/>
                <w:highlight w:val="none"/>
              </w:rPr>
            </w:pPr>
          </w:p>
        </w:tc>
        <w:tc>
          <w:tcPr>
            <w:tcW w:w="2657" w:type="dxa"/>
            <w:gridSpan w:val="2"/>
            <w:noWrap w:val="0"/>
            <w:vAlign w:val="top"/>
          </w:tcPr>
          <w:p w14:paraId="76011078">
            <w:pPr>
              <w:snapToGrid w:val="0"/>
              <w:spacing w:line="0" w:lineRule="atLeast"/>
              <w:rPr>
                <w:rFonts w:hint="eastAsia" w:ascii="宋体" w:hAnsi="宋体" w:cs="宋体"/>
                <w:color w:val="auto"/>
                <w:sz w:val="22"/>
                <w:highlight w:val="none"/>
              </w:rPr>
            </w:pPr>
          </w:p>
        </w:tc>
      </w:tr>
      <w:tr w14:paraId="6845C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6D7C978F">
            <w:pPr>
              <w:snapToGrid w:val="0"/>
              <w:spacing w:line="0" w:lineRule="atLeast"/>
              <w:rPr>
                <w:rFonts w:hint="eastAsia" w:ascii="宋体" w:hAnsi="宋体" w:cs="宋体"/>
                <w:color w:val="auto"/>
                <w:sz w:val="22"/>
                <w:highlight w:val="none"/>
              </w:rPr>
            </w:pPr>
          </w:p>
        </w:tc>
        <w:tc>
          <w:tcPr>
            <w:tcW w:w="3476" w:type="dxa"/>
            <w:gridSpan w:val="5"/>
            <w:noWrap w:val="0"/>
            <w:vAlign w:val="top"/>
          </w:tcPr>
          <w:p w14:paraId="17799683">
            <w:pPr>
              <w:snapToGrid w:val="0"/>
              <w:spacing w:line="0" w:lineRule="atLeast"/>
              <w:rPr>
                <w:rFonts w:hint="eastAsia" w:ascii="宋体" w:hAnsi="宋体" w:cs="宋体"/>
                <w:color w:val="auto"/>
                <w:sz w:val="22"/>
                <w:highlight w:val="none"/>
              </w:rPr>
            </w:pPr>
          </w:p>
        </w:tc>
        <w:tc>
          <w:tcPr>
            <w:tcW w:w="1607" w:type="dxa"/>
            <w:gridSpan w:val="2"/>
            <w:noWrap w:val="0"/>
            <w:vAlign w:val="top"/>
          </w:tcPr>
          <w:p w14:paraId="67A89855">
            <w:pPr>
              <w:snapToGrid w:val="0"/>
              <w:spacing w:line="0" w:lineRule="atLeast"/>
              <w:rPr>
                <w:rFonts w:hint="eastAsia" w:ascii="宋体" w:hAnsi="宋体" w:cs="宋体"/>
                <w:color w:val="auto"/>
                <w:sz w:val="22"/>
                <w:highlight w:val="none"/>
              </w:rPr>
            </w:pPr>
          </w:p>
        </w:tc>
        <w:tc>
          <w:tcPr>
            <w:tcW w:w="2657" w:type="dxa"/>
            <w:gridSpan w:val="2"/>
            <w:noWrap w:val="0"/>
            <w:vAlign w:val="top"/>
          </w:tcPr>
          <w:p w14:paraId="3748869C">
            <w:pPr>
              <w:snapToGrid w:val="0"/>
              <w:spacing w:line="0" w:lineRule="atLeast"/>
              <w:rPr>
                <w:rFonts w:hint="eastAsia" w:ascii="宋体" w:hAnsi="宋体" w:cs="宋体"/>
                <w:color w:val="auto"/>
                <w:sz w:val="22"/>
                <w:highlight w:val="none"/>
              </w:rPr>
            </w:pPr>
          </w:p>
        </w:tc>
      </w:tr>
      <w:tr w14:paraId="5E5A9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14:paraId="43252156">
            <w:pPr>
              <w:snapToGrid w:val="0"/>
              <w:spacing w:line="0" w:lineRule="atLeast"/>
              <w:rPr>
                <w:rFonts w:hint="eastAsia" w:ascii="宋体" w:hAnsi="宋体" w:cs="宋体"/>
                <w:color w:val="auto"/>
                <w:sz w:val="22"/>
                <w:highlight w:val="none"/>
              </w:rPr>
            </w:pPr>
          </w:p>
        </w:tc>
        <w:tc>
          <w:tcPr>
            <w:tcW w:w="3476" w:type="dxa"/>
            <w:gridSpan w:val="5"/>
            <w:noWrap w:val="0"/>
            <w:vAlign w:val="top"/>
          </w:tcPr>
          <w:p w14:paraId="7BA81E59">
            <w:pPr>
              <w:snapToGrid w:val="0"/>
              <w:spacing w:line="0" w:lineRule="atLeast"/>
              <w:rPr>
                <w:rFonts w:hint="eastAsia" w:ascii="宋体" w:hAnsi="宋体" w:cs="宋体"/>
                <w:color w:val="auto"/>
                <w:sz w:val="22"/>
                <w:highlight w:val="none"/>
              </w:rPr>
            </w:pPr>
          </w:p>
        </w:tc>
        <w:tc>
          <w:tcPr>
            <w:tcW w:w="1607" w:type="dxa"/>
            <w:gridSpan w:val="2"/>
            <w:noWrap w:val="0"/>
            <w:vAlign w:val="top"/>
          </w:tcPr>
          <w:p w14:paraId="42F4E822">
            <w:pPr>
              <w:snapToGrid w:val="0"/>
              <w:spacing w:line="0" w:lineRule="atLeast"/>
              <w:rPr>
                <w:rFonts w:hint="eastAsia" w:ascii="宋体" w:hAnsi="宋体" w:cs="宋体"/>
                <w:color w:val="auto"/>
                <w:sz w:val="22"/>
                <w:highlight w:val="none"/>
              </w:rPr>
            </w:pPr>
          </w:p>
        </w:tc>
        <w:tc>
          <w:tcPr>
            <w:tcW w:w="2657" w:type="dxa"/>
            <w:gridSpan w:val="2"/>
            <w:noWrap w:val="0"/>
            <w:vAlign w:val="top"/>
          </w:tcPr>
          <w:p w14:paraId="67CAA6F6">
            <w:pPr>
              <w:snapToGrid w:val="0"/>
              <w:spacing w:line="0" w:lineRule="atLeast"/>
              <w:rPr>
                <w:rFonts w:hint="eastAsia" w:ascii="宋体" w:hAnsi="宋体" w:cs="宋体"/>
                <w:color w:val="auto"/>
                <w:sz w:val="22"/>
                <w:highlight w:val="none"/>
              </w:rPr>
            </w:pPr>
          </w:p>
        </w:tc>
      </w:tr>
    </w:tbl>
    <w:p w14:paraId="6D5FF820">
      <w:pPr>
        <w:widowControl/>
        <w:jc w:val="left"/>
        <w:rPr>
          <w:rFonts w:hint="eastAsia" w:ascii="宋体" w:hAnsi="宋体" w:cs="宋体"/>
          <w:color w:val="auto"/>
          <w:sz w:val="22"/>
          <w:highlight w:val="none"/>
        </w:rPr>
      </w:pPr>
    </w:p>
    <w:p w14:paraId="7ED29350">
      <w:pPr>
        <w:spacing w:line="360" w:lineRule="auto"/>
        <w:rPr>
          <w:rFonts w:hint="eastAsia" w:ascii="宋体" w:hAnsi="宋体" w:cs="宋体"/>
          <w:color w:val="auto"/>
          <w:sz w:val="22"/>
          <w:highlight w:val="none"/>
        </w:rPr>
      </w:pPr>
      <w:r>
        <w:rPr>
          <w:rFonts w:hint="eastAsia" w:ascii="宋体" w:hAnsi="宋体" w:cs="宋体"/>
          <w:color w:val="auto"/>
          <w:sz w:val="22"/>
          <w:highlight w:val="none"/>
        </w:rPr>
        <w:t>注：投标人应根据招标文件的要求在本表后附相关证明材料</w:t>
      </w:r>
    </w:p>
    <w:p w14:paraId="165166CA">
      <w:pPr>
        <w:spacing w:line="360" w:lineRule="auto"/>
        <w:jc w:val="left"/>
        <w:rPr>
          <w:rFonts w:hint="eastAsia" w:ascii="宋体" w:hAnsi="宋体" w:cs="宋体"/>
          <w:color w:val="auto"/>
          <w:sz w:val="28"/>
          <w:szCs w:val="28"/>
          <w:highlight w:val="none"/>
        </w:rPr>
      </w:pPr>
      <w:r>
        <w:rPr>
          <w:rFonts w:hint="eastAsia" w:ascii="宋体" w:hAnsi="宋体" w:cs="宋体"/>
          <w:color w:val="auto"/>
          <w:sz w:val="22"/>
          <w:highlight w:val="none"/>
        </w:rPr>
        <w:t>（本项不作为资格审查内容，但（如有）需提供，仅作为投标人的评标（综合评分）资料进行考察。表格格式可以根据实际情况调整。）</w:t>
      </w:r>
    </w:p>
    <w:p w14:paraId="3CA7D318">
      <w:pPr>
        <w:spacing w:line="360" w:lineRule="auto"/>
        <w:jc w:val="center"/>
        <w:outlineLvl w:val="1"/>
        <w:rPr>
          <w:rFonts w:hint="eastAsia" w:ascii="宋体" w:hAnsi="宋体" w:eastAsia="宋体" w:cs="宋体"/>
          <w:color w:val="auto"/>
          <w:highlight w:val="none"/>
        </w:rPr>
      </w:pPr>
      <w:r>
        <w:rPr>
          <w:rFonts w:hint="eastAsia" w:ascii="宋体" w:hAnsi="宋体" w:cs="宋体"/>
          <w:b/>
          <w:bCs/>
          <w:color w:val="auto"/>
          <w:sz w:val="40"/>
          <w:szCs w:val="32"/>
          <w:highlight w:val="none"/>
        </w:rPr>
        <w:br w:type="page"/>
      </w:r>
      <w:bookmarkEnd w:id="334"/>
      <w:bookmarkEnd w:id="335"/>
      <w:bookmarkEnd w:id="336"/>
      <w:bookmarkEnd w:id="337"/>
      <w:bookmarkEnd w:id="338"/>
      <w:bookmarkEnd w:id="339"/>
      <w:bookmarkStart w:id="340" w:name="_Toc23148"/>
      <w:bookmarkStart w:id="341" w:name="_Toc31367"/>
      <w:bookmarkStart w:id="342" w:name="_Toc76"/>
      <w:bookmarkStart w:id="343" w:name="_Toc168"/>
      <w:bookmarkStart w:id="344" w:name="_Toc25992"/>
      <w:bookmarkStart w:id="345" w:name="_Toc377719919"/>
      <w:bookmarkStart w:id="346" w:name="_Toc532367899"/>
      <w:bookmarkStart w:id="347" w:name="_Toc30833"/>
      <w:bookmarkStart w:id="348" w:name="_Toc12595"/>
      <w:bookmarkStart w:id="349" w:name="_Toc13512"/>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w:t>
      </w:r>
      <w:bookmarkEnd w:id="340"/>
      <w:bookmarkEnd w:id="341"/>
      <w:bookmarkEnd w:id="342"/>
      <w:bookmarkEnd w:id="343"/>
      <w:bookmarkEnd w:id="344"/>
      <w:bookmarkEnd w:id="345"/>
      <w:bookmarkEnd w:id="346"/>
      <w:bookmarkEnd w:id="347"/>
      <w:r>
        <w:rPr>
          <w:rFonts w:hint="eastAsia" w:ascii="宋体" w:hAnsi="宋体" w:eastAsia="宋体" w:cs="宋体"/>
          <w:b/>
          <w:bCs/>
          <w:color w:val="auto"/>
          <w:sz w:val="32"/>
          <w:szCs w:val="32"/>
          <w:highlight w:val="none"/>
        </w:rPr>
        <w:t>拟投入本项目的主要检</w:t>
      </w:r>
      <w:r>
        <w:rPr>
          <w:rFonts w:hint="eastAsia" w:ascii="宋体" w:hAnsi="宋体" w:eastAsia="宋体" w:cs="宋体"/>
          <w:b/>
          <w:bCs/>
          <w:color w:val="auto"/>
          <w:sz w:val="32"/>
          <w:szCs w:val="32"/>
          <w:highlight w:val="none"/>
          <w:lang w:val="en-US" w:eastAsia="zh-CN"/>
        </w:rPr>
        <w:t>验监</w:t>
      </w:r>
      <w:r>
        <w:rPr>
          <w:rFonts w:hint="eastAsia" w:ascii="宋体" w:hAnsi="宋体" w:eastAsia="宋体" w:cs="宋体"/>
          <w:b/>
          <w:bCs/>
          <w:color w:val="auto"/>
          <w:sz w:val="32"/>
          <w:szCs w:val="32"/>
          <w:highlight w:val="none"/>
        </w:rPr>
        <w:t>测仪器设备一览表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0B6E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6" w:type="dxa"/>
            <w:vMerge w:val="restart"/>
            <w:noWrap w:val="0"/>
            <w:vAlign w:val="center"/>
          </w:tcPr>
          <w:p w14:paraId="4FF8AB56">
            <w:pPr>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1793" w:type="dxa"/>
            <w:vMerge w:val="restart"/>
            <w:noWrap w:val="0"/>
            <w:vAlign w:val="center"/>
          </w:tcPr>
          <w:p w14:paraId="3F9F5FED">
            <w:pPr>
              <w:jc w:val="center"/>
              <w:rPr>
                <w:rFonts w:hint="eastAsia" w:ascii="宋体" w:hAnsi="宋体" w:cs="宋体"/>
                <w:color w:val="auto"/>
                <w:sz w:val="22"/>
                <w:highlight w:val="none"/>
              </w:rPr>
            </w:pPr>
            <w:r>
              <w:rPr>
                <w:rFonts w:hint="eastAsia" w:ascii="宋体" w:hAnsi="宋体" w:cs="宋体"/>
                <w:color w:val="auto"/>
                <w:sz w:val="22"/>
                <w:highlight w:val="none"/>
              </w:rPr>
              <w:t>设备名称</w:t>
            </w:r>
          </w:p>
        </w:tc>
        <w:tc>
          <w:tcPr>
            <w:tcW w:w="900" w:type="dxa"/>
            <w:vMerge w:val="restart"/>
            <w:noWrap w:val="0"/>
            <w:vAlign w:val="center"/>
          </w:tcPr>
          <w:p w14:paraId="20A095A8">
            <w:pPr>
              <w:jc w:val="center"/>
              <w:rPr>
                <w:rFonts w:hint="eastAsia" w:ascii="宋体" w:hAnsi="宋体" w:cs="宋体"/>
                <w:color w:val="auto"/>
                <w:sz w:val="22"/>
                <w:highlight w:val="none"/>
              </w:rPr>
            </w:pPr>
            <w:r>
              <w:rPr>
                <w:rFonts w:hint="eastAsia" w:ascii="宋体" w:hAnsi="宋体" w:cs="宋体"/>
                <w:color w:val="auto"/>
                <w:sz w:val="22"/>
                <w:highlight w:val="none"/>
              </w:rPr>
              <w:t>本项目</w:t>
            </w:r>
          </w:p>
          <w:p w14:paraId="031E98C6">
            <w:pPr>
              <w:jc w:val="center"/>
              <w:rPr>
                <w:rFonts w:hint="eastAsia" w:ascii="宋体" w:hAnsi="宋体" w:cs="宋体"/>
                <w:color w:val="auto"/>
                <w:sz w:val="22"/>
                <w:highlight w:val="none"/>
              </w:rPr>
            </w:pPr>
            <w:r>
              <w:rPr>
                <w:rFonts w:hint="eastAsia" w:ascii="宋体" w:hAnsi="宋体" w:cs="宋体"/>
                <w:color w:val="auto"/>
                <w:sz w:val="22"/>
                <w:highlight w:val="none"/>
              </w:rPr>
              <w:t>数量基本要求</w:t>
            </w:r>
          </w:p>
        </w:tc>
        <w:tc>
          <w:tcPr>
            <w:tcW w:w="6314" w:type="dxa"/>
            <w:gridSpan w:val="5"/>
            <w:noWrap w:val="0"/>
            <w:vAlign w:val="center"/>
          </w:tcPr>
          <w:p w14:paraId="0EADF44A">
            <w:pPr>
              <w:jc w:val="center"/>
              <w:rPr>
                <w:rFonts w:hint="eastAsia" w:ascii="宋体" w:hAnsi="宋体" w:cs="宋体"/>
                <w:color w:val="auto"/>
                <w:sz w:val="22"/>
                <w:highlight w:val="none"/>
              </w:rPr>
            </w:pPr>
            <w:r>
              <w:rPr>
                <w:rFonts w:hint="eastAsia" w:ascii="宋体" w:hAnsi="宋体" w:cs="宋体"/>
                <w:color w:val="auto"/>
                <w:sz w:val="22"/>
                <w:highlight w:val="none"/>
              </w:rPr>
              <w:t>投标人填写</w:t>
            </w:r>
          </w:p>
        </w:tc>
      </w:tr>
      <w:tr w14:paraId="2F87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36" w:type="dxa"/>
            <w:vMerge w:val="continue"/>
            <w:noWrap w:val="0"/>
            <w:vAlign w:val="center"/>
          </w:tcPr>
          <w:p w14:paraId="1211923B">
            <w:pPr>
              <w:jc w:val="center"/>
              <w:rPr>
                <w:rFonts w:hint="eastAsia" w:ascii="宋体" w:hAnsi="宋体" w:cs="宋体"/>
                <w:color w:val="auto"/>
                <w:sz w:val="22"/>
                <w:highlight w:val="none"/>
              </w:rPr>
            </w:pPr>
          </w:p>
        </w:tc>
        <w:tc>
          <w:tcPr>
            <w:tcW w:w="1793" w:type="dxa"/>
            <w:vMerge w:val="continue"/>
            <w:noWrap w:val="0"/>
            <w:vAlign w:val="center"/>
          </w:tcPr>
          <w:p w14:paraId="00430987">
            <w:pPr>
              <w:jc w:val="center"/>
              <w:rPr>
                <w:rFonts w:hint="eastAsia" w:ascii="宋体" w:hAnsi="宋体" w:cs="宋体"/>
                <w:color w:val="auto"/>
                <w:sz w:val="22"/>
                <w:highlight w:val="none"/>
              </w:rPr>
            </w:pPr>
          </w:p>
        </w:tc>
        <w:tc>
          <w:tcPr>
            <w:tcW w:w="900" w:type="dxa"/>
            <w:vMerge w:val="continue"/>
            <w:noWrap w:val="0"/>
            <w:vAlign w:val="center"/>
          </w:tcPr>
          <w:p w14:paraId="5774AABE">
            <w:pPr>
              <w:jc w:val="center"/>
              <w:rPr>
                <w:rFonts w:hint="eastAsia" w:ascii="宋体" w:hAnsi="宋体" w:cs="宋体"/>
                <w:color w:val="auto"/>
                <w:sz w:val="22"/>
                <w:highlight w:val="none"/>
              </w:rPr>
            </w:pPr>
          </w:p>
        </w:tc>
        <w:tc>
          <w:tcPr>
            <w:tcW w:w="992" w:type="dxa"/>
            <w:noWrap w:val="0"/>
            <w:vAlign w:val="center"/>
          </w:tcPr>
          <w:p w14:paraId="4BB85440">
            <w:pPr>
              <w:jc w:val="center"/>
              <w:rPr>
                <w:rFonts w:hint="eastAsia" w:ascii="宋体" w:hAnsi="宋体" w:cs="宋体"/>
                <w:color w:val="auto"/>
                <w:sz w:val="22"/>
                <w:highlight w:val="none"/>
              </w:rPr>
            </w:pPr>
            <w:r>
              <w:rPr>
                <w:rFonts w:hint="eastAsia" w:ascii="宋体" w:hAnsi="宋体" w:cs="宋体"/>
                <w:color w:val="auto"/>
                <w:sz w:val="22"/>
                <w:highlight w:val="none"/>
              </w:rPr>
              <w:t>数量</w:t>
            </w:r>
          </w:p>
        </w:tc>
        <w:tc>
          <w:tcPr>
            <w:tcW w:w="1785" w:type="dxa"/>
            <w:noWrap w:val="0"/>
            <w:vAlign w:val="center"/>
          </w:tcPr>
          <w:p w14:paraId="440981E1">
            <w:pPr>
              <w:jc w:val="center"/>
              <w:rPr>
                <w:rFonts w:hint="eastAsia" w:ascii="宋体" w:hAnsi="宋体" w:cs="宋体"/>
                <w:color w:val="auto"/>
                <w:sz w:val="22"/>
                <w:highlight w:val="none"/>
              </w:rPr>
            </w:pPr>
            <w:r>
              <w:rPr>
                <w:rFonts w:hint="eastAsia" w:ascii="宋体" w:hAnsi="宋体" w:cs="宋体"/>
                <w:color w:val="auto"/>
                <w:sz w:val="22"/>
                <w:highlight w:val="none"/>
              </w:rPr>
              <w:t>检定/校准机构</w:t>
            </w:r>
          </w:p>
        </w:tc>
        <w:tc>
          <w:tcPr>
            <w:tcW w:w="1116" w:type="dxa"/>
            <w:noWrap w:val="0"/>
            <w:vAlign w:val="center"/>
          </w:tcPr>
          <w:p w14:paraId="7E1AAD58">
            <w:pPr>
              <w:jc w:val="center"/>
              <w:rPr>
                <w:rFonts w:hint="eastAsia" w:ascii="宋体" w:hAnsi="宋体" w:cs="宋体"/>
                <w:color w:val="auto"/>
                <w:sz w:val="22"/>
                <w:highlight w:val="none"/>
              </w:rPr>
            </w:pPr>
            <w:r>
              <w:rPr>
                <w:rFonts w:hint="eastAsia" w:ascii="宋体" w:hAnsi="宋体" w:cs="宋体"/>
                <w:color w:val="auto"/>
                <w:sz w:val="22"/>
                <w:highlight w:val="none"/>
              </w:rPr>
              <w:t>有效期</w:t>
            </w:r>
          </w:p>
        </w:tc>
        <w:tc>
          <w:tcPr>
            <w:tcW w:w="1341" w:type="dxa"/>
            <w:noWrap w:val="0"/>
            <w:vAlign w:val="center"/>
          </w:tcPr>
          <w:p w14:paraId="22A07A34">
            <w:pPr>
              <w:jc w:val="center"/>
              <w:rPr>
                <w:rFonts w:hint="eastAsia" w:ascii="宋体" w:hAnsi="宋体" w:cs="宋体"/>
                <w:color w:val="auto"/>
                <w:sz w:val="22"/>
                <w:highlight w:val="none"/>
              </w:rPr>
            </w:pPr>
            <w:r>
              <w:rPr>
                <w:rFonts w:hint="eastAsia" w:ascii="宋体" w:hAnsi="宋体" w:cs="宋体"/>
                <w:color w:val="auto"/>
                <w:sz w:val="22"/>
                <w:highlight w:val="none"/>
              </w:rPr>
              <w:t>检定/校准周期</w:t>
            </w:r>
          </w:p>
        </w:tc>
        <w:tc>
          <w:tcPr>
            <w:tcW w:w="1080" w:type="dxa"/>
            <w:noWrap w:val="0"/>
            <w:vAlign w:val="center"/>
          </w:tcPr>
          <w:p w14:paraId="6827D370">
            <w:pPr>
              <w:jc w:val="center"/>
              <w:rPr>
                <w:rFonts w:hint="eastAsia" w:ascii="宋体" w:hAnsi="宋体" w:cs="宋体"/>
                <w:color w:val="auto"/>
                <w:sz w:val="22"/>
                <w:highlight w:val="none"/>
              </w:rPr>
            </w:pPr>
            <w:r>
              <w:rPr>
                <w:rFonts w:hint="eastAsia" w:ascii="宋体" w:hAnsi="宋体" w:cs="宋体"/>
                <w:color w:val="auto"/>
                <w:sz w:val="22"/>
                <w:highlight w:val="none"/>
              </w:rPr>
              <w:t>备注</w:t>
            </w:r>
          </w:p>
        </w:tc>
      </w:tr>
      <w:tr w14:paraId="0D8F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396EB7A3">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1793" w:type="dxa"/>
            <w:noWrap w:val="0"/>
            <w:vAlign w:val="center"/>
          </w:tcPr>
          <w:p w14:paraId="57FC7673">
            <w:pPr>
              <w:spacing w:line="240" w:lineRule="exact"/>
              <w:jc w:val="center"/>
              <w:rPr>
                <w:rFonts w:hint="eastAsia" w:ascii="宋体" w:hAnsi="宋体" w:cs="宋体"/>
                <w:color w:val="auto"/>
                <w:sz w:val="22"/>
                <w:highlight w:val="none"/>
              </w:rPr>
            </w:pPr>
          </w:p>
        </w:tc>
        <w:tc>
          <w:tcPr>
            <w:tcW w:w="900" w:type="dxa"/>
            <w:noWrap w:val="0"/>
            <w:vAlign w:val="center"/>
          </w:tcPr>
          <w:p w14:paraId="56DFE667">
            <w:pPr>
              <w:spacing w:line="240" w:lineRule="exact"/>
              <w:jc w:val="center"/>
              <w:rPr>
                <w:rFonts w:hint="eastAsia" w:ascii="宋体" w:hAnsi="宋体" w:cs="宋体"/>
                <w:color w:val="auto"/>
                <w:sz w:val="22"/>
                <w:highlight w:val="none"/>
              </w:rPr>
            </w:pPr>
          </w:p>
        </w:tc>
        <w:tc>
          <w:tcPr>
            <w:tcW w:w="992" w:type="dxa"/>
            <w:noWrap w:val="0"/>
            <w:vAlign w:val="center"/>
          </w:tcPr>
          <w:p w14:paraId="5D42EF6E">
            <w:pPr>
              <w:spacing w:line="240" w:lineRule="exact"/>
              <w:jc w:val="center"/>
              <w:rPr>
                <w:rFonts w:hint="eastAsia" w:ascii="宋体" w:hAnsi="宋体" w:cs="宋体"/>
                <w:color w:val="auto"/>
                <w:sz w:val="22"/>
                <w:highlight w:val="none"/>
              </w:rPr>
            </w:pPr>
          </w:p>
        </w:tc>
        <w:tc>
          <w:tcPr>
            <w:tcW w:w="1785" w:type="dxa"/>
            <w:noWrap w:val="0"/>
            <w:vAlign w:val="center"/>
          </w:tcPr>
          <w:p w14:paraId="0BC8E25A">
            <w:pPr>
              <w:spacing w:line="240" w:lineRule="exact"/>
              <w:jc w:val="center"/>
              <w:rPr>
                <w:rFonts w:hint="eastAsia" w:ascii="宋体" w:hAnsi="宋体" w:cs="宋体"/>
                <w:color w:val="auto"/>
                <w:sz w:val="22"/>
                <w:highlight w:val="none"/>
              </w:rPr>
            </w:pPr>
          </w:p>
        </w:tc>
        <w:tc>
          <w:tcPr>
            <w:tcW w:w="1116" w:type="dxa"/>
            <w:noWrap w:val="0"/>
            <w:vAlign w:val="center"/>
          </w:tcPr>
          <w:p w14:paraId="336FE77F">
            <w:pPr>
              <w:spacing w:line="240" w:lineRule="exact"/>
              <w:jc w:val="center"/>
              <w:rPr>
                <w:rFonts w:hint="eastAsia" w:ascii="宋体" w:hAnsi="宋体" w:cs="宋体"/>
                <w:color w:val="auto"/>
                <w:sz w:val="22"/>
                <w:highlight w:val="none"/>
              </w:rPr>
            </w:pPr>
          </w:p>
        </w:tc>
        <w:tc>
          <w:tcPr>
            <w:tcW w:w="1341" w:type="dxa"/>
            <w:noWrap w:val="0"/>
            <w:vAlign w:val="center"/>
          </w:tcPr>
          <w:p w14:paraId="0BCE3674">
            <w:pPr>
              <w:spacing w:line="240" w:lineRule="exact"/>
              <w:jc w:val="center"/>
              <w:rPr>
                <w:rFonts w:hint="eastAsia" w:ascii="宋体" w:hAnsi="宋体" w:cs="宋体"/>
                <w:color w:val="auto"/>
                <w:sz w:val="22"/>
                <w:highlight w:val="none"/>
              </w:rPr>
            </w:pPr>
          </w:p>
        </w:tc>
        <w:tc>
          <w:tcPr>
            <w:tcW w:w="1080" w:type="dxa"/>
            <w:noWrap w:val="0"/>
            <w:vAlign w:val="center"/>
          </w:tcPr>
          <w:p w14:paraId="03F1EE35">
            <w:pPr>
              <w:spacing w:line="240" w:lineRule="exact"/>
              <w:jc w:val="center"/>
              <w:rPr>
                <w:rFonts w:hint="eastAsia" w:ascii="宋体" w:hAnsi="宋体" w:cs="宋体"/>
                <w:color w:val="auto"/>
                <w:sz w:val="22"/>
                <w:highlight w:val="none"/>
              </w:rPr>
            </w:pPr>
          </w:p>
        </w:tc>
      </w:tr>
      <w:tr w14:paraId="16FE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50960F5A">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1793" w:type="dxa"/>
            <w:noWrap w:val="0"/>
            <w:vAlign w:val="center"/>
          </w:tcPr>
          <w:p w14:paraId="5B326273">
            <w:pPr>
              <w:spacing w:line="240" w:lineRule="exact"/>
              <w:jc w:val="center"/>
              <w:rPr>
                <w:rFonts w:hint="eastAsia" w:ascii="宋体" w:hAnsi="宋体" w:cs="宋体"/>
                <w:color w:val="auto"/>
                <w:sz w:val="22"/>
                <w:highlight w:val="none"/>
              </w:rPr>
            </w:pPr>
          </w:p>
        </w:tc>
        <w:tc>
          <w:tcPr>
            <w:tcW w:w="900" w:type="dxa"/>
            <w:noWrap w:val="0"/>
            <w:vAlign w:val="center"/>
          </w:tcPr>
          <w:p w14:paraId="76E21908">
            <w:pPr>
              <w:jc w:val="center"/>
              <w:rPr>
                <w:rFonts w:hint="eastAsia" w:ascii="宋体" w:hAnsi="宋体" w:cs="宋体"/>
                <w:color w:val="auto"/>
                <w:sz w:val="22"/>
                <w:highlight w:val="none"/>
              </w:rPr>
            </w:pPr>
          </w:p>
        </w:tc>
        <w:tc>
          <w:tcPr>
            <w:tcW w:w="992" w:type="dxa"/>
            <w:noWrap w:val="0"/>
            <w:vAlign w:val="center"/>
          </w:tcPr>
          <w:p w14:paraId="5921DBE0">
            <w:pPr>
              <w:spacing w:line="240" w:lineRule="exact"/>
              <w:jc w:val="center"/>
              <w:rPr>
                <w:rFonts w:hint="eastAsia" w:ascii="宋体" w:hAnsi="宋体" w:cs="宋体"/>
                <w:color w:val="auto"/>
                <w:sz w:val="22"/>
                <w:highlight w:val="none"/>
              </w:rPr>
            </w:pPr>
          </w:p>
        </w:tc>
        <w:tc>
          <w:tcPr>
            <w:tcW w:w="1785" w:type="dxa"/>
            <w:noWrap w:val="0"/>
            <w:vAlign w:val="center"/>
          </w:tcPr>
          <w:p w14:paraId="1D6FDA73">
            <w:pPr>
              <w:spacing w:line="240" w:lineRule="exact"/>
              <w:jc w:val="center"/>
              <w:rPr>
                <w:rFonts w:hint="eastAsia" w:ascii="宋体" w:hAnsi="宋体" w:cs="宋体"/>
                <w:color w:val="auto"/>
                <w:sz w:val="22"/>
                <w:highlight w:val="none"/>
              </w:rPr>
            </w:pPr>
          </w:p>
        </w:tc>
        <w:tc>
          <w:tcPr>
            <w:tcW w:w="1116" w:type="dxa"/>
            <w:noWrap w:val="0"/>
            <w:vAlign w:val="center"/>
          </w:tcPr>
          <w:p w14:paraId="606D1D09">
            <w:pPr>
              <w:spacing w:line="240" w:lineRule="exact"/>
              <w:jc w:val="center"/>
              <w:rPr>
                <w:rFonts w:hint="eastAsia" w:ascii="宋体" w:hAnsi="宋体" w:cs="宋体"/>
                <w:color w:val="auto"/>
                <w:sz w:val="22"/>
                <w:highlight w:val="none"/>
              </w:rPr>
            </w:pPr>
          </w:p>
        </w:tc>
        <w:tc>
          <w:tcPr>
            <w:tcW w:w="1341" w:type="dxa"/>
            <w:noWrap w:val="0"/>
            <w:vAlign w:val="center"/>
          </w:tcPr>
          <w:p w14:paraId="5B80642D">
            <w:pPr>
              <w:spacing w:line="240" w:lineRule="exact"/>
              <w:jc w:val="center"/>
              <w:rPr>
                <w:rFonts w:hint="eastAsia" w:ascii="宋体" w:hAnsi="宋体" w:cs="宋体"/>
                <w:color w:val="auto"/>
                <w:sz w:val="22"/>
                <w:highlight w:val="none"/>
              </w:rPr>
            </w:pPr>
          </w:p>
        </w:tc>
        <w:tc>
          <w:tcPr>
            <w:tcW w:w="1080" w:type="dxa"/>
            <w:noWrap w:val="0"/>
            <w:vAlign w:val="center"/>
          </w:tcPr>
          <w:p w14:paraId="5AC9AFD1">
            <w:pPr>
              <w:spacing w:line="240" w:lineRule="exact"/>
              <w:jc w:val="center"/>
              <w:rPr>
                <w:rFonts w:hint="eastAsia" w:ascii="宋体" w:hAnsi="宋体" w:cs="宋体"/>
                <w:i/>
                <w:color w:val="auto"/>
                <w:sz w:val="22"/>
                <w:highlight w:val="none"/>
              </w:rPr>
            </w:pPr>
          </w:p>
        </w:tc>
      </w:tr>
      <w:tr w14:paraId="3A90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58B51EB7">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1793" w:type="dxa"/>
            <w:noWrap w:val="0"/>
            <w:vAlign w:val="center"/>
          </w:tcPr>
          <w:p w14:paraId="409EF693">
            <w:pPr>
              <w:spacing w:line="240" w:lineRule="exact"/>
              <w:jc w:val="center"/>
              <w:rPr>
                <w:rFonts w:hint="eastAsia" w:ascii="宋体" w:hAnsi="宋体" w:cs="宋体"/>
                <w:color w:val="auto"/>
                <w:sz w:val="22"/>
                <w:highlight w:val="none"/>
              </w:rPr>
            </w:pPr>
          </w:p>
        </w:tc>
        <w:tc>
          <w:tcPr>
            <w:tcW w:w="900" w:type="dxa"/>
            <w:noWrap w:val="0"/>
            <w:vAlign w:val="center"/>
          </w:tcPr>
          <w:p w14:paraId="191C61DA">
            <w:pPr>
              <w:jc w:val="center"/>
              <w:rPr>
                <w:rFonts w:hint="eastAsia" w:ascii="宋体" w:hAnsi="宋体" w:cs="宋体"/>
                <w:color w:val="auto"/>
                <w:sz w:val="22"/>
                <w:highlight w:val="none"/>
              </w:rPr>
            </w:pPr>
          </w:p>
        </w:tc>
        <w:tc>
          <w:tcPr>
            <w:tcW w:w="992" w:type="dxa"/>
            <w:noWrap w:val="0"/>
            <w:vAlign w:val="center"/>
          </w:tcPr>
          <w:p w14:paraId="275B15C9">
            <w:pPr>
              <w:spacing w:line="240" w:lineRule="exact"/>
              <w:jc w:val="center"/>
              <w:rPr>
                <w:rFonts w:hint="eastAsia" w:ascii="宋体" w:hAnsi="宋体" w:cs="宋体"/>
                <w:color w:val="auto"/>
                <w:sz w:val="22"/>
                <w:highlight w:val="none"/>
              </w:rPr>
            </w:pPr>
          </w:p>
        </w:tc>
        <w:tc>
          <w:tcPr>
            <w:tcW w:w="1785" w:type="dxa"/>
            <w:noWrap w:val="0"/>
            <w:vAlign w:val="center"/>
          </w:tcPr>
          <w:p w14:paraId="5A3AFC3A">
            <w:pPr>
              <w:spacing w:line="240" w:lineRule="exact"/>
              <w:jc w:val="center"/>
              <w:rPr>
                <w:rFonts w:hint="eastAsia" w:ascii="宋体" w:hAnsi="宋体" w:cs="宋体"/>
                <w:color w:val="auto"/>
                <w:sz w:val="22"/>
                <w:highlight w:val="none"/>
              </w:rPr>
            </w:pPr>
          </w:p>
        </w:tc>
        <w:tc>
          <w:tcPr>
            <w:tcW w:w="1116" w:type="dxa"/>
            <w:noWrap w:val="0"/>
            <w:vAlign w:val="center"/>
          </w:tcPr>
          <w:p w14:paraId="7C2FFDBC">
            <w:pPr>
              <w:spacing w:line="240" w:lineRule="exact"/>
              <w:jc w:val="center"/>
              <w:rPr>
                <w:rFonts w:hint="eastAsia" w:ascii="宋体" w:hAnsi="宋体" w:cs="宋体"/>
                <w:color w:val="auto"/>
                <w:sz w:val="22"/>
                <w:highlight w:val="none"/>
              </w:rPr>
            </w:pPr>
          </w:p>
        </w:tc>
        <w:tc>
          <w:tcPr>
            <w:tcW w:w="1341" w:type="dxa"/>
            <w:noWrap w:val="0"/>
            <w:vAlign w:val="center"/>
          </w:tcPr>
          <w:p w14:paraId="32609EAD">
            <w:pPr>
              <w:spacing w:line="240" w:lineRule="exact"/>
              <w:jc w:val="center"/>
              <w:rPr>
                <w:rFonts w:hint="eastAsia" w:ascii="宋体" w:hAnsi="宋体" w:cs="宋体"/>
                <w:color w:val="auto"/>
                <w:sz w:val="22"/>
                <w:highlight w:val="none"/>
              </w:rPr>
            </w:pPr>
          </w:p>
        </w:tc>
        <w:tc>
          <w:tcPr>
            <w:tcW w:w="1080" w:type="dxa"/>
            <w:noWrap w:val="0"/>
            <w:vAlign w:val="center"/>
          </w:tcPr>
          <w:p w14:paraId="34EF5947">
            <w:pPr>
              <w:spacing w:line="240" w:lineRule="exact"/>
              <w:jc w:val="center"/>
              <w:rPr>
                <w:rFonts w:hint="eastAsia" w:ascii="宋体" w:hAnsi="宋体" w:cs="宋体"/>
                <w:color w:val="auto"/>
                <w:sz w:val="22"/>
                <w:highlight w:val="none"/>
              </w:rPr>
            </w:pPr>
          </w:p>
        </w:tc>
      </w:tr>
      <w:tr w14:paraId="5009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78BCF958">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4</w:t>
            </w:r>
          </w:p>
        </w:tc>
        <w:tc>
          <w:tcPr>
            <w:tcW w:w="1793" w:type="dxa"/>
            <w:noWrap w:val="0"/>
            <w:vAlign w:val="center"/>
          </w:tcPr>
          <w:p w14:paraId="72F04EFD">
            <w:pPr>
              <w:spacing w:line="240" w:lineRule="exact"/>
              <w:jc w:val="center"/>
              <w:rPr>
                <w:rFonts w:hint="eastAsia" w:ascii="宋体" w:hAnsi="宋体" w:cs="宋体"/>
                <w:color w:val="auto"/>
                <w:sz w:val="22"/>
                <w:highlight w:val="none"/>
              </w:rPr>
            </w:pPr>
          </w:p>
        </w:tc>
        <w:tc>
          <w:tcPr>
            <w:tcW w:w="900" w:type="dxa"/>
            <w:noWrap w:val="0"/>
            <w:vAlign w:val="center"/>
          </w:tcPr>
          <w:p w14:paraId="33F4656B">
            <w:pPr>
              <w:jc w:val="center"/>
              <w:rPr>
                <w:rFonts w:hint="eastAsia" w:ascii="宋体" w:hAnsi="宋体" w:cs="宋体"/>
                <w:color w:val="auto"/>
                <w:sz w:val="22"/>
                <w:highlight w:val="none"/>
              </w:rPr>
            </w:pPr>
          </w:p>
        </w:tc>
        <w:tc>
          <w:tcPr>
            <w:tcW w:w="992" w:type="dxa"/>
            <w:noWrap w:val="0"/>
            <w:vAlign w:val="center"/>
          </w:tcPr>
          <w:p w14:paraId="63743D86">
            <w:pPr>
              <w:spacing w:line="240" w:lineRule="exact"/>
              <w:jc w:val="center"/>
              <w:rPr>
                <w:rFonts w:hint="eastAsia" w:ascii="宋体" w:hAnsi="宋体" w:cs="宋体"/>
                <w:color w:val="auto"/>
                <w:sz w:val="22"/>
                <w:highlight w:val="none"/>
              </w:rPr>
            </w:pPr>
          </w:p>
        </w:tc>
        <w:tc>
          <w:tcPr>
            <w:tcW w:w="1785" w:type="dxa"/>
            <w:noWrap w:val="0"/>
            <w:vAlign w:val="center"/>
          </w:tcPr>
          <w:p w14:paraId="222A1AD5">
            <w:pPr>
              <w:spacing w:line="240" w:lineRule="exact"/>
              <w:jc w:val="center"/>
              <w:rPr>
                <w:rFonts w:hint="eastAsia" w:ascii="宋体" w:hAnsi="宋体" w:cs="宋体"/>
                <w:color w:val="auto"/>
                <w:sz w:val="22"/>
                <w:highlight w:val="none"/>
              </w:rPr>
            </w:pPr>
          </w:p>
        </w:tc>
        <w:tc>
          <w:tcPr>
            <w:tcW w:w="1116" w:type="dxa"/>
            <w:noWrap w:val="0"/>
            <w:vAlign w:val="center"/>
          </w:tcPr>
          <w:p w14:paraId="6901EDA8">
            <w:pPr>
              <w:spacing w:line="240" w:lineRule="exact"/>
              <w:jc w:val="center"/>
              <w:rPr>
                <w:rFonts w:hint="eastAsia" w:ascii="宋体" w:hAnsi="宋体" w:cs="宋体"/>
                <w:color w:val="auto"/>
                <w:sz w:val="22"/>
                <w:highlight w:val="none"/>
              </w:rPr>
            </w:pPr>
          </w:p>
        </w:tc>
        <w:tc>
          <w:tcPr>
            <w:tcW w:w="1341" w:type="dxa"/>
            <w:noWrap w:val="0"/>
            <w:vAlign w:val="center"/>
          </w:tcPr>
          <w:p w14:paraId="27E9568C">
            <w:pPr>
              <w:spacing w:line="240" w:lineRule="exact"/>
              <w:jc w:val="center"/>
              <w:rPr>
                <w:rFonts w:hint="eastAsia" w:ascii="宋体" w:hAnsi="宋体" w:cs="宋体"/>
                <w:color w:val="auto"/>
                <w:sz w:val="22"/>
                <w:highlight w:val="none"/>
              </w:rPr>
            </w:pPr>
          </w:p>
        </w:tc>
        <w:tc>
          <w:tcPr>
            <w:tcW w:w="1080" w:type="dxa"/>
            <w:noWrap w:val="0"/>
            <w:vAlign w:val="center"/>
          </w:tcPr>
          <w:p w14:paraId="078C8106">
            <w:pPr>
              <w:spacing w:line="240" w:lineRule="exact"/>
              <w:jc w:val="center"/>
              <w:rPr>
                <w:rFonts w:hint="eastAsia" w:ascii="宋体" w:hAnsi="宋体" w:cs="宋体"/>
                <w:color w:val="auto"/>
                <w:sz w:val="22"/>
                <w:highlight w:val="none"/>
              </w:rPr>
            </w:pPr>
          </w:p>
        </w:tc>
      </w:tr>
      <w:tr w14:paraId="796C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660B04F8">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5</w:t>
            </w:r>
          </w:p>
        </w:tc>
        <w:tc>
          <w:tcPr>
            <w:tcW w:w="1793" w:type="dxa"/>
            <w:noWrap w:val="0"/>
            <w:vAlign w:val="center"/>
          </w:tcPr>
          <w:p w14:paraId="500F12E5">
            <w:pPr>
              <w:spacing w:line="240" w:lineRule="exact"/>
              <w:jc w:val="center"/>
              <w:rPr>
                <w:rFonts w:hint="eastAsia" w:ascii="宋体" w:hAnsi="宋体" w:cs="宋体"/>
                <w:color w:val="auto"/>
                <w:sz w:val="22"/>
                <w:highlight w:val="none"/>
              </w:rPr>
            </w:pPr>
          </w:p>
        </w:tc>
        <w:tc>
          <w:tcPr>
            <w:tcW w:w="900" w:type="dxa"/>
            <w:noWrap w:val="0"/>
            <w:vAlign w:val="center"/>
          </w:tcPr>
          <w:p w14:paraId="35E2F7F1">
            <w:pPr>
              <w:jc w:val="center"/>
              <w:rPr>
                <w:rFonts w:hint="eastAsia" w:ascii="宋体" w:hAnsi="宋体" w:cs="宋体"/>
                <w:color w:val="auto"/>
                <w:sz w:val="22"/>
                <w:highlight w:val="none"/>
              </w:rPr>
            </w:pPr>
          </w:p>
        </w:tc>
        <w:tc>
          <w:tcPr>
            <w:tcW w:w="992" w:type="dxa"/>
            <w:noWrap w:val="0"/>
            <w:vAlign w:val="center"/>
          </w:tcPr>
          <w:p w14:paraId="13A31B2A">
            <w:pPr>
              <w:spacing w:line="240" w:lineRule="exact"/>
              <w:jc w:val="center"/>
              <w:rPr>
                <w:rFonts w:hint="eastAsia" w:ascii="宋体" w:hAnsi="宋体" w:cs="宋体"/>
                <w:color w:val="auto"/>
                <w:sz w:val="22"/>
                <w:highlight w:val="none"/>
              </w:rPr>
            </w:pPr>
          </w:p>
        </w:tc>
        <w:tc>
          <w:tcPr>
            <w:tcW w:w="1785" w:type="dxa"/>
            <w:noWrap w:val="0"/>
            <w:vAlign w:val="center"/>
          </w:tcPr>
          <w:p w14:paraId="5CA62AA2">
            <w:pPr>
              <w:spacing w:line="240" w:lineRule="exact"/>
              <w:jc w:val="center"/>
              <w:rPr>
                <w:rFonts w:hint="eastAsia" w:ascii="宋体" w:hAnsi="宋体" w:cs="宋体"/>
                <w:color w:val="auto"/>
                <w:sz w:val="22"/>
                <w:highlight w:val="none"/>
              </w:rPr>
            </w:pPr>
          </w:p>
        </w:tc>
        <w:tc>
          <w:tcPr>
            <w:tcW w:w="1116" w:type="dxa"/>
            <w:noWrap w:val="0"/>
            <w:vAlign w:val="center"/>
          </w:tcPr>
          <w:p w14:paraId="4A7A3F89">
            <w:pPr>
              <w:spacing w:line="240" w:lineRule="exact"/>
              <w:jc w:val="center"/>
              <w:rPr>
                <w:rFonts w:hint="eastAsia" w:ascii="宋体" w:hAnsi="宋体" w:cs="宋体"/>
                <w:color w:val="auto"/>
                <w:sz w:val="22"/>
                <w:highlight w:val="none"/>
              </w:rPr>
            </w:pPr>
          </w:p>
        </w:tc>
        <w:tc>
          <w:tcPr>
            <w:tcW w:w="1341" w:type="dxa"/>
            <w:noWrap w:val="0"/>
            <w:vAlign w:val="center"/>
          </w:tcPr>
          <w:p w14:paraId="234324F2">
            <w:pPr>
              <w:spacing w:line="240" w:lineRule="exact"/>
              <w:jc w:val="center"/>
              <w:rPr>
                <w:rFonts w:hint="eastAsia" w:ascii="宋体" w:hAnsi="宋体" w:cs="宋体"/>
                <w:color w:val="auto"/>
                <w:sz w:val="22"/>
                <w:highlight w:val="none"/>
              </w:rPr>
            </w:pPr>
          </w:p>
        </w:tc>
        <w:tc>
          <w:tcPr>
            <w:tcW w:w="1080" w:type="dxa"/>
            <w:noWrap w:val="0"/>
            <w:vAlign w:val="center"/>
          </w:tcPr>
          <w:p w14:paraId="1BE3A8D9">
            <w:pPr>
              <w:spacing w:line="240" w:lineRule="exact"/>
              <w:jc w:val="center"/>
              <w:rPr>
                <w:rFonts w:hint="eastAsia" w:ascii="宋体" w:hAnsi="宋体" w:cs="宋体"/>
                <w:color w:val="auto"/>
                <w:sz w:val="22"/>
                <w:highlight w:val="none"/>
              </w:rPr>
            </w:pPr>
          </w:p>
        </w:tc>
      </w:tr>
      <w:tr w14:paraId="65B8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215134EF">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6</w:t>
            </w:r>
          </w:p>
        </w:tc>
        <w:tc>
          <w:tcPr>
            <w:tcW w:w="1793" w:type="dxa"/>
            <w:noWrap w:val="0"/>
            <w:vAlign w:val="center"/>
          </w:tcPr>
          <w:p w14:paraId="6DDAE2DD">
            <w:pPr>
              <w:spacing w:line="240" w:lineRule="exact"/>
              <w:jc w:val="center"/>
              <w:rPr>
                <w:rFonts w:hint="eastAsia" w:ascii="宋体" w:hAnsi="宋体" w:cs="宋体"/>
                <w:color w:val="auto"/>
                <w:sz w:val="22"/>
                <w:highlight w:val="none"/>
              </w:rPr>
            </w:pPr>
          </w:p>
        </w:tc>
        <w:tc>
          <w:tcPr>
            <w:tcW w:w="900" w:type="dxa"/>
            <w:noWrap w:val="0"/>
            <w:vAlign w:val="center"/>
          </w:tcPr>
          <w:p w14:paraId="21BD0FB3">
            <w:pPr>
              <w:jc w:val="center"/>
              <w:rPr>
                <w:rFonts w:hint="eastAsia" w:ascii="宋体" w:hAnsi="宋体" w:cs="宋体"/>
                <w:color w:val="auto"/>
                <w:sz w:val="22"/>
                <w:highlight w:val="none"/>
              </w:rPr>
            </w:pPr>
          </w:p>
        </w:tc>
        <w:tc>
          <w:tcPr>
            <w:tcW w:w="992" w:type="dxa"/>
            <w:noWrap w:val="0"/>
            <w:vAlign w:val="center"/>
          </w:tcPr>
          <w:p w14:paraId="3672B40F">
            <w:pPr>
              <w:spacing w:line="240" w:lineRule="exact"/>
              <w:jc w:val="center"/>
              <w:rPr>
                <w:rFonts w:hint="eastAsia" w:ascii="宋体" w:hAnsi="宋体" w:cs="宋体"/>
                <w:color w:val="auto"/>
                <w:sz w:val="22"/>
                <w:highlight w:val="none"/>
              </w:rPr>
            </w:pPr>
          </w:p>
        </w:tc>
        <w:tc>
          <w:tcPr>
            <w:tcW w:w="1785" w:type="dxa"/>
            <w:noWrap w:val="0"/>
            <w:vAlign w:val="center"/>
          </w:tcPr>
          <w:p w14:paraId="75A33375">
            <w:pPr>
              <w:spacing w:line="240" w:lineRule="exact"/>
              <w:jc w:val="center"/>
              <w:rPr>
                <w:rFonts w:hint="eastAsia" w:ascii="宋体" w:hAnsi="宋体" w:cs="宋体"/>
                <w:color w:val="auto"/>
                <w:sz w:val="22"/>
                <w:highlight w:val="none"/>
              </w:rPr>
            </w:pPr>
          </w:p>
        </w:tc>
        <w:tc>
          <w:tcPr>
            <w:tcW w:w="1116" w:type="dxa"/>
            <w:noWrap w:val="0"/>
            <w:vAlign w:val="center"/>
          </w:tcPr>
          <w:p w14:paraId="0E7327F7">
            <w:pPr>
              <w:spacing w:line="240" w:lineRule="exact"/>
              <w:jc w:val="center"/>
              <w:rPr>
                <w:rFonts w:hint="eastAsia" w:ascii="宋体" w:hAnsi="宋体" w:cs="宋体"/>
                <w:color w:val="auto"/>
                <w:sz w:val="22"/>
                <w:highlight w:val="none"/>
              </w:rPr>
            </w:pPr>
          </w:p>
        </w:tc>
        <w:tc>
          <w:tcPr>
            <w:tcW w:w="1341" w:type="dxa"/>
            <w:noWrap w:val="0"/>
            <w:vAlign w:val="center"/>
          </w:tcPr>
          <w:p w14:paraId="640F860F">
            <w:pPr>
              <w:spacing w:line="240" w:lineRule="exact"/>
              <w:jc w:val="center"/>
              <w:rPr>
                <w:rFonts w:hint="eastAsia" w:ascii="宋体" w:hAnsi="宋体" w:cs="宋体"/>
                <w:color w:val="auto"/>
                <w:sz w:val="22"/>
                <w:highlight w:val="none"/>
              </w:rPr>
            </w:pPr>
          </w:p>
        </w:tc>
        <w:tc>
          <w:tcPr>
            <w:tcW w:w="1080" w:type="dxa"/>
            <w:noWrap w:val="0"/>
            <w:vAlign w:val="center"/>
          </w:tcPr>
          <w:p w14:paraId="26E90212">
            <w:pPr>
              <w:spacing w:line="240" w:lineRule="exact"/>
              <w:jc w:val="center"/>
              <w:rPr>
                <w:rFonts w:hint="eastAsia" w:ascii="宋体" w:hAnsi="宋体" w:cs="宋体"/>
                <w:color w:val="auto"/>
                <w:sz w:val="22"/>
                <w:highlight w:val="none"/>
              </w:rPr>
            </w:pPr>
          </w:p>
        </w:tc>
      </w:tr>
      <w:tr w14:paraId="49C2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50C32F18">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7</w:t>
            </w:r>
          </w:p>
        </w:tc>
        <w:tc>
          <w:tcPr>
            <w:tcW w:w="1793" w:type="dxa"/>
            <w:noWrap w:val="0"/>
            <w:vAlign w:val="center"/>
          </w:tcPr>
          <w:p w14:paraId="5326A822">
            <w:pPr>
              <w:spacing w:line="240" w:lineRule="exact"/>
              <w:jc w:val="center"/>
              <w:rPr>
                <w:rFonts w:hint="eastAsia" w:ascii="宋体" w:hAnsi="宋体" w:cs="宋体"/>
                <w:color w:val="auto"/>
                <w:sz w:val="22"/>
                <w:highlight w:val="none"/>
              </w:rPr>
            </w:pPr>
          </w:p>
        </w:tc>
        <w:tc>
          <w:tcPr>
            <w:tcW w:w="900" w:type="dxa"/>
            <w:noWrap w:val="0"/>
            <w:vAlign w:val="center"/>
          </w:tcPr>
          <w:p w14:paraId="4C934214">
            <w:pPr>
              <w:jc w:val="center"/>
              <w:rPr>
                <w:rFonts w:hint="eastAsia" w:ascii="宋体" w:hAnsi="宋体" w:cs="宋体"/>
                <w:color w:val="auto"/>
                <w:sz w:val="22"/>
                <w:highlight w:val="none"/>
              </w:rPr>
            </w:pPr>
          </w:p>
        </w:tc>
        <w:tc>
          <w:tcPr>
            <w:tcW w:w="992" w:type="dxa"/>
            <w:noWrap w:val="0"/>
            <w:vAlign w:val="center"/>
          </w:tcPr>
          <w:p w14:paraId="77718D13">
            <w:pPr>
              <w:spacing w:line="240" w:lineRule="exact"/>
              <w:jc w:val="center"/>
              <w:rPr>
                <w:rFonts w:hint="eastAsia" w:ascii="宋体" w:hAnsi="宋体" w:cs="宋体"/>
                <w:color w:val="auto"/>
                <w:sz w:val="22"/>
                <w:highlight w:val="none"/>
              </w:rPr>
            </w:pPr>
          </w:p>
        </w:tc>
        <w:tc>
          <w:tcPr>
            <w:tcW w:w="1785" w:type="dxa"/>
            <w:noWrap w:val="0"/>
            <w:vAlign w:val="center"/>
          </w:tcPr>
          <w:p w14:paraId="18AE00D0">
            <w:pPr>
              <w:spacing w:line="240" w:lineRule="exact"/>
              <w:jc w:val="center"/>
              <w:rPr>
                <w:rFonts w:hint="eastAsia" w:ascii="宋体" w:hAnsi="宋体" w:cs="宋体"/>
                <w:color w:val="auto"/>
                <w:sz w:val="22"/>
                <w:highlight w:val="none"/>
              </w:rPr>
            </w:pPr>
          </w:p>
        </w:tc>
        <w:tc>
          <w:tcPr>
            <w:tcW w:w="1116" w:type="dxa"/>
            <w:noWrap w:val="0"/>
            <w:vAlign w:val="center"/>
          </w:tcPr>
          <w:p w14:paraId="6FF20AC7">
            <w:pPr>
              <w:spacing w:line="240" w:lineRule="exact"/>
              <w:jc w:val="center"/>
              <w:rPr>
                <w:rFonts w:hint="eastAsia" w:ascii="宋体" w:hAnsi="宋体" w:cs="宋体"/>
                <w:color w:val="auto"/>
                <w:sz w:val="22"/>
                <w:highlight w:val="none"/>
              </w:rPr>
            </w:pPr>
          </w:p>
        </w:tc>
        <w:tc>
          <w:tcPr>
            <w:tcW w:w="1341" w:type="dxa"/>
            <w:noWrap w:val="0"/>
            <w:vAlign w:val="center"/>
          </w:tcPr>
          <w:p w14:paraId="0CB8A7F9">
            <w:pPr>
              <w:spacing w:line="240" w:lineRule="exact"/>
              <w:jc w:val="center"/>
              <w:rPr>
                <w:rFonts w:hint="eastAsia" w:ascii="宋体" w:hAnsi="宋体" w:cs="宋体"/>
                <w:color w:val="auto"/>
                <w:sz w:val="22"/>
                <w:highlight w:val="none"/>
              </w:rPr>
            </w:pPr>
          </w:p>
        </w:tc>
        <w:tc>
          <w:tcPr>
            <w:tcW w:w="1080" w:type="dxa"/>
            <w:noWrap w:val="0"/>
            <w:vAlign w:val="center"/>
          </w:tcPr>
          <w:p w14:paraId="4FC77973">
            <w:pPr>
              <w:spacing w:line="240" w:lineRule="exact"/>
              <w:jc w:val="center"/>
              <w:rPr>
                <w:rFonts w:hint="eastAsia" w:ascii="宋体" w:hAnsi="宋体" w:cs="宋体"/>
                <w:color w:val="auto"/>
                <w:sz w:val="22"/>
                <w:highlight w:val="none"/>
              </w:rPr>
            </w:pPr>
          </w:p>
        </w:tc>
      </w:tr>
      <w:tr w14:paraId="4048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648B10A9">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8</w:t>
            </w:r>
          </w:p>
        </w:tc>
        <w:tc>
          <w:tcPr>
            <w:tcW w:w="1793" w:type="dxa"/>
            <w:noWrap w:val="0"/>
            <w:vAlign w:val="center"/>
          </w:tcPr>
          <w:p w14:paraId="20A9AF5D">
            <w:pPr>
              <w:spacing w:line="240" w:lineRule="exact"/>
              <w:jc w:val="center"/>
              <w:rPr>
                <w:rFonts w:hint="eastAsia" w:ascii="宋体" w:hAnsi="宋体" w:cs="宋体"/>
                <w:color w:val="auto"/>
                <w:sz w:val="22"/>
                <w:highlight w:val="none"/>
              </w:rPr>
            </w:pPr>
          </w:p>
        </w:tc>
        <w:tc>
          <w:tcPr>
            <w:tcW w:w="900" w:type="dxa"/>
            <w:noWrap w:val="0"/>
            <w:vAlign w:val="center"/>
          </w:tcPr>
          <w:p w14:paraId="7CF22CA6">
            <w:pPr>
              <w:jc w:val="center"/>
              <w:rPr>
                <w:rFonts w:hint="eastAsia" w:ascii="宋体" w:hAnsi="宋体" w:cs="宋体"/>
                <w:color w:val="auto"/>
                <w:sz w:val="22"/>
                <w:highlight w:val="none"/>
              </w:rPr>
            </w:pPr>
          </w:p>
        </w:tc>
        <w:tc>
          <w:tcPr>
            <w:tcW w:w="992" w:type="dxa"/>
            <w:noWrap w:val="0"/>
            <w:vAlign w:val="center"/>
          </w:tcPr>
          <w:p w14:paraId="5DF4A20A">
            <w:pPr>
              <w:spacing w:line="240" w:lineRule="exact"/>
              <w:jc w:val="center"/>
              <w:rPr>
                <w:rFonts w:hint="eastAsia" w:ascii="宋体" w:hAnsi="宋体" w:cs="宋体"/>
                <w:color w:val="auto"/>
                <w:sz w:val="22"/>
                <w:highlight w:val="none"/>
              </w:rPr>
            </w:pPr>
          </w:p>
        </w:tc>
        <w:tc>
          <w:tcPr>
            <w:tcW w:w="1785" w:type="dxa"/>
            <w:noWrap w:val="0"/>
            <w:vAlign w:val="center"/>
          </w:tcPr>
          <w:p w14:paraId="5A1A2493">
            <w:pPr>
              <w:spacing w:line="240" w:lineRule="exact"/>
              <w:jc w:val="center"/>
              <w:rPr>
                <w:rFonts w:hint="eastAsia" w:ascii="宋体" w:hAnsi="宋体" w:cs="宋体"/>
                <w:color w:val="auto"/>
                <w:sz w:val="22"/>
                <w:highlight w:val="none"/>
              </w:rPr>
            </w:pPr>
          </w:p>
        </w:tc>
        <w:tc>
          <w:tcPr>
            <w:tcW w:w="1116" w:type="dxa"/>
            <w:noWrap w:val="0"/>
            <w:vAlign w:val="center"/>
          </w:tcPr>
          <w:p w14:paraId="2296F203">
            <w:pPr>
              <w:spacing w:line="240" w:lineRule="exact"/>
              <w:jc w:val="center"/>
              <w:rPr>
                <w:rFonts w:hint="eastAsia" w:ascii="宋体" w:hAnsi="宋体" w:cs="宋体"/>
                <w:color w:val="auto"/>
                <w:sz w:val="22"/>
                <w:highlight w:val="none"/>
              </w:rPr>
            </w:pPr>
          </w:p>
        </w:tc>
        <w:tc>
          <w:tcPr>
            <w:tcW w:w="1341" w:type="dxa"/>
            <w:noWrap w:val="0"/>
            <w:vAlign w:val="center"/>
          </w:tcPr>
          <w:p w14:paraId="5750DDC0">
            <w:pPr>
              <w:spacing w:line="240" w:lineRule="exact"/>
              <w:jc w:val="center"/>
              <w:rPr>
                <w:rFonts w:hint="eastAsia" w:ascii="宋体" w:hAnsi="宋体" w:cs="宋体"/>
                <w:color w:val="auto"/>
                <w:sz w:val="22"/>
                <w:highlight w:val="none"/>
              </w:rPr>
            </w:pPr>
          </w:p>
        </w:tc>
        <w:tc>
          <w:tcPr>
            <w:tcW w:w="1080" w:type="dxa"/>
            <w:noWrap w:val="0"/>
            <w:vAlign w:val="center"/>
          </w:tcPr>
          <w:p w14:paraId="4316D00F">
            <w:pPr>
              <w:spacing w:line="240" w:lineRule="exact"/>
              <w:jc w:val="center"/>
              <w:rPr>
                <w:rFonts w:hint="eastAsia" w:ascii="宋体" w:hAnsi="宋体" w:cs="宋体"/>
                <w:color w:val="auto"/>
                <w:sz w:val="22"/>
                <w:highlight w:val="none"/>
              </w:rPr>
            </w:pPr>
          </w:p>
        </w:tc>
      </w:tr>
      <w:tr w14:paraId="0D7A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0EBF54B6">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9</w:t>
            </w:r>
          </w:p>
        </w:tc>
        <w:tc>
          <w:tcPr>
            <w:tcW w:w="1793" w:type="dxa"/>
            <w:noWrap w:val="0"/>
            <w:vAlign w:val="center"/>
          </w:tcPr>
          <w:p w14:paraId="0867056C">
            <w:pPr>
              <w:spacing w:line="240" w:lineRule="exact"/>
              <w:jc w:val="center"/>
              <w:rPr>
                <w:rFonts w:hint="eastAsia" w:ascii="宋体" w:hAnsi="宋体" w:cs="宋体"/>
                <w:color w:val="auto"/>
                <w:sz w:val="22"/>
                <w:highlight w:val="none"/>
              </w:rPr>
            </w:pPr>
          </w:p>
        </w:tc>
        <w:tc>
          <w:tcPr>
            <w:tcW w:w="900" w:type="dxa"/>
            <w:noWrap w:val="0"/>
            <w:vAlign w:val="center"/>
          </w:tcPr>
          <w:p w14:paraId="35A0858C">
            <w:pPr>
              <w:jc w:val="center"/>
              <w:rPr>
                <w:rFonts w:hint="eastAsia" w:ascii="宋体" w:hAnsi="宋体" w:cs="宋体"/>
                <w:color w:val="auto"/>
                <w:sz w:val="22"/>
                <w:highlight w:val="none"/>
              </w:rPr>
            </w:pPr>
          </w:p>
        </w:tc>
        <w:tc>
          <w:tcPr>
            <w:tcW w:w="992" w:type="dxa"/>
            <w:noWrap w:val="0"/>
            <w:vAlign w:val="center"/>
          </w:tcPr>
          <w:p w14:paraId="052DE9C5">
            <w:pPr>
              <w:spacing w:line="240" w:lineRule="exact"/>
              <w:jc w:val="center"/>
              <w:rPr>
                <w:rFonts w:hint="eastAsia" w:ascii="宋体" w:hAnsi="宋体" w:cs="宋体"/>
                <w:color w:val="auto"/>
                <w:sz w:val="22"/>
                <w:highlight w:val="none"/>
              </w:rPr>
            </w:pPr>
          </w:p>
        </w:tc>
        <w:tc>
          <w:tcPr>
            <w:tcW w:w="1785" w:type="dxa"/>
            <w:noWrap w:val="0"/>
            <w:vAlign w:val="center"/>
          </w:tcPr>
          <w:p w14:paraId="13805BAD">
            <w:pPr>
              <w:spacing w:line="240" w:lineRule="exact"/>
              <w:jc w:val="center"/>
              <w:rPr>
                <w:rFonts w:hint="eastAsia" w:ascii="宋体" w:hAnsi="宋体" w:cs="宋体"/>
                <w:color w:val="auto"/>
                <w:sz w:val="22"/>
                <w:highlight w:val="none"/>
              </w:rPr>
            </w:pPr>
          </w:p>
        </w:tc>
        <w:tc>
          <w:tcPr>
            <w:tcW w:w="1116" w:type="dxa"/>
            <w:noWrap w:val="0"/>
            <w:vAlign w:val="center"/>
          </w:tcPr>
          <w:p w14:paraId="5857F578">
            <w:pPr>
              <w:spacing w:line="240" w:lineRule="exact"/>
              <w:jc w:val="center"/>
              <w:rPr>
                <w:rFonts w:hint="eastAsia" w:ascii="宋体" w:hAnsi="宋体" w:cs="宋体"/>
                <w:color w:val="auto"/>
                <w:sz w:val="22"/>
                <w:highlight w:val="none"/>
              </w:rPr>
            </w:pPr>
          </w:p>
        </w:tc>
        <w:tc>
          <w:tcPr>
            <w:tcW w:w="1341" w:type="dxa"/>
            <w:noWrap w:val="0"/>
            <w:vAlign w:val="center"/>
          </w:tcPr>
          <w:p w14:paraId="0CE3691F">
            <w:pPr>
              <w:spacing w:line="240" w:lineRule="exact"/>
              <w:jc w:val="center"/>
              <w:rPr>
                <w:rFonts w:hint="eastAsia" w:ascii="宋体" w:hAnsi="宋体" w:cs="宋体"/>
                <w:color w:val="auto"/>
                <w:sz w:val="22"/>
                <w:highlight w:val="none"/>
              </w:rPr>
            </w:pPr>
          </w:p>
        </w:tc>
        <w:tc>
          <w:tcPr>
            <w:tcW w:w="1080" w:type="dxa"/>
            <w:noWrap w:val="0"/>
            <w:vAlign w:val="center"/>
          </w:tcPr>
          <w:p w14:paraId="3CAAEDD1">
            <w:pPr>
              <w:spacing w:line="240" w:lineRule="exact"/>
              <w:jc w:val="center"/>
              <w:rPr>
                <w:rFonts w:hint="eastAsia" w:ascii="宋体" w:hAnsi="宋体" w:cs="宋体"/>
                <w:color w:val="auto"/>
                <w:sz w:val="22"/>
                <w:highlight w:val="none"/>
              </w:rPr>
            </w:pPr>
          </w:p>
        </w:tc>
      </w:tr>
      <w:tr w14:paraId="4710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14:paraId="3D06B0D2">
            <w:pPr>
              <w:spacing w:line="240" w:lineRule="exact"/>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1793" w:type="dxa"/>
            <w:noWrap w:val="0"/>
            <w:vAlign w:val="center"/>
          </w:tcPr>
          <w:p w14:paraId="6909F5A9">
            <w:pPr>
              <w:spacing w:line="240" w:lineRule="exact"/>
              <w:jc w:val="center"/>
              <w:rPr>
                <w:rFonts w:hint="eastAsia" w:ascii="宋体" w:hAnsi="宋体" w:cs="宋体"/>
                <w:color w:val="auto"/>
                <w:sz w:val="22"/>
                <w:highlight w:val="none"/>
              </w:rPr>
            </w:pPr>
          </w:p>
        </w:tc>
        <w:tc>
          <w:tcPr>
            <w:tcW w:w="900" w:type="dxa"/>
            <w:noWrap w:val="0"/>
            <w:vAlign w:val="center"/>
          </w:tcPr>
          <w:p w14:paraId="41551AD9">
            <w:pPr>
              <w:jc w:val="center"/>
              <w:rPr>
                <w:rFonts w:hint="eastAsia" w:ascii="宋体" w:hAnsi="宋体" w:cs="宋体"/>
                <w:color w:val="auto"/>
                <w:sz w:val="22"/>
                <w:highlight w:val="none"/>
              </w:rPr>
            </w:pPr>
          </w:p>
        </w:tc>
        <w:tc>
          <w:tcPr>
            <w:tcW w:w="992" w:type="dxa"/>
            <w:noWrap w:val="0"/>
            <w:vAlign w:val="center"/>
          </w:tcPr>
          <w:p w14:paraId="624FF8EB">
            <w:pPr>
              <w:spacing w:line="240" w:lineRule="exact"/>
              <w:jc w:val="center"/>
              <w:rPr>
                <w:rFonts w:hint="eastAsia" w:ascii="宋体" w:hAnsi="宋体" w:cs="宋体"/>
                <w:color w:val="auto"/>
                <w:sz w:val="22"/>
                <w:highlight w:val="none"/>
              </w:rPr>
            </w:pPr>
          </w:p>
        </w:tc>
        <w:tc>
          <w:tcPr>
            <w:tcW w:w="1785" w:type="dxa"/>
            <w:noWrap w:val="0"/>
            <w:vAlign w:val="center"/>
          </w:tcPr>
          <w:p w14:paraId="300CF1F0">
            <w:pPr>
              <w:spacing w:line="240" w:lineRule="exact"/>
              <w:jc w:val="center"/>
              <w:rPr>
                <w:rFonts w:hint="eastAsia" w:ascii="宋体" w:hAnsi="宋体" w:cs="宋体"/>
                <w:color w:val="auto"/>
                <w:sz w:val="22"/>
                <w:highlight w:val="none"/>
              </w:rPr>
            </w:pPr>
          </w:p>
        </w:tc>
        <w:tc>
          <w:tcPr>
            <w:tcW w:w="1116" w:type="dxa"/>
            <w:noWrap w:val="0"/>
            <w:vAlign w:val="center"/>
          </w:tcPr>
          <w:p w14:paraId="51B8DF97">
            <w:pPr>
              <w:spacing w:line="240" w:lineRule="exact"/>
              <w:jc w:val="center"/>
              <w:rPr>
                <w:rFonts w:hint="eastAsia" w:ascii="宋体" w:hAnsi="宋体" w:cs="宋体"/>
                <w:color w:val="auto"/>
                <w:sz w:val="22"/>
                <w:highlight w:val="none"/>
              </w:rPr>
            </w:pPr>
          </w:p>
        </w:tc>
        <w:tc>
          <w:tcPr>
            <w:tcW w:w="1341" w:type="dxa"/>
            <w:noWrap w:val="0"/>
            <w:vAlign w:val="center"/>
          </w:tcPr>
          <w:p w14:paraId="4205EDA6">
            <w:pPr>
              <w:spacing w:line="240" w:lineRule="exact"/>
              <w:jc w:val="center"/>
              <w:rPr>
                <w:rFonts w:hint="eastAsia" w:ascii="宋体" w:hAnsi="宋体" w:cs="宋体"/>
                <w:color w:val="auto"/>
                <w:sz w:val="22"/>
                <w:highlight w:val="none"/>
              </w:rPr>
            </w:pPr>
          </w:p>
        </w:tc>
        <w:tc>
          <w:tcPr>
            <w:tcW w:w="1080" w:type="dxa"/>
            <w:noWrap w:val="0"/>
            <w:vAlign w:val="center"/>
          </w:tcPr>
          <w:p w14:paraId="7BFCCCCE">
            <w:pPr>
              <w:spacing w:line="240" w:lineRule="exact"/>
              <w:jc w:val="center"/>
              <w:rPr>
                <w:rFonts w:hint="eastAsia" w:ascii="宋体" w:hAnsi="宋体" w:cs="宋体"/>
                <w:color w:val="auto"/>
                <w:sz w:val="22"/>
                <w:highlight w:val="none"/>
              </w:rPr>
            </w:pPr>
          </w:p>
        </w:tc>
      </w:tr>
    </w:tbl>
    <w:p w14:paraId="107E7C49">
      <w:pPr>
        <w:keepNext w:val="0"/>
        <w:keepLines w:val="0"/>
        <w:spacing w:line="240" w:lineRule="auto"/>
        <w:jc w:val="left"/>
        <w:outlineLvl w:val="9"/>
        <w:rPr>
          <w:rFonts w:hint="eastAsia"/>
        </w:rPr>
      </w:pPr>
      <w:bookmarkStart w:id="350" w:name="_Toc26795"/>
      <w:bookmarkStart w:id="351" w:name="_Toc38224869"/>
      <w:r>
        <w:rPr>
          <w:rFonts w:hint="eastAsia"/>
        </w:rPr>
        <w:t>注：表格格式可以根据实际情况调整。</w:t>
      </w:r>
      <w:bookmarkEnd w:id="348"/>
      <w:bookmarkEnd w:id="349"/>
      <w:bookmarkEnd w:id="350"/>
      <w:bookmarkEnd w:id="351"/>
    </w:p>
    <w:p w14:paraId="19C73B0C">
      <w:pPr>
        <w:spacing w:line="400" w:lineRule="exact"/>
        <w:ind w:firstLine="565" w:firstLineChars="202"/>
        <w:jc w:val="left"/>
        <w:rPr>
          <w:rFonts w:hint="eastAsia" w:ascii="宋体" w:hAnsi="宋体" w:cs="宋体"/>
          <w:color w:val="auto"/>
          <w:sz w:val="28"/>
          <w:szCs w:val="28"/>
          <w:highlight w:val="none"/>
        </w:rPr>
      </w:pPr>
    </w:p>
    <w:p w14:paraId="7EF8ED1F">
      <w:pPr>
        <w:spacing w:line="400" w:lineRule="exact"/>
        <w:ind w:firstLine="565" w:firstLineChars="202"/>
        <w:jc w:val="left"/>
        <w:rPr>
          <w:rFonts w:hint="eastAsia" w:ascii="宋体" w:hAnsi="宋体" w:cs="宋体"/>
          <w:color w:val="auto"/>
          <w:sz w:val="28"/>
          <w:szCs w:val="28"/>
          <w:highlight w:val="none"/>
        </w:rPr>
      </w:pPr>
    </w:p>
    <w:p w14:paraId="30D6A0EB">
      <w:pPr>
        <w:keepNext/>
        <w:keepLines/>
        <w:spacing w:before="240" w:beforeLines="0" w:after="240" w:afterLines="0" w:line="413" w:lineRule="auto"/>
        <w:outlineLvl w:val="1"/>
        <w:rPr>
          <w:rFonts w:hint="eastAsia" w:ascii="宋体" w:hAnsi="宋体" w:cs="宋体"/>
          <w:b/>
          <w:bCs/>
          <w:color w:val="auto"/>
          <w:sz w:val="32"/>
          <w:szCs w:val="32"/>
          <w:highlight w:val="none"/>
        </w:rPr>
        <w:sectPr>
          <w:pgSz w:w="11905" w:h="16838"/>
          <w:pgMar w:top="1418" w:right="1701" w:bottom="1418" w:left="1701" w:header="851" w:footer="794" w:gutter="0"/>
          <w:pgBorders w:offsetFrom="page">
            <w:top w:val="none" w:sz="0" w:space="0"/>
            <w:left w:val="none" w:sz="0" w:space="0"/>
            <w:bottom w:val="none" w:sz="0" w:space="0"/>
            <w:right w:val="none" w:sz="0" w:space="0"/>
          </w:pgBorders>
          <w:cols w:space="720" w:num="1"/>
          <w:docGrid w:type="lines" w:linePitch="312" w:charSpace="0"/>
        </w:sectPr>
      </w:pPr>
      <w:bookmarkStart w:id="352" w:name="_Toc17238"/>
      <w:bookmarkStart w:id="353" w:name="_Toc27550"/>
      <w:bookmarkStart w:id="354" w:name="_Toc29074"/>
      <w:bookmarkStart w:id="355" w:name="_Toc30849"/>
      <w:bookmarkStart w:id="356" w:name="_Toc6800"/>
      <w:bookmarkStart w:id="357" w:name="_Toc15391"/>
      <w:bookmarkStart w:id="358" w:name="_Toc532367900"/>
      <w:bookmarkStart w:id="359" w:name="_Toc377719920"/>
    </w:p>
    <w:bookmarkEnd w:id="352"/>
    <w:bookmarkEnd w:id="353"/>
    <w:bookmarkEnd w:id="354"/>
    <w:bookmarkEnd w:id="355"/>
    <w:bookmarkEnd w:id="356"/>
    <w:bookmarkEnd w:id="357"/>
    <w:bookmarkEnd w:id="358"/>
    <w:bookmarkEnd w:id="359"/>
    <w:p w14:paraId="1BF768DE">
      <w:pPr>
        <w:keepNext w:val="0"/>
        <w:keepLines w:val="0"/>
        <w:spacing w:line="360" w:lineRule="auto"/>
        <w:jc w:val="center"/>
        <w:outlineLvl w:val="1"/>
        <w:rPr>
          <w:rFonts w:hint="eastAsia" w:ascii="宋体" w:hAnsi="宋体" w:eastAsia="宋体" w:cs="宋体"/>
          <w:b/>
          <w:bCs/>
          <w:color w:val="auto"/>
          <w:sz w:val="32"/>
          <w:szCs w:val="32"/>
          <w:highlight w:val="none"/>
          <w:lang w:eastAsia="zh-CN"/>
        </w:rPr>
      </w:pPr>
      <w:bookmarkStart w:id="360" w:name="_Toc21079"/>
      <w:bookmarkStart w:id="361" w:name="_Toc377719921"/>
      <w:bookmarkStart w:id="362" w:name="_Toc2593"/>
      <w:bookmarkStart w:id="363" w:name="_Toc21825"/>
      <w:bookmarkStart w:id="364" w:name="_Toc30188"/>
      <w:bookmarkStart w:id="365" w:name="_Toc17273"/>
      <w:bookmarkStart w:id="366" w:name="_Toc31475"/>
      <w:bookmarkStart w:id="367" w:name="_Toc17194"/>
      <w:bookmarkStart w:id="368" w:name="_Toc532367901"/>
      <w:bookmarkStart w:id="369" w:name="_Toc25038"/>
      <w:bookmarkStart w:id="370" w:name="_Toc38224870"/>
      <w:bookmarkStart w:id="371" w:name="_Toc29981"/>
      <w:r>
        <w:rPr>
          <w:rFonts w:hint="eastAsia" w:ascii="宋体" w:hAnsi="宋体" w:eastAsia="宋体" w:cs="宋体"/>
          <w:b/>
          <w:bCs/>
          <w:color w:val="auto"/>
          <w:sz w:val="32"/>
          <w:szCs w:val="32"/>
          <w:highlight w:val="none"/>
        </w:rPr>
        <w:t>十、</w:t>
      </w:r>
      <w:bookmarkEnd w:id="360"/>
      <w:bookmarkEnd w:id="361"/>
      <w:bookmarkEnd w:id="362"/>
      <w:bookmarkEnd w:id="363"/>
      <w:bookmarkEnd w:id="364"/>
      <w:bookmarkEnd w:id="365"/>
      <w:bookmarkEnd w:id="366"/>
      <w:bookmarkEnd w:id="367"/>
      <w:bookmarkEnd w:id="368"/>
      <w:bookmarkEnd w:id="369"/>
      <w:bookmarkEnd w:id="370"/>
      <w:r>
        <w:rPr>
          <w:rFonts w:hint="eastAsia" w:ascii="宋体" w:hAnsi="宋体" w:eastAsia="宋体" w:cs="宋体"/>
          <w:b/>
          <w:bCs/>
          <w:color w:val="auto"/>
          <w:sz w:val="32"/>
          <w:szCs w:val="32"/>
          <w:highlight w:val="none"/>
          <w:lang w:eastAsia="zh-CN"/>
        </w:rPr>
        <w:t>检测监测方案</w:t>
      </w:r>
      <w:bookmarkEnd w:id="371"/>
    </w:p>
    <w:p w14:paraId="7924AA29">
      <w:pPr>
        <w:keepNext w:val="0"/>
        <w:keepLines w:val="0"/>
        <w:spacing w:line="240" w:lineRule="auto"/>
        <w:jc w:val="center"/>
        <w:outlineLvl w:val="9"/>
        <w:rPr>
          <w:rFonts w:hint="eastAsia" w:ascii="宋体" w:hAnsi="宋体" w:cs="宋体"/>
          <w:b/>
          <w:bCs/>
          <w:color w:val="auto"/>
          <w:sz w:val="40"/>
          <w:szCs w:val="32"/>
          <w:highlight w:val="none"/>
        </w:rPr>
      </w:pPr>
      <w:bookmarkStart w:id="372" w:name="_Toc28133"/>
      <w:r>
        <w:rPr>
          <w:rFonts w:hint="eastAsia" w:ascii="宋体" w:hAnsi="宋体" w:cs="宋体"/>
          <w:b/>
          <w:color w:val="auto"/>
          <w:sz w:val="28"/>
          <w:szCs w:val="28"/>
          <w:highlight w:val="none"/>
        </w:rPr>
        <w:t>（格式自定）</w:t>
      </w:r>
      <w:r>
        <w:rPr>
          <w:rFonts w:hint="eastAsia" w:ascii="宋体" w:hAnsi="宋体" w:cs="宋体"/>
          <w:b/>
          <w:bCs/>
          <w:color w:val="auto"/>
          <w:sz w:val="40"/>
          <w:szCs w:val="32"/>
          <w:highlight w:val="none"/>
        </w:rPr>
        <w:br w:type="page"/>
      </w:r>
      <w:bookmarkStart w:id="373" w:name="_Toc532367904"/>
      <w:bookmarkStart w:id="374" w:name="_Toc16104"/>
      <w:bookmarkStart w:id="375" w:name="_Toc38224871"/>
      <w:bookmarkStart w:id="376" w:name="_Toc21716"/>
      <w:bookmarkStart w:id="377" w:name="_Toc13413"/>
      <w:bookmarkStart w:id="378" w:name="_Toc377719924"/>
    </w:p>
    <w:p w14:paraId="5528C6CA">
      <w:pPr>
        <w:keepNext w:val="0"/>
        <w:keepLines w:val="0"/>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、廉洁承诺书</w:t>
      </w:r>
      <w:bookmarkEnd w:id="372"/>
      <w:bookmarkEnd w:id="373"/>
      <w:bookmarkEnd w:id="374"/>
      <w:bookmarkEnd w:id="375"/>
      <w:bookmarkEnd w:id="376"/>
      <w:bookmarkEnd w:id="377"/>
      <w:bookmarkEnd w:id="378"/>
    </w:p>
    <w:p w14:paraId="032E780A">
      <w:pPr>
        <w:spacing w:line="400" w:lineRule="exact"/>
        <w:jc w:val="center"/>
        <w:rPr>
          <w:rFonts w:hint="eastAsia" w:ascii="宋体" w:hAnsi="宋体" w:cs="宋体"/>
          <w:b/>
          <w:color w:val="auto"/>
          <w:sz w:val="36"/>
          <w:szCs w:val="28"/>
          <w:highlight w:val="none"/>
        </w:rPr>
      </w:pPr>
    </w:p>
    <w:p w14:paraId="60E40D4D">
      <w:pPr>
        <w:spacing w:line="400" w:lineRule="exact"/>
        <w:jc w:val="center"/>
        <w:rPr>
          <w:rFonts w:hint="eastAsia" w:ascii="宋体" w:hAnsi="宋体" w:cs="宋体"/>
          <w:b/>
          <w:color w:val="auto"/>
          <w:sz w:val="36"/>
          <w:szCs w:val="28"/>
          <w:highlight w:val="none"/>
        </w:rPr>
      </w:pPr>
      <w:r>
        <w:rPr>
          <w:rFonts w:hint="eastAsia" w:ascii="宋体" w:hAnsi="宋体" w:cs="宋体"/>
          <w:b/>
          <w:color w:val="auto"/>
          <w:sz w:val="32"/>
          <w:szCs w:val="24"/>
          <w:highlight w:val="none"/>
        </w:rPr>
        <w:t>廉洁承诺书</w:t>
      </w:r>
    </w:p>
    <w:p w14:paraId="7FDE2A7C">
      <w:pPr>
        <w:spacing w:line="400" w:lineRule="exact"/>
        <w:jc w:val="left"/>
        <w:rPr>
          <w:rFonts w:hint="eastAsia" w:ascii="宋体" w:hAnsi="宋体" w:cs="宋体"/>
          <w:color w:val="auto"/>
          <w:sz w:val="28"/>
          <w:szCs w:val="28"/>
          <w:highlight w:val="none"/>
        </w:rPr>
      </w:pPr>
    </w:p>
    <w:p w14:paraId="6DE8C085">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承诺企业：</w:t>
      </w:r>
    </w:p>
    <w:p w14:paraId="658EF7A8">
      <w:pPr>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承诺人（法定代表人或法定代表人授权人）：</w:t>
      </w:r>
    </w:p>
    <w:p w14:paraId="584D758B">
      <w:pPr>
        <w:spacing w:line="360" w:lineRule="auto"/>
        <w:ind w:firstLine="519" w:firstLineChars="236"/>
        <w:jc w:val="left"/>
        <w:rPr>
          <w:rFonts w:hint="eastAsia" w:ascii="宋体" w:hAnsi="宋体" w:cs="宋体"/>
          <w:color w:val="auto"/>
          <w:sz w:val="22"/>
          <w:highlight w:val="none"/>
        </w:rPr>
      </w:pPr>
      <w:r>
        <w:rPr>
          <w:rFonts w:hint="eastAsia" w:ascii="宋体" w:hAnsi="宋体" w:cs="宋体"/>
          <w:color w:val="auto"/>
          <w:sz w:val="22"/>
          <w:highlight w:val="none"/>
        </w:rPr>
        <w:t>本公司就参加的投标工作，郑重作出如下承诺：</w:t>
      </w:r>
    </w:p>
    <w:p w14:paraId="796B5553">
      <w:pPr>
        <w:spacing w:line="360" w:lineRule="auto"/>
        <w:ind w:firstLine="519" w:firstLineChars="236"/>
        <w:jc w:val="left"/>
        <w:rPr>
          <w:rFonts w:hint="eastAsia" w:ascii="宋体" w:hAnsi="宋体" w:cs="宋体"/>
          <w:color w:val="auto"/>
          <w:sz w:val="22"/>
          <w:highlight w:val="none"/>
        </w:rPr>
      </w:pPr>
      <w:r>
        <w:rPr>
          <w:rFonts w:hint="eastAsia" w:ascii="宋体" w:hAnsi="宋体" w:cs="宋体"/>
          <w:color w:val="auto"/>
          <w:sz w:val="22"/>
          <w:highlight w:val="none"/>
        </w:rPr>
        <w:t>我公司已经充分阅读并清楚理解招标要求，我司参加投标所提供的投标登记材料是真实、合法的。如有机会成为正式投标人，我公司保证不与其他投标单位围标、串标，不出让投标资格，不向招标人、评标委员会成员行贿和私下联系，同时不出现其他不廉洁行为，如有违反上述规定，本人和本公司愿意接受6个月至2年内不得参与贵</w:t>
      </w:r>
      <w:r>
        <w:rPr>
          <w:rFonts w:hint="eastAsia" w:ascii="宋体" w:hAnsi="宋体" w:cs="宋体"/>
          <w:color w:val="auto"/>
          <w:sz w:val="22"/>
          <w:highlight w:val="none"/>
          <w:lang w:val="en-US" w:eastAsia="zh-CN"/>
        </w:rPr>
        <w:t>单位</w:t>
      </w:r>
      <w:r>
        <w:rPr>
          <w:rFonts w:hint="eastAsia" w:ascii="宋体" w:hAnsi="宋体" w:cs="宋体"/>
          <w:color w:val="auto"/>
          <w:sz w:val="22"/>
          <w:highlight w:val="none"/>
        </w:rPr>
        <w:t>管辖工程项目的投标等处罚，并愿意承担由此带来的法律后果；如果中标，本公司愿意与贵</w:t>
      </w:r>
      <w:r>
        <w:rPr>
          <w:rFonts w:hint="eastAsia" w:ascii="宋体" w:hAnsi="宋体" w:cs="宋体"/>
          <w:color w:val="auto"/>
          <w:sz w:val="22"/>
          <w:highlight w:val="none"/>
          <w:lang w:val="en-US" w:eastAsia="zh-CN"/>
        </w:rPr>
        <w:t>中心</w:t>
      </w:r>
      <w:r>
        <w:rPr>
          <w:rFonts w:hint="eastAsia" w:ascii="宋体" w:hAnsi="宋体" w:cs="宋体"/>
          <w:color w:val="auto"/>
          <w:sz w:val="22"/>
          <w:highlight w:val="none"/>
        </w:rPr>
        <w:t>签署并执行《廉洁协议》。</w:t>
      </w:r>
    </w:p>
    <w:p w14:paraId="53796012">
      <w:pPr>
        <w:spacing w:line="360" w:lineRule="auto"/>
        <w:ind w:firstLine="519" w:firstLineChars="236"/>
        <w:jc w:val="left"/>
        <w:rPr>
          <w:rFonts w:hint="eastAsia" w:ascii="宋体" w:hAnsi="宋体" w:cs="宋体"/>
          <w:color w:val="auto"/>
          <w:sz w:val="22"/>
          <w:highlight w:val="none"/>
        </w:rPr>
      </w:pPr>
      <w:r>
        <w:rPr>
          <w:rFonts w:hint="eastAsia" w:ascii="宋体" w:hAnsi="宋体" w:cs="宋体"/>
          <w:color w:val="auto"/>
          <w:sz w:val="22"/>
          <w:highlight w:val="none"/>
        </w:rPr>
        <w:t>特此承诺！</w:t>
      </w:r>
    </w:p>
    <w:p w14:paraId="03B5612F">
      <w:pPr>
        <w:spacing w:line="360" w:lineRule="auto"/>
        <w:jc w:val="left"/>
        <w:rPr>
          <w:rFonts w:hint="eastAsia" w:ascii="宋体" w:hAnsi="宋体" w:cs="宋体"/>
          <w:color w:val="auto"/>
          <w:sz w:val="22"/>
          <w:highlight w:val="none"/>
        </w:rPr>
      </w:pPr>
    </w:p>
    <w:p w14:paraId="7ADECE34">
      <w:pPr>
        <w:spacing w:line="360" w:lineRule="auto"/>
        <w:jc w:val="left"/>
        <w:rPr>
          <w:rFonts w:hint="eastAsia" w:ascii="宋体" w:hAnsi="宋体" w:cs="宋体"/>
          <w:color w:val="auto"/>
          <w:sz w:val="22"/>
          <w:highlight w:val="none"/>
        </w:rPr>
      </w:pPr>
    </w:p>
    <w:p w14:paraId="7728BEAC">
      <w:pPr>
        <w:spacing w:line="360" w:lineRule="auto"/>
        <w:ind w:firstLine="2338" w:firstLineChars="1063"/>
        <w:jc w:val="left"/>
        <w:rPr>
          <w:rFonts w:hint="eastAsia" w:ascii="宋体" w:hAnsi="宋体" w:cs="宋体"/>
          <w:color w:val="auto"/>
          <w:sz w:val="22"/>
          <w:highlight w:val="none"/>
        </w:rPr>
      </w:pPr>
      <w:r>
        <w:rPr>
          <w:rFonts w:hint="eastAsia" w:ascii="宋体" w:hAnsi="宋体" w:cs="宋体"/>
          <w:color w:val="auto"/>
          <w:sz w:val="22"/>
          <w:highlight w:val="none"/>
        </w:rPr>
        <w:t>承诺人（法定代表人或法定代表人授权人）签字</w:t>
      </w:r>
      <w:r>
        <w:rPr>
          <w:rFonts w:hint="eastAsia" w:ascii="宋体" w:hAnsi="宋体" w:cs="宋体"/>
          <w:color w:val="auto"/>
          <w:sz w:val="22"/>
          <w:highlight w:val="none"/>
          <w:lang w:eastAsia="zh-Hans"/>
        </w:rPr>
        <w:t>或盖章</w:t>
      </w:r>
      <w:r>
        <w:rPr>
          <w:rFonts w:hint="eastAsia" w:ascii="宋体" w:hAnsi="宋体" w:cs="宋体"/>
          <w:color w:val="auto"/>
          <w:sz w:val="22"/>
          <w:highlight w:val="none"/>
        </w:rPr>
        <w:t>：</w:t>
      </w:r>
    </w:p>
    <w:p w14:paraId="2D36A28E">
      <w:pPr>
        <w:spacing w:line="360" w:lineRule="auto"/>
        <w:ind w:firstLine="2338" w:firstLineChars="1063"/>
        <w:jc w:val="left"/>
        <w:rPr>
          <w:rFonts w:hint="eastAsia" w:ascii="宋体" w:hAnsi="宋体" w:cs="宋体"/>
          <w:color w:val="auto"/>
          <w:sz w:val="22"/>
          <w:highlight w:val="none"/>
        </w:rPr>
      </w:pPr>
      <w:r>
        <w:rPr>
          <w:rFonts w:hint="eastAsia" w:ascii="宋体" w:hAnsi="宋体" w:cs="宋体"/>
          <w:color w:val="auto"/>
          <w:sz w:val="22"/>
          <w:highlight w:val="none"/>
        </w:rPr>
        <w:t>承诺企业公章：</w:t>
      </w:r>
    </w:p>
    <w:p w14:paraId="35E58D26">
      <w:pPr>
        <w:spacing w:line="360" w:lineRule="auto"/>
        <w:ind w:firstLine="6736" w:firstLineChars="3062"/>
        <w:jc w:val="left"/>
        <w:rPr>
          <w:rFonts w:hint="eastAsia" w:ascii="宋体" w:hAnsi="宋体" w:cs="宋体"/>
          <w:color w:val="auto"/>
          <w:sz w:val="20"/>
          <w:highlight w:val="none"/>
        </w:rPr>
      </w:pPr>
      <w:r>
        <w:rPr>
          <w:rFonts w:hint="eastAsia" w:ascii="宋体" w:hAnsi="宋体" w:cs="宋体"/>
          <w:color w:val="auto"/>
          <w:sz w:val="22"/>
          <w:highlight w:val="none"/>
        </w:rPr>
        <w:t>年  月  日</w:t>
      </w:r>
    </w:p>
    <w:bookmarkEnd w:id="35"/>
    <w:bookmarkEnd w:id="36"/>
    <w:bookmarkEnd w:id="37"/>
    <w:bookmarkEnd w:id="38"/>
    <w:p w14:paraId="20694C67">
      <w:pPr>
        <w:widowControl/>
        <w:jc w:val="left"/>
        <w:rPr>
          <w:rFonts w:hint="eastAsia" w:ascii="宋体" w:hAnsi="宋体" w:cs="宋体"/>
          <w:color w:val="auto"/>
          <w:highlight w:val="none"/>
        </w:rPr>
      </w:pPr>
    </w:p>
    <w:p w14:paraId="541984C6">
      <w:pPr>
        <w:rPr>
          <w:rFonts w:hint="eastAsia" w:ascii="宋体" w:hAnsi="宋体" w:cs="宋体"/>
          <w:color w:val="auto"/>
          <w:highlight w:val="none"/>
        </w:rPr>
      </w:pPr>
    </w:p>
    <w:p w14:paraId="310A979B">
      <w:pPr>
        <w:numPr>
          <w:ilvl w:val="-1"/>
          <w:numId w:val="0"/>
        </w:numPr>
        <w:spacing w:line="360" w:lineRule="auto"/>
        <w:jc w:val="center"/>
        <w:outlineLvl w:val="1"/>
        <w:rPr>
          <w:rFonts w:hint="eastAsia" w:ascii="宋体" w:hAnsi="宋体" w:eastAsia="宋体" w:cs="宋体"/>
          <w:b/>
          <w:bCs/>
          <w:color w:val="auto"/>
          <w:sz w:val="32"/>
          <w:szCs w:val="32"/>
          <w:highlight w:val="none"/>
          <w:u w:val="none"/>
        </w:rPr>
      </w:pPr>
      <w:r>
        <w:rPr>
          <w:rFonts w:hint="eastAsia" w:ascii="宋体" w:hAnsi="宋体" w:cs="宋体"/>
          <w:color w:val="auto"/>
          <w:highlight w:val="none"/>
        </w:rPr>
        <w:br w:type="page"/>
      </w:r>
      <w:r>
        <w:rPr>
          <w:rFonts w:hint="eastAsia" w:ascii="宋体" w:hAnsi="宋体" w:eastAsia="宋体" w:cs="宋体"/>
          <w:b/>
          <w:bCs/>
          <w:color w:val="auto"/>
          <w:sz w:val="32"/>
          <w:szCs w:val="32"/>
          <w:highlight w:val="none"/>
          <w:u w:val="none"/>
          <w:lang w:val="en-US" w:eastAsia="zh-CN"/>
        </w:rPr>
        <w:t>十二、</w:t>
      </w:r>
      <w:r>
        <w:rPr>
          <w:rFonts w:hint="eastAsia" w:ascii="宋体" w:hAnsi="宋体" w:eastAsia="宋体" w:cs="宋体"/>
          <w:b/>
          <w:bCs/>
          <w:color w:val="auto"/>
          <w:sz w:val="32"/>
          <w:szCs w:val="32"/>
          <w:highlight w:val="none"/>
          <w:u w:val="none"/>
        </w:rPr>
        <w:t>其他证明企业资信实力、获奖证明资料等扫描件</w:t>
      </w:r>
    </w:p>
    <w:p w14:paraId="6935B84E">
      <w:pPr>
        <w:numPr>
          <w:ilvl w:val="0"/>
          <w:numId w:val="0"/>
        </w:numPr>
        <w:spacing w:line="360" w:lineRule="auto"/>
        <w:jc w:val="center"/>
        <w:rPr>
          <w:rFonts w:hint="eastAsia" w:ascii="宋体" w:hAnsi="宋体" w:cs="宋体"/>
          <w:b/>
          <w:bCs/>
          <w:color w:val="auto"/>
          <w:sz w:val="32"/>
          <w:szCs w:val="32"/>
          <w:highlight w:val="none"/>
        </w:rPr>
      </w:pPr>
      <w:r>
        <w:rPr>
          <w:rFonts w:hint="eastAsia" w:ascii="宋体" w:hAnsi="宋体" w:cs="宋体"/>
          <w:b/>
          <w:color w:val="auto"/>
          <w:sz w:val="28"/>
          <w:szCs w:val="28"/>
          <w:highlight w:val="none"/>
        </w:rPr>
        <w:t>（格式自定）</w:t>
      </w:r>
      <w:r>
        <w:rPr>
          <w:rFonts w:hint="eastAsia" w:ascii="宋体" w:hAnsi="宋体" w:eastAsia="宋体" w:cs="宋体"/>
          <w:b/>
          <w:bCs/>
          <w:color w:val="auto"/>
          <w:sz w:val="32"/>
          <w:szCs w:val="32"/>
          <w:highlight w:val="none"/>
        </w:rPr>
        <w:br w:type="page"/>
      </w:r>
      <w:bookmarkStart w:id="379" w:name="_Toc2154396"/>
      <w:r>
        <w:rPr>
          <w:rFonts w:hint="eastAsia" w:ascii="宋体" w:hAnsi="宋体" w:eastAsia="宋体" w:cs="宋体"/>
          <w:b/>
          <w:bCs/>
          <w:color w:val="auto"/>
          <w:sz w:val="32"/>
          <w:szCs w:val="32"/>
          <w:highlight w:val="none"/>
          <w:lang w:val="en-US" w:eastAsia="zh-CN"/>
        </w:rPr>
        <w:t>十三、</w:t>
      </w:r>
      <w:r>
        <w:rPr>
          <w:rFonts w:hint="eastAsia" w:ascii="宋体" w:hAnsi="宋体" w:cs="宋体"/>
          <w:b/>
          <w:bCs/>
          <w:color w:val="auto"/>
          <w:sz w:val="32"/>
          <w:szCs w:val="32"/>
          <w:highlight w:val="none"/>
        </w:rPr>
        <w:t>其他资料</w:t>
      </w:r>
      <w:bookmarkEnd w:id="379"/>
    </w:p>
    <w:p w14:paraId="35B493D1">
      <w:pPr>
        <w:ind w:firstLine="440" w:firstLineChars="200"/>
        <w:rPr>
          <w:rFonts w:hint="eastAsia" w:ascii="宋体" w:hAnsi="宋体" w:cs="宋体"/>
          <w:color w:val="auto"/>
          <w:sz w:val="22"/>
          <w:highlight w:val="none"/>
        </w:rPr>
        <w:sectPr>
          <w:footerReference r:id="rId8" w:type="default"/>
          <w:pgSz w:w="11905" w:h="16838"/>
          <w:pgMar w:top="1418" w:right="1701" w:bottom="1418" w:left="1701" w:header="851" w:footer="794" w:gutter="0"/>
          <w:pgBorders w:offsetFrom="page">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 w:val="22"/>
          <w:highlight w:val="none"/>
        </w:rPr>
        <w:t>投标人须知前附表规定的其他资料，投标人根据招标文件第三章评标办法中“投标人信誉”评审内容提供的其他相关资料，投标人认为有必要提交的其他资料，格式自定。</w:t>
      </w:r>
    </w:p>
    <w:p w14:paraId="057C603D">
      <w:pPr>
        <w:pStyle w:val="2"/>
        <w:rPr>
          <w:rFonts w:hint="default" w:ascii="宋体" w:hAnsi="宋体" w:eastAsia="宋体" w:cs="宋体"/>
          <w:color w:val="auto"/>
          <w:kern w:val="2"/>
          <w:highlight w:val="none"/>
        </w:rPr>
      </w:pPr>
      <w:bookmarkStart w:id="380" w:name="_Toc7428"/>
      <w:bookmarkStart w:id="381" w:name="_Toc25891"/>
      <w:bookmarkStart w:id="382" w:name="_Toc101464378"/>
      <w:bookmarkStart w:id="383" w:name="_Toc31395"/>
      <w:bookmarkStart w:id="384" w:name="_Toc4095"/>
      <w:r>
        <w:rPr>
          <w:rFonts w:hint="default" w:ascii="宋体" w:hAnsi="宋体" w:eastAsia="宋体" w:cs="宋体"/>
          <w:color w:val="auto"/>
          <w:kern w:val="2"/>
          <w:highlight w:val="none"/>
        </w:rPr>
        <w:t>第</w:t>
      </w:r>
      <w:r>
        <w:rPr>
          <w:rFonts w:hint="default" w:ascii="宋体" w:hAnsi="宋体" w:eastAsia="宋体" w:cs="宋体"/>
          <w:color w:val="auto"/>
          <w:kern w:val="2"/>
          <w:highlight w:val="none"/>
          <w:lang w:eastAsia="zh-CN"/>
        </w:rPr>
        <w:t>七</w:t>
      </w:r>
      <w:r>
        <w:rPr>
          <w:rFonts w:hint="default" w:ascii="宋体" w:hAnsi="宋体" w:eastAsia="宋体" w:cs="宋体"/>
          <w:color w:val="auto"/>
          <w:kern w:val="2"/>
          <w:highlight w:val="none"/>
        </w:rPr>
        <w:t xml:space="preserve">章 </w:t>
      </w:r>
      <w:r>
        <w:rPr>
          <w:rFonts w:hint="eastAsia" w:ascii="宋体" w:hAnsi="宋体" w:eastAsia="宋体" w:cs="宋体"/>
          <w:color w:val="auto"/>
          <w:kern w:val="2"/>
          <w:highlight w:val="none"/>
        </w:rPr>
        <w:t xml:space="preserve"> </w:t>
      </w:r>
      <w:r>
        <w:rPr>
          <w:rFonts w:hint="default" w:ascii="宋体" w:hAnsi="宋体" w:eastAsia="宋体" w:cs="宋体"/>
          <w:color w:val="auto"/>
          <w:kern w:val="2"/>
          <w:highlight w:val="none"/>
        </w:rPr>
        <w:t>委托人要求</w:t>
      </w:r>
      <w:bookmarkEnd w:id="380"/>
      <w:bookmarkEnd w:id="381"/>
      <w:bookmarkEnd w:id="382"/>
      <w:bookmarkEnd w:id="383"/>
      <w:bookmarkEnd w:id="384"/>
    </w:p>
    <w:p w14:paraId="48129948">
      <w:pPr>
        <w:rPr>
          <w:rFonts w:hint="eastAsia"/>
          <w:color w:val="auto"/>
          <w:highlight w:val="none"/>
        </w:rPr>
      </w:pPr>
    </w:p>
    <w:p w14:paraId="21A6E8F9">
      <w:pPr>
        <w:spacing w:line="360" w:lineRule="auto"/>
        <w:ind w:firstLine="426" w:firstLineChars="177"/>
        <w:rPr>
          <w:rFonts w:hint="eastAsia" w:ascii="宋体" w:hAnsi="宋体"/>
          <w:b/>
          <w:color w:val="auto"/>
          <w:sz w:val="24"/>
          <w:szCs w:val="24"/>
          <w:highlight w:val="none"/>
        </w:rPr>
      </w:pPr>
      <w:r>
        <w:rPr>
          <w:rFonts w:hint="eastAsia"/>
          <w:b/>
          <w:color w:val="auto"/>
          <w:sz w:val="24"/>
          <w:szCs w:val="24"/>
          <w:highlight w:val="none"/>
          <w:lang w:eastAsia="zh-CN"/>
        </w:rPr>
        <w:t>一、</w:t>
      </w:r>
      <w:r>
        <w:rPr>
          <w:rFonts w:hint="eastAsia" w:ascii="宋体" w:hAnsi="宋体"/>
          <w:b/>
          <w:color w:val="auto"/>
          <w:sz w:val="24"/>
          <w:szCs w:val="24"/>
          <w:highlight w:val="none"/>
        </w:rPr>
        <w:t xml:space="preserve"> 项目概况：</w:t>
      </w:r>
    </w:p>
    <w:p w14:paraId="646178E7">
      <w:pPr>
        <w:spacing w:line="560" w:lineRule="exact"/>
        <w:ind w:firstLine="48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highlight w:val="none"/>
          <w:u w:val="single"/>
          <w:lang w:eastAsia="zh-CN"/>
        </w:rPr>
        <w:t>番禺区桥山村村镇工业集聚区更新改造试点项目(一期、二期、三期)</w:t>
      </w:r>
      <w:r>
        <w:rPr>
          <w:rFonts w:hint="eastAsia" w:ascii="宋体" w:hAnsi="宋体" w:cs="仿宋_GB2312"/>
          <w:color w:val="auto"/>
          <w:sz w:val="24"/>
          <w:szCs w:val="24"/>
          <w:highlight w:val="none"/>
          <w:u w:val="single"/>
          <w:lang w:val="en-US" w:eastAsia="zh-CN"/>
        </w:rPr>
        <w:t>检验监测服务</w:t>
      </w:r>
    </w:p>
    <w:p w14:paraId="6C715A37">
      <w:pPr>
        <w:tabs>
          <w:tab w:val="left" w:pos="7513"/>
        </w:tabs>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建设规模：</w:t>
      </w:r>
      <w:r>
        <w:rPr>
          <w:rFonts w:hint="eastAsia" w:ascii="宋体" w:hAnsi="宋体" w:eastAsia="宋体" w:cs="宋体"/>
          <w:color w:val="auto"/>
          <w:sz w:val="24"/>
          <w:highlight w:val="none"/>
          <w:u w:val="single"/>
          <w:lang w:val="en-US" w:eastAsia="zh-CN"/>
        </w:rPr>
        <w:t>本项目采用EPCO的建设管理模式，项目规划总用地面积约111084平方米，建筑占地约80332平方米。计划分一、二、三期完成全部建设。</w:t>
      </w:r>
    </w:p>
    <w:p w14:paraId="65EA363C">
      <w:pPr>
        <w:tabs>
          <w:tab w:val="left" w:pos="7513"/>
        </w:tabs>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项目（一期）规划总用地面积为36219.95㎡（约合54.3亩），总建筑面积108202.93㎡（含地上建筑面积105526.93㎡，地下2676㎡），地块规划15栋建筑物（含12栋厂房、1栋宿舍、1栋社区卫生服务中心、1栋商业）；</w:t>
      </w:r>
    </w:p>
    <w:p w14:paraId="6CEC547D">
      <w:pPr>
        <w:widowControl/>
        <w:wordWrap/>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u w:val="single"/>
          <w:lang w:val="en-US" w:eastAsia="zh-CN"/>
        </w:rPr>
        <w:t>项目（二期）规划总用地面积为25370.73㎡（约合38.06亩），总建筑面积78320.00㎡（含地上建筑面积76320㎡，地下2000㎡），地块规划5栋建筑物（含2栋多层厂房、3栋高层厂房）；</w:t>
      </w:r>
    </w:p>
    <w:p w14:paraId="32ECC9C8">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建设地点：</w:t>
      </w:r>
      <w:r>
        <w:rPr>
          <w:rFonts w:hint="eastAsia"/>
          <w:color w:val="auto"/>
          <w:sz w:val="24"/>
          <w:szCs w:val="24"/>
          <w:highlight w:val="none"/>
          <w:u w:val="single"/>
        </w:rPr>
        <w:t>广州市番禺区石碁镇桥山村草岗工业集聚区</w:t>
      </w:r>
    </w:p>
    <w:p w14:paraId="38A60F6F">
      <w:pPr>
        <w:adjustRightInd w:val="0"/>
        <w:spacing w:line="360" w:lineRule="auto"/>
        <w:ind w:right="6" w:firstLine="480" w:firstLineChars="200"/>
        <w:jc w:val="both"/>
        <w:rPr>
          <w:rFonts w:hint="eastAsia" w:ascii="宋体" w:hAnsi="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工程投资：</w:t>
      </w:r>
      <w:r>
        <w:rPr>
          <w:rFonts w:hint="eastAsia" w:ascii="宋体" w:hAnsi="宋体" w:cs="宋体"/>
          <w:color w:val="auto"/>
          <w:sz w:val="24"/>
          <w:szCs w:val="24"/>
          <w:highlight w:val="none"/>
          <w:u w:val="single"/>
          <w:shd w:val="clear" w:color="auto" w:fill="FFFFFF"/>
        </w:rPr>
        <w:t>一期项目总投资估算为31803.52万元。其中：工程费用23765.49万元。</w:t>
      </w:r>
    </w:p>
    <w:p w14:paraId="6ADEAFA9">
      <w:pPr>
        <w:adjustRightInd w:val="0"/>
        <w:spacing w:line="360" w:lineRule="auto"/>
        <w:ind w:right="6" w:firstLine="480" w:firstLineChars="200"/>
        <w:jc w:val="both"/>
        <w:rPr>
          <w:rFonts w:hint="eastAsia"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u w:val="single"/>
          <w:shd w:val="clear" w:color="auto" w:fill="FFFFFF"/>
        </w:rPr>
        <w:t>二期项目总投资估算为22144.19万元。其中工程费为16801.03万元。</w:t>
      </w:r>
    </w:p>
    <w:p w14:paraId="7E99751C">
      <w:pPr>
        <w:tabs>
          <w:tab w:val="left" w:pos="7513"/>
        </w:tabs>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shd w:val="clear" w:color="auto" w:fill="FFFFFF"/>
        </w:rPr>
        <w:t>三期项目总投资估算为16052.30万元。其中工程费为12180.25万元。</w:t>
      </w:r>
    </w:p>
    <w:p w14:paraId="55791EFE">
      <w:pPr>
        <w:tabs>
          <w:tab w:val="left" w:pos="7513"/>
        </w:tabs>
        <w:spacing w:line="500" w:lineRule="atLeast"/>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本次招标服务期：</w:t>
      </w:r>
      <w:r>
        <w:rPr>
          <w:rFonts w:hint="eastAsia" w:ascii="宋体" w:hAnsi="宋体" w:eastAsia="宋体" w:cs="宋体"/>
          <w:color w:val="auto"/>
          <w:sz w:val="24"/>
          <w:szCs w:val="24"/>
          <w:highlight w:val="none"/>
          <w:u w:val="single"/>
        </w:rPr>
        <w:t>从中标单位接到进场通知之日起至完成所有检测监测项目，检测监测工作进度必须满足现场施工和</w:t>
      </w:r>
      <w:r>
        <w:rPr>
          <w:rFonts w:hint="eastAsia" w:ascii="宋体" w:hAnsi="宋体" w:eastAsia="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rPr>
        <w:t>的要求。</w:t>
      </w:r>
      <w:r>
        <w:rPr>
          <w:rFonts w:hint="eastAsia" w:ascii="宋体" w:hAnsi="宋体" w:eastAsia="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rPr>
        <w:t>有权根据工程实际需要调整工期，中标单位需配合</w:t>
      </w:r>
      <w:r>
        <w:rPr>
          <w:rFonts w:hint="eastAsia" w:ascii="宋体" w:hAnsi="宋体" w:eastAsia="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rPr>
        <w:t>的调整作出相应的执行计划</w:t>
      </w:r>
      <w:r>
        <w:rPr>
          <w:rFonts w:hint="eastAsia" w:ascii="宋体" w:hAnsi="宋体" w:eastAsia="宋体" w:cs="宋体"/>
          <w:color w:val="auto"/>
          <w:sz w:val="24"/>
          <w:szCs w:val="24"/>
          <w:highlight w:val="none"/>
        </w:rPr>
        <w:t>。</w:t>
      </w:r>
    </w:p>
    <w:p w14:paraId="67E166B4">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工程质量标准：</w:t>
      </w:r>
      <w:r>
        <w:rPr>
          <w:rFonts w:hint="eastAsia" w:ascii="宋体" w:hAnsi="宋体"/>
          <w:color w:val="auto"/>
          <w:sz w:val="24"/>
          <w:szCs w:val="24"/>
          <w:highlight w:val="none"/>
          <w:u w:val="none"/>
        </w:rPr>
        <w:t>符合国家及省、市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区</w:t>
      </w:r>
      <w:r>
        <w:rPr>
          <w:rFonts w:hint="eastAsia" w:ascii="宋体" w:hAnsi="宋体"/>
          <w:color w:val="auto"/>
          <w:sz w:val="24"/>
          <w:szCs w:val="24"/>
          <w:highlight w:val="none"/>
          <w:u w:val="none"/>
        </w:rPr>
        <w:t>有关检测</w:t>
      </w:r>
      <w:r>
        <w:rPr>
          <w:rFonts w:hint="eastAsia" w:ascii="宋体" w:hAnsi="宋体"/>
          <w:color w:val="auto"/>
          <w:sz w:val="24"/>
          <w:szCs w:val="24"/>
          <w:highlight w:val="none"/>
          <w:u w:val="none"/>
          <w:lang w:val="en-US" w:eastAsia="zh-CN"/>
        </w:rPr>
        <w:t>监测</w:t>
      </w:r>
      <w:r>
        <w:rPr>
          <w:rFonts w:hint="eastAsia" w:ascii="宋体" w:hAnsi="宋体"/>
          <w:color w:val="auto"/>
          <w:sz w:val="24"/>
          <w:szCs w:val="24"/>
          <w:highlight w:val="none"/>
          <w:u w:val="none"/>
        </w:rPr>
        <w:t>标准</w:t>
      </w:r>
      <w:r>
        <w:rPr>
          <w:rFonts w:hint="eastAsia" w:ascii="宋体" w:hAnsi="宋体"/>
          <w:color w:val="auto"/>
          <w:sz w:val="24"/>
          <w:szCs w:val="24"/>
          <w:highlight w:val="none"/>
          <w:u w:val="none"/>
          <w:lang w:val="en-US" w:eastAsia="zh-CN"/>
        </w:rPr>
        <w:t>及相关监管或主管部门要求</w:t>
      </w:r>
      <w:r>
        <w:rPr>
          <w:rFonts w:hint="eastAsia" w:ascii="宋体" w:hAnsi="宋体"/>
          <w:color w:val="auto"/>
          <w:sz w:val="24"/>
          <w:szCs w:val="24"/>
          <w:highlight w:val="none"/>
          <w:u w:val="none"/>
        </w:rPr>
        <w:t>。</w:t>
      </w:r>
    </w:p>
    <w:p w14:paraId="54F8E1F9">
      <w:pPr>
        <w:spacing w:line="360" w:lineRule="auto"/>
        <w:ind w:firstLine="426" w:firstLineChars="1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检测范围及内容：</w:t>
      </w:r>
    </w:p>
    <w:p w14:paraId="4AB06313">
      <w:pPr>
        <w:spacing w:line="360" w:lineRule="auto"/>
        <w:ind w:firstLine="662" w:firstLineChars="27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依据施工图及相关规范要求，开展工程检验监测工作，具体以施工图纸、检测规范及主管部门要求为准。施工及验收阶段相关的</w:t>
      </w:r>
      <w:r>
        <w:rPr>
          <w:rFonts w:hint="eastAsia" w:ascii="宋体" w:hAnsi="宋体" w:eastAsia="宋体" w:cs="宋体"/>
          <w:color w:val="auto"/>
          <w:sz w:val="24"/>
          <w:szCs w:val="24"/>
          <w:highlight w:val="none"/>
          <w:u w:val="single"/>
          <w:lang w:val="en-US" w:eastAsia="zh-CN"/>
        </w:rPr>
        <w:t>检测、监测</w:t>
      </w:r>
      <w:r>
        <w:rPr>
          <w:rFonts w:hint="eastAsia" w:ascii="宋体" w:hAnsi="宋体" w:eastAsia="宋体" w:cs="宋体"/>
          <w:color w:val="auto"/>
          <w:sz w:val="24"/>
          <w:szCs w:val="24"/>
          <w:highlight w:val="none"/>
          <w:u w:val="single"/>
        </w:rPr>
        <w:t>包括但不限于</w:t>
      </w:r>
      <w:r>
        <w:rPr>
          <w:rFonts w:hint="eastAsia" w:ascii="宋体" w:hAnsi="宋体" w:eastAsia="宋体" w:cs="宋体"/>
          <w:color w:val="auto"/>
          <w:sz w:val="24"/>
          <w:szCs w:val="24"/>
          <w:highlight w:val="none"/>
          <w:u w:val="single"/>
          <w:lang w:eastAsia="zh-CN"/>
        </w:rPr>
        <w:t>混凝土</w:t>
      </w:r>
      <w:r>
        <w:rPr>
          <w:rFonts w:hint="eastAsia" w:ascii="宋体" w:hAnsi="宋体" w:eastAsia="宋体" w:cs="宋体"/>
          <w:color w:val="auto"/>
          <w:sz w:val="24"/>
          <w:szCs w:val="24"/>
          <w:highlight w:val="none"/>
          <w:u w:val="single"/>
          <w:lang w:val="en-US" w:eastAsia="zh-CN"/>
        </w:rPr>
        <w:t>结构实体检测、基坑监测、主体沉降观测、节能材料检测、智能化检测、电气检测、消防设施现场检测、防雷工程检测、原材料检测、室内环境空气检测、基坑支护工程检测、桩基础检测、</w:t>
      </w:r>
      <w:r>
        <w:rPr>
          <w:rFonts w:hint="eastAsia" w:ascii="宋体" w:hAnsi="宋体" w:eastAsia="宋体" w:cs="宋体"/>
          <w:b w:val="0"/>
          <w:bCs w:val="0"/>
          <w:color w:val="auto"/>
          <w:kern w:val="0"/>
          <w:sz w:val="24"/>
          <w:szCs w:val="24"/>
          <w:highlight w:val="none"/>
          <w:u w:val="single"/>
          <w:lang w:val="en-US" w:eastAsia="zh-CN" w:bidi="ar"/>
        </w:rPr>
        <w:t>海绵城市评估及检测</w:t>
      </w:r>
      <w:r>
        <w:rPr>
          <w:rFonts w:hint="eastAsia" w:ascii="宋体" w:hAnsi="宋体" w:eastAsia="宋体" w:cs="宋体"/>
          <w:color w:val="auto"/>
          <w:sz w:val="24"/>
          <w:szCs w:val="24"/>
          <w:highlight w:val="none"/>
          <w:u w:val="single"/>
        </w:rPr>
        <w:t>等按规范和验收要求必须检测的项目。具体根据图纸及项目现场实际情况确定。服务范围除以上工作外，还包括但不限于以下内容：</w:t>
      </w:r>
    </w:p>
    <w:p w14:paraId="7F796781">
      <w:pPr>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14:paraId="307F239B">
      <w:pPr>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2.在进行检测和监测任务的过程中与该工程相关的施工单位、监理单位、设计单位、咨询单位、建设主管部门等相关单位的协调工作。</w:t>
      </w:r>
    </w:p>
    <w:p w14:paraId="4418BEF9">
      <w:pPr>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3.检测和监测数据的有关信息通过连接系统进行传输报送。</w:t>
      </w:r>
    </w:p>
    <w:p w14:paraId="747DCD5B">
      <w:pPr>
        <w:spacing w:line="360" w:lineRule="auto"/>
        <w:ind w:firstLine="426" w:firstLineChars="1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检测标准：</w:t>
      </w:r>
    </w:p>
    <w:p w14:paraId="2ADF1FEE">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主要使用的检测规范：①《建设工程质量管理条例文件汇编》（广州地区建设工程质量安全监督站编制），②相关检测规范：国家行业标准《建筑桩基技术规范》（JGJ94—2008）、国家标准《建筑地基基础设计规范》（GB50007-2011）、国家标准《岩土工程勘测规范》（GB50021-2001）、国家行业标准《建筑基桩检测技术规程》（JGJ106-2014）、国家行业标准《建筑地基处理技术规程》（JGJ79—2012）、国家标准《钻芯法检测混凝土强度技术规程》（CECS03：88）、国家行业标准《建筑变形测量规范》（JGJ8—2016）、国家标准《超声回弹综合法检测混凝土强度技术规范》（CECS02：88），③《转发省建设厅〈广东省桩基质量检测技术规定〉（试行）的通知》（穗建筑[2001]395号），④《关于印发〈广州市建筑工程结构实体质量监督抽检暂行办法〉的通知》（穗建质监字[2007]31号），⑤《民用建筑工程室内环境污染控制规范》（GB50325—2010（2013年版）），⑥国家其他检测规范、强制性标准，⑦以上标准若有更新，以最新版本为准。  </w:t>
      </w:r>
      <w:r>
        <w:rPr>
          <w:rFonts w:hint="eastAsia" w:ascii="宋体" w:hAnsi="宋体" w:eastAsia="宋体" w:cs="宋体"/>
          <w:color w:val="auto"/>
          <w:sz w:val="24"/>
          <w:szCs w:val="24"/>
          <w:highlight w:val="none"/>
        </w:rPr>
        <w:t xml:space="preserve"> </w:t>
      </w:r>
    </w:p>
    <w:p w14:paraId="16610E4D">
      <w:pPr>
        <w:spacing w:line="360" w:lineRule="auto"/>
        <w:ind w:firstLine="426" w:firstLineChars="177"/>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lang w:val="en-US" w:eastAsia="zh-CN"/>
        </w:rPr>
        <w:t>检验监测</w:t>
      </w:r>
      <w:r>
        <w:rPr>
          <w:rFonts w:hint="eastAsia" w:ascii="宋体" w:hAnsi="宋体" w:eastAsia="宋体" w:cs="宋体"/>
          <w:b/>
          <w:color w:val="auto"/>
          <w:sz w:val="24"/>
          <w:szCs w:val="24"/>
          <w:highlight w:val="none"/>
        </w:rPr>
        <w:t>服务项目质量控制要求</w:t>
      </w:r>
      <w:r>
        <w:rPr>
          <w:rFonts w:hint="eastAsia" w:ascii="宋体" w:hAnsi="宋体" w:eastAsia="宋体" w:cs="宋体"/>
          <w:b/>
          <w:color w:val="auto"/>
          <w:sz w:val="24"/>
          <w:szCs w:val="24"/>
          <w:highlight w:val="none"/>
          <w:lang w:eastAsia="zh-CN"/>
        </w:rPr>
        <w:t>：</w:t>
      </w:r>
    </w:p>
    <w:p w14:paraId="06CD93B9">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1、投标单位应建立为完成本</w:t>
      </w:r>
      <w:r>
        <w:rPr>
          <w:rFonts w:hint="eastAsia" w:ascii="宋体" w:hAnsi="宋体" w:eastAsia="宋体" w:cs="宋体"/>
          <w:b w:val="0"/>
          <w:bCs w:val="0"/>
          <w:color w:val="auto"/>
          <w:sz w:val="24"/>
          <w:szCs w:val="24"/>
          <w:highlight w:val="none"/>
          <w:u w:val="single"/>
          <w:lang w:val="en-US" w:eastAsia="zh-CN" w:bidi="zh-CN"/>
        </w:rPr>
        <w:t>检验监测</w:t>
      </w:r>
      <w:r>
        <w:rPr>
          <w:rFonts w:hint="eastAsia" w:ascii="宋体" w:hAnsi="宋体" w:eastAsia="宋体" w:cs="宋体"/>
          <w:color w:val="auto"/>
          <w:sz w:val="24"/>
          <w:szCs w:val="24"/>
          <w:highlight w:val="none"/>
          <w:u w:val="single"/>
        </w:rPr>
        <w:t>投标项目而实施质量管理所需要组织结构，明示组织结构框图，并用文字明示各级人员职责，并提供质量</w:t>
      </w:r>
      <w:r>
        <w:rPr>
          <w:rFonts w:hint="eastAsia" w:ascii="宋体" w:hAnsi="宋体" w:eastAsia="宋体" w:cs="宋体"/>
          <w:b w:val="0"/>
          <w:bCs w:val="0"/>
          <w:color w:val="auto"/>
          <w:sz w:val="24"/>
          <w:szCs w:val="24"/>
          <w:highlight w:val="none"/>
          <w:u w:val="single"/>
          <w:lang w:val="en-US" w:eastAsia="zh-CN" w:bidi="zh-CN"/>
        </w:rPr>
        <w:t>检验监测</w:t>
      </w:r>
      <w:r>
        <w:rPr>
          <w:rFonts w:hint="eastAsia" w:ascii="宋体" w:hAnsi="宋体" w:eastAsia="宋体" w:cs="宋体"/>
          <w:color w:val="auto"/>
          <w:sz w:val="24"/>
          <w:szCs w:val="24"/>
          <w:highlight w:val="none"/>
          <w:u w:val="single"/>
        </w:rPr>
        <w:t>工作受外界或领导机构影响的规定。并必须形成质量体系文件协调整个工作机构运转列出有效的、文体化的技术和管理程序，以便以最好的、最实际的方式来指导整个组织的工作人员、设备及信息的协调活动。质量体系文件应包括以下内容：</w:t>
      </w:r>
    </w:p>
    <w:p w14:paraId="5AE20482">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（1）有效完成本项目的质量方针，包括目标和承诺；</w:t>
      </w:r>
    </w:p>
    <w:p w14:paraId="039C9230">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（2）投入本项目的组织结构框图；</w:t>
      </w:r>
    </w:p>
    <w:p w14:paraId="60D1EDDF">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（3）各检测人员工作岗位及其职责；</w:t>
      </w:r>
    </w:p>
    <w:p w14:paraId="681B670E">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（4）样品质量管理程序；</w:t>
      </w:r>
    </w:p>
    <w:p w14:paraId="4DE38CB5">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（5）检测工作申诉处理程序；</w:t>
      </w:r>
    </w:p>
    <w:p w14:paraId="54B4EDBA">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（6）保密和保护所有权程序。</w:t>
      </w:r>
    </w:p>
    <w:p w14:paraId="5293C5E8">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2、投标单位必须对本投标项目投入足够的</w:t>
      </w:r>
      <w:r>
        <w:rPr>
          <w:rFonts w:hint="eastAsia" w:ascii="宋体" w:hAnsi="宋体" w:eastAsia="宋体" w:cs="宋体"/>
          <w:b w:val="0"/>
          <w:bCs w:val="0"/>
          <w:color w:val="auto"/>
          <w:sz w:val="24"/>
          <w:szCs w:val="24"/>
          <w:highlight w:val="none"/>
          <w:u w:val="single"/>
          <w:lang w:val="en-US" w:eastAsia="zh-CN" w:bidi="zh-CN"/>
        </w:rPr>
        <w:t>检验监测</w:t>
      </w:r>
      <w:r>
        <w:rPr>
          <w:rFonts w:hint="eastAsia" w:ascii="宋体" w:hAnsi="宋体" w:eastAsia="宋体" w:cs="宋体"/>
          <w:color w:val="auto"/>
          <w:sz w:val="24"/>
          <w:szCs w:val="24"/>
          <w:highlight w:val="none"/>
          <w:u w:val="single"/>
        </w:rPr>
        <w:t>人员，这些</w:t>
      </w:r>
      <w:r>
        <w:rPr>
          <w:rFonts w:hint="eastAsia" w:ascii="宋体" w:hAnsi="宋体" w:eastAsia="宋体" w:cs="宋体"/>
          <w:b w:val="0"/>
          <w:bCs w:val="0"/>
          <w:color w:val="auto"/>
          <w:sz w:val="24"/>
          <w:szCs w:val="24"/>
          <w:highlight w:val="none"/>
          <w:u w:val="single"/>
          <w:lang w:val="en-US" w:eastAsia="zh-CN" w:bidi="zh-CN"/>
        </w:rPr>
        <w:t>检验监测</w:t>
      </w:r>
      <w:r>
        <w:rPr>
          <w:rFonts w:hint="eastAsia" w:ascii="宋体" w:hAnsi="宋体" w:eastAsia="宋体" w:cs="宋体"/>
          <w:color w:val="auto"/>
          <w:sz w:val="24"/>
          <w:szCs w:val="24"/>
          <w:highlight w:val="none"/>
          <w:u w:val="single"/>
        </w:rPr>
        <w:t>人员必须经过必要的与其承担任务相适应的教育、培训、并有相应的技术知识和经验。</w:t>
      </w:r>
    </w:p>
    <w:p w14:paraId="71956968">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3、投标单位应配备足够的检测仪器设备。检测仪器设备必须在检定/校准有效期内,并在检定/校准有效期满后应进行检定/校准。各计量检测仪器设备都必须严格按要求有明显的标志。</w:t>
      </w:r>
    </w:p>
    <w:p w14:paraId="48EEA5C6">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、检测投标单位必须为配合施工和安全与质量监督编写各项实施的检测项目的《检测工作手册》。</w:t>
      </w:r>
    </w:p>
    <w:p w14:paraId="6F36B101">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、检测报告必须严格进行内部三级审核制度。</w:t>
      </w:r>
    </w:p>
    <w:p w14:paraId="57EE5FDE">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）检测工作人员要熟悉并严格按照检测规程和方法，检测工作，同时做好数据记录；</w:t>
      </w:r>
    </w:p>
    <w:p w14:paraId="296F2EA1">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）各检测工作校核者应掌握检测规程和技术，检查数据与原始记录符合，事实符合，严格按照规范进行；</w:t>
      </w:r>
    </w:p>
    <w:p w14:paraId="7896356E">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）报告审核者保证程序合法，报告有效。</w:t>
      </w:r>
    </w:p>
    <w:p w14:paraId="5D0AE644">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、检测实施要点</w:t>
      </w:r>
    </w:p>
    <w:p w14:paraId="646474D7">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）本项目技术方案必须符合广东省、国家及地方现行有关技术规范或规定以及设计单位的技术要求。</w:t>
      </w:r>
    </w:p>
    <w:p w14:paraId="74128BCD">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）检测单位应在完成现场检测作业后5个工作日内完成检测报告，并向建设单位提交一式十份成果报告。</w:t>
      </w:r>
    </w:p>
    <w:p w14:paraId="496293F6">
      <w:pPr>
        <w:tabs>
          <w:tab w:val="left" w:pos="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、关于投标报价</w:t>
      </w:r>
    </w:p>
    <w:p w14:paraId="084E4F8D">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本技术服务合同采用</w:t>
      </w:r>
      <w:r>
        <w:rPr>
          <w:rFonts w:hint="default" w:ascii="宋体" w:hAnsi="宋体" w:eastAsia="宋体" w:cs="宋体"/>
          <w:color w:val="auto"/>
          <w:sz w:val="24"/>
          <w:szCs w:val="24"/>
          <w:highlight w:val="none"/>
          <w:u w:val="single"/>
          <w:lang w:val="en-US"/>
        </w:rPr>
        <w:t>综合单</w:t>
      </w:r>
      <w:r>
        <w:rPr>
          <w:rFonts w:hint="eastAsia" w:ascii="宋体" w:hAnsi="宋体" w:eastAsia="宋体" w:cs="宋体"/>
          <w:color w:val="auto"/>
          <w:sz w:val="24"/>
          <w:szCs w:val="24"/>
          <w:highlight w:val="none"/>
          <w:u w:val="single"/>
          <w:lang w:val="en-US" w:eastAsia="zh-CN"/>
        </w:rPr>
        <w:t>价</w:t>
      </w:r>
      <w:r>
        <w:rPr>
          <w:rFonts w:hint="eastAsia" w:ascii="宋体" w:hAnsi="宋体" w:eastAsia="宋体" w:cs="宋体"/>
          <w:color w:val="auto"/>
          <w:sz w:val="24"/>
          <w:szCs w:val="24"/>
          <w:highlight w:val="none"/>
          <w:u w:val="single"/>
        </w:rPr>
        <w:t>包干，包工期、包质量、包安全、包文明、包服务和工作成果的形式承包本技术服务项目，按委托人实际委托给受托人的数量按实结算。</w:t>
      </w:r>
    </w:p>
    <w:p w14:paraId="264FFB12">
      <w:pPr>
        <w:tabs>
          <w:tab w:val="left" w:pos="0"/>
        </w:tabs>
        <w:spacing w:line="360" w:lineRule="auto"/>
        <w:ind w:firstLine="432" w:firstLineChars="1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2、投标报价</w:t>
      </w:r>
      <w:r>
        <w:rPr>
          <w:rFonts w:hint="eastAsia" w:ascii="宋体" w:hAnsi="宋体" w:eastAsia="宋体" w:cs="宋体"/>
          <w:color w:val="auto"/>
          <w:sz w:val="24"/>
          <w:szCs w:val="24"/>
          <w:highlight w:val="none"/>
          <w:u w:val="single"/>
        </w:rPr>
        <w:t>包括但不限于人工费(桩头处理、试坑开挖除外)、材料费（声波透射法声测管的购置和埋设、单桩静载试验所需桩帽制作、桩两侧垫层加固处理及道路和吊机位处理、检测锚杆的锚头处理除外）、设备使用费、设备进出场费、检测试验费、报告编写费、各项管理费、施工配合费、现场文明施工、措施费、交通费，以及所有因工程质量检测应交纳的政府规费、利润、税金、风险费用等，不论实际费用有无发生，亦不论各项费用有无涨落，均不再调整。主要工作内容：设备埋设、定位放线、监测测试、现场监测、场地清理、监测报告等。</w:t>
      </w:r>
    </w:p>
    <w:p w14:paraId="56255D05">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color w:val="auto"/>
          <w:sz w:val="24"/>
          <w:szCs w:val="24"/>
          <w:highlight w:val="none"/>
          <w:u w:val="single"/>
        </w:rPr>
        <w:t>受托人对用于本合同项目的各类装备的提供、运输、维护、拆卸、拼装等费用，已包括在</w:t>
      </w:r>
      <w:r>
        <w:rPr>
          <w:rFonts w:hint="eastAsia" w:ascii="宋体" w:hAnsi="宋体"/>
          <w:color w:val="auto"/>
          <w:sz w:val="24"/>
          <w:szCs w:val="24"/>
          <w:highlight w:val="none"/>
          <w:u w:val="single"/>
          <w:lang w:val="en-US" w:eastAsia="zh-CN"/>
        </w:rPr>
        <w:t>投标报价</w:t>
      </w:r>
      <w:r>
        <w:rPr>
          <w:rFonts w:hint="eastAsia" w:ascii="宋体" w:hAnsi="宋体"/>
          <w:color w:val="auto"/>
          <w:sz w:val="24"/>
          <w:szCs w:val="24"/>
          <w:highlight w:val="none"/>
          <w:u w:val="single"/>
        </w:rPr>
        <w:t>之中。</w:t>
      </w:r>
    </w:p>
    <w:p w14:paraId="5BC58AA8">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投标人装备险和职工的(人身)事故险及其他保险由投标人自行投保，保险费由投标人承担并支付，并包含在所报的</w:t>
      </w:r>
      <w:r>
        <w:rPr>
          <w:rFonts w:hint="eastAsia" w:ascii="宋体" w:hAnsi="宋体"/>
          <w:color w:val="auto"/>
          <w:sz w:val="24"/>
          <w:szCs w:val="24"/>
          <w:highlight w:val="none"/>
          <w:u w:val="single"/>
          <w:lang w:val="en-US" w:eastAsia="zh-CN"/>
        </w:rPr>
        <w:t>投标报价</w:t>
      </w:r>
      <w:r>
        <w:rPr>
          <w:rFonts w:hint="eastAsia" w:ascii="宋体" w:hAnsi="宋体"/>
          <w:color w:val="auto"/>
          <w:sz w:val="24"/>
          <w:szCs w:val="24"/>
          <w:highlight w:val="none"/>
          <w:u w:val="single"/>
        </w:rPr>
        <w:t>中，不单独报价。</w:t>
      </w:r>
    </w:p>
    <w:p w14:paraId="46630119">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投标人因承包本合同项目需缴纳一切税费必须根据有关规定缴纳，投标人在投标时对上述税费应纳入相应</w:t>
      </w:r>
      <w:r>
        <w:rPr>
          <w:rFonts w:hint="eastAsia" w:ascii="宋体" w:hAnsi="宋体"/>
          <w:color w:val="auto"/>
          <w:sz w:val="24"/>
          <w:szCs w:val="24"/>
          <w:highlight w:val="none"/>
          <w:u w:val="single"/>
          <w:lang w:val="en-US" w:eastAsia="zh-CN"/>
        </w:rPr>
        <w:t>投标报价</w:t>
      </w:r>
      <w:r>
        <w:rPr>
          <w:rFonts w:hint="eastAsia" w:ascii="宋体" w:hAnsi="宋体"/>
          <w:color w:val="auto"/>
          <w:sz w:val="24"/>
          <w:szCs w:val="24"/>
          <w:highlight w:val="none"/>
          <w:u w:val="single"/>
        </w:rPr>
        <w:t>中。</w:t>
      </w:r>
    </w:p>
    <w:p w14:paraId="6A82242E">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投标人应充分考虑监测的工作组织安排，配合好现场施工单位施工安排，做好监测工作。基坑及高支模的监测期为相应工程施工工期，检测频率和内容应按照设计图纸、监测规范要求和批复的监测方案进行监测。</w:t>
      </w:r>
    </w:p>
    <w:p w14:paraId="359C1A43">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rPr>
        <w:t>①投标人报价前已完全明确本工程施工过程中将会遇到的市场价格波动、与其他施工单位的协调、配合及现场实际情况对投标人施工可能带来的一切影响，以上单价已完全考虑了市场人工、物价等各种因素对价格的影响。</w:t>
      </w:r>
    </w:p>
    <w:p w14:paraId="5438F3DA">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rPr>
        <w:t>②施工期间，应采用有效措施，确保基准点和工作基点的正常使用；监测过程中应加强对监测仪器设备的维护保养、定期检测以及监测元件的检查；应加强对监测</w:t>
      </w:r>
      <w:r>
        <w:rPr>
          <w:rFonts w:hint="eastAsia" w:ascii="宋体" w:hAnsi="宋体"/>
          <w:color w:val="auto"/>
          <w:sz w:val="24"/>
          <w:szCs w:val="24"/>
          <w:highlight w:val="none"/>
          <w:u w:val="single"/>
          <w:lang w:eastAsia="zh-CN"/>
        </w:rPr>
        <w:t>仪表</w:t>
      </w:r>
      <w:r>
        <w:rPr>
          <w:rFonts w:hint="eastAsia" w:ascii="宋体" w:hAnsi="宋体"/>
          <w:color w:val="auto"/>
          <w:sz w:val="24"/>
          <w:szCs w:val="24"/>
          <w:highlight w:val="none"/>
          <w:u w:val="single"/>
        </w:rPr>
        <w:t>的保护，防止损坏。 </w:t>
      </w:r>
    </w:p>
    <w:p w14:paraId="296DCFC6">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rPr>
        <w:t>③监测项目初始值应为事前至少连续观测3次的稳定值的平均值。如有发生，修复、补点等费用皆含在综合单价中。</w:t>
      </w:r>
    </w:p>
    <w:p w14:paraId="2B6D7E74">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rPr>
        <w:t>④在监测发现达到报警值时应及时用书面向监理和业主报告，并在第一时间电话通知业主、监理和施工方以及设计院。</w:t>
      </w:r>
    </w:p>
    <w:p w14:paraId="29FFCDFC">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rPr>
        <w:t>⑤投标人应充分考虑因征拆、临迁等问题导致的工期延长、分段施工的风险，监测与土建项目开展范围同步进行，监测方案需与施工配合，因此而产生多次进退场等费用考虑在投标报价中。</w:t>
      </w:r>
    </w:p>
    <w:p w14:paraId="1E943747">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投标人必须并承诺充分考虑项目实施监测方案。投标人中标后，可根据设计单位的监测方案、规范，先行优化完善方案，并按经评审通过，并经监理单位、建设单位确认后的方案进行实施监测工作，所有的费用包含在投标总价中，发包人不再增加费用。</w:t>
      </w:r>
    </w:p>
    <w:p w14:paraId="026BA066">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投标人中标后应尽快编制详细的监测方案，方案应满足《广州市城乡建设委员会关于加强地下工程和深基坑安全监测方案管理的通知》（穗建质[2014]750号）文件附件1《基坑支护监测要求与要点》的规定，并由建设单位组织专家对监测方案进行论证，并由专家对监测布点进行验收，相关专家费用包含在投标</w:t>
      </w:r>
      <w:r>
        <w:rPr>
          <w:rFonts w:hint="eastAsia" w:ascii="宋体" w:hAnsi="宋体"/>
          <w:color w:val="auto"/>
          <w:sz w:val="24"/>
          <w:szCs w:val="24"/>
          <w:highlight w:val="none"/>
          <w:u w:val="single"/>
          <w:lang w:val="en-US" w:eastAsia="zh-CN"/>
        </w:rPr>
        <w:t>报价</w:t>
      </w:r>
      <w:r>
        <w:rPr>
          <w:rFonts w:hint="eastAsia" w:ascii="宋体" w:hAnsi="宋体"/>
          <w:color w:val="auto"/>
          <w:sz w:val="24"/>
          <w:szCs w:val="24"/>
          <w:highlight w:val="none"/>
          <w:u w:val="single"/>
        </w:rPr>
        <w:t>中。</w:t>
      </w:r>
    </w:p>
    <w:p w14:paraId="31921752">
      <w:pPr>
        <w:tabs>
          <w:tab w:val="left" w:pos="0"/>
        </w:tabs>
        <w:spacing w:line="360" w:lineRule="auto"/>
        <w:ind w:firstLine="432" w:firstLineChars="180"/>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所列的监测项目并不代表本项目所有的检测监测内容，实际实施时可根据项目实际情况进行调整，以监理、甲方、乙方共同认可并提交了检测监测报告的内容为准进行结算。本合同结算总价最终以有关部门审定的结算价格为准，但最终结算总价不得超过</w:t>
      </w:r>
      <w:r>
        <w:rPr>
          <w:rFonts w:hint="eastAsia" w:ascii="宋体" w:hAnsi="宋体" w:eastAsia="宋体" w:cs="Times New Roman"/>
          <w:color w:val="auto"/>
          <w:sz w:val="24"/>
          <w:szCs w:val="24"/>
          <w:highlight w:val="none"/>
          <w:u w:val="single"/>
          <w:lang w:val="en-US" w:eastAsia="zh-CN"/>
        </w:rPr>
        <w:t>概算批复金额</w:t>
      </w:r>
      <w:r>
        <w:rPr>
          <w:rFonts w:hint="eastAsia" w:ascii="宋体" w:hAnsi="宋体"/>
          <w:color w:val="auto"/>
          <w:sz w:val="24"/>
          <w:szCs w:val="24"/>
          <w:highlight w:val="none"/>
          <w:u w:val="single"/>
        </w:rPr>
        <w:t>。</w:t>
      </w:r>
    </w:p>
    <w:p w14:paraId="678EDD6F">
      <w:pPr>
        <w:tabs>
          <w:tab w:val="left" w:pos="0"/>
        </w:tabs>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主要设备基本要求：</w:t>
      </w:r>
    </w:p>
    <w:tbl>
      <w:tblPr>
        <w:tblStyle w:val="16"/>
        <w:tblW w:w="92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5789"/>
        <w:gridCol w:w="2425"/>
      </w:tblGrid>
      <w:tr w14:paraId="10A8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9DFAD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12E38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仪器名称、型号</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3A89F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23B6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BEECF0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11BB36F9">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基桩动测仪</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23E8E4C4">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2BF2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E82F103">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2</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5A7990B5">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压力试验机</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2C5FE181">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013B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814C978">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3</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055EA5D5">
            <w:pPr>
              <w:widowControl/>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0"/>
                <w:szCs w:val="21"/>
                <w:highlight w:val="none"/>
                <w:lang w:bidi="ar"/>
              </w:rPr>
              <w:t>锚杆拉力计</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78F8B34A">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0E0D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BBFE4C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4</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110A6DF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液压千斤顶</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24143F9D">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4562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A800157">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5</w:t>
            </w:r>
          </w:p>
        </w:tc>
        <w:tc>
          <w:tcPr>
            <w:tcW w:w="5789" w:type="dxa"/>
            <w:tcBorders>
              <w:top w:val="single" w:color="000000" w:sz="4" w:space="0"/>
              <w:left w:val="single" w:color="000000" w:sz="4" w:space="0"/>
              <w:bottom w:val="single" w:color="000000" w:sz="4" w:space="0"/>
              <w:right w:val="single" w:color="000000" w:sz="4" w:space="0"/>
            </w:tcBorders>
            <w:noWrap w:val="0"/>
            <w:vAlign w:val="center"/>
          </w:tcPr>
          <w:p w14:paraId="7C5FAE34">
            <w:pPr>
              <w:widowControl/>
              <w:jc w:val="center"/>
              <w:textAlignment w:val="auto"/>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静载测试分析仪</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1F49CDF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004E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98B2D80">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6</w:t>
            </w:r>
          </w:p>
        </w:tc>
        <w:tc>
          <w:tcPr>
            <w:tcW w:w="5789" w:type="dxa"/>
            <w:tcBorders>
              <w:top w:val="single" w:color="000000" w:sz="4" w:space="0"/>
              <w:left w:val="single" w:color="000000" w:sz="4" w:space="0"/>
              <w:bottom w:val="single" w:color="000000" w:sz="4" w:space="0"/>
              <w:right w:val="single" w:color="000000" w:sz="4" w:space="0"/>
            </w:tcBorders>
            <w:noWrap w:val="0"/>
            <w:vAlign w:val="center"/>
          </w:tcPr>
          <w:p w14:paraId="4EAD22C6">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恒流采样器</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0696B230">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2BF7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775654F">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7</w:t>
            </w:r>
          </w:p>
        </w:tc>
        <w:tc>
          <w:tcPr>
            <w:tcW w:w="5789" w:type="dxa"/>
            <w:tcBorders>
              <w:top w:val="single" w:color="000000" w:sz="4" w:space="0"/>
              <w:left w:val="single" w:color="000000" w:sz="4" w:space="0"/>
              <w:bottom w:val="single" w:color="000000" w:sz="4" w:space="0"/>
              <w:right w:val="single" w:color="000000" w:sz="4" w:space="0"/>
            </w:tcBorders>
            <w:noWrap w:val="0"/>
            <w:vAlign w:val="center"/>
          </w:tcPr>
          <w:p w14:paraId="2A00A107">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皂膜流量计</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3B9B783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7B3B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5CC107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8</w:t>
            </w:r>
          </w:p>
        </w:tc>
        <w:tc>
          <w:tcPr>
            <w:tcW w:w="5789" w:type="dxa"/>
            <w:tcBorders>
              <w:top w:val="single" w:color="000000" w:sz="4" w:space="0"/>
              <w:left w:val="single" w:color="000000" w:sz="4" w:space="0"/>
              <w:bottom w:val="single" w:color="000000" w:sz="4" w:space="0"/>
              <w:right w:val="single" w:color="000000" w:sz="4" w:space="0"/>
            </w:tcBorders>
            <w:noWrap w:val="0"/>
            <w:vAlign w:val="center"/>
          </w:tcPr>
          <w:p w14:paraId="66A06D7C">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气相色谱仪</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26E96E9E">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7B10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4113A50">
            <w:pPr>
              <w:widowControl/>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color w:val="auto"/>
                <w:kern w:val="0"/>
                <w:sz w:val="24"/>
                <w:szCs w:val="24"/>
                <w:highlight w:val="none"/>
                <w:lang w:bidi="ar"/>
              </w:rPr>
              <w:t>9</w:t>
            </w:r>
          </w:p>
        </w:tc>
        <w:tc>
          <w:tcPr>
            <w:tcW w:w="5789" w:type="dxa"/>
            <w:tcBorders>
              <w:top w:val="single" w:color="000000" w:sz="4" w:space="0"/>
              <w:left w:val="single" w:color="000000" w:sz="4" w:space="0"/>
              <w:bottom w:val="single" w:color="000000" w:sz="4" w:space="0"/>
              <w:right w:val="single" w:color="000000" w:sz="4" w:space="0"/>
            </w:tcBorders>
            <w:noWrap w:val="0"/>
            <w:vAlign w:val="center"/>
          </w:tcPr>
          <w:p w14:paraId="34236478">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混凝土抗渗仪</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7544DD27">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668A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F3C36F9">
            <w:pPr>
              <w:widowControl/>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color w:val="auto"/>
                <w:kern w:val="0"/>
                <w:sz w:val="24"/>
                <w:szCs w:val="24"/>
                <w:highlight w:val="none"/>
                <w:lang w:bidi="ar"/>
              </w:rPr>
              <w:t>10</w:t>
            </w:r>
          </w:p>
        </w:tc>
        <w:tc>
          <w:tcPr>
            <w:tcW w:w="5789" w:type="dxa"/>
            <w:tcBorders>
              <w:top w:val="single" w:color="000000" w:sz="4" w:space="0"/>
              <w:left w:val="single" w:color="000000" w:sz="4" w:space="0"/>
              <w:bottom w:val="single" w:color="000000" w:sz="4" w:space="0"/>
              <w:right w:val="single" w:color="000000" w:sz="4" w:space="0"/>
            </w:tcBorders>
            <w:noWrap w:val="0"/>
            <w:vAlign w:val="center"/>
          </w:tcPr>
          <w:p w14:paraId="6F6148BF">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万能试验机</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2686085A">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26D1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829B4A4">
            <w:pPr>
              <w:widowControl/>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color w:val="auto"/>
                <w:kern w:val="0"/>
                <w:sz w:val="24"/>
                <w:szCs w:val="24"/>
                <w:highlight w:val="none"/>
                <w:lang w:bidi="ar"/>
              </w:rPr>
              <w:t>11</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6F5AC14D">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混凝土搅拌机</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5A83E2C2">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57E8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F9FB03C">
            <w:pPr>
              <w:widowControl/>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color w:val="auto"/>
                <w:kern w:val="0"/>
                <w:sz w:val="24"/>
                <w:szCs w:val="24"/>
                <w:highlight w:val="none"/>
                <w:lang w:bidi="ar"/>
              </w:rPr>
              <w:t>12</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50649458">
            <w:pPr>
              <w:widowControl/>
              <w:jc w:val="center"/>
              <w:textAlignment w:val="auto"/>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坍落度筒</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28766858">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4217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DEF8245">
            <w:pPr>
              <w:widowControl/>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color w:val="auto"/>
                <w:kern w:val="0"/>
                <w:sz w:val="24"/>
                <w:szCs w:val="24"/>
                <w:highlight w:val="none"/>
                <w:lang w:bidi="ar"/>
              </w:rPr>
              <w:t>13</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54BC8CBD">
            <w:pPr>
              <w:widowControl/>
              <w:jc w:val="center"/>
              <w:textAlignment w:val="auto"/>
              <w:rPr>
                <w:rFonts w:hint="eastAsia" w:ascii="宋体" w:hAnsi="宋体" w:eastAsia="宋体" w:cs="宋体"/>
                <w:i w:val="0"/>
                <w:iCs w:val="0"/>
                <w:color w:val="auto"/>
                <w:sz w:val="24"/>
                <w:szCs w:val="24"/>
                <w:highlight w:val="none"/>
                <w:u w:val="none"/>
              </w:rPr>
            </w:pPr>
            <w:r>
              <w:rPr>
                <w:rFonts w:hint="eastAsia" w:ascii="宋体" w:hAnsi="宋体" w:cs="宋体"/>
                <w:color w:val="auto"/>
                <w:kern w:val="0"/>
                <w:szCs w:val="21"/>
                <w:highlight w:val="none"/>
                <w:lang w:bidi="ar"/>
              </w:rPr>
              <w:t>空气流量测量装置标准试件</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1CB5AEF8">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kern w:val="0"/>
                <w:sz w:val="24"/>
                <w:szCs w:val="24"/>
                <w:highlight w:val="none"/>
                <w:lang w:bidi="ar"/>
              </w:rPr>
              <w:t>1</w:t>
            </w:r>
          </w:p>
        </w:tc>
      </w:tr>
      <w:tr w14:paraId="5CF4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B09E086">
            <w:pPr>
              <w:widowControl/>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bidi="ar"/>
              </w:rPr>
              <w:t>1</w:t>
            </w:r>
            <w:r>
              <w:rPr>
                <w:rFonts w:ascii="宋体" w:hAnsi="宋体" w:cs="宋体"/>
                <w:color w:val="auto"/>
                <w:kern w:val="0"/>
                <w:sz w:val="24"/>
                <w:szCs w:val="24"/>
                <w:highlight w:val="none"/>
                <w:lang w:bidi="ar"/>
              </w:rPr>
              <w:t>4</w:t>
            </w:r>
          </w:p>
        </w:tc>
        <w:tc>
          <w:tcPr>
            <w:tcW w:w="5789" w:type="dxa"/>
            <w:tcBorders>
              <w:top w:val="single" w:color="000000" w:sz="4" w:space="0"/>
              <w:left w:val="single" w:color="000000" w:sz="4" w:space="0"/>
              <w:bottom w:val="single" w:color="000000" w:sz="4" w:space="0"/>
              <w:right w:val="single" w:color="000000" w:sz="4" w:space="0"/>
            </w:tcBorders>
            <w:noWrap/>
            <w:vAlign w:val="center"/>
          </w:tcPr>
          <w:p w14:paraId="7DD5A5A9">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highlight w:val="none"/>
                <w:lang w:bidi="ar"/>
              </w:rPr>
              <w:t>建筑门窗动风压性能检测设备</w:t>
            </w:r>
          </w:p>
        </w:tc>
        <w:tc>
          <w:tcPr>
            <w:tcW w:w="2425" w:type="dxa"/>
            <w:tcBorders>
              <w:top w:val="single" w:color="000000" w:sz="4" w:space="0"/>
              <w:left w:val="single" w:color="000000" w:sz="4" w:space="0"/>
              <w:bottom w:val="single" w:color="000000" w:sz="4" w:space="0"/>
              <w:right w:val="single" w:color="000000" w:sz="4" w:space="0"/>
            </w:tcBorders>
            <w:noWrap/>
            <w:vAlign w:val="center"/>
          </w:tcPr>
          <w:p w14:paraId="2B10523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bidi="ar"/>
              </w:rPr>
              <w:t>1</w:t>
            </w:r>
          </w:p>
        </w:tc>
      </w:tr>
    </w:tbl>
    <w:p w14:paraId="35B8169F">
      <w:pPr>
        <w:pStyle w:val="7"/>
        <w:rPr>
          <w:rFonts w:hint="eastAsia"/>
          <w:color w:val="auto"/>
          <w:highlight w:val="none"/>
          <w:lang w:eastAsia="zh-CN"/>
        </w:rPr>
      </w:pPr>
    </w:p>
    <w:p w14:paraId="71455F96">
      <w:pPr>
        <w:tabs>
          <w:tab w:val="left" w:pos="0"/>
        </w:tabs>
        <w:spacing w:line="360" w:lineRule="auto"/>
        <w:ind w:firstLine="240" w:firstLineChars="100"/>
        <w:rPr>
          <w:rFonts w:hint="eastAsia"/>
          <w:b w:val="0"/>
          <w:bCs/>
          <w:color w:val="auto"/>
          <w:sz w:val="24"/>
          <w:szCs w:val="24"/>
          <w:highlight w:val="none"/>
        </w:rPr>
      </w:pPr>
      <w:r>
        <w:rPr>
          <w:rFonts w:hint="eastAsia"/>
          <w:bCs/>
          <w:color w:val="auto"/>
          <w:sz w:val="24"/>
          <w:szCs w:val="24"/>
          <w:highlight w:val="none"/>
        </w:rPr>
        <w:t>注：</w:t>
      </w:r>
      <w:r>
        <w:rPr>
          <w:rFonts w:hint="eastAsia"/>
          <w:b w:val="0"/>
          <w:bCs/>
          <w:color w:val="auto"/>
          <w:sz w:val="24"/>
          <w:szCs w:val="24"/>
          <w:highlight w:val="none"/>
        </w:rPr>
        <w:t>本表只作为详细评审的内容，不作为否决性审查的依据。</w:t>
      </w:r>
    </w:p>
    <w:p w14:paraId="07D2BAA9">
      <w:pPr>
        <w:tabs>
          <w:tab w:val="left" w:pos="0"/>
        </w:tabs>
        <w:spacing w:line="360" w:lineRule="auto"/>
        <w:ind w:firstLine="241" w:firstLineChars="100"/>
        <w:rPr>
          <w:rFonts w:hint="eastAsia" w:ascii="宋体" w:hAnsi="宋体"/>
          <w:b/>
          <w:bCs/>
          <w:color w:val="auto"/>
          <w:sz w:val="24"/>
          <w:szCs w:val="24"/>
          <w:highlight w:val="none"/>
        </w:rPr>
      </w:pPr>
      <w:r>
        <w:rPr>
          <w:rFonts w:hint="eastAsia"/>
          <w:b/>
          <w:bCs/>
          <w:color w:val="auto"/>
          <w:sz w:val="24"/>
          <w:szCs w:val="24"/>
          <w:highlight w:val="none"/>
          <w:lang w:val="en-US" w:eastAsia="zh-CN"/>
        </w:rPr>
        <w:t>七</w:t>
      </w:r>
      <w:r>
        <w:rPr>
          <w:rFonts w:hint="eastAsia" w:ascii="宋体" w:hAnsi="宋体"/>
          <w:b/>
          <w:bCs/>
          <w:color w:val="auto"/>
          <w:sz w:val="24"/>
          <w:szCs w:val="24"/>
          <w:highlight w:val="none"/>
        </w:rPr>
        <w:t>、其他要求详见按合同。</w:t>
      </w:r>
    </w:p>
    <w:p w14:paraId="3A0F05BF">
      <w:pPr>
        <w:pStyle w:val="14"/>
        <w:rPr>
          <w:rFonts w:hint="eastAsia"/>
          <w:color w:val="auto"/>
          <w:highlight w:val="none"/>
        </w:rPr>
      </w:pPr>
    </w:p>
    <w:p w14:paraId="69E95CE0">
      <w:pPr>
        <w:rPr>
          <w:color w:val="auto"/>
          <w:highlight w:val="none"/>
        </w:rPr>
      </w:pPr>
    </w:p>
    <w:p w14:paraId="38F58A7C"/>
    <w:sectPr>
      <w:headerReference r:id="rId9" w:type="default"/>
      <w:footerReference r:id="rId10" w:type="default"/>
      <w:pgSz w:w="11906" w:h="16838"/>
      <w:pgMar w:top="1440" w:right="1800" w:bottom="1440" w:left="1800" w:header="708" w:footer="708" w:gutter="0"/>
      <w:pgNumType w:fmt="decimal" w:start="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FF5E">
    <w:pPr>
      <w:pStyle w:val="10"/>
      <w:tabs>
        <w:tab w:val="center" w:pos="4251"/>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5815">
    <w:pPr>
      <w:pStyle w:val="10"/>
      <w:jc w:val="center"/>
    </w:pPr>
    <w:r>
      <w:fldChar w:fldCharType="begin"/>
    </w:r>
    <w:r>
      <w:instrText xml:space="preserve">PAGE   \* MERGEFORMAT</w:instrText>
    </w:r>
    <w:r>
      <w:fldChar w:fldCharType="separate"/>
    </w:r>
    <w:r>
      <w:rPr>
        <w:lang w:val="zh-CN"/>
      </w:rPr>
      <w:t>1</w:t>
    </w:r>
    <w:r>
      <w:fldChar w:fldCharType="end"/>
    </w:r>
  </w:p>
  <w:p w14:paraId="4C0C85BC">
    <w:pPr>
      <w:pStyle w:val="10"/>
      <w:tabs>
        <w:tab w:val="center" w:pos="4251"/>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03FE">
    <w:pPr>
      <w:pStyle w:val="10"/>
      <w:jc w:val="center"/>
    </w:pPr>
    <w:r>
      <w:fldChar w:fldCharType="begin"/>
    </w:r>
    <w:r>
      <w:instrText xml:space="preserve">PAGE   \* MERGEFORMAT</w:instrText>
    </w:r>
    <w:r>
      <w:fldChar w:fldCharType="separate"/>
    </w:r>
    <w:r>
      <w:rPr>
        <w:lang w:val="zh-CN"/>
      </w:rPr>
      <w:t>37</w:t>
    </w:r>
    <w:r>
      <w:fldChar w:fldCharType="end"/>
    </w:r>
  </w:p>
  <w:p w14:paraId="4C0F31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AB7C">
    <w:pPr>
      <w:pStyle w:val="10"/>
      <w:jc w:val="center"/>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1695C">
                          <w:pPr>
                            <w:pStyle w:val="10"/>
                            <w:jc w:val="center"/>
                          </w:pPr>
                          <w:r>
                            <w:rPr>
                              <w:sz w:val="21"/>
                            </w:rPr>
                            <w:fldChar w:fldCharType="begin"/>
                          </w:r>
                          <w:r>
                            <w:rPr>
                              <w:sz w:val="21"/>
                            </w:rPr>
                            <w:instrText xml:space="preserve">PAGE   \* MERGEFORMAT</w:instrText>
                          </w:r>
                          <w:r>
                            <w:rPr>
                              <w:sz w:val="21"/>
                            </w:rPr>
                            <w:fldChar w:fldCharType="separate"/>
                          </w:r>
                          <w:r>
                            <w:rPr>
                              <w:sz w:val="21"/>
                              <w:lang w:val="zh-CN"/>
                            </w:rPr>
                            <w:t>69</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801695C">
                    <w:pPr>
                      <w:pStyle w:val="10"/>
                      <w:jc w:val="center"/>
                    </w:pPr>
                    <w:r>
                      <w:rPr>
                        <w:sz w:val="21"/>
                      </w:rPr>
                      <w:fldChar w:fldCharType="begin"/>
                    </w:r>
                    <w:r>
                      <w:rPr>
                        <w:sz w:val="21"/>
                      </w:rPr>
                      <w:instrText xml:space="preserve">PAGE   \* MERGEFORMAT</w:instrText>
                    </w:r>
                    <w:r>
                      <w:rPr>
                        <w:sz w:val="21"/>
                      </w:rPr>
                      <w:fldChar w:fldCharType="separate"/>
                    </w:r>
                    <w:r>
                      <w:rPr>
                        <w:sz w:val="21"/>
                        <w:lang w:val="zh-CN"/>
                      </w:rPr>
                      <w:t>69</w:t>
                    </w:r>
                    <w:r>
                      <w:rPr>
                        <w:sz w:val="21"/>
                      </w:rPr>
                      <w:fldChar w:fldCharType="end"/>
                    </w:r>
                  </w:p>
                </w:txbxContent>
              </v:textbox>
            </v:shape>
          </w:pict>
        </mc:Fallback>
      </mc:AlternateContent>
    </w:r>
  </w:p>
  <w:p w14:paraId="4BF496CD">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A4C54">
    <w:pPr>
      <w:pStyle w:val="10"/>
      <w:jc w:val="center"/>
    </w:pPr>
    <w:r>
      <w:fldChar w:fldCharType="begin"/>
    </w:r>
    <w:r>
      <w:instrText xml:space="preserve">PAGE   \* MERGEFORMAT</w:instrText>
    </w:r>
    <w:r>
      <w:fldChar w:fldCharType="separate"/>
    </w:r>
    <w:r>
      <w:rPr>
        <w:lang w:val="zh-CN"/>
      </w:rPr>
      <w:t>73</w:t>
    </w:r>
    <w:r>
      <w:fldChar w:fldCharType="end"/>
    </w:r>
  </w:p>
  <w:p w14:paraId="6D32BEDC">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BCED">
    <w:pPr>
      <w:pStyle w:val="1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9D9B7">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59D9B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10381">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05FE">
    <w:pPr>
      <w:pStyle w:val="11"/>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46352"/>
    <w:rsid w:val="3853453C"/>
    <w:rsid w:val="39B24772"/>
    <w:rsid w:val="455362F1"/>
    <w:rsid w:val="75CC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rFonts w:ascii="Calibri" w:hAnsi="Calibri" w:eastAsia="黑体" w:cs="Times New Roman"/>
      <w:b/>
      <w:bCs/>
      <w:kern w:val="44"/>
      <w:sz w:val="44"/>
      <w:szCs w:val="44"/>
    </w:rPr>
  </w:style>
  <w:style w:type="paragraph" w:styleId="3">
    <w:name w:val="heading 2"/>
    <w:basedOn w:val="1"/>
    <w:next w:val="1"/>
    <w:qFormat/>
    <w:uiPriority w:val="0"/>
    <w:pPr>
      <w:keepNext/>
      <w:keepLines/>
      <w:spacing w:before="240" w:beforeLines="0" w:after="240" w:afterLines="0" w:line="413" w:lineRule="auto"/>
      <w:outlineLvl w:val="1"/>
    </w:pPr>
    <w:rPr>
      <w:rFonts w:ascii="Cambria" w:hAnsi="Cambria" w:eastAsia="仿宋" w:cs="Times New Roman"/>
      <w:b/>
      <w:bCs/>
      <w:sz w:val="40"/>
      <w:szCs w:val="32"/>
    </w:rPr>
  </w:style>
  <w:style w:type="paragraph" w:styleId="4">
    <w:name w:val="heading 3"/>
    <w:basedOn w:val="1"/>
    <w:next w:val="1"/>
    <w:qFormat/>
    <w:uiPriority w:val="0"/>
    <w:pPr>
      <w:keepNext/>
      <w:keepLines/>
      <w:spacing w:before="120" w:beforeLines="0" w:after="120" w:afterLines="0" w:line="413" w:lineRule="auto"/>
      <w:outlineLvl w:val="2"/>
    </w:pPr>
    <w:rPr>
      <w:rFonts w:ascii="Calibri" w:hAnsi="Calibri" w:eastAsia="仿宋" w:cs="Times New Roman"/>
      <w:b/>
      <w:bCs/>
      <w:sz w:val="28"/>
      <w:szCs w:val="32"/>
    </w:rPr>
  </w:style>
  <w:style w:type="paragraph" w:styleId="5">
    <w:name w:val="heading 7"/>
    <w:basedOn w:val="1"/>
    <w:next w:val="1"/>
    <w:qFormat/>
    <w:uiPriority w:val="0"/>
    <w:pPr>
      <w:keepNext/>
      <w:keepLines/>
      <w:spacing w:before="240" w:beforeLines="0" w:after="64" w:afterLines="0" w:line="317" w:lineRule="auto"/>
      <w:outlineLvl w:val="6"/>
    </w:pPr>
    <w:rPr>
      <w:rFonts w:ascii="Times New Roman" w:hAnsi="Times New Roman"/>
      <w:b/>
      <w:sz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3"/>
    <w:basedOn w:val="1"/>
    <w:qFormat/>
    <w:uiPriority w:val="0"/>
    <w:rPr>
      <w:rFonts w:ascii="宋体"/>
      <w:sz w:val="24"/>
      <w:szCs w:val="20"/>
    </w:rPr>
  </w:style>
  <w:style w:type="paragraph" w:styleId="7">
    <w:name w:val="Body Text"/>
    <w:basedOn w:val="1"/>
    <w:qFormat/>
    <w:uiPriority w:val="0"/>
    <w:pPr>
      <w:spacing w:after="120" w:afterLines="0"/>
    </w:pPr>
    <w:rPr>
      <w:rFonts w:ascii="Calibri" w:hAnsi="Calibri" w:cs="Times New Roman"/>
      <w:kern w:val="2"/>
      <w:sz w:val="21"/>
    </w:rPr>
  </w:style>
  <w:style w:type="paragraph" w:styleId="8">
    <w:name w:val="Body Text Indent"/>
    <w:basedOn w:val="1"/>
    <w:qFormat/>
    <w:uiPriority w:val="0"/>
    <w:pPr>
      <w:spacing w:after="120" w:afterLines="0"/>
      <w:ind w:left="420" w:leftChars="200"/>
    </w:pPr>
    <w:rPr>
      <w:rFonts w:ascii="Calibri" w:hAnsi="Calibri" w:eastAsia="宋体" w:cs="Times New Roman"/>
    </w:rPr>
  </w:style>
  <w:style w:type="paragraph" w:styleId="9">
    <w:name w:val="Block Text"/>
    <w:basedOn w:val="1"/>
    <w:qFormat/>
    <w:uiPriority w:val="0"/>
    <w:pPr>
      <w:spacing w:line="440" w:lineRule="exact"/>
      <w:ind w:left="-540" w:leftChars="-257" w:right="-334" w:rightChars="-159" w:firstLine="1140"/>
    </w:pPr>
    <w:rPr>
      <w:sz w:val="24"/>
      <w:szCs w:val="20"/>
    </w:rPr>
  </w:style>
  <w:style w:type="paragraph" w:styleId="10">
    <w:name w:val="footer"/>
    <w:basedOn w:val="1"/>
    <w:qFormat/>
    <w:uiPriority w:val="0"/>
    <w:pPr>
      <w:tabs>
        <w:tab w:val="center" w:pos="4153"/>
        <w:tab w:val="right" w:pos="8306"/>
      </w:tabs>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jc w:val="center"/>
    </w:pPr>
    <w:rPr>
      <w:rFonts w:ascii="Tahoma" w:hAnsi="Tahoma"/>
      <w:sz w:val="18"/>
      <w:szCs w:val="18"/>
    </w:rPr>
  </w:style>
  <w:style w:type="paragraph" w:styleId="12">
    <w:name w:val="toc 1"/>
    <w:basedOn w:val="1"/>
    <w:next w:val="1"/>
    <w:uiPriority w:val="0"/>
    <w:pPr>
      <w:spacing w:before="120" w:beforeLines="0" w:after="120" w:afterLines="0"/>
      <w:jc w:val="left"/>
    </w:pPr>
    <w:rPr>
      <w:b/>
      <w:bCs/>
      <w:caps/>
      <w:sz w:val="20"/>
      <w:szCs w:val="20"/>
    </w:rPr>
  </w:style>
  <w:style w:type="paragraph" w:styleId="13">
    <w:name w:val="toc 2"/>
    <w:basedOn w:val="1"/>
    <w:next w:val="1"/>
    <w:qFormat/>
    <w:uiPriority w:val="0"/>
    <w:pPr>
      <w:ind w:left="210"/>
      <w:jc w:val="left"/>
    </w:pPr>
    <w:rPr>
      <w:smallCaps/>
      <w:sz w:val="20"/>
      <w:szCs w:val="20"/>
    </w:rPr>
  </w:style>
  <w:style w:type="paragraph" w:styleId="14">
    <w:name w:val="Body Text First Indent"/>
    <w:basedOn w:val="7"/>
    <w:qFormat/>
    <w:uiPriority w:val="0"/>
    <w:pPr>
      <w:ind w:firstLine="420" w:firstLineChars="100"/>
    </w:pPr>
  </w:style>
  <w:style w:type="paragraph" w:styleId="15">
    <w:name w:val="Body Text First Indent 2"/>
    <w:basedOn w:val="8"/>
    <w:qFormat/>
    <w:uiPriority w:val="0"/>
    <w:pPr>
      <w:spacing w:after="120" w:afterLines="0"/>
      <w:ind w:left="200" w:leftChars="200" w:firstLine="200" w:firstLineChars="200"/>
    </w:pPr>
    <w:rPr>
      <w:rFonts w:ascii="Calibri" w:hAnsi="Calibri"/>
      <w:color w:val="0D0D0D"/>
      <w:sz w:val="21"/>
      <w:szCs w:val="24"/>
      <w:lang w:eastAsia="en-US"/>
    </w:rPr>
  </w:style>
  <w:style w:type="paragraph" w:customStyle="1" w:styleId="18">
    <w:name w:val="Body Text First Indent 21"/>
    <w:basedOn w:val="19"/>
    <w:qFormat/>
    <w:uiPriority w:val="0"/>
    <w:pPr>
      <w:spacing w:after="120" w:afterLines="0" w:line="240" w:lineRule="auto"/>
      <w:ind w:left="200" w:leftChars="200" w:firstLine="200" w:firstLineChars="200"/>
    </w:pPr>
    <w:rPr>
      <w:rFonts w:ascii="Calibri" w:hAnsi="Calibri"/>
      <w:kern w:val="2"/>
      <w:sz w:val="21"/>
      <w:szCs w:val="24"/>
    </w:rPr>
  </w:style>
  <w:style w:type="paragraph" w:customStyle="1" w:styleId="19">
    <w:name w:val="Body Text Indent1"/>
    <w:basedOn w:val="1"/>
    <w:next w:val="20"/>
    <w:qFormat/>
    <w:uiPriority w:val="0"/>
    <w:pPr>
      <w:ind w:firstLine="570"/>
    </w:pPr>
    <w:rPr>
      <w:rFonts w:ascii="Times New Roman" w:hAnsi="Times New Roman"/>
      <w:kern w:val="0"/>
      <w:sz w:val="28"/>
      <w:szCs w:val="20"/>
    </w:rPr>
  </w:style>
  <w:style w:type="paragraph" w:customStyle="1" w:styleId="20">
    <w:name w:val="envelope return1"/>
    <w:basedOn w:val="1"/>
    <w:qFormat/>
    <w:uiPriority w:val="0"/>
    <w:pPr>
      <w:snapToGrid w:val="0"/>
    </w:pPr>
    <w:rPr>
      <w:rFonts w:ascii="Arial" w:hAnsi="Arial" w:eastAsia="宋体" w:cs="Times New Roman"/>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Body Text First Indent 2"/>
    <w:basedOn w:val="23"/>
    <w:qFormat/>
    <w:uiPriority w:val="0"/>
    <w:pPr>
      <w:spacing w:after="120" w:afterLines="0" w:line="240" w:lineRule="auto"/>
      <w:ind w:left="200" w:leftChars="200" w:firstLine="200" w:firstLineChars="200"/>
    </w:pPr>
    <w:rPr>
      <w:rFonts w:ascii="Calibri" w:hAnsi="Calibri"/>
      <w:kern w:val="2"/>
      <w:sz w:val="21"/>
      <w:szCs w:val="24"/>
    </w:rPr>
  </w:style>
  <w:style w:type="paragraph" w:customStyle="1" w:styleId="23">
    <w:name w:val="Body Text Indent"/>
    <w:basedOn w:val="1"/>
    <w:next w:val="24"/>
    <w:qFormat/>
    <w:uiPriority w:val="0"/>
    <w:pPr>
      <w:ind w:firstLine="570"/>
    </w:pPr>
    <w:rPr>
      <w:rFonts w:ascii="Times New Roman" w:hAnsi="Times New Roman"/>
      <w:kern w:val="0"/>
      <w:sz w:val="28"/>
      <w:szCs w:val="20"/>
    </w:rPr>
  </w:style>
  <w:style w:type="paragraph" w:customStyle="1" w:styleId="24">
    <w:name w:val="envelope return"/>
    <w:basedOn w:val="1"/>
    <w:qFormat/>
    <w:uiPriority w:val="0"/>
    <w:pPr>
      <w:snapToGrid w:val="0"/>
    </w:pPr>
    <w:rPr>
      <w:rFonts w:ascii="Arial" w:hAnsi="Arial" w:eastAsia="宋体" w:cs="Times New Roman"/>
      <w:szCs w:val="24"/>
    </w:rPr>
  </w:style>
  <w:style w:type="paragraph" w:customStyle="1" w:styleId="25">
    <w:name w:val="Table Paragraph"/>
    <w:basedOn w:val="1"/>
    <w:qFormat/>
    <w:uiPriority w:val="0"/>
    <w:rPr>
      <w:rFonts w:ascii="Times New Roman" w:hAnsi="Times New Roman" w:eastAsia="宋体" w:cs="Times New Roman"/>
    </w:rPr>
  </w:style>
  <w:style w:type="paragraph" w:customStyle="1" w:styleId="26">
    <w:name w:val="Normal Indent"/>
    <w:basedOn w:val="1"/>
    <w:next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13781</Words>
  <Characters>14776</Characters>
  <Lines>0</Lines>
  <Paragraphs>0</Paragraphs>
  <TotalTime>1</TotalTime>
  <ScaleCrop>false</ScaleCrop>
  <LinksUpToDate>false</LinksUpToDate>
  <CharactersWithSpaces>15065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2025-12-11T08:26:00Z</dcterms:created>
  <dc:creator>Administrator</dc:creator>
  <cp:lastModifiedBy>阿May</cp:lastModifiedBy>
  <dcterms:modified xsi:type="dcterms:W3CDTF">2025-12-11T10:18:10Z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B71CF9AA7D2F4924BA505871ADD301B7_12</vt:lpwstr>
  </property>
</Properties>
</file>