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391FC">
      <w:pPr>
        <w:spacing w:line="360" w:lineRule="auto"/>
        <w:ind w:firstLine="4" w:firstLineChars="2"/>
        <w:jc w:val="right"/>
        <w:outlineLvl w:val="1"/>
        <w:rPr>
          <w:rFonts w:ascii="宋体" w:hAnsi="宋体" w:eastAsia="宋体" w:cs="宋体"/>
          <w:b/>
          <w:sz w:val="44"/>
          <w:szCs w:val="44"/>
          <w:u w:val="single"/>
        </w:rPr>
      </w:pPr>
      <w:bookmarkStart w:id="0" w:name="_Toc258512154"/>
      <w:bookmarkStart w:id="1" w:name="_Toc267054341"/>
      <w:r>
        <w:rPr>
          <w:rFonts w:hint="eastAsia" w:ascii="宋体" w:hAnsi="宋体" w:eastAsia="宋体" w:cs="宋体"/>
          <w:b/>
          <w:color w:val="000000"/>
        </w:rPr>
        <w:t xml:space="preserve">                          </w:t>
      </w:r>
      <w:bookmarkStart w:id="2" w:name="_Toc30435"/>
      <w:bookmarkStart w:id="3" w:name="_Toc2957"/>
      <w:r>
        <w:rPr>
          <w:rFonts w:hint="eastAsia" w:ascii="宋体" w:hAnsi="宋体" w:eastAsia="宋体" w:cs="宋体"/>
          <w:b/>
          <w:color w:val="000000"/>
        </w:rPr>
        <w:t>【合同编号：             】</w:t>
      </w:r>
      <w:bookmarkEnd w:id="2"/>
      <w:bookmarkEnd w:id="3"/>
      <w:r>
        <w:rPr>
          <w:rFonts w:hint="eastAsia" w:ascii="宋体" w:hAnsi="宋体" w:eastAsia="宋体" w:cs="宋体"/>
          <w:b/>
          <w:color w:val="000000"/>
        </w:rPr>
        <w:t xml:space="preserve"> </w:t>
      </w:r>
    </w:p>
    <w:p w14:paraId="02BF7DED">
      <w:pPr>
        <w:spacing w:line="360" w:lineRule="auto"/>
        <w:ind w:firstLine="9" w:firstLineChars="2"/>
        <w:outlineLvl w:val="1"/>
        <w:rPr>
          <w:rFonts w:ascii="宋体" w:hAnsi="宋体" w:eastAsia="宋体" w:cs="宋体"/>
          <w:b/>
          <w:sz w:val="44"/>
          <w:szCs w:val="44"/>
          <w:u w:val="single"/>
        </w:rPr>
      </w:pPr>
    </w:p>
    <w:p w14:paraId="5EE405F1">
      <w:pPr>
        <w:spacing w:line="360" w:lineRule="auto"/>
        <w:ind w:firstLine="9" w:firstLineChars="2"/>
        <w:outlineLvl w:val="1"/>
        <w:rPr>
          <w:rFonts w:ascii="宋体" w:hAnsi="宋体" w:eastAsia="宋体" w:cs="宋体"/>
          <w:b/>
          <w:sz w:val="44"/>
          <w:szCs w:val="44"/>
          <w:u w:val="single"/>
        </w:rPr>
      </w:pPr>
    </w:p>
    <w:p w14:paraId="06128617">
      <w:pPr>
        <w:spacing w:line="360" w:lineRule="auto"/>
        <w:ind w:firstLine="9" w:firstLineChars="2"/>
        <w:jc w:val="center"/>
        <w:outlineLvl w:val="1"/>
        <w:rPr>
          <w:rFonts w:ascii="宋体" w:hAnsi="宋体" w:eastAsia="宋体" w:cs="宋体"/>
          <w:b/>
          <w:sz w:val="44"/>
          <w:szCs w:val="44"/>
          <w:u w:val="single"/>
        </w:rPr>
      </w:pPr>
    </w:p>
    <w:bookmarkEnd w:id="0"/>
    <w:bookmarkEnd w:id="1"/>
    <w:p w14:paraId="0345F44E">
      <w:pPr>
        <w:spacing w:line="360" w:lineRule="auto"/>
        <w:ind w:firstLine="10" w:firstLineChars="2"/>
        <w:jc w:val="center"/>
        <w:outlineLvl w:val="1"/>
        <w:rPr>
          <w:rFonts w:ascii="宋体" w:hAnsi="宋体" w:eastAsia="宋体" w:cs="宋体"/>
          <w:b/>
          <w:sz w:val="52"/>
          <w:szCs w:val="44"/>
        </w:rPr>
      </w:pPr>
      <w:bookmarkStart w:id="4" w:name="_Toc21878"/>
      <w:bookmarkStart w:id="5" w:name="_Toc32480"/>
      <w:r>
        <w:rPr>
          <w:rFonts w:hint="eastAsia" w:ascii="宋体" w:hAnsi="宋体" w:eastAsia="宋体" w:cs="宋体"/>
          <w:b/>
          <w:sz w:val="52"/>
          <w:szCs w:val="44"/>
        </w:rPr>
        <w:t>广州市天河区棠东广棠路2号、广园路以北以及棠东横岭地块开发建设综合商业项目超前钻技术服务合同</w:t>
      </w:r>
      <w:bookmarkEnd w:id="4"/>
      <w:bookmarkEnd w:id="5"/>
    </w:p>
    <w:p w14:paraId="5465863D">
      <w:pPr>
        <w:spacing w:line="360" w:lineRule="auto"/>
        <w:ind w:firstLine="10" w:firstLineChars="2"/>
        <w:rPr>
          <w:rFonts w:ascii="宋体" w:hAnsi="宋体" w:eastAsia="宋体" w:cs="宋体"/>
          <w:b/>
          <w:bCs/>
          <w:color w:val="000000"/>
          <w:sz w:val="48"/>
          <w:szCs w:val="48"/>
        </w:rPr>
      </w:pPr>
    </w:p>
    <w:p w14:paraId="16B01118">
      <w:pPr>
        <w:spacing w:line="360" w:lineRule="auto"/>
        <w:ind w:firstLine="10" w:firstLineChars="2"/>
        <w:rPr>
          <w:rFonts w:ascii="宋体" w:hAnsi="宋体" w:eastAsia="宋体" w:cs="宋体"/>
          <w:b/>
          <w:bCs/>
          <w:color w:val="000000"/>
          <w:sz w:val="48"/>
          <w:szCs w:val="48"/>
        </w:rPr>
      </w:pPr>
    </w:p>
    <w:p w14:paraId="2AD18071">
      <w:pPr>
        <w:spacing w:line="360" w:lineRule="auto"/>
        <w:rPr>
          <w:rFonts w:ascii="宋体" w:hAnsi="宋体" w:eastAsia="宋体" w:cs="宋体"/>
          <w:b/>
          <w:bCs/>
          <w:color w:val="000000"/>
          <w:sz w:val="48"/>
          <w:szCs w:val="48"/>
        </w:rPr>
      </w:pPr>
    </w:p>
    <w:p w14:paraId="4BF0095A">
      <w:pPr>
        <w:spacing w:line="360" w:lineRule="auto"/>
        <w:ind w:firstLine="10" w:firstLineChars="2"/>
        <w:rPr>
          <w:rFonts w:ascii="宋体" w:hAnsi="宋体" w:eastAsia="宋体" w:cs="宋体"/>
          <w:b/>
          <w:bCs/>
          <w:color w:val="000000"/>
          <w:sz w:val="48"/>
          <w:szCs w:val="48"/>
        </w:rPr>
      </w:pPr>
    </w:p>
    <w:p w14:paraId="5C6F4ED8">
      <w:pPr>
        <w:spacing w:line="360" w:lineRule="auto"/>
        <w:ind w:firstLine="1124" w:firstLineChars="400"/>
        <w:rPr>
          <w:rFonts w:ascii="宋体" w:hAnsi="宋体" w:eastAsia="宋体" w:cs="宋体"/>
          <w:b/>
          <w:color w:val="000000"/>
          <w:sz w:val="28"/>
          <w:szCs w:val="28"/>
        </w:rPr>
      </w:pPr>
      <w:r>
        <w:rPr>
          <w:rFonts w:hint="eastAsia" w:ascii="宋体" w:hAnsi="宋体" w:eastAsia="宋体" w:cs="宋体"/>
          <w:b/>
          <w:color w:val="000000"/>
          <w:sz w:val="28"/>
          <w:szCs w:val="28"/>
        </w:rPr>
        <w:t>发 包 人一：广州市天河棠东经济发展有限公司</w:t>
      </w:r>
    </w:p>
    <w:p w14:paraId="222D255B">
      <w:pPr>
        <w:spacing w:line="360" w:lineRule="auto"/>
        <w:ind w:firstLine="1124" w:firstLineChars="400"/>
        <w:rPr>
          <w:rFonts w:ascii="宋体" w:hAnsi="宋体" w:eastAsia="宋体" w:cs="宋体"/>
          <w:b/>
          <w:color w:val="000000"/>
          <w:sz w:val="28"/>
          <w:szCs w:val="28"/>
        </w:rPr>
      </w:pPr>
      <w:r>
        <w:rPr>
          <w:rFonts w:hint="eastAsia" w:ascii="宋体" w:hAnsi="宋体" w:eastAsia="宋体" w:cs="宋体"/>
          <w:b/>
          <w:color w:val="000000"/>
          <w:sz w:val="28"/>
          <w:szCs w:val="28"/>
        </w:rPr>
        <w:t>发 包 人二：广州市天河区棠下街棠东股份合作经济联社</w:t>
      </w:r>
    </w:p>
    <w:p w14:paraId="785F7FB5">
      <w:pPr>
        <w:spacing w:line="360" w:lineRule="auto"/>
        <w:ind w:firstLine="1124" w:firstLineChars="400"/>
        <w:rPr>
          <w:rFonts w:ascii="宋体" w:hAnsi="宋体" w:eastAsia="宋体" w:cs="宋体"/>
          <w:b/>
          <w:color w:val="000000"/>
          <w:sz w:val="28"/>
          <w:szCs w:val="28"/>
          <w:u w:val="single"/>
        </w:rPr>
      </w:pPr>
      <w:r>
        <w:rPr>
          <w:rFonts w:hint="eastAsia" w:ascii="宋体" w:hAnsi="宋体" w:eastAsia="宋体" w:cs="宋体"/>
          <w:b/>
          <w:color w:val="000000"/>
          <w:sz w:val="28"/>
          <w:szCs w:val="28"/>
        </w:rPr>
        <w:t>承 包 人：</w:t>
      </w:r>
      <w:r>
        <w:rPr>
          <w:rFonts w:hint="eastAsia" w:ascii="宋体" w:hAnsi="宋体" w:eastAsia="宋体" w:cs="宋体"/>
          <w:b/>
          <w:color w:val="000000"/>
          <w:sz w:val="28"/>
          <w:szCs w:val="28"/>
          <w:u w:val="single"/>
        </w:rPr>
        <w:t xml:space="preserve">                                     </w:t>
      </w:r>
    </w:p>
    <w:p w14:paraId="40ECE9E2">
      <w:pPr>
        <w:spacing w:line="360" w:lineRule="auto"/>
        <w:ind w:left="2522" w:leftChars="532" w:hanging="1405" w:hangingChars="500"/>
        <w:rPr>
          <w:rFonts w:ascii="宋体" w:hAnsi="宋体" w:eastAsia="宋体" w:cs="宋体"/>
          <w:b/>
          <w:color w:val="000000"/>
          <w:sz w:val="28"/>
          <w:szCs w:val="28"/>
        </w:rPr>
      </w:pPr>
      <w:r>
        <w:rPr>
          <w:rFonts w:hint="eastAsia" w:ascii="宋体" w:hAnsi="宋体" w:eastAsia="宋体" w:cs="宋体"/>
          <w:b/>
          <w:color w:val="000000"/>
          <w:sz w:val="28"/>
          <w:szCs w:val="28"/>
        </w:rPr>
        <w:t>工程名称：广州市天河区棠东广棠路2号、广园路以北以及棠东横岭地块开发建设综合商业项目超前钻技术服务</w:t>
      </w:r>
    </w:p>
    <w:p w14:paraId="2FAA7029">
      <w:pPr>
        <w:spacing w:line="360" w:lineRule="auto"/>
        <w:ind w:firstLine="1113" w:firstLineChars="396"/>
        <w:rPr>
          <w:rFonts w:ascii="宋体" w:hAnsi="宋体" w:eastAsia="宋体" w:cs="宋体"/>
          <w:b/>
          <w:color w:val="000000"/>
          <w:sz w:val="28"/>
          <w:szCs w:val="28"/>
        </w:rPr>
      </w:pPr>
      <w:r>
        <w:rPr>
          <w:rFonts w:hint="eastAsia" w:ascii="宋体" w:hAnsi="宋体" w:eastAsia="宋体" w:cs="宋体"/>
          <w:b/>
          <w:color w:val="000000"/>
          <w:sz w:val="28"/>
          <w:szCs w:val="28"/>
        </w:rPr>
        <w:t>签约地点：</w:t>
      </w:r>
      <w:r>
        <w:rPr>
          <w:rFonts w:hint="eastAsia" w:ascii="宋体" w:hAnsi="宋体" w:eastAsia="宋体" w:cs="宋体"/>
          <w:b/>
          <w:color w:val="000000"/>
          <w:sz w:val="28"/>
          <w:szCs w:val="28"/>
          <w:u w:val="single"/>
        </w:rPr>
        <w:t>广州市天河区</w:t>
      </w:r>
    </w:p>
    <w:p w14:paraId="4A823B5F">
      <w:pPr>
        <w:spacing w:line="360" w:lineRule="auto"/>
        <w:ind w:firstLine="1113" w:firstLineChars="396"/>
        <w:rPr>
          <w:rFonts w:ascii="宋体" w:hAnsi="宋体" w:eastAsia="宋体" w:cs="宋体"/>
          <w:b/>
          <w:sz w:val="36"/>
          <w:szCs w:val="36"/>
        </w:rPr>
        <w:sectPr>
          <w:headerReference r:id="rId4" w:type="first"/>
          <w:footerReference r:id="rId5" w:type="default"/>
          <w:headerReference r:id="rId3" w:type="even"/>
          <w:pgSz w:w="11906" w:h="16838"/>
          <w:pgMar w:top="1440" w:right="1418" w:bottom="1440" w:left="1418" w:header="851" w:footer="992" w:gutter="0"/>
          <w:pgNumType w:fmt="decimal" w:start="1"/>
          <w:cols w:space="425" w:num="1"/>
          <w:docGrid w:linePitch="326" w:charSpace="-4822"/>
        </w:sectPr>
      </w:pPr>
      <w:r>
        <w:rPr>
          <w:rFonts w:hint="eastAsia" w:ascii="宋体" w:hAnsi="宋体" w:eastAsia="宋体" w:cs="宋体"/>
          <w:b/>
          <w:color w:val="000000"/>
          <w:sz w:val="28"/>
          <w:szCs w:val="28"/>
        </w:rPr>
        <w:t xml:space="preserve">签订日期：202  年  月  </w:t>
      </w:r>
    </w:p>
    <w:sdt>
      <w:sdtPr>
        <w:rPr>
          <w:rFonts w:hint="eastAsia" w:ascii="宋体" w:hAnsi="宋体" w:eastAsia="宋体" w:cs="宋体"/>
          <w:color w:val="000000" w:themeColor="text1"/>
          <w:kern w:val="2"/>
          <w:sz w:val="21"/>
          <w:szCs w:val="22"/>
          <w:lang w:val="zh-CN"/>
          <w14:textFill>
            <w14:solidFill>
              <w14:schemeClr w14:val="tx1"/>
            </w14:solidFill>
          </w14:textFill>
        </w:rPr>
        <w:id w:val="-20710903"/>
        <w:docPartObj>
          <w:docPartGallery w:val="Table of Contents"/>
          <w:docPartUnique/>
        </w:docPartObj>
      </w:sdtPr>
      <w:sdtEndPr>
        <w:rPr>
          <w:rFonts w:hint="eastAsia" w:ascii="宋体" w:hAnsi="宋体" w:eastAsia="宋体" w:cs="宋体"/>
          <w:color w:val="000000" w:themeColor="text1"/>
          <w:kern w:val="2"/>
          <w:sz w:val="21"/>
          <w:szCs w:val="22"/>
          <w:lang w:val="zh-CN"/>
          <w14:textFill>
            <w14:solidFill>
              <w14:schemeClr w14:val="tx1"/>
            </w14:solidFill>
          </w14:textFill>
        </w:rPr>
      </w:sdtEndPr>
      <w:sdtContent>
        <w:p w14:paraId="6A2FE57B">
          <w:pPr>
            <w:pStyle w:val="30"/>
            <w:spacing w:line="360"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目录</w:t>
          </w:r>
        </w:p>
        <w:p w14:paraId="2C98846D">
          <w:pPr>
            <w:pStyle w:val="14"/>
            <w:tabs>
              <w:tab w:val="right" w:leader="dot" w:pos="8307"/>
            </w:tabs>
            <w:spacing w:line="360" w:lineRule="auto"/>
            <w:ind w:left="0" w:leftChars="0"/>
            <w:rPr>
              <w:rFonts w:hint="eastAsia" w:ascii="宋体" w:hAnsi="宋体" w:eastAsia="宋体" w:cs="宋体"/>
              <w:bCs/>
              <w:color w:val="000000" w:themeColor="text1"/>
              <w:sz w:val="24"/>
              <w:szCs w:val="28"/>
              <w:lang w:val="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TOC \o "1-3" \h \z \u </w:instrText>
          </w:r>
          <w:r>
            <w:rPr>
              <w:rFonts w:hint="eastAsia" w:ascii="宋体" w:hAnsi="宋体" w:eastAsia="宋体" w:cs="宋体"/>
              <w:color w:val="000000" w:themeColor="text1"/>
              <w14:textFill>
                <w14:solidFill>
                  <w14:schemeClr w14:val="tx1"/>
                </w14:solidFill>
              </w14:textFill>
            </w:rPr>
            <w:fldChar w:fldCharType="separate"/>
          </w:r>
          <w:bookmarkStart w:id="51" w:name="_GoBack"/>
          <w:bookmarkEnd w:id="51"/>
        </w:p>
        <w:p w14:paraId="3FA3F885">
          <w:pPr>
            <w:pStyle w:val="14"/>
            <w:tabs>
              <w:tab w:val="right" w:leader="dot" w:pos="8307"/>
            </w:tabs>
            <w:spacing w:line="360" w:lineRule="auto"/>
            <w:rPr>
              <w:rFonts w:hint="eastAsia" w:ascii="宋体" w:hAnsi="宋体" w:eastAsia="宋体" w:cs="宋体"/>
              <w:bCs/>
              <w:color w:val="000000" w:themeColor="text1"/>
              <w:sz w:val="24"/>
              <w:szCs w:val="28"/>
              <w:lang w:val="zh-CN"/>
              <w14:textFill>
                <w14:solidFill>
                  <w14:schemeClr w14:val="tx1"/>
                </w14:solidFill>
              </w14:textFill>
            </w:rPr>
          </w:pP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HYPERLINK \l _Toc7343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超前钻技术服务协议书</w:t>
          </w:r>
          <w:r>
            <w:rPr>
              <w:rFonts w:hint="eastAsia" w:ascii="宋体" w:hAnsi="宋体" w:eastAsia="宋体" w:cs="宋体"/>
              <w:bCs/>
              <w:color w:val="000000" w:themeColor="text1"/>
              <w:sz w:val="24"/>
              <w:szCs w:val="28"/>
              <w:lang w:val="zh-CN"/>
              <w14:textFill>
                <w14:solidFill>
                  <w14:schemeClr w14:val="tx1"/>
                </w14:solidFill>
              </w14:textFill>
            </w:rPr>
            <w:tab/>
          </w: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PAGEREF _Toc7343 \h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2</w:t>
          </w:r>
          <w:r>
            <w:rPr>
              <w:rFonts w:hint="eastAsia" w:ascii="宋体" w:hAnsi="宋体" w:eastAsia="宋体" w:cs="宋体"/>
              <w:bCs/>
              <w:color w:val="000000" w:themeColor="text1"/>
              <w:sz w:val="24"/>
              <w:szCs w:val="28"/>
              <w:lang w:val="zh-CN"/>
              <w14:textFill>
                <w14:solidFill>
                  <w14:schemeClr w14:val="tx1"/>
                </w14:solidFill>
              </w14:textFill>
            </w:rPr>
            <w:fldChar w:fldCharType="end"/>
          </w:r>
          <w:r>
            <w:rPr>
              <w:rFonts w:hint="eastAsia" w:ascii="宋体" w:hAnsi="宋体" w:eastAsia="宋体" w:cs="宋体"/>
              <w:bCs/>
              <w:color w:val="000000" w:themeColor="text1"/>
              <w:sz w:val="24"/>
              <w:szCs w:val="28"/>
              <w:lang w:val="zh-CN"/>
              <w14:textFill>
                <w14:solidFill>
                  <w14:schemeClr w14:val="tx1"/>
                </w14:solidFill>
              </w14:textFill>
            </w:rPr>
            <w:fldChar w:fldCharType="end"/>
          </w:r>
        </w:p>
        <w:p w14:paraId="79CABC34">
          <w:pPr>
            <w:pStyle w:val="14"/>
            <w:tabs>
              <w:tab w:val="right" w:leader="dot" w:pos="8307"/>
            </w:tabs>
            <w:spacing w:line="360" w:lineRule="auto"/>
            <w:rPr>
              <w:rFonts w:hint="eastAsia" w:ascii="宋体" w:hAnsi="宋体" w:eastAsia="宋体" w:cs="宋体"/>
              <w:bCs/>
              <w:color w:val="000000" w:themeColor="text1"/>
              <w:sz w:val="24"/>
              <w:szCs w:val="28"/>
              <w:lang w:val="zh-CN"/>
              <w14:textFill>
                <w14:solidFill>
                  <w14:schemeClr w14:val="tx1"/>
                </w14:solidFill>
              </w14:textFill>
            </w:rPr>
          </w:pP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HYPERLINK \l _Toc30880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1.合同的组成及其优先解释顺序</w:t>
          </w:r>
          <w:r>
            <w:rPr>
              <w:rFonts w:hint="eastAsia" w:ascii="宋体" w:hAnsi="宋体" w:eastAsia="宋体" w:cs="宋体"/>
              <w:bCs/>
              <w:color w:val="000000" w:themeColor="text1"/>
              <w:sz w:val="24"/>
              <w:szCs w:val="28"/>
              <w:lang w:val="zh-CN"/>
              <w14:textFill>
                <w14:solidFill>
                  <w14:schemeClr w14:val="tx1"/>
                </w14:solidFill>
              </w14:textFill>
            </w:rPr>
            <w:tab/>
          </w: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PAGEREF _Toc30880 \h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2</w:t>
          </w:r>
          <w:r>
            <w:rPr>
              <w:rFonts w:hint="eastAsia" w:ascii="宋体" w:hAnsi="宋体" w:eastAsia="宋体" w:cs="宋体"/>
              <w:bCs/>
              <w:color w:val="000000" w:themeColor="text1"/>
              <w:sz w:val="24"/>
              <w:szCs w:val="28"/>
              <w:lang w:val="zh-CN"/>
              <w14:textFill>
                <w14:solidFill>
                  <w14:schemeClr w14:val="tx1"/>
                </w14:solidFill>
              </w14:textFill>
            </w:rPr>
            <w:fldChar w:fldCharType="end"/>
          </w:r>
          <w:r>
            <w:rPr>
              <w:rFonts w:hint="eastAsia" w:ascii="宋体" w:hAnsi="宋体" w:eastAsia="宋体" w:cs="宋体"/>
              <w:bCs/>
              <w:color w:val="000000" w:themeColor="text1"/>
              <w:sz w:val="24"/>
              <w:szCs w:val="28"/>
              <w:lang w:val="zh-CN"/>
              <w14:textFill>
                <w14:solidFill>
                  <w14:schemeClr w14:val="tx1"/>
                </w14:solidFill>
              </w14:textFill>
            </w:rPr>
            <w:fldChar w:fldCharType="end"/>
          </w:r>
        </w:p>
        <w:p w14:paraId="12DF825D">
          <w:pPr>
            <w:pStyle w:val="14"/>
            <w:tabs>
              <w:tab w:val="right" w:leader="dot" w:pos="8307"/>
            </w:tabs>
            <w:spacing w:line="360" w:lineRule="auto"/>
            <w:rPr>
              <w:rFonts w:hint="eastAsia" w:ascii="宋体" w:hAnsi="宋体" w:eastAsia="宋体" w:cs="宋体"/>
              <w:bCs/>
              <w:color w:val="000000" w:themeColor="text1"/>
              <w:sz w:val="24"/>
              <w:szCs w:val="28"/>
              <w:lang w:val="zh-CN"/>
              <w14:textFill>
                <w14:solidFill>
                  <w14:schemeClr w14:val="tx1"/>
                </w14:solidFill>
              </w14:textFill>
            </w:rPr>
          </w:pP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HYPERLINK \l _Toc161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2.工程概况</w:t>
          </w:r>
          <w:r>
            <w:rPr>
              <w:rFonts w:hint="eastAsia" w:ascii="宋体" w:hAnsi="宋体" w:eastAsia="宋体" w:cs="宋体"/>
              <w:bCs/>
              <w:color w:val="000000" w:themeColor="text1"/>
              <w:sz w:val="24"/>
              <w:szCs w:val="28"/>
              <w:lang w:val="zh-CN"/>
              <w14:textFill>
                <w14:solidFill>
                  <w14:schemeClr w14:val="tx1"/>
                </w14:solidFill>
              </w14:textFill>
            </w:rPr>
            <w:tab/>
          </w: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PAGEREF _Toc161 \h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3</w:t>
          </w:r>
          <w:r>
            <w:rPr>
              <w:rFonts w:hint="eastAsia" w:ascii="宋体" w:hAnsi="宋体" w:eastAsia="宋体" w:cs="宋体"/>
              <w:bCs/>
              <w:color w:val="000000" w:themeColor="text1"/>
              <w:sz w:val="24"/>
              <w:szCs w:val="28"/>
              <w:lang w:val="zh-CN"/>
              <w14:textFill>
                <w14:solidFill>
                  <w14:schemeClr w14:val="tx1"/>
                </w14:solidFill>
              </w14:textFill>
            </w:rPr>
            <w:fldChar w:fldCharType="end"/>
          </w:r>
          <w:r>
            <w:rPr>
              <w:rFonts w:hint="eastAsia" w:ascii="宋体" w:hAnsi="宋体" w:eastAsia="宋体" w:cs="宋体"/>
              <w:bCs/>
              <w:color w:val="000000" w:themeColor="text1"/>
              <w:sz w:val="24"/>
              <w:szCs w:val="28"/>
              <w:lang w:val="zh-CN"/>
              <w14:textFill>
                <w14:solidFill>
                  <w14:schemeClr w14:val="tx1"/>
                </w14:solidFill>
              </w14:textFill>
            </w:rPr>
            <w:fldChar w:fldCharType="end"/>
          </w:r>
        </w:p>
        <w:p w14:paraId="2D438874">
          <w:pPr>
            <w:pStyle w:val="14"/>
            <w:tabs>
              <w:tab w:val="right" w:leader="dot" w:pos="8307"/>
            </w:tabs>
            <w:spacing w:line="360" w:lineRule="auto"/>
            <w:rPr>
              <w:rFonts w:hint="eastAsia" w:ascii="宋体" w:hAnsi="宋体" w:eastAsia="宋体" w:cs="宋体"/>
              <w:bCs/>
              <w:color w:val="000000" w:themeColor="text1"/>
              <w:sz w:val="24"/>
              <w:szCs w:val="28"/>
              <w:lang w:val="zh-CN"/>
              <w14:textFill>
                <w14:solidFill>
                  <w14:schemeClr w14:val="tx1"/>
                </w14:solidFill>
              </w14:textFill>
            </w:rPr>
          </w:pP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HYPERLINK \l _Toc8527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3.计量方式</w:t>
          </w:r>
          <w:r>
            <w:rPr>
              <w:rFonts w:hint="eastAsia" w:ascii="宋体" w:hAnsi="宋体" w:eastAsia="宋体" w:cs="宋体"/>
              <w:bCs/>
              <w:color w:val="000000" w:themeColor="text1"/>
              <w:sz w:val="24"/>
              <w:szCs w:val="28"/>
              <w:lang w:val="zh-CN"/>
              <w14:textFill>
                <w14:solidFill>
                  <w14:schemeClr w14:val="tx1"/>
                </w14:solidFill>
              </w14:textFill>
            </w:rPr>
            <w:tab/>
          </w: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PAGEREF _Toc8527 \h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4</w:t>
          </w:r>
          <w:r>
            <w:rPr>
              <w:rFonts w:hint="eastAsia" w:ascii="宋体" w:hAnsi="宋体" w:eastAsia="宋体" w:cs="宋体"/>
              <w:bCs/>
              <w:color w:val="000000" w:themeColor="text1"/>
              <w:sz w:val="24"/>
              <w:szCs w:val="28"/>
              <w:lang w:val="zh-CN"/>
              <w14:textFill>
                <w14:solidFill>
                  <w14:schemeClr w14:val="tx1"/>
                </w14:solidFill>
              </w14:textFill>
            </w:rPr>
            <w:fldChar w:fldCharType="end"/>
          </w:r>
          <w:r>
            <w:rPr>
              <w:rFonts w:hint="eastAsia" w:ascii="宋体" w:hAnsi="宋体" w:eastAsia="宋体" w:cs="宋体"/>
              <w:bCs/>
              <w:color w:val="000000" w:themeColor="text1"/>
              <w:sz w:val="24"/>
              <w:szCs w:val="28"/>
              <w:lang w:val="zh-CN"/>
              <w14:textFill>
                <w14:solidFill>
                  <w14:schemeClr w14:val="tx1"/>
                </w14:solidFill>
              </w14:textFill>
            </w:rPr>
            <w:fldChar w:fldCharType="end"/>
          </w:r>
        </w:p>
        <w:p w14:paraId="68D9C157">
          <w:pPr>
            <w:pStyle w:val="14"/>
            <w:tabs>
              <w:tab w:val="right" w:leader="dot" w:pos="8307"/>
            </w:tabs>
            <w:spacing w:line="360" w:lineRule="auto"/>
            <w:rPr>
              <w:rFonts w:hint="eastAsia" w:ascii="宋体" w:hAnsi="宋体" w:eastAsia="宋体" w:cs="宋体"/>
              <w:bCs/>
              <w:color w:val="000000" w:themeColor="text1"/>
              <w:sz w:val="24"/>
              <w:szCs w:val="28"/>
              <w:lang w:val="zh-CN"/>
              <w14:textFill>
                <w14:solidFill>
                  <w14:schemeClr w14:val="tx1"/>
                </w14:solidFill>
              </w14:textFill>
            </w:rPr>
          </w:pP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HYPERLINK \l _Toc12454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4.合同价款</w:t>
          </w:r>
          <w:r>
            <w:rPr>
              <w:rFonts w:hint="eastAsia" w:ascii="宋体" w:hAnsi="宋体" w:eastAsia="宋体" w:cs="宋体"/>
              <w:bCs/>
              <w:color w:val="000000" w:themeColor="text1"/>
              <w:sz w:val="24"/>
              <w:szCs w:val="28"/>
              <w:lang w:val="zh-CN"/>
              <w14:textFill>
                <w14:solidFill>
                  <w14:schemeClr w14:val="tx1"/>
                </w14:solidFill>
              </w14:textFill>
            </w:rPr>
            <w:tab/>
          </w: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PAGEREF _Toc12454 \h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4</w:t>
          </w:r>
          <w:r>
            <w:rPr>
              <w:rFonts w:hint="eastAsia" w:ascii="宋体" w:hAnsi="宋体" w:eastAsia="宋体" w:cs="宋体"/>
              <w:bCs/>
              <w:color w:val="000000" w:themeColor="text1"/>
              <w:sz w:val="24"/>
              <w:szCs w:val="28"/>
              <w:lang w:val="zh-CN"/>
              <w14:textFill>
                <w14:solidFill>
                  <w14:schemeClr w14:val="tx1"/>
                </w14:solidFill>
              </w14:textFill>
            </w:rPr>
            <w:fldChar w:fldCharType="end"/>
          </w:r>
          <w:r>
            <w:rPr>
              <w:rFonts w:hint="eastAsia" w:ascii="宋体" w:hAnsi="宋体" w:eastAsia="宋体" w:cs="宋体"/>
              <w:bCs/>
              <w:color w:val="000000" w:themeColor="text1"/>
              <w:sz w:val="24"/>
              <w:szCs w:val="28"/>
              <w:lang w:val="zh-CN"/>
              <w14:textFill>
                <w14:solidFill>
                  <w14:schemeClr w14:val="tx1"/>
                </w14:solidFill>
              </w14:textFill>
            </w:rPr>
            <w:fldChar w:fldCharType="end"/>
          </w:r>
        </w:p>
        <w:p w14:paraId="69387F6E">
          <w:pPr>
            <w:pStyle w:val="14"/>
            <w:tabs>
              <w:tab w:val="right" w:leader="dot" w:pos="8307"/>
            </w:tabs>
            <w:spacing w:line="360" w:lineRule="auto"/>
            <w:rPr>
              <w:rFonts w:hint="eastAsia" w:ascii="宋体" w:hAnsi="宋体" w:eastAsia="宋体" w:cs="宋体"/>
              <w:bCs/>
              <w:color w:val="000000" w:themeColor="text1"/>
              <w:sz w:val="24"/>
              <w:szCs w:val="28"/>
              <w:lang w:val="zh-CN"/>
              <w14:textFill>
                <w14:solidFill>
                  <w14:schemeClr w14:val="tx1"/>
                </w14:solidFill>
              </w14:textFill>
            </w:rPr>
          </w:pP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HYPERLINK \l _Toc7218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5.开工及成果提交时间</w:t>
          </w:r>
          <w:r>
            <w:rPr>
              <w:rFonts w:hint="eastAsia" w:ascii="宋体" w:hAnsi="宋体" w:eastAsia="宋体" w:cs="宋体"/>
              <w:bCs/>
              <w:color w:val="000000" w:themeColor="text1"/>
              <w:sz w:val="24"/>
              <w:szCs w:val="28"/>
              <w:lang w:val="zh-CN"/>
              <w14:textFill>
                <w14:solidFill>
                  <w14:schemeClr w14:val="tx1"/>
                </w14:solidFill>
              </w14:textFill>
            </w:rPr>
            <w:tab/>
          </w: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PAGEREF _Toc7218 \h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6</w:t>
          </w:r>
          <w:r>
            <w:rPr>
              <w:rFonts w:hint="eastAsia" w:ascii="宋体" w:hAnsi="宋体" w:eastAsia="宋体" w:cs="宋体"/>
              <w:bCs/>
              <w:color w:val="000000" w:themeColor="text1"/>
              <w:sz w:val="24"/>
              <w:szCs w:val="28"/>
              <w:lang w:val="zh-CN"/>
              <w14:textFill>
                <w14:solidFill>
                  <w14:schemeClr w14:val="tx1"/>
                </w14:solidFill>
              </w14:textFill>
            </w:rPr>
            <w:fldChar w:fldCharType="end"/>
          </w:r>
          <w:r>
            <w:rPr>
              <w:rFonts w:hint="eastAsia" w:ascii="宋体" w:hAnsi="宋体" w:eastAsia="宋体" w:cs="宋体"/>
              <w:bCs/>
              <w:color w:val="000000" w:themeColor="text1"/>
              <w:sz w:val="24"/>
              <w:szCs w:val="28"/>
              <w:lang w:val="zh-CN"/>
              <w14:textFill>
                <w14:solidFill>
                  <w14:schemeClr w14:val="tx1"/>
                </w14:solidFill>
              </w14:textFill>
            </w:rPr>
            <w:fldChar w:fldCharType="end"/>
          </w:r>
        </w:p>
        <w:p w14:paraId="0F68C093">
          <w:pPr>
            <w:pStyle w:val="14"/>
            <w:tabs>
              <w:tab w:val="right" w:leader="dot" w:pos="8307"/>
            </w:tabs>
            <w:spacing w:line="360" w:lineRule="auto"/>
            <w:rPr>
              <w:rFonts w:hint="eastAsia" w:ascii="宋体" w:hAnsi="宋体" w:eastAsia="宋体" w:cs="宋体"/>
              <w:bCs/>
              <w:color w:val="000000" w:themeColor="text1"/>
              <w:sz w:val="24"/>
              <w:szCs w:val="28"/>
              <w:lang w:val="zh-CN"/>
              <w14:textFill>
                <w14:solidFill>
                  <w14:schemeClr w14:val="tx1"/>
                </w14:solidFill>
              </w14:textFill>
            </w:rPr>
          </w:pP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HYPERLINK \l _Toc970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6.质量标准及要求</w:t>
          </w:r>
          <w:r>
            <w:rPr>
              <w:rFonts w:hint="eastAsia" w:ascii="宋体" w:hAnsi="宋体" w:eastAsia="宋体" w:cs="宋体"/>
              <w:bCs/>
              <w:color w:val="000000" w:themeColor="text1"/>
              <w:sz w:val="24"/>
              <w:szCs w:val="28"/>
              <w:lang w:val="zh-CN"/>
              <w14:textFill>
                <w14:solidFill>
                  <w14:schemeClr w14:val="tx1"/>
                </w14:solidFill>
              </w14:textFill>
            </w:rPr>
            <w:tab/>
          </w: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PAGEREF _Toc970 \h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6</w:t>
          </w:r>
          <w:r>
            <w:rPr>
              <w:rFonts w:hint="eastAsia" w:ascii="宋体" w:hAnsi="宋体" w:eastAsia="宋体" w:cs="宋体"/>
              <w:bCs/>
              <w:color w:val="000000" w:themeColor="text1"/>
              <w:sz w:val="24"/>
              <w:szCs w:val="28"/>
              <w:lang w:val="zh-CN"/>
              <w14:textFill>
                <w14:solidFill>
                  <w14:schemeClr w14:val="tx1"/>
                </w14:solidFill>
              </w14:textFill>
            </w:rPr>
            <w:fldChar w:fldCharType="end"/>
          </w:r>
          <w:r>
            <w:rPr>
              <w:rFonts w:hint="eastAsia" w:ascii="宋体" w:hAnsi="宋体" w:eastAsia="宋体" w:cs="宋体"/>
              <w:bCs/>
              <w:color w:val="000000" w:themeColor="text1"/>
              <w:sz w:val="24"/>
              <w:szCs w:val="28"/>
              <w:lang w:val="zh-CN"/>
              <w14:textFill>
                <w14:solidFill>
                  <w14:schemeClr w14:val="tx1"/>
                </w14:solidFill>
              </w14:textFill>
            </w:rPr>
            <w:fldChar w:fldCharType="end"/>
          </w:r>
        </w:p>
        <w:p w14:paraId="153C85CD">
          <w:pPr>
            <w:pStyle w:val="14"/>
            <w:tabs>
              <w:tab w:val="right" w:leader="dot" w:pos="8307"/>
            </w:tabs>
            <w:spacing w:line="360" w:lineRule="auto"/>
            <w:rPr>
              <w:rFonts w:hint="eastAsia" w:ascii="宋体" w:hAnsi="宋体" w:eastAsia="宋体" w:cs="宋体"/>
              <w:bCs/>
              <w:color w:val="000000" w:themeColor="text1"/>
              <w:sz w:val="24"/>
              <w:szCs w:val="28"/>
              <w:lang w:val="zh-CN"/>
              <w14:textFill>
                <w14:solidFill>
                  <w14:schemeClr w14:val="tx1"/>
                </w14:solidFill>
              </w14:textFill>
            </w:rPr>
          </w:pP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HYPERLINK \l _Toc10619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7.付款方式</w:t>
          </w:r>
          <w:r>
            <w:rPr>
              <w:rFonts w:hint="eastAsia" w:ascii="宋体" w:hAnsi="宋体" w:eastAsia="宋体" w:cs="宋体"/>
              <w:bCs/>
              <w:color w:val="000000" w:themeColor="text1"/>
              <w:sz w:val="24"/>
              <w:szCs w:val="28"/>
              <w:lang w:val="zh-CN"/>
              <w14:textFill>
                <w14:solidFill>
                  <w14:schemeClr w14:val="tx1"/>
                </w14:solidFill>
              </w14:textFill>
            </w:rPr>
            <w:tab/>
          </w: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PAGEREF _Toc10619 \h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7</w:t>
          </w:r>
          <w:r>
            <w:rPr>
              <w:rFonts w:hint="eastAsia" w:ascii="宋体" w:hAnsi="宋体" w:eastAsia="宋体" w:cs="宋体"/>
              <w:bCs/>
              <w:color w:val="000000" w:themeColor="text1"/>
              <w:sz w:val="24"/>
              <w:szCs w:val="28"/>
              <w:lang w:val="zh-CN"/>
              <w14:textFill>
                <w14:solidFill>
                  <w14:schemeClr w14:val="tx1"/>
                </w14:solidFill>
              </w14:textFill>
            </w:rPr>
            <w:fldChar w:fldCharType="end"/>
          </w:r>
          <w:r>
            <w:rPr>
              <w:rFonts w:hint="eastAsia" w:ascii="宋体" w:hAnsi="宋体" w:eastAsia="宋体" w:cs="宋体"/>
              <w:bCs/>
              <w:color w:val="000000" w:themeColor="text1"/>
              <w:sz w:val="24"/>
              <w:szCs w:val="28"/>
              <w:lang w:val="zh-CN"/>
              <w14:textFill>
                <w14:solidFill>
                  <w14:schemeClr w14:val="tx1"/>
                </w14:solidFill>
              </w14:textFill>
            </w:rPr>
            <w:fldChar w:fldCharType="end"/>
          </w:r>
        </w:p>
        <w:p w14:paraId="5B7275EB">
          <w:pPr>
            <w:pStyle w:val="14"/>
            <w:tabs>
              <w:tab w:val="right" w:leader="dot" w:pos="8307"/>
            </w:tabs>
            <w:spacing w:line="360" w:lineRule="auto"/>
            <w:rPr>
              <w:rFonts w:hint="eastAsia" w:ascii="宋体" w:hAnsi="宋体" w:eastAsia="宋体" w:cs="宋体"/>
              <w:bCs/>
              <w:color w:val="000000" w:themeColor="text1"/>
              <w:sz w:val="24"/>
              <w:szCs w:val="28"/>
              <w:lang w:val="zh-CN"/>
              <w14:textFill>
                <w14:solidFill>
                  <w14:schemeClr w14:val="tx1"/>
                </w14:solidFill>
              </w14:textFill>
            </w:rPr>
          </w:pP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HYPERLINK \l _Toc20844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8.甲方的一般责任</w:t>
          </w:r>
          <w:r>
            <w:rPr>
              <w:rFonts w:hint="eastAsia" w:ascii="宋体" w:hAnsi="宋体" w:eastAsia="宋体" w:cs="宋体"/>
              <w:bCs/>
              <w:color w:val="000000" w:themeColor="text1"/>
              <w:sz w:val="24"/>
              <w:szCs w:val="28"/>
              <w:lang w:val="zh-CN"/>
              <w14:textFill>
                <w14:solidFill>
                  <w14:schemeClr w14:val="tx1"/>
                </w14:solidFill>
              </w14:textFill>
            </w:rPr>
            <w:tab/>
          </w: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PAGEREF _Toc20844 \h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8</w:t>
          </w:r>
          <w:r>
            <w:rPr>
              <w:rFonts w:hint="eastAsia" w:ascii="宋体" w:hAnsi="宋体" w:eastAsia="宋体" w:cs="宋体"/>
              <w:bCs/>
              <w:color w:val="000000" w:themeColor="text1"/>
              <w:sz w:val="24"/>
              <w:szCs w:val="28"/>
              <w:lang w:val="zh-CN"/>
              <w14:textFill>
                <w14:solidFill>
                  <w14:schemeClr w14:val="tx1"/>
                </w14:solidFill>
              </w14:textFill>
            </w:rPr>
            <w:fldChar w:fldCharType="end"/>
          </w:r>
          <w:r>
            <w:rPr>
              <w:rFonts w:hint="eastAsia" w:ascii="宋体" w:hAnsi="宋体" w:eastAsia="宋体" w:cs="宋体"/>
              <w:bCs/>
              <w:color w:val="000000" w:themeColor="text1"/>
              <w:sz w:val="24"/>
              <w:szCs w:val="28"/>
              <w:lang w:val="zh-CN"/>
              <w14:textFill>
                <w14:solidFill>
                  <w14:schemeClr w14:val="tx1"/>
                </w14:solidFill>
              </w14:textFill>
            </w:rPr>
            <w:fldChar w:fldCharType="end"/>
          </w:r>
        </w:p>
        <w:p w14:paraId="27EB7C5D">
          <w:pPr>
            <w:pStyle w:val="14"/>
            <w:tabs>
              <w:tab w:val="right" w:leader="dot" w:pos="8307"/>
            </w:tabs>
            <w:spacing w:line="360" w:lineRule="auto"/>
            <w:rPr>
              <w:rFonts w:hint="eastAsia" w:ascii="宋体" w:hAnsi="宋体" w:eastAsia="宋体" w:cs="宋体"/>
              <w:bCs/>
              <w:color w:val="000000" w:themeColor="text1"/>
              <w:sz w:val="24"/>
              <w:szCs w:val="28"/>
              <w:lang w:val="zh-CN"/>
              <w14:textFill>
                <w14:solidFill>
                  <w14:schemeClr w14:val="tx1"/>
                </w14:solidFill>
              </w14:textFill>
            </w:rPr>
          </w:pP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HYPERLINK \l _Toc17211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9.乙方的一般责任</w:t>
          </w:r>
          <w:r>
            <w:rPr>
              <w:rFonts w:hint="eastAsia" w:ascii="宋体" w:hAnsi="宋体" w:eastAsia="宋体" w:cs="宋体"/>
              <w:bCs/>
              <w:color w:val="000000" w:themeColor="text1"/>
              <w:sz w:val="24"/>
              <w:szCs w:val="28"/>
              <w:lang w:val="zh-CN"/>
              <w14:textFill>
                <w14:solidFill>
                  <w14:schemeClr w14:val="tx1"/>
                </w14:solidFill>
              </w14:textFill>
            </w:rPr>
            <w:tab/>
          </w: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PAGEREF _Toc17211 \h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9</w:t>
          </w:r>
          <w:r>
            <w:rPr>
              <w:rFonts w:hint="eastAsia" w:ascii="宋体" w:hAnsi="宋体" w:eastAsia="宋体" w:cs="宋体"/>
              <w:bCs/>
              <w:color w:val="000000" w:themeColor="text1"/>
              <w:sz w:val="24"/>
              <w:szCs w:val="28"/>
              <w:lang w:val="zh-CN"/>
              <w14:textFill>
                <w14:solidFill>
                  <w14:schemeClr w14:val="tx1"/>
                </w14:solidFill>
              </w14:textFill>
            </w:rPr>
            <w:fldChar w:fldCharType="end"/>
          </w:r>
          <w:r>
            <w:rPr>
              <w:rFonts w:hint="eastAsia" w:ascii="宋体" w:hAnsi="宋体" w:eastAsia="宋体" w:cs="宋体"/>
              <w:bCs/>
              <w:color w:val="000000" w:themeColor="text1"/>
              <w:sz w:val="24"/>
              <w:szCs w:val="28"/>
              <w:lang w:val="zh-CN"/>
              <w14:textFill>
                <w14:solidFill>
                  <w14:schemeClr w14:val="tx1"/>
                </w14:solidFill>
              </w14:textFill>
            </w:rPr>
            <w:fldChar w:fldCharType="end"/>
          </w:r>
        </w:p>
        <w:p w14:paraId="34A66201">
          <w:pPr>
            <w:pStyle w:val="14"/>
            <w:tabs>
              <w:tab w:val="right" w:leader="dot" w:pos="8307"/>
            </w:tabs>
            <w:spacing w:line="360" w:lineRule="auto"/>
            <w:rPr>
              <w:rFonts w:hint="eastAsia" w:ascii="宋体" w:hAnsi="宋体" w:eastAsia="宋体" w:cs="宋体"/>
              <w:bCs/>
              <w:color w:val="000000" w:themeColor="text1"/>
              <w:sz w:val="24"/>
              <w:szCs w:val="28"/>
              <w:lang w:val="zh-CN"/>
              <w14:textFill>
                <w14:solidFill>
                  <w14:schemeClr w14:val="tx1"/>
                </w14:solidFill>
              </w14:textFill>
            </w:rPr>
          </w:pP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HYPERLINK \l _Toc21213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10.违约责任</w:t>
          </w:r>
          <w:r>
            <w:rPr>
              <w:rFonts w:hint="eastAsia" w:ascii="宋体" w:hAnsi="宋体" w:eastAsia="宋体" w:cs="宋体"/>
              <w:bCs/>
              <w:color w:val="000000" w:themeColor="text1"/>
              <w:sz w:val="24"/>
              <w:szCs w:val="28"/>
              <w:lang w:val="zh-CN"/>
              <w14:textFill>
                <w14:solidFill>
                  <w14:schemeClr w14:val="tx1"/>
                </w14:solidFill>
              </w14:textFill>
            </w:rPr>
            <w:tab/>
          </w: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PAGEREF _Toc21213 \h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11</w:t>
          </w:r>
          <w:r>
            <w:rPr>
              <w:rFonts w:hint="eastAsia" w:ascii="宋体" w:hAnsi="宋体" w:eastAsia="宋体" w:cs="宋体"/>
              <w:bCs/>
              <w:color w:val="000000" w:themeColor="text1"/>
              <w:sz w:val="24"/>
              <w:szCs w:val="28"/>
              <w:lang w:val="zh-CN"/>
              <w14:textFill>
                <w14:solidFill>
                  <w14:schemeClr w14:val="tx1"/>
                </w14:solidFill>
              </w14:textFill>
            </w:rPr>
            <w:fldChar w:fldCharType="end"/>
          </w:r>
          <w:r>
            <w:rPr>
              <w:rFonts w:hint="eastAsia" w:ascii="宋体" w:hAnsi="宋体" w:eastAsia="宋体" w:cs="宋体"/>
              <w:bCs/>
              <w:color w:val="000000" w:themeColor="text1"/>
              <w:sz w:val="24"/>
              <w:szCs w:val="28"/>
              <w:lang w:val="zh-CN"/>
              <w14:textFill>
                <w14:solidFill>
                  <w14:schemeClr w14:val="tx1"/>
                </w14:solidFill>
              </w14:textFill>
            </w:rPr>
            <w:fldChar w:fldCharType="end"/>
          </w:r>
        </w:p>
        <w:p w14:paraId="598CF575">
          <w:pPr>
            <w:pStyle w:val="14"/>
            <w:tabs>
              <w:tab w:val="right" w:leader="dot" w:pos="8307"/>
            </w:tabs>
            <w:spacing w:line="360" w:lineRule="auto"/>
            <w:rPr>
              <w:rFonts w:hint="eastAsia" w:ascii="宋体" w:hAnsi="宋体" w:eastAsia="宋体" w:cs="宋体"/>
              <w:bCs/>
              <w:color w:val="000000" w:themeColor="text1"/>
              <w:sz w:val="24"/>
              <w:szCs w:val="28"/>
              <w:lang w:val="zh-CN"/>
              <w14:textFill>
                <w14:solidFill>
                  <w14:schemeClr w14:val="tx1"/>
                </w14:solidFill>
              </w14:textFill>
            </w:rPr>
          </w:pP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HYPERLINK \l _Toc20213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11.不可抗力</w:t>
          </w:r>
          <w:r>
            <w:rPr>
              <w:rFonts w:hint="eastAsia" w:ascii="宋体" w:hAnsi="宋体" w:eastAsia="宋体" w:cs="宋体"/>
              <w:bCs/>
              <w:color w:val="000000" w:themeColor="text1"/>
              <w:sz w:val="24"/>
              <w:szCs w:val="28"/>
              <w:lang w:val="zh-CN"/>
              <w14:textFill>
                <w14:solidFill>
                  <w14:schemeClr w14:val="tx1"/>
                </w14:solidFill>
              </w14:textFill>
            </w:rPr>
            <w:tab/>
          </w: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PAGEREF _Toc20213 \h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13</w:t>
          </w:r>
          <w:r>
            <w:rPr>
              <w:rFonts w:hint="eastAsia" w:ascii="宋体" w:hAnsi="宋体" w:eastAsia="宋体" w:cs="宋体"/>
              <w:bCs/>
              <w:color w:val="000000" w:themeColor="text1"/>
              <w:sz w:val="24"/>
              <w:szCs w:val="28"/>
              <w:lang w:val="zh-CN"/>
              <w14:textFill>
                <w14:solidFill>
                  <w14:schemeClr w14:val="tx1"/>
                </w14:solidFill>
              </w14:textFill>
            </w:rPr>
            <w:fldChar w:fldCharType="end"/>
          </w:r>
          <w:r>
            <w:rPr>
              <w:rFonts w:hint="eastAsia" w:ascii="宋体" w:hAnsi="宋体" w:eastAsia="宋体" w:cs="宋体"/>
              <w:bCs/>
              <w:color w:val="000000" w:themeColor="text1"/>
              <w:sz w:val="24"/>
              <w:szCs w:val="28"/>
              <w:lang w:val="zh-CN"/>
              <w14:textFill>
                <w14:solidFill>
                  <w14:schemeClr w14:val="tx1"/>
                </w14:solidFill>
              </w14:textFill>
            </w:rPr>
            <w:fldChar w:fldCharType="end"/>
          </w:r>
        </w:p>
        <w:p w14:paraId="186EB530">
          <w:pPr>
            <w:pStyle w:val="14"/>
            <w:tabs>
              <w:tab w:val="right" w:leader="dot" w:pos="8307"/>
            </w:tabs>
            <w:spacing w:line="360" w:lineRule="auto"/>
            <w:rPr>
              <w:rFonts w:hint="eastAsia" w:ascii="宋体" w:hAnsi="宋体" w:eastAsia="宋体" w:cs="宋体"/>
              <w:bCs/>
              <w:color w:val="000000" w:themeColor="text1"/>
              <w:sz w:val="24"/>
              <w:szCs w:val="28"/>
              <w:lang w:val="zh-CN"/>
              <w14:textFill>
                <w14:solidFill>
                  <w14:schemeClr w14:val="tx1"/>
                </w14:solidFill>
              </w14:textFill>
            </w:rPr>
          </w:pP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HYPERLINK \l _Toc2853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12.</w:t>
          </w:r>
          <w:r>
            <w:rPr>
              <w:rFonts w:hint="eastAsia" w:ascii="宋体" w:hAnsi="宋体" w:eastAsia="宋体" w:cs="宋体"/>
              <w:bCs/>
              <w:color w:val="000000" w:themeColor="text1"/>
              <w:sz w:val="24"/>
              <w:szCs w:val="28"/>
              <w:lang w:val="zh-CN" w:eastAsia="zh-CN"/>
              <w14:textFill>
                <w14:solidFill>
                  <w14:schemeClr w14:val="tx1"/>
                </w14:solidFill>
              </w14:textFill>
            </w:rPr>
            <w:t>知识产权与保密</w:t>
          </w:r>
          <w:r>
            <w:rPr>
              <w:rFonts w:hint="eastAsia" w:ascii="宋体" w:hAnsi="宋体" w:eastAsia="宋体" w:cs="宋体"/>
              <w:bCs/>
              <w:color w:val="000000" w:themeColor="text1"/>
              <w:sz w:val="24"/>
              <w:szCs w:val="28"/>
              <w:lang w:val="zh-CN"/>
              <w14:textFill>
                <w14:solidFill>
                  <w14:schemeClr w14:val="tx1"/>
                </w14:solidFill>
              </w14:textFill>
            </w:rPr>
            <w:tab/>
          </w: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PAGEREF _Toc2853 \h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14</w:t>
          </w:r>
          <w:r>
            <w:rPr>
              <w:rFonts w:hint="eastAsia" w:ascii="宋体" w:hAnsi="宋体" w:eastAsia="宋体" w:cs="宋体"/>
              <w:bCs/>
              <w:color w:val="000000" w:themeColor="text1"/>
              <w:sz w:val="24"/>
              <w:szCs w:val="28"/>
              <w:lang w:val="zh-CN"/>
              <w14:textFill>
                <w14:solidFill>
                  <w14:schemeClr w14:val="tx1"/>
                </w14:solidFill>
              </w14:textFill>
            </w:rPr>
            <w:fldChar w:fldCharType="end"/>
          </w:r>
          <w:r>
            <w:rPr>
              <w:rFonts w:hint="eastAsia" w:ascii="宋体" w:hAnsi="宋体" w:eastAsia="宋体" w:cs="宋体"/>
              <w:bCs/>
              <w:color w:val="000000" w:themeColor="text1"/>
              <w:sz w:val="24"/>
              <w:szCs w:val="28"/>
              <w:lang w:val="zh-CN"/>
              <w14:textFill>
                <w14:solidFill>
                  <w14:schemeClr w14:val="tx1"/>
                </w14:solidFill>
              </w14:textFill>
            </w:rPr>
            <w:fldChar w:fldCharType="end"/>
          </w:r>
        </w:p>
        <w:p w14:paraId="51517A70">
          <w:pPr>
            <w:pStyle w:val="14"/>
            <w:tabs>
              <w:tab w:val="right" w:leader="dot" w:pos="8307"/>
            </w:tabs>
            <w:spacing w:line="360" w:lineRule="auto"/>
            <w:rPr>
              <w:rFonts w:hint="eastAsia" w:ascii="宋体" w:hAnsi="宋体" w:eastAsia="宋体" w:cs="宋体"/>
              <w:bCs/>
              <w:color w:val="000000" w:themeColor="text1"/>
              <w:sz w:val="24"/>
              <w:szCs w:val="28"/>
              <w:lang w:val="zh-CN"/>
              <w14:textFill>
                <w14:solidFill>
                  <w14:schemeClr w14:val="tx1"/>
                </w14:solidFill>
              </w14:textFill>
            </w:rPr>
          </w:pP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HYPERLINK \l _Toc28894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1</w:t>
          </w:r>
          <w:r>
            <w:rPr>
              <w:rFonts w:hint="eastAsia" w:ascii="宋体" w:hAnsi="宋体" w:eastAsia="宋体" w:cs="宋体"/>
              <w:bCs/>
              <w:color w:val="000000" w:themeColor="text1"/>
              <w:sz w:val="24"/>
              <w:szCs w:val="28"/>
              <w:lang w:val="zh-CN" w:eastAsia="zh-CN"/>
              <w14:textFill>
                <w14:solidFill>
                  <w14:schemeClr w14:val="tx1"/>
                </w14:solidFill>
              </w14:textFill>
            </w:rPr>
            <w:t>3</w:t>
          </w:r>
          <w:r>
            <w:rPr>
              <w:rFonts w:hint="eastAsia" w:ascii="宋体" w:hAnsi="宋体" w:eastAsia="宋体" w:cs="宋体"/>
              <w:bCs/>
              <w:color w:val="000000" w:themeColor="text1"/>
              <w:sz w:val="24"/>
              <w:szCs w:val="28"/>
              <w:lang w:val="zh-CN"/>
              <w14:textFill>
                <w14:solidFill>
                  <w14:schemeClr w14:val="tx1"/>
                </w14:solidFill>
              </w14:textFill>
            </w:rPr>
            <w:t>.保险</w:t>
          </w:r>
          <w:r>
            <w:rPr>
              <w:rFonts w:hint="eastAsia" w:ascii="宋体" w:hAnsi="宋体" w:eastAsia="宋体" w:cs="宋体"/>
              <w:bCs/>
              <w:color w:val="000000" w:themeColor="text1"/>
              <w:sz w:val="24"/>
              <w:szCs w:val="28"/>
              <w:lang w:val="zh-CN"/>
              <w14:textFill>
                <w14:solidFill>
                  <w14:schemeClr w14:val="tx1"/>
                </w14:solidFill>
              </w14:textFill>
            </w:rPr>
            <w:tab/>
          </w: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PAGEREF _Toc28894 \h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14</w:t>
          </w:r>
          <w:r>
            <w:rPr>
              <w:rFonts w:hint="eastAsia" w:ascii="宋体" w:hAnsi="宋体" w:eastAsia="宋体" w:cs="宋体"/>
              <w:bCs/>
              <w:color w:val="000000" w:themeColor="text1"/>
              <w:sz w:val="24"/>
              <w:szCs w:val="28"/>
              <w:lang w:val="zh-CN"/>
              <w14:textFill>
                <w14:solidFill>
                  <w14:schemeClr w14:val="tx1"/>
                </w14:solidFill>
              </w14:textFill>
            </w:rPr>
            <w:fldChar w:fldCharType="end"/>
          </w:r>
          <w:r>
            <w:rPr>
              <w:rFonts w:hint="eastAsia" w:ascii="宋体" w:hAnsi="宋体" w:eastAsia="宋体" w:cs="宋体"/>
              <w:bCs/>
              <w:color w:val="000000" w:themeColor="text1"/>
              <w:sz w:val="24"/>
              <w:szCs w:val="28"/>
              <w:lang w:val="zh-CN"/>
              <w14:textFill>
                <w14:solidFill>
                  <w14:schemeClr w14:val="tx1"/>
                </w14:solidFill>
              </w14:textFill>
            </w:rPr>
            <w:fldChar w:fldCharType="end"/>
          </w:r>
        </w:p>
        <w:p w14:paraId="6E7C00C8">
          <w:pPr>
            <w:pStyle w:val="14"/>
            <w:tabs>
              <w:tab w:val="right" w:leader="dot" w:pos="8307"/>
            </w:tabs>
            <w:spacing w:line="360" w:lineRule="auto"/>
            <w:rPr>
              <w:rFonts w:hint="eastAsia" w:ascii="宋体" w:hAnsi="宋体" w:eastAsia="宋体" w:cs="宋体"/>
              <w:bCs/>
              <w:color w:val="000000" w:themeColor="text1"/>
              <w:sz w:val="24"/>
              <w:szCs w:val="28"/>
              <w:lang w:val="zh-CN"/>
              <w14:textFill>
                <w14:solidFill>
                  <w14:schemeClr w14:val="tx1"/>
                </w14:solidFill>
              </w14:textFill>
            </w:rPr>
          </w:pP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HYPERLINK \l _Toc11717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eastAsia="zh-CN"/>
              <w14:textFill>
                <w14:solidFill>
                  <w14:schemeClr w14:val="tx1"/>
                </w14:solidFill>
              </w14:textFill>
            </w:rPr>
            <w:t>14.</w:t>
          </w:r>
          <w:r>
            <w:rPr>
              <w:rFonts w:hint="eastAsia" w:ascii="宋体" w:hAnsi="宋体" w:eastAsia="宋体" w:cs="宋体"/>
              <w:bCs/>
              <w:color w:val="000000" w:themeColor="text1"/>
              <w:sz w:val="24"/>
              <w:szCs w:val="28"/>
              <w:lang w:val="zh-CN"/>
              <w14:textFill>
                <w14:solidFill>
                  <w14:schemeClr w14:val="tx1"/>
                </w14:solidFill>
              </w14:textFill>
            </w:rPr>
            <w:t>工程担保</w:t>
          </w:r>
          <w:r>
            <w:rPr>
              <w:rFonts w:hint="eastAsia" w:ascii="宋体" w:hAnsi="宋体" w:eastAsia="宋体" w:cs="宋体"/>
              <w:bCs/>
              <w:color w:val="000000" w:themeColor="text1"/>
              <w:sz w:val="24"/>
              <w:szCs w:val="28"/>
              <w:lang w:val="zh-CN"/>
              <w14:textFill>
                <w14:solidFill>
                  <w14:schemeClr w14:val="tx1"/>
                </w14:solidFill>
              </w14:textFill>
            </w:rPr>
            <w:tab/>
          </w: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PAGEREF _Toc11717 \h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15</w:t>
          </w:r>
          <w:r>
            <w:rPr>
              <w:rFonts w:hint="eastAsia" w:ascii="宋体" w:hAnsi="宋体" w:eastAsia="宋体" w:cs="宋体"/>
              <w:bCs/>
              <w:color w:val="000000" w:themeColor="text1"/>
              <w:sz w:val="24"/>
              <w:szCs w:val="28"/>
              <w:lang w:val="zh-CN"/>
              <w14:textFill>
                <w14:solidFill>
                  <w14:schemeClr w14:val="tx1"/>
                </w14:solidFill>
              </w14:textFill>
            </w:rPr>
            <w:fldChar w:fldCharType="end"/>
          </w:r>
          <w:r>
            <w:rPr>
              <w:rFonts w:hint="eastAsia" w:ascii="宋体" w:hAnsi="宋体" w:eastAsia="宋体" w:cs="宋体"/>
              <w:bCs/>
              <w:color w:val="000000" w:themeColor="text1"/>
              <w:sz w:val="24"/>
              <w:szCs w:val="28"/>
              <w:lang w:val="zh-CN"/>
              <w14:textFill>
                <w14:solidFill>
                  <w14:schemeClr w14:val="tx1"/>
                </w14:solidFill>
              </w14:textFill>
            </w:rPr>
            <w:fldChar w:fldCharType="end"/>
          </w:r>
        </w:p>
        <w:p w14:paraId="275E339A">
          <w:pPr>
            <w:pStyle w:val="14"/>
            <w:tabs>
              <w:tab w:val="right" w:leader="dot" w:pos="8307"/>
            </w:tabs>
            <w:spacing w:line="360" w:lineRule="auto"/>
            <w:rPr>
              <w:rFonts w:hint="eastAsia" w:ascii="宋体" w:hAnsi="宋体" w:eastAsia="宋体" w:cs="宋体"/>
              <w:bCs/>
              <w:color w:val="000000" w:themeColor="text1"/>
              <w:sz w:val="24"/>
              <w:szCs w:val="28"/>
              <w:lang w:val="zh-CN"/>
              <w14:textFill>
                <w14:solidFill>
                  <w14:schemeClr w14:val="tx1"/>
                </w14:solidFill>
              </w14:textFill>
            </w:rPr>
          </w:pP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HYPERLINK \l _Toc13837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1</w:t>
          </w:r>
          <w:r>
            <w:rPr>
              <w:rFonts w:hint="eastAsia" w:ascii="宋体" w:hAnsi="宋体" w:eastAsia="宋体" w:cs="宋体"/>
              <w:bCs/>
              <w:color w:val="000000" w:themeColor="text1"/>
              <w:sz w:val="24"/>
              <w:szCs w:val="28"/>
              <w:lang w:val="zh-CN" w:eastAsia="zh-CN"/>
              <w14:textFill>
                <w14:solidFill>
                  <w14:schemeClr w14:val="tx1"/>
                </w14:solidFill>
              </w14:textFill>
            </w:rPr>
            <w:t>5</w:t>
          </w:r>
          <w:r>
            <w:rPr>
              <w:rFonts w:hint="eastAsia" w:ascii="宋体" w:hAnsi="宋体" w:eastAsia="宋体" w:cs="宋体"/>
              <w:bCs/>
              <w:color w:val="000000" w:themeColor="text1"/>
              <w:sz w:val="24"/>
              <w:szCs w:val="28"/>
              <w:lang w:val="zh-CN"/>
              <w14:textFill>
                <w14:solidFill>
                  <w14:schemeClr w14:val="tx1"/>
                </w14:solidFill>
              </w14:textFill>
            </w:rPr>
            <w:t>.适用法律及争议解决</w:t>
          </w:r>
          <w:r>
            <w:rPr>
              <w:rFonts w:hint="eastAsia" w:ascii="宋体" w:hAnsi="宋体" w:eastAsia="宋体" w:cs="宋体"/>
              <w:bCs/>
              <w:color w:val="000000" w:themeColor="text1"/>
              <w:sz w:val="24"/>
              <w:szCs w:val="28"/>
              <w:lang w:val="zh-CN"/>
              <w14:textFill>
                <w14:solidFill>
                  <w14:schemeClr w14:val="tx1"/>
                </w14:solidFill>
              </w14:textFill>
            </w:rPr>
            <w:tab/>
          </w: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PAGEREF _Toc13837 \h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15</w:t>
          </w:r>
          <w:r>
            <w:rPr>
              <w:rFonts w:hint="eastAsia" w:ascii="宋体" w:hAnsi="宋体" w:eastAsia="宋体" w:cs="宋体"/>
              <w:bCs/>
              <w:color w:val="000000" w:themeColor="text1"/>
              <w:sz w:val="24"/>
              <w:szCs w:val="28"/>
              <w:lang w:val="zh-CN"/>
              <w14:textFill>
                <w14:solidFill>
                  <w14:schemeClr w14:val="tx1"/>
                </w14:solidFill>
              </w14:textFill>
            </w:rPr>
            <w:fldChar w:fldCharType="end"/>
          </w:r>
          <w:r>
            <w:rPr>
              <w:rFonts w:hint="eastAsia" w:ascii="宋体" w:hAnsi="宋体" w:eastAsia="宋体" w:cs="宋体"/>
              <w:bCs/>
              <w:color w:val="000000" w:themeColor="text1"/>
              <w:sz w:val="24"/>
              <w:szCs w:val="28"/>
              <w:lang w:val="zh-CN"/>
              <w14:textFill>
                <w14:solidFill>
                  <w14:schemeClr w14:val="tx1"/>
                </w14:solidFill>
              </w14:textFill>
            </w:rPr>
            <w:fldChar w:fldCharType="end"/>
          </w:r>
        </w:p>
        <w:p w14:paraId="3F8C7146">
          <w:pPr>
            <w:pStyle w:val="14"/>
            <w:tabs>
              <w:tab w:val="right" w:leader="dot" w:pos="8307"/>
            </w:tabs>
            <w:spacing w:line="360" w:lineRule="auto"/>
            <w:rPr>
              <w:rFonts w:hint="eastAsia" w:ascii="宋体" w:hAnsi="宋体" w:eastAsia="宋体" w:cs="宋体"/>
              <w:bCs/>
              <w:color w:val="000000" w:themeColor="text1"/>
              <w:sz w:val="24"/>
              <w:szCs w:val="28"/>
              <w:lang w:val="zh-CN"/>
              <w14:textFill>
                <w14:solidFill>
                  <w14:schemeClr w14:val="tx1"/>
                </w14:solidFill>
              </w14:textFill>
            </w:rPr>
          </w:pP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HYPERLINK \l _Toc1195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1</w:t>
          </w:r>
          <w:r>
            <w:rPr>
              <w:rFonts w:hint="eastAsia" w:ascii="宋体" w:hAnsi="宋体" w:eastAsia="宋体" w:cs="宋体"/>
              <w:bCs/>
              <w:color w:val="000000" w:themeColor="text1"/>
              <w:sz w:val="24"/>
              <w:szCs w:val="28"/>
              <w:lang w:val="zh-CN" w:eastAsia="zh-CN"/>
              <w14:textFill>
                <w14:solidFill>
                  <w14:schemeClr w14:val="tx1"/>
                </w14:solidFill>
              </w14:textFill>
            </w:rPr>
            <w:t>6</w:t>
          </w:r>
          <w:r>
            <w:rPr>
              <w:rFonts w:hint="eastAsia" w:ascii="宋体" w:hAnsi="宋体" w:eastAsia="宋体" w:cs="宋体"/>
              <w:bCs/>
              <w:color w:val="000000" w:themeColor="text1"/>
              <w:sz w:val="24"/>
              <w:szCs w:val="28"/>
              <w:lang w:val="zh-CN"/>
              <w14:textFill>
                <w14:solidFill>
                  <w14:schemeClr w14:val="tx1"/>
                </w14:solidFill>
              </w14:textFill>
            </w:rPr>
            <w:t>.其他</w:t>
          </w:r>
          <w:r>
            <w:rPr>
              <w:rFonts w:hint="eastAsia" w:ascii="宋体" w:hAnsi="宋体" w:eastAsia="宋体" w:cs="宋体"/>
              <w:bCs/>
              <w:color w:val="000000" w:themeColor="text1"/>
              <w:sz w:val="24"/>
              <w:szCs w:val="28"/>
              <w:lang w:val="zh-CN"/>
              <w14:textFill>
                <w14:solidFill>
                  <w14:schemeClr w14:val="tx1"/>
                </w14:solidFill>
              </w14:textFill>
            </w:rPr>
            <w:tab/>
          </w: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PAGEREF _Toc1195 \h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14:textFill>
                <w14:solidFill>
                  <w14:schemeClr w14:val="tx1"/>
                </w14:solidFill>
              </w14:textFill>
            </w:rPr>
            <w:t>15</w:t>
          </w:r>
          <w:r>
            <w:rPr>
              <w:rFonts w:hint="eastAsia" w:ascii="宋体" w:hAnsi="宋体" w:eastAsia="宋体" w:cs="宋体"/>
              <w:bCs/>
              <w:color w:val="000000" w:themeColor="text1"/>
              <w:sz w:val="24"/>
              <w:szCs w:val="28"/>
              <w:lang w:val="zh-CN"/>
              <w14:textFill>
                <w14:solidFill>
                  <w14:schemeClr w14:val="tx1"/>
                </w14:solidFill>
              </w14:textFill>
            </w:rPr>
            <w:fldChar w:fldCharType="end"/>
          </w:r>
          <w:r>
            <w:rPr>
              <w:rFonts w:hint="eastAsia" w:ascii="宋体" w:hAnsi="宋体" w:eastAsia="宋体" w:cs="宋体"/>
              <w:bCs/>
              <w:color w:val="000000" w:themeColor="text1"/>
              <w:sz w:val="24"/>
              <w:szCs w:val="28"/>
              <w:lang w:val="zh-CN"/>
              <w14:textFill>
                <w14:solidFill>
                  <w14:schemeClr w14:val="tx1"/>
                </w14:solidFill>
              </w14:textFill>
            </w:rPr>
            <w:fldChar w:fldCharType="end"/>
          </w:r>
        </w:p>
        <w:p w14:paraId="6DC15813">
          <w:pPr>
            <w:pStyle w:val="14"/>
            <w:tabs>
              <w:tab w:val="right" w:leader="dot" w:pos="8307"/>
            </w:tabs>
            <w:spacing w:line="360" w:lineRule="auto"/>
            <w:rPr>
              <w:rFonts w:ascii="宋体" w:hAnsi="宋体" w:eastAsia="宋体" w:cs="宋体"/>
              <w:bCs/>
              <w:color w:val="000000" w:themeColor="text1"/>
              <w:sz w:val="24"/>
              <w:szCs w:val="28"/>
              <w:lang w:val="zh-CN"/>
              <w14:textFill>
                <w14:solidFill>
                  <w14:schemeClr w14:val="tx1"/>
                </w14:solidFill>
              </w14:textFill>
            </w:rPr>
          </w:pPr>
          <w:r>
            <w:rPr>
              <w:rFonts w:hint="eastAsia" w:ascii="宋体" w:hAnsi="宋体" w:eastAsia="宋体" w:cs="宋体"/>
              <w:bCs/>
              <w:color w:val="000000" w:themeColor="text1"/>
              <w:sz w:val="24"/>
              <w:szCs w:val="28"/>
              <w:lang w:val="zh-CN"/>
              <w14:textFill>
                <w14:solidFill>
                  <w14:schemeClr w14:val="tx1"/>
                </w14:solidFill>
              </w14:textFill>
            </w:rPr>
            <w:t>附件1：中标工程量清单</w:t>
          </w:r>
        </w:p>
        <w:p w14:paraId="735172B1">
          <w:pPr>
            <w:pStyle w:val="14"/>
            <w:tabs>
              <w:tab w:val="right" w:leader="dot" w:pos="8307"/>
            </w:tabs>
            <w:spacing w:line="360" w:lineRule="auto"/>
            <w:rPr>
              <w:rFonts w:ascii="宋体" w:hAnsi="宋体" w:eastAsia="宋体" w:cs="宋体"/>
              <w:bCs/>
              <w:color w:val="000000" w:themeColor="text1"/>
              <w:sz w:val="24"/>
              <w:szCs w:val="28"/>
              <w:lang w:val="zh-CN"/>
              <w14:textFill>
                <w14:solidFill>
                  <w14:schemeClr w14:val="tx1"/>
                </w14:solidFill>
              </w14:textFill>
            </w:rPr>
          </w:pPr>
          <w:r>
            <w:rPr>
              <w:rFonts w:hint="eastAsia" w:ascii="宋体" w:hAnsi="宋体" w:eastAsia="宋体" w:cs="宋体"/>
              <w:bCs/>
              <w:color w:val="000000" w:themeColor="text1"/>
              <w:sz w:val="24"/>
              <w:szCs w:val="28"/>
              <w:lang w:val="zh-CN"/>
              <w14:textFill>
                <w14:solidFill>
                  <w14:schemeClr w14:val="tx1"/>
                </w14:solidFill>
              </w14:textFill>
            </w:rPr>
            <w:t>附件2：本项目服务人员一览表及项目负责人履历一览表及项目负责人履历</w:t>
          </w:r>
        </w:p>
        <w:p w14:paraId="0BC9E85E">
          <w:pPr>
            <w:pStyle w:val="14"/>
            <w:tabs>
              <w:tab w:val="right" w:leader="dot" w:pos="8307"/>
            </w:tabs>
            <w:spacing w:line="360" w:lineRule="auto"/>
            <w:rPr>
              <w:rFonts w:ascii="宋体" w:hAnsi="宋体" w:eastAsia="宋体" w:cs="宋体"/>
              <w:bCs/>
              <w:color w:val="000000" w:themeColor="text1"/>
              <w:sz w:val="24"/>
              <w:szCs w:val="28"/>
              <w:lang w:val="zh-CN"/>
              <w14:textFill>
                <w14:solidFill>
                  <w14:schemeClr w14:val="tx1"/>
                </w14:solidFill>
              </w14:textFill>
            </w:rPr>
          </w:pPr>
          <w:r>
            <w:rPr>
              <w:rFonts w:hint="eastAsia" w:ascii="宋体" w:hAnsi="宋体" w:eastAsia="宋体" w:cs="宋体"/>
              <w:bCs/>
              <w:color w:val="000000" w:themeColor="text1"/>
              <w:sz w:val="24"/>
              <w:szCs w:val="28"/>
              <w:lang w:val="zh-CN"/>
              <w14:textFill>
                <w14:solidFill>
                  <w14:schemeClr w14:val="tx1"/>
                </w14:solidFill>
              </w14:textFill>
            </w:rPr>
            <w:t>附件3：本项目投入的超前钻机械及机具一览表</w:t>
          </w:r>
        </w:p>
        <w:p w14:paraId="46C3A23C">
          <w:pPr>
            <w:pStyle w:val="14"/>
            <w:tabs>
              <w:tab w:val="right" w:leader="dot" w:pos="8307"/>
            </w:tabs>
            <w:spacing w:line="360" w:lineRule="auto"/>
            <w:rPr>
              <w:rFonts w:ascii="宋体" w:hAnsi="宋体" w:eastAsia="宋体" w:cs="宋体"/>
              <w:bCs/>
              <w:color w:val="000000" w:themeColor="text1"/>
              <w:sz w:val="24"/>
              <w:szCs w:val="28"/>
              <w:lang w:val="zh-CN"/>
              <w14:textFill>
                <w14:solidFill>
                  <w14:schemeClr w14:val="tx1"/>
                </w14:solidFill>
              </w14:textFill>
            </w:rPr>
          </w:pPr>
          <w:r>
            <w:rPr>
              <w:rFonts w:hint="eastAsia" w:ascii="宋体" w:hAnsi="宋体" w:eastAsia="宋体" w:cs="宋体"/>
              <w:bCs/>
              <w:color w:val="000000" w:themeColor="text1"/>
              <w:sz w:val="24"/>
              <w:szCs w:val="28"/>
              <w:lang w:val="zh-CN"/>
              <w14:textFill>
                <w14:solidFill>
                  <w14:schemeClr w14:val="tx1"/>
                </w14:solidFill>
              </w14:textFill>
            </w:rPr>
            <w:t>附件4：进度款报审资料指引</w:t>
          </w:r>
        </w:p>
        <w:p w14:paraId="5557FD6F">
          <w:pPr>
            <w:pStyle w:val="14"/>
            <w:tabs>
              <w:tab w:val="right" w:leader="dot" w:pos="8307"/>
            </w:tabs>
            <w:spacing w:line="360" w:lineRule="auto"/>
            <w:rPr>
              <w:rFonts w:ascii="宋体" w:hAnsi="宋体" w:eastAsia="宋体" w:cs="宋体"/>
              <w:bCs/>
              <w:color w:val="000000" w:themeColor="text1"/>
              <w:sz w:val="24"/>
              <w:szCs w:val="28"/>
              <w:lang w:val="zh-CN"/>
              <w14:textFill>
                <w14:solidFill>
                  <w14:schemeClr w14:val="tx1"/>
                </w14:solidFill>
              </w14:textFill>
            </w:rPr>
          </w:pPr>
          <w:r>
            <w:rPr>
              <w:rFonts w:hint="eastAsia" w:ascii="宋体" w:hAnsi="宋体" w:eastAsia="宋体" w:cs="宋体"/>
              <w:bCs/>
              <w:color w:val="000000" w:themeColor="text1"/>
              <w:sz w:val="24"/>
              <w:szCs w:val="28"/>
              <w:lang w:val="zh-CN"/>
              <w14:textFill>
                <w14:solidFill>
                  <w14:schemeClr w14:val="tx1"/>
                </w14:solidFill>
              </w14:textFill>
            </w:rPr>
            <w:t>附件5：竣工结算报审资料指引</w:t>
          </w:r>
        </w:p>
        <w:p w14:paraId="15AE2240">
          <w:pPr>
            <w:pStyle w:val="14"/>
            <w:tabs>
              <w:tab w:val="right" w:leader="dot" w:pos="8307"/>
            </w:tabs>
            <w:spacing w:line="360" w:lineRule="auto"/>
            <w:rPr>
              <w:rFonts w:hint="eastAsia" w:ascii="宋体" w:hAnsi="宋体" w:eastAsia="宋体" w:cs="宋体"/>
              <w:bCs/>
              <w:color w:val="000000" w:themeColor="text1"/>
              <w:sz w:val="24"/>
              <w:szCs w:val="28"/>
              <w:lang w:val="zh-CN"/>
              <w14:textFill>
                <w14:solidFill>
                  <w14:schemeClr w14:val="tx1"/>
                </w14:solidFill>
              </w14:textFill>
            </w:rPr>
          </w:pPr>
          <w:r>
            <w:rPr>
              <w:rFonts w:hint="eastAsia" w:ascii="宋体" w:hAnsi="宋体" w:eastAsia="宋体" w:cs="宋体"/>
              <w:bCs/>
              <w:color w:val="000000" w:themeColor="text1"/>
              <w:sz w:val="24"/>
              <w:szCs w:val="28"/>
              <w:lang w:val="zh-CN"/>
              <w14:textFill>
                <w14:solidFill>
                  <w14:schemeClr w14:val="tx1"/>
                </w14:solidFill>
              </w14:textFill>
            </w:rPr>
            <w:fldChar w:fldCharType="begin"/>
          </w:r>
          <w:r>
            <w:rPr>
              <w:rFonts w:hint="eastAsia" w:ascii="宋体" w:hAnsi="宋体" w:eastAsia="宋体" w:cs="宋体"/>
              <w:bCs/>
              <w:color w:val="000000" w:themeColor="text1"/>
              <w:sz w:val="24"/>
              <w:szCs w:val="28"/>
              <w:lang w:val="zh-CN"/>
              <w14:textFill>
                <w14:solidFill>
                  <w14:schemeClr w14:val="tx1"/>
                </w14:solidFill>
              </w14:textFill>
            </w:rPr>
            <w:instrText xml:space="preserve"> HYPERLINK \l _Toc13602 </w:instrText>
          </w:r>
          <w:r>
            <w:rPr>
              <w:rFonts w:hint="eastAsia" w:ascii="宋体" w:hAnsi="宋体" w:eastAsia="宋体" w:cs="宋体"/>
              <w:bCs/>
              <w:color w:val="000000" w:themeColor="text1"/>
              <w:sz w:val="24"/>
              <w:szCs w:val="28"/>
              <w:lang w:val="zh-CN"/>
              <w14:textFill>
                <w14:solidFill>
                  <w14:schemeClr w14:val="tx1"/>
                </w14:solidFill>
              </w14:textFill>
            </w:rPr>
            <w:fldChar w:fldCharType="separate"/>
          </w:r>
          <w:r>
            <w:rPr>
              <w:rFonts w:hint="eastAsia" w:ascii="宋体" w:hAnsi="宋体" w:eastAsia="宋体" w:cs="宋体"/>
              <w:bCs/>
              <w:color w:val="000000" w:themeColor="text1"/>
              <w:sz w:val="24"/>
              <w:szCs w:val="28"/>
              <w:lang w:val="zh-CN" w:eastAsia="zh-CN"/>
              <w14:textFill>
                <w14:solidFill>
                  <w14:schemeClr w14:val="tx1"/>
                </w14:solidFill>
              </w14:textFill>
            </w:rPr>
            <w:t>附件6：棠东项目超前钻招标设计任务书</w:t>
          </w:r>
          <w:r>
            <w:rPr>
              <w:rFonts w:hint="eastAsia" w:ascii="宋体" w:hAnsi="宋体" w:eastAsia="宋体" w:cs="宋体"/>
              <w:bCs/>
              <w:color w:val="000000" w:themeColor="text1"/>
              <w:sz w:val="24"/>
              <w:szCs w:val="28"/>
              <w:lang w:val="zh-CN"/>
              <w14:textFill>
                <w14:solidFill>
                  <w14:schemeClr w14:val="tx1"/>
                </w14:solidFill>
              </w14:textFill>
            </w:rPr>
            <w:fldChar w:fldCharType="end"/>
          </w:r>
        </w:p>
        <w:p w14:paraId="0EB7B6EF">
          <w:pPr>
            <w:spacing w:line="360" w:lineRule="auto"/>
            <w:jc w:val="left"/>
            <w:rPr>
              <w:rFonts w:ascii="宋体" w:hAnsi="宋体" w:eastAsia="宋体" w:cs="宋体"/>
              <w:b/>
              <w:color w:val="000000" w:themeColor="text1"/>
              <w:spacing w:val="10"/>
              <w:sz w:val="28"/>
              <w:szCs w:val="20"/>
              <w:u w:val="single"/>
              <w14:textFill>
                <w14:solidFill>
                  <w14:schemeClr w14:val="tx1"/>
                </w14:solidFill>
              </w14:textFill>
            </w:rPr>
            <w:sectPr>
              <w:headerReference r:id="rId7" w:type="first"/>
              <w:footerReference r:id="rId9" w:type="first"/>
              <w:headerReference r:id="rId6" w:type="default"/>
              <w:footerReference r:id="rId8" w:type="default"/>
              <w:type w:val="continuous"/>
              <w:pgSz w:w="11907" w:h="16840"/>
              <w:pgMar w:top="1440" w:right="1587" w:bottom="1440" w:left="1587" w:header="850" w:footer="992" w:gutter="0"/>
              <w:pgNumType w:fmt="decimal" w:start="1"/>
              <w:cols w:space="0" w:num="1"/>
              <w:docGrid w:type="lines" w:linePitch="332" w:charSpace="0"/>
            </w:sectPr>
          </w:pPr>
          <w:r>
            <w:rPr>
              <w:rFonts w:hint="eastAsia" w:ascii="宋体" w:hAnsi="宋体" w:eastAsia="宋体" w:cs="宋体"/>
              <w:bCs/>
              <w:color w:val="000000" w:themeColor="text1"/>
              <w:lang w:val="zh-CN"/>
              <w14:textFill>
                <w14:solidFill>
                  <w14:schemeClr w14:val="tx1"/>
                </w14:solidFill>
              </w14:textFill>
            </w:rPr>
            <w:fldChar w:fldCharType="end"/>
          </w:r>
        </w:p>
      </w:sdtContent>
    </w:sdt>
    <w:p w14:paraId="42E10910">
      <w:pPr>
        <w:pStyle w:val="2"/>
        <w:spacing w:line="360" w:lineRule="auto"/>
        <w:jc w:val="center"/>
        <w:rPr>
          <w:rFonts w:ascii="宋体" w:hAnsi="宋体" w:eastAsia="宋体" w:cs="宋体"/>
          <w:color w:val="000000" w:themeColor="text1"/>
          <w:sz w:val="36"/>
          <w:szCs w:val="36"/>
          <w14:textFill>
            <w14:solidFill>
              <w14:schemeClr w14:val="tx1"/>
            </w14:solidFill>
          </w14:textFill>
        </w:rPr>
      </w:pPr>
      <w:bookmarkStart w:id="6" w:name="_Toc28460"/>
      <w:bookmarkStart w:id="7" w:name="_Toc46911524"/>
      <w:bookmarkStart w:id="8" w:name="_Toc47008561"/>
      <w:bookmarkStart w:id="9" w:name="_Toc7343"/>
      <w:r>
        <w:rPr>
          <w:rFonts w:hint="eastAsia" w:ascii="宋体" w:hAnsi="宋体" w:eastAsia="宋体" w:cs="宋体"/>
          <w:color w:val="000000" w:themeColor="text1"/>
          <w:sz w:val="32"/>
          <w:szCs w:val="32"/>
          <w:u w:val="single"/>
          <w14:textFill>
            <w14:solidFill>
              <w14:schemeClr w14:val="tx1"/>
            </w14:solidFill>
          </w14:textFill>
        </w:rPr>
        <w:t>超前钻技术服务</w:t>
      </w:r>
      <w:bookmarkEnd w:id="6"/>
      <w:bookmarkEnd w:id="7"/>
      <w:bookmarkEnd w:id="8"/>
      <w:r>
        <w:rPr>
          <w:rFonts w:hint="eastAsia" w:ascii="宋体" w:hAnsi="宋体" w:eastAsia="宋体" w:cs="宋体"/>
          <w:color w:val="000000" w:themeColor="text1"/>
          <w:sz w:val="36"/>
          <w:szCs w:val="36"/>
          <w14:textFill>
            <w14:solidFill>
              <w14:schemeClr w14:val="tx1"/>
            </w14:solidFill>
          </w14:textFill>
        </w:rPr>
        <w:t>协议书</w:t>
      </w:r>
      <w:bookmarkEnd w:id="9"/>
    </w:p>
    <w:p w14:paraId="43E8858C">
      <w:pPr>
        <w:spacing w:line="360" w:lineRule="auto"/>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 xml:space="preserve">发包人一： 广州市天河棠东经济发展有限公司 </w:t>
      </w:r>
    </w:p>
    <w:p w14:paraId="07C694EC">
      <w:pPr>
        <w:spacing w:line="360" w:lineRule="auto"/>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发包人二：广州市天河区棠下街棠东股份合作经济联社</w:t>
      </w:r>
    </w:p>
    <w:p w14:paraId="000A980E">
      <w:pPr>
        <w:spacing w:line="360" w:lineRule="auto"/>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 xml:space="preserve">（以下发包人一、发包人二统称为“甲方”）   </w:t>
      </w:r>
    </w:p>
    <w:p w14:paraId="0BD6F655">
      <w:pPr>
        <w:spacing w:line="360" w:lineRule="auto"/>
        <w:rPr>
          <w:rFonts w:ascii="宋体" w:hAnsi="宋体" w:eastAsia="宋体" w:cs="宋体"/>
          <w:color w:val="000000" w:themeColor="text1"/>
          <w:sz w:val="24"/>
          <w:szCs w:val="20"/>
          <w14:textFill>
            <w14:solidFill>
              <w14:schemeClr w14:val="tx1"/>
            </w14:solidFill>
          </w14:textFill>
        </w:rPr>
      </w:pPr>
    </w:p>
    <w:p w14:paraId="4CCDB558">
      <w:pPr>
        <w:spacing w:line="360" w:lineRule="auto"/>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 xml:space="preserve">承包人：                    </w:t>
      </w:r>
    </w:p>
    <w:p w14:paraId="22163A62">
      <w:pPr>
        <w:spacing w:line="360" w:lineRule="auto"/>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（以下简称“乙方”）</w:t>
      </w:r>
    </w:p>
    <w:p w14:paraId="64991B64">
      <w:pPr>
        <w:pStyle w:val="22"/>
        <w:spacing w:line="360" w:lineRule="auto"/>
        <w:rPr>
          <w:rFonts w:ascii="宋体" w:hAnsi="宋体" w:eastAsia="宋体" w:cs="宋体"/>
        </w:rPr>
      </w:pPr>
    </w:p>
    <w:p w14:paraId="583E747E">
      <w:pPr>
        <w:tabs>
          <w:tab w:val="left" w:pos="4816"/>
        </w:tabs>
        <w:adjustRightInd w:val="0"/>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按照《中华人民共和国民法典》、国家及地方有关法律、行政法规及相关行业规范、技术标准等，结合具体情况，甲方现委托乙方进行</w:t>
      </w:r>
      <w:r>
        <w:rPr>
          <w:rFonts w:hint="eastAsia" w:ascii="宋体" w:hAnsi="宋体" w:eastAsia="宋体" w:cs="宋体"/>
          <w:color w:val="000000" w:themeColor="text1"/>
          <w:sz w:val="24"/>
          <w:szCs w:val="24"/>
          <w:u w:val="single"/>
          <w14:textFill>
            <w14:solidFill>
              <w14:schemeClr w14:val="tx1"/>
            </w14:solidFill>
          </w14:textFill>
        </w:rPr>
        <w:t>广州市天河区棠东广棠路2 号、广园路以北以及棠东横岭地块开发建设综合商业项目超前钻技术服务合同</w:t>
      </w:r>
      <w:r>
        <w:rPr>
          <w:rFonts w:hint="eastAsia" w:ascii="宋体" w:hAnsi="宋体" w:eastAsia="宋体" w:cs="宋体"/>
          <w:color w:val="000000" w:themeColor="text1"/>
          <w:sz w:val="24"/>
          <w:szCs w:val="24"/>
          <w14:textFill>
            <w14:solidFill>
              <w14:schemeClr w14:val="tx1"/>
            </w14:solidFill>
          </w14:textFill>
        </w:rPr>
        <w:t xml:space="preserve">工作，为明确双方的权利、责任和义务，本着相互协作、紧密配合和诚实信用的原则，经协商一致，兹订立协议如下： </w:t>
      </w:r>
    </w:p>
    <w:p w14:paraId="3A6892D5">
      <w:pPr>
        <w:pStyle w:val="3"/>
        <w:spacing w:line="360" w:lineRule="auto"/>
        <w:ind w:left="425" w:hanging="425"/>
        <w:rPr>
          <w:rFonts w:ascii="宋体" w:hAnsi="宋体" w:eastAsia="宋体" w:cs="宋体"/>
          <w:color w:val="000000" w:themeColor="text1"/>
          <w:sz w:val="24"/>
          <w:szCs w:val="24"/>
          <w14:textFill>
            <w14:solidFill>
              <w14:schemeClr w14:val="tx1"/>
            </w14:solidFill>
          </w14:textFill>
        </w:rPr>
      </w:pPr>
      <w:bookmarkStart w:id="10" w:name="_Toc30880"/>
      <w:bookmarkStart w:id="11" w:name="_Toc16998"/>
      <w:r>
        <w:rPr>
          <w:rFonts w:hint="eastAsia" w:ascii="宋体" w:hAnsi="宋体" w:eastAsia="宋体" w:cs="宋体"/>
          <w:color w:val="000000" w:themeColor="text1"/>
          <w:sz w:val="24"/>
          <w:szCs w:val="24"/>
          <w14:textFill>
            <w14:solidFill>
              <w14:schemeClr w14:val="tx1"/>
            </w14:solidFill>
          </w14:textFill>
        </w:rPr>
        <w:t>1.合同的组成及其优先解释顺序</w:t>
      </w:r>
      <w:bookmarkEnd w:id="10"/>
      <w:bookmarkEnd w:id="11"/>
    </w:p>
    <w:p w14:paraId="58D5C7B9">
      <w:pPr>
        <w:pStyle w:val="28"/>
        <w:numPr>
          <w:ilvl w:val="1"/>
          <w:numId w:val="0"/>
        </w:numPr>
        <w:spacing w:line="360" w:lineRule="auto"/>
        <w:ind w:left="567" w:hanging="567"/>
        <w:contextualSpacing/>
        <w:textAlignment w:val="baseline"/>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1.1</w:t>
      </w:r>
      <w:r>
        <w:rPr>
          <w:rFonts w:hint="eastAsia" w:ascii="宋体" w:hAnsi="宋体" w:eastAsia="宋体" w:cs="宋体"/>
          <w:sz w:val="24"/>
          <w:szCs w:val="20"/>
        </w:rPr>
        <w:t>本合同的合同文件组成及优先解释顺序如下</w:t>
      </w:r>
      <w:r>
        <w:rPr>
          <w:rFonts w:hint="eastAsia" w:ascii="宋体" w:hAnsi="宋体" w:eastAsia="宋体" w:cs="宋体"/>
          <w:color w:val="000000" w:themeColor="text1"/>
          <w:sz w:val="24"/>
          <w:szCs w:val="20"/>
          <w14:textFill>
            <w14:solidFill>
              <w14:schemeClr w14:val="tx1"/>
            </w14:solidFill>
          </w14:textFill>
        </w:rPr>
        <w:t>：</w:t>
      </w:r>
    </w:p>
    <w:p w14:paraId="0EF73AC8">
      <w:pPr>
        <w:pStyle w:val="28"/>
        <w:numPr>
          <w:ilvl w:val="0"/>
          <w:numId w:val="4"/>
        </w:numPr>
        <w:spacing w:line="360" w:lineRule="auto"/>
        <w:ind w:firstLineChars="0"/>
        <w:rPr>
          <w:rFonts w:ascii="宋体" w:hAnsi="宋体" w:eastAsia="宋体" w:cs="宋体"/>
          <w:sz w:val="24"/>
          <w:szCs w:val="20"/>
        </w:rPr>
      </w:pPr>
      <w:r>
        <w:rPr>
          <w:rFonts w:hint="eastAsia" w:ascii="宋体" w:hAnsi="宋体" w:eastAsia="宋体" w:cs="宋体"/>
          <w:sz w:val="24"/>
          <w:szCs w:val="20"/>
        </w:rPr>
        <w:t>协议书及合同附件；</w:t>
      </w:r>
    </w:p>
    <w:p w14:paraId="3FF7957E">
      <w:pPr>
        <w:pStyle w:val="28"/>
        <w:numPr>
          <w:ilvl w:val="0"/>
          <w:numId w:val="4"/>
        </w:numPr>
        <w:spacing w:line="360" w:lineRule="auto"/>
        <w:ind w:firstLineChars="0"/>
        <w:rPr>
          <w:rFonts w:ascii="宋体" w:hAnsi="宋体" w:eastAsia="宋体" w:cs="宋体"/>
          <w:sz w:val="24"/>
          <w:szCs w:val="20"/>
        </w:rPr>
      </w:pPr>
      <w:r>
        <w:rPr>
          <w:rFonts w:hint="eastAsia" w:ascii="宋体" w:hAnsi="宋体" w:eastAsia="宋体" w:cs="宋体"/>
          <w:sz w:val="24"/>
          <w:szCs w:val="20"/>
        </w:rPr>
        <w:t>中标通知书；</w:t>
      </w:r>
    </w:p>
    <w:p w14:paraId="76E14024">
      <w:pPr>
        <w:widowControl/>
        <w:adjustRightInd w:val="0"/>
        <w:snapToGrid w:val="0"/>
        <w:spacing w:line="360" w:lineRule="auto"/>
        <w:ind w:firstLine="516" w:firstLineChars="215"/>
        <w:rPr>
          <w:rFonts w:ascii="宋体" w:hAnsi="宋体" w:eastAsia="宋体" w:cs="宋体"/>
          <w:sz w:val="24"/>
          <w:szCs w:val="24"/>
        </w:rPr>
      </w:pPr>
      <w:r>
        <w:rPr>
          <w:rFonts w:hint="eastAsia" w:ascii="宋体" w:hAnsi="宋体" w:eastAsia="宋体" w:cs="宋体"/>
          <w:sz w:val="24"/>
          <w:szCs w:val="24"/>
        </w:rPr>
        <w:t>3）图纸、投标文件及招标答疑；</w:t>
      </w:r>
    </w:p>
    <w:p w14:paraId="0E35F476">
      <w:pPr>
        <w:widowControl/>
        <w:adjustRightInd w:val="0"/>
        <w:snapToGrid w:val="0"/>
        <w:spacing w:line="360" w:lineRule="auto"/>
        <w:ind w:firstLine="516" w:firstLineChars="215"/>
        <w:rPr>
          <w:rFonts w:ascii="宋体" w:hAnsi="宋体" w:eastAsia="宋体" w:cs="宋体"/>
          <w:sz w:val="24"/>
          <w:szCs w:val="24"/>
        </w:rPr>
      </w:pPr>
      <w:r>
        <w:rPr>
          <w:rFonts w:hint="eastAsia" w:ascii="宋体" w:hAnsi="宋体" w:eastAsia="宋体" w:cs="宋体"/>
          <w:sz w:val="24"/>
          <w:szCs w:val="24"/>
        </w:rPr>
        <w:t>4）现行的法律、法规、条例、标准、规范、规定和其它有关技术文件</w:t>
      </w:r>
    </w:p>
    <w:p w14:paraId="402D48AF">
      <w:pPr>
        <w:pStyle w:val="28"/>
        <w:numPr>
          <w:ilvl w:val="1"/>
          <w:numId w:val="0"/>
        </w:numPr>
        <w:spacing w:line="360" w:lineRule="auto"/>
        <w:ind w:left="567" w:hanging="567"/>
        <w:contextualSpacing/>
        <w:textAlignment w:val="baseline"/>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1.2第1.1款所述合同文件应被认为是互为补充和解释的，但如有歧义或互相矛盾时，除非双方另行约定并达成一致外，应按第1.1款所述合同文件排列的顺序进行解释，排列在前的文件效力高于排列在后的文件；同一类文件或第1.1条没有列明的其他文件中，签署时间在后的效力高于签署时间在前的效力。</w:t>
      </w:r>
    </w:p>
    <w:p w14:paraId="244A454E">
      <w:pPr>
        <w:pStyle w:val="28"/>
        <w:numPr>
          <w:ilvl w:val="1"/>
          <w:numId w:val="0"/>
        </w:numPr>
        <w:spacing w:line="360" w:lineRule="auto"/>
        <w:ind w:left="567" w:hanging="567"/>
        <w:contextualSpacing/>
        <w:textAlignment w:val="baseline"/>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1.3</w:t>
      </w:r>
      <w:r>
        <w:rPr>
          <w:rFonts w:hint="eastAsia" w:ascii="宋体" w:hAnsi="宋体" w:eastAsia="宋体" w:cs="宋体"/>
          <w:sz w:val="24"/>
          <w:szCs w:val="20"/>
        </w:rPr>
        <w:t>通过上述顺序解释仍无法明确的事项，由甲方与乙方协商解决；如协商不成，由甲方按照公平合理和有利于本合同工程建设的原则做出决定。乙方对此决定不服的，应在接到甲方决定之日起三日内提出书面异议；如期满不提出书面异议的，视为同意甲方的决定。甲方收到乙方的书面异议后应做出进一步的决定，如乙方仍有异议的，按本合同第13条适用法律及争议解决的约定处理，但在法院没有做出正式生效判决之前，乙方必须无条件先行执行甲方的决定。</w:t>
      </w:r>
    </w:p>
    <w:p w14:paraId="5051921C">
      <w:pPr>
        <w:pStyle w:val="3"/>
        <w:spacing w:line="360" w:lineRule="auto"/>
        <w:ind w:left="425" w:hanging="425"/>
        <w:rPr>
          <w:rFonts w:ascii="宋体" w:hAnsi="宋体" w:eastAsia="宋体" w:cs="宋体"/>
          <w:color w:val="000000" w:themeColor="text1"/>
          <w:sz w:val="24"/>
          <w:szCs w:val="24"/>
          <w14:textFill>
            <w14:solidFill>
              <w14:schemeClr w14:val="tx1"/>
            </w14:solidFill>
          </w14:textFill>
        </w:rPr>
      </w:pPr>
      <w:bookmarkStart w:id="12" w:name="_Toc161"/>
      <w:bookmarkStart w:id="13" w:name="_Toc5018"/>
      <w:r>
        <w:rPr>
          <w:rFonts w:hint="eastAsia" w:ascii="宋体" w:hAnsi="宋体" w:eastAsia="宋体" w:cs="宋体"/>
          <w:color w:val="000000" w:themeColor="text1"/>
          <w:sz w:val="24"/>
          <w:szCs w:val="24"/>
          <w14:textFill>
            <w14:solidFill>
              <w14:schemeClr w14:val="tx1"/>
            </w14:solidFill>
          </w14:textFill>
        </w:rPr>
        <w:t>2.工程概况</w:t>
      </w:r>
      <w:bookmarkEnd w:id="12"/>
      <w:bookmarkEnd w:id="13"/>
    </w:p>
    <w:p w14:paraId="645F0EAB">
      <w:pPr>
        <w:pStyle w:val="28"/>
        <w:numPr>
          <w:ilvl w:val="1"/>
          <w:numId w:val="0"/>
        </w:numPr>
        <w:spacing w:line="360" w:lineRule="auto"/>
        <w:ind w:left="567" w:hanging="567"/>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2.1工程名称：</w:t>
      </w:r>
      <w:r>
        <w:rPr>
          <w:rFonts w:hint="eastAsia" w:ascii="宋体" w:hAnsi="宋体" w:eastAsia="宋体" w:cs="宋体"/>
          <w:color w:val="000000" w:themeColor="text1"/>
          <w:sz w:val="24"/>
          <w:szCs w:val="20"/>
          <w:u w:val="single"/>
          <w14:textFill>
            <w14:solidFill>
              <w14:schemeClr w14:val="tx1"/>
            </w14:solidFill>
          </w14:textFill>
        </w:rPr>
        <w:t>广州市天河区棠东广棠路2号、广园路以北以及棠东横岭地块开发建设综合商业项目超前钻技术服务</w:t>
      </w:r>
    </w:p>
    <w:p w14:paraId="2DC28F70">
      <w:pPr>
        <w:pStyle w:val="28"/>
        <w:numPr>
          <w:ilvl w:val="1"/>
          <w:numId w:val="0"/>
        </w:numPr>
        <w:spacing w:line="360" w:lineRule="auto"/>
        <w:ind w:left="567" w:hanging="567"/>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2.2工程地点：</w:t>
      </w:r>
      <w:r>
        <w:rPr>
          <w:rFonts w:hint="eastAsia" w:ascii="宋体" w:hAnsi="宋体" w:eastAsia="宋体" w:cs="宋体"/>
          <w:color w:val="000000" w:themeColor="text1"/>
          <w:sz w:val="24"/>
          <w:szCs w:val="24"/>
          <w14:textFill>
            <w14:solidFill>
              <w14:schemeClr w14:val="tx1"/>
            </w14:solidFill>
          </w14:textFill>
        </w:rPr>
        <w:t>项目用地位于天河智谷片区，广园快速路北侧，北邻天坤二路，南邻车陂西路；场地东侧靠近建明五路及广氮花园住宅小区；南邻车陂西路及广园快速路；西邻棠东广棠路。</w:t>
      </w:r>
    </w:p>
    <w:p w14:paraId="4E91A7C3">
      <w:pPr>
        <w:pStyle w:val="28"/>
        <w:numPr>
          <w:ilvl w:val="1"/>
          <w:numId w:val="0"/>
        </w:numPr>
        <w:spacing w:line="360" w:lineRule="auto"/>
        <w:ind w:left="567" w:hanging="567"/>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工程规模：本工程产品业态包括酒店、写字楼、裙楼商业、地下室车库、公建配套等。基坑底面积约45387平方米，本工程总建筑面积约234,356.58平方米。以上描述是概括性的，实际建筑面积以《建设工程规划验收合格证》为准。</w:t>
      </w:r>
    </w:p>
    <w:p w14:paraId="2A40E4BC">
      <w:pPr>
        <w:pStyle w:val="28"/>
        <w:numPr>
          <w:ilvl w:val="1"/>
          <w:numId w:val="0"/>
        </w:numPr>
        <w:spacing w:line="360" w:lineRule="auto"/>
        <w:ind w:left="567" w:hanging="567"/>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现场情况：已通水通电，不提供住宿和办公室，现场水电费自理，本工程红线范围内及现场不允许搭设工人及管理人员宿舍、大型饭堂，同时现场亦不具备建材、设备堆场和加工场地。对于现场场地不满足搭设现场办公室、材料生产和加工车间、贮存仓、临时卫生间等，则乙方须自行考虑场外解决。上述相关费用及风险已在报价中综合考虑此因素，中标后</w:t>
      </w:r>
      <w:r>
        <w:rPr>
          <w:rFonts w:hint="eastAsia" w:ascii="宋体" w:hAnsi="宋体" w:eastAsia="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不</w:t>
      </w:r>
      <w:r>
        <w:rPr>
          <w:rFonts w:hint="eastAsia" w:ascii="宋体" w:hAnsi="宋体" w:eastAsia="宋体" w:cs="宋体"/>
          <w:color w:val="000000" w:themeColor="text1"/>
          <w:sz w:val="24"/>
          <w:szCs w:val="24"/>
          <w:lang w:val="en-US" w:eastAsia="zh-CN"/>
          <w14:textFill>
            <w14:solidFill>
              <w14:schemeClr w14:val="tx1"/>
            </w14:solidFill>
          </w14:textFill>
        </w:rPr>
        <w:t>得</w:t>
      </w:r>
      <w:r>
        <w:rPr>
          <w:rFonts w:hint="eastAsia" w:ascii="宋体" w:hAnsi="宋体" w:eastAsia="宋体" w:cs="宋体"/>
          <w:color w:val="000000" w:themeColor="text1"/>
          <w:sz w:val="24"/>
          <w:szCs w:val="24"/>
          <w14:textFill>
            <w14:solidFill>
              <w14:schemeClr w14:val="tx1"/>
            </w14:solidFill>
          </w14:textFill>
        </w:rPr>
        <w:t>籍此向甲方提出任何费用和工期的补偿。</w:t>
      </w:r>
    </w:p>
    <w:p w14:paraId="4BCBB469">
      <w:pPr>
        <w:pStyle w:val="28"/>
        <w:numPr>
          <w:ilvl w:val="1"/>
          <w:numId w:val="0"/>
        </w:numPr>
        <w:spacing w:line="360" w:lineRule="auto"/>
        <w:ind w:left="567" w:hanging="567"/>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2.5超前钻任务（内容）与技术要求：</w:t>
      </w:r>
    </w:p>
    <w:p w14:paraId="1030B763">
      <w:pPr>
        <w:pStyle w:val="28"/>
        <w:numPr>
          <w:ilvl w:val="1"/>
          <w:numId w:val="0"/>
        </w:numPr>
        <w:spacing w:line="360" w:lineRule="auto"/>
        <w:ind w:left="647" w:leftChars="308" w:firstLine="72" w:firstLineChars="3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本合同项下的超前钻工作应满足《岩土工程勘察规范》</w:t>
      </w:r>
      <w:r>
        <w:rPr>
          <w:rFonts w:hint="eastAsia" w:ascii="宋体" w:hAnsi="宋体" w:eastAsia="宋体" w:cs="宋体"/>
          <w:color w:val="000000" w:themeColor="text1"/>
          <w:sz w:val="24"/>
          <w:szCs w:val="20"/>
          <w:lang w:eastAsia="zh-CN"/>
          <w14:textFill>
            <w14:solidFill>
              <w14:schemeClr w14:val="tx1"/>
            </w14:solidFill>
          </w14:textFill>
        </w:rPr>
        <w:t>、</w:t>
      </w:r>
      <w:r>
        <w:rPr>
          <w:rFonts w:hint="eastAsia" w:ascii="宋体" w:hAnsi="宋体" w:eastAsia="宋体" w:cs="宋体"/>
          <w:color w:val="000000" w:themeColor="text1"/>
          <w:sz w:val="24"/>
          <w:szCs w:val="20"/>
          <w:lang w:val="en-US" w:eastAsia="zh-CN"/>
          <w14:textFill>
            <w14:solidFill>
              <w14:schemeClr w14:val="tx1"/>
            </w14:solidFill>
          </w14:textFill>
        </w:rPr>
        <w:t>设计图纸</w:t>
      </w:r>
      <w:r>
        <w:rPr>
          <w:rFonts w:hint="eastAsia" w:ascii="宋体" w:hAnsi="宋体" w:eastAsia="宋体" w:cs="宋体"/>
          <w:color w:val="000000" w:themeColor="text1"/>
          <w:sz w:val="24"/>
          <w:szCs w:val="20"/>
          <w14:textFill>
            <w14:solidFill>
              <w14:schemeClr w14:val="tx1"/>
            </w14:solidFill>
          </w14:textFill>
        </w:rPr>
        <w:t>及设计要求</w:t>
      </w:r>
      <w:r>
        <w:rPr>
          <w:rFonts w:hint="eastAsia" w:ascii="宋体" w:hAnsi="宋体" w:eastAsia="宋体" w:cs="宋体"/>
          <w:color w:val="000000" w:themeColor="text1"/>
          <w:sz w:val="24"/>
          <w:szCs w:val="20"/>
          <w:lang w:eastAsia="zh-CN"/>
          <w14:textFill>
            <w14:solidFill>
              <w14:schemeClr w14:val="tx1"/>
            </w14:solidFill>
          </w14:textFill>
        </w:rPr>
        <w:t>，</w:t>
      </w:r>
      <w:r>
        <w:rPr>
          <w:rFonts w:hint="eastAsia" w:ascii="宋体" w:hAnsi="宋体" w:eastAsia="宋体" w:cs="宋体"/>
          <w:color w:val="000000" w:themeColor="text1"/>
          <w:sz w:val="24"/>
          <w:szCs w:val="20"/>
          <w:lang w:val="en-US" w:eastAsia="zh-CN"/>
          <w14:textFill>
            <w14:solidFill>
              <w14:schemeClr w14:val="tx1"/>
            </w14:solidFill>
          </w14:textFill>
        </w:rPr>
        <w:t>应符合附件6《棠东项目超前钻招标设计任务书》的要求</w:t>
      </w:r>
      <w:r>
        <w:rPr>
          <w:rFonts w:hint="eastAsia" w:ascii="宋体" w:hAnsi="宋体" w:eastAsia="宋体" w:cs="宋体"/>
          <w:color w:val="000000" w:themeColor="text1"/>
          <w:sz w:val="24"/>
          <w:szCs w:val="20"/>
          <w14:textFill>
            <w14:solidFill>
              <w14:schemeClr w14:val="tx1"/>
            </w14:solidFill>
          </w14:textFill>
        </w:rPr>
        <w:t>；</w:t>
      </w:r>
    </w:p>
    <w:p w14:paraId="1FD97A1F">
      <w:pPr>
        <w:pStyle w:val="28"/>
        <w:numPr>
          <w:ilvl w:val="1"/>
          <w:numId w:val="0"/>
        </w:numPr>
        <w:spacing w:line="360" w:lineRule="auto"/>
        <w:ind w:left="647" w:leftChars="308" w:firstLine="72" w:firstLineChars="3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超前钻完毕后，将对钻孔进行回灌，此费用已包含在单价中；</w:t>
      </w:r>
    </w:p>
    <w:p w14:paraId="709C0F66">
      <w:pPr>
        <w:pStyle w:val="28"/>
        <w:numPr>
          <w:ilvl w:val="1"/>
          <w:numId w:val="0"/>
        </w:numPr>
        <w:spacing w:line="360" w:lineRule="auto"/>
        <w:ind w:left="567" w:hanging="567"/>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2.6服务范围：</w:t>
      </w:r>
      <w:r>
        <w:rPr>
          <w:rFonts w:hint="eastAsia" w:ascii="宋体" w:hAnsi="宋体" w:eastAsia="宋体" w:cs="宋体"/>
          <w:color w:val="000000"/>
          <w:sz w:val="24"/>
          <w:szCs w:val="24"/>
        </w:rPr>
        <w:t>桩基工程设计图中与国家规范要求的超前钻施工内容(设计说明/设计图纸/计算书/电子文件)。</w:t>
      </w:r>
    </w:p>
    <w:p w14:paraId="5B34EC65">
      <w:pPr>
        <w:pStyle w:val="3"/>
        <w:spacing w:line="360" w:lineRule="auto"/>
        <w:ind w:left="425" w:hanging="425"/>
        <w:rPr>
          <w:rFonts w:ascii="宋体" w:hAnsi="宋体" w:eastAsia="宋体" w:cs="宋体"/>
          <w:color w:val="000000" w:themeColor="text1"/>
          <w:sz w:val="24"/>
          <w:szCs w:val="24"/>
          <w14:textFill>
            <w14:solidFill>
              <w14:schemeClr w14:val="tx1"/>
            </w14:solidFill>
          </w14:textFill>
        </w:rPr>
      </w:pPr>
      <w:bookmarkStart w:id="14" w:name="_Toc31626"/>
      <w:bookmarkStart w:id="15" w:name="_Toc8527"/>
      <w:r>
        <w:rPr>
          <w:rFonts w:hint="eastAsia" w:ascii="宋体" w:hAnsi="宋体" w:eastAsia="宋体" w:cs="宋体"/>
          <w:color w:val="000000" w:themeColor="text1"/>
          <w:sz w:val="24"/>
          <w:szCs w:val="24"/>
          <w14:textFill>
            <w14:solidFill>
              <w14:schemeClr w14:val="tx1"/>
            </w14:solidFill>
          </w14:textFill>
        </w:rPr>
        <w:t>3.计量方式</w:t>
      </w:r>
      <w:bookmarkEnd w:id="14"/>
      <w:bookmarkEnd w:id="15"/>
    </w:p>
    <w:p w14:paraId="185DC9D7">
      <w:pPr>
        <w:pStyle w:val="28"/>
        <w:numPr>
          <w:ilvl w:val="1"/>
          <w:numId w:val="0"/>
        </w:numPr>
        <w:spacing w:line="360" w:lineRule="auto"/>
        <w:ind w:left="567" w:hanging="567"/>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w:t>
      </w:r>
      <w:r>
        <w:rPr>
          <w:rFonts w:hint="eastAsia" w:ascii="宋体" w:hAnsi="宋体" w:eastAsia="宋体" w:cs="宋体"/>
          <w:color w:val="000000" w:themeColor="text1"/>
          <w:sz w:val="24"/>
          <w:szCs w:val="20"/>
          <w14:textFill>
            <w14:solidFill>
              <w14:schemeClr w14:val="tx1"/>
            </w14:solidFill>
          </w14:textFill>
        </w:rPr>
        <w:t>本合同地质超前钻范围内所需仪器，设备及相关耗材等超前钻资料</w:t>
      </w:r>
      <w:r>
        <w:rPr>
          <w:rFonts w:hint="eastAsia" w:ascii="宋体" w:hAnsi="宋体" w:eastAsia="宋体" w:cs="宋体"/>
          <w:color w:val="000000" w:themeColor="text1"/>
          <w:sz w:val="24"/>
          <w:szCs w:val="20"/>
          <w:lang w:val="en-US" w:eastAsia="zh-CN"/>
          <w14:textFill>
            <w14:solidFill>
              <w14:schemeClr w14:val="tx1"/>
            </w14:solidFill>
          </w14:textFill>
        </w:rPr>
        <w:t>及相应费用</w:t>
      </w:r>
      <w:r>
        <w:rPr>
          <w:rFonts w:hint="eastAsia" w:ascii="宋体" w:hAnsi="宋体" w:eastAsia="宋体" w:cs="宋体"/>
          <w:color w:val="000000" w:themeColor="text1"/>
          <w:sz w:val="24"/>
          <w:szCs w:val="20"/>
          <w14:textFill>
            <w14:solidFill>
              <w14:schemeClr w14:val="tx1"/>
            </w14:solidFill>
          </w14:textFill>
        </w:rPr>
        <w:t>一律由乙方承担。</w:t>
      </w:r>
    </w:p>
    <w:p w14:paraId="61150D34">
      <w:pPr>
        <w:pStyle w:val="28"/>
        <w:numPr>
          <w:ilvl w:val="1"/>
          <w:numId w:val="0"/>
        </w:numPr>
        <w:spacing w:line="360" w:lineRule="auto"/>
        <w:ind w:left="567" w:hanging="567"/>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w:t>
      </w:r>
      <w:r>
        <w:rPr>
          <w:rFonts w:hint="eastAsia" w:ascii="宋体" w:hAnsi="宋体" w:eastAsia="宋体" w:cs="宋体"/>
          <w:color w:val="000000" w:themeColor="text1"/>
          <w:sz w:val="24"/>
          <w:szCs w:val="20"/>
          <w14:textFill>
            <w14:solidFill>
              <w14:schemeClr w14:val="tx1"/>
            </w14:solidFill>
          </w14:textFill>
        </w:rPr>
        <w:t>结算办法：乙方在每一钻孔完成前两小时应通知甲方、代建单位、监理单位到现场核对工作量并</w:t>
      </w:r>
      <w:r>
        <w:rPr>
          <w:rFonts w:hint="eastAsia" w:ascii="宋体" w:hAnsi="宋体" w:eastAsia="宋体" w:cs="宋体"/>
          <w:color w:val="000000" w:themeColor="text1"/>
          <w:sz w:val="24"/>
          <w:szCs w:val="20"/>
          <w:lang w:val="en-US" w:eastAsia="zh-CN"/>
          <w14:textFill>
            <w14:solidFill>
              <w14:schemeClr w14:val="tx1"/>
            </w14:solidFill>
          </w14:textFill>
        </w:rPr>
        <w:t>共同</w:t>
      </w:r>
      <w:r>
        <w:rPr>
          <w:rFonts w:hint="eastAsia" w:ascii="宋体" w:hAnsi="宋体" w:eastAsia="宋体" w:cs="宋体"/>
          <w:color w:val="000000" w:themeColor="text1"/>
          <w:sz w:val="24"/>
          <w:szCs w:val="20"/>
          <w14:textFill>
            <w14:solidFill>
              <w14:schemeClr w14:val="tx1"/>
            </w14:solidFill>
          </w14:textFill>
        </w:rPr>
        <w:t>办理</w:t>
      </w:r>
      <w:r>
        <w:rPr>
          <w:rFonts w:hint="eastAsia" w:ascii="宋体" w:hAnsi="宋体" w:eastAsia="宋体" w:cs="宋体"/>
          <w:color w:val="000000" w:themeColor="text1"/>
          <w:sz w:val="24"/>
          <w:szCs w:val="20"/>
          <w:lang w:val="en-US" w:eastAsia="zh-CN"/>
          <w14:textFill>
            <w14:solidFill>
              <w14:schemeClr w14:val="tx1"/>
            </w14:solidFill>
          </w14:textFill>
        </w:rPr>
        <w:t>书面</w:t>
      </w:r>
      <w:r>
        <w:rPr>
          <w:rFonts w:hint="eastAsia" w:ascii="宋体" w:hAnsi="宋体" w:eastAsia="宋体" w:cs="宋体"/>
          <w:color w:val="000000" w:themeColor="text1"/>
          <w:sz w:val="24"/>
          <w:szCs w:val="20"/>
          <w14:textFill>
            <w14:solidFill>
              <w14:schemeClr w14:val="tx1"/>
            </w14:solidFill>
          </w14:textFill>
        </w:rPr>
        <w:t>工程量确认。否则，视为乙方放弃工程量确认的权利，该部分工作量甲方不再予以确认。</w:t>
      </w:r>
    </w:p>
    <w:p w14:paraId="16A0A9AE">
      <w:pPr>
        <w:pStyle w:val="28"/>
        <w:numPr>
          <w:ilvl w:val="1"/>
          <w:numId w:val="0"/>
        </w:numPr>
        <w:spacing w:line="360" w:lineRule="auto"/>
        <w:ind w:left="609" w:leftChars="290" w:firstLine="72" w:firstLineChars="30"/>
        <w:rPr>
          <w:rFonts w:hint="default" w:ascii="宋体" w:hAnsi="宋体" w:eastAsia="宋体" w:cs="宋体"/>
          <w:color w:val="000000" w:themeColor="text1"/>
          <w:sz w:val="24"/>
          <w:szCs w:val="20"/>
          <w:lang w:val="en-US"/>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工程量计算规则：按实际工程量计算;实际检测数量与规范和设计要求有差异时，乙方应及时通知甲方、监理、代建单位</w:t>
      </w:r>
      <w:r>
        <w:rPr>
          <w:rFonts w:hint="eastAsia" w:ascii="宋体" w:hAnsi="宋体" w:eastAsia="宋体" w:cs="宋体"/>
          <w:color w:val="000000" w:themeColor="text1"/>
          <w:sz w:val="24"/>
          <w:szCs w:val="20"/>
          <w:lang w:val="en-US" w:eastAsia="zh-CN"/>
          <w14:textFill>
            <w14:solidFill>
              <w14:schemeClr w14:val="tx1"/>
            </w14:solidFill>
          </w14:textFill>
        </w:rPr>
        <w:t>进行共同书面确认</w:t>
      </w:r>
      <w:r>
        <w:rPr>
          <w:rFonts w:hint="eastAsia" w:ascii="宋体" w:hAnsi="宋体" w:eastAsia="宋体" w:cs="宋体"/>
          <w:color w:val="000000" w:themeColor="text1"/>
          <w:sz w:val="24"/>
          <w:szCs w:val="20"/>
          <w14:textFill>
            <w14:solidFill>
              <w14:schemeClr w14:val="tx1"/>
            </w14:solidFill>
          </w14:textFill>
        </w:rPr>
        <w:t>。综合单价及暂定数量详见本合同附件。</w:t>
      </w:r>
      <w:r>
        <w:rPr>
          <w:rFonts w:hint="eastAsia" w:ascii="宋体" w:hAnsi="宋体" w:eastAsia="宋体" w:cs="宋体"/>
          <w:color w:val="000000" w:themeColor="text1"/>
          <w:sz w:val="24"/>
          <w:szCs w:val="20"/>
          <w:lang w:val="en-US" w:eastAsia="zh-CN"/>
          <w14:textFill>
            <w14:solidFill>
              <w14:schemeClr w14:val="tx1"/>
            </w14:solidFill>
          </w14:textFill>
        </w:rPr>
        <w:t>如部分工作量缺乏</w:t>
      </w:r>
      <w:r>
        <w:rPr>
          <w:rFonts w:hint="eastAsia" w:ascii="宋体" w:hAnsi="宋体" w:eastAsia="宋体" w:cs="宋体"/>
          <w:color w:val="000000" w:themeColor="text1"/>
          <w:sz w:val="24"/>
          <w:szCs w:val="20"/>
          <w14:textFill>
            <w14:solidFill>
              <w14:schemeClr w14:val="tx1"/>
            </w14:solidFill>
          </w14:textFill>
        </w:rPr>
        <w:t>甲方、代建单位、监理单位</w:t>
      </w:r>
      <w:r>
        <w:rPr>
          <w:rFonts w:hint="eastAsia" w:ascii="宋体" w:hAnsi="宋体" w:eastAsia="宋体" w:cs="宋体"/>
          <w:color w:val="000000" w:themeColor="text1"/>
          <w:sz w:val="24"/>
          <w:szCs w:val="20"/>
          <w:lang w:eastAsia="zh-CN"/>
          <w14:textFill>
            <w14:solidFill>
              <w14:schemeClr w14:val="tx1"/>
            </w14:solidFill>
          </w14:textFill>
        </w:rPr>
        <w:t>、</w:t>
      </w:r>
      <w:r>
        <w:rPr>
          <w:rFonts w:hint="eastAsia" w:ascii="宋体" w:hAnsi="宋体" w:eastAsia="宋体" w:cs="宋体"/>
          <w:color w:val="000000" w:themeColor="text1"/>
          <w:sz w:val="24"/>
          <w:szCs w:val="20"/>
          <w:lang w:val="en-US" w:eastAsia="zh-CN"/>
          <w14:textFill>
            <w14:solidFill>
              <w14:schemeClr w14:val="tx1"/>
            </w14:solidFill>
          </w14:textFill>
        </w:rPr>
        <w:t>乙方四方共同书面确认文件，则即使该部分工作量已经实际产生，甲方也不予结算，乙方无权要求甲方支付该部分的工程款。</w:t>
      </w:r>
    </w:p>
    <w:p w14:paraId="7FA86465">
      <w:pPr>
        <w:pStyle w:val="28"/>
        <w:numPr>
          <w:ilvl w:val="1"/>
          <w:numId w:val="0"/>
        </w:numPr>
        <w:spacing w:line="360" w:lineRule="auto"/>
        <w:ind w:left="567" w:hanging="567"/>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w:t>
      </w:r>
      <w:r>
        <w:rPr>
          <w:rFonts w:hint="eastAsia" w:ascii="宋体" w:hAnsi="宋体" w:eastAsia="宋体" w:cs="宋体"/>
          <w:color w:val="000000" w:themeColor="text1"/>
          <w:sz w:val="24"/>
          <w:szCs w:val="20"/>
          <w14:textFill>
            <w14:solidFill>
              <w14:schemeClr w14:val="tx1"/>
            </w14:solidFill>
          </w14:textFill>
        </w:rPr>
        <w:t>若甲方需在本合同约定的标的或工作量以外委托乙方完成一定工作量，应以正式书面形式通知乙方。没有甲方正式书面委托而进行的工作量，甲方不予结算。</w:t>
      </w:r>
    </w:p>
    <w:p w14:paraId="16FC2C63">
      <w:pPr>
        <w:widowControl/>
        <w:adjustRightInd w:val="0"/>
        <w:snapToGrid w:val="0"/>
        <w:spacing w:line="360" w:lineRule="auto"/>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3.4本工程结算时乙方须按本合同要求向甲方提交完整合格的结算资料，结算资料</w:t>
      </w:r>
      <w:r>
        <w:rPr>
          <w:rFonts w:hint="eastAsia" w:ascii="宋体" w:hAnsi="宋体" w:eastAsia="宋体" w:cs="宋体"/>
          <w:color w:val="000000" w:themeColor="text1"/>
          <w:sz w:val="24"/>
          <w:szCs w:val="20"/>
          <w14:textFill>
            <w14:solidFill>
              <w14:schemeClr w14:val="tx1"/>
            </w14:solidFill>
          </w14:textFill>
        </w:rPr>
        <w:t>包括但不限于：</w:t>
      </w:r>
    </w:p>
    <w:p w14:paraId="633F8E21">
      <w:pPr>
        <w:spacing w:line="360" w:lineRule="auto"/>
        <w:ind w:firstLine="516" w:firstLineChars="215"/>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（1）结算书（原件，叁 份）；</w:t>
      </w:r>
    </w:p>
    <w:p w14:paraId="183C82B9">
      <w:pPr>
        <w:spacing w:line="360" w:lineRule="auto"/>
        <w:ind w:firstLine="516" w:firstLineChars="215"/>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（2）合同文件（复印件， 叁 份）；</w:t>
      </w:r>
    </w:p>
    <w:p w14:paraId="646FBAE9">
      <w:pPr>
        <w:spacing w:line="360" w:lineRule="auto"/>
        <w:ind w:firstLine="516" w:firstLineChars="215"/>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（3）竣工报告（含验收）（原件 贰 份，复印件 肆 份）；</w:t>
      </w:r>
    </w:p>
    <w:p w14:paraId="2D627654">
      <w:pPr>
        <w:spacing w:line="360" w:lineRule="auto"/>
        <w:ind w:firstLine="516" w:firstLineChars="215"/>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（4）超前钻方案（原件 贰 份，复印件 肆 份）；</w:t>
      </w:r>
    </w:p>
    <w:p w14:paraId="35624DC2">
      <w:pPr>
        <w:spacing w:line="360" w:lineRule="auto"/>
        <w:ind w:firstLine="516" w:firstLineChars="215"/>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（5）超前钻报告（原件，陆 份）</w:t>
      </w:r>
    </w:p>
    <w:p w14:paraId="7A207518">
      <w:pPr>
        <w:pStyle w:val="3"/>
        <w:spacing w:line="360" w:lineRule="auto"/>
        <w:ind w:left="425" w:hanging="425"/>
        <w:rPr>
          <w:rFonts w:ascii="宋体" w:hAnsi="宋体" w:eastAsia="宋体" w:cs="宋体"/>
          <w:color w:val="000000" w:themeColor="text1"/>
          <w:sz w:val="24"/>
          <w:szCs w:val="24"/>
          <w14:textFill>
            <w14:solidFill>
              <w14:schemeClr w14:val="tx1"/>
            </w14:solidFill>
          </w14:textFill>
        </w:rPr>
      </w:pPr>
      <w:bookmarkStart w:id="16" w:name="_Toc12454"/>
      <w:bookmarkStart w:id="17" w:name="_Toc15492"/>
      <w:r>
        <w:rPr>
          <w:rFonts w:hint="eastAsia" w:ascii="宋体" w:hAnsi="宋体" w:eastAsia="宋体" w:cs="宋体"/>
          <w:color w:val="000000" w:themeColor="text1"/>
          <w:sz w:val="24"/>
          <w:szCs w:val="24"/>
          <w14:textFill>
            <w14:solidFill>
              <w14:schemeClr w14:val="tx1"/>
            </w14:solidFill>
          </w14:textFill>
        </w:rPr>
        <w:t>4.合同价款</w:t>
      </w:r>
      <w:bookmarkEnd w:id="16"/>
      <w:bookmarkEnd w:id="17"/>
    </w:p>
    <w:p w14:paraId="1267284E">
      <w:pPr>
        <w:pStyle w:val="28"/>
        <w:snapToGrid w:val="0"/>
        <w:spacing w:line="360" w:lineRule="auto"/>
        <w:ind w:left="566" w:hanging="566" w:hangingChars="236"/>
        <w:contextualSpacing/>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4.1本合同承包方式为含税综合单价包干方式，合同暂定总价（含税）￥</w:t>
      </w:r>
      <w:r>
        <w:rPr>
          <w:rFonts w:hint="eastAsia" w:ascii="宋体" w:hAnsi="宋体" w:eastAsia="宋体" w:cs="宋体"/>
          <w:color w:val="000000" w:themeColor="text1"/>
          <w:sz w:val="24"/>
          <w:szCs w:val="20"/>
          <w:u w:val="single"/>
          <w14:textFill>
            <w14:solidFill>
              <w14:schemeClr w14:val="tx1"/>
            </w14:solidFill>
          </w14:textFill>
        </w:rPr>
        <w:t>***</w:t>
      </w:r>
      <w:r>
        <w:rPr>
          <w:rFonts w:hint="eastAsia" w:ascii="宋体" w:hAnsi="宋体" w:eastAsia="宋体" w:cs="宋体"/>
          <w:color w:val="000000" w:themeColor="text1"/>
          <w:sz w:val="24"/>
          <w:szCs w:val="20"/>
          <w14:textFill>
            <w14:solidFill>
              <w14:schemeClr w14:val="tx1"/>
            </w14:solidFill>
          </w14:textFill>
        </w:rPr>
        <w:t>元，人民币（大写）：</w:t>
      </w:r>
      <w:r>
        <w:rPr>
          <w:rFonts w:hint="eastAsia" w:ascii="宋体" w:hAnsi="宋体" w:eastAsia="宋体" w:cs="宋体"/>
          <w:color w:val="000000" w:themeColor="text1"/>
          <w:sz w:val="24"/>
          <w:szCs w:val="20"/>
          <w:u w:val="single"/>
          <w14:textFill>
            <w14:solidFill>
              <w14:schemeClr w14:val="tx1"/>
            </w14:solidFill>
          </w14:textFill>
        </w:rPr>
        <w:t>****</w:t>
      </w:r>
      <w:r>
        <w:rPr>
          <w:rFonts w:hint="eastAsia" w:ascii="宋体" w:hAnsi="宋体" w:eastAsia="宋体" w:cs="宋体"/>
          <w:color w:val="000000" w:themeColor="text1"/>
          <w:sz w:val="24"/>
          <w:szCs w:val="20"/>
          <w14:textFill>
            <w14:solidFill>
              <w14:schemeClr w14:val="tx1"/>
            </w14:solidFill>
          </w14:textFill>
        </w:rPr>
        <w:t>，其中合同不含税总价￥</w:t>
      </w:r>
      <w:r>
        <w:rPr>
          <w:rFonts w:hint="eastAsia" w:ascii="宋体" w:hAnsi="宋体" w:eastAsia="宋体" w:cs="宋体"/>
          <w:color w:val="000000" w:themeColor="text1"/>
          <w:sz w:val="24"/>
          <w:szCs w:val="20"/>
          <w:u w:val="single"/>
          <w14:textFill>
            <w14:solidFill>
              <w14:schemeClr w14:val="tx1"/>
            </w14:solidFill>
          </w14:textFill>
        </w:rPr>
        <w:t>***</w:t>
      </w:r>
      <w:r>
        <w:rPr>
          <w:rFonts w:hint="eastAsia" w:ascii="宋体" w:hAnsi="宋体" w:eastAsia="宋体" w:cs="宋体"/>
          <w:color w:val="000000" w:themeColor="text1"/>
          <w:sz w:val="24"/>
          <w:szCs w:val="20"/>
          <w14:textFill>
            <w14:solidFill>
              <w14:schemeClr w14:val="tx1"/>
            </w14:solidFill>
          </w14:textFill>
        </w:rPr>
        <w:t>元，人民币（大写）：</w:t>
      </w:r>
      <w:r>
        <w:rPr>
          <w:rFonts w:hint="eastAsia" w:ascii="宋体" w:hAnsi="宋体" w:eastAsia="宋体" w:cs="宋体"/>
          <w:color w:val="000000" w:themeColor="text1"/>
          <w:sz w:val="24"/>
          <w:szCs w:val="20"/>
          <w:u w:val="single"/>
          <w14:textFill>
            <w14:solidFill>
              <w14:schemeClr w14:val="tx1"/>
            </w14:solidFill>
          </w14:textFill>
        </w:rPr>
        <w:t>***</w:t>
      </w:r>
      <w:r>
        <w:rPr>
          <w:rFonts w:hint="eastAsia" w:ascii="宋体" w:hAnsi="宋体" w:eastAsia="宋体" w:cs="宋体"/>
          <w:color w:val="000000" w:themeColor="text1"/>
          <w:sz w:val="24"/>
          <w:szCs w:val="20"/>
          <w14:textFill>
            <w14:solidFill>
              <w14:schemeClr w14:val="tx1"/>
            </w14:solidFill>
          </w14:textFill>
        </w:rPr>
        <w:t>，增值税税额（税率    %）￥</w:t>
      </w:r>
      <w:r>
        <w:rPr>
          <w:rFonts w:hint="eastAsia" w:ascii="宋体" w:hAnsi="宋体" w:eastAsia="宋体" w:cs="宋体"/>
          <w:color w:val="000000" w:themeColor="text1"/>
          <w:sz w:val="24"/>
          <w:szCs w:val="20"/>
          <w:u w:val="single"/>
          <w14:textFill>
            <w14:solidFill>
              <w14:schemeClr w14:val="tx1"/>
            </w14:solidFill>
          </w14:textFill>
        </w:rPr>
        <w:t>**</w:t>
      </w:r>
      <w:r>
        <w:rPr>
          <w:rFonts w:hint="eastAsia" w:ascii="宋体" w:hAnsi="宋体" w:eastAsia="宋体" w:cs="宋体"/>
          <w:color w:val="000000" w:themeColor="text1"/>
          <w:sz w:val="24"/>
          <w:szCs w:val="20"/>
          <w14:textFill>
            <w14:solidFill>
              <w14:schemeClr w14:val="tx1"/>
            </w14:solidFill>
          </w14:textFill>
        </w:rPr>
        <w:t>元，人民币（大写）：</w:t>
      </w:r>
      <w:r>
        <w:rPr>
          <w:rFonts w:hint="eastAsia" w:ascii="宋体" w:hAnsi="宋体" w:eastAsia="宋体" w:cs="宋体"/>
          <w:color w:val="000000" w:themeColor="text1"/>
          <w:sz w:val="24"/>
          <w:szCs w:val="20"/>
          <w:u w:val="single"/>
          <w14:textFill>
            <w14:solidFill>
              <w14:schemeClr w14:val="tx1"/>
            </w14:solidFill>
          </w14:textFill>
        </w:rPr>
        <w:t>***</w:t>
      </w:r>
      <w:r>
        <w:rPr>
          <w:rFonts w:hint="eastAsia" w:ascii="宋体" w:hAnsi="宋体" w:eastAsia="宋体" w:cs="宋体"/>
          <w:color w:val="000000" w:themeColor="text1"/>
          <w:sz w:val="24"/>
          <w:szCs w:val="20"/>
          <w14:textFill>
            <w14:solidFill>
              <w14:schemeClr w14:val="tx1"/>
            </w14:solidFill>
          </w14:textFill>
        </w:rPr>
        <w:t>。具体详见合同附件。如遇国家调整税率，合同不含税价不作变动，只调整增值税。合同总价或计价方式不因乙方交纳的税收与其投标时预料的有所不同或因乙方注册所在地与施工所在地因税务问题存在重复征收等其他税收问题而做任何调整。本条款也适用于政府收费。</w:t>
      </w:r>
    </w:p>
    <w:p w14:paraId="7E4A0BE4">
      <w:pPr>
        <w:pStyle w:val="28"/>
        <w:snapToGrid w:val="0"/>
        <w:spacing w:line="360" w:lineRule="auto"/>
        <w:ind w:left="566" w:hanging="566" w:hangingChars="236"/>
        <w:contextualSpacing/>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4.2合同约定的含税综合单价为全费用综合单价，</w:t>
      </w:r>
      <w:r>
        <w:rPr>
          <w:rFonts w:hint="eastAsia" w:ascii="宋体" w:hAnsi="宋体" w:eastAsia="宋体" w:cs="宋体"/>
          <w:color w:val="000000" w:themeColor="text1"/>
          <w:spacing w:val="10"/>
          <w:sz w:val="24"/>
          <w:szCs w:val="24"/>
          <w14:textFill>
            <w14:solidFill>
              <w14:schemeClr w14:val="tx1"/>
            </w14:solidFill>
          </w14:textFill>
        </w:rPr>
        <w:t>包工包料、包质量、包工期、包安全、包承担风险、包提供资料报告、包专家审查费、包保险费（建筑工程一切险及第三者责任险除外）等，</w:t>
      </w:r>
      <w:r>
        <w:rPr>
          <w:rFonts w:hint="eastAsia" w:ascii="宋体" w:hAnsi="宋体" w:eastAsia="宋体" w:cs="宋体"/>
          <w:color w:val="000000" w:themeColor="text1"/>
          <w:sz w:val="24"/>
          <w:szCs w:val="20"/>
          <w14:textFill>
            <w14:solidFill>
              <w14:schemeClr w14:val="tx1"/>
            </w14:solidFill>
          </w14:textFill>
        </w:rPr>
        <w:t>已包含所有实物工作收费、技术工作收费、规费及税金等全部费用，具体包括但不限于收集已有资料、现场踏勘、制定超前钻纲要，进行超前钻、取样、试验、测试（包括岩土层等效波速测试等）、检测、监测等超前钻作业，编制工程超前钻文件和岩土工程设计文件、就岩土工程向施工单位做出技术说明、解决设计或施工中的工程超前钻技术问题，参加工程测量交桩、水文地质交底、岩土工程验槽、购买有关资料、超前钻文件的修改、实施超前钻过程中发生的相关工作（包括障碍物拆除、开挖、地下管线的修复以及与超前钻有关的孔洞回填及恢复和完成本工程不可或缺的工作及责任的所有费用等）、超前钻过程中发生的用材以及加工、超前钻作业机具的进退场及现场搬运等服务，以及综合考虑不同自然条件下、不同作业内容、不同复杂程度及高温超前钻等一切因素下的为满足图纸、合同及规范要求所采取的一切超前钻措施作业的费用，配合地震安全性评价工作。</w:t>
      </w:r>
    </w:p>
    <w:p w14:paraId="592CAB36">
      <w:pPr>
        <w:pStyle w:val="28"/>
        <w:snapToGrid w:val="0"/>
        <w:spacing w:line="360" w:lineRule="auto"/>
        <w:ind w:left="566" w:hanging="566" w:hangingChars="236"/>
        <w:contextualSpacing/>
        <w:rPr>
          <w:rFonts w:hint="default" w:ascii="宋体" w:hAnsi="宋体" w:eastAsia="宋体" w:cs="宋体"/>
          <w:color w:val="000000" w:themeColor="text1"/>
          <w:sz w:val="24"/>
          <w:szCs w:val="20"/>
          <w:lang w:val="en-US" w:eastAsia="zh-CN"/>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4.3本合同工程量为暂定数量，不作为结算的依据。具体详见合同附件之《</w:t>
      </w:r>
      <w:r>
        <w:rPr>
          <w:rFonts w:hint="eastAsia" w:ascii="宋体" w:hAnsi="宋体" w:eastAsia="宋体" w:cs="宋体"/>
          <w:sz w:val="24"/>
          <w:szCs w:val="24"/>
        </w:rPr>
        <w:t>中标工程量清单</w:t>
      </w:r>
      <w:r>
        <w:rPr>
          <w:rFonts w:hint="eastAsia" w:ascii="宋体" w:hAnsi="宋体" w:eastAsia="宋体" w:cs="宋体"/>
          <w:color w:val="000000" w:themeColor="text1"/>
          <w:sz w:val="24"/>
          <w:szCs w:val="20"/>
          <w14:textFill>
            <w14:solidFill>
              <w14:schemeClr w14:val="tx1"/>
            </w14:solidFill>
          </w14:textFill>
        </w:rPr>
        <w:t>》。若在施工过程中出现设计变更或工程签证时，经监理单位、代建单位、甲方</w:t>
      </w:r>
      <w:r>
        <w:rPr>
          <w:rFonts w:hint="eastAsia" w:ascii="宋体" w:hAnsi="宋体" w:eastAsia="宋体" w:cs="宋体"/>
          <w:color w:val="000000" w:themeColor="text1"/>
          <w:sz w:val="24"/>
          <w:szCs w:val="20"/>
          <w:lang w:val="en-US" w:eastAsia="zh-CN"/>
          <w14:textFill>
            <w14:solidFill>
              <w14:schemeClr w14:val="tx1"/>
            </w14:solidFill>
          </w14:textFill>
        </w:rPr>
        <w:t>共同书面</w:t>
      </w:r>
      <w:r>
        <w:rPr>
          <w:rFonts w:hint="eastAsia" w:ascii="宋体" w:hAnsi="宋体" w:eastAsia="宋体" w:cs="宋体"/>
          <w:color w:val="000000" w:themeColor="text1"/>
          <w:sz w:val="24"/>
          <w:szCs w:val="20"/>
          <w14:textFill>
            <w14:solidFill>
              <w14:schemeClr w14:val="tx1"/>
            </w14:solidFill>
          </w14:textFill>
        </w:rPr>
        <w:t>确认后，设计变更或签证工程中的项目为清单中已有的项目则按清单中的项目单价执行；合同中有类似于变更工程的项目单价，可以参照类似单价，换算出新的单价，从而确定变更单价；若设计变更或签证工程中的项目为清单中没有的可供换算的类似项目，则按项目所在地市场价进行核价。</w:t>
      </w:r>
      <w:r>
        <w:rPr>
          <w:rFonts w:hint="eastAsia" w:ascii="宋体" w:hAnsi="宋体" w:eastAsia="宋体" w:cs="宋体"/>
          <w:color w:val="000000" w:themeColor="text1"/>
          <w:sz w:val="24"/>
          <w:szCs w:val="20"/>
          <w:lang w:val="en-US" w:eastAsia="zh-CN"/>
          <w14:textFill>
            <w14:solidFill>
              <w14:schemeClr w14:val="tx1"/>
            </w14:solidFill>
          </w14:textFill>
        </w:rPr>
        <w:t>已有的项目单价不因物价上涨等原因进行调整。如甲、乙双方对结算价有争议的，应当共同委托第三方有资质的权威机构予以评估确定结算价，评估费由双方共同承担。评估期间不作为延迟付款的情形，不视为违约。但如部分工作量缺乏</w:t>
      </w:r>
      <w:r>
        <w:rPr>
          <w:rFonts w:hint="eastAsia" w:ascii="宋体" w:hAnsi="宋体" w:eastAsia="宋体" w:cs="宋体"/>
          <w:color w:val="000000" w:themeColor="text1"/>
          <w:sz w:val="24"/>
          <w:szCs w:val="20"/>
          <w14:textFill>
            <w14:solidFill>
              <w14:schemeClr w14:val="tx1"/>
            </w14:solidFill>
          </w14:textFill>
        </w:rPr>
        <w:t>甲方、代建单位、监理单位</w:t>
      </w:r>
      <w:r>
        <w:rPr>
          <w:rFonts w:hint="eastAsia" w:ascii="宋体" w:hAnsi="宋体" w:eastAsia="宋体" w:cs="宋体"/>
          <w:color w:val="000000" w:themeColor="text1"/>
          <w:sz w:val="24"/>
          <w:szCs w:val="20"/>
          <w:lang w:eastAsia="zh-CN"/>
          <w14:textFill>
            <w14:solidFill>
              <w14:schemeClr w14:val="tx1"/>
            </w14:solidFill>
          </w14:textFill>
        </w:rPr>
        <w:t>、</w:t>
      </w:r>
      <w:r>
        <w:rPr>
          <w:rFonts w:hint="eastAsia" w:ascii="宋体" w:hAnsi="宋体" w:eastAsia="宋体" w:cs="宋体"/>
          <w:color w:val="000000" w:themeColor="text1"/>
          <w:sz w:val="24"/>
          <w:szCs w:val="20"/>
          <w:lang w:val="en-US" w:eastAsia="zh-CN"/>
          <w14:textFill>
            <w14:solidFill>
              <w14:schemeClr w14:val="tx1"/>
            </w14:solidFill>
          </w14:textFill>
        </w:rPr>
        <w:t>乙方四方共同书面确认文件，则即使该部分工作量已经实际产生，也不纳入结算范围。</w:t>
      </w:r>
    </w:p>
    <w:p w14:paraId="5A2F3323">
      <w:pPr>
        <w:pStyle w:val="28"/>
        <w:snapToGrid w:val="0"/>
        <w:spacing w:line="360" w:lineRule="auto"/>
        <w:ind w:left="566" w:hanging="566" w:hangingChars="236"/>
        <w:contextualSpacing/>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4.4甲方、代建单位有可能根据项目需要要求乙方临时增加钻探设备，增加设备的进退场费将按</w:t>
      </w:r>
      <w:r>
        <w:rPr>
          <w:rFonts w:hint="eastAsia" w:ascii="宋体" w:hAnsi="宋体" w:eastAsia="宋体" w:cs="宋体"/>
          <w:color w:val="000000" w:themeColor="text1"/>
          <w:sz w:val="24"/>
          <w:szCs w:val="20"/>
          <w:lang w:val="en-US" w:eastAsia="zh-CN"/>
          <w14:textFill>
            <w14:solidFill>
              <w14:schemeClr w14:val="tx1"/>
            </w14:solidFill>
          </w14:textFill>
        </w:rPr>
        <w:t>有</w:t>
      </w:r>
      <w:r>
        <w:rPr>
          <w:rFonts w:hint="eastAsia" w:ascii="宋体" w:hAnsi="宋体" w:eastAsia="宋体" w:cs="宋体"/>
          <w:color w:val="000000" w:themeColor="text1"/>
          <w:sz w:val="24"/>
          <w:szCs w:val="20"/>
          <w14:textFill>
            <w14:solidFill>
              <w14:schemeClr w14:val="tx1"/>
            </w14:solidFill>
          </w14:textFill>
        </w:rPr>
        <w:t>甲方、代建单位、监理单位</w:t>
      </w:r>
      <w:r>
        <w:rPr>
          <w:rFonts w:hint="eastAsia" w:ascii="宋体" w:hAnsi="宋体" w:eastAsia="宋体" w:cs="宋体"/>
          <w:color w:val="000000" w:themeColor="text1"/>
          <w:sz w:val="24"/>
          <w:szCs w:val="20"/>
          <w:lang w:eastAsia="zh-CN"/>
          <w14:textFill>
            <w14:solidFill>
              <w14:schemeClr w14:val="tx1"/>
            </w14:solidFill>
          </w14:textFill>
        </w:rPr>
        <w:t>、</w:t>
      </w:r>
      <w:r>
        <w:rPr>
          <w:rFonts w:hint="eastAsia" w:ascii="宋体" w:hAnsi="宋体" w:eastAsia="宋体" w:cs="宋体"/>
          <w:color w:val="000000" w:themeColor="text1"/>
          <w:sz w:val="24"/>
          <w:szCs w:val="20"/>
          <w:lang w:val="en-US" w:eastAsia="zh-CN"/>
          <w14:textFill>
            <w14:solidFill>
              <w14:schemeClr w14:val="tx1"/>
            </w14:solidFill>
          </w14:textFill>
        </w:rPr>
        <w:t>乙方四方共同书面确认的</w:t>
      </w:r>
      <w:r>
        <w:rPr>
          <w:rFonts w:hint="eastAsia" w:ascii="宋体" w:hAnsi="宋体" w:eastAsia="宋体" w:cs="宋体"/>
          <w:color w:val="000000" w:themeColor="text1"/>
          <w:sz w:val="24"/>
          <w:szCs w:val="20"/>
          <w14:textFill>
            <w14:solidFill>
              <w14:schemeClr w14:val="tx1"/>
            </w14:solidFill>
          </w14:textFill>
        </w:rPr>
        <w:t>工程量清单对应项目的综合单价按实结算。</w:t>
      </w:r>
    </w:p>
    <w:p w14:paraId="637AD154">
      <w:pPr>
        <w:pStyle w:val="28"/>
        <w:snapToGrid w:val="0"/>
        <w:spacing w:line="360" w:lineRule="auto"/>
        <w:ind w:left="566" w:hanging="566" w:hangingChars="236"/>
        <w:contextualSpacing/>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4.5本项目有三个施工证，报告需对应施工证来编制和归档，该部分所产生的所有费用（工程量增减以外的其他事由）已考虑在报价中，乙方不得以该事由向甲方索要费用补偿。</w:t>
      </w:r>
    </w:p>
    <w:p w14:paraId="5FC99C41">
      <w:pPr>
        <w:pStyle w:val="3"/>
        <w:spacing w:line="360" w:lineRule="auto"/>
        <w:ind w:left="425" w:hanging="425"/>
        <w:rPr>
          <w:rFonts w:ascii="宋体" w:hAnsi="宋体" w:eastAsia="宋体" w:cs="宋体"/>
          <w:color w:val="000000" w:themeColor="text1"/>
          <w:sz w:val="24"/>
          <w:szCs w:val="24"/>
          <w14:textFill>
            <w14:solidFill>
              <w14:schemeClr w14:val="tx1"/>
            </w14:solidFill>
          </w14:textFill>
        </w:rPr>
      </w:pPr>
      <w:bookmarkStart w:id="18" w:name="_Toc7218"/>
      <w:bookmarkStart w:id="19" w:name="_Toc11491"/>
      <w:r>
        <w:rPr>
          <w:rFonts w:hint="eastAsia" w:ascii="宋体" w:hAnsi="宋体" w:eastAsia="宋体" w:cs="宋体"/>
          <w:color w:val="000000" w:themeColor="text1"/>
          <w:sz w:val="24"/>
          <w:szCs w:val="24"/>
          <w14:textFill>
            <w14:solidFill>
              <w14:schemeClr w14:val="tx1"/>
            </w14:solidFill>
          </w14:textFill>
        </w:rPr>
        <w:t>5.开工及成果提交时间</w:t>
      </w:r>
      <w:bookmarkEnd w:id="18"/>
      <w:bookmarkEnd w:id="19"/>
    </w:p>
    <w:p w14:paraId="4F7D00EE">
      <w:pPr>
        <w:pStyle w:val="28"/>
        <w:numPr>
          <w:ilvl w:val="1"/>
          <w:numId w:val="0"/>
        </w:numPr>
        <w:spacing w:line="360" w:lineRule="auto"/>
        <w:ind w:left="567" w:hanging="567"/>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5.1工期：总工期共计45日历天（日历天含星期六、星期天休息日及春节、五一、国庆、元旦、端午、中秋等国家法定节假日、恶劣天气，不可抗力除外），以甲方书面通知开工至乙方提交超前钻技术报告经甲方确认之日止。暂定开工时间为2025年</w:t>
      </w:r>
      <w:r>
        <w:rPr>
          <w:rFonts w:hint="eastAsia" w:ascii="宋体" w:hAnsi="宋体" w:eastAsia="宋体" w:cs="宋体"/>
          <w:color w:val="000000" w:themeColor="text1"/>
          <w:sz w:val="24"/>
          <w:szCs w:val="20"/>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月</w:t>
      </w:r>
      <w:r>
        <w:rPr>
          <w:rFonts w:hint="eastAsia" w:ascii="宋体" w:hAnsi="宋体" w:eastAsia="宋体" w:cs="宋体"/>
          <w:i/>
          <w:iCs/>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日</w:t>
      </w:r>
      <w:r>
        <w:rPr>
          <w:rFonts w:hint="eastAsia" w:ascii="宋体" w:hAnsi="宋体" w:eastAsia="宋体" w:cs="宋体"/>
          <w:color w:val="000000" w:themeColor="text1"/>
          <w:sz w:val="24"/>
          <w:szCs w:val="20"/>
          <w14:textFill>
            <w14:solidFill>
              <w14:schemeClr w14:val="tx1"/>
            </w14:solidFill>
          </w14:textFill>
        </w:rPr>
        <w:t>，具体以甲方书面通知的开工时间为准。</w:t>
      </w:r>
    </w:p>
    <w:p w14:paraId="37339BF9">
      <w:pPr>
        <w:pStyle w:val="28"/>
        <w:numPr>
          <w:ilvl w:val="1"/>
          <w:numId w:val="0"/>
        </w:numPr>
        <w:spacing w:line="360" w:lineRule="auto"/>
        <w:ind w:left="567" w:hanging="567"/>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5.2节点工期要求：</w:t>
      </w:r>
    </w:p>
    <w:p w14:paraId="6A8F29F3">
      <w:pPr>
        <w:pStyle w:val="28"/>
        <w:spacing w:line="360" w:lineRule="auto"/>
        <w:ind w:firstLine="480"/>
        <w:rPr>
          <w:rFonts w:ascii="宋体" w:hAnsi="宋体" w:eastAsia="宋体" w:cs="宋体"/>
          <w:color w:val="000000" w:themeColor="text1"/>
          <w:sz w:val="24"/>
          <w:szCs w:val="20"/>
          <w:highlight w:val="yellow"/>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3、4号地块：</w:t>
      </w:r>
      <w:r>
        <w:rPr>
          <w:rFonts w:hint="eastAsia" w:ascii="宋体" w:hAnsi="宋体" w:eastAsia="宋体" w:cs="宋体"/>
          <w:color w:val="000000" w:themeColor="text1"/>
          <w:sz w:val="24"/>
          <w:szCs w:val="20"/>
          <w:highlight w:val="none"/>
          <w:lang w:val="en-US" w:eastAsia="zh-CN"/>
          <w14:textFill>
            <w14:solidFill>
              <w14:schemeClr w14:val="tx1"/>
            </w14:solidFill>
          </w14:textFill>
        </w:rPr>
        <w:t>共27日，</w:t>
      </w:r>
      <w:r>
        <w:rPr>
          <w:rFonts w:hint="eastAsia" w:ascii="宋体" w:hAnsi="宋体" w:eastAsia="宋体" w:cs="宋体"/>
          <w:color w:val="000000" w:themeColor="text1"/>
          <w:sz w:val="24"/>
          <w:szCs w:val="20"/>
          <w:highlight w:val="none"/>
          <w14:textFill>
            <w14:solidFill>
              <w14:schemeClr w14:val="tx1"/>
            </w14:solidFill>
          </w14:textFill>
        </w:rPr>
        <w:t>2025/</w:t>
      </w:r>
      <w:r>
        <w:rPr>
          <w:rFonts w:hint="eastAsia" w:ascii="宋体" w:hAnsi="宋体" w:eastAsia="宋体" w:cs="宋体"/>
          <w:color w:val="000000" w:themeColor="text1"/>
          <w:sz w:val="24"/>
          <w:szCs w:val="20"/>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-2025/</w:t>
      </w:r>
      <w:r>
        <w:rPr>
          <w:rFonts w:hint="eastAsia" w:ascii="宋体" w:hAnsi="宋体" w:eastAsia="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z w:val="24"/>
          <w:szCs w:val="20"/>
          <w:highlight w:val="none"/>
          <w:u w:val="single"/>
          <w:lang w:val="en-US" w:eastAsia="zh-CN"/>
          <w14:textFill>
            <w14:solidFill>
              <w14:schemeClr w14:val="tx1"/>
            </w14:solidFill>
          </w14:textFill>
        </w:rPr>
        <w:t xml:space="preserve">  </w:t>
      </w:r>
    </w:p>
    <w:p w14:paraId="44E4D052">
      <w:pPr>
        <w:pStyle w:val="28"/>
        <w:spacing w:line="360" w:lineRule="auto"/>
        <w:ind w:firstLine="48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5、6号地块：</w:t>
      </w:r>
      <w:r>
        <w:rPr>
          <w:rFonts w:hint="eastAsia" w:ascii="宋体" w:hAnsi="宋体" w:eastAsia="宋体" w:cs="宋体"/>
          <w:color w:val="000000" w:themeColor="text1"/>
          <w:sz w:val="24"/>
          <w:szCs w:val="20"/>
          <w:highlight w:val="none"/>
          <w:lang w:val="en-US" w:eastAsia="zh-CN"/>
          <w14:textFill>
            <w14:solidFill>
              <w14:schemeClr w14:val="tx1"/>
            </w14:solidFill>
          </w14:textFill>
        </w:rPr>
        <w:t>共25日，</w:t>
      </w:r>
      <w:r>
        <w:rPr>
          <w:rFonts w:hint="eastAsia" w:ascii="宋体" w:hAnsi="宋体" w:eastAsia="宋体" w:cs="宋体"/>
          <w:color w:val="000000" w:themeColor="text1"/>
          <w:sz w:val="24"/>
          <w:szCs w:val="20"/>
          <w:highlight w:val="none"/>
          <w14:textFill>
            <w14:solidFill>
              <w14:schemeClr w14:val="tx1"/>
            </w14:solidFill>
          </w14:textFill>
        </w:rPr>
        <w:t>2025/</w:t>
      </w:r>
      <w:r>
        <w:rPr>
          <w:rFonts w:hint="eastAsia" w:ascii="宋体" w:hAnsi="宋体" w:eastAsia="宋体" w:cs="宋体"/>
          <w:color w:val="000000" w:themeColor="text1"/>
          <w:sz w:val="24"/>
          <w:szCs w:val="20"/>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-2025/</w:t>
      </w:r>
      <w:r>
        <w:rPr>
          <w:rFonts w:hint="eastAsia" w:ascii="宋体" w:hAnsi="宋体" w:eastAsia="宋体" w:cs="宋体"/>
          <w:color w:val="000000" w:themeColor="text1"/>
          <w:sz w:val="24"/>
          <w:szCs w:val="2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z w:val="24"/>
          <w:szCs w:val="20"/>
          <w:highlight w:val="none"/>
          <w:u w:val="single"/>
          <w:lang w:val="en-US" w:eastAsia="zh-CN"/>
          <w14:textFill>
            <w14:solidFill>
              <w14:schemeClr w14:val="tx1"/>
            </w14:solidFill>
          </w14:textFill>
        </w:rPr>
        <w:t xml:space="preserve">  </w:t>
      </w:r>
    </w:p>
    <w:p w14:paraId="20C4BF2A">
      <w:pPr>
        <w:pStyle w:val="28"/>
        <w:spacing w:line="360" w:lineRule="auto"/>
        <w:ind w:firstLine="48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具体时间以现场实际为准，并在完成现场全部工作后，一周内提供超前钻勘察报告，过程中配合提交电子报告。</w:t>
      </w:r>
    </w:p>
    <w:p w14:paraId="583CAF64">
      <w:pPr>
        <w:pStyle w:val="28"/>
        <w:numPr>
          <w:ilvl w:val="1"/>
          <w:numId w:val="0"/>
        </w:numPr>
        <w:spacing w:line="360" w:lineRule="auto"/>
        <w:ind w:left="567" w:hanging="567"/>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5.3乙方不按期开工</w:t>
      </w:r>
      <w:r>
        <w:rPr>
          <w:rFonts w:hint="eastAsia" w:ascii="宋体" w:hAnsi="宋体" w:eastAsia="宋体" w:cs="宋体"/>
          <w:color w:val="000000" w:themeColor="text1"/>
          <w:sz w:val="24"/>
          <w:szCs w:val="20"/>
          <w:lang w:eastAsia="zh-CN"/>
          <w14:textFill>
            <w14:solidFill>
              <w14:schemeClr w14:val="tx1"/>
            </w14:solidFill>
          </w14:textFill>
        </w:rPr>
        <w:t>、</w:t>
      </w:r>
      <w:r>
        <w:rPr>
          <w:rFonts w:hint="eastAsia" w:ascii="宋体" w:hAnsi="宋体" w:eastAsia="宋体" w:cs="宋体"/>
          <w:color w:val="000000" w:themeColor="text1"/>
          <w:sz w:val="24"/>
          <w:szCs w:val="20"/>
          <w14:textFill>
            <w14:solidFill>
              <w14:schemeClr w14:val="tx1"/>
            </w14:solidFill>
          </w14:textFill>
        </w:rPr>
        <w:t>中途无故停工</w:t>
      </w:r>
      <w:r>
        <w:rPr>
          <w:rFonts w:hint="eastAsia" w:ascii="宋体" w:hAnsi="宋体" w:eastAsia="宋体" w:cs="宋体"/>
          <w:color w:val="000000" w:themeColor="text1"/>
          <w:sz w:val="24"/>
          <w:szCs w:val="20"/>
          <w:lang w:val="en-US" w:eastAsia="zh-CN"/>
          <w14:textFill>
            <w14:solidFill>
              <w14:schemeClr w14:val="tx1"/>
            </w14:solidFill>
          </w14:textFill>
        </w:rPr>
        <w:t>或因其他乙方原因（包括返工、整改等）</w:t>
      </w:r>
      <w:r>
        <w:rPr>
          <w:rFonts w:hint="eastAsia" w:ascii="宋体" w:hAnsi="宋体" w:eastAsia="宋体" w:cs="宋体"/>
          <w:color w:val="000000" w:themeColor="text1"/>
          <w:sz w:val="24"/>
          <w:szCs w:val="20"/>
          <w14:textFill>
            <w14:solidFill>
              <w14:schemeClr w14:val="tx1"/>
            </w14:solidFill>
          </w14:textFill>
        </w:rPr>
        <w:t>所造成工期延误不予顺延。若遇下列情况发生，经甲方及监理书面确认后，合同工期可适当顺延：</w:t>
      </w:r>
    </w:p>
    <w:p w14:paraId="3D5BF651">
      <w:pPr>
        <w:pStyle w:val="28"/>
        <w:numPr>
          <w:ilvl w:val="0"/>
          <w:numId w:val="5"/>
        </w:numPr>
        <w:spacing w:line="360" w:lineRule="auto"/>
        <w:ind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不可抗力事件；</w:t>
      </w:r>
    </w:p>
    <w:p w14:paraId="0C055D71">
      <w:pPr>
        <w:pStyle w:val="28"/>
        <w:numPr>
          <w:ilvl w:val="0"/>
          <w:numId w:val="5"/>
        </w:numPr>
        <w:spacing w:line="360" w:lineRule="auto"/>
        <w:ind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因甲方要求工程量增加或设计变更工程内容达20%及以上时；</w:t>
      </w:r>
    </w:p>
    <w:p w14:paraId="44DE6DA0">
      <w:pPr>
        <w:pStyle w:val="28"/>
        <w:numPr>
          <w:ilvl w:val="0"/>
          <w:numId w:val="5"/>
        </w:numPr>
        <w:spacing w:line="360" w:lineRule="auto"/>
        <w:ind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非乙方的原因造成的停、窝工时间超过3天或以上时。</w:t>
      </w:r>
    </w:p>
    <w:p w14:paraId="24206819">
      <w:pPr>
        <w:pStyle w:val="3"/>
        <w:spacing w:line="360" w:lineRule="auto"/>
        <w:ind w:left="440" w:hanging="440"/>
        <w:rPr>
          <w:rFonts w:ascii="宋体" w:hAnsi="宋体" w:eastAsia="宋体" w:cs="宋体"/>
          <w:color w:val="000000" w:themeColor="text1"/>
          <w:sz w:val="24"/>
          <w:szCs w:val="24"/>
          <w14:textFill>
            <w14:solidFill>
              <w14:schemeClr w14:val="tx1"/>
            </w14:solidFill>
          </w14:textFill>
        </w:rPr>
      </w:pPr>
      <w:bookmarkStart w:id="20" w:name="_Toc970"/>
      <w:bookmarkStart w:id="21" w:name="_Toc10448"/>
      <w:r>
        <w:rPr>
          <w:rFonts w:hint="eastAsia" w:ascii="宋体" w:hAnsi="宋体" w:eastAsia="宋体" w:cs="宋体"/>
          <w:color w:val="000000" w:themeColor="text1"/>
          <w:sz w:val="24"/>
          <w:szCs w:val="24"/>
          <w14:textFill>
            <w14:solidFill>
              <w14:schemeClr w14:val="tx1"/>
            </w14:solidFill>
          </w14:textFill>
        </w:rPr>
        <w:t>6.质量标准及要求</w:t>
      </w:r>
      <w:bookmarkEnd w:id="20"/>
      <w:bookmarkEnd w:id="21"/>
    </w:p>
    <w:p w14:paraId="7D0FE3A1">
      <w:pPr>
        <w:pStyle w:val="28"/>
        <w:numPr>
          <w:ilvl w:val="1"/>
          <w:numId w:val="0"/>
        </w:numPr>
        <w:spacing w:line="360" w:lineRule="auto"/>
        <w:ind w:left="567" w:hanging="567"/>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w:t>
      </w:r>
      <w:r>
        <w:rPr>
          <w:rFonts w:hint="eastAsia" w:ascii="宋体" w:hAnsi="宋体" w:eastAsia="宋体" w:cs="宋体"/>
          <w:color w:val="000000" w:themeColor="text1"/>
          <w:sz w:val="24"/>
          <w:szCs w:val="20"/>
          <w14:textFill>
            <w14:solidFill>
              <w14:schemeClr w14:val="tx1"/>
            </w14:solidFill>
          </w14:textFill>
        </w:rPr>
        <w:t>符合国家及行业现行规程要求，如《岩土工程勘察规范》（GB 50021）、《建筑工程地质勘探与取样技术规程》（JGJ/T 87）、《房屋建筑和市政基础设施工程勘察文件编制深度规定》等相关规范；并出具成果报告编制，包含钻孔柱状图、岩芯照片、试验报告、地质剖面图及结论建议的正式《工程桩超前钻探岩土工程勘察报告》</w:t>
      </w:r>
    </w:p>
    <w:p w14:paraId="0A4639D0">
      <w:pPr>
        <w:pStyle w:val="28"/>
        <w:numPr>
          <w:ilvl w:val="1"/>
          <w:numId w:val="0"/>
        </w:numPr>
        <w:spacing w:line="360" w:lineRule="auto"/>
        <w:ind w:left="567" w:hanging="567"/>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6.2地质报告应满足设计、规范要求，物理试验成果报告应齐全、准确。</w:t>
      </w:r>
    </w:p>
    <w:p w14:paraId="432492EA">
      <w:pPr>
        <w:pStyle w:val="28"/>
        <w:numPr>
          <w:ilvl w:val="1"/>
          <w:numId w:val="0"/>
        </w:numPr>
        <w:spacing w:line="360" w:lineRule="auto"/>
        <w:ind w:left="567" w:hanging="567"/>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6.3</w:t>
      </w:r>
      <w:r>
        <w:rPr>
          <w:rFonts w:hint="eastAsia" w:ascii="宋体" w:hAnsi="宋体" w:eastAsia="宋体" w:cs="宋体"/>
          <w:color w:val="000000" w:themeColor="text1"/>
          <w:sz w:val="24"/>
          <w14:textFill>
            <w14:solidFill>
              <w14:schemeClr w14:val="tx1"/>
            </w14:solidFill>
          </w14:textFill>
        </w:rPr>
        <w:t>根据设计图纸及规范要求编制超前钻施工方案，相应钻孔位置及数量、钻孔深度应满足设计图纸及规范要求</w:t>
      </w:r>
    </w:p>
    <w:p w14:paraId="3E2DF65E">
      <w:pPr>
        <w:pStyle w:val="28"/>
        <w:numPr>
          <w:ilvl w:val="1"/>
          <w:numId w:val="0"/>
        </w:numPr>
        <w:spacing w:line="360" w:lineRule="auto"/>
        <w:ind w:left="567" w:hanging="567"/>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6.4</w:t>
      </w:r>
      <w:r>
        <w:rPr>
          <w:rFonts w:hint="eastAsia" w:ascii="宋体" w:hAnsi="宋体" w:eastAsia="宋体" w:cs="宋体"/>
          <w:color w:val="000000" w:themeColor="text1"/>
          <w:sz w:val="24"/>
          <w14:textFill>
            <w14:solidFill>
              <w14:schemeClr w14:val="tx1"/>
            </w14:solidFill>
          </w14:textFill>
        </w:rPr>
        <w:t>对中/微风化岩层应连续取芯，岩芯钻探采取应达到设计及规范要求。</w:t>
      </w:r>
    </w:p>
    <w:p w14:paraId="3B9A5212">
      <w:pPr>
        <w:pStyle w:val="28"/>
        <w:numPr>
          <w:ilvl w:val="1"/>
          <w:numId w:val="0"/>
        </w:numPr>
        <w:spacing w:line="360" w:lineRule="auto"/>
        <w:ind w:left="567" w:hanging="567"/>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6.5</w:t>
      </w:r>
      <w:r>
        <w:rPr>
          <w:rFonts w:hint="eastAsia" w:ascii="宋体" w:hAnsi="宋体" w:eastAsia="宋体" w:cs="宋体"/>
          <w:color w:val="000000" w:themeColor="text1"/>
          <w:sz w:val="24"/>
          <w14:textFill>
            <w14:solidFill>
              <w14:schemeClr w14:val="tx1"/>
            </w14:solidFill>
          </w14:textFill>
        </w:rPr>
        <w:t>超前钻完毕后，将对钻孔进行回灌，回填材料需满足设计要求。</w:t>
      </w:r>
    </w:p>
    <w:p w14:paraId="7614F608">
      <w:pPr>
        <w:pStyle w:val="28"/>
        <w:numPr>
          <w:ilvl w:val="1"/>
          <w:numId w:val="0"/>
        </w:numPr>
        <w:spacing w:line="360" w:lineRule="auto"/>
        <w:ind w:left="567" w:hanging="567"/>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6.6按规定时间提交超前钻钻探报告，超前钻报告内容应整合详细勘察报告的成果，最终超前钻报告应满足设计图纸中要求的内容。</w:t>
      </w:r>
    </w:p>
    <w:p w14:paraId="10D0AEB2">
      <w:pPr>
        <w:pStyle w:val="28"/>
        <w:numPr>
          <w:ilvl w:val="1"/>
          <w:numId w:val="0"/>
        </w:numPr>
        <w:spacing w:line="360" w:lineRule="auto"/>
        <w:ind w:left="567" w:hanging="567"/>
        <w:rPr>
          <w:rFonts w:hint="default" w:ascii="宋体" w:hAnsi="宋体" w:eastAsia="宋体" w:cs="宋体"/>
          <w:color w:val="000000" w:themeColor="text1"/>
          <w:sz w:val="24"/>
          <w:szCs w:val="20"/>
          <w:lang w:val="en-US" w:eastAsia="zh-CN"/>
          <w14:textFill>
            <w14:solidFill>
              <w14:schemeClr w14:val="tx1"/>
            </w14:solidFill>
          </w14:textFill>
        </w:rPr>
      </w:pPr>
      <w:r>
        <w:rPr>
          <w:rFonts w:hint="eastAsia" w:ascii="宋体" w:hAnsi="宋体" w:eastAsia="宋体" w:cs="宋体"/>
          <w:color w:val="000000" w:themeColor="text1"/>
          <w:sz w:val="24"/>
          <w:szCs w:val="20"/>
          <w:lang w:val="en-US" w:eastAsia="zh-CN"/>
          <w14:textFill>
            <w14:solidFill>
              <w14:schemeClr w14:val="tx1"/>
            </w14:solidFill>
          </w14:textFill>
        </w:rPr>
        <w:t>6.7 应满足附件6《棠东项目超前钻招标设计任务书》的要求。</w:t>
      </w:r>
    </w:p>
    <w:p w14:paraId="2A4B4273">
      <w:pPr>
        <w:pStyle w:val="3"/>
        <w:spacing w:line="360" w:lineRule="auto"/>
        <w:rPr>
          <w:rFonts w:ascii="宋体" w:hAnsi="宋体" w:eastAsia="宋体" w:cs="宋体"/>
          <w:color w:val="000000" w:themeColor="text1"/>
          <w:sz w:val="24"/>
          <w:szCs w:val="24"/>
          <w14:textFill>
            <w14:solidFill>
              <w14:schemeClr w14:val="tx1"/>
            </w14:solidFill>
          </w14:textFill>
        </w:rPr>
      </w:pPr>
      <w:bookmarkStart w:id="22" w:name="_Toc10619"/>
      <w:bookmarkStart w:id="23" w:name="_Toc22814"/>
      <w:r>
        <w:rPr>
          <w:rFonts w:hint="eastAsia" w:ascii="宋体" w:hAnsi="宋体" w:eastAsia="宋体" w:cs="宋体"/>
          <w:color w:val="000000" w:themeColor="text1"/>
          <w:sz w:val="24"/>
          <w:szCs w:val="24"/>
          <w14:textFill>
            <w14:solidFill>
              <w14:schemeClr w14:val="tx1"/>
            </w14:solidFill>
          </w14:textFill>
        </w:rPr>
        <w:t>7.付款方式</w:t>
      </w:r>
      <w:bookmarkEnd w:id="22"/>
      <w:bookmarkEnd w:id="23"/>
    </w:p>
    <w:p w14:paraId="5A7AC65D">
      <w:pPr>
        <w:pStyle w:val="28"/>
        <w:numPr>
          <w:ilvl w:val="1"/>
          <w:numId w:val="0"/>
        </w:numPr>
        <w:spacing w:line="360" w:lineRule="auto"/>
        <w:ind w:left="567" w:hanging="567"/>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7.2</w:t>
      </w:r>
      <w:r>
        <w:rPr>
          <w:rFonts w:hint="eastAsia" w:ascii="宋体" w:hAnsi="宋体" w:eastAsia="宋体" w:cs="宋体"/>
          <w:color w:val="000000" w:themeColor="text1"/>
          <w:sz w:val="24"/>
          <w14:textFill>
            <w14:solidFill>
              <w14:schemeClr w14:val="tx1"/>
            </w14:solidFill>
          </w14:textFill>
        </w:rPr>
        <w:t>付款方式</w:t>
      </w:r>
    </w:p>
    <w:p w14:paraId="109D3D26">
      <w:pPr>
        <w:pStyle w:val="28"/>
        <w:numPr>
          <w:ilvl w:val="1"/>
          <w:numId w:val="0"/>
        </w:numPr>
        <w:spacing w:line="360" w:lineRule="auto"/>
        <w:ind w:left="567" w:hanging="567"/>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7.2.1</w:t>
      </w:r>
      <w:r>
        <w:rPr>
          <w:rFonts w:hint="eastAsia" w:ascii="宋体" w:hAnsi="宋体" w:eastAsia="宋体" w:cs="宋体"/>
          <w:color w:val="000000" w:themeColor="text1"/>
          <w:sz w:val="24"/>
          <w14:textFill>
            <w14:solidFill>
              <w14:schemeClr w14:val="tx1"/>
            </w14:solidFill>
          </w14:textFill>
        </w:rPr>
        <w:t>本工程无预付款。</w:t>
      </w:r>
    </w:p>
    <w:p w14:paraId="3DC1188A">
      <w:pPr>
        <w:pStyle w:val="28"/>
        <w:numPr>
          <w:ilvl w:val="1"/>
          <w:numId w:val="0"/>
        </w:numPr>
        <w:spacing w:line="360" w:lineRule="auto"/>
        <w:ind w:left="567" w:hanging="567"/>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7.2.</w:t>
      </w:r>
      <w:r>
        <w:rPr>
          <w:rFonts w:hint="eastAsia" w:ascii="宋体" w:hAnsi="宋体" w:eastAsia="宋体" w:cs="宋体"/>
          <w:color w:val="000000" w:themeColor="text1"/>
          <w:sz w:val="24"/>
          <w:szCs w:val="20"/>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乙方按照合同要求、相关规范要求和所在区质监站、安监站的标准完成所有的工作，并按甲方要求提交全部超前钻成果报告和合格的申请资料后，双方根据实际完成</w:t>
      </w:r>
      <w:r>
        <w:rPr>
          <w:rFonts w:hint="eastAsia" w:ascii="宋体" w:hAnsi="宋体" w:eastAsia="宋体" w:cs="宋体"/>
          <w:color w:val="000000" w:themeColor="text1"/>
          <w:sz w:val="24"/>
          <w:lang w:val="en-US" w:eastAsia="zh-CN"/>
          <w14:textFill>
            <w14:solidFill>
              <w14:schemeClr w14:val="tx1"/>
            </w14:solidFill>
          </w14:textFill>
        </w:rPr>
        <w:t>且符合结算要求的</w:t>
      </w:r>
      <w:r>
        <w:rPr>
          <w:rFonts w:hint="eastAsia" w:ascii="宋体" w:hAnsi="宋体" w:eastAsia="宋体" w:cs="宋体"/>
          <w:color w:val="000000" w:themeColor="text1"/>
          <w:sz w:val="24"/>
          <w14:textFill>
            <w14:solidFill>
              <w14:schemeClr w14:val="tx1"/>
            </w14:solidFill>
          </w14:textFill>
        </w:rPr>
        <w:t>工程量和甲方、代建单位有关结算计量及管理的规定流程办理结算，结算完成后90个工作日内甲方支付至结算金额的</w:t>
      </w:r>
      <w:r>
        <w:rPr>
          <w:rFonts w:hint="eastAsia" w:ascii="宋体" w:hAnsi="宋体" w:eastAsia="宋体" w:cs="宋体"/>
          <w:color w:val="000000" w:themeColor="text1"/>
          <w:sz w:val="24"/>
          <w:lang w:val="en-US" w:eastAsia="zh-CN"/>
          <w14:textFill>
            <w14:solidFill>
              <w14:schemeClr w14:val="tx1"/>
            </w14:solidFill>
          </w14:textFill>
        </w:rPr>
        <w:t>95</w:t>
      </w:r>
      <w:r>
        <w:rPr>
          <w:rFonts w:hint="eastAsia" w:ascii="宋体" w:hAnsi="宋体" w:eastAsia="宋体" w:cs="宋体"/>
          <w:color w:val="000000" w:themeColor="text1"/>
          <w:sz w:val="24"/>
          <w14:textFill>
            <w14:solidFill>
              <w14:schemeClr w14:val="tx1"/>
            </w14:solidFill>
          </w14:textFill>
        </w:rPr>
        <w:t>％。</w:t>
      </w:r>
    </w:p>
    <w:p w14:paraId="3A40A484">
      <w:pPr>
        <w:pStyle w:val="28"/>
        <w:numPr>
          <w:ilvl w:val="1"/>
          <w:numId w:val="0"/>
        </w:numPr>
        <w:spacing w:line="360" w:lineRule="auto"/>
        <w:ind w:left="567" w:hanging="567"/>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7.2.3</w:t>
      </w:r>
      <w:r>
        <w:rPr>
          <w:rFonts w:hint="eastAsia" w:ascii="宋体" w:hAnsi="宋体" w:eastAsia="宋体" w:cs="宋体"/>
          <w:color w:val="000000" w:themeColor="text1"/>
          <w:sz w:val="24"/>
          <w14:textFill>
            <w14:solidFill>
              <w14:schemeClr w14:val="tx1"/>
            </w14:solidFill>
          </w14:textFill>
        </w:rPr>
        <w:t>剩余结算总价的</w:t>
      </w: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%在本项目地基基础工程验收合格后，且</w:t>
      </w:r>
      <w:r>
        <w:rPr>
          <w:rFonts w:hint="eastAsia" w:ascii="宋体" w:hAnsi="宋体" w:eastAsia="宋体" w:cs="宋体"/>
          <w:color w:val="000000" w:themeColor="text1"/>
          <w:sz w:val="24"/>
          <w:lang w:val="en-US" w:eastAsia="zh-CN"/>
          <w14:textFill>
            <w14:solidFill>
              <w14:schemeClr w14:val="tx1"/>
            </w14:solidFill>
          </w14:textFill>
        </w:rPr>
        <w:t>乙方</w:t>
      </w:r>
      <w:r>
        <w:rPr>
          <w:rFonts w:hint="eastAsia" w:ascii="宋体" w:hAnsi="宋体" w:eastAsia="宋体" w:cs="宋体"/>
          <w:color w:val="000000" w:themeColor="text1"/>
          <w:sz w:val="24"/>
          <w14:textFill>
            <w14:solidFill>
              <w14:schemeClr w14:val="tx1"/>
            </w14:solidFill>
          </w14:textFill>
        </w:rPr>
        <w:t>将相关归档材料移交</w:t>
      </w:r>
      <w:r>
        <w:rPr>
          <w:rFonts w:hint="eastAsia" w:ascii="宋体" w:hAnsi="宋体" w:eastAsia="宋体" w:cs="宋体"/>
          <w:color w:val="000000" w:themeColor="text1"/>
          <w:sz w:val="24"/>
          <w:lang w:val="en-US" w:eastAsia="zh-CN"/>
          <w14:textFill>
            <w14:solidFill>
              <w14:schemeClr w14:val="tx1"/>
            </w14:solidFill>
          </w14:textFill>
        </w:rPr>
        <w:t>甲方</w:t>
      </w:r>
      <w:r>
        <w:rPr>
          <w:rFonts w:hint="eastAsia" w:ascii="宋体" w:hAnsi="宋体" w:eastAsia="宋体" w:cs="宋体"/>
          <w:color w:val="000000" w:themeColor="text1"/>
          <w:sz w:val="24"/>
          <w14:textFill>
            <w14:solidFill>
              <w14:schemeClr w14:val="tx1"/>
            </w14:solidFill>
          </w14:textFill>
        </w:rPr>
        <w:t>归档，经</w:t>
      </w:r>
      <w:r>
        <w:rPr>
          <w:rFonts w:hint="eastAsia" w:ascii="宋体" w:hAnsi="宋体" w:eastAsia="宋体" w:cs="宋体"/>
          <w:color w:val="000000" w:themeColor="text1"/>
          <w:sz w:val="24"/>
          <w:lang w:val="en-US" w:eastAsia="zh-CN"/>
          <w14:textFill>
            <w14:solidFill>
              <w14:schemeClr w14:val="tx1"/>
            </w14:solidFill>
          </w14:textFill>
        </w:rPr>
        <w:t>甲方</w:t>
      </w:r>
      <w:r>
        <w:rPr>
          <w:rFonts w:hint="eastAsia" w:ascii="宋体" w:hAnsi="宋体" w:eastAsia="宋体" w:cs="宋体"/>
          <w:color w:val="000000" w:themeColor="text1"/>
          <w:sz w:val="24"/>
          <w14:textFill>
            <w14:solidFill>
              <w14:schemeClr w14:val="tx1"/>
            </w14:solidFill>
          </w14:textFill>
        </w:rPr>
        <w:t>审核后无违约、扣款情况时一次性无息付清。</w:t>
      </w:r>
    </w:p>
    <w:p w14:paraId="1396A7F6">
      <w:pPr>
        <w:pStyle w:val="28"/>
        <w:numPr>
          <w:ilvl w:val="1"/>
          <w:numId w:val="0"/>
        </w:numPr>
        <w:spacing w:line="360" w:lineRule="auto"/>
        <w:ind w:left="567" w:hanging="567"/>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7.3</w:t>
      </w:r>
      <w:r>
        <w:rPr>
          <w:rFonts w:hint="eastAsia" w:ascii="宋体" w:hAnsi="宋体" w:eastAsia="宋体" w:cs="宋体"/>
          <w:color w:val="000000" w:themeColor="text1"/>
          <w:sz w:val="24"/>
          <w14:textFill>
            <w14:solidFill>
              <w14:schemeClr w14:val="tx1"/>
            </w14:solidFill>
          </w14:textFill>
        </w:rPr>
        <w:t>工程款项必须由乙方提出申请，经甲方、监理单位、代建单位审批后再按审核结果予以支付。本合同所指的工程款支付由甲方</w:t>
      </w:r>
      <w:r>
        <w:rPr>
          <w:rFonts w:hint="eastAsia" w:ascii="宋体" w:hAnsi="宋体" w:eastAsia="宋体" w:cs="宋体"/>
          <w:color w:val="000000" w:themeColor="text1"/>
          <w:sz w:val="24"/>
          <w:lang w:val="en-US" w:eastAsia="zh-CN"/>
          <w14:textFill>
            <w14:solidFill>
              <w14:schemeClr w14:val="tx1"/>
            </w14:solidFill>
          </w14:textFill>
        </w:rPr>
        <w:t>一</w:t>
      </w:r>
      <w:r>
        <w:rPr>
          <w:rFonts w:hint="eastAsia" w:ascii="宋体" w:hAnsi="宋体" w:eastAsia="宋体" w:cs="宋体"/>
          <w:color w:val="000000" w:themeColor="text1"/>
          <w:sz w:val="24"/>
          <w14:textFill>
            <w14:solidFill>
              <w14:schemeClr w14:val="tx1"/>
            </w14:solidFill>
          </w14:textFill>
        </w:rPr>
        <w:t>以转账形式向乙方直接支付</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甲方指定由甲方一支付</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，乙方不得要求甲方将本合同项下款项向任何第三方支付。乙方在</w:t>
      </w:r>
      <w:r>
        <w:rPr>
          <w:rFonts w:hint="eastAsia" w:ascii="宋体" w:hAnsi="宋体" w:eastAsia="宋体" w:cs="宋体"/>
          <w:color w:val="000000" w:themeColor="text1"/>
          <w:sz w:val="24"/>
          <w:lang w:val="en-US" w:eastAsia="zh-CN"/>
          <w14:textFill>
            <w14:solidFill>
              <w14:schemeClr w14:val="tx1"/>
            </w14:solidFill>
          </w14:textFill>
        </w:rPr>
        <w:t>要求</w:t>
      </w:r>
      <w:r>
        <w:rPr>
          <w:rFonts w:hint="eastAsia" w:ascii="宋体" w:hAnsi="宋体" w:eastAsia="宋体" w:cs="宋体"/>
          <w:color w:val="000000" w:themeColor="text1"/>
          <w:sz w:val="24"/>
          <w14:textFill>
            <w14:solidFill>
              <w14:schemeClr w14:val="tx1"/>
            </w14:solidFill>
          </w14:textFill>
        </w:rPr>
        <w:t>甲方</w:t>
      </w:r>
      <w:r>
        <w:rPr>
          <w:rFonts w:hint="eastAsia" w:ascii="宋体" w:hAnsi="宋体" w:eastAsia="宋体" w:cs="宋体"/>
          <w:color w:val="000000" w:themeColor="text1"/>
          <w:sz w:val="24"/>
          <w:lang w:val="en-US" w:eastAsia="zh-CN"/>
          <w14:textFill>
            <w14:solidFill>
              <w14:schemeClr w14:val="tx1"/>
            </w14:solidFill>
          </w14:textFill>
        </w:rPr>
        <w:t>支付</w:t>
      </w:r>
      <w:r>
        <w:rPr>
          <w:rFonts w:hint="eastAsia" w:ascii="宋体" w:hAnsi="宋体" w:eastAsia="宋体" w:cs="宋体"/>
          <w:color w:val="000000" w:themeColor="text1"/>
          <w:sz w:val="24"/>
          <w14:textFill>
            <w14:solidFill>
              <w14:schemeClr w14:val="tx1"/>
            </w14:solidFill>
          </w14:textFill>
        </w:rPr>
        <w:t>工程款前，应同时根据甲方的要求先提供与合同内容相符、规范等额的</w:t>
      </w:r>
      <w:r>
        <w:rPr>
          <w:rFonts w:hint="eastAsia" w:ascii="宋体" w:hAnsi="宋体" w:eastAsia="宋体" w:cs="宋体"/>
          <w:color w:val="000000" w:themeColor="text1"/>
          <w:sz w:val="24"/>
          <w:lang w:val="en-US" w:eastAsia="zh-CN"/>
          <w14:textFill>
            <w14:solidFill>
              <w14:schemeClr w14:val="tx1"/>
            </w14:solidFill>
          </w14:textFill>
        </w:rPr>
        <w:t>以甲方一为付款单位的</w:t>
      </w:r>
      <w:r>
        <w:rPr>
          <w:rFonts w:hint="eastAsia" w:ascii="宋体" w:hAnsi="宋体" w:eastAsia="宋体" w:cs="宋体"/>
          <w:color w:val="000000" w:themeColor="text1"/>
          <w:sz w:val="24"/>
          <w14:textFill>
            <w14:solidFill>
              <w14:schemeClr w14:val="tx1"/>
            </w14:solidFill>
          </w14:textFill>
        </w:rPr>
        <w:t>增值税专用发票（税率：6%）。否则，甲方有权拒绝付款并顺延付款时间。因乙方开具发票不及时给甲方造成无法及时认证、抵扣发票等情形等，乙方需向甲方承担赔偿责任，包括但不限于税款、滞纳金、罚款及相关损失等。</w:t>
      </w:r>
    </w:p>
    <w:p w14:paraId="3F38E493">
      <w:pPr>
        <w:pStyle w:val="28"/>
        <w:numPr>
          <w:ilvl w:val="1"/>
          <w:numId w:val="0"/>
        </w:numPr>
        <w:spacing w:line="360" w:lineRule="auto"/>
        <w:ind w:left="567" w:hanging="567"/>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7.4</w:t>
      </w:r>
      <w:r>
        <w:rPr>
          <w:rFonts w:hint="eastAsia" w:ascii="宋体" w:hAnsi="宋体" w:eastAsia="宋体" w:cs="宋体"/>
          <w:color w:val="000000" w:themeColor="text1"/>
          <w:sz w:val="24"/>
          <w14:textFill>
            <w14:solidFill>
              <w14:schemeClr w14:val="tx1"/>
            </w14:solidFill>
          </w14:textFill>
        </w:rPr>
        <w:t>乙方向甲方开具的增值税专用发票，乙方必须确保发票票面信息全部真实，内容与合同相一致。乙方开具的发票不规范、不合法、票面信息有误或涉嫌虚开发票等引起税务问题（包括但不限于发票不能抵扣税款、被认定为虚开等）的，乙方需依法向甲方重新开具发票，并向甲方承担赔偿责任，包括但不限于税款、滞纳金、罚款及相关损失等。</w:t>
      </w:r>
    </w:p>
    <w:p w14:paraId="29956DC5">
      <w:pPr>
        <w:pStyle w:val="28"/>
        <w:numPr>
          <w:ilvl w:val="1"/>
          <w:numId w:val="0"/>
        </w:numPr>
        <w:spacing w:line="360" w:lineRule="auto"/>
        <w:ind w:left="567" w:hanging="567"/>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7.5</w:t>
      </w:r>
      <w:r>
        <w:rPr>
          <w:rFonts w:hint="eastAsia" w:ascii="宋体" w:hAnsi="宋体" w:eastAsia="宋体" w:cs="宋体"/>
          <w:color w:val="000000" w:themeColor="text1"/>
          <w:sz w:val="24"/>
          <w14:textFill>
            <w14:solidFill>
              <w14:schemeClr w14:val="tx1"/>
            </w14:solidFill>
          </w14:textFill>
        </w:rPr>
        <w:t>本合同内容经双方同意变更的，如果变更的内容涉及到增值税专用发票记载项目发生变化的，则应作废、重开、补开、红字开具增值税专用发票。甲乙双方需履行各自的协助义务。</w:t>
      </w:r>
    </w:p>
    <w:p w14:paraId="173B2081">
      <w:pPr>
        <w:pStyle w:val="3"/>
        <w:spacing w:line="360" w:lineRule="auto"/>
        <w:ind w:left="440" w:hanging="440"/>
        <w:rPr>
          <w:rFonts w:ascii="宋体" w:hAnsi="宋体" w:eastAsia="宋体" w:cs="宋体"/>
          <w:color w:val="000000" w:themeColor="text1"/>
          <w:sz w:val="24"/>
          <w:szCs w:val="24"/>
          <w14:textFill>
            <w14:solidFill>
              <w14:schemeClr w14:val="tx1"/>
            </w14:solidFill>
          </w14:textFill>
        </w:rPr>
      </w:pPr>
      <w:bookmarkStart w:id="24" w:name="_Toc20844"/>
      <w:bookmarkStart w:id="25" w:name="_Toc31333"/>
      <w:r>
        <w:rPr>
          <w:rFonts w:hint="eastAsia" w:ascii="宋体" w:hAnsi="宋体" w:eastAsia="宋体" w:cs="宋体"/>
          <w:color w:val="000000" w:themeColor="text1"/>
          <w:sz w:val="24"/>
          <w:szCs w:val="24"/>
          <w14:textFill>
            <w14:solidFill>
              <w14:schemeClr w14:val="tx1"/>
            </w14:solidFill>
          </w14:textFill>
        </w:rPr>
        <w:t>8.甲方的一般责任</w:t>
      </w:r>
      <w:bookmarkEnd w:id="24"/>
      <w:bookmarkEnd w:id="25"/>
    </w:p>
    <w:p w14:paraId="525AA531">
      <w:pPr>
        <w:pStyle w:val="28"/>
        <w:numPr>
          <w:ilvl w:val="1"/>
          <w:numId w:val="6"/>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甲方委派代建单位代表</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负责对超前钻工作进行全面管理，解决超前钻过程中出现的需要甲方协调的相关问题，且</w:t>
      </w:r>
      <w:r>
        <w:rPr>
          <w:rFonts w:hint="eastAsia" w:ascii="宋体" w:hAnsi="宋体" w:eastAsia="宋体" w:cs="宋体"/>
          <w:color w:val="000000" w:themeColor="text1"/>
          <w:sz w:val="24"/>
          <w:szCs w:val="20"/>
          <w14:textFill>
            <w14:solidFill>
              <w14:schemeClr w14:val="tx1"/>
            </w14:solidFill>
          </w14:textFill>
        </w:rPr>
        <w:t>为超前钻提供施工作业条件</w:t>
      </w:r>
      <w:r>
        <w:rPr>
          <w:rFonts w:hint="eastAsia" w:ascii="宋体" w:hAnsi="宋体" w:eastAsia="宋体" w:cs="宋体"/>
          <w:color w:val="000000" w:themeColor="text1"/>
          <w:sz w:val="24"/>
          <w:szCs w:val="20"/>
          <w:lang w:eastAsia="zh-CN"/>
          <w14:textFill>
            <w14:solidFill>
              <w14:schemeClr w14:val="tx1"/>
            </w14:solidFill>
          </w14:textFill>
        </w:rPr>
        <w:t>（</w:t>
      </w:r>
      <w:r>
        <w:rPr>
          <w:rFonts w:hint="eastAsia" w:ascii="宋体" w:hAnsi="宋体" w:eastAsia="宋体" w:cs="宋体"/>
          <w:color w:val="000000" w:themeColor="text1"/>
          <w:sz w:val="24"/>
          <w:szCs w:val="20"/>
          <w:lang w:val="en-US" w:eastAsia="zh-CN"/>
          <w14:textFill>
            <w14:solidFill>
              <w14:schemeClr w14:val="tx1"/>
            </w14:solidFill>
          </w14:textFill>
        </w:rPr>
        <w:t>即水电接驳点及施工场地，除此外乙方仍需其他施工作业条件的由乙方自行解决</w:t>
      </w:r>
      <w:r>
        <w:rPr>
          <w:rFonts w:hint="eastAsia" w:ascii="宋体" w:hAnsi="宋体" w:eastAsia="宋体" w:cs="宋体"/>
          <w:color w:val="000000" w:themeColor="text1"/>
          <w:sz w:val="24"/>
          <w:szCs w:val="20"/>
          <w:lang w:eastAsia="zh-CN"/>
          <w14:textFill>
            <w14:solidFill>
              <w14:schemeClr w14:val="tx1"/>
            </w14:solidFill>
          </w14:textFill>
        </w:rPr>
        <w:t>）</w:t>
      </w:r>
      <w:r>
        <w:rPr>
          <w:rFonts w:hint="eastAsia" w:ascii="宋体" w:hAnsi="宋体" w:eastAsia="宋体" w:cs="宋体"/>
          <w:color w:val="000000" w:themeColor="text1"/>
          <w:sz w:val="24"/>
          <w:szCs w:val="20"/>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并参与超前钻的初验、各种验收和签证工作。如变更现场代表应及时通知乙方。</w:t>
      </w:r>
    </w:p>
    <w:p w14:paraId="7A8028B5">
      <w:pPr>
        <w:pStyle w:val="28"/>
        <w:numPr>
          <w:ilvl w:val="1"/>
          <w:numId w:val="6"/>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现场超前钻用水、用电需乙方自行解决，甲方仅提供接驳点。</w:t>
      </w:r>
    </w:p>
    <w:p w14:paraId="21A694C7">
      <w:pPr>
        <w:pStyle w:val="28"/>
        <w:numPr>
          <w:ilvl w:val="1"/>
          <w:numId w:val="6"/>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及时对超前钻进度、超前钻质量进行监督检查。</w:t>
      </w:r>
    </w:p>
    <w:p w14:paraId="0EA654DD">
      <w:pPr>
        <w:pStyle w:val="28"/>
        <w:numPr>
          <w:ilvl w:val="1"/>
          <w:numId w:val="6"/>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按合同约定及时支付工程款给乙方。</w:t>
      </w:r>
    </w:p>
    <w:p w14:paraId="1E12491A">
      <w:pPr>
        <w:pStyle w:val="28"/>
        <w:numPr>
          <w:ilvl w:val="1"/>
          <w:numId w:val="6"/>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甲方委托任务时，须向乙方明确超前钻任务及技术要求，具体资料如下：</w:t>
      </w:r>
    </w:p>
    <w:p w14:paraId="3E8B215E">
      <w:pPr>
        <w:pStyle w:val="28"/>
        <w:numPr>
          <w:ilvl w:val="0"/>
          <w:numId w:val="7"/>
        </w:numPr>
        <w:spacing w:line="360" w:lineRule="auto"/>
        <w:ind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提供本工程的批准文件复印件，以及项目用地红线范围；</w:t>
      </w:r>
    </w:p>
    <w:p w14:paraId="7A8BF274">
      <w:pPr>
        <w:pStyle w:val="28"/>
        <w:numPr>
          <w:ilvl w:val="0"/>
          <w:numId w:val="7"/>
        </w:numPr>
        <w:spacing w:line="360" w:lineRule="auto"/>
        <w:ind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提供技术要求和工作范围的地形图、建筑总平面布置图；</w:t>
      </w:r>
    </w:p>
    <w:p w14:paraId="65E14E24">
      <w:pPr>
        <w:pStyle w:val="28"/>
        <w:numPr>
          <w:ilvl w:val="0"/>
          <w:numId w:val="7"/>
        </w:numPr>
        <w:spacing w:line="360" w:lineRule="auto"/>
        <w:ind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提供超前钻工作范围已有的技术资料及工程所需的坐标与控制标高；</w:t>
      </w:r>
    </w:p>
    <w:p w14:paraId="0F7F9A9D">
      <w:pPr>
        <w:pStyle w:val="28"/>
        <w:numPr>
          <w:ilvl w:val="0"/>
          <w:numId w:val="7"/>
        </w:numPr>
        <w:spacing w:line="360" w:lineRule="auto"/>
        <w:ind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提供超前钻工作范围地下已有埋藏物的基本资料（如电力、电讯电缆、各种管道、人防设施、洞室等）；</w:t>
      </w:r>
    </w:p>
    <w:p w14:paraId="2D5B4337">
      <w:pPr>
        <w:pStyle w:val="28"/>
        <w:numPr>
          <w:ilvl w:val="0"/>
          <w:numId w:val="7"/>
        </w:numPr>
        <w:spacing w:line="360" w:lineRule="auto"/>
        <w:ind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上述资料乙方根据需要向甲方、代建单位索取，如甲方不能完整提供的，缺少部分由乙方自行收集，所涉及的费用已包含在本合同价款中。</w:t>
      </w:r>
    </w:p>
    <w:p w14:paraId="7EA0E5DC">
      <w:pPr>
        <w:pStyle w:val="28"/>
        <w:numPr>
          <w:ilvl w:val="-1"/>
          <w:numId w:val="0"/>
        </w:numPr>
        <w:spacing w:line="360" w:lineRule="auto"/>
        <w:ind w:left="480" w:firstLine="0" w:firstLineChars="0"/>
        <w:rPr>
          <w:rFonts w:hint="default" w:ascii="宋体" w:hAnsi="宋体" w:eastAsia="宋体" w:cs="宋体"/>
          <w:color w:val="000000" w:themeColor="text1"/>
          <w:sz w:val="24"/>
          <w:szCs w:val="20"/>
          <w:lang w:val="en-US" w:eastAsia="zh-CN"/>
          <w14:textFill>
            <w14:solidFill>
              <w14:schemeClr w14:val="tx1"/>
            </w14:solidFill>
          </w14:textFill>
        </w:rPr>
      </w:pPr>
      <w:r>
        <w:rPr>
          <w:rFonts w:hint="eastAsia" w:ascii="宋体" w:hAnsi="宋体" w:eastAsia="宋体" w:cs="宋体"/>
          <w:color w:val="000000" w:themeColor="text1"/>
          <w:sz w:val="24"/>
          <w:szCs w:val="20"/>
          <w:lang w:val="en-US" w:eastAsia="zh-CN"/>
          <w14:textFill>
            <w14:solidFill>
              <w14:schemeClr w14:val="tx1"/>
            </w14:solidFill>
          </w14:textFill>
        </w:rPr>
        <w:t>甲方不能提供上述资料时，乙方有义务协助甲方进行资料的收集，甲方提供的资料不完整，乙方应明确提醒甲方并给与甲方协助。</w:t>
      </w:r>
    </w:p>
    <w:p w14:paraId="212E6814">
      <w:pPr>
        <w:pStyle w:val="28"/>
        <w:numPr>
          <w:ilvl w:val="1"/>
          <w:numId w:val="6"/>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超前钻过程中的任何变更、签证，经办理正式变更签证手续后，甲方应按实际发生的工作量支付超前钻费。</w:t>
      </w:r>
    </w:p>
    <w:p w14:paraId="0C5B8B9B">
      <w:pPr>
        <w:pStyle w:val="28"/>
        <w:numPr>
          <w:ilvl w:val="1"/>
          <w:numId w:val="6"/>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甲方拥有乙方的投标书、超前钻方案、报告书、文件、资料图纸、数据和合理化建议</w:t>
      </w:r>
      <w:r>
        <w:rPr>
          <w:rFonts w:hint="eastAsia" w:ascii="宋体" w:hAnsi="宋体" w:eastAsia="宋体" w:cs="宋体"/>
          <w:color w:val="000000" w:themeColor="text1"/>
          <w:sz w:val="24"/>
          <w:szCs w:val="20"/>
          <w:lang w:val="en-US" w:eastAsia="zh-CN"/>
          <w14:textFill>
            <w14:solidFill>
              <w14:schemeClr w14:val="tx1"/>
            </w14:solidFill>
          </w14:textFill>
        </w:rPr>
        <w:t>等工作成果或过程性文件</w:t>
      </w:r>
      <w:r>
        <w:rPr>
          <w:rFonts w:hint="eastAsia" w:ascii="宋体" w:hAnsi="宋体" w:eastAsia="宋体" w:cs="宋体"/>
          <w:color w:val="000000" w:themeColor="text1"/>
          <w:sz w:val="24"/>
          <w:szCs w:val="20"/>
          <w14:textFill>
            <w14:solidFill>
              <w14:schemeClr w14:val="tx1"/>
            </w14:solidFill>
          </w14:textFill>
        </w:rPr>
        <w:t>的所有权及知识产权，未经甲方同意乙方不得泄露、擅自修改、传送或向第三人转让或用于本合同外的项目，否则乙方应承担相应的法律责任并赔偿甲方由此导致的一切损失。</w:t>
      </w:r>
    </w:p>
    <w:p w14:paraId="2F075F99">
      <w:pPr>
        <w:pStyle w:val="3"/>
        <w:spacing w:line="360" w:lineRule="auto"/>
        <w:ind w:left="440" w:hanging="440"/>
        <w:rPr>
          <w:rFonts w:ascii="宋体" w:hAnsi="宋体" w:eastAsia="宋体" w:cs="宋体"/>
          <w:color w:val="000000" w:themeColor="text1"/>
          <w:sz w:val="24"/>
          <w:szCs w:val="24"/>
          <w14:textFill>
            <w14:solidFill>
              <w14:schemeClr w14:val="tx1"/>
            </w14:solidFill>
          </w14:textFill>
        </w:rPr>
      </w:pPr>
      <w:bookmarkStart w:id="26" w:name="_Toc25772"/>
      <w:bookmarkStart w:id="27" w:name="_Toc17211"/>
      <w:r>
        <w:rPr>
          <w:rFonts w:hint="eastAsia" w:ascii="宋体" w:hAnsi="宋体" w:eastAsia="宋体" w:cs="宋体"/>
          <w:color w:val="000000" w:themeColor="text1"/>
          <w:sz w:val="24"/>
          <w:szCs w:val="24"/>
          <w14:textFill>
            <w14:solidFill>
              <w14:schemeClr w14:val="tx1"/>
            </w14:solidFill>
          </w14:textFill>
        </w:rPr>
        <w:t>9.乙方的一般责任</w:t>
      </w:r>
      <w:bookmarkEnd w:id="26"/>
      <w:bookmarkEnd w:id="27"/>
    </w:p>
    <w:p w14:paraId="48EB4374">
      <w:pPr>
        <w:pStyle w:val="28"/>
        <w:numPr>
          <w:ilvl w:val="1"/>
          <w:numId w:val="8"/>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乙方不得将本工程转包</w:t>
      </w:r>
      <w:r>
        <w:rPr>
          <w:rFonts w:hint="eastAsia" w:ascii="宋体" w:hAnsi="宋体" w:eastAsia="宋体" w:cs="宋体"/>
          <w:color w:val="000000" w:themeColor="text1"/>
          <w:sz w:val="24"/>
          <w:szCs w:val="20"/>
          <w:lang w:eastAsia="zh-CN"/>
          <w14:textFill>
            <w14:solidFill>
              <w14:schemeClr w14:val="tx1"/>
            </w14:solidFill>
          </w14:textFill>
        </w:rPr>
        <w:t>、</w:t>
      </w:r>
      <w:r>
        <w:rPr>
          <w:rFonts w:hint="eastAsia" w:ascii="宋体" w:hAnsi="宋体" w:eastAsia="宋体" w:cs="宋体"/>
          <w:color w:val="000000" w:themeColor="text1"/>
          <w:sz w:val="24"/>
          <w:szCs w:val="20"/>
          <w:lang w:val="en-US" w:eastAsia="zh-CN"/>
          <w14:textFill>
            <w14:solidFill>
              <w14:schemeClr w14:val="tx1"/>
            </w14:solidFill>
          </w14:textFill>
        </w:rPr>
        <w:t>分包</w:t>
      </w:r>
      <w:r>
        <w:rPr>
          <w:rFonts w:hint="eastAsia" w:ascii="宋体" w:hAnsi="宋体" w:eastAsia="宋体" w:cs="宋体"/>
          <w:color w:val="000000" w:themeColor="text1"/>
          <w:sz w:val="24"/>
          <w:szCs w:val="20"/>
          <w14:textFill>
            <w14:solidFill>
              <w14:schemeClr w14:val="tx1"/>
            </w14:solidFill>
          </w14:textFill>
        </w:rPr>
        <w:t>给他人。</w:t>
      </w:r>
    </w:p>
    <w:p w14:paraId="04878EF0">
      <w:pPr>
        <w:pStyle w:val="28"/>
        <w:numPr>
          <w:ilvl w:val="1"/>
          <w:numId w:val="8"/>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乙方委派现场代表</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eastAsia="zh-CN"/>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联系电话（微信同号）：              </w:t>
      </w:r>
      <w:r>
        <w:rPr>
          <w:rFonts w:hint="eastAsia" w:ascii="宋体" w:hAnsi="宋体" w:eastAsia="宋体" w:cs="宋体"/>
          <w:color w:val="000000" w:themeColor="text1"/>
          <w:sz w:val="24"/>
          <w14:textFill>
            <w14:solidFill>
              <w14:schemeClr w14:val="tx1"/>
            </w14:solidFill>
          </w14:textFill>
        </w:rPr>
        <w:t>负责超前钻期间的全面管理</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该现场代表亦为乙方</w:t>
      </w:r>
      <w:r>
        <w:rPr>
          <w:rFonts w:hint="eastAsia" w:ascii="宋体" w:hAnsi="宋体" w:eastAsia="宋体" w:cs="宋体"/>
          <w:color w:val="000000" w:themeColor="text1"/>
          <w:sz w:val="24"/>
          <w:lang w:eastAsia="zh-CN"/>
          <w14:textFill>
            <w14:solidFill>
              <w14:schemeClr w14:val="tx1"/>
            </w14:solidFill>
          </w14:textFill>
        </w:rPr>
        <w:t>主要联络人，负责与甲方进行项目日常工作的接洽与沟通</w:t>
      </w:r>
      <w:r>
        <w:rPr>
          <w:rFonts w:hint="eastAsia" w:ascii="宋体" w:hAnsi="宋体" w:eastAsia="宋体" w:cs="宋体"/>
          <w:color w:val="000000" w:themeColor="text1"/>
          <w:sz w:val="24"/>
          <w14:textFill>
            <w14:solidFill>
              <w14:schemeClr w14:val="tx1"/>
            </w14:solidFill>
          </w14:textFill>
        </w:rPr>
        <w:t>。该现场代表须持有与本超前钻项目相适应的资格证书。</w:t>
      </w:r>
    </w:p>
    <w:p w14:paraId="5F833FD6">
      <w:pPr>
        <w:pStyle w:val="28"/>
        <w:numPr>
          <w:ilvl w:val="1"/>
          <w:numId w:val="8"/>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乙方自行解决施工及生活用水、用电，费用自理。</w:t>
      </w:r>
    </w:p>
    <w:p w14:paraId="4934ECDA">
      <w:pPr>
        <w:pStyle w:val="28"/>
        <w:numPr>
          <w:ilvl w:val="1"/>
          <w:numId w:val="8"/>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乙方应按国家技术规范、标准、规程和甲方的任务委托书</w:t>
      </w:r>
      <w:r>
        <w:rPr>
          <w:rFonts w:hint="eastAsia" w:ascii="宋体" w:hAnsi="宋体" w:eastAsia="宋体" w:cs="宋体"/>
          <w:color w:val="000000" w:themeColor="text1"/>
          <w:sz w:val="24"/>
          <w:szCs w:val="20"/>
          <w:lang w:val="en-US" w:eastAsia="zh-CN"/>
          <w14:textFill>
            <w14:solidFill>
              <w14:schemeClr w14:val="tx1"/>
            </w14:solidFill>
          </w14:textFill>
        </w:rPr>
        <w:t>及</w:t>
      </w:r>
      <w:r>
        <w:rPr>
          <w:rFonts w:hint="eastAsia" w:ascii="宋体" w:hAnsi="宋体" w:eastAsia="宋体" w:cs="宋体"/>
          <w:color w:val="000000" w:themeColor="text1"/>
          <w:sz w:val="24"/>
          <w:szCs w:val="20"/>
          <w14:textFill>
            <w14:solidFill>
              <w14:schemeClr w14:val="tx1"/>
            </w14:solidFill>
          </w14:textFill>
        </w:rPr>
        <w:t>技术要求进行超前钻工作，按本合同规定的时间提交质量合格的超前钻成果资料，并对其负责。所有岩样均应放入统一规格的岩样盒内，岩样盒上应注明钻孔编号，各岩性变化处均应标明相应深度，并现场拍照，上述图片均应附在报告中。</w:t>
      </w:r>
    </w:p>
    <w:p w14:paraId="0E6F478E">
      <w:pPr>
        <w:pStyle w:val="28"/>
        <w:numPr>
          <w:ilvl w:val="1"/>
          <w:numId w:val="8"/>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如乙方提供的超前钻成果资料质量不合格时，乙方应负责无偿给予补充完善使其达到质量合格，若乙方无力补充完善，需由甲方另行委托其他单位时，乙方应承担全部超前钻费用。如因超前钻质量造成项目出现重大的经济损失或工程事故时，乙方除应承担法律责任并免收直接受损失部分的超前钻费用外，还应根据损失的程度向甲方支付赔偿金，但最高不超过合同总价。因乙方故意或重大过失造成的不在此限。</w:t>
      </w:r>
    </w:p>
    <w:p w14:paraId="7AD73E6D">
      <w:pPr>
        <w:pStyle w:val="28"/>
        <w:numPr>
          <w:ilvl w:val="1"/>
          <w:numId w:val="8"/>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在工程超前钻前，</w:t>
      </w:r>
      <w:r>
        <w:rPr>
          <w:rFonts w:hint="eastAsia" w:ascii="宋体" w:hAnsi="宋体" w:eastAsia="宋体" w:cs="宋体"/>
          <w:color w:val="000000" w:themeColor="text1"/>
          <w:sz w:val="24"/>
          <w:szCs w:val="20"/>
          <w:lang w:val="en-US" w:eastAsia="zh-CN"/>
          <w14:textFill>
            <w14:solidFill>
              <w14:schemeClr w14:val="tx1"/>
            </w14:solidFill>
          </w14:textFill>
        </w:rPr>
        <w:t>乙方须</w:t>
      </w:r>
      <w:r>
        <w:rPr>
          <w:rFonts w:hint="eastAsia" w:ascii="宋体" w:hAnsi="宋体" w:eastAsia="宋体" w:cs="宋体"/>
          <w:color w:val="000000" w:themeColor="text1"/>
          <w:sz w:val="24"/>
          <w:szCs w:val="20"/>
          <w14:textFill>
            <w14:solidFill>
              <w14:schemeClr w14:val="tx1"/>
            </w14:solidFill>
          </w14:textFill>
        </w:rPr>
        <w:t>提出超前钻纲要或超前钻组织设计，</w:t>
      </w:r>
      <w:r>
        <w:rPr>
          <w:rFonts w:hint="eastAsia" w:ascii="宋体" w:hAnsi="宋体" w:eastAsia="宋体" w:cs="宋体"/>
          <w:color w:val="000000" w:themeColor="text1"/>
          <w:sz w:val="24"/>
          <w:szCs w:val="20"/>
          <w:lang w:val="en-US" w:eastAsia="zh-CN"/>
          <w14:textFill>
            <w14:solidFill>
              <w14:schemeClr w14:val="tx1"/>
            </w14:solidFill>
          </w14:textFill>
        </w:rPr>
        <w:t>经甲方审批通过后施行，甲方有权对乙方提出的</w:t>
      </w:r>
      <w:r>
        <w:rPr>
          <w:rFonts w:hint="eastAsia" w:ascii="宋体" w:hAnsi="宋体" w:eastAsia="宋体" w:cs="宋体"/>
          <w:color w:val="000000" w:themeColor="text1"/>
          <w:sz w:val="24"/>
          <w:szCs w:val="20"/>
          <w14:textFill>
            <w14:solidFill>
              <w14:schemeClr w14:val="tx1"/>
            </w14:solidFill>
          </w14:textFill>
        </w:rPr>
        <w:t>超前钻纲要或超前钻组织设计</w:t>
      </w:r>
      <w:r>
        <w:rPr>
          <w:rFonts w:hint="eastAsia" w:ascii="宋体" w:hAnsi="宋体" w:eastAsia="宋体" w:cs="宋体"/>
          <w:color w:val="000000" w:themeColor="text1"/>
          <w:sz w:val="24"/>
          <w:szCs w:val="20"/>
          <w:lang w:val="en-US" w:eastAsia="zh-CN"/>
          <w14:textFill>
            <w14:solidFill>
              <w14:schemeClr w14:val="tx1"/>
            </w14:solidFill>
          </w14:textFill>
        </w:rPr>
        <w:t>提出修改要求，乙方应当按甲方要求进行调整。且</w:t>
      </w:r>
      <w:r>
        <w:rPr>
          <w:rFonts w:hint="eastAsia" w:ascii="宋体" w:hAnsi="宋体" w:eastAsia="宋体" w:cs="宋体"/>
          <w:color w:val="000000" w:themeColor="text1"/>
          <w:sz w:val="24"/>
          <w:szCs w:val="20"/>
          <w14:textFill>
            <w14:solidFill>
              <w14:schemeClr w14:val="tx1"/>
            </w14:solidFill>
          </w14:textFill>
        </w:rPr>
        <w:t>在工程超前钻前</w:t>
      </w:r>
      <w:r>
        <w:rPr>
          <w:rFonts w:hint="eastAsia" w:ascii="宋体" w:hAnsi="宋体" w:eastAsia="宋体" w:cs="宋体"/>
          <w:color w:val="000000" w:themeColor="text1"/>
          <w:sz w:val="24"/>
          <w:szCs w:val="20"/>
          <w:lang w:eastAsia="zh-CN"/>
          <w14:textFill>
            <w14:solidFill>
              <w14:schemeClr w14:val="tx1"/>
            </w14:solidFill>
          </w14:textFill>
        </w:rPr>
        <w:t>，</w:t>
      </w:r>
      <w:r>
        <w:rPr>
          <w:rFonts w:hint="eastAsia" w:ascii="宋体" w:hAnsi="宋体" w:eastAsia="宋体" w:cs="宋体"/>
          <w:color w:val="000000" w:themeColor="text1"/>
          <w:sz w:val="24"/>
          <w:szCs w:val="20"/>
          <w:lang w:val="en-US" w:eastAsia="zh-CN"/>
          <w14:textFill>
            <w14:solidFill>
              <w14:schemeClr w14:val="tx1"/>
            </w14:solidFill>
          </w14:textFill>
        </w:rPr>
        <w:t>乙方应</w:t>
      </w:r>
      <w:r>
        <w:rPr>
          <w:rFonts w:hint="eastAsia" w:ascii="宋体" w:hAnsi="宋体" w:eastAsia="宋体" w:cs="宋体"/>
          <w:color w:val="000000" w:themeColor="text1"/>
          <w:sz w:val="24"/>
          <w:szCs w:val="20"/>
          <w14:textFill>
            <w14:solidFill>
              <w14:schemeClr w14:val="tx1"/>
            </w14:solidFill>
          </w14:textFill>
        </w:rPr>
        <w:t>派人与甲方的人员一起验收甲方提供的材料</w:t>
      </w:r>
      <w:r>
        <w:rPr>
          <w:rFonts w:hint="eastAsia" w:ascii="宋体" w:hAnsi="宋体" w:eastAsia="宋体" w:cs="宋体"/>
          <w:color w:val="000000" w:themeColor="text1"/>
          <w:sz w:val="24"/>
          <w:szCs w:val="20"/>
          <w:lang w:eastAsia="zh-CN"/>
          <w14:textFill>
            <w14:solidFill>
              <w14:schemeClr w14:val="tx1"/>
            </w14:solidFill>
          </w14:textFill>
        </w:rPr>
        <w:t>，</w:t>
      </w:r>
      <w:r>
        <w:rPr>
          <w:rFonts w:hint="eastAsia" w:ascii="宋体" w:hAnsi="宋体" w:eastAsia="宋体" w:cs="宋体"/>
          <w:color w:val="000000" w:themeColor="text1"/>
          <w:sz w:val="24"/>
          <w:szCs w:val="20"/>
          <w:lang w:val="en-US" w:eastAsia="zh-CN"/>
          <w14:textFill>
            <w14:solidFill>
              <w14:schemeClr w14:val="tx1"/>
            </w14:solidFill>
          </w14:textFill>
        </w:rPr>
        <w:t>乙方认为资料不足的，应及时明确指导甲方补充</w:t>
      </w:r>
      <w:r>
        <w:rPr>
          <w:rFonts w:hint="eastAsia" w:ascii="宋体" w:hAnsi="宋体" w:eastAsia="宋体" w:cs="宋体"/>
          <w:color w:val="000000" w:themeColor="text1"/>
          <w:sz w:val="24"/>
          <w:szCs w:val="20"/>
          <w14:textFill>
            <w14:solidFill>
              <w14:schemeClr w14:val="tx1"/>
            </w14:solidFill>
          </w14:textFill>
        </w:rPr>
        <w:t>。</w:t>
      </w:r>
    </w:p>
    <w:p w14:paraId="2E82CA6B">
      <w:pPr>
        <w:pStyle w:val="28"/>
        <w:numPr>
          <w:ilvl w:val="1"/>
          <w:numId w:val="8"/>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乙方在超前钻过程中如发现地下不明物体或发生突发事故时应及时报告甲方。</w:t>
      </w:r>
    </w:p>
    <w:p w14:paraId="6A9C3739">
      <w:pPr>
        <w:pStyle w:val="28"/>
        <w:numPr>
          <w:ilvl w:val="1"/>
          <w:numId w:val="8"/>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乙方应严格按照</w:t>
      </w:r>
      <w:r>
        <w:rPr>
          <w:rFonts w:hint="eastAsia" w:ascii="宋体" w:hAnsi="宋体" w:eastAsia="宋体" w:cs="宋体"/>
          <w:color w:val="000000" w:themeColor="text1"/>
          <w:sz w:val="24"/>
          <w:szCs w:val="20"/>
          <w:lang w:val="en-US" w:eastAsia="zh-CN"/>
          <w14:textFill>
            <w14:solidFill>
              <w14:schemeClr w14:val="tx1"/>
            </w14:solidFill>
          </w14:textFill>
        </w:rPr>
        <w:t>甲方要求</w:t>
      </w:r>
      <w:r>
        <w:rPr>
          <w:rFonts w:hint="eastAsia" w:ascii="宋体" w:hAnsi="宋体" w:eastAsia="宋体" w:cs="宋体"/>
          <w:color w:val="000000" w:themeColor="text1"/>
          <w:sz w:val="24"/>
          <w:szCs w:val="20"/>
          <w14:textFill>
            <w14:solidFill>
              <w14:schemeClr w14:val="tx1"/>
            </w14:solidFill>
          </w14:textFill>
        </w:rPr>
        <w:t>的孔数及孔深进行</w:t>
      </w:r>
      <w:r>
        <w:rPr>
          <w:rFonts w:hint="eastAsia" w:ascii="宋体" w:hAnsi="宋体" w:eastAsia="宋体" w:cs="宋体"/>
          <w:color w:val="000000" w:themeColor="text1"/>
          <w:sz w:val="24"/>
          <w:szCs w:val="20"/>
          <w:lang w:val="en-US" w:eastAsia="zh-CN"/>
          <w14:textFill>
            <w14:solidFill>
              <w14:schemeClr w14:val="tx1"/>
            </w14:solidFill>
          </w14:textFill>
        </w:rPr>
        <w:t>工程超前钻</w:t>
      </w:r>
      <w:r>
        <w:rPr>
          <w:rFonts w:hint="eastAsia" w:ascii="宋体" w:hAnsi="宋体" w:eastAsia="宋体" w:cs="宋体"/>
          <w:color w:val="000000" w:themeColor="text1"/>
          <w:sz w:val="24"/>
          <w:szCs w:val="20"/>
          <w14:textFill>
            <w14:solidFill>
              <w14:schemeClr w14:val="tx1"/>
            </w14:solidFill>
          </w14:textFill>
        </w:rPr>
        <w:t>，不得擅自</w:t>
      </w:r>
      <w:r>
        <w:rPr>
          <w:rFonts w:hint="eastAsia" w:ascii="宋体" w:hAnsi="宋体" w:eastAsia="宋体" w:cs="宋体"/>
          <w:color w:val="000000" w:themeColor="text1"/>
          <w:sz w:val="24"/>
          <w:szCs w:val="20"/>
          <w:lang w:val="en-US" w:eastAsia="zh-CN"/>
          <w14:textFill>
            <w14:solidFill>
              <w14:schemeClr w14:val="tx1"/>
            </w14:solidFill>
          </w14:textFill>
        </w:rPr>
        <w:t>增加、</w:t>
      </w:r>
      <w:r>
        <w:rPr>
          <w:rFonts w:hint="eastAsia" w:ascii="宋体" w:hAnsi="宋体" w:eastAsia="宋体" w:cs="宋体"/>
          <w:color w:val="000000" w:themeColor="text1"/>
          <w:sz w:val="24"/>
          <w:szCs w:val="20"/>
          <w14:textFill>
            <w14:solidFill>
              <w14:schemeClr w14:val="tx1"/>
            </w14:solidFill>
          </w14:textFill>
        </w:rPr>
        <w:t>减少</w:t>
      </w:r>
      <w:r>
        <w:rPr>
          <w:rFonts w:hint="eastAsia" w:ascii="宋体" w:hAnsi="宋体" w:eastAsia="宋体" w:cs="宋体"/>
          <w:color w:val="000000" w:themeColor="text1"/>
          <w:sz w:val="24"/>
          <w:szCs w:val="20"/>
          <w:lang w:eastAsia="zh-CN"/>
          <w14:textFill>
            <w14:solidFill>
              <w14:schemeClr w14:val="tx1"/>
            </w14:solidFill>
          </w14:textFill>
        </w:rPr>
        <w:t>、</w:t>
      </w:r>
      <w:r>
        <w:rPr>
          <w:rFonts w:hint="eastAsia" w:ascii="宋体" w:hAnsi="宋体" w:eastAsia="宋体" w:cs="宋体"/>
          <w:color w:val="000000" w:themeColor="text1"/>
          <w:sz w:val="24"/>
          <w:szCs w:val="20"/>
          <w:lang w:val="en-US" w:eastAsia="zh-CN"/>
          <w14:textFill>
            <w14:solidFill>
              <w14:schemeClr w14:val="tx1"/>
            </w14:solidFill>
          </w14:textFill>
        </w:rPr>
        <w:t>变更</w:t>
      </w:r>
      <w:r>
        <w:rPr>
          <w:rFonts w:hint="eastAsia" w:ascii="宋体" w:hAnsi="宋体" w:eastAsia="宋体" w:cs="宋体"/>
          <w:color w:val="000000" w:themeColor="text1"/>
          <w:sz w:val="24"/>
          <w:szCs w:val="20"/>
          <w:lang w:eastAsia="zh-CN"/>
          <w14:textFill>
            <w14:solidFill>
              <w14:schemeClr w14:val="tx1"/>
            </w14:solidFill>
          </w14:textFill>
        </w:rPr>
        <w:t>。</w:t>
      </w:r>
      <w:r>
        <w:rPr>
          <w:rFonts w:hint="eastAsia" w:ascii="宋体" w:hAnsi="宋体" w:eastAsia="宋体" w:cs="宋体"/>
          <w:color w:val="000000" w:themeColor="text1"/>
          <w:sz w:val="24"/>
          <w:szCs w:val="20"/>
          <w14:textFill>
            <w14:solidFill>
              <w14:schemeClr w14:val="tx1"/>
            </w14:solidFill>
          </w14:textFill>
        </w:rPr>
        <w:t>如因实际情况</w:t>
      </w:r>
      <w:r>
        <w:rPr>
          <w:rFonts w:hint="eastAsia" w:ascii="宋体" w:hAnsi="宋体" w:eastAsia="宋体" w:cs="宋体"/>
          <w:color w:val="000000" w:themeColor="text1"/>
          <w:sz w:val="24"/>
          <w:szCs w:val="20"/>
          <w:lang w:eastAsia="zh-CN"/>
          <w14:textFill>
            <w14:solidFill>
              <w14:schemeClr w14:val="tx1"/>
            </w14:solidFill>
          </w14:textFill>
        </w:rPr>
        <w:t>确需</w:t>
      </w:r>
      <w:r>
        <w:rPr>
          <w:rFonts w:hint="eastAsia" w:ascii="宋体" w:hAnsi="宋体" w:eastAsia="宋体" w:cs="宋体"/>
          <w:color w:val="000000" w:themeColor="text1"/>
          <w:sz w:val="24"/>
          <w:szCs w:val="20"/>
          <w14:textFill>
            <w14:solidFill>
              <w14:schemeClr w14:val="tx1"/>
            </w14:solidFill>
          </w14:textFill>
        </w:rPr>
        <w:t>变更的，根据工程的岩土工程条件、或工作现场地形地貌、地质和水文地质条件及技术规范要求，向甲方提出增减工作量或修改工作内容的意见，经甲方书面同意，并办理正式变更手续后方可实施。</w:t>
      </w:r>
    </w:p>
    <w:p w14:paraId="05FF6312">
      <w:pPr>
        <w:pStyle w:val="28"/>
        <w:numPr>
          <w:ilvl w:val="1"/>
          <w:numId w:val="8"/>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因甲方施工图审查或工程实施过程甲方需要等原因产生的额外补孔等工作，需要乙方机具设备二次进出场并进行超前钻工作的，乙方应无条件配合，并办理正式变更或签证手续。</w:t>
      </w:r>
    </w:p>
    <w:p w14:paraId="41B40143">
      <w:pPr>
        <w:pStyle w:val="28"/>
        <w:numPr>
          <w:ilvl w:val="1"/>
          <w:numId w:val="8"/>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乙方指派参与本次技术服务的全部人员详见合同附件 《本项目服务人员一览表及项目负责人履历一览表》，人员必须是乙方的全职员工，应当具有相应的工作能力及从业资格。乙方技术负责人</w:t>
      </w:r>
      <w:r>
        <w:rPr>
          <w:rFonts w:hint="eastAsia" w:ascii="宋体" w:hAnsi="宋体" w:eastAsia="宋体" w:cs="宋体"/>
          <w:color w:val="000000" w:themeColor="text1"/>
          <w:sz w:val="24"/>
          <w:szCs w:val="20"/>
          <w:lang w:val="en-US" w:eastAsia="zh-CN"/>
          <w14:textFill>
            <w14:solidFill>
              <w14:schemeClr w14:val="tx1"/>
            </w14:solidFill>
          </w14:textFill>
        </w:rPr>
        <w:t>应</w:t>
      </w:r>
      <w:r>
        <w:rPr>
          <w:rFonts w:hint="eastAsia" w:ascii="宋体" w:hAnsi="宋体" w:eastAsia="宋体" w:cs="宋体"/>
          <w:color w:val="000000" w:themeColor="text1"/>
          <w:sz w:val="24"/>
          <w:szCs w:val="20"/>
          <w14:textFill>
            <w14:solidFill>
              <w14:schemeClr w14:val="tx1"/>
            </w14:solidFill>
          </w14:textFill>
        </w:rPr>
        <w:t>参</w:t>
      </w:r>
      <w:r>
        <w:rPr>
          <w:rFonts w:hint="eastAsia" w:ascii="宋体" w:hAnsi="宋体" w:eastAsia="宋体" w:cs="宋体"/>
          <w:color w:val="000000" w:themeColor="text1"/>
          <w:sz w:val="24"/>
          <w:szCs w:val="20"/>
          <w:lang w:val="en-US" w:eastAsia="zh-CN"/>
          <w14:textFill>
            <w14:solidFill>
              <w14:schemeClr w14:val="tx1"/>
            </w14:solidFill>
          </w14:textFill>
        </w:rPr>
        <w:t>与</w:t>
      </w:r>
      <w:r>
        <w:rPr>
          <w:rFonts w:hint="eastAsia" w:ascii="宋体" w:hAnsi="宋体" w:eastAsia="宋体" w:cs="宋体"/>
          <w:color w:val="000000" w:themeColor="text1"/>
          <w:sz w:val="24"/>
          <w:szCs w:val="20"/>
          <w14:textFill>
            <w14:solidFill>
              <w14:schemeClr w14:val="tx1"/>
            </w14:solidFill>
          </w14:textFill>
        </w:rPr>
        <w:t>本合同所包含工程范围内</w:t>
      </w:r>
      <w:r>
        <w:rPr>
          <w:rFonts w:hint="eastAsia" w:ascii="宋体" w:hAnsi="宋体" w:eastAsia="宋体" w:cs="宋体"/>
          <w:color w:val="000000" w:themeColor="text1"/>
          <w:sz w:val="24"/>
          <w:szCs w:val="20"/>
          <w:lang w:val="en-US" w:eastAsia="zh-CN"/>
          <w14:textFill>
            <w14:solidFill>
              <w14:schemeClr w14:val="tx1"/>
            </w14:solidFill>
          </w14:textFill>
        </w:rPr>
        <w:t>全过程，包括</w:t>
      </w:r>
      <w:r>
        <w:rPr>
          <w:rFonts w:hint="eastAsia" w:ascii="宋体" w:hAnsi="宋体" w:eastAsia="宋体" w:cs="宋体"/>
          <w:color w:val="000000" w:themeColor="text1"/>
          <w:sz w:val="24"/>
          <w:szCs w:val="20"/>
          <w14:textFill>
            <w14:solidFill>
              <w14:schemeClr w14:val="tx1"/>
            </w14:solidFill>
          </w14:textFill>
        </w:rPr>
        <w:t>各施工实施阶段的验收工作。</w:t>
      </w:r>
    </w:p>
    <w:p w14:paraId="59425EA8">
      <w:pPr>
        <w:pStyle w:val="28"/>
        <w:numPr>
          <w:ilvl w:val="1"/>
          <w:numId w:val="8"/>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乙方指派的项目负责人须与同附件《本项目服务人员一览表及项目负责人履历一览表》中所述的一致，且上述项目负责人必须是本技术服务实施的实际组织管理及参与人，否则乙方除应支付违约金</w:t>
      </w:r>
      <w:r>
        <w:rPr>
          <w:rFonts w:ascii="宋体" w:hAnsi="宋体" w:eastAsia="宋体" w:cs="宋体"/>
          <w:color w:val="000000" w:themeColor="text1"/>
          <w:sz w:val="24"/>
          <w:szCs w:val="20"/>
          <w14:textFill>
            <w14:solidFill>
              <w14:schemeClr w14:val="tx1"/>
            </w14:solidFill>
          </w14:textFill>
        </w:rPr>
        <w:t>2</w:t>
      </w:r>
      <w:r>
        <w:rPr>
          <w:rFonts w:hint="eastAsia" w:ascii="宋体" w:hAnsi="宋体" w:eastAsia="宋体" w:cs="宋体"/>
          <w:color w:val="000000" w:themeColor="text1"/>
          <w:sz w:val="24"/>
          <w:szCs w:val="20"/>
          <w14:textFill>
            <w14:solidFill>
              <w14:schemeClr w14:val="tx1"/>
            </w14:solidFill>
          </w14:textFill>
        </w:rPr>
        <w:t>000元/次外，还应按照甲方的要求更换符合合同约定的项目负责人。且除甲方批准外，乙方不得随意更换项目负责人。</w:t>
      </w:r>
    </w:p>
    <w:p w14:paraId="623632DD">
      <w:pPr>
        <w:pStyle w:val="28"/>
        <w:numPr>
          <w:ilvl w:val="1"/>
          <w:numId w:val="8"/>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乙方应对从事危险作业的乙方现场人员进行安全防护，并承担费用。乙方应依照法律法规的规定，为现场作业人员购买工伤保险、人身意外伤害险和其他相关保险。在现场工作的</w:t>
      </w:r>
      <w:r>
        <w:rPr>
          <w:rFonts w:hint="eastAsia" w:ascii="宋体" w:hAnsi="宋体" w:eastAsia="宋体" w:cs="宋体"/>
          <w:color w:val="000000" w:themeColor="text1"/>
          <w:sz w:val="24"/>
          <w:szCs w:val="20"/>
          <w:lang w:eastAsia="zh-CN"/>
          <w14:textFill>
            <w14:solidFill>
              <w14:schemeClr w14:val="tx1"/>
            </w14:solidFill>
          </w14:textFill>
        </w:rPr>
        <w:t>乙方</w:t>
      </w:r>
      <w:r>
        <w:rPr>
          <w:rFonts w:hint="eastAsia" w:ascii="宋体" w:hAnsi="宋体" w:eastAsia="宋体" w:cs="宋体"/>
          <w:color w:val="000000" w:themeColor="text1"/>
          <w:sz w:val="24"/>
          <w:szCs w:val="20"/>
          <w14:textFill>
            <w14:solidFill>
              <w14:schemeClr w14:val="tx1"/>
            </w14:solidFill>
          </w14:textFill>
        </w:rPr>
        <w:t>人员，应遵守国家的相关安全法规及甲方</w:t>
      </w:r>
      <w:r>
        <w:rPr>
          <w:rFonts w:hint="eastAsia" w:ascii="宋体" w:hAnsi="宋体" w:eastAsia="宋体" w:cs="宋体"/>
          <w:color w:val="000000" w:themeColor="text1"/>
          <w:sz w:val="24"/>
          <w:szCs w:val="20"/>
          <w:lang w:eastAsia="zh-CN"/>
          <w14:textFill>
            <w14:solidFill>
              <w14:schemeClr w14:val="tx1"/>
            </w14:solidFill>
          </w14:textFill>
        </w:rPr>
        <w:t>、</w:t>
      </w:r>
      <w:r>
        <w:rPr>
          <w:rFonts w:hint="eastAsia" w:ascii="宋体" w:hAnsi="宋体" w:eastAsia="宋体" w:cs="宋体"/>
          <w:color w:val="000000" w:themeColor="text1"/>
          <w:sz w:val="24"/>
          <w:szCs w:val="20"/>
          <w:lang w:val="en-US" w:eastAsia="zh-CN"/>
          <w14:textFill>
            <w14:solidFill>
              <w14:schemeClr w14:val="tx1"/>
            </w14:solidFill>
          </w14:textFill>
        </w:rPr>
        <w:t>乙方</w:t>
      </w:r>
      <w:r>
        <w:rPr>
          <w:rFonts w:hint="eastAsia" w:ascii="宋体" w:hAnsi="宋体" w:eastAsia="宋体" w:cs="宋体"/>
          <w:color w:val="000000" w:themeColor="text1"/>
          <w:sz w:val="24"/>
          <w:szCs w:val="20"/>
          <w14:textFill>
            <w14:solidFill>
              <w14:schemeClr w14:val="tx1"/>
            </w14:solidFill>
          </w14:textFill>
        </w:rPr>
        <w:t>的有关安全管理</w:t>
      </w:r>
      <w:r>
        <w:rPr>
          <w:rFonts w:hint="eastAsia" w:ascii="宋体" w:hAnsi="宋体" w:eastAsia="宋体" w:cs="宋体"/>
          <w:color w:val="000000" w:themeColor="text1"/>
          <w:sz w:val="24"/>
          <w:szCs w:val="20"/>
          <w:lang w:val="en-US" w:eastAsia="zh-CN"/>
          <w14:textFill>
            <w14:solidFill>
              <w14:schemeClr w14:val="tx1"/>
            </w14:solidFill>
          </w14:textFill>
        </w:rPr>
        <w:t>及其他</w:t>
      </w:r>
      <w:r>
        <w:rPr>
          <w:rFonts w:hint="eastAsia" w:ascii="宋体" w:hAnsi="宋体" w:eastAsia="宋体" w:cs="宋体"/>
          <w:color w:val="000000" w:themeColor="text1"/>
          <w:sz w:val="24"/>
          <w:szCs w:val="20"/>
          <w14:textFill>
            <w14:solidFill>
              <w14:schemeClr w14:val="tx1"/>
            </w14:solidFill>
          </w14:textFill>
        </w:rPr>
        <w:t>规章制度。因乙方管理或其他原因造成的人员安全事故，乙方将承担全部社会和经济责任。</w:t>
      </w:r>
      <w:r>
        <w:rPr>
          <w:rFonts w:hint="eastAsia" w:ascii="宋体" w:hAnsi="宋体" w:eastAsia="宋体" w:cs="宋体"/>
          <w:color w:val="000000" w:themeColor="text1"/>
          <w:sz w:val="24"/>
          <w:szCs w:val="20"/>
          <w:lang w:val="en-US" w:eastAsia="zh-CN"/>
          <w14:textFill>
            <w14:solidFill>
              <w14:schemeClr w14:val="tx1"/>
            </w14:solidFill>
          </w14:textFill>
        </w:rPr>
        <w:t>且</w:t>
      </w:r>
      <w:r>
        <w:rPr>
          <w:rFonts w:hint="eastAsia" w:ascii="宋体" w:hAnsi="宋体" w:eastAsia="宋体" w:cs="宋体"/>
          <w:color w:val="000000" w:themeColor="text1"/>
          <w:sz w:val="24"/>
          <w:szCs w:val="20"/>
          <w14:textFill>
            <w14:solidFill>
              <w14:schemeClr w14:val="tx1"/>
            </w14:solidFill>
          </w14:textFill>
        </w:rPr>
        <w:t>乙方人员</w:t>
      </w:r>
      <w:r>
        <w:rPr>
          <w:rFonts w:hint="eastAsia" w:ascii="宋体" w:hAnsi="宋体" w:eastAsia="宋体" w:cs="宋体"/>
          <w:color w:val="000000" w:themeColor="text1"/>
          <w:sz w:val="24"/>
          <w:szCs w:val="20"/>
          <w:lang w:val="en-US" w:eastAsia="zh-CN"/>
          <w14:textFill>
            <w14:solidFill>
              <w14:schemeClr w14:val="tx1"/>
            </w14:solidFill>
          </w14:textFill>
        </w:rPr>
        <w:t>应对所接触的</w:t>
      </w:r>
      <w:r>
        <w:rPr>
          <w:rFonts w:hint="eastAsia" w:ascii="宋体" w:hAnsi="宋体" w:eastAsia="宋体" w:cs="宋体"/>
          <w:color w:val="000000" w:themeColor="text1"/>
          <w:sz w:val="24"/>
          <w:szCs w:val="20"/>
          <w14:textFill>
            <w14:solidFill>
              <w14:schemeClr w14:val="tx1"/>
            </w14:solidFill>
          </w14:textFill>
        </w:rPr>
        <w:t>资料</w:t>
      </w:r>
      <w:r>
        <w:rPr>
          <w:rFonts w:hint="eastAsia" w:ascii="宋体" w:hAnsi="宋体" w:eastAsia="宋体" w:cs="宋体"/>
          <w:color w:val="000000" w:themeColor="text1"/>
          <w:sz w:val="24"/>
          <w:szCs w:val="20"/>
          <w:lang w:val="en-US" w:eastAsia="zh-CN"/>
          <w14:textFill>
            <w14:solidFill>
              <w14:schemeClr w14:val="tx1"/>
            </w14:solidFill>
          </w14:textFill>
        </w:rPr>
        <w:t>承担</w:t>
      </w:r>
      <w:r>
        <w:rPr>
          <w:rFonts w:hint="eastAsia" w:ascii="宋体" w:hAnsi="宋体" w:eastAsia="宋体" w:cs="宋体"/>
          <w:color w:val="000000" w:themeColor="text1"/>
          <w:sz w:val="24"/>
          <w:szCs w:val="20"/>
          <w14:textFill>
            <w14:solidFill>
              <w14:schemeClr w14:val="tx1"/>
            </w14:solidFill>
          </w14:textFill>
        </w:rPr>
        <w:t>保密义务。</w:t>
      </w:r>
    </w:p>
    <w:p w14:paraId="544A2E56">
      <w:pPr>
        <w:pStyle w:val="28"/>
        <w:numPr>
          <w:ilvl w:val="1"/>
          <w:numId w:val="8"/>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在超前钻工作范围内没有资料、图纸的地区（段），乙方应负责查清地下埋藏物。乙方未探明地下埋藏物即进行钻探所导致的人身伤害和（或）经济损失责任由乙方承担。</w:t>
      </w:r>
    </w:p>
    <w:p w14:paraId="71932807">
      <w:pPr>
        <w:pStyle w:val="28"/>
        <w:numPr>
          <w:ilvl w:val="1"/>
          <w:numId w:val="8"/>
        </w:numPr>
        <w:spacing w:line="360" w:lineRule="auto"/>
        <w:ind w:left="567" w:firstLineChars="0"/>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按照国家有关环保法规的规定及地方对环境卫生的有关要求，乙方进场作业后，乙方应及时与所在区域环保部门联系，按要求控制各种粉尘、废水、噪音等环境污染源，否则，由此造成的后果由乙方负责。</w:t>
      </w:r>
    </w:p>
    <w:p w14:paraId="7914D424">
      <w:pPr>
        <w:pStyle w:val="28"/>
        <w:numPr>
          <w:ilvl w:val="1"/>
          <w:numId w:val="8"/>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乙方负责探测钻孔部位地下管线的保护工作，因钻探施工造成的地下管线破损，其损失及后果由乙方承担。</w:t>
      </w:r>
    </w:p>
    <w:p w14:paraId="127763D1">
      <w:pPr>
        <w:pStyle w:val="28"/>
        <w:numPr>
          <w:ilvl w:val="1"/>
          <w:numId w:val="8"/>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超前钻过程中应认真记录每日工作内容，保存原始记录资料与数据，以供甲方查验。</w:t>
      </w:r>
    </w:p>
    <w:p w14:paraId="3CE08238">
      <w:pPr>
        <w:pStyle w:val="28"/>
        <w:numPr>
          <w:ilvl w:val="1"/>
          <w:numId w:val="8"/>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sz w:val="24"/>
          <w:szCs w:val="24"/>
        </w:rPr>
        <w:t>乙方有责任义务向甲方和设计方就成果资料及报告内容做全面详尽会议交底和说明。</w:t>
      </w:r>
    </w:p>
    <w:p w14:paraId="7AC3323D">
      <w:pPr>
        <w:pStyle w:val="28"/>
        <w:numPr>
          <w:ilvl w:val="1"/>
          <w:numId w:val="8"/>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乙方须参加由甲方组织的甲方、设计方、乙方以及其他单位共同参与的有关专题技术方案研讨会，</w:t>
      </w:r>
      <w:r>
        <w:rPr>
          <w:rFonts w:hint="eastAsia" w:ascii="宋体" w:hAnsi="宋体" w:eastAsia="宋体" w:cs="宋体"/>
          <w:color w:val="000000" w:themeColor="text1"/>
          <w:sz w:val="24"/>
          <w:szCs w:val="20"/>
          <w:lang w:val="en-US" w:eastAsia="zh-CN"/>
          <w14:textFill>
            <w14:solidFill>
              <w14:schemeClr w14:val="tx1"/>
            </w14:solidFill>
          </w14:textFill>
        </w:rPr>
        <w:t>确保符合</w:t>
      </w:r>
      <w:r>
        <w:rPr>
          <w:rFonts w:hint="eastAsia" w:ascii="宋体" w:hAnsi="宋体" w:eastAsia="宋体" w:cs="宋体"/>
          <w:color w:val="000000" w:themeColor="text1"/>
          <w:sz w:val="24"/>
          <w:szCs w:val="20"/>
          <w14:textFill>
            <w14:solidFill>
              <w14:schemeClr w14:val="tx1"/>
            </w14:solidFill>
          </w14:textFill>
        </w:rPr>
        <w:t>结构安全、经济合理的原则。</w:t>
      </w:r>
    </w:p>
    <w:p w14:paraId="1A3983BE">
      <w:pPr>
        <w:pStyle w:val="28"/>
        <w:numPr>
          <w:ilvl w:val="1"/>
          <w:numId w:val="8"/>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乙方在完成所有本合同约定工作后，应接受甲方对乙方的工作成果进行验收（包括第三方验收）。工作成果完成后需配合设计单位</w:t>
      </w:r>
      <w:r>
        <w:rPr>
          <w:rFonts w:hint="eastAsia" w:ascii="宋体" w:hAnsi="宋体" w:eastAsia="宋体" w:cs="宋体"/>
          <w:color w:val="000000" w:themeColor="text1"/>
          <w:sz w:val="24"/>
          <w:szCs w:val="20"/>
          <w:lang w:val="en-US" w:eastAsia="zh-CN"/>
          <w14:textFill>
            <w14:solidFill>
              <w14:schemeClr w14:val="tx1"/>
            </w14:solidFill>
          </w14:textFill>
        </w:rPr>
        <w:t>或其他有关单位</w:t>
      </w:r>
      <w:r>
        <w:rPr>
          <w:rFonts w:hint="eastAsia" w:ascii="宋体" w:hAnsi="宋体" w:eastAsia="宋体" w:cs="宋体"/>
          <w:color w:val="000000" w:themeColor="text1"/>
          <w:sz w:val="24"/>
          <w:szCs w:val="20"/>
          <w14:textFill>
            <w14:solidFill>
              <w14:schemeClr w14:val="tx1"/>
            </w14:solidFill>
          </w14:textFill>
        </w:rPr>
        <w:t>对成果资料的校对工作，对勘察成果文件的审查工作。</w:t>
      </w:r>
    </w:p>
    <w:p w14:paraId="682A58C2">
      <w:pPr>
        <w:pStyle w:val="28"/>
        <w:numPr>
          <w:ilvl w:val="1"/>
          <w:numId w:val="8"/>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提交</w:t>
      </w:r>
      <w:r>
        <w:rPr>
          <w:rFonts w:hint="eastAsia" w:ascii="宋体" w:hAnsi="宋体" w:eastAsia="宋体" w:cs="宋体"/>
          <w:color w:val="000000" w:themeColor="text1"/>
          <w:sz w:val="24"/>
          <w14:textFill>
            <w14:solidFill>
              <w14:schemeClr w14:val="tx1"/>
            </w14:solidFill>
          </w14:textFill>
        </w:rPr>
        <w:t>工程超前钻技术报告</w:t>
      </w:r>
      <w:r>
        <w:rPr>
          <w:rFonts w:hint="eastAsia" w:ascii="宋体" w:hAnsi="宋体" w:eastAsia="宋体" w:cs="宋体"/>
          <w:color w:val="000000" w:themeColor="text1"/>
          <w:sz w:val="24"/>
          <w:lang w:val="en-US" w:eastAsia="zh-CN"/>
          <w14:textFill>
            <w14:solidFill>
              <w14:schemeClr w14:val="tx1"/>
            </w14:solidFill>
          </w14:textFill>
        </w:rPr>
        <w:t>纸质原件</w:t>
      </w:r>
      <w:r>
        <w:rPr>
          <w:rFonts w:hint="eastAsia" w:ascii="宋体" w:hAnsi="宋体" w:eastAsia="宋体" w:cs="宋体"/>
          <w:color w:val="000000" w:themeColor="text1"/>
          <w:sz w:val="24"/>
          <w14:textFill>
            <w14:solidFill>
              <w14:schemeClr w14:val="tx1"/>
            </w14:solidFill>
          </w14:textFill>
        </w:rPr>
        <w:t>一式八份</w:t>
      </w:r>
      <w:r>
        <w:rPr>
          <w:rFonts w:hint="eastAsia" w:ascii="宋体" w:hAnsi="宋体" w:eastAsia="宋体" w:cs="宋体"/>
          <w:color w:val="000000" w:themeColor="text1"/>
          <w:sz w:val="24"/>
          <w:lang w:eastAsia="zh-CN"/>
          <w14:textFill>
            <w14:solidFill>
              <w14:schemeClr w14:val="tx1"/>
            </w14:solidFill>
          </w14:textFill>
        </w:rPr>
        <w:t>、电子文件一套。</w:t>
      </w:r>
      <w:r>
        <w:rPr>
          <w:rFonts w:hint="eastAsia" w:ascii="宋体" w:hAnsi="宋体" w:eastAsia="宋体" w:cs="宋体"/>
          <w:color w:val="000000" w:themeColor="text1"/>
          <w:sz w:val="24"/>
          <w:lang w:val="en-US" w:eastAsia="zh-CN"/>
          <w14:textFill>
            <w14:solidFill>
              <w14:schemeClr w14:val="tx1"/>
            </w14:solidFill>
          </w14:textFill>
        </w:rPr>
        <w:t>乙方</w:t>
      </w:r>
      <w:r>
        <w:rPr>
          <w:rFonts w:hint="eastAsia" w:ascii="宋体" w:hAnsi="宋体" w:eastAsia="宋体" w:cs="宋体"/>
          <w:color w:val="000000" w:themeColor="text1"/>
          <w:sz w:val="24"/>
          <w14:textFill>
            <w14:solidFill>
              <w14:schemeClr w14:val="tx1"/>
            </w14:solidFill>
          </w14:textFill>
        </w:rPr>
        <w:t>对所提交的报告及有关技术数据</w:t>
      </w:r>
      <w:r>
        <w:rPr>
          <w:rFonts w:hint="eastAsia" w:ascii="宋体" w:hAnsi="宋体" w:eastAsia="宋体" w:cs="宋体"/>
          <w:color w:val="000000" w:themeColor="text1"/>
          <w:sz w:val="24"/>
          <w:lang w:val="en-US" w:eastAsia="zh-CN"/>
          <w14:textFill>
            <w14:solidFill>
              <w14:schemeClr w14:val="tx1"/>
            </w14:solidFill>
          </w14:textFill>
        </w:rPr>
        <w:t>等</w:t>
      </w:r>
      <w:r>
        <w:rPr>
          <w:rFonts w:hint="eastAsia" w:ascii="宋体" w:hAnsi="宋体" w:eastAsia="宋体" w:cs="宋体"/>
          <w:color w:val="000000" w:themeColor="text1"/>
          <w:sz w:val="24"/>
          <w14:textFill>
            <w14:solidFill>
              <w14:schemeClr w14:val="tx1"/>
            </w14:solidFill>
          </w14:textFill>
        </w:rPr>
        <w:t>负责，负责解答甲方的质疑及鉴别岩样，并负责办理规划局审查事宜。</w:t>
      </w:r>
    </w:p>
    <w:p w14:paraId="68377F6C">
      <w:pPr>
        <w:pStyle w:val="28"/>
        <w:numPr>
          <w:ilvl w:val="1"/>
          <w:numId w:val="8"/>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由于国家法律法规和政策的变化，要求乙方所做出的修改和调整，以及根据政府</w:t>
      </w:r>
      <w:r>
        <w:rPr>
          <w:rFonts w:hint="eastAsia" w:ascii="宋体" w:hAnsi="宋体" w:eastAsia="宋体" w:cs="宋体"/>
          <w:color w:val="000000" w:themeColor="text1"/>
          <w:sz w:val="24"/>
          <w:szCs w:val="20"/>
          <w:lang w:val="en-US" w:eastAsia="zh-CN"/>
          <w14:textFill>
            <w14:solidFill>
              <w14:schemeClr w14:val="tx1"/>
            </w14:solidFill>
          </w14:textFill>
        </w:rPr>
        <w:t>或其他权威</w:t>
      </w:r>
      <w:r>
        <w:rPr>
          <w:rFonts w:hint="eastAsia" w:ascii="宋体" w:hAnsi="宋体" w:eastAsia="宋体" w:cs="宋体"/>
          <w:color w:val="000000" w:themeColor="text1"/>
          <w:sz w:val="24"/>
          <w:szCs w:val="20"/>
          <w14:textFill>
            <w14:solidFill>
              <w14:schemeClr w14:val="tx1"/>
            </w14:solidFill>
          </w14:textFill>
        </w:rPr>
        <w:t>审图机构审查意见在项目工作周期全过程中所作的修改，属于本合同约定的正常工作内容，乙方不得另行收费。</w:t>
      </w:r>
    </w:p>
    <w:p w14:paraId="0BF0642E">
      <w:pPr>
        <w:pStyle w:val="28"/>
        <w:numPr>
          <w:ilvl w:val="1"/>
          <w:numId w:val="8"/>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本合同有关条款约定及法律法规规定的乙方应负的其它责任。</w:t>
      </w:r>
    </w:p>
    <w:p w14:paraId="203FF747">
      <w:pPr>
        <w:pStyle w:val="28"/>
        <w:numPr>
          <w:ilvl w:val="1"/>
          <w:numId w:val="8"/>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若甲方需要，乙方在超前钻过程中需配合提供阶段性成果资料。</w:t>
      </w:r>
    </w:p>
    <w:p w14:paraId="41E9A661">
      <w:pPr>
        <w:pStyle w:val="28"/>
        <w:numPr>
          <w:ilvl w:val="1"/>
          <w:numId w:val="8"/>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现场原地貌因考古挖掘等原因有所变化，乙方需自行采取措施克服。</w:t>
      </w:r>
    </w:p>
    <w:p w14:paraId="1F87F480">
      <w:pPr>
        <w:pStyle w:val="3"/>
        <w:spacing w:line="360" w:lineRule="auto"/>
        <w:ind w:left="440" w:hanging="440"/>
        <w:rPr>
          <w:rFonts w:ascii="宋体" w:hAnsi="宋体" w:eastAsia="宋体" w:cs="宋体"/>
          <w:color w:val="000000" w:themeColor="text1"/>
          <w:sz w:val="24"/>
          <w:szCs w:val="24"/>
          <w14:textFill>
            <w14:solidFill>
              <w14:schemeClr w14:val="tx1"/>
            </w14:solidFill>
          </w14:textFill>
        </w:rPr>
      </w:pPr>
      <w:bookmarkStart w:id="28" w:name="_Toc21213"/>
      <w:bookmarkStart w:id="29" w:name="_Toc19828"/>
      <w:r>
        <w:rPr>
          <w:rFonts w:hint="eastAsia" w:ascii="宋体" w:hAnsi="宋体" w:eastAsia="宋体" w:cs="宋体"/>
          <w:color w:val="000000" w:themeColor="text1"/>
          <w:sz w:val="24"/>
          <w:szCs w:val="24"/>
          <w14:textFill>
            <w14:solidFill>
              <w14:schemeClr w14:val="tx1"/>
            </w14:solidFill>
          </w14:textFill>
        </w:rPr>
        <w:t>10.违约责任</w:t>
      </w:r>
      <w:bookmarkEnd w:id="28"/>
      <w:bookmarkEnd w:id="29"/>
    </w:p>
    <w:p w14:paraId="3DBB8B99">
      <w:pPr>
        <w:pStyle w:val="28"/>
        <w:numPr>
          <w:ilvl w:val="1"/>
          <w:numId w:val="9"/>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合同履行期间，因工程停建或其他甲方责任而须解除合同时，已进行超前钻工作的，双方按实际完成的工作量办理结算并支付超前钻费用，如结算的超前钻费用未超过已付的预付款项的，乙方须将价差退还甲方。</w:t>
      </w:r>
    </w:p>
    <w:p w14:paraId="02EB3D47">
      <w:pPr>
        <w:pStyle w:val="28"/>
        <w:numPr>
          <w:ilvl w:val="1"/>
          <w:numId w:val="9"/>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合同履行期间，因乙方责任而须解除合同时，乙方应退还甲方实际支付的款项，另乙方再支付甲方本合同暂定总价的10％作为违约金，同时乙方须赔偿甲方由此而产生的一切经济损失。</w:t>
      </w:r>
    </w:p>
    <w:p w14:paraId="27EBA8B1">
      <w:pPr>
        <w:pStyle w:val="28"/>
        <w:numPr>
          <w:ilvl w:val="1"/>
          <w:numId w:val="9"/>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乙方违反本合同其他约定（包括不服从或者违反甲方发出的书面指令），每违反一次，扣减合同总价款的3‰作为违约金，由此给甲方造成损失的，乙方应予以赔偿。</w:t>
      </w:r>
    </w:p>
    <w:p w14:paraId="5B09FF44">
      <w:pPr>
        <w:pStyle w:val="28"/>
        <w:numPr>
          <w:ilvl w:val="1"/>
          <w:numId w:val="9"/>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由于乙方原因造成超前钻成果资料质量不合格，不能满足技术要求时，乙方应按甲方要求的期限</w:t>
      </w:r>
      <w:r>
        <w:rPr>
          <w:rFonts w:hint="eastAsia" w:ascii="宋体" w:hAnsi="宋体" w:eastAsia="宋体" w:cs="宋体"/>
          <w:color w:val="000000" w:themeColor="text1"/>
          <w:sz w:val="24"/>
          <w:szCs w:val="20"/>
          <w:lang w:val="en-US" w:eastAsia="zh-CN"/>
          <w14:textFill>
            <w14:solidFill>
              <w14:schemeClr w14:val="tx1"/>
            </w14:solidFill>
          </w14:textFill>
        </w:rPr>
        <w:t>无偿</w:t>
      </w:r>
      <w:r>
        <w:rPr>
          <w:rFonts w:hint="eastAsia" w:ascii="宋体" w:hAnsi="宋体" w:eastAsia="宋体" w:cs="宋体"/>
          <w:color w:val="000000" w:themeColor="text1"/>
          <w:sz w:val="24"/>
          <w:szCs w:val="20"/>
          <w14:textFill>
            <w14:solidFill>
              <w14:schemeClr w14:val="tx1"/>
            </w14:solidFill>
          </w14:textFill>
        </w:rPr>
        <w:t>进行返工</w:t>
      </w:r>
      <w:r>
        <w:rPr>
          <w:rFonts w:hint="eastAsia" w:ascii="宋体" w:hAnsi="宋体" w:eastAsia="宋体" w:cs="宋体"/>
          <w:color w:val="000000" w:themeColor="text1"/>
          <w:sz w:val="24"/>
          <w:szCs w:val="20"/>
          <w:lang w:eastAsia="zh-CN"/>
          <w14:textFill>
            <w14:solidFill>
              <w14:schemeClr w14:val="tx1"/>
            </w14:solidFill>
          </w14:textFill>
        </w:rPr>
        <w:t>，</w:t>
      </w:r>
      <w:r>
        <w:rPr>
          <w:rFonts w:hint="eastAsia" w:ascii="宋体" w:hAnsi="宋体" w:eastAsia="宋体" w:cs="宋体"/>
          <w:color w:val="000000" w:themeColor="text1"/>
          <w:sz w:val="24"/>
          <w:szCs w:val="20"/>
          <w14:textFill>
            <w14:solidFill>
              <w14:schemeClr w14:val="tx1"/>
            </w14:solidFill>
          </w14:textFill>
        </w:rPr>
        <w:t>按甲方要求修改并给予补充完善使其达到质量合格标准，其返工超前钻费用由乙方承担，同时乙方须赔偿甲方由此而产生的一切经济损失。若乙方无力补充完善（累计两次验收不合格的视为乙方无力补充完善），甲方有权另行委托其他单位完善成果或进行重新勘察或检测工作，由此产生的一切费用概由乙方承担</w:t>
      </w:r>
      <w:r>
        <w:rPr>
          <w:rFonts w:hint="eastAsia" w:ascii="宋体" w:hAnsi="宋体" w:eastAsia="宋体" w:cs="宋体"/>
          <w:color w:val="000000" w:themeColor="text1"/>
          <w:sz w:val="24"/>
          <w:szCs w:val="20"/>
          <w:lang w:eastAsia="zh-CN"/>
          <w14:textFill>
            <w14:solidFill>
              <w14:schemeClr w14:val="tx1"/>
            </w14:solidFill>
          </w14:textFill>
        </w:rPr>
        <w:t>，</w:t>
      </w:r>
      <w:r>
        <w:rPr>
          <w:rFonts w:hint="eastAsia" w:ascii="宋体" w:hAnsi="宋体" w:eastAsia="宋体" w:cs="宋体"/>
          <w:color w:val="000000" w:themeColor="text1"/>
          <w:sz w:val="24"/>
          <w:szCs w:val="20"/>
          <w:lang w:val="en-US" w:eastAsia="zh-CN"/>
          <w14:textFill>
            <w14:solidFill>
              <w14:schemeClr w14:val="tx1"/>
            </w14:solidFill>
          </w14:textFill>
        </w:rPr>
        <w:t>且</w:t>
      </w:r>
      <w:r>
        <w:rPr>
          <w:rFonts w:hint="eastAsia" w:ascii="宋体" w:hAnsi="宋体" w:eastAsia="宋体" w:cs="宋体"/>
          <w:color w:val="000000" w:themeColor="text1"/>
          <w:sz w:val="24"/>
          <w:szCs w:val="20"/>
          <w14:textFill>
            <w14:solidFill>
              <w14:schemeClr w14:val="tx1"/>
            </w14:solidFill>
          </w14:textFill>
        </w:rPr>
        <w:t>甲方有权单方解除本合同，且无论甲方是否解除合同，乙方均应向甲方支付暂定总价</w:t>
      </w:r>
      <w:r>
        <w:rPr>
          <w:rFonts w:hint="eastAsia" w:ascii="宋体" w:hAnsi="宋体" w:eastAsia="宋体" w:cs="宋体"/>
          <w:color w:val="000000" w:themeColor="text1"/>
          <w:sz w:val="24"/>
          <w:szCs w:val="20"/>
          <w:lang w:val="en-US" w:eastAsia="zh-CN"/>
          <w14:textFill>
            <w14:solidFill>
              <w14:schemeClr w14:val="tx1"/>
            </w14:solidFill>
          </w14:textFill>
        </w:rPr>
        <w:t>1</w:t>
      </w:r>
      <w:r>
        <w:rPr>
          <w:rFonts w:hint="eastAsia" w:ascii="宋体" w:hAnsi="宋体" w:eastAsia="宋体" w:cs="宋体"/>
          <w:color w:val="000000" w:themeColor="text1"/>
          <w:sz w:val="24"/>
          <w:szCs w:val="20"/>
          <w14:textFill>
            <w14:solidFill>
              <w14:schemeClr w14:val="tx1"/>
            </w14:solidFill>
          </w14:textFill>
        </w:rPr>
        <w:t>0%的违约金，同时乙方须赔偿甲方由此而产生的一切经济损失。</w:t>
      </w:r>
    </w:p>
    <w:p w14:paraId="7A3C2F6E">
      <w:pPr>
        <w:pStyle w:val="28"/>
        <w:numPr>
          <w:ilvl w:val="1"/>
          <w:numId w:val="9"/>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因乙方原因未按合同约定时间（日期）提交超前钻成果资料的，每超过一日，甲方应扣减合同暂定总价的3‰作为逾期违约金，超过14日的，甲方有权单方终止合同并要求乙方按本合同暂定总价的5%支付违约金，同时赔偿甲方由此产生的一切经济损失。</w:t>
      </w:r>
    </w:p>
    <w:p w14:paraId="71F4893E">
      <w:pPr>
        <w:pStyle w:val="28"/>
        <w:numPr>
          <w:ilvl w:val="1"/>
          <w:numId w:val="9"/>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本合同签订生效后，因乙方原因导致本合同提前解除的，乙方应向甲方支付本合同勘察服务费总额的10%作为违约金。</w:t>
      </w:r>
    </w:p>
    <w:p w14:paraId="0460E634">
      <w:pPr>
        <w:pStyle w:val="28"/>
        <w:numPr>
          <w:ilvl w:val="1"/>
          <w:numId w:val="9"/>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kern w:val="0"/>
          <w:sz w:val="24"/>
          <w:szCs w:val="24"/>
        </w:rPr>
        <w:t>任何情况下，乙方雇工及工作人员不得在甲方场所(包括但不限于施工现场、销售现场、办公场所等)闹事或发表损害甲方声誉的言论。</w:t>
      </w:r>
      <w:r>
        <w:rPr>
          <w:rFonts w:hint="eastAsia" w:ascii="宋体" w:hAnsi="宋体" w:eastAsia="宋体" w:cs="宋体"/>
          <w:color w:val="000000" w:themeColor="text1"/>
          <w:sz w:val="24"/>
          <w:szCs w:val="20"/>
          <w14:textFill>
            <w14:solidFill>
              <w14:schemeClr w14:val="tx1"/>
            </w14:solidFill>
          </w14:textFill>
        </w:rPr>
        <w:t>如果发生上述情况</w:t>
      </w:r>
      <w:r>
        <w:rPr>
          <w:rFonts w:hint="eastAsia" w:ascii="宋体" w:hAnsi="宋体" w:eastAsia="宋体" w:cs="宋体"/>
          <w:color w:val="000000" w:themeColor="text1"/>
          <w:sz w:val="24"/>
          <w:szCs w:val="20"/>
          <w:lang w:val="en-US" w:eastAsia="zh-CN"/>
          <w14:textFill>
            <w14:solidFill>
              <w14:schemeClr w14:val="tx1"/>
            </w14:solidFill>
          </w14:textFill>
        </w:rPr>
        <w:t>且未造成严重损失的</w:t>
      </w:r>
      <w:r>
        <w:rPr>
          <w:rFonts w:hint="eastAsia" w:ascii="宋体" w:hAnsi="宋体" w:eastAsia="宋体" w:cs="宋体"/>
          <w:color w:val="000000" w:themeColor="text1"/>
          <w:sz w:val="24"/>
          <w:szCs w:val="20"/>
          <w14:textFill>
            <w14:solidFill>
              <w14:schemeClr w14:val="tx1"/>
            </w14:solidFill>
          </w14:textFill>
        </w:rPr>
        <w:t>，乙方</w:t>
      </w:r>
      <w:r>
        <w:rPr>
          <w:rFonts w:hint="eastAsia" w:ascii="宋体" w:hAnsi="宋体" w:eastAsia="宋体" w:cs="宋体"/>
          <w:color w:val="000000" w:themeColor="text1"/>
          <w:sz w:val="24"/>
          <w:szCs w:val="20"/>
          <w:lang w:val="en-US" w:eastAsia="zh-CN"/>
          <w14:textFill>
            <w14:solidFill>
              <w14:schemeClr w14:val="tx1"/>
            </w14:solidFill>
          </w14:textFill>
        </w:rPr>
        <w:t>应向甲方</w:t>
      </w:r>
      <w:r>
        <w:rPr>
          <w:rFonts w:hint="eastAsia" w:ascii="宋体" w:hAnsi="宋体" w:eastAsia="宋体" w:cs="宋体"/>
          <w:color w:val="000000" w:themeColor="text1"/>
          <w:sz w:val="24"/>
          <w:szCs w:val="20"/>
          <w14:textFill>
            <w14:solidFill>
              <w14:schemeClr w14:val="tx1"/>
            </w14:solidFill>
          </w14:textFill>
        </w:rPr>
        <w:t>支付人民币10,000元/事件的违约金。</w:t>
      </w:r>
      <w:r>
        <w:rPr>
          <w:rFonts w:hint="eastAsia" w:ascii="宋体" w:hAnsi="宋体" w:eastAsia="宋体" w:cs="宋体"/>
          <w:color w:val="000000" w:themeColor="text1"/>
          <w:sz w:val="24"/>
          <w:szCs w:val="20"/>
          <w:lang w:val="en-US" w:eastAsia="zh-CN"/>
          <w14:textFill>
            <w14:solidFill>
              <w14:schemeClr w14:val="tx1"/>
            </w14:solidFill>
          </w14:textFill>
        </w:rPr>
        <w:t>如已造成严重损失，或经甲方通知后乙方仍不整改的，或第一次发生未造成严重损失且已整改但第二次发生类似事件的，甲方</w:t>
      </w:r>
      <w:r>
        <w:rPr>
          <w:rFonts w:hint="eastAsia" w:ascii="宋体" w:hAnsi="宋体" w:eastAsia="宋体" w:cs="宋体"/>
          <w:color w:val="000000" w:themeColor="text1"/>
          <w:sz w:val="24"/>
          <w:szCs w:val="20"/>
          <w14:textFill>
            <w14:solidFill>
              <w14:schemeClr w14:val="tx1"/>
            </w14:solidFill>
          </w14:textFill>
        </w:rPr>
        <w:t>有权单方解除本合同，</w:t>
      </w:r>
      <w:r>
        <w:rPr>
          <w:rFonts w:hint="eastAsia" w:ascii="宋体" w:hAnsi="宋体" w:eastAsia="宋体" w:cs="宋体"/>
          <w:color w:val="000000" w:themeColor="text1"/>
          <w:sz w:val="24"/>
          <w:szCs w:val="20"/>
          <w:lang w:val="en-US" w:eastAsia="zh-CN"/>
          <w14:textFill>
            <w14:solidFill>
              <w14:schemeClr w14:val="tx1"/>
            </w14:solidFill>
          </w14:textFill>
        </w:rPr>
        <w:t>乙方款项</w:t>
      </w:r>
      <w:r>
        <w:rPr>
          <w:rFonts w:hint="eastAsia" w:ascii="宋体" w:hAnsi="宋体" w:eastAsia="宋体" w:cs="宋体"/>
          <w:color w:val="000000" w:themeColor="text1"/>
          <w:sz w:val="24"/>
          <w:szCs w:val="20"/>
          <w14:textFill>
            <w14:solidFill>
              <w14:schemeClr w14:val="tx1"/>
            </w14:solidFill>
          </w14:textFill>
        </w:rPr>
        <w:t>按实结算，</w:t>
      </w:r>
      <w:r>
        <w:rPr>
          <w:rFonts w:hint="eastAsia" w:ascii="宋体" w:hAnsi="宋体" w:eastAsia="宋体" w:cs="宋体"/>
          <w:color w:val="000000" w:themeColor="text1"/>
          <w:sz w:val="24"/>
          <w:szCs w:val="20"/>
          <w:lang w:val="en-US" w:eastAsia="zh-CN"/>
          <w14:textFill>
            <w14:solidFill>
              <w14:schemeClr w14:val="tx1"/>
            </w14:solidFill>
          </w14:textFill>
        </w:rPr>
        <w:t>多退少补，</w:t>
      </w:r>
      <w:r>
        <w:rPr>
          <w:rFonts w:hint="eastAsia" w:ascii="宋体" w:hAnsi="宋体" w:eastAsia="宋体" w:cs="宋体"/>
          <w:color w:val="000000" w:themeColor="text1"/>
          <w:sz w:val="24"/>
          <w:szCs w:val="20"/>
          <w14:textFill>
            <w14:solidFill>
              <w14:schemeClr w14:val="tx1"/>
            </w14:solidFill>
          </w14:textFill>
        </w:rPr>
        <w:t>同时，</w:t>
      </w:r>
      <w:r>
        <w:rPr>
          <w:rFonts w:hint="eastAsia" w:ascii="宋体" w:hAnsi="宋体" w:eastAsia="宋体" w:cs="宋体"/>
          <w:color w:val="000000" w:themeColor="text1"/>
          <w:sz w:val="24"/>
          <w:szCs w:val="20"/>
          <w:lang w:val="en-US" w:eastAsia="zh-CN"/>
          <w14:textFill>
            <w14:solidFill>
              <w14:schemeClr w14:val="tx1"/>
            </w14:solidFill>
          </w14:textFill>
        </w:rPr>
        <w:t>乙方</w:t>
      </w:r>
      <w:r>
        <w:rPr>
          <w:rFonts w:hint="eastAsia" w:ascii="宋体" w:hAnsi="宋体" w:eastAsia="宋体" w:cs="宋体"/>
          <w:color w:val="000000" w:themeColor="text1"/>
          <w:sz w:val="24"/>
          <w:szCs w:val="20"/>
          <w14:textFill>
            <w14:solidFill>
              <w14:schemeClr w14:val="tx1"/>
            </w14:solidFill>
          </w14:textFill>
        </w:rPr>
        <w:t>须承担本合同暂定总价金额</w:t>
      </w:r>
      <w:r>
        <w:rPr>
          <w:rFonts w:hint="eastAsia" w:ascii="宋体" w:hAnsi="宋体" w:eastAsia="宋体" w:cs="宋体"/>
          <w:color w:val="000000" w:themeColor="text1"/>
          <w:sz w:val="24"/>
          <w:szCs w:val="20"/>
          <w:lang w:val="en-US" w:eastAsia="zh-CN"/>
          <w14:textFill>
            <w14:solidFill>
              <w14:schemeClr w14:val="tx1"/>
            </w14:solidFill>
          </w14:textFill>
        </w:rPr>
        <w:t>10</w:t>
      </w:r>
      <w:r>
        <w:rPr>
          <w:rFonts w:hint="eastAsia" w:ascii="宋体" w:hAnsi="宋体" w:eastAsia="宋体" w:cs="宋体"/>
          <w:color w:val="000000" w:themeColor="text1"/>
          <w:sz w:val="24"/>
          <w:szCs w:val="20"/>
          <w14:textFill>
            <w14:solidFill>
              <w14:schemeClr w14:val="tx1"/>
            </w14:solidFill>
          </w14:textFill>
        </w:rPr>
        <w:t>%的违约金</w:t>
      </w:r>
      <w:r>
        <w:rPr>
          <w:rFonts w:hint="eastAsia" w:ascii="宋体" w:hAnsi="宋体" w:eastAsia="宋体" w:cs="宋体"/>
          <w:color w:val="000000" w:themeColor="text1"/>
          <w:sz w:val="24"/>
          <w:szCs w:val="20"/>
          <w:lang w:eastAsia="zh-CN"/>
          <w14:textFill>
            <w14:solidFill>
              <w14:schemeClr w14:val="tx1"/>
            </w14:solidFill>
          </w14:textFill>
        </w:rPr>
        <w:t>，</w:t>
      </w:r>
      <w:r>
        <w:rPr>
          <w:rFonts w:hint="eastAsia" w:ascii="宋体" w:hAnsi="宋体" w:eastAsia="宋体" w:cs="宋体"/>
          <w:color w:val="000000" w:themeColor="text1"/>
          <w:sz w:val="24"/>
          <w:szCs w:val="20"/>
          <w14:textFill>
            <w14:solidFill>
              <w14:schemeClr w14:val="tx1"/>
            </w14:solidFill>
          </w14:textFill>
        </w:rPr>
        <w:t>同时乙方须赔偿甲方由此而产生的一切经济损失。</w:t>
      </w:r>
    </w:p>
    <w:p w14:paraId="27D91820">
      <w:pPr>
        <w:pStyle w:val="28"/>
        <w:numPr>
          <w:ilvl w:val="1"/>
          <w:numId w:val="9"/>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整改处理原则：</w:t>
      </w:r>
      <w:r>
        <w:rPr>
          <w:rFonts w:hint="eastAsia" w:ascii="宋体" w:hAnsi="宋体" w:eastAsia="宋体" w:cs="宋体"/>
          <w:color w:val="000000" w:themeColor="text1"/>
          <w:sz w:val="24"/>
          <w:szCs w:val="20"/>
          <w:lang w:val="en-US" w:eastAsia="zh-CN"/>
          <w14:textFill>
            <w14:solidFill>
              <w14:schemeClr w14:val="tx1"/>
            </w14:solidFill>
          </w14:textFill>
        </w:rPr>
        <w:t>乙方</w:t>
      </w:r>
      <w:r>
        <w:rPr>
          <w:rFonts w:hint="eastAsia" w:ascii="宋体" w:hAnsi="宋体" w:eastAsia="宋体" w:cs="宋体"/>
          <w:color w:val="000000" w:themeColor="text1"/>
          <w:sz w:val="24"/>
          <w:szCs w:val="20"/>
          <w14:textFill>
            <w14:solidFill>
              <w14:schemeClr w14:val="tx1"/>
            </w14:solidFill>
          </w14:textFill>
        </w:rPr>
        <w:t>没有按照本协议的约定履行合同义务、履行义务不符合约定或法律</w:t>
      </w:r>
      <w:r>
        <w:rPr>
          <w:rFonts w:hint="eastAsia" w:ascii="宋体" w:hAnsi="宋体" w:eastAsia="宋体" w:cs="宋体"/>
          <w:color w:val="000000" w:themeColor="text1"/>
          <w:sz w:val="24"/>
          <w:szCs w:val="20"/>
          <w:lang w:val="en-US" w:eastAsia="zh-CN"/>
          <w14:textFill>
            <w14:solidFill>
              <w14:schemeClr w14:val="tx1"/>
            </w14:solidFill>
          </w14:textFill>
        </w:rPr>
        <w:t>法规（包括规范性文件、行业规定等）</w:t>
      </w:r>
      <w:r>
        <w:rPr>
          <w:rFonts w:hint="eastAsia" w:ascii="宋体" w:hAnsi="宋体" w:eastAsia="宋体" w:cs="宋体"/>
          <w:color w:val="000000" w:themeColor="text1"/>
          <w:sz w:val="24"/>
          <w:szCs w:val="20"/>
          <w14:textFill>
            <w14:solidFill>
              <w14:schemeClr w14:val="tx1"/>
            </w14:solidFill>
          </w14:textFill>
        </w:rPr>
        <w:t>规定的其他违约行为，</w:t>
      </w:r>
      <w:r>
        <w:rPr>
          <w:rFonts w:hint="eastAsia" w:ascii="宋体" w:hAnsi="宋体" w:eastAsia="宋体" w:cs="宋体"/>
          <w:color w:val="000000" w:themeColor="text1"/>
          <w:sz w:val="24"/>
          <w:szCs w:val="20"/>
          <w:lang w:val="en-US" w:eastAsia="zh-CN"/>
          <w14:textFill>
            <w14:solidFill>
              <w14:schemeClr w14:val="tx1"/>
            </w14:solidFill>
          </w14:textFill>
        </w:rPr>
        <w:t>甲方</w:t>
      </w:r>
      <w:r>
        <w:rPr>
          <w:rFonts w:hint="eastAsia" w:ascii="宋体" w:hAnsi="宋体" w:eastAsia="宋体" w:cs="宋体"/>
          <w:color w:val="000000" w:themeColor="text1"/>
          <w:sz w:val="24"/>
          <w:szCs w:val="20"/>
          <w14:textFill>
            <w14:solidFill>
              <w14:schemeClr w14:val="tx1"/>
            </w14:solidFill>
          </w14:textFill>
        </w:rPr>
        <w:t>有权要求</w:t>
      </w:r>
      <w:r>
        <w:rPr>
          <w:rFonts w:hint="eastAsia" w:ascii="宋体" w:hAnsi="宋体" w:eastAsia="宋体" w:cs="宋体"/>
          <w:color w:val="000000" w:themeColor="text1"/>
          <w:sz w:val="24"/>
          <w:szCs w:val="20"/>
          <w:lang w:val="en-US" w:eastAsia="zh-CN"/>
          <w14:textFill>
            <w14:solidFill>
              <w14:schemeClr w14:val="tx1"/>
            </w14:solidFill>
          </w14:textFill>
        </w:rPr>
        <w:t>乙方</w:t>
      </w:r>
      <w:r>
        <w:rPr>
          <w:rFonts w:hint="eastAsia" w:ascii="宋体" w:hAnsi="宋体" w:eastAsia="宋体" w:cs="宋体"/>
          <w:color w:val="000000" w:themeColor="text1"/>
          <w:sz w:val="24"/>
          <w:szCs w:val="20"/>
          <w14:textFill>
            <w14:solidFill>
              <w14:schemeClr w14:val="tx1"/>
            </w14:solidFill>
          </w14:textFill>
        </w:rPr>
        <w:t>整改。单一事项经</w:t>
      </w:r>
      <w:r>
        <w:rPr>
          <w:rFonts w:hint="eastAsia" w:ascii="宋体" w:hAnsi="宋体" w:eastAsia="宋体" w:cs="宋体"/>
          <w:color w:val="000000" w:themeColor="text1"/>
          <w:sz w:val="24"/>
          <w:szCs w:val="20"/>
          <w:lang w:val="en-US" w:eastAsia="zh-CN"/>
          <w14:textFill>
            <w14:solidFill>
              <w14:schemeClr w14:val="tx1"/>
            </w14:solidFill>
          </w14:textFill>
        </w:rPr>
        <w:t>乙方</w:t>
      </w:r>
      <w:r>
        <w:rPr>
          <w:rFonts w:hint="eastAsia" w:ascii="宋体" w:hAnsi="宋体" w:eastAsia="宋体" w:cs="宋体"/>
          <w:color w:val="000000" w:themeColor="text1"/>
          <w:sz w:val="24"/>
          <w:szCs w:val="20"/>
          <w14:textFill>
            <w14:solidFill>
              <w14:schemeClr w14:val="tx1"/>
            </w14:solidFill>
          </w14:textFill>
        </w:rPr>
        <w:t>收到</w:t>
      </w:r>
      <w:r>
        <w:rPr>
          <w:rFonts w:hint="eastAsia" w:ascii="宋体" w:hAnsi="宋体" w:eastAsia="宋体" w:cs="宋体"/>
          <w:color w:val="000000" w:themeColor="text1"/>
          <w:sz w:val="24"/>
          <w:szCs w:val="20"/>
          <w:lang w:val="en-US" w:eastAsia="zh-CN"/>
          <w14:textFill>
            <w14:solidFill>
              <w14:schemeClr w14:val="tx1"/>
            </w14:solidFill>
          </w14:textFill>
        </w:rPr>
        <w:t>甲方</w:t>
      </w:r>
      <w:r>
        <w:rPr>
          <w:rFonts w:hint="eastAsia" w:ascii="宋体" w:hAnsi="宋体" w:eastAsia="宋体" w:cs="宋体"/>
          <w:color w:val="000000" w:themeColor="text1"/>
          <w:sz w:val="24"/>
          <w:szCs w:val="20"/>
          <w14:textFill>
            <w14:solidFill>
              <w14:schemeClr w14:val="tx1"/>
            </w14:solidFill>
          </w14:textFill>
        </w:rPr>
        <w:t>书面整改通知后仍不整改的，委托人可</w:t>
      </w:r>
      <w:r>
        <w:rPr>
          <w:rFonts w:hint="eastAsia" w:ascii="宋体" w:hAnsi="宋体" w:eastAsia="宋体" w:cs="宋体"/>
          <w:color w:val="000000" w:themeColor="text1"/>
          <w:sz w:val="24"/>
          <w:szCs w:val="20"/>
          <w:lang w:val="en-US" w:eastAsia="zh-CN"/>
          <w14:textFill>
            <w14:solidFill>
              <w14:schemeClr w14:val="tx1"/>
            </w14:solidFill>
          </w14:textFill>
        </w:rPr>
        <w:t>按</w:t>
      </w:r>
      <w:r>
        <w:rPr>
          <w:rFonts w:hint="eastAsia" w:ascii="宋体" w:hAnsi="宋体" w:eastAsia="宋体" w:cs="宋体"/>
          <w:color w:val="000000" w:themeColor="text1"/>
          <w:sz w:val="24"/>
          <w:szCs w:val="20"/>
          <w14:textFill>
            <w14:solidFill>
              <w14:schemeClr w14:val="tx1"/>
            </w14:solidFill>
          </w14:textFill>
        </w:rPr>
        <w:t>合同总价款的3‰</w:t>
      </w:r>
      <w:r>
        <w:rPr>
          <w:rFonts w:hint="eastAsia" w:ascii="宋体" w:hAnsi="宋体" w:eastAsia="宋体" w:cs="宋体"/>
          <w:color w:val="000000" w:themeColor="text1"/>
          <w:sz w:val="24"/>
          <w:szCs w:val="20"/>
          <w:lang w:val="en-US" w:eastAsia="zh-CN"/>
          <w14:textFill>
            <w14:solidFill>
              <w14:schemeClr w14:val="tx1"/>
            </w14:solidFill>
          </w14:textFill>
        </w:rPr>
        <w:t>/次标准</w:t>
      </w:r>
      <w:r>
        <w:rPr>
          <w:rFonts w:hint="eastAsia" w:ascii="宋体" w:hAnsi="宋体" w:eastAsia="宋体" w:cs="宋体"/>
          <w:color w:val="000000" w:themeColor="text1"/>
          <w:sz w:val="24"/>
          <w:szCs w:val="20"/>
          <w14:textFill>
            <w14:solidFill>
              <w14:schemeClr w14:val="tx1"/>
            </w14:solidFill>
          </w14:textFill>
        </w:rPr>
        <w:t>从</w:t>
      </w:r>
      <w:r>
        <w:rPr>
          <w:rFonts w:hint="eastAsia" w:ascii="宋体" w:hAnsi="宋体" w:eastAsia="宋体" w:cs="宋体"/>
          <w:color w:val="000000" w:themeColor="text1"/>
          <w:sz w:val="24"/>
          <w:szCs w:val="20"/>
          <w:lang w:val="en-US" w:eastAsia="zh-CN"/>
          <w14:textFill>
            <w14:solidFill>
              <w14:schemeClr w14:val="tx1"/>
            </w14:solidFill>
          </w14:textFill>
        </w:rPr>
        <w:t>乙方费用</w:t>
      </w:r>
      <w:r>
        <w:rPr>
          <w:rFonts w:hint="eastAsia" w:ascii="宋体" w:hAnsi="宋体" w:eastAsia="宋体" w:cs="宋体"/>
          <w:color w:val="000000" w:themeColor="text1"/>
          <w:sz w:val="24"/>
          <w:szCs w:val="20"/>
          <w14:textFill>
            <w14:solidFill>
              <w14:schemeClr w14:val="tx1"/>
            </w14:solidFill>
          </w14:textFill>
        </w:rPr>
        <w:t>中扣除相应金额作为违约金。即使支付了违约金，</w:t>
      </w:r>
      <w:r>
        <w:rPr>
          <w:rFonts w:hint="eastAsia" w:ascii="宋体" w:hAnsi="宋体" w:eastAsia="宋体" w:cs="宋体"/>
          <w:color w:val="000000" w:themeColor="text1"/>
          <w:sz w:val="24"/>
          <w:szCs w:val="20"/>
          <w:lang w:val="en-US" w:eastAsia="zh-CN"/>
          <w14:textFill>
            <w14:solidFill>
              <w14:schemeClr w14:val="tx1"/>
            </w14:solidFill>
          </w14:textFill>
        </w:rPr>
        <w:t>乙方</w:t>
      </w:r>
      <w:r>
        <w:rPr>
          <w:rFonts w:hint="eastAsia" w:ascii="宋体" w:hAnsi="宋体" w:eastAsia="宋体" w:cs="宋体"/>
          <w:color w:val="000000" w:themeColor="text1"/>
          <w:sz w:val="24"/>
          <w:szCs w:val="20"/>
          <w14:textFill>
            <w14:solidFill>
              <w14:schemeClr w14:val="tx1"/>
            </w14:solidFill>
          </w14:textFill>
        </w:rPr>
        <w:t>仍应按合同规定继续履行本合同约定的义务。如单一事项</w:t>
      </w:r>
      <w:r>
        <w:rPr>
          <w:rFonts w:hint="eastAsia" w:ascii="宋体" w:hAnsi="宋体" w:eastAsia="宋体" w:cs="宋体"/>
          <w:color w:val="000000" w:themeColor="text1"/>
          <w:sz w:val="24"/>
          <w:szCs w:val="20"/>
          <w:lang w:val="en-US" w:eastAsia="zh-CN"/>
          <w14:textFill>
            <w14:solidFill>
              <w14:schemeClr w14:val="tx1"/>
            </w14:solidFill>
          </w14:textFill>
        </w:rPr>
        <w:t>乙方</w:t>
      </w:r>
      <w:r>
        <w:rPr>
          <w:rFonts w:hint="eastAsia" w:ascii="宋体" w:hAnsi="宋体" w:eastAsia="宋体" w:cs="宋体"/>
          <w:color w:val="000000" w:themeColor="text1"/>
          <w:sz w:val="24"/>
          <w:szCs w:val="20"/>
          <w14:textFill>
            <w14:solidFill>
              <w14:schemeClr w14:val="tx1"/>
            </w14:solidFill>
          </w14:textFill>
        </w:rPr>
        <w:t>整改后仍达不到本合同要求</w:t>
      </w:r>
      <w:r>
        <w:rPr>
          <w:rFonts w:hint="eastAsia" w:ascii="宋体" w:hAnsi="宋体" w:eastAsia="宋体" w:cs="宋体"/>
          <w:color w:val="000000" w:themeColor="text1"/>
          <w:sz w:val="24"/>
          <w:szCs w:val="20"/>
          <w:lang w:eastAsia="zh-CN"/>
          <w14:textFill>
            <w14:solidFill>
              <w14:schemeClr w14:val="tx1"/>
            </w14:solidFill>
          </w14:textFill>
        </w:rPr>
        <w:t>、</w:t>
      </w:r>
      <w:r>
        <w:rPr>
          <w:rFonts w:hint="eastAsia" w:ascii="宋体" w:hAnsi="宋体" w:eastAsia="宋体" w:cs="宋体"/>
          <w:color w:val="000000" w:themeColor="text1"/>
          <w:sz w:val="24"/>
          <w:szCs w:val="20"/>
          <w:lang w:val="en-US" w:eastAsia="zh-CN"/>
          <w14:textFill>
            <w14:solidFill>
              <w14:schemeClr w14:val="tx1"/>
            </w14:solidFill>
          </w14:textFill>
        </w:rPr>
        <w:t>或已无法进行整改补救且已经造成损失、或</w:t>
      </w:r>
      <w:r>
        <w:rPr>
          <w:rFonts w:hint="eastAsia" w:ascii="宋体" w:hAnsi="宋体" w:eastAsia="宋体" w:cs="宋体"/>
          <w:color w:val="000000" w:themeColor="text1"/>
          <w:sz w:val="24"/>
          <w:szCs w:val="20"/>
          <w14:textFill>
            <w14:solidFill>
              <w14:schemeClr w14:val="tx1"/>
            </w14:solidFill>
          </w14:textFill>
        </w:rPr>
        <w:t>收到</w:t>
      </w:r>
      <w:r>
        <w:rPr>
          <w:rFonts w:hint="eastAsia" w:ascii="宋体" w:hAnsi="宋体" w:eastAsia="宋体" w:cs="宋体"/>
          <w:color w:val="000000" w:themeColor="text1"/>
          <w:sz w:val="24"/>
          <w:szCs w:val="20"/>
          <w:lang w:val="en-US" w:eastAsia="zh-CN"/>
          <w14:textFill>
            <w14:solidFill>
              <w14:schemeClr w14:val="tx1"/>
            </w14:solidFill>
          </w14:textFill>
        </w:rPr>
        <w:t>甲方</w:t>
      </w:r>
      <w:r>
        <w:rPr>
          <w:rFonts w:hint="eastAsia" w:ascii="宋体" w:hAnsi="宋体" w:eastAsia="宋体" w:cs="宋体"/>
          <w:color w:val="000000" w:themeColor="text1"/>
          <w:sz w:val="24"/>
          <w:szCs w:val="20"/>
          <w14:textFill>
            <w14:solidFill>
              <w14:schemeClr w14:val="tx1"/>
            </w14:solidFill>
          </w14:textFill>
        </w:rPr>
        <w:t>整改通知</w:t>
      </w:r>
      <w:r>
        <w:rPr>
          <w:rFonts w:hint="eastAsia" w:ascii="宋体" w:hAnsi="宋体" w:eastAsia="宋体" w:cs="宋体"/>
          <w:color w:val="000000" w:themeColor="text1"/>
          <w:sz w:val="24"/>
          <w:szCs w:val="20"/>
          <w:lang w:val="en-US" w:eastAsia="zh-CN"/>
          <w14:textFill>
            <w14:solidFill>
              <w14:schemeClr w14:val="tx1"/>
            </w14:solidFill>
          </w14:textFill>
        </w:rPr>
        <w:t>两</w:t>
      </w:r>
      <w:r>
        <w:rPr>
          <w:rFonts w:hint="eastAsia" w:ascii="宋体" w:hAnsi="宋体" w:eastAsia="宋体" w:cs="宋体"/>
          <w:color w:val="000000" w:themeColor="text1"/>
          <w:sz w:val="24"/>
          <w:szCs w:val="20"/>
          <w14:textFill>
            <w14:solidFill>
              <w14:schemeClr w14:val="tx1"/>
            </w14:solidFill>
          </w14:textFill>
        </w:rPr>
        <w:t>次后仍拒不整改</w:t>
      </w:r>
      <w:r>
        <w:rPr>
          <w:rFonts w:hint="eastAsia" w:ascii="宋体" w:hAnsi="宋体" w:eastAsia="宋体" w:cs="宋体"/>
          <w:color w:val="000000" w:themeColor="text1"/>
          <w:sz w:val="24"/>
          <w:szCs w:val="20"/>
          <w:lang w:val="en-US" w:eastAsia="zh-CN"/>
          <w14:textFill>
            <w14:solidFill>
              <w14:schemeClr w14:val="tx1"/>
            </w14:solidFill>
          </w14:textFill>
        </w:rPr>
        <w:t>的</w:t>
      </w:r>
      <w:r>
        <w:rPr>
          <w:rFonts w:hint="eastAsia" w:ascii="宋体" w:hAnsi="宋体" w:eastAsia="宋体" w:cs="宋体"/>
          <w:color w:val="000000" w:themeColor="text1"/>
          <w:sz w:val="24"/>
          <w:szCs w:val="20"/>
          <w:lang w:eastAsia="zh-CN"/>
          <w14:textFill>
            <w14:solidFill>
              <w14:schemeClr w14:val="tx1"/>
            </w14:solidFill>
          </w14:textFill>
        </w:rPr>
        <w:t>，</w:t>
      </w:r>
      <w:r>
        <w:rPr>
          <w:rFonts w:hint="eastAsia" w:ascii="宋体" w:hAnsi="宋体" w:eastAsia="宋体" w:cs="宋体"/>
          <w:color w:val="000000" w:themeColor="text1"/>
          <w:sz w:val="24"/>
          <w:szCs w:val="20"/>
          <w:lang w:val="en-US" w:eastAsia="zh-CN"/>
          <w14:textFill>
            <w14:solidFill>
              <w14:schemeClr w14:val="tx1"/>
            </w14:solidFill>
          </w14:textFill>
        </w:rPr>
        <w:t>甲方</w:t>
      </w:r>
      <w:r>
        <w:rPr>
          <w:rFonts w:hint="eastAsia" w:ascii="宋体" w:hAnsi="宋体" w:eastAsia="宋体" w:cs="宋体"/>
          <w:color w:val="000000" w:themeColor="text1"/>
          <w:sz w:val="24"/>
          <w:szCs w:val="20"/>
          <w14:textFill>
            <w14:solidFill>
              <w14:schemeClr w14:val="tx1"/>
            </w14:solidFill>
          </w14:textFill>
        </w:rPr>
        <w:t>有权单方解除本合同，</w:t>
      </w:r>
      <w:r>
        <w:rPr>
          <w:rFonts w:hint="eastAsia" w:ascii="宋体" w:hAnsi="宋体" w:eastAsia="宋体" w:cs="宋体"/>
          <w:color w:val="000000" w:themeColor="text1"/>
          <w:sz w:val="24"/>
          <w:szCs w:val="20"/>
          <w:lang w:val="en-US" w:eastAsia="zh-CN"/>
          <w14:textFill>
            <w14:solidFill>
              <w14:schemeClr w14:val="tx1"/>
            </w14:solidFill>
          </w14:textFill>
        </w:rPr>
        <w:t>乙方款项</w:t>
      </w:r>
      <w:r>
        <w:rPr>
          <w:rFonts w:hint="eastAsia" w:ascii="宋体" w:hAnsi="宋体" w:eastAsia="宋体" w:cs="宋体"/>
          <w:color w:val="000000" w:themeColor="text1"/>
          <w:sz w:val="24"/>
          <w:szCs w:val="20"/>
          <w14:textFill>
            <w14:solidFill>
              <w14:schemeClr w14:val="tx1"/>
            </w14:solidFill>
          </w14:textFill>
        </w:rPr>
        <w:t>按实结算，</w:t>
      </w:r>
      <w:r>
        <w:rPr>
          <w:rFonts w:hint="eastAsia" w:ascii="宋体" w:hAnsi="宋体" w:eastAsia="宋体" w:cs="宋体"/>
          <w:color w:val="000000" w:themeColor="text1"/>
          <w:sz w:val="24"/>
          <w:szCs w:val="20"/>
          <w:lang w:val="en-US" w:eastAsia="zh-CN"/>
          <w14:textFill>
            <w14:solidFill>
              <w14:schemeClr w14:val="tx1"/>
            </w14:solidFill>
          </w14:textFill>
        </w:rPr>
        <w:t>多退少补。</w:t>
      </w:r>
      <w:r>
        <w:rPr>
          <w:rFonts w:hint="eastAsia" w:ascii="宋体" w:hAnsi="宋体" w:eastAsia="宋体" w:cs="宋体"/>
          <w:color w:val="000000" w:themeColor="text1"/>
          <w:sz w:val="24"/>
          <w:szCs w:val="20"/>
          <w14:textFill>
            <w14:solidFill>
              <w14:schemeClr w14:val="tx1"/>
            </w14:solidFill>
          </w14:textFill>
        </w:rPr>
        <w:t>同时，</w:t>
      </w:r>
      <w:r>
        <w:rPr>
          <w:rFonts w:hint="eastAsia" w:ascii="宋体" w:hAnsi="宋体" w:eastAsia="宋体" w:cs="宋体"/>
          <w:color w:val="000000" w:themeColor="text1"/>
          <w:sz w:val="24"/>
          <w:szCs w:val="20"/>
          <w:lang w:val="en-US" w:eastAsia="zh-CN"/>
          <w14:textFill>
            <w14:solidFill>
              <w14:schemeClr w14:val="tx1"/>
            </w14:solidFill>
          </w14:textFill>
        </w:rPr>
        <w:t>乙方</w:t>
      </w:r>
      <w:r>
        <w:rPr>
          <w:rFonts w:hint="eastAsia" w:ascii="宋体" w:hAnsi="宋体" w:eastAsia="宋体" w:cs="宋体"/>
          <w:color w:val="000000" w:themeColor="text1"/>
          <w:sz w:val="24"/>
          <w:szCs w:val="20"/>
          <w14:textFill>
            <w14:solidFill>
              <w14:schemeClr w14:val="tx1"/>
            </w14:solidFill>
          </w14:textFill>
        </w:rPr>
        <w:t>须承担本合同暂定总价金额</w:t>
      </w:r>
      <w:r>
        <w:rPr>
          <w:rFonts w:hint="eastAsia" w:ascii="宋体" w:hAnsi="宋体" w:eastAsia="宋体" w:cs="宋体"/>
          <w:color w:val="000000" w:themeColor="text1"/>
          <w:sz w:val="24"/>
          <w:szCs w:val="20"/>
          <w:lang w:val="en-US" w:eastAsia="zh-CN"/>
          <w14:textFill>
            <w14:solidFill>
              <w14:schemeClr w14:val="tx1"/>
            </w14:solidFill>
          </w14:textFill>
        </w:rPr>
        <w:t>10</w:t>
      </w:r>
      <w:r>
        <w:rPr>
          <w:rFonts w:hint="eastAsia" w:ascii="宋体" w:hAnsi="宋体" w:eastAsia="宋体" w:cs="宋体"/>
          <w:color w:val="000000" w:themeColor="text1"/>
          <w:sz w:val="24"/>
          <w:szCs w:val="20"/>
          <w14:textFill>
            <w14:solidFill>
              <w14:schemeClr w14:val="tx1"/>
            </w14:solidFill>
          </w14:textFill>
        </w:rPr>
        <w:t>%的违约金</w:t>
      </w:r>
      <w:r>
        <w:rPr>
          <w:rFonts w:hint="eastAsia" w:ascii="宋体" w:hAnsi="宋体" w:eastAsia="宋体" w:cs="宋体"/>
          <w:color w:val="000000" w:themeColor="text1"/>
          <w:sz w:val="24"/>
          <w:szCs w:val="20"/>
          <w:lang w:eastAsia="zh-CN"/>
          <w14:textFill>
            <w14:solidFill>
              <w14:schemeClr w14:val="tx1"/>
            </w14:solidFill>
          </w14:textFill>
        </w:rPr>
        <w:t>，</w:t>
      </w:r>
      <w:r>
        <w:rPr>
          <w:rFonts w:hint="eastAsia" w:ascii="宋体" w:hAnsi="宋体" w:eastAsia="宋体" w:cs="宋体"/>
          <w:color w:val="000000" w:themeColor="text1"/>
          <w:sz w:val="24"/>
          <w:szCs w:val="20"/>
          <w:lang w:val="en-US" w:eastAsia="zh-CN"/>
          <w14:textFill>
            <w14:solidFill>
              <w14:schemeClr w14:val="tx1"/>
            </w14:solidFill>
          </w14:textFill>
        </w:rPr>
        <w:t>且乙方</w:t>
      </w:r>
      <w:r>
        <w:rPr>
          <w:rFonts w:hint="eastAsia" w:ascii="宋体" w:hAnsi="宋体" w:eastAsia="宋体" w:cs="宋体"/>
          <w:color w:val="000000" w:themeColor="text1"/>
          <w:sz w:val="24"/>
          <w:szCs w:val="20"/>
          <w14:textFill>
            <w14:solidFill>
              <w14:schemeClr w14:val="tx1"/>
            </w14:solidFill>
          </w14:textFill>
        </w:rPr>
        <w:t>须赔偿甲方由此而产生的一切经济损失。如对特定违约情形有特定违约责任约定的，且与本条约定冲突的，适用该特别约定；如无特别约定的或虽有特别约定但与本条不冲突的，均适用本条原则兜底处理。</w:t>
      </w:r>
    </w:p>
    <w:p w14:paraId="7726498F">
      <w:pPr>
        <w:pStyle w:val="3"/>
        <w:spacing w:line="360" w:lineRule="auto"/>
        <w:ind w:left="440" w:hanging="440"/>
        <w:rPr>
          <w:rFonts w:ascii="宋体" w:hAnsi="宋体" w:eastAsia="宋体" w:cs="宋体"/>
          <w:color w:val="000000" w:themeColor="text1"/>
          <w:sz w:val="24"/>
          <w:szCs w:val="24"/>
          <w14:textFill>
            <w14:solidFill>
              <w14:schemeClr w14:val="tx1"/>
            </w14:solidFill>
          </w14:textFill>
        </w:rPr>
      </w:pPr>
      <w:bookmarkStart w:id="30" w:name="_Toc9844"/>
      <w:bookmarkStart w:id="31" w:name="_Toc20213"/>
      <w:r>
        <w:rPr>
          <w:rFonts w:hint="eastAsia" w:ascii="宋体" w:hAnsi="宋体" w:eastAsia="宋体" w:cs="宋体"/>
          <w:color w:val="000000" w:themeColor="text1"/>
          <w:sz w:val="24"/>
          <w:szCs w:val="24"/>
          <w14:textFill>
            <w14:solidFill>
              <w14:schemeClr w14:val="tx1"/>
            </w14:solidFill>
          </w14:textFill>
        </w:rPr>
        <w:t>11.不可抗力</w:t>
      </w:r>
      <w:bookmarkEnd w:id="30"/>
      <w:bookmarkEnd w:id="31"/>
    </w:p>
    <w:p w14:paraId="12E0F747">
      <w:pPr>
        <w:pStyle w:val="28"/>
        <w:numPr>
          <w:ilvl w:val="1"/>
          <w:numId w:val="10"/>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在本合同履约过程中，不可抗力事件包括因战争、敌对行动（无论是否宣战）、入侵、外敌行为、军事政变、恐怖主义、骚乱、暴动、空中飞行物坠落或其它非合同双方当事人责任或原因造成的罢工、停工、爆炸、火灾等，以及：</w:t>
      </w:r>
    </w:p>
    <w:p w14:paraId="5B7B09E0">
      <w:pPr>
        <w:pStyle w:val="28"/>
        <w:numPr>
          <w:ilvl w:val="0"/>
          <w:numId w:val="11"/>
        </w:numPr>
        <w:spacing w:line="360" w:lineRule="auto"/>
        <w:ind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暴雨红色预警信号、高温红色预警信号、雷雨橙色预警信号及台风黄色预警信号及其以上的恶劣气候，且直接影响本工程关键路线工作无法正常施工的情形；</w:t>
      </w:r>
    </w:p>
    <w:p w14:paraId="1A36C13A">
      <w:pPr>
        <w:pStyle w:val="28"/>
        <w:numPr>
          <w:ilvl w:val="0"/>
          <w:numId w:val="11"/>
        </w:numPr>
        <w:spacing w:line="360" w:lineRule="auto"/>
        <w:ind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当地地震部门规定可列入不可抗力的情形；</w:t>
      </w:r>
    </w:p>
    <w:p w14:paraId="419F824C">
      <w:pPr>
        <w:pStyle w:val="28"/>
        <w:numPr>
          <w:ilvl w:val="0"/>
          <w:numId w:val="11"/>
        </w:numPr>
        <w:spacing w:line="360" w:lineRule="auto"/>
        <w:ind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当地卫生部门规定可列入不可抗力、直接影响本工程无法正常施工的情形；</w:t>
      </w:r>
    </w:p>
    <w:p w14:paraId="1F56683E">
      <w:pPr>
        <w:pStyle w:val="28"/>
        <w:numPr>
          <w:ilvl w:val="0"/>
          <w:numId w:val="11"/>
        </w:numPr>
        <w:spacing w:line="360" w:lineRule="auto"/>
        <w:ind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当地建设行政主管部门要求的区域性停工（由承包人引起的除外）。</w:t>
      </w:r>
    </w:p>
    <w:p w14:paraId="50E9C2B4">
      <w:pPr>
        <w:pStyle w:val="43"/>
        <w:tabs>
          <w:tab w:val="left" w:pos="426"/>
        </w:tabs>
        <w:adjustRightInd/>
        <w:spacing w:before="0" w:after="120" w:line="360" w:lineRule="auto"/>
        <w:ind w:left="840" w:right="0"/>
        <w:rPr>
          <w:rFonts w:ascii="宋体" w:hAnsi="宋体" w:cs="宋体"/>
          <w:szCs w:val="24"/>
        </w:rPr>
      </w:pPr>
      <w:r>
        <w:rPr>
          <w:rFonts w:hint="eastAsia" w:ascii="宋体" w:hAnsi="宋体" w:cs="宋体"/>
          <w:szCs w:val="24"/>
        </w:rPr>
        <w:t>乙方向有关主管部门索取有关的资料或报告，连同施工日志、施工现场照片办理证据保存完整，方可认定为是不可抗力。</w:t>
      </w:r>
    </w:p>
    <w:p w14:paraId="32DF455D">
      <w:pPr>
        <w:pStyle w:val="28"/>
        <w:numPr>
          <w:ilvl w:val="1"/>
          <w:numId w:val="10"/>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sz w:val="24"/>
          <w:szCs w:val="24"/>
        </w:rPr>
        <w:t>不可抗力事件发生后，乙方应立即通知甲方，在力所能及的条件下迅速采取措施，尽力</w:t>
      </w:r>
      <w:r>
        <w:rPr>
          <w:rFonts w:hint="eastAsia" w:ascii="宋体" w:hAnsi="宋体" w:eastAsia="宋体" w:cs="宋体"/>
          <w:color w:val="000000" w:themeColor="text1"/>
          <w:sz w:val="24"/>
          <w:szCs w:val="24"/>
          <w14:textFill>
            <w14:solidFill>
              <w14:schemeClr w14:val="tx1"/>
            </w14:solidFill>
          </w14:textFill>
        </w:rPr>
        <w:t>减少损失，</w:t>
      </w:r>
      <w:r>
        <w:rPr>
          <w:rFonts w:hint="eastAsia" w:ascii="宋体" w:hAnsi="宋体" w:eastAsia="宋体" w:cs="宋体"/>
          <w:color w:val="000000" w:themeColor="text1"/>
          <w:sz w:val="24"/>
          <w:szCs w:val="20"/>
          <w14:textFill>
            <w14:solidFill>
              <w14:schemeClr w14:val="tx1"/>
            </w14:solidFill>
          </w14:textFill>
        </w:rPr>
        <w:t>甲方应协助乙方采取措施。不可抗力事件结束后48小时内，乙方向甲方通报受害情况和损失情况，及预计清理和修复的费用。不可抗力事件持续发生，乙方应每隔7日历天向甲方报告一次受害情况。不可抗力事件结束后14日历天内，乙方向甲方提交清理和修复费用的正式报告及有关资料。</w:t>
      </w:r>
    </w:p>
    <w:p w14:paraId="3A74CFAF">
      <w:pPr>
        <w:pStyle w:val="28"/>
        <w:numPr>
          <w:ilvl w:val="1"/>
          <w:numId w:val="10"/>
        </w:numPr>
        <w:spacing w:line="360" w:lineRule="auto"/>
        <w:ind w:left="567"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因不可抗力事件导致的费用由双方按以下方法分别承担：</w:t>
      </w:r>
    </w:p>
    <w:p w14:paraId="2E5050AE">
      <w:pPr>
        <w:pStyle w:val="28"/>
        <w:numPr>
          <w:ilvl w:val="0"/>
          <w:numId w:val="12"/>
        </w:numPr>
        <w:spacing w:line="360" w:lineRule="auto"/>
        <w:ind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工程本身(施工质量未达标准除外)的损害、因工程损害导致第三者人员伤亡和财产损失以及运至施工场地用于施工的材料和待安装的设备的损害、清理、修复费用，由甲方承担；</w:t>
      </w:r>
    </w:p>
    <w:p w14:paraId="5A33F076">
      <w:pPr>
        <w:pStyle w:val="28"/>
        <w:numPr>
          <w:ilvl w:val="0"/>
          <w:numId w:val="12"/>
        </w:numPr>
        <w:spacing w:line="360" w:lineRule="auto"/>
        <w:ind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乙方人员伤亡由其所在单位负责，并承担相应费用；</w:t>
      </w:r>
    </w:p>
    <w:p w14:paraId="159CC320">
      <w:pPr>
        <w:pStyle w:val="28"/>
        <w:numPr>
          <w:ilvl w:val="0"/>
          <w:numId w:val="12"/>
        </w:numPr>
        <w:spacing w:line="360" w:lineRule="auto"/>
        <w:ind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乙方机械设备损坏及停工损失，由乙方承担；</w:t>
      </w:r>
    </w:p>
    <w:p w14:paraId="39F65773">
      <w:pPr>
        <w:pStyle w:val="28"/>
        <w:numPr>
          <w:ilvl w:val="0"/>
          <w:numId w:val="12"/>
        </w:numPr>
        <w:spacing w:line="360" w:lineRule="auto"/>
        <w:ind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停工期间，乙方应甲方要求留在施工场地的必要的管理人员及保卫人员的费用由乙方承担；</w:t>
      </w:r>
    </w:p>
    <w:p w14:paraId="3A85B2CA">
      <w:pPr>
        <w:pStyle w:val="28"/>
        <w:numPr>
          <w:ilvl w:val="0"/>
          <w:numId w:val="12"/>
        </w:numPr>
        <w:spacing w:line="360" w:lineRule="auto"/>
        <w:ind w:firstLineChars="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因合同一方迟延履行合同后发生不可抗力的，不能免除迟延履行方的相应责任。</w:t>
      </w:r>
    </w:p>
    <w:p w14:paraId="178B3FC3">
      <w:pPr>
        <w:pStyle w:val="3"/>
        <w:ind w:left="425" w:hanging="425" w:firstLineChars="0"/>
        <w:rPr>
          <w:rFonts w:ascii="宋体" w:hAnsi="宋体" w:eastAsia="宋体" w:cs="宋体"/>
          <w:color w:val="000000" w:themeColor="text1"/>
          <w:sz w:val="24"/>
          <w:szCs w:val="20"/>
          <w14:textFill>
            <w14:solidFill>
              <w14:schemeClr w14:val="tx1"/>
            </w14:solidFill>
          </w14:textFill>
        </w:rPr>
      </w:pPr>
      <w:bookmarkStart w:id="32" w:name="_Toc2853"/>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lang w:val="en-US" w:eastAsia="zh-CN"/>
          <w14:textFill>
            <w14:solidFill>
              <w14:schemeClr w14:val="tx1"/>
            </w14:solidFill>
          </w14:textFill>
        </w:rPr>
        <w:t>知识产权与保密</w:t>
      </w:r>
      <w:bookmarkEnd w:id="32"/>
    </w:p>
    <w:p w14:paraId="28727904">
      <w:pPr>
        <w:adjustRightInd w:val="0"/>
        <w:snapToGrid w:val="0"/>
        <w:spacing w:line="360" w:lineRule="auto"/>
        <w:ind w:firstLine="480" w:firstLineChars="200"/>
        <w:rPr>
          <w:rFonts w:ascii="宋体"/>
          <w:sz w:val="24"/>
          <w:szCs w:val="24"/>
        </w:rPr>
      </w:pPr>
      <w:r>
        <w:rPr>
          <w:rFonts w:hint="eastAsia" w:ascii="宋体" w:hAnsi="宋体"/>
          <w:sz w:val="24"/>
          <w:szCs w:val="24"/>
          <w:lang w:val="en-US" w:eastAsia="zh-CN"/>
        </w:rPr>
        <w:t>12</w:t>
      </w:r>
      <w:r>
        <w:rPr>
          <w:rFonts w:ascii="宋体" w:hAnsi="宋体"/>
          <w:sz w:val="24"/>
          <w:szCs w:val="24"/>
        </w:rPr>
        <w:t>.</w:t>
      </w:r>
      <w:r>
        <w:rPr>
          <w:rFonts w:hint="eastAsia" w:ascii="宋体" w:hAnsi="宋体"/>
          <w:sz w:val="24"/>
          <w:szCs w:val="24"/>
        </w:rPr>
        <w:t>1在本合同签订后，</w:t>
      </w:r>
      <w:r>
        <w:rPr>
          <w:rFonts w:hint="eastAsia" w:ascii="宋体" w:hAnsi="宋体"/>
          <w:sz w:val="24"/>
          <w:szCs w:val="24"/>
          <w:lang w:val="en-US" w:eastAsia="zh-CN"/>
        </w:rPr>
        <w:t>除非</w:t>
      </w:r>
      <w:r>
        <w:rPr>
          <w:rFonts w:hint="eastAsia" w:ascii="宋体" w:hAnsi="宋体"/>
          <w:sz w:val="24"/>
          <w:szCs w:val="24"/>
        </w:rPr>
        <w:t>经甲方书面同意，乙方</w:t>
      </w:r>
      <w:r>
        <w:rPr>
          <w:rFonts w:hint="eastAsia" w:ascii="宋体" w:hAnsi="宋体"/>
          <w:sz w:val="24"/>
          <w:szCs w:val="24"/>
          <w:lang w:val="en-US" w:eastAsia="zh-CN"/>
        </w:rPr>
        <w:t>不得</w:t>
      </w:r>
      <w:r>
        <w:rPr>
          <w:rFonts w:hint="eastAsia" w:ascii="宋体" w:hAnsi="宋体"/>
          <w:sz w:val="24"/>
          <w:szCs w:val="24"/>
        </w:rPr>
        <w:t>使用甲方及该项目的名称和标志，</w:t>
      </w:r>
      <w:r>
        <w:rPr>
          <w:rFonts w:hint="eastAsia" w:ascii="宋体" w:hAnsi="宋体"/>
          <w:sz w:val="24"/>
          <w:szCs w:val="24"/>
          <w:lang w:val="en-US" w:eastAsia="zh-CN"/>
        </w:rPr>
        <w:t>也不得</w:t>
      </w:r>
      <w:r>
        <w:rPr>
          <w:rFonts w:hint="eastAsia" w:ascii="宋体" w:hAnsi="宋体"/>
          <w:sz w:val="24"/>
          <w:szCs w:val="24"/>
        </w:rPr>
        <w:t>公开地</w:t>
      </w:r>
      <w:r>
        <w:rPr>
          <w:rFonts w:hint="eastAsia" w:ascii="宋体" w:hAnsi="宋体"/>
          <w:sz w:val="24"/>
          <w:szCs w:val="24"/>
          <w:lang w:val="en-US" w:eastAsia="zh-CN"/>
        </w:rPr>
        <w:t>介绍</w:t>
      </w:r>
      <w:r>
        <w:rPr>
          <w:rFonts w:hint="eastAsia" w:ascii="宋体" w:hAnsi="宋体"/>
          <w:sz w:val="24"/>
          <w:szCs w:val="24"/>
        </w:rPr>
        <w:t>乙方在本合同范围完成的成果。</w:t>
      </w:r>
    </w:p>
    <w:p w14:paraId="129F339C">
      <w:pPr>
        <w:adjustRightInd w:val="0"/>
        <w:snapToGrid w:val="0"/>
        <w:spacing w:line="360" w:lineRule="auto"/>
        <w:ind w:firstLine="480" w:firstLineChars="200"/>
        <w:rPr>
          <w:rFonts w:ascii="宋体"/>
          <w:sz w:val="24"/>
          <w:szCs w:val="24"/>
        </w:rPr>
      </w:pPr>
      <w:r>
        <w:rPr>
          <w:rFonts w:hint="eastAsia" w:ascii="宋体" w:hAnsi="宋体" w:cs="宋体"/>
          <w:kern w:val="0"/>
          <w:sz w:val="24"/>
          <w:lang w:val="en-US" w:eastAsia="zh-CN"/>
        </w:rPr>
        <w:t>12</w:t>
      </w:r>
      <w:r>
        <w:rPr>
          <w:rFonts w:hint="eastAsia" w:ascii="宋体" w:hAnsi="宋体" w:cs="宋体"/>
          <w:kern w:val="0"/>
          <w:sz w:val="24"/>
        </w:rPr>
        <w:t>.2本合同成果</w:t>
      </w:r>
      <w:r>
        <w:rPr>
          <w:rFonts w:hint="eastAsia" w:ascii="宋体" w:hAnsi="宋体" w:cs="宋体"/>
          <w:kern w:val="0"/>
          <w:sz w:val="24"/>
          <w:lang w:val="en-US" w:eastAsia="zh-CN"/>
        </w:rPr>
        <w:t>文件及过程性文件（无论合同是完整履行完毕还是提前终止）</w:t>
      </w:r>
      <w:r>
        <w:rPr>
          <w:rFonts w:hint="eastAsia" w:ascii="宋体" w:hAnsi="宋体" w:cs="宋体"/>
          <w:kern w:val="0"/>
          <w:sz w:val="24"/>
        </w:rPr>
        <w:t>，知识产权及所有权归甲方所有，未经甲方书面同意，乙方不得擅自修改、复制或向第三人转让或用于本合同之外的任何目的。</w:t>
      </w:r>
    </w:p>
    <w:p w14:paraId="51F55288">
      <w:pPr>
        <w:adjustRightInd w:val="0"/>
        <w:snapToGrid w:val="0"/>
        <w:spacing w:line="360" w:lineRule="auto"/>
        <w:ind w:firstLine="480" w:firstLineChars="200"/>
        <w:rPr>
          <w:rFonts w:ascii="宋体"/>
          <w:sz w:val="24"/>
          <w:szCs w:val="24"/>
        </w:rPr>
      </w:pPr>
      <w:r>
        <w:rPr>
          <w:rFonts w:hint="eastAsia" w:ascii="宋体" w:hAnsi="宋体"/>
          <w:sz w:val="24"/>
          <w:szCs w:val="24"/>
          <w:lang w:val="en-US" w:eastAsia="zh-CN"/>
        </w:rPr>
        <w:t>12</w:t>
      </w:r>
      <w:r>
        <w:rPr>
          <w:rFonts w:hint="eastAsia" w:ascii="宋体" w:hAnsi="宋体"/>
          <w:sz w:val="24"/>
          <w:szCs w:val="24"/>
        </w:rPr>
        <w:t>.3乙方应保证其向甲方提交的工作成果（包括各阶段成果）不侵犯第三人的知识产权及合法权益。甲方因使用乙方提交的成果被第三人指控侵权、提出异议或权利主张的，乙方应当积极协助解决，并赔偿由此给甲方造成的全部损失。</w:t>
      </w:r>
    </w:p>
    <w:p w14:paraId="1191C7AF">
      <w:pPr>
        <w:adjustRightInd w:val="0"/>
        <w:snapToGrid w:val="0"/>
        <w:spacing w:line="360" w:lineRule="auto"/>
        <w:ind w:firstLine="480" w:firstLineChars="200"/>
        <w:rPr>
          <w:rFonts w:hint="eastAsia" w:ascii="宋体" w:hAnsi="宋体" w:eastAsiaTheme="minorEastAsia"/>
          <w:sz w:val="24"/>
          <w:szCs w:val="24"/>
          <w:lang w:val="en-US" w:eastAsia="zh-CN"/>
        </w:rPr>
      </w:pPr>
      <w:r>
        <w:rPr>
          <w:rFonts w:hint="eastAsia" w:ascii="宋体" w:hAnsi="宋体"/>
          <w:sz w:val="24"/>
          <w:szCs w:val="24"/>
          <w:lang w:val="en-US" w:eastAsia="zh-CN"/>
        </w:rPr>
        <w:t>12</w:t>
      </w:r>
      <w:r>
        <w:rPr>
          <w:rFonts w:hint="eastAsia" w:ascii="宋体" w:hAnsi="宋体"/>
          <w:sz w:val="24"/>
          <w:szCs w:val="24"/>
        </w:rPr>
        <w:t>.4乙方为履行本合同而向甲方提供的本项目成果，甲方享有其著作权包括：修改权、复制权、改编权、转让权、翻译权</w:t>
      </w:r>
      <w:r>
        <w:rPr>
          <w:rFonts w:hint="eastAsia" w:ascii="宋体" w:hAnsi="宋体"/>
          <w:sz w:val="24"/>
          <w:szCs w:val="24"/>
          <w:lang w:val="en-US" w:eastAsia="zh-CN"/>
        </w:rPr>
        <w:t>等</w:t>
      </w:r>
      <w:r>
        <w:rPr>
          <w:rFonts w:hint="eastAsia" w:ascii="宋体" w:hAnsi="宋体"/>
          <w:sz w:val="24"/>
          <w:szCs w:val="24"/>
        </w:rPr>
        <w:t>，乙方享有其著作权包括：发表权、署名权。对于乙方向甲方提供的本项目成果，甲方有权在本合同范围内使用该资料。未经甲方书面同意，乙方不得将交付给甲方的资料向第三方</w:t>
      </w:r>
      <w:r>
        <w:rPr>
          <w:rFonts w:hint="eastAsia" w:ascii="宋体" w:hAnsi="宋体"/>
          <w:sz w:val="24"/>
          <w:szCs w:val="24"/>
          <w:lang w:eastAsia="zh-CN"/>
        </w:rPr>
        <w:t>透露</w:t>
      </w:r>
      <w:r>
        <w:rPr>
          <w:rFonts w:hint="eastAsia" w:ascii="宋体" w:hAnsi="宋体"/>
          <w:sz w:val="24"/>
          <w:szCs w:val="24"/>
        </w:rPr>
        <w:t>、转让或用于本合同外的项目</w:t>
      </w:r>
      <w:r>
        <w:rPr>
          <w:rFonts w:hint="eastAsia" w:ascii="宋体" w:hAnsi="宋体"/>
          <w:sz w:val="24"/>
          <w:szCs w:val="24"/>
          <w:lang w:val="en-US" w:eastAsia="zh-CN"/>
        </w:rPr>
        <w:t>。</w:t>
      </w:r>
    </w:p>
    <w:p w14:paraId="74D60398">
      <w:pPr>
        <w:adjustRightInd w:val="0"/>
        <w:snapToGrid w:val="0"/>
        <w:spacing w:line="360" w:lineRule="auto"/>
        <w:ind w:firstLine="480" w:firstLineChars="200"/>
        <w:rPr>
          <w:rFonts w:hint="eastAsia" w:ascii="宋体" w:hAnsi="宋体"/>
          <w:sz w:val="24"/>
          <w:szCs w:val="24"/>
          <w:lang w:eastAsia="zh-CN"/>
        </w:rPr>
      </w:pPr>
      <w:r>
        <w:rPr>
          <w:rFonts w:hint="eastAsia" w:ascii="宋体" w:hAnsi="宋体"/>
          <w:sz w:val="24"/>
          <w:szCs w:val="24"/>
          <w:lang w:val="en-US" w:eastAsia="zh-CN"/>
        </w:rPr>
        <w:t>12</w:t>
      </w:r>
      <w:r>
        <w:rPr>
          <w:rFonts w:ascii="宋体" w:hAnsi="宋体"/>
          <w:sz w:val="24"/>
          <w:szCs w:val="24"/>
        </w:rPr>
        <w:t>.</w:t>
      </w:r>
      <w:r>
        <w:rPr>
          <w:rFonts w:hint="eastAsia" w:ascii="宋体" w:hAnsi="宋体"/>
          <w:sz w:val="24"/>
          <w:szCs w:val="24"/>
        </w:rPr>
        <w:t>5乙方对甲方提供资料和信息承担保密义务。项目结束时，乙方应返还甲方为本项目提供的相关资料</w:t>
      </w:r>
      <w:r>
        <w:rPr>
          <w:rFonts w:hint="eastAsia" w:ascii="宋体" w:hAnsi="宋体"/>
          <w:sz w:val="24"/>
          <w:szCs w:val="24"/>
          <w:lang w:eastAsia="zh-CN"/>
        </w:rPr>
        <w:t>。</w:t>
      </w:r>
      <w:r>
        <w:rPr>
          <w:rFonts w:hint="eastAsia" w:ascii="宋体" w:hAnsi="宋体"/>
          <w:sz w:val="24"/>
          <w:szCs w:val="24"/>
          <w:lang w:val="en-US" w:eastAsia="zh-CN"/>
        </w:rPr>
        <w:t>乙方</w:t>
      </w:r>
      <w:r>
        <w:rPr>
          <w:rFonts w:hint="eastAsia" w:ascii="宋体" w:hAnsi="宋体"/>
          <w:sz w:val="24"/>
          <w:szCs w:val="24"/>
        </w:rPr>
        <w:t>对已掌握的上述信息应予保密，如需公开、援引或向其他第三方提供，需经甲方书面同意。未经甲方书面同意，乙方不得将甲方交付给乙方的资料向第三方</w:t>
      </w:r>
      <w:r>
        <w:rPr>
          <w:rFonts w:hint="eastAsia" w:ascii="宋体" w:hAnsi="宋体"/>
          <w:sz w:val="24"/>
          <w:szCs w:val="24"/>
          <w:lang w:eastAsia="zh-CN"/>
        </w:rPr>
        <w:t>透露</w:t>
      </w:r>
      <w:r>
        <w:rPr>
          <w:rFonts w:hint="eastAsia" w:ascii="宋体" w:hAnsi="宋体"/>
          <w:sz w:val="24"/>
          <w:szCs w:val="24"/>
        </w:rPr>
        <w:t>、转让或用于本合同外的项目</w:t>
      </w:r>
      <w:r>
        <w:rPr>
          <w:rFonts w:hint="eastAsia" w:ascii="宋体" w:hAnsi="宋体"/>
          <w:sz w:val="24"/>
          <w:szCs w:val="24"/>
          <w:lang w:eastAsia="zh-CN"/>
        </w:rPr>
        <w:t>。</w:t>
      </w:r>
    </w:p>
    <w:p w14:paraId="430FA99A">
      <w:pPr>
        <w:adjustRightInd w:val="0"/>
        <w:snapToGrid w:val="0"/>
        <w:spacing w:line="360" w:lineRule="auto"/>
        <w:ind w:firstLine="480" w:firstLineChars="200"/>
        <w:rPr>
          <w:rFonts w:ascii="宋体" w:hAnsi="宋体"/>
          <w:sz w:val="24"/>
          <w:szCs w:val="24"/>
        </w:rPr>
      </w:pPr>
      <w:r>
        <w:rPr>
          <w:rFonts w:hint="eastAsia" w:ascii="宋体" w:hAnsi="宋体"/>
          <w:sz w:val="24"/>
          <w:szCs w:val="24"/>
          <w:lang w:val="en-US" w:eastAsia="zh-CN"/>
        </w:rPr>
        <w:t>12.6</w:t>
      </w:r>
      <w:r>
        <w:rPr>
          <w:rFonts w:hint="eastAsia" w:ascii="宋体" w:hAnsi="宋体"/>
          <w:sz w:val="24"/>
          <w:szCs w:val="24"/>
        </w:rPr>
        <w:t>如</w:t>
      </w:r>
      <w:r>
        <w:rPr>
          <w:rFonts w:hint="eastAsia" w:ascii="宋体" w:hAnsi="宋体"/>
          <w:sz w:val="24"/>
          <w:szCs w:val="24"/>
          <w:lang w:val="en-US" w:eastAsia="zh-CN"/>
        </w:rPr>
        <w:t>乙方违反保密义务，</w:t>
      </w:r>
      <w:r>
        <w:rPr>
          <w:rFonts w:hint="eastAsia" w:ascii="宋体" w:hAnsi="宋体"/>
          <w:sz w:val="24"/>
          <w:szCs w:val="24"/>
        </w:rPr>
        <w:t>应当向甲方赔偿由此给甲方造成的全部损失，如损失额无法认定的，则以相当于合同</w:t>
      </w:r>
      <w:r>
        <w:rPr>
          <w:rFonts w:hint="eastAsia" w:ascii="宋体" w:hAnsi="宋体"/>
          <w:sz w:val="24"/>
          <w:szCs w:val="24"/>
          <w:lang w:val="en-US" w:eastAsia="zh-CN"/>
        </w:rPr>
        <w:t>暂定</w:t>
      </w:r>
      <w:r>
        <w:rPr>
          <w:rFonts w:hint="eastAsia" w:ascii="宋体" w:hAnsi="宋体"/>
          <w:sz w:val="24"/>
          <w:szCs w:val="24"/>
        </w:rPr>
        <w:t>总价</w:t>
      </w:r>
      <w:r>
        <w:rPr>
          <w:rFonts w:ascii="宋体" w:hAnsi="宋体"/>
          <w:sz w:val="24"/>
          <w:szCs w:val="24"/>
        </w:rPr>
        <w:t>20%</w:t>
      </w:r>
      <w:r>
        <w:rPr>
          <w:rFonts w:hint="eastAsia" w:ascii="宋体" w:hAnsi="宋体"/>
          <w:sz w:val="24"/>
          <w:szCs w:val="24"/>
        </w:rPr>
        <w:t>的金额计。</w:t>
      </w:r>
    </w:p>
    <w:p w14:paraId="26239115">
      <w:pPr>
        <w:snapToGrid w:val="0"/>
        <w:spacing w:line="360" w:lineRule="auto"/>
        <w:ind w:firstLine="480" w:firstLineChars="200"/>
        <w:jc w:val="left"/>
        <w:rPr>
          <w:rFonts w:ascii="宋体" w:hAnsi="宋体"/>
          <w:sz w:val="24"/>
          <w:szCs w:val="24"/>
        </w:rPr>
      </w:pPr>
      <w:r>
        <w:rPr>
          <w:rFonts w:hint="eastAsia" w:ascii="宋体" w:hAnsi="宋体"/>
          <w:sz w:val="24"/>
          <w:szCs w:val="24"/>
          <w:lang w:val="en-US" w:eastAsia="zh-CN"/>
        </w:rPr>
        <w:t>12</w:t>
      </w:r>
      <w:r>
        <w:rPr>
          <w:rFonts w:ascii="宋体" w:hAnsi="宋体"/>
          <w:sz w:val="24"/>
          <w:szCs w:val="24"/>
        </w:rPr>
        <w:t>.</w:t>
      </w:r>
      <w:r>
        <w:rPr>
          <w:rFonts w:hint="eastAsia" w:ascii="宋体" w:hAnsi="宋体"/>
          <w:sz w:val="24"/>
          <w:szCs w:val="24"/>
          <w:lang w:val="en-US" w:eastAsia="zh-CN"/>
        </w:rPr>
        <w:t>7</w:t>
      </w:r>
      <w:r>
        <w:rPr>
          <w:rFonts w:hint="eastAsia" w:ascii="宋体" w:hAnsi="宋体"/>
          <w:sz w:val="24"/>
          <w:szCs w:val="24"/>
        </w:rPr>
        <w:t>上述保密义务不因本合同的无效、终止或被解除而终止。</w:t>
      </w:r>
    </w:p>
    <w:p w14:paraId="46815724">
      <w:pPr>
        <w:pStyle w:val="28"/>
        <w:numPr>
          <w:ilvl w:val="-1"/>
          <w:numId w:val="0"/>
        </w:numPr>
        <w:spacing w:line="360" w:lineRule="auto"/>
        <w:ind w:left="480" w:firstLine="0" w:firstLineChars="0"/>
        <w:rPr>
          <w:rFonts w:ascii="宋体" w:hAnsi="宋体" w:eastAsia="宋体" w:cs="宋体"/>
          <w:color w:val="000000" w:themeColor="text1"/>
          <w:sz w:val="24"/>
          <w:szCs w:val="20"/>
          <w14:textFill>
            <w14:solidFill>
              <w14:schemeClr w14:val="tx1"/>
            </w14:solidFill>
          </w14:textFill>
        </w:rPr>
      </w:pPr>
    </w:p>
    <w:p w14:paraId="3628CB52">
      <w:pPr>
        <w:pStyle w:val="3"/>
        <w:spacing w:line="360" w:lineRule="auto"/>
        <w:ind w:left="425" w:hanging="425"/>
        <w:rPr>
          <w:rFonts w:ascii="宋体" w:hAnsi="宋体" w:eastAsia="宋体" w:cs="宋体"/>
          <w:color w:val="000000" w:themeColor="text1"/>
          <w:sz w:val="24"/>
          <w:szCs w:val="24"/>
          <w14:textFill>
            <w14:solidFill>
              <w14:schemeClr w14:val="tx1"/>
            </w14:solidFill>
          </w14:textFill>
        </w:rPr>
      </w:pPr>
      <w:bookmarkStart w:id="33" w:name="_Toc727"/>
      <w:bookmarkStart w:id="34" w:name="_Toc28894"/>
      <w:bookmarkStart w:id="35" w:name="_Toc142472073"/>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.保险</w:t>
      </w:r>
      <w:bookmarkEnd w:id="33"/>
      <w:bookmarkEnd w:id="34"/>
    </w:p>
    <w:p w14:paraId="560CDDC2">
      <w:pPr>
        <w:spacing w:line="360" w:lineRule="auto"/>
        <w:ind w:firstLine="480" w:firstLineChars="200"/>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乙方依据国家规定投保相应保险</w:t>
      </w:r>
      <w:r>
        <w:rPr>
          <w:rFonts w:hint="eastAsia" w:ascii="宋体" w:hAnsi="宋体" w:eastAsia="宋体" w:cs="宋体"/>
          <w:color w:val="000000" w:themeColor="text1"/>
          <w:sz w:val="24"/>
          <w:szCs w:val="24"/>
          <w14:textFill>
            <w14:solidFill>
              <w14:schemeClr w14:val="tx1"/>
            </w14:solidFill>
          </w14:textFill>
        </w:rPr>
        <w:t>（建筑工程一切险和第三方责任险除外</w:t>
      </w:r>
      <w:r>
        <w:rPr>
          <w:rFonts w:hint="eastAsia" w:ascii="宋体" w:hAnsi="宋体" w:eastAsia="宋体" w:cs="宋体"/>
          <w:color w:val="000000" w:themeColor="text1"/>
          <w:sz w:val="24"/>
          <w:szCs w:val="20"/>
          <w14:textFill>
            <w14:solidFill>
              <w14:schemeClr w14:val="tx1"/>
            </w14:solidFill>
          </w14:textFill>
        </w:rPr>
        <w:t>)，该费用已包含在本合同价款中，不予另行计取。乙方须承担因本次超前钻服务造成的人员伤亡及财产损坏而产生的费用、索赔或诉讼等法律责任，并须保障甲方免负相关责任。</w:t>
      </w:r>
    </w:p>
    <w:p w14:paraId="7A97BE01">
      <w:pPr>
        <w:pStyle w:val="3"/>
        <w:spacing w:before="0" w:line="360" w:lineRule="auto"/>
        <w:ind w:left="425" w:hanging="425"/>
        <w:rPr>
          <w:rFonts w:ascii="宋体" w:hAnsi="宋体" w:eastAsia="宋体" w:cs="宋体"/>
          <w:color w:val="000000" w:themeColor="text1"/>
          <w:sz w:val="24"/>
          <w:szCs w:val="24"/>
          <w14:textFill>
            <w14:solidFill>
              <w14:schemeClr w14:val="tx1"/>
            </w14:solidFill>
          </w14:textFill>
        </w:rPr>
      </w:pPr>
      <w:bookmarkStart w:id="36" w:name="_Toc11717"/>
      <w:bookmarkStart w:id="37" w:name="_Toc25140"/>
      <w:r>
        <w:rPr>
          <w:rFonts w:hint="eastAsia" w:ascii="宋体" w:hAnsi="宋体" w:eastAsia="宋体" w:cs="宋体"/>
          <w:color w:val="000000" w:themeColor="text1"/>
          <w:sz w:val="24"/>
          <w:szCs w:val="24"/>
          <w:lang w:eastAsia="zh-CN"/>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工程担保</w:t>
      </w:r>
      <w:bookmarkEnd w:id="36"/>
      <w:bookmarkEnd w:id="37"/>
    </w:p>
    <w:p w14:paraId="261A4634">
      <w:pPr>
        <w:snapToGrid w:val="0"/>
        <w:spacing w:line="360" w:lineRule="auto"/>
        <w:ind w:firstLine="451" w:firstLineChars="215"/>
        <w:rPr>
          <w:rFonts w:ascii="宋体" w:hAnsi="宋体" w:cs="宋体"/>
        </w:rPr>
      </w:pPr>
      <w:r>
        <w:rPr>
          <w:rFonts w:hint="eastAsia"/>
        </w:rPr>
        <w:t>本合同不需提交工程担保。</w:t>
      </w:r>
    </w:p>
    <w:p w14:paraId="46A43491">
      <w:pPr>
        <w:pStyle w:val="3"/>
        <w:spacing w:line="360" w:lineRule="auto"/>
        <w:ind w:left="425" w:hanging="425"/>
        <w:rPr>
          <w:rFonts w:ascii="宋体" w:hAnsi="宋体" w:eastAsia="宋体" w:cs="宋体"/>
          <w:color w:val="000000" w:themeColor="text1"/>
          <w:sz w:val="24"/>
          <w:szCs w:val="24"/>
          <w14:textFill>
            <w14:solidFill>
              <w14:schemeClr w14:val="tx1"/>
            </w14:solidFill>
          </w14:textFill>
        </w:rPr>
      </w:pPr>
      <w:bookmarkStart w:id="38" w:name="_Toc13837"/>
      <w:bookmarkStart w:id="39" w:name="_Toc4918"/>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t>适用法律及争议解决</w:t>
      </w:r>
      <w:bookmarkEnd w:id="35"/>
      <w:bookmarkEnd w:id="38"/>
      <w:bookmarkEnd w:id="39"/>
    </w:p>
    <w:p w14:paraId="24817765">
      <w:pPr>
        <w:pStyle w:val="28"/>
        <w:numPr>
          <w:ilvl w:val="1"/>
          <w:numId w:val="0"/>
        </w:numPr>
        <w:spacing w:line="360" w:lineRule="auto"/>
        <w:ind w:left="567" w:hanging="567"/>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1</w:t>
      </w:r>
      <w:r>
        <w:rPr>
          <w:rFonts w:hint="eastAsia" w:ascii="宋体" w:hAnsi="宋体" w:eastAsia="宋体" w:cs="宋体"/>
          <w:color w:val="000000" w:themeColor="text1"/>
          <w:sz w:val="24"/>
          <w:szCs w:val="20"/>
          <w:lang w:val="en-US" w:eastAsia="zh-CN"/>
          <w14:textFill>
            <w14:solidFill>
              <w14:schemeClr w14:val="tx1"/>
            </w14:solidFill>
          </w14:textFill>
        </w:rPr>
        <w:t>5</w:t>
      </w:r>
      <w:r>
        <w:rPr>
          <w:rFonts w:hint="eastAsia" w:ascii="宋体" w:hAnsi="宋体" w:eastAsia="宋体" w:cs="宋体"/>
          <w:color w:val="000000" w:themeColor="text1"/>
          <w:sz w:val="24"/>
          <w:szCs w:val="20"/>
          <w14:textFill>
            <w14:solidFill>
              <w14:schemeClr w14:val="tx1"/>
            </w14:solidFill>
          </w14:textFill>
        </w:rPr>
        <w:t>.1本合同的订立、效力、解释、履行和争议的解决均受中华人民共和国法律（不含香港特别行政区、澳门特别行政区及台湾地区法律）的管辖。</w:t>
      </w:r>
    </w:p>
    <w:p w14:paraId="15CE1391">
      <w:pPr>
        <w:pStyle w:val="28"/>
        <w:numPr>
          <w:ilvl w:val="1"/>
          <w:numId w:val="0"/>
        </w:numPr>
        <w:spacing w:line="360" w:lineRule="auto"/>
        <w:ind w:left="567" w:hanging="567"/>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1</w:t>
      </w:r>
      <w:r>
        <w:rPr>
          <w:rFonts w:hint="eastAsia" w:ascii="宋体" w:hAnsi="宋体" w:eastAsia="宋体" w:cs="宋体"/>
          <w:color w:val="000000" w:themeColor="text1"/>
          <w:sz w:val="24"/>
          <w:szCs w:val="20"/>
          <w:lang w:val="en-US" w:eastAsia="zh-CN"/>
          <w14:textFill>
            <w14:solidFill>
              <w14:schemeClr w14:val="tx1"/>
            </w14:solidFill>
          </w14:textFill>
        </w:rPr>
        <w:t>5</w:t>
      </w:r>
      <w:r>
        <w:rPr>
          <w:rFonts w:hint="eastAsia" w:ascii="宋体" w:hAnsi="宋体" w:eastAsia="宋体" w:cs="宋体"/>
          <w:color w:val="000000" w:themeColor="text1"/>
          <w:sz w:val="24"/>
          <w:szCs w:val="20"/>
          <w14:textFill>
            <w14:solidFill>
              <w14:schemeClr w14:val="tx1"/>
            </w14:solidFill>
          </w14:textFill>
        </w:rPr>
        <w:t>.2凡因执行本合同所发生的一切争议，双方应首先通过友好协商解决。</w:t>
      </w:r>
    </w:p>
    <w:p w14:paraId="1DD16C28">
      <w:pPr>
        <w:pStyle w:val="28"/>
        <w:numPr>
          <w:ilvl w:val="1"/>
          <w:numId w:val="0"/>
        </w:numPr>
        <w:spacing w:line="360" w:lineRule="auto"/>
        <w:ind w:left="567" w:hanging="567"/>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1</w:t>
      </w:r>
      <w:r>
        <w:rPr>
          <w:rFonts w:hint="eastAsia" w:ascii="宋体" w:hAnsi="宋体" w:eastAsia="宋体" w:cs="宋体"/>
          <w:color w:val="000000" w:themeColor="text1"/>
          <w:sz w:val="24"/>
          <w:szCs w:val="20"/>
          <w:lang w:val="en-US" w:eastAsia="zh-CN"/>
          <w14:textFill>
            <w14:solidFill>
              <w14:schemeClr w14:val="tx1"/>
            </w14:solidFill>
          </w14:textFill>
        </w:rPr>
        <w:t>5</w:t>
      </w:r>
      <w:r>
        <w:rPr>
          <w:rFonts w:hint="eastAsia" w:ascii="宋体" w:hAnsi="宋体" w:eastAsia="宋体" w:cs="宋体"/>
          <w:color w:val="000000" w:themeColor="text1"/>
          <w:sz w:val="24"/>
          <w:szCs w:val="20"/>
          <w14:textFill>
            <w14:solidFill>
              <w14:schemeClr w14:val="tx1"/>
            </w14:solidFill>
          </w14:textFill>
        </w:rPr>
        <w:t>.3如果友好协商无法达成令双方满意的解决方案，任何一方</w:t>
      </w:r>
      <w:r>
        <w:rPr>
          <w:rFonts w:hint="eastAsia" w:ascii="宋体" w:hAnsi="宋体" w:eastAsia="宋体" w:cs="宋体"/>
          <w:color w:val="000000" w:themeColor="text1"/>
          <w:sz w:val="24"/>
          <w:szCs w:val="20"/>
          <w:lang w:eastAsia="zh-CN"/>
          <w14:textFill>
            <w14:solidFill>
              <w14:schemeClr w14:val="tx1"/>
            </w14:solidFill>
          </w14:textFill>
        </w:rPr>
        <w:t>可以</w:t>
      </w:r>
      <w:r>
        <w:rPr>
          <w:rFonts w:hint="eastAsia" w:ascii="宋体" w:hAnsi="宋体" w:eastAsia="宋体" w:cs="宋体"/>
          <w:color w:val="000000" w:themeColor="text1"/>
          <w:sz w:val="24"/>
          <w:szCs w:val="20"/>
          <w14:textFill>
            <w14:solidFill>
              <w14:schemeClr w14:val="tx1"/>
            </w14:solidFill>
          </w14:textFill>
        </w:rPr>
        <w:t>把争议提交至甲方所在地法院诉讼，在诉讼过程中，除双方有争议部分外，本合同应继续履行。</w:t>
      </w:r>
    </w:p>
    <w:p w14:paraId="062F0324">
      <w:pPr>
        <w:pStyle w:val="3"/>
        <w:spacing w:line="360" w:lineRule="auto"/>
        <w:ind w:left="425" w:hanging="425"/>
        <w:rPr>
          <w:rFonts w:ascii="宋体" w:hAnsi="宋体" w:eastAsia="宋体" w:cs="宋体"/>
          <w:color w:val="000000" w:themeColor="text1"/>
          <w:sz w:val="24"/>
          <w:szCs w:val="24"/>
          <w14:textFill>
            <w14:solidFill>
              <w14:schemeClr w14:val="tx1"/>
            </w14:solidFill>
          </w14:textFill>
        </w:rPr>
      </w:pPr>
      <w:bookmarkStart w:id="40" w:name="_Toc1195"/>
      <w:bookmarkStart w:id="41" w:name="_Toc7796"/>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.其他</w:t>
      </w:r>
      <w:bookmarkEnd w:id="40"/>
      <w:bookmarkEnd w:id="41"/>
    </w:p>
    <w:p w14:paraId="54982FED">
      <w:pPr>
        <w:pStyle w:val="28"/>
        <w:numPr>
          <w:ilvl w:val="1"/>
          <w:numId w:val="0"/>
        </w:numPr>
        <w:spacing w:line="360" w:lineRule="auto"/>
        <w:ind w:left="567" w:hanging="567"/>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1</w:t>
      </w:r>
      <w:r>
        <w:rPr>
          <w:rFonts w:hint="eastAsia" w:ascii="宋体" w:hAnsi="宋体" w:eastAsia="宋体" w:cs="宋体"/>
          <w:color w:val="000000" w:themeColor="text1"/>
          <w:sz w:val="24"/>
          <w:szCs w:val="20"/>
          <w:lang w:val="en-US" w:eastAsia="zh-CN"/>
          <w14:textFill>
            <w14:solidFill>
              <w14:schemeClr w14:val="tx1"/>
            </w14:solidFill>
          </w14:textFill>
        </w:rPr>
        <w:t>6</w:t>
      </w:r>
      <w:r>
        <w:rPr>
          <w:rFonts w:hint="eastAsia" w:ascii="宋体" w:hAnsi="宋体" w:eastAsia="宋体" w:cs="宋体"/>
          <w:color w:val="000000" w:themeColor="text1"/>
          <w:sz w:val="24"/>
          <w:szCs w:val="20"/>
          <w14:textFill>
            <w14:solidFill>
              <w14:schemeClr w14:val="tx1"/>
            </w14:solidFill>
          </w14:textFill>
        </w:rPr>
        <w:t>.1甲、乙双方的设备、材料、人员等的生产安全及社会保险各自分别承担。</w:t>
      </w:r>
    </w:p>
    <w:p w14:paraId="6D738B9C">
      <w:pPr>
        <w:pStyle w:val="28"/>
        <w:numPr>
          <w:ilvl w:val="1"/>
          <w:numId w:val="0"/>
        </w:numPr>
        <w:spacing w:line="360" w:lineRule="auto"/>
        <w:ind w:left="567" w:hanging="567"/>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1</w:t>
      </w:r>
      <w:r>
        <w:rPr>
          <w:rFonts w:hint="eastAsia" w:ascii="宋体" w:hAnsi="宋体" w:eastAsia="宋体" w:cs="宋体"/>
          <w:color w:val="000000" w:themeColor="text1"/>
          <w:sz w:val="24"/>
          <w:szCs w:val="20"/>
          <w:lang w:val="en-US" w:eastAsia="zh-CN"/>
          <w14:textFill>
            <w14:solidFill>
              <w14:schemeClr w14:val="tx1"/>
            </w14:solidFill>
          </w14:textFill>
        </w:rPr>
        <w:t>6</w:t>
      </w:r>
      <w:r>
        <w:rPr>
          <w:rFonts w:hint="eastAsia" w:ascii="宋体" w:hAnsi="宋体" w:eastAsia="宋体" w:cs="宋体"/>
          <w:color w:val="000000" w:themeColor="text1"/>
          <w:sz w:val="24"/>
          <w:szCs w:val="20"/>
          <w14:textFill>
            <w14:solidFill>
              <w14:schemeClr w14:val="tx1"/>
            </w14:solidFill>
          </w14:textFill>
        </w:rPr>
        <w:t>.2本合同于上文开头填写的日期和地点，由双方根据中华人民共和国相关法律签署订立，并由双方于本合同上签字并盖章后生效，于双方各自的合同义务履行完毕后终止。</w:t>
      </w:r>
    </w:p>
    <w:p w14:paraId="3D9EDD8C">
      <w:pPr>
        <w:pStyle w:val="28"/>
        <w:numPr>
          <w:ilvl w:val="1"/>
          <w:numId w:val="0"/>
        </w:numPr>
        <w:spacing w:line="360" w:lineRule="auto"/>
        <w:ind w:left="567" w:hanging="567"/>
        <w:rPr>
          <w:rFonts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1</w:t>
      </w:r>
      <w:r>
        <w:rPr>
          <w:rFonts w:hint="eastAsia" w:ascii="宋体" w:hAnsi="宋体" w:eastAsia="宋体" w:cs="宋体"/>
          <w:color w:val="000000" w:themeColor="text1"/>
          <w:sz w:val="24"/>
          <w:szCs w:val="20"/>
          <w:lang w:val="en-US" w:eastAsia="zh-CN"/>
          <w14:textFill>
            <w14:solidFill>
              <w14:schemeClr w14:val="tx1"/>
            </w14:solidFill>
          </w14:textFill>
        </w:rPr>
        <w:t>6</w:t>
      </w:r>
      <w:r>
        <w:rPr>
          <w:rFonts w:hint="eastAsia" w:ascii="宋体" w:hAnsi="宋体" w:eastAsia="宋体" w:cs="宋体"/>
          <w:color w:val="000000" w:themeColor="text1"/>
          <w:sz w:val="24"/>
          <w:szCs w:val="20"/>
          <w14:textFill>
            <w14:solidFill>
              <w14:schemeClr w14:val="tx1"/>
            </w14:solidFill>
          </w14:textFill>
        </w:rPr>
        <w:t>.3本合同双方签署并盖章后立即生效。合同履行期间，双方应当遵循诚实信用原则，履行通知、协助、保密等义务。合同一式8份，甲方执6份，乙方2份，各份具有同等法律效力。</w:t>
      </w:r>
    </w:p>
    <w:p w14:paraId="1043B82C">
      <w:pPr>
        <w:spacing w:line="360" w:lineRule="auto"/>
        <w:rPr>
          <w:rFonts w:ascii="宋体" w:hAnsi="宋体" w:eastAsia="宋体" w:cs="宋体"/>
          <w:sz w:val="24"/>
          <w:szCs w:val="24"/>
        </w:rPr>
      </w:pPr>
      <w:r>
        <w:rPr>
          <w:rFonts w:hint="eastAsia" w:ascii="宋体" w:hAnsi="宋体" w:eastAsia="宋体" w:cs="宋体"/>
          <w:sz w:val="24"/>
          <w:szCs w:val="24"/>
        </w:rPr>
        <w:t>附件1：中标工程量清单</w:t>
      </w:r>
    </w:p>
    <w:p w14:paraId="667398DC">
      <w:pPr>
        <w:spacing w:line="360" w:lineRule="auto"/>
        <w:rPr>
          <w:rFonts w:ascii="宋体" w:hAnsi="宋体" w:eastAsia="宋体" w:cs="宋体"/>
          <w:sz w:val="24"/>
          <w:szCs w:val="24"/>
        </w:rPr>
      </w:pPr>
      <w:r>
        <w:rPr>
          <w:rFonts w:hint="eastAsia" w:ascii="宋体" w:hAnsi="宋体" w:eastAsia="宋体" w:cs="宋体"/>
          <w:sz w:val="24"/>
          <w:szCs w:val="24"/>
        </w:rPr>
        <w:t>附件2：本项目服务人员一览表及项目负责人履历一览表及项目负责人履历</w:t>
      </w:r>
    </w:p>
    <w:p w14:paraId="156C6DD1">
      <w:pPr>
        <w:spacing w:line="360" w:lineRule="auto"/>
        <w:rPr>
          <w:rFonts w:ascii="宋体" w:hAnsi="宋体" w:eastAsia="宋体" w:cs="宋体"/>
          <w:sz w:val="24"/>
          <w:szCs w:val="24"/>
        </w:rPr>
      </w:pPr>
      <w:r>
        <w:rPr>
          <w:rFonts w:hint="eastAsia" w:ascii="宋体" w:hAnsi="宋体" w:eastAsia="宋体" w:cs="宋体"/>
          <w:sz w:val="24"/>
          <w:szCs w:val="24"/>
        </w:rPr>
        <w:t>附件3：本项目投入的超前钻机械及机具一览表</w:t>
      </w:r>
    </w:p>
    <w:p w14:paraId="63EABA9A">
      <w:pPr>
        <w:spacing w:line="360" w:lineRule="auto"/>
        <w:rPr>
          <w:rFonts w:ascii="宋体" w:hAnsi="宋体" w:eastAsia="宋体" w:cs="宋体"/>
          <w:sz w:val="24"/>
          <w:szCs w:val="24"/>
        </w:rPr>
      </w:pPr>
      <w:r>
        <w:rPr>
          <w:rFonts w:hint="eastAsia" w:ascii="宋体" w:hAnsi="宋体" w:eastAsia="宋体" w:cs="宋体"/>
          <w:sz w:val="24"/>
          <w:szCs w:val="24"/>
        </w:rPr>
        <w:t>附件4：进度款报审资料指引</w:t>
      </w:r>
    </w:p>
    <w:p w14:paraId="4C2AF24D">
      <w:pPr>
        <w:spacing w:line="360" w:lineRule="auto"/>
        <w:rPr>
          <w:rFonts w:ascii="宋体" w:hAnsi="宋体" w:eastAsia="宋体" w:cs="宋体"/>
          <w:sz w:val="24"/>
          <w:szCs w:val="24"/>
        </w:rPr>
      </w:pPr>
      <w:r>
        <w:rPr>
          <w:rFonts w:hint="eastAsia" w:ascii="宋体" w:hAnsi="宋体" w:eastAsia="宋体" w:cs="宋体"/>
          <w:sz w:val="24"/>
          <w:szCs w:val="24"/>
        </w:rPr>
        <w:t>附件5：竣工结算报审资料指引</w:t>
      </w:r>
    </w:p>
    <w:p w14:paraId="5C4E3F83">
      <w:pPr>
        <w:pStyle w:val="22"/>
        <w:spacing w:line="360" w:lineRule="auto"/>
        <w:rPr>
          <w:rFonts w:ascii="宋体" w:hAnsi="宋体" w:eastAsia="宋体" w:cs="宋体"/>
          <w:kern w:val="2"/>
          <w:sz w:val="24"/>
        </w:rPr>
      </w:pPr>
      <w:bookmarkStart w:id="42" w:name="_Toc13602"/>
      <w:r>
        <w:rPr>
          <w:rFonts w:hint="eastAsia" w:ascii="宋体" w:hAnsi="宋体" w:eastAsia="宋体" w:cs="宋体"/>
          <w:color w:val="000000" w:themeColor="text1"/>
          <w:sz w:val="24"/>
          <w:szCs w:val="20"/>
          <w:lang w:val="en-US" w:eastAsia="zh-CN"/>
          <w14:textFill>
            <w14:solidFill>
              <w14:schemeClr w14:val="tx1"/>
            </w14:solidFill>
          </w14:textFill>
        </w:rPr>
        <w:t>附件6：棠东项目超前钻招标设计任务书</w:t>
      </w:r>
      <w:bookmarkEnd w:id="42"/>
    </w:p>
    <w:p w14:paraId="6C70EA98">
      <w:pPr>
        <w:spacing w:line="240" w:lineRule="auto"/>
        <w:jc w:val="left"/>
        <w:rPr>
          <w:rFonts w:hint="eastAsia" w:ascii="宋体" w:hAnsi="宋体" w:eastAsia="宋体" w:cs="宋体"/>
          <w:b/>
          <w:color w:val="000000" w:themeColor="text1"/>
          <w:sz w:val="24"/>
          <w:szCs w:val="20"/>
          <w14:textFill>
            <w14:solidFill>
              <w14:schemeClr w14:val="tx1"/>
            </w14:solidFill>
          </w14:textFill>
        </w:rPr>
      </w:pPr>
      <w:r>
        <w:rPr>
          <w:rFonts w:hint="eastAsia" w:ascii="宋体" w:hAnsi="宋体" w:eastAsia="宋体" w:cs="宋体"/>
          <w:b/>
          <w:color w:val="000000" w:themeColor="text1"/>
          <w:sz w:val="24"/>
          <w:szCs w:val="20"/>
          <w14:textFill>
            <w14:solidFill>
              <w14:schemeClr w14:val="tx1"/>
            </w14:solidFill>
          </w14:textFill>
        </w:rPr>
        <w:br w:type="page"/>
      </w:r>
    </w:p>
    <w:p w14:paraId="159F3837">
      <w:pPr>
        <w:spacing w:line="360" w:lineRule="auto"/>
        <w:jc w:val="left"/>
        <w:rPr>
          <w:rFonts w:ascii="宋体" w:hAnsi="宋体" w:eastAsia="宋体" w:cs="宋体"/>
        </w:rPr>
      </w:pPr>
      <w:r>
        <w:rPr>
          <w:rFonts w:hint="eastAsia" w:ascii="宋体" w:hAnsi="宋体" w:eastAsia="宋体" w:cs="宋体"/>
          <w:b/>
          <w:color w:val="000000" w:themeColor="text1"/>
          <w:sz w:val="24"/>
          <w:szCs w:val="20"/>
          <w14:textFill>
            <w14:solidFill>
              <w14:schemeClr w14:val="tx1"/>
            </w14:solidFill>
          </w14:textFill>
        </w:rPr>
        <w:t>（以下无正文）</w:t>
      </w:r>
    </w:p>
    <w:p w14:paraId="664F8AD7">
      <w:pPr>
        <w:pStyle w:val="9"/>
        <w:spacing w:line="360" w:lineRule="auto"/>
        <w:ind w:firstLine="0"/>
        <w:rPr>
          <w:rFonts w:hAnsi="宋体" w:cs="宋体"/>
          <w:szCs w:val="24"/>
        </w:rPr>
      </w:pPr>
      <w:r>
        <w:rPr>
          <w:rFonts w:hint="eastAsia" w:hAnsi="宋体" w:cs="宋体"/>
          <w:szCs w:val="24"/>
        </w:rPr>
        <w:t>本合同双方已详读、完全理解并一致同意本合同全部条款，以下签证作实：</w:t>
      </w:r>
    </w:p>
    <w:p w14:paraId="1CA0A91B">
      <w:pPr>
        <w:tabs>
          <w:tab w:val="left" w:pos="600"/>
        </w:tabs>
        <w:spacing w:line="360" w:lineRule="auto"/>
        <w:ind w:left="5998" w:leftChars="-20" w:hanging="6040" w:hangingChars="2517"/>
        <w:rPr>
          <w:rFonts w:ascii="宋体" w:hAnsi="宋体" w:eastAsia="宋体" w:cs="宋体"/>
          <w:color w:val="000000"/>
          <w:spacing w:val="30"/>
          <w:sz w:val="24"/>
          <w:szCs w:val="24"/>
        </w:rPr>
      </w:pPr>
      <w:r>
        <w:rPr>
          <w:rFonts w:hint="eastAsia" w:ascii="宋体" w:hAnsi="宋体" w:eastAsia="宋体" w:cs="宋体"/>
          <w:color w:val="000000"/>
          <w:sz w:val="24"/>
          <w:szCs w:val="24"/>
        </w:rPr>
        <w:t>发包人一：                              发包人二：</w:t>
      </w:r>
    </w:p>
    <w:p w14:paraId="04347A7A">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（盖章）                              （盖章）</w:t>
      </w:r>
    </w:p>
    <w:p w14:paraId="4C86B84D">
      <w:pPr>
        <w:spacing w:line="360" w:lineRule="auto"/>
        <w:ind w:left="5160" w:hanging="5160" w:hangingChars="2150"/>
        <w:rPr>
          <w:rFonts w:ascii="宋体" w:hAnsi="宋体" w:eastAsia="宋体" w:cs="宋体"/>
          <w:color w:val="000000"/>
          <w:sz w:val="24"/>
          <w:szCs w:val="24"/>
        </w:rPr>
      </w:pPr>
      <w:r>
        <w:rPr>
          <w:rFonts w:hint="eastAsia" w:ascii="宋体" w:hAnsi="宋体" w:eastAsia="宋体" w:cs="宋体"/>
          <w:color w:val="000000"/>
          <w:sz w:val="24"/>
          <w:szCs w:val="24"/>
        </w:rPr>
        <w:t xml:space="preserve">地址：                                 地址： </w:t>
      </w:r>
    </w:p>
    <w:p w14:paraId="1F1887B6">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法定代表人：                          法定代表人：</w:t>
      </w:r>
    </w:p>
    <w:p w14:paraId="697829DC">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委托代理人：                          委托代理人：</w:t>
      </w:r>
    </w:p>
    <w:p w14:paraId="06DE5C27">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电话：                                电话：</w:t>
      </w:r>
    </w:p>
    <w:p w14:paraId="5EBB1C14">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 xml:space="preserve">开户银行：                            开户银行： </w:t>
      </w:r>
    </w:p>
    <w:p w14:paraId="6162385E">
      <w:pPr>
        <w:tabs>
          <w:tab w:val="left" w:pos="2880"/>
          <w:tab w:val="left" w:pos="3240"/>
          <w:tab w:val="left" w:pos="9864"/>
        </w:tabs>
        <w:autoSpaceDE w:val="0"/>
        <w:autoSpaceDN w:val="0"/>
        <w:adjustRightInd w:val="0"/>
        <w:spacing w:line="360" w:lineRule="auto"/>
        <w:ind w:left="2" w:right="-36"/>
        <w:rPr>
          <w:rFonts w:ascii="宋体" w:hAnsi="宋体" w:eastAsia="宋体" w:cs="宋体"/>
          <w:color w:val="000000"/>
          <w:sz w:val="24"/>
          <w:szCs w:val="24"/>
        </w:rPr>
      </w:pPr>
      <w:r>
        <w:rPr>
          <w:rFonts w:hint="eastAsia" w:ascii="宋体" w:hAnsi="宋体" w:eastAsia="宋体" w:cs="宋体"/>
          <w:color w:val="000000"/>
          <w:sz w:val="24"/>
          <w:szCs w:val="24"/>
        </w:rPr>
        <w:t>帐号：                                帐号：</w:t>
      </w:r>
    </w:p>
    <w:p w14:paraId="183CF939">
      <w:pPr>
        <w:pStyle w:val="22"/>
        <w:spacing w:line="360" w:lineRule="auto"/>
        <w:outlineLvl w:val="9"/>
        <w:rPr>
          <w:rFonts w:ascii="宋体" w:hAnsi="宋体" w:eastAsia="宋体" w:cs="宋体"/>
          <w:color w:val="000000"/>
          <w:sz w:val="24"/>
        </w:rPr>
      </w:pPr>
    </w:p>
    <w:p w14:paraId="6949B15B">
      <w:pPr>
        <w:tabs>
          <w:tab w:val="left" w:pos="600"/>
        </w:tabs>
        <w:spacing w:line="360" w:lineRule="auto"/>
        <w:ind w:left="5998" w:leftChars="-20" w:hanging="6040" w:hangingChars="2517"/>
        <w:rPr>
          <w:rFonts w:ascii="宋体" w:hAnsi="宋体" w:eastAsia="宋体" w:cs="宋体"/>
          <w:color w:val="000000"/>
          <w:spacing w:val="30"/>
          <w:sz w:val="24"/>
          <w:szCs w:val="24"/>
        </w:rPr>
      </w:pPr>
      <w:r>
        <w:rPr>
          <w:rFonts w:hint="eastAsia" w:ascii="宋体" w:hAnsi="宋体" w:eastAsia="宋体" w:cs="宋体"/>
          <w:color w:val="000000"/>
          <w:sz w:val="24"/>
          <w:szCs w:val="24"/>
        </w:rPr>
        <w:t xml:space="preserve">承包人：                              </w:t>
      </w:r>
    </w:p>
    <w:p w14:paraId="26B3A45C">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 xml:space="preserve">（盖章）                              </w:t>
      </w:r>
    </w:p>
    <w:p w14:paraId="523BABAD">
      <w:pPr>
        <w:spacing w:line="360" w:lineRule="auto"/>
        <w:ind w:left="5160" w:hanging="5160" w:hangingChars="2150"/>
        <w:rPr>
          <w:rFonts w:ascii="宋体" w:hAnsi="宋体" w:eastAsia="宋体" w:cs="宋体"/>
          <w:color w:val="000000"/>
          <w:sz w:val="24"/>
          <w:szCs w:val="24"/>
        </w:rPr>
      </w:pPr>
      <w:r>
        <w:rPr>
          <w:rFonts w:hint="eastAsia" w:ascii="宋体" w:hAnsi="宋体" w:eastAsia="宋体" w:cs="宋体"/>
          <w:color w:val="000000"/>
          <w:sz w:val="24"/>
          <w:szCs w:val="24"/>
        </w:rPr>
        <w:t xml:space="preserve">地址：                                 </w:t>
      </w:r>
    </w:p>
    <w:p w14:paraId="3AE34F0C">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 xml:space="preserve">法定代表人：                          </w:t>
      </w:r>
    </w:p>
    <w:p w14:paraId="432B7C68">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 xml:space="preserve">委托代理人：                          </w:t>
      </w:r>
    </w:p>
    <w:p w14:paraId="5AF8CA3B">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 xml:space="preserve">电话：                                </w:t>
      </w:r>
    </w:p>
    <w:p w14:paraId="105CC894">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 xml:space="preserve">开户银行：                            </w:t>
      </w:r>
    </w:p>
    <w:p w14:paraId="321B3313">
      <w:pPr>
        <w:tabs>
          <w:tab w:val="left" w:pos="2880"/>
          <w:tab w:val="left" w:pos="3240"/>
          <w:tab w:val="left" w:pos="9864"/>
        </w:tabs>
        <w:autoSpaceDE w:val="0"/>
        <w:autoSpaceDN w:val="0"/>
        <w:adjustRightInd w:val="0"/>
        <w:spacing w:line="360" w:lineRule="auto"/>
        <w:ind w:left="2" w:right="-36"/>
        <w:rPr>
          <w:rFonts w:ascii="宋体" w:hAnsi="宋体" w:eastAsia="宋体" w:cs="宋体"/>
          <w:color w:val="000000"/>
          <w:sz w:val="24"/>
          <w:szCs w:val="24"/>
        </w:rPr>
      </w:pPr>
      <w:r>
        <w:rPr>
          <w:rFonts w:hint="eastAsia" w:ascii="宋体" w:hAnsi="宋体" w:eastAsia="宋体" w:cs="宋体"/>
          <w:color w:val="000000"/>
          <w:sz w:val="24"/>
          <w:szCs w:val="24"/>
        </w:rPr>
        <w:t xml:space="preserve">帐号：                               </w:t>
      </w:r>
    </w:p>
    <w:p w14:paraId="5E4C7D64">
      <w:pPr>
        <w:spacing w:line="360" w:lineRule="auto"/>
        <w:rPr>
          <w:rFonts w:ascii="宋体" w:hAnsi="宋体" w:eastAsia="宋体" w:cs="宋体"/>
          <w:bCs/>
          <w:color w:val="000000"/>
          <w:kern w:val="0"/>
          <w:sz w:val="24"/>
          <w:szCs w:val="24"/>
        </w:rPr>
      </w:pPr>
      <w:r>
        <w:rPr>
          <w:rFonts w:hint="eastAsia" w:ascii="宋体" w:hAnsi="宋体" w:eastAsia="宋体" w:cs="宋体"/>
          <w:b/>
          <w:bCs/>
          <w:color w:val="000000"/>
          <w:kern w:val="0"/>
          <w:sz w:val="24"/>
          <w:szCs w:val="24"/>
        </w:rPr>
        <w:t>说明：</w:t>
      </w:r>
      <w:r>
        <w:rPr>
          <w:rFonts w:hint="eastAsia" w:ascii="宋体" w:hAnsi="宋体" w:eastAsia="宋体" w:cs="宋体"/>
          <w:bCs/>
          <w:color w:val="000000"/>
          <w:kern w:val="0"/>
          <w:sz w:val="24"/>
          <w:szCs w:val="24"/>
        </w:rPr>
        <w:t>1、承包人须对其提供的银行账号准确性负责，如因银行账号不准确导致付款失败的后果由承包人自行承担；</w:t>
      </w:r>
    </w:p>
    <w:p w14:paraId="17C5D0D3">
      <w:pPr>
        <w:spacing w:line="360" w:lineRule="auto"/>
        <w:ind w:firstLine="720" w:firstLineChars="300"/>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2、若承包人变更银行账号的，则应事先提供书面联系单告知发包人，并经发包人项目负责人确认后方为有效；</w:t>
      </w:r>
    </w:p>
    <w:p w14:paraId="4C4F9F18">
      <w:pPr>
        <w:spacing w:line="360" w:lineRule="auto"/>
        <w:ind w:firstLine="720" w:firstLineChars="300"/>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3、承包人同意原则上账户名称应与公章名称一致，如不一致的则须由承包人书面授权并经发包人项目负责人确认后方为有效。</w:t>
      </w:r>
    </w:p>
    <w:p w14:paraId="1A0C92EC">
      <w:pPr>
        <w:pStyle w:val="22"/>
        <w:spacing w:line="360" w:lineRule="auto"/>
        <w:ind w:firstLine="480" w:firstLineChars="200"/>
        <w:rPr>
          <w:rFonts w:hint="eastAsia" w:ascii="宋体" w:hAnsi="宋体" w:eastAsia="宋体" w:cs="宋体"/>
          <w:b w:val="0"/>
          <w:bCs w:val="0"/>
          <w:color w:val="000000"/>
          <w:kern w:val="2"/>
          <w:sz w:val="24"/>
          <w:szCs w:val="20"/>
        </w:rPr>
      </w:pPr>
      <w:bookmarkStart w:id="43" w:name="_Toc5817"/>
      <w:r>
        <w:rPr>
          <w:rFonts w:hint="eastAsia" w:ascii="宋体" w:hAnsi="宋体" w:eastAsia="宋体" w:cs="宋体"/>
          <w:b w:val="0"/>
          <w:bCs w:val="0"/>
          <w:color w:val="000000"/>
          <w:kern w:val="2"/>
          <w:sz w:val="24"/>
          <w:szCs w:val="20"/>
        </w:rPr>
        <w:t>下方空白处附“承包人法人代表证明书”、“承包人法人授权委托证明书”、“承包人营业执照”。</w:t>
      </w:r>
      <w:bookmarkEnd w:id="43"/>
    </w:p>
    <w:p w14:paraId="34613E2C">
      <w:pPr>
        <w:ind w:firstLineChars="200"/>
        <w:rPr>
          <w:rFonts w:hint="eastAsia" w:ascii="宋体" w:hAnsi="宋体" w:eastAsia="宋体" w:cs="宋体"/>
          <w:b w:val="0"/>
          <w:bCs w:val="0"/>
          <w:color w:val="000000"/>
          <w:kern w:val="2"/>
          <w:sz w:val="24"/>
          <w:szCs w:val="20"/>
        </w:rPr>
      </w:pPr>
      <w:r>
        <w:rPr>
          <w:rFonts w:hint="eastAsia" w:ascii="宋体" w:hAnsi="宋体" w:eastAsia="宋体" w:cs="宋体"/>
          <w:b w:val="0"/>
          <w:bCs w:val="0"/>
          <w:color w:val="000000"/>
          <w:kern w:val="2"/>
          <w:sz w:val="24"/>
          <w:szCs w:val="20"/>
        </w:rPr>
        <w:br w:type="page"/>
      </w:r>
    </w:p>
    <w:p w14:paraId="6FC64B10"/>
    <w:p w14:paraId="24FB3E3A">
      <w:pPr>
        <w:spacing w:line="360" w:lineRule="auto"/>
        <w:jc w:val="center"/>
        <w:rPr>
          <w:rFonts w:ascii="宋体" w:hAnsi="宋体" w:eastAsia="宋体" w:cs="宋体"/>
          <w:b/>
          <w:color w:val="000000"/>
          <w:sz w:val="36"/>
          <w:szCs w:val="36"/>
        </w:rPr>
      </w:pPr>
      <w:r>
        <w:rPr>
          <w:rFonts w:hint="eastAsia" w:ascii="宋体" w:hAnsi="宋体" w:eastAsia="宋体" w:cs="宋体"/>
          <w:b/>
          <w:color w:val="000000"/>
          <w:sz w:val="36"/>
          <w:szCs w:val="36"/>
        </w:rPr>
        <w:t>法定代表人身份证明书</w:t>
      </w:r>
    </w:p>
    <w:p w14:paraId="7919F54D">
      <w:pPr>
        <w:spacing w:line="360" w:lineRule="auto"/>
        <w:rPr>
          <w:rFonts w:ascii="宋体" w:hAnsi="宋体" w:eastAsia="宋体" w:cs="宋体"/>
          <w:b/>
          <w:color w:val="000000"/>
          <w:sz w:val="24"/>
          <w:szCs w:val="24"/>
        </w:rPr>
      </w:pPr>
    </w:p>
    <w:p w14:paraId="7E3589B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乙方：</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u w:val="single"/>
        </w:rPr>
        <w:t xml:space="preserve">******公司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2C0BFD1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单位性质：</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5E6CCA13">
      <w:pPr>
        <w:spacing w:line="360" w:lineRule="auto"/>
        <w:ind w:firstLine="480" w:firstLineChars="200"/>
        <w:rPr>
          <w:rFonts w:ascii="宋体" w:hAnsi="宋体" w:eastAsia="宋体" w:cs="宋体"/>
          <w:color w:val="000000"/>
          <w:sz w:val="24"/>
          <w:szCs w:val="24"/>
          <w:u w:val="single"/>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sz w:val="24"/>
          <w:szCs w:val="24"/>
          <w:u w:val="single"/>
        </w:rPr>
        <w:t xml:space="preserve">  </w:t>
      </w:r>
    </w:p>
    <w:p w14:paraId="0F43118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成立时间：</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15CB953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经营期限：</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sz w:val="24"/>
          <w:szCs w:val="24"/>
          <w:u w:val="single"/>
        </w:rPr>
        <w:t xml:space="preserve">                          </w:t>
      </w:r>
    </w:p>
    <w:p w14:paraId="5C8C445F">
      <w:pPr>
        <w:spacing w:line="360" w:lineRule="auto"/>
        <w:ind w:firstLine="480" w:firstLineChars="200"/>
        <w:rPr>
          <w:rFonts w:ascii="宋体" w:hAnsi="宋体" w:eastAsia="宋体" w:cs="宋体"/>
          <w:b/>
          <w:color w:val="000000"/>
          <w:sz w:val="24"/>
          <w:szCs w:val="24"/>
          <w:u w:val="single"/>
        </w:rPr>
      </w:pP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性别：</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年龄：</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职务：</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b/>
          <w:color w:val="000000"/>
          <w:sz w:val="24"/>
          <w:szCs w:val="24"/>
          <w:u w:val="single"/>
        </w:rPr>
        <w:t xml:space="preserve"> </w:t>
      </w:r>
    </w:p>
    <w:p w14:paraId="27A00F3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系</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u w:val="single"/>
        </w:rPr>
        <w:t xml:space="preserve">******公司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（投标人名称）的法定代表人。</w:t>
      </w:r>
    </w:p>
    <w:p w14:paraId="72EE4C99">
      <w:pPr>
        <w:spacing w:line="360" w:lineRule="auto"/>
        <w:ind w:firstLine="960" w:firstLineChars="400"/>
        <w:rPr>
          <w:rFonts w:ascii="宋体" w:hAnsi="宋体" w:eastAsia="宋体" w:cs="宋体"/>
          <w:color w:val="000000"/>
          <w:sz w:val="24"/>
          <w:szCs w:val="24"/>
        </w:rPr>
      </w:pPr>
      <w:r>
        <w:rPr>
          <w:rFonts w:hint="eastAsia" w:ascii="宋体" w:hAnsi="宋体" w:eastAsia="宋体" w:cs="宋体"/>
          <w:color w:val="000000"/>
          <w:sz w:val="24"/>
          <w:szCs w:val="24"/>
        </w:rPr>
        <w:t>特此证明。</w:t>
      </w:r>
    </w:p>
    <w:p w14:paraId="3E6C0D50">
      <w:pPr>
        <w:spacing w:line="360" w:lineRule="auto"/>
        <w:ind w:firstLine="2040" w:firstLineChars="850"/>
        <w:rPr>
          <w:rFonts w:ascii="宋体" w:hAnsi="宋体" w:eastAsia="宋体" w:cs="宋体"/>
          <w:color w:val="000000"/>
          <w:sz w:val="24"/>
          <w:szCs w:val="24"/>
        </w:rPr>
      </w:pPr>
    </w:p>
    <w:p w14:paraId="3A807D2F">
      <w:pPr>
        <w:spacing w:line="360" w:lineRule="auto"/>
        <w:jc w:val="right"/>
        <w:rPr>
          <w:rFonts w:ascii="宋体" w:hAnsi="宋体" w:eastAsia="宋体" w:cs="宋体"/>
          <w:color w:val="000000"/>
          <w:sz w:val="24"/>
          <w:szCs w:val="24"/>
        </w:rPr>
      </w:pPr>
      <w:r>
        <w:rPr>
          <w:rFonts w:hint="eastAsia" w:ascii="宋体" w:hAnsi="宋体" w:eastAsia="宋体" w:cs="宋体"/>
          <w:color w:val="000000"/>
          <w:sz w:val="24"/>
          <w:szCs w:val="24"/>
        </w:rPr>
        <w:t>乙方：</w:t>
      </w:r>
      <w:r>
        <w:rPr>
          <w:rFonts w:hint="eastAsia" w:ascii="宋体" w:hAnsi="宋体" w:eastAsia="宋体" w:cs="宋体"/>
          <w:color w:val="000000"/>
          <w:sz w:val="24"/>
          <w:szCs w:val="24"/>
          <w:u w:val="single"/>
        </w:rPr>
        <w:t xml:space="preserve"> </w:t>
      </w:r>
      <w:r>
        <w:rPr>
          <w:rFonts w:hint="eastAsia" w:ascii="宋体" w:hAnsi="宋体" w:eastAsia="宋体" w:cs="宋体"/>
          <w:b/>
          <w:bCs/>
          <w:color w:val="000000"/>
          <w:sz w:val="24"/>
          <w:szCs w:val="24"/>
          <w:u w:val="single"/>
        </w:rPr>
        <w:t>******公司</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4E41E251">
      <w:pPr>
        <w:spacing w:line="360" w:lineRule="auto"/>
        <w:ind w:right="120" w:firstLine="6240" w:firstLineChars="26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5F014D63">
      <w:pPr>
        <w:spacing w:line="360" w:lineRule="auto"/>
        <w:rPr>
          <w:rFonts w:ascii="宋体" w:hAnsi="宋体" w:eastAsia="宋体" w:cs="宋体"/>
          <w:color w:val="000000"/>
        </w:rPr>
      </w:pPr>
      <w:r>
        <w:rPr>
          <w:rFonts w:hint="eastAsia" w:ascii="宋体" w:hAnsi="宋体" w:eastAsia="宋体" w:cs="宋体"/>
          <w:color w:val="000000"/>
        </w:rPr>
        <w:t>附：法定代表人身份证件复印件</w:t>
      </w:r>
    </w:p>
    <w:tbl>
      <w:tblPr>
        <w:tblStyle w:val="17"/>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067"/>
      </w:tblGrid>
      <w:tr w14:paraId="6F21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jc w:val="center"/>
        </w:trPr>
        <w:tc>
          <w:tcPr>
            <w:tcW w:w="4644" w:type="dxa"/>
            <w:vAlign w:val="center"/>
          </w:tcPr>
          <w:p w14:paraId="0566D2F0">
            <w:pPr>
              <w:autoSpaceDE w:val="0"/>
              <w:autoSpaceDN w:val="0"/>
              <w:spacing w:line="360" w:lineRule="auto"/>
              <w:ind w:left="540" w:leftChars="257"/>
              <w:rPr>
                <w:rFonts w:ascii="宋体" w:hAnsi="宋体" w:eastAsia="宋体" w:cs="宋体"/>
                <w:color w:val="000000"/>
              </w:rPr>
            </w:pPr>
          </w:p>
        </w:tc>
        <w:tc>
          <w:tcPr>
            <w:tcW w:w="4067" w:type="dxa"/>
            <w:vAlign w:val="center"/>
          </w:tcPr>
          <w:p w14:paraId="2B64546A">
            <w:pPr>
              <w:autoSpaceDE w:val="0"/>
              <w:autoSpaceDN w:val="0"/>
              <w:spacing w:line="360" w:lineRule="auto"/>
              <w:ind w:left="540" w:leftChars="257"/>
              <w:rPr>
                <w:rFonts w:ascii="宋体" w:hAnsi="宋体" w:eastAsia="宋体" w:cs="宋体"/>
                <w:color w:val="000000"/>
              </w:rPr>
            </w:pPr>
          </w:p>
        </w:tc>
      </w:tr>
    </w:tbl>
    <w:p w14:paraId="6A268DD9">
      <w:pPr>
        <w:autoSpaceDE w:val="0"/>
        <w:autoSpaceDN w:val="0"/>
        <w:spacing w:line="360" w:lineRule="auto"/>
        <w:jc w:val="center"/>
        <w:rPr>
          <w:rFonts w:ascii="宋体" w:hAnsi="宋体" w:eastAsia="宋体" w:cs="宋体"/>
          <w:b/>
          <w:color w:val="000000"/>
          <w:sz w:val="36"/>
          <w:szCs w:val="36"/>
        </w:rPr>
      </w:pPr>
    </w:p>
    <w:p w14:paraId="31EA6027">
      <w:pPr>
        <w:autoSpaceDE w:val="0"/>
        <w:autoSpaceDN w:val="0"/>
        <w:spacing w:line="360" w:lineRule="auto"/>
        <w:jc w:val="center"/>
        <w:rPr>
          <w:rFonts w:ascii="宋体" w:hAnsi="宋体" w:eastAsia="宋体" w:cs="宋体"/>
          <w:b/>
          <w:color w:val="000000"/>
          <w:sz w:val="36"/>
          <w:szCs w:val="36"/>
        </w:rPr>
      </w:pPr>
    </w:p>
    <w:p w14:paraId="69AE345D">
      <w:pPr>
        <w:pStyle w:val="22"/>
        <w:rPr>
          <w:rFonts w:ascii="宋体" w:hAnsi="宋体" w:eastAsia="宋体" w:cs="宋体"/>
          <w:color w:val="000000"/>
          <w:sz w:val="36"/>
          <w:szCs w:val="36"/>
        </w:rPr>
      </w:pPr>
    </w:p>
    <w:p w14:paraId="217F2296"/>
    <w:p w14:paraId="330B491F">
      <w:pPr>
        <w:autoSpaceDE w:val="0"/>
        <w:autoSpaceDN w:val="0"/>
        <w:spacing w:line="360" w:lineRule="auto"/>
        <w:jc w:val="center"/>
        <w:rPr>
          <w:rFonts w:ascii="宋体" w:hAnsi="宋体" w:eastAsia="宋体" w:cs="宋体"/>
          <w:b/>
          <w:color w:val="000000"/>
          <w:sz w:val="36"/>
          <w:szCs w:val="36"/>
        </w:rPr>
      </w:pPr>
      <w:r>
        <w:rPr>
          <w:rFonts w:hint="eastAsia" w:ascii="宋体" w:hAnsi="宋体" w:eastAsia="宋体" w:cs="宋体"/>
          <w:b/>
          <w:color w:val="000000"/>
          <w:sz w:val="36"/>
          <w:szCs w:val="36"/>
        </w:rPr>
        <w:t>法定代表人授权委托证明书</w:t>
      </w:r>
    </w:p>
    <w:p w14:paraId="1443A5DE">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本人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（姓名）系</w:t>
      </w:r>
      <w:r>
        <w:rPr>
          <w:rFonts w:hint="eastAsia" w:ascii="宋体" w:hAnsi="宋体" w:eastAsia="宋体" w:cs="宋体"/>
          <w:color w:val="000000"/>
          <w:sz w:val="24"/>
          <w:u w:val="single"/>
        </w:rPr>
        <w:t xml:space="preserve">  ******公司      </w:t>
      </w:r>
      <w:r>
        <w:rPr>
          <w:rFonts w:hint="eastAsia" w:ascii="宋体" w:hAnsi="宋体" w:eastAsia="宋体" w:cs="宋体"/>
          <w:color w:val="000000"/>
          <w:sz w:val="24"/>
        </w:rPr>
        <w:t xml:space="preserve"> （乙方名称）的法定代表人，现委托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（姓名）为我公司代理人。代理人根据授权，以我公司名义签署、澄清、说明、补正、递交、撤回、修改 </w:t>
      </w:r>
      <w:r>
        <w:rPr>
          <w:rFonts w:hint="eastAsia" w:ascii="宋体" w:hAnsi="宋体" w:eastAsia="宋体" w:cs="宋体"/>
          <w:color w:val="000000"/>
          <w:sz w:val="24"/>
          <w:u w:val="single"/>
        </w:rPr>
        <w:t>****** 工程</w:t>
      </w:r>
      <w:r>
        <w:rPr>
          <w:rFonts w:hint="eastAsia" w:ascii="宋体" w:hAnsi="宋体" w:eastAsia="宋体" w:cs="宋体"/>
          <w:color w:val="000000"/>
          <w:sz w:val="24"/>
        </w:rPr>
        <w:t>报价文件、签订合同和处理有关事宜，其法律后果由我公司承担。</w:t>
      </w:r>
    </w:p>
    <w:p w14:paraId="15464AA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有效期限：  。</w:t>
      </w:r>
    </w:p>
    <w:p w14:paraId="56FA5900">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代理人无转委托权。</w:t>
      </w:r>
    </w:p>
    <w:p w14:paraId="14AEFD3A">
      <w:pPr>
        <w:spacing w:line="360" w:lineRule="auto"/>
        <w:ind w:firstLine="2160" w:firstLineChars="900"/>
        <w:rPr>
          <w:rFonts w:ascii="宋体" w:hAnsi="宋体" w:eastAsia="宋体" w:cs="宋体"/>
          <w:color w:val="000000"/>
          <w:sz w:val="24"/>
        </w:rPr>
      </w:pPr>
      <w:r>
        <w:rPr>
          <w:rFonts w:hint="eastAsia" w:ascii="宋体" w:hAnsi="宋体" w:eastAsia="宋体" w:cs="宋体"/>
          <w:color w:val="000000"/>
          <w:sz w:val="24"/>
        </w:rPr>
        <w:t>乙方名称：</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rPr>
        <w:t>******公司</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（盖单位章）</w:t>
      </w:r>
    </w:p>
    <w:p w14:paraId="5321C046">
      <w:pPr>
        <w:spacing w:line="360" w:lineRule="auto"/>
        <w:ind w:firstLine="2160" w:firstLineChars="900"/>
        <w:rPr>
          <w:rFonts w:ascii="宋体" w:hAnsi="宋体" w:eastAsia="宋体" w:cs="宋体"/>
          <w:color w:val="000000"/>
          <w:sz w:val="24"/>
        </w:rPr>
      </w:pPr>
      <w:r>
        <w:rPr>
          <w:rFonts w:hint="eastAsia" w:ascii="宋体" w:hAnsi="宋体" w:eastAsia="宋体" w:cs="宋体"/>
          <w:color w:val="000000"/>
          <w:sz w:val="24"/>
        </w:rPr>
        <w:t>法定代表人：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（签字或签章）</w:t>
      </w:r>
    </w:p>
    <w:p w14:paraId="53760C7B">
      <w:pPr>
        <w:spacing w:line="360" w:lineRule="auto"/>
        <w:ind w:firstLine="2160" w:firstLineChars="900"/>
        <w:rPr>
          <w:rFonts w:ascii="宋体" w:hAnsi="宋体" w:eastAsia="宋体" w:cs="宋体"/>
          <w:color w:val="000000"/>
          <w:sz w:val="24"/>
        </w:rPr>
      </w:pPr>
      <w:r>
        <w:rPr>
          <w:rFonts w:hint="eastAsia" w:ascii="宋体" w:hAnsi="宋体" w:eastAsia="宋体" w:cs="宋体"/>
          <w:color w:val="000000"/>
          <w:sz w:val="24"/>
        </w:rPr>
        <w:t>身份证号码：</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rPr>
        <w:t xml:space="preserve">                     </w:t>
      </w:r>
      <w:r>
        <w:rPr>
          <w:rFonts w:hint="eastAsia" w:ascii="宋体" w:hAnsi="宋体" w:eastAsia="宋体" w:cs="宋体"/>
          <w:color w:val="000000"/>
          <w:sz w:val="24"/>
          <w:u w:val="single"/>
        </w:rPr>
        <w:t xml:space="preserve">    </w:t>
      </w:r>
    </w:p>
    <w:p w14:paraId="2A5A7B00">
      <w:pPr>
        <w:spacing w:line="360" w:lineRule="auto"/>
        <w:ind w:firstLine="2160" w:firstLineChars="900"/>
        <w:rPr>
          <w:rFonts w:ascii="宋体" w:hAnsi="宋体" w:eastAsia="宋体" w:cs="宋体"/>
          <w:color w:val="000000"/>
          <w:sz w:val="24"/>
        </w:rPr>
      </w:pPr>
      <w:r>
        <w:rPr>
          <w:rFonts w:hint="eastAsia" w:ascii="宋体" w:hAnsi="宋体" w:eastAsia="宋体" w:cs="宋体"/>
          <w:color w:val="000000"/>
          <w:sz w:val="24"/>
        </w:rPr>
        <w:t>委托代理人：</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（印刷体）</w:t>
      </w:r>
    </w:p>
    <w:p w14:paraId="26228628">
      <w:pPr>
        <w:spacing w:line="360" w:lineRule="auto"/>
        <w:ind w:firstLine="2160" w:firstLineChars="900"/>
        <w:rPr>
          <w:rFonts w:ascii="宋体" w:hAnsi="宋体" w:eastAsia="宋体" w:cs="宋体"/>
          <w:color w:val="000000"/>
          <w:sz w:val="24"/>
        </w:rPr>
      </w:pPr>
      <w:r>
        <w:rPr>
          <w:rFonts w:hint="eastAsia" w:ascii="宋体" w:hAnsi="宋体" w:eastAsia="宋体" w:cs="宋体"/>
          <w:color w:val="000000"/>
          <w:sz w:val="24"/>
        </w:rPr>
        <w:t>身份证号码：</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rPr>
        <w:t xml:space="preserve">                  </w:t>
      </w:r>
      <w:r>
        <w:rPr>
          <w:rFonts w:hint="eastAsia" w:ascii="宋体" w:hAnsi="宋体" w:eastAsia="宋体" w:cs="宋体"/>
          <w:color w:val="000000"/>
          <w:sz w:val="24"/>
          <w:u w:val="single"/>
        </w:rPr>
        <w:t xml:space="preserve">  </w:t>
      </w:r>
    </w:p>
    <w:p w14:paraId="3A305950">
      <w:pPr>
        <w:spacing w:line="360" w:lineRule="auto"/>
        <w:ind w:right="480" w:firstLine="3614" w:firstLineChars="1500"/>
        <w:rPr>
          <w:rFonts w:ascii="宋体" w:hAnsi="宋体" w:eastAsia="宋体" w:cs="宋体"/>
          <w:color w:val="000000"/>
          <w:sz w:val="24"/>
        </w:rPr>
      </w:pPr>
      <w:r>
        <w:rPr>
          <w:rFonts w:hint="eastAsia" w:ascii="宋体" w:hAnsi="宋体" w:eastAsia="宋体" w:cs="宋体"/>
          <w:b/>
          <w:bCs/>
          <w:color w:val="000000"/>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b/>
          <w:bCs/>
          <w:color w:val="000000"/>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14:paraId="2AEC95CE">
      <w:pPr>
        <w:autoSpaceDE w:val="0"/>
        <w:autoSpaceDN w:val="0"/>
        <w:spacing w:line="360" w:lineRule="auto"/>
        <w:rPr>
          <w:rFonts w:ascii="宋体" w:hAnsi="宋体" w:eastAsia="宋体" w:cs="宋体"/>
          <w:color w:val="000000"/>
          <w:sz w:val="24"/>
        </w:rPr>
      </w:pPr>
      <w:r>
        <w:rPr>
          <w:rFonts w:hint="eastAsia" w:ascii="宋体" w:hAnsi="宋体" w:eastAsia="宋体" w:cs="宋体"/>
          <w:color w:val="000000"/>
          <w:sz w:val="24"/>
        </w:rPr>
        <w:t>注： 1.须与法定代表人身份证明同时出具。</w:t>
      </w:r>
    </w:p>
    <w:p w14:paraId="1F8F3540">
      <w:pPr>
        <w:autoSpaceDE w:val="0"/>
        <w:autoSpaceDN w:val="0"/>
        <w:spacing w:line="360" w:lineRule="auto"/>
        <w:ind w:left="540" w:leftChars="257"/>
        <w:rPr>
          <w:rFonts w:ascii="宋体" w:hAnsi="宋体" w:eastAsia="宋体" w:cs="宋体"/>
          <w:color w:val="000000"/>
          <w:sz w:val="24"/>
        </w:rPr>
      </w:pPr>
      <w:r>
        <w:rPr>
          <w:rFonts w:hint="eastAsia" w:ascii="宋体" w:hAnsi="宋体" w:eastAsia="宋体" w:cs="宋体"/>
          <w:color w:val="000000"/>
          <w:sz w:val="24"/>
        </w:rPr>
        <w:t>2.须附法定代表人、委托代理人身份证复印件。</w:t>
      </w:r>
    </w:p>
    <w:tbl>
      <w:tblPr>
        <w:tblStyle w:val="17"/>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5"/>
        <w:gridCol w:w="4217"/>
      </w:tblGrid>
      <w:tr w14:paraId="0F12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9" w:hRule="atLeast"/>
          <w:jc w:val="center"/>
        </w:trPr>
        <w:tc>
          <w:tcPr>
            <w:tcW w:w="4515" w:type="dxa"/>
            <w:vAlign w:val="center"/>
          </w:tcPr>
          <w:p w14:paraId="6223A298">
            <w:pPr>
              <w:spacing w:line="360" w:lineRule="auto"/>
              <w:ind w:firstLine="420" w:firstLineChars="200"/>
              <w:rPr>
                <w:rFonts w:ascii="宋体" w:hAnsi="宋体" w:eastAsia="宋体" w:cs="宋体"/>
                <w:color w:val="000000"/>
              </w:rPr>
            </w:pPr>
          </w:p>
        </w:tc>
        <w:tc>
          <w:tcPr>
            <w:tcW w:w="4217" w:type="dxa"/>
            <w:vAlign w:val="center"/>
          </w:tcPr>
          <w:p w14:paraId="2128862E">
            <w:pPr>
              <w:spacing w:line="360" w:lineRule="auto"/>
              <w:ind w:firstLine="420" w:firstLineChars="200"/>
              <w:rPr>
                <w:rFonts w:ascii="宋体" w:hAnsi="宋体" w:eastAsia="宋体" w:cs="宋体"/>
                <w:color w:val="000000"/>
              </w:rPr>
            </w:pPr>
          </w:p>
        </w:tc>
      </w:tr>
    </w:tbl>
    <w:tbl>
      <w:tblPr>
        <w:tblStyle w:val="17"/>
        <w:tblpPr w:leftFromText="180" w:rightFromText="180" w:vertAnchor="text" w:horzAnchor="margin" w:tblpX="91" w:tblpY="288"/>
        <w:tblW w:w="8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237"/>
      </w:tblGrid>
      <w:tr w14:paraId="40BB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4516" w:type="dxa"/>
            <w:vAlign w:val="center"/>
          </w:tcPr>
          <w:p w14:paraId="743BD3CB">
            <w:pPr>
              <w:spacing w:line="360" w:lineRule="auto"/>
              <w:ind w:firstLine="420" w:firstLineChars="200"/>
              <w:rPr>
                <w:rFonts w:ascii="宋体" w:hAnsi="宋体" w:eastAsia="宋体" w:cs="宋体"/>
                <w:color w:val="000000"/>
              </w:rPr>
            </w:pPr>
          </w:p>
        </w:tc>
        <w:tc>
          <w:tcPr>
            <w:tcW w:w="4237" w:type="dxa"/>
            <w:vAlign w:val="center"/>
          </w:tcPr>
          <w:p w14:paraId="694E1AAF">
            <w:pPr>
              <w:spacing w:line="360" w:lineRule="auto"/>
              <w:ind w:firstLine="420" w:firstLineChars="200"/>
              <w:rPr>
                <w:rFonts w:ascii="宋体" w:hAnsi="宋体" w:eastAsia="宋体" w:cs="宋体"/>
                <w:color w:val="000000"/>
              </w:rPr>
            </w:pPr>
          </w:p>
        </w:tc>
      </w:tr>
    </w:tbl>
    <w:p w14:paraId="341FEC5F">
      <w:pPr>
        <w:spacing w:line="360" w:lineRule="auto"/>
        <w:rPr>
          <w:rFonts w:ascii="宋体" w:hAnsi="宋体" w:eastAsia="宋体" w:cs="宋体"/>
          <w:color w:val="000000"/>
        </w:rPr>
      </w:pPr>
      <w:r>
        <w:rPr>
          <w:rFonts w:hint="eastAsia" w:ascii="宋体" w:hAnsi="宋体" w:eastAsia="宋体" w:cs="宋体"/>
          <w:color w:val="000000"/>
        </w:rPr>
        <w:br w:type="page"/>
      </w:r>
    </w:p>
    <w:p w14:paraId="7AC3770E">
      <w:pPr>
        <w:spacing w:line="360" w:lineRule="auto"/>
        <w:rPr>
          <w:rFonts w:ascii="宋体" w:hAnsi="宋体" w:eastAsia="宋体" w:cs="宋体"/>
          <w:color w:val="000000"/>
          <w:sz w:val="24"/>
        </w:rPr>
      </w:pPr>
      <w:r>
        <w:rPr>
          <w:rFonts w:hint="eastAsia" w:ascii="宋体" w:hAnsi="宋体" w:eastAsia="宋体" w:cs="宋体"/>
          <w:color w:val="000000"/>
          <w:sz w:val="24"/>
        </w:rPr>
        <w:t>营业执照</w:t>
      </w:r>
    </w:p>
    <w:p w14:paraId="5B67DCC2">
      <w:pPr>
        <w:spacing w:line="360" w:lineRule="auto"/>
        <w:rPr>
          <w:rFonts w:ascii="宋体" w:hAnsi="宋体" w:eastAsia="宋体" w:cs="宋体"/>
          <w:color w:val="000000"/>
        </w:rPr>
      </w:pPr>
    </w:p>
    <w:p w14:paraId="34B3CDE2">
      <w:pPr>
        <w:spacing w:line="360" w:lineRule="auto"/>
        <w:rPr>
          <w:rFonts w:ascii="宋体" w:hAnsi="宋体" w:eastAsia="宋体" w:cs="宋体"/>
          <w:color w:val="000000"/>
        </w:rPr>
      </w:pPr>
    </w:p>
    <w:p w14:paraId="05B22AE4">
      <w:pPr>
        <w:pStyle w:val="22"/>
        <w:spacing w:line="360" w:lineRule="auto"/>
        <w:rPr>
          <w:rFonts w:ascii="宋体" w:hAnsi="宋体" w:eastAsia="宋体" w:cs="宋体"/>
        </w:rPr>
      </w:pPr>
    </w:p>
    <w:p w14:paraId="34D2D76E">
      <w:pPr>
        <w:spacing w:line="360" w:lineRule="auto"/>
        <w:rPr>
          <w:rFonts w:ascii="宋体" w:hAnsi="宋体" w:eastAsia="宋体" w:cs="宋体"/>
          <w:color w:val="000000" w:themeColor="text1"/>
          <w14:textFill>
            <w14:solidFill>
              <w14:schemeClr w14:val="tx1"/>
            </w14:solidFill>
          </w14:textFill>
        </w:rPr>
      </w:pPr>
    </w:p>
    <w:p w14:paraId="179F791F">
      <w:pPr>
        <w:spacing w:line="360" w:lineRule="auto"/>
        <w:rPr>
          <w:rFonts w:ascii="宋体" w:hAnsi="宋体" w:eastAsia="宋体" w:cs="宋体"/>
          <w:color w:val="000000" w:themeColor="text1"/>
          <w14:textFill>
            <w14:solidFill>
              <w14:schemeClr w14:val="tx1"/>
            </w14:solidFill>
          </w14:textFill>
        </w:rPr>
      </w:pPr>
    </w:p>
    <w:p w14:paraId="5BF64BCA">
      <w:pPr>
        <w:spacing w:line="360" w:lineRule="auto"/>
        <w:rPr>
          <w:rFonts w:ascii="宋体" w:hAnsi="宋体" w:eastAsia="宋体" w:cs="宋体"/>
          <w:color w:val="000000" w:themeColor="text1"/>
          <w14:textFill>
            <w14:solidFill>
              <w14:schemeClr w14:val="tx1"/>
            </w14:solidFill>
          </w14:textFill>
        </w:rPr>
      </w:pPr>
    </w:p>
    <w:p w14:paraId="5F30DA11">
      <w:pPr>
        <w:pStyle w:val="22"/>
        <w:spacing w:line="360" w:lineRule="auto"/>
        <w:rPr>
          <w:rFonts w:ascii="宋体" w:hAnsi="宋体" w:eastAsia="宋体" w:cs="宋体"/>
          <w:color w:val="000000" w:themeColor="text1"/>
          <w14:textFill>
            <w14:solidFill>
              <w14:schemeClr w14:val="tx1"/>
            </w14:solidFill>
          </w14:textFill>
        </w:rPr>
      </w:pPr>
    </w:p>
    <w:p w14:paraId="1FC93D97">
      <w:pPr>
        <w:spacing w:line="360" w:lineRule="auto"/>
        <w:rPr>
          <w:rFonts w:ascii="宋体" w:hAnsi="宋体" w:eastAsia="宋体" w:cs="宋体"/>
          <w:color w:val="000000" w:themeColor="text1"/>
          <w14:textFill>
            <w14:solidFill>
              <w14:schemeClr w14:val="tx1"/>
            </w14:solidFill>
          </w14:textFill>
        </w:rPr>
      </w:pPr>
    </w:p>
    <w:p w14:paraId="30B6465F">
      <w:pPr>
        <w:pStyle w:val="22"/>
        <w:spacing w:line="360" w:lineRule="auto"/>
        <w:rPr>
          <w:rFonts w:ascii="宋体" w:hAnsi="宋体" w:eastAsia="宋体" w:cs="宋体"/>
          <w:color w:val="000000" w:themeColor="text1"/>
          <w14:textFill>
            <w14:solidFill>
              <w14:schemeClr w14:val="tx1"/>
            </w14:solidFill>
          </w14:textFill>
        </w:rPr>
      </w:pPr>
    </w:p>
    <w:p w14:paraId="280EC73F">
      <w:pPr>
        <w:spacing w:line="360" w:lineRule="auto"/>
        <w:rPr>
          <w:rFonts w:ascii="宋体" w:hAnsi="宋体" w:eastAsia="宋体" w:cs="宋体"/>
          <w:color w:val="000000" w:themeColor="text1"/>
          <w14:textFill>
            <w14:solidFill>
              <w14:schemeClr w14:val="tx1"/>
            </w14:solidFill>
          </w14:textFill>
        </w:rPr>
      </w:pPr>
    </w:p>
    <w:p w14:paraId="76E5F3E6">
      <w:pPr>
        <w:pStyle w:val="22"/>
        <w:spacing w:line="360" w:lineRule="auto"/>
        <w:rPr>
          <w:rFonts w:ascii="宋体" w:hAnsi="宋体" w:eastAsia="宋体" w:cs="宋体"/>
          <w:color w:val="000000" w:themeColor="text1"/>
          <w14:textFill>
            <w14:solidFill>
              <w14:schemeClr w14:val="tx1"/>
            </w14:solidFill>
          </w14:textFill>
        </w:rPr>
      </w:pPr>
    </w:p>
    <w:p w14:paraId="7229CD2C">
      <w:pPr>
        <w:spacing w:line="360" w:lineRule="auto"/>
        <w:rPr>
          <w:rFonts w:ascii="宋体" w:hAnsi="宋体" w:eastAsia="宋体" w:cs="宋体"/>
          <w:color w:val="000000" w:themeColor="text1"/>
          <w14:textFill>
            <w14:solidFill>
              <w14:schemeClr w14:val="tx1"/>
            </w14:solidFill>
          </w14:textFill>
        </w:rPr>
      </w:pPr>
    </w:p>
    <w:p w14:paraId="053CE16D">
      <w:pPr>
        <w:pStyle w:val="22"/>
        <w:spacing w:line="360" w:lineRule="auto"/>
        <w:rPr>
          <w:rFonts w:ascii="宋体" w:hAnsi="宋体" w:eastAsia="宋体" w:cs="宋体"/>
          <w:color w:val="000000" w:themeColor="text1"/>
          <w14:textFill>
            <w14:solidFill>
              <w14:schemeClr w14:val="tx1"/>
            </w14:solidFill>
          </w14:textFill>
        </w:rPr>
      </w:pPr>
    </w:p>
    <w:p w14:paraId="550711ED">
      <w:pPr>
        <w:spacing w:line="360" w:lineRule="auto"/>
        <w:rPr>
          <w:rFonts w:ascii="宋体" w:hAnsi="宋体" w:eastAsia="宋体" w:cs="宋体"/>
          <w:color w:val="000000" w:themeColor="text1"/>
          <w14:textFill>
            <w14:solidFill>
              <w14:schemeClr w14:val="tx1"/>
            </w14:solidFill>
          </w14:textFill>
        </w:rPr>
      </w:pPr>
    </w:p>
    <w:p w14:paraId="61610AE3">
      <w:pPr>
        <w:pStyle w:val="22"/>
        <w:spacing w:line="360" w:lineRule="auto"/>
        <w:rPr>
          <w:rFonts w:ascii="宋体" w:hAnsi="宋体" w:eastAsia="宋体" w:cs="宋体"/>
          <w:color w:val="000000" w:themeColor="text1"/>
          <w14:textFill>
            <w14:solidFill>
              <w14:schemeClr w14:val="tx1"/>
            </w14:solidFill>
          </w14:textFill>
        </w:rPr>
      </w:pPr>
    </w:p>
    <w:p w14:paraId="1ED6AD8E">
      <w:pPr>
        <w:spacing w:line="360" w:lineRule="auto"/>
        <w:rPr>
          <w:rFonts w:ascii="宋体" w:hAnsi="宋体" w:eastAsia="宋体" w:cs="宋体"/>
          <w:color w:val="000000" w:themeColor="text1"/>
          <w14:textFill>
            <w14:solidFill>
              <w14:schemeClr w14:val="tx1"/>
            </w14:solidFill>
          </w14:textFill>
        </w:rPr>
      </w:pPr>
    </w:p>
    <w:p w14:paraId="581AA581">
      <w:pPr>
        <w:pStyle w:val="22"/>
        <w:spacing w:line="360" w:lineRule="auto"/>
        <w:rPr>
          <w:rFonts w:ascii="宋体" w:hAnsi="宋体" w:eastAsia="宋体" w:cs="宋体"/>
          <w:color w:val="000000" w:themeColor="text1"/>
          <w14:textFill>
            <w14:solidFill>
              <w14:schemeClr w14:val="tx1"/>
            </w14:solidFill>
          </w14:textFill>
        </w:rPr>
      </w:pPr>
    </w:p>
    <w:p w14:paraId="264B9C44">
      <w:pPr>
        <w:spacing w:line="360" w:lineRule="auto"/>
        <w:rPr>
          <w:rFonts w:ascii="宋体" w:hAnsi="宋体" w:eastAsia="宋体" w:cs="宋体"/>
          <w:color w:val="000000" w:themeColor="text1"/>
          <w14:textFill>
            <w14:solidFill>
              <w14:schemeClr w14:val="tx1"/>
            </w14:solidFill>
          </w14:textFill>
        </w:rPr>
      </w:pPr>
    </w:p>
    <w:p w14:paraId="5201D3AA">
      <w:pPr>
        <w:pStyle w:val="22"/>
        <w:spacing w:line="360" w:lineRule="auto"/>
        <w:rPr>
          <w:rFonts w:ascii="宋体" w:hAnsi="宋体" w:eastAsia="宋体" w:cs="宋体"/>
          <w:color w:val="000000" w:themeColor="text1"/>
          <w14:textFill>
            <w14:solidFill>
              <w14:schemeClr w14:val="tx1"/>
            </w14:solidFill>
          </w14:textFill>
        </w:rPr>
      </w:pPr>
    </w:p>
    <w:p w14:paraId="660AFEF3">
      <w:pPr>
        <w:spacing w:line="360" w:lineRule="auto"/>
        <w:rPr>
          <w:rFonts w:ascii="宋体" w:hAnsi="宋体" w:eastAsia="宋体" w:cs="宋体"/>
          <w:color w:val="000000" w:themeColor="text1"/>
          <w14:textFill>
            <w14:solidFill>
              <w14:schemeClr w14:val="tx1"/>
            </w14:solidFill>
          </w14:textFill>
        </w:rPr>
      </w:pPr>
    </w:p>
    <w:p w14:paraId="10BDA636">
      <w:pPr>
        <w:pStyle w:val="22"/>
        <w:spacing w:line="360" w:lineRule="auto"/>
        <w:rPr>
          <w:rFonts w:ascii="宋体" w:hAnsi="宋体" w:eastAsia="宋体" w:cs="宋体"/>
          <w:color w:val="000000" w:themeColor="text1"/>
          <w14:textFill>
            <w14:solidFill>
              <w14:schemeClr w14:val="tx1"/>
            </w14:solidFill>
          </w14:textFill>
        </w:rPr>
      </w:pPr>
    </w:p>
    <w:p w14:paraId="491F291F">
      <w:pPr>
        <w:spacing w:line="360" w:lineRule="auto"/>
        <w:rPr>
          <w:rFonts w:ascii="宋体" w:hAnsi="宋体" w:eastAsia="宋体" w:cs="宋体"/>
          <w:color w:val="000000" w:themeColor="text1"/>
          <w14:textFill>
            <w14:solidFill>
              <w14:schemeClr w14:val="tx1"/>
            </w14:solidFill>
          </w14:textFill>
        </w:rPr>
      </w:pPr>
    </w:p>
    <w:p w14:paraId="489D6353">
      <w:pPr>
        <w:spacing w:line="360" w:lineRule="auto"/>
        <w:rPr>
          <w:rFonts w:ascii="宋体" w:hAnsi="宋体" w:eastAsia="宋体" w:cs="宋体"/>
        </w:rPr>
      </w:pPr>
    </w:p>
    <w:p w14:paraId="6988D7C9">
      <w:pPr>
        <w:spacing w:line="360" w:lineRule="auto"/>
        <w:rPr>
          <w:rFonts w:ascii="宋体" w:hAnsi="宋体" w:eastAsia="宋体" w:cs="宋体"/>
        </w:rPr>
      </w:pPr>
    </w:p>
    <w:p w14:paraId="3B414679">
      <w:pPr>
        <w:spacing w:line="360" w:lineRule="auto"/>
        <w:rPr>
          <w:rFonts w:ascii="宋体" w:hAnsi="宋体" w:eastAsia="宋体" w:cs="宋体"/>
          <w:sz w:val="24"/>
          <w:szCs w:val="24"/>
        </w:rPr>
      </w:pPr>
      <w:bookmarkStart w:id="44" w:name="_Toc47008564"/>
      <w:bookmarkStart w:id="45" w:name="_Toc46911527"/>
      <w:bookmarkStart w:id="46" w:name="_Toc10527"/>
      <w:r>
        <w:rPr>
          <w:rFonts w:hint="eastAsia" w:ascii="宋体" w:hAnsi="宋体" w:eastAsia="宋体" w:cs="宋体"/>
          <w:sz w:val="24"/>
          <w:szCs w:val="24"/>
        </w:rPr>
        <w:t>附件1：中标工程量清单（后附）</w:t>
      </w:r>
    </w:p>
    <w:p w14:paraId="26418E82">
      <w:pPr>
        <w:pageBreakBefore/>
        <w:spacing w:line="360" w:lineRule="auto"/>
        <w:rPr>
          <w:rFonts w:ascii="宋体" w:hAnsi="宋体" w:eastAsia="宋体" w:cs="宋体"/>
          <w:sz w:val="24"/>
          <w:szCs w:val="24"/>
        </w:rPr>
      </w:pPr>
      <w:r>
        <w:rPr>
          <w:rFonts w:hint="eastAsia" w:ascii="宋体" w:hAnsi="宋体" w:eastAsia="宋体" w:cs="宋体"/>
          <w:sz w:val="24"/>
          <w:szCs w:val="24"/>
        </w:rPr>
        <w:t>附件2：本项目服务人员一览表及项目负责人履历一览表及项目负责人履历</w:t>
      </w:r>
    </w:p>
    <w:p w14:paraId="25A06EBF">
      <w:pPr>
        <w:pStyle w:val="22"/>
        <w:spacing w:line="360" w:lineRule="auto"/>
        <w:rPr>
          <w:rFonts w:ascii="宋体" w:hAnsi="宋体" w:eastAsia="宋体" w:cs="宋体"/>
        </w:rPr>
      </w:pPr>
    </w:p>
    <w:bookmarkEnd w:id="44"/>
    <w:bookmarkEnd w:id="45"/>
    <w:bookmarkEnd w:id="46"/>
    <w:p w14:paraId="07248AF6">
      <w:pPr>
        <w:widowControl/>
        <w:adjustRightInd w:val="0"/>
        <w:snapToGrid w:val="0"/>
        <w:spacing w:before="100" w:beforeAutospacing="1" w:after="100" w:afterAutospacing="1" w:line="360" w:lineRule="auto"/>
        <w:jc w:val="center"/>
        <w:rPr>
          <w:rFonts w:ascii="宋体" w:hAnsi="宋体" w:eastAsia="宋体" w:cs="宋体"/>
          <w:b/>
          <w:color w:val="000000"/>
          <w:kern w:val="0"/>
          <w:sz w:val="24"/>
          <w:szCs w:val="24"/>
        </w:rPr>
      </w:pPr>
      <w:r>
        <w:rPr>
          <w:rFonts w:hint="eastAsia" w:ascii="宋体" w:hAnsi="宋体" w:eastAsia="宋体" w:cs="宋体"/>
          <w:sz w:val="24"/>
          <w:szCs w:val="24"/>
        </w:rPr>
        <w:t>本项目服务人员一览表及项目负责人履历一览表及项目负责人履历</w:t>
      </w:r>
      <w:r>
        <w:rPr>
          <w:rFonts w:hint="eastAsia" w:ascii="宋体" w:hAnsi="宋体" w:eastAsia="宋体" w:cs="宋体"/>
          <w:b/>
          <w:color w:val="000000"/>
          <w:kern w:val="0"/>
          <w:sz w:val="24"/>
          <w:szCs w:val="24"/>
        </w:rPr>
        <w:t>一览表</w:t>
      </w:r>
    </w:p>
    <w:tbl>
      <w:tblPr>
        <w:tblStyle w:val="17"/>
        <w:tblW w:w="5000" w:type="pct"/>
        <w:tblInd w:w="0" w:type="dxa"/>
        <w:tblLayout w:type="autofit"/>
        <w:tblCellMar>
          <w:top w:w="0" w:type="dxa"/>
          <w:left w:w="108" w:type="dxa"/>
          <w:bottom w:w="0" w:type="dxa"/>
          <w:right w:w="108" w:type="dxa"/>
        </w:tblCellMar>
      </w:tblPr>
      <w:tblGrid>
        <w:gridCol w:w="575"/>
        <w:gridCol w:w="1106"/>
        <w:gridCol w:w="1138"/>
        <w:gridCol w:w="839"/>
        <w:gridCol w:w="2193"/>
        <w:gridCol w:w="1441"/>
        <w:gridCol w:w="1657"/>
      </w:tblGrid>
      <w:tr w14:paraId="417D706F">
        <w:tblPrEx>
          <w:tblCellMar>
            <w:top w:w="0" w:type="dxa"/>
            <w:left w:w="108" w:type="dxa"/>
            <w:bottom w:w="0" w:type="dxa"/>
            <w:right w:w="108" w:type="dxa"/>
          </w:tblCellMar>
        </w:tblPrEx>
        <w:tc>
          <w:tcPr>
            <w:tcW w:w="321" w:type="pct"/>
            <w:tcBorders>
              <w:top w:val="single" w:color="auto" w:sz="4" w:space="0"/>
              <w:left w:val="single" w:color="auto" w:sz="4" w:space="0"/>
              <w:bottom w:val="single" w:color="auto" w:sz="4" w:space="0"/>
              <w:right w:val="single" w:color="auto" w:sz="4" w:space="0"/>
            </w:tcBorders>
            <w:vAlign w:val="center"/>
          </w:tcPr>
          <w:p w14:paraId="1FF3BAF0">
            <w:pPr>
              <w:widowControl/>
              <w:snapToGrid w:val="0"/>
              <w:spacing w:line="360" w:lineRule="auto"/>
              <w:jc w:val="center"/>
              <w:rPr>
                <w:rFonts w:ascii="宋体" w:hAnsi="宋体" w:eastAsia="宋体" w:cs="宋体"/>
                <w:color w:val="000000"/>
                <w:kern w:val="0"/>
                <w:sz w:val="24"/>
                <w:szCs w:val="24"/>
              </w:rPr>
            </w:pPr>
            <w:r>
              <w:rPr>
                <w:rFonts w:hint="eastAsia" w:ascii="宋体" w:hAnsi="宋体" w:eastAsia="宋体" w:cs="宋体"/>
                <w:bCs/>
                <w:color w:val="000000"/>
                <w:kern w:val="0"/>
                <w:sz w:val="24"/>
                <w:szCs w:val="24"/>
              </w:rPr>
              <w:t>序号</w:t>
            </w:r>
          </w:p>
        </w:tc>
        <w:tc>
          <w:tcPr>
            <w:tcW w:w="618" w:type="pct"/>
            <w:tcBorders>
              <w:top w:val="single" w:color="auto" w:sz="4" w:space="0"/>
              <w:left w:val="nil"/>
              <w:bottom w:val="single" w:color="auto" w:sz="4" w:space="0"/>
              <w:right w:val="single" w:color="auto" w:sz="4" w:space="0"/>
            </w:tcBorders>
            <w:vAlign w:val="center"/>
          </w:tcPr>
          <w:p w14:paraId="64574C2C">
            <w:pPr>
              <w:widowControl/>
              <w:snapToGrid w:val="0"/>
              <w:spacing w:line="360" w:lineRule="auto"/>
              <w:jc w:val="center"/>
              <w:rPr>
                <w:rFonts w:ascii="宋体" w:hAnsi="宋体" w:eastAsia="宋体" w:cs="宋体"/>
                <w:color w:val="000000"/>
                <w:kern w:val="0"/>
                <w:sz w:val="24"/>
                <w:szCs w:val="24"/>
              </w:rPr>
            </w:pPr>
            <w:r>
              <w:rPr>
                <w:rFonts w:hint="eastAsia" w:ascii="宋体" w:hAnsi="宋体" w:eastAsia="宋体" w:cs="宋体"/>
                <w:bCs/>
                <w:color w:val="000000"/>
                <w:kern w:val="0"/>
                <w:sz w:val="24"/>
                <w:szCs w:val="24"/>
              </w:rPr>
              <w:t>姓名</w:t>
            </w:r>
          </w:p>
        </w:tc>
        <w:tc>
          <w:tcPr>
            <w:tcW w:w="636" w:type="pct"/>
            <w:tcBorders>
              <w:top w:val="single" w:color="auto" w:sz="4" w:space="0"/>
              <w:left w:val="nil"/>
              <w:bottom w:val="single" w:color="auto" w:sz="4" w:space="0"/>
              <w:right w:val="single" w:color="auto" w:sz="4" w:space="0"/>
            </w:tcBorders>
            <w:vAlign w:val="center"/>
          </w:tcPr>
          <w:p w14:paraId="04121CAA">
            <w:pPr>
              <w:widowControl/>
              <w:snapToGrid w:val="0"/>
              <w:spacing w:line="360" w:lineRule="auto"/>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本项目</w:t>
            </w:r>
          </w:p>
          <w:p w14:paraId="45E24FB8">
            <w:pPr>
              <w:widowControl/>
              <w:snapToGrid w:val="0"/>
              <w:spacing w:line="360" w:lineRule="auto"/>
              <w:jc w:val="center"/>
              <w:rPr>
                <w:rFonts w:ascii="宋体" w:hAnsi="宋体" w:eastAsia="宋体" w:cs="宋体"/>
                <w:color w:val="000000"/>
                <w:kern w:val="0"/>
                <w:sz w:val="24"/>
                <w:szCs w:val="24"/>
              </w:rPr>
            </w:pPr>
            <w:r>
              <w:rPr>
                <w:rFonts w:hint="eastAsia" w:ascii="宋体" w:hAnsi="宋体" w:eastAsia="宋体" w:cs="宋体"/>
                <w:bCs/>
                <w:color w:val="000000"/>
                <w:kern w:val="0"/>
                <w:sz w:val="24"/>
                <w:szCs w:val="24"/>
              </w:rPr>
              <w:t>职务</w:t>
            </w:r>
          </w:p>
        </w:tc>
        <w:tc>
          <w:tcPr>
            <w:tcW w:w="469" w:type="pct"/>
            <w:tcBorders>
              <w:top w:val="single" w:color="auto" w:sz="4" w:space="0"/>
              <w:left w:val="nil"/>
              <w:bottom w:val="single" w:color="auto" w:sz="4" w:space="0"/>
              <w:right w:val="single" w:color="auto" w:sz="4" w:space="0"/>
            </w:tcBorders>
            <w:vAlign w:val="center"/>
          </w:tcPr>
          <w:p w14:paraId="161914E5">
            <w:pPr>
              <w:widowControl/>
              <w:snapToGrid w:val="0"/>
              <w:spacing w:line="360" w:lineRule="auto"/>
              <w:jc w:val="center"/>
              <w:rPr>
                <w:rFonts w:ascii="宋体" w:hAnsi="宋体" w:eastAsia="宋体" w:cs="宋体"/>
                <w:color w:val="000000"/>
                <w:kern w:val="0"/>
                <w:sz w:val="24"/>
                <w:szCs w:val="24"/>
              </w:rPr>
            </w:pPr>
            <w:r>
              <w:rPr>
                <w:rFonts w:hint="eastAsia" w:ascii="宋体" w:hAnsi="宋体" w:eastAsia="宋体" w:cs="宋体"/>
                <w:bCs/>
                <w:color w:val="000000"/>
                <w:kern w:val="0"/>
                <w:sz w:val="24"/>
                <w:szCs w:val="24"/>
              </w:rPr>
              <w:t>年龄</w:t>
            </w:r>
          </w:p>
        </w:tc>
        <w:tc>
          <w:tcPr>
            <w:tcW w:w="1225" w:type="pct"/>
            <w:tcBorders>
              <w:top w:val="single" w:color="auto" w:sz="4" w:space="0"/>
              <w:left w:val="nil"/>
              <w:bottom w:val="single" w:color="auto" w:sz="4" w:space="0"/>
              <w:right w:val="single" w:color="auto" w:sz="4" w:space="0"/>
            </w:tcBorders>
            <w:vAlign w:val="center"/>
          </w:tcPr>
          <w:p w14:paraId="5B4360DE">
            <w:pPr>
              <w:widowControl/>
              <w:snapToGrid w:val="0"/>
              <w:spacing w:line="360" w:lineRule="auto"/>
              <w:jc w:val="center"/>
              <w:rPr>
                <w:rFonts w:ascii="宋体" w:hAnsi="宋体" w:eastAsia="宋体" w:cs="宋体"/>
                <w:color w:val="000000"/>
                <w:kern w:val="0"/>
                <w:sz w:val="24"/>
                <w:szCs w:val="24"/>
              </w:rPr>
            </w:pPr>
            <w:r>
              <w:rPr>
                <w:rFonts w:hint="eastAsia" w:ascii="宋体" w:hAnsi="宋体" w:eastAsia="宋体" w:cs="宋体"/>
                <w:bCs/>
                <w:color w:val="000000"/>
                <w:kern w:val="0"/>
                <w:sz w:val="24"/>
                <w:szCs w:val="24"/>
              </w:rPr>
              <w:t>职称/执业资格</w:t>
            </w:r>
          </w:p>
        </w:tc>
        <w:tc>
          <w:tcPr>
            <w:tcW w:w="805" w:type="pct"/>
            <w:tcBorders>
              <w:top w:val="single" w:color="auto" w:sz="4" w:space="0"/>
              <w:left w:val="nil"/>
              <w:bottom w:val="single" w:color="auto" w:sz="4" w:space="0"/>
              <w:right w:val="single" w:color="auto" w:sz="4" w:space="0"/>
            </w:tcBorders>
            <w:vAlign w:val="center"/>
          </w:tcPr>
          <w:p w14:paraId="42E81005">
            <w:pPr>
              <w:widowControl/>
              <w:snapToGrid w:val="0"/>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从业年限</w:t>
            </w:r>
          </w:p>
        </w:tc>
        <w:tc>
          <w:tcPr>
            <w:tcW w:w="926" w:type="pct"/>
            <w:tcBorders>
              <w:top w:val="single" w:color="auto" w:sz="4" w:space="0"/>
              <w:left w:val="nil"/>
              <w:bottom w:val="single" w:color="auto" w:sz="4" w:space="0"/>
              <w:right w:val="single" w:color="auto" w:sz="4" w:space="0"/>
            </w:tcBorders>
            <w:vAlign w:val="center"/>
          </w:tcPr>
          <w:p w14:paraId="5BBB74D2">
            <w:pPr>
              <w:widowControl/>
              <w:snapToGrid w:val="0"/>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联系电话</w:t>
            </w:r>
          </w:p>
        </w:tc>
      </w:tr>
      <w:tr w14:paraId="4E82AE8B">
        <w:tblPrEx>
          <w:tblCellMar>
            <w:top w:w="0" w:type="dxa"/>
            <w:left w:w="108" w:type="dxa"/>
            <w:bottom w:w="0" w:type="dxa"/>
            <w:right w:w="108" w:type="dxa"/>
          </w:tblCellMar>
        </w:tblPrEx>
        <w:tc>
          <w:tcPr>
            <w:tcW w:w="321" w:type="pct"/>
            <w:tcBorders>
              <w:top w:val="single" w:color="auto" w:sz="4" w:space="0"/>
              <w:left w:val="single" w:color="auto" w:sz="4" w:space="0"/>
              <w:bottom w:val="single" w:color="auto" w:sz="4" w:space="0"/>
              <w:right w:val="single" w:color="auto" w:sz="4" w:space="0"/>
            </w:tcBorders>
            <w:vAlign w:val="center"/>
          </w:tcPr>
          <w:p w14:paraId="044F2B7E">
            <w:pPr>
              <w:widowControl/>
              <w:snapToGrid w:val="0"/>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18" w:type="pct"/>
            <w:tcBorders>
              <w:top w:val="single" w:color="auto" w:sz="4" w:space="0"/>
              <w:left w:val="nil"/>
              <w:bottom w:val="single" w:color="auto" w:sz="4" w:space="0"/>
              <w:right w:val="single" w:color="auto" w:sz="4" w:space="0"/>
            </w:tcBorders>
            <w:vAlign w:val="center"/>
          </w:tcPr>
          <w:p w14:paraId="6C443A17">
            <w:pPr>
              <w:widowControl/>
              <w:snapToGrid w:val="0"/>
              <w:spacing w:line="360" w:lineRule="auto"/>
              <w:jc w:val="center"/>
              <w:rPr>
                <w:rFonts w:ascii="宋体" w:hAnsi="宋体" w:eastAsia="宋体" w:cs="宋体"/>
                <w:color w:val="000000"/>
                <w:kern w:val="0"/>
                <w:sz w:val="24"/>
                <w:szCs w:val="24"/>
              </w:rPr>
            </w:pPr>
          </w:p>
        </w:tc>
        <w:tc>
          <w:tcPr>
            <w:tcW w:w="636" w:type="pct"/>
            <w:tcBorders>
              <w:top w:val="single" w:color="auto" w:sz="4" w:space="0"/>
              <w:left w:val="nil"/>
              <w:bottom w:val="single" w:color="auto" w:sz="4" w:space="0"/>
              <w:right w:val="single" w:color="auto" w:sz="4" w:space="0"/>
            </w:tcBorders>
            <w:vAlign w:val="center"/>
          </w:tcPr>
          <w:p w14:paraId="107582D6">
            <w:pPr>
              <w:widowControl/>
              <w:snapToGrid w:val="0"/>
              <w:spacing w:line="360" w:lineRule="auto"/>
              <w:jc w:val="center"/>
              <w:rPr>
                <w:rFonts w:ascii="宋体" w:hAnsi="宋体" w:eastAsia="宋体" w:cs="宋体"/>
                <w:color w:val="000000"/>
                <w:kern w:val="0"/>
                <w:sz w:val="24"/>
                <w:szCs w:val="24"/>
              </w:rPr>
            </w:pPr>
          </w:p>
        </w:tc>
        <w:tc>
          <w:tcPr>
            <w:tcW w:w="469" w:type="pct"/>
            <w:tcBorders>
              <w:top w:val="single" w:color="auto" w:sz="4" w:space="0"/>
              <w:left w:val="nil"/>
              <w:bottom w:val="single" w:color="auto" w:sz="4" w:space="0"/>
              <w:right w:val="single" w:color="auto" w:sz="4" w:space="0"/>
            </w:tcBorders>
            <w:vAlign w:val="center"/>
          </w:tcPr>
          <w:p w14:paraId="07291699">
            <w:pPr>
              <w:widowControl/>
              <w:snapToGrid w:val="0"/>
              <w:spacing w:line="360" w:lineRule="auto"/>
              <w:jc w:val="center"/>
              <w:rPr>
                <w:rFonts w:ascii="宋体" w:hAnsi="宋体" w:eastAsia="宋体" w:cs="宋体"/>
                <w:color w:val="000000"/>
                <w:kern w:val="0"/>
                <w:sz w:val="24"/>
                <w:szCs w:val="24"/>
              </w:rPr>
            </w:pPr>
          </w:p>
        </w:tc>
        <w:tc>
          <w:tcPr>
            <w:tcW w:w="1225" w:type="pct"/>
            <w:tcBorders>
              <w:top w:val="single" w:color="auto" w:sz="4" w:space="0"/>
              <w:left w:val="nil"/>
              <w:bottom w:val="single" w:color="auto" w:sz="4" w:space="0"/>
              <w:right w:val="single" w:color="auto" w:sz="4" w:space="0"/>
            </w:tcBorders>
            <w:vAlign w:val="center"/>
          </w:tcPr>
          <w:p w14:paraId="4E54B0AA">
            <w:pPr>
              <w:widowControl/>
              <w:snapToGrid w:val="0"/>
              <w:spacing w:line="360" w:lineRule="auto"/>
              <w:jc w:val="center"/>
              <w:rPr>
                <w:rFonts w:ascii="宋体" w:hAnsi="宋体" w:eastAsia="宋体" w:cs="宋体"/>
                <w:color w:val="000000"/>
                <w:kern w:val="0"/>
                <w:sz w:val="24"/>
                <w:szCs w:val="24"/>
              </w:rPr>
            </w:pPr>
          </w:p>
        </w:tc>
        <w:tc>
          <w:tcPr>
            <w:tcW w:w="805" w:type="pct"/>
            <w:tcBorders>
              <w:top w:val="single" w:color="auto" w:sz="4" w:space="0"/>
              <w:left w:val="nil"/>
              <w:bottom w:val="single" w:color="auto" w:sz="4" w:space="0"/>
              <w:right w:val="single" w:color="auto" w:sz="4" w:space="0"/>
            </w:tcBorders>
            <w:vAlign w:val="center"/>
          </w:tcPr>
          <w:p w14:paraId="220A55BB">
            <w:pPr>
              <w:widowControl/>
              <w:snapToGrid w:val="0"/>
              <w:spacing w:line="360" w:lineRule="auto"/>
              <w:jc w:val="center"/>
              <w:rPr>
                <w:rFonts w:ascii="宋体" w:hAnsi="宋体" w:eastAsia="宋体" w:cs="宋体"/>
                <w:color w:val="000000"/>
                <w:kern w:val="0"/>
                <w:sz w:val="24"/>
                <w:szCs w:val="24"/>
              </w:rPr>
            </w:pPr>
          </w:p>
        </w:tc>
        <w:tc>
          <w:tcPr>
            <w:tcW w:w="926" w:type="pct"/>
            <w:tcBorders>
              <w:top w:val="single" w:color="auto" w:sz="4" w:space="0"/>
              <w:left w:val="nil"/>
              <w:bottom w:val="single" w:color="auto" w:sz="4" w:space="0"/>
              <w:right w:val="single" w:color="auto" w:sz="4" w:space="0"/>
            </w:tcBorders>
            <w:vAlign w:val="center"/>
          </w:tcPr>
          <w:p w14:paraId="0187B6F6">
            <w:pPr>
              <w:widowControl/>
              <w:snapToGrid w:val="0"/>
              <w:spacing w:line="360" w:lineRule="auto"/>
              <w:jc w:val="center"/>
              <w:rPr>
                <w:rFonts w:ascii="宋体" w:hAnsi="宋体" w:eastAsia="宋体" w:cs="宋体"/>
                <w:color w:val="000000"/>
                <w:kern w:val="0"/>
                <w:sz w:val="24"/>
                <w:szCs w:val="24"/>
              </w:rPr>
            </w:pPr>
          </w:p>
        </w:tc>
      </w:tr>
      <w:tr w14:paraId="30CC3AB6">
        <w:tblPrEx>
          <w:tblCellMar>
            <w:top w:w="0" w:type="dxa"/>
            <w:left w:w="108" w:type="dxa"/>
            <w:bottom w:w="0" w:type="dxa"/>
            <w:right w:w="108" w:type="dxa"/>
          </w:tblCellMar>
        </w:tblPrEx>
        <w:tc>
          <w:tcPr>
            <w:tcW w:w="321" w:type="pct"/>
            <w:tcBorders>
              <w:top w:val="single" w:color="auto" w:sz="4" w:space="0"/>
              <w:left w:val="single" w:color="auto" w:sz="4" w:space="0"/>
              <w:bottom w:val="single" w:color="auto" w:sz="4" w:space="0"/>
              <w:right w:val="single" w:color="auto" w:sz="4" w:space="0"/>
            </w:tcBorders>
            <w:vAlign w:val="center"/>
          </w:tcPr>
          <w:p w14:paraId="066EE6AA">
            <w:pPr>
              <w:widowControl/>
              <w:snapToGrid w:val="0"/>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618" w:type="pct"/>
            <w:tcBorders>
              <w:top w:val="single" w:color="auto" w:sz="4" w:space="0"/>
              <w:left w:val="nil"/>
              <w:bottom w:val="single" w:color="auto" w:sz="4" w:space="0"/>
              <w:right w:val="single" w:color="auto" w:sz="4" w:space="0"/>
            </w:tcBorders>
            <w:vAlign w:val="center"/>
          </w:tcPr>
          <w:p w14:paraId="6793B05E">
            <w:pPr>
              <w:widowControl/>
              <w:snapToGrid w:val="0"/>
              <w:spacing w:line="360" w:lineRule="auto"/>
              <w:jc w:val="center"/>
              <w:rPr>
                <w:rFonts w:ascii="宋体" w:hAnsi="宋体" w:eastAsia="宋体" w:cs="宋体"/>
                <w:color w:val="000000"/>
                <w:kern w:val="0"/>
                <w:sz w:val="24"/>
                <w:szCs w:val="24"/>
              </w:rPr>
            </w:pPr>
          </w:p>
        </w:tc>
        <w:tc>
          <w:tcPr>
            <w:tcW w:w="636" w:type="pct"/>
            <w:tcBorders>
              <w:top w:val="single" w:color="auto" w:sz="4" w:space="0"/>
              <w:left w:val="nil"/>
              <w:bottom w:val="single" w:color="auto" w:sz="4" w:space="0"/>
              <w:right w:val="single" w:color="auto" w:sz="4" w:space="0"/>
            </w:tcBorders>
            <w:vAlign w:val="center"/>
          </w:tcPr>
          <w:p w14:paraId="27E1F139">
            <w:pPr>
              <w:widowControl/>
              <w:snapToGrid w:val="0"/>
              <w:spacing w:line="360" w:lineRule="auto"/>
              <w:jc w:val="center"/>
              <w:rPr>
                <w:rFonts w:ascii="宋体" w:hAnsi="宋体" w:eastAsia="宋体" w:cs="宋体"/>
                <w:color w:val="000000"/>
                <w:kern w:val="0"/>
                <w:sz w:val="24"/>
                <w:szCs w:val="24"/>
              </w:rPr>
            </w:pPr>
          </w:p>
        </w:tc>
        <w:tc>
          <w:tcPr>
            <w:tcW w:w="469" w:type="pct"/>
            <w:tcBorders>
              <w:top w:val="single" w:color="auto" w:sz="4" w:space="0"/>
              <w:left w:val="nil"/>
              <w:bottom w:val="single" w:color="auto" w:sz="4" w:space="0"/>
              <w:right w:val="single" w:color="auto" w:sz="4" w:space="0"/>
            </w:tcBorders>
            <w:vAlign w:val="center"/>
          </w:tcPr>
          <w:p w14:paraId="21EFE0D7">
            <w:pPr>
              <w:widowControl/>
              <w:snapToGrid w:val="0"/>
              <w:spacing w:line="360" w:lineRule="auto"/>
              <w:jc w:val="center"/>
              <w:rPr>
                <w:rFonts w:ascii="宋体" w:hAnsi="宋体" w:eastAsia="宋体" w:cs="宋体"/>
                <w:color w:val="000000"/>
                <w:kern w:val="0"/>
                <w:sz w:val="24"/>
                <w:szCs w:val="24"/>
              </w:rPr>
            </w:pPr>
          </w:p>
        </w:tc>
        <w:tc>
          <w:tcPr>
            <w:tcW w:w="1225" w:type="pct"/>
            <w:tcBorders>
              <w:top w:val="single" w:color="auto" w:sz="4" w:space="0"/>
              <w:left w:val="nil"/>
              <w:bottom w:val="single" w:color="auto" w:sz="4" w:space="0"/>
              <w:right w:val="single" w:color="auto" w:sz="4" w:space="0"/>
            </w:tcBorders>
            <w:vAlign w:val="center"/>
          </w:tcPr>
          <w:p w14:paraId="0A915660">
            <w:pPr>
              <w:widowControl/>
              <w:snapToGrid w:val="0"/>
              <w:spacing w:line="360" w:lineRule="auto"/>
              <w:jc w:val="center"/>
              <w:rPr>
                <w:rFonts w:ascii="宋体" w:hAnsi="宋体" w:eastAsia="宋体" w:cs="宋体"/>
                <w:color w:val="000000"/>
                <w:kern w:val="0"/>
                <w:sz w:val="24"/>
                <w:szCs w:val="24"/>
              </w:rPr>
            </w:pPr>
          </w:p>
        </w:tc>
        <w:tc>
          <w:tcPr>
            <w:tcW w:w="805" w:type="pct"/>
            <w:tcBorders>
              <w:top w:val="single" w:color="auto" w:sz="4" w:space="0"/>
              <w:left w:val="nil"/>
              <w:bottom w:val="single" w:color="auto" w:sz="4" w:space="0"/>
              <w:right w:val="single" w:color="auto" w:sz="4" w:space="0"/>
            </w:tcBorders>
            <w:vAlign w:val="center"/>
          </w:tcPr>
          <w:p w14:paraId="04AB522F">
            <w:pPr>
              <w:widowControl/>
              <w:snapToGrid w:val="0"/>
              <w:spacing w:line="360" w:lineRule="auto"/>
              <w:jc w:val="center"/>
              <w:rPr>
                <w:rFonts w:ascii="宋体" w:hAnsi="宋体" w:eastAsia="宋体" w:cs="宋体"/>
                <w:color w:val="000000"/>
                <w:kern w:val="0"/>
                <w:sz w:val="24"/>
                <w:szCs w:val="24"/>
              </w:rPr>
            </w:pPr>
          </w:p>
        </w:tc>
        <w:tc>
          <w:tcPr>
            <w:tcW w:w="926" w:type="pct"/>
            <w:tcBorders>
              <w:top w:val="single" w:color="auto" w:sz="4" w:space="0"/>
              <w:left w:val="nil"/>
              <w:bottom w:val="single" w:color="auto" w:sz="4" w:space="0"/>
              <w:right w:val="single" w:color="auto" w:sz="4" w:space="0"/>
            </w:tcBorders>
            <w:vAlign w:val="center"/>
          </w:tcPr>
          <w:p w14:paraId="3B7C761E">
            <w:pPr>
              <w:widowControl/>
              <w:snapToGrid w:val="0"/>
              <w:spacing w:line="360" w:lineRule="auto"/>
              <w:jc w:val="center"/>
              <w:rPr>
                <w:rFonts w:ascii="宋体" w:hAnsi="宋体" w:eastAsia="宋体" w:cs="宋体"/>
                <w:color w:val="000000"/>
                <w:kern w:val="0"/>
                <w:sz w:val="24"/>
                <w:szCs w:val="24"/>
              </w:rPr>
            </w:pPr>
          </w:p>
        </w:tc>
      </w:tr>
      <w:tr w14:paraId="50DFA676">
        <w:tblPrEx>
          <w:tblCellMar>
            <w:top w:w="0" w:type="dxa"/>
            <w:left w:w="108" w:type="dxa"/>
            <w:bottom w:w="0" w:type="dxa"/>
            <w:right w:w="108" w:type="dxa"/>
          </w:tblCellMar>
        </w:tblPrEx>
        <w:tc>
          <w:tcPr>
            <w:tcW w:w="321" w:type="pct"/>
            <w:tcBorders>
              <w:top w:val="single" w:color="auto" w:sz="4" w:space="0"/>
              <w:left w:val="single" w:color="auto" w:sz="4" w:space="0"/>
              <w:bottom w:val="single" w:color="auto" w:sz="4" w:space="0"/>
              <w:right w:val="single" w:color="auto" w:sz="4" w:space="0"/>
            </w:tcBorders>
            <w:vAlign w:val="center"/>
          </w:tcPr>
          <w:p w14:paraId="25F51B7B">
            <w:pPr>
              <w:widowControl/>
              <w:snapToGrid w:val="0"/>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618" w:type="pct"/>
            <w:tcBorders>
              <w:top w:val="single" w:color="auto" w:sz="4" w:space="0"/>
              <w:left w:val="nil"/>
              <w:bottom w:val="single" w:color="auto" w:sz="4" w:space="0"/>
              <w:right w:val="single" w:color="auto" w:sz="4" w:space="0"/>
            </w:tcBorders>
            <w:vAlign w:val="center"/>
          </w:tcPr>
          <w:p w14:paraId="472BFC79">
            <w:pPr>
              <w:widowControl/>
              <w:snapToGrid w:val="0"/>
              <w:spacing w:line="360" w:lineRule="auto"/>
              <w:jc w:val="center"/>
              <w:rPr>
                <w:rFonts w:ascii="宋体" w:hAnsi="宋体" w:eastAsia="宋体" w:cs="宋体"/>
                <w:sz w:val="24"/>
                <w:szCs w:val="24"/>
              </w:rPr>
            </w:pPr>
          </w:p>
        </w:tc>
        <w:tc>
          <w:tcPr>
            <w:tcW w:w="636" w:type="pct"/>
            <w:tcBorders>
              <w:top w:val="single" w:color="auto" w:sz="4" w:space="0"/>
              <w:left w:val="nil"/>
              <w:bottom w:val="single" w:color="auto" w:sz="4" w:space="0"/>
              <w:right w:val="single" w:color="auto" w:sz="4" w:space="0"/>
            </w:tcBorders>
            <w:vAlign w:val="center"/>
          </w:tcPr>
          <w:p w14:paraId="7D819009">
            <w:pPr>
              <w:widowControl/>
              <w:snapToGrid w:val="0"/>
              <w:spacing w:line="360" w:lineRule="auto"/>
              <w:jc w:val="center"/>
              <w:rPr>
                <w:rFonts w:ascii="宋体" w:hAnsi="宋体" w:eastAsia="宋体" w:cs="宋体"/>
                <w:sz w:val="24"/>
                <w:szCs w:val="24"/>
              </w:rPr>
            </w:pPr>
          </w:p>
        </w:tc>
        <w:tc>
          <w:tcPr>
            <w:tcW w:w="469" w:type="pct"/>
            <w:tcBorders>
              <w:top w:val="single" w:color="auto" w:sz="4" w:space="0"/>
              <w:left w:val="nil"/>
              <w:bottom w:val="single" w:color="auto" w:sz="4" w:space="0"/>
              <w:right w:val="single" w:color="auto" w:sz="4" w:space="0"/>
            </w:tcBorders>
            <w:vAlign w:val="center"/>
          </w:tcPr>
          <w:p w14:paraId="6E7FA08E">
            <w:pPr>
              <w:widowControl/>
              <w:snapToGrid w:val="0"/>
              <w:spacing w:line="360" w:lineRule="auto"/>
              <w:jc w:val="center"/>
              <w:rPr>
                <w:rFonts w:ascii="宋体" w:hAnsi="宋体" w:eastAsia="宋体" w:cs="宋体"/>
                <w:sz w:val="24"/>
                <w:szCs w:val="24"/>
              </w:rPr>
            </w:pPr>
          </w:p>
        </w:tc>
        <w:tc>
          <w:tcPr>
            <w:tcW w:w="1225" w:type="pct"/>
            <w:tcBorders>
              <w:top w:val="single" w:color="auto" w:sz="4" w:space="0"/>
              <w:left w:val="nil"/>
              <w:bottom w:val="single" w:color="auto" w:sz="4" w:space="0"/>
              <w:right w:val="single" w:color="auto" w:sz="4" w:space="0"/>
            </w:tcBorders>
            <w:vAlign w:val="center"/>
          </w:tcPr>
          <w:p w14:paraId="313F4805">
            <w:pPr>
              <w:widowControl/>
              <w:snapToGrid w:val="0"/>
              <w:spacing w:line="360" w:lineRule="auto"/>
              <w:jc w:val="center"/>
              <w:rPr>
                <w:rFonts w:ascii="宋体" w:hAnsi="宋体" w:eastAsia="宋体" w:cs="宋体"/>
                <w:sz w:val="24"/>
                <w:szCs w:val="24"/>
              </w:rPr>
            </w:pPr>
          </w:p>
        </w:tc>
        <w:tc>
          <w:tcPr>
            <w:tcW w:w="805" w:type="pct"/>
            <w:tcBorders>
              <w:top w:val="single" w:color="auto" w:sz="4" w:space="0"/>
              <w:left w:val="nil"/>
              <w:bottom w:val="single" w:color="auto" w:sz="4" w:space="0"/>
              <w:right w:val="single" w:color="auto" w:sz="4" w:space="0"/>
            </w:tcBorders>
            <w:vAlign w:val="center"/>
          </w:tcPr>
          <w:p w14:paraId="63BAB8F6">
            <w:pPr>
              <w:widowControl/>
              <w:snapToGrid w:val="0"/>
              <w:spacing w:line="360" w:lineRule="auto"/>
              <w:jc w:val="center"/>
              <w:rPr>
                <w:rFonts w:ascii="宋体" w:hAnsi="宋体" w:eastAsia="宋体" w:cs="宋体"/>
                <w:sz w:val="24"/>
                <w:szCs w:val="24"/>
              </w:rPr>
            </w:pPr>
          </w:p>
        </w:tc>
        <w:tc>
          <w:tcPr>
            <w:tcW w:w="926" w:type="pct"/>
            <w:tcBorders>
              <w:top w:val="single" w:color="auto" w:sz="4" w:space="0"/>
              <w:left w:val="nil"/>
              <w:bottom w:val="single" w:color="auto" w:sz="4" w:space="0"/>
              <w:right w:val="single" w:color="auto" w:sz="4" w:space="0"/>
            </w:tcBorders>
            <w:vAlign w:val="center"/>
          </w:tcPr>
          <w:p w14:paraId="0D56AAB5">
            <w:pPr>
              <w:widowControl/>
              <w:snapToGrid w:val="0"/>
              <w:spacing w:line="360" w:lineRule="auto"/>
              <w:jc w:val="center"/>
              <w:rPr>
                <w:rFonts w:ascii="宋体" w:hAnsi="宋体" w:eastAsia="宋体" w:cs="宋体"/>
                <w:sz w:val="24"/>
                <w:szCs w:val="24"/>
              </w:rPr>
            </w:pPr>
          </w:p>
        </w:tc>
      </w:tr>
      <w:tr w14:paraId="67CC8AC4">
        <w:tblPrEx>
          <w:tblCellMar>
            <w:top w:w="0" w:type="dxa"/>
            <w:left w:w="108" w:type="dxa"/>
            <w:bottom w:w="0" w:type="dxa"/>
            <w:right w:w="108" w:type="dxa"/>
          </w:tblCellMar>
        </w:tblPrEx>
        <w:tc>
          <w:tcPr>
            <w:tcW w:w="321" w:type="pct"/>
            <w:tcBorders>
              <w:top w:val="single" w:color="auto" w:sz="4" w:space="0"/>
              <w:left w:val="single" w:color="auto" w:sz="4" w:space="0"/>
              <w:bottom w:val="single" w:color="auto" w:sz="4" w:space="0"/>
              <w:right w:val="single" w:color="auto" w:sz="4" w:space="0"/>
            </w:tcBorders>
            <w:vAlign w:val="center"/>
          </w:tcPr>
          <w:p w14:paraId="2F01EC5D">
            <w:pPr>
              <w:widowControl/>
              <w:snapToGrid w:val="0"/>
              <w:spacing w:line="360" w:lineRule="auto"/>
              <w:jc w:val="center"/>
              <w:rPr>
                <w:rFonts w:ascii="宋体" w:hAnsi="宋体" w:eastAsia="宋体" w:cs="宋体"/>
                <w:color w:val="000000"/>
                <w:kern w:val="0"/>
                <w:sz w:val="24"/>
                <w:szCs w:val="24"/>
              </w:rPr>
            </w:pPr>
            <w:r>
              <w:rPr>
                <w:rFonts w:hint="eastAsia" w:ascii="宋体" w:hAnsi="宋体" w:eastAsia="宋体" w:cs="宋体"/>
                <w:sz w:val="24"/>
                <w:szCs w:val="24"/>
              </w:rPr>
              <w:t>4</w:t>
            </w:r>
          </w:p>
        </w:tc>
        <w:tc>
          <w:tcPr>
            <w:tcW w:w="618" w:type="pct"/>
            <w:tcBorders>
              <w:top w:val="single" w:color="auto" w:sz="4" w:space="0"/>
              <w:left w:val="nil"/>
              <w:bottom w:val="single" w:color="auto" w:sz="4" w:space="0"/>
              <w:right w:val="single" w:color="auto" w:sz="4" w:space="0"/>
            </w:tcBorders>
            <w:vAlign w:val="center"/>
          </w:tcPr>
          <w:p w14:paraId="77D56A0C">
            <w:pPr>
              <w:widowControl/>
              <w:snapToGrid w:val="0"/>
              <w:spacing w:line="360" w:lineRule="auto"/>
              <w:jc w:val="center"/>
              <w:rPr>
                <w:rFonts w:ascii="宋体" w:hAnsi="宋体" w:eastAsia="宋体" w:cs="宋体"/>
                <w:color w:val="000000"/>
                <w:kern w:val="0"/>
                <w:sz w:val="24"/>
                <w:szCs w:val="24"/>
              </w:rPr>
            </w:pPr>
          </w:p>
        </w:tc>
        <w:tc>
          <w:tcPr>
            <w:tcW w:w="636" w:type="pct"/>
            <w:tcBorders>
              <w:top w:val="single" w:color="auto" w:sz="4" w:space="0"/>
              <w:left w:val="nil"/>
              <w:bottom w:val="single" w:color="auto" w:sz="4" w:space="0"/>
              <w:right w:val="single" w:color="auto" w:sz="4" w:space="0"/>
            </w:tcBorders>
            <w:vAlign w:val="center"/>
          </w:tcPr>
          <w:p w14:paraId="51524C63">
            <w:pPr>
              <w:widowControl/>
              <w:snapToGrid w:val="0"/>
              <w:spacing w:line="360" w:lineRule="auto"/>
              <w:jc w:val="center"/>
              <w:rPr>
                <w:rFonts w:ascii="宋体" w:hAnsi="宋体" w:eastAsia="宋体" w:cs="宋体"/>
                <w:color w:val="000000"/>
                <w:kern w:val="0"/>
                <w:sz w:val="24"/>
                <w:szCs w:val="24"/>
              </w:rPr>
            </w:pPr>
          </w:p>
        </w:tc>
        <w:tc>
          <w:tcPr>
            <w:tcW w:w="469" w:type="pct"/>
            <w:tcBorders>
              <w:top w:val="single" w:color="auto" w:sz="4" w:space="0"/>
              <w:left w:val="nil"/>
              <w:bottom w:val="single" w:color="auto" w:sz="4" w:space="0"/>
              <w:right w:val="single" w:color="auto" w:sz="4" w:space="0"/>
            </w:tcBorders>
            <w:vAlign w:val="center"/>
          </w:tcPr>
          <w:p w14:paraId="5D495FE2">
            <w:pPr>
              <w:widowControl/>
              <w:snapToGrid w:val="0"/>
              <w:spacing w:line="360" w:lineRule="auto"/>
              <w:jc w:val="center"/>
              <w:rPr>
                <w:rFonts w:ascii="宋体" w:hAnsi="宋体" w:eastAsia="宋体" w:cs="宋体"/>
                <w:color w:val="000000"/>
                <w:kern w:val="0"/>
                <w:sz w:val="24"/>
                <w:szCs w:val="24"/>
              </w:rPr>
            </w:pPr>
          </w:p>
        </w:tc>
        <w:tc>
          <w:tcPr>
            <w:tcW w:w="1225" w:type="pct"/>
            <w:tcBorders>
              <w:top w:val="single" w:color="auto" w:sz="4" w:space="0"/>
              <w:left w:val="nil"/>
              <w:bottom w:val="single" w:color="auto" w:sz="4" w:space="0"/>
              <w:right w:val="single" w:color="auto" w:sz="4" w:space="0"/>
            </w:tcBorders>
            <w:vAlign w:val="center"/>
          </w:tcPr>
          <w:p w14:paraId="62F04CD9">
            <w:pPr>
              <w:widowControl/>
              <w:snapToGrid w:val="0"/>
              <w:spacing w:line="360" w:lineRule="auto"/>
              <w:jc w:val="center"/>
              <w:rPr>
                <w:rFonts w:ascii="宋体" w:hAnsi="宋体" w:eastAsia="宋体" w:cs="宋体"/>
                <w:color w:val="000000"/>
                <w:kern w:val="0"/>
                <w:sz w:val="24"/>
                <w:szCs w:val="24"/>
              </w:rPr>
            </w:pPr>
          </w:p>
        </w:tc>
        <w:tc>
          <w:tcPr>
            <w:tcW w:w="805" w:type="pct"/>
            <w:tcBorders>
              <w:top w:val="single" w:color="auto" w:sz="4" w:space="0"/>
              <w:left w:val="nil"/>
              <w:bottom w:val="single" w:color="auto" w:sz="4" w:space="0"/>
              <w:right w:val="single" w:color="auto" w:sz="4" w:space="0"/>
            </w:tcBorders>
            <w:vAlign w:val="center"/>
          </w:tcPr>
          <w:p w14:paraId="37C10251">
            <w:pPr>
              <w:widowControl/>
              <w:snapToGrid w:val="0"/>
              <w:spacing w:line="360" w:lineRule="auto"/>
              <w:jc w:val="center"/>
              <w:rPr>
                <w:rFonts w:ascii="宋体" w:hAnsi="宋体" w:eastAsia="宋体" w:cs="宋体"/>
                <w:color w:val="000000"/>
                <w:kern w:val="0"/>
                <w:sz w:val="24"/>
                <w:szCs w:val="24"/>
              </w:rPr>
            </w:pPr>
          </w:p>
        </w:tc>
        <w:tc>
          <w:tcPr>
            <w:tcW w:w="926" w:type="pct"/>
            <w:tcBorders>
              <w:top w:val="single" w:color="auto" w:sz="4" w:space="0"/>
              <w:left w:val="nil"/>
              <w:bottom w:val="single" w:color="auto" w:sz="4" w:space="0"/>
              <w:right w:val="single" w:color="auto" w:sz="4" w:space="0"/>
            </w:tcBorders>
            <w:vAlign w:val="center"/>
          </w:tcPr>
          <w:p w14:paraId="02829CF8">
            <w:pPr>
              <w:widowControl/>
              <w:snapToGrid w:val="0"/>
              <w:spacing w:line="360" w:lineRule="auto"/>
              <w:jc w:val="center"/>
              <w:rPr>
                <w:rFonts w:ascii="宋体" w:hAnsi="宋体" w:eastAsia="宋体" w:cs="宋体"/>
                <w:color w:val="000000"/>
                <w:kern w:val="0"/>
                <w:sz w:val="24"/>
                <w:szCs w:val="24"/>
              </w:rPr>
            </w:pPr>
          </w:p>
        </w:tc>
      </w:tr>
      <w:tr w14:paraId="5979AF51">
        <w:tblPrEx>
          <w:tblCellMar>
            <w:top w:w="0" w:type="dxa"/>
            <w:left w:w="108" w:type="dxa"/>
            <w:bottom w:w="0" w:type="dxa"/>
            <w:right w:w="108" w:type="dxa"/>
          </w:tblCellMar>
        </w:tblPrEx>
        <w:tc>
          <w:tcPr>
            <w:tcW w:w="321" w:type="pct"/>
            <w:tcBorders>
              <w:top w:val="single" w:color="auto" w:sz="4" w:space="0"/>
              <w:left w:val="single" w:color="auto" w:sz="4" w:space="0"/>
              <w:bottom w:val="single" w:color="auto" w:sz="4" w:space="0"/>
              <w:right w:val="single" w:color="auto" w:sz="4" w:space="0"/>
            </w:tcBorders>
            <w:vAlign w:val="center"/>
          </w:tcPr>
          <w:p w14:paraId="2CF475A5">
            <w:pPr>
              <w:widowControl/>
              <w:snapToGrid w:val="0"/>
              <w:spacing w:line="360" w:lineRule="auto"/>
              <w:jc w:val="center"/>
              <w:rPr>
                <w:rFonts w:ascii="宋体" w:hAnsi="宋体" w:eastAsia="宋体" w:cs="宋体"/>
                <w:color w:val="000000"/>
                <w:kern w:val="0"/>
                <w:sz w:val="24"/>
                <w:szCs w:val="24"/>
              </w:rPr>
            </w:pPr>
            <w:r>
              <w:rPr>
                <w:rFonts w:hint="eastAsia" w:ascii="宋体" w:hAnsi="宋体" w:eastAsia="宋体" w:cs="宋体"/>
                <w:sz w:val="24"/>
                <w:szCs w:val="24"/>
              </w:rPr>
              <w:t>5</w:t>
            </w:r>
          </w:p>
        </w:tc>
        <w:tc>
          <w:tcPr>
            <w:tcW w:w="618" w:type="pct"/>
            <w:tcBorders>
              <w:top w:val="single" w:color="auto" w:sz="4" w:space="0"/>
              <w:left w:val="nil"/>
              <w:bottom w:val="single" w:color="auto" w:sz="4" w:space="0"/>
              <w:right w:val="single" w:color="auto" w:sz="4" w:space="0"/>
            </w:tcBorders>
            <w:vAlign w:val="center"/>
          </w:tcPr>
          <w:p w14:paraId="39520FC3">
            <w:pPr>
              <w:widowControl/>
              <w:snapToGrid w:val="0"/>
              <w:spacing w:line="360" w:lineRule="auto"/>
              <w:jc w:val="center"/>
              <w:rPr>
                <w:rFonts w:ascii="宋体" w:hAnsi="宋体" w:eastAsia="宋体" w:cs="宋体"/>
                <w:color w:val="000000"/>
                <w:kern w:val="0"/>
                <w:sz w:val="24"/>
                <w:szCs w:val="24"/>
              </w:rPr>
            </w:pPr>
          </w:p>
        </w:tc>
        <w:tc>
          <w:tcPr>
            <w:tcW w:w="636" w:type="pct"/>
            <w:tcBorders>
              <w:top w:val="single" w:color="auto" w:sz="4" w:space="0"/>
              <w:left w:val="nil"/>
              <w:bottom w:val="single" w:color="auto" w:sz="4" w:space="0"/>
              <w:right w:val="single" w:color="auto" w:sz="4" w:space="0"/>
            </w:tcBorders>
            <w:vAlign w:val="center"/>
          </w:tcPr>
          <w:p w14:paraId="1C3376FF">
            <w:pPr>
              <w:widowControl/>
              <w:snapToGrid w:val="0"/>
              <w:spacing w:line="360" w:lineRule="auto"/>
              <w:jc w:val="center"/>
              <w:rPr>
                <w:rFonts w:ascii="宋体" w:hAnsi="宋体" w:eastAsia="宋体" w:cs="宋体"/>
                <w:color w:val="000000"/>
                <w:kern w:val="0"/>
                <w:sz w:val="24"/>
                <w:szCs w:val="24"/>
              </w:rPr>
            </w:pPr>
          </w:p>
        </w:tc>
        <w:tc>
          <w:tcPr>
            <w:tcW w:w="469" w:type="pct"/>
            <w:tcBorders>
              <w:top w:val="single" w:color="auto" w:sz="4" w:space="0"/>
              <w:left w:val="nil"/>
              <w:bottom w:val="single" w:color="auto" w:sz="4" w:space="0"/>
              <w:right w:val="single" w:color="auto" w:sz="4" w:space="0"/>
            </w:tcBorders>
            <w:vAlign w:val="center"/>
          </w:tcPr>
          <w:p w14:paraId="7D68CF3A">
            <w:pPr>
              <w:widowControl/>
              <w:snapToGrid w:val="0"/>
              <w:spacing w:line="360" w:lineRule="auto"/>
              <w:jc w:val="center"/>
              <w:rPr>
                <w:rFonts w:ascii="宋体" w:hAnsi="宋体" w:eastAsia="宋体" w:cs="宋体"/>
                <w:color w:val="000000"/>
                <w:kern w:val="0"/>
                <w:sz w:val="24"/>
                <w:szCs w:val="24"/>
              </w:rPr>
            </w:pPr>
          </w:p>
        </w:tc>
        <w:tc>
          <w:tcPr>
            <w:tcW w:w="1225" w:type="pct"/>
            <w:tcBorders>
              <w:top w:val="single" w:color="auto" w:sz="4" w:space="0"/>
              <w:left w:val="nil"/>
              <w:bottom w:val="single" w:color="auto" w:sz="4" w:space="0"/>
              <w:right w:val="single" w:color="auto" w:sz="4" w:space="0"/>
            </w:tcBorders>
            <w:vAlign w:val="center"/>
          </w:tcPr>
          <w:p w14:paraId="38E2E5EC">
            <w:pPr>
              <w:widowControl/>
              <w:snapToGrid w:val="0"/>
              <w:spacing w:line="360" w:lineRule="auto"/>
              <w:jc w:val="center"/>
              <w:rPr>
                <w:rFonts w:ascii="宋体" w:hAnsi="宋体" w:eastAsia="宋体" w:cs="宋体"/>
                <w:color w:val="000000"/>
                <w:kern w:val="0"/>
                <w:sz w:val="24"/>
                <w:szCs w:val="24"/>
              </w:rPr>
            </w:pPr>
          </w:p>
        </w:tc>
        <w:tc>
          <w:tcPr>
            <w:tcW w:w="805" w:type="pct"/>
            <w:tcBorders>
              <w:top w:val="single" w:color="auto" w:sz="4" w:space="0"/>
              <w:left w:val="nil"/>
              <w:bottom w:val="single" w:color="auto" w:sz="4" w:space="0"/>
              <w:right w:val="single" w:color="auto" w:sz="4" w:space="0"/>
            </w:tcBorders>
            <w:vAlign w:val="center"/>
          </w:tcPr>
          <w:p w14:paraId="739B6054">
            <w:pPr>
              <w:widowControl/>
              <w:snapToGrid w:val="0"/>
              <w:spacing w:line="360" w:lineRule="auto"/>
              <w:jc w:val="center"/>
              <w:rPr>
                <w:rFonts w:ascii="宋体" w:hAnsi="宋体" w:eastAsia="宋体" w:cs="宋体"/>
                <w:color w:val="000000"/>
                <w:kern w:val="0"/>
                <w:sz w:val="24"/>
                <w:szCs w:val="24"/>
              </w:rPr>
            </w:pPr>
          </w:p>
        </w:tc>
        <w:tc>
          <w:tcPr>
            <w:tcW w:w="926" w:type="pct"/>
            <w:tcBorders>
              <w:top w:val="single" w:color="auto" w:sz="4" w:space="0"/>
              <w:left w:val="nil"/>
              <w:bottom w:val="single" w:color="auto" w:sz="4" w:space="0"/>
              <w:right w:val="single" w:color="auto" w:sz="4" w:space="0"/>
            </w:tcBorders>
            <w:vAlign w:val="center"/>
          </w:tcPr>
          <w:p w14:paraId="2ACB6F4D">
            <w:pPr>
              <w:widowControl/>
              <w:snapToGrid w:val="0"/>
              <w:spacing w:line="360" w:lineRule="auto"/>
              <w:jc w:val="center"/>
              <w:rPr>
                <w:rFonts w:ascii="宋体" w:hAnsi="宋体" w:eastAsia="宋体" w:cs="宋体"/>
                <w:color w:val="000000"/>
                <w:kern w:val="0"/>
                <w:sz w:val="24"/>
                <w:szCs w:val="24"/>
              </w:rPr>
            </w:pPr>
          </w:p>
        </w:tc>
      </w:tr>
    </w:tbl>
    <w:p w14:paraId="078794EC">
      <w:pPr>
        <w:widowControl/>
        <w:adjustRightInd w:val="0"/>
        <w:snapToGrid w:val="0"/>
        <w:spacing w:line="360" w:lineRule="auto"/>
        <w:jc w:val="left"/>
        <w:rPr>
          <w:rFonts w:ascii="宋体" w:hAnsi="宋体" w:eastAsia="宋体" w:cs="宋体"/>
          <w:bCs/>
          <w:color w:val="000000"/>
          <w:kern w:val="0"/>
          <w:szCs w:val="21"/>
        </w:rPr>
      </w:pPr>
    </w:p>
    <w:p w14:paraId="2C47A82B">
      <w:pPr>
        <w:widowControl/>
        <w:adjustRightInd w:val="0"/>
        <w:snapToGrid w:val="0"/>
        <w:spacing w:line="360" w:lineRule="auto"/>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注：</w:t>
      </w:r>
    </w:p>
    <w:p w14:paraId="540B491E">
      <w:pPr>
        <w:widowControl/>
        <w:numPr>
          <w:ilvl w:val="0"/>
          <w:numId w:val="13"/>
        </w:numPr>
        <w:adjustRightInd w:val="0"/>
        <w:snapToGrid w:val="0"/>
        <w:spacing w:after="99" w:afterLines="30" w:line="360" w:lineRule="auto"/>
        <w:ind w:left="420" w:firstLine="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本表后无需附人员资格证明材料，证明材料附在每个人的本项目服务人员简历表之后；</w:t>
      </w:r>
    </w:p>
    <w:p w14:paraId="5000F963">
      <w:pPr>
        <w:widowControl/>
        <w:numPr>
          <w:ilvl w:val="0"/>
          <w:numId w:val="13"/>
        </w:numPr>
        <w:adjustRightInd w:val="0"/>
        <w:snapToGrid w:val="0"/>
        <w:spacing w:after="99" w:afterLines="30" w:line="360" w:lineRule="auto"/>
        <w:ind w:left="420" w:firstLine="0"/>
        <w:jc w:val="left"/>
        <w:rPr>
          <w:rFonts w:ascii="宋体" w:hAnsi="宋体" w:eastAsia="宋体" w:cs="宋体"/>
          <w:sz w:val="24"/>
          <w:szCs w:val="24"/>
        </w:rPr>
      </w:pPr>
      <w:r>
        <w:rPr>
          <w:rFonts w:hint="eastAsia" w:ascii="宋体" w:hAnsi="宋体" w:eastAsia="宋体" w:cs="宋体"/>
          <w:bCs/>
          <w:color w:val="000000"/>
          <w:kern w:val="0"/>
          <w:sz w:val="24"/>
          <w:szCs w:val="24"/>
        </w:rPr>
        <w:t>从业年限按相关专业的毕业证书所显示的毕业时间计算年限。</w:t>
      </w:r>
    </w:p>
    <w:p w14:paraId="27BF4305">
      <w:pPr>
        <w:spacing w:line="360" w:lineRule="auto"/>
        <w:rPr>
          <w:rFonts w:ascii="宋体" w:hAnsi="宋体" w:eastAsia="宋体" w:cs="宋体"/>
          <w:color w:val="000000" w:themeColor="text1"/>
          <w14:textFill>
            <w14:solidFill>
              <w14:schemeClr w14:val="tx1"/>
            </w14:solidFill>
          </w14:textFill>
        </w:rPr>
      </w:pPr>
    </w:p>
    <w:p w14:paraId="6F7AF167">
      <w:pPr>
        <w:tabs>
          <w:tab w:val="left" w:pos="2280"/>
        </w:tabs>
        <w:spacing w:line="360" w:lineRule="auto"/>
        <w:rPr>
          <w:rFonts w:ascii="宋体" w:hAnsi="宋体" w:eastAsia="宋体" w:cs="宋体"/>
          <w:color w:val="000000" w:themeColor="text1"/>
          <w14:textFill>
            <w14:solidFill>
              <w14:schemeClr w14:val="tx1"/>
            </w14:solidFill>
          </w14:textFill>
        </w:rPr>
      </w:pPr>
    </w:p>
    <w:p w14:paraId="765624D2">
      <w:pPr>
        <w:tabs>
          <w:tab w:val="left" w:pos="2280"/>
        </w:tabs>
        <w:spacing w:line="360" w:lineRule="auto"/>
        <w:rPr>
          <w:rFonts w:ascii="宋体" w:hAnsi="宋体" w:eastAsia="宋体" w:cs="宋体"/>
          <w:color w:val="000000" w:themeColor="text1"/>
          <w14:textFill>
            <w14:solidFill>
              <w14:schemeClr w14:val="tx1"/>
            </w14:solidFill>
          </w14:textFill>
        </w:rPr>
      </w:pPr>
    </w:p>
    <w:p w14:paraId="61761111">
      <w:pPr>
        <w:tabs>
          <w:tab w:val="left" w:pos="2280"/>
        </w:tabs>
        <w:spacing w:line="360" w:lineRule="auto"/>
        <w:rPr>
          <w:rFonts w:ascii="宋体" w:hAnsi="宋体" w:eastAsia="宋体" w:cs="宋体"/>
          <w:color w:val="000000" w:themeColor="text1"/>
          <w14:textFill>
            <w14:solidFill>
              <w14:schemeClr w14:val="tx1"/>
            </w14:solidFill>
          </w14:textFill>
        </w:rPr>
      </w:pPr>
    </w:p>
    <w:p w14:paraId="412500F6">
      <w:pPr>
        <w:tabs>
          <w:tab w:val="left" w:pos="2280"/>
        </w:tabs>
        <w:spacing w:line="360" w:lineRule="auto"/>
        <w:rPr>
          <w:rFonts w:ascii="宋体" w:hAnsi="宋体" w:eastAsia="宋体" w:cs="宋体"/>
          <w:color w:val="000000" w:themeColor="text1"/>
          <w14:textFill>
            <w14:solidFill>
              <w14:schemeClr w14:val="tx1"/>
            </w14:solidFill>
          </w14:textFill>
        </w:rPr>
      </w:pPr>
    </w:p>
    <w:p w14:paraId="49BF33FC">
      <w:pPr>
        <w:tabs>
          <w:tab w:val="left" w:pos="2280"/>
        </w:tabs>
        <w:spacing w:line="360" w:lineRule="auto"/>
        <w:rPr>
          <w:rFonts w:ascii="宋体" w:hAnsi="宋体" w:eastAsia="宋体" w:cs="宋体"/>
          <w:color w:val="000000" w:themeColor="text1"/>
          <w14:textFill>
            <w14:solidFill>
              <w14:schemeClr w14:val="tx1"/>
            </w14:solidFill>
          </w14:textFill>
        </w:rPr>
      </w:pPr>
    </w:p>
    <w:p w14:paraId="4176D7B7">
      <w:pPr>
        <w:tabs>
          <w:tab w:val="left" w:pos="2280"/>
        </w:tabs>
        <w:spacing w:line="360" w:lineRule="auto"/>
        <w:rPr>
          <w:rFonts w:ascii="宋体" w:hAnsi="宋体" w:eastAsia="宋体" w:cs="宋体"/>
          <w:color w:val="000000" w:themeColor="text1"/>
          <w14:textFill>
            <w14:solidFill>
              <w14:schemeClr w14:val="tx1"/>
            </w14:solidFill>
          </w14:textFill>
        </w:rPr>
      </w:pPr>
    </w:p>
    <w:p w14:paraId="49B35198">
      <w:pPr>
        <w:tabs>
          <w:tab w:val="left" w:pos="2280"/>
        </w:tabs>
        <w:spacing w:line="360" w:lineRule="auto"/>
        <w:rPr>
          <w:rFonts w:ascii="宋体" w:hAnsi="宋体" w:eastAsia="宋体" w:cs="宋体"/>
          <w:color w:val="000000" w:themeColor="text1"/>
          <w14:textFill>
            <w14:solidFill>
              <w14:schemeClr w14:val="tx1"/>
            </w14:solidFill>
          </w14:textFill>
        </w:rPr>
      </w:pPr>
    </w:p>
    <w:p w14:paraId="3167B5A9">
      <w:pPr>
        <w:tabs>
          <w:tab w:val="left" w:pos="2280"/>
        </w:tabs>
        <w:spacing w:line="360" w:lineRule="auto"/>
        <w:rPr>
          <w:rFonts w:ascii="宋体" w:hAnsi="宋体" w:eastAsia="宋体" w:cs="宋体"/>
          <w:color w:val="000000" w:themeColor="text1"/>
          <w14:textFill>
            <w14:solidFill>
              <w14:schemeClr w14:val="tx1"/>
            </w14:solidFill>
          </w14:textFill>
        </w:rPr>
      </w:pPr>
    </w:p>
    <w:p w14:paraId="52C5D103">
      <w:pPr>
        <w:tabs>
          <w:tab w:val="left" w:pos="2280"/>
        </w:tabs>
        <w:spacing w:line="360" w:lineRule="auto"/>
        <w:rPr>
          <w:rFonts w:ascii="宋体" w:hAnsi="宋体" w:eastAsia="宋体" w:cs="宋体"/>
          <w:color w:val="000000" w:themeColor="text1"/>
          <w14:textFill>
            <w14:solidFill>
              <w14:schemeClr w14:val="tx1"/>
            </w14:solidFill>
          </w14:textFill>
        </w:rPr>
      </w:pPr>
    </w:p>
    <w:p w14:paraId="147D54DC">
      <w:pPr>
        <w:tabs>
          <w:tab w:val="left" w:pos="2280"/>
        </w:tabs>
        <w:spacing w:line="360" w:lineRule="auto"/>
        <w:rPr>
          <w:rFonts w:ascii="宋体" w:hAnsi="宋体" w:eastAsia="宋体" w:cs="宋体"/>
          <w:color w:val="000000" w:themeColor="text1"/>
          <w14:textFill>
            <w14:solidFill>
              <w14:schemeClr w14:val="tx1"/>
            </w14:solidFill>
          </w14:textFill>
        </w:rPr>
      </w:pPr>
    </w:p>
    <w:p w14:paraId="547BBC27">
      <w:pPr>
        <w:tabs>
          <w:tab w:val="left" w:pos="2280"/>
        </w:tabs>
        <w:spacing w:line="360" w:lineRule="auto"/>
        <w:rPr>
          <w:rFonts w:ascii="宋体" w:hAnsi="宋体" w:eastAsia="宋体" w:cs="宋体"/>
          <w:color w:val="000000" w:themeColor="text1"/>
          <w14:textFill>
            <w14:solidFill>
              <w14:schemeClr w14:val="tx1"/>
            </w14:solidFill>
          </w14:textFill>
        </w:rPr>
      </w:pPr>
    </w:p>
    <w:p w14:paraId="6EF96CF1">
      <w:pPr>
        <w:pageBreakBefore/>
        <w:spacing w:line="360" w:lineRule="auto"/>
        <w:rPr>
          <w:rFonts w:ascii="宋体" w:hAnsi="宋体" w:eastAsia="宋体" w:cs="宋体"/>
          <w:sz w:val="24"/>
          <w:szCs w:val="24"/>
        </w:rPr>
      </w:pPr>
      <w:bookmarkStart w:id="47" w:name="_Toc47008565"/>
      <w:bookmarkStart w:id="48" w:name="_Toc19532"/>
      <w:bookmarkStart w:id="49" w:name="_Toc46911528"/>
      <w:r>
        <w:rPr>
          <w:rFonts w:hint="eastAsia" w:ascii="宋体" w:hAnsi="宋体" w:eastAsia="宋体" w:cs="宋体"/>
          <w:sz w:val="24"/>
          <w:szCs w:val="24"/>
        </w:rPr>
        <w:t>附件3：本项目投入的超前钻机械及机具一览表</w:t>
      </w:r>
    </w:p>
    <w:bookmarkEnd w:id="47"/>
    <w:bookmarkEnd w:id="48"/>
    <w:bookmarkEnd w:id="49"/>
    <w:p w14:paraId="17F28E2B">
      <w:pPr>
        <w:widowControl/>
        <w:adjustRightInd w:val="0"/>
        <w:snapToGrid w:val="0"/>
        <w:spacing w:before="100" w:beforeAutospacing="1" w:after="100" w:afterAutospacing="1"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本项目投入的超前钻机械及机具一览表</w:t>
      </w:r>
    </w:p>
    <w:tbl>
      <w:tblPr>
        <w:tblStyle w:val="17"/>
        <w:tblW w:w="458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9"/>
        <w:gridCol w:w="4112"/>
        <w:gridCol w:w="1546"/>
        <w:gridCol w:w="1780"/>
      </w:tblGrid>
      <w:tr w14:paraId="4F5ED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463" w:type="pct"/>
            <w:tcBorders>
              <w:top w:val="single" w:color="000000" w:sz="4" w:space="0"/>
              <w:left w:val="single" w:color="000000" w:sz="4" w:space="0"/>
              <w:bottom w:val="single" w:color="000000" w:sz="4" w:space="0"/>
              <w:right w:val="single" w:color="000000" w:sz="4" w:space="0"/>
            </w:tcBorders>
            <w:vAlign w:val="center"/>
          </w:tcPr>
          <w:p w14:paraId="6ACC2044">
            <w:pPr>
              <w:spacing w:line="360" w:lineRule="auto"/>
              <w:jc w:val="center"/>
              <w:rPr>
                <w:rFonts w:ascii="宋体" w:hAnsi="宋体" w:eastAsia="宋体" w:cs="宋体"/>
                <w:sz w:val="24"/>
                <w:szCs w:val="24"/>
              </w:rPr>
            </w:pPr>
            <w:r>
              <w:rPr>
                <w:rFonts w:hint="eastAsia" w:ascii="宋体" w:hAnsi="宋体" w:eastAsia="宋体" w:cs="宋体"/>
                <w:sz w:val="24"/>
                <w:szCs w:val="24"/>
              </w:rPr>
              <w:t>序号</w:t>
            </w:r>
          </w:p>
        </w:tc>
        <w:tc>
          <w:tcPr>
            <w:tcW w:w="2508" w:type="pct"/>
            <w:tcBorders>
              <w:top w:val="single" w:color="000000" w:sz="4" w:space="0"/>
              <w:left w:val="single" w:color="000000" w:sz="4" w:space="0"/>
              <w:bottom w:val="single" w:color="000000" w:sz="4" w:space="0"/>
              <w:right w:val="single" w:color="000000" w:sz="4" w:space="0"/>
            </w:tcBorders>
            <w:vAlign w:val="center"/>
          </w:tcPr>
          <w:p w14:paraId="33FEB5B5">
            <w:pPr>
              <w:spacing w:line="360" w:lineRule="auto"/>
              <w:jc w:val="center"/>
              <w:rPr>
                <w:rFonts w:ascii="宋体" w:hAnsi="宋体" w:eastAsia="宋体" w:cs="宋体"/>
                <w:sz w:val="24"/>
                <w:szCs w:val="24"/>
              </w:rPr>
            </w:pPr>
            <w:r>
              <w:rPr>
                <w:rFonts w:hint="eastAsia" w:ascii="宋体" w:hAnsi="宋体" w:eastAsia="宋体" w:cs="宋体"/>
                <w:sz w:val="24"/>
                <w:szCs w:val="24"/>
              </w:rPr>
              <w:t>设备名称</w:t>
            </w:r>
          </w:p>
        </w:tc>
        <w:tc>
          <w:tcPr>
            <w:tcW w:w="943" w:type="pct"/>
            <w:tcBorders>
              <w:top w:val="single" w:color="000000" w:sz="4" w:space="0"/>
              <w:left w:val="single" w:color="000000" w:sz="4" w:space="0"/>
              <w:bottom w:val="single" w:color="000000" w:sz="4" w:space="0"/>
              <w:right w:val="single" w:color="000000" w:sz="4" w:space="0"/>
            </w:tcBorders>
            <w:vAlign w:val="center"/>
          </w:tcPr>
          <w:p w14:paraId="4D8DB4E6">
            <w:pPr>
              <w:spacing w:line="360" w:lineRule="auto"/>
              <w:jc w:val="center"/>
              <w:rPr>
                <w:rFonts w:ascii="宋体" w:hAnsi="宋体" w:eastAsia="宋体" w:cs="宋体"/>
                <w:sz w:val="24"/>
                <w:szCs w:val="24"/>
              </w:rPr>
            </w:pPr>
            <w:r>
              <w:rPr>
                <w:rFonts w:hint="eastAsia" w:ascii="宋体" w:hAnsi="宋体" w:eastAsia="宋体" w:cs="宋体"/>
                <w:sz w:val="24"/>
                <w:szCs w:val="24"/>
              </w:rPr>
              <w:t>规格型号</w:t>
            </w:r>
          </w:p>
        </w:tc>
        <w:tc>
          <w:tcPr>
            <w:tcW w:w="1086" w:type="pct"/>
            <w:tcBorders>
              <w:top w:val="single" w:color="000000" w:sz="4" w:space="0"/>
              <w:left w:val="single" w:color="000000" w:sz="4" w:space="0"/>
              <w:bottom w:val="single" w:color="000000" w:sz="4" w:space="0"/>
              <w:right w:val="single" w:color="000000" w:sz="4" w:space="0"/>
            </w:tcBorders>
            <w:vAlign w:val="center"/>
          </w:tcPr>
          <w:p w14:paraId="5061B4B8">
            <w:pPr>
              <w:spacing w:line="360" w:lineRule="auto"/>
              <w:jc w:val="center"/>
              <w:rPr>
                <w:rFonts w:ascii="宋体" w:hAnsi="宋体" w:eastAsia="宋体" w:cs="宋体"/>
                <w:sz w:val="24"/>
                <w:szCs w:val="24"/>
              </w:rPr>
            </w:pPr>
            <w:r>
              <w:rPr>
                <w:rFonts w:hint="eastAsia" w:ascii="宋体" w:hAnsi="宋体" w:eastAsia="宋体" w:cs="宋体"/>
                <w:sz w:val="24"/>
                <w:szCs w:val="24"/>
              </w:rPr>
              <w:t>数量</w:t>
            </w:r>
          </w:p>
        </w:tc>
      </w:tr>
      <w:tr w14:paraId="4E7E0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463" w:type="pct"/>
            <w:tcBorders>
              <w:top w:val="single" w:color="000000" w:sz="4" w:space="0"/>
              <w:left w:val="single" w:color="000000" w:sz="4" w:space="0"/>
              <w:bottom w:val="single" w:color="000000" w:sz="4" w:space="0"/>
              <w:right w:val="single" w:color="000000" w:sz="4" w:space="0"/>
            </w:tcBorders>
            <w:vAlign w:val="center"/>
          </w:tcPr>
          <w:p w14:paraId="0458D12A">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2508" w:type="pct"/>
            <w:tcBorders>
              <w:top w:val="single" w:color="000000" w:sz="4" w:space="0"/>
              <w:left w:val="single" w:color="000000" w:sz="4" w:space="0"/>
              <w:bottom w:val="single" w:color="000000" w:sz="4" w:space="0"/>
              <w:right w:val="single" w:color="000000" w:sz="4" w:space="0"/>
            </w:tcBorders>
            <w:vAlign w:val="center"/>
          </w:tcPr>
          <w:p w14:paraId="5E5CDCBF">
            <w:pPr>
              <w:spacing w:line="360" w:lineRule="auto"/>
              <w:jc w:val="center"/>
              <w:rPr>
                <w:rFonts w:ascii="宋体" w:hAnsi="宋体" w:eastAsia="宋体" w:cs="宋体"/>
                <w:sz w:val="24"/>
                <w:szCs w:val="24"/>
              </w:rPr>
            </w:pPr>
          </w:p>
        </w:tc>
        <w:tc>
          <w:tcPr>
            <w:tcW w:w="943" w:type="pct"/>
            <w:tcBorders>
              <w:top w:val="single" w:color="000000" w:sz="4" w:space="0"/>
              <w:left w:val="single" w:color="000000" w:sz="4" w:space="0"/>
              <w:bottom w:val="single" w:color="000000" w:sz="4" w:space="0"/>
              <w:right w:val="single" w:color="000000" w:sz="4" w:space="0"/>
            </w:tcBorders>
            <w:vAlign w:val="center"/>
          </w:tcPr>
          <w:p w14:paraId="2B8D76D6">
            <w:pPr>
              <w:spacing w:line="360" w:lineRule="auto"/>
              <w:jc w:val="center"/>
              <w:rPr>
                <w:rFonts w:ascii="宋体" w:hAnsi="宋体" w:eastAsia="宋体" w:cs="宋体"/>
                <w:sz w:val="24"/>
                <w:szCs w:val="24"/>
              </w:rPr>
            </w:pPr>
          </w:p>
        </w:tc>
        <w:tc>
          <w:tcPr>
            <w:tcW w:w="1086" w:type="pct"/>
            <w:tcBorders>
              <w:top w:val="single" w:color="000000" w:sz="4" w:space="0"/>
              <w:left w:val="single" w:color="000000" w:sz="4" w:space="0"/>
              <w:bottom w:val="single" w:color="000000" w:sz="4" w:space="0"/>
              <w:right w:val="single" w:color="000000" w:sz="4" w:space="0"/>
            </w:tcBorders>
            <w:vAlign w:val="center"/>
          </w:tcPr>
          <w:p w14:paraId="6D14B559">
            <w:pPr>
              <w:spacing w:line="360" w:lineRule="auto"/>
              <w:jc w:val="center"/>
              <w:rPr>
                <w:rFonts w:ascii="宋体" w:hAnsi="宋体" w:eastAsia="宋体" w:cs="宋体"/>
                <w:sz w:val="24"/>
                <w:szCs w:val="24"/>
              </w:rPr>
            </w:pPr>
          </w:p>
        </w:tc>
      </w:tr>
      <w:tr w14:paraId="5D2A1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463" w:type="pct"/>
            <w:tcBorders>
              <w:top w:val="single" w:color="000000" w:sz="4" w:space="0"/>
              <w:left w:val="single" w:color="000000" w:sz="4" w:space="0"/>
              <w:bottom w:val="single" w:color="000000" w:sz="4" w:space="0"/>
              <w:right w:val="single" w:color="000000" w:sz="4" w:space="0"/>
            </w:tcBorders>
            <w:vAlign w:val="center"/>
          </w:tcPr>
          <w:p w14:paraId="54E12562">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2508" w:type="pct"/>
            <w:tcBorders>
              <w:top w:val="single" w:color="000000" w:sz="4" w:space="0"/>
              <w:left w:val="single" w:color="000000" w:sz="4" w:space="0"/>
              <w:bottom w:val="single" w:color="000000" w:sz="4" w:space="0"/>
              <w:right w:val="single" w:color="000000" w:sz="4" w:space="0"/>
            </w:tcBorders>
            <w:vAlign w:val="center"/>
          </w:tcPr>
          <w:p w14:paraId="5C63FCC3">
            <w:pPr>
              <w:spacing w:line="360" w:lineRule="auto"/>
              <w:jc w:val="center"/>
              <w:rPr>
                <w:rFonts w:ascii="宋体" w:hAnsi="宋体" w:eastAsia="宋体" w:cs="宋体"/>
                <w:sz w:val="24"/>
                <w:szCs w:val="24"/>
              </w:rPr>
            </w:pPr>
          </w:p>
        </w:tc>
        <w:tc>
          <w:tcPr>
            <w:tcW w:w="943" w:type="pct"/>
            <w:tcBorders>
              <w:top w:val="single" w:color="000000" w:sz="4" w:space="0"/>
              <w:left w:val="single" w:color="000000" w:sz="4" w:space="0"/>
              <w:bottom w:val="single" w:color="000000" w:sz="4" w:space="0"/>
              <w:right w:val="single" w:color="000000" w:sz="4" w:space="0"/>
            </w:tcBorders>
            <w:vAlign w:val="center"/>
          </w:tcPr>
          <w:p w14:paraId="02E4AEB8">
            <w:pPr>
              <w:spacing w:line="360" w:lineRule="auto"/>
              <w:jc w:val="center"/>
              <w:rPr>
                <w:rFonts w:ascii="宋体" w:hAnsi="宋体" w:eastAsia="宋体" w:cs="宋体"/>
                <w:sz w:val="24"/>
                <w:szCs w:val="24"/>
              </w:rPr>
            </w:pPr>
          </w:p>
        </w:tc>
        <w:tc>
          <w:tcPr>
            <w:tcW w:w="1086" w:type="pct"/>
            <w:tcBorders>
              <w:top w:val="single" w:color="000000" w:sz="4" w:space="0"/>
              <w:left w:val="single" w:color="000000" w:sz="4" w:space="0"/>
              <w:bottom w:val="single" w:color="000000" w:sz="4" w:space="0"/>
              <w:right w:val="single" w:color="000000" w:sz="4" w:space="0"/>
            </w:tcBorders>
            <w:vAlign w:val="center"/>
          </w:tcPr>
          <w:p w14:paraId="1A0F6F36">
            <w:pPr>
              <w:spacing w:line="360" w:lineRule="auto"/>
              <w:jc w:val="center"/>
              <w:rPr>
                <w:rFonts w:ascii="宋体" w:hAnsi="宋体" w:eastAsia="宋体" w:cs="宋体"/>
                <w:sz w:val="24"/>
                <w:szCs w:val="24"/>
              </w:rPr>
            </w:pPr>
          </w:p>
        </w:tc>
      </w:tr>
      <w:tr w14:paraId="0AA5B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463" w:type="pct"/>
            <w:tcBorders>
              <w:top w:val="single" w:color="000000" w:sz="4" w:space="0"/>
              <w:left w:val="single" w:color="000000" w:sz="4" w:space="0"/>
              <w:bottom w:val="single" w:color="000000" w:sz="4" w:space="0"/>
              <w:right w:val="single" w:color="000000" w:sz="4" w:space="0"/>
            </w:tcBorders>
            <w:vAlign w:val="center"/>
          </w:tcPr>
          <w:p w14:paraId="33D16765">
            <w:pPr>
              <w:spacing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2508" w:type="pct"/>
            <w:tcBorders>
              <w:top w:val="single" w:color="000000" w:sz="4" w:space="0"/>
              <w:left w:val="single" w:color="000000" w:sz="4" w:space="0"/>
              <w:bottom w:val="single" w:color="000000" w:sz="4" w:space="0"/>
              <w:right w:val="single" w:color="000000" w:sz="4" w:space="0"/>
            </w:tcBorders>
            <w:vAlign w:val="center"/>
          </w:tcPr>
          <w:p w14:paraId="03785E05">
            <w:pPr>
              <w:spacing w:line="360" w:lineRule="auto"/>
              <w:jc w:val="center"/>
              <w:rPr>
                <w:rFonts w:ascii="宋体" w:hAnsi="宋体" w:eastAsia="宋体" w:cs="宋体"/>
                <w:sz w:val="24"/>
                <w:szCs w:val="24"/>
              </w:rPr>
            </w:pPr>
          </w:p>
        </w:tc>
        <w:tc>
          <w:tcPr>
            <w:tcW w:w="943" w:type="pct"/>
            <w:tcBorders>
              <w:top w:val="single" w:color="000000" w:sz="4" w:space="0"/>
              <w:left w:val="single" w:color="000000" w:sz="4" w:space="0"/>
              <w:bottom w:val="single" w:color="000000" w:sz="4" w:space="0"/>
              <w:right w:val="single" w:color="000000" w:sz="4" w:space="0"/>
            </w:tcBorders>
            <w:vAlign w:val="center"/>
          </w:tcPr>
          <w:p w14:paraId="3BBB8E81">
            <w:pPr>
              <w:spacing w:line="360" w:lineRule="auto"/>
              <w:jc w:val="center"/>
              <w:rPr>
                <w:rFonts w:ascii="宋体" w:hAnsi="宋体" w:eastAsia="宋体" w:cs="宋体"/>
                <w:sz w:val="24"/>
                <w:szCs w:val="24"/>
              </w:rPr>
            </w:pPr>
          </w:p>
        </w:tc>
        <w:tc>
          <w:tcPr>
            <w:tcW w:w="1086" w:type="pct"/>
            <w:tcBorders>
              <w:top w:val="single" w:color="000000" w:sz="4" w:space="0"/>
              <w:left w:val="single" w:color="000000" w:sz="4" w:space="0"/>
              <w:bottom w:val="single" w:color="000000" w:sz="4" w:space="0"/>
              <w:right w:val="single" w:color="000000" w:sz="4" w:space="0"/>
            </w:tcBorders>
            <w:vAlign w:val="center"/>
          </w:tcPr>
          <w:p w14:paraId="2556B68B">
            <w:pPr>
              <w:spacing w:line="360" w:lineRule="auto"/>
              <w:jc w:val="center"/>
              <w:rPr>
                <w:rFonts w:ascii="宋体" w:hAnsi="宋体" w:eastAsia="宋体" w:cs="宋体"/>
                <w:sz w:val="24"/>
                <w:szCs w:val="24"/>
              </w:rPr>
            </w:pPr>
          </w:p>
        </w:tc>
      </w:tr>
      <w:tr w14:paraId="14566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463" w:type="pct"/>
            <w:tcBorders>
              <w:top w:val="single" w:color="000000" w:sz="4" w:space="0"/>
              <w:left w:val="single" w:color="000000" w:sz="4" w:space="0"/>
              <w:bottom w:val="single" w:color="000000" w:sz="4" w:space="0"/>
              <w:right w:val="single" w:color="000000" w:sz="4" w:space="0"/>
            </w:tcBorders>
            <w:vAlign w:val="center"/>
          </w:tcPr>
          <w:p w14:paraId="127DB4DF">
            <w:pPr>
              <w:spacing w:line="360" w:lineRule="auto"/>
              <w:jc w:val="center"/>
              <w:rPr>
                <w:rFonts w:ascii="宋体" w:hAnsi="宋体" w:eastAsia="宋体" w:cs="宋体"/>
                <w:sz w:val="24"/>
                <w:szCs w:val="24"/>
              </w:rPr>
            </w:pPr>
            <w:r>
              <w:rPr>
                <w:rFonts w:hint="eastAsia" w:ascii="宋体" w:hAnsi="宋体" w:eastAsia="宋体" w:cs="宋体"/>
                <w:sz w:val="24"/>
                <w:szCs w:val="24"/>
              </w:rPr>
              <w:t>4</w:t>
            </w:r>
          </w:p>
        </w:tc>
        <w:tc>
          <w:tcPr>
            <w:tcW w:w="2508" w:type="pct"/>
            <w:tcBorders>
              <w:top w:val="single" w:color="000000" w:sz="4" w:space="0"/>
              <w:left w:val="single" w:color="000000" w:sz="4" w:space="0"/>
              <w:bottom w:val="single" w:color="000000" w:sz="4" w:space="0"/>
              <w:right w:val="single" w:color="000000" w:sz="4" w:space="0"/>
            </w:tcBorders>
            <w:vAlign w:val="center"/>
          </w:tcPr>
          <w:p w14:paraId="7B907CCA">
            <w:pPr>
              <w:spacing w:line="360" w:lineRule="auto"/>
              <w:jc w:val="center"/>
              <w:rPr>
                <w:rFonts w:ascii="宋体" w:hAnsi="宋体" w:eastAsia="宋体" w:cs="宋体"/>
                <w:sz w:val="24"/>
                <w:szCs w:val="24"/>
              </w:rPr>
            </w:pPr>
          </w:p>
        </w:tc>
        <w:tc>
          <w:tcPr>
            <w:tcW w:w="943" w:type="pct"/>
            <w:tcBorders>
              <w:top w:val="single" w:color="000000" w:sz="4" w:space="0"/>
              <w:left w:val="single" w:color="000000" w:sz="4" w:space="0"/>
              <w:bottom w:val="single" w:color="000000" w:sz="4" w:space="0"/>
              <w:right w:val="single" w:color="000000" w:sz="4" w:space="0"/>
            </w:tcBorders>
            <w:vAlign w:val="center"/>
          </w:tcPr>
          <w:p w14:paraId="711050E8">
            <w:pPr>
              <w:spacing w:line="360" w:lineRule="auto"/>
              <w:jc w:val="center"/>
              <w:rPr>
                <w:rFonts w:ascii="宋体" w:hAnsi="宋体" w:eastAsia="宋体" w:cs="宋体"/>
                <w:sz w:val="24"/>
                <w:szCs w:val="24"/>
              </w:rPr>
            </w:pPr>
          </w:p>
        </w:tc>
        <w:tc>
          <w:tcPr>
            <w:tcW w:w="1086" w:type="pct"/>
            <w:tcBorders>
              <w:top w:val="single" w:color="000000" w:sz="4" w:space="0"/>
              <w:left w:val="single" w:color="000000" w:sz="4" w:space="0"/>
              <w:bottom w:val="single" w:color="000000" w:sz="4" w:space="0"/>
              <w:right w:val="single" w:color="000000" w:sz="4" w:space="0"/>
            </w:tcBorders>
            <w:vAlign w:val="center"/>
          </w:tcPr>
          <w:p w14:paraId="19FCDA7B">
            <w:pPr>
              <w:spacing w:line="360" w:lineRule="auto"/>
              <w:jc w:val="center"/>
              <w:rPr>
                <w:rFonts w:ascii="宋体" w:hAnsi="宋体" w:eastAsia="宋体" w:cs="宋体"/>
                <w:sz w:val="24"/>
                <w:szCs w:val="24"/>
              </w:rPr>
            </w:pPr>
          </w:p>
        </w:tc>
      </w:tr>
    </w:tbl>
    <w:p w14:paraId="6B0A50E8">
      <w:pPr>
        <w:tabs>
          <w:tab w:val="left" w:pos="2280"/>
        </w:tabs>
        <w:spacing w:line="360" w:lineRule="auto"/>
        <w:rPr>
          <w:rFonts w:ascii="宋体" w:hAnsi="宋体" w:eastAsia="宋体" w:cs="宋体"/>
        </w:rPr>
      </w:pPr>
    </w:p>
    <w:p w14:paraId="6916BDAC">
      <w:pPr>
        <w:spacing w:line="360" w:lineRule="auto"/>
        <w:rPr>
          <w:rFonts w:ascii="宋体" w:hAnsi="宋体" w:eastAsia="宋体" w:cs="宋体"/>
        </w:rPr>
      </w:pPr>
    </w:p>
    <w:p w14:paraId="28776A12">
      <w:pPr>
        <w:spacing w:line="360" w:lineRule="auto"/>
        <w:rPr>
          <w:rFonts w:ascii="宋体" w:hAnsi="宋体" w:eastAsia="宋体" w:cs="宋体"/>
          <w:szCs w:val="21"/>
        </w:rPr>
      </w:pPr>
    </w:p>
    <w:p w14:paraId="5FC523BB">
      <w:pPr>
        <w:spacing w:line="360" w:lineRule="auto"/>
        <w:rPr>
          <w:rFonts w:ascii="宋体" w:hAnsi="宋体" w:eastAsia="宋体" w:cs="宋体"/>
        </w:rPr>
        <w:sectPr>
          <w:headerReference r:id="rId11" w:type="first"/>
          <w:footerReference r:id="rId13" w:type="first"/>
          <w:headerReference r:id="rId10" w:type="default"/>
          <w:footerReference r:id="rId12" w:type="default"/>
          <w:pgSz w:w="11907" w:h="16840"/>
          <w:pgMar w:top="1440" w:right="1587" w:bottom="1440" w:left="1587" w:header="850" w:footer="992" w:gutter="0"/>
          <w:pgNumType w:fmt="decimal"/>
          <w:cols w:space="0" w:num="1"/>
          <w:docGrid w:type="lines" w:linePitch="332" w:charSpace="0"/>
        </w:sectPr>
      </w:pPr>
    </w:p>
    <w:p w14:paraId="649771C5">
      <w:pPr>
        <w:spacing w:line="360" w:lineRule="auto"/>
        <w:rPr>
          <w:rFonts w:ascii="宋体" w:hAnsi="宋体" w:eastAsia="宋体" w:cs="宋体"/>
        </w:rPr>
      </w:pPr>
    </w:p>
    <w:p w14:paraId="20F48C07">
      <w:pPr>
        <w:tabs>
          <w:tab w:val="left" w:pos="825"/>
        </w:tabs>
        <w:spacing w:line="360" w:lineRule="auto"/>
        <w:rPr>
          <w:rFonts w:ascii="宋体" w:hAnsi="宋体" w:eastAsia="宋体" w:cs="宋体"/>
        </w:rPr>
        <w:sectPr>
          <w:type w:val="continuous"/>
          <w:pgSz w:w="11907" w:h="16840"/>
          <w:pgMar w:top="1440" w:right="1800" w:bottom="1440" w:left="1800" w:header="850" w:footer="992" w:gutter="0"/>
          <w:pgNumType w:fmt="decimal"/>
          <w:cols w:space="425" w:num="1"/>
          <w:docGrid w:type="lines" w:linePitch="326" w:charSpace="-4916"/>
        </w:sectPr>
      </w:pPr>
    </w:p>
    <w:p w14:paraId="60ACACE0">
      <w:pPr>
        <w:tabs>
          <w:tab w:val="left" w:pos="825"/>
        </w:tabs>
        <w:spacing w:line="360" w:lineRule="auto"/>
        <w:rPr>
          <w:rFonts w:ascii="宋体" w:hAnsi="宋体" w:eastAsia="宋体" w:cs="宋体"/>
        </w:rPr>
      </w:pPr>
    </w:p>
    <w:p w14:paraId="6CD0D874">
      <w:pPr>
        <w:tabs>
          <w:tab w:val="left" w:pos="825"/>
        </w:tabs>
        <w:spacing w:line="360" w:lineRule="auto"/>
        <w:rPr>
          <w:rFonts w:ascii="宋体" w:hAnsi="宋体" w:eastAsia="宋体" w:cs="宋体"/>
        </w:rPr>
      </w:pPr>
    </w:p>
    <w:p w14:paraId="1457F28E">
      <w:pPr>
        <w:pStyle w:val="22"/>
        <w:spacing w:line="360" w:lineRule="auto"/>
        <w:rPr>
          <w:rFonts w:ascii="宋体" w:hAnsi="宋体" w:eastAsia="宋体" w:cs="宋体"/>
        </w:rPr>
      </w:pPr>
    </w:p>
    <w:p w14:paraId="207BF7AC">
      <w:pPr>
        <w:spacing w:line="360" w:lineRule="auto"/>
        <w:rPr>
          <w:rFonts w:ascii="宋体" w:hAnsi="宋体" w:eastAsia="宋体" w:cs="宋体"/>
        </w:rPr>
      </w:pPr>
    </w:p>
    <w:p w14:paraId="2454E27F">
      <w:pPr>
        <w:pStyle w:val="22"/>
        <w:spacing w:line="360" w:lineRule="auto"/>
        <w:rPr>
          <w:rFonts w:ascii="宋体" w:hAnsi="宋体" w:eastAsia="宋体" w:cs="宋体"/>
        </w:rPr>
      </w:pPr>
    </w:p>
    <w:p w14:paraId="010A4CF1">
      <w:pPr>
        <w:spacing w:line="360" w:lineRule="auto"/>
        <w:rPr>
          <w:rFonts w:ascii="宋体" w:hAnsi="宋体" w:eastAsia="宋体" w:cs="宋体"/>
        </w:rPr>
      </w:pPr>
    </w:p>
    <w:p w14:paraId="773420CA">
      <w:pPr>
        <w:pStyle w:val="22"/>
        <w:spacing w:line="360" w:lineRule="auto"/>
        <w:rPr>
          <w:rFonts w:ascii="宋体" w:hAnsi="宋体" w:eastAsia="宋体" w:cs="宋体"/>
        </w:rPr>
      </w:pPr>
    </w:p>
    <w:p w14:paraId="18ECB252">
      <w:pPr>
        <w:spacing w:line="360" w:lineRule="auto"/>
        <w:rPr>
          <w:rFonts w:ascii="宋体" w:hAnsi="宋体" w:eastAsia="宋体" w:cs="宋体"/>
        </w:rPr>
      </w:pPr>
    </w:p>
    <w:p w14:paraId="1411DB5A">
      <w:pPr>
        <w:pStyle w:val="22"/>
        <w:spacing w:line="360" w:lineRule="auto"/>
        <w:rPr>
          <w:rFonts w:ascii="宋体" w:hAnsi="宋体" w:eastAsia="宋体" w:cs="宋体"/>
        </w:rPr>
      </w:pPr>
    </w:p>
    <w:p w14:paraId="7A3DE77E">
      <w:pPr>
        <w:spacing w:line="360" w:lineRule="auto"/>
        <w:rPr>
          <w:rFonts w:ascii="宋体" w:hAnsi="宋体" w:eastAsia="宋体" w:cs="宋体"/>
        </w:rPr>
      </w:pPr>
    </w:p>
    <w:p w14:paraId="26B92525">
      <w:pPr>
        <w:pStyle w:val="22"/>
        <w:spacing w:line="360" w:lineRule="auto"/>
        <w:rPr>
          <w:rFonts w:ascii="宋体" w:hAnsi="宋体" w:eastAsia="宋体" w:cs="宋体"/>
        </w:rPr>
      </w:pPr>
    </w:p>
    <w:p w14:paraId="7665EECC">
      <w:pPr>
        <w:spacing w:line="360" w:lineRule="auto"/>
        <w:rPr>
          <w:rFonts w:ascii="宋体" w:hAnsi="宋体" w:eastAsia="宋体" w:cs="宋体"/>
        </w:rPr>
      </w:pPr>
    </w:p>
    <w:p w14:paraId="6CEC6526">
      <w:pPr>
        <w:pStyle w:val="22"/>
        <w:spacing w:line="360" w:lineRule="auto"/>
        <w:rPr>
          <w:rFonts w:ascii="宋体" w:hAnsi="宋体" w:eastAsia="宋体" w:cs="宋体"/>
        </w:rPr>
      </w:pPr>
    </w:p>
    <w:p w14:paraId="3CF7CD20">
      <w:pPr>
        <w:spacing w:line="360" w:lineRule="auto"/>
        <w:rPr>
          <w:rFonts w:ascii="宋体" w:hAnsi="宋体" w:eastAsia="宋体" w:cs="宋体"/>
        </w:rPr>
      </w:pPr>
    </w:p>
    <w:p w14:paraId="0969A237">
      <w:pPr>
        <w:pStyle w:val="22"/>
        <w:spacing w:line="360" w:lineRule="auto"/>
        <w:rPr>
          <w:rFonts w:ascii="宋体" w:hAnsi="宋体" w:eastAsia="宋体" w:cs="宋体"/>
        </w:rPr>
      </w:pPr>
      <w:bookmarkStart w:id="50" w:name="_Toc303"/>
      <w:r>
        <w:rPr>
          <w:rFonts w:hint="eastAsia" w:ascii="宋体" w:hAnsi="宋体" w:eastAsia="宋体" w:cs="宋体"/>
          <w:kern w:val="2"/>
          <w:sz w:val="24"/>
        </w:rPr>
        <w:t>附件4：进度款报审资料指引（后附）</w:t>
      </w:r>
      <w:bookmarkEnd w:id="50"/>
    </w:p>
    <w:p w14:paraId="13C6B9BC">
      <w:pPr>
        <w:spacing w:line="360" w:lineRule="auto"/>
        <w:rPr>
          <w:rFonts w:ascii="宋体" w:hAnsi="宋体" w:eastAsia="宋体" w:cs="宋体"/>
        </w:rPr>
      </w:pPr>
    </w:p>
    <w:p w14:paraId="17CED700">
      <w:pPr>
        <w:pStyle w:val="22"/>
        <w:spacing w:line="360" w:lineRule="auto"/>
        <w:rPr>
          <w:rFonts w:ascii="宋体" w:hAnsi="宋体" w:eastAsia="宋体" w:cs="宋体"/>
        </w:rPr>
      </w:pPr>
    </w:p>
    <w:p w14:paraId="14CEB877">
      <w:pPr>
        <w:spacing w:line="360" w:lineRule="auto"/>
        <w:rPr>
          <w:rFonts w:ascii="宋体" w:hAnsi="宋体" w:eastAsia="宋体" w:cs="宋体"/>
        </w:rPr>
      </w:pPr>
    </w:p>
    <w:p w14:paraId="7825F703">
      <w:pPr>
        <w:pStyle w:val="22"/>
        <w:spacing w:line="360" w:lineRule="auto"/>
        <w:rPr>
          <w:rFonts w:ascii="宋体" w:hAnsi="宋体" w:eastAsia="宋体" w:cs="宋体"/>
        </w:rPr>
      </w:pPr>
    </w:p>
    <w:p w14:paraId="60FFFEA6">
      <w:pPr>
        <w:spacing w:line="360" w:lineRule="auto"/>
        <w:rPr>
          <w:rFonts w:ascii="宋体" w:hAnsi="宋体" w:eastAsia="宋体" w:cs="宋体"/>
        </w:rPr>
      </w:pPr>
    </w:p>
    <w:p w14:paraId="5FFFB518">
      <w:pPr>
        <w:pStyle w:val="22"/>
        <w:spacing w:line="360" w:lineRule="auto"/>
        <w:rPr>
          <w:rFonts w:ascii="宋体" w:hAnsi="宋体" w:eastAsia="宋体" w:cs="宋体"/>
        </w:rPr>
      </w:pPr>
    </w:p>
    <w:p w14:paraId="0E6F8757">
      <w:pPr>
        <w:spacing w:line="360" w:lineRule="auto"/>
        <w:rPr>
          <w:rFonts w:ascii="宋体" w:hAnsi="宋体" w:eastAsia="宋体" w:cs="宋体"/>
        </w:rPr>
      </w:pPr>
    </w:p>
    <w:p w14:paraId="19E6449A">
      <w:pPr>
        <w:pStyle w:val="22"/>
        <w:spacing w:line="360" w:lineRule="auto"/>
        <w:rPr>
          <w:rFonts w:ascii="宋体" w:hAnsi="宋体" w:eastAsia="宋体" w:cs="宋体"/>
        </w:rPr>
      </w:pPr>
    </w:p>
    <w:p w14:paraId="69DE57C7">
      <w:pPr>
        <w:spacing w:line="360" w:lineRule="auto"/>
        <w:rPr>
          <w:rFonts w:ascii="宋体" w:hAnsi="宋体" w:eastAsia="宋体" w:cs="宋体"/>
        </w:rPr>
      </w:pPr>
    </w:p>
    <w:p w14:paraId="478B6B96">
      <w:pPr>
        <w:pStyle w:val="22"/>
        <w:spacing w:line="360" w:lineRule="auto"/>
        <w:rPr>
          <w:rFonts w:ascii="宋体" w:hAnsi="宋体" w:eastAsia="宋体" w:cs="宋体"/>
        </w:rPr>
      </w:pPr>
    </w:p>
    <w:p w14:paraId="23960BF5">
      <w:pPr>
        <w:spacing w:line="360" w:lineRule="auto"/>
        <w:rPr>
          <w:rFonts w:ascii="宋体" w:hAnsi="宋体" w:eastAsia="宋体" w:cs="宋体"/>
        </w:rPr>
      </w:pPr>
    </w:p>
    <w:p w14:paraId="40F51FB4">
      <w:pPr>
        <w:pStyle w:val="22"/>
        <w:spacing w:line="360" w:lineRule="auto"/>
        <w:rPr>
          <w:rFonts w:ascii="宋体" w:hAnsi="宋体" w:eastAsia="宋体" w:cs="宋体"/>
        </w:rPr>
      </w:pPr>
    </w:p>
    <w:p w14:paraId="6046A8F4">
      <w:pPr>
        <w:spacing w:line="360" w:lineRule="auto"/>
        <w:rPr>
          <w:rFonts w:ascii="宋体" w:hAnsi="宋体" w:eastAsia="宋体" w:cs="宋体"/>
        </w:rPr>
      </w:pPr>
    </w:p>
    <w:p w14:paraId="7A848460">
      <w:pPr>
        <w:pStyle w:val="22"/>
        <w:spacing w:line="360" w:lineRule="auto"/>
        <w:rPr>
          <w:rFonts w:ascii="宋体" w:hAnsi="宋体" w:eastAsia="宋体" w:cs="宋体"/>
        </w:rPr>
      </w:pPr>
    </w:p>
    <w:p w14:paraId="40C3CF29">
      <w:pPr>
        <w:spacing w:line="360" w:lineRule="auto"/>
        <w:rPr>
          <w:rFonts w:ascii="宋体" w:hAnsi="宋体" w:eastAsia="宋体" w:cs="宋体"/>
        </w:rPr>
      </w:pPr>
    </w:p>
    <w:p w14:paraId="69A41FC0">
      <w:pPr>
        <w:pStyle w:val="22"/>
        <w:spacing w:line="360" w:lineRule="auto"/>
        <w:rPr>
          <w:rFonts w:ascii="宋体" w:hAnsi="宋体" w:eastAsia="宋体" w:cs="宋体"/>
        </w:rPr>
      </w:pPr>
    </w:p>
    <w:p w14:paraId="456C71EF">
      <w:pPr>
        <w:spacing w:line="360" w:lineRule="auto"/>
        <w:rPr>
          <w:rFonts w:ascii="宋体" w:hAnsi="宋体" w:eastAsia="宋体" w:cs="宋体"/>
        </w:rPr>
      </w:pPr>
    </w:p>
    <w:p w14:paraId="05068636">
      <w:pPr>
        <w:pStyle w:val="22"/>
        <w:spacing w:line="360" w:lineRule="auto"/>
        <w:rPr>
          <w:rFonts w:ascii="宋体" w:hAnsi="宋体" w:eastAsia="宋体" w:cs="宋体"/>
        </w:rPr>
      </w:pPr>
    </w:p>
    <w:p w14:paraId="7495E33E">
      <w:pPr>
        <w:spacing w:line="360" w:lineRule="auto"/>
        <w:rPr>
          <w:rFonts w:ascii="宋体" w:hAnsi="宋体" w:eastAsia="宋体" w:cs="宋体"/>
        </w:rPr>
      </w:pPr>
    </w:p>
    <w:p w14:paraId="50FB6492">
      <w:pPr>
        <w:pStyle w:val="22"/>
        <w:spacing w:line="360" w:lineRule="auto"/>
        <w:rPr>
          <w:rFonts w:ascii="宋体" w:hAnsi="宋体" w:eastAsia="宋体" w:cs="宋体"/>
        </w:rPr>
      </w:pPr>
    </w:p>
    <w:p w14:paraId="732132DF">
      <w:pPr>
        <w:spacing w:line="360" w:lineRule="auto"/>
        <w:rPr>
          <w:rFonts w:ascii="宋体" w:hAnsi="宋体" w:eastAsia="宋体" w:cs="宋体"/>
        </w:rPr>
      </w:pPr>
    </w:p>
    <w:p w14:paraId="6381AFA8">
      <w:pPr>
        <w:pStyle w:val="22"/>
        <w:spacing w:line="360" w:lineRule="auto"/>
        <w:rPr>
          <w:rFonts w:ascii="宋体" w:hAnsi="宋体" w:eastAsia="宋体" w:cs="宋体"/>
        </w:rPr>
      </w:pPr>
    </w:p>
    <w:p w14:paraId="05A1BD83">
      <w:pPr>
        <w:spacing w:line="360" w:lineRule="auto"/>
        <w:rPr>
          <w:rFonts w:ascii="宋体" w:hAnsi="宋体" w:eastAsia="宋体" w:cs="宋体"/>
        </w:rPr>
      </w:pPr>
    </w:p>
    <w:p w14:paraId="0875089D">
      <w:pPr>
        <w:spacing w:line="360" w:lineRule="auto"/>
        <w:rPr>
          <w:rFonts w:ascii="宋体" w:hAnsi="宋体" w:eastAsia="宋体" w:cs="宋体"/>
        </w:rPr>
      </w:pPr>
    </w:p>
    <w:p w14:paraId="7EFBF1D4">
      <w:pPr>
        <w:spacing w:line="360" w:lineRule="auto"/>
        <w:rPr>
          <w:rFonts w:ascii="宋体" w:hAnsi="宋体" w:eastAsia="宋体" w:cs="宋体"/>
          <w:sz w:val="24"/>
          <w:szCs w:val="24"/>
        </w:rPr>
      </w:pPr>
      <w:r>
        <w:rPr>
          <w:rFonts w:hint="eastAsia" w:ascii="宋体" w:hAnsi="宋体" w:eastAsia="宋体" w:cs="宋体"/>
          <w:sz w:val="24"/>
          <w:szCs w:val="24"/>
        </w:rPr>
        <w:t>附件5：竣工结算报审资料指引</w:t>
      </w:r>
    </w:p>
    <w:p w14:paraId="063FE2F7">
      <w:pPr>
        <w:pStyle w:val="22"/>
        <w:spacing w:line="360" w:lineRule="auto"/>
        <w:rPr>
          <w:rFonts w:ascii="宋体" w:hAnsi="宋体" w:eastAsia="宋体" w:cs="宋体"/>
        </w:rPr>
        <w:sectPr>
          <w:type w:val="continuous"/>
          <w:pgSz w:w="11907" w:h="16840"/>
          <w:pgMar w:top="1440" w:right="1800" w:bottom="1440" w:left="1800" w:header="850" w:footer="992" w:gutter="0"/>
          <w:pgNumType w:fmt="decimal"/>
          <w:cols w:space="425" w:num="1"/>
          <w:docGrid w:type="lines" w:linePitch="326" w:charSpace="-4916"/>
        </w:sectPr>
      </w:pPr>
    </w:p>
    <w:p w14:paraId="68E53768">
      <w:r>
        <w:rPr>
          <w:rFonts w:hint="eastAsia" w:ascii="宋体" w:hAnsi="宋体" w:eastAsia="宋体" w:cs="宋体"/>
          <w:color w:val="000000" w:themeColor="text1"/>
          <w:sz w:val="24"/>
          <w:szCs w:val="20"/>
          <w:lang w:val="en-US" w:eastAsia="zh-CN"/>
          <w14:textFill>
            <w14:solidFill>
              <w14:schemeClr w14:val="tx1"/>
            </w14:solidFill>
          </w14:textFill>
        </w:rPr>
        <w:t>附件6：棠东项目超前钻招标设计任务书</w:t>
      </w:r>
    </w:p>
    <w:sectPr>
      <w:pgSz w:w="11907" w:h="16840"/>
      <w:pgMar w:top="1440" w:right="1800" w:bottom="1440" w:left="1800" w:header="850" w:footer="992" w:gutter="0"/>
      <w:pgNumType w:fmt="decimal"/>
      <w:cols w:space="425" w:num="1"/>
      <w:docGrid w:type="lines"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orBidi">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E797A">
    <w:pPr>
      <w:pStyle w:val="11"/>
      <w:jc w:val="center"/>
    </w:pPr>
  </w:p>
  <w:p w14:paraId="5A2A809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84E80">
    <w:pPr>
      <w:pStyle w:val="11"/>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BFA1E">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E3BFA1E">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4BCD8">
    <w:pPr>
      <w:pStyle w:val="11"/>
      <w:jc w:val="center"/>
    </w:pPr>
    <w:r>
      <w:rPr>
        <w:rFonts w:hint="eastAsia" w:ascii="仿宋" w:hAnsi="仿宋" w:eastAsia="仿宋"/>
        <w:lang w:val="zh-CN"/>
      </w:rPr>
      <w:t>第</w:t>
    </w:r>
    <w:r>
      <w:rPr>
        <w:rFonts w:ascii="仿宋" w:hAnsi="仿宋" w:eastAsia="仿宋"/>
        <w:bCs/>
      </w:rPr>
      <w:t>i</w:t>
    </w:r>
    <w:r>
      <w:rPr>
        <w:rFonts w:hint="eastAsia" w:ascii="仿宋" w:hAnsi="仿宋" w:eastAsia="仿宋"/>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5478C">
    <w:pPr>
      <w:pStyle w:val="11"/>
      <w:jc w:val="center"/>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E0471">
                          <w:pPr>
                            <w:pStyle w:val="11"/>
                            <w:jc w:val="center"/>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00E0471">
                    <w:pPr>
                      <w:pStyle w:val="11"/>
                      <w:jc w:val="center"/>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491C1">
    <w:pPr>
      <w:pStyle w:val="11"/>
      <w:jc w:val="center"/>
      <w:rPr>
        <w:rFonts w:ascii="仿宋" w:hAnsi="仿宋" w:eastAsia="仿宋"/>
      </w:rPr>
    </w:pPr>
    <w:r>
      <w:rPr>
        <w:rFonts w:ascii="Arial" w:hAnsi="Arial" w:eastAsia="仿宋" w:cs="Arial"/>
        <w:bCs/>
      </w:rPr>
      <w:fldChar w:fldCharType="begin"/>
    </w:r>
    <w:r>
      <w:rPr>
        <w:rFonts w:ascii="Arial" w:hAnsi="Arial" w:eastAsia="仿宋" w:cs="Arial"/>
        <w:bCs/>
      </w:rPr>
      <w:instrText xml:space="preserve">PAGE</w:instrText>
    </w:r>
    <w:r>
      <w:rPr>
        <w:rFonts w:ascii="Arial" w:hAnsi="Arial" w:eastAsia="仿宋" w:cs="Arial"/>
        <w:bCs/>
      </w:rPr>
      <w:fldChar w:fldCharType="separate"/>
    </w:r>
    <w:r>
      <w:rPr>
        <w:rFonts w:ascii="Arial" w:hAnsi="Arial" w:eastAsia="仿宋" w:cs="Arial"/>
        <w:bCs/>
      </w:rPr>
      <w:t>4</w:t>
    </w:r>
    <w:r>
      <w:rPr>
        <w:rFonts w:ascii="Arial" w:hAnsi="Arial" w:eastAsia="仿宋" w:cs="Arial"/>
        <w:bCs/>
      </w:rPr>
      <w:fldChar w:fldCharType="end"/>
    </w:r>
    <w:r>
      <w:rPr>
        <w:rFonts w:ascii="Arial" w:hAnsi="Arial" w:eastAsia="仿宋" w:cs="Arial"/>
        <w:bCs/>
      </w:rPr>
      <w:t xml:space="preserve"> / </w:t>
    </w:r>
    <w:r>
      <w:rPr>
        <w:rFonts w:ascii="Arial" w:hAnsi="Arial" w:eastAsia="仿宋" w:cs="Arial"/>
        <w:bCs/>
      </w:rPr>
      <w:fldChar w:fldCharType="begin"/>
    </w:r>
    <w:r>
      <w:rPr>
        <w:rFonts w:ascii="Arial" w:hAnsi="Arial" w:eastAsia="仿宋" w:cs="Arial"/>
        <w:bCs/>
      </w:rPr>
      <w:instrText xml:space="preserve"> SECTIONPAGES  </w:instrText>
    </w:r>
    <w:r>
      <w:rPr>
        <w:rFonts w:ascii="Arial" w:hAnsi="Arial" w:eastAsia="仿宋" w:cs="Arial"/>
        <w:bCs/>
      </w:rPr>
      <w:fldChar w:fldCharType="separate"/>
    </w:r>
    <w:r>
      <w:rPr>
        <w:rFonts w:ascii="Arial" w:hAnsi="Arial" w:eastAsia="仿宋" w:cs="Arial"/>
        <w:bCs/>
      </w:rPr>
      <w:t>1</w:t>
    </w:r>
    <w:r>
      <w:rPr>
        <w:rFonts w:ascii="Arial" w:hAnsi="Arial" w:eastAsia="仿宋" w:cs="Arial"/>
        <w:bCs/>
      </w:rPr>
      <w:fldChar w:fldCharType="end"/>
    </w:r>
  </w:p>
  <w:p w14:paraId="3FFEDFDC"/>
  <w:p w14:paraId="06DA86B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A823A">
    <w:r>
      <w:drawing>
        <wp:anchor distT="0" distB="0" distL="114300" distR="114300" simplePos="0" relativeHeight="251668480" behindDoc="0" locked="0" layoutInCell="1" allowOverlap="1">
          <wp:simplePos x="0" y="0"/>
          <wp:positionH relativeFrom="page">
            <wp:align>left</wp:align>
          </wp:positionH>
          <wp:positionV relativeFrom="page">
            <wp:align>top</wp:align>
          </wp:positionV>
          <wp:extent cx="2540000" cy="3556000"/>
          <wp:effectExtent l="0" t="0" r="12700" b="6350"/>
          <wp:wrapNone/>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0000" cy="3556000"/>
                  </a:xfrm>
                  <a:prstGeom prst="rect">
                    <a:avLst/>
                  </a:prstGeom>
                  <a:noFill/>
                </pic:spPr>
              </pic:pic>
            </a:graphicData>
          </a:graphic>
        </wp:anchor>
      </w:drawing>
    </w:r>
    <w:r>
      <w:drawing>
        <wp:anchor distT="0" distB="0" distL="114300" distR="114300" simplePos="0" relativeHeight="251669504" behindDoc="0" locked="0" layoutInCell="1" allowOverlap="1">
          <wp:simplePos x="0" y="0"/>
          <wp:positionH relativeFrom="page">
            <wp:align>center</wp:align>
          </wp:positionH>
          <wp:positionV relativeFrom="page">
            <wp:align>top</wp:align>
          </wp:positionV>
          <wp:extent cx="2540000" cy="3556000"/>
          <wp:effectExtent l="0" t="0" r="12700" b="6350"/>
          <wp:wrapNone/>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0000" cy="3556000"/>
                  </a:xfrm>
                  <a:prstGeom prst="rect">
                    <a:avLst/>
                  </a:prstGeom>
                  <a:noFill/>
                </pic:spPr>
              </pic:pic>
            </a:graphicData>
          </a:graphic>
        </wp:anchor>
      </w:drawing>
    </w:r>
    <w:r>
      <w:drawing>
        <wp:anchor distT="0" distB="0" distL="114300" distR="114300" simplePos="0" relativeHeight="251670528" behindDoc="0" locked="0" layoutInCell="1" allowOverlap="1">
          <wp:simplePos x="0" y="0"/>
          <wp:positionH relativeFrom="page">
            <wp:align>right</wp:align>
          </wp:positionH>
          <wp:positionV relativeFrom="page">
            <wp:align>top</wp:align>
          </wp:positionV>
          <wp:extent cx="2540000" cy="3556000"/>
          <wp:effectExtent l="0" t="0" r="12700" b="6350"/>
          <wp:wrapNone/>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0000" cy="3556000"/>
                  </a:xfrm>
                  <a:prstGeom prst="rect">
                    <a:avLst/>
                  </a:prstGeom>
                  <a:noFill/>
                </pic:spPr>
              </pic:pic>
            </a:graphicData>
          </a:graphic>
        </wp:anchor>
      </w:drawing>
    </w:r>
    <w:r>
      <w:drawing>
        <wp:anchor distT="0" distB="0" distL="114300" distR="114300" simplePos="0" relativeHeight="251671552" behindDoc="0" locked="0" layoutInCell="1" allowOverlap="1">
          <wp:simplePos x="0" y="0"/>
          <wp:positionH relativeFrom="page">
            <wp:align>left</wp:align>
          </wp:positionH>
          <wp:positionV relativeFrom="page">
            <wp:align>bottom</wp:align>
          </wp:positionV>
          <wp:extent cx="2540000" cy="3556000"/>
          <wp:effectExtent l="0" t="0" r="12700" b="6350"/>
          <wp:wrapNone/>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0000" cy="3556000"/>
                  </a:xfrm>
                  <a:prstGeom prst="rect">
                    <a:avLst/>
                  </a:prstGeom>
                  <a:noFill/>
                </pic:spPr>
              </pic:pic>
            </a:graphicData>
          </a:graphic>
        </wp:anchor>
      </w:drawing>
    </w:r>
    <w:r>
      <w:drawing>
        <wp:anchor distT="0" distB="0" distL="114300" distR="114300" simplePos="0" relativeHeight="251672576" behindDoc="0" locked="0" layoutInCell="1" allowOverlap="1">
          <wp:simplePos x="0" y="0"/>
          <wp:positionH relativeFrom="page">
            <wp:align>center</wp:align>
          </wp:positionH>
          <wp:positionV relativeFrom="page">
            <wp:align>bottom</wp:align>
          </wp:positionV>
          <wp:extent cx="2540000" cy="3556000"/>
          <wp:effectExtent l="0" t="0" r="12700" b="6350"/>
          <wp:wrapNone/>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0000" cy="3556000"/>
                  </a:xfrm>
                  <a:prstGeom prst="rect">
                    <a:avLst/>
                  </a:prstGeom>
                  <a:noFill/>
                </pic:spPr>
              </pic:pic>
            </a:graphicData>
          </a:graphic>
        </wp:anchor>
      </w:drawing>
    </w:r>
    <w:r>
      <w:drawing>
        <wp:anchor distT="0" distB="0" distL="114300" distR="114300" simplePos="0" relativeHeight="251673600" behindDoc="0" locked="0" layoutInCell="1" allowOverlap="1">
          <wp:simplePos x="0" y="0"/>
          <wp:positionH relativeFrom="page">
            <wp:align>right</wp:align>
          </wp:positionH>
          <wp:positionV relativeFrom="page">
            <wp:align>bottom</wp:align>
          </wp:positionV>
          <wp:extent cx="2540000" cy="3556000"/>
          <wp:effectExtent l="0" t="0" r="12700" b="6350"/>
          <wp:wrapNone/>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0000" cy="3556000"/>
                  </a:xfrm>
                  <a:prstGeom prst="rect">
                    <a:avLst/>
                  </a:prstGeom>
                  <a:noFill/>
                </pic:spPr>
              </pic:pic>
            </a:graphicData>
          </a:graphic>
        </wp:anchor>
      </w:drawing>
    </w:r>
    <w:r>
      <w:drawing>
        <wp:anchor distT="0" distB="0" distL="114300" distR="114300" simplePos="0" relativeHeight="251674624" behindDoc="0" locked="0" layoutInCell="1" allowOverlap="1">
          <wp:simplePos x="0" y="0"/>
          <wp:positionH relativeFrom="page">
            <wp:align>left</wp:align>
          </wp:positionH>
          <wp:positionV relativeFrom="page">
            <wp:align>center</wp:align>
          </wp:positionV>
          <wp:extent cx="2540000" cy="3556000"/>
          <wp:effectExtent l="0" t="0" r="12700" b="6350"/>
          <wp:wrapNone/>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0000" cy="3556000"/>
                  </a:xfrm>
                  <a:prstGeom prst="rect">
                    <a:avLst/>
                  </a:prstGeom>
                  <a:noFill/>
                </pic:spPr>
              </pic:pic>
            </a:graphicData>
          </a:graphic>
        </wp:anchor>
      </w:drawing>
    </w:r>
    <w:r>
      <w:drawing>
        <wp:anchor distT="0" distB="0" distL="114300" distR="114300" simplePos="0" relativeHeight="251675648" behindDoc="0" locked="0" layoutInCell="1" allowOverlap="1">
          <wp:simplePos x="0" y="0"/>
          <wp:positionH relativeFrom="page">
            <wp:align>center</wp:align>
          </wp:positionH>
          <wp:positionV relativeFrom="page">
            <wp:align>center</wp:align>
          </wp:positionV>
          <wp:extent cx="2540000" cy="3556000"/>
          <wp:effectExtent l="0" t="0" r="12700" b="6350"/>
          <wp:wrapNone/>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0000" cy="3556000"/>
                  </a:xfrm>
                  <a:prstGeom prst="rect">
                    <a:avLst/>
                  </a:prstGeom>
                  <a:noFill/>
                </pic:spPr>
              </pic:pic>
            </a:graphicData>
          </a:graphic>
        </wp:anchor>
      </w:drawing>
    </w:r>
    <w:r>
      <w:drawing>
        <wp:anchor distT="0" distB="0" distL="114300" distR="114300" simplePos="0" relativeHeight="251676672" behindDoc="0" locked="0" layoutInCell="1" allowOverlap="1">
          <wp:simplePos x="0" y="0"/>
          <wp:positionH relativeFrom="page">
            <wp:align>right</wp:align>
          </wp:positionH>
          <wp:positionV relativeFrom="page">
            <wp:align>center</wp:align>
          </wp:positionV>
          <wp:extent cx="2540000" cy="3556000"/>
          <wp:effectExtent l="0" t="0" r="12700" b="6350"/>
          <wp:wrapNone/>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0000" cy="355600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E10F5">
    <w:r>
      <w:drawing>
        <wp:anchor distT="0" distB="0" distL="114300" distR="114300" simplePos="0" relativeHeight="251659264" behindDoc="0" locked="0" layoutInCell="1" allowOverlap="1">
          <wp:simplePos x="0" y="0"/>
          <wp:positionH relativeFrom="page">
            <wp:align>left</wp:align>
          </wp:positionH>
          <wp:positionV relativeFrom="page">
            <wp:align>top</wp:align>
          </wp:positionV>
          <wp:extent cx="2540000" cy="3556000"/>
          <wp:effectExtent l="0" t="0" r="12700" b="6350"/>
          <wp:wrapNone/>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0000" cy="3556000"/>
                  </a:xfrm>
                  <a:prstGeom prst="rect">
                    <a:avLst/>
                  </a:prstGeom>
                  <a:noFill/>
                </pic:spPr>
              </pic:pic>
            </a:graphicData>
          </a:graphic>
        </wp:anchor>
      </w:drawing>
    </w:r>
    <w:r>
      <w:drawing>
        <wp:anchor distT="0" distB="0" distL="114300" distR="114300" simplePos="0" relativeHeight="251660288" behindDoc="0" locked="0" layoutInCell="1" allowOverlap="1">
          <wp:simplePos x="0" y="0"/>
          <wp:positionH relativeFrom="page">
            <wp:align>center</wp:align>
          </wp:positionH>
          <wp:positionV relativeFrom="page">
            <wp:align>top</wp:align>
          </wp:positionV>
          <wp:extent cx="2540000" cy="3556000"/>
          <wp:effectExtent l="0" t="0" r="12700" b="6350"/>
          <wp:wrapNone/>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0000" cy="3556000"/>
                  </a:xfrm>
                  <a:prstGeom prst="rect">
                    <a:avLst/>
                  </a:prstGeom>
                  <a:noFill/>
                </pic:spPr>
              </pic:pic>
            </a:graphicData>
          </a:graphic>
        </wp:anchor>
      </w:drawing>
    </w:r>
    <w:r>
      <w:drawing>
        <wp:anchor distT="0" distB="0" distL="114300" distR="114300" simplePos="0" relativeHeight="251661312" behindDoc="0" locked="0" layoutInCell="1" allowOverlap="1">
          <wp:simplePos x="0" y="0"/>
          <wp:positionH relativeFrom="page">
            <wp:align>right</wp:align>
          </wp:positionH>
          <wp:positionV relativeFrom="page">
            <wp:align>top</wp:align>
          </wp:positionV>
          <wp:extent cx="2540000" cy="3556000"/>
          <wp:effectExtent l="0" t="0" r="12700" b="6350"/>
          <wp:wrapNone/>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0000" cy="3556000"/>
                  </a:xfrm>
                  <a:prstGeom prst="rect">
                    <a:avLst/>
                  </a:prstGeom>
                  <a:noFill/>
                </pic:spPr>
              </pic:pic>
            </a:graphicData>
          </a:graphic>
        </wp:anchor>
      </w:drawing>
    </w:r>
    <w:r>
      <w:drawing>
        <wp:anchor distT="0" distB="0" distL="114300" distR="114300" simplePos="0" relativeHeight="251662336" behindDoc="0" locked="0" layoutInCell="1" allowOverlap="1">
          <wp:simplePos x="0" y="0"/>
          <wp:positionH relativeFrom="page">
            <wp:align>left</wp:align>
          </wp:positionH>
          <wp:positionV relativeFrom="page">
            <wp:align>bottom</wp:align>
          </wp:positionV>
          <wp:extent cx="2540000" cy="3556000"/>
          <wp:effectExtent l="0" t="0" r="12700" b="6350"/>
          <wp:wrapNone/>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0000" cy="3556000"/>
                  </a:xfrm>
                  <a:prstGeom prst="rect">
                    <a:avLst/>
                  </a:prstGeom>
                  <a:noFill/>
                </pic:spPr>
              </pic:pic>
            </a:graphicData>
          </a:graphic>
        </wp:anchor>
      </w:drawing>
    </w:r>
    <w:r>
      <w:drawing>
        <wp:anchor distT="0" distB="0" distL="114300" distR="114300" simplePos="0" relativeHeight="251663360" behindDoc="0" locked="0" layoutInCell="1" allowOverlap="1">
          <wp:simplePos x="0" y="0"/>
          <wp:positionH relativeFrom="page">
            <wp:align>center</wp:align>
          </wp:positionH>
          <wp:positionV relativeFrom="page">
            <wp:align>bottom</wp:align>
          </wp:positionV>
          <wp:extent cx="2540000" cy="3556000"/>
          <wp:effectExtent l="0" t="0" r="12700" b="6350"/>
          <wp:wrapNone/>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0000" cy="3556000"/>
                  </a:xfrm>
                  <a:prstGeom prst="rect">
                    <a:avLst/>
                  </a:prstGeom>
                  <a:noFill/>
                </pic:spPr>
              </pic:pic>
            </a:graphicData>
          </a:graphic>
        </wp:anchor>
      </w:drawing>
    </w:r>
    <w:r>
      <w:drawing>
        <wp:anchor distT="0" distB="0" distL="114300" distR="114300" simplePos="0" relativeHeight="251664384" behindDoc="0" locked="0" layoutInCell="1" allowOverlap="1">
          <wp:simplePos x="0" y="0"/>
          <wp:positionH relativeFrom="page">
            <wp:align>right</wp:align>
          </wp:positionH>
          <wp:positionV relativeFrom="page">
            <wp:align>bottom</wp:align>
          </wp:positionV>
          <wp:extent cx="2540000" cy="3556000"/>
          <wp:effectExtent l="0" t="0" r="12700" b="6350"/>
          <wp:wrapNone/>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0000" cy="3556000"/>
                  </a:xfrm>
                  <a:prstGeom prst="rect">
                    <a:avLst/>
                  </a:prstGeom>
                  <a:noFill/>
                </pic:spPr>
              </pic:pic>
            </a:graphicData>
          </a:graphic>
        </wp:anchor>
      </w:drawing>
    </w:r>
    <w:r>
      <w:drawing>
        <wp:anchor distT="0" distB="0" distL="114300" distR="114300" simplePos="0" relativeHeight="251665408" behindDoc="0" locked="0" layoutInCell="1" allowOverlap="1">
          <wp:simplePos x="0" y="0"/>
          <wp:positionH relativeFrom="page">
            <wp:align>left</wp:align>
          </wp:positionH>
          <wp:positionV relativeFrom="page">
            <wp:align>center</wp:align>
          </wp:positionV>
          <wp:extent cx="2540000" cy="3556000"/>
          <wp:effectExtent l="0" t="0" r="12700" b="6350"/>
          <wp:wrapNone/>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0000" cy="3556000"/>
                  </a:xfrm>
                  <a:prstGeom prst="rect">
                    <a:avLst/>
                  </a:prstGeom>
                  <a:noFill/>
                </pic:spPr>
              </pic:pic>
            </a:graphicData>
          </a:graphic>
        </wp:anchor>
      </w:drawing>
    </w:r>
    <w:r>
      <w:drawing>
        <wp:anchor distT="0" distB="0" distL="114300" distR="114300" simplePos="0" relativeHeight="251666432" behindDoc="0" locked="0" layoutInCell="1" allowOverlap="1">
          <wp:simplePos x="0" y="0"/>
          <wp:positionH relativeFrom="page">
            <wp:align>center</wp:align>
          </wp:positionH>
          <wp:positionV relativeFrom="page">
            <wp:align>center</wp:align>
          </wp:positionV>
          <wp:extent cx="2540000" cy="3556000"/>
          <wp:effectExtent l="0" t="0" r="12700" b="6350"/>
          <wp:wrapNone/>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0000" cy="3556000"/>
                  </a:xfrm>
                  <a:prstGeom prst="rect">
                    <a:avLst/>
                  </a:prstGeom>
                  <a:noFill/>
                </pic:spPr>
              </pic:pic>
            </a:graphicData>
          </a:graphic>
        </wp:anchor>
      </w:drawing>
    </w:r>
    <w:r>
      <w:drawing>
        <wp:anchor distT="0" distB="0" distL="114300" distR="114300" simplePos="0" relativeHeight="251667456" behindDoc="0" locked="0" layoutInCell="1" allowOverlap="1">
          <wp:simplePos x="0" y="0"/>
          <wp:positionH relativeFrom="page">
            <wp:align>right</wp:align>
          </wp:positionH>
          <wp:positionV relativeFrom="page">
            <wp:align>center</wp:align>
          </wp:positionV>
          <wp:extent cx="2540000" cy="3556000"/>
          <wp:effectExtent l="0" t="0" r="12700" b="6350"/>
          <wp:wrapNone/>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0000" cy="355600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BBBB3">
    <w:pPr>
      <w:pStyle w:val="12"/>
      <w:pBdr>
        <w:bottom w:val="none" w:color="auto" w:sz="0" w:space="0"/>
      </w:pBdr>
      <w:ind w:right="90"/>
      <w:jc w:val="right"/>
      <w:rPr>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9A14">
    <w:pPr>
      <w:pStyle w:val="12"/>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DAB26">
    <w:pPr>
      <w:pStyle w:val="12"/>
      <w:pBdr>
        <w:bottom w:val="none" w:color="auto" w:sz="0" w:space="0"/>
      </w:pBdr>
      <w:ind w:right="90"/>
      <w:jc w:val="left"/>
      <w:rPr>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B6F1F">
    <w:pPr>
      <w:pStyle w:val="12"/>
      <w:pBdr>
        <w:bottom w:val="none" w:color="auto" w:sz="0" w:space="0"/>
      </w:pBdr>
      <w:jc w:val="both"/>
    </w:pPr>
  </w:p>
  <w:p w14:paraId="6AD171FC"/>
  <w:p w14:paraId="6201AF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810A2"/>
    <w:multiLevelType w:val="multilevel"/>
    <w:tmpl w:val="082810A2"/>
    <w:lvl w:ilvl="0" w:tentative="0">
      <w:start w:val="1"/>
      <w:numFmt w:val="decimal"/>
      <w:lvlText w:val="%1)"/>
      <w:lvlJc w:val="left"/>
      <w:pPr>
        <w:ind w:left="920" w:hanging="440"/>
      </w:pPr>
      <w:rPr>
        <w:rFonts w:hint="eastAsia"/>
      </w:rPr>
    </w:lvl>
    <w:lvl w:ilvl="1" w:tentative="0">
      <w:start w:val="1"/>
      <w:numFmt w:val="ideographTraditional"/>
      <w:lvlText w:val="%2、"/>
      <w:lvlJc w:val="left"/>
      <w:pPr>
        <w:ind w:left="1400" w:hanging="48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08380C74"/>
    <w:multiLevelType w:val="multilevel"/>
    <w:tmpl w:val="08380C74"/>
    <w:lvl w:ilvl="0" w:tentative="0">
      <w:start w:val="8"/>
      <w:numFmt w:val="decimal"/>
      <w:lvlText w:val="%1"/>
      <w:lvlJc w:val="left"/>
      <w:pPr>
        <w:ind w:left="425" w:hanging="425"/>
      </w:pPr>
      <w:rPr>
        <w:rFonts w:hint="eastAsia"/>
      </w:rPr>
    </w:lvl>
    <w:lvl w:ilvl="1" w:tentative="0">
      <w:start w:val="1"/>
      <w:numFmt w:val="decimal"/>
      <w:lvlText w:val="%1.%2"/>
      <w:lvlJc w:val="left"/>
      <w:pPr>
        <w:ind w:left="992" w:hanging="567"/>
      </w:pPr>
      <w:rPr>
        <w:rFonts w:hint="default" w:ascii="Arial" w:hAnsi="Arial" w:cs="Arial"/>
        <w:b w:val="0"/>
        <w:bCs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1211520C"/>
    <w:multiLevelType w:val="multilevel"/>
    <w:tmpl w:val="1211520C"/>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3">
    <w:nsid w:val="127725B0"/>
    <w:multiLevelType w:val="multilevel"/>
    <w:tmpl w:val="127725B0"/>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1ADF128E"/>
    <w:multiLevelType w:val="multilevel"/>
    <w:tmpl w:val="1ADF128E"/>
    <w:lvl w:ilvl="0" w:tentative="0">
      <w:start w:val="10"/>
      <w:numFmt w:val="decimal"/>
      <w:lvlText w:val="%1"/>
      <w:lvlJc w:val="left"/>
      <w:pPr>
        <w:ind w:left="425" w:hanging="425"/>
      </w:pPr>
      <w:rPr>
        <w:rFonts w:hint="eastAsia"/>
      </w:rPr>
    </w:lvl>
    <w:lvl w:ilvl="1" w:tentative="0">
      <w:start w:val="1"/>
      <w:numFmt w:val="decimal"/>
      <w:lvlText w:val="%1.%2"/>
      <w:lvlJc w:val="left"/>
      <w:pPr>
        <w:ind w:left="992" w:hanging="567"/>
      </w:pPr>
      <w:rPr>
        <w:rFonts w:hint="default" w:ascii="Arial" w:hAnsi="Arial" w:cs="Arial"/>
        <w:b w:val="0"/>
        <w:bCs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D9B0170"/>
    <w:multiLevelType w:val="multilevel"/>
    <w:tmpl w:val="1D9B0170"/>
    <w:lvl w:ilvl="0" w:tentative="0">
      <w:start w:val="1"/>
      <w:numFmt w:val="upperLetter"/>
      <w:pStyle w:val="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5152A16"/>
    <w:multiLevelType w:val="multilevel"/>
    <w:tmpl w:val="35152A16"/>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default" w:ascii="Times New Roman" w:hAnsi="Times New Roman" w:cs="Times New Roman"/>
      </w:rPr>
    </w:lvl>
    <w:lvl w:ilvl="2" w:tentative="0">
      <w:start w:val="1"/>
      <w:numFmt w:val="decimal"/>
      <w:lvlText w:val="%1.%2.%3"/>
      <w:lvlJc w:val="left"/>
      <w:pPr>
        <w:ind w:left="1418" w:hanging="567"/>
      </w:pPr>
      <w:rPr>
        <w:rFonts w:hint="default" w:ascii="Times New Roman" w:hAnsi="Times New Roman" w:cs="Times New Roman"/>
      </w:rPr>
    </w:lvl>
    <w:lvl w:ilvl="3" w:tentative="0">
      <w:start w:val="1"/>
      <w:numFmt w:val="decimal"/>
      <w:lvlText w:val="%1.%2.%3.%4"/>
      <w:lvlJc w:val="left"/>
      <w:pPr>
        <w:ind w:left="1984" w:hanging="708"/>
      </w:pPr>
      <w:rPr>
        <w:rFonts w:hint="default" w:ascii="Times New Roman" w:hAnsi="Times New Roman" w:cs="Times New Roman"/>
      </w:rPr>
    </w:lvl>
    <w:lvl w:ilvl="4" w:tentative="0">
      <w:start w:val="1"/>
      <w:numFmt w:val="decimal"/>
      <w:lvlText w:val="%1.%2.%3.%4.%5"/>
      <w:lvlJc w:val="left"/>
      <w:pPr>
        <w:ind w:left="2551" w:hanging="850"/>
      </w:pPr>
      <w:rPr>
        <w:rFonts w:hint="default" w:ascii="Times New Roman" w:hAnsi="Times New Roman" w:cs="Times New Roman"/>
      </w:rPr>
    </w:lvl>
    <w:lvl w:ilvl="5" w:tentative="0">
      <w:start w:val="1"/>
      <w:numFmt w:val="decimal"/>
      <w:lvlText w:val="%1.%2.%3.%4.%5.%6"/>
      <w:lvlJc w:val="left"/>
      <w:pPr>
        <w:ind w:left="3260" w:hanging="1134"/>
      </w:pPr>
      <w:rPr>
        <w:rFonts w:hint="default" w:ascii="Times New Roman" w:hAnsi="Times New Roman" w:cs="Times New Roman"/>
      </w:rPr>
    </w:lvl>
    <w:lvl w:ilvl="6" w:tentative="0">
      <w:start w:val="1"/>
      <w:numFmt w:val="decimal"/>
      <w:lvlText w:val="%1.%2.%3.%4.%5.%6.%7"/>
      <w:lvlJc w:val="left"/>
      <w:pPr>
        <w:ind w:left="3827" w:hanging="1276"/>
      </w:pPr>
      <w:rPr>
        <w:rFonts w:hint="default" w:ascii="Times New Roman" w:hAnsi="Times New Roman" w:cs="Times New Roman"/>
      </w:rPr>
    </w:lvl>
    <w:lvl w:ilvl="7" w:tentative="0">
      <w:start w:val="1"/>
      <w:numFmt w:val="decimal"/>
      <w:lvlText w:val="%1.%2.%3.%4.%5.%6.%7.%8"/>
      <w:lvlJc w:val="left"/>
      <w:pPr>
        <w:ind w:left="4394" w:hanging="1418"/>
      </w:pPr>
      <w:rPr>
        <w:rFonts w:hint="default" w:ascii="Times New Roman" w:hAnsi="Times New Roman" w:cs="Times New Roman"/>
      </w:rPr>
    </w:lvl>
    <w:lvl w:ilvl="8" w:tentative="0">
      <w:start w:val="1"/>
      <w:numFmt w:val="decimal"/>
      <w:lvlText w:val="%1.%2.%3.%4.%5.%6.%7.%8.%9"/>
      <w:lvlJc w:val="left"/>
      <w:pPr>
        <w:ind w:left="5102" w:hanging="1700"/>
      </w:pPr>
      <w:rPr>
        <w:rFonts w:hint="default" w:ascii="Times New Roman" w:hAnsi="Times New Roman" w:cs="Times New Roman"/>
      </w:rPr>
    </w:lvl>
  </w:abstractNum>
  <w:abstractNum w:abstractNumId="7">
    <w:nsid w:val="37FD1B0B"/>
    <w:multiLevelType w:val="multilevel"/>
    <w:tmpl w:val="37FD1B0B"/>
    <w:lvl w:ilvl="0" w:tentative="0">
      <w:start w:val="1"/>
      <w:numFmt w:val="decimal"/>
      <w:pStyle w:val="35"/>
      <w:lvlText w:val="附件%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33579E6"/>
    <w:multiLevelType w:val="multilevel"/>
    <w:tmpl w:val="433579E6"/>
    <w:lvl w:ilvl="0" w:tentative="0">
      <w:start w:val="9"/>
      <w:numFmt w:val="decimal"/>
      <w:lvlText w:val="%1"/>
      <w:lvlJc w:val="left"/>
      <w:pPr>
        <w:ind w:left="425" w:hanging="425"/>
      </w:pPr>
      <w:rPr>
        <w:rFonts w:hint="eastAsia"/>
      </w:rPr>
    </w:lvl>
    <w:lvl w:ilvl="1" w:tentative="0">
      <w:start w:val="1"/>
      <w:numFmt w:val="decimal"/>
      <w:lvlText w:val="%1.%2"/>
      <w:lvlJc w:val="left"/>
      <w:pPr>
        <w:ind w:left="992" w:hanging="567"/>
      </w:pPr>
      <w:rPr>
        <w:rFonts w:hint="default" w:ascii="Arial" w:hAnsi="Arial" w:cs="Arial"/>
        <w:b w:val="0"/>
        <w:bCs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46ED42B6"/>
    <w:multiLevelType w:val="multilevel"/>
    <w:tmpl w:val="46ED42B6"/>
    <w:lvl w:ilvl="0" w:tentative="0">
      <w:start w:val="1"/>
      <w:numFmt w:val="decimal"/>
      <w:pStyle w:val="5"/>
      <w:lvlText w:val="第%1条"/>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1A74081"/>
    <w:multiLevelType w:val="multilevel"/>
    <w:tmpl w:val="51A7408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1">
    <w:nsid w:val="62F06301"/>
    <w:multiLevelType w:val="multilevel"/>
    <w:tmpl w:val="62F06301"/>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2">
    <w:nsid w:val="7AFD1B0B"/>
    <w:multiLevelType w:val="multilevel"/>
    <w:tmpl w:val="7AFD1B0B"/>
    <w:lvl w:ilvl="0" w:tentative="0">
      <w:start w:val="11"/>
      <w:numFmt w:val="decimal"/>
      <w:lvlText w:val="%1"/>
      <w:lvlJc w:val="left"/>
      <w:pPr>
        <w:ind w:left="425" w:hanging="425"/>
      </w:pPr>
      <w:rPr>
        <w:rFonts w:hint="eastAsia"/>
      </w:rPr>
    </w:lvl>
    <w:lvl w:ilvl="1" w:tentative="0">
      <w:start w:val="1"/>
      <w:numFmt w:val="decimal"/>
      <w:lvlText w:val="%1.%2"/>
      <w:lvlJc w:val="left"/>
      <w:pPr>
        <w:ind w:left="992" w:hanging="567"/>
      </w:pPr>
      <w:rPr>
        <w:rFonts w:hint="default" w:ascii="Arial" w:hAnsi="Arial" w:cs="Arial"/>
        <w:b w:val="0"/>
        <w:bCs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5"/>
  </w:num>
  <w:num w:numId="2">
    <w:abstractNumId w:val="9"/>
  </w:num>
  <w:num w:numId="3">
    <w:abstractNumId w:val="7"/>
  </w:num>
  <w:num w:numId="4">
    <w:abstractNumId w:val="3"/>
  </w:num>
  <w:num w:numId="5">
    <w:abstractNumId w:val="10"/>
  </w:num>
  <w:num w:numId="6">
    <w:abstractNumId w:val="1"/>
  </w:num>
  <w:num w:numId="7">
    <w:abstractNumId w:val="2"/>
  </w:num>
  <w:num w:numId="8">
    <w:abstractNumId w:val="8"/>
  </w:num>
  <w:num w:numId="9">
    <w:abstractNumId w:val="4"/>
  </w:num>
  <w:num w:numId="10">
    <w:abstractNumId w:val="12"/>
  </w:num>
  <w:num w:numId="11">
    <w:abstractNumId w:val="11"/>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dit="readOnly" w:enforcement="0"/>
  <w:defaultTabStop w:val="420"/>
  <w:drawingGridHorizontalSpacing w:val="97"/>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mYjQ5NDlkZmNlMzg3YmNkYzQzMWFlMWM1MDY2ODQifQ=="/>
  </w:docVars>
  <w:rsids>
    <w:rsidRoot w:val="00345C66"/>
    <w:rsid w:val="00001464"/>
    <w:rsid w:val="00003C4B"/>
    <w:rsid w:val="00004D8C"/>
    <w:rsid w:val="00005A00"/>
    <w:rsid w:val="00005D4D"/>
    <w:rsid w:val="0001447C"/>
    <w:rsid w:val="00016079"/>
    <w:rsid w:val="000238EB"/>
    <w:rsid w:val="00024AD2"/>
    <w:rsid w:val="000255D8"/>
    <w:rsid w:val="000311C3"/>
    <w:rsid w:val="00033FBF"/>
    <w:rsid w:val="00034981"/>
    <w:rsid w:val="00034BC7"/>
    <w:rsid w:val="000362F7"/>
    <w:rsid w:val="00036E7A"/>
    <w:rsid w:val="0003779D"/>
    <w:rsid w:val="00037AAC"/>
    <w:rsid w:val="0004053A"/>
    <w:rsid w:val="00040B34"/>
    <w:rsid w:val="0004206F"/>
    <w:rsid w:val="00044B35"/>
    <w:rsid w:val="00047466"/>
    <w:rsid w:val="00052D42"/>
    <w:rsid w:val="0005470C"/>
    <w:rsid w:val="00057772"/>
    <w:rsid w:val="000615D0"/>
    <w:rsid w:val="000629A8"/>
    <w:rsid w:val="00063F17"/>
    <w:rsid w:val="00066905"/>
    <w:rsid w:val="00071C4E"/>
    <w:rsid w:val="00071CFA"/>
    <w:rsid w:val="00074292"/>
    <w:rsid w:val="000759D3"/>
    <w:rsid w:val="00076D60"/>
    <w:rsid w:val="000807ED"/>
    <w:rsid w:val="000836B0"/>
    <w:rsid w:val="000877C4"/>
    <w:rsid w:val="000877CA"/>
    <w:rsid w:val="000905D9"/>
    <w:rsid w:val="00091144"/>
    <w:rsid w:val="00091337"/>
    <w:rsid w:val="0009550C"/>
    <w:rsid w:val="00095DFF"/>
    <w:rsid w:val="000A180C"/>
    <w:rsid w:val="000A1D15"/>
    <w:rsid w:val="000A2250"/>
    <w:rsid w:val="000A39B4"/>
    <w:rsid w:val="000A6A6F"/>
    <w:rsid w:val="000A7EF3"/>
    <w:rsid w:val="000B003B"/>
    <w:rsid w:val="000B0840"/>
    <w:rsid w:val="000B3EB6"/>
    <w:rsid w:val="000B4E89"/>
    <w:rsid w:val="000B680A"/>
    <w:rsid w:val="000C17D3"/>
    <w:rsid w:val="000C355D"/>
    <w:rsid w:val="000C3900"/>
    <w:rsid w:val="000C3BD0"/>
    <w:rsid w:val="000C3C56"/>
    <w:rsid w:val="000C7FA3"/>
    <w:rsid w:val="000D04AE"/>
    <w:rsid w:val="000E0E89"/>
    <w:rsid w:val="000E1059"/>
    <w:rsid w:val="000E2E07"/>
    <w:rsid w:val="000E3F41"/>
    <w:rsid w:val="000E4AC5"/>
    <w:rsid w:val="000E622D"/>
    <w:rsid w:val="000E706F"/>
    <w:rsid w:val="000F0CC9"/>
    <w:rsid w:val="000F267A"/>
    <w:rsid w:val="000F4469"/>
    <w:rsid w:val="000F553C"/>
    <w:rsid w:val="00100355"/>
    <w:rsid w:val="001041BF"/>
    <w:rsid w:val="00107329"/>
    <w:rsid w:val="00107BE2"/>
    <w:rsid w:val="00112C23"/>
    <w:rsid w:val="00113D2B"/>
    <w:rsid w:val="00113E1C"/>
    <w:rsid w:val="00114092"/>
    <w:rsid w:val="001145BA"/>
    <w:rsid w:val="0012094A"/>
    <w:rsid w:val="00121ACA"/>
    <w:rsid w:val="001227D1"/>
    <w:rsid w:val="001242DC"/>
    <w:rsid w:val="00124FE1"/>
    <w:rsid w:val="001256DF"/>
    <w:rsid w:val="00125F99"/>
    <w:rsid w:val="0012612D"/>
    <w:rsid w:val="001271BE"/>
    <w:rsid w:val="00127FB9"/>
    <w:rsid w:val="00132F12"/>
    <w:rsid w:val="00136F27"/>
    <w:rsid w:val="00137085"/>
    <w:rsid w:val="001432FB"/>
    <w:rsid w:val="0014714A"/>
    <w:rsid w:val="001536D4"/>
    <w:rsid w:val="0015553A"/>
    <w:rsid w:val="0015763F"/>
    <w:rsid w:val="001622B9"/>
    <w:rsid w:val="00171CF4"/>
    <w:rsid w:val="0017281D"/>
    <w:rsid w:val="00174763"/>
    <w:rsid w:val="00175528"/>
    <w:rsid w:val="001769B0"/>
    <w:rsid w:val="00176DF8"/>
    <w:rsid w:val="00180BD7"/>
    <w:rsid w:val="00181188"/>
    <w:rsid w:val="00181FD2"/>
    <w:rsid w:val="00186355"/>
    <w:rsid w:val="001876F4"/>
    <w:rsid w:val="00187FB5"/>
    <w:rsid w:val="00197AE7"/>
    <w:rsid w:val="001A161F"/>
    <w:rsid w:val="001A1700"/>
    <w:rsid w:val="001A2E13"/>
    <w:rsid w:val="001B3A8F"/>
    <w:rsid w:val="001B4233"/>
    <w:rsid w:val="001B4D13"/>
    <w:rsid w:val="001B6E3F"/>
    <w:rsid w:val="001B79F7"/>
    <w:rsid w:val="001C2B14"/>
    <w:rsid w:val="001C3FFC"/>
    <w:rsid w:val="001D27B1"/>
    <w:rsid w:val="001D5821"/>
    <w:rsid w:val="001E24E0"/>
    <w:rsid w:val="001E2D56"/>
    <w:rsid w:val="001E447B"/>
    <w:rsid w:val="001E4AEB"/>
    <w:rsid w:val="001E4D15"/>
    <w:rsid w:val="001E66D0"/>
    <w:rsid w:val="001F04FB"/>
    <w:rsid w:val="001F0DF0"/>
    <w:rsid w:val="001F2324"/>
    <w:rsid w:val="001F553F"/>
    <w:rsid w:val="001F7168"/>
    <w:rsid w:val="00200232"/>
    <w:rsid w:val="00201154"/>
    <w:rsid w:val="0020141E"/>
    <w:rsid w:val="00204985"/>
    <w:rsid w:val="00206301"/>
    <w:rsid w:val="002117AD"/>
    <w:rsid w:val="00211CC1"/>
    <w:rsid w:val="00212F9E"/>
    <w:rsid w:val="00213B1A"/>
    <w:rsid w:val="00214EA8"/>
    <w:rsid w:val="00215237"/>
    <w:rsid w:val="0021642B"/>
    <w:rsid w:val="002167CA"/>
    <w:rsid w:val="00217BA9"/>
    <w:rsid w:val="002204A6"/>
    <w:rsid w:val="002208A1"/>
    <w:rsid w:val="002222EA"/>
    <w:rsid w:val="002223B4"/>
    <w:rsid w:val="00223175"/>
    <w:rsid w:val="002251F6"/>
    <w:rsid w:val="0022749B"/>
    <w:rsid w:val="002335F0"/>
    <w:rsid w:val="00234992"/>
    <w:rsid w:val="00235649"/>
    <w:rsid w:val="00236BD8"/>
    <w:rsid w:val="00240CA1"/>
    <w:rsid w:val="002421E8"/>
    <w:rsid w:val="002425BE"/>
    <w:rsid w:val="00246D3B"/>
    <w:rsid w:val="00247D76"/>
    <w:rsid w:val="00251815"/>
    <w:rsid w:val="0025247D"/>
    <w:rsid w:val="00254611"/>
    <w:rsid w:val="00255B62"/>
    <w:rsid w:val="00260160"/>
    <w:rsid w:val="00261754"/>
    <w:rsid w:val="00261D7B"/>
    <w:rsid w:val="00264BA7"/>
    <w:rsid w:val="002669AC"/>
    <w:rsid w:val="00267999"/>
    <w:rsid w:val="00271D4C"/>
    <w:rsid w:val="0027615B"/>
    <w:rsid w:val="0027690B"/>
    <w:rsid w:val="00280950"/>
    <w:rsid w:val="00281B8E"/>
    <w:rsid w:val="00285CA7"/>
    <w:rsid w:val="00286C38"/>
    <w:rsid w:val="002912DD"/>
    <w:rsid w:val="002918E9"/>
    <w:rsid w:val="002922D6"/>
    <w:rsid w:val="00294EBE"/>
    <w:rsid w:val="00295878"/>
    <w:rsid w:val="002A1496"/>
    <w:rsid w:val="002A1D9C"/>
    <w:rsid w:val="002A3076"/>
    <w:rsid w:val="002A5A62"/>
    <w:rsid w:val="002B0EAE"/>
    <w:rsid w:val="002B2D6C"/>
    <w:rsid w:val="002B5649"/>
    <w:rsid w:val="002B5B2A"/>
    <w:rsid w:val="002B6438"/>
    <w:rsid w:val="002B67E9"/>
    <w:rsid w:val="002B7EB1"/>
    <w:rsid w:val="002C0C05"/>
    <w:rsid w:val="002C3145"/>
    <w:rsid w:val="002C32A6"/>
    <w:rsid w:val="002C366B"/>
    <w:rsid w:val="002C5E09"/>
    <w:rsid w:val="002D168B"/>
    <w:rsid w:val="002D357A"/>
    <w:rsid w:val="002D424A"/>
    <w:rsid w:val="002D4748"/>
    <w:rsid w:val="002E07D9"/>
    <w:rsid w:val="002E085C"/>
    <w:rsid w:val="002E1F04"/>
    <w:rsid w:val="002E2E5F"/>
    <w:rsid w:val="002E34DA"/>
    <w:rsid w:val="002E4E68"/>
    <w:rsid w:val="002E5EF3"/>
    <w:rsid w:val="002E6AD3"/>
    <w:rsid w:val="002E6F56"/>
    <w:rsid w:val="002E7183"/>
    <w:rsid w:val="002E7A8A"/>
    <w:rsid w:val="002F09D4"/>
    <w:rsid w:val="002F0C2C"/>
    <w:rsid w:val="002F0E77"/>
    <w:rsid w:val="00300771"/>
    <w:rsid w:val="003031B6"/>
    <w:rsid w:val="00307060"/>
    <w:rsid w:val="00307F6D"/>
    <w:rsid w:val="003124D9"/>
    <w:rsid w:val="003148B4"/>
    <w:rsid w:val="003154CA"/>
    <w:rsid w:val="00316439"/>
    <w:rsid w:val="00320230"/>
    <w:rsid w:val="00321CA0"/>
    <w:rsid w:val="0032300E"/>
    <w:rsid w:val="00326D6A"/>
    <w:rsid w:val="00331E25"/>
    <w:rsid w:val="00332DE0"/>
    <w:rsid w:val="003403BF"/>
    <w:rsid w:val="00341F93"/>
    <w:rsid w:val="0034238B"/>
    <w:rsid w:val="00342BCE"/>
    <w:rsid w:val="003450A0"/>
    <w:rsid w:val="00345C66"/>
    <w:rsid w:val="00356AA4"/>
    <w:rsid w:val="003575A3"/>
    <w:rsid w:val="003621C1"/>
    <w:rsid w:val="00363FE3"/>
    <w:rsid w:val="00364A6A"/>
    <w:rsid w:val="00364B6B"/>
    <w:rsid w:val="00367376"/>
    <w:rsid w:val="003740C7"/>
    <w:rsid w:val="00376DF0"/>
    <w:rsid w:val="00380628"/>
    <w:rsid w:val="00383CC6"/>
    <w:rsid w:val="00383E07"/>
    <w:rsid w:val="00386AB5"/>
    <w:rsid w:val="00392496"/>
    <w:rsid w:val="0039391F"/>
    <w:rsid w:val="003944B7"/>
    <w:rsid w:val="00395DC4"/>
    <w:rsid w:val="003972DA"/>
    <w:rsid w:val="00397AD6"/>
    <w:rsid w:val="00397FE0"/>
    <w:rsid w:val="003A1007"/>
    <w:rsid w:val="003A1592"/>
    <w:rsid w:val="003A7BAB"/>
    <w:rsid w:val="003B253E"/>
    <w:rsid w:val="003B3973"/>
    <w:rsid w:val="003B410E"/>
    <w:rsid w:val="003B5E3E"/>
    <w:rsid w:val="003C18CD"/>
    <w:rsid w:val="003C37BF"/>
    <w:rsid w:val="003C52CD"/>
    <w:rsid w:val="003C6D4A"/>
    <w:rsid w:val="003C7486"/>
    <w:rsid w:val="003D0669"/>
    <w:rsid w:val="003D2D6B"/>
    <w:rsid w:val="003D368E"/>
    <w:rsid w:val="003D7289"/>
    <w:rsid w:val="003D780B"/>
    <w:rsid w:val="003E0557"/>
    <w:rsid w:val="003E2559"/>
    <w:rsid w:val="003E2F8E"/>
    <w:rsid w:val="003E31B4"/>
    <w:rsid w:val="003E56B9"/>
    <w:rsid w:val="003F2DDD"/>
    <w:rsid w:val="003F4F79"/>
    <w:rsid w:val="003F539D"/>
    <w:rsid w:val="003F7430"/>
    <w:rsid w:val="003F7DE1"/>
    <w:rsid w:val="00400919"/>
    <w:rsid w:val="00400D51"/>
    <w:rsid w:val="00404109"/>
    <w:rsid w:val="0040469F"/>
    <w:rsid w:val="004064E6"/>
    <w:rsid w:val="00406B90"/>
    <w:rsid w:val="00407B71"/>
    <w:rsid w:val="00410925"/>
    <w:rsid w:val="00411939"/>
    <w:rsid w:val="004123EB"/>
    <w:rsid w:val="00412E0B"/>
    <w:rsid w:val="00413A45"/>
    <w:rsid w:val="00413CFD"/>
    <w:rsid w:val="004140FA"/>
    <w:rsid w:val="0041480A"/>
    <w:rsid w:val="00415051"/>
    <w:rsid w:val="004228B5"/>
    <w:rsid w:val="004273EC"/>
    <w:rsid w:val="00427873"/>
    <w:rsid w:val="00430CC7"/>
    <w:rsid w:val="004312A3"/>
    <w:rsid w:val="004314CE"/>
    <w:rsid w:val="0043228A"/>
    <w:rsid w:val="004328B0"/>
    <w:rsid w:val="00432FC0"/>
    <w:rsid w:val="00434179"/>
    <w:rsid w:val="00434264"/>
    <w:rsid w:val="004469FE"/>
    <w:rsid w:val="0044742D"/>
    <w:rsid w:val="00450F87"/>
    <w:rsid w:val="00452FB6"/>
    <w:rsid w:val="00454649"/>
    <w:rsid w:val="00454B0A"/>
    <w:rsid w:val="004569C4"/>
    <w:rsid w:val="00456C62"/>
    <w:rsid w:val="00457BCF"/>
    <w:rsid w:val="00460263"/>
    <w:rsid w:val="0046098C"/>
    <w:rsid w:val="00461E61"/>
    <w:rsid w:val="00463181"/>
    <w:rsid w:val="004654F4"/>
    <w:rsid w:val="004657C6"/>
    <w:rsid w:val="0046708D"/>
    <w:rsid w:val="00467FEF"/>
    <w:rsid w:val="00472223"/>
    <w:rsid w:val="004731F1"/>
    <w:rsid w:val="004766CD"/>
    <w:rsid w:val="00477A3A"/>
    <w:rsid w:val="00481A51"/>
    <w:rsid w:val="004827A8"/>
    <w:rsid w:val="00482FFC"/>
    <w:rsid w:val="00484987"/>
    <w:rsid w:val="00485749"/>
    <w:rsid w:val="00487AF7"/>
    <w:rsid w:val="004902B3"/>
    <w:rsid w:val="00490377"/>
    <w:rsid w:val="00490814"/>
    <w:rsid w:val="00490D3C"/>
    <w:rsid w:val="004915DF"/>
    <w:rsid w:val="00491F44"/>
    <w:rsid w:val="00496E18"/>
    <w:rsid w:val="00497260"/>
    <w:rsid w:val="00497E80"/>
    <w:rsid w:val="004A175E"/>
    <w:rsid w:val="004A6CB8"/>
    <w:rsid w:val="004B098D"/>
    <w:rsid w:val="004B3237"/>
    <w:rsid w:val="004B4A6D"/>
    <w:rsid w:val="004B5247"/>
    <w:rsid w:val="004B5B81"/>
    <w:rsid w:val="004B6449"/>
    <w:rsid w:val="004B6F9E"/>
    <w:rsid w:val="004C32AE"/>
    <w:rsid w:val="004C3B15"/>
    <w:rsid w:val="004D11BE"/>
    <w:rsid w:val="004D3E7F"/>
    <w:rsid w:val="004D48B2"/>
    <w:rsid w:val="004D5DE9"/>
    <w:rsid w:val="004E1C3E"/>
    <w:rsid w:val="004E304E"/>
    <w:rsid w:val="004E7B6A"/>
    <w:rsid w:val="004E7DB3"/>
    <w:rsid w:val="004F02B1"/>
    <w:rsid w:val="004F29D1"/>
    <w:rsid w:val="004F3CC1"/>
    <w:rsid w:val="004F4835"/>
    <w:rsid w:val="004F5E51"/>
    <w:rsid w:val="004F6800"/>
    <w:rsid w:val="005029D4"/>
    <w:rsid w:val="00502B32"/>
    <w:rsid w:val="0050312B"/>
    <w:rsid w:val="00505B6B"/>
    <w:rsid w:val="00506886"/>
    <w:rsid w:val="00512709"/>
    <w:rsid w:val="00513A62"/>
    <w:rsid w:val="00514A8C"/>
    <w:rsid w:val="00514ECF"/>
    <w:rsid w:val="00515F9E"/>
    <w:rsid w:val="005174CA"/>
    <w:rsid w:val="00517AE5"/>
    <w:rsid w:val="00520520"/>
    <w:rsid w:val="00520B99"/>
    <w:rsid w:val="005217C3"/>
    <w:rsid w:val="00522B3F"/>
    <w:rsid w:val="00524517"/>
    <w:rsid w:val="005253BA"/>
    <w:rsid w:val="00530205"/>
    <w:rsid w:val="0053175A"/>
    <w:rsid w:val="005327FA"/>
    <w:rsid w:val="00532ABA"/>
    <w:rsid w:val="0053709B"/>
    <w:rsid w:val="00537F3A"/>
    <w:rsid w:val="00541077"/>
    <w:rsid w:val="00544D46"/>
    <w:rsid w:val="00545BAB"/>
    <w:rsid w:val="005460EE"/>
    <w:rsid w:val="00547455"/>
    <w:rsid w:val="00547A96"/>
    <w:rsid w:val="0055139E"/>
    <w:rsid w:val="005519A6"/>
    <w:rsid w:val="0055305C"/>
    <w:rsid w:val="00554930"/>
    <w:rsid w:val="005553AA"/>
    <w:rsid w:val="0055572B"/>
    <w:rsid w:val="00555DFF"/>
    <w:rsid w:val="00556DE7"/>
    <w:rsid w:val="0056169F"/>
    <w:rsid w:val="00561A64"/>
    <w:rsid w:val="0056448D"/>
    <w:rsid w:val="00566A1F"/>
    <w:rsid w:val="005675C9"/>
    <w:rsid w:val="00571BEE"/>
    <w:rsid w:val="00575F58"/>
    <w:rsid w:val="0057650C"/>
    <w:rsid w:val="00581F08"/>
    <w:rsid w:val="0058356E"/>
    <w:rsid w:val="00584004"/>
    <w:rsid w:val="00591451"/>
    <w:rsid w:val="005921C3"/>
    <w:rsid w:val="005931E5"/>
    <w:rsid w:val="00593722"/>
    <w:rsid w:val="0059473D"/>
    <w:rsid w:val="005A0D99"/>
    <w:rsid w:val="005A11A1"/>
    <w:rsid w:val="005A40FD"/>
    <w:rsid w:val="005A41B0"/>
    <w:rsid w:val="005A7750"/>
    <w:rsid w:val="005B3136"/>
    <w:rsid w:val="005B758B"/>
    <w:rsid w:val="005B7818"/>
    <w:rsid w:val="005B7865"/>
    <w:rsid w:val="005C0C29"/>
    <w:rsid w:val="005C0FAA"/>
    <w:rsid w:val="005C29EA"/>
    <w:rsid w:val="005C2FD7"/>
    <w:rsid w:val="005C3F07"/>
    <w:rsid w:val="005C4A84"/>
    <w:rsid w:val="005C5175"/>
    <w:rsid w:val="005D0DDE"/>
    <w:rsid w:val="005D1468"/>
    <w:rsid w:val="005D157E"/>
    <w:rsid w:val="005D2326"/>
    <w:rsid w:val="005D31A5"/>
    <w:rsid w:val="005D60C4"/>
    <w:rsid w:val="005E01EA"/>
    <w:rsid w:val="005E0EB5"/>
    <w:rsid w:val="005E1509"/>
    <w:rsid w:val="005E1DED"/>
    <w:rsid w:val="005E2203"/>
    <w:rsid w:val="005E3300"/>
    <w:rsid w:val="005E3961"/>
    <w:rsid w:val="005E4D09"/>
    <w:rsid w:val="005E5CDB"/>
    <w:rsid w:val="005F2F2C"/>
    <w:rsid w:val="005F428C"/>
    <w:rsid w:val="005F4537"/>
    <w:rsid w:val="005F4C27"/>
    <w:rsid w:val="005F6758"/>
    <w:rsid w:val="005F7E45"/>
    <w:rsid w:val="00603410"/>
    <w:rsid w:val="00603974"/>
    <w:rsid w:val="006052B4"/>
    <w:rsid w:val="00607114"/>
    <w:rsid w:val="0061008E"/>
    <w:rsid w:val="0061057D"/>
    <w:rsid w:val="00611929"/>
    <w:rsid w:val="006122E4"/>
    <w:rsid w:val="00612FFA"/>
    <w:rsid w:val="00616A2B"/>
    <w:rsid w:val="00616B00"/>
    <w:rsid w:val="00617AB9"/>
    <w:rsid w:val="0062178E"/>
    <w:rsid w:val="00627C89"/>
    <w:rsid w:val="00630241"/>
    <w:rsid w:val="0063389D"/>
    <w:rsid w:val="00633DCE"/>
    <w:rsid w:val="00635084"/>
    <w:rsid w:val="00635FD6"/>
    <w:rsid w:val="00636AFE"/>
    <w:rsid w:val="00641AD5"/>
    <w:rsid w:val="0064597A"/>
    <w:rsid w:val="00646AA2"/>
    <w:rsid w:val="00647CDA"/>
    <w:rsid w:val="00650A66"/>
    <w:rsid w:val="00651450"/>
    <w:rsid w:val="00652A69"/>
    <w:rsid w:val="00653536"/>
    <w:rsid w:val="006569CC"/>
    <w:rsid w:val="00660D8B"/>
    <w:rsid w:val="00660F43"/>
    <w:rsid w:val="00663921"/>
    <w:rsid w:val="00665D7F"/>
    <w:rsid w:val="0067225B"/>
    <w:rsid w:val="00672F28"/>
    <w:rsid w:val="00676019"/>
    <w:rsid w:val="006819D1"/>
    <w:rsid w:val="00681EF3"/>
    <w:rsid w:val="0068331A"/>
    <w:rsid w:val="00683E94"/>
    <w:rsid w:val="00684302"/>
    <w:rsid w:val="00685F06"/>
    <w:rsid w:val="0068692D"/>
    <w:rsid w:val="00686EEB"/>
    <w:rsid w:val="0068766E"/>
    <w:rsid w:val="006965AC"/>
    <w:rsid w:val="0069675F"/>
    <w:rsid w:val="00696F53"/>
    <w:rsid w:val="006A0186"/>
    <w:rsid w:val="006A0D0F"/>
    <w:rsid w:val="006A0D24"/>
    <w:rsid w:val="006A4E1F"/>
    <w:rsid w:val="006A62AF"/>
    <w:rsid w:val="006A6C46"/>
    <w:rsid w:val="006B14B1"/>
    <w:rsid w:val="006B2FE5"/>
    <w:rsid w:val="006B31CE"/>
    <w:rsid w:val="006B3F1D"/>
    <w:rsid w:val="006B67DF"/>
    <w:rsid w:val="006B6D84"/>
    <w:rsid w:val="006B7DEE"/>
    <w:rsid w:val="006C032B"/>
    <w:rsid w:val="006C0407"/>
    <w:rsid w:val="006C19F7"/>
    <w:rsid w:val="006C316B"/>
    <w:rsid w:val="006C33EA"/>
    <w:rsid w:val="006C7084"/>
    <w:rsid w:val="006D0FD9"/>
    <w:rsid w:val="006D1AC9"/>
    <w:rsid w:val="006D1FE1"/>
    <w:rsid w:val="006D301B"/>
    <w:rsid w:val="006D3ADB"/>
    <w:rsid w:val="006D58AF"/>
    <w:rsid w:val="006D7C47"/>
    <w:rsid w:val="006E1E4C"/>
    <w:rsid w:val="006E34FC"/>
    <w:rsid w:val="006E3E3F"/>
    <w:rsid w:val="006E5B9A"/>
    <w:rsid w:val="006F0710"/>
    <w:rsid w:val="006F1786"/>
    <w:rsid w:val="006F1804"/>
    <w:rsid w:val="006F3E26"/>
    <w:rsid w:val="006F3E80"/>
    <w:rsid w:val="006F4D7F"/>
    <w:rsid w:val="006F5E90"/>
    <w:rsid w:val="006F76E6"/>
    <w:rsid w:val="007001C0"/>
    <w:rsid w:val="00700AF8"/>
    <w:rsid w:val="00700DAF"/>
    <w:rsid w:val="0070306D"/>
    <w:rsid w:val="0070335E"/>
    <w:rsid w:val="007036B2"/>
    <w:rsid w:val="00704AC5"/>
    <w:rsid w:val="00704ED6"/>
    <w:rsid w:val="007133D9"/>
    <w:rsid w:val="0071704B"/>
    <w:rsid w:val="007177E0"/>
    <w:rsid w:val="00720498"/>
    <w:rsid w:val="007226A4"/>
    <w:rsid w:val="00726049"/>
    <w:rsid w:val="007272DC"/>
    <w:rsid w:val="00727E21"/>
    <w:rsid w:val="007302B8"/>
    <w:rsid w:val="00731FD0"/>
    <w:rsid w:val="00732748"/>
    <w:rsid w:val="00732E95"/>
    <w:rsid w:val="00733429"/>
    <w:rsid w:val="00734225"/>
    <w:rsid w:val="0073526B"/>
    <w:rsid w:val="0073569C"/>
    <w:rsid w:val="00737328"/>
    <w:rsid w:val="00737AFD"/>
    <w:rsid w:val="00740CE4"/>
    <w:rsid w:val="00741A0D"/>
    <w:rsid w:val="00741C76"/>
    <w:rsid w:val="00750B29"/>
    <w:rsid w:val="007521BA"/>
    <w:rsid w:val="00752932"/>
    <w:rsid w:val="00753404"/>
    <w:rsid w:val="00753537"/>
    <w:rsid w:val="00754F5B"/>
    <w:rsid w:val="0075649E"/>
    <w:rsid w:val="00756654"/>
    <w:rsid w:val="00760A41"/>
    <w:rsid w:val="00763ED6"/>
    <w:rsid w:val="00765658"/>
    <w:rsid w:val="0076590A"/>
    <w:rsid w:val="007662E7"/>
    <w:rsid w:val="00767D76"/>
    <w:rsid w:val="007704A2"/>
    <w:rsid w:val="007711B0"/>
    <w:rsid w:val="0077372C"/>
    <w:rsid w:val="00774D57"/>
    <w:rsid w:val="00775D1A"/>
    <w:rsid w:val="007801D8"/>
    <w:rsid w:val="00782493"/>
    <w:rsid w:val="007829F1"/>
    <w:rsid w:val="00784736"/>
    <w:rsid w:val="00784D10"/>
    <w:rsid w:val="00786889"/>
    <w:rsid w:val="00786FD7"/>
    <w:rsid w:val="00790BC6"/>
    <w:rsid w:val="00791791"/>
    <w:rsid w:val="00792DD5"/>
    <w:rsid w:val="00793D75"/>
    <w:rsid w:val="0079547B"/>
    <w:rsid w:val="00795778"/>
    <w:rsid w:val="0079581F"/>
    <w:rsid w:val="0079761E"/>
    <w:rsid w:val="007A0149"/>
    <w:rsid w:val="007A0B9B"/>
    <w:rsid w:val="007A151E"/>
    <w:rsid w:val="007A3B7B"/>
    <w:rsid w:val="007A3ED5"/>
    <w:rsid w:val="007A40FE"/>
    <w:rsid w:val="007A4431"/>
    <w:rsid w:val="007A6653"/>
    <w:rsid w:val="007A69A8"/>
    <w:rsid w:val="007B101C"/>
    <w:rsid w:val="007B403C"/>
    <w:rsid w:val="007B69B0"/>
    <w:rsid w:val="007C0992"/>
    <w:rsid w:val="007C15EE"/>
    <w:rsid w:val="007C17F8"/>
    <w:rsid w:val="007C1A27"/>
    <w:rsid w:val="007C33E0"/>
    <w:rsid w:val="007C3D49"/>
    <w:rsid w:val="007C619E"/>
    <w:rsid w:val="007C74E6"/>
    <w:rsid w:val="007C78BE"/>
    <w:rsid w:val="007C7DE2"/>
    <w:rsid w:val="007D0DFD"/>
    <w:rsid w:val="007D153C"/>
    <w:rsid w:val="007D31A9"/>
    <w:rsid w:val="007D3D23"/>
    <w:rsid w:val="007D73F8"/>
    <w:rsid w:val="007E0644"/>
    <w:rsid w:val="007E0B4B"/>
    <w:rsid w:val="007E14EF"/>
    <w:rsid w:val="007F1FB7"/>
    <w:rsid w:val="007F311C"/>
    <w:rsid w:val="007F40B2"/>
    <w:rsid w:val="007F61A9"/>
    <w:rsid w:val="007F627A"/>
    <w:rsid w:val="007F6F68"/>
    <w:rsid w:val="007F72DA"/>
    <w:rsid w:val="00801398"/>
    <w:rsid w:val="00802162"/>
    <w:rsid w:val="008043F7"/>
    <w:rsid w:val="00807BD7"/>
    <w:rsid w:val="00810A6E"/>
    <w:rsid w:val="00811BCD"/>
    <w:rsid w:val="00813060"/>
    <w:rsid w:val="0081322B"/>
    <w:rsid w:val="008155DD"/>
    <w:rsid w:val="00815962"/>
    <w:rsid w:val="00815E52"/>
    <w:rsid w:val="00816236"/>
    <w:rsid w:val="00816E0E"/>
    <w:rsid w:val="00817979"/>
    <w:rsid w:val="00820AC2"/>
    <w:rsid w:val="00822C1B"/>
    <w:rsid w:val="00823F4D"/>
    <w:rsid w:val="00824751"/>
    <w:rsid w:val="008260C4"/>
    <w:rsid w:val="00826D68"/>
    <w:rsid w:val="008271F9"/>
    <w:rsid w:val="00827FA4"/>
    <w:rsid w:val="00830616"/>
    <w:rsid w:val="00832CD4"/>
    <w:rsid w:val="008357B9"/>
    <w:rsid w:val="00836951"/>
    <w:rsid w:val="00837121"/>
    <w:rsid w:val="00843A55"/>
    <w:rsid w:val="0085127D"/>
    <w:rsid w:val="008522F8"/>
    <w:rsid w:val="00852818"/>
    <w:rsid w:val="00852C2E"/>
    <w:rsid w:val="008530D2"/>
    <w:rsid w:val="008530D8"/>
    <w:rsid w:val="00853644"/>
    <w:rsid w:val="00855134"/>
    <w:rsid w:val="008556DC"/>
    <w:rsid w:val="00855854"/>
    <w:rsid w:val="0085769A"/>
    <w:rsid w:val="00857F7C"/>
    <w:rsid w:val="0086178C"/>
    <w:rsid w:val="008629CA"/>
    <w:rsid w:val="0086319F"/>
    <w:rsid w:val="00870309"/>
    <w:rsid w:val="008710D1"/>
    <w:rsid w:val="0087324D"/>
    <w:rsid w:val="008745A0"/>
    <w:rsid w:val="00875A0E"/>
    <w:rsid w:val="00875ADE"/>
    <w:rsid w:val="008811B8"/>
    <w:rsid w:val="008832D8"/>
    <w:rsid w:val="00883EAB"/>
    <w:rsid w:val="008849B1"/>
    <w:rsid w:val="00887C03"/>
    <w:rsid w:val="008939D5"/>
    <w:rsid w:val="00894703"/>
    <w:rsid w:val="00896294"/>
    <w:rsid w:val="008A4579"/>
    <w:rsid w:val="008A4598"/>
    <w:rsid w:val="008A46DD"/>
    <w:rsid w:val="008B03B3"/>
    <w:rsid w:val="008B0D02"/>
    <w:rsid w:val="008B15BF"/>
    <w:rsid w:val="008B31BC"/>
    <w:rsid w:val="008C0734"/>
    <w:rsid w:val="008C0FD0"/>
    <w:rsid w:val="008C1C54"/>
    <w:rsid w:val="008C3260"/>
    <w:rsid w:val="008C4523"/>
    <w:rsid w:val="008C5370"/>
    <w:rsid w:val="008C5CD1"/>
    <w:rsid w:val="008C64E1"/>
    <w:rsid w:val="008C6623"/>
    <w:rsid w:val="008C79BB"/>
    <w:rsid w:val="008D0229"/>
    <w:rsid w:val="008D068D"/>
    <w:rsid w:val="008D2725"/>
    <w:rsid w:val="008D2D56"/>
    <w:rsid w:val="008D6364"/>
    <w:rsid w:val="008E0162"/>
    <w:rsid w:val="008E5237"/>
    <w:rsid w:val="008E5615"/>
    <w:rsid w:val="008F0656"/>
    <w:rsid w:val="008F10DE"/>
    <w:rsid w:val="008F1179"/>
    <w:rsid w:val="008F16EA"/>
    <w:rsid w:val="008F2E99"/>
    <w:rsid w:val="008F3C08"/>
    <w:rsid w:val="008F551E"/>
    <w:rsid w:val="00900BF0"/>
    <w:rsid w:val="00900E39"/>
    <w:rsid w:val="009037C0"/>
    <w:rsid w:val="00904B1C"/>
    <w:rsid w:val="0090579B"/>
    <w:rsid w:val="00905BDD"/>
    <w:rsid w:val="00907618"/>
    <w:rsid w:val="00910D23"/>
    <w:rsid w:val="0091259E"/>
    <w:rsid w:val="009129DD"/>
    <w:rsid w:val="00913258"/>
    <w:rsid w:val="00914232"/>
    <w:rsid w:val="009158F7"/>
    <w:rsid w:val="00916AFB"/>
    <w:rsid w:val="00916D53"/>
    <w:rsid w:val="00921F7A"/>
    <w:rsid w:val="00930B33"/>
    <w:rsid w:val="00932BE8"/>
    <w:rsid w:val="00932D89"/>
    <w:rsid w:val="00935CA6"/>
    <w:rsid w:val="00936C2E"/>
    <w:rsid w:val="00941ACA"/>
    <w:rsid w:val="00943743"/>
    <w:rsid w:val="00943F9A"/>
    <w:rsid w:val="00946EB0"/>
    <w:rsid w:val="00947CCD"/>
    <w:rsid w:val="00950480"/>
    <w:rsid w:val="009513B3"/>
    <w:rsid w:val="00951729"/>
    <w:rsid w:val="009517AE"/>
    <w:rsid w:val="009543BD"/>
    <w:rsid w:val="009617CF"/>
    <w:rsid w:val="00961BBC"/>
    <w:rsid w:val="00962571"/>
    <w:rsid w:val="00964903"/>
    <w:rsid w:val="00966D5B"/>
    <w:rsid w:val="009712EA"/>
    <w:rsid w:val="00983330"/>
    <w:rsid w:val="00984457"/>
    <w:rsid w:val="00984C44"/>
    <w:rsid w:val="0098602D"/>
    <w:rsid w:val="00986CAB"/>
    <w:rsid w:val="0099327D"/>
    <w:rsid w:val="00993CA2"/>
    <w:rsid w:val="0099440A"/>
    <w:rsid w:val="00995293"/>
    <w:rsid w:val="009A084A"/>
    <w:rsid w:val="009A31C3"/>
    <w:rsid w:val="009A33AC"/>
    <w:rsid w:val="009A360F"/>
    <w:rsid w:val="009A5B28"/>
    <w:rsid w:val="009A6231"/>
    <w:rsid w:val="009B0E21"/>
    <w:rsid w:val="009B12BB"/>
    <w:rsid w:val="009B721A"/>
    <w:rsid w:val="009B7F2C"/>
    <w:rsid w:val="009C010B"/>
    <w:rsid w:val="009C2E52"/>
    <w:rsid w:val="009C422B"/>
    <w:rsid w:val="009C7674"/>
    <w:rsid w:val="009C7E4D"/>
    <w:rsid w:val="009D170A"/>
    <w:rsid w:val="009D18B0"/>
    <w:rsid w:val="009D3583"/>
    <w:rsid w:val="009D386D"/>
    <w:rsid w:val="009D3DF3"/>
    <w:rsid w:val="009E23A9"/>
    <w:rsid w:val="009E2D18"/>
    <w:rsid w:val="009E4844"/>
    <w:rsid w:val="009E5E86"/>
    <w:rsid w:val="009E600E"/>
    <w:rsid w:val="009F6FA6"/>
    <w:rsid w:val="00A00DEE"/>
    <w:rsid w:val="00A024D4"/>
    <w:rsid w:val="00A07B9D"/>
    <w:rsid w:val="00A07E4C"/>
    <w:rsid w:val="00A11E62"/>
    <w:rsid w:val="00A13140"/>
    <w:rsid w:val="00A141C0"/>
    <w:rsid w:val="00A141CD"/>
    <w:rsid w:val="00A17646"/>
    <w:rsid w:val="00A21C42"/>
    <w:rsid w:val="00A22069"/>
    <w:rsid w:val="00A23202"/>
    <w:rsid w:val="00A24A6F"/>
    <w:rsid w:val="00A3008E"/>
    <w:rsid w:val="00A3137E"/>
    <w:rsid w:val="00A3261D"/>
    <w:rsid w:val="00A35145"/>
    <w:rsid w:val="00A35481"/>
    <w:rsid w:val="00A36702"/>
    <w:rsid w:val="00A4217A"/>
    <w:rsid w:val="00A46F86"/>
    <w:rsid w:val="00A51081"/>
    <w:rsid w:val="00A561A5"/>
    <w:rsid w:val="00A56288"/>
    <w:rsid w:val="00A5650A"/>
    <w:rsid w:val="00A60839"/>
    <w:rsid w:val="00A60BE7"/>
    <w:rsid w:val="00A62266"/>
    <w:rsid w:val="00A62349"/>
    <w:rsid w:val="00A657DC"/>
    <w:rsid w:val="00A6721E"/>
    <w:rsid w:val="00A72145"/>
    <w:rsid w:val="00A72B0E"/>
    <w:rsid w:val="00A73229"/>
    <w:rsid w:val="00A743CE"/>
    <w:rsid w:val="00A74907"/>
    <w:rsid w:val="00A82E1E"/>
    <w:rsid w:val="00A873F1"/>
    <w:rsid w:val="00A87B27"/>
    <w:rsid w:val="00A9598B"/>
    <w:rsid w:val="00A9645D"/>
    <w:rsid w:val="00A9766C"/>
    <w:rsid w:val="00A97CF6"/>
    <w:rsid w:val="00AA0050"/>
    <w:rsid w:val="00AA07F6"/>
    <w:rsid w:val="00AA1B36"/>
    <w:rsid w:val="00AA2098"/>
    <w:rsid w:val="00AA2541"/>
    <w:rsid w:val="00AA2E38"/>
    <w:rsid w:val="00AA6684"/>
    <w:rsid w:val="00AB01F0"/>
    <w:rsid w:val="00AB1D89"/>
    <w:rsid w:val="00AB36E8"/>
    <w:rsid w:val="00AB3D17"/>
    <w:rsid w:val="00AB65ED"/>
    <w:rsid w:val="00AB7040"/>
    <w:rsid w:val="00AC4C29"/>
    <w:rsid w:val="00AC544C"/>
    <w:rsid w:val="00AD16E8"/>
    <w:rsid w:val="00AD32C0"/>
    <w:rsid w:val="00AD53FD"/>
    <w:rsid w:val="00AD6038"/>
    <w:rsid w:val="00AD6FF7"/>
    <w:rsid w:val="00AE2BEC"/>
    <w:rsid w:val="00AE2E5D"/>
    <w:rsid w:val="00AE383E"/>
    <w:rsid w:val="00AE5582"/>
    <w:rsid w:val="00AE71C9"/>
    <w:rsid w:val="00AF2F16"/>
    <w:rsid w:val="00AF4D90"/>
    <w:rsid w:val="00AF667C"/>
    <w:rsid w:val="00B03771"/>
    <w:rsid w:val="00B076B5"/>
    <w:rsid w:val="00B10EC2"/>
    <w:rsid w:val="00B12CFC"/>
    <w:rsid w:val="00B14281"/>
    <w:rsid w:val="00B156EB"/>
    <w:rsid w:val="00B1572A"/>
    <w:rsid w:val="00B1604F"/>
    <w:rsid w:val="00B2021E"/>
    <w:rsid w:val="00B214F4"/>
    <w:rsid w:val="00B22458"/>
    <w:rsid w:val="00B22D58"/>
    <w:rsid w:val="00B23699"/>
    <w:rsid w:val="00B2539B"/>
    <w:rsid w:val="00B253F5"/>
    <w:rsid w:val="00B257A3"/>
    <w:rsid w:val="00B264A1"/>
    <w:rsid w:val="00B30573"/>
    <w:rsid w:val="00B3078E"/>
    <w:rsid w:val="00B33115"/>
    <w:rsid w:val="00B33C10"/>
    <w:rsid w:val="00B349CC"/>
    <w:rsid w:val="00B35527"/>
    <w:rsid w:val="00B35560"/>
    <w:rsid w:val="00B36DD4"/>
    <w:rsid w:val="00B40828"/>
    <w:rsid w:val="00B42505"/>
    <w:rsid w:val="00B4254E"/>
    <w:rsid w:val="00B42DD7"/>
    <w:rsid w:val="00B44DF4"/>
    <w:rsid w:val="00B472BC"/>
    <w:rsid w:val="00B479B2"/>
    <w:rsid w:val="00B47EDC"/>
    <w:rsid w:val="00B50075"/>
    <w:rsid w:val="00B50361"/>
    <w:rsid w:val="00B50E21"/>
    <w:rsid w:val="00B5270D"/>
    <w:rsid w:val="00B52A6B"/>
    <w:rsid w:val="00B52CF2"/>
    <w:rsid w:val="00B54765"/>
    <w:rsid w:val="00B6056A"/>
    <w:rsid w:val="00B6117D"/>
    <w:rsid w:val="00B633D5"/>
    <w:rsid w:val="00B644FE"/>
    <w:rsid w:val="00B64E5C"/>
    <w:rsid w:val="00B6545C"/>
    <w:rsid w:val="00B65ECE"/>
    <w:rsid w:val="00B66DC8"/>
    <w:rsid w:val="00B67545"/>
    <w:rsid w:val="00B6763E"/>
    <w:rsid w:val="00B70EFE"/>
    <w:rsid w:val="00B71712"/>
    <w:rsid w:val="00B74D15"/>
    <w:rsid w:val="00B774BB"/>
    <w:rsid w:val="00B77C26"/>
    <w:rsid w:val="00B815D6"/>
    <w:rsid w:val="00B82878"/>
    <w:rsid w:val="00B82B9F"/>
    <w:rsid w:val="00B83E2B"/>
    <w:rsid w:val="00B85D58"/>
    <w:rsid w:val="00B86530"/>
    <w:rsid w:val="00B9195D"/>
    <w:rsid w:val="00B9255F"/>
    <w:rsid w:val="00B93BAF"/>
    <w:rsid w:val="00B961E7"/>
    <w:rsid w:val="00B966F4"/>
    <w:rsid w:val="00B975C8"/>
    <w:rsid w:val="00BA3291"/>
    <w:rsid w:val="00BA363E"/>
    <w:rsid w:val="00BA5222"/>
    <w:rsid w:val="00BA65B2"/>
    <w:rsid w:val="00BB112C"/>
    <w:rsid w:val="00BB24E6"/>
    <w:rsid w:val="00BB48EE"/>
    <w:rsid w:val="00BB5129"/>
    <w:rsid w:val="00BB5670"/>
    <w:rsid w:val="00BB6C54"/>
    <w:rsid w:val="00BC394D"/>
    <w:rsid w:val="00BC3DEA"/>
    <w:rsid w:val="00BC3F17"/>
    <w:rsid w:val="00BC475F"/>
    <w:rsid w:val="00BC4CC5"/>
    <w:rsid w:val="00BD1D32"/>
    <w:rsid w:val="00BD48DB"/>
    <w:rsid w:val="00BE009B"/>
    <w:rsid w:val="00BE038A"/>
    <w:rsid w:val="00BE10E2"/>
    <w:rsid w:val="00BE2C84"/>
    <w:rsid w:val="00BE3251"/>
    <w:rsid w:val="00BE3824"/>
    <w:rsid w:val="00BE3B79"/>
    <w:rsid w:val="00BE49DA"/>
    <w:rsid w:val="00BF0A1A"/>
    <w:rsid w:val="00BF77AE"/>
    <w:rsid w:val="00BF7815"/>
    <w:rsid w:val="00BF7C74"/>
    <w:rsid w:val="00C00B32"/>
    <w:rsid w:val="00C01FAB"/>
    <w:rsid w:val="00C03C72"/>
    <w:rsid w:val="00C10702"/>
    <w:rsid w:val="00C12168"/>
    <w:rsid w:val="00C1395B"/>
    <w:rsid w:val="00C14321"/>
    <w:rsid w:val="00C145FD"/>
    <w:rsid w:val="00C1710C"/>
    <w:rsid w:val="00C17829"/>
    <w:rsid w:val="00C2022F"/>
    <w:rsid w:val="00C203DB"/>
    <w:rsid w:val="00C20F6B"/>
    <w:rsid w:val="00C2188D"/>
    <w:rsid w:val="00C24CEA"/>
    <w:rsid w:val="00C309C5"/>
    <w:rsid w:val="00C30E1B"/>
    <w:rsid w:val="00C31360"/>
    <w:rsid w:val="00C3188E"/>
    <w:rsid w:val="00C31E05"/>
    <w:rsid w:val="00C322DF"/>
    <w:rsid w:val="00C3331A"/>
    <w:rsid w:val="00C350CE"/>
    <w:rsid w:val="00C36698"/>
    <w:rsid w:val="00C37AAB"/>
    <w:rsid w:val="00C37CA2"/>
    <w:rsid w:val="00C401FF"/>
    <w:rsid w:val="00C413B0"/>
    <w:rsid w:val="00C416AC"/>
    <w:rsid w:val="00C41EA5"/>
    <w:rsid w:val="00C443E0"/>
    <w:rsid w:val="00C45657"/>
    <w:rsid w:val="00C45C35"/>
    <w:rsid w:val="00C4741A"/>
    <w:rsid w:val="00C50CDA"/>
    <w:rsid w:val="00C515AA"/>
    <w:rsid w:val="00C519F5"/>
    <w:rsid w:val="00C557F0"/>
    <w:rsid w:val="00C576A8"/>
    <w:rsid w:val="00C63DBF"/>
    <w:rsid w:val="00C63F10"/>
    <w:rsid w:val="00C64B17"/>
    <w:rsid w:val="00C71248"/>
    <w:rsid w:val="00C71EA2"/>
    <w:rsid w:val="00C83233"/>
    <w:rsid w:val="00C844E0"/>
    <w:rsid w:val="00C85372"/>
    <w:rsid w:val="00C859DF"/>
    <w:rsid w:val="00C86619"/>
    <w:rsid w:val="00C879BA"/>
    <w:rsid w:val="00C87A02"/>
    <w:rsid w:val="00C9634D"/>
    <w:rsid w:val="00CA015E"/>
    <w:rsid w:val="00CA3922"/>
    <w:rsid w:val="00CA4866"/>
    <w:rsid w:val="00CA6D22"/>
    <w:rsid w:val="00CB0344"/>
    <w:rsid w:val="00CB2473"/>
    <w:rsid w:val="00CB46EF"/>
    <w:rsid w:val="00CB5A5D"/>
    <w:rsid w:val="00CB647C"/>
    <w:rsid w:val="00CC3358"/>
    <w:rsid w:val="00CC3AAB"/>
    <w:rsid w:val="00CD20B8"/>
    <w:rsid w:val="00CD3484"/>
    <w:rsid w:val="00CD3578"/>
    <w:rsid w:val="00CD5EE0"/>
    <w:rsid w:val="00CE069D"/>
    <w:rsid w:val="00CE139F"/>
    <w:rsid w:val="00CE49C6"/>
    <w:rsid w:val="00CE4B03"/>
    <w:rsid w:val="00CE52CD"/>
    <w:rsid w:val="00CF205E"/>
    <w:rsid w:val="00CF6692"/>
    <w:rsid w:val="00D00555"/>
    <w:rsid w:val="00D019F4"/>
    <w:rsid w:val="00D04023"/>
    <w:rsid w:val="00D04821"/>
    <w:rsid w:val="00D07084"/>
    <w:rsid w:val="00D12033"/>
    <w:rsid w:val="00D1392F"/>
    <w:rsid w:val="00D14994"/>
    <w:rsid w:val="00D16AA9"/>
    <w:rsid w:val="00D24B31"/>
    <w:rsid w:val="00D254D1"/>
    <w:rsid w:val="00D25E49"/>
    <w:rsid w:val="00D334E2"/>
    <w:rsid w:val="00D33910"/>
    <w:rsid w:val="00D33C6F"/>
    <w:rsid w:val="00D379B3"/>
    <w:rsid w:val="00D40B6B"/>
    <w:rsid w:val="00D4155D"/>
    <w:rsid w:val="00D425B3"/>
    <w:rsid w:val="00D42D27"/>
    <w:rsid w:val="00D43644"/>
    <w:rsid w:val="00D5168B"/>
    <w:rsid w:val="00D5377F"/>
    <w:rsid w:val="00D5796E"/>
    <w:rsid w:val="00D60CBE"/>
    <w:rsid w:val="00D619F0"/>
    <w:rsid w:val="00D6223E"/>
    <w:rsid w:val="00D6369C"/>
    <w:rsid w:val="00D63C79"/>
    <w:rsid w:val="00D74B9E"/>
    <w:rsid w:val="00D7658F"/>
    <w:rsid w:val="00D77548"/>
    <w:rsid w:val="00D80CCB"/>
    <w:rsid w:val="00D87922"/>
    <w:rsid w:val="00D90D7C"/>
    <w:rsid w:val="00D91EEB"/>
    <w:rsid w:val="00D91F2E"/>
    <w:rsid w:val="00D93E0C"/>
    <w:rsid w:val="00D94413"/>
    <w:rsid w:val="00D96B55"/>
    <w:rsid w:val="00DA23CF"/>
    <w:rsid w:val="00DA40B9"/>
    <w:rsid w:val="00DA5390"/>
    <w:rsid w:val="00DA57B3"/>
    <w:rsid w:val="00DA5AA3"/>
    <w:rsid w:val="00DA6E93"/>
    <w:rsid w:val="00DB114E"/>
    <w:rsid w:val="00DB2DBC"/>
    <w:rsid w:val="00DB30D4"/>
    <w:rsid w:val="00DB3BA1"/>
    <w:rsid w:val="00DB41F7"/>
    <w:rsid w:val="00DB435E"/>
    <w:rsid w:val="00DB490D"/>
    <w:rsid w:val="00DB5DF7"/>
    <w:rsid w:val="00DC0126"/>
    <w:rsid w:val="00DC0AD2"/>
    <w:rsid w:val="00DC1E35"/>
    <w:rsid w:val="00DC3A00"/>
    <w:rsid w:val="00DC6A4F"/>
    <w:rsid w:val="00DD0CD2"/>
    <w:rsid w:val="00DD3648"/>
    <w:rsid w:val="00DD4220"/>
    <w:rsid w:val="00DD4827"/>
    <w:rsid w:val="00DD4D93"/>
    <w:rsid w:val="00DD53E0"/>
    <w:rsid w:val="00DD7D89"/>
    <w:rsid w:val="00DE06E3"/>
    <w:rsid w:val="00DE070B"/>
    <w:rsid w:val="00DE2D84"/>
    <w:rsid w:val="00DE3F69"/>
    <w:rsid w:val="00DE50E2"/>
    <w:rsid w:val="00DE55BC"/>
    <w:rsid w:val="00DE593F"/>
    <w:rsid w:val="00DE675B"/>
    <w:rsid w:val="00DF053E"/>
    <w:rsid w:val="00DF098B"/>
    <w:rsid w:val="00DF09A7"/>
    <w:rsid w:val="00DF37FE"/>
    <w:rsid w:val="00DF45E6"/>
    <w:rsid w:val="00DF4B7F"/>
    <w:rsid w:val="00DF4FB9"/>
    <w:rsid w:val="00DF7078"/>
    <w:rsid w:val="00E00CAD"/>
    <w:rsid w:val="00E01695"/>
    <w:rsid w:val="00E072F6"/>
    <w:rsid w:val="00E07925"/>
    <w:rsid w:val="00E104BF"/>
    <w:rsid w:val="00E129C3"/>
    <w:rsid w:val="00E1361C"/>
    <w:rsid w:val="00E14346"/>
    <w:rsid w:val="00E15D09"/>
    <w:rsid w:val="00E2005B"/>
    <w:rsid w:val="00E21ED3"/>
    <w:rsid w:val="00E25785"/>
    <w:rsid w:val="00E260C3"/>
    <w:rsid w:val="00E26739"/>
    <w:rsid w:val="00E270C0"/>
    <w:rsid w:val="00E27364"/>
    <w:rsid w:val="00E331D5"/>
    <w:rsid w:val="00E336E8"/>
    <w:rsid w:val="00E34500"/>
    <w:rsid w:val="00E34B18"/>
    <w:rsid w:val="00E375D2"/>
    <w:rsid w:val="00E445FE"/>
    <w:rsid w:val="00E44609"/>
    <w:rsid w:val="00E51FEF"/>
    <w:rsid w:val="00E52D04"/>
    <w:rsid w:val="00E53BEF"/>
    <w:rsid w:val="00E5464B"/>
    <w:rsid w:val="00E638AE"/>
    <w:rsid w:val="00E65615"/>
    <w:rsid w:val="00E70311"/>
    <w:rsid w:val="00E72AC5"/>
    <w:rsid w:val="00E75678"/>
    <w:rsid w:val="00E75A62"/>
    <w:rsid w:val="00E75EB7"/>
    <w:rsid w:val="00E776AE"/>
    <w:rsid w:val="00E80D95"/>
    <w:rsid w:val="00E84714"/>
    <w:rsid w:val="00E855C1"/>
    <w:rsid w:val="00E90785"/>
    <w:rsid w:val="00E9101D"/>
    <w:rsid w:val="00E9172F"/>
    <w:rsid w:val="00E917C8"/>
    <w:rsid w:val="00E921CD"/>
    <w:rsid w:val="00E93EB5"/>
    <w:rsid w:val="00E95D05"/>
    <w:rsid w:val="00EA00B5"/>
    <w:rsid w:val="00EA7CDD"/>
    <w:rsid w:val="00EB038E"/>
    <w:rsid w:val="00EB0A92"/>
    <w:rsid w:val="00EB125C"/>
    <w:rsid w:val="00EB1313"/>
    <w:rsid w:val="00EB7E98"/>
    <w:rsid w:val="00EC1280"/>
    <w:rsid w:val="00EC2D8C"/>
    <w:rsid w:val="00ED000A"/>
    <w:rsid w:val="00ED1DFE"/>
    <w:rsid w:val="00ED210D"/>
    <w:rsid w:val="00ED2132"/>
    <w:rsid w:val="00ED3050"/>
    <w:rsid w:val="00ED34FE"/>
    <w:rsid w:val="00ED40AA"/>
    <w:rsid w:val="00EE0483"/>
    <w:rsid w:val="00EE0560"/>
    <w:rsid w:val="00EE0756"/>
    <w:rsid w:val="00EE1999"/>
    <w:rsid w:val="00EE61CA"/>
    <w:rsid w:val="00EE7538"/>
    <w:rsid w:val="00EE7AAC"/>
    <w:rsid w:val="00EF1E28"/>
    <w:rsid w:val="00EF4326"/>
    <w:rsid w:val="00EF5618"/>
    <w:rsid w:val="00EF561A"/>
    <w:rsid w:val="00EF7994"/>
    <w:rsid w:val="00F0132D"/>
    <w:rsid w:val="00F03236"/>
    <w:rsid w:val="00F035FD"/>
    <w:rsid w:val="00F055CC"/>
    <w:rsid w:val="00F06457"/>
    <w:rsid w:val="00F07547"/>
    <w:rsid w:val="00F079B9"/>
    <w:rsid w:val="00F111AA"/>
    <w:rsid w:val="00F12B42"/>
    <w:rsid w:val="00F2010D"/>
    <w:rsid w:val="00F2132F"/>
    <w:rsid w:val="00F32BC5"/>
    <w:rsid w:val="00F33781"/>
    <w:rsid w:val="00F33F09"/>
    <w:rsid w:val="00F34FC3"/>
    <w:rsid w:val="00F35674"/>
    <w:rsid w:val="00F375F0"/>
    <w:rsid w:val="00F37E8C"/>
    <w:rsid w:val="00F409CE"/>
    <w:rsid w:val="00F41448"/>
    <w:rsid w:val="00F44892"/>
    <w:rsid w:val="00F46713"/>
    <w:rsid w:val="00F468CB"/>
    <w:rsid w:val="00F47A89"/>
    <w:rsid w:val="00F51798"/>
    <w:rsid w:val="00F53E61"/>
    <w:rsid w:val="00F5538D"/>
    <w:rsid w:val="00F554D8"/>
    <w:rsid w:val="00F55FED"/>
    <w:rsid w:val="00F56668"/>
    <w:rsid w:val="00F606A0"/>
    <w:rsid w:val="00F60D81"/>
    <w:rsid w:val="00F63244"/>
    <w:rsid w:val="00F632D0"/>
    <w:rsid w:val="00F64545"/>
    <w:rsid w:val="00F65436"/>
    <w:rsid w:val="00F70CB0"/>
    <w:rsid w:val="00F70E0C"/>
    <w:rsid w:val="00F71991"/>
    <w:rsid w:val="00F72A05"/>
    <w:rsid w:val="00F7326D"/>
    <w:rsid w:val="00F73874"/>
    <w:rsid w:val="00F81D4B"/>
    <w:rsid w:val="00F82B66"/>
    <w:rsid w:val="00F83717"/>
    <w:rsid w:val="00F85482"/>
    <w:rsid w:val="00F904AC"/>
    <w:rsid w:val="00F93805"/>
    <w:rsid w:val="00F94A6E"/>
    <w:rsid w:val="00F97C31"/>
    <w:rsid w:val="00FA0973"/>
    <w:rsid w:val="00FA0B10"/>
    <w:rsid w:val="00FA3542"/>
    <w:rsid w:val="00FA4E23"/>
    <w:rsid w:val="00FB4118"/>
    <w:rsid w:val="00FB4ED6"/>
    <w:rsid w:val="00FB6703"/>
    <w:rsid w:val="00FC3F00"/>
    <w:rsid w:val="00FC50B9"/>
    <w:rsid w:val="00FC5663"/>
    <w:rsid w:val="00FC601B"/>
    <w:rsid w:val="00FD02B8"/>
    <w:rsid w:val="00FD03ED"/>
    <w:rsid w:val="00FD1BD8"/>
    <w:rsid w:val="00FD24AC"/>
    <w:rsid w:val="00FD3BAC"/>
    <w:rsid w:val="00FD4CEB"/>
    <w:rsid w:val="00FD52CD"/>
    <w:rsid w:val="00FD5CA2"/>
    <w:rsid w:val="00FD5D1D"/>
    <w:rsid w:val="00FD6259"/>
    <w:rsid w:val="00FD7A40"/>
    <w:rsid w:val="00FE1031"/>
    <w:rsid w:val="00FE1372"/>
    <w:rsid w:val="00FE355C"/>
    <w:rsid w:val="00FE42D4"/>
    <w:rsid w:val="00FE4FB5"/>
    <w:rsid w:val="00FE71FD"/>
    <w:rsid w:val="00FF009B"/>
    <w:rsid w:val="00FF34D2"/>
    <w:rsid w:val="00FF543D"/>
    <w:rsid w:val="00FF736F"/>
    <w:rsid w:val="00FF7C04"/>
    <w:rsid w:val="04140AAB"/>
    <w:rsid w:val="05015EA4"/>
    <w:rsid w:val="063C1C62"/>
    <w:rsid w:val="082F0F7A"/>
    <w:rsid w:val="08347403"/>
    <w:rsid w:val="085207C5"/>
    <w:rsid w:val="0AF10BED"/>
    <w:rsid w:val="0D1B1ACD"/>
    <w:rsid w:val="0D661822"/>
    <w:rsid w:val="0E701A62"/>
    <w:rsid w:val="104D59B4"/>
    <w:rsid w:val="10CC0075"/>
    <w:rsid w:val="122209E5"/>
    <w:rsid w:val="135D38B9"/>
    <w:rsid w:val="15837ABA"/>
    <w:rsid w:val="15AA1B06"/>
    <w:rsid w:val="16264708"/>
    <w:rsid w:val="16B925C5"/>
    <w:rsid w:val="181A33D4"/>
    <w:rsid w:val="1E2033E4"/>
    <w:rsid w:val="1E906572"/>
    <w:rsid w:val="20270437"/>
    <w:rsid w:val="232F0E6B"/>
    <w:rsid w:val="236E69A3"/>
    <w:rsid w:val="239720E7"/>
    <w:rsid w:val="26235823"/>
    <w:rsid w:val="269956F0"/>
    <w:rsid w:val="2737394A"/>
    <w:rsid w:val="281A6074"/>
    <w:rsid w:val="289F73DB"/>
    <w:rsid w:val="294361DC"/>
    <w:rsid w:val="29956164"/>
    <w:rsid w:val="2F1B701F"/>
    <w:rsid w:val="3036251E"/>
    <w:rsid w:val="3091546B"/>
    <w:rsid w:val="311346E6"/>
    <w:rsid w:val="34356A08"/>
    <w:rsid w:val="34D14A2F"/>
    <w:rsid w:val="356667F4"/>
    <w:rsid w:val="37720C1D"/>
    <w:rsid w:val="38431D54"/>
    <w:rsid w:val="38641B56"/>
    <w:rsid w:val="38870E31"/>
    <w:rsid w:val="388E7474"/>
    <w:rsid w:val="3A6F0BDF"/>
    <w:rsid w:val="3A8E6059"/>
    <w:rsid w:val="3B640280"/>
    <w:rsid w:val="3BF527DF"/>
    <w:rsid w:val="3EC64849"/>
    <w:rsid w:val="3EE651E8"/>
    <w:rsid w:val="3F012022"/>
    <w:rsid w:val="405841AC"/>
    <w:rsid w:val="407B458F"/>
    <w:rsid w:val="40EE65D6"/>
    <w:rsid w:val="42352AE4"/>
    <w:rsid w:val="43505326"/>
    <w:rsid w:val="470E02B0"/>
    <w:rsid w:val="483A701A"/>
    <w:rsid w:val="49C61A59"/>
    <w:rsid w:val="4A516B2B"/>
    <w:rsid w:val="4A8D3F22"/>
    <w:rsid w:val="4AA67AEA"/>
    <w:rsid w:val="4AEF07F2"/>
    <w:rsid w:val="4CF14425"/>
    <w:rsid w:val="4FF85285"/>
    <w:rsid w:val="516032F8"/>
    <w:rsid w:val="532D14B4"/>
    <w:rsid w:val="53A05D6E"/>
    <w:rsid w:val="53BD0749"/>
    <w:rsid w:val="54624CCE"/>
    <w:rsid w:val="54B34BAA"/>
    <w:rsid w:val="555B17D7"/>
    <w:rsid w:val="55A75D7D"/>
    <w:rsid w:val="58AD704A"/>
    <w:rsid w:val="59837DAB"/>
    <w:rsid w:val="5B1E7D8B"/>
    <w:rsid w:val="5BA616B3"/>
    <w:rsid w:val="5CA3536B"/>
    <w:rsid w:val="5DA8658E"/>
    <w:rsid w:val="630F4561"/>
    <w:rsid w:val="63AF46E4"/>
    <w:rsid w:val="64403725"/>
    <w:rsid w:val="659F407D"/>
    <w:rsid w:val="65CB4FB4"/>
    <w:rsid w:val="663012BB"/>
    <w:rsid w:val="66857D85"/>
    <w:rsid w:val="66B50673"/>
    <w:rsid w:val="66F07CD8"/>
    <w:rsid w:val="66FF40DE"/>
    <w:rsid w:val="672A7AB8"/>
    <w:rsid w:val="69060B18"/>
    <w:rsid w:val="6C394029"/>
    <w:rsid w:val="6CF901D8"/>
    <w:rsid w:val="6E34121C"/>
    <w:rsid w:val="6E353F44"/>
    <w:rsid w:val="6E880F18"/>
    <w:rsid w:val="701821FC"/>
    <w:rsid w:val="71AE35F1"/>
    <w:rsid w:val="784748E4"/>
    <w:rsid w:val="78504D9F"/>
    <w:rsid w:val="79761BC1"/>
    <w:rsid w:val="7BD55DED"/>
    <w:rsid w:val="7C26489A"/>
    <w:rsid w:val="7C3C100B"/>
    <w:rsid w:val="7E0A7D85"/>
    <w:rsid w:val="7E176AFE"/>
    <w:rsid w:val="7E867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numPr>
        <w:ilvl w:val="0"/>
        <w:numId w:val="1"/>
      </w:numPr>
      <w:jc w:val="center"/>
      <w:outlineLvl w:val="2"/>
    </w:pPr>
    <w:rPr>
      <w:sz w:val="30"/>
      <w:szCs w:val="30"/>
    </w:rPr>
  </w:style>
  <w:style w:type="paragraph" w:styleId="5">
    <w:name w:val="heading 4"/>
    <w:basedOn w:val="3"/>
    <w:next w:val="1"/>
    <w:link w:val="33"/>
    <w:unhideWhenUsed/>
    <w:qFormat/>
    <w:uiPriority w:val="9"/>
    <w:pPr>
      <w:numPr>
        <w:ilvl w:val="0"/>
        <w:numId w:val="2"/>
      </w:numPr>
      <w:spacing w:before="100" w:beforeAutospacing="1" w:after="100" w:afterAutospacing="1" w:line="360" w:lineRule="auto"/>
      <w:outlineLvl w:val="3"/>
    </w:pPr>
    <w:rPr>
      <w:sz w:val="24"/>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4"/>
    <w:unhideWhenUsed/>
    <w:qFormat/>
    <w:uiPriority w:val="99"/>
    <w:pPr>
      <w:jc w:val="left"/>
    </w:pPr>
  </w:style>
  <w:style w:type="paragraph" w:styleId="7">
    <w:name w:val="Body Text"/>
    <w:basedOn w:val="1"/>
    <w:link w:val="40"/>
    <w:unhideWhenUsed/>
    <w:qFormat/>
    <w:uiPriority w:val="99"/>
    <w:pPr>
      <w:spacing w:after="120"/>
    </w:pPr>
  </w:style>
  <w:style w:type="paragraph" w:styleId="8">
    <w:name w:val="toc 3"/>
    <w:basedOn w:val="1"/>
    <w:next w:val="1"/>
    <w:unhideWhenUsed/>
    <w:qFormat/>
    <w:uiPriority w:val="39"/>
    <w:pPr>
      <w:ind w:left="840" w:leftChars="400"/>
    </w:pPr>
  </w:style>
  <w:style w:type="paragraph" w:styleId="9">
    <w:name w:val="Body Text Indent 2"/>
    <w:basedOn w:val="1"/>
    <w:link w:val="31"/>
    <w:qFormat/>
    <w:uiPriority w:val="0"/>
    <w:pPr>
      <w:spacing w:line="540" w:lineRule="exact"/>
      <w:ind w:firstLine="540"/>
    </w:pPr>
    <w:rPr>
      <w:rFonts w:ascii="宋体" w:hAnsi="Times New Roman" w:eastAsia="宋体" w:cs="Times New Roman"/>
      <w:sz w:val="24"/>
      <w:szCs w:val="20"/>
    </w:rPr>
  </w:style>
  <w:style w:type="paragraph" w:styleId="10">
    <w:name w:val="Balloon Text"/>
    <w:basedOn w:val="1"/>
    <w:link w:val="24"/>
    <w:semiHidden/>
    <w:unhideWhenUsed/>
    <w:qFormat/>
    <w:uiPriority w:val="99"/>
    <w:rPr>
      <w:sz w:val="16"/>
      <w:szCs w:val="16"/>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annotation subject"/>
    <w:basedOn w:val="6"/>
    <w:next w:val="6"/>
    <w:link w:val="45"/>
    <w:semiHidden/>
    <w:unhideWhenUsed/>
    <w:qFormat/>
    <w:uiPriority w:val="99"/>
    <w:rPr>
      <w:b/>
      <w:bCs/>
    </w:rPr>
  </w:style>
  <w:style w:type="paragraph" w:styleId="16">
    <w:name w:val="Body Text First Indent"/>
    <w:basedOn w:val="7"/>
    <w:qFormat/>
    <w:uiPriority w:val="0"/>
    <w:pPr>
      <w:ind w:firstLine="420" w:firstLineChars="10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paragraph" w:customStyle="1" w:styleId="22">
    <w:name w:val="标3"/>
    <w:basedOn w:val="1"/>
    <w:next w:val="1"/>
    <w:qFormat/>
    <w:uiPriority w:val="0"/>
    <w:pPr>
      <w:widowControl/>
      <w:adjustRightInd w:val="0"/>
      <w:spacing w:line="312" w:lineRule="auto"/>
      <w:jc w:val="left"/>
      <w:outlineLvl w:val="2"/>
    </w:pPr>
    <w:rPr>
      <w:rFonts w:ascii="Calibri" w:hAnsi="Calibri" w:cs="Arial"/>
      <w:b/>
      <w:bCs/>
      <w:kern w:val="24"/>
      <w:sz w:val="28"/>
      <w:szCs w:val="24"/>
    </w:rPr>
  </w:style>
  <w:style w:type="character" w:customStyle="1" w:styleId="23">
    <w:name w:val="页眉 字符"/>
    <w:basedOn w:val="19"/>
    <w:link w:val="12"/>
    <w:qFormat/>
    <w:uiPriority w:val="99"/>
    <w:rPr>
      <w:rFonts w:ascii="Times New Roman" w:hAnsi="Times New Roman" w:eastAsia="宋体" w:cs="Times New Roman"/>
      <w:sz w:val="18"/>
      <w:szCs w:val="18"/>
    </w:rPr>
  </w:style>
  <w:style w:type="character" w:customStyle="1" w:styleId="24">
    <w:name w:val="批注框文本 字符"/>
    <w:basedOn w:val="19"/>
    <w:link w:val="10"/>
    <w:semiHidden/>
    <w:qFormat/>
    <w:uiPriority w:val="99"/>
    <w:rPr>
      <w:sz w:val="16"/>
      <w:szCs w:val="16"/>
    </w:rPr>
  </w:style>
  <w:style w:type="character" w:customStyle="1" w:styleId="25">
    <w:name w:val="页脚 字符"/>
    <w:basedOn w:val="19"/>
    <w:link w:val="11"/>
    <w:qFormat/>
    <w:uiPriority w:val="99"/>
    <w:rPr>
      <w:sz w:val="18"/>
      <w:szCs w:val="18"/>
    </w:rPr>
  </w:style>
  <w:style w:type="table" w:customStyle="1" w:styleId="26">
    <w:name w:val="网格型1"/>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标题 1 字符"/>
    <w:basedOn w:val="19"/>
    <w:link w:val="2"/>
    <w:qFormat/>
    <w:uiPriority w:val="9"/>
    <w:rPr>
      <w:b/>
      <w:bCs/>
      <w:kern w:val="44"/>
      <w:sz w:val="44"/>
      <w:szCs w:val="44"/>
    </w:rPr>
  </w:style>
  <w:style w:type="paragraph" w:styleId="28">
    <w:name w:val="List Paragraph"/>
    <w:basedOn w:val="1"/>
    <w:link w:val="42"/>
    <w:qFormat/>
    <w:uiPriority w:val="0"/>
    <w:pPr>
      <w:ind w:firstLine="420" w:firstLineChars="200"/>
    </w:pPr>
  </w:style>
  <w:style w:type="character" w:customStyle="1" w:styleId="29">
    <w:name w:val="标题 2 字符"/>
    <w:basedOn w:val="19"/>
    <w:link w:val="3"/>
    <w:qFormat/>
    <w:uiPriority w:val="9"/>
    <w:rPr>
      <w:rFonts w:asciiTheme="majorHAnsi" w:hAnsiTheme="majorHAnsi" w:eastAsiaTheme="majorEastAsia" w:cstheme="majorBidi"/>
      <w:b/>
      <w:bCs/>
      <w:sz w:val="32"/>
      <w:szCs w:val="32"/>
    </w:rPr>
  </w:style>
  <w:style w:type="paragraph" w:customStyle="1" w:styleId="3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31">
    <w:name w:val="正文文本缩进 2 字符"/>
    <w:basedOn w:val="19"/>
    <w:link w:val="9"/>
    <w:qFormat/>
    <w:uiPriority w:val="0"/>
    <w:rPr>
      <w:rFonts w:ascii="宋体" w:hAnsi="Times New Roman" w:eastAsia="宋体" w:cs="Times New Roman"/>
      <w:sz w:val="24"/>
      <w:szCs w:val="20"/>
    </w:rPr>
  </w:style>
  <w:style w:type="character" w:customStyle="1" w:styleId="32">
    <w:name w:val="标题 3 字符"/>
    <w:basedOn w:val="19"/>
    <w:link w:val="4"/>
    <w:qFormat/>
    <w:uiPriority w:val="9"/>
    <w:rPr>
      <w:b/>
      <w:bCs/>
      <w:kern w:val="44"/>
      <w:sz w:val="30"/>
      <w:szCs w:val="30"/>
    </w:rPr>
  </w:style>
  <w:style w:type="character" w:customStyle="1" w:styleId="33">
    <w:name w:val="标题 4 字符"/>
    <w:basedOn w:val="19"/>
    <w:link w:val="5"/>
    <w:qFormat/>
    <w:uiPriority w:val="9"/>
    <w:rPr>
      <w:rFonts w:asciiTheme="majorHAnsi" w:hAnsiTheme="majorHAnsi" w:eastAsiaTheme="majorEastAsia" w:cstheme="majorBidi"/>
      <w:b/>
      <w:bCs/>
      <w:sz w:val="24"/>
      <w:szCs w:val="24"/>
    </w:rPr>
  </w:style>
  <w:style w:type="paragraph" w:customStyle="1" w:styleId="34">
    <w:name w:val="样式4.1"/>
    <w:basedOn w:val="3"/>
    <w:link w:val="36"/>
    <w:qFormat/>
    <w:uiPriority w:val="0"/>
    <w:pPr>
      <w:spacing w:beforeLines="50" w:afterLines="50" w:line="240" w:lineRule="auto"/>
    </w:pPr>
    <w:rPr>
      <w:rFonts w:asciiTheme="majorEastAsia" w:hAnsiTheme="majorEastAsia"/>
      <w:b w:val="0"/>
      <w:sz w:val="24"/>
      <w:szCs w:val="24"/>
    </w:rPr>
  </w:style>
  <w:style w:type="paragraph" w:customStyle="1" w:styleId="35">
    <w:name w:val="样式4.2"/>
    <w:basedOn w:val="3"/>
    <w:link w:val="38"/>
    <w:qFormat/>
    <w:uiPriority w:val="0"/>
    <w:pPr>
      <w:keepNext w:val="0"/>
      <w:keepLines w:val="0"/>
      <w:numPr>
        <w:ilvl w:val="0"/>
        <w:numId w:val="3"/>
      </w:numPr>
      <w:spacing w:before="0" w:after="100" w:afterAutospacing="1" w:line="415" w:lineRule="auto"/>
    </w:pPr>
    <w:rPr>
      <w:sz w:val="24"/>
      <w:szCs w:val="24"/>
    </w:rPr>
  </w:style>
  <w:style w:type="character" w:customStyle="1" w:styleId="36">
    <w:name w:val="样式4.1 Char"/>
    <w:basedOn w:val="29"/>
    <w:link w:val="34"/>
    <w:qFormat/>
    <w:uiPriority w:val="0"/>
    <w:rPr>
      <w:rFonts w:asciiTheme="majorEastAsia" w:hAnsiTheme="majorEastAsia" w:eastAsiaTheme="majorEastAsia" w:cstheme="majorBidi"/>
      <w:b w:val="0"/>
      <w:sz w:val="24"/>
      <w:szCs w:val="24"/>
    </w:rPr>
  </w:style>
  <w:style w:type="paragraph" w:customStyle="1" w:styleId="37">
    <w:name w:val="zhengwen"/>
    <w:basedOn w:val="3"/>
    <w:link w:val="39"/>
    <w:qFormat/>
    <w:uiPriority w:val="0"/>
    <w:pPr>
      <w:spacing w:beforeLines="50" w:afterLines="50" w:line="240" w:lineRule="auto"/>
    </w:pPr>
    <w:rPr>
      <w:rFonts w:asciiTheme="majorEastAsia" w:hAnsiTheme="majorEastAsia"/>
      <w:b w:val="0"/>
      <w:sz w:val="24"/>
      <w:szCs w:val="24"/>
    </w:rPr>
  </w:style>
  <w:style w:type="character" w:customStyle="1" w:styleId="38">
    <w:name w:val="样式4.2 Char"/>
    <w:basedOn w:val="29"/>
    <w:link w:val="35"/>
    <w:qFormat/>
    <w:uiPriority w:val="0"/>
    <w:rPr>
      <w:rFonts w:asciiTheme="majorHAnsi" w:hAnsiTheme="majorHAnsi" w:eastAsiaTheme="majorEastAsia" w:cstheme="majorBidi"/>
      <w:sz w:val="24"/>
      <w:szCs w:val="24"/>
    </w:rPr>
  </w:style>
  <w:style w:type="character" w:customStyle="1" w:styleId="39">
    <w:name w:val="zhengwen Char"/>
    <w:basedOn w:val="29"/>
    <w:link w:val="37"/>
    <w:qFormat/>
    <w:uiPriority w:val="0"/>
    <w:rPr>
      <w:rFonts w:asciiTheme="majorEastAsia" w:hAnsiTheme="majorEastAsia" w:eastAsiaTheme="majorEastAsia" w:cstheme="majorBidi"/>
      <w:b w:val="0"/>
      <w:sz w:val="24"/>
      <w:szCs w:val="24"/>
    </w:rPr>
  </w:style>
  <w:style w:type="character" w:customStyle="1" w:styleId="40">
    <w:name w:val="正文文本 字符"/>
    <w:basedOn w:val="19"/>
    <w:link w:val="7"/>
    <w:qFormat/>
    <w:uiPriority w:val="99"/>
    <w:rPr>
      <w:kern w:val="2"/>
      <w:sz w:val="21"/>
      <w:szCs w:val="22"/>
    </w:rPr>
  </w:style>
  <w:style w:type="paragraph" w:customStyle="1" w:styleId="4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2">
    <w:name w:val="列出段落 字符"/>
    <w:basedOn w:val="19"/>
    <w:link w:val="28"/>
    <w:qFormat/>
    <w:uiPriority w:val="0"/>
    <w:rPr>
      <w:kern w:val="2"/>
      <w:sz w:val="21"/>
      <w:szCs w:val="22"/>
    </w:rPr>
  </w:style>
  <w:style w:type="paragraph" w:customStyle="1" w:styleId="43">
    <w:name w:val="Blockquote"/>
    <w:basedOn w:val="1"/>
    <w:qFormat/>
    <w:uiPriority w:val="0"/>
    <w:pPr>
      <w:autoSpaceDE w:val="0"/>
      <w:autoSpaceDN w:val="0"/>
      <w:adjustRightInd w:val="0"/>
      <w:spacing w:before="100" w:after="100"/>
      <w:ind w:left="360" w:right="360"/>
      <w:jc w:val="left"/>
    </w:pPr>
    <w:rPr>
      <w:rFonts w:ascii="minorBidi" w:hAnsi="minorBidi" w:eastAsia="宋体" w:cs="minorBidi"/>
      <w:kern w:val="0"/>
      <w:sz w:val="24"/>
      <w:szCs w:val="20"/>
    </w:rPr>
  </w:style>
  <w:style w:type="character" w:customStyle="1" w:styleId="44">
    <w:name w:val="批注文字 字符"/>
    <w:basedOn w:val="19"/>
    <w:link w:val="6"/>
    <w:qFormat/>
    <w:uiPriority w:val="99"/>
    <w:rPr>
      <w:kern w:val="2"/>
      <w:sz w:val="21"/>
      <w:szCs w:val="22"/>
    </w:rPr>
  </w:style>
  <w:style w:type="character" w:customStyle="1" w:styleId="45">
    <w:name w:val="批注主题 字符"/>
    <w:basedOn w:val="44"/>
    <w:link w:val="15"/>
    <w:semiHidden/>
    <w:qFormat/>
    <w:uiPriority w:val="99"/>
    <w:rPr>
      <w:b/>
      <w:bCs/>
      <w:kern w:val="2"/>
      <w:sz w:val="21"/>
      <w:szCs w:val="22"/>
    </w:rPr>
  </w:style>
  <w:style w:type="paragraph" w:customStyle="1" w:styleId="46">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a88d9627-b09c-432a-bdb8-6fbf73d5d3ad</errorID>
      <errorWord>法律、法规</errorWord>
      <group>L1_Word</group>
      <groupName>字词问题</groupName>
      <ability>L2_Typo</ability>
      <abilityName>字词错误</abilityName>
      <candidateList>
        <item>法律法规</item>
      </candidateList>
      <explain/>
      <paraID> E35F476</paraID>
      <start>5</start>
      <end>10</end>
      <status>unmodified</status>
      <modifiedWord/>
      <trackRevisions>false</trackRevisions>
    </reviewItem>
    <reviewItem>
      <errorID>29248980-a904-4378-8872-6064652f23a0</errorID>
      <errorWord>其它</errorWord>
      <group>L1_AI</group>
      <groupName>深度校对</groupName>
      <ability>L2_AI_Word</ability>
      <abilityName>字词纠错</abilityName>
      <candidateList>
        <item>其他</item>
      </candidateList>
      <explain>〈代〉指示代词。别的：今天的文娱晚会，除了京剧、曲艺以外，还有～精彩节目。</explain>
      <paraID> E35F476</paraID>
      <start>23</start>
      <end>25</end>
      <status>unmodified</status>
      <modifiedWord/>
      <trackRevisions>false</trackRevisions>
    </reviewItem>
    <reviewItem>
      <errorID>4aa25ca4-3de9-42b6-8018-4a83ac49a308</errorID>
      <errorWord>做出决定</errorWord>
      <group>L1_Word</group>
      <groupName>字词问题</groupName>
      <ability>L2_Typo</ability>
      <abilityName>字词错误</abilityName>
      <candidateList>
        <item>作出决定</item>
      </candidateList>
      <explain/>
      <paraID>244A454E</paraID>
      <start>60</start>
      <end>64</end>
      <status>unmodified</status>
      <modifiedWord/>
      <trackRevisions>false</trackRevisions>
    </reviewItem>
    <reviewItem>
      <errorID>aaf4f160-68b7-4040-9501-1052d7087ec8</errorID>
      <errorWord>南邻车陂西路；场地</errorWord>
      <group>L1_AI</group>
      <groupName>深度校对</groupName>
      <ability>L2_AI_Grammar</ability>
      <abilityName>语法纠错</abilityName>
      <candidateList>
        <item>场地</item>
      </candidateList>
      <explain/>
      <paraID>2DC28F70</paraID>
      <start>36</start>
      <end>45</end>
      <status>unmodified</status>
      <modifiedWord/>
      <trackRevisions>false</trackRevisions>
    </reviewItem>
    <reviewItem>
      <errorID>17c76120-bd36-458a-b2a4-bfbe2837b676</errorID>
      <errorWord>对于</errorWord>
      <group>L1_AI</group>
      <groupName>深度校对</groupName>
      <ability>L2_AI_Grammar</ability>
      <abilityName>语法纠错</abilityName>
      <candidateList>
        <item>若</item>
      </candidateList>
      <explain/>
      <paraID>2A40E4BC</paraID>
      <start>84</start>
      <end>86</end>
      <status>unmodified</status>
      <modifiedWord/>
      <trackRevisions>false</trackRevisions>
    </reviewItem>
    <reviewItem>
      <errorID>ab03e263-73c1-4382-9f39-c38798d0abd4</errorID>
      <errorWord>，</errorWord>
      <group>L1_AI</group>
      <groupName>深度校对</groupName>
      <ability>L2_AI_Grammar</ability>
      <abilityName>语法纠错</abilityName>
      <candidateList>
        <item>需求，</item>
      </candidateList>
      <explain/>
      <paraID>2A40E4BC</paraID>
      <start>121</start>
      <end>122</end>
      <status>unmodified</status>
      <modifiedWord/>
      <trackRevisions>false</trackRevisions>
    </reviewItem>
    <reviewItem>
      <errorID>b689bfab-26b1-4040-814e-36b0fb04fd9a</errorID>
      <errorWord>考虑此因素</errorWord>
      <group>L1_AI</group>
      <groupName>深度校对</groupName>
      <ability>L2_AI_Grammar</ability>
      <abilityName>语法纠错</abilityName>
      <candidateList>
        <item>考虑</item>
      </candidateList>
      <explain/>
      <paraID>2A40E4BC</paraID>
      <start>151</start>
      <end>156</end>
      <status>unmodified</status>
      <modifiedWord/>
      <trackRevisions>false</trackRevisions>
    </reviewItem>
    <reviewItem>
      <errorID>4ad36eb9-2eb1-4bc7-ae16-ec7fd9206767</errorID>
      <errorWord>，应</errorWord>
      <group>L1_AI</group>
      <groupName>深度校对</groupName>
      <ability>L2_AI_Grammar</ability>
      <abilityName>语法纠错</abilityName>
      <candidateList>
        <item>，</item>
      </candidateList>
      <explain/>
      <paraID>1030B763</paraID>
      <start>34</start>
      <end>36</end>
      <status>unmodified</status>
      <modifiedWord/>
      <trackRevisions>false</trackRevisions>
    </reviewItem>
    <reviewItem>
      <errorID>a7455090-a09f-4b97-9638-7dfce0460b0b</errorID>
      <errorWord>；</errorWord>
      <group>L1_AI</group>
      <groupName>深度校对</groupName>
      <ability>L2_AI_Punc</ability>
      <abilityName>标点纠错</abilityName>
      <candidateList>
        <item>。</item>
      </candidateList>
      <explain/>
      <paraID>1030B763</paraID>
      <start>60</start>
      <end>61</end>
      <status>unmodified</status>
      <modifiedWord/>
      <trackRevisions>false</trackRevisions>
    </reviewItem>
    <reviewItem>
      <errorID>6fb2a0e5-d9fa-4323-acd6-c704da5ad8c5</errorID>
      <errorWord>(</errorWord>
      <group>L1_Format</group>
      <groupName>格式问题</groupName>
      <ability>L2_HalfPunc</ability>
      <abilityName>全半角检查</abilityName>
      <candidateList>
        <item>（</item>
      </candidateList>
      <explain>文本全半角错误。</explain>
      <paraID>709C0F66</paraID>
      <start>31</start>
      <end>32</end>
      <status>unmodified</status>
      <modifiedWord/>
      <trackRevisions>false</trackRevisions>
    </reviewItem>
    <reviewItem>
      <errorID>24c59334-ceca-4b63-a119-ed2bdd05c38f</errorID>
      <errorWord>，</errorWord>
      <group>L1_AI</group>
      <groupName>深度校对</groupName>
      <ability>L2_AI_Punc</ability>
      <abilityName>标点纠错</abilityName>
      <candidateList>
        <item>、</item>
      </candidateList>
      <explain/>
      <paraID>185DC9D7</paraID>
      <start>18</start>
      <end>19</end>
      <status>unmodified</status>
      <modifiedWord/>
      <trackRevisions>false</trackRevisions>
    </reviewItem>
    <reviewItem>
      <errorID>eda6d50e-c07e-42db-a763-55f14367c989</errorID>
      <errorWord>;</errorWord>
      <group>L1_Format</group>
      <groupName>格式问题</groupName>
      <ability>L2_HalfPunc</ability>
      <abilityName>全半角检查</abilityName>
      <candidateList>
        <item>；</item>
      </candidateList>
      <explain>文本全半角错误。</explain>
      <paraID>16A0A9AE</paraID>
      <start>16</start>
      <end>17</end>
      <status>unmodified</status>
      <modifiedWord/>
      <trackRevisions>false</trackRevisions>
    </reviewItem>
    <reviewItem>
      <errorID>3016e548-2deb-4ce1-b4c8-04a627189bb2</errorID>
      <errorWord> </errorWord>
      <group>L1_AI</group>
      <groupName>深度校对</groupName>
      <ability>L2_AI_Punc</ability>
      <abilityName>标点纠错</abilityName>
      <candidateList>
        <item/>
      </candidateList>
      <explain>此处空格冗余，建议删除。</explain>
      <paraID>35624DC2</paraID>
      <start>13</start>
      <end>14</end>
      <status>unmodified</status>
      <modifiedWord/>
      <trackRevisions>false</trackRevisions>
    </reviewItem>
    <reviewItem>
      <errorID>b7e05a3a-5605-4cb3-9e09-3f0f3ce02848</errorID>
      <errorWord>，</errorWord>
      <group>L1_AI</group>
      <groupName>深度校对</groupName>
      <ability>L2_AI_Grammar</ability>
      <abilityName>语法纠错</abilityName>
      <candidateList>
        <item>元整，</item>
      </candidateList>
      <explain/>
      <paraID>1267284E</paraID>
      <start>50</start>
      <end>51</end>
      <status>unmodified</status>
      <modifiedWord/>
      <trackRevisions>false</trackRevisions>
    </reviewItem>
    <reviewItem>
      <errorID>3ec79b2b-4d62-4724-810b-4a35af0c8f2e</errorID>
      <errorWord>，</errorWord>
      <group>L1_AI</group>
      <groupName>深度校对</groupName>
      <ability>L2_AI_Grammar</ability>
      <abilityName>语法纠错</abilityName>
      <candidateList>
        <item>元整，</item>
      </candidateList>
      <explain/>
      <paraID>1267284E</paraID>
      <start>77</start>
      <end>78</end>
      <status>unmodified</status>
      <modifiedWord/>
      <trackRevisions>false</trackRevisions>
    </reviewItem>
    <reviewItem>
      <errorID>23fc111f-d634-4acf-9fcc-e33deca5485f</errorID>
      <errorWord>。</errorWord>
      <group>L1_AI</group>
      <groupName>深度校对</groupName>
      <ability>L2_AI_Grammar</ability>
      <abilityName>语法纠错</abilityName>
      <candidateList>
        <item>元整。</item>
      </candidateList>
      <explain/>
      <paraID>1267284E</paraID>
      <start>108</start>
      <end>109</end>
      <status>unmodified</status>
      <modifiedWord/>
      <trackRevisions>false</trackRevisions>
    </reviewItem>
    <reviewItem>
      <errorID>346c347e-5c31-4a07-aace-2c5deae5c1bb</errorID>
      <errorWord>或</errorWord>
      <group>L1_AI</group>
      <groupName>深度校对</groupName>
      <ability>L2_AI_Punc</ability>
      <abilityName>标点纠错</abilityName>
      <candidateList>
        <item>，或</item>
      </candidateList>
      <explain/>
      <paraID>1267284E</paraID>
      <start>175</start>
      <end>176</end>
      <status>unmodified</status>
      <modifiedWord/>
      <trackRevisions>false</trackRevisions>
    </reviewItem>
    <reviewItem>
      <errorID>287504ff-6620-4e3d-976f-6b4502ff6b8c</errorID>
      <errorWord>做</errorWord>
      <group>L1_AI</group>
      <groupName>深度校对</groupName>
      <ability>L2_AI_Word</ability>
      <abilityName>字词纠错</abilityName>
      <candidateList>
        <item>作</item>
      </candidateList>
      <explain>❶起：振～｜日出而～｜一鼓～气｜枪声大～。❷〈动〉从事某种活动：～孽｜～报告｜自～自受。❸〈动〉写作：著～｜～曲｜～书（写信）。❹作品：佳～｜杰～｜成功之～。❺装：～态｜装模～样。❻〈动〉当成；作为：～保｜～废｜认贼～父。❼发作：～呕｜～怪。</explain>
      <paraID>1267284E</paraID>
      <start>209</start>
      <end>210</end>
      <status>unmodified</status>
      <modifiedWord/>
      <trackRevisions>false</trackRevisions>
    </reviewItem>
    <reviewItem>
      <errorID>69caf30e-6bb9-4186-96bf-0a00fad281fa</errorID>
      <errorWord>、就</errorWord>
      <group>L1_Punc</group>
      <groupName>标点问题</groupName>
      <ability>L2_Punc</ability>
      <abilityName>标点符号检查</abilityName>
      <candidateList>
        <item>，就</item>
      </candidateList>
      <explain>连接词前后不宜使用顿号，建议使用逗号。</explain>
      <paraID>7E4A0BE4</paraID>
      <start>202</start>
      <end>204</end>
      <status>unmodified</status>
      <modifiedWord/>
      <trackRevisions>false</trackRevisions>
    </reviewItem>
    <reviewItem>
      <errorID>7db69dfd-e545-489d-adca-5a15ff5d1e55</errorID>
      <errorWord>、</errorWord>
      <group>L1_AI</group>
      <groupName>深度校对</groupName>
      <ability>L2_AI_Punc</ability>
      <abilityName>标点纠错</abilityName>
      <candidateList>
        <item>，</item>
      </candidateList>
      <explain/>
      <paraID>7E4A0BE4</paraID>
      <start>219</start>
      <end>220</end>
      <status>unmodified</status>
      <modifiedWord/>
      <trackRevisions>false</trackRevisions>
    </reviewItem>
    <reviewItem>
      <errorID>79aebf7e-1e8b-42bd-bc42-89c3a0d3fee6</errorID>
      <errorWord>、</errorWord>
      <group>L1_AI</group>
      <groupName>深度校对</groupName>
      <ability>L2_AI_Punc</ability>
      <abilityName>标点纠错</abilityName>
      <candidateList>
        <item>，</item>
      </candidateList>
      <explain/>
      <paraID>7E4A0BE4</paraID>
      <start>261</start>
      <end>262</end>
      <status>unmodified</status>
      <modifiedWord/>
      <trackRevisions>false</trackRevisions>
    </reviewItem>
    <reviewItem>
      <errorID>dd2ab27c-8f43-4693-9a53-97b2ef93d77e</errorID>
      <errorWord>、</errorWord>
      <group>L1_AI</group>
      <groupName>深度校对</groupName>
      <ability>L2_AI_Grammar</ability>
      <abilityName>语法纠错</abilityName>
      <candidateList>
        <item>，修改</item>
      </candidateList>
      <explain/>
      <paraID>7E4A0BE4</paraID>
      <start>268</start>
      <end>269</end>
      <status>unmodified</status>
      <modifiedWord/>
      <trackRevisions>false</trackRevisions>
    </reviewItem>
    <reviewItem>
      <errorID>35f886bd-cf91-45df-b0be-2b32052ace5e</errorID>
      <errorWord>的修改、</errorWord>
      <group>L1_AI</group>
      <groupName>深度校对</groupName>
      <ability>L2_AI_Grammar</ability>
      <abilityName>语法纠错</abilityName>
      <candidateList>
        <item>，</item>
      </candidateList>
      <explain/>
      <paraID>7E4A0BE4</paraID>
      <start>274</start>
      <end>278</end>
      <status>unmodified</status>
      <modifiedWord/>
      <trackRevisions>false</trackRevisions>
    </reviewItem>
    <reviewItem>
      <errorID>8cf936c0-7841-408b-ac7a-4f1434f71e88</errorID>
      <errorWord>和</errorWord>
      <group>L1_AI</group>
      <groupName>深度校对</groupName>
      <ability>L2_AI_Word</ability>
      <abilityName>字词纠错</abilityName>
      <candidateList>
        <item>，</item>
      </candidateList>
      <explain/>
      <paraID>7E4A0BE4</paraID>
      <start>328</start>
      <end>329</end>
      <status>unmodified</status>
      <modifiedWord/>
      <trackRevisions>false</trackRevisions>
    </reviewItem>
    <reviewItem>
      <errorID>bb2156ba-c5ad-4f4a-adc1-79775d24a80f</errorID>
      <errorWord>、</errorWord>
      <group>L1_AI</group>
      <groupName>深度校对</groupName>
      <ability>L2_AI_Punc</ability>
      <abilityName>标点纠错</abilityName>
      <candidateList>
        <item>，</item>
      </candidateList>
      <explain/>
      <paraID>7E4A0BE4</paraID>
      <start>351</start>
      <end>352</end>
      <status>unmodified</status>
      <modifiedWord/>
      <trackRevisions>false</trackRevisions>
    </reviewItem>
    <reviewItem>
      <errorID>7eb5eba1-a1e1-45ef-ac74-7da16f67a332</errorID>
      <errorWord>条件下</errorWord>
      <group>L1_AI</group>
      <groupName>深度校对</groupName>
      <ability>L2_AI_Grammar</ability>
      <abilityName>语法纠错</abilityName>
      <candidateList>
        <item>条件</item>
      </candidateList>
      <explain/>
      <paraID>7E4A0BE4</paraID>
      <start>398</start>
      <end>401</end>
      <status>unmodified</status>
      <modifiedWord/>
      <trackRevisions>false</trackRevisions>
    </reviewItem>
    <reviewItem>
      <errorID>ba504aab-c9d4-42c4-83c0-5f8bf326fd41</errorID>
      <errorWord>下的</errorWord>
      <group>L1_AI</group>
      <groupName>深度校对</groupName>
      <ability>L2_AI_Grammar</ability>
      <abilityName>语法纠错</abilityName>
      <candidateList>
        <item>，</item>
      </candidateList>
      <explain/>
      <paraID>7E4A0BE4</paraID>
      <start>426</start>
      <end>428</end>
      <status>unmodified</status>
      <modifiedWord/>
      <trackRevisions>false</trackRevisions>
    </reviewItem>
    <reviewItem>
      <errorID>aa3a24fa-864b-4b52-9f3f-17824e9ed9ad</errorID>
      <errorWord>签证时</errorWord>
      <group>L1_AI</group>
      <groupName>深度校对</groupName>
      <ability>L2_AI_Grammar</ability>
      <abilityName>语法纠错</abilityName>
      <candidateList>
        <item>签证</item>
      </candidateList>
      <explain/>
      <paraID>592CAB36</paraID>
      <start>59</start>
      <end>62</end>
      <status>unmodified</status>
      <modifiedWord/>
      <trackRevisions>false</trackRevisions>
    </reviewItem>
    <reviewItem>
      <errorID>5668f1fc-da94-4351-aaad-880cb30f0d08</errorID>
      <errorWord>项目为</errorWord>
      <group>L1_Word</group>
      <groupName>字词问题</groupName>
      <ability>L2_Typo</ability>
      <abilityName>字词错误</abilityName>
      <candidateList>
        <item>项目</item>
      </candidateList>
      <explain>〈名〉事物分成的门类：服务～｜体育～｜建设～。</explain>
      <paraID>592CAB36</paraID>
      <start>95</start>
      <end>98</end>
      <status>unmodified</status>
      <modifiedWord/>
      <trackRevisions>false</trackRevisions>
    </reviewItem>
    <reviewItem>
      <errorID>76ac2314-a678-480d-8c5d-1c36464f4722</errorID>
      <errorWord>则</errorWord>
      <group>L1_AI</group>
      <groupName>深度校对</groupName>
      <ability>L2_AI_Punc</ability>
      <abilityName>标点纠错</abilityName>
      <candidateList>
        <item>，则</item>
      </candidateList>
      <explain/>
      <paraID>592CAB36</paraID>
      <start>106</start>
      <end>107</end>
      <status>unmodified</status>
      <modifiedWord/>
      <trackRevisions>false</trackRevisions>
    </reviewItem>
    <reviewItem>
      <errorID>6420e666-cfc0-4d0c-9a9a-5602be8b90a0</errorID>
      <errorWord>，</errorWord>
      <group>L1_AI</group>
      <groupName>深度校对</groupName>
      <ability>L2_AI_Punc</ability>
      <abilityName>标点纠错</abilityName>
      <candidateList>
        <item/>
      </candidateList>
      <explain/>
      <paraID>592CAB36</paraID>
      <start>144</start>
      <end>145</end>
      <status>unmodified</status>
      <modifiedWord/>
      <trackRevisions>false</trackRevisions>
    </reviewItem>
    <reviewItem>
      <errorID>2e081839-d114-4d0a-a73a-02d09597ffa4</errorID>
      <errorWord>争议的</errorWord>
      <group>L1_AI</group>
      <groupName>深度校对</groupName>
      <ability>L2_AI_Grammar</ability>
      <abilityName>语法纠错</abilityName>
      <candidateList>
        <item>争议</item>
      </candidateList>
      <explain/>
      <paraID>592CAB36</paraID>
      <start>240</start>
      <end>243</end>
      <status>unmodified</status>
      <modifiedWord/>
      <trackRevisions>false</trackRevisions>
    </reviewItem>
    <reviewItem>
      <errorID>eb8e181c-5ae9-4dff-ac5e-c0f3acae40ca</errorID>
      <errorWord>按有</errorWord>
      <group>L1_Word</group>
      <groupName>字词问题</groupName>
      <ability>L2_Typo</ability>
      <abilityName>字词错误</abilityName>
      <candidateList>
        <item>按</item>
      </candidateList>
      <explain>（案）àn❶〈书〉考查；核对：有原文可～。❷（编者、作者等）加按语：编者～。</explain>
      <paraID>5A2F3323</paraID>
      <start>42</start>
      <end>44</end>
      <status>unmodified</status>
      <modifiedWord/>
      <trackRevisions>false</trackRevisions>
    </reviewItem>
    <reviewItem>
      <errorID>f3bc3145-b512-4f1e-8205-d1307f19b1ff</errorID>
      <errorWord>三个</errorWord>
      <group>L1_Knowledge</group>
      <groupName>知识性问题</groupName>
      <ability>L2_Knowledge</ability>
      <abilityName>其他知识</abilityName>
      <candidateList>
        <item>三张</item>
      </candidateList>
      <explain/>
      <paraID>42A14870</paraID>
      <start>7</start>
      <end>9</end>
      <status>unmodified</status>
      <modifiedWord/>
      <trackRevisions>false</trackRevisions>
    </reviewItem>
    <reviewItem>
      <errorID>450b2ce0-3a72-4f48-9825-634f22815960</errorID>
      <errorWord>所产生的所有费用（</errorWord>
      <group>L1_AI</group>
      <groupName>深度校对</groupName>
      <ability>L2_AI_Grammar</ability>
      <abilityName>语法纠错</abilityName>
      <candidateList>
        <item>因</item>
      </candidateList>
      <explain/>
      <paraID>42A14870</paraID>
      <start>31</start>
      <end>40</end>
      <status>unmodified</status>
      <modifiedWord/>
      <trackRevisions>false</trackRevisions>
    </reviewItem>
    <reviewItem>
      <errorID>4290feb5-8d18-4ae1-9e4e-1015e515507a</errorID>
      <errorWord>）</errorWord>
      <group>L1_AI</group>
      <groupName>深度校对</groupName>
      <ability>L2_AI_Grammar</ability>
      <abilityName>语法纠错</abilityName>
      <candidateList>
        <item>所产生的所有费用</item>
      </candidateList>
      <explain/>
      <paraID>42A14870</paraID>
      <start>52</start>
      <end>53</end>
      <status>unmodified</status>
      <modifiedWord/>
      <trackRevisions>false</trackRevisions>
    </reviewItem>
    <reviewItem>
      <errorID>4a244a97-fdb3-47cd-97d5-27cdfca8a0a7</errorID>
      <errorWord>、恶劣天气，</errorWord>
      <group>L1_AI</group>
      <groupName>深度校对</groupName>
      <ability>L2_AI_Word</ability>
      <abilityName>字词纠错</abilityName>
      <candidateList>
        <item>，恶劣天气、</item>
      </candidateList>
      <explain/>
      <paraID>4F7D00EE</paraID>
      <start>57</start>
      <end>63</end>
      <status>unmodified</status>
      <modifiedWord/>
      <trackRevisions>false</trackRevisions>
    </reviewItem>
    <reviewItem>
      <errorID>c5f3bc85-2b6e-43ff-a3a5-5b55de83881f</errorID>
      <errorWord>以</errorWord>
      <group>L1_AI</group>
      <groupName>深度校对</groupName>
      <ability>L2_AI_Word</ability>
      <abilityName>字词纠错</abilityName>
      <candidateList>
        <item>自</item>
      </candidateList>
      <explain/>
      <paraID>4F7D00EE</paraID>
      <start>71</start>
      <end>72</end>
      <status>unmodified</status>
      <modifiedWord/>
      <trackRevisions>false</trackRevisions>
    </reviewItem>
    <reviewItem>
      <errorID>b94172a9-cbbb-4deb-93be-712558882eba</errorID>
      <errorWord>至</errorWord>
      <group>L1_AI</group>
      <groupName>深度校对</groupName>
      <ability>L2_AI_Grammar</ability>
      <abilityName>语法纠错</abilityName>
      <candidateList>
        <item>之日起至</item>
      </candidateList>
      <explain/>
      <paraID>4F7D00EE</paraID>
      <start>80</start>
      <end>81</end>
      <status>unmodified</status>
      <modifiedWord/>
      <trackRevisions>false</trackRevisions>
    </reviewItem>
    <reviewItem>
      <errorID>e394b1cb-fdc2-4afd-9b5a-670dd2f54623</errorID>
      <errorWord>5.2节点工期要求：</errorWord>
      <group>L1_AI</group>
      <groupName>深度校对</groupName>
      <ability>L2_AI_Title</ability>
      <abilityName>标题检查</abilityName>
      <candidateList/>
      <explain>相邻标题序号不连续。标题‘5.2节点工期要求：’为二级标题，其前一个二级标题序号为‘5.1’，此处应依次为‘5.2’，但后续内容中突然出现‘3、4号地块’，未按顺序延续，出现相邻标题序号不连续的问题；且后续‘5、6号地块’同样存在此问题，未按顺序延续编号。</explain>
      <paraID>37339BF9</paraID>
      <start>0</start>
      <end>10</end>
      <status>unmodified</status>
      <modifiedWord/>
      <trackRevisions>false</trackRevisions>
    </reviewItem>
    <reviewItem>
      <errorID>f28d7022-8803-4d13-8abe-af7ca1ead34b</errorID>
      <errorWord>/</errorWord>
      <group>L1_AI</group>
      <groupName>深度校对</groupName>
      <ability>L2_AI_Punc</ability>
      <abilityName>标点纠错</abilityName>
      <candidateList>
        <item>/__</item>
      </candidateList>
      <explain/>
      <paraID>6A8F29F3</paraID>
      <start>36</start>
      <end>37</end>
      <status>unmodified</status>
      <modifiedWord/>
      <trackRevisions>false</trackRevisions>
    </reviewItem>
    <reviewItem>
      <errorID>087e28f2-0a78-4ad2-aea7-1cdc623d52e5</errorID>
      <errorWord>/</errorWord>
      <group>L1_AI</group>
      <groupName>深度校对</groupName>
      <ability>L2_AI_Punc</ability>
      <abilityName>标点纠错</abilityName>
      <candidateList>
        <item>/__</item>
      </candidateList>
      <explain/>
      <paraID>44E4D052</paraID>
      <start>30</start>
      <end>31</end>
      <status>unmodified</status>
      <modifiedWord/>
      <trackRevisions>false</trackRevisions>
    </reviewItem>
    <reviewItem>
      <errorID>1b40c969-d2a3-44a7-b446-d76e5da40e47</errorID>
      <errorWord>乙方的</errorWord>
      <group>L1_AI</group>
      <groupName>深度校对</groupName>
      <ability>L2_AI_Grammar</ability>
      <abilityName>语法纠错</abilityName>
      <candidateList>
        <item>乙方</item>
      </candidateList>
      <explain/>
      <paraID>44DE6DA0</paraID>
      <start>1</start>
      <end>4</end>
      <status>unmodified</status>
      <modifiedWord/>
      <trackRevisions>false</trackRevisions>
    </reviewItem>
    <reviewItem>
      <errorID>9131e795-5dc6-46c3-af17-939d691be6ca</errorID>
      <errorWord>超过3天或以上</errorWord>
      <group>L1_Word</group>
      <groupName>字词问题</groupName>
      <ability>L2_Typo</ability>
      <abilityName>字词错误</abilityName>
      <candidateList>
        <item>超过3天或</item>
      </candidateList>
      <explain/>
      <paraID>44DE6DA0</paraID>
      <start>15</start>
      <end>22</end>
      <status>unmodified</status>
      <modifiedWord/>
      <trackRevisions>false</trackRevisions>
    </reviewItem>
    <reviewItem>
      <errorID>ae1dddb0-8123-4b9b-9f7c-07332dcda919</errorID>
      <errorWord>成果报告编制</errorWord>
      <group>L1_AI</group>
      <groupName>深度校对</groupName>
      <ability>L2_AI_Word</ability>
      <abilityName>字词纠错</abilityName>
      <candidateList>
        <item>编制成果报告</item>
      </candidateList>
      <explain/>
      <paraID>7D0FE3A1</paraID>
      <start>101</start>
      <end>107</end>
      <status>unmodified</status>
      <modifiedWord/>
      <trackRevisions>false</trackRevisions>
    </reviewItem>
    <reviewItem>
      <errorID>76ca6679-acdc-4ae4-80fa-9c9c5a8328fe</errorID>
      <errorWord>试验</errorWord>
      <group>L1_Word</group>
      <groupName>字词问题</groupName>
      <ability>L2_Typo</ability>
      <abilityName>字词错误</abilityName>
      <candidateList>
        <item>实验</item>
      </candidateList>
      <explain/>
      <paraID> A4639D0</paraID>
      <start>20</start>
      <end>22</end>
      <status>unmodified</status>
      <modifiedWord/>
      <trackRevisions>false</trackRevisions>
    </reviewItem>
    <reviewItem>
      <errorID>26faf90b-5011-4ffe-80b5-b429827e7bdf</errorID>
      <errorWord>回灌</errorWord>
      <group>L1_Word</group>
      <groupName>字词问题</groupName>
      <ability>L2_Typo</ability>
      <abilityName>字词错误</abilityName>
      <candidateList>
        <item>回填</item>
      </candidateList>
      <explain/>
      <paraID>3B9A5212</paraID>
      <start>16</start>
      <end>18</end>
      <status>unmodified</status>
      <modifiedWord/>
      <trackRevisions>false</trackRevisions>
    </reviewItem>
    <reviewItem>
      <errorID>ef70e8f1-d359-47fe-bb3a-ca29c139234b</errorID>
      <errorWord>涉及到</errorWord>
      <group>L1_Word</group>
      <groupName>字词问题</groupName>
      <ability>L2_Typo</ability>
      <abilityName>字词错误</abilityName>
      <candidateList>
        <item>涉及</item>
      </candidateList>
      <explain>〈动〉牵涉到；关联到：案子～好几个人｜这个问题～面很广。</explain>
      <paraID>29956DC5</paraID>
      <start>24</start>
      <end>27</end>
      <status>unmodified</status>
      <modifiedWord/>
      <trackRevisions>false</trackRevisions>
    </reviewItem>
    <reviewItem>
      <errorID>0a467a55-5c2c-41c5-93b0-4ab2a3764018</errorID>
      <errorWord>料</errorWord>
      <group>L1_Word</group>
      <groupName>字词问题</groupName>
      <ability>L2_Typo</ability>
      <abilityName>字词错误</abilityName>
      <candidateList>
        <item>料由</item>
      </candidateList>
      <explain/>
      <paraID>2D5B4337</paraID>
      <start>3</start>
      <end>4</end>
      <status>unmodified</status>
      <modifiedWord/>
      <trackRevisions>false</trackRevisions>
    </reviewItem>
    <reviewItem>
      <errorID>842fcc62-d782-4fac-a007-316214b71c37</errorID>
      <errorWord>并给与</errorWord>
      <group>L1_Word</group>
      <groupName>字词问题</groupName>
      <ability>L2_Alias</ability>
      <abilityName>也作/曾用词</abilityName>
      <candidateList>
        <item>并给予</item>
      </candidateList>
      <explain>词汇[并给与]为不规范表述或旧称，其规范书面表述为[并给予]。</explain>
      <paraID>7EA0E5DC</paraID>
      <start>49</start>
      <end>52</end>
      <status>unmodified</status>
      <modifiedWord/>
      <trackRevisions>false</trackRevisions>
    </reviewItem>
    <reviewItem>
      <errorID>b771e8c4-2c09-43a0-82f1-5e90b8337e4a</errorID>
      <errorWord>，</errorWord>
      <group>L1_Word</group>
      <groupName>字词问题</groupName>
      <ability>L2_Typo</ability>
      <abilityName>字词错误</abilityName>
      <candidateList>
        <item>，并</item>
      </candidateList>
      <explain/>
      <paraID>4934ECDA</paraID>
      <start>38</start>
      <end>39</end>
      <status>unmodified</status>
      <modifiedWord/>
      <trackRevisions>false</trackRevisions>
    </reviewItem>
    <reviewItem>
      <errorID>19ef6733-c34b-419d-82e8-b3712d655b54</errorID>
      <errorWord>统一</errorWord>
      <group>L1_Word</group>
      <groupName>字词问题</groupName>
      <ability>L2_Typo</ability>
      <abilityName>字词错误</abilityName>
      <candidateList>
        <item>同一</item>
      </candidateList>
      <explain/>
      <paraID>4934ECDA</paraID>
      <start>77</start>
      <end>79</end>
      <status>unmodified</status>
      <modifiedWord/>
      <trackRevisions>false</trackRevisions>
    </reviewItem>
    <reviewItem>
      <errorID>b9c532c9-e9bf-48fd-b2a1-9cdddee11a26</errorID>
      <errorWord>直接受</errorWord>
      <group>L1_Word</group>
      <groupName>字词问题</groupName>
      <ability>L2_Typo</ability>
      <abilityName>字词错误</abilityName>
      <candidateList>
        <item>直接</item>
      </candidateList>
      <explain>〈形〉不经过中间事物的（跟“间接”相对）：～关系｜～领导｜～阅读外文书籍。</explain>
      <paraID> E6F478E</paraID>
      <start>119</start>
      <end>122</end>
      <status>unmodified</status>
      <modifiedWord/>
      <trackRevisions>false</trackRevisions>
    </reviewItem>
    <reviewItem>
      <errorID>53bd5ba0-c8d4-4e8a-9d88-19f2e6e2f243</errorID>
      <errorWord>确须</errorWord>
      <group>L1_Word</group>
      <groupName>字词问题</groupName>
      <ability>L2_Typo</ability>
      <abilityName>字词错误</abilityName>
      <candidateList>
        <item>确需</item>
      </candidateList>
      <explain/>
      <paraID>6A9C3739</paraID>
      <start>44</start>
      <end>46</end>
      <status>modified</status>
      <modifiedWord>确需</modifiedWord>
      <trackRevisions>true</trackRevisions>
    </reviewItem>
    <reviewItem>
      <errorID>00e8f5df-28c6-49c2-95f6-e090fe2977f8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6A9C3739</paraID>
      <start>61</start>
      <end>63</end>
      <status>unmodified</status>
      <modifiedWord/>
      <trackRevisions>false</trackRevisions>
    </reviewItem>
    <reviewItem>
      <errorID>35619b30-2d30-4774-a4de-119c488fec30</errorID>
      <errorWord>乙方的</errorWord>
      <group>L1_Word</group>
      <groupName>字词问题</groupName>
      <ability>L2_Typo</ability>
      <abilityName>字词错误</abilityName>
      <candidateList>
        <item>乙方</item>
      </candidateList>
      <explain/>
      <paraID>623632DD</paraID>
      <start>78</start>
      <end>80</end>
      <status>modified</status>
      <modifiedWord>乙方</modifiedWord>
      <trackRevisions>true</trackRevisions>
    </reviewItem>
    <reviewItem>
      <errorID>c56f3cc1-c168-4eb4-ba1c-b21df375e552</errorID>
      <errorWord>噪音</errorWord>
      <group>L1_Word</group>
      <groupName>字词问题</groupName>
      <ability>L2_Alias</ability>
      <abilityName>也作/曾用词</abilityName>
      <candidateList>
        <item>噪声</item>
      </candidateList>
      <explain>词汇[噪音]为不规范表述或旧称，其规范书面表述为[噪声]。</explain>
      <paraID>71932807</paraID>
      <start>65</start>
      <end>67</end>
      <status>unmodified</status>
      <modifiedWord/>
      <trackRevisions>false</trackRevisions>
    </reviewItem>
    <reviewItem>
      <errorID>f183ea36-ffaf-4be3-873c-cda1468a15d1</errorID>
      <errorWord>任</errorWord>
      <group>L1_Word</group>
      <groupName>字词问题</groupName>
      <ability>L2_Typo</ability>
      <abilityName>字词错误</abilityName>
      <candidateList>
        <item>任有</item>
      </candidateList>
      <explain/>
      <paraID>3CE08238</paraID>
      <start>4</start>
      <end>5</end>
      <status>unmodified</status>
      <modifiedWord/>
      <trackRevisions>false</trackRevisions>
    </reviewItem>
    <reviewItem>
      <errorID>897e3de0-0550-4928-b44a-c793cdf73eeb</errorID>
      <errorWord>做出</errorWord>
      <group>L1_Word</group>
      <groupName>字词问题</groupName>
      <ability>L2_Typo</ability>
      <abilityName>字词错误</abilityName>
      <candidateList>
        <item>作出</item>
      </candidateList>
      <explain/>
      <paraID>68377F6C</paraID>
      <start>20</start>
      <end>22</end>
      <status>unmodified</status>
      <modifiedWord/>
      <trackRevisions>false</trackRevisions>
    </reviewItem>
    <reviewItem>
      <errorID>6037d92e-ece8-46d7-bbf7-e52801565576</errorID>
      <errorWord>其它</errorWord>
      <group>L1_Word</group>
      <groupName>字词问题</groupName>
      <ability>L2_Alias</ability>
      <abilityName>也作/曾用词</abilityName>
      <candidateList>
        <item>其他</item>
      </candidateList>
      <explain>词汇[其它]为不规范表述或旧称，其规范书面表述为[其他]。</explain>
      <paraID> BF0642E</paraID>
      <start>22</start>
      <end>24</end>
      <status>unmodified</status>
      <modifiedWord/>
      <trackRevisions>false</trackRevisions>
    </reviewItem>
    <reviewItem>
      <errorID>53c4caaa-e3ba-4b39-9fe6-decce4db2853</errorID>
      <errorWord>(</errorWord>
      <group>L1_Format</group>
      <groupName>格式问题</groupName>
      <ability>L2_HalfPunc</ability>
      <abilityName>全半角检查</abilityName>
      <candidateList>
        <item>（</item>
      </candidateList>
      <explain>文本全半角错误。</explain>
      <paraID> 460E634</paraID>
      <start>22</start>
      <end>23</end>
      <status>unmodified</status>
      <modifiedWord/>
      <trackRevisions>false</trackRevisions>
    </reviewItem>
    <reviewItem>
      <errorID>9c8c4664-abc3-484d-9148-7f6aee0dd3e2</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27D91820</paraID>
      <start>103</start>
      <end>104</end>
      <status>unmodified</status>
      <modifiedWord/>
      <trackRevisions>false</trackRevisions>
    </reviewItem>
    <reviewItem>
      <errorID>70543ffa-9062-4fe6-a60e-7367ffbe256c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27D91820</paraID>
      <start>185</start>
      <end>187</end>
      <status>unmodified</status>
      <modifiedWord/>
      <trackRevisions>false</trackRevisions>
    </reviewItem>
    <reviewItem>
      <errorID>66d8a94b-6b7d-45db-82bd-05cfa9dd1edd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27D91820</paraID>
      <start>203</start>
      <end>205</end>
      <status>unmodified</status>
      <modifiedWord/>
      <trackRevisions>false</trackRevisions>
    </reviewItem>
    <reviewItem>
      <errorID>1b1e1823-dcd0-497d-91ee-af0df2cb3648</errorID>
      <errorWord>其它</errorWord>
      <group>L1_Word</group>
      <groupName>字词问题</groupName>
      <ability>L2_Alias</ability>
      <abilityName>也作/曾用词</abilityName>
      <candidateList>
        <item>其他</item>
      </candidateList>
      <explain>词汇[其它]为不规范表述或旧称，其规范书面表述为[其他]。</explain>
      <paraID>12E0F747</paraID>
      <start>67</start>
      <end>69</end>
      <status>unmodified</status>
      <modifiedWord/>
      <trackRevisions>false</trackRevisions>
    </reviewItem>
    <reviewItem>
      <errorID>f10ad9a9-a49b-4fc7-af6f-e7a0e2b4a4c7</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419F824C</paraID>
      <start>2</start>
      <end>5</end>
      <status>unmodified</status>
      <modifiedWord/>
      <trackRevisions>false</trackRevisions>
    </reviewItem>
    <reviewItem>
      <errorID>1f5b426c-4918-4af0-a589-156f47f95988</errorID>
      <errorWord>为是</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50E9C2B4</paraID>
      <start>46</start>
      <end>48</end>
      <status>unmodified</status>
      <modifiedWord/>
      <trackRevisions>false</trackRevisions>
    </reviewItem>
    <reviewItem>
      <errorID>580bd162-4ccb-4d23-b77e-be2fe8ab498e</errorID>
      <errorWord>，</errorWord>
      <group>L1_Word</group>
      <groupName>字词问题</groupName>
      <ability>L2_Typo</ability>
      <abilityName>字词错误</abilityName>
      <candidateList>
        <item>，以</item>
      </candidateList>
      <explain/>
      <paraID>32DF455D</paraID>
      <start>86</start>
      <end>87</end>
      <status>unmodified</status>
      <modifiedWord/>
      <trackRevisions>false</trackRevisions>
    </reviewItem>
    <reviewItem>
      <errorID>876faad4-6c4e-467f-8241-cf39ab68327e</errorID>
      <errorWord>(</errorWord>
      <group>L1_Format</group>
      <groupName>格式问题</groupName>
      <ability>L2_HalfPunc</ability>
      <abilityName>全半角检查</abilityName>
      <candidateList>
        <item>（</item>
      </candidateList>
      <explain>文本全半角错误。</explain>
      <paraID>2E5050AE</paraID>
      <start>4</start>
      <end>5</end>
      <status>unmodified</status>
      <modifiedWord/>
      <trackRevisions>false</trackRevisions>
    </reviewItem>
    <reviewItem>
      <errorID>bfa9ce35-a201-4876-9e4f-7512a2b29f68</errorID>
      <errorWord>围</errorWord>
      <group>L1_Word</group>
      <groupName>字词问题</groupName>
      <ability>L2_Typo</ability>
      <abilityName>字词错误</abilityName>
      <candidateList>
        <item>围内</item>
      </candidateList>
      <explain/>
      <paraID>28727904</paraID>
      <start>56</start>
      <end>57</end>
      <status>unmodified</status>
      <modifiedWord/>
      <trackRevisions>false</trackRevisions>
    </reviewItem>
    <reviewItem>
      <errorID>d8d4f9a5-1ea2-4e4e-be2d-adab86607330</errorID>
      <errorWord>。。</errorWord>
      <group>L1_Punc</group>
      <groupName>标点问题</groupName>
      <ability>L2_Punc</ability>
      <abilityName>标点符号检查</abilityName>
      <candidateList>
        <item>。</item>
      </candidateList>
      <explain/>
      <paraID>129F339C</paraID>
      <start>91</start>
      <end>93</end>
      <status>unmodified</status>
      <modifiedWord/>
      <trackRevisions>false</trackRevisions>
    </reviewItem>
    <reviewItem>
      <errorID>f3fdc244-33f8-4c1b-b642-4666a8963c8e</errorID>
      <errorWord>透漏</errorWord>
      <group>L1_Word</group>
      <groupName>字词问题</groupName>
      <ability>L2_Typo</ability>
      <abilityName>字词错误</abilityName>
      <candidateList>
        <item>透露</item>
      </candidateList>
      <explain>〈动〉泄露或显露（消息、意思等）：～风声｜真相～出来了。</explain>
      <paraID>1191C7AF</paraID>
      <start>135</start>
      <end>137</end>
      <status>modified</status>
      <modifiedWord>透露</modifiedWord>
      <trackRevisions>true</trackRevisions>
    </reviewItem>
    <reviewItem>
      <errorID>971d9af0-46df-4cb1-83d7-3ab00dd2b356</errorID>
      <errorWord>透漏</errorWord>
      <group>L1_Word</group>
      <groupName>字词问题</groupName>
      <ability>L2_Typo</ability>
      <abilityName>字词错误</abilityName>
      <candidateList>
        <item>透露</item>
      </candidateList>
      <explain>〈动〉泄露或显露（消息、意思等）：～风声｜真相～出来了。</explain>
      <paraID>74D60398</paraID>
      <start>118</start>
      <end>120</end>
      <status>modified</status>
      <modifiedWord>透露</modifiedWord>
      <trackRevisions>true</trackRevisions>
    </reviewItem>
    <reviewItem>
      <errorID>94fdd590-4843-4ffd-bd8e-0acd2e2e31f5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7A97BE01</paraID>
      <start>0</start>
      <end>6</end>
      <status>modified</status>
      <modifiedWord>14.</modifiedWord>
      <trackRevisions>true</trackRevisions>
    </reviewItem>
    <reviewItem>
      <errorID>046a6c32-a369-403d-93c8-5f25b91fc226</errorID>
      <errorWord>台湾地区</errorWord>
      <group>L1_Word</group>
      <groupName>字词问题</groupName>
      <ability>L2_Typo</ability>
      <abilityName>字词错误</abilityName>
      <candidateList>
        <item>中国台湾地区</item>
      </candidateList>
      <explain/>
      <paraID>24817765</paraID>
      <start>56</start>
      <end>60</end>
      <status>unmodified</status>
      <modifiedWord/>
      <trackRevisions>false</trackRevisions>
    </reviewItem>
    <reviewItem>
      <errorID>9d208425-8bdf-4108-a0b8-6b3d7bfe0de7</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1DD16C28</paraID>
      <start>30</start>
      <end>33</end>
      <status>modified</status>
      <modifiedWord>可以</modifiedWord>
      <trackRevisions>true</trackRevisions>
    </reviewItem>
    <reviewItem>
      <errorID>9a6d5528-cab0-402f-9ba3-df030d88d3de</errorID>
      <errorWord>作实</errorWord>
      <group>L1_Word</group>
      <groupName>字词问题</groupName>
      <ability>L2_Alias</ability>
      <abilityName>也作/曾用词</abilityName>
      <candidateList>
        <item>做实</item>
      </candidateList>
      <explain>词汇[作实]为不规范表述或旧称，其规范书面表述为[做实]。</explain>
      <paraID>664F8AD7</paraID>
      <start>30</start>
      <end>32</end>
      <status>unmodified</status>
      <modifiedWord/>
      <trackRevisions>false</trackRevisions>
    </reviewItem>
    <reviewItem>
      <errorID>3c1cbc73-c4aa-4755-9a15-a398e48e1d84</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321B3313</paraID>
      <start>0</start>
      <end>2</end>
      <status>unmodified</status>
      <modifiedWord/>
      <trackRevisions>false</trackRevisions>
    </reviewItem>
    <reviewItem>
      <errorID>5fba9804-8115-4103-a0ff-aaa7a971cc29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17C5D0D3</paraID>
      <start>0</start>
      <end>2</end>
      <status>unmodified</status>
      <modifiedWord/>
      <trackRevisions>false</trackRevisions>
    </reviewItem>
    <reviewItem>
      <errorID>69865953-24c6-46a7-900e-597b97a5ed8e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4C4F9F18</paraID>
      <start>0</start>
      <end>2</end>
      <status>unmodified</status>
      <modifiedWord/>
      <trackRevisions>false</trackRevisions>
    </reviewItem>
    <reviewItem>
      <errorID>b669f335-aa3d-4eea-9b31-db700cacb518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34613E2C</paraID>
      <start>17</start>
      <end>20</end>
      <status>unmodified</status>
      <modifiedWord/>
      <trackRevisions>false</trackRevisions>
    </reviewItem>
    <reviewItem>
      <errorID>751830d1-0e6b-4737-afca-ff888a41872c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34613E2C</paraID>
      <start>32</start>
      <end>35</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9ead0e-b8a4-43c5-a842-1ae295dd34c9}">
  <ds:schemaRefs/>
</ds:datastoreItem>
</file>

<file path=customXml/itemProps3.xml><?xml version="1.0" encoding="utf-8"?>
<ds:datastoreItem xmlns:ds="http://schemas.openxmlformats.org/officeDocument/2006/customXml" ds:itemID="{D9C29C62-75D8-4BA9-83DF-E3E67DC5355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26</Pages>
  <Words>1310</Words>
  <Characters>1385</Characters>
  <Lines>80</Lines>
  <Paragraphs>22</Paragraphs>
  <TotalTime>113</TotalTime>
  <ScaleCrop>false</ScaleCrop>
  <LinksUpToDate>false</LinksUpToDate>
  <CharactersWithSpaces>1568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2025-11-07T08:32:00Z</dcterms:created>
  <dc:creator>mark</dc:creator>
  <cp:lastModifiedBy>YIPP</cp:lastModifiedBy>
  <cp:lastPrinted>2025-11-16T13:41:00Z</cp:lastPrinted>
  <dcterms:modified xsi:type="dcterms:W3CDTF">2025-12-10T09:54:32Z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5C425BF073FF463CB6F8B21BC216845E_13</vt:lpwstr>
  </property>
  <property fmtid="{D5CDD505-2E9C-101B-9397-08002B2CF9AE}" pid="4" name="KSOTemplateDocerSaveRecord">
    <vt:lpwstr>eyJoZGlkIjoiZDhiZTgwOWE4NDgzMThhYzZjNDEzMWUxOTZjMWU0OWEiLCJ1c2VySWQiOiIzMjU5MTMwODYifQ==</vt:lpwstr>
  </property>
</Properties>
</file>