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86E48">
      <w:pPr>
        <w:spacing w:line="360" w:lineRule="auto"/>
        <w:rPr>
          <w:rFonts w:ascii="宋体" w:hAnsi="宋体" w:cs="宋体"/>
          <w:color w:val="auto"/>
          <w:sz w:val="24"/>
          <w:highlight w:val="none"/>
        </w:rPr>
      </w:pPr>
    </w:p>
    <w:p w14:paraId="50B27A06">
      <w:pPr>
        <w:spacing w:line="360" w:lineRule="auto"/>
        <w:rPr>
          <w:rFonts w:ascii="宋体" w:hAnsi="宋体" w:cs="宋体"/>
          <w:color w:val="auto"/>
          <w:sz w:val="24"/>
          <w:highlight w:val="none"/>
        </w:rPr>
      </w:pPr>
    </w:p>
    <w:p w14:paraId="3F294317">
      <w:pPr>
        <w:spacing w:line="360" w:lineRule="auto"/>
        <w:rPr>
          <w:rFonts w:ascii="宋体" w:hAnsi="宋体" w:cs="宋体"/>
          <w:b/>
          <w:bCs/>
          <w:color w:val="auto"/>
          <w:sz w:val="24"/>
          <w:highlight w:val="none"/>
        </w:rPr>
      </w:pPr>
    </w:p>
    <w:p w14:paraId="4D94A7EB">
      <w:pPr>
        <w:pStyle w:val="53"/>
        <w:rPr>
          <w:rFonts w:ascii="宋体" w:hAnsi="宋体" w:cs="宋体"/>
          <w:color w:val="auto"/>
          <w:sz w:val="24"/>
          <w:highlight w:val="none"/>
        </w:rPr>
      </w:pPr>
    </w:p>
    <w:p w14:paraId="46E7AAA7">
      <w:pPr>
        <w:pStyle w:val="53"/>
        <w:rPr>
          <w:rFonts w:ascii="宋体" w:hAnsi="宋体" w:cs="宋体"/>
          <w:color w:val="auto"/>
          <w:sz w:val="24"/>
          <w:highlight w:val="none"/>
        </w:rPr>
      </w:pPr>
    </w:p>
    <w:p w14:paraId="229AAC93">
      <w:pPr>
        <w:ind w:left="-2" w:leftChars="-200" w:right="-313" w:rightChars="-149" w:hanging="418" w:hangingChars="80"/>
        <w:jc w:val="center"/>
        <w:outlineLvl w:val="0"/>
        <w:rPr>
          <w:rFonts w:ascii="宋体" w:hAnsi="宋体" w:cs="宋体"/>
          <w:b/>
          <w:bCs/>
          <w:color w:val="auto"/>
          <w:sz w:val="52"/>
          <w:szCs w:val="52"/>
          <w:highlight w:val="none"/>
          <w:u w:val="single"/>
        </w:rPr>
      </w:pPr>
      <w:bookmarkStart w:id="0" w:name="_Toc8080"/>
      <w:r>
        <w:rPr>
          <w:rFonts w:hint="eastAsia" w:ascii="宋体" w:hAnsi="宋体" w:eastAsia="宋体" w:cs="宋体"/>
          <w:b/>
          <w:bCs/>
          <w:color w:val="auto"/>
          <w:sz w:val="52"/>
          <w:szCs w:val="52"/>
          <w:highlight w:val="none"/>
          <w:u w:val="single"/>
        </w:rPr>
        <w:t>金沙洲新社区人居环境升级改造</w:t>
      </w:r>
      <w:r>
        <w:rPr>
          <w:rFonts w:hint="eastAsia" w:ascii="宋体" w:hAnsi="宋体" w:cs="宋体"/>
          <w:b/>
          <w:bCs/>
          <w:color w:val="auto"/>
          <w:sz w:val="52"/>
          <w:szCs w:val="52"/>
          <w:highlight w:val="none"/>
          <w:u w:val="single"/>
        </w:rPr>
        <w:t>项目</w:t>
      </w:r>
      <w:bookmarkEnd w:id="0"/>
    </w:p>
    <w:p w14:paraId="20E91560">
      <w:pPr>
        <w:ind w:left="-2" w:leftChars="-200" w:right="-313" w:rightChars="-149" w:hanging="418" w:hangingChars="80"/>
        <w:jc w:val="center"/>
        <w:rPr>
          <w:rFonts w:ascii="宋体" w:hAnsi="宋体" w:cs="宋体"/>
          <w:b/>
          <w:bCs/>
          <w:color w:val="auto"/>
          <w:sz w:val="52"/>
          <w:szCs w:val="52"/>
          <w:highlight w:val="none"/>
        </w:rPr>
      </w:pPr>
      <w:r>
        <w:rPr>
          <w:rFonts w:hint="eastAsia" w:ascii="宋体" w:hAnsi="宋体" w:cs="宋体"/>
          <w:b/>
          <w:bCs/>
          <w:color w:val="auto"/>
          <w:sz w:val="52"/>
          <w:szCs w:val="52"/>
          <w:highlight w:val="none"/>
          <w:u w:val="single"/>
        </w:rPr>
        <w:t>设计施工总承包</w:t>
      </w:r>
      <w:r>
        <w:rPr>
          <w:rFonts w:hint="eastAsia" w:ascii="宋体" w:hAnsi="宋体" w:cs="宋体"/>
          <w:b/>
          <w:bCs/>
          <w:color w:val="auto"/>
          <w:sz w:val="52"/>
          <w:szCs w:val="52"/>
          <w:highlight w:val="none"/>
        </w:rPr>
        <w:t>合同</w:t>
      </w:r>
    </w:p>
    <w:p w14:paraId="2E99BF06">
      <w:pPr>
        <w:spacing w:line="360" w:lineRule="auto"/>
        <w:jc w:val="center"/>
        <w:rPr>
          <w:rFonts w:ascii="宋体" w:hAnsi="宋体" w:cs="宋体"/>
          <w:color w:val="auto"/>
          <w:sz w:val="52"/>
          <w:szCs w:val="52"/>
          <w:highlight w:val="none"/>
        </w:rPr>
      </w:pPr>
    </w:p>
    <w:p w14:paraId="2CEB54CE">
      <w:pPr>
        <w:spacing w:line="360" w:lineRule="auto"/>
        <w:jc w:val="center"/>
        <w:rPr>
          <w:rFonts w:ascii="宋体" w:hAnsi="宋体" w:cs="宋体"/>
          <w:color w:val="auto"/>
          <w:sz w:val="24"/>
          <w:highlight w:val="none"/>
        </w:rPr>
      </w:pPr>
    </w:p>
    <w:p w14:paraId="2CB0D912">
      <w:pPr>
        <w:spacing w:line="360" w:lineRule="auto"/>
        <w:jc w:val="center"/>
        <w:rPr>
          <w:rFonts w:ascii="宋体" w:hAnsi="宋体" w:cs="宋体"/>
          <w:color w:val="auto"/>
          <w:sz w:val="24"/>
          <w:highlight w:val="none"/>
        </w:rPr>
      </w:pPr>
    </w:p>
    <w:p w14:paraId="30C4FF5F">
      <w:pPr>
        <w:pStyle w:val="2"/>
        <w:rPr>
          <w:color w:val="auto"/>
          <w:highlight w:val="none"/>
        </w:rPr>
      </w:pPr>
    </w:p>
    <w:p w14:paraId="34D34BDE">
      <w:pPr>
        <w:rPr>
          <w:color w:val="auto"/>
          <w:highlight w:val="none"/>
        </w:rPr>
      </w:pPr>
    </w:p>
    <w:p w14:paraId="3AE67DEF">
      <w:pPr>
        <w:pStyle w:val="18"/>
        <w:rPr>
          <w:rFonts w:ascii="宋体" w:hAnsi="宋体" w:eastAsia="宋体" w:cs="宋体"/>
          <w:color w:val="auto"/>
          <w:sz w:val="24"/>
          <w:szCs w:val="24"/>
          <w:highlight w:val="none"/>
        </w:rPr>
      </w:pPr>
    </w:p>
    <w:p w14:paraId="70B04582">
      <w:pPr>
        <w:rPr>
          <w:rFonts w:ascii="宋体" w:hAnsi="宋体" w:cs="宋体"/>
          <w:color w:val="auto"/>
          <w:sz w:val="24"/>
          <w:highlight w:val="none"/>
        </w:rPr>
      </w:pPr>
    </w:p>
    <w:p w14:paraId="57DC8236">
      <w:pPr>
        <w:spacing w:line="360" w:lineRule="auto"/>
        <w:jc w:val="center"/>
        <w:rPr>
          <w:rFonts w:ascii="宋体" w:hAnsi="宋体" w:cs="宋体"/>
          <w:color w:val="auto"/>
          <w:sz w:val="24"/>
          <w:highlight w:val="none"/>
        </w:rPr>
      </w:pPr>
    </w:p>
    <w:p w14:paraId="0B062B0F">
      <w:pPr>
        <w:spacing w:line="360" w:lineRule="auto"/>
        <w:jc w:val="center"/>
        <w:rPr>
          <w:rFonts w:ascii="宋体" w:hAnsi="宋体" w:cs="宋体"/>
          <w:color w:val="auto"/>
          <w:sz w:val="24"/>
          <w:highlight w:val="none"/>
        </w:rPr>
      </w:pPr>
    </w:p>
    <w:p w14:paraId="038E882E">
      <w:pPr>
        <w:pStyle w:val="2"/>
        <w:adjustRightInd w:val="0"/>
        <w:snapToGrid w:val="0"/>
        <w:spacing w:beforeLines="100" w:afterLines="100"/>
        <w:ind w:firstLine="1134" w:firstLineChars="405"/>
        <w:rPr>
          <w:rFonts w:hint="default" w:hAnsi="宋体" w:eastAsia="宋体" w:cs="宋体"/>
          <w:color w:val="auto"/>
          <w:sz w:val="28"/>
          <w:szCs w:val="28"/>
          <w:highlight w:val="none"/>
          <w:lang w:val="en-US" w:eastAsia="zh-CN"/>
        </w:rPr>
      </w:pPr>
      <w:r>
        <w:rPr>
          <w:rFonts w:hint="eastAsia" w:hAnsi="宋体" w:cs="宋体"/>
          <w:color w:val="auto"/>
          <w:sz w:val="28"/>
          <w:szCs w:val="28"/>
          <w:highlight w:val="none"/>
        </w:rPr>
        <w:t>合同编号：</w:t>
      </w:r>
      <w:r>
        <w:rPr>
          <w:rFonts w:hint="eastAsia" w:hAnsi="宋体" w:cs="宋体"/>
          <w:color w:val="auto"/>
          <w:sz w:val="28"/>
          <w:szCs w:val="28"/>
          <w:highlight w:val="none"/>
          <w:u w:val="single"/>
          <w:lang w:val="en-US" w:eastAsia="zh-CN"/>
        </w:rPr>
        <w:t xml:space="preserve">                               </w:t>
      </w:r>
    </w:p>
    <w:p w14:paraId="4CF0DE3B">
      <w:pPr>
        <w:pStyle w:val="2"/>
        <w:adjustRightInd w:val="0"/>
        <w:snapToGrid w:val="0"/>
        <w:spacing w:beforeLines="100" w:afterLines="100"/>
        <w:ind w:firstLine="1134" w:firstLineChars="405"/>
        <w:rPr>
          <w:rFonts w:hAnsi="宋体" w:cs="宋体"/>
          <w:color w:val="auto"/>
          <w:sz w:val="28"/>
          <w:szCs w:val="28"/>
          <w:highlight w:val="none"/>
          <w:u w:val="single"/>
        </w:rPr>
      </w:pPr>
      <w:r>
        <w:rPr>
          <w:rFonts w:hint="eastAsia" w:hAnsi="宋体" w:cs="宋体"/>
          <w:color w:val="auto"/>
          <w:sz w:val="28"/>
          <w:szCs w:val="28"/>
          <w:highlight w:val="none"/>
        </w:rPr>
        <w:t>项目名称：</w:t>
      </w:r>
      <w:r>
        <w:rPr>
          <w:rFonts w:hint="eastAsia" w:ascii="宋体" w:hAnsi="宋体" w:eastAsia="宋体" w:cs="宋体"/>
          <w:b w:val="0"/>
          <w:bCs w:val="0"/>
          <w:color w:val="auto"/>
          <w:sz w:val="28"/>
          <w:szCs w:val="28"/>
          <w:highlight w:val="none"/>
          <w:u w:val="single"/>
        </w:rPr>
        <w:t>金沙洲新社区人居环境升级改造</w:t>
      </w:r>
      <w:r>
        <w:rPr>
          <w:rFonts w:hint="eastAsia" w:hAnsi="宋体" w:cs="宋体"/>
          <w:color w:val="auto"/>
          <w:sz w:val="28"/>
          <w:szCs w:val="28"/>
          <w:highlight w:val="none"/>
          <w:u w:val="single"/>
        </w:rPr>
        <w:t>项目设计施工总承包</w:t>
      </w:r>
    </w:p>
    <w:p w14:paraId="6EB6A6B3">
      <w:pPr>
        <w:pStyle w:val="2"/>
        <w:adjustRightInd w:val="0"/>
        <w:snapToGrid w:val="0"/>
        <w:spacing w:beforeLines="100" w:afterLines="100"/>
        <w:ind w:firstLine="1134" w:firstLineChars="405"/>
        <w:outlineLvl w:val="0"/>
        <w:rPr>
          <w:rFonts w:hAnsi="宋体" w:cs="宋体"/>
          <w:color w:val="auto"/>
          <w:sz w:val="28"/>
          <w:szCs w:val="28"/>
          <w:highlight w:val="none"/>
        </w:rPr>
      </w:pPr>
      <w:bookmarkStart w:id="1" w:name="_Toc24113"/>
      <w:r>
        <w:rPr>
          <w:rFonts w:hint="eastAsia" w:hAnsi="宋体" w:cs="宋体"/>
          <w:color w:val="auto"/>
          <w:sz w:val="28"/>
          <w:szCs w:val="28"/>
          <w:highlight w:val="none"/>
        </w:rPr>
        <w:t>发 包 人：</w:t>
      </w:r>
      <w:r>
        <w:rPr>
          <w:rFonts w:hint="eastAsia" w:hAnsi="宋体" w:cs="宋体"/>
          <w:color w:val="auto"/>
          <w:kern w:val="0"/>
          <w:sz w:val="28"/>
          <w:szCs w:val="28"/>
          <w:highlight w:val="none"/>
          <w:u w:val="single"/>
        </w:rPr>
        <w:t>广州安居住房置业有限公司</w:t>
      </w:r>
      <w:bookmarkEnd w:id="1"/>
    </w:p>
    <w:p w14:paraId="65AA7CE1">
      <w:pPr>
        <w:pStyle w:val="2"/>
        <w:adjustRightInd w:val="0"/>
        <w:snapToGrid w:val="0"/>
        <w:spacing w:beforeLines="100" w:afterLines="100"/>
        <w:ind w:left="1396" w:leftChars="541" w:hanging="260" w:hangingChars="93"/>
        <w:rPr>
          <w:rFonts w:hint="eastAsia" w:hAnsi="宋体" w:cs="宋体"/>
          <w:color w:val="auto"/>
          <w:kern w:val="0"/>
          <w:sz w:val="28"/>
          <w:szCs w:val="28"/>
          <w:highlight w:val="none"/>
          <w:u w:val="single"/>
          <w:lang w:val="en-US" w:eastAsia="zh-CN"/>
        </w:rPr>
      </w:pPr>
      <w:r>
        <w:rPr>
          <w:rFonts w:hint="eastAsia" w:hAnsi="宋体" w:cs="宋体"/>
          <w:color w:val="auto"/>
          <w:sz w:val="28"/>
          <w:szCs w:val="28"/>
          <w:highlight w:val="none"/>
        </w:rPr>
        <w:t>承 包 人：</w:t>
      </w:r>
      <w:r>
        <w:rPr>
          <w:rFonts w:hint="eastAsia" w:hAnsi="宋体" w:cs="宋体"/>
          <w:color w:val="auto"/>
          <w:kern w:val="0"/>
          <w:sz w:val="28"/>
          <w:szCs w:val="28"/>
          <w:highlight w:val="none"/>
          <w:u w:val="single"/>
        </w:rPr>
        <w:t>（主）</w:t>
      </w:r>
      <w:r>
        <w:rPr>
          <w:rFonts w:hint="eastAsia" w:hAnsi="宋体" w:cs="宋体"/>
          <w:color w:val="auto"/>
          <w:kern w:val="0"/>
          <w:sz w:val="28"/>
          <w:szCs w:val="28"/>
          <w:highlight w:val="none"/>
          <w:u w:val="single"/>
          <w:lang w:val="en-US" w:eastAsia="zh-CN"/>
        </w:rPr>
        <w:t xml:space="preserve">                                 </w:t>
      </w:r>
    </w:p>
    <w:p w14:paraId="552F306B">
      <w:pPr>
        <w:pStyle w:val="2"/>
        <w:adjustRightInd w:val="0"/>
        <w:snapToGrid w:val="0"/>
        <w:spacing w:beforeLines="100" w:afterLines="100"/>
        <w:ind w:left="0" w:leftChars="0" w:firstLine="2520" w:firstLineChars="900"/>
        <w:rPr>
          <w:rFonts w:hint="eastAsia" w:hAnsi="宋体" w:cs="宋体"/>
          <w:color w:val="auto"/>
          <w:kern w:val="0"/>
          <w:sz w:val="28"/>
          <w:szCs w:val="28"/>
          <w:highlight w:val="none"/>
          <w:u w:val="single"/>
        </w:rPr>
      </w:pPr>
      <w:r>
        <w:rPr>
          <w:rFonts w:hint="eastAsia" w:hAnsi="宋体" w:cs="宋体"/>
          <w:color w:val="auto"/>
          <w:kern w:val="0"/>
          <w:sz w:val="28"/>
          <w:szCs w:val="28"/>
          <w:highlight w:val="none"/>
          <w:u w:val="single"/>
        </w:rPr>
        <w:t>（成）</w:t>
      </w:r>
      <w:r>
        <w:rPr>
          <w:rFonts w:hint="eastAsia" w:hAnsi="宋体" w:cs="宋体"/>
          <w:color w:val="auto"/>
          <w:kern w:val="0"/>
          <w:sz w:val="28"/>
          <w:szCs w:val="28"/>
          <w:highlight w:val="none"/>
          <w:u w:val="single"/>
          <w:lang w:val="en-US" w:eastAsia="zh-CN"/>
        </w:rPr>
        <w:t xml:space="preserve">                </w:t>
      </w:r>
      <w:bookmarkStart w:id="160" w:name="_GoBack"/>
      <w:bookmarkEnd w:id="160"/>
      <w:r>
        <w:rPr>
          <w:rFonts w:hint="eastAsia" w:hAnsi="宋体" w:cs="宋体"/>
          <w:color w:val="auto"/>
          <w:kern w:val="0"/>
          <w:sz w:val="28"/>
          <w:szCs w:val="28"/>
          <w:highlight w:val="none"/>
          <w:u w:val="single"/>
          <w:lang w:val="en-US" w:eastAsia="zh-CN"/>
        </w:rPr>
        <w:t xml:space="preserve">                 </w:t>
      </w:r>
    </w:p>
    <w:p w14:paraId="0CE1A5F0">
      <w:pPr>
        <w:pStyle w:val="2"/>
        <w:adjustRightInd w:val="0"/>
        <w:snapToGrid w:val="0"/>
        <w:spacing w:beforeLines="100" w:afterLines="100"/>
        <w:ind w:left="0" w:leftChars="0" w:firstLine="1120" w:firstLineChars="400"/>
        <w:rPr>
          <w:rFonts w:hAnsi="宋体" w:cs="宋体"/>
          <w:color w:val="auto"/>
          <w:sz w:val="28"/>
          <w:szCs w:val="28"/>
          <w:highlight w:val="none"/>
        </w:rPr>
      </w:pPr>
      <w:r>
        <w:rPr>
          <w:rFonts w:hint="eastAsia" w:hAnsi="宋体" w:cs="宋体"/>
          <w:color w:val="auto"/>
          <w:sz w:val="28"/>
          <w:szCs w:val="28"/>
          <w:highlight w:val="none"/>
        </w:rPr>
        <w:t>签订日期：</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年</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月</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 xml:space="preserve"> 日</w:t>
      </w:r>
    </w:p>
    <w:p w14:paraId="695C3DCF">
      <w:pPr>
        <w:pStyle w:val="2"/>
        <w:adjustRightInd w:val="0"/>
        <w:snapToGrid w:val="0"/>
        <w:spacing w:beforeLines="100" w:afterLines="100"/>
        <w:ind w:firstLine="1134" w:firstLineChars="405"/>
        <w:jc w:val="left"/>
        <w:rPr>
          <w:rFonts w:hAnsi="宋体" w:cs="宋体"/>
          <w:color w:val="auto"/>
          <w:sz w:val="28"/>
          <w:szCs w:val="28"/>
          <w:highlight w:val="none"/>
        </w:rPr>
      </w:pPr>
      <w:r>
        <w:rPr>
          <w:rFonts w:hint="eastAsia" w:hAnsi="宋体" w:cs="宋体"/>
          <w:color w:val="auto"/>
          <w:sz w:val="28"/>
          <w:szCs w:val="28"/>
          <w:highlight w:val="none"/>
        </w:rPr>
        <w:t>签订地点：</w:t>
      </w:r>
      <w:r>
        <w:rPr>
          <w:rFonts w:hint="eastAsia" w:hAnsi="宋体" w:cs="宋体"/>
          <w:color w:val="auto"/>
          <w:sz w:val="28"/>
          <w:szCs w:val="28"/>
          <w:highlight w:val="none"/>
          <w:u w:val="single"/>
        </w:rPr>
        <w:t>广东省广州市</w:t>
      </w:r>
    </w:p>
    <w:p w14:paraId="4A2C05F6">
      <w:pPr>
        <w:ind w:firstLine="1138" w:firstLineChars="405"/>
        <w:jc w:val="center"/>
        <w:rPr>
          <w:rFonts w:ascii="宋体" w:hAnsi="宋体" w:cs="宋体"/>
          <w:b/>
          <w:color w:val="auto"/>
          <w:sz w:val="28"/>
          <w:szCs w:val="28"/>
          <w:highlight w:val="none"/>
        </w:rPr>
        <w:sectPr>
          <w:headerReference r:id="rId3" w:type="default"/>
          <w:footerReference r:id="rId4" w:type="default"/>
          <w:pgSz w:w="11905" w:h="16838"/>
          <w:pgMar w:top="1247" w:right="1247" w:bottom="1247" w:left="1247" w:header="567" w:footer="850" w:gutter="0"/>
          <w:cols w:space="720" w:num="1"/>
          <w:docGrid w:type="lines" w:linePitch="312" w:charSpace="0"/>
        </w:sectPr>
      </w:pPr>
    </w:p>
    <w:p w14:paraId="7B201782">
      <w:pPr>
        <w:jc w:val="center"/>
        <w:rPr>
          <w:rFonts w:ascii="宋体" w:hAnsi="宋体"/>
          <w:b/>
          <w:bCs/>
          <w:color w:val="auto"/>
          <w:sz w:val="24"/>
          <w:highlight w:val="none"/>
        </w:rPr>
      </w:pPr>
      <w:r>
        <w:rPr>
          <w:rFonts w:ascii="宋体" w:hAnsi="宋体"/>
          <w:b/>
          <w:bCs/>
          <w:color w:val="auto"/>
          <w:sz w:val="24"/>
          <w:highlight w:val="none"/>
        </w:rPr>
        <w:t>目录</w:t>
      </w:r>
    </w:p>
    <w:p w14:paraId="47616233">
      <w:pPr>
        <w:pStyle w:val="2"/>
        <w:rPr>
          <w:color w:val="auto"/>
          <w:sz w:val="15"/>
          <w:szCs w:val="15"/>
          <w:highlight w:val="none"/>
        </w:rPr>
      </w:pPr>
    </w:p>
    <w:p w14:paraId="4EA96275">
      <w:pPr>
        <w:pStyle w:val="148"/>
        <w:tabs>
          <w:tab w:val="right" w:leader="dot" w:pos="9411"/>
        </w:tabs>
        <w:rPr>
          <w:b/>
          <w:color w:val="auto"/>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"1-2" \h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"_Toc25845" </w:instrText>
      </w:r>
      <w:r>
        <w:rPr>
          <w:color w:val="auto"/>
          <w:highlight w:val="none"/>
        </w:rPr>
        <w:fldChar w:fldCharType="separate"/>
      </w:r>
      <w:r>
        <w:rPr>
          <w:rFonts w:hint="eastAsia" w:ascii="宋体" w:hAnsi="宋体" w:cs="宋体"/>
          <w:b/>
          <w:color w:val="auto"/>
          <w:szCs w:val="32"/>
          <w:highlight w:val="none"/>
        </w:rPr>
        <w:t>第一部分   协议书</w:t>
      </w:r>
      <w:r>
        <w:rPr>
          <w:b/>
          <w:color w:val="auto"/>
          <w:highlight w:val="none"/>
        </w:rPr>
        <w:tab/>
      </w:r>
      <w:r>
        <w:rPr>
          <w:b/>
          <w:color w:val="auto"/>
          <w:highlight w:val="none"/>
        </w:rPr>
        <w:fldChar w:fldCharType="begin"/>
      </w:r>
      <w:r>
        <w:rPr>
          <w:b/>
          <w:color w:val="auto"/>
          <w:highlight w:val="none"/>
        </w:rPr>
        <w:instrText xml:space="preserve"> PAGEREF _Toc25845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14:paraId="768EA77F">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"_Toc18398" </w:instrText>
      </w:r>
      <w:r>
        <w:rPr>
          <w:color w:val="auto"/>
          <w:highlight w:val="none"/>
        </w:rPr>
        <w:fldChar w:fldCharType="separate"/>
      </w:r>
      <w:r>
        <w:rPr>
          <w:rFonts w:hint="eastAsia" w:ascii="宋体" w:hAnsi="宋体" w:cs="宋体"/>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_Toc18398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C4EC82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"_Toc23883" </w:instrText>
      </w:r>
      <w:r>
        <w:rPr>
          <w:color w:val="auto"/>
          <w:highlight w:val="none"/>
        </w:rPr>
        <w:fldChar w:fldCharType="separate"/>
      </w:r>
      <w:r>
        <w:rPr>
          <w:rFonts w:hint="eastAsia" w:ascii="宋体" w:hAnsi="宋体" w:cs="宋体"/>
          <w:color w:val="auto"/>
          <w:szCs w:val="24"/>
          <w:highlight w:val="none"/>
        </w:rPr>
        <w:t>二、工程承包范围及承包方式</w:t>
      </w:r>
      <w:r>
        <w:rPr>
          <w:color w:val="auto"/>
          <w:highlight w:val="none"/>
        </w:rPr>
        <w:tab/>
      </w:r>
      <w:r>
        <w:rPr>
          <w:color w:val="auto"/>
          <w:highlight w:val="none"/>
        </w:rPr>
        <w:fldChar w:fldCharType="begin"/>
      </w:r>
      <w:r>
        <w:rPr>
          <w:color w:val="auto"/>
          <w:highlight w:val="none"/>
        </w:rPr>
        <w:instrText xml:space="preserve"> PAGEREF _Toc23883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C52419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"_Toc28114" </w:instrText>
      </w:r>
      <w:r>
        <w:rPr>
          <w:color w:val="auto"/>
          <w:highlight w:val="none"/>
        </w:rPr>
        <w:fldChar w:fldCharType="separate"/>
      </w:r>
      <w:r>
        <w:rPr>
          <w:rFonts w:hint="eastAsia" w:ascii="宋体" w:hAnsi="宋体" w:cs="宋体"/>
          <w:color w:val="auto"/>
          <w:szCs w:val="24"/>
          <w:highlight w:val="none"/>
        </w:rPr>
        <w:t>三、设计依据</w:t>
      </w:r>
      <w:r>
        <w:rPr>
          <w:color w:val="auto"/>
          <w:highlight w:val="none"/>
        </w:rPr>
        <w:tab/>
      </w:r>
      <w:r>
        <w:rPr>
          <w:color w:val="auto"/>
          <w:highlight w:val="none"/>
        </w:rPr>
        <w:fldChar w:fldCharType="begin"/>
      </w:r>
      <w:r>
        <w:rPr>
          <w:color w:val="auto"/>
          <w:highlight w:val="none"/>
        </w:rPr>
        <w:instrText xml:space="preserve"> PAGEREF _Toc28114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D0ED83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"_Toc7815" </w:instrText>
      </w:r>
      <w:r>
        <w:rPr>
          <w:color w:val="auto"/>
          <w:highlight w:val="none"/>
        </w:rPr>
        <w:fldChar w:fldCharType="separate"/>
      </w:r>
      <w:r>
        <w:rPr>
          <w:rFonts w:hint="eastAsia" w:ascii="宋体" w:hAnsi="宋体" w:cs="宋体"/>
          <w:color w:val="auto"/>
          <w:szCs w:val="24"/>
          <w:highlight w:val="none"/>
        </w:rPr>
        <w:t>四、合同工期</w:t>
      </w:r>
      <w:r>
        <w:rPr>
          <w:color w:val="auto"/>
          <w:highlight w:val="none"/>
        </w:rPr>
        <w:tab/>
      </w:r>
      <w:r>
        <w:rPr>
          <w:color w:val="auto"/>
          <w:highlight w:val="none"/>
        </w:rPr>
        <w:fldChar w:fldCharType="begin"/>
      </w:r>
      <w:r>
        <w:rPr>
          <w:color w:val="auto"/>
          <w:highlight w:val="none"/>
        </w:rPr>
        <w:instrText xml:space="preserve"> PAGEREF _Toc7815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B10942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"_Toc10111" </w:instrText>
      </w:r>
      <w:r>
        <w:rPr>
          <w:color w:val="auto"/>
          <w:highlight w:val="none"/>
        </w:rPr>
        <w:fldChar w:fldCharType="separate"/>
      </w:r>
      <w:r>
        <w:rPr>
          <w:rFonts w:hint="eastAsia" w:ascii="宋体" w:hAnsi="宋体" w:cs="宋体"/>
          <w:color w:val="auto"/>
          <w:szCs w:val="24"/>
          <w:highlight w:val="none"/>
        </w:rPr>
        <w:t>五、质量、安全文明施工标准与检查</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927887A">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"_Toc25158" </w:instrText>
      </w:r>
      <w:r>
        <w:rPr>
          <w:color w:val="auto"/>
          <w:highlight w:val="none"/>
        </w:rPr>
        <w:fldChar w:fldCharType="separate"/>
      </w:r>
      <w:r>
        <w:rPr>
          <w:rFonts w:hint="eastAsia" w:ascii="宋体" w:hAnsi="宋体" w:cs="宋体"/>
          <w:color w:val="auto"/>
          <w:szCs w:val="24"/>
          <w:highlight w:val="none"/>
        </w:rPr>
        <w:t>六、合同价款</w:t>
      </w:r>
      <w:r>
        <w:rPr>
          <w:color w:val="auto"/>
          <w:highlight w:val="none"/>
        </w:rPr>
        <w:tab/>
      </w:r>
      <w:r>
        <w:rPr>
          <w:color w:val="auto"/>
          <w:highlight w:val="none"/>
        </w:rPr>
        <w:fldChar w:fldCharType="begin"/>
      </w:r>
      <w:r>
        <w:rPr>
          <w:color w:val="auto"/>
          <w:highlight w:val="none"/>
        </w:rPr>
        <w:instrText xml:space="preserve"> PAGEREF _Toc25158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93EE199">
      <w:pPr>
        <w:pStyle w:val="149"/>
        <w:tabs>
          <w:tab w:val="right" w:leader="dot" w:pos="9411"/>
        </w:tabs>
        <w:ind w:left="199" w:leftChars="95" w:firstLine="200" w:firstLineChars="100"/>
        <w:rPr>
          <w:rFonts w:hint="default" w:ascii="宋体" w:hAnsi="宋体" w:eastAsia="宋体" w:cs="宋体"/>
          <w:color w:val="auto"/>
          <w:sz w:val="20"/>
          <w:szCs w:val="20"/>
          <w:highlight w:val="none"/>
          <w:lang w:val="en-US" w:eastAsia="zh-CN"/>
        </w:rPr>
      </w:pPr>
      <w:r>
        <w:rPr>
          <w:rFonts w:hint="eastAsia"/>
          <w:color w:val="auto"/>
          <w:highlight w:val="none"/>
          <w:lang w:eastAsia="zh-CN"/>
        </w:rPr>
        <w:t>七、</w:t>
      </w:r>
      <w:r>
        <w:rPr>
          <w:rFonts w:hint="eastAsia" w:ascii="宋体" w:hAnsi="宋体" w:cs="宋体"/>
          <w:bCs/>
          <w:snapToGrid w:val="0"/>
          <w:color w:val="auto"/>
          <w:kern w:val="0"/>
          <w:sz w:val="20"/>
          <w:szCs w:val="20"/>
          <w:highlight w:val="none"/>
        </w:rPr>
        <w:t>组成合同的文件</w:t>
      </w:r>
      <w:r>
        <w:rPr>
          <w:color w:val="auto"/>
          <w:highlight w:val="none"/>
        </w:rPr>
        <w:tab/>
      </w:r>
      <w:r>
        <w:rPr>
          <w:rFonts w:hint="eastAsia" w:ascii="宋体" w:hAnsi="宋体" w:cs="宋体"/>
          <w:color w:val="auto"/>
          <w:sz w:val="20"/>
          <w:szCs w:val="20"/>
          <w:highlight w:val="none"/>
          <w:lang w:eastAsia="zh-CN"/>
        </w:rPr>
        <w:t>1</w:t>
      </w:r>
      <w:r>
        <w:rPr>
          <w:rFonts w:hint="eastAsia" w:ascii="宋体" w:hAnsi="宋体" w:cs="宋体"/>
          <w:color w:val="auto"/>
          <w:sz w:val="20"/>
          <w:szCs w:val="20"/>
          <w:highlight w:val="none"/>
          <w:lang w:val="en-US" w:eastAsia="zh-CN"/>
        </w:rPr>
        <w:t>0</w:t>
      </w:r>
    </w:p>
    <w:p w14:paraId="278DCF6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"_Toc9051" </w:instrText>
      </w:r>
      <w:r>
        <w:rPr>
          <w:color w:val="auto"/>
          <w:highlight w:val="none"/>
        </w:rPr>
        <w:fldChar w:fldCharType="separate"/>
      </w:r>
      <w:r>
        <w:rPr>
          <w:rFonts w:hint="eastAsia" w:ascii="宋体" w:hAnsi="宋体" w:cs="宋体"/>
          <w:color w:val="auto"/>
          <w:szCs w:val="24"/>
          <w:highlight w:val="none"/>
        </w:rPr>
        <w:t>八、词语词义</w:t>
      </w:r>
      <w:r>
        <w:rPr>
          <w:color w:val="auto"/>
          <w:highlight w:val="none"/>
        </w:rPr>
        <w:tab/>
      </w:r>
      <w:r>
        <w:rPr>
          <w:color w:val="auto"/>
          <w:highlight w:val="none"/>
        </w:rPr>
        <w:fldChar w:fldCharType="begin"/>
      </w:r>
      <w:r>
        <w:rPr>
          <w:color w:val="auto"/>
          <w:highlight w:val="none"/>
        </w:rPr>
        <w:instrText xml:space="preserve"> PAGEREF _Toc9051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653D2C7">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"_Toc26293" </w:instrText>
      </w:r>
      <w:r>
        <w:rPr>
          <w:color w:val="auto"/>
          <w:highlight w:val="none"/>
        </w:rPr>
        <w:fldChar w:fldCharType="separate"/>
      </w:r>
      <w:r>
        <w:rPr>
          <w:rFonts w:hint="eastAsia" w:ascii="宋体" w:hAnsi="宋体" w:cs="宋体"/>
          <w:color w:val="auto"/>
          <w:szCs w:val="24"/>
          <w:highlight w:val="none"/>
        </w:rPr>
        <w:t>九、承诺</w:t>
      </w:r>
      <w:r>
        <w:rPr>
          <w:color w:val="auto"/>
          <w:highlight w:val="none"/>
        </w:rPr>
        <w:tab/>
      </w:r>
      <w:r>
        <w:rPr>
          <w:color w:val="auto"/>
          <w:highlight w:val="none"/>
        </w:rPr>
        <w:fldChar w:fldCharType="begin"/>
      </w:r>
      <w:r>
        <w:rPr>
          <w:color w:val="auto"/>
          <w:highlight w:val="none"/>
        </w:rPr>
        <w:instrText xml:space="preserve"> PAGEREF _Toc26293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CF8C94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"_Toc12813" </w:instrText>
      </w:r>
      <w:r>
        <w:rPr>
          <w:color w:val="auto"/>
          <w:highlight w:val="none"/>
        </w:rPr>
        <w:fldChar w:fldCharType="separate"/>
      </w:r>
      <w:r>
        <w:rPr>
          <w:rFonts w:hint="eastAsia" w:ascii="宋体" w:hAnsi="宋体" w:cs="宋体"/>
          <w:color w:val="auto"/>
          <w:szCs w:val="24"/>
          <w:highlight w:val="none"/>
        </w:rPr>
        <w:t>十、禁止</w:t>
      </w:r>
      <w:r>
        <w:rPr>
          <w:color w:val="auto"/>
          <w:highlight w:val="none"/>
        </w:rPr>
        <w:tab/>
      </w:r>
      <w:r>
        <w:rPr>
          <w:color w:val="auto"/>
          <w:highlight w:val="none"/>
        </w:rPr>
        <w:fldChar w:fldCharType="begin"/>
      </w:r>
      <w:r>
        <w:rPr>
          <w:color w:val="auto"/>
          <w:highlight w:val="none"/>
        </w:rPr>
        <w:instrText xml:space="preserve"> PAGEREF _Toc12813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9D1B71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"_Toc21569" </w:instrText>
      </w:r>
      <w:r>
        <w:rPr>
          <w:color w:val="auto"/>
          <w:highlight w:val="none"/>
        </w:rPr>
        <w:fldChar w:fldCharType="separate"/>
      </w:r>
      <w:r>
        <w:rPr>
          <w:rFonts w:hint="eastAsia" w:ascii="宋体" w:hAnsi="宋体" w:cs="宋体"/>
          <w:color w:val="auto"/>
          <w:szCs w:val="24"/>
          <w:highlight w:val="none"/>
        </w:rPr>
        <w:t>十一、合同生效及期限</w:t>
      </w:r>
      <w:r>
        <w:rPr>
          <w:color w:val="auto"/>
          <w:highlight w:val="none"/>
        </w:rPr>
        <w:tab/>
      </w:r>
      <w:r>
        <w:rPr>
          <w:color w:val="auto"/>
          <w:highlight w:val="none"/>
        </w:rPr>
        <w:fldChar w:fldCharType="begin"/>
      </w:r>
      <w:r>
        <w:rPr>
          <w:color w:val="auto"/>
          <w:highlight w:val="none"/>
        </w:rPr>
        <w:instrText xml:space="preserve"> PAGEREF _Toc21569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5DAB9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"_Toc21405" </w:instrText>
      </w:r>
      <w:r>
        <w:rPr>
          <w:color w:val="auto"/>
          <w:highlight w:val="none"/>
        </w:rPr>
        <w:fldChar w:fldCharType="separate"/>
      </w:r>
      <w:r>
        <w:rPr>
          <w:rFonts w:hint="eastAsia" w:ascii="宋体" w:hAnsi="宋体" w:cs="宋体"/>
          <w:color w:val="auto"/>
          <w:szCs w:val="24"/>
          <w:highlight w:val="none"/>
        </w:rPr>
        <w:t>十二、合同份数</w:t>
      </w:r>
      <w:r>
        <w:rPr>
          <w:color w:val="auto"/>
          <w:highlight w:val="none"/>
        </w:rPr>
        <w:tab/>
      </w:r>
      <w:r>
        <w:rPr>
          <w:color w:val="auto"/>
          <w:highlight w:val="none"/>
        </w:rPr>
        <w:fldChar w:fldCharType="begin"/>
      </w:r>
      <w:r>
        <w:rPr>
          <w:color w:val="auto"/>
          <w:highlight w:val="none"/>
        </w:rPr>
        <w:instrText xml:space="preserve"> PAGEREF _Toc21405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E619673">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"_Toc2957" </w:instrText>
      </w:r>
      <w:r>
        <w:rPr>
          <w:color w:val="auto"/>
          <w:highlight w:val="none"/>
        </w:rPr>
        <w:fldChar w:fldCharType="separate"/>
      </w:r>
      <w:r>
        <w:rPr>
          <w:rFonts w:hint="eastAsia" w:ascii="宋体" w:hAnsi="宋体" w:cs="宋体"/>
          <w:b/>
          <w:color w:val="auto"/>
          <w:szCs w:val="32"/>
          <w:highlight w:val="none"/>
        </w:rPr>
        <w:t>第二部分   通用条款</w:t>
      </w:r>
      <w:r>
        <w:rPr>
          <w:b/>
          <w:color w:val="auto"/>
          <w:highlight w:val="none"/>
        </w:rPr>
        <w:tab/>
      </w:r>
      <w:r>
        <w:rPr>
          <w:b/>
          <w:color w:val="auto"/>
          <w:highlight w:val="none"/>
        </w:rPr>
        <w:fldChar w:fldCharType="begin"/>
      </w:r>
      <w:r>
        <w:rPr>
          <w:b/>
          <w:color w:val="auto"/>
          <w:highlight w:val="none"/>
        </w:rPr>
        <w:instrText xml:space="preserve"> PAGEREF _Toc2957 \h </w:instrText>
      </w:r>
      <w:r>
        <w:rPr>
          <w:b/>
          <w:color w:val="auto"/>
          <w:highlight w:val="none"/>
        </w:rPr>
        <w:fldChar w:fldCharType="separate"/>
      </w:r>
      <w:r>
        <w:rPr>
          <w:b/>
          <w:color w:val="auto"/>
          <w:highlight w:val="none"/>
        </w:rPr>
        <w:t>13</w:t>
      </w:r>
      <w:r>
        <w:rPr>
          <w:b/>
          <w:color w:val="auto"/>
          <w:highlight w:val="none"/>
        </w:rPr>
        <w:fldChar w:fldCharType="end"/>
      </w:r>
      <w:r>
        <w:rPr>
          <w:b/>
          <w:color w:val="auto"/>
          <w:highlight w:val="none"/>
        </w:rPr>
        <w:fldChar w:fldCharType="end"/>
      </w:r>
    </w:p>
    <w:p w14:paraId="766225A1">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"_Toc18913"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_Toc18913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732E08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"_Toc1003" </w:instrText>
      </w:r>
      <w:r>
        <w:rPr>
          <w:color w:val="auto"/>
          <w:highlight w:val="none"/>
        </w:rPr>
        <w:fldChar w:fldCharType="separate"/>
      </w:r>
      <w:r>
        <w:rPr>
          <w:rFonts w:hint="eastAsia" w:ascii="宋体" w:hAnsi="宋体" w:cs="宋体"/>
          <w:color w:val="auto"/>
          <w:szCs w:val="24"/>
          <w:highlight w:val="none"/>
        </w:rPr>
        <w:t>2. 发包人义务</w:t>
      </w:r>
      <w:r>
        <w:rPr>
          <w:color w:val="auto"/>
          <w:highlight w:val="none"/>
        </w:rPr>
        <w:tab/>
      </w:r>
      <w:r>
        <w:rPr>
          <w:color w:val="auto"/>
          <w:highlight w:val="none"/>
        </w:rPr>
        <w:fldChar w:fldCharType="begin"/>
      </w:r>
      <w:r>
        <w:rPr>
          <w:color w:val="auto"/>
          <w:highlight w:val="none"/>
        </w:rPr>
        <w:instrText xml:space="preserve"> PAGEREF _Toc1003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6BB931E">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"_Toc16490"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_Toc16490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00BFA92">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"_Toc11785"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_Toc11785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80B99A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"_Toc4873"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_Toc4873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74255A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"_Toc21733"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_Toc21733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3BBE220">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"_Toc3433"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_Toc3433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EA88C4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"_Toc14205"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_Toc14205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38E3C93">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"_Toc5266"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_Toc5266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424A1B1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"_Toc10450"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_Toc10450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C9C41E3">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"_Toc28999"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_Toc28999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53BE53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"_Toc12602"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604800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1A07DF0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"_Toc17175"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_Toc17175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180EE1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"_Toc6755"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_Toc6755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08A5FA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"_Toc26218"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_Toc26218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6FA4A0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"_Toc28867"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_Toc28867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B431DBD">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"_Toc6622"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_Toc6622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C33C28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"_Toc19402"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_Toc19402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F9BEF9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"_Toc23867"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7D5833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"_Toc26238"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begin"/>
      </w:r>
      <w:r>
        <w:rPr>
          <w:color w:val="auto"/>
          <w:highlight w:val="none"/>
        </w:rPr>
        <w:instrText xml:space="preserve"> PAGEREF _Toc26238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52FE00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"_Toc14433"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begin"/>
      </w:r>
      <w:r>
        <w:rPr>
          <w:color w:val="auto"/>
          <w:highlight w:val="none"/>
        </w:rPr>
        <w:instrText xml:space="preserve"> PAGEREF _Toc14433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FA3223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"_Toc18021" </w:instrText>
      </w:r>
      <w:r>
        <w:rPr>
          <w:color w:val="auto"/>
          <w:highlight w:val="none"/>
        </w:rPr>
        <w:fldChar w:fldCharType="separate"/>
      </w:r>
      <w:r>
        <w:rPr>
          <w:rFonts w:hint="eastAsia" w:ascii="宋体" w:hAnsi="宋体" w:cs="宋体"/>
          <w:color w:val="auto"/>
          <w:szCs w:val="24"/>
          <w:highlight w:val="none"/>
        </w:rPr>
        <w:t>23. 索赔</w:t>
      </w:r>
      <w:r>
        <w:rPr>
          <w:color w:val="auto"/>
          <w:highlight w:val="none"/>
        </w:rPr>
        <w:tab/>
      </w:r>
      <w:r>
        <w:rPr>
          <w:color w:val="auto"/>
          <w:highlight w:val="none"/>
        </w:rPr>
        <w:fldChar w:fldCharType="begin"/>
      </w:r>
      <w:r>
        <w:rPr>
          <w:color w:val="auto"/>
          <w:highlight w:val="none"/>
        </w:rPr>
        <w:instrText xml:space="preserve"> PAGEREF _Toc18021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CE57722">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"_Toc27456"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begin"/>
      </w:r>
      <w:r>
        <w:rPr>
          <w:color w:val="auto"/>
          <w:highlight w:val="none"/>
        </w:rPr>
        <w:instrText xml:space="preserve"> PAGEREF _Toc27456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1342F7E">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"_Toc16940" </w:instrText>
      </w:r>
      <w:r>
        <w:rPr>
          <w:color w:val="auto"/>
          <w:highlight w:val="none"/>
        </w:rPr>
        <w:fldChar w:fldCharType="separate"/>
      </w:r>
      <w:r>
        <w:rPr>
          <w:rFonts w:hint="eastAsia" w:ascii="宋体" w:hAnsi="宋体" w:cs="宋体"/>
          <w:b/>
          <w:color w:val="auto"/>
          <w:szCs w:val="32"/>
          <w:highlight w:val="none"/>
        </w:rPr>
        <w:t>第三部分   专用条款</w:t>
      </w:r>
      <w:r>
        <w:rPr>
          <w:b/>
          <w:color w:val="auto"/>
          <w:highlight w:val="none"/>
        </w:rPr>
        <w:tab/>
      </w:r>
      <w:r>
        <w:rPr>
          <w:b/>
          <w:color w:val="auto"/>
          <w:highlight w:val="none"/>
        </w:rPr>
        <w:fldChar w:fldCharType="begin"/>
      </w:r>
      <w:r>
        <w:rPr>
          <w:b/>
          <w:color w:val="auto"/>
          <w:highlight w:val="none"/>
        </w:rPr>
        <w:instrText xml:space="preserve"> PAGEREF _Toc16940 \h </w:instrText>
      </w:r>
      <w:r>
        <w:rPr>
          <w:b/>
          <w:color w:val="auto"/>
          <w:highlight w:val="none"/>
        </w:rPr>
        <w:fldChar w:fldCharType="separate"/>
      </w:r>
      <w:r>
        <w:rPr>
          <w:b/>
          <w:color w:val="auto"/>
          <w:highlight w:val="none"/>
        </w:rPr>
        <w:t>61</w:t>
      </w:r>
      <w:r>
        <w:rPr>
          <w:b/>
          <w:color w:val="auto"/>
          <w:highlight w:val="none"/>
        </w:rPr>
        <w:fldChar w:fldCharType="end"/>
      </w:r>
      <w:r>
        <w:rPr>
          <w:b/>
          <w:color w:val="auto"/>
          <w:highlight w:val="none"/>
        </w:rPr>
        <w:fldChar w:fldCharType="end"/>
      </w:r>
    </w:p>
    <w:p w14:paraId="79EC15A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"_Toc5733"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4FAE180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"_Toc21105" </w:instrText>
      </w:r>
      <w:r>
        <w:rPr>
          <w:color w:val="auto"/>
          <w:highlight w:val="none"/>
        </w:rPr>
        <w:fldChar w:fldCharType="separate"/>
      </w:r>
      <w:r>
        <w:rPr>
          <w:rFonts w:hint="eastAsia" w:ascii="宋体" w:hAnsi="宋体" w:cs="宋体"/>
          <w:color w:val="auto"/>
          <w:szCs w:val="24"/>
          <w:highlight w:val="none"/>
        </w:rPr>
        <w:t>2. 发包人权利和义务</w:t>
      </w:r>
      <w:r>
        <w:rPr>
          <w:color w:val="auto"/>
          <w:highlight w:val="none"/>
        </w:rPr>
        <w:tab/>
      </w:r>
      <w:r>
        <w:rPr>
          <w:color w:val="auto"/>
          <w:highlight w:val="none"/>
        </w:rPr>
        <w:fldChar w:fldCharType="begin"/>
      </w:r>
      <w:r>
        <w:rPr>
          <w:color w:val="auto"/>
          <w:highlight w:val="none"/>
        </w:rPr>
        <w:instrText xml:space="preserve"> PAGEREF _Toc21105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72F83B4B">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"_Toc9737"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_Toc9737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3DDABD0">
      <w:pPr>
        <w:pStyle w:val="149"/>
        <w:tabs>
          <w:tab w:val="right" w:leader="dot" w:pos="9411"/>
        </w:tabs>
        <w:ind w:left="420"/>
        <w:rPr>
          <w:rFonts w:ascii="宋体" w:hAnsi="宋体" w:cs="宋体"/>
          <w:color w:val="auto"/>
          <w:szCs w:val="32"/>
          <w:highlight w:val="none"/>
        </w:rPr>
        <w:sectPr>
          <w:footerReference r:id="rId5" w:type="default"/>
          <w:pgSz w:w="11905" w:h="16838"/>
          <w:pgMar w:top="1247" w:right="1247" w:bottom="1247" w:left="1247" w:header="567" w:footer="850" w:gutter="0"/>
          <w:pgNumType w:start="1"/>
          <w:cols w:space="720" w:num="1"/>
          <w:docGrid w:type="lines" w:linePitch="312" w:charSpace="0"/>
        </w:sectPr>
      </w:pPr>
    </w:p>
    <w:p w14:paraId="0A6A3EC4">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"_Toc32048"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_Toc32048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31A4683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"_Toc18752"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_Toc18752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35D34630">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"_Toc11146"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_Toc11146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053BE58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"_Toc12464"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_Toc12464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729B5C5">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"_Toc24286"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_Toc24286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0CFFA8C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_Toc5726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57C17DDF">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"_Toc30960"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_Toc30960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7EA94E9C">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"_Toc2165"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_Toc2165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2E903A88">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"_Toc31975"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_Toc31975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4AB80983">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"_Toc7295"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_Toc7295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0B6AD2D1">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"_Toc21790"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_Toc21790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74B8216">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"_Toc31358"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_Toc31358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1E19E4B">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"_Toc7255"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_Toc7255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5E3EA232">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"_Toc16843"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end"/>
      </w:r>
      <w:r>
        <w:rPr>
          <w:rFonts w:hint="eastAsia"/>
          <w:color w:val="auto"/>
          <w:highlight w:val="none"/>
          <w:lang w:val="en-US" w:eastAsia="zh-CN"/>
        </w:rPr>
        <w:t>80</w:t>
      </w:r>
    </w:p>
    <w:p w14:paraId="71752314">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"_Toc11687"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_Toc11687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AC3F349">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"_Toc7643"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_Toc7643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5255A05E">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"_Toc6290"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end"/>
      </w:r>
      <w:r>
        <w:rPr>
          <w:rFonts w:hint="eastAsia"/>
          <w:color w:val="auto"/>
          <w:highlight w:val="none"/>
          <w:lang w:val="en-US" w:eastAsia="zh-CN"/>
        </w:rPr>
        <w:t>89</w:t>
      </w:r>
    </w:p>
    <w:p w14:paraId="7F0E6A16">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"_Toc21095"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end"/>
      </w:r>
      <w:r>
        <w:rPr>
          <w:rFonts w:hint="eastAsia"/>
          <w:color w:val="auto"/>
          <w:highlight w:val="none"/>
          <w:lang w:val="en-US" w:eastAsia="zh-CN"/>
        </w:rPr>
        <w:t>89</w:t>
      </w:r>
    </w:p>
    <w:p w14:paraId="0C285A23">
      <w:pPr>
        <w:pStyle w:val="149"/>
        <w:tabs>
          <w:tab w:val="right" w:leader="dot" w:pos="9411"/>
        </w:tabs>
        <w:ind w:left="420"/>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"_Toc17196"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end"/>
      </w:r>
      <w:r>
        <w:rPr>
          <w:rFonts w:hint="eastAsia"/>
          <w:color w:val="auto"/>
          <w:highlight w:val="none"/>
          <w:lang w:val="en-US" w:eastAsia="zh-CN"/>
        </w:rPr>
        <w:t>90</w:t>
      </w:r>
    </w:p>
    <w:p w14:paraId="359801FE">
      <w:pPr>
        <w:pStyle w:val="149"/>
        <w:tabs>
          <w:tab w:val="right" w:leader="dot" w:pos="9411"/>
        </w:tabs>
        <w:ind w:left="420"/>
        <w:rPr>
          <w:rFonts w:hint="eastAsia"/>
          <w:color w:val="auto"/>
          <w:highlight w:val="none"/>
          <w:lang w:val="en-US" w:eastAsia="zh-CN"/>
        </w:rPr>
      </w:pPr>
      <w:r>
        <w:rPr>
          <w:color w:val="auto"/>
          <w:highlight w:val="none"/>
        </w:rPr>
        <w:fldChar w:fldCharType="begin"/>
      </w:r>
      <w:r>
        <w:rPr>
          <w:color w:val="auto"/>
          <w:highlight w:val="none"/>
        </w:rPr>
        <w:instrText xml:space="preserve"> HYPERLINK \l "_Toc386"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end"/>
      </w:r>
      <w:r>
        <w:rPr>
          <w:rFonts w:hint="eastAsia"/>
          <w:color w:val="auto"/>
          <w:highlight w:val="none"/>
          <w:lang w:val="en-US" w:eastAsia="zh-CN"/>
        </w:rPr>
        <w:t>93</w:t>
      </w:r>
    </w:p>
    <w:p w14:paraId="3C1E4C38">
      <w:pPr>
        <w:pStyle w:val="148"/>
        <w:tabs>
          <w:tab w:val="right" w:leader="dot" w:pos="9411"/>
        </w:tabs>
        <w:rPr>
          <w:rFonts w:hint="eastAsia" w:eastAsia="宋体"/>
          <w:b/>
          <w:color w:val="auto"/>
          <w:highlight w:val="none"/>
          <w:lang w:eastAsia="zh-CN"/>
        </w:rPr>
      </w:pPr>
      <w:r>
        <w:rPr>
          <w:color w:val="auto"/>
          <w:highlight w:val="none"/>
        </w:rPr>
        <w:fldChar w:fldCharType="begin"/>
      </w:r>
      <w:r>
        <w:rPr>
          <w:color w:val="auto"/>
          <w:highlight w:val="none"/>
        </w:rPr>
        <w:instrText xml:space="preserve"> HYPERLINK \l "_Toc4677" </w:instrText>
      </w:r>
      <w:r>
        <w:rPr>
          <w:color w:val="auto"/>
          <w:highlight w:val="none"/>
        </w:rPr>
        <w:fldChar w:fldCharType="separate"/>
      </w:r>
      <w:r>
        <w:rPr>
          <w:rFonts w:hint="eastAsia" w:ascii="宋体" w:hAnsi="宋体" w:cs="宋体"/>
          <w:b/>
          <w:color w:val="auto"/>
          <w:szCs w:val="32"/>
          <w:highlight w:val="none"/>
        </w:rPr>
        <w:t>第四部分   附件</w:t>
      </w:r>
      <w:r>
        <w:rPr>
          <w:color w:val="auto"/>
          <w:highlight w:val="none"/>
        </w:rPr>
        <w:tab/>
      </w:r>
      <w:r>
        <w:rPr>
          <w:b/>
          <w:color w:val="auto"/>
          <w:highlight w:val="none"/>
        </w:rPr>
        <w:fldChar w:fldCharType="begin"/>
      </w:r>
      <w:r>
        <w:rPr>
          <w:b/>
          <w:color w:val="auto"/>
          <w:highlight w:val="none"/>
        </w:rPr>
        <w:instrText xml:space="preserve"> PAGEREF _Toc4677 \h </w:instrText>
      </w:r>
      <w:r>
        <w:rPr>
          <w:b/>
          <w:color w:val="auto"/>
          <w:highlight w:val="none"/>
        </w:rPr>
        <w:fldChar w:fldCharType="separate"/>
      </w:r>
      <w:r>
        <w:rPr>
          <w:b/>
          <w:color w:val="auto"/>
          <w:highlight w:val="none"/>
        </w:rPr>
        <w:t>9</w:t>
      </w:r>
      <w:r>
        <w:rPr>
          <w:rFonts w:hint="default"/>
          <w:b/>
          <w:color w:val="auto"/>
          <w:highlight w:val="none"/>
          <w:lang w:val="en-US"/>
        </w:rPr>
        <w:t>4</w:t>
      </w:r>
      <w:r>
        <w:rPr>
          <w:b/>
          <w:color w:val="auto"/>
          <w:highlight w:val="none"/>
        </w:rPr>
        <w:fldChar w:fldCharType="end"/>
      </w:r>
      <w:r>
        <w:rPr>
          <w:b/>
          <w:color w:val="auto"/>
          <w:highlight w:val="none"/>
        </w:rPr>
        <w:fldChar w:fldCharType="end"/>
      </w:r>
    </w:p>
    <w:p w14:paraId="36D4D2C4">
      <w:pPr>
        <w:pStyle w:val="149"/>
        <w:tabs>
          <w:tab w:val="right" w:leader="dot" w:pos="9411"/>
        </w:tabs>
        <w:ind w:left="420"/>
        <w:rPr>
          <w:rFonts w:hint="default"/>
          <w:color w:val="auto"/>
          <w:highlight w:val="none"/>
          <w:lang w:val="en-US" w:eastAsia="zh-CN"/>
        </w:rPr>
      </w:pPr>
      <w:r>
        <w:rPr>
          <w:color w:val="auto"/>
          <w:highlight w:val="none"/>
        </w:rPr>
        <w:fldChar w:fldCharType="begin"/>
      </w:r>
      <w:r>
        <w:rPr>
          <w:color w:val="auto"/>
          <w:highlight w:val="none"/>
        </w:rPr>
        <w:instrText xml:space="preserve"> HYPERLINK \l "_Toc17308" </w:instrText>
      </w:r>
      <w:r>
        <w:rPr>
          <w:color w:val="auto"/>
          <w:highlight w:val="none"/>
        </w:rPr>
        <w:fldChar w:fldCharType="separate"/>
      </w:r>
      <w:r>
        <w:rPr>
          <w:rFonts w:hint="eastAsia" w:ascii="宋体" w:hAnsi="宋体" w:cs="宋体"/>
          <w:color w:val="auto"/>
          <w:szCs w:val="32"/>
          <w:highlight w:val="none"/>
        </w:rPr>
        <w:t>附件1：工程质量保修书</w:t>
      </w:r>
      <w:r>
        <w:rPr>
          <w:color w:val="auto"/>
          <w:highlight w:val="none"/>
        </w:rPr>
        <w:tab/>
      </w:r>
      <w:r>
        <w:rPr>
          <w:rFonts w:hint="eastAsia"/>
          <w:color w:val="auto"/>
          <w:highlight w:val="none"/>
        </w:rPr>
        <w:t>9</w:t>
      </w:r>
      <w:r>
        <w:rPr>
          <w:rFonts w:hint="eastAsia"/>
          <w:color w:val="auto"/>
          <w:highlight w:val="none"/>
        </w:rPr>
        <w:fldChar w:fldCharType="end"/>
      </w:r>
      <w:r>
        <w:rPr>
          <w:rFonts w:hint="eastAsia"/>
          <w:color w:val="auto"/>
          <w:highlight w:val="none"/>
          <w:lang w:val="en-US" w:eastAsia="zh-CN"/>
        </w:rPr>
        <w:t>5</w:t>
      </w:r>
    </w:p>
    <w:p w14:paraId="27518D42">
      <w:pPr>
        <w:pStyle w:val="149"/>
        <w:tabs>
          <w:tab w:val="right" w:leader="dot" w:pos="9411"/>
        </w:tabs>
        <w:ind w:left="420"/>
        <w:rPr>
          <w:rFonts w:ascii="宋体" w:hAnsi="宋体" w:cs="宋体"/>
          <w:color w:val="auto"/>
          <w:szCs w:val="32"/>
          <w:highlight w:val="none"/>
        </w:rPr>
      </w:pPr>
      <w:r>
        <w:rPr>
          <w:rFonts w:hint="eastAsia" w:ascii="宋体" w:hAnsi="宋体" w:cs="宋体"/>
          <w:color w:val="auto"/>
          <w:szCs w:val="32"/>
          <w:highlight w:val="none"/>
        </w:rPr>
        <w:t>附件2：廉政合同</w:t>
      </w:r>
      <w:r>
        <w:rPr>
          <w:color w:val="auto"/>
          <w:highlight w:val="none"/>
        </w:rPr>
        <w:tab/>
      </w:r>
      <w:r>
        <w:rPr>
          <w:rFonts w:hint="eastAsia"/>
          <w:color w:val="auto"/>
          <w:highlight w:val="none"/>
        </w:rPr>
        <w:t>9</w:t>
      </w:r>
      <w:r>
        <w:rPr>
          <w:rFonts w:hint="eastAsia"/>
          <w:color w:val="auto"/>
          <w:highlight w:val="none"/>
          <w:lang w:val="en-US" w:eastAsia="zh-CN"/>
        </w:rPr>
        <w:t>7</w:t>
      </w:r>
    </w:p>
    <w:p w14:paraId="3C18DA32">
      <w:pPr>
        <w:pStyle w:val="149"/>
        <w:tabs>
          <w:tab w:val="right" w:leader="dot" w:pos="9411"/>
        </w:tabs>
        <w:ind w:left="420"/>
        <w:rPr>
          <w:rFonts w:hint="default" w:ascii="宋体" w:hAnsi="宋体" w:eastAsia="宋体" w:cs="宋体"/>
          <w:color w:val="auto"/>
          <w:szCs w:val="32"/>
          <w:highlight w:val="none"/>
          <w:lang w:val="en-US" w:eastAsia="zh-CN"/>
        </w:rPr>
      </w:pPr>
      <w:r>
        <w:rPr>
          <w:rFonts w:hint="eastAsia" w:ascii="宋体" w:hAnsi="宋体" w:cs="宋体"/>
          <w:color w:val="auto"/>
          <w:szCs w:val="32"/>
          <w:highlight w:val="none"/>
        </w:rPr>
        <w:t>附件3：保密协议</w:t>
      </w:r>
      <w:r>
        <w:rPr>
          <w:color w:val="auto"/>
          <w:highlight w:val="none"/>
        </w:rPr>
        <w:tab/>
      </w:r>
      <w:r>
        <w:rPr>
          <w:rFonts w:hint="eastAsia"/>
          <w:color w:val="auto"/>
          <w:highlight w:val="none"/>
          <w:lang w:val="en-US" w:eastAsia="zh-CN"/>
        </w:rPr>
        <w:t>99</w:t>
      </w:r>
    </w:p>
    <w:p w14:paraId="5AE21F14">
      <w:pPr>
        <w:pStyle w:val="149"/>
        <w:tabs>
          <w:tab w:val="right" w:leader="dot" w:pos="9411"/>
        </w:tabs>
        <w:ind w:left="420"/>
        <w:rPr>
          <w:rFonts w:hint="default" w:ascii="宋体" w:hAnsi="宋体" w:eastAsia="宋体" w:cs="宋体"/>
          <w:color w:val="auto"/>
          <w:szCs w:val="32"/>
          <w:highlight w:val="none"/>
          <w:lang w:val="en-US" w:eastAsia="zh-CN"/>
        </w:rPr>
      </w:pPr>
      <w:r>
        <w:rPr>
          <w:rFonts w:hint="eastAsia" w:ascii="宋体" w:hAnsi="宋体" w:cs="宋体"/>
          <w:color w:val="auto"/>
          <w:szCs w:val="32"/>
          <w:highlight w:val="none"/>
        </w:rPr>
        <w:t>附件4：</w:t>
      </w:r>
      <w:r>
        <w:rPr>
          <w:rFonts w:hint="eastAsia" w:ascii="宋体" w:hAnsi="宋体" w:cs="宋体"/>
          <w:color w:val="auto"/>
          <w:szCs w:val="32"/>
          <w:highlight w:val="none"/>
          <w:lang w:eastAsia="zh-CN"/>
        </w:rPr>
        <w:t>采购需求书（另册）</w:t>
      </w:r>
      <w:r>
        <w:rPr>
          <w:color w:val="auto"/>
          <w:highlight w:val="none"/>
        </w:rPr>
        <w:tab/>
      </w:r>
      <w:r>
        <w:rPr>
          <w:rFonts w:hint="eastAsia"/>
          <w:color w:val="auto"/>
          <w:highlight w:val="none"/>
          <w:lang w:val="en-US" w:eastAsia="zh-CN"/>
        </w:rPr>
        <w:t>101</w:t>
      </w:r>
    </w:p>
    <w:p w14:paraId="11B60A6A">
      <w:pPr>
        <w:pStyle w:val="149"/>
        <w:tabs>
          <w:tab w:val="right" w:leader="dot" w:pos="9411"/>
        </w:tabs>
        <w:ind w:left="420"/>
        <w:rPr>
          <w:rFonts w:hint="default" w:ascii="宋体" w:hAnsi="宋体" w:eastAsia="宋体" w:cs="宋体"/>
          <w:color w:val="auto"/>
          <w:szCs w:val="24"/>
          <w:highlight w:val="none"/>
          <w:lang w:val="en-US" w:eastAsia="zh-CN"/>
        </w:rPr>
      </w:pPr>
      <w:r>
        <w:rPr>
          <w:rFonts w:hint="eastAsia" w:ascii="宋体" w:hAnsi="宋体" w:cs="宋体"/>
          <w:color w:val="auto"/>
          <w:szCs w:val="32"/>
          <w:highlight w:val="none"/>
        </w:rPr>
        <w:t>附件5：</w:t>
      </w:r>
      <w:r>
        <w:rPr>
          <w:color w:val="auto"/>
          <w:highlight w:val="none"/>
        </w:rPr>
        <w:fldChar w:fldCharType="begin"/>
      </w:r>
      <w:r>
        <w:rPr>
          <w:color w:val="auto"/>
          <w:highlight w:val="none"/>
        </w:rPr>
        <w:instrText xml:space="preserve"> HYPERLINK \l "_Toc16242" </w:instrText>
      </w:r>
      <w:r>
        <w:rPr>
          <w:color w:val="auto"/>
          <w:highlight w:val="none"/>
        </w:rPr>
        <w:fldChar w:fldCharType="separate"/>
      </w:r>
      <w:r>
        <w:rPr>
          <w:rFonts w:hint="eastAsia" w:ascii="宋体" w:hAnsi="宋体" w:cs="宋体"/>
          <w:color w:val="auto"/>
          <w:szCs w:val="32"/>
          <w:highlight w:val="none"/>
        </w:rPr>
        <w:t>联合体协议书（复印件）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02</w:t>
      </w:r>
    </w:p>
    <w:p w14:paraId="387977F7">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附件6：《广州安居集团有限公司建设工程设计管理办法（试行）》</w:t>
      </w:r>
      <w:r>
        <w:rPr>
          <w:rFonts w:hint="eastAsia" w:ascii="宋体" w:hAnsi="宋体" w:cs="宋体"/>
          <w:color w:val="auto"/>
          <w:szCs w:val="32"/>
          <w:highlight w:val="none"/>
          <w:lang w:eastAsia="zh-CN"/>
        </w:rPr>
        <w:t>（另册）</w:t>
      </w:r>
      <w:r>
        <w:rPr>
          <w:color w:val="auto"/>
          <w:highlight w:val="none"/>
        </w:rPr>
        <w:fldChar w:fldCharType="begin"/>
      </w:r>
      <w:r>
        <w:rPr>
          <w:color w:val="auto"/>
          <w:highlight w:val="none"/>
        </w:rPr>
        <w:instrText xml:space="preserve"> HYPERLINK \l "_Toc12442" </w:instrText>
      </w:r>
      <w:r>
        <w:rPr>
          <w:color w:val="auto"/>
          <w:highlight w:val="none"/>
        </w:rPr>
        <w:fldChar w:fldCharType="separate"/>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03</w:t>
      </w:r>
    </w:p>
    <w:p w14:paraId="187FDF81">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附件7：《广州安居集团保障性住房项目设计评价标准及负面清单（试行）》</w:t>
      </w:r>
      <w:r>
        <w:rPr>
          <w:rFonts w:hint="eastAsia" w:ascii="宋体" w:hAnsi="宋体" w:cs="宋体"/>
          <w:color w:val="auto"/>
          <w:szCs w:val="32"/>
          <w:highlight w:val="none"/>
          <w:lang w:eastAsia="zh-CN"/>
        </w:rPr>
        <w:t>（另册）</w:t>
      </w:r>
      <w:r>
        <w:rPr>
          <w:color w:val="auto"/>
          <w:highlight w:val="none"/>
        </w:rPr>
        <w:tab/>
      </w:r>
      <w:r>
        <w:rPr>
          <w:rFonts w:hint="eastAsia"/>
          <w:color w:val="auto"/>
          <w:highlight w:val="none"/>
        </w:rPr>
        <w:t>1</w:t>
      </w:r>
      <w:r>
        <w:rPr>
          <w:rFonts w:hint="eastAsia"/>
          <w:color w:val="auto"/>
          <w:highlight w:val="none"/>
          <w:lang w:val="en-US" w:eastAsia="zh-CN"/>
        </w:rPr>
        <w:t>04</w:t>
      </w:r>
    </w:p>
    <w:p w14:paraId="36B217B8">
      <w:pPr>
        <w:pStyle w:val="148"/>
        <w:tabs>
          <w:tab w:val="right" w:leader="dot" w:pos="9411"/>
        </w:tabs>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附件8：《广州安居集团有限公司施工合同履约评价实施办法（试行）》（另册）</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5</w:t>
      </w:r>
    </w:p>
    <w:p w14:paraId="78C52533">
      <w:pPr>
        <w:pStyle w:val="148"/>
        <w:tabs>
          <w:tab w:val="right" w:leader="dot" w:pos="9411"/>
        </w:tabs>
        <w:ind w:firstLine="40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附件9：《广州安居住房置业有限公司工程预算编审指引（试行）》（另册）</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6</w:t>
      </w:r>
    </w:p>
    <w:p w14:paraId="47397F96">
      <w:pPr>
        <w:pStyle w:val="148"/>
        <w:tabs>
          <w:tab w:val="right" w:leader="dot" w:pos="9411"/>
        </w:tabs>
        <w:ind w:firstLine="400" w:firstLineChars="200"/>
        <w:rPr>
          <w:rFonts w:hint="default"/>
          <w:color w:val="auto"/>
          <w:highlight w:val="none"/>
          <w:lang w:val="en-US" w:eastAsia="zh-CN"/>
        </w:rPr>
      </w:pPr>
      <w:r>
        <w:rPr>
          <w:rFonts w:hint="eastAsia" w:ascii="宋体" w:hAnsi="宋体" w:cs="宋体"/>
          <w:color w:val="auto"/>
          <w:highlight w:val="none"/>
          <w:lang w:val="en-US" w:eastAsia="zh-CN"/>
        </w:rPr>
        <w:t>附件10</w:t>
      </w:r>
      <w:r>
        <w:rPr>
          <w:rFonts w:hint="eastAsia"/>
          <w:color w:val="auto"/>
          <w:highlight w:val="none"/>
          <w:lang w:val="en-US" w:eastAsia="zh-CN"/>
        </w:rPr>
        <w:t>：《广州安居住房置业有限公司工程结算编审指引（试行）》（另册）</w:t>
      </w:r>
      <w:r>
        <w:rPr>
          <w:color w:val="auto"/>
          <w:highlight w:val="none"/>
        </w:rPr>
        <w:tab/>
      </w:r>
      <w:r>
        <w:rPr>
          <w:rFonts w:hint="eastAsia"/>
          <w:color w:val="auto"/>
          <w:highlight w:val="none"/>
        </w:rPr>
        <w:t>1</w:t>
      </w:r>
      <w:r>
        <w:rPr>
          <w:rFonts w:hint="eastAsia"/>
          <w:color w:val="auto"/>
          <w:highlight w:val="none"/>
          <w:lang w:val="en-US" w:eastAsia="zh-CN"/>
        </w:rPr>
        <w:t>07</w:t>
      </w:r>
    </w:p>
    <w:p w14:paraId="76D80DB3">
      <w:pPr>
        <w:pStyle w:val="148"/>
        <w:tabs>
          <w:tab w:val="right" w:leader="dot" w:pos="9411"/>
        </w:tabs>
        <w:ind w:firstLine="40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：承包人法定代表人、项目负责人的身份证、职务、职称及通信联系方式</w:t>
      </w:r>
      <w:r>
        <w:rPr>
          <w:color w:val="auto"/>
          <w:highlight w:val="none"/>
        </w:rPr>
        <w:tab/>
      </w:r>
      <w:r>
        <w:rPr>
          <w:rFonts w:hint="eastAsia"/>
          <w:color w:val="auto"/>
          <w:highlight w:val="none"/>
        </w:rPr>
        <w:t>1</w:t>
      </w:r>
      <w:r>
        <w:rPr>
          <w:rFonts w:hint="eastAsia"/>
          <w:color w:val="auto"/>
          <w:highlight w:val="none"/>
          <w:lang w:val="en-US" w:eastAsia="zh-CN"/>
        </w:rPr>
        <w:t>08</w:t>
      </w:r>
    </w:p>
    <w:p w14:paraId="3F00AECA">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rFonts w:hint="eastAsia" w:ascii="宋体" w:hAnsi="宋体" w:cs="宋体"/>
          <w:color w:val="auto"/>
          <w:szCs w:val="24"/>
          <w:highlight w:val="none"/>
        </w:rPr>
        <w:t>主要材料设备品牌推荐表（参照或相当于）</w:t>
      </w:r>
      <w:r>
        <w:rPr>
          <w:rFonts w:hint="eastAsia" w:ascii="宋体" w:hAnsi="宋体" w:cs="宋体"/>
          <w:color w:val="auto"/>
          <w:szCs w:val="32"/>
          <w:highlight w:val="none"/>
          <w:lang w:eastAsia="zh-CN"/>
        </w:rPr>
        <w:t>（另册）</w:t>
      </w:r>
      <w:r>
        <w:rPr>
          <w:color w:val="auto"/>
          <w:highlight w:val="none"/>
        </w:rPr>
        <w:tab/>
      </w:r>
      <w:r>
        <w:rPr>
          <w:rFonts w:hint="eastAsia"/>
          <w:color w:val="auto"/>
          <w:highlight w:val="none"/>
        </w:rPr>
        <w:fldChar w:fldCharType="end"/>
      </w:r>
      <w:r>
        <w:rPr>
          <w:rFonts w:hint="eastAsia"/>
          <w:color w:val="auto"/>
          <w:highlight w:val="none"/>
          <w:lang w:val="en-US" w:eastAsia="zh-CN"/>
        </w:rPr>
        <w:t>109</w:t>
      </w:r>
    </w:p>
    <w:p w14:paraId="361F386E">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13</w:t>
      </w:r>
      <w:r>
        <w:rPr>
          <w:rFonts w:hint="eastAsia" w:ascii="宋体" w:hAnsi="宋体" w:cs="宋体"/>
          <w:color w:val="auto"/>
          <w:szCs w:val="24"/>
          <w:highlight w:val="none"/>
        </w:rPr>
        <w:t>：</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rFonts w:hint="eastAsia" w:ascii="宋体" w:hAnsi="宋体" w:cs="宋体"/>
          <w:color w:val="auto"/>
          <w:szCs w:val="24"/>
          <w:highlight w:val="none"/>
          <w:lang w:eastAsia="zh-CN"/>
        </w:rPr>
        <w:t>建筑施工安全生产协议书</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10</w:t>
      </w:r>
    </w:p>
    <w:p w14:paraId="16B381A3">
      <w:pPr>
        <w:pStyle w:val="148"/>
        <w:tabs>
          <w:tab w:val="right" w:leader="dot" w:pos="9411"/>
        </w:tabs>
        <w:ind w:firstLine="400" w:firstLineChars="200"/>
        <w:rPr>
          <w:rFonts w:hint="default"/>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14</w:t>
      </w:r>
      <w:r>
        <w:rPr>
          <w:rFonts w:hint="eastAsia" w:ascii="宋体" w:hAnsi="宋体" w:cs="宋体"/>
          <w:color w:val="auto"/>
          <w:szCs w:val="24"/>
          <w:highlight w:val="none"/>
        </w:rPr>
        <w:t>：</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rFonts w:hint="eastAsia" w:ascii="宋体" w:hAnsi="宋体" w:cs="宋体"/>
          <w:color w:val="auto"/>
          <w:szCs w:val="24"/>
          <w:highlight w:val="none"/>
          <w:lang w:eastAsia="zh-CN"/>
        </w:rPr>
        <w:t>工人权益保障承诺书</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13</w:t>
      </w:r>
    </w:p>
    <w:p w14:paraId="4932AA26">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15</w:t>
      </w:r>
      <w:r>
        <w:rPr>
          <w:rFonts w:hint="eastAsia" w:ascii="宋体" w:hAnsi="宋体" w:cs="宋体"/>
          <w:color w:val="auto"/>
          <w:szCs w:val="24"/>
          <w:highlight w:val="none"/>
        </w:rPr>
        <w:t>：</w:t>
      </w:r>
      <w:r>
        <w:rPr>
          <w:rFonts w:hint="eastAsia"/>
          <w:color w:val="auto"/>
          <w:highlight w:val="none"/>
          <w:lang w:val="en-US" w:eastAsia="zh-CN"/>
        </w:rPr>
        <w:t>《安居“好房子”绿化苗木选用及种植技术指引（试行）》</w:t>
      </w:r>
      <w:r>
        <w:rPr>
          <w:rFonts w:hint="eastAsia" w:ascii="宋体" w:hAnsi="宋体" w:cs="宋体"/>
          <w:color w:val="auto"/>
          <w:szCs w:val="32"/>
          <w:highlight w:val="none"/>
          <w:lang w:eastAsia="zh-CN"/>
        </w:rPr>
        <w:t>（另册）</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14</w:t>
      </w:r>
    </w:p>
    <w:p w14:paraId="767C9114">
      <w:pPr>
        <w:pStyle w:val="148"/>
        <w:tabs>
          <w:tab w:val="right" w:leader="dot" w:pos="9411"/>
        </w:tabs>
        <w:ind w:firstLine="400" w:firstLineChars="200"/>
        <w:rPr>
          <w:rFonts w:hint="eastAsia"/>
          <w:color w:val="auto"/>
          <w:highlight w:val="none"/>
          <w:lang w:val="en-US" w:eastAsia="zh-CN"/>
        </w:rPr>
      </w:pP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16</w:t>
      </w:r>
      <w:r>
        <w:rPr>
          <w:rFonts w:hint="eastAsia" w:ascii="宋体" w:hAnsi="宋体" w:cs="宋体"/>
          <w:color w:val="auto"/>
          <w:szCs w:val="24"/>
          <w:highlight w:val="none"/>
        </w:rPr>
        <w:t>：</w:t>
      </w:r>
      <w:r>
        <w:rPr>
          <w:rFonts w:hint="eastAsia"/>
          <w:color w:val="auto"/>
          <w:highlight w:val="none"/>
          <w:lang w:val="en-US" w:eastAsia="zh-CN"/>
        </w:rPr>
        <w:t>《安居“好房子”项目小区道路及园林景观设计指引（试行）》</w:t>
      </w:r>
      <w:r>
        <w:rPr>
          <w:rFonts w:hint="eastAsia" w:ascii="宋体" w:hAnsi="宋体" w:cs="宋体"/>
          <w:color w:val="auto"/>
          <w:szCs w:val="32"/>
          <w:highlight w:val="none"/>
          <w:lang w:eastAsia="zh-CN"/>
        </w:rPr>
        <w:t>（另册）</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15</w:t>
      </w:r>
    </w:p>
    <w:p w14:paraId="7E868C9E">
      <w:pPr>
        <w:pStyle w:val="148"/>
        <w:tabs>
          <w:tab w:val="right" w:leader="dot" w:pos="9411"/>
        </w:tabs>
        <w:ind w:firstLine="400" w:firstLineChars="200"/>
        <w:rPr>
          <w:rFonts w:hint="eastAsia"/>
          <w:color w:val="auto"/>
          <w:highlight w:val="none"/>
          <w:lang w:val="en-US" w:eastAsia="zh-CN"/>
        </w:rPr>
      </w:pPr>
    </w:p>
    <w:p w14:paraId="169F537F">
      <w:pPr>
        <w:pStyle w:val="148"/>
        <w:tabs>
          <w:tab w:val="right" w:leader="dot" w:pos="9411"/>
        </w:tabs>
        <w:ind w:firstLine="400" w:firstLineChars="200"/>
        <w:rPr>
          <w:rFonts w:hint="eastAsia"/>
          <w:color w:val="auto"/>
          <w:highlight w:val="none"/>
          <w:lang w:val="en-US" w:eastAsia="zh-CN"/>
        </w:rPr>
      </w:pPr>
    </w:p>
    <w:p w14:paraId="374C5894">
      <w:pPr>
        <w:pStyle w:val="148"/>
        <w:tabs>
          <w:tab w:val="right" w:leader="dot" w:pos="9411"/>
        </w:tabs>
        <w:ind w:firstLine="400" w:firstLineChars="200"/>
        <w:rPr>
          <w:rFonts w:hint="eastAsia"/>
          <w:color w:val="auto"/>
          <w:highlight w:val="none"/>
          <w:lang w:val="en-US" w:eastAsia="zh-CN"/>
        </w:rPr>
      </w:pPr>
    </w:p>
    <w:p w14:paraId="75F93592">
      <w:pPr>
        <w:pStyle w:val="148"/>
        <w:tabs>
          <w:tab w:val="right" w:leader="dot" w:pos="9411"/>
        </w:tabs>
        <w:ind w:firstLine="400" w:firstLineChars="200"/>
        <w:rPr>
          <w:rFonts w:hint="eastAsia"/>
          <w:color w:val="auto"/>
          <w:highlight w:val="none"/>
          <w:lang w:val="en-US" w:eastAsia="zh-CN"/>
        </w:rPr>
      </w:pPr>
    </w:p>
    <w:p w14:paraId="50D57D38">
      <w:pPr>
        <w:widowControl/>
        <w:jc w:val="left"/>
        <w:rPr>
          <w:rFonts w:ascii="宋体" w:hAnsi="宋体" w:cs="宋体"/>
          <w:b/>
          <w:color w:val="auto"/>
          <w:sz w:val="32"/>
          <w:szCs w:val="32"/>
          <w:highlight w:val="none"/>
        </w:rPr>
      </w:pPr>
      <w:r>
        <w:rPr>
          <w:rFonts w:hint="eastAsia" w:ascii="宋体" w:hAnsi="宋体" w:cs="宋体"/>
          <w:b/>
          <w:color w:val="auto"/>
          <w:szCs w:val="32"/>
          <w:highlight w:val="none"/>
        </w:rPr>
        <w:fldChar w:fldCharType="end"/>
      </w:r>
    </w:p>
    <w:p w14:paraId="29C68DC9">
      <w:pPr>
        <w:adjustRightInd w:val="0"/>
        <w:snapToGrid w:val="0"/>
        <w:spacing w:line="360" w:lineRule="auto"/>
        <w:ind w:firstLine="482"/>
        <w:jc w:val="center"/>
        <w:outlineLvl w:val="0"/>
        <w:rPr>
          <w:rFonts w:ascii="宋体" w:hAnsi="宋体" w:cs="宋体"/>
          <w:b/>
          <w:color w:val="auto"/>
          <w:sz w:val="32"/>
          <w:szCs w:val="32"/>
          <w:highlight w:val="none"/>
        </w:rPr>
      </w:pPr>
      <w:bookmarkStart w:id="2" w:name="_Toc25845"/>
    </w:p>
    <w:p w14:paraId="580DE517">
      <w:pPr>
        <w:adjustRightInd w:val="0"/>
        <w:snapToGrid w:val="0"/>
        <w:spacing w:line="360" w:lineRule="auto"/>
        <w:ind w:firstLine="482"/>
        <w:jc w:val="center"/>
        <w:outlineLvl w:val="0"/>
        <w:rPr>
          <w:rFonts w:ascii="宋体" w:hAnsi="宋体" w:cs="宋体"/>
          <w:b/>
          <w:color w:val="auto"/>
          <w:sz w:val="32"/>
          <w:szCs w:val="32"/>
          <w:highlight w:val="none"/>
        </w:rPr>
        <w:sectPr>
          <w:footerReference r:id="rId6" w:type="default"/>
          <w:pgSz w:w="11905" w:h="16838"/>
          <w:pgMar w:top="1247" w:right="1247" w:bottom="1247" w:left="1247" w:header="567" w:footer="850" w:gutter="0"/>
          <w:pgNumType w:start="1"/>
          <w:cols w:space="720" w:num="1"/>
          <w:docGrid w:type="lines" w:linePitch="312" w:charSpace="0"/>
        </w:sectPr>
      </w:pPr>
    </w:p>
    <w:p w14:paraId="2877448F">
      <w:pPr>
        <w:adjustRightInd w:val="0"/>
        <w:snapToGrid w:val="0"/>
        <w:spacing w:line="360" w:lineRule="auto"/>
        <w:ind w:firstLine="48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第一部分   协议书</w:t>
      </w:r>
      <w:bookmarkEnd w:id="2"/>
    </w:p>
    <w:p w14:paraId="68A97790">
      <w:pPr>
        <w:adjustRightInd w:val="0"/>
        <w:snapToGrid w:val="0"/>
        <w:spacing w:line="360" w:lineRule="auto"/>
        <w:ind w:firstLine="482"/>
        <w:rPr>
          <w:rFonts w:ascii="宋体" w:hAnsi="宋体" w:cs="宋体"/>
          <w:b/>
          <w:color w:val="auto"/>
          <w:sz w:val="24"/>
          <w:highlight w:val="none"/>
        </w:rPr>
      </w:pPr>
    </w:p>
    <w:p w14:paraId="2B2359F5">
      <w:pPr>
        <w:adjustRightInd w:val="0"/>
        <w:snapToGrid w:val="0"/>
        <w:spacing w:line="360" w:lineRule="auto"/>
        <w:ind w:firstLine="482" w:firstLineChars="200"/>
        <w:outlineLvl w:val="1"/>
        <w:rPr>
          <w:rFonts w:hint="eastAsia" w:ascii="宋体" w:hAnsi="宋体" w:eastAsia="宋体" w:cs="宋体"/>
          <w:color w:val="auto"/>
          <w:sz w:val="24"/>
          <w:highlight w:val="none"/>
          <w:u w:val="single"/>
          <w:lang w:val="en-US" w:eastAsia="zh-CN"/>
        </w:rPr>
      </w:pPr>
      <w:bookmarkStart w:id="3" w:name="_Toc5730"/>
      <w:r>
        <w:rPr>
          <w:rFonts w:hint="eastAsia" w:ascii="宋体" w:hAnsi="宋体" w:cs="宋体"/>
          <w:b/>
          <w:color w:val="auto"/>
          <w:sz w:val="24"/>
          <w:highlight w:val="none"/>
        </w:rPr>
        <w:t>发包人：</w:t>
      </w:r>
      <w:r>
        <w:rPr>
          <w:rFonts w:hint="eastAsia" w:ascii="宋体" w:hAnsi="宋体" w:eastAsia="宋体" w:cs="宋体"/>
          <w:b w:val="0"/>
          <w:bCs w:val="0"/>
          <w:color w:val="auto"/>
          <w:sz w:val="24"/>
          <w:szCs w:val="24"/>
          <w:highlight w:val="none"/>
          <w:u w:val="single"/>
          <w:lang w:eastAsia="zh-CN"/>
        </w:rPr>
        <w:t>广州安居住房置业有限公司</w:t>
      </w:r>
      <w:bookmarkEnd w:id="3"/>
    </w:p>
    <w:p w14:paraId="7871884A">
      <w:pPr>
        <w:adjustRightInd w:val="0"/>
        <w:snapToGrid w:val="0"/>
        <w:spacing w:line="360" w:lineRule="auto"/>
        <w:ind w:left="963" w:leftChars="229" w:hanging="482" w:hangingChars="200"/>
        <w:rPr>
          <w:rFonts w:hint="eastAsia" w:ascii="宋体" w:hAnsi="宋体" w:cs="宋体"/>
          <w:color w:val="auto"/>
          <w:sz w:val="24"/>
          <w:highlight w:val="none"/>
          <w:u w:val="single"/>
          <w:lang w:val="en-US" w:eastAsia="zh-CN"/>
        </w:rPr>
      </w:pPr>
      <w:r>
        <w:rPr>
          <w:rFonts w:hint="eastAsia" w:ascii="宋体" w:hAnsi="宋体" w:cs="宋体"/>
          <w:b/>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11BC5205">
      <w:pPr>
        <w:pStyle w:val="2"/>
        <w:ind w:firstLine="1440" w:firstLineChars="6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090D7B26">
      <w:pPr>
        <w:pStyle w:val="2"/>
        <w:ind w:firstLine="960" w:firstLineChars="400"/>
        <w:rPr>
          <w:rFonts w:hint="eastAsia" w:ascii="宋体" w:hAnsi="宋体" w:cs="宋体"/>
          <w:color w:val="auto"/>
          <w:sz w:val="24"/>
          <w:highlight w:val="none"/>
          <w:u w:val="single"/>
          <w:lang w:val="en-US" w:eastAsia="zh-CN"/>
        </w:rPr>
      </w:pPr>
    </w:p>
    <w:p w14:paraId="47A955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依照《中华人民共和国民法典》、《中华人民共和国建筑法》、《中华人民共和国招标投标法》及其它有关法律、行政法规，遵循平等、自愿、公平和诚实信用的原则，发包人、承包人就</w:t>
      </w:r>
      <w:r>
        <w:rPr>
          <w:rFonts w:hint="eastAsia" w:ascii="宋体" w:hAnsi="宋体" w:eastAsia="宋体" w:cs="宋体"/>
          <w:b w:val="0"/>
          <w:bCs w:val="0"/>
          <w:color w:val="auto"/>
          <w:sz w:val="24"/>
          <w:szCs w:val="24"/>
          <w:highlight w:val="none"/>
          <w:u w:val="single"/>
        </w:rPr>
        <w:t>金沙洲新社区人居环境升级改造</w:t>
      </w:r>
      <w:r>
        <w:rPr>
          <w:rFonts w:hint="eastAsia" w:ascii="宋体" w:hAnsi="宋体" w:eastAsia="宋体" w:cs="宋体"/>
          <w:color w:val="auto"/>
          <w:sz w:val="24"/>
          <w:szCs w:val="24"/>
          <w:highlight w:val="none"/>
          <w:u w:val="single"/>
        </w:rPr>
        <w:t>项目</w:t>
      </w:r>
      <w:r>
        <w:rPr>
          <w:rFonts w:hint="eastAsia" w:ascii="宋体" w:hAnsi="宋体" w:cs="宋体"/>
          <w:color w:val="auto"/>
          <w:sz w:val="24"/>
          <w:highlight w:val="none"/>
          <w:u w:val="single"/>
        </w:rPr>
        <w:t>（</w:t>
      </w:r>
      <w:r>
        <w:rPr>
          <w:rFonts w:hint="eastAsia" w:ascii="宋体" w:hAnsi="宋体" w:cs="宋体"/>
          <w:color w:val="auto"/>
          <w:sz w:val="24"/>
          <w:highlight w:val="none"/>
        </w:rPr>
        <w:t>以下简称本工程）事宜协商一致，订立本合同。</w:t>
      </w:r>
    </w:p>
    <w:p w14:paraId="65BF7D87">
      <w:pPr>
        <w:adjustRightInd w:val="0"/>
        <w:snapToGrid w:val="0"/>
        <w:spacing w:line="360" w:lineRule="auto"/>
        <w:ind w:firstLine="482" w:firstLineChars="200"/>
        <w:outlineLvl w:val="1"/>
        <w:rPr>
          <w:rFonts w:ascii="宋体" w:hAnsi="宋体" w:cs="宋体"/>
          <w:b/>
          <w:color w:val="auto"/>
          <w:sz w:val="24"/>
          <w:highlight w:val="none"/>
        </w:rPr>
      </w:pPr>
      <w:bookmarkStart w:id="4" w:name="_Toc18398"/>
      <w:r>
        <w:rPr>
          <w:rFonts w:hint="eastAsia" w:ascii="宋体" w:hAnsi="宋体" w:cs="宋体"/>
          <w:b/>
          <w:color w:val="auto"/>
          <w:sz w:val="24"/>
          <w:highlight w:val="none"/>
        </w:rPr>
        <w:t>一、工程概况</w:t>
      </w:r>
      <w:bookmarkEnd w:id="4"/>
    </w:p>
    <w:p w14:paraId="4A635847">
      <w:pPr>
        <w:adjustRightInd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1.1工程名称：</w:t>
      </w:r>
      <w:r>
        <w:rPr>
          <w:rFonts w:hint="eastAsia" w:ascii="宋体" w:hAnsi="宋体" w:eastAsia="宋体" w:cs="宋体"/>
          <w:b w:val="0"/>
          <w:bCs w:val="0"/>
          <w:color w:val="auto"/>
          <w:sz w:val="24"/>
          <w:szCs w:val="24"/>
          <w:highlight w:val="none"/>
          <w:u w:val="single"/>
        </w:rPr>
        <w:t>金沙洲新社区人居环境升级改造</w:t>
      </w:r>
      <w:r>
        <w:rPr>
          <w:rFonts w:hint="eastAsia" w:ascii="宋体" w:hAnsi="宋体" w:eastAsia="宋体" w:cs="宋体"/>
          <w:color w:val="auto"/>
          <w:sz w:val="24"/>
          <w:szCs w:val="24"/>
          <w:highlight w:val="none"/>
          <w:u w:val="single"/>
        </w:rPr>
        <w:t>项目设计</w:t>
      </w:r>
      <w:r>
        <w:rPr>
          <w:rFonts w:hint="eastAsia" w:ascii="宋体" w:hAnsi="宋体" w:cs="宋体"/>
          <w:color w:val="auto"/>
          <w:sz w:val="24"/>
          <w:szCs w:val="24"/>
          <w:highlight w:val="none"/>
          <w:u w:val="single"/>
        </w:rPr>
        <w:t>施工总承包</w:t>
      </w:r>
    </w:p>
    <w:p w14:paraId="34D20408">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1.2工程地点：</w:t>
      </w:r>
      <w:r>
        <w:rPr>
          <w:rFonts w:hint="eastAsia" w:ascii="宋体" w:hAnsi="宋体" w:eastAsia="宋体" w:cs="宋体"/>
          <w:color w:val="auto"/>
          <w:sz w:val="24"/>
          <w:szCs w:val="24"/>
          <w:highlight w:val="none"/>
          <w:u w:val="single"/>
          <w:lang w:eastAsia="zh-CN"/>
        </w:rPr>
        <w:t>广州市白云区金沙洲新社区</w:t>
      </w:r>
      <w:r>
        <w:rPr>
          <w:rFonts w:hint="eastAsia" w:ascii="宋体" w:hAnsi="宋体" w:cs="宋体"/>
          <w:color w:val="auto"/>
          <w:sz w:val="24"/>
          <w:highlight w:val="none"/>
        </w:rPr>
        <w:t>。</w:t>
      </w:r>
    </w:p>
    <w:p w14:paraId="7872E73A">
      <w:pPr>
        <w:adjustRightInd w:val="0"/>
        <w:snapToGrid w:val="0"/>
        <w:spacing w:line="360" w:lineRule="auto"/>
        <w:ind w:firstLine="482" w:firstLineChars="200"/>
        <w:jc w:val="left"/>
        <w:rPr>
          <w:rFonts w:hint="eastAsia" w:ascii="宋体" w:hAnsi="宋体" w:eastAsia="宋体" w:cs="宋体"/>
          <w:color w:val="auto"/>
          <w:sz w:val="24"/>
          <w:highlight w:val="none"/>
          <w:u w:val="single"/>
          <w:lang w:eastAsia="zh-CN"/>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资金来源：</w:t>
      </w:r>
      <w:r>
        <w:rPr>
          <w:rFonts w:hint="eastAsia" w:ascii="宋体" w:hAnsi="宋体" w:cs="宋体"/>
          <w:color w:val="auto"/>
          <w:sz w:val="24"/>
          <w:szCs w:val="24"/>
          <w:highlight w:val="none"/>
          <w:u w:val="single"/>
          <w:lang w:eastAsia="zh-CN"/>
        </w:rPr>
        <w:t>企业自筹</w:t>
      </w:r>
    </w:p>
    <w:p w14:paraId="491D59D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项目规模</w:t>
      </w:r>
      <w:r>
        <w:rPr>
          <w:rFonts w:hint="eastAsia" w:ascii="宋体" w:hAnsi="宋体" w:cs="宋体"/>
          <w:color w:val="auto"/>
          <w:sz w:val="24"/>
          <w:highlight w:val="none"/>
        </w:rPr>
        <w:t>：</w:t>
      </w:r>
    </w:p>
    <w:p w14:paraId="7217CA0D">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u w:val="single"/>
        </w:rPr>
        <w:t>项目位于白云区金沙洲新社区，</w:t>
      </w:r>
      <w:r>
        <w:rPr>
          <w:rFonts w:hint="eastAsia" w:ascii="宋体" w:hAnsi="宋体" w:eastAsia="宋体" w:cs="宋体"/>
          <w:color w:val="auto"/>
          <w:sz w:val="24"/>
          <w:szCs w:val="24"/>
          <w:highlight w:val="none"/>
          <w:u w:val="single"/>
          <w:lang w:val="en-US" w:eastAsia="zh-CN"/>
        </w:rPr>
        <w:t>总建筑面积49.08万平方米、总用地面积33.95万平方米、其中住宅用地面积为18.89万平方米</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共6060户，</w:t>
      </w:r>
      <w:r>
        <w:rPr>
          <w:rFonts w:hint="eastAsia" w:ascii="宋体" w:hAnsi="宋体" w:eastAsia="宋体" w:cs="宋体"/>
          <w:color w:val="auto"/>
          <w:sz w:val="24"/>
          <w:szCs w:val="24"/>
          <w:highlight w:val="none"/>
          <w:u w:val="single"/>
        </w:rPr>
        <w:t>总楼栋数为143栋，其中6层楼梯住宅数量为95栋，11层电梯住宅数量为16栋，18层电梯住宅数量为32栋,楼栋最高标高为52.2m。现需对</w:t>
      </w:r>
      <w:r>
        <w:rPr>
          <w:rFonts w:hint="eastAsia" w:ascii="宋体" w:hAnsi="宋体" w:eastAsia="宋体" w:cs="宋体"/>
          <w:color w:val="auto"/>
          <w:sz w:val="24"/>
          <w:szCs w:val="24"/>
          <w:highlight w:val="none"/>
          <w:u w:val="single"/>
          <w:lang w:val="en-US" w:eastAsia="zh-CN"/>
        </w:rPr>
        <w:t>小区部分区域进行环境升级改造，本次改造面积约为6.1502公顷。</w:t>
      </w:r>
    </w:p>
    <w:p w14:paraId="13AFF772">
      <w:pPr>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工程内容：</w:t>
      </w:r>
    </w:p>
    <w:p w14:paraId="7F6DC9D3">
      <w:pPr>
        <w:adjustRightInd w:val="0"/>
        <w:snapToGrid w:val="0"/>
        <w:spacing w:line="360" w:lineRule="auto"/>
        <w:ind w:firstLine="480" w:firstLineChars="200"/>
        <w:rPr>
          <w:rFonts w:hint="eastAsia" w:ascii="宋体" w:hAnsi="宋体" w:cs="宋体"/>
          <w:color w:val="auto"/>
          <w:sz w:val="24"/>
          <w:highlight w:val="none"/>
          <w:u w:val="single"/>
        </w:rPr>
      </w:pPr>
      <w:bookmarkStart w:id="5" w:name="_Toc23883"/>
      <w:r>
        <w:rPr>
          <w:rFonts w:hint="eastAsia" w:ascii="宋体" w:hAnsi="宋体" w:eastAsia="宋体" w:cs="宋体"/>
          <w:b w:val="0"/>
          <w:color w:val="auto"/>
          <w:sz w:val="24"/>
          <w:szCs w:val="24"/>
          <w:highlight w:val="none"/>
          <w:u w:val="single"/>
          <w:lang w:val="en-US" w:eastAsia="zh-CN"/>
        </w:rPr>
        <w:t>金沙洲新社区人居环境升级改造项目</w:t>
      </w:r>
      <w:r>
        <w:rPr>
          <w:rFonts w:hint="eastAsia" w:ascii="宋体" w:hAnsi="宋体" w:eastAsia="宋体" w:cs="宋体"/>
          <w:color w:val="auto"/>
          <w:sz w:val="24"/>
          <w:szCs w:val="24"/>
          <w:highlight w:val="none"/>
          <w:u w:val="single"/>
          <w:lang w:val="en-US" w:eastAsia="zh-CN"/>
        </w:rPr>
        <w:t>路面硬化、现状雨棚提升、现状充电桩升级、增设充电设施、增设景观小品和休闲设施、新增绿植、部分人行道铺装层升级改造</w:t>
      </w:r>
      <w:r>
        <w:rPr>
          <w:rFonts w:hint="eastAsia" w:ascii="宋体" w:hAnsi="宋体" w:eastAsia="宋体" w:cs="宋体"/>
          <w:color w:val="auto"/>
          <w:sz w:val="24"/>
          <w:szCs w:val="24"/>
          <w:highlight w:val="none"/>
          <w:u w:val="single"/>
        </w:rPr>
        <w:t>，根据发包人提供的基础资料，结合项目现场查勘情况，负责本项目设计及施工工作。其中设计工作包括但不限于方案设计、施工图设计、竣工图盖章确认等工作；施工部分包括按发包人确认的设计文件、合同约定完成本项目涉及建设内容的所有施工工作（包括施工图预算以及竣工结算编制工作）。确保工程质量满足国家、省、市现行有效规范的要求，满足发包人相关设计管理要求、施工进度及施工安全管理等要求。具体经发包审核确认的方案、图纸、工程量清单及招标文件及本合同约定为准。</w:t>
      </w:r>
    </w:p>
    <w:p w14:paraId="5527CAF6">
      <w:pPr>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标段划分：</w:t>
      </w:r>
      <w:r>
        <w:rPr>
          <w:rFonts w:hint="eastAsia" w:ascii="宋体" w:hAnsi="宋体" w:eastAsia="宋体" w:cs="宋体"/>
          <w:color w:val="auto"/>
          <w:sz w:val="24"/>
          <w:szCs w:val="24"/>
          <w:highlight w:val="none"/>
          <w:u w:val="single"/>
        </w:rPr>
        <w:t>本工程划分为1个标段。</w:t>
      </w:r>
    </w:p>
    <w:p w14:paraId="095522CD">
      <w:pPr>
        <w:adjustRightInd w:val="0"/>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二、工程承包范围及承包方式</w:t>
      </w:r>
      <w:bookmarkEnd w:id="5"/>
    </w:p>
    <w:p w14:paraId="6CFB3E56">
      <w:pPr>
        <w:adjustRightInd w:val="0"/>
        <w:snapToGrid w:val="0"/>
        <w:spacing w:line="360" w:lineRule="auto"/>
        <w:ind w:left="0" w:firstLine="482" w:firstLineChars="200"/>
        <w:rPr>
          <w:rFonts w:ascii="宋体" w:hAnsi="宋体" w:cs="宋体"/>
          <w:color w:val="auto"/>
          <w:sz w:val="24"/>
          <w:highlight w:val="none"/>
          <w:u w:val="single"/>
        </w:rPr>
      </w:pPr>
      <w:r>
        <w:rPr>
          <w:rFonts w:hint="eastAsia" w:ascii="宋体" w:hAnsi="宋体" w:cs="宋体"/>
          <w:b/>
          <w:color w:val="auto"/>
          <w:sz w:val="24"/>
          <w:highlight w:val="none"/>
        </w:rPr>
        <w:t>2.1承包范围：</w:t>
      </w:r>
      <w:r>
        <w:rPr>
          <w:rFonts w:hint="eastAsia" w:ascii="宋体" w:hAnsi="宋体" w:cs="宋体"/>
          <w:color w:val="auto"/>
          <w:sz w:val="24"/>
          <w:highlight w:val="none"/>
          <w:u w:val="single"/>
        </w:rPr>
        <w:t>包括但不限于以下内容：</w:t>
      </w:r>
    </w:p>
    <w:p w14:paraId="47B48569">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2.1.1设计工作</w:t>
      </w:r>
    </w:p>
    <w:p w14:paraId="34616B7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（1）负责</w:t>
      </w:r>
      <w:r>
        <w:rPr>
          <w:rFonts w:hint="eastAsia" w:ascii="宋体" w:hAnsi="宋体" w:eastAsia="宋体" w:cs="宋体"/>
          <w:b w:val="0"/>
          <w:bCs w:val="0"/>
          <w:color w:val="auto"/>
          <w:sz w:val="24"/>
          <w:szCs w:val="24"/>
          <w:highlight w:val="none"/>
          <w:u w:val="single"/>
        </w:rPr>
        <w:t>金沙洲新社区人居环境升级改造</w:t>
      </w:r>
      <w:r>
        <w:rPr>
          <w:rFonts w:hint="eastAsia" w:ascii="宋体" w:hAnsi="宋体" w:cs="宋体"/>
          <w:color w:val="auto"/>
          <w:sz w:val="24"/>
          <w:highlight w:val="none"/>
          <w:u w:val="single"/>
        </w:rPr>
        <w:t>项目的设计工作，包含方案设计、施工图设计、施工过程中的方案优化及设计变更、竣工图审核及盖章、现场服务、各项设计协调服务、各专业报审报建报验、施工及验收过程的配合、配合上级部门审批相关工作等，包括但不限于</w:t>
      </w:r>
      <w:r>
        <w:rPr>
          <w:rFonts w:hint="eastAsia" w:ascii="宋体" w:hAnsi="宋体" w:eastAsia="宋体" w:cs="宋体"/>
          <w:color w:val="auto"/>
          <w:kern w:val="2"/>
          <w:sz w:val="24"/>
          <w:szCs w:val="24"/>
          <w:highlight w:val="none"/>
          <w:u w:val="single"/>
          <w:lang w:eastAsia="zh-CN"/>
        </w:rPr>
        <w:t>小区路面硬化、现状雨棚提升、现状充电桩升级、增设充电设施、增设景观小品和休闲设施、新增绿植、部分人行道铺装层升级改造等的设计工作</w:t>
      </w:r>
      <w:r>
        <w:rPr>
          <w:rFonts w:hint="eastAsia" w:ascii="宋体" w:hAnsi="宋体" w:cs="宋体"/>
          <w:color w:val="auto"/>
          <w:sz w:val="24"/>
          <w:highlight w:val="none"/>
          <w:u w:val="single"/>
        </w:rPr>
        <w:t>，确保满足国家、省、市现行有效规范的要求，满足发包人相关设计管理要求，以及施工进度、施工安全要求。</w:t>
      </w:r>
    </w:p>
    <w:p w14:paraId="1B84FB13">
      <w:pPr>
        <w:widowControl/>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szCs w:val="24"/>
          <w:highlight w:val="none"/>
          <w:u w:val="none"/>
          <w:lang w:val="en-US" w:eastAsia="zh-CN"/>
        </w:rPr>
        <w:t>设计成果要求</w:t>
      </w:r>
    </w:p>
    <w:p w14:paraId="1DCAA6E6">
      <w:pPr>
        <w:widowControl/>
        <w:adjustRightInd w:val="0"/>
        <w:snapToGrid w:val="0"/>
        <w:spacing w:line="360" w:lineRule="auto"/>
        <w:ind w:firstLine="480" w:firstLineChars="200"/>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en-US"/>
        </w:rPr>
        <w:t>设计文件包括设计资料、设计文件、设计图纸、造价文件及其电子版本，提交的时间及份数如下:</w:t>
      </w:r>
    </w:p>
    <w:tbl>
      <w:tblPr>
        <w:tblStyle w:val="44"/>
        <w:tblW w:w="5000" w:type="pct"/>
        <w:tblInd w:w="0" w:type="dxa"/>
        <w:tblLayout w:type="fixed"/>
        <w:tblCellMar>
          <w:top w:w="0" w:type="dxa"/>
          <w:left w:w="108" w:type="dxa"/>
          <w:bottom w:w="0" w:type="dxa"/>
          <w:right w:w="108" w:type="dxa"/>
        </w:tblCellMar>
      </w:tblPr>
      <w:tblGrid>
        <w:gridCol w:w="684"/>
        <w:gridCol w:w="2398"/>
        <w:gridCol w:w="2744"/>
        <w:gridCol w:w="1054"/>
        <w:gridCol w:w="2293"/>
      </w:tblGrid>
      <w:tr w14:paraId="6C45CD41">
        <w:tblPrEx>
          <w:tblCellMar>
            <w:top w:w="0" w:type="dxa"/>
            <w:left w:w="108" w:type="dxa"/>
            <w:bottom w:w="0" w:type="dxa"/>
            <w:right w:w="108" w:type="dxa"/>
          </w:tblCellMar>
        </w:tblPrEx>
        <w:trPr>
          <w:trHeight w:val="851" w:hRule="atLeast"/>
          <w:tblHeader/>
        </w:trPr>
        <w:tc>
          <w:tcPr>
            <w:tcW w:w="372" w:type="pct"/>
            <w:tcBorders>
              <w:top w:val="single" w:color="auto" w:sz="4" w:space="0"/>
              <w:left w:val="single" w:color="auto" w:sz="4" w:space="0"/>
              <w:bottom w:val="single" w:color="auto" w:sz="6" w:space="0"/>
              <w:right w:val="single" w:color="auto" w:sz="6" w:space="0"/>
            </w:tcBorders>
            <w:noWrap/>
            <w:vAlign w:val="center"/>
          </w:tcPr>
          <w:p w14:paraId="392D7F02">
            <w:pPr>
              <w:ind w:right="25" w:rightChars="12"/>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307" w:type="pct"/>
            <w:tcBorders>
              <w:top w:val="single" w:color="auto" w:sz="4" w:space="0"/>
              <w:left w:val="single" w:color="auto" w:sz="6" w:space="0"/>
              <w:bottom w:val="single" w:color="auto" w:sz="6" w:space="0"/>
              <w:right w:val="single" w:color="auto" w:sz="6" w:space="0"/>
            </w:tcBorders>
            <w:noWrap/>
            <w:vAlign w:val="center"/>
          </w:tcPr>
          <w:p w14:paraId="1B07DE36">
            <w:pPr>
              <w:ind w:right="25" w:rightChars="12"/>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资料及文件名称</w:t>
            </w:r>
          </w:p>
        </w:tc>
        <w:tc>
          <w:tcPr>
            <w:tcW w:w="1495" w:type="pct"/>
            <w:tcBorders>
              <w:top w:val="single" w:color="auto" w:sz="4" w:space="0"/>
              <w:left w:val="single" w:color="auto" w:sz="6" w:space="0"/>
              <w:bottom w:val="single" w:color="auto" w:sz="6" w:space="0"/>
              <w:right w:val="single" w:color="auto" w:sz="6" w:space="0"/>
            </w:tcBorders>
            <w:noWrap/>
            <w:vAlign w:val="center"/>
          </w:tcPr>
          <w:p w14:paraId="4DA70B26">
            <w:pPr>
              <w:ind w:right="25" w:rightChars="12" w:firstLine="442"/>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提交日期</w:t>
            </w:r>
          </w:p>
        </w:tc>
        <w:tc>
          <w:tcPr>
            <w:tcW w:w="574" w:type="pct"/>
            <w:tcBorders>
              <w:top w:val="single" w:color="auto" w:sz="4" w:space="0"/>
              <w:left w:val="single" w:color="auto" w:sz="6" w:space="0"/>
              <w:bottom w:val="single" w:color="auto" w:sz="6" w:space="0"/>
              <w:right w:val="single" w:color="auto" w:sz="6" w:space="0"/>
            </w:tcBorders>
            <w:noWrap/>
            <w:vAlign w:val="center"/>
          </w:tcPr>
          <w:p w14:paraId="757F125D">
            <w:pPr>
              <w:ind w:right="25" w:rightChars="12"/>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纸质文件份数</w:t>
            </w:r>
          </w:p>
        </w:tc>
        <w:tc>
          <w:tcPr>
            <w:tcW w:w="1249" w:type="pct"/>
            <w:tcBorders>
              <w:top w:val="single" w:color="auto" w:sz="4" w:space="0"/>
              <w:left w:val="single" w:color="auto" w:sz="6" w:space="0"/>
              <w:bottom w:val="single" w:color="auto" w:sz="6" w:space="0"/>
              <w:right w:val="single" w:color="auto" w:sz="4" w:space="0"/>
            </w:tcBorders>
            <w:noWrap/>
            <w:vAlign w:val="center"/>
          </w:tcPr>
          <w:p w14:paraId="038DD8AE">
            <w:pPr>
              <w:ind w:right="25" w:rightChars="12" w:firstLine="442"/>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34CCDCFD">
        <w:tblPrEx>
          <w:tblCellMar>
            <w:top w:w="0" w:type="dxa"/>
            <w:left w:w="108" w:type="dxa"/>
            <w:bottom w:w="0" w:type="dxa"/>
            <w:right w:w="108" w:type="dxa"/>
          </w:tblCellMar>
        </w:tblPrEx>
        <w:trPr>
          <w:trHeight w:val="762" w:hRule="atLeast"/>
        </w:trPr>
        <w:tc>
          <w:tcPr>
            <w:tcW w:w="372" w:type="pct"/>
            <w:tcBorders>
              <w:top w:val="single" w:color="auto" w:sz="6" w:space="0"/>
              <w:left w:val="single" w:color="auto" w:sz="4" w:space="0"/>
              <w:bottom w:val="single" w:color="auto" w:sz="6" w:space="0"/>
              <w:right w:val="single" w:color="auto" w:sz="6" w:space="0"/>
            </w:tcBorders>
            <w:noWrap/>
            <w:vAlign w:val="center"/>
          </w:tcPr>
          <w:p w14:paraId="3CD891F2">
            <w:pPr>
              <w:ind w:right="25" w:rightChars="12"/>
              <w:jc w:val="center"/>
              <w:rPr>
                <w:rFonts w:hint="eastAsia" w:ascii="宋体" w:hAnsi="宋体" w:eastAsia="等线"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1307" w:type="pct"/>
            <w:tcBorders>
              <w:top w:val="single" w:color="auto" w:sz="6" w:space="0"/>
              <w:left w:val="single" w:color="auto" w:sz="6" w:space="0"/>
              <w:bottom w:val="single" w:color="auto" w:sz="6" w:space="0"/>
              <w:right w:val="single" w:color="auto" w:sz="6" w:space="0"/>
            </w:tcBorders>
            <w:noWrap/>
            <w:vAlign w:val="center"/>
          </w:tcPr>
          <w:p w14:paraId="024CC28A">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方案设计</w:t>
            </w:r>
            <w:r>
              <w:rPr>
                <w:rFonts w:hint="eastAsia" w:ascii="宋体" w:hAnsi="宋体" w:cs="宋体"/>
                <w:color w:val="auto"/>
                <w:kern w:val="0"/>
                <w:sz w:val="21"/>
                <w:szCs w:val="21"/>
                <w:highlight w:val="none"/>
                <w:lang w:val="en-US" w:eastAsia="zh-CN"/>
              </w:rPr>
              <w:t>和概算</w:t>
            </w:r>
            <w:r>
              <w:rPr>
                <w:rFonts w:hint="eastAsia" w:ascii="宋体" w:hAnsi="宋体" w:cs="宋体"/>
                <w:color w:val="auto"/>
                <w:kern w:val="0"/>
                <w:sz w:val="21"/>
                <w:szCs w:val="21"/>
                <w:highlight w:val="none"/>
              </w:rPr>
              <w:t>成果</w:t>
            </w:r>
          </w:p>
        </w:tc>
        <w:tc>
          <w:tcPr>
            <w:tcW w:w="1495" w:type="pct"/>
            <w:tcBorders>
              <w:top w:val="single" w:color="auto" w:sz="6" w:space="0"/>
              <w:left w:val="single" w:color="auto" w:sz="6" w:space="0"/>
              <w:bottom w:val="single" w:color="auto" w:sz="6" w:space="0"/>
              <w:right w:val="single" w:color="auto" w:sz="6" w:space="0"/>
            </w:tcBorders>
            <w:noWrap/>
            <w:vAlign w:val="center"/>
          </w:tcPr>
          <w:p w14:paraId="5B0A49CF">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合同签订</w:t>
            </w:r>
            <w:r>
              <w:rPr>
                <w:rFonts w:hint="eastAsia" w:ascii="宋体" w:hAnsi="宋体" w:cs="宋体"/>
                <w:color w:val="auto"/>
                <w:kern w:val="0"/>
                <w:sz w:val="21"/>
                <w:szCs w:val="21"/>
                <w:highlight w:val="none"/>
              </w:rPr>
              <w:t>后</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天内</w:t>
            </w:r>
          </w:p>
        </w:tc>
        <w:tc>
          <w:tcPr>
            <w:tcW w:w="574" w:type="pct"/>
            <w:tcBorders>
              <w:top w:val="single" w:color="auto" w:sz="6" w:space="0"/>
              <w:left w:val="single" w:color="auto" w:sz="6" w:space="0"/>
              <w:bottom w:val="single" w:color="auto" w:sz="6" w:space="0"/>
              <w:right w:val="single" w:color="auto" w:sz="6" w:space="0"/>
            </w:tcBorders>
            <w:noWrap/>
            <w:vAlign w:val="center"/>
          </w:tcPr>
          <w:p w14:paraId="1C049026">
            <w:pPr>
              <w:ind w:right="25" w:rightChars="12" w:firstLine="442"/>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49" w:type="pct"/>
            <w:tcBorders>
              <w:top w:val="single" w:color="auto" w:sz="6" w:space="0"/>
              <w:left w:val="single" w:color="auto" w:sz="6" w:space="0"/>
              <w:bottom w:val="single" w:color="auto" w:sz="6" w:space="0"/>
              <w:right w:val="single" w:color="auto" w:sz="4" w:space="0"/>
            </w:tcBorders>
            <w:noWrap/>
            <w:vAlign w:val="center"/>
          </w:tcPr>
          <w:p w14:paraId="7CDF29E5">
            <w:pPr>
              <w:ind w:right="25" w:rightChars="12"/>
              <w:rPr>
                <w:rFonts w:hint="default" w:ascii="宋体" w:hAnsi="宋体" w:eastAsia="等线"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方案设计</w:t>
            </w:r>
            <w:r>
              <w:rPr>
                <w:rFonts w:hint="eastAsia" w:ascii="宋体" w:hAnsi="宋体" w:cs="宋体"/>
                <w:color w:val="auto"/>
                <w:kern w:val="0"/>
                <w:sz w:val="21"/>
                <w:szCs w:val="21"/>
                <w:highlight w:val="none"/>
              </w:rPr>
              <w:t>含电子版（PDF或DWG格式CAD）</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概算文件含GBQ格式。</w:t>
            </w:r>
          </w:p>
        </w:tc>
      </w:tr>
      <w:tr w14:paraId="462FB501">
        <w:tblPrEx>
          <w:tblCellMar>
            <w:top w:w="0" w:type="dxa"/>
            <w:left w:w="108" w:type="dxa"/>
            <w:bottom w:w="0" w:type="dxa"/>
            <w:right w:w="108" w:type="dxa"/>
          </w:tblCellMar>
        </w:tblPrEx>
        <w:trPr>
          <w:trHeight w:val="1253" w:hRule="atLeast"/>
        </w:trPr>
        <w:tc>
          <w:tcPr>
            <w:tcW w:w="372" w:type="pct"/>
            <w:tcBorders>
              <w:top w:val="single" w:color="auto" w:sz="6" w:space="0"/>
              <w:left w:val="single" w:color="auto" w:sz="4" w:space="0"/>
              <w:bottom w:val="single" w:color="auto" w:sz="6" w:space="0"/>
              <w:right w:val="single" w:color="auto" w:sz="6" w:space="0"/>
            </w:tcBorders>
            <w:noWrap/>
            <w:vAlign w:val="center"/>
          </w:tcPr>
          <w:p w14:paraId="76CBF655">
            <w:pPr>
              <w:ind w:right="25" w:rightChars="12"/>
              <w:jc w:val="center"/>
              <w:rPr>
                <w:rFonts w:hint="eastAsia" w:ascii="宋体" w:hAnsi="宋体" w:eastAsia="等线"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307" w:type="pct"/>
            <w:tcBorders>
              <w:top w:val="single" w:color="auto" w:sz="6" w:space="0"/>
              <w:left w:val="single" w:color="auto" w:sz="6" w:space="0"/>
              <w:bottom w:val="single" w:color="auto" w:sz="6" w:space="0"/>
              <w:right w:val="single" w:color="auto" w:sz="6" w:space="0"/>
            </w:tcBorders>
            <w:noWrap/>
            <w:vAlign w:val="center"/>
          </w:tcPr>
          <w:p w14:paraId="66BAA258">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施工图设计</w:t>
            </w:r>
          </w:p>
        </w:tc>
        <w:tc>
          <w:tcPr>
            <w:tcW w:w="1495" w:type="pct"/>
            <w:tcBorders>
              <w:top w:val="single" w:color="auto" w:sz="6" w:space="0"/>
              <w:left w:val="single" w:color="auto" w:sz="6" w:space="0"/>
              <w:bottom w:val="single" w:color="auto" w:sz="6" w:space="0"/>
              <w:right w:val="single" w:color="auto" w:sz="6" w:space="0"/>
            </w:tcBorders>
            <w:noWrap/>
            <w:vAlign w:val="center"/>
          </w:tcPr>
          <w:p w14:paraId="35617D4B">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方案设计和概算确认</w:t>
            </w:r>
            <w:r>
              <w:rPr>
                <w:rFonts w:hint="eastAsia" w:ascii="宋体" w:hAnsi="宋体" w:cs="宋体"/>
                <w:color w:val="auto"/>
                <w:kern w:val="0"/>
                <w:sz w:val="21"/>
                <w:szCs w:val="21"/>
                <w:highlight w:val="none"/>
              </w:rPr>
              <w:t>后5天内</w:t>
            </w:r>
          </w:p>
        </w:tc>
        <w:tc>
          <w:tcPr>
            <w:tcW w:w="574" w:type="pct"/>
            <w:tcBorders>
              <w:top w:val="single" w:color="auto" w:sz="6" w:space="0"/>
              <w:left w:val="single" w:color="auto" w:sz="6" w:space="0"/>
              <w:bottom w:val="single" w:color="auto" w:sz="6" w:space="0"/>
              <w:right w:val="single" w:color="auto" w:sz="6" w:space="0"/>
            </w:tcBorders>
            <w:noWrap/>
            <w:vAlign w:val="center"/>
          </w:tcPr>
          <w:p w14:paraId="1DB6E05E">
            <w:pPr>
              <w:ind w:right="25" w:rightChars="12" w:firstLine="442"/>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49" w:type="pct"/>
            <w:tcBorders>
              <w:top w:val="single" w:color="auto" w:sz="6" w:space="0"/>
              <w:left w:val="single" w:color="auto" w:sz="6" w:space="0"/>
              <w:bottom w:val="single" w:color="auto" w:sz="6" w:space="0"/>
              <w:right w:val="single" w:color="auto" w:sz="4" w:space="0"/>
            </w:tcBorders>
            <w:noWrap/>
            <w:vAlign w:val="center"/>
          </w:tcPr>
          <w:p w14:paraId="5E820950">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含电子版（PDF或DWG格式CAD）</w:t>
            </w:r>
          </w:p>
        </w:tc>
      </w:tr>
      <w:tr w14:paraId="251934C8">
        <w:tblPrEx>
          <w:tblCellMar>
            <w:top w:w="0" w:type="dxa"/>
            <w:left w:w="108" w:type="dxa"/>
            <w:bottom w:w="0" w:type="dxa"/>
            <w:right w:w="108" w:type="dxa"/>
          </w:tblCellMar>
        </w:tblPrEx>
        <w:trPr>
          <w:trHeight w:val="1328" w:hRule="atLeast"/>
        </w:trPr>
        <w:tc>
          <w:tcPr>
            <w:tcW w:w="372" w:type="pct"/>
            <w:tcBorders>
              <w:top w:val="single" w:color="auto" w:sz="4" w:space="0"/>
              <w:left w:val="single" w:color="auto" w:sz="4" w:space="0"/>
              <w:bottom w:val="single" w:color="auto" w:sz="4" w:space="0"/>
              <w:right w:val="single" w:color="auto" w:sz="6" w:space="0"/>
            </w:tcBorders>
            <w:noWrap/>
            <w:vAlign w:val="center"/>
          </w:tcPr>
          <w:p w14:paraId="0179E0E8">
            <w:pPr>
              <w:ind w:right="25" w:rightChars="12"/>
              <w:jc w:val="center"/>
              <w:rPr>
                <w:rFonts w:hint="eastAsia" w:ascii="宋体" w:hAnsi="宋体" w:eastAsia="等线"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307" w:type="pct"/>
            <w:tcBorders>
              <w:top w:val="single" w:color="auto" w:sz="4" w:space="0"/>
              <w:left w:val="single" w:color="auto" w:sz="6" w:space="0"/>
              <w:bottom w:val="single" w:color="auto" w:sz="4" w:space="0"/>
              <w:right w:val="single" w:color="auto" w:sz="6" w:space="0"/>
            </w:tcBorders>
            <w:noWrap/>
            <w:vAlign w:val="center"/>
          </w:tcPr>
          <w:p w14:paraId="1E452668">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竣工图（施工方编制，设计人审核，最后由施工方出具）</w:t>
            </w:r>
          </w:p>
        </w:tc>
        <w:tc>
          <w:tcPr>
            <w:tcW w:w="1495" w:type="pct"/>
            <w:tcBorders>
              <w:top w:val="single" w:color="auto" w:sz="4" w:space="0"/>
              <w:left w:val="single" w:color="auto" w:sz="6" w:space="0"/>
              <w:bottom w:val="single" w:color="auto" w:sz="4" w:space="0"/>
              <w:right w:val="single" w:color="auto" w:sz="6" w:space="0"/>
            </w:tcBorders>
            <w:noWrap/>
            <w:vAlign w:val="center"/>
          </w:tcPr>
          <w:p w14:paraId="10DFCDD9">
            <w:pPr>
              <w:ind w:right="25" w:rightChars="12"/>
              <w:rPr>
                <w:rFonts w:ascii="宋体" w:hAnsi="宋体" w:cs="宋体"/>
                <w:color w:val="auto"/>
                <w:kern w:val="0"/>
                <w:sz w:val="21"/>
                <w:szCs w:val="21"/>
                <w:highlight w:val="none"/>
              </w:rPr>
            </w:pPr>
            <w:r>
              <w:rPr>
                <w:rFonts w:hint="eastAsia" w:ascii="宋体" w:hAnsi="宋体" w:cs="宋体"/>
                <w:color w:val="auto"/>
                <w:kern w:val="0"/>
                <w:sz w:val="21"/>
                <w:szCs w:val="21"/>
                <w:highlight w:val="none"/>
              </w:rPr>
              <w:t>施工方提交，且经设计人审核无误后5天内。</w:t>
            </w:r>
          </w:p>
        </w:tc>
        <w:tc>
          <w:tcPr>
            <w:tcW w:w="574" w:type="pct"/>
            <w:tcBorders>
              <w:top w:val="single" w:color="auto" w:sz="4" w:space="0"/>
              <w:left w:val="single" w:color="auto" w:sz="6" w:space="0"/>
              <w:bottom w:val="single" w:color="auto" w:sz="4" w:space="0"/>
              <w:right w:val="single" w:color="auto" w:sz="6" w:space="0"/>
            </w:tcBorders>
            <w:noWrap/>
            <w:vAlign w:val="center"/>
          </w:tcPr>
          <w:p w14:paraId="6CA7695D">
            <w:pPr>
              <w:ind w:right="25" w:rightChars="12" w:firstLine="442"/>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249" w:type="pct"/>
            <w:tcBorders>
              <w:top w:val="single" w:color="auto" w:sz="4" w:space="0"/>
              <w:left w:val="single" w:color="auto" w:sz="6" w:space="0"/>
              <w:bottom w:val="single" w:color="auto" w:sz="4" w:space="0"/>
              <w:right w:val="single" w:color="auto" w:sz="4" w:space="0"/>
            </w:tcBorders>
            <w:noWrap/>
            <w:vAlign w:val="center"/>
          </w:tcPr>
          <w:p w14:paraId="09720903">
            <w:pPr>
              <w:ind w:right="25" w:rightChars="12" w:firstLine="0"/>
              <w:rPr>
                <w:rFonts w:ascii="宋体" w:hAnsi="宋体" w:cs="宋体"/>
                <w:color w:val="auto"/>
                <w:kern w:val="0"/>
                <w:sz w:val="21"/>
                <w:szCs w:val="21"/>
                <w:highlight w:val="none"/>
              </w:rPr>
            </w:pPr>
            <w:r>
              <w:rPr>
                <w:rFonts w:hint="eastAsia" w:ascii="宋体" w:hAnsi="宋体" w:cs="宋体"/>
                <w:color w:val="auto"/>
                <w:kern w:val="0"/>
                <w:sz w:val="21"/>
                <w:szCs w:val="21"/>
                <w:highlight w:val="none"/>
              </w:rPr>
              <w:t>含电子版（PDF或DWG格式CAD）</w:t>
            </w:r>
          </w:p>
        </w:tc>
      </w:tr>
    </w:tbl>
    <w:p w14:paraId="51F7BFFC">
      <w:pPr>
        <w:widowControl/>
        <w:adjustRightInd w:val="0"/>
        <w:snapToGrid w:val="0"/>
        <w:spacing w:line="360" w:lineRule="auto"/>
        <w:ind w:firstLine="480" w:firstLineChars="20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w:t>
      </w:r>
      <w:r>
        <w:rPr>
          <w:rFonts w:hint="eastAsia" w:ascii="宋体" w:hAnsi="宋体" w:cs="宋体"/>
          <w:color w:val="auto"/>
          <w:kern w:val="0"/>
          <w:sz w:val="24"/>
          <w:highlight w:val="none"/>
          <w:u w:val="none"/>
          <w:lang w:val="en-US" w:eastAsia="zh-CN"/>
        </w:rPr>
        <w:t>3</w:t>
      </w:r>
      <w:r>
        <w:rPr>
          <w:rFonts w:hint="eastAsia" w:ascii="宋体" w:hAnsi="宋体" w:cs="宋体"/>
          <w:color w:val="auto"/>
          <w:kern w:val="0"/>
          <w:sz w:val="24"/>
          <w:highlight w:val="none"/>
          <w:u w:val="none"/>
        </w:rPr>
        <w:t>）本工程实行全过程限额设计施工，发包人有权在限额范围内，根据项目实际情况对承包人的承包范围和承包工程内容进行适当调整，承包人应无条件予以配合。</w:t>
      </w:r>
    </w:p>
    <w:p w14:paraId="249A03E2">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b w:val="0"/>
          <w:bCs w:val="0"/>
          <w:color w:val="auto"/>
          <w:sz w:val="24"/>
          <w:highlight w:val="none"/>
          <w:u w:val="single"/>
        </w:rPr>
        <w:t>设计工作具体内容及要求见附件4</w:t>
      </w:r>
      <w:r>
        <w:rPr>
          <w:rFonts w:hint="eastAsia" w:ascii="宋体" w:hAnsi="宋体" w:cs="宋体"/>
          <w:color w:val="auto"/>
          <w:sz w:val="24"/>
          <w:highlight w:val="none"/>
          <w:u w:val="single"/>
        </w:rPr>
        <w:t>。</w:t>
      </w:r>
    </w:p>
    <w:p w14:paraId="4E303A31">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2.1.2施工工作</w:t>
      </w:r>
    </w:p>
    <w:p w14:paraId="30A285D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color w:val="auto"/>
          <w:sz w:val="24"/>
          <w:highlight w:val="none"/>
          <w:u w:val="single"/>
        </w:rPr>
        <w:t>按照招标文件及合同约定的范围和发包人批复的施工图进行施工总承包，包工、包材料、包设备、包工期、包质量、包安全生产、包文明施工、包工程竣工验收通过、包</w:t>
      </w:r>
      <w:r>
        <w:rPr>
          <w:rFonts w:hint="eastAsia" w:ascii="宋体" w:hAnsi="宋体" w:cs="宋体"/>
          <w:color w:val="auto"/>
          <w:sz w:val="24"/>
          <w:highlight w:val="none"/>
          <w:u w:val="single"/>
          <w:lang w:eastAsia="zh-CN"/>
        </w:rPr>
        <w:t>预算编制、</w:t>
      </w:r>
      <w:r>
        <w:rPr>
          <w:rFonts w:hint="eastAsia" w:ascii="宋体" w:hAnsi="宋体" w:cs="宋体"/>
          <w:color w:val="auto"/>
          <w:sz w:val="24"/>
          <w:highlight w:val="none"/>
          <w:u w:val="single"/>
        </w:rPr>
        <w:t>结算编制、包竣工图编制、工程资料汇总及整理归档、包保修等</w:t>
      </w:r>
      <w:r>
        <w:rPr>
          <w:rFonts w:hint="eastAsia" w:ascii="宋体" w:hAnsi="宋体" w:cs="宋体"/>
          <w:color w:val="auto"/>
          <w:sz w:val="24"/>
          <w:highlight w:val="none"/>
          <w:u w:val="single"/>
          <w:lang w:eastAsia="zh-CN"/>
        </w:rPr>
        <w:t>，</w:t>
      </w:r>
      <w:r>
        <w:rPr>
          <w:rFonts w:hint="eastAsia" w:ascii="宋体" w:hAnsi="宋体" w:eastAsia="宋体" w:cs="宋体"/>
          <w:color w:val="auto"/>
          <w:kern w:val="2"/>
          <w:sz w:val="24"/>
          <w:szCs w:val="24"/>
          <w:highlight w:val="none"/>
          <w:u w:val="single"/>
          <w:lang w:val="en-US" w:eastAsia="zh-CN"/>
        </w:rPr>
        <w:t>包括但不限于如下内容：小区路面硬化、现状雨棚提升、现状充电桩升级、增设充电设施、增设景观小品和休闲设施、新增绿植、部分人行道铺装层升级改造等</w:t>
      </w:r>
      <w:r>
        <w:rPr>
          <w:rFonts w:hint="eastAsia" w:ascii="宋体" w:hAnsi="宋体" w:eastAsia="宋体" w:cs="宋体"/>
          <w:b w:val="0"/>
          <w:bCs w:val="0"/>
          <w:color w:val="auto"/>
          <w:kern w:val="2"/>
          <w:sz w:val="24"/>
          <w:szCs w:val="24"/>
          <w:highlight w:val="none"/>
          <w:u w:val="single"/>
          <w:lang w:val="en-US" w:eastAsia="zh-CN"/>
        </w:rPr>
        <w:t>。</w:t>
      </w:r>
    </w:p>
    <w:p w14:paraId="77514F1C">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（2）按经审核后的图纸开展施工方案编制、报建报审，施工作业，施工过程中的图纸深化设计，施工过程中的工程量复核，设备材料的采购，送第三方检验检测、调试、调测、试运行、保修等工作。</w:t>
      </w:r>
    </w:p>
    <w:p w14:paraId="3BBAFA2B">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w:t>
      </w:r>
      <w:r>
        <w:rPr>
          <w:rFonts w:hint="eastAsia" w:ascii="宋体" w:hAnsi="宋体" w:eastAsia="宋体" w:cs="宋体"/>
          <w:color w:val="auto"/>
          <w:kern w:val="2"/>
          <w:sz w:val="24"/>
          <w:szCs w:val="24"/>
          <w:highlight w:val="none"/>
          <w:u w:val="single"/>
          <w:lang w:val="en-US" w:eastAsia="zh-CN"/>
        </w:rPr>
        <w:t>负责组织本工程范围内的竣工验收手续，包括分部分项工程验收、各项专业工程验收以及涉及承包人的验收后续及证明等</w:t>
      </w:r>
      <w:r>
        <w:rPr>
          <w:rFonts w:hint="eastAsia" w:ascii="宋体" w:hAnsi="宋体" w:cs="宋体"/>
          <w:color w:val="auto"/>
          <w:sz w:val="24"/>
          <w:highlight w:val="none"/>
          <w:u w:val="single"/>
        </w:rPr>
        <w:t>。</w:t>
      </w:r>
    </w:p>
    <w:p w14:paraId="33122716">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（4）负责编制施工图预算并配合报审</w:t>
      </w:r>
      <w:r>
        <w:rPr>
          <w:rFonts w:hint="eastAsia" w:ascii="宋体" w:hAnsi="宋体" w:cs="宋体"/>
          <w:color w:val="auto"/>
          <w:sz w:val="24"/>
          <w:highlight w:val="none"/>
          <w:u w:val="single"/>
          <w:lang w:eastAsia="zh-CN"/>
        </w:rPr>
        <w:t>，预算编制要求执行《广州安居住房置业有限公司工程预算编审指引（试行）》（附件</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；结算阶段全过程资料收集汇总、并装订成册，分类归档，按要求出具竣工图及完成的结算资料文件等。</w:t>
      </w:r>
    </w:p>
    <w:p w14:paraId="15F0FC40">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（5）负责协调本工程施工过程中周边居民、包括街道居委、城管、小区物业管理单位、原总承包单位（如需）等，因此产生的费用承包人已包括在其报价中，发包人不再另行计量支付。</w:t>
      </w:r>
    </w:p>
    <w:p w14:paraId="0FC077B1">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（6）负责本工程范围的施工场地保管以及本工程范围内的现场安全文明施工管理。</w:t>
      </w:r>
    </w:p>
    <w:p w14:paraId="677C531C">
      <w:pPr>
        <w:pStyle w:val="18"/>
        <w:adjustRightInd w:val="0"/>
        <w:snapToGrid w:val="0"/>
        <w:spacing w:after="0"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eastAsia="zh-CN"/>
        </w:rPr>
        <w:t>）按发包人批复的施工图和施工方案，完成</w:t>
      </w:r>
      <w:r>
        <w:rPr>
          <w:rFonts w:hint="eastAsia" w:ascii="宋体" w:hAnsi="宋体" w:eastAsia="宋体" w:cs="宋体"/>
          <w:b w:val="0"/>
          <w:bCs w:val="0"/>
          <w:color w:val="auto"/>
          <w:sz w:val="24"/>
          <w:szCs w:val="24"/>
          <w:highlight w:val="none"/>
          <w:u w:val="single"/>
        </w:rPr>
        <w:t>拆除</w:t>
      </w:r>
      <w:r>
        <w:rPr>
          <w:rFonts w:hint="eastAsia" w:ascii="宋体" w:hAnsi="宋体" w:eastAsia="宋体" w:cs="宋体"/>
          <w:b w:val="0"/>
          <w:bCs w:val="0"/>
          <w:color w:val="auto"/>
          <w:sz w:val="24"/>
          <w:szCs w:val="24"/>
          <w:highlight w:val="none"/>
          <w:u w:val="single"/>
          <w:lang w:eastAsia="zh-CN"/>
        </w:rPr>
        <w:t>工作，</w:t>
      </w:r>
      <w:r>
        <w:rPr>
          <w:rFonts w:hint="eastAsia" w:ascii="宋体" w:hAnsi="宋体" w:eastAsia="宋体" w:cs="宋体"/>
          <w:b w:val="0"/>
          <w:bCs w:val="0"/>
          <w:color w:val="auto"/>
          <w:sz w:val="24"/>
          <w:szCs w:val="24"/>
          <w:highlight w:val="none"/>
          <w:u w:val="single"/>
        </w:rPr>
        <w:t>并负责清运、处理和残值回收</w:t>
      </w:r>
      <w:r>
        <w:rPr>
          <w:rFonts w:hint="eastAsia" w:ascii="宋体" w:hAnsi="宋体" w:eastAsia="宋体" w:cs="宋体"/>
          <w:b w:val="0"/>
          <w:bCs w:val="0"/>
          <w:color w:val="auto"/>
          <w:sz w:val="24"/>
          <w:szCs w:val="24"/>
          <w:highlight w:val="none"/>
          <w:u w:val="single"/>
          <w:lang w:eastAsia="zh-CN"/>
        </w:rPr>
        <w:t>（如有）</w:t>
      </w:r>
      <w:r>
        <w:rPr>
          <w:rFonts w:hint="eastAsia" w:ascii="宋体" w:hAnsi="宋体" w:eastAsia="宋体" w:cs="宋体"/>
          <w:b w:val="0"/>
          <w:bCs w:val="0"/>
          <w:color w:val="auto"/>
          <w:sz w:val="24"/>
          <w:szCs w:val="24"/>
          <w:highlight w:val="none"/>
          <w:u w:val="single"/>
        </w:rPr>
        <w:t>。</w:t>
      </w:r>
    </w:p>
    <w:p w14:paraId="613287DE">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2.2承包方式：</w:t>
      </w:r>
    </w:p>
    <w:p w14:paraId="47E92B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u w:val="single"/>
        </w:rPr>
        <w:t>本合同承包人包设计、包施工，全部工程包工、包料、包设备、包工期、包质量、包安全生产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包文明施工、包调试与测试、包试运行、包竣工验收、包培训、包</w:t>
      </w:r>
      <w:r>
        <w:rPr>
          <w:rFonts w:hint="eastAsia" w:ascii="宋体" w:hAnsi="宋体" w:cs="宋体"/>
          <w:color w:val="auto"/>
          <w:sz w:val="24"/>
          <w:highlight w:val="none"/>
          <w:u w:val="single"/>
          <w:lang w:eastAsia="zh-CN"/>
        </w:rPr>
        <w:t>预算编制、</w:t>
      </w:r>
      <w:r>
        <w:rPr>
          <w:rFonts w:hint="eastAsia" w:ascii="宋体" w:hAnsi="宋体" w:cs="宋体"/>
          <w:color w:val="auto"/>
          <w:sz w:val="24"/>
          <w:highlight w:val="none"/>
          <w:u w:val="single"/>
        </w:rPr>
        <w:t>结算编制、包竣工图编制、工程资料汇总及整理归档、包质保期内工程质量保修、包现场组织和协调，包因验收不能通过所需要发生的整改费用等</w:t>
      </w:r>
      <w:r>
        <w:rPr>
          <w:rFonts w:hint="eastAsia" w:ascii="宋体" w:hAnsi="宋体" w:cs="宋体"/>
          <w:color w:val="auto"/>
          <w:sz w:val="24"/>
          <w:highlight w:val="none"/>
        </w:rPr>
        <w:t>。</w:t>
      </w:r>
    </w:p>
    <w:p w14:paraId="355F1C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本工程实行限额设计、施工，建安工程费最高限额为合同暂定价的建安工程费部分：</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rPr>
        <w:t>元；承包人须按约定的设计施工标准在限额内完成工程，结算建安工程费不得超出限额，否则，超出部分由承包人承担。</w:t>
      </w:r>
    </w:p>
    <w:p w14:paraId="6F45FF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u w:val="single"/>
        </w:rPr>
        <w:t>2.2.3发包人有权在限额范围内，根据对承包人的承包范围和承包工程量进行适当调整（包括增加或减少部分工程），承包人应无条件接受。如发生不可抗力、政策变更或规划变更等工程实施情况导致承包范围发生变化的，发包人有权发出书面指令单方增加或缩减合同工程承包范围。如上述变更导致承包人履行合同义务的费用增加，发包人与承包人按照合同约定调整合同价款。如上述变更导致承包人承包范围减少的，双方就实际工程量按合同约定计价，承包人不再向发包人另行提出其他任何补偿或赔偿要求。</w:t>
      </w:r>
    </w:p>
    <w:p w14:paraId="64A3FE7D">
      <w:pPr>
        <w:adjustRightInd w:val="0"/>
        <w:snapToGrid w:val="0"/>
        <w:spacing w:line="360" w:lineRule="auto"/>
        <w:ind w:firstLine="480" w:firstLineChars="200"/>
        <w:outlineLvl w:val="1"/>
        <w:rPr>
          <w:rFonts w:hint="eastAsia" w:ascii="宋体" w:hAnsi="宋体" w:cs="宋体"/>
          <w:b/>
          <w:color w:val="auto"/>
          <w:sz w:val="24"/>
          <w:highlight w:val="none"/>
        </w:rPr>
      </w:pPr>
      <w:bookmarkStart w:id="6" w:name="_Toc28114"/>
      <w:r>
        <w:rPr>
          <w:rFonts w:hint="eastAsia" w:ascii="宋体" w:hAnsi="宋体" w:cs="宋体"/>
          <w:b w:val="0"/>
          <w:bCs w:val="0"/>
          <w:color w:val="auto"/>
          <w:sz w:val="24"/>
          <w:highlight w:val="none"/>
          <w:u w:val="single"/>
          <w:lang w:val="en-US" w:eastAsia="zh-CN"/>
        </w:rPr>
        <w:t>本工程承包范围、内容及</w:t>
      </w:r>
      <w:r>
        <w:rPr>
          <w:rFonts w:hint="eastAsia" w:ascii="宋体" w:hAnsi="宋体" w:cs="宋体"/>
          <w:b w:val="0"/>
          <w:bCs w:val="0"/>
          <w:color w:val="auto"/>
          <w:sz w:val="24"/>
          <w:highlight w:val="none"/>
          <w:u w:val="single"/>
        </w:rPr>
        <w:t>要求见附件4</w:t>
      </w:r>
      <w:r>
        <w:rPr>
          <w:rFonts w:hint="eastAsia" w:ascii="宋体" w:hAnsi="宋体" w:cs="宋体"/>
          <w:color w:val="auto"/>
          <w:sz w:val="24"/>
          <w:highlight w:val="none"/>
          <w:u w:val="single"/>
        </w:rPr>
        <w:t>。</w:t>
      </w:r>
    </w:p>
    <w:p w14:paraId="0C6FE00C">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三、设计依据</w:t>
      </w:r>
      <w:bookmarkEnd w:id="6"/>
    </w:p>
    <w:p w14:paraId="789CDF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3.1发包人给设计承包人的委托书或设计中标文件。</w:t>
      </w:r>
    </w:p>
    <w:p w14:paraId="39BFE6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3.2发包人提交的基础资料。</w:t>
      </w:r>
    </w:p>
    <w:p w14:paraId="758E35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3.3设计承包人采用的主要技术标准包括：</w:t>
      </w:r>
    </w:p>
    <w:p w14:paraId="3E4B7A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3.3.1国家相关法律、法规、强制性条文、国家及各行业设计规范、规程、行业条例及项目所在地方的规定和标准。</w:t>
      </w:r>
    </w:p>
    <w:p w14:paraId="4CFB36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3.3.2相关政府主管部门对本项目的批复文件、给定的技术条件和意见要求。</w:t>
      </w:r>
    </w:p>
    <w:p w14:paraId="6DA153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3.3.3广州安居集团有限公司印发的《广州安居集团有限公司建设工程设计管理办法（试行）》</w:t>
      </w:r>
      <w:r>
        <w:rPr>
          <w:rFonts w:hint="eastAsia" w:ascii="宋体" w:hAnsi="宋体" w:cs="宋体"/>
          <w:color w:val="auto"/>
          <w:sz w:val="24"/>
          <w:highlight w:val="none"/>
          <w:u w:val="none"/>
        </w:rPr>
        <w:t>《广州安居集团保障性住房项目设计评价标准及负面清单（试行）》</w:t>
      </w:r>
      <w:r>
        <w:rPr>
          <w:rFonts w:hint="eastAsia" w:ascii="宋体" w:hAnsi="宋体" w:cs="宋体"/>
          <w:color w:val="auto"/>
          <w:sz w:val="24"/>
          <w:highlight w:val="none"/>
        </w:rPr>
        <w:t>。</w:t>
      </w:r>
    </w:p>
    <w:p w14:paraId="6969DD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3.3.4项目设计过程中发包人（或发包人指定委托人）提出的条件、意见和要求。</w:t>
      </w:r>
    </w:p>
    <w:p w14:paraId="13A94A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3.3.5双方签订的设计合同内所包含的服务性条款及要求。</w:t>
      </w:r>
    </w:p>
    <w:p w14:paraId="632D49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合同执行期间，上述标准、规范、文件如有更新，按新的标准或要求执行。</w:t>
      </w:r>
    </w:p>
    <w:p w14:paraId="586B9144">
      <w:pPr>
        <w:adjustRightInd w:val="0"/>
        <w:snapToGrid w:val="0"/>
        <w:spacing w:line="360" w:lineRule="auto"/>
        <w:ind w:firstLine="482" w:firstLineChars="200"/>
        <w:outlineLvl w:val="1"/>
        <w:rPr>
          <w:rFonts w:ascii="宋体" w:hAnsi="宋体" w:cs="宋体"/>
          <w:b/>
          <w:color w:val="auto"/>
          <w:sz w:val="24"/>
          <w:highlight w:val="none"/>
        </w:rPr>
      </w:pPr>
      <w:bookmarkStart w:id="7" w:name="_Toc7815"/>
      <w:r>
        <w:rPr>
          <w:rFonts w:hint="eastAsia" w:ascii="宋体" w:hAnsi="宋体" w:cs="宋体"/>
          <w:b/>
          <w:color w:val="auto"/>
          <w:sz w:val="24"/>
          <w:highlight w:val="none"/>
        </w:rPr>
        <w:t>四、合同工期</w:t>
      </w:r>
      <w:bookmarkEnd w:id="7"/>
    </w:p>
    <w:p w14:paraId="5DB6FC0D">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4.1合同总工期（总日历天数）：约</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个日历天，具体开工日期以发包人通知或监理工程师发出的开工令起计</w:t>
      </w:r>
      <w:r>
        <w:rPr>
          <w:rFonts w:hint="eastAsia" w:ascii="宋体" w:hAnsi="宋体" w:cs="宋体"/>
          <w:bCs/>
          <w:color w:val="auto"/>
          <w:sz w:val="24"/>
          <w:highlight w:val="none"/>
          <w:u w:val="single"/>
          <w:lang w:eastAsia="zh-CN"/>
        </w:rPr>
        <w:t>。</w:t>
      </w:r>
    </w:p>
    <w:p w14:paraId="4C0884F4">
      <w:pPr>
        <w:pStyle w:val="18"/>
        <w:numPr>
          <w:ilvl w:val="0"/>
          <w:numId w:val="0"/>
        </w:numPr>
        <w:adjustRightInd/>
        <w:snapToGrid/>
        <w:spacing w:line="360" w:lineRule="auto"/>
        <w:ind w:firstLine="480" w:firstLineChars="200"/>
        <w:rPr>
          <w:rFonts w:hint="eastAsia" w:asciiTheme="majorEastAsia" w:hAnsiTheme="majorEastAsia" w:eastAsiaTheme="majorEastAsia" w:cstheme="majorEastAsia"/>
          <w:bCs/>
          <w:color w:val="auto"/>
          <w:sz w:val="24"/>
          <w:szCs w:val="24"/>
          <w:highlight w:val="none"/>
          <w:u w:val="single"/>
        </w:rPr>
      </w:pPr>
      <w:r>
        <w:rPr>
          <w:rFonts w:hint="eastAsia" w:ascii="宋体" w:hAnsi="宋体" w:cs="宋体"/>
          <w:bCs/>
          <w:color w:val="auto"/>
          <w:sz w:val="24"/>
          <w:highlight w:val="none"/>
          <w:u w:val="single"/>
        </w:rPr>
        <w:t>4.2</w:t>
      </w:r>
      <w:r>
        <w:rPr>
          <w:rFonts w:hint="eastAsia" w:asciiTheme="majorEastAsia" w:hAnsiTheme="majorEastAsia" w:eastAsiaTheme="majorEastAsia" w:cstheme="majorEastAsia"/>
          <w:bCs/>
          <w:color w:val="auto"/>
          <w:sz w:val="24"/>
          <w:highlight w:val="none"/>
          <w:u w:val="single"/>
        </w:rPr>
        <w:t>关键节点计划工期要求：</w:t>
      </w:r>
      <w:r>
        <w:rPr>
          <w:rFonts w:hint="eastAsia" w:asciiTheme="majorEastAsia" w:hAnsiTheme="majorEastAsia" w:eastAsiaTheme="majorEastAsia" w:cstheme="majorEastAsia"/>
          <w:color w:val="auto"/>
          <w:sz w:val="24"/>
          <w:szCs w:val="24"/>
          <w:highlight w:val="none"/>
          <w:u w:val="none"/>
          <w:lang w:val="en-US" w:eastAsia="zh-CN"/>
        </w:rPr>
        <w:t>（实施时间按照发包人的具体要求为准）</w:t>
      </w:r>
    </w:p>
    <w:tbl>
      <w:tblPr>
        <w:tblStyle w:val="44"/>
        <w:tblW w:w="4586" w:type="pct"/>
        <w:jc w:val="center"/>
        <w:tblLayout w:type="fixed"/>
        <w:tblCellMar>
          <w:top w:w="0" w:type="dxa"/>
          <w:left w:w="108" w:type="dxa"/>
          <w:bottom w:w="0" w:type="dxa"/>
          <w:right w:w="108" w:type="dxa"/>
        </w:tblCellMar>
      </w:tblPr>
      <w:tblGrid>
        <w:gridCol w:w="884"/>
        <w:gridCol w:w="5002"/>
        <w:gridCol w:w="2527"/>
      </w:tblGrid>
      <w:tr w14:paraId="0F6B5876">
        <w:tblPrEx>
          <w:tblCellMar>
            <w:top w:w="0" w:type="dxa"/>
            <w:left w:w="108" w:type="dxa"/>
            <w:bottom w:w="0" w:type="dxa"/>
            <w:right w:w="108" w:type="dxa"/>
          </w:tblCellMar>
        </w:tblPrEx>
        <w:trPr>
          <w:trHeight w:val="567" w:hRule="exact"/>
          <w:tblHeader/>
          <w:jc w:val="center"/>
        </w:trPr>
        <w:tc>
          <w:tcPr>
            <w:tcW w:w="525" w:type="pct"/>
            <w:tcBorders>
              <w:top w:val="single" w:color="000000" w:sz="4" w:space="0"/>
              <w:left w:val="single" w:color="000000" w:sz="4" w:space="0"/>
              <w:bottom w:val="single" w:color="auto" w:sz="4" w:space="0"/>
              <w:right w:val="single" w:color="000000" w:sz="4" w:space="0"/>
            </w:tcBorders>
            <w:noWrap/>
            <w:vAlign w:val="center"/>
          </w:tcPr>
          <w:p w14:paraId="05B9D11E">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972" w:type="pct"/>
            <w:tcBorders>
              <w:top w:val="single" w:color="000000" w:sz="4" w:space="0"/>
              <w:left w:val="single" w:color="000000" w:sz="4" w:space="0"/>
              <w:bottom w:val="single" w:color="auto" w:sz="4" w:space="0"/>
              <w:right w:val="single" w:color="000000" w:sz="4" w:space="0"/>
            </w:tcBorders>
            <w:noWrap/>
            <w:vAlign w:val="center"/>
          </w:tcPr>
          <w:p w14:paraId="1819D2B7">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节点</w:t>
            </w:r>
          </w:p>
        </w:tc>
        <w:tc>
          <w:tcPr>
            <w:tcW w:w="1501" w:type="pct"/>
            <w:tcBorders>
              <w:top w:val="single" w:color="000000" w:sz="4" w:space="0"/>
              <w:left w:val="single" w:color="000000" w:sz="4" w:space="0"/>
              <w:bottom w:val="single" w:color="auto" w:sz="4" w:space="0"/>
              <w:right w:val="single" w:color="000000" w:sz="4" w:space="0"/>
            </w:tcBorders>
            <w:noWrap/>
            <w:vAlign w:val="center"/>
          </w:tcPr>
          <w:p w14:paraId="01F3F132">
            <w:pPr>
              <w:pStyle w:val="1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工期要求</w:t>
            </w:r>
          </w:p>
        </w:tc>
      </w:tr>
      <w:tr w14:paraId="213139B9">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6587844C">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002" w:type="dxa"/>
            <w:tcBorders>
              <w:top w:val="single" w:color="auto" w:sz="4" w:space="0"/>
              <w:left w:val="single" w:color="auto" w:sz="4" w:space="0"/>
              <w:bottom w:val="single" w:color="auto" w:sz="4" w:space="0"/>
              <w:right w:val="single" w:color="auto" w:sz="4" w:space="0"/>
            </w:tcBorders>
            <w:noWrap/>
            <w:vAlign w:val="center"/>
          </w:tcPr>
          <w:p w14:paraId="1B3FFA2C">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w:t>
            </w:r>
          </w:p>
        </w:tc>
        <w:tc>
          <w:tcPr>
            <w:tcW w:w="2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7DB44">
            <w:pPr>
              <w:pStyle w:val="18"/>
              <w:numPr>
                <w:ilvl w:val="-1"/>
                <w:numId w:val="0"/>
              </w:numPr>
              <w:ind w:left="0" w:leftChars="0"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以监理人正式通知为准</w:t>
            </w:r>
          </w:p>
        </w:tc>
      </w:tr>
      <w:tr w14:paraId="4FF733B4">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58FA864F">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002" w:type="dxa"/>
            <w:tcBorders>
              <w:top w:val="single" w:color="auto" w:sz="4" w:space="0"/>
              <w:left w:val="single" w:color="auto" w:sz="4" w:space="0"/>
              <w:bottom w:val="single" w:color="auto" w:sz="4" w:space="0"/>
              <w:right w:val="single" w:color="auto" w:sz="4" w:space="0"/>
            </w:tcBorders>
            <w:noWrap/>
            <w:vAlign w:val="center"/>
          </w:tcPr>
          <w:p w14:paraId="3BB0265D">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方案设计和概算确认</w:t>
            </w:r>
          </w:p>
        </w:tc>
        <w:tc>
          <w:tcPr>
            <w:tcW w:w="2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136B5">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开工后5天</w:t>
            </w:r>
          </w:p>
        </w:tc>
      </w:tr>
      <w:tr w14:paraId="3FD1ABEE">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28387730">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002" w:type="dxa"/>
            <w:tcBorders>
              <w:top w:val="single" w:color="auto" w:sz="4" w:space="0"/>
              <w:left w:val="single" w:color="auto" w:sz="4" w:space="0"/>
              <w:bottom w:val="single" w:color="auto" w:sz="4" w:space="0"/>
              <w:right w:val="single" w:color="auto" w:sz="4" w:space="0"/>
            </w:tcBorders>
            <w:noWrap/>
            <w:vAlign w:val="center"/>
          </w:tcPr>
          <w:p w14:paraId="3DDBC6ED">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出具合格施工图</w:t>
            </w:r>
          </w:p>
        </w:tc>
        <w:tc>
          <w:tcPr>
            <w:tcW w:w="2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C1F2">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完成方案设计和概算确认后5天</w:t>
            </w:r>
          </w:p>
        </w:tc>
      </w:tr>
      <w:tr w14:paraId="512F0A4D">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1AB79690">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002" w:type="dxa"/>
            <w:tcBorders>
              <w:top w:val="single" w:color="auto" w:sz="4" w:space="0"/>
              <w:left w:val="single" w:color="auto" w:sz="4" w:space="0"/>
              <w:bottom w:val="single" w:color="auto" w:sz="4" w:space="0"/>
              <w:right w:val="single" w:color="auto" w:sz="4" w:space="0"/>
            </w:tcBorders>
            <w:noWrap/>
            <w:vAlign w:val="center"/>
          </w:tcPr>
          <w:p w14:paraId="1C3A9E5B">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进场施工</w:t>
            </w:r>
          </w:p>
        </w:tc>
        <w:tc>
          <w:tcPr>
            <w:tcW w:w="2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D9EDE">
            <w:pPr>
              <w:pStyle w:val="18"/>
              <w:numPr>
                <w:ilvl w:val="-1"/>
                <w:numId w:val="0"/>
              </w:numPr>
              <w:ind w:left="0" w:leftChars="0" w:firstLine="0" w:firstLineChars="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施工图纸出具后2天</w:t>
            </w:r>
          </w:p>
        </w:tc>
      </w:tr>
      <w:tr w14:paraId="37C6DEB3">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4F8F7E22">
            <w:pPr>
              <w:pStyle w:val="1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002" w:type="dxa"/>
            <w:tcBorders>
              <w:top w:val="single" w:color="auto" w:sz="4" w:space="0"/>
              <w:left w:val="single" w:color="auto" w:sz="4" w:space="0"/>
              <w:bottom w:val="single" w:color="auto" w:sz="4" w:space="0"/>
              <w:right w:val="single" w:color="auto" w:sz="4" w:space="0"/>
            </w:tcBorders>
            <w:noWrap/>
            <w:vAlign w:val="center"/>
          </w:tcPr>
          <w:p w14:paraId="54BF2CCF">
            <w:pPr>
              <w:pStyle w:val="18"/>
              <w:numPr>
                <w:ilvl w:val="-1"/>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完成现状雨棚提升、现状充电桩升级、增设充电设施施工</w:t>
            </w:r>
          </w:p>
        </w:tc>
        <w:tc>
          <w:tcPr>
            <w:tcW w:w="2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2281F">
            <w:pPr>
              <w:pStyle w:val="18"/>
              <w:numPr>
                <w:ilvl w:val="-1"/>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none"/>
                <w:lang w:val="en-US" w:eastAsia="zh-CN"/>
              </w:rPr>
              <w:t>开工后80天</w:t>
            </w:r>
          </w:p>
        </w:tc>
      </w:tr>
      <w:tr w14:paraId="7D986F22">
        <w:tblPrEx>
          <w:tblCellMar>
            <w:top w:w="0" w:type="dxa"/>
            <w:left w:w="108" w:type="dxa"/>
            <w:bottom w:w="0" w:type="dxa"/>
            <w:right w:w="108" w:type="dxa"/>
          </w:tblCellMar>
        </w:tblPrEx>
        <w:trPr>
          <w:trHeight w:val="521"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644EF3B4">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5002" w:type="dxa"/>
            <w:tcBorders>
              <w:top w:val="single" w:color="auto" w:sz="4" w:space="0"/>
              <w:left w:val="single" w:color="auto" w:sz="4" w:space="0"/>
              <w:bottom w:val="single" w:color="auto" w:sz="4" w:space="0"/>
              <w:right w:val="single" w:color="auto" w:sz="4" w:space="0"/>
            </w:tcBorders>
            <w:noWrap/>
            <w:vAlign w:val="center"/>
          </w:tcPr>
          <w:p w14:paraId="13E10142">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完成增设景观小品和休闲设施工</w:t>
            </w:r>
          </w:p>
        </w:tc>
        <w:tc>
          <w:tcPr>
            <w:tcW w:w="2527" w:type="dxa"/>
            <w:tcBorders>
              <w:top w:val="single" w:color="auto" w:sz="4" w:space="0"/>
              <w:left w:val="single" w:color="auto" w:sz="4" w:space="0"/>
              <w:bottom w:val="single" w:color="auto" w:sz="4" w:space="0"/>
              <w:right w:val="single" w:color="auto" w:sz="4" w:space="0"/>
            </w:tcBorders>
            <w:noWrap/>
            <w:vAlign w:val="center"/>
          </w:tcPr>
          <w:p w14:paraId="1D6C149C">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开工后110天</w:t>
            </w:r>
          </w:p>
        </w:tc>
      </w:tr>
      <w:tr w14:paraId="01217376">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23A7E30D">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5002" w:type="dxa"/>
            <w:tcBorders>
              <w:top w:val="single" w:color="auto" w:sz="4" w:space="0"/>
              <w:left w:val="single" w:color="auto" w:sz="4" w:space="0"/>
              <w:bottom w:val="single" w:color="auto" w:sz="4" w:space="0"/>
              <w:right w:val="single" w:color="auto" w:sz="4" w:space="0"/>
            </w:tcBorders>
            <w:noWrap/>
            <w:vAlign w:val="center"/>
          </w:tcPr>
          <w:p w14:paraId="6C54ED3B">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完成新增绿植施工</w:t>
            </w:r>
          </w:p>
        </w:tc>
        <w:tc>
          <w:tcPr>
            <w:tcW w:w="2527" w:type="dxa"/>
            <w:tcBorders>
              <w:top w:val="single" w:color="auto" w:sz="4" w:space="0"/>
              <w:left w:val="single" w:color="auto" w:sz="4" w:space="0"/>
              <w:bottom w:val="single" w:color="auto" w:sz="4" w:space="0"/>
              <w:right w:val="single" w:color="auto" w:sz="4" w:space="0"/>
            </w:tcBorders>
            <w:noWrap/>
            <w:vAlign w:val="center"/>
          </w:tcPr>
          <w:p w14:paraId="7B74BEAB">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开工后140天</w:t>
            </w:r>
          </w:p>
        </w:tc>
      </w:tr>
      <w:tr w14:paraId="733FA6DE">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69EA53C5">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5002" w:type="dxa"/>
            <w:tcBorders>
              <w:top w:val="single" w:color="auto" w:sz="4" w:space="0"/>
              <w:left w:val="single" w:color="auto" w:sz="4" w:space="0"/>
              <w:bottom w:val="single" w:color="auto" w:sz="4" w:space="0"/>
              <w:right w:val="single" w:color="auto" w:sz="4" w:space="0"/>
            </w:tcBorders>
            <w:noWrap/>
            <w:vAlign w:val="center"/>
          </w:tcPr>
          <w:p w14:paraId="077FA6BA">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完成路面硬化、部分人行道铺装层升级改造施工</w:t>
            </w:r>
          </w:p>
        </w:tc>
        <w:tc>
          <w:tcPr>
            <w:tcW w:w="2527" w:type="dxa"/>
            <w:tcBorders>
              <w:top w:val="single" w:color="auto" w:sz="4" w:space="0"/>
              <w:left w:val="single" w:color="auto" w:sz="4" w:space="0"/>
              <w:bottom w:val="single" w:color="auto" w:sz="4" w:space="0"/>
              <w:right w:val="single" w:color="auto" w:sz="4" w:space="0"/>
            </w:tcBorders>
            <w:noWrap/>
            <w:vAlign w:val="center"/>
          </w:tcPr>
          <w:p w14:paraId="3152297B">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开工后170天</w:t>
            </w:r>
          </w:p>
        </w:tc>
      </w:tr>
      <w:tr w14:paraId="1F73DD0D">
        <w:tblPrEx>
          <w:tblCellMar>
            <w:top w:w="0" w:type="dxa"/>
            <w:left w:w="108" w:type="dxa"/>
            <w:bottom w:w="0" w:type="dxa"/>
            <w:right w:w="108" w:type="dxa"/>
          </w:tblCellMar>
        </w:tblPrEx>
        <w:trPr>
          <w:trHeight w:val="567" w:hRule="exact"/>
          <w:jc w:val="center"/>
        </w:trPr>
        <w:tc>
          <w:tcPr>
            <w:tcW w:w="525" w:type="pct"/>
            <w:tcBorders>
              <w:top w:val="single" w:color="auto" w:sz="4" w:space="0"/>
              <w:left w:val="single" w:color="auto" w:sz="4" w:space="0"/>
              <w:bottom w:val="single" w:color="auto" w:sz="4" w:space="0"/>
              <w:right w:val="single" w:color="auto" w:sz="4" w:space="0"/>
            </w:tcBorders>
            <w:noWrap/>
            <w:vAlign w:val="center"/>
          </w:tcPr>
          <w:p w14:paraId="33C6ABA0">
            <w:pPr>
              <w:pStyle w:val="1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5002" w:type="dxa"/>
            <w:tcBorders>
              <w:top w:val="single" w:color="auto" w:sz="4" w:space="0"/>
              <w:left w:val="single" w:color="auto" w:sz="4" w:space="0"/>
              <w:bottom w:val="single" w:color="auto" w:sz="4" w:space="0"/>
              <w:right w:val="single" w:color="auto" w:sz="4" w:space="0"/>
            </w:tcBorders>
            <w:noWrap/>
            <w:vAlign w:val="center"/>
          </w:tcPr>
          <w:p w14:paraId="49764BA8">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组织验收</w:t>
            </w:r>
          </w:p>
        </w:tc>
        <w:tc>
          <w:tcPr>
            <w:tcW w:w="2527" w:type="dxa"/>
            <w:tcBorders>
              <w:top w:val="single" w:color="auto" w:sz="4" w:space="0"/>
              <w:left w:val="single" w:color="auto" w:sz="4" w:space="0"/>
              <w:bottom w:val="single" w:color="auto" w:sz="4" w:space="0"/>
              <w:right w:val="single" w:color="auto" w:sz="4" w:space="0"/>
            </w:tcBorders>
            <w:noWrap/>
            <w:vAlign w:val="center"/>
          </w:tcPr>
          <w:p w14:paraId="6318B719">
            <w:pPr>
              <w:pStyle w:val="18"/>
              <w:numPr>
                <w:ilvl w:val="-1"/>
                <w:numId w:val="0"/>
              </w:numPr>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开工后175天</w:t>
            </w:r>
          </w:p>
        </w:tc>
      </w:tr>
    </w:tbl>
    <w:p w14:paraId="59D35B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u w:val="single"/>
        </w:rPr>
        <w:t>4.3发包人有权根据工程实际情况，对本工程中的工序及施工顺序进行适当合理调整，承包人必须采取一切有效措施配合及不得延误总工期，并不得要求另行增加费用。以上工期包含春节假期等法定节假日。</w:t>
      </w:r>
    </w:p>
    <w:p w14:paraId="1921FE42">
      <w:pPr>
        <w:adjustRightInd w:val="0"/>
        <w:snapToGrid w:val="0"/>
        <w:spacing w:line="360" w:lineRule="auto"/>
        <w:ind w:firstLine="482" w:firstLineChars="200"/>
        <w:outlineLvl w:val="1"/>
        <w:rPr>
          <w:rFonts w:ascii="宋体" w:hAnsi="宋体" w:cs="宋体"/>
          <w:b/>
          <w:color w:val="auto"/>
          <w:sz w:val="24"/>
          <w:highlight w:val="none"/>
        </w:rPr>
      </w:pPr>
      <w:bookmarkStart w:id="8" w:name="_Toc10111"/>
      <w:r>
        <w:rPr>
          <w:rFonts w:hint="eastAsia" w:ascii="宋体" w:hAnsi="宋体" w:cs="宋体"/>
          <w:b/>
          <w:color w:val="auto"/>
          <w:sz w:val="24"/>
          <w:highlight w:val="none"/>
        </w:rPr>
        <w:t>五、质量、安全文明施工标准与检查</w:t>
      </w:r>
      <w:bookmarkEnd w:id="8"/>
    </w:p>
    <w:p w14:paraId="31203A56">
      <w:pPr>
        <w:widowControl w:val="0"/>
        <w:spacing w:line="360" w:lineRule="auto"/>
        <w:ind w:firstLine="480" w:firstLineChars="200"/>
        <w:jc w:val="left"/>
        <w:rPr>
          <w:rFonts w:ascii="宋体" w:hAnsi="宋体" w:cs="宋体"/>
          <w:b/>
          <w:color w:val="auto"/>
          <w:sz w:val="24"/>
          <w:highlight w:val="none"/>
        </w:rPr>
      </w:pPr>
      <w:r>
        <w:rPr>
          <w:rFonts w:hint="eastAsia"/>
          <w:snapToGrid w:val="0"/>
          <w:color w:val="auto"/>
          <w:kern w:val="0"/>
          <w:sz w:val="24"/>
          <w:highlight w:val="none"/>
          <w:lang w:val="zh-TW" w:bidi="zh-TW"/>
        </w:rPr>
        <w:t>本工程按照国家有关规定、规范进行施工、验收，具体以施工图纸及相关技术和验收标准、发包人相关规定要求为准。</w:t>
      </w:r>
    </w:p>
    <w:p w14:paraId="28557638">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5.1设计质量标准：</w:t>
      </w:r>
    </w:p>
    <w:p w14:paraId="066C96B2">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1.1设计应体现发包人的建设意图，应符合有关法律、法规的规定，符合建设工程质量、安全标准，符合建设工程设计的技术规范（尤其是强制性规范），达到发包人的要求，满足本合同工程的功能需求。在控制投资的同时，做到美观、适用、安全、经济，并具备良好的节能环保特性，取得良好的社会效益。</w:t>
      </w:r>
    </w:p>
    <w:p w14:paraId="1BC23834">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1.2设计人的设计成果文件应满足现行有效的《建筑工程设计文件编制深度规定》《市政公用工程设计文件编制深度规定》及其他设计文件编制深度要求及本项目基础资料和发包人提出的相关要求，并按照专家评审意见和甲方要求对设计进行深化、优化。设计人对承包范围内的设计成果文件达到约定的相应设计深度负总体责任。</w:t>
      </w:r>
    </w:p>
    <w:p w14:paraId="1B551C20">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1.3设计人应遵守发包人或发包人上级单位发布的相关制度文件，</w:t>
      </w:r>
      <w:r>
        <w:rPr>
          <w:rFonts w:hint="eastAsia" w:ascii="宋体" w:hAnsi="宋体" w:eastAsia="宋体" w:cs="宋体"/>
          <w:snapToGrid w:val="0"/>
          <w:color w:val="auto"/>
          <w:kern w:val="0"/>
          <w:sz w:val="24"/>
          <w:szCs w:val="24"/>
          <w:highlight w:val="none"/>
          <w:u w:val="none"/>
          <w:lang w:val="zh-TW" w:eastAsia="zh-CN" w:bidi="zh-TW"/>
        </w:rPr>
        <w:t>遵照《广州安居集团有限公司建设工程设计管理办法（试行）》、《安居“好房子”项目绿化苗木选用及种植技术指引（试行）》《安居“好房子”项目小区道路及园林景观设计指引（试行）》等要求完成本项目的设计任务，按“好房子”的标准严把设计质量关、认真做好保障房的设计工作，杜绝出现《广州安居集团保障性住房项目设计评价标准及负面清单（试行）》中负面清单问题。</w:t>
      </w:r>
    </w:p>
    <w:p w14:paraId="6C60A87A">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1.4发包人在设计过程中应考虑工程实施的可操作性，对工序方案提出相应的技术要求，应明确提出关键工序的工艺要求、质量控制要求及安全技术措施方案。</w:t>
      </w:r>
    </w:p>
    <w:p w14:paraId="4C10958C">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1.5设计成果文件的计量单位均应采用国际标准计量单位。</w:t>
      </w:r>
    </w:p>
    <w:p w14:paraId="2AD91C72">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1.6设计图纸必须按照国家对工程图纸规格的规定绘制，保持同类图纸规格统一。</w:t>
      </w:r>
    </w:p>
    <w:p w14:paraId="4B65D46A">
      <w:pPr>
        <w:spacing w:line="360" w:lineRule="auto"/>
        <w:ind w:firstLine="480" w:firstLineChars="200"/>
        <w:jc w:val="left"/>
        <w:rPr>
          <w:rFonts w:hint="eastAsia" w:ascii="宋体" w:hAnsi="宋体" w:eastAsia="宋体" w:cs="宋体"/>
          <w:snapToGrid w:val="0"/>
          <w:color w:val="auto"/>
          <w:kern w:val="0"/>
          <w:sz w:val="24"/>
          <w:szCs w:val="24"/>
          <w:highlight w:val="none"/>
          <w:lang w:val="zh-TW" w:eastAsia="zh-CN"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1.7发包人应根据政府主管部门、发包人或发包人委托的第三方对设计成果文件的审核意见对设计进行必要的修改。当设计人提交的设计成果文件不符合约定的质量要求时，设计人应在收到政府主管部门、发包人或发包人委托的第三方的通知后5天内将经过修改的符合规定的设计文件交付发包人。</w:t>
      </w:r>
    </w:p>
    <w:p w14:paraId="5874165B">
      <w:pPr>
        <w:adjustRightInd/>
        <w:snapToGrid/>
        <w:spacing w:line="360" w:lineRule="auto"/>
        <w:ind w:firstLine="480" w:firstLineChars="200"/>
        <w:jc w:val="left"/>
        <w:rPr>
          <w:rFonts w:hint="eastAsia" w:ascii="Times New Roman" w:hAnsi="Times New Roman" w:cs="Times New Roman"/>
          <w:b w:val="0"/>
          <w:snapToGrid w:val="0"/>
          <w:color w:val="auto"/>
          <w:kern w:val="0"/>
          <w:sz w:val="24"/>
          <w:highlight w:val="none"/>
          <w:lang w:val="zh-TW" w:bidi="zh-TW"/>
        </w:rPr>
      </w:pPr>
      <w:r>
        <w:rPr>
          <w:rFonts w:hint="eastAsia" w:ascii="宋体" w:hAnsi="宋体" w:eastAsia="宋体" w:cs="宋体"/>
          <w:snapToGrid w:val="0"/>
          <w:color w:val="auto"/>
          <w:kern w:val="0"/>
          <w:sz w:val="24"/>
          <w:szCs w:val="24"/>
          <w:highlight w:val="none"/>
          <w:lang w:val="en-US" w:eastAsia="zh-CN" w:bidi="zh-TW"/>
        </w:rPr>
        <w:t>5.</w:t>
      </w:r>
      <w:r>
        <w:rPr>
          <w:rFonts w:hint="eastAsia" w:ascii="宋体" w:hAnsi="宋体" w:eastAsia="宋体" w:cs="宋体"/>
          <w:snapToGrid w:val="0"/>
          <w:color w:val="auto"/>
          <w:kern w:val="0"/>
          <w:sz w:val="24"/>
          <w:szCs w:val="24"/>
          <w:highlight w:val="none"/>
          <w:lang w:val="zh-TW" w:eastAsia="zh-CN" w:bidi="zh-TW"/>
        </w:rPr>
        <w:t>1.8设计人应提供国际权威机构或国内有关部门对新材料及特殊结构的试验报告，并提供相应新材料及特殊结构在工程中应用的经验供发包人参考。</w:t>
      </w:r>
    </w:p>
    <w:p w14:paraId="1245F1D9">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5.2施工质量标准：</w:t>
      </w:r>
    </w:p>
    <w:p w14:paraId="698B0563">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5.2.1确保符合国家、省、市或行业现行的《建筑工程施工质量验收统一标准》及相应配套的各专业验收规范（如在合同执行期间有新的规范标准，按新的规范标准执行），单位工程验收合格率100%，并达到合格或（以上标准），确保一次验收合格，满足发包人的工程质量要求。</w:t>
      </w:r>
    </w:p>
    <w:p w14:paraId="331FF934">
      <w:pPr>
        <w:widowControl/>
        <w:adjustRightInd w:val="0"/>
        <w:snapToGrid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5.2.2满足并达到广东省消防安全委员会办公室关于《全省火灾隐患重点地区整治工作验收标准》要求。</w:t>
      </w:r>
    </w:p>
    <w:p w14:paraId="1809C880">
      <w:pPr>
        <w:pStyle w:val="2"/>
        <w:adjustRightInd w:val="0"/>
        <w:snapToGrid w:val="0"/>
        <w:spacing w:line="360" w:lineRule="auto"/>
        <w:ind w:firstLine="480" w:firstLineChars="200"/>
        <w:rPr>
          <w:rFonts w:hint="default" w:eastAsia="宋体"/>
          <w:color w:val="auto"/>
          <w:highlight w:val="none"/>
          <w:lang w:val="en-US" w:eastAsia="zh-CN"/>
        </w:rPr>
      </w:pPr>
      <w:r>
        <w:rPr>
          <w:rFonts w:hint="eastAsia" w:hAnsi="宋体" w:cs="宋体"/>
          <w:bCs/>
          <w:color w:val="auto"/>
          <w:sz w:val="24"/>
          <w:highlight w:val="none"/>
          <w:u w:val="single"/>
          <w:lang w:val="en-US" w:eastAsia="zh-CN"/>
        </w:rPr>
        <w:t>5.2.3《园林绿化工程施工及验收规范》（CJJ82-2012）、《城市绿化工程施工及验收规范》（DB440100/T114-2007）及相应配套的各专业验收规范等。</w:t>
      </w:r>
    </w:p>
    <w:p w14:paraId="33848E0E">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5.3安全文明施工标准：</w:t>
      </w:r>
      <w:r>
        <w:rPr>
          <w:rFonts w:hint="eastAsia" w:ascii="宋体" w:hAnsi="宋体" w:cs="宋体"/>
          <w:color w:val="auto"/>
          <w:sz w:val="24"/>
          <w:highlight w:val="none"/>
          <w:u w:val="single"/>
        </w:rPr>
        <w:t>保证施工场地清洁、扬尘及噪音管理符合环境卫生管理的有关规定，确保不发生一般事故等级及以上的安全生产事故且死亡人数为零。</w:t>
      </w:r>
    </w:p>
    <w:p w14:paraId="39DFB5D0">
      <w:pPr>
        <w:pStyle w:val="3"/>
        <w:ind w:firstLine="482" w:firstLineChars="200"/>
        <w:rPr>
          <w:rFonts w:ascii="宋体" w:eastAsia="宋体"/>
          <w:b/>
          <w:bCs w:val="0"/>
          <w:color w:val="auto"/>
          <w:sz w:val="24"/>
          <w:szCs w:val="24"/>
          <w:highlight w:val="none"/>
        </w:rPr>
      </w:pPr>
      <w:bookmarkStart w:id="9" w:name="_Toc13692"/>
      <w:r>
        <w:rPr>
          <w:rFonts w:hint="eastAsia" w:ascii="宋体" w:eastAsia="宋体"/>
          <w:b/>
          <w:bCs w:val="0"/>
          <w:color w:val="auto"/>
          <w:sz w:val="24"/>
          <w:szCs w:val="24"/>
          <w:highlight w:val="none"/>
        </w:rPr>
        <w:t>5.4施工现场建筑垃圾源头减量及建筑垃圾综合利用产品的使用要求：</w:t>
      </w:r>
      <w:bookmarkEnd w:id="9"/>
    </w:p>
    <w:p w14:paraId="02EAA35E">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5.4.</w:t>
      </w:r>
      <w:r>
        <w:rPr>
          <w:rFonts w:hint="eastAsia" w:ascii="宋体" w:hAnsi="宋体" w:cs="宋体"/>
          <w:snapToGrid w:val="0"/>
          <w:color w:val="auto"/>
          <w:kern w:val="0"/>
          <w:sz w:val="24"/>
          <w:highlight w:val="none"/>
          <w:lang w:bidi="zh-TW"/>
        </w:rPr>
        <w:t>1</w:t>
      </w:r>
      <w:r>
        <w:rPr>
          <w:rFonts w:hint="eastAsia" w:ascii="宋体" w:hAnsi="宋体" w:cs="宋体"/>
          <w:snapToGrid w:val="0"/>
          <w:color w:val="auto"/>
          <w:kern w:val="0"/>
          <w:sz w:val="24"/>
          <w:highlight w:val="none"/>
          <w:lang w:val="zh-TW" w:bidi="zh-TW"/>
        </w:rPr>
        <w:t>承包人应当编制建筑垃圾处理方案，采取污染防治措施，并在开工前报工程所在地建筑垃圾主管部门备案。建筑垃圾处理方案内容有调整的，应当及时报告接受备案的部门。建筑垃圾处理方案应当包括下列内容：</w:t>
      </w:r>
    </w:p>
    <w:p w14:paraId="256216C0">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1</w:t>
      </w:r>
      <w:r>
        <w:rPr>
          <w:rFonts w:hint="eastAsia" w:ascii="宋体" w:hAnsi="宋体" w:cs="宋体"/>
          <w:snapToGrid w:val="0"/>
          <w:color w:val="auto"/>
          <w:kern w:val="0"/>
          <w:sz w:val="24"/>
          <w:highlight w:val="none"/>
          <w:lang w:val="zh-TW" w:bidi="zh-TW"/>
        </w:rPr>
        <w:t>）工程概况和承包人基本信息；</w:t>
      </w:r>
    </w:p>
    <w:p w14:paraId="36A866B6">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2</w:t>
      </w:r>
      <w:r>
        <w:rPr>
          <w:rFonts w:hint="eastAsia" w:ascii="宋体" w:hAnsi="宋体" w:cs="宋体"/>
          <w:snapToGrid w:val="0"/>
          <w:color w:val="auto"/>
          <w:kern w:val="0"/>
          <w:sz w:val="24"/>
          <w:highlight w:val="none"/>
          <w:lang w:val="zh-TW" w:bidi="zh-TW"/>
        </w:rPr>
        <w:t>）建筑垃圾产生量与种类；</w:t>
      </w:r>
    </w:p>
    <w:p w14:paraId="5A1533C1">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3</w:t>
      </w:r>
      <w:r>
        <w:rPr>
          <w:rFonts w:hint="eastAsia" w:ascii="宋体" w:hAnsi="宋体" w:cs="宋体"/>
          <w:snapToGrid w:val="0"/>
          <w:color w:val="auto"/>
          <w:kern w:val="0"/>
          <w:sz w:val="24"/>
          <w:highlight w:val="none"/>
          <w:lang w:val="zh-TW" w:bidi="zh-TW"/>
        </w:rPr>
        <w:t>）建筑垃圾源头减量、分类收集、综合利用、污染防治的措施和目标；</w:t>
      </w:r>
    </w:p>
    <w:p w14:paraId="3C16F424">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4</w:t>
      </w:r>
      <w:r>
        <w:rPr>
          <w:rFonts w:hint="eastAsia" w:ascii="宋体" w:hAnsi="宋体" w:cs="宋体"/>
          <w:snapToGrid w:val="0"/>
          <w:color w:val="auto"/>
          <w:kern w:val="0"/>
          <w:sz w:val="24"/>
          <w:highlight w:val="none"/>
          <w:lang w:val="zh-TW" w:bidi="zh-TW"/>
        </w:rPr>
        <w:t>）需要外运的建筑垃圾种类、数量与运输的时间、路线、方式和运输单位；</w:t>
      </w:r>
    </w:p>
    <w:p w14:paraId="6BB93B95">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5</w:t>
      </w:r>
      <w:r>
        <w:rPr>
          <w:rFonts w:hint="eastAsia" w:ascii="宋体" w:hAnsi="宋体" w:cs="宋体"/>
          <w:snapToGrid w:val="0"/>
          <w:color w:val="auto"/>
          <w:kern w:val="0"/>
          <w:sz w:val="24"/>
          <w:highlight w:val="none"/>
          <w:lang w:val="zh-TW" w:bidi="zh-TW"/>
        </w:rPr>
        <w:t>）建筑垃圾回填、消纳、综合利用场所名称；</w:t>
      </w:r>
    </w:p>
    <w:p w14:paraId="1DED66F0">
      <w:pPr>
        <w:widowControl/>
        <w:spacing w:line="360" w:lineRule="auto"/>
        <w:ind w:firstLine="480" w:firstLineChars="200"/>
        <w:jc w:val="left"/>
        <w:rPr>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6</w:t>
      </w:r>
      <w:r>
        <w:rPr>
          <w:rFonts w:hint="eastAsia" w:ascii="宋体" w:hAnsi="宋体" w:cs="宋体"/>
          <w:snapToGrid w:val="0"/>
          <w:color w:val="auto"/>
          <w:kern w:val="0"/>
          <w:sz w:val="24"/>
          <w:highlight w:val="none"/>
          <w:lang w:val="zh-TW" w:bidi="zh-TW"/>
        </w:rPr>
        <w:t>）</w:t>
      </w:r>
      <w:r>
        <w:rPr>
          <w:rFonts w:hint="eastAsia"/>
          <w:snapToGrid w:val="0"/>
          <w:color w:val="auto"/>
          <w:kern w:val="0"/>
          <w:sz w:val="24"/>
          <w:highlight w:val="none"/>
          <w:lang w:val="zh-TW" w:bidi="zh-TW"/>
        </w:rPr>
        <w:t>法律、法规规定的其他内容。</w:t>
      </w:r>
    </w:p>
    <w:p w14:paraId="2DF854D8">
      <w:pPr>
        <w:widowControl/>
        <w:spacing w:line="360" w:lineRule="auto"/>
        <w:ind w:firstLine="480" w:firstLineChars="200"/>
        <w:jc w:val="left"/>
        <w:rPr>
          <w:snapToGrid w:val="0"/>
          <w:color w:val="auto"/>
          <w:kern w:val="0"/>
          <w:sz w:val="24"/>
          <w:highlight w:val="none"/>
          <w:lang w:val="zh-TW" w:bidi="zh-TW"/>
        </w:rPr>
      </w:pPr>
      <w:r>
        <w:rPr>
          <w:rFonts w:hint="eastAsia" w:ascii="宋体" w:hAnsi="宋体" w:cs="宋体"/>
          <w:snapToGrid w:val="0"/>
          <w:color w:val="auto"/>
          <w:kern w:val="0"/>
          <w:sz w:val="24"/>
          <w:highlight w:val="none"/>
          <w:lang w:bidi="zh-TW"/>
        </w:rPr>
        <w:t>5.4.2</w:t>
      </w:r>
      <w:r>
        <w:rPr>
          <w:rFonts w:hint="eastAsia"/>
          <w:snapToGrid w:val="0"/>
          <w:color w:val="auto"/>
          <w:kern w:val="0"/>
          <w:sz w:val="24"/>
          <w:highlight w:val="none"/>
          <w:lang w:val="zh-TW" w:bidi="zh-TW"/>
        </w:rPr>
        <w:t>建筑垃圾应当按照国家有关规定进行分类，实行分类收集、分类贮存、分类运输、分类处置。</w:t>
      </w:r>
    </w:p>
    <w:p w14:paraId="76CA5F9E">
      <w:pPr>
        <w:widowControl/>
        <w:spacing w:line="360" w:lineRule="auto"/>
        <w:ind w:firstLine="480" w:firstLineChars="200"/>
        <w:jc w:val="left"/>
        <w:rPr>
          <w:snapToGrid w:val="0"/>
          <w:color w:val="auto"/>
          <w:kern w:val="0"/>
          <w:sz w:val="24"/>
          <w:highlight w:val="none"/>
          <w:lang w:val="zh-TW" w:bidi="zh-TW"/>
        </w:rPr>
      </w:pPr>
      <w:r>
        <w:rPr>
          <w:rFonts w:hint="eastAsia" w:ascii="宋体" w:hAnsi="宋体" w:cs="宋体"/>
          <w:snapToGrid w:val="0"/>
          <w:color w:val="auto"/>
          <w:kern w:val="0"/>
          <w:sz w:val="24"/>
          <w:highlight w:val="none"/>
          <w:lang w:bidi="zh-TW"/>
        </w:rPr>
        <w:t>5.4.3</w:t>
      </w:r>
      <w:r>
        <w:rPr>
          <w:rFonts w:hint="eastAsia"/>
          <w:snapToGrid w:val="0"/>
          <w:color w:val="auto"/>
          <w:kern w:val="0"/>
          <w:sz w:val="24"/>
          <w:highlight w:val="none"/>
          <w:lang w:val="zh-TW" w:bidi="zh-TW"/>
        </w:rPr>
        <w:t>承包应开展建筑垃圾分类和合法装载，并及时向工程所在地建筑垃圾主管部门报送建筑垃圾处理方案。承包人应当建立建筑垃圾管理台账，分类收集、贮存和及时清运施工过程中产生的建筑垃圾，采取有效措施防止混合已分类的建筑垃圾。承包人应当将建筑垃圾的产生量与种类、清运时间、最终去向等信息在施工现场公示，接受社会监督。</w:t>
      </w:r>
    </w:p>
    <w:p w14:paraId="7E3990F3">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bidi="zh-TW"/>
        </w:rPr>
        <w:t>5.4.4</w:t>
      </w:r>
      <w:r>
        <w:rPr>
          <w:rFonts w:hint="eastAsia" w:ascii="宋体" w:hAnsi="宋体" w:cs="宋体"/>
          <w:snapToGrid w:val="0"/>
          <w:color w:val="auto"/>
          <w:kern w:val="0"/>
          <w:sz w:val="24"/>
          <w:highlight w:val="none"/>
          <w:lang w:val="zh-TW" w:bidi="zh-TW"/>
        </w:rPr>
        <w:t>运输建筑垃圾应当遵守下列规定：</w:t>
      </w:r>
    </w:p>
    <w:p w14:paraId="12C607FD">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1</w:t>
      </w:r>
      <w:r>
        <w:rPr>
          <w:rFonts w:hint="eastAsia" w:ascii="宋体" w:hAnsi="宋体" w:cs="宋体"/>
          <w:snapToGrid w:val="0"/>
          <w:color w:val="auto"/>
          <w:kern w:val="0"/>
          <w:sz w:val="24"/>
          <w:highlight w:val="none"/>
          <w:lang w:val="zh-TW" w:bidi="zh-TW"/>
        </w:rPr>
        <w:t>）建立建筑垃圾运输管理台账；</w:t>
      </w:r>
    </w:p>
    <w:p w14:paraId="1412E6BD">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2</w:t>
      </w:r>
      <w:r>
        <w:rPr>
          <w:rFonts w:hint="eastAsia" w:ascii="宋体" w:hAnsi="宋体" w:cs="宋体"/>
          <w:snapToGrid w:val="0"/>
          <w:color w:val="auto"/>
          <w:kern w:val="0"/>
          <w:sz w:val="24"/>
          <w:highlight w:val="none"/>
          <w:lang w:val="zh-TW" w:bidi="zh-TW"/>
        </w:rPr>
        <w:t>）不得将工程渣土、工程泥浆与其他建筑垃圾混合运输；</w:t>
      </w:r>
    </w:p>
    <w:p w14:paraId="42EB9191">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3</w:t>
      </w:r>
      <w:r>
        <w:rPr>
          <w:rFonts w:hint="eastAsia" w:ascii="宋体" w:hAnsi="宋体" w:cs="宋体"/>
          <w:snapToGrid w:val="0"/>
          <w:color w:val="auto"/>
          <w:kern w:val="0"/>
          <w:sz w:val="24"/>
          <w:highlight w:val="none"/>
          <w:lang w:val="zh-TW" w:bidi="zh-TW"/>
        </w:rPr>
        <w:t>）保持运输车辆、船舶等运输工具的行驶记录、卫星定位等电子装置正常使用；</w:t>
      </w:r>
    </w:p>
    <w:p w14:paraId="061624F0">
      <w:pPr>
        <w:widowControl/>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4</w:t>
      </w:r>
      <w:r>
        <w:rPr>
          <w:rFonts w:hint="eastAsia" w:ascii="宋体" w:hAnsi="宋体" w:cs="宋体"/>
          <w:snapToGrid w:val="0"/>
          <w:color w:val="auto"/>
          <w:kern w:val="0"/>
          <w:sz w:val="24"/>
          <w:highlight w:val="none"/>
          <w:lang w:val="zh-TW" w:bidi="zh-TW"/>
        </w:rPr>
        <w:t>）运输过程中保持运输工具整洁，采取密闭或者其他有效措施防止遗撒建筑垃圾，不得擅自倾倒、抛撒建筑垃圾；</w:t>
      </w:r>
    </w:p>
    <w:p w14:paraId="3A5A780A">
      <w:pPr>
        <w:widowControl/>
        <w:spacing w:line="360" w:lineRule="auto"/>
        <w:ind w:firstLine="480" w:firstLineChars="200"/>
        <w:jc w:val="left"/>
        <w:rPr>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5</w:t>
      </w:r>
      <w:r>
        <w:rPr>
          <w:rFonts w:hint="eastAsia" w:ascii="宋体" w:hAnsi="宋体" w:cs="宋体"/>
          <w:snapToGrid w:val="0"/>
          <w:color w:val="auto"/>
          <w:kern w:val="0"/>
          <w:sz w:val="24"/>
          <w:highlight w:val="none"/>
          <w:lang w:val="zh-TW" w:bidi="zh-TW"/>
        </w:rPr>
        <w:t>）按照建筑垃圾处理方案确定的时间、路线、方式、场所进行运输。建筑垃圾运输车辆、</w:t>
      </w:r>
      <w:r>
        <w:rPr>
          <w:rFonts w:hint="eastAsia"/>
          <w:snapToGrid w:val="0"/>
          <w:color w:val="auto"/>
          <w:kern w:val="0"/>
          <w:sz w:val="24"/>
          <w:highlight w:val="none"/>
          <w:lang w:val="zh-TW" w:bidi="zh-TW"/>
        </w:rPr>
        <w:t>船舶应当符合相应的载运技术条件。建筑垃圾处置场所为陆域的，不得采用开底式船舶运输建筑垃圾。</w:t>
      </w:r>
    </w:p>
    <w:p w14:paraId="08271CFD">
      <w:pPr>
        <w:widowControl w:val="0"/>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bidi="zh-TW"/>
        </w:rPr>
        <w:t>5.4.5</w:t>
      </w:r>
      <w:r>
        <w:rPr>
          <w:rFonts w:hint="eastAsia" w:ascii="宋体" w:hAnsi="宋体" w:cs="宋体"/>
          <w:snapToGrid w:val="0"/>
          <w:color w:val="auto"/>
          <w:kern w:val="0"/>
          <w:sz w:val="24"/>
          <w:highlight w:val="none"/>
          <w:lang w:val="zh-TW" w:bidi="zh-TW"/>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14:paraId="65CB8473">
      <w:pPr>
        <w:widowControl w:val="0"/>
        <w:spacing w:line="360" w:lineRule="auto"/>
        <w:ind w:firstLine="480" w:firstLineChars="200"/>
        <w:jc w:val="left"/>
        <w:rPr>
          <w:rFonts w:hint="eastAsia" w:ascii="宋体" w:hAnsi="宋体" w:cs="宋体"/>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1</w:t>
      </w:r>
      <w:r>
        <w:rPr>
          <w:rFonts w:hint="eastAsia" w:ascii="宋体" w:hAnsi="宋体" w:cs="宋体"/>
          <w:snapToGrid w:val="0"/>
          <w:color w:val="auto"/>
          <w:kern w:val="0"/>
          <w:sz w:val="24"/>
          <w:highlight w:val="none"/>
          <w:lang w:val="zh-TW" w:bidi="zh-TW"/>
        </w:rPr>
        <w:t>）工程渣土及脱水后的工程泥浆优先用于土方平衡、矿坑修复、环境治理、烧结制品及回填等；</w:t>
      </w:r>
    </w:p>
    <w:p w14:paraId="5D5B9126">
      <w:pPr>
        <w:widowControl w:val="0"/>
        <w:spacing w:line="360" w:lineRule="auto"/>
        <w:ind w:firstLine="480" w:firstLineChars="200"/>
        <w:jc w:val="left"/>
        <w:rPr>
          <w:snapToGrid w:val="0"/>
          <w:color w:val="auto"/>
          <w:kern w:val="0"/>
          <w:sz w:val="24"/>
          <w:highlight w:val="none"/>
          <w:lang w:val="zh-TW" w:bidi="zh-TW"/>
        </w:rPr>
      </w:pPr>
      <w:r>
        <w:rPr>
          <w:rFonts w:hint="eastAsia" w:ascii="宋体" w:hAnsi="宋体" w:cs="宋体"/>
          <w:snapToGrid w:val="0"/>
          <w:color w:val="auto"/>
          <w:kern w:val="0"/>
          <w:sz w:val="24"/>
          <w:highlight w:val="none"/>
          <w:lang w:val="zh-TW" w:bidi="zh-TW"/>
        </w:rPr>
        <w:t>（</w:t>
      </w:r>
      <w:r>
        <w:rPr>
          <w:rFonts w:hint="eastAsia" w:ascii="宋体" w:hAnsi="宋体" w:cs="宋体"/>
          <w:snapToGrid w:val="0"/>
          <w:color w:val="auto"/>
          <w:kern w:val="0"/>
          <w:sz w:val="24"/>
          <w:highlight w:val="none"/>
          <w:lang w:bidi="zh-TW"/>
        </w:rPr>
        <w:t>2</w:t>
      </w:r>
      <w:r>
        <w:rPr>
          <w:rFonts w:hint="eastAsia" w:ascii="宋体" w:hAnsi="宋体" w:cs="宋体"/>
          <w:snapToGrid w:val="0"/>
          <w:color w:val="auto"/>
          <w:kern w:val="0"/>
          <w:sz w:val="24"/>
          <w:highlight w:val="none"/>
          <w:lang w:val="zh-TW" w:bidi="zh-TW"/>
        </w:rPr>
        <w:t>）工程垃圾、拆除垃圾和装修垃圾优先用于生产再生骨料、再生砖、再生砌块、再生沥青混合料等建筑垃圾综合利用产品。具备现场综合利用条件的建设工程，应当进行建筑垃圾</w:t>
      </w:r>
      <w:r>
        <w:rPr>
          <w:rFonts w:hint="eastAsia"/>
          <w:snapToGrid w:val="0"/>
          <w:color w:val="auto"/>
          <w:kern w:val="0"/>
          <w:sz w:val="24"/>
          <w:highlight w:val="none"/>
          <w:lang w:val="zh-TW" w:bidi="zh-TW"/>
        </w:rPr>
        <w:t>现场综合利用。</w:t>
      </w:r>
    </w:p>
    <w:p w14:paraId="0D39312C">
      <w:pPr>
        <w:adjustRightInd w:val="0"/>
        <w:snapToGrid w:val="0"/>
        <w:spacing w:line="360" w:lineRule="auto"/>
        <w:ind w:firstLine="480" w:firstLineChars="200"/>
        <w:rPr>
          <w:rFonts w:ascii="宋体" w:hAnsi="宋体" w:cs="宋体"/>
          <w:b/>
          <w:color w:val="auto"/>
          <w:sz w:val="24"/>
          <w:highlight w:val="none"/>
        </w:rPr>
      </w:pPr>
      <w:r>
        <w:rPr>
          <w:rFonts w:hint="eastAsia"/>
          <w:snapToGrid w:val="0"/>
          <w:color w:val="auto"/>
          <w:kern w:val="0"/>
          <w:sz w:val="24"/>
          <w:highlight w:val="none"/>
          <w:lang w:val="zh-TW" w:bidi="zh-TW"/>
        </w:rPr>
        <w:t>发包人和承包人严格遵守并执行《广东省建筑垃圾管理条例》。</w:t>
      </w:r>
    </w:p>
    <w:p w14:paraId="5A5246C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5.5检查和返工</w:t>
      </w:r>
    </w:p>
    <w:p w14:paraId="5FD41ED2">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5.5.1承包人应认真按照标准、规范和设计图纸要求以及发包人或其指定第三人、监理人依据合同发出的指令施工，随时接受发包人的检查检验，为检查检验提供便利条件。工程质量达不到约定标准的部分，发包人一经发现，应要求承包人拆除和重新施工。承包人应按发包人的要求拆除和重新施工，直到符合约定标准。因承包人原因达不到约定标准，由承包人承担拆除和返工的费用，工期不予顺延。</w:t>
      </w:r>
    </w:p>
    <w:p w14:paraId="4F4F7FC4">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5.5.2发包人或其指定第三人、监理人的检查检验不应影响施工正常进行。如影响施工正常进行，检查检验不合格时，影响正常施工的费用由承包人承担。</w:t>
      </w:r>
    </w:p>
    <w:p w14:paraId="35D05776">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5.5.3因发包人或其指定第三人指令失误或其他非承包人原因发生的追加合同价款，由发包人承担。</w:t>
      </w:r>
    </w:p>
    <w:p w14:paraId="31136528">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5.6隐蔽工程的中间验收</w:t>
      </w:r>
    </w:p>
    <w:p w14:paraId="2C51223F">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双方约定中间验收的部位：按相关规范标准执行</w:t>
      </w:r>
      <w:r>
        <w:rPr>
          <w:rFonts w:hint="eastAsia" w:ascii="宋体" w:hAnsi="宋体" w:cs="宋体"/>
          <w:color w:val="auto"/>
          <w:sz w:val="24"/>
          <w:highlight w:val="none"/>
        </w:rPr>
        <w:t>。</w:t>
      </w:r>
    </w:p>
    <w:p w14:paraId="1D9258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当工程具备覆盖、掩盖条件或达到中间验收部位以前，承包人自检，并于48小时前书面通知发包人、监理人检验。验收合格，发包人、监理人在验收记录上签字后，方可进行隐蔽和继续施工。验收不合格，承包人在限定时间内修改后重新验收，所需费用由承包人承担，不能影响工期。</w:t>
      </w:r>
    </w:p>
    <w:p w14:paraId="2EDA56C4">
      <w:pPr>
        <w:adjustRightInd w:val="0"/>
        <w:snapToGrid w:val="0"/>
        <w:spacing w:line="360" w:lineRule="auto"/>
        <w:ind w:firstLine="482" w:firstLineChars="200"/>
        <w:outlineLvl w:val="1"/>
        <w:rPr>
          <w:rFonts w:ascii="宋体" w:hAnsi="宋体" w:cs="宋体"/>
          <w:b/>
          <w:color w:val="auto"/>
          <w:sz w:val="24"/>
          <w:highlight w:val="none"/>
        </w:rPr>
      </w:pPr>
      <w:bookmarkStart w:id="10" w:name="_Toc25158"/>
      <w:r>
        <w:rPr>
          <w:rFonts w:hint="eastAsia" w:ascii="宋体" w:hAnsi="宋体" w:cs="宋体"/>
          <w:b/>
          <w:color w:val="auto"/>
          <w:sz w:val="24"/>
          <w:highlight w:val="none"/>
        </w:rPr>
        <w:t>六、合同价款</w:t>
      </w:r>
      <w:bookmarkEnd w:id="10"/>
    </w:p>
    <w:p w14:paraId="00B43143">
      <w:pPr>
        <w:autoSpaceDE w:val="0"/>
        <w:autoSpaceDN w:val="0"/>
        <w:adjustRightInd w:val="0"/>
        <w:snapToGrid w:val="0"/>
        <w:spacing w:line="360" w:lineRule="auto"/>
        <w:ind w:firstLine="482" w:firstLineChars="200"/>
        <w:jc w:val="left"/>
        <w:rPr>
          <w:rFonts w:ascii="宋体" w:hAnsi="宋体" w:cs="宋体"/>
          <w:color w:val="auto"/>
          <w:kern w:val="0"/>
          <w:sz w:val="24"/>
          <w:highlight w:val="none"/>
          <w:lang w:val="zh-CN"/>
        </w:rPr>
      </w:pPr>
      <w:r>
        <w:rPr>
          <w:rFonts w:hint="eastAsia" w:ascii="宋体" w:hAnsi="宋体" w:cs="宋体"/>
          <w:b/>
          <w:color w:val="auto"/>
          <w:sz w:val="24"/>
          <w:highlight w:val="none"/>
        </w:rPr>
        <w:t>6.1暂定合同含税总价：</w:t>
      </w:r>
      <w:r>
        <w:rPr>
          <w:rFonts w:hint="eastAsia" w:ascii="宋体" w:hAnsi="宋体" w:cs="宋体"/>
          <w:color w:val="auto"/>
          <w:sz w:val="24"/>
          <w:highlight w:val="none"/>
        </w:rPr>
        <w:t>（大写）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。其中：</w:t>
      </w:r>
    </w:p>
    <w:p w14:paraId="599127EC">
      <w:pPr>
        <w:adjustRightInd w:val="0"/>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6.1.1暂定设计费：</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39D92309">
      <w:pPr>
        <w:adjustRightInd w:val="0"/>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6.1.2暂定建安工程费：</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7691B787">
      <w:pPr>
        <w:adjustRightInd w:val="0"/>
        <w:snapToGrid w:val="0"/>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rPr>
        <w:t>6.1.2.1</w:t>
      </w:r>
      <w:r>
        <w:rPr>
          <w:rFonts w:hint="eastAsia" w:ascii="宋体" w:hAnsi="宋体" w:cs="宋体"/>
          <w:b/>
          <w:color w:val="auto"/>
          <w:sz w:val="24"/>
          <w:highlight w:val="none"/>
        </w:rPr>
        <w:t>其中暂列金额(非竞争性费用)：</w:t>
      </w:r>
      <w:r>
        <w:rPr>
          <w:rFonts w:hint="eastAsia" w:ascii="宋体" w:hAnsi="宋体" w:cs="宋体"/>
          <w:color w:val="auto"/>
          <w:sz w:val="24"/>
          <w:highlight w:val="none"/>
        </w:rPr>
        <w:t>含税总价款为（大写）</w:t>
      </w:r>
      <w:r>
        <w:rPr>
          <w:rFonts w:hint="eastAsia" w:ascii="宋体" w:hAnsi="宋体" w:cs="宋体"/>
          <w:color w:val="auto"/>
          <w:sz w:val="24"/>
          <w:highlight w:val="none"/>
          <w:u w:val="none"/>
        </w:rPr>
        <w:t>人民币</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，（小写）：</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rPr>
        <w:t>元</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其中：不含税总金额为</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w:t>
      </w:r>
    </w:p>
    <w:p w14:paraId="090E7E72">
      <w:pPr>
        <w:adjustRightInd w:val="0"/>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u w:val="none"/>
          <w:lang w:val="en-US" w:eastAsia="zh-CN"/>
        </w:rPr>
        <w:t>6.1.3</w:t>
      </w:r>
      <w:r>
        <w:rPr>
          <w:rFonts w:hint="eastAsia" w:ascii="宋体" w:hAnsi="宋体" w:cs="宋体"/>
          <w:color w:val="auto"/>
          <w:sz w:val="24"/>
          <w:highlight w:val="none"/>
        </w:rPr>
        <w:t>若增值税税率发生变化，双方本着平等、自愿的原则，以“价税分离”为基础，原合同不含税价不变，发包人、承包人应按照不含税价及调整后的税率重新核算含税价，承包人据此开具发票，发包人据此付款。</w:t>
      </w:r>
    </w:p>
    <w:p w14:paraId="5C6901A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6.2计价方式</w:t>
      </w:r>
    </w:p>
    <w:p w14:paraId="5838F172">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6.2.1设计费</w:t>
      </w:r>
    </w:p>
    <w:p w14:paraId="0A88A6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本项目工程设计费用采用合同总价包干，除合同另有约定外，不得以任何方式另行增加设计费。</w:t>
      </w:r>
    </w:p>
    <w:p w14:paraId="47CFCE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若发生合同约定的工作范围或内容调整变更，则按专用条款17.1条约定相应比例调整。</w:t>
      </w:r>
    </w:p>
    <w:p w14:paraId="1FA326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设计费包含本合同项目的全部设计费用、设计文件修改费用、设计调研费、设计评审费、配合发包人进行报建、报审、验收工作等承包人为完成本项目设计工作所发生的所有费用及税金。设计费最终结算价以有权结算终审部门审定金额为准。如遇审计部门审计发现本合同结算价款存在超付的情形，发包人有权据实要求承包人返还该部分款项。</w:t>
      </w:r>
    </w:p>
    <w:p w14:paraId="62CD5EF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6.2.2 建安工程费</w:t>
      </w:r>
    </w:p>
    <w:p w14:paraId="1B6B254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施工图预算、变更签证预算的计价原则：采用第6.3款约定的人工工资、材料、机械台班单价和第6.4款约定的计价依据，并全额执行中标下浮率（即下浮范围包括分部分项工程费、措施项目费、其他项目费、规费、税金等）。</w:t>
      </w:r>
    </w:p>
    <w:p w14:paraId="349B5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中标下浮率约定：中标下浮率＝（1－建筑安装工程费投标报价÷建筑安装工程费招标控制价）×100%，本合同中标下浮率为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D63C8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经发包人审定的施工图预算，作为进度款支付及结算依据。</w:t>
      </w:r>
    </w:p>
    <w:p w14:paraId="578B99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结算金额=施工图预算审定金额（扣除暂列金额）+工程变更+新增工程；执行经发包人审定施工图预算中的综合单价包干、措施费包干、预算包干费包干，工程量按实计算</w:t>
      </w:r>
      <w:r>
        <w:rPr>
          <w:rFonts w:hint="eastAsia" w:ascii="宋体" w:hAnsi="宋体" w:cs="宋体"/>
          <w:color w:val="auto"/>
          <w:sz w:val="24"/>
          <w:highlight w:val="none"/>
          <w:lang w:eastAsia="zh-CN"/>
        </w:rPr>
        <w:t>；</w:t>
      </w:r>
      <w:r>
        <w:rPr>
          <w:rFonts w:hint="eastAsia" w:ascii="宋体" w:hAnsi="宋体" w:cs="宋体"/>
          <w:color w:val="auto"/>
          <w:sz w:val="24"/>
          <w:highlight w:val="none"/>
        </w:rPr>
        <w:t>结算总价以有权结算终审部门审定的的结算金额为准，且不得超过第2.2.2款约定的最高限额。</w:t>
      </w:r>
    </w:p>
    <w:p w14:paraId="4D21215D">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 人工工资、材料、机械台班单价及其价差调整</w:t>
      </w:r>
    </w:p>
    <w:p w14:paraId="4868ED6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6.3.1人工工资、材料、机械台班单价</w:t>
      </w:r>
    </w:p>
    <w:p w14:paraId="18D591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本工程预算的人工工资、材料、机械台班单价，按广州市造价管理部门颁布的基准期（本合同基准期为合同签订当月）《广州地区建设工程常用材料税前综合价格》计算。</w:t>
      </w:r>
    </w:p>
    <w:p w14:paraId="3ED46E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《广州地区建设工程常用材料税前综合价格》没有的材料、设备单价，参考基准期《广州地区建设工程材料（设备）厂商价格信息》计算，且需对选用的厂商价格信息重新进行市场调研询价后方可使用。</w:t>
      </w:r>
    </w:p>
    <w:p w14:paraId="1999BD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《广州地区建设工程常用材料税前综合价格》及《广州地区建设工程材料（设备）厂商价格信息》均没有的材料、设备价格，由发包人、监理人、承包人结合市场价协商确定。</w:t>
      </w:r>
    </w:p>
    <w:p w14:paraId="6103D5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已确定样板、确认单价的主要材料（设备），未经发包人同意不得改变。</w:t>
      </w:r>
    </w:p>
    <w:p w14:paraId="38E666CA">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6.3.2价差调整</w:t>
      </w:r>
    </w:p>
    <w:p w14:paraId="1746A906">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本工程预算经确认后，无论市场价格如何变动，包括但不限于材料价格、人工工资等，本合同确定的工程价款不作任何形式的调整。</w:t>
      </w:r>
    </w:p>
    <w:p w14:paraId="0828A6C2">
      <w:pPr>
        <w:adjustRightInd w:val="0"/>
        <w:snapToGrid w:val="0"/>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6.4本工程适用的计价依据</w:t>
      </w:r>
    </w:p>
    <w:p w14:paraId="0FA297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国家标准《</w:t>
      </w:r>
      <w:r>
        <w:rPr>
          <w:rFonts w:hint="eastAsia" w:ascii="宋体" w:hAnsi="宋体" w:eastAsia="宋体" w:cs="宋体"/>
          <w:i w:val="0"/>
          <w:iCs w:val="0"/>
          <w:caps w:val="0"/>
          <w:color w:val="auto"/>
          <w:spacing w:val="0"/>
          <w:sz w:val="24"/>
          <w:szCs w:val="24"/>
          <w:highlight w:val="none"/>
          <w:shd w:val="clear" w:fill="auto"/>
        </w:rPr>
        <w:t>建设工程工程量清单计价标准</w:t>
      </w:r>
      <w:r>
        <w:rPr>
          <w:rFonts w:hint="eastAsia" w:ascii="宋体" w:hAnsi="宋体" w:cs="宋体"/>
          <w:color w:val="auto"/>
          <w:sz w:val="24"/>
          <w:highlight w:val="none"/>
        </w:rPr>
        <w:t>》(</w:t>
      </w:r>
      <w:r>
        <w:rPr>
          <w:rFonts w:hint="eastAsia" w:ascii="宋体" w:hAnsi="宋体" w:eastAsia="宋体" w:cs="宋体"/>
          <w:i w:val="0"/>
          <w:iCs w:val="0"/>
          <w:caps w:val="0"/>
          <w:color w:val="auto"/>
          <w:spacing w:val="0"/>
          <w:sz w:val="24"/>
          <w:szCs w:val="24"/>
          <w:highlight w:val="none"/>
          <w:shd w:val="clear" w:fill="auto"/>
        </w:rPr>
        <w:t>GB/T50500-2024</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建设期间项目所在地对应时期工程造价管理部门颁布的计价文件。</w:t>
      </w:r>
    </w:p>
    <w:p w14:paraId="4067E21D">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七、本协议书与下列组成本合同的文件是一个合同整体，彼此应能相互解释，互为说明。当出现相互矛盾时，组成本合同文件的优先解释顺序如下：</w:t>
      </w:r>
    </w:p>
    <w:p w14:paraId="2E4DEB1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（1）履行本合同的相关补充协议；</w:t>
      </w:r>
    </w:p>
    <w:p w14:paraId="6956849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（2）本合同协议书；</w:t>
      </w:r>
    </w:p>
    <w:p w14:paraId="532F90D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（3）专用条款（含补充条款）；</w:t>
      </w:r>
    </w:p>
    <w:p w14:paraId="0394B3C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（4）合同附件（含各管理办法）；</w:t>
      </w:r>
    </w:p>
    <w:p w14:paraId="09698C5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（5）通用条款；</w:t>
      </w:r>
    </w:p>
    <w:p w14:paraId="423B1B8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（6）招标文件及其附件、招标答疑、中标通知书；</w:t>
      </w:r>
    </w:p>
    <w:p w14:paraId="122B413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（7）承包人投标文件及其附件（含评标期间的澄清文件和补充资料）；（若投标文件标准、要求高于招标文件的，则投标文件解释顺序优先于招标文件，按投标文件的标准、要求执行）；</w:t>
      </w:r>
    </w:p>
    <w:p w14:paraId="10FB54D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（8）经批准的施工图纸及设计文件、工程变更、签证；</w:t>
      </w:r>
    </w:p>
    <w:p w14:paraId="1FC3EA05">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（9）现行标准、规范及有关技术文件；</w:t>
      </w:r>
    </w:p>
    <w:p w14:paraId="0E5C7BD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（10）投标报价书（工程量清单）；</w:t>
      </w:r>
    </w:p>
    <w:p w14:paraId="228C586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（11）专用条款约定的其他文件；</w:t>
      </w:r>
    </w:p>
    <w:p w14:paraId="2A8E379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（12）发包人、承包人有关工程的洽商、变更等会议记录和文件（主要包括合同履行过程中的有关通知、指令、工程会议纪要等）；</w:t>
      </w:r>
    </w:p>
    <w:p w14:paraId="0C29039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（13）本合同生效期间，发包人制定并执行的有关广州市保障性住房建设管理规定，与原合同及补充协议无实质性冲突的，均属本合同组成文件，适用于本合同项下工程。</w:t>
      </w:r>
    </w:p>
    <w:p w14:paraId="051ECA5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（14）组成合同的其他文件：经双方确认进入合同的其他文件。</w:t>
      </w:r>
    </w:p>
    <w:p w14:paraId="433F58B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双方就上述合同文件所作出的补充和修改，属于同一类内容的文件，应以最新签署的为准。若根据上述解释顺序仍不足以澄清的，除非本合同另有约定，应以发包人的书面澄清或说明为准，上述澄清或说明不应被视为变更。</w:t>
      </w:r>
    </w:p>
    <w:p w14:paraId="7927D3C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承包人在投标期间提交的资料中任何与招标文件内容不符的自拟条件和说明，以及在往来澄清、答疑中的询问或回复，如有相较招标文件减损发包人权益或增加发包人责任或义务的内容，除在合同文件中被发包人特别以书面形式明示接受且加盖公章的以外均属无效。同时，承包人在投标期间提交的技术部分，如施工组织设计、工程进度计划及相关设备、材料的型号、参数等，是承包人对发包人的单方承诺，对发包人不具有约束力，发包人有权要求承包人根据合同文件的要求及工程实际需要进行修改，且须经发包人审核并批准后方可实施。</w:t>
      </w:r>
    </w:p>
    <w:p w14:paraId="5CAF0718">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cs="宋体"/>
          <w:bCs/>
          <w:snapToGrid w:val="0"/>
          <w:color w:val="auto"/>
          <w:kern w:val="0"/>
          <w:sz w:val="24"/>
          <w:highlight w:val="none"/>
        </w:rPr>
        <w:t>承包人</w:t>
      </w:r>
      <w:r>
        <w:rPr>
          <w:rFonts w:hint="eastAsia" w:ascii="宋体" w:hAnsi="宋体" w:cs="宋体"/>
          <w:snapToGrid w:val="0"/>
          <w:color w:val="auto"/>
          <w:kern w:val="0"/>
          <w:sz w:val="24"/>
          <w:highlight w:val="none"/>
        </w:rPr>
        <w:t>还不服的，可按</w:t>
      </w:r>
      <w:r>
        <w:rPr>
          <w:rFonts w:hint="eastAsia" w:ascii="宋体" w:hAnsi="宋体" w:cs="宋体"/>
          <w:bCs/>
          <w:snapToGrid w:val="0"/>
          <w:color w:val="auto"/>
          <w:kern w:val="0"/>
          <w:sz w:val="24"/>
          <w:highlight w:val="none"/>
        </w:rPr>
        <w:t>合同专用条款第</w:t>
      </w:r>
      <w:r>
        <w:rPr>
          <w:rFonts w:hint="eastAsia" w:ascii="宋体" w:hAnsi="宋体" w:cs="宋体"/>
          <w:bCs/>
          <w:snapToGrid w:val="0"/>
          <w:color w:val="auto"/>
          <w:kern w:val="0"/>
          <w:sz w:val="24"/>
          <w:highlight w:val="none"/>
          <w:lang w:eastAsia="zh-CN"/>
        </w:rPr>
        <w:t>2</w:t>
      </w:r>
      <w:r>
        <w:rPr>
          <w:rFonts w:hint="eastAsia" w:ascii="宋体" w:hAnsi="宋体" w:cs="宋体"/>
          <w:bCs/>
          <w:snapToGrid w:val="0"/>
          <w:color w:val="auto"/>
          <w:kern w:val="0"/>
          <w:sz w:val="24"/>
          <w:highlight w:val="none"/>
          <w:lang w:val="en-US" w:eastAsia="zh-CN"/>
        </w:rPr>
        <w:t>4</w:t>
      </w:r>
      <w:r>
        <w:rPr>
          <w:rFonts w:hint="eastAsia" w:ascii="宋体" w:hAnsi="宋体" w:cs="宋体"/>
          <w:bCs/>
          <w:snapToGrid w:val="0"/>
          <w:color w:val="auto"/>
          <w:kern w:val="0"/>
          <w:sz w:val="24"/>
          <w:highlight w:val="none"/>
        </w:rPr>
        <w:t>条的约定处理，但在有关部门没有作出正式裁决之前，承包人必须无条件先行执行发包人的决定。</w:t>
      </w:r>
    </w:p>
    <w:p w14:paraId="4F482F0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除非发包人代表在承包人发出的工程施工联系函或其他报告文件上书面签署明确意见，前述文件仅有发包人代表或其他人的签名，不能作为发包人的意见或结算依据。</w:t>
      </w:r>
    </w:p>
    <w:p w14:paraId="4A7890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发包人代表、造价工程师、总监理工程师行使职权时发出的书面文件必须由其本人签名并加盖有效印章，只有项目章而没有本人签名的，或只有本人签名而没有项目章的，该文件对发包人、承包人均没有约束力。</w:t>
      </w:r>
    </w:p>
    <w:p w14:paraId="700CA630">
      <w:pPr>
        <w:adjustRightInd w:val="0"/>
        <w:snapToGrid w:val="0"/>
        <w:spacing w:line="360" w:lineRule="auto"/>
        <w:ind w:firstLine="482" w:firstLineChars="200"/>
        <w:outlineLvl w:val="1"/>
        <w:rPr>
          <w:rFonts w:ascii="宋体" w:hAnsi="宋体" w:cs="宋体"/>
          <w:b/>
          <w:color w:val="auto"/>
          <w:sz w:val="24"/>
          <w:highlight w:val="none"/>
        </w:rPr>
      </w:pPr>
      <w:bookmarkStart w:id="11" w:name="_Toc9051"/>
      <w:r>
        <w:rPr>
          <w:rFonts w:hint="eastAsia" w:ascii="宋体" w:hAnsi="宋体" w:cs="宋体"/>
          <w:b/>
          <w:color w:val="auto"/>
          <w:sz w:val="24"/>
          <w:highlight w:val="none"/>
        </w:rPr>
        <w:t>八、词语词义</w:t>
      </w:r>
      <w:bookmarkEnd w:id="11"/>
    </w:p>
    <w:p w14:paraId="42AE5A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本协议书中有关词语含义与本合同《通用条款》、《专用条款》中分别赋予它们的定义相同。</w:t>
      </w:r>
    </w:p>
    <w:p w14:paraId="5D7ACC14">
      <w:pPr>
        <w:adjustRightInd w:val="0"/>
        <w:snapToGrid w:val="0"/>
        <w:spacing w:line="360" w:lineRule="auto"/>
        <w:ind w:firstLine="482" w:firstLineChars="200"/>
        <w:outlineLvl w:val="1"/>
        <w:rPr>
          <w:rFonts w:ascii="宋体" w:hAnsi="宋体" w:cs="宋体"/>
          <w:b/>
          <w:color w:val="auto"/>
          <w:sz w:val="24"/>
          <w:highlight w:val="none"/>
        </w:rPr>
      </w:pPr>
      <w:bookmarkStart w:id="12" w:name="_Toc26293"/>
      <w:r>
        <w:rPr>
          <w:rFonts w:hint="eastAsia" w:ascii="宋体" w:hAnsi="宋体" w:cs="宋体"/>
          <w:b/>
          <w:color w:val="auto"/>
          <w:sz w:val="24"/>
          <w:highlight w:val="none"/>
        </w:rPr>
        <w:t>九、承诺</w:t>
      </w:r>
      <w:bookmarkEnd w:id="12"/>
    </w:p>
    <w:p w14:paraId="40D47D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1.承包人承诺：按照合同约定进行设计、施工、竣工并在缺陷责任期及质量保修期内承担工程质量维修责任，并履行合同规定的承包人的全部义务和责任。</w:t>
      </w:r>
    </w:p>
    <w:p w14:paraId="5473B4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2.发包人承诺：按照合同约定的期限和方式支付签约合同价及按合同规定支付的其他款项，并履行合同规定的发包人的全部义务和责任。</w:t>
      </w:r>
    </w:p>
    <w:p w14:paraId="27F8CCAA">
      <w:pPr>
        <w:adjustRightInd w:val="0"/>
        <w:snapToGrid w:val="0"/>
        <w:spacing w:line="360" w:lineRule="auto"/>
        <w:ind w:firstLine="482" w:firstLineChars="200"/>
        <w:outlineLvl w:val="1"/>
        <w:rPr>
          <w:rFonts w:ascii="宋体" w:hAnsi="宋体" w:cs="宋体"/>
          <w:b/>
          <w:color w:val="auto"/>
          <w:sz w:val="24"/>
          <w:highlight w:val="none"/>
        </w:rPr>
      </w:pPr>
      <w:bookmarkStart w:id="13" w:name="_Toc12813"/>
      <w:r>
        <w:rPr>
          <w:rFonts w:hint="eastAsia" w:ascii="宋体" w:hAnsi="宋体" w:cs="宋体"/>
          <w:b/>
          <w:color w:val="auto"/>
          <w:sz w:val="24"/>
          <w:highlight w:val="none"/>
        </w:rPr>
        <w:t>十、禁止</w:t>
      </w:r>
      <w:bookmarkEnd w:id="13"/>
    </w:p>
    <w:p w14:paraId="2A2166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与发包人签订合同时使用的“开户银行名称、账户名称（简称户名）及账号”必须与投标书附表中所填写的“开户银行名称、账户名称（简称户名）及账号”一致且账户不能是临时账户，合同签订后不得变更（发包人同意除外），否则发包人有权拒绝合同授予、有权停止合同价款的拨付，所造成的一切后果由承包人承担。</w:t>
      </w:r>
    </w:p>
    <w:p w14:paraId="56BC399C">
      <w:pPr>
        <w:adjustRightInd w:val="0"/>
        <w:snapToGrid w:val="0"/>
        <w:spacing w:line="360" w:lineRule="auto"/>
        <w:ind w:firstLine="482" w:firstLineChars="200"/>
        <w:outlineLvl w:val="1"/>
        <w:rPr>
          <w:rFonts w:ascii="宋体" w:hAnsi="宋体" w:cs="宋体"/>
          <w:b/>
          <w:color w:val="auto"/>
          <w:sz w:val="24"/>
          <w:highlight w:val="none"/>
        </w:rPr>
      </w:pPr>
      <w:bookmarkStart w:id="14" w:name="_Toc21569"/>
      <w:r>
        <w:rPr>
          <w:rFonts w:hint="eastAsia" w:ascii="宋体" w:hAnsi="宋体" w:cs="宋体"/>
          <w:b/>
          <w:color w:val="auto"/>
          <w:sz w:val="24"/>
          <w:highlight w:val="none"/>
        </w:rPr>
        <w:t>十一、合同生效及期限</w:t>
      </w:r>
      <w:bookmarkEnd w:id="14"/>
    </w:p>
    <w:p w14:paraId="1AEFEB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default"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default" w:ascii="宋体" w:hAnsi="宋体" w:cs="宋体"/>
          <w:color w:val="auto"/>
          <w:sz w:val="24"/>
          <w:highlight w:val="none"/>
          <w:u w:val="single"/>
          <w:lang w:val="en-US" w:eastAsia="zh-CN"/>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rPr>
        <w:t>日</w:t>
      </w:r>
    </w:p>
    <w:p w14:paraId="2D4887D9">
      <w:pPr>
        <w:adjustRightInd w:val="0"/>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合同订立地点：</w:t>
      </w:r>
      <w:r>
        <w:rPr>
          <w:rFonts w:hint="eastAsia" w:ascii="宋体" w:hAnsi="宋体" w:cs="宋体"/>
          <w:color w:val="auto"/>
          <w:sz w:val="24"/>
          <w:highlight w:val="none"/>
          <w:u w:val="single"/>
          <w:lang w:val="en-US" w:eastAsia="zh-CN"/>
        </w:rPr>
        <w:t xml:space="preserve">         </w:t>
      </w:r>
    </w:p>
    <w:p w14:paraId="2AB3E0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本合同双方约定：自双方签字盖章并承包人提供有效履约担保后生效，至双方履行完本合同约定的义务和责任后自然失效。</w:t>
      </w:r>
    </w:p>
    <w:p w14:paraId="5B7ACA36">
      <w:pPr>
        <w:adjustRightInd w:val="0"/>
        <w:snapToGrid w:val="0"/>
        <w:spacing w:line="360" w:lineRule="auto"/>
        <w:ind w:firstLine="482" w:firstLineChars="200"/>
        <w:outlineLvl w:val="1"/>
        <w:rPr>
          <w:rFonts w:ascii="宋体" w:hAnsi="宋体" w:cs="宋体"/>
          <w:b/>
          <w:color w:val="auto"/>
          <w:sz w:val="24"/>
          <w:highlight w:val="none"/>
        </w:rPr>
      </w:pPr>
      <w:bookmarkStart w:id="15" w:name="_Toc21405"/>
      <w:r>
        <w:rPr>
          <w:rFonts w:hint="eastAsia" w:ascii="宋体" w:hAnsi="宋体" w:cs="宋体"/>
          <w:b/>
          <w:color w:val="auto"/>
          <w:sz w:val="24"/>
          <w:highlight w:val="none"/>
        </w:rPr>
        <w:t>十二、合同份数</w:t>
      </w:r>
      <w:bookmarkEnd w:id="15"/>
    </w:p>
    <w:p w14:paraId="305F8B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份，均具有同等法律效力。</w:t>
      </w:r>
    </w:p>
    <w:p w14:paraId="6FD188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（以下无正文内容）</w:t>
      </w:r>
    </w:p>
    <w:p w14:paraId="53F467D3">
      <w:pPr>
        <w:adjustRightInd w:val="0"/>
        <w:snapToGrid w:val="0"/>
        <w:spacing w:line="360" w:lineRule="auto"/>
        <w:ind w:firstLine="480" w:firstLineChars="200"/>
        <w:rPr>
          <w:rFonts w:ascii="宋体" w:hAnsi="宋体" w:cs="宋体"/>
          <w:color w:val="auto"/>
          <w:sz w:val="24"/>
          <w:highlight w:val="none"/>
        </w:rPr>
      </w:pPr>
    </w:p>
    <w:p w14:paraId="155B2B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                        承包人（联合体主办方）：</w:t>
      </w:r>
    </w:p>
    <w:p w14:paraId="00B4431E">
      <w:pPr>
        <w:pStyle w:val="2"/>
        <w:adjustRightInd w:val="0"/>
        <w:snapToGrid w:val="0"/>
        <w:spacing w:line="360" w:lineRule="auto"/>
        <w:ind w:firstLine="0" w:firstLineChars="0"/>
        <w:rPr>
          <w:rFonts w:hint="eastAsia" w:ascii="宋体" w:hAnsi="宋体" w:cs="宋体"/>
          <w:color w:val="auto"/>
          <w:sz w:val="24"/>
          <w:szCs w:val="24"/>
          <w:highlight w:val="none"/>
        </w:rPr>
      </w:pPr>
      <w:r>
        <w:rPr>
          <w:rFonts w:hint="eastAsia" w:hAnsi="宋体" w:cs="宋体"/>
          <w:color w:val="auto"/>
          <w:sz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cs="宋体"/>
          <w:color w:val="auto"/>
          <w:sz w:val="24"/>
          <w:szCs w:val="24"/>
          <w:highlight w:val="none"/>
        </w:rPr>
        <w:t>法定代表人：                    法定代表人：</w:t>
      </w:r>
    </w:p>
    <w:p w14:paraId="51D6EF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授权代表：                      授权代表：</w:t>
      </w:r>
    </w:p>
    <w:p w14:paraId="6B7631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                    联  系  人：</w:t>
      </w:r>
    </w:p>
    <w:p w14:paraId="32F87B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电 话：                   联 系 电 话：</w:t>
      </w:r>
    </w:p>
    <w:p w14:paraId="3E5D72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开 户 银 行：</w:t>
      </w:r>
    </w:p>
    <w:p w14:paraId="6D46BD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48D45EA7">
      <w:pPr>
        <w:adjustRightInd w:val="0"/>
        <w:snapToGrid w:val="0"/>
        <w:spacing w:line="360" w:lineRule="auto"/>
        <w:ind w:firstLine="4080" w:firstLineChars="1700"/>
        <w:rPr>
          <w:rFonts w:ascii="宋体" w:hAnsi="宋体" w:cs="宋体"/>
          <w:color w:val="auto"/>
          <w:sz w:val="24"/>
          <w:highlight w:val="none"/>
        </w:rPr>
      </w:pPr>
    </w:p>
    <w:p w14:paraId="745A2D1E">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承包人（联合体成员）：</w:t>
      </w:r>
    </w:p>
    <w:p w14:paraId="21B589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p>
    <w:p w14:paraId="7BFB0773">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授权代表：</w:t>
      </w:r>
    </w:p>
    <w:p w14:paraId="2B35F3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联  系  人：</w:t>
      </w:r>
    </w:p>
    <w:p w14:paraId="1E298E7B">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联 系 电 话：</w:t>
      </w:r>
    </w:p>
    <w:p w14:paraId="4C789F6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开 户 银 行：</w:t>
      </w:r>
    </w:p>
    <w:p w14:paraId="44318C4E">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2128304B">
      <w:pPr>
        <w:adjustRightInd w:val="0"/>
        <w:snapToGrid w:val="0"/>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bookmarkStart w:id="16" w:name="_Toc2957"/>
      <w:r>
        <w:rPr>
          <w:rFonts w:hint="eastAsia" w:ascii="宋体" w:hAnsi="宋体" w:cs="宋体"/>
          <w:b/>
          <w:color w:val="auto"/>
          <w:sz w:val="32"/>
          <w:szCs w:val="32"/>
          <w:highlight w:val="none"/>
        </w:rPr>
        <w:t>第二部分   通用条款</w:t>
      </w:r>
      <w:bookmarkEnd w:id="16"/>
    </w:p>
    <w:p w14:paraId="41CD4F66">
      <w:pPr>
        <w:adjustRightInd w:val="0"/>
        <w:snapToGrid w:val="0"/>
        <w:spacing w:line="360" w:lineRule="auto"/>
        <w:ind w:firstLine="482" w:firstLineChars="200"/>
        <w:outlineLvl w:val="1"/>
        <w:rPr>
          <w:rFonts w:ascii="宋体" w:hAnsi="宋体" w:cs="宋体"/>
          <w:b/>
          <w:color w:val="auto"/>
          <w:sz w:val="24"/>
          <w:highlight w:val="none"/>
        </w:rPr>
      </w:pPr>
      <w:bookmarkStart w:id="17" w:name="_Toc18913"/>
      <w:r>
        <w:rPr>
          <w:rFonts w:hint="eastAsia" w:ascii="宋体" w:hAnsi="宋体" w:cs="宋体"/>
          <w:b/>
          <w:color w:val="auto"/>
          <w:sz w:val="24"/>
          <w:highlight w:val="none"/>
        </w:rPr>
        <w:t>1. 一般约定</w:t>
      </w:r>
      <w:bookmarkEnd w:id="17"/>
    </w:p>
    <w:p w14:paraId="37CFCB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74CF7E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14:paraId="6339CE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14:paraId="02ECC3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合同文件（或称合同）：指合同协议书、中标通知书、投标函及投标函附录、专用合同条款、通用合同条款、发包人要求、价格清单、承包人建议书，以及其他构成合同组成部分的文件。</w:t>
      </w:r>
    </w:p>
    <w:p w14:paraId="5E8E80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合同协议书：指第1.5 款所指的合同协议书。</w:t>
      </w:r>
    </w:p>
    <w:p w14:paraId="5A1992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中标通知书：指发包人通知承包人中标的函件。中标通知书随附的澄清、说明、补正事项纪要等，是中标通知书的组成部分。</w:t>
      </w:r>
    </w:p>
    <w:p w14:paraId="5C9E3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14:paraId="6E30D3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14:paraId="5512B2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1.1.1.6 发包人要求：指构成合同文件组成部分的名为发包人要求的文件，包括招标项目的目的、范围、设计与其他技术标准和要求，以及合同双方当事人约定对其所作的修改或补充。</w:t>
      </w:r>
    </w:p>
    <w:p w14:paraId="063D5C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1.1.1.7 价格清单：指构成合同文件组成部分的由承包人按规定的格式和要求填写并标明价格的清单。</w:t>
      </w:r>
    </w:p>
    <w:p w14:paraId="342F09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1.1.1.8承包人建议书：指构成合同文件组成部分的名为承包人建议书的文件。承包人建议书由承包人随投标函一起提交。承包人建议书应包括承包人的设计图纸及相应说明等设计文件。</w:t>
      </w:r>
    </w:p>
    <w:p w14:paraId="525B95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14:paraId="07B3FB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04A10E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14:paraId="781AB5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14:paraId="75F67B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14:paraId="0C5BA3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 承包人项目经理：指承包人指定代表承包人履行义务的负责人。</w:t>
      </w:r>
    </w:p>
    <w:p w14:paraId="4DFF7C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 设计负责人：指承包人指定负责组织指导协调设计工作并具有相应资格的人员。</w:t>
      </w:r>
    </w:p>
    <w:p w14:paraId="4BE940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 施工负责人：指承包人指定负责组织指导协调施工工作并具有相应资格的人员。</w:t>
      </w:r>
    </w:p>
    <w:p w14:paraId="0567B7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1.1.2.7 采购负责人：指承包人指定负责组织指导协调采购工作的人员。</w:t>
      </w:r>
    </w:p>
    <w:p w14:paraId="27C4B7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1.1.2.8 分包人：指从承包人处分包合同中某一部分工作，并与其签订分包合同的分包人。</w:t>
      </w:r>
    </w:p>
    <w:p w14:paraId="066732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1.1.2.9 监理人：指在专用合同条款中指明的，受发包人委托对合同履行实施管理的法人或其他组织。属于国家强制监理的，监理人应当具有相应的监理资质。</w:t>
      </w:r>
    </w:p>
    <w:p w14:paraId="243402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1.1.2.10 总监理工程师：指由监理人委派对合同履行实施管理的全权负责人。</w:t>
      </w:r>
    </w:p>
    <w:p w14:paraId="5181B2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762524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14:paraId="5A1AB2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14:paraId="527137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14:paraId="548B32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 区段工程：指专用合同条款中指明特定范围的能单独接收并使用的永久工程。</w:t>
      </w:r>
    </w:p>
    <w:p w14:paraId="74418E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工程设备：指构成或计划构成永久工程的机电设备、仪器装置、运载工具及其他类似的设备和装置。</w:t>
      </w:r>
    </w:p>
    <w:p w14:paraId="3100D3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14:paraId="609C59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14:paraId="64D17C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1.1.3.8 承包人设备：指承包人为工程实施提供的施工设备。</w:t>
      </w:r>
    </w:p>
    <w:p w14:paraId="251908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14:paraId="447F5D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14:paraId="6036AE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14:paraId="7260A2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日期、检验和竣工</w:t>
      </w:r>
    </w:p>
    <w:p w14:paraId="3E247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 开始工作通知：指监理人按第11.1 款通知承包人开始工作的函件。</w:t>
      </w:r>
    </w:p>
    <w:p w14:paraId="5F2406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1.1.4.2 开始工作日期：指监理人按第11.1款发出的开始工作通知中写明的开始工作日期。</w:t>
      </w:r>
    </w:p>
    <w:p w14:paraId="6BF591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1.1.4.3 工期：指承包人在投标函中承诺的完成合同工作所需的期限，包括按第11.3款、第11.4款和第11.6款约定所作的变更。</w:t>
      </w:r>
    </w:p>
    <w:p w14:paraId="2F0F8D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竣工日期：指第1.1.4.3目约定工期届满时的日期。实际竣工日期以工程验收证书中写明的日期为准。</w:t>
      </w:r>
    </w:p>
    <w:p w14:paraId="48DBD51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缺陷责任期：指履行第19.2款约定的缺陷责任的期限，具体期限在发包人要求中明确的包括根据第19.3 款约定所作的延长。</w:t>
      </w:r>
    </w:p>
    <w:p w14:paraId="6E4423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1.1.4.6 基准日期：指投标截止之日前28天的日期。</w:t>
      </w:r>
    </w:p>
    <w:p w14:paraId="5FA23D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14:paraId="246F57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1.1.4.8 竣工试验：是指在工程竣工验收前，根据第18.1款要求进行的试验。</w:t>
      </w:r>
    </w:p>
    <w:p w14:paraId="0EFC6B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1.1.4.9 竣工验收：是指承包人完成了全部合同工作后，发包人按合同要求进行的验收。</w:t>
      </w:r>
    </w:p>
    <w:p w14:paraId="136BB9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1.1.4.10 竣工后试验：是指在工程竣工验收后，根据第18.9款约定进行的试验。</w:t>
      </w:r>
    </w:p>
    <w:p w14:paraId="142D3A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1.1.4.11国家验收：是指政府有关部门根据法律、规范、规程和政策要求，针对发包人全面组织实施的整个工程正式交付投运前的验收。</w:t>
      </w:r>
    </w:p>
    <w:p w14:paraId="30852A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合同价格和费用</w:t>
      </w:r>
    </w:p>
    <w:p w14:paraId="72C8F7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签约合同价：指中标通知书明确的并在签订合同时于合同协议书中写明的，包括了暂列金额、暂估价的合同总金额。</w:t>
      </w:r>
    </w:p>
    <w:p w14:paraId="52BCE6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14:paraId="17E7A2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14:paraId="7DEA63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1.1.5.4 暂列金额：指招标文件中给定的，用于在签订协议书时尚未确定或不可预见变更的设计、施工及其所需材料、工程设备、服务等的金额，包括以计日工方式支付的金额。</w:t>
      </w:r>
    </w:p>
    <w:p w14:paraId="667689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1.1.5.5 暂估价：指招标文件中给定的，用于支付必然发生但暂时不能确定价格的专业服务、材料、设备专业工程的金额。</w:t>
      </w:r>
    </w:p>
    <w:p w14:paraId="6B5C3F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14:paraId="6D6C97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1.1.5.7 质量保证金：指按第17.4.1项约定用于保证在缺陷责任期内履行缺陷修复义务的金额。</w:t>
      </w:r>
    </w:p>
    <w:p w14:paraId="3DF1DD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078D4E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书面形式：指合同文件、信函、电报、传真、数据电文、电子邮件、会议纪要等可以有形地表现所载内容的形式。</w:t>
      </w:r>
    </w:p>
    <w:p w14:paraId="08AB70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1.1.6.2 承包人文件：指由承包人根据合同应提交的所有图纸、手册、模型、计算书、软件和其他文件。</w:t>
      </w:r>
    </w:p>
    <w:p w14:paraId="155808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1.1.6.3 变更是指根据第15条的约定，经指示或批准对发包人要求或工程所做的改变。</w:t>
      </w:r>
    </w:p>
    <w:p w14:paraId="1D6551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语言文字</w:t>
      </w:r>
    </w:p>
    <w:p w14:paraId="7B69C8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合同使用的语言文字为中文。专用术语使用外文的，应附有中文注释。</w:t>
      </w:r>
    </w:p>
    <w:p w14:paraId="1A55F3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法律</w:t>
      </w:r>
    </w:p>
    <w:p w14:paraId="190B1F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适用于合同的法律包括中华人民共和国法律、行政法规、部门规章，以及工程所在地的地方性法规、自治条例、单行条例和地方政府规章。</w:t>
      </w:r>
    </w:p>
    <w:p w14:paraId="792EA6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合同文件的优先顺序</w:t>
      </w:r>
    </w:p>
    <w:p w14:paraId="69D7D5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1F9354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w:t>
      </w:r>
    </w:p>
    <w:p w14:paraId="53BA3B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14:paraId="20999E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715B1E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（4）专用合同条款；</w:t>
      </w:r>
    </w:p>
    <w:p w14:paraId="3EDAAD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（5）通用合同条款；</w:t>
      </w:r>
    </w:p>
    <w:p w14:paraId="69042A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（6）发包人要求；</w:t>
      </w:r>
    </w:p>
    <w:p w14:paraId="22D681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（7）承包人建议书； </w:t>
      </w:r>
    </w:p>
    <w:p w14:paraId="6A3F0A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（8）价格清单；</w:t>
      </w:r>
    </w:p>
    <w:p w14:paraId="6E086A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（9）其他合同文件。</w:t>
      </w:r>
    </w:p>
    <w:p w14:paraId="14B753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合同协议书</w:t>
      </w:r>
    </w:p>
    <w:p w14:paraId="3F60C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A6FB5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文件的提供和照管</w:t>
      </w:r>
    </w:p>
    <w:p w14:paraId="2937D7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承包人文件的提供</w:t>
      </w:r>
    </w:p>
    <w:p w14:paraId="41122B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14:paraId="2687B1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14:paraId="6342B7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14:paraId="52A23C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文件错误的通知</w:t>
      </w:r>
    </w:p>
    <w:p w14:paraId="1D7E35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任何一方发现了文件中存在的明显错误或疏忽，应及时通知另一方。</w:t>
      </w:r>
    </w:p>
    <w:p w14:paraId="6A437F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文件的照管</w:t>
      </w:r>
    </w:p>
    <w:p w14:paraId="0D1B9C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承包人应在现场保留一份合同、发包人要求中列出的所有文件、承包人文件、变更以及其它根据合同收发的往来信函。发包人有权在任何合理的时间查阅和使用上述所有文件。</w:t>
      </w:r>
    </w:p>
    <w:p w14:paraId="5C2BC6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联络</w:t>
      </w:r>
    </w:p>
    <w:p w14:paraId="0C991E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14:paraId="487B3D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第1.7.1 项中的通知、批准、证明、证书、指示、要求、请求、同意、意见、确定和决定等来往函件，均应在合同约定的期限内送达指定的地点和指定的接收人，并办理签收手续。</w:t>
      </w:r>
    </w:p>
    <w:p w14:paraId="04C3DF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转让</w:t>
      </w:r>
    </w:p>
    <w:p w14:paraId="6409AA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4BF600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严禁贿赂</w:t>
      </w:r>
    </w:p>
    <w:p w14:paraId="0368DC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7FC298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 化石、文物</w:t>
      </w:r>
    </w:p>
    <w:p w14:paraId="19F38A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14:paraId="78438A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14:paraId="515627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知识产权</w:t>
      </w:r>
    </w:p>
    <w:p w14:paraId="1D9E8D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1.11.1除专用合同条款另有约定外，承包人完成的设计工作成果和建造完成的建筑物，除署名权以外的著作权以及建筑物形象使用收益等其他知识产权均归发包人享有。</w:t>
      </w:r>
    </w:p>
    <w:p w14:paraId="767A07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承包人在进行设计，以及使用任何材料、承包人设备、工程设备或采用施工工艺时，因侵犯专利权或其他知识产权所引起的责任，由承包人承担。</w:t>
      </w:r>
    </w:p>
    <w:p w14:paraId="404584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承包人在投标文件中采用专利技术的，专利技术的使用费包含在投标报价内。</w:t>
      </w:r>
    </w:p>
    <w:p w14:paraId="7FF00F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文件及信息的保密</w:t>
      </w:r>
    </w:p>
    <w:p w14:paraId="379CAE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未经对方同意，任何一方当事人不得将有关文件、技术秘密、需要保密的资料和信息泄露给他人或公开发表与引用。</w:t>
      </w:r>
    </w:p>
    <w:p w14:paraId="5005CD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发包人要求中的错误（A）</w:t>
      </w:r>
    </w:p>
    <w:p w14:paraId="21786C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1.13.1承包人应认真阅读、复核发包人要求，发现错误的，应及时书面通知发包人。</w:t>
      </w:r>
    </w:p>
    <w:p w14:paraId="60B96E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1.13.2发包人要求中的错误导致承包人增加费用和（或）工期延误的，发包人应承担由此增加的费用和（或）工期延误，并向承包人支付合理利润。</w:t>
      </w:r>
    </w:p>
    <w:p w14:paraId="300E34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发包人要求中的错误（B）</w:t>
      </w:r>
    </w:p>
    <w:p w14:paraId="672555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承包人应认真阅读、复核发包人要求，发现错误的，应及时书面通知发包人。发包人做相应修改的，按照第15条约定处理。对确实存在的错误，发包人坚持不作修改的，应承担由此导致承包人增加的费用和（或）延误的工期。</w:t>
      </w:r>
    </w:p>
    <w:p w14:paraId="653561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承包人未发现发包人要求中存在错误的，承包人自行承担由此导致的费用增加和（或） 工期延误，但专用合同条款另有约定的除外。</w:t>
      </w:r>
    </w:p>
    <w:p w14:paraId="0C9383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无论承包人发现与否，在任何情况下，发包人要求中的下列错误导致承包人增加的费用和（或）延误的工期，由发包人承担，并向承包人支付合理利润。</w:t>
      </w:r>
    </w:p>
    <w:p w14:paraId="26A05C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（1）发包人要求中引用的原始数据和资料；</w:t>
      </w:r>
    </w:p>
    <w:p w14:paraId="16D8D2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（2）对工程或其任何部分的功能要求；</w:t>
      </w:r>
    </w:p>
    <w:p w14:paraId="39EBBC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（3）对工程的工艺安排或要求；</w:t>
      </w:r>
    </w:p>
    <w:p w14:paraId="4CD03D0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（4）试验和检验标准；</w:t>
      </w:r>
    </w:p>
    <w:p w14:paraId="775038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（5）除合同另有约定外，承包人无法核实的数据和资料。</w:t>
      </w:r>
    </w:p>
    <w:p w14:paraId="0B82B1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发包人要求违法</w:t>
      </w:r>
    </w:p>
    <w:p w14:paraId="7CF9D0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14:paraId="1987A9EB">
      <w:pPr>
        <w:adjustRightInd w:val="0"/>
        <w:snapToGrid w:val="0"/>
        <w:spacing w:line="360" w:lineRule="auto"/>
        <w:ind w:firstLine="482" w:firstLineChars="200"/>
        <w:outlineLvl w:val="1"/>
        <w:rPr>
          <w:rFonts w:ascii="宋体" w:hAnsi="宋体" w:cs="宋体"/>
          <w:b/>
          <w:color w:val="auto"/>
          <w:sz w:val="24"/>
          <w:highlight w:val="none"/>
        </w:rPr>
      </w:pPr>
      <w:bookmarkStart w:id="18" w:name="_Toc1003"/>
      <w:r>
        <w:rPr>
          <w:rFonts w:hint="eastAsia" w:ascii="宋体" w:hAnsi="宋体" w:cs="宋体"/>
          <w:b/>
          <w:color w:val="auto"/>
          <w:sz w:val="24"/>
          <w:highlight w:val="none"/>
        </w:rPr>
        <w:t>2. 发包人义务</w:t>
      </w:r>
      <w:bookmarkEnd w:id="18"/>
    </w:p>
    <w:p w14:paraId="05ECC1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遵守法律</w:t>
      </w:r>
    </w:p>
    <w:p w14:paraId="3CF91A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14:paraId="494A62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发出承包人开始工作通知</w:t>
      </w:r>
    </w:p>
    <w:p w14:paraId="43B407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 款的约定向承包人发出开始工作通知。</w:t>
      </w:r>
    </w:p>
    <w:p w14:paraId="0B3FFB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367097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发包人应按专用合同条款约定向承包人提供施工场地及进场施工条件，并明确与承包人的交接界面。</w:t>
      </w:r>
    </w:p>
    <w:p w14:paraId="2DA318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14:paraId="6DE216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法律规定和（或）合同约定由发包人负责办理的工程建设项目必须履行的各类审批、核准或备案手续，发包人应按时办理。</w:t>
      </w:r>
    </w:p>
    <w:p w14:paraId="1BD783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法律规定和（或）合同约定由承包人负责的有关设计、施工证件和批件，发包人应给予必要的协助。</w:t>
      </w:r>
    </w:p>
    <w:p w14:paraId="046637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14:paraId="3D01756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发包人应按合同约定向承包人及时支付合同价款。专用合同条款对发包人工程款支付担保有约定的，从其约定。</w:t>
      </w:r>
    </w:p>
    <w:p w14:paraId="25B36C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 组织竣工验收</w:t>
      </w:r>
    </w:p>
    <w:p w14:paraId="699A55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14:paraId="7979A8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14:paraId="44E894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0DF31BD4">
      <w:pPr>
        <w:adjustRightInd w:val="0"/>
        <w:snapToGrid w:val="0"/>
        <w:spacing w:line="360" w:lineRule="auto"/>
        <w:ind w:firstLine="482" w:firstLineChars="200"/>
        <w:outlineLvl w:val="1"/>
        <w:rPr>
          <w:rFonts w:ascii="宋体" w:hAnsi="宋体" w:cs="宋体"/>
          <w:b/>
          <w:color w:val="auto"/>
          <w:sz w:val="24"/>
          <w:highlight w:val="none"/>
        </w:rPr>
      </w:pPr>
      <w:bookmarkStart w:id="19" w:name="_Toc16490"/>
      <w:r>
        <w:rPr>
          <w:rFonts w:hint="eastAsia" w:ascii="宋体" w:hAnsi="宋体" w:cs="宋体"/>
          <w:b/>
          <w:color w:val="auto"/>
          <w:sz w:val="24"/>
          <w:highlight w:val="none"/>
        </w:rPr>
        <w:t>3. 监理人</w:t>
      </w:r>
      <w:bookmarkEnd w:id="19"/>
    </w:p>
    <w:p w14:paraId="2F1415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14:paraId="29B55F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05D8E3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合同约定应由承包人承担的义务和责任，不因监理人对承包人文件的审查或批准，对工程、材料和工程设备的检查和检验，以及为实施监理作出的指示等职务行为而减轻或解除。</w:t>
      </w:r>
    </w:p>
    <w:p w14:paraId="5379D5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总监理工程师</w:t>
      </w:r>
    </w:p>
    <w:p w14:paraId="635A16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14:paraId="7B6343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监理人员</w:t>
      </w:r>
    </w:p>
    <w:p w14:paraId="550F9C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4A1279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0700CF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承包人对总监理工程师授权的监理人员发出的指示有疑问的，可在该指示发出的48小时内向总监理工程师提出书面异议，总监理工程师应在48小时内对该指示予以确认、更改或撤销。</w:t>
      </w:r>
    </w:p>
    <w:p w14:paraId="58F20F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 款约定应由总监理工程师作出确定的权力授权或委托给其他监理人员。</w:t>
      </w:r>
    </w:p>
    <w:p w14:paraId="2B4F8C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监理人的指示</w:t>
      </w:r>
    </w:p>
    <w:p w14:paraId="4E311D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 款的约定向承包人发出指示，监理人的指示应盖有监理人授权的项目管理机构章，并由总监理工程师或总监理工程师约定授权的监理人员签字。</w:t>
      </w:r>
    </w:p>
    <w:p w14:paraId="480937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承包人收到监理人作出的指示后应遵照执行。指示构成变更的，应按第15条执行。</w:t>
      </w:r>
    </w:p>
    <w:p w14:paraId="223812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14:paraId="3C0313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14:paraId="595C78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3.4.5 由于监理人未能按合同约定发出指示、指示延误或指示错误而导致承包人费用增加和（或）工期延误的，发包人应承担由此增加的费用和（或）工期延误，并向承包人支付合理利润。</w:t>
      </w:r>
    </w:p>
    <w:p w14:paraId="3C89FE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商定或确定</w:t>
      </w:r>
    </w:p>
    <w:p w14:paraId="7337E6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合同约定总监理工程师应按照本款对任何事项进行商定或确定时，总监理工程师应与合同当事人协商，尽量达成一致。不能达成一致的，总监理工程师应认真研究后审慎确定。</w:t>
      </w:r>
    </w:p>
    <w:p w14:paraId="5155FE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14:paraId="6B279EA6">
      <w:pPr>
        <w:adjustRightInd w:val="0"/>
        <w:snapToGrid w:val="0"/>
        <w:spacing w:line="360" w:lineRule="auto"/>
        <w:ind w:firstLine="482" w:firstLineChars="200"/>
        <w:outlineLvl w:val="1"/>
        <w:rPr>
          <w:rFonts w:ascii="宋体" w:hAnsi="宋体" w:cs="宋体"/>
          <w:b/>
          <w:color w:val="auto"/>
          <w:sz w:val="24"/>
          <w:highlight w:val="none"/>
        </w:rPr>
      </w:pPr>
      <w:bookmarkStart w:id="20" w:name="_Toc11785"/>
      <w:r>
        <w:rPr>
          <w:rFonts w:hint="eastAsia" w:ascii="宋体" w:hAnsi="宋体" w:cs="宋体"/>
          <w:b/>
          <w:color w:val="auto"/>
          <w:sz w:val="24"/>
          <w:highlight w:val="none"/>
        </w:rPr>
        <w:t>4. 承包人</w:t>
      </w:r>
      <w:bookmarkEnd w:id="20"/>
    </w:p>
    <w:p w14:paraId="30C310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14:paraId="41B0C5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14:paraId="5B4B7D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14:paraId="6DC9A9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14:paraId="1F626A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14:paraId="261296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14:paraId="03B6BA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4D85E1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对设计、施工作业和施工方法，以及工程的完备性负责</w:t>
      </w:r>
    </w:p>
    <w:p w14:paraId="3D381E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承包人应按合同约定的工作内容和进度要求，编制设计、施工的组织和实施计划，并对所有设计、施工作业和施工方法，以及全部工程的完备性和安全可靠性负责。</w:t>
      </w:r>
    </w:p>
    <w:p w14:paraId="43D011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14:paraId="6A6054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承包人应按第10.2 款约定采取施工安全措施，确保工程及其人员、材料、设备和设施的安全，防止因工程施工造成的人身伤害和财产损失。</w:t>
      </w:r>
    </w:p>
    <w:p w14:paraId="26649C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36F377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承包人应按照第10.4 款约定负责施工场地及其周边环境与生态的保护工作。</w:t>
      </w:r>
    </w:p>
    <w:p w14:paraId="1BFFEA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14:paraId="678B21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19B38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1D4642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14:paraId="5FF47E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14:paraId="1320EA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w:t>
      </w:r>
    </w:p>
    <w:p w14:paraId="13494C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2C98ED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14:paraId="172500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14:paraId="5D80B1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14:paraId="3987DC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14:paraId="3A77D1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14:paraId="6C15E8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承包人不得将其承包的全部工程转包给第三人，也不得将其承包的全部工程肢解后以分包的名义分别转包给第三人。</w:t>
      </w:r>
    </w:p>
    <w:p w14:paraId="2FC413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承包人不得将设计和施工的主体、关键性工作分包给第三人。除专用合同条款另有约定外，未经发包人同意，承包人也不得将非主体、非关键性工作分包给第三人。</w:t>
      </w:r>
    </w:p>
    <w:p w14:paraId="683123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分包人的资格能力应与其分包工作的标准和规模相适应。</w:t>
      </w:r>
    </w:p>
    <w:p w14:paraId="289091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 发包人同意承包人分包工作的，承包人应向发包人和监理人提交分包合同副本。</w:t>
      </w:r>
    </w:p>
    <w:p w14:paraId="6F3A6D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联合体</w:t>
      </w:r>
    </w:p>
    <w:p w14:paraId="392A80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联合体各方应共同与发包人签订合同。联合体各方应为履行合同承担连带责任。</w:t>
      </w:r>
    </w:p>
    <w:p w14:paraId="675035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14:paraId="226AF2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联合体牵头人或联合体授权的代表负责与发包人和监理人联系，并接受指示，负责组织联合体各成员全面履行合同。</w:t>
      </w:r>
    </w:p>
    <w:p w14:paraId="3C59FB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 承包人项目经理</w:t>
      </w:r>
    </w:p>
    <w:p w14:paraId="0ED0F6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14:paraId="161594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14:paraId="3B489B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4.5.3 承包人为履行合同发出的一切函件均应盖有承包人单位章或由承包人项目经理签字。</w:t>
      </w:r>
    </w:p>
    <w:p w14:paraId="35B6A9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承包人项目经理可以授权其下属人员履行其某项职责，但事先应将这些人员的姓名和授权范围书面通知发包人和监理人。</w:t>
      </w:r>
    </w:p>
    <w:p w14:paraId="583528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14:paraId="578D84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5DE5BD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4.6.2 承包人安排的主要管理人员包括项目经理、设计负责人、施工负责人、采购负责人以及专职质量、安全生产管理人员等；技术人员包括设计师、建筑师、土木工程师、设备工程师、建造师等。</w:t>
      </w:r>
    </w:p>
    <w:p w14:paraId="68B8A1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4.6.3 承包人的设计人员应具有国家规定和发包人要求中约定的资格，并具有从事设计所必需的经验与能力。</w:t>
      </w:r>
    </w:p>
    <w:p w14:paraId="0925A0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承包人应保证其设计人员（包括分包人的设计人员）在合同期限内的任何时候，都能按时参加发包人或其委托的监理人组织的工作会议。</w:t>
      </w:r>
    </w:p>
    <w:p w14:paraId="18B0E2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4.6.4 国家规定应当持证上岗的工作人员均应持有相应的资格证明，监理人有权随时检查。监理人认为有必要时，可进行现场考核。</w:t>
      </w:r>
    </w:p>
    <w:p w14:paraId="0C02E3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233CE6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4.7 撤换承包人项目经理和其他人员</w:t>
      </w:r>
    </w:p>
    <w:p w14:paraId="7AB85B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14:paraId="26FC3B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14:paraId="60735A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14:paraId="04CC4B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14:paraId="3E40B3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14:paraId="7FBAF7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14:paraId="61BB5A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14:paraId="238382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14:paraId="006245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 工程价款应专款专用</w:t>
      </w:r>
    </w:p>
    <w:p w14:paraId="5557FD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发包人按合同约定支付给承包人的各项价款应专用于合同工作。</w:t>
      </w:r>
    </w:p>
    <w:p w14:paraId="211998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 承包人现场查勘</w:t>
      </w:r>
    </w:p>
    <w:p w14:paraId="48BE10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14:paraId="76E7D6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承包人应对施工场地和周围环境进行查勘，并收集除发包人提供外为完成合同工作有关的当地资料。在全部合同工作中，视为承包人已充分估计了应承担的责任和风险。</w:t>
      </w:r>
    </w:p>
    <w:p w14:paraId="210517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不可预见物质条件（A）</w:t>
      </w:r>
    </w:p>
    <w:p w14:paraId="05F43D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4.11.1 不可预见物质条件，除专用合同条款另有约定外，是指承包人在施工场地遇到的不可预见的自然物质条件、非自然的物质障碍和污染物，包括地下和水文条件，但不包括气候条件。</w:t>
      </w:r>
    </w:p>
    <w:p w14:paraId="1F6471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14:paraId="431AC4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不可预见的困难和费用（B）</w:t>
      </w:r>
    </w:p>
    <w:p w14:paraId="12E5DC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除合同另有约定外，承包人应视为已取得工程有关风险、意外事件和其他情况的全部必要资料，并预见工程所有困难和费用。承包人遇到不可预见的困难和费用时，合同价格不予调整。</w:t>
      </w:r>
    </w:p>
    <w:p w14:paraId="15B5AA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14:paraId="66F19A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14:paraId="336807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14:paraId="486BBF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4.12.2 合同进度计划的修订</w:t>
      </w:r>
    </w:p>
    <w:p w14:paraId="207E69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14:paraId="760698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质量保证</w:t>
      </w:r>
    </w:p>
    <w:p w14:paraId="159DEA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4.14.1 为保证工程质量，承包人应按照合同要求建立质量保证体系。监理人有权对承包人的质量保证体系进行审查。</w:t>
      </w:r>
    </w:p>
    <w:p w14:paraId="017E6E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4.14.2 承包人应在各设计和实施阶段开始前，向监理人提交其具体的质量保证细则和工作程序。</w:t>
      </w:r>
    </w:p>
    <w:p w14:paraId="2725D6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4.14.3 遵守质量保证体系，不应免除合同约定的承包人的义务和责任。</w:t>
      </w:r>
    </w:p>
    <w:p w14:paraId="08A418A7">
      <w:pPr>
        <w:adjustRightInd w:val="0"/>
        <w:snapToGrid w:val="0"/>
        <w:spacing w:line="360" w:lineRule="auto"/>
        <w:ind w:firstLine="482" w:firstLineChars="200"/>
        <w:outlineLvl w:val="1"/>
        <w:rPr>
          <w:rFonts w:ascii="宋体" w:hAnsi="宋体" w:cs="宋体"/>
          <w:b/>
          <w:color w:val="auto"/>
          <w:sz w:val="24"/>
          <w:highlight w:val="none"/>
        </w:rPr>
      </w:pPr>
      <w:bookmarkStart w:id="21" w:name="_Toc4873"/>
      <w:r>
        <w:rPr>
          <w:rFonts w:hint="eastAsia" w:ascii="宋体" w:hAnsi="宋体" w:cs="宋体"/>
          <w:b/>
          <w:color w:val="auto"/>
          <w:sz w:val="24"/>
          <w:highlight w:val="none"/>
        </w:rPr>
        <w:t>5. 设计</w:t>
      </w:r>
      <w:bookmarkEnd w:id="21"/>
    </w:p>
    <w:p w14:paraId="5499B0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14:paraId="49B82B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14:paraId="7E428AC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承包人应按照法律规定，以及国家、行业和地方的规范和标准完成设计工作，并符合发包人要求。</w:t>
      </w:r>
    </w:p>
    <w:p w14:paraId="4C4233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5.1.2 法律和标准的变化</w:t>
      </w:r>
    </w:p>
    <w:p w14:paraId="529CD6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14:paraId="0BEA2F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 承包人设计进度计划</w:t>
      </w:r>
    </w:p>
    <w:p w14:paraId="3B1B3A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承包人应按照发包人要求，在合同进度计划中专门列出设计进度计划，报发包人批准后执行。承包人需按照经批准后的计划开展设计工作。</w:t>
      </w:r>
    </w:p>
    <w:p w14:paraId="0B85D22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因承包人原因影响设计进度的，按第11.5款的约定执行。因发包人原因影响设计进度的，按第15条变更处理。</w:t>
      </w:r>
    </w:p>
    <w:p w14:paraId="1731D2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发包人或其委托的监理人有权要求承包人根据第11.5款提交修正的进度计划、增加投入资源并加快设计进度。</w:t>
      </w:r>
    </w:p>
    <w:p w14:paraId="402267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设计审查</w:t>
      </w:r>
    </w:p>
    <w:p w14:paraId="2D80B1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 承包人的设计文件应报发包人审查同意。审查的范围和内容在发包人要求中约定。</w:t>
      </w:r>
    </w:p>
    <w:p w14:paraId="59013C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14:paraId="094231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14:paraId="271958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合同约定的审查期满，发包人没有做出审查结论也没有提出异议的，视为承包人的设计文件已获发包人同意。</w:t>
      </w:r>
    </w:p>
    <w:p w14:paraId="3E7B76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承包人的设计文件不需要政府有关部门审查或批准的，承包人应当严格按照经发包人审查同意的设计文件设计和实施工程。</w:t>
      </w:r>
    </w:p>
    <w:p w14:paraId="6BAD2C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5.3.3 （设计文件需政府有关部门审查或批准的，发包人应在审查同意承包人的设计文件后7天内，向政府有关部门报送设计文件，承包人应予以协助。</w:t>
      </w:r>
    </w:p>
    <w:p w14:paraId="3EEE11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14:paraId="1B742E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政府有关部门审查批准的，承包人应当严格按照批准后的承包人的设计文件设计和实施工程。</w:t>
      </w:r>
    </w:p>
    <w:p w14:paraId="53AF45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 培训</w:t>
      </w:r>
    </w:p>
    <w:p w14:paraId="2C0D26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承包人应按照发包人要求，对发包人的人员进行工程操作和维修方面的培训。合同约定接收之前进行培训的，应在第18.3款约定的竣工验收前完成培训。</w:t>
      </w:r>
    </w:p>
    <w:p w14:paraId="68C181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 竣工文件</w:t>
      </w:r>
    </w:p>
    <w:p w14:paraId="768821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16F592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14:paraId="68C70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5.5.3 在监理人收到上述文件前，不应认为工程已根据第18.3款和第18.5款约定完成验收。</w:t>
      </w:r>
    </w:p>
    <w:p w14:paraId="4B0D56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 操作和维修手册</w:t>
      </w:r>
    </w:p>
    <w:p w14:paraId="1C1176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5.6.1 在竣工试验开始前，承包人应向监理人提交暂行的操作和维修手册，该手册应足够详细，以便发包人能够对生产设备进行操作、维修、拆卸、重新安装、调整及修理。</w:t>
      </w:r>
    </w:p>
    <w:p w14:paraId="53FAE4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5.6.2 承包人应提交足够详细的最终操作和维修手册，以及在发包人要求中明确的相关操作和维修手册。在监理人收到上述文件前，不应认为工程已根据第18.3款和第18.5款约定完成验收。</w:t>
      </w:r>
    </w:p>
    <w:p w14:paraId="53072A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5.7 承包人文件错误</w:t>
      </w:r>
    </w:p>
    <w:p w14:paraId="56CB67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14:paraId="4C1F13AD">
      <w:pPr>
        <w:adjustRightInd w:val="0"/>
        <w:snapToGrid w:val="0"/>
        <w:spacing w:line="360" w:lineRule="auto"/>
        <w:ind w:firstLine="482" w:firstLineChars="200"/>
        <w:outlineLvl w:val="1"/>
        <w:rPr>
          <w:rFonts w:ascii="宋体" w:hAnsi="宋体" w:cs="宋体"/>
          <w:b/>
          <w:color w:val="auto"/>
          <w:sz w:val="24"/>
          <w:highlight w:val="none"/>
        </w:rPr>
      </w:pPr>
      <w:bookmarkStart w:id="22" w:name="_Toc21733"/>
      <w:r>
        <w:rPr>
          <w:rFonts w:hint="eastAsia" w:ascii="宋体" w:hAnsi="宋体" w:cs="宋体"/>
          <w:b/>
          <w:color w:val="auto"/>
          <w:sz w:val="24"/>
          <w:highlight w:val="none"/>
        </w:rPr>
        <w:t>6. 材料和工程设备</w:t>
      </w:r>
      <w:bookmarkEnd w:id="22"/>
    </w:p>
    <w:p w14:paraId="4C7727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14:paraId="470326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 除专用合同条款另有约定外，承包人提供的材料和工程设备均由承包人负责采购、运输和保管。承包人应对其采购的材料和工程设备负责。</w:t>
      </w:r>
    </w:p>
    <w:p w14:paraId="5D4B56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704B52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A3A05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14:paraId="789487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 专用合同条款约定发包人提供部分材料和工程设备的，应写明材料和工程设备的名称、规格、数量、价格、交货方式、交货地点等。</w:t>
      </w:r>
    </w:p>
    <w:p w14:paraId="03A06D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6.2.2 承包人应根据合同进度计划的安排，向监理人报送要求发包人交货的日期计划。发包人应按照监理人与合同双方当事人商定的交货日期，向承包人提交材料和工程设备。</w:t>
      </w:r>
    </w:p>
    <w:p w14:paraId="4A0B16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14:paraId="72E551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6.2.4 发包人要求向承包人提前交货的，承包人不得拒绝，但发包人应承担承包人由此增加的费用。</w:t>
      </w:r>
    </w:p>
    <w:p w14:paraId="02D271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6.2.5 承包人要求更改交货日期或地点的，应事先报请监理人批准。由于承包人要求更改交货时间或地点所增加的费用和（或）工期延误由承包人承担。</w:t>
      </w:r>
    </w:p>
    <w:p w14:paraId="29A97A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F9228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14:paraId="29B8F9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发包人不提供材料和工程设备。</w:t>
      </w:r>
    </w:p>
    <w:p w14:paraId="75AB4B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专用于工程的材料和工程设备</w:t>
      </w:r>
    </w:p>
    <w:p w14:paraId="7BB4AE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运入施工场地的材料、工程设备，包括备品备件、安装专用工器具与随机资料，必须专用于合同约定范围内的工程，未经监理人同意，承包人不得运出施工场地或挪作他用。</w:t>
      </w:r>
    </w:p>
    <w:p w14:paraId="17EDC7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E5E34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6.4 实施方法</w:t>
      </w:r>
    </w:p>
    <w:p w14:paraId="0CB223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承包人对材料的加工、工程设备的采购、制造、安装应当按照法律规定、合同约定以及行业习惯来实施。</w:t>
      </w:r>
    </w:p>
    <w:p w14:paraId="0798E8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禁止使用不合格的材料和工程设备</w:t>
      </w:r>
    </w:p>
    <w:p w14:paraId="7E4E16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监理人有权拒绝承包人提供的不合格材料或工程设备，并要求承包人立即进行更换。监理人应在更换后再次进行检查和检验，由此增加的费用和（或）工期延误由承包人承担。</w:t>
      </w:r>
    </w:p>
    <w:p w14:paraId="4026F6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6.5.2 监理人发现承包人使用了不合格的材料和工程设备，应即时发出指示要求承包人立即改正，并禁止在工程中继续使用不合格的材料和工程设备。</w:t>
      </w:r>
    </w:p>
    <w:p w14:paraId="0C3455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6.5.3 发包人提供的材料或工程设备不符合合同要求的，承包人有权拒绝，并可要求发包人更换，由此增加的费用和（或）工期延误由发包人承担。</w:t>
      </w:r>
    </w:p>
    <w:p w14:paraId="66F7BE2D">
      <w:pPr>
        <w:adjustRightInd w:val="0"/>
        <w:snapToGrid w:val="0"/>
        <w:spacing w:line="360" w:lineRule="auto"/>
        <w:ind w:firstLine="482" w:firstLineChars="200"/>
        <w:outlineLvl w:val="1"/>
        <w:rPr>
          <w:rFonts w:ascii="宋体" w:hAnsi="宋体" w:cs="宋体"/>
          <w:b/>
          <w:color w:val="auto"/>
          <w:sz w:val="24"/>
          <w:highlight w:val="none"/>
        </w:rPr>
      </w:pPr>
      <w:bookmarkStart w:id="23" w:name="_Toc3433"/>
      <w:r>
        <w:rPr>
          <w:rFonts w:hint="eastAsia" w:ascii="宋体" w:hAnsi="宋体" w:cs="宋体"/>
          <w:b/>
          <w:color w:val="auto"/>
          <w:sz w:val="24"/>
          <w:highlight w:val="none"/>
        </w:rPr>
        <w:t>7. 施工设备和临时设施</w:t>
      </w:r>
      <w:bookmarkEnd w:id="23"/>
    </w:p>
    <w:p w14:paraId="581E39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14:paraId="52A442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承包人应按合同进度计划的要求，及时配置施工设备和修建临时设施。进入施工场地的承包人设备需经监理人核查后才能投入使用。承包人更换合同约定的承包人设备的，应报监理人批准。</w:t>
      </w:r>
    </w:p>
    <w:p w14:paraId="7D7DAF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 除专用合同条款另有约定外，承包人应自行承担修建临时设施的费用。需要临时占地的，应由发包人办理申请手续并承担相应费用。</w:t>
      </w:r>
    </w:p>
    <w:p w14:paraId="23CE2C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14:paraId="26615D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14:paraId="125C00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发包人提供的施工设备和临时设施（B）</w:t>
      </w:r>
    </w:p>
    <w:p w14:paraId="341B17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发包人不提供施工设备或临时设施。</w:t>
      </w:r>
    </w:p>
    <w:p w14:paraId="04F57B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要求承包人增加或更换施工设备</w:t>
      </w:r>
    </w:p>
    <w:p w14:paraId="211DE7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承包人使用的施工设备不能满足合同进度计划和（或）质量标准时，监理人有权要求承包人增加或更换施工设备，承包人应及时增加或更换，由此增加的费用和（或）工期延误由承包人承担。</w:t>
      </w:r>
    </w:p>
    <w:p w14:paraId="7A1F18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 施工设备和临时设施专用于合同工程</w:t>
      </w:r>
    </w:p>
    <w:p w14:paraId="44AFD4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14:paraId="49E96A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7.4.2 经监理人同意，承包人可根据合同进度计划撤走闲置的施工设备。</w:t>
      </w:r>
    </w:p>
    <w:p w14:paraId="21142ED5">
      <w:pPr>
        <w:adjustRightInd w:val="0"/>
        <w:snapToGrid w:val="0"/>
        <w:spacing w:line="360" w:lineRule="auto"/>
        <w:ind w:firstLine="482" w:firstLineChars="200"/>
        <w:outlineLvl w:val="1"/>
        <w:rPr>
          <w:rFonts w:ascii="宋体" w:hAnsi="宋体" w:cs="宋体"/>
          <w:b/>
          <w:color w:val="auto"/>
          <w:sz w:val="24"/>
          <w:highlight w:val="none"/>
        </w:rPr>
      </w:pPr>
      <w:bookmarkStart w:id="24" w:name="_Toc14205"/>
      <w:r>
        <w:rPr>
          <w:rFonts w:hint="eastAsia" w:ascii="宋体" w:hAnsi="宋体" w:cs="宋体"/>
          <w:b/>
          <w:color w:val="auto"/>
          <w:sz w:val="24"/>
          <w:highlight w:val="none"/>
        </w:rPr>
        <w:t>8. 交通运输</w:t>
      </w:r>
      <w:bookmarkEnd w:id="24"/>
    </w:p>
    <w:p w14:paraId="20228E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道路通行权和场外设施（A）</w:t>
      </w:r>
    </w:p>
    <w:p w14:paraId="6CADF8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发包人应根据工程的施工需要，负责办理取得出入施工场地的专用和临时道路的通行权，以及取得为工程建设所需修建场外设施的权利，并承担有关费用。承包人应协助发包人办理上述手续。</w:t>
      </w:r>
    </w:p>
    <w:p w14:paraId="383CCC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14:paraId="46E3C5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承包人应根据工程的施工需要，负责办理取得出入施工场地的专用和临时道路的通行权，以及取得为工程建设所需修建场外设施的权利，并承担有关费用。发包人应协助承包人办理上述手续。</w:t>
      </w:r>
    </w:p>
    <w:p w14:paraId="76742C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场内施工道路</w:t>
      </w:r>
    </w:p>
    <w:p w14:paraId="45C4F5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 除专用合同条款另有约定外，承包人应负责修建、维修、养护和管理施工所需的临时道路和交通设施，包括维修、养护和管理发包人提供的道路和交通设施，并承担相应费用。</w:t>
      </w:r>
    </w:p>
    <w:p w14:paraId="73084D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 除专用合同条款另有约定外，承包人修建的临时道路和交通设施应免费提供发包人和监理人为实现合同目的使用。</w:t>
      </w:r>
    </w:p>
    <w:p w14:paraId="422C3F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 场外交通</w:t>
      </w:r>
    </w:p>
    <w:p w14:paraId="491C76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8.3.1 承包人车辆外出行驶所需的场外公共道路的通行费、养路费和税款等由承包人承担。</w:t>
      </w:r>
    </w:p>
    <w:p w14:paraId="747348D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8.3.2 承包人应遵守有关交通法规，严格按照道路和桥梁的限制荷重安全行驶，并服从交通管理部门的检查和监督。</w:t>
      </w:r>
    </w:p>
    <w:p w14:paraId="54F1DF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 超大件和超重件的运输</w:t>
      </w:r>
    </w:p>
    <w:p w14:paraId="206633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C516F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8.5 道路和桥梁的损坏责任</w:t>
      </w:r>
    </w:p>
    <w:p w14:paraId="3ACA92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14:paraId="7C608F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8.6 水路和航空运输</w:t>
      </w:r>
    </w:p>
    <w:p w14:paraId="11DFC5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本条上述各款的内容适用于水路运输和航空运输，其中“道路”一词的涵义包括河道、航线、船闸、机场、码头、堤防以及水路或航空运输中其他相似结构物；“车辆”一词的涵义包括船舶和飞机等。</w:t>
      </w:r>
    </w:p>
    <w:p w14:paraId="54DC9803">
      <w:pPr>
        <w:adjustRightInd w:val="0"/>
        <w:snapToGrid w:val="0"/>
        <w:spacing w:line="360" w:lineRule="auto"/>
        <w:ind w:firstLine="482" w:firstLineChars="200"/>
        <w:outlineLvl w:val="1"/>
        <w:rPr>
          <w:rFonts w:ascii="宋体" w:hAnsi="宋体" w:cs="宋体"/>
          <w:b/>
          <w:color w:val="auto"/>
          <w:sz w:val="24"/>
          <w:highlight w:val="none"/>
        </w:rPr>
      </w:pPr>
      <w:bookmarkStart w:id="25" w:name="_Toc5266"/>
      <w:r>
        <w:rPr>
          <w:rFonts w:hint="eastAsia" w:ascii="宋体" w:hAnsi="宋体" w:cs="宋体"/>
          <w:b/>
          <w:color w:val="auto"/>
          <w:sz w:val="24"/>
          <w:highlight w:val="none"/>
        </w:rPr>
        <w:t>9. 测量放线</w:t>
      </w:r>
      <w:bookmarkEnd w:id="25"/>
    </w:p>
    <w:p w14:paraId="156252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14:paraId="6BF92B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7F3B9A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9.1.2 承包人应负责管理施工控制网点。施工控制网点丢失或损坏的，承包人应及时修复。承包人应承担施工控制网点的管理与修复费用，并在工程竣工后将施工控制网点移交发包人。</w:t>
      </w:r>
    </w:p>
    <w:p w14:paraId="4376AA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施工测量</w:t>
      </w:r>
    </w:p>
    <w:p w14:paraId="2030E1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承包人应负责施工过程中的全部施工测量放线工作，并配置合格的人员、仪器、设备和其他物品。</w:t>
      </w:r>
    </w:p>
    <w:p w14:paraId="09D55B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 监理人可以指示承包人进行抽样复测，当复测中发现错误或出现超过合同约定的误差时，承包人应按监理人指示进行修正或补测，并承担相应的复测费用。</w:t>
      </w:r>
    </w:p>
    <w:p w14:paraId="358CC1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 基准资料错误的责任</w:t>
      </w:r>
    </w:p>
    <w:p w14:paraId="606950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14:paraId="6E02330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监理人使用施工控制网</w:t>
      </w:r>
    </w:p>
    <w:p w14:paraId="6ADCB8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14:paraId="2B6F33BA">
      <w:pPr>
        <w:adjustRightInd w:val="0"/>
        <w:snapToGrid w:val="0"/>
        <w:spacing w:line="360" w:lineRule="auto"/>
        <w:ind w:firstLine="482" w:firstLineChars="200"/>
        <w:outlineLvl w:val="1"/>
        <w:rPr>
          <w:rFonts w:ascii="宋体" w:hAnsi="宋体" w:cs="宋体"/>
          <w:b/>
          <w:color w:val="auto"/>
          <w:sz w:val="24"/>
          <w:highlight w:val="none"/>
        </w:rPr>
      </w:pPr>
      <w:bookmarkStart w:id="26" w:name="_Toc10450"/>
      <w:r>
        <w:rPr>
          <w:rFonts w:hint="eastAsia" w:ascii="宋体" w:hAnsi="宋体" w:cs="宋体"/>
          <w:b/>
          <w:color w:val="auto"/>
          <w:sz w:val="24"/>
          <w:highlight w:val="none"/>
        </w:rPr>
        <w:t>10. 安全、治安保卫和环境保护</w:t>
      </w:r>
      <w:bookmarkEnd w:id="26"/>
    </w:p>
    <w:p w14:paraId="7C62B7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发包人的安全责任</w:t>
      </w:r>
    </w:p>
    <w:p w14:paraId="5905A9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10.1.1 发包人应按合同约定履行安全职责，授权监理人按合同约定的安全工作内容监督、检查承包人安全工作的实施，组织承包人和有关单位进行安全检查。</w:t>
      </w:r>
    </w:p>
    <w:p w14:paraId="524CB0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10.1.2 发包人应对其现场机构雇佣的全部人员的工伤事故承担责任，但由于承包人原因造成发包人人员工伤的，应由承包人承担责任。</w:t>
      </w:r>
    </w:p>
    <w:p w14:paraId="5882A8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10.1.3 发包人应负责赔偿以下各种情况造成的第三者人身伤亡和财产损失：</w:t>
      </w:r>
    </w:p>
    <w:p w14:paraId="425C90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31543E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（2）由于发包人原因在施工场地及其毗邻地带、履行合同工作中造成的第三者人身伤亡和财产损失。</w:t>
      </w:r>
    </w:p>
    <w:p w14:paraId="1E182C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14:paraId="29CA7F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 承包人应按合同约定履行安全职责，执行监理人有关安全工作的指示，并在专用合同条款约定的期限内，按合同约定的安全工作内容，编制安全措施计划报送监理人批准。</w:t>
      </w:r>
    </w:p>
    <w:p w14:paraId="18565F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10.2.2 承包人按照合同约定需要进行勘察的，应严格执行操作规程，采取措施保证各类管线、设施和周边建筑物、构筑物的安全。</w:t>
      </w:r>
    </w:p>
    <w:p w14:paraId="1D8042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3A91DF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10.2.4 承包人应加强施工作业安全管理，特别应加强易燃、易爆材料、火工器材、有毒与腐蚀性材料和其他危险品的管理，以及对爆破作业和地下工程施工等危险作业的管理。</w:t>
      </w:r>
    </w:p>
    <w:p w14:paraId="2B050A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10.2.5 承包人应严格按照国家安全标准制定施工安全操作规程，配备必要的安全生产和劳动保护设施，加强对承包人人员的安全教育，并发放安全工作手册和劳动保护用具。</w:t>
      </w:r>
    </w:p>
    <w:p w14:paraId="3ABCA9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10.2.6 承包人应按监理人的指示制定应对灾害的紧急预案，报送监理人批准。承包人还应按预案做好安全检查，配置必要的救助物资和器材，切实保护好有关人员的人身和财产安全。</w:t>
      </w:r>
    </w:p>
    <w:p w14:paraId="646DFE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14:paraId="0B8022E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10.2.8 承包人应对其履行合同所雇佣的全部人员，包括分包人人员的工伤事故承担责任，但由于发包人原因造成承包人人员工伤事故的，应由发包人承担责任。</w:t>
      </w:r>
    </w:p>
    <w:p w14:paraId="25CD52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10.2.9 由于承包人原因在施工场地内及其毗邻地带造成的第三者人员伤亡和财产损失，由承包人负责赔偿。</w:t>
      </w:r>
    </w:p>
    <w:p w14:paraId="278374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治安保卫</w:t>
      </w:r>
    </w:p>
    <w:p w14:paraId="0EB32D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10.3.1 除合同另有约定外，承包人应与当地公安部门协商，在现场建立治安管理机构或联防组织，统一管理施工场地的治安保卫事项，履行合同工程的治安保卫职责。</w:t>
      </w:r>
    </w:p>
    <w:p w14:paraId="0D06B9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10.3.2 发包人和承包人除应协助现场治安管理机构或联防组织维护施工场地的社会治安外，还应做好包括生活区在内的各自管辖区的治安保卫工作。</w:t>
      </w:r>
    </w:p>
    <w:p w14:paraId="746EAD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31440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 环境保护</w:t>
      </w:r>
    </w:p>
    <w:p w14:paraId="68B78F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10.4.1 承包人在履行合同过程中，应遵守有关环境保护的法律，履行合同约定的环境保护义务，并对违反法律和合同约定义务所造成的环境破坏、人身伤害和财产损失负责。</w:t>
      </w:r>
    </w:p>
    <w:p w14:paraId="76A1FB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10.4.2 承包人应按合同约定的环保工作内容，编制环保措施计划，报送监理人批准。</w:t>
      </w:r>
    </w:p>
    <w:p w14:paraId="1F4508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10.4.3 承包人应确保施工过程中产生的气体排放物、粉尘、噪声、地面排水及排污等，符合法律规定和发包人要求。</w:t>
      </w:r>
    </w:p>
    <w:p w14:paraId="735BE1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事故处理</w:t>
      </w:r>
    </w:p>
    <w:p w14:paraId="1E04B6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15B1C45">
      <w:pPr>
        <w:adjustRightInd w:val="0"/>
        <w:snapToGrid w:val="0"/>
        <w:spacing w:line="360" w:lineRule="auto"/>
        <w:ind w:firstLine="482" w:firstLineChars="200"/>
        <w:outlineLvl w:val="1"/>
        <w:rPr>
          <w:rFonts w:ascii="宋体" w:hAnsi="宋体" w:cs="宋体"/>
          <w:b/>
          <w:color w:val="auto"/>
          <w:sz w:val="24"/>
          <w:highlight w:val="none"/>
        </w:rPr>
      </w:pPr>
      <w:bookmarkStart w:id="27" w:name="_Toc28999"/>
      <w:r>
        <w:rPr>
          <w:rFonts w:hint="eastAsia" w:ascii="宋体" w:hAnsi="宋体" w:cs="宋体"/>
          <w:b/>
          <w:color w:val="auto"/>
          <w:sz w:val="24"/>
          <w:highlight w:val="none"/>
        </w:rPr>
        <w:t>11. 开始工作和竣工</w:t>
      </w:r>
      <w:bookmarkEnd w:id="27"/>
    </w:p>
    <w:p w14:paraId="4AD574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14:paraId="119510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14:paraId="20F96A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竣工</w:t>
      </w:r>
    </w:p>
    <w:p w14:paraId="4E7B20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 目约定的期限内完成合同工作。实际竣工日期按第18.3款约定确定，并在工程接收证书中载明。</w:t>
      </w:r>
    </w:p>
    <w:p w14:paraId="74A07F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14:paraId="68F4A2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在履行合同过程中，由于发包人的下列原因造成工期延误的，承包人有权要求发包人延长工期和（或）增加费用，并支付合理利润。需要修订合同进度计划的，按照第4.12.2项的约定执行。</w:t>
      </w:r>
    </w:p>
    <w:p w14:paraId="748C11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（l）变更；</w:t>
      </w:r>
    </w:p>
    <w:p w14:paraId="185B29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（2）未能按照合同要求的期限对承包人文件进行审查；</w:t>
      </w:r>
    </w:p>
    <w:p w14:paraId="3FF1EB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（3）因发包人原因导致的暂停施工； </w:t>
      </w:r>
    </w:p>
    <w:p w14:paraId="206627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（4）未按合同约定及时支付预付款、进度款；</w:t>
      </w:r>
    </w:p>
    <w:p w14:paraId="73CF50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（5）发包人按第9.3款提供的基准资料错误；</w:t>
      </w:r>
    </w:p>
    <w:p w14:paraId="7C3F43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（6）发包人按第6.2款迟延提供材料、工程设备或变更交货地点的；</w:t>
      </w:r>
    </w:p>
    <w:p w14:paraId="21ED9F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（7）发包人未及时按照“发包人要求”履行相关义务；</w:t>
      </w:r>
    </w:p>
    <w:p w14:paraId="10AC61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（8）发包人造成工期延误的其他原因。</w:t>
      </w:r>
    </w:p>
    <w:p w14:paraId="697362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14:paraId="093428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由于出现专用合同条款规定的异常恶劣气候的条件导致工期延误的，承包人有权要求发包人延长工期和（或）增加费用。</w:t>
      </w:r>
    </w:p>
    <w:p w14:paraId="588F9C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承包人引起的工期延误</w:t>
      </w:r>
    </w:p>
    <w:p w14:paraId="7A108E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11E845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工期提前</w:t>
      </w:r>
    </w:p>
    <w:p w14:paraId="6CF927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17AE8F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 行政审批迟延</w:t>
      </w:r>
    </w:p>
    <w:p w14:paraId="58D5F8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合同约定范围内的工作需国家有关部门审批的，发包人和（或）承包人应按照合同约定的职责分工完成行政审批报送。因国家有关部门审批迟延造成费用增加和（或）工期延误的，由发包人承担。</w:t>
      </w:r>
    </w:p>
    <w:p w14:paraId="7AD72416">
      <w:pPr>
        <w:adjustRightInd w:val="0"/>
        <w:snapToGrid w:val="0"/>
        <w:spacing w:line="360" w:lineRule="auto"/>
        <w:ind w:firstLine="482" w:firstLineChars="200"/>
        <w:outlineLvl w:val="1"/>
        <w:rPr>
          <w:rFonts w:ascii="宋体" w:hAnsi="宋体" w:cs="宋体"/>
          <w:b/>
          <w:color w:val="auto"/>
          <w:sz w:val="24"/>
          <w:highlight w:val="none"/>
        </w:rPr>
      </w:pPr>
      <w:bookmarkStart w:id="28" w:name="_Toc12602"/>
      <w:r>
        <w:rPr>
          <w:rFonts w:hint="eastAsia" w:ascii="宋体" w:hAnsi="宋体" w:cs="宋体"/>
          <w:b/>
          <w:color w:val="auto"/>
          <w:sz w:val="24"/>
          <w:highlight w:val="none"/>
        </w:rPr>
        <w:t>12. 暂停工作</w:t>
      </w:r>
      <w:bookmarkEnd w:id="28"/>
    </w:p>
    <w:p w14:paraId="6B1DA4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由发包人暂停工作</w:t>
      </w:r>
    </w:p>
    <w:p w14:paraId="320B7F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14:paraId="4E6C1C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 由于承包人下列原因造成发包人暂停工作的，由此造成费用的增加和（或）工期延误由承包人承担：</w:t>
      </w:r>
    </w:p>
    <w:p w14:paraId="6EBB47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（1）承包人违约；</w:t>
      </w:r>
    </w:p>
    <w:p w14:paraId="43CFDF1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（2）承包人擅自暂停工作；</w:t>
      </w:r>
    </w:p>
    <w:p w14:paraId="44AE4D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（3）合同约定由承包人承担责任的其他暂停工作。</w:t>
      </w:r>
    </w:p>
    <w:p w14:paraId="4448FD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14:paraId="66A1A2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6D7E18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（1）发包人未能按合同约定支付价款，或拖延、拒绝批准付款申请和支付证书，导致付款延误的；</w:t>
      </w:r>
    </w:p>
    <w:p w14:paraId="5037A0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（2）监理人无正当理由没有在约定期限内发出复工指示，导致承包人无法复工的；</w:t>
      </w:r>
    </w:p>
    <w:p w14:paraId="20260B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（3）发包人无法继续履行或明确表示不履行或实质上已停止履行合同的；</w:t>
      </w:r>
    </w:p>
    <w:p w14:paraId="4D60F1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（4）发包人不履行合同约定其他义务的。</w:t>
      </w:r>
    </w:p>
    <w:p w14:paraId="5CF4A0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14:paraId="490462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暂停工作后的照管</w:t>
      </w:r>
    </w:p>
    <w:p w14:paraId="4A7D0D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不论由于何种原因引起暂停工作的，暂停工作期间，承包人应负责妥善保护工程并提供安全保障，由此增加的费用由责任方承担。</w:t>
      </w:r>
    </w:p>
    <w:p w14:paraId="6A966F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 暂停工作后的复工</w:t>
      </w:r>
    </w:p>
    <w:p w14:paraId="5D4420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14:paraId="2FDA01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12.4.2承包人无故拖延和拒绝复工的，由此增加的费用和工期延误由承包人承担；因发包人原因无法按时复工的，承包人有权要求发包人延长工期和（或）增加费用，并支付合理利润。</w:t>
      </w:r>
    </w:p>
    <w:p w14:paraId="2CB28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 暂停工作56天以上</w:t>
      </w:r>
    </w:p>
    <w:p w14:paraId="73CB1E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14:paraId="4EC12E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12.5.2由于承包人原因引起暂停工作的，如承包人在收到监理人暂停工作指示后56 天内不采取有效的复工措施，造成工期延误的，视为承包人违约，应按第12.1.2 项的约定执行。</w:t>
      </w:r>
    </w:p>
    <w:p w14:paraId="266B6EB7">
      <w:pPr>
        <w:adjustRightInd w:val="0"/>
        <w:snapToGrid w:val="0"/>
        <w:spacing w:line="360" w:lineRule="auto"/>
        <w:ind w:firstLine="482" w:firstLineChars="200"/>
        <w:outlineLvl w:val="1"/>
        <w:rPr>
          <w:rFonts w:ascii="宋体" w:hAnsi="宋体" w:cs="宋体"/>
          <w:b/>
          <w:color w:val="auto"/>
          <w:sz w:val="24"/>
          <w:highlight w:val="none"/>
        </w:rPr>
      </w:pPr>
      <w:bookmarkStart w:id="29" w:name="_Toc27297"/>
      <w:r>
        <w:rPr>
          <w:rFonts w:hint="eastAsia" w:ascii="宋体" w:hAnsi="宋体" w:cs="宋体"/>
          <w:b/>
          <w:color w:val="auto"/>
          <w:sz w:val="24"/>
          <w:highlight w:val="none"/>
        </w:rPr>
        <w:t>13. 工程质量</w:t>
      </w:r>
      <w:bookmarkEnd w:id="29"/>
    </w:p>
    <w:p w14:paraId="1AB6A3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14:paraId="6E7474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工程质量验收按法律规定和合同约定的验收标准执行。</w:t>
      </w:r>
    </w:p>
    <w:p w14:paraId="4943C2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因承包人原因造成工程质量不符合法律的规定和合同约定的，监理人有权要求承包人返工直至符合合同要求为止，由此造成的费用增加和（或）工期延误由承包人承担。</w:t>
      </w:r>
    </w:p>
    <w:p w14:paraId="28314B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14:paraId="4465A2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14:paraId="32927B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承包人应按合同约定对设计、材料、工程设备以及全部工程内容及其施工工艺进行全过程的质量检查和检验，并作详细记录，编制工程质量报表，报送监理人审查。</w:t>
      </w:r>
    </w:p>
    <w:p w14:paraId="05C657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 监理人的质量检查</w:t>
      </w:r>
    </w:p>
    <w:p w14:paraId="2C9E93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3FCE0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 工程隐蔽部位覆盖前的检查</w:t>
      </w:r>
    </w:p>
    <w:p w14:paraId="32AB81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13.4.1 通知监理人检查</w:t>
      </w:r>
    </w:p>
    <w:p w14:paraId="4199D0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7CD0A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13.4.2 监理人未到场检查</w:t>
      </w:r>
    </w:p>
    <w:p w14:paraId="7FC699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14:paraId="4B3017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13.4.3 监理人重新检查</w:t>
      </w:r>
    </w:p>
    <w:p w14:paraId="5E1D2E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6848D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13.4.4 承包人私自覆盖</w:t>
      </w:r>
    </w:p>
    <w:p w14:paraId="1C0AE6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14:paraId="299437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 清除不合格工程</w:t>
      </w:r>
    </w:p>
    <w:p w14:paraId="06BD6E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7CED7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 由于发包人提供的材料或工程设备不合格造成的工程不合格，需要承包人采取措施补救的，发包人应承担由此增加的费用和（或）工期延误，并支付承包人合理利润。</w:t>
      </w:r>
    </w:p>
    <w:p w14:paraId="35482804">
      <w:pPr>
        <w:adjustRightInd w:val="0"/>
        <w:snapToGrid w:val="0"/>
        <w:spacing w:line="360" w:lineRule="auto"/>
        <w:ind w:firstLine="482" w:firstLineChars="200"/>
        <w:outlineLvl w:val="1"/>
        <w:rPr>
          <w:rFonts w:ascii="宋体" w:hAnsi="宋体" w:cs="宋体"/>
          <w:b/>
          <w:color w:val="auto"/>
          <w:sz w:val="24"/>
          <w:highlight w:val="none"/>
        </w:rPr>
      </w:pPr>
      <w:bookmarkStart w:id="30" w:name="_Toc17175"/>
      <w:r>
        <w:rPr>
          <w:rFonts w:hint="eastAsia" w:ascii="宋体" w:hAnsi="宋体" w:cs="宋体"/>
          <w:b/>
          <w:color w:val="auto"/>
          <w:sz w:val="24"/>
          <w:highlight w:val="none"/>
        </w:rPr>
        <w:t>14. 试验和检验</w:t>
      </w:r>
      <w:bookmarkEnd w:id="30"/>
    </w:p>
    <w:p w14:paraId="3A1530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14:paraId="6BDE49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14.1.1 本款适用于竣工试验之前的试验和检验。</w:t>
      </w:r>
    </w:p>
    <w:p w14:paraId="73ED0E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5E225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14.1.3 监理人未按合同约定派员参加试验和检验的，除监理人另有指示外，承包人可自行试验和检验，并应立即将试验和检验结果报送监理人，监理人应签字确认。</w:t>
      </w:r>
    </w:p>
    <w:p w14:paraId="10E730D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66023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现场材料试验</w:t>
      </w:r>
    </w:p>
    <w:p w14:paraId="496FF9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14:paraId="795423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14:paraId="07C703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 现场工艺试验</w:t>
      </w:r>
    </w:p>
    <w:p w14:paraId="24FDAA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承包人应按合同约定或监理人指示进行现场工艺试验。对大型的现场工艺试验，监理人认为必要时，应由承包人根据监理人提出的工艺试验要求，编制工艺试验措施计划，报送监理人批准。</w:t>
      </w:r>
    </w:p>
    <w:p w14:paraId="476B46F6">
      <w:pPr>
        <w:adjustRightInd w:val="0"/>
        <w:snapToGrid w:val="0"/>
        <w:spacing w:line="360" w:lineRule="auto"/>
        <w:ind w:firstLine="482" w:firstLineChars="200"/>
        <w:outlineLvl w:val="1"/>
        <w:rPr>
          <w:rFonts w:ascii="宋体" w:hAnsi="宋体" w:cs="宋体"/>
          <w:b/>
          <w:color w:val="auto"/>
          <w:sz w:val="24"/>
          <w:highlight w:val="none"/>
        </w:rPr>
      </w:pPr>
      <w:bookmarkStart w:id="31" w:name="_Toc6755"/>
      <w:r>
        <w:rPr>
          <w:rFonts w:hint="eastAsia" w:ascii="宋体" w:hAnsi="宋体" w:cs="宋体"/>
          <w:b/>
          <w:color w:val="auto"/>
          <w:sz w:val="24"/>
          <w:highlight w:val="none"/>
        </w:rPr>
        <w:t>15. 变更</w:t>
      </w:r>
      <w:bookmarkEnd w:id="31"/>
    </w:p>
    <w:p w14:paraId="0B84AE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14:paraId="6FCE44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 款约定的变更程序向承包人作出有关发包人要求改变的变更指示，承包人应遵照执行。变更应在相应内容实施</w:t>
      </w:r>
      <w:r>
        <w:rPr>
          <w:rFonts w:hint="eastAsia" w:ascii="宋体" w:hAnsi="宋体" w:cs="宋体"/>
          <w:color w:val="auto"/>
          <w:spacing w:val="6"/>
          <w:sz w:val="24"/>
          <w:highlight w:val="none"/>
        </w:rPr>
        <w:t>前提出，否则发包人应承担承包人损失。没有监理人的变更指示，承包人不得擅自变更</w:t>
      </w:r>
      <w:r>
        <w:rPr>
          <w:rFonts w:hint="eastAsia" w:ascii="宋体" w:hAnsi="宋体" w:cs="宋体"/>
          <w:color w:val="auto"/>
          <w:sz w:val="24"/>
          <w:highlight w:val="none"/>
        </w:rPr>
        <w:t>。</w:t>
      </w:r>
    </w:p>
    <w:p w14:paraId="389B45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14:paraId="2A8BC9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14:paraId="3FC4C4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15.2.2 承包人提出的合理化建议降低了合同价格、缩短了工期或者提高了工程经济效益的，发包人可按国家有关规定在专用合同条款中约定给予奖励。</w:t>
      </w:r>
    </w:p>
    <w:p w14:paraId="5EA530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2679BA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14:paraId="00E517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598878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14:paraId="650998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（3）承包人收到监理人的变更意向书后认为难以实施此项变更的，应立即通知监理人，说明原因并附详细依据。监理人与承包人和发包人协商后确定撤销、改变或不改变原变更意向书。</w:t>
      </w:r>
    </w:p>
    <w:p w14:paraId="08BFE1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14:paraId="6F895A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监理人应按照第3.5 款商定或确定变更价格。变更价格应包括合理的利润，并应考虑承包人根据第15.2款提出的合理化建议。</w:t>
      </w:r>
    </w:p>
    <w:p w14:paraId="0905E9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14:paraId="4997EE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14:paraId="0020B995">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（2）变更指示应说明变更的目的、范围、变更内容以及变更的工程量及其进度和</w:t>
      </w:r>
      <w:r>
        <w:rPr>
          <w:rFonts w:hint="eastAsia" w:ascii="宋体" w:hAnsi="宋体" w:cs="宋体"/>
          <w:color w:val="auto"/>
          <w:spacing w:val="6"/>
          <w:sz w:val="24"/>
          <w:highlight w:val="none"/>
        </w:rPr>
        <w:t>技术要求，并附有关图纸和文件。承包人收到变更指示后，应按变更指示进行变更工作。</w:t>
      </w:r>
    </w:p>
    <w:p w14:paraId="46891A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暂列金额</w:t>
      </w:r>
      <w:r>
        <w:rPr>
          <w:rFonts w:hint="eastAsia" w:ascii="宋体" w:hAnsi="宋体" w:cs="宋体"/>
          <w:color w:val="auto"/>
          <w:sz w:val="24"/>
          <w:highlight w:val="none"/>
        </w:rPr>
        <w:tab/>
      </w:r>
    </w:p>
    <w:p w14:paraId="38C0DB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经发包人同意，承包人可使用暂列金额，但应按照第15.6款规定的程序进行，并对合同价格进行相应调整。</w:t>
      </w:r>
    </w:p>
    <w:p w14:paraId="157C66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14:paraId="220E59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15.5.1 发包人认为有必要时，由监理人通知承包人以计日工方式实施变更的零星工作。其价款按列入合同中的计日工计价子目及其单价进行计算。</w:t>
      </w:r>
    </w:p>
    <w:p w14:paraId="70E3DD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15.5.2 采用计日工计价的任何一项变更工作，应从暂列金额中支付，承包人应在该项变更的实施过程中，每天提交以下报表和有关凭证报送监理人批准：</w:t>
      </w:r>
    </w:p>
    <w:p w14:paraId="69E106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（1）工作名称、内容和数量；</w:t>
      </w:r>
    </w:p>
    <w:p w14:paraId="44FCD1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（2）投入该工作所有人员的姓名、专业/工种、级别和耗用工时；</w:t>
      </w:r>
    </w:p>
    <w:p w14:paraId="309B1C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14:paraId="182A4F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14:paraId="236977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14:paraId="75BEDB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15.5.3 计日工由承包人汇总后，按第17.3.3 项的约定列入进度付款申请单，由监理人复核并经发包人同意后列入进度付款。</w:t>
      </w:r>
    </w:p>
    <w:p w14:paraId="494C9F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计日工（B）</w:t>
      </w:r>
    </w:p>
    <w:p w14:paraId="572B9E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签约合同价包括计日工的，按合同约定进行支付。</w:t>
      </w:r>
    </w:p>
    <w:p w14:paraId="50D274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14:paraId="3EA230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14:paraId="733D73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15.6.2 发包人在价格清单中给定暂估价的专业服务、材料和工程设备不属于依法必须招标的范围或未达到规定的规模标准的，应由承包人按第6.1 款的约定提供。经监理人确认的专业服务、材料、工程设备的价格与价格清单中所列的暂估价的金额差以及相应的税金等其他费用列入合同价格。</w:t>
      </w:r>
    </w:p>
    <w:p w14:paraId="6DBB76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14:paraId="1FC13D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暂估价（B）</w:t>
      </w:r>
    </w:p>
    <w:p w14:paraId="7B1C58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签约合同价包括暂估价的，按合同约定进行支付。</w:t>
      </w:r>
    </w:p>
    <w:p w14:paraId="37F713FD">
      <w:pPr>
        <w:adjustRightInd w:val="0"/>
        <w:snapToGrid w:val="0"/>
        <w:spacing w:line="360" w:lineRule="auto"/>
        <w:ind w:firstLine="482" w:firstLineChars="200"/>
        <w:outlineLvl w:val="1"/>
        <w:rPr>
          <w:rFonts w:ascii="宋体" w:hAnsi="宋体" w:cs="宋体"/>
          <w:b/>
          <w:color w:val="auto"/>
          <w:sz w:val="24"/>
          <w:highlight w:val="none"/>
        </w:rPr>
      </w:pPr>
      <w:bookmarkStart w:id="32" w:name="_Toc26218"/>
      <w:r>
        <w:rPr>
          <w:rFonts w:hint="eastAsia" w:ascii="宋体" w:hAnsi="宋体" w:cs="宋体"/>
          <w:b/>
          <w:color w:val="auto"/>
          <w:sz w:val="24"/>
          <w:highlight w:val="none"/>
        </w:rPr>
        <w:t>16. 价格调整</w:t>
      </w:r>
      <w:bookmarkEnd w:id="32"/>
    </w:p>
    <w:p w14:paraId="2D162F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物价波动引起的调整（A）</w:t>
      </w:r>
    </w:p>
    <w:p w14:paraId="6BC92F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14:paraId="43F7F8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采用价格指数调整价格差额（适用于投标函附录约定了价格指数和权重的）</w:t>
      </w:r>
    </w:p>
    <w:p w14:paraId="1191DC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14:paraId="32740D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14:paraId="6C63C15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     Ft2     Ft3         Ftn</w:t>
      </w:r>
    </w:p>
    <w:p w14:paraId="5FB767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△P=PO［A+｛B1×—＋B2×—＋B3×—＋…＋Bn×—｝－1］ </w:t>
      </w:r>
    </w:p>
    <w:p w14:paraId="2F205A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     F02     F03          F04</w:t>
      </w:r>
    </w:p>
    <w:p w14:paraId="7DDDFE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式中：△P---需调整的价格差额；</w:t>
      </w:r>
    </w:p>
    <w:p w14:paraId="095D70C2">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PO---第17.3.4 项、第17.5.2 项和第17.6.2 项约定的付款证书中承包人应得到</w:t>
      </w:r>
      <w:r>
        <w:rPr>
          <w:rFonts w:hint="eastAsia" w:ascii="宋体" w:hAnsi="宋体" w:cs="宋体"/>
          <w:color w:val="auto"/>
          <w:spacing w:val="6"/>
          <w:sz w:val="24"/>
          <w:highlight w:val="none"/>
        </w:rPr>
        <w:t>的已完成工作量的金额。此项金额应不包括价格调整、不计质量保证金的扣留和支付、预付款的支付和扣回。第15条约定的变更及其他金额已按当期价格计价的，也不计在内；</w:t>
      </w:r>
    </w:p>
    <w:p w14:paraId="315D71A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 ---定值权重（即不调部分的权重）； </w:t>
      </w:r>
    </w:p>
    <w:p w14:paraId="18CB2E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B1；B2；B3；……Bn---各可调因子的变值权重（即可调部分的权重）为各可调因子在投标函投标总报价中所占的比例；</w:t>
      </w:r>
    </w:p>
    <w:p w14:paraId="48B8CB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Ft1；Ft2；Ft3；……Ftn---各可调因子的当期价格指数，指第17.3.3项、第17.5.2</w:t>
      </w:r>
      <w:r>
        <w:rPr>
          <w:rFonts w:hint="eastAsia" w:ascii="宋体" w:hAnsi="宋体" w:cs="宋体"/>
          <w:color w:val="auto"/>
          <w:spacing w:val="6"/>
          <w:sz w:val="24"/>
          <w:highlight w:val="none"/>
        </w:rPr>
        <w:t>项和第17.6.2项约定的付款证书相关周期最后一天的前42天的各可调因子的价格指数；</w:t>
      </w:r>
    </w:p>
    <w:p w14:paraId="25FA5F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F01；F02；F03；……F0n---各可调因子的基本价格指数，指基准日期的各可调因子的价格指数。</w:t>
      </w:r>
    </w:p>
    <w:p w14:paraId="519C41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5E8B10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14:paraId="6897DB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在计算调整差额时得不到当期价格指数的，可暂用上一次价格指数计算，并在以后的付款中再按实际价格指数进行调整。</w:t>
      </w:r>
    </w:p>
    <w:p w14:paraId="1452A5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14:paraId="41ACEB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按第15.1 款约定的变更导致原定合同中的权重不合理的，由监理人与承包人和发包人协商后进行调整。</w:t>
      </w:r>
    </w:p>
    <w:p w14:paraId="41070E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承包人引起的工期延误后的价格调整</w:t>
      </w:r>
    </w:p>
    <w:p w14:paraId="6F4068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 1目价格调整公式时，应采用原约定竣工日期与实际竣工日期的两个价格指数中较低的一个作为当期价格指数。</w:t>
      </w:r>
    </w:p>
    <w:p w14:paraId="3BBA04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16.1.1.5 发包人引起的工期延误后的价格调整</w:t>
      </w:r>
    </w:p>
    <w:p w14:paraId="4ACD24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14:paraId="2FCDCF8C">
      <w:pPr>
        <w:adjustRightInd w:val="0"/>
        <w:snapToGrid w:val="0"/>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16.1.2 采用造价信息调整价格差额（适用于投标函附录没有约定价格指数和权重的）</w:t>
      </w:r>
    </w:p>
    <w:p w14:paraId="23605A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量应由监理人复核，监理人确认需调整的材料单价及数量，作为调整合同价格差额的依据。</w:t>
      </w:r>
    </w:p>
    <w:p w14:paraId="2BB73C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物价波动引起的调整（B）</w:t>
      </w:r>
    </w:p>
    <w:p w14:paraId="7CC112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除法律规定或专用合同条款另有约定外，合同价格不因物价波动进行调整。</w:t>
      </w:r>
    </w:p>
    <w:p w14:paraId="2FD87F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法律变化引起的调整</w:t>
      </w:r>
    </w:p>
    <w:p w14:paraId="463E0F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14:paraId="5019BF2B">
      <w:pPr>
        <w:adjustRightInd w:val="0"/>
        <w:snapToGrid w:val="0"/>
        <w:spacing w:line="360" w:lineRule="auto"/>
        <w:ind w:firstLine="482" w:firstLineChars="200"/>
        <w:outlineLvl w:val="1"/>
        <w:rPr>
          <w:rFonts w:ascii="宋体" w:hAnsi="宋体" w:cs="宋体"/>
          <w:b/>
          <w:color w:val="auto"/>
          <w:sz w:val="24"/>
          <w:highlight w:val="none"/>
        </w:rPr>
      </w:pPr>
      <w:bookmarkStart w:id="33" w:name="_Toc28867"/>
      <w:r>
        <w:rPr>
          <w:rFonts w:hint="eastAsia" w:ascii="宋体" w:hAnsi="宋体" w:cs="宋体"/>
          <w:b/>
          <w:color w:val="auto"/>
          <w:sz w:val="24"/>
          <w:highlight w:val="none"/>
        </w:rPr>
        <w:t>17. 合同价格与支付</w:t>
      </w:r>
      <w:bookmarkEnd w:id="33"/>
    </w:p>
    <w:p w14:paraId="1DF937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合同价格</w:t>
      </w:r>
    </w:p>
    <w:p w14:paraId="2C63B6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14:paraId="566848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（1）合同价格包括签约合同价以及按照合同约定进行的调整；</w:t>
      </w:r>
    </w:p>
    <w:p w14:paraId="49B4E2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（2）合同价格包括承包人依据法律规定或合同约定应支付的规费和税金；</w:t>
      </w:r>
    </w:p>
    <w:p w14:paraId="757C5E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31DDA4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合同约定工程的某部分按照实际完成的工程量进行支付的，应按照专用合同条款的约定进行计量和估价，并据此调整合同价格。</w:t>
      </w:r>
    </w:p>
    <w:p w14:paraId="0F7B1A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12E83B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14:paraId="58B69B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14:paraId="0D68DB1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14:paraId="0C2A10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03D4EC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343446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5F5E85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36602F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付款时间</w:t>
      </w:r>
    </w:p>
    <w:p w14:paraId="48869D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除专用合同条款另有约定外，工程进度付款按月支付。</w:t>
      </w:r>
    </w:p>
    <w:p w14:paraId="3EB98A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 支付分解表</w:t>
      </w:r>
    </w:p>
    <w:p w14:paraId="388336B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14:paraId="1094D6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（1）勘察设计费。按照提供勘察设计阶段性成果文件的时间、对应的工作量进行分解。 </w:t>
      </w:r>
    </w:p>
    <w:p w14:paraId="5B2680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（2）材料和工程设备费。分别按订立采购合同、进场验收合格、安装就位、工程竣工等阶段和专用条款约定的比例进行分解。</w:t>
      </w:r>
    </w:p>
    <w:p w14:paraId="508D11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（3）技术服务培训费。按照价格清单中的单价，结合第4.12.1项约定的合同进度计划对应的工作量进行分解。</w:t>
      </w:r>
    </w:p>
    <w:p w14:paraId="3150CA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（4）其他工程价款。除第17.1款约定按已完成工程量计量支付的工程价款外，按照价格清单中的价格，结合第4.12.1项约定的合同进度计划拟完成的工程量或者比例进行分解。</w:t>
      </w:r>
    </w:p>
    <w:p w14:paraId="102308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规定报监理人批复。</w:t>
      </w:r>
    </w:p>
    <w:p w14:paraId="2251622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进度付款申请单</w:t>
      </w:r>
    </w:p>
    <w:p w14:paraId="05D13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14:paraId="2358AA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（1）当期应支付金额总额，以及截至当期期末累计应支付金额总额、已支付的进度付款金额总额；</w:t>
      </w:r>
    </w:p>
    <w:p w14:paraId="0E8BAF6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（2）当期根据支付分解表应支付金额，以及截至当期期末累计应支付金额；</w:t>
      </w:r>
    </w:p>
    <w:p w14:paraId="41F159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（3）当期根据第17.1款约定计量的已实施工程应支付金额，以及截至当期期末累计应支付金额；</w:t>
      </w:r>
    </w:p>
    <w:p w14:paraId="406A4F91">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（4）当期根据第15条应增加和扣减的变更金额，以及截至当期期末累计变更金额；</w:t>
      </w:r>
    </w:p>
    <w:p w14:paraId="072E238D">
      <w:pPr>
        <w:adjustRightInd w:val="0"/>
        <w:snapToGrid w:val="0"/>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（5）当期根据第23 条应增加和扣减的索赔金额，以及截至当期期末累计索赔金额；</w:t>
      </w:r>
    </w:p>
    <w:p w14:paraId="1C7648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（6）当期根据第17.2 款约定应支付的预付款和扣减的返还预付款金额，以及截至当期期末累计返还预付款金额；</w:t>
      </w:r>
    </w:p>
    <w:p w14:paraId="67D489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（7）当期根据第17.4.1 项约定应扣减的质量保证金金额，以及截至当期期末累计扣减的质量保证金金额；</w:t>
      </w:r>
    </w:p>
    <w:p w14:paraId="13C348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（8）当期根据合同应增加和扣减的其他金额，以及截至当期期末累计增加和扣减的金额。</w:t>
      </w:r>
    </w:p>
    <w:p w14:paraId="27B3A7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17.3.4 进度付款证书和支付时间</w:t>
      </w:r>
    </w:p>
    <w:p w14:paraId="29D3199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7F3F1E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14:paraId="2F4A71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14:paraId="7E8D6D5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（4）进度付款涉及政府投资资金的，按照国库集中支付等国家相关规定和专用合同条款的约定执行。</w:t>
      </w:r>
    </w:p>
    <w:p w14:paraId="60B94F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工程进度付款的修正</w:t>
      </w:r>
    </w:p>
    <w:p w14:paraId="0EC68B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14:paraId="3CE719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3D083E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62A066F7">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17.4.2 在第1.1.4.5 目约定的缺陷责任期满时，承包人向发包人申请到期应返还承包人剩余的质量保证金，发包人应在14天内会同承包人按照合同约定的内容核实承</w:t>
      </w:r>
      <w:r>
        <w:rPr>
          <w:rFonts w:hint="eastAsia" w:ascii="宋体" w:hAnsi="宋体" w:cs="宋体"/>
          <w:color w:val="auto"/>
          <w:spacing w:val="6"/>
          <w:sz w:val="24"/>
          <w:highlight w:val="none"/>
        </w:rPr>
        <w:t>包人是否完成缺陷责任。如无异议，发包人应当在核实后将剩余质量保证金返还承包人。</w:t>
      </w:r>
    </w:p>
    <w:p w14:paraId="649A77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741365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14:paraId="07ACF4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14:paraId="064E74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C8691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14:paraId="683DA8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678C2C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7D6C68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 天内，将应支付款支付给承包人。发包人不按期支付的，按第17.3.4（2）的约定，将逾期付款违约金支付给承包人。</w:t>
      </w:r>
    </w:p>
    <w:p w14:paraId="2F9F15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（3）承包人对发包人签认的竣工付款证书有异议的，发包人可出具竣工付款申请单中承包人已同意部分的临时付款证书。存在争议的部分，按第24条的约定执行。</w:t>
      </w:r>
    </w:p>
    <w:p w14:paraId="25E1C1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（4）竣工付款涉及政府投资资金的，按第17.3.4（4）约定执行。</w:t>
      </w:r>
    </w:p>
    <w:p w14:paraId="0A1611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报送的工程结算必须真实反映项目实际情况，不得高算、冒算。工程竣工后，工程结算审核结果核减率高于纪检部门公布的警戒核减率，承包人须向发包人支付违约金，违约金计算方法为：违约金=结算审定金额X (评审核减率一警戒核减率)×50%”</w:t>
      </w:r>
    </w:p>
    <w:p w14:paraId="7D0610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5CA2EEC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1D6E95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14:paraId="4A8BF3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14:paraId="14608A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14:paraId="515DB5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0E16AE2">
      <w:pPr>
        <w:adjustRightInd w:val="0"/>
        <w:snapToGrid w:val="0"/>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（2）发包人应在监理人出具最终结清证书后的14 天内，将应支付款支付给承包人。</w:t>
      </w:r>
    </w:p>
    <w:p w14:paraId="3987C9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发包人不按期支付的，按第17.3.4（2）的约定，将逾期付款违约金支付给承包人。</w:t>
      </w:r>
    </w:p>
    <w:p w14:paraId="213EBE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（3）承包人对发包人签认的最终结清证书有异议的，按第24条的约定执行。</w:t>
      </w:r>
    </w:p>
    <w:p w14:paraId="3349E5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（4）最终结清付款涉及政府投资资金的，按第17.3.4（4）目的约定执行。</w:t>
      </w:r>
    </w:p>
    <w:p w14:paraId="6FD2D53C">
      <w:pPr>
        <w:adjustRightInd w:val="0"/>
        <w:snapToGrid w:val="0"/>
        <w:spacing w:line="360" w:lineRule="auto"/>
        <w:ind w:firstLine="482" w:firstLineChars="200"/>
        <w:outlineLvl w:val="1"/>
        <w:rPr>
          <w:rFonts w:ascii="宋体" w:hAnsi="宋体" w:cs="宋体"/>
          <w:b/>
          <w:color w:val="auto"/>
          <w:sz w:val="24"/>
          <w:highlight w:val="none"/>
        </w:rPr>
      </w:pPr>
      <w:bookmarkStart w:id="34" w:name="_Toc6622"/>
      <w:r>
        <w:rPr>
          <w:rFonts w:hint="eastAsia" w:ascii="宋体" w:hAnsi="宋体" w:cs="宋体"/>
          <w:b/>
          <w:color w:val="auto"/>
          <w:sz w:val="24"/>
          <w:highlight w:val="none"/>
        </w:rPr>
        <w:t>18. 竣工试验和竣工验收</w:t>
      </w:r>
      <w:bookmarkEnd w:id="34"/>
    </w:p>
    <w:p w14:paraId="4E1BD3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 竣工试验   </w:t>
      </w:r>
    </w:p>
    <w:p w14:paraId="190A15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18.1.1承包人按照第5.5款和第5.6款提交文件后，进行竣工试验。</w:t>
      </w:r>
    </w:p>
    <w:p w14:paraId="6A339D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18.1.2承包人应提前21天将可以开始进行竣工试验的日期通知监理人，监理人应在该日期后14天内，确定竣工试验具体时间。除专用合同条款中另有约定外，竣工试验应按下述顺序进行：</w:t>
      </w:r>
    </w:p>
    <w:p w14:paraId="4029A8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（1）第一阶段，承包人进行适当的检查和功能性试验，保证每一项工程设备都满足合同要求，并能安全地进入下一阶段试验；</w:t>
      </w:r>
    </w:p>
    <w:p w14:paraId="44CB01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（2）第二阶段，承包人进行试验，保证工程或区段工程满足合同要求，在所有可利用的操作条件下安全运行；</w:t>
      </w:r>
    </w:p>
    <w:p w14:paraId="543628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（3）第三阶段，当工程能安全运行时，承包人应通知监理人，可以进行其他竣工试验，包括各种性能测试，以证明工程符合发包人要求中列明的性能保证指标。</w:t>
      </w:r>
    </w:p>
    <w:p w14:paraId="5C877650">
      <w:pPr>
        <w:adjustRightInd w:val="0"/>
        <w:snapToGri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18.1.3 承包人应按合同约定进行工程及工程设备试运行。试运行所需人员、设备、</w:t>
      </w:r>
      <w:r>
        <w:rPr>
          <w:rFonts w:hint="eastAsia" w:ascii="宋体" w:hAnsi="宋体" w:cs="宋体"/>
          <w:color w:val="auto"/>
          <w:spacing w:val="6"/>
          <w:sz w:val="24"/>
          <w:highlight w:val="none"/>
        </w:rPr>
        <w:t>材料、燃料、电力、消耗品、工具等必要的条件以及试运行费用等由专用合同条款规定。</w:t>
      </w:r>
    </w:p>
    <w:p w14:paraId="6F54AA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18.1.4 某项竣工试验未能通过的，承包人应按照监理人的指示限期改正，并承担合同约定的相应责任。</w:t>
      </w:r>
    </w:p>
    <w:p w14:paraId="3ED5FF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竣工验收申请报告</w:t>
      </w:r>
    </w:p>
    <w:p w14:paraId="6E2DC5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14:paraId="2A621D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（1）除监理人同意列入缺陷责任期内完成的尾工（甩项）工程和缺陷修补工作外，合同范围内的全部区段工程以及有关工作，包括合同要求的试验和竣工试验均已完成，并符合合同要求；</w:t>
      </w:r>
    </w:p>
    <w:p w14:paraId="7E095D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（2）已按合同约定的内容和份数备齐了符合要求的竣工文件；</w:t>
      </w:r>
    </w:p>
    <w:p w14:paraId="38AFBB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14:paraId="646C3B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14:paraId="7B685B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14:paraId="020E04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14:paraId="45F2A2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 款约定提交的竣工验收申请报告后，应审查申请报告的各项内容，并按以下不同情况进行处理。</w:t>
      </w:r>
    </w:p>
    <w:p w14:paraId="0D1DBB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42760A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监理人同意承包人提交的竣工验收申请报告的，应在收到该竣工验收申请报告后的28天内提请发包人进行工程验收。</w:t>
      </w:r>
    </w:p>
    <w:p w14:paraId="3565B1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18.3.3 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410F0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14:paraId="1A8FBA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14:paraId="79279A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 天后未进行验收的，视为验收合格，实际竣工日期以提交竣工验收申请报告的日期为准，但发包人由于不可抗力不能进行验收的除外。</w:t>
      </w:r>
    </w:p>
    <w:p w14:paraId="0C4388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国家验收</w:t>
      </w:r>
    </w:p>
    <w:p w14:paraId="5DED3D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14:paraId="5CFE0E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区段工程验收</w:t>
      </w:r>
    </w:p>
    <w:p w14:paraId="7EB341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18.5.1 发包人根据合同进度计划安排，在全部工程竣工前需要使用已经竣工的区段工程时，或承包人提出经发包人同意时，可进行区段工程验收。验收的程序可参照第  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098886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18.5.2 发包人在全部工程竣工前，使用已接收的区段工程导致承包人费用增加的，发包人应承担由此增加的费用和（或）工期延误，并支付承包人合理利润。</w:t>
      </w:r>
    </w:p>
    <w:p w14:paraId="05A200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14:paraId="031D98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14:paraId="68FEBA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18.6.2 在施工期运行中发现工程或工程设备损坏或存在缺陷的，由承包人按第19.2 款约定进行修复。</w:t>
      </w:r>
    </w:p>
    <w:p w14:paraId="37FE40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 竣工清场</w:t>
      </w:r>
    </w:p>
    <w:p w14:paraId="6999F3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14:paraId="53FCCB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14:paraId="2B8C0A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14:paraId="0F7D90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14:paraId="5FA67177">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（4）工程建筑物周边及其附近道路、河道的施工堆积物，已按监理人指示全部清理；</w:t>
      </w:r>
    </w:p>
    <w:p w14:paraId="79A0C6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14:paraId="6C54E6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14:paraId="4F8B5B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18.8 施工队伍的撤离</w:t>
      </w:r>
    </w:p>
    <w:p w14:paraId="2263CF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21CC97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14:paraId="7EEF64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w:t>
      </w:r>
    </w:p>
    <w:p w14:paraId="5AE0B1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（1）为竣工后试验提供必要的电力、设备、燃料、仪器、劳力、材料，以及具有适当资质和经验的工作人员；</w:t>
      </w:r>
    </w:p>
    <w:p w14:paraId="7E1AB5EA">
      <w:pPr>
        <w:adjustRightInd w:val="0"/>
        <w:snapToGri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（2）根据承包人按照第5.6款提供的手册，以及承包人给予的指导进行竣工后试验。</w:t>
      </w:r>
    </w:p>
    <w:p w14:paraId="6FD670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发包人应提前21天将竣工后试验的日期通知承包人。如果承包人未能在该日期出席竣工后试验，发包人可自行进行，承包人应对检验数据予以认可。</w:t>
      </w:r>
    </w:p>
    <w:p w14:paraId="7D0469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因承包人原因造成某项竣工后试验未能通过的，承包人应按照合同的约定进行赔偿，或者承包人提出修复建议，按照发包人指示的合理期限内改正，并承担合同约定的相应责任。</w:t>
      </w:r>
    </w:p>
    <w:p w14:paraId="7348F9C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14:paraId="66EB14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14:paraId="119050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（1）发包人为竣工后试验提供必要的电力、材料、燃料、发包人人员和工程设备；</w:t>
      </w:r>
    </w:p>
    <w:p w14:paraId="7394F2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（2）承包人应提供竣工后试验所需要的所有其他设备、仪器，以及有资格和经验的工作人员；</w:t>
      </w:r>
    </w:p>
    <w:p w14:paraId="3C51BB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277CFEE1">
      <w:pPr>
        <w:adjustRightInd w:val="0"/>
        <w:snapToGrid w:val="0"/>
        <w:spacing w:line="360" w:lineRule="auto"/>
        <w:ind w:firstLine="482" w:firstLineChars="200"/>
        <w:outlineLvl w:val="1"/>
        <w:rPr>
          <w:rFonts w:ascii="宋体" w:hAnsi="宋体" w:cs="宋体"/>
          <w:b/>
          <w:color w:val="auto"/>
          <w:sz w:val="24"/>
          <w:highlight w:val="none"/>
        </w:rPr>
      </w:pPr>
      <w:bookmarkStart w:id="35" w:name="_Toc19402"/>
      <w:r>
        <w:rPr>
          <w:rFonts w:hint="eastAsia" w:ascii="宋体" w:hAnsi="宋体" w:cs="宋体"/>
          <w:b/>
          <w:color w:val="auto"/>
          <w:sz w:val="24"/>
          <w:highlight w:val="none"/>
        </w:rPr>
        <w:t>19. 缺陷责任与保修责任</w:t>
      </w:r>
      <w:bookmarkEnd w:id="35"/>
    </w:p>
    <w:p w14:paraId="0413F9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14:paraId="7153528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缺陷责任期自实际竣工日期起计算。在全部工程竣工验收前，已经发包人提前验收的区段工程或进入施工期运行的工程，其缺陷责任期的起算日期相应提前到相应工程竣工日。</w:t>
      </w:r>
    </w:p>
    <w:p w14:paraId="1DCF1B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3DBEBFD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14:paraId="217378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04855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D0712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 项约定执行。</w:t>
      </w:r>
    </w:p>
    <w:p w14:paraId="44FDF5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 缺陷责任期的延长</w:t>
      </w:r>
    </w:p>
    <w:p w14:paraId="46609CB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FB308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 进一步试验和试运行</w:t>
      </w:r>
    </w:p>
    <w:p w14:paraId="2C28A7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w:t>
      </w:r>
      <w:r>
        <w:rPr>
          <w:rFonts w:hint="eastAsia" w:ascii="宋体" w:hAnsi="宋体" w:cs="宋体"/>
          <w:color w:val="auto"/>
          <w:spacing w:val="6"/>
          <w:sz w:val="24"/>
          <w:highlight w:val="none"/>
        </w:rPr>
        <w:t>承包人应重新进行合同约定的试验和试运行，试验和试运行的全部费用应由责任方承担</w:t>
      </w:r>
      <w:r>
        <w:rPr>
          <w:rFonts w:hint="eastAsia" w:ascii="宋体" w:hAnsi="宋体" w:cs="宋体"/>
          <w:color w:val="auto"/>
          <w:sz w:val="24"/>
          <w:highlight w:val="none"/>
        </w:rPr>
        <w:t>。</w:t>
      </w:r>
    </w:p>
    <w:p w14:paraId="477E534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 承包人的进入权</w:t>
      </w:r>
    </w:p>
    <w:p w14:paraId="7D7F17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14:paraId="7979D2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19.6 缺陷责任期终止证书</w:t>
      </w:r>
    </w:p>
    <w:p w14:paraId="7F1E98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14:paraId="6F80E5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5BB87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1F5ABCA4">
      <w:pPr>
        <w:adjustRightInd w:val="0"/>
        <w:snapToGrid w:val="0"/>
        <w:spacing w:line="360" w:lineRule="auto"/>
        <w:ind w:firstLine="482" w:firstLineChars="200"/>
        <w:outlineLvl w:val="1"/>
        <w:rPr>
          <w:rFonts w:ascii="宋体" w:hAnsi="宋体" w:cs="宋体"/>
          <w:b/>
          <w:color w:val="auto"/>
          <w:sz w:val="24"/>
          <w:highlight w:val="none"/>
        </w:rPr>
      </w:pPr>
      <w:bookmarkStart w:id="36" w:name="_Toc23867"/>
      <w:r>
        <w:rPr>
          <w:rFonts w:hint="eastAsia" w:ascii="宋体" w:hAnsi="宋体" w:cs="宋体"/>
          <w:b/>
          <w:color w:val="auto"/>
          <w:sz w:val="24"/>
          <w:highlight w:val="none"/>
        </w:rPr>
        <w:t>20. 保险</w:t>
      </w:r>
      <w:bookmarkEnd w:id="36"/>
    </w:p>
    <w:p w14:paraId="78E7B0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14:paraId="05B52D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14:paraId="32DE9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在缺陷责任期终止证书颁发前，承包人应按照专用合同条款的约定投保第三者责任险。</w:t>
      </w:r>
    </w:p>
    <w:p w14:paraId="3321B05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 工伤保险</w:t>
      </w:r>
    </w:p>
    <w:p w14:paraId="00F7F7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承包人员工伤保险</w:t>
      </w:r>
    </w:p>
    <w:p w14:paraId="0F0CF5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承包人应依照有关法律规定，为其履行合同所雇佣的全部人员投保工伤保险，缴纳工伤保险费，并要求其分包人也投保此项保险。</w:t>
      </w:r>
    </w:p>
    <w:p w14:paraId="2B59B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发包人员工伤保险</w:t>
      </w:r>
    </w:p>
    <w:p w14:paraId="60C67A4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发包人应依照有关法律规定，为其现场机构雇佣的全部人员投保工伤保险，缴纳工伤保险费，并要求其监理人也进行此项保险。</w:t>
      </w:r>
    </w:p>
    <w:p w14:paraId="33ED31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人身意外伤害险</w:t>
      </w:r>
    </w:p>
    <w:p w14:paraId="0CD001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14:paraId="580C9B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20.3.2 承包人应在整个施工期间为其现场机构雇用的全部人员，投保人身意外伤害险，缴纳保险费，并要求其分包人也进行此项保险。 </w:t>
      </w:r>
    </w:p>
    <w:p w14:paraId="412F9D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其他保险</w:t>
      </w:r>
    </w:p>
    <w:p w14:paraId="356BA0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14:paraId="238DF1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 对各项保险的一般要求</w:t>
      </w:r>
    </w:p>
    <w:p w14:paraId="53A67C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20.5.1 保险凭证</w:t>
      </w:r>
    </w:p>
    <w:p w14:paraId="214053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14:paraId="3CB667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20.5.2 保险合同条款的变动</w:t>
      </w:r>
    </w:p>
    <w:p w14:paraId="49076C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14:paraId="6E4BD2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20.5.3 持续保险</w:t>
      </w:r>
    </w:p>
    <w:p w14:paraId="2CF566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14:paraId="397EB5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20.5.4 保险金不足的补偿</w:t>
      </w:r>
    </w:p>
    <w:p w14:paraId="1479443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14:paraId="77DD40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20.5.5 未按约定投保的补救</w:t>
      </w:r>
    </w:p>
    <w:p w14:paraId="0AD1E9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14:paraId="274D07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5D739C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20.5.6 报告义务</w:t>
      </w:r>
    </w:p>
    <w:p w14:paraId="00526C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14:paraId="50302A76">
      <w:pPr>
        <w:adjustRightInd w:val="0"/>
        <w:snapToGrid w:val="0"/>
        <w:spacing w:line="360" w:lineRule="auto"/>
        <w:ind w:firstLine="482" w:firstLineChars="200"/>
        <w:outlineLvl w:val="1"/>
        <w:rPr>
          <w:rFonts w:ascii="宋体" w:hAnsi="宋体" w:cs="宋体"/>
          <w:b/>
          <w:color w:val="auto"/>
          <w:sz w:val="24"/>
          <w:highlight w:val="none"/>
        </w:rPr>
      </w:pPr>
      <w:bookmarkStart w:id="37" w:name="_Toc26238"/>
      <w:r>
        <w:rPr>
          <w:rFonts w:hint="eastAsia" w:ascii="宋体" w:hAnsi="宋体" w:cs="宋体"/>
          <w:b/>
          <w:color w:val="auto"/>
          <w:sz w:val="24"/>
          <w:highlight w:val="none"/>
        </w:rPr>
        <w:t>21. 不可抗力</w:t>
      </w:r>
      <w:bookmarkEnd w:id="37"/>
    </w:p>
    <w:p w14:paraId="2A5E96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4E48D9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14:paraId="62F2DC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14:paraId="7C68D6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不可抗力的通知</w:t>
      </w:r>
    </w:p>
    <w:p w14:paraId="5B723A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14:paraId="44A208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366C53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14:paraId="7AE61F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482F4F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14:paraId="3634EE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14:paraId="25C7781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14:paraId="14ADBC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14:paraId="655EB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14:paraId="191E9C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14:paraId="396CA3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14:paraId="79767A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14:paraId="665ADC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14:paraId="5B5793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14:paraId="2B83F5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14:paraId="4260E0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14:paraId="3B1D86D2">
      <w:pPr>
        <w:adjustRightInd w:val="0"/>
        <w:snapToGrid w:val="0"/>
        <w:spacing w:line="360" w:lineRule="auto"/>
        <w:ind w:firstLine="482" w:firstLineChars="200"/>
        <w:outlineLvl w:val="1"/>
        <w:rPr>
          <w:rFonts w:ascii="宋体" w:hAnsi="宋体" w:cs="宋体"/>
          <w:b/>
          <w:color w:val="auto"/>
          <w:sz w:val="24"/>
          <w:highlight w:val="none"/>
        </w:rPr>
      </w:pPr>
      <w:bookmarkStart w:id="38" w:name="_Toc14433"/>
      <w:r>
        <w:rPr>
          <w:rFonts w:hint="eastAsia" w:ascii="宋体" w:hAnsi="宋体" w:cs="宋体"/>
          <w:b/>
          <w:color w:val="auto"/>
          <w:sz w:val="24"/>
          <w:highlight w:val="none"/>
        </w:rPr>
        <w:t>22. 违约</w:t>
      </w:r>
      <w:bookmarkEnd w:id="38"/>
    </w:p>
    <w:p w14:paraId="4FF013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6C8FC4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4CD996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在履行合同过程中发生的下列情况之一的，属承包人违约：</w:t>
      </w:r>
    </w:p>
    <w:p w14:paraId="4A96E77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（1）承包人的设计、承包人文件、实施和竣工的工程不符合法律以及合同约定；</w:t>
      </w:r>
    </w:p>
    <w:p w14:paraId="04EC3D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（2）承包人违反第1.8 款或第4.3 款的约定，私自将合同的全部或部分权利转让给其他人，或私自将合同的全部或部分义务转移给其他人；</w:t>
      </w:r>
    </w:p>
    <w:p w14:paraId="4AC1C2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（3）承包人违反第6.3 款或第7.4 款的约定，未经监理人批准，私自将已按合同约定进入施工场地的施工设备、临时设施或材料撤离施工场地；</w:t>
      </w:r>
    </w:p>
    <w:p w14:paraId="027A80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（4）承包人违反第6.5 款的约定使用了不合格材料或工程设备，工程质量达不到标准要求，又拒绝清除不合格工程；</w:t>
      </w:r>
    </w:p>
    <w:p w14:paraId="74CA36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（5）承包人未能按合同进度计划及时完成合同约定的工作，造成工期延误；</w:t>
      </w:r>
    </w:p>
    <w:p w14:paraId="524113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（6）由于承包人原因未能通过竣工试验或竣工后试验的；</w:t>
      </w:r>
    </w:p>
    <w:p w14:paraId="0DA9CA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（7）承包人在缺陷责任期内，未能对工程接收证书所列的缺陷清单的内容或缺陷责任期内发生的缺陷进行修复，而又拒绝按监理人指示再进行修补；</w:t>
      </w:r>
    </w:p>
    <w:p w14:paraId="29A025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（8）承包人无法继续履行或明确表示不履行或实质上已停止履行合同；</w:t>
      </w:r>
    </w:p>
    <w:p w14:paraId="614FBE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（9）承包人不按合同约定履行义务的其他情况。</w:t>
      </w:r>
    </w:p>
    <w:p w14:paraId="5793F8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1B0AB5A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（1）承包人发生第22.1.1（6）约定的违约情况时，按照发包人要求中的未能通过竣工/竣工后试验的损害进行赔偿。发生延期的，承包人应承担延期责任。</w:t>
      </w:r>
    </w:p>
    <w:p w14:paraId="1031A8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（2）承包人发生第22.1.1（8）约定的违约情况时，发包人可通知承包人立即解除合同，并按第22.1.3项、第22.1.4项、第22.1.5项约定处理。</w:t>
      </w:r>
    </w:p>
    <w:p w14:paraId="0D4A2D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1679D7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22.1.3 因承包人违约解除合同</w:t>
      </w:r>
    </w:p>
    <w:p w14:paraId="60066A9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490EA85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22.1.4 发包人发出合同解除通知后的估价、付款和结清</w:t>
      </w:r>
    </w:p>
    <w:p w14:paraId="12796A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3B7610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（2）发包人发出解除合同通知后，发包人有权暂停对承包人的一切付款，查清各项付款和已扣款金额，包括承包人应支付的违约金。</w:t>
      </w:r>
    </w:p>
    <w:p w14:paraId="048380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（3）发包人发出解除合同通知后，发包人有权按第23.4 款的约定向承包人索赔由于解除合同给发包人造成的损失。</w:t>
      </w:r>
    </w:p>
    <w:p w14:paraId="283288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（4）合同双方确认合同价款后，发包人颁发最终结清付款证书，并结清全部合同款项。</w:t>
      </w:r>
    </w:p>
    <w:p w14:paraId="056B9A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（5）发包人和承包人未能就解除合同后的结清达成一致而形成争议的，按第24条的约定执行。</w:t>
      </w:r>
    </w:p>
    <w:p w14:paraId="2BBA4E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14:paraId="57844F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14:paraId="6994DBE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14:paraId="4D6F42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2A86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14:paraId="3C8D49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14:paraId="40B2D9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在履行合同过程中发生下列情形之一的，属发包人违约：</w:t>
      </w:r>
    </w:p>
    <w:p w14:paraId="4BF3F9D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（1）发包人未能按合同约定支付价款，或拖延、拒绝批准付款申请和支付凭证，导致付款延误；</w:t>
      </w:r>
    </w:p>
    <w:p w14:paraId="79FAFB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（2）发包人原因造成停工；</w:t>
      </w:r>
    </w:p>
    <w:p w14:paraId="5B70BB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w:t>
      </w:r>
    </w:p>
    <w:p w14:paraId="5E2B19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w:t>
      </w:r>
    </w:p>
    <w:p w14:paraId="61E36C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（5）发包人不履行合同约定的其他义务。</w:t>
      </w:r>
    </w:p>
    <w:p w14:paraId="1FDBEF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因发包人违约解除合同</w:t>
      </w:r>
    </w:p>
    <w:p w14:paraId="70F806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（1）发生第22.2.1（4）的违约情况时，承包人可书面通知发包人解除合同。</w:t>
      </w:r>
    </w:p>
    <w:p w14:paraId="2CBE58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14:paraId="282996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解除合同后的付款</w:t>
      </w:r>
    </w:p>
    <w:p w14:paraId="10910C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因发包人违约解除合同的，发包人应在解除合同后28天内向承包人支付下列款项，承包人应在此期限内及时向发包人提交要求支付下列金额的有关资料和凭证：</w:t>
      </w:r>
    </w:p>
    <w:p w14:paraId="3BFB05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（1）承包人发出解除合同通知前所完成工作的价款；</w:t>
      </w:r>
    </w:p>
    <w:p w14:paraId="635457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14:paraId="0B7B0B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14:paraId="3A81A9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14:paraId="2D9DA1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（5）因解除合同造成的承包人损失；</w:t>
      </w:r>
    </w:p>
    <w:p w14:paraId="43901C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（6）按合同约定在承包人发出解除合同通知前应支付给承包人的其他金额。</w:t>
      </w:r>
    </w:p>
    <w:p w14:paraId="3B1A00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14:paraId="351B0EC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解除合同后的承包人撤离</w:t>
      </w:r>
    </w:p>
    <w:p w14:paraId="1E112C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14:paraId="17DC64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第三人造成的违约</w:t>
      </w:r>
    </w:p>
    <w:p w14:paraId="177BF7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4F988A34">
      <w:pPr>
        <w:adjustRightInd w:val="0"/>
        <w:snapToGrid w:val="0"/>
        <w:spacing w:line="360" w:lineRule="auto"/>
        <w:ind w:firstLine="482" w:firstLineChars="200"/>
        <w:outlineLvl w:val="1"/>
        <w:rPr>
          <w:rFonts w:ascii="宋体" w:hAnsi="宋体" w:cs="宋体"/>
          <w:b/>
          <w:color w:val="auto"/>
          <w:sz w:val="24"/>
          <w:highlight w:val="none"/>
        </w:rPr>
      </w:pPr>
      <w:bookmarkStart w:id="39" w:name="_Toc18021"/>
      <w:r>
        <w:rPr>
          <w:rFonts w:hint="eastAsia" w:ascii="宋体" w:hAnsi="宋体" w:cs="宋体"/>
          <w:b/>
          <w:color w:val="auto"/>
          <w:sz w:val="24"/>
          <w:highlight w:val="none"/>
        </w:rPr>
        <w:t>23. 索赔</w:t>
      </w:r>
      <w:bookmarkEnd w:id="39"/>
    </w:p>
    <w:p w14:paraId="201914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承包人索赔的提出</w:t>
      </w:r>
    </w:p>
    <w:p w14:paraId="51457F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14:paraId="48BCD4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520998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705D97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14:paraId="2ECB70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 天内，承包人应向监理人递交最终索赔通知书，说明最终要求索赔的追加付款金额和延长的工期，并附必要的记录和证明材料。</w:t>
      </w:r>
    </w:p>
    <w:p w14:paraId="1D030A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承包人索赔处理程序</w:t>
      </w:r>
    </w:p>
    <w:p w14:paraId="7244D4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14:paraId="35C3B0E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0B60D4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 天内完成赔付。承包人不接受索赔处理结果的，按第24条的约定执行。</w:t>
      </w:r>
    </w:p>
    <w:p w14:paraId="4D763E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 承包人提出索赔的期限</w:t>
      </w:r>
    </w:p>
    <w:p w14:paraId="6A5630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 款的约定接受了竣工付款证书后，应被认为已无权再提出在合同工程接收证书颁发前所发生的任何索赔。</w:t>
      </w:r>
    </w:p>
    <w:p w14:paraId="135EED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23.3.2 承包人按第17.6 款的约定提交的最终结清申请单中，只限于提出工程接收证书颁发后发生的索赔。提出索赔的期限自接受最终结清证书时终止。</w:t>
      </w:r>
    </w:p>
    <w:p w14:paraId="5E3FB8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 发包人的索赔</w:t>
      </w:r>
    </w:p>
    <w:p w14:paraId="022DB33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14:paraId="5A9F9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14:paraId="00B2FB9A">
      <w:pPr>
        <w:adjustRightInd w:val="0"/>
        <w:snapToGrid w:val="0"/>
        <w:spacing w:line="360" w:lineRule="auto"/>
        <w:ind w:firstLine="482" w:firstLineChars="200"/>
        <w:outlineLvl w:val="1"/>
        <w:rPr>
          <w:rFonts w:ascii="宋体" w:hAnsi="宋体" w:cs="宋体"/>
          <w:b/>
          <w:color w:val="auto"/>
          <w:sz w:val="24"/>
          <w:highlight w:val="none"/>
        </w:rPr>
      </w:pPr>
      <w:bookmarkStart w:id="40" w:name="_Toc27456"/>
      <w:r>
        <w:rPr>
          <w:rFonts w:hint="eastAsia" w:ascii="宋体" w:hAnsi="宋体" w:cs="宋体"/>
          <w:b/>
          <w:color w:val="auto"/>
          <w:sz w:val="24"/>
          <w:highlight w:val="none"/>
        </w:rPr>
        <w:t>24. 争议的解决</w:t>
      </w:r>
      <w:bookmarkEnd w:id="40"/>
    </w:p>
    <w:p w14:paraId="5FC552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争议的解决方式</w:t>
      </w:r>
    </w:p>
    <w:p w14:paraId="6765472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EBBE3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3CE340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43BA11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友好解决</w:t>
      </w:r>
    </w:p>
    <w:p w14:paraId="4C7EC0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14:paraId="055CE4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 争议评审</w:t>
      </w:r>
    </w:p>
    <w:p w14:paraId="2A1CEC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14:paraId="3481EF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08D6A99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 天内，向争议评审组提交一份答辩报告，并附证明材料。被申请人应将答辩报告的副本同时提交给申请人和监理人。</w:t>
      </w:r>
    </w:p>
    <w:p w14:paraId="372900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7D0E0F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5593A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14:paraId="129221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78AB0C97">
      <w:pPr>
        <w:adjustRightInd w:val="0"/>
        <w:snapToGrid w:val="0"/>
        <w:spacing w:line="360" w:lineRule="auto"/>
        <w:ind w:firstLine="480" w:firstLineChars="200"/>
        <w:rPr>
          <w:rFonts w:ascii="宋体" w:hAnsi="宋体" w:cs="宋体"/>
          <w:color w:val="auto"/>
          <w:sz w:val="24"/>
          <w:highlight w:val="none"/>
        </w:rPr>
        <w:sectPr>
          <w:footerReference r:id="rId7" w:type="default"/>
          <w:pgSz w:w="11905" w:h="16838"/>
          <w:pgMar w:top="1417" w:right="1474" w:bottom="1417" w:left="1474" w:header="567" w:footer="850" w:gutter="0"/>
          <w:pgNumType w:start="1"/>
          <w:cols w:space="720" w:num="1"/>
          <w:docGrid w:type="lines" w:linePitch="312" w:charSpace="0"/>
        </w:sectPr>
      </w:pPr>
    </w:p>
    <w:p w14:paraId="3BDC8461">
      <w:pPr>
        <w:adjustRightInd w:val="0"/>
        <w:snapToGrid w:val="0"/>
        <w:spacing w:line="360" w:lineRule="auto"/>
        <w:jc w:val="center"/>
        <w:outlineLvl w:val="0"/>
        <w:rPr>
          <w:rFonts w:ascii="宋体" w:hAnsi="宋体" w:cs="宋体"/>
          <w:b/>
          <w:color w:val="auto"/>
          <w:sz w:val="32"/>
          <w:szCs w:val="32"/>
          <w:highlight w:val="none"/>
        </w:rPr>
      </w:pPr>
      <w:bookmarkStart w:id="41" w:name="_Toc16940"/>
      <w:r>
        <w:rPr>
          <w:rFonts w:hint="eastAsia" w:ascii="宋体" w:hAnsi="宋体" w:cs="宋体"/>
          <w:b/>
          <w:color w:val="auto"/>
          <w:sz w:val="32"/>
          <w:szCs w:val="32"/>
          <w:highlight w:val="none"/>
        </w:rPr>
        <w:t>第三部分   专用条款</w:t>
      </w:r>
      <w:bookmarkEnd w:id="41"/>
    </w:p>
    <w:p w14:paraId="761D505B">
      <w:pPr>
        <w:adjustRightInd w:val="0"/>
        <w:snapToGrid w:val="0"/>
        <w:spacing w:line="360" w:lineRule="auto"/>
        <w:ind w:firstLine="482" w:firstLineChars="200"/>
        <w:outlineLvl w:val="1"/>
        <w:rPr>
          <w:rFonts w:ascii="宋体" w:hAnsi="宋体" w:cs="宋体"/>
          <w:b/>
          <w:color w:val="auto"/>
          <w:sz w:val="24"/>
          <w:highlight w:val="none"/>
        </w:rPr>
      </w:pPr>
      <w:bookmarkStart w:id="42" w:name="_Toc5733"/>
      <w:r>
        <w:rPr>
          <w:rFonts w:hint="eastAsia" w:ascii="宋体" w:hAnsi="宋体" w:cs="宋体"/>
          <w:b/>
          <w:color w:val="auto"/>
          <w:sz w:val="24"/>
          <w:highlight w:val="none"/>
        </w:rPr>
        <w:t>1. 一般约定</w:t>
      </w:r>
      <w:bookmarkEnd w:id="42"/>
    </w:p>
    <w:p w14:paraId="19C90B7B">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 词语定义</w:t>
      </w:r>
    </w:p>
    <w:p w14:paraId="402A16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所采用的书面形式包括：</w:t>
      </w:r>
      <w:r>
        <w:rPr>
          <w:rFonts w:hint="eastAsia" w:ascii="宋体" w:hAnsi="宋体" w:cs="宋体"/>
          <w:color w:val="auto"/>
          <w:sz w:val="24"/>
          <w:highlight w:val="none"/>
          <w:u w:val="single"/>
        </w:rPr>
        <w:t>文书</w:t>
      </w:r>
      <w:r>
        <w:rPr>
          <w:rFonts w:hint="eastAsia" w:ascii="宋体" w:hAnsi="宋体" w:cs="宋体"/>
          <w:color w:val="auto"/>
          <w:sz w:val="24"/>
          <w:highlight w:val="none"/>
        </w:rPr>
        <w:t>。</w:t>
      </w:r>
    </w:p>
    <w:p w14:paraId="2F529588">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1.3 法律</w:t>
      </w:r>
    </w:p>
    <w:p w14:paraId="18312F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约定适用的标准、规范的名称：国家、行业、广东省和现行标准与规范或规程、建筑工程质量评定、验收规程、规范、条例、招标文件所列技术规范及设计所列明的规范等。如施工期间国家或地方标准、规范发生变动，承包人应按新标准、规范执行。如有关施工、验收的标准和规范改变引起的费用增加，按设计变更或新增设计计算。</w:t>
      </w:r>
    </w:p>
    <w:p w14:paraId="087C805C">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1.6 文件的提供和照管</w:t>
      </w:r>
    </w:p>
    <w:p w14:paraId="1478CFC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承包人文件的提供</w:t>
      </w:r>
    </w:p>
    <w:p w14:paraId="3E4640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承包人提供施工设计图纸，承包人负责的设计的约定：承包人承担本工程设计，向发包人提交施工图。</w:t>
      </w:r>
    </w:p>
    <w:p w14:paraId="72D04466">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（1）提供的时间：</w:t>
      </w:r>
      <w:r>
        <w:rPr>
          <w:rFonts w:hint="eastAsia" w:ascii="宋体" w:hAnsi="宋体" w:eastAsia="宋体" w:cs="宋体"/>
          <w:color w:val="auto"/>
          <w:sz w:val="28"/>
          <w:szCs w:val="28"/>
          <w:highlight w:val="none"/>
          <w:u w:val="single"/>
          <w:lang w:val="en-US" w:eastAsia="zh-CN"/>
        </w:rPr>
        <w:t>方案设计和概算确认后5天内</w:t>
      </w:r>
      <w:r>
        <w:rPr>
          <w:rFonts w:hint="eastAsia" w:ascii="宋体" w:hAnsi="宋体" w:cs="宋体"/>
          <w:color w:val="auto"/>
          <w:sz w:val="28"/>
          <w:szCs w:val="28"/>
          <w:highlight w:val="none"/>
          <w:u w:val="single"/>
          <w:lang w:val="en-US" w:eastAsia="zh-CN"/>
        </w:rPr>
        <w:t>。</w:t>
      </w:r>
    </w:p>
    <w:p w14:paraId="0F628F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（2）提供的数量：施工图壹式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份交发包人确认，并提供一套与施工图完全一致的施工图电子版（含CAD版本及PDF版本），发包人保留纸质版贰份及电子版，分发监理人壹份，其余分发给承包人。施工图需发包人确认后方可用于工程施工，经确认的施工图将作为施工、验收、结算的依据。 </w:t>
      </w:r>
    </w:p>
    <w:p w14:paraId="7C0CC7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14:paraId="21E32E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（1）提供的资料：项目立项批准文件、建筑图、前期设计单位的成果文件。</w:t>
      </w:r>
    </w:p>
    <w:p w14:paraId="4D624A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（2）提供的时间：签订合同后</w:t>
      </w:r>
      <w:r>
        <w:rPr>
          <w:rFonts w:hint="eastAsia" w:ascii="宋体" w:hAnsi="宋体" w:cs="宋体"/>
          <w:color w:val="auto"/>
          <w:sz w:val="24"/>
          <w:highlight w:val="none"/>
          <w:u w:val="single"/>
        </w:rPr>
        <w:t xml:space="preserve">  / 个</w:t>
      </w:r>
      <w:r>
        <w:rPr>
          <w:rFonts w:hint="eastAsia" w:ascii="宋体" w:hAnsi="宋体" w:cs="宋体"/>
          <w:color w:val="auto"/>
          <w:sz w:val="24"/>
          <w:highlight w:val="none"/>
        </w:rPr>
        <w:t xml:space="preserve">工作日内提交。 </w:t>
      </w:r>
    </w:p>
    <w:p w14:paraId="60FC168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图纸及设计变更通知须经设计单位和发包人盖章确认方为有效。未经发包人同意，图纸不得转借他用或泄露给第三方。</w:t>
      </w:r>
    </w:p>
    <w:p w14:paraId="2CFE71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 联络  </w:t>
      </w:r>
    </w:p>
    <w:p w14:paraId="2BD64CF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各方通讯地址、收件人及其他送达方式</w:t>
      </w:r>
    </w:p>
    <w:p w14:paraId="6F6C3F5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（1）各方通讯地址和收件人：</w:t>
      </w:r>
    </w:p>
    <w:p w14:paraId="19B00C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广州安居住房置业有限公司</w:t>
      </w:r>
    </w:p>
    <w:p w14:paraId="59B136DB">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36067295">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26DD02AD">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承包人（施工承包人）：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511A5063">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p>
    <w:p w14:paraId="6E46D8F4">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3DF0006D">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承包人（设计承包人）：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7EA49E9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CA6D8F6">
      <w:pPr>
        <w:adjustRightInd w:val="0"/>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07CD4F72">
      <w:pPr>
        <w:adjustRightInd w:val="0"/>
        <w:snapToGrid w:val="0"/>
        <w:spacing w:line="360" w:lineRule="auto"/>
        <w:ind w:left="479" w:leftChars="228"/>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监理人：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540FAD23">
      <w:pPr>
        <w:adjustRightInd w:val="0"/>
        <w:snapToGrid w:val="0"/>
        <w:spacing w:line="360" w:lineRule="auto"/>
        <w:ind w:left="479" w:leftChars="228"/>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07B30BFD">
      <w:pPr>
        <w:adjustRightInd w:val="0"/>
        <w:snapToGrid w:val="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val="en-US" w:eastAsia="zh-CN"/>
        </w:rPr>
        <w:t xml:space="preserve">     </w:t>
      </w:r>
    </w:p>
    <w:p w14:paraId="0BC7E8D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视为送达的其他方式：发包人与承包人的文件通过监理人传递，但须发文方代表或授权人签字并加盖有效印章才生效。一方不得以任何理由拒绝签收另一方的文件。发包人认为必要的情况下，可以直接向承包人发出指令，承包人代表或指定收件人必须签收。</w:t>
      </w:r>
    </w:p>
    <w:p w14:paraId="3499A478">
      <w:pPr>
        <w:adjustRightInd w:val="0"/>
        <w:snapToGrid w:val="0"/>
        <w:spacing w:line="360" w:lineRule="auto"/>
        <w:ind w:firstLine="482" w:firstLineChars="200"/>
        <w:outlineLvl w:val="1"/>
        <w:rPr>
          <w:rFonts w:ascii="宋体" w:hAnsi="宋体" w:cs="宋体"/>
          <w:b/>
          <w:color w:val="auto"/>
          <w:sz w:val="24"/>
          <w:highlight w:val="none"/>
        </w:rPr>
      </w:pPr>
      <w:bookmarkStart w:id="43" w:name="_Toc21105"/>
      <w:r>
        <w:rPr>
          <w:rFonts w:hint="eastAsia" w:ascii="宋体" w:hAnsi="宋体" w:cs="宋体"/>
          <w:b/>
          <w:color w:val="auto"/>
          <w:sz w:val="24"/>
          <w:highlight w:val="none"/>
        </w:rPr>
        <w:t>2. 发包人权利和义务</w:t>
      </w:r>
      <w:bookmarkEnd w:id="43"/>
    </w:p>
    <w:p w14:paraId="266ABC7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7DF235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开工令发出前，发包人按进场要求提供项目红线内施工现场，场地清理、平整等工作由承包人负责，红线外场地由承包人自行与有关单位协调。有关费用已包含在中标合同价包干项目措施费中，发包人不另行计量支付。</w:t>
      </w:r>
    </w:p>
    <w:p w14:paraId="0F9FFC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协调处理施工场地周围地下管线问题和邻近建筑物等保护工作的约定：发包人协助承包人做好上述保护工作的协调处理，除文物保护外，其它保护工作费用已包含在承包人中标合同价包干项目措施费中。</w:t>
      </w:r>
    </w:p>
    <w:p w14:paraId="4DBE1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14:paraId="0D6ABC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代为办理以下施工所需有关证件和报批手续，除政府部门规定须由发包人支付的费用由发包人据实支付外，其它费用已包含在承包人的合同价款中：包括但不限于临时施工复函、施工许可证、工程质量安全监督报监，向相关管理部门办理道路开挖、余泥排放、防雷、给排水、夜间施工许可等施工所需有关证件和报批手续，均由承包人代为办理，发包人、监理人提供协助。承包人应主动联系有关部门尽快办理上述手续，原则上每项手续在资料备齐后</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个工作日内完成。</w:t>
      </w:r>
    </w:p>
    <w:p w14:paraId="26CDA9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14:paraId="08CAFD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承包人应得的各类款项（如预付款、安全文明施工费、进度款、结算款、增加价款等）在工程达到合同约定的付款条件，承包人提出书面付款申请且监理工程师审查确认并报发包人，发包人完成审批手续后支付。</w:t>
      </w:r>
    </w:p>
    <w:p w14:paraId="586D1C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工程款支付方式：转账或支票支付。</w:t>
      </w:r>
    </w:p>
    <w:p w14:paraId="6D13C0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14:paraId="653750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提供完成施工所需水、电、通讯线路接驳；开通施工现场与城乡公共道路间的通道。</w:t>
      </w:r>
    </w:p>
    <w:p w14:paraId="134B15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 发包人权利：</w:t>
      </w:r>
    </w:p>
    <w:p w14:paraId="1350D0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发包人拥有对本工程使用之材料品质及工程质量确认审查的权利；有权根据项目规划调整或工程实际需要增加或减少部分工程，并经双方协商签订补充合同后执行。如发包人与承包人无法对本合同专用条款约定的工程变更造价、不平衡报价调整、材料样板及品牌确定、变更或新增材料价格达成一致协议，发包人保留对涉及部分的工程及材料设备进行依法招标或另行委托的权利，承包人不得拒绝或要求调整任何单价及收费，招标文件另有约定除外。发包人有权对工程进度，工程质量进行监督检查，有权根据实际情况变更设计，处理工程建设中的协调配合与管理等问题。</w:t>
      </w:r>
    </w:p>
    <w:p w14:paraId="6EA676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 发包人代表</w:t>
      </w:r>
    </w:p>
    <w:p w14:paraId="1E8D0F5F">
      <w:pPr>
        <w:adjustRightInd w:val="0"/>
        <w:snapToGrid w:val="0"/>
        <w:spacing w:line="360" w:lineRule="auto"/>
        <w:ind w:firstLine="480" w:firstLineChars="200"/>
        <w:outlineLvl w:val="1"/>
        <w:rPr>
          <w:rFonts w:ascii="宋体" w:hAnsi="宋体" w:cs="宋体"/>
          <w:color w:val="auto"/>
          <w:sz w:val="24"/>
          <w:highlight w:val="none"/>
        </w:rPr>
      </w:pPr>
      <w:bookmarkStart w:id="44" w:name="_Toc26900"/>
      <w:r>
        <w:rPr>
          <w:rFonts w:hint="eastAsia" w:ascii="宋体" w:hAnsi="宋体" w:cs="宋体"/>
          <w:color w:val="auto"/>
          <w:sz w:val="24"/>
          <w:highlight w:val="none"/>
        </w:rPr>
        <w:t>发包人代表及其权力的限制</w:t>
      </w:r>
      <w:bookmarkEnd w:id="44"/>
    </w:p>
    <w:p w14:paraId="3CD1D666">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（1）发包人任命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为发包人代表，其通讯方式为：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传真号码：</w:t>
      </w:r>
      <w:r>
        <w:rPr>
          <w:rFonts w:hint="eastAsia" w:ascii="宋体" w:hAnsi="宋体" w:cs="宋体"/>
          <w:color w:val="auto"/>
          <w:sz w:val="24"/>
          <w:highlight w:val="none"/>
          <w:u w:val="single"/>
          <w:lang w:val="en-US" w:eastAsia="zh-CN"/>
        </w:rPr>
        <w:t xml:space="preserve">      </w:t>
      </w:r>
    </w:p>
    <w:p w14:paraId="3A4427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发包人代表权力做如下限制：发包人代表仅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14:paraId="5D23F4EA">
      <w:pPr>
        <w:adjustRightInd w:val="0"/>
        <w:snapToGrid w:val="0"/>
        <w:spacing w:line="360" w:lineRule="auto"/>
        <w:ind w:firstLine="482" w:firstLineChars="200"/>
        <w:outlineLvl w:val="1"/>
        <w:rPr>
          <w:rFonts w:ascii="宋体" w:hAnsi="宋体" w:cs="宋体"/>
          <w:b/>
          <w:color w:val="auto"/>
          <w:sz w:val="24"/>
          <w:highlight w:val="none"/>
        </w:rPr>
      </w:pPr>
      <w:bookmarkStart w:id="45" w:name="_Toc9737"/>
      <w:r>
        <w:rPr>
          <w:rFonts w:hint="eastAsia" w:ascii="宋体" w:hAnsi="宋体" w:cs="宋体"/>
          <w:b/>
          <w:color w:val="auto"/>
          <w:sz w:val="24"/>
          <w:highlight w:val="none"/>
        </w:rPr>
        <w:t>3. 监理人</w:t>
      </w:r>
      <w:bookmarkEnd w:id="45"/>
    </w:p>
    <w:p w14:paraId="2F3834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 监理工程师</w:t>
      </w:r>
    </w:p>
    <w:p w14:paraId="7AC6041F">
      <w:pPr>
        <w:adjustRightInd w:val="0"/>
        <w:snapToGrid w:val="0"/>
        <w:spacing w:line="360" w:lineRule="auto"/>
        <w:ind w:firstLine="480" w:firstLineChars="200"/>
        <w:outlineLvl w:val="1"/>
        <w:rPr>
          <w:rFonts w:ascii="宋体" w:hAnsi="宋体" w:cs="宋体"/>
          <w:color w:val="auto"/>
          <w:sz w:val="24"/>
          <w:highlight w:val="none"/>
        </w:rPr>
      </w:pPr>
      <w:bookmarkStart w:id="46" w:name="_Toc2308"/>
      <w:r>
        <w:rPr>
          <w:rFonts w:hint="eastAsia" w:ascii="宋体" w:hAnsi="宋体" w:cs="宋体"/>
          <w:color w:val="auto"/>
          <w:sz w:val="24"/>
          <w:highlight w:val="none"/>
        </w:rPr>
        <w:t>负责合同工程的监理人及任命的监理工程师</w:t>
      </w:r>
      <w:bookmarkEnd w:id="46"/>
    </w:p>
    <w:p w14:paraId="64AD5D5C">
      <w:pPr>
        <w:numPr>
          <w:ilvl w:val="0"/>
          <w:numId w:val="6"/>
        </w:num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监理人：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lang w:val="en-US" w:eastAsia="zh-CN"/>
        </w:rPr>
        <w:t xml:space="preserve">                </w:t>
      </w:r>
    </w:p>
    <w:p w14:paraId="1A7E8195">
      <w:pPr>
        <w:adjustRightInd w:val="0"/>
        <w:snapToGrid w:val="0"/>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（2）任命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为监理工程师，其通讯方式为：</w:t>
      </w:r>
      <w:r>
        <w:rPr>
          <w:rFonts w:hint="eastAsia" w:ascii="宋体" w:hAnsi="宋体" w:cs="宋体"/>
          <w:color w:val="auto"/>
          <w:sz w:val="24"/>
          <w:highlight w:val="none"/>
          <w:u w:val="single"/>
          <w:lang w:val="en-US" w:eastAsia="zh-CN"/>
        </w:rPr>
        <w:t xml:space="preserve">                </w:t>
      </w:r>
      <w:bookmarkStart w:id="47" w:name="_Toc32048"/>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传真号码：</w:t>
      </w:r>
      <w:r>
        <w:rPr>
          <w:rFonts w:hint="eastAsia" w:ascii="宋体" w:hAnsi="宋体" w:cs="宋体"/>
          <w:color w:val="auto"/>
          <w:sz w:val="24"/>
          <w:highlight w:val="none"/>
          <w:u w:val="single"/>
          <w:lang w:val="en-US" w:eastAsia="zh-CN"/>
        </w:rPr>
        <w:t xml:space="preserve">        </w:t>
      </w:r>
    </w:p>
    <w:p w14:paraId="28E4752A">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4. 承包人</w:t>
      </w:r>
      <w:bookmarkEnd w:id="47"/>
    </w:p>
    <w:p w14:paraId="217F141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14:paraId="3FC86F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22D80A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4.1.6.1做好施工场地地下管线和邻近建筑物、构筑物（包括文物保护建筑）、古树名木保护工作的约定：</w:t>
      </w:r>
    </w:p>
    <w:p w14:paraId="439D55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发包人承担不包含在招标内容中的额外保护费用。承包人应对上述保护措施进行监测，并应根据监测结果及时反馈信息指导施工，以确保上述受保护物件及作业人员、居民的安全。非因发包人原因，受保护物件发生损坏的，由承包人承担责任并负责赔偿。</w:t>
      </w:r>
    </w:p>
    <w:p w14:paraId="47B959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4.1.6.2 保证施工场地的清洁和做好交工前施工现场清理工作的约定：承包人须按发包人批准的施工组织设计进行施工现场布置、放置材料机械及其它设施，及时将施工垃圾、余泥运出场外，要求达到广州市文明施工样板工地标准，保证施工场地清洁符合环境卫生管理的有关规定。工程移交前5天内，承包人应对施工场地清理完毕。</w:t>
      </w:r>
    </w:p>
    <w:p w14:paraId="62A35C2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3A79CD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w:t>
      </w:r>
    </w:p>
    <w:p w14:paraId="724D65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1626EF4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4.1.10.1 施工用水、电管理要求：施工现场内要求单独安装施工用水、电表，水、电表总表与分表差额按各分表用量进行分摊，由承包人承担。承包人必须按水、电表实际用量乘施工用水电价（含水或电损耗及税金），每月15日前缴回水、电费给管理单位，否则由此造成的工期延误及连带责任由承包人负责。</w:t>
      </w:r>
    </w:p>
    <w:p w14:paraId="11A43BC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4.1.10.2 办理施工场地交通、环境保护、施工噪声、安全文明施工等手续的时间：严格遵守国家、省、市有关规定，负责办理施工有关手续（包括有关施工场地交通、环境保护、施工噪音、安全防护、文明施工、消防、爆破管理等），并在开工后2个月内以书面形式报备发包人。建立相应的规章制度和防护措施，并承担造成事故的责任和发生的费用。保证发包人免受因此造成的损失。如因此给发包人造成损失的，承包人按发包人的实际增加的合理费用给予赔偿。造成竣工日期延误，由承包人负责。</w:t>
      </w:r>
    </w:p>
    <w:p w14:paraId="4CB0AD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4.1.10.3 按合同有关规定，并符合市财政部门有关规定提交竣工验收申请报告和竣工结算文件。</w:t>
      </w:r>
    </w:p>
    <w:p w14:paraId="078733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4.1.10.4 承包人应做的其他工作及要求：</w:t>
      </w:r>
    </w:p>
    <w:p w14:paraId="7B05FD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（1）承包人应对施工图、技术资料认真地复核和检查，并应提出实质性地节约资金和缩短工期的建议和措施。</w:t>
      </w:r>
    </w:p>
    <w:p w14:paraId="0F8104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（2）合同所述的计划、报表的具体格式，先由承包人提出格式建议，经监理人和发包人调整后按统一格式执行。</w:t>
      </w:r>
    </w:p>
    <w:p w14:paraId="353248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承包人进场后，负责本施工场地安全和文明施工管理，根据工程需要提供和维修（白天或夜间施工使用的）照明、围栏设施，承担一切安全保卫义务；按照《关于完善广州市建设工程施工围蔽管理提升实施技术要求和标准图集的通知》（穗建质〔2016〕1085号）文件的要求对施工现场采取必要的围蔽设施，保持施工现场的文明、有序，同时与周边环境进行必要的隔离，保证施工人员以及过往行人、车辆的安全，其为履行此项义务而需要的各项材料、设备和临时设施，其费用已包含在中标价格中；依照《建筑施工安全检查标准》（JGJ59-2011）、《广东省建设厅建筑工程安全防护、文明施工措施费用管理办法》粤建管[2007]39号、《广州市建设工程现场文明施工管理办法》〔穗建质（2008）937号〕的有关规定进行施工，费用已包含在合同价款中。若承包人未履行上述义务，发包人有权另行委托第三方进行上述设施的施工，其费用由承包人负责，造成工程、财产、人身损害等，由承包人承担责任及因此所发生的一切费用。</w:t>
      </w:r>
    </w:p>
    <w:p w14:paraId="7F76FD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（4）工程施工过程需占用部分道路时，征得发包人同意后承包人派出人员对道路的交通进行维护疏导，所发生的费用由承包人负责。</w:t>
      </w:r>
    </w:p>
    <w:p w14:paraId="60AF17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干扰与协调：承包人应当清楚地预计到施工对外界可能产生的干扰，主动与外界进行协调，努力减少这些干扰对外界的影响。除必须发包人出面的情况外，承包人应负责处理和协调施工期间来自外界的各种干扰，充分运用自己对各方面的影响力，尽可能地将外界对工程的干扰减少到最低程度，但这种协调并不免除承包人按合同约定的各项责任与义务。</w:t>
      </w:r>
    </w:p>
    <w:p w14:paraId="4A35D9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（6）根据工程需要，承包人应采用计算机信息管理技术建立相应的信息技术网络，以便与发包人、各有关单位及各专业分包单位进行数据交换，提高工作效率。</w:t>
      </w:r>
    </w:p>
    <w:p w14:paraId="31760E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应按广州市城乡建设委员会的规定办理平安卡，应承担施工过程中承包人或其分包人所雇用的工人出现的伤亡事故或损失和对外的人身、财产损害赔偿责任；并对分包单位原因造成的工人意外事故或伤害承担连带责任。</w:t>
      </w:r>
    </w:p>
    <w:p w14:paraId="279CE7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w:t>
      </w:r>
    </w:p>
    <w:p w14:paraId="219FC8F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（9）承包人不服从发包人或发包人指定的施工协调管理单位协调，或配合不及时，造成工程进度延误或其他损失，由承包人承担由本单位原因造成的相关经济责任，并每次向发包人支付违约金人民币5万元。</w:t>
      </w:r>
    </w:p>
    <w:p w14:paraId="31653C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（10）承包人需严格按照发包人工程款支付管理工作指引申请用款。承包人必须接受发包人对拨付资金的定期监督检查工作，按发包人要求公开资金的用途及去向。</w:t>
      </w:r>
    </w:p>
    <w:p w14:paraId="6580F03D">
      <w:pPr>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11）承包人必须在本工程验收通过后40个日历天内，按广州市建设工程档案的要求提交完整的工程档案资料一式四套，经监理人审查确认合格后，移交给发包人或发包人指定的单位。承包人未按时提交工程档案资料，每逾期一天须支付违约金500元。</w:t>
      </w:r>
    </w:p>
    <w:p w14:paraId="386670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14:paraId="6CE78C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4.2.1履约担保的期限和退还：</w:t>
      </w:r>
    </w:p>
    <w:p w14:paraId="0CF6B2E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4.2.1.1履约担保的期限：从承包人向发包人提供履约担保之日起，至合同工程验收合格、承包人向发包人提交完整的结算资料后30天止。若承包人提供的履约保函在上述期限内到期，承包人应在履约保函到期之前将其续期，否则发包人有权停止支付工程款并要求承包人支付与履约保函同等金额的违约金，由此造成的工程延误和损失由承包人承担。</w:t>
      </w:r>
    </w:p>
    <w:p w14:paraId="1C3350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4.2.1.2履约担保的退还：承包人向发包人提供的履约保函，发包人在合同工程验收合格（取得验收合格文件）、工程已移交给发包人，且承包人向发包人提交完整的结算资料后30天内退还给承包人。</w:t>
      </w:r>
    </w:p>
    <w:p w14:paraId="77ADC51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4.2.3承包人提供履约担保的约定</w:t>
      </w:r>
    </w:p>
    <w:p w14:paraId="21FAF8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4.2.3.1履约担保的金额：承包人向发包人提供履约担保金额为中标合同总价（含暂列金额）的10%，即：（大写）</w:t>
      </w:r>
      <w:r>
        <w:rPr>
          <w:rFonts w:hint="eastAsia" w:ascii="宋体" w:hAnsi="宋体" w:cs="宋体"/>
          <w:bCs/>
          <w:color w:val="auto"/>
          <w:sz w:val="24"/>
          <w:highlight w:val="none"/>
          <w:u w:val="none"/>
        </w:rPr>
        <w:t>人民币</w:t>
      </w:r>
      <w:r>
        <w:rPr>
          <w:rFonts w:hint="eastAsia" w:ascii="宋体" w:hAnsi="宋体" w:cs="宋体"/>
          <w:bCs/>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元</w:t>
      </w:r>
      <w:r>
        <w:rPr>
          <w:rFonts w:hint="eastAsia" w:ascii="宋体" w:hAnsi="宋体" w:cs="宋体"/>
          <w:color w:val="auto"/>
          <w:sz w:val="24"/>
          <w:highlight w:val="none"/>
        </w:rPr>
        <w:t>），履约担保形式为：国内商业银行不可撤销的无条件履约保函。</w:t>
      </w:r>
    </w:p>
    <w:p w14:paraId="19201F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4.2.3.2提供履约担保的时间：承包人须在合同签订后15天内向发包人提交履约担保。</w:t>
      </w:r>
    </w:p>
    <w:p w14:paraId="71532D5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4.2.3.3出具履约保函的担保人：发包人接受的国内商业银行。</w:t>
      </w:r>
    </w:p>
    <w:p w14:paraId="780A08F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14:paraId="477CB3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 相关违约责任</w:t>
      </w:r>
    </w:p>
    <w:p w14:paraId="2E4DAFC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4.3.5.1发包人有权拒绝不具备实施分包工程能力、影响工程施工分包人进场，若由此造成工期延误的，责任由承包人承担。</w:t>
      </w:r>
    </w:p>
    <w:p w14:paraId="5D4961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4.3.5.2承包人在本项目中出现转包、非法分包行为或转让、出借企业资质证书或者以其他方式允许他人以本企业名义承揽本工程的，按照建设部第124号令《房屋建筑和市政基础设施工程施工分包管理办法》、《中华人民共和国建筑法》、《中华人民共和国招标投标法》和《建设工程质量管理条例》的规定处理，并且承包人应按转包、非法分包工程造价的10%向发包人支付违约金，发包人有权解除全部合同，因此造成工期延误和发包人损失的，承包人应赔偿发包人的全部实际损失。</w:t>
      </w:r>
    </w:p>
    <w:p w14:paraId="736691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4.4联合体组成成员各方关系以及设计施工一体化管理要求</w:t>
      </w:r>
    </w:p>
    <w:p w14:paraId="175C26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4.4.1.承包人</w:t>
      </w:r>
      <w:r>
        <w:rPr>
          <w:rFonts w:hint="eastAsia" w:ascii="宋体" w:hAnsi="宋体" w:cs="宋体"/>
          <w:color w:val="auto"/>
          <w:sz w:val="24"/>
          <w:highlight w:val="none"/>
          <w:lang w:eastAsia="zh-CN"/>
        </w:rPr>
        <w:t>如</w:t>
      </w:r>
      <w:r>
        <w:rPr>
          <w:rFonts w:hint="eastAsia" w:ascii="宋体" w:hAnsi="宋体" w:cs="宋体"/>
          <w:color w:val="auto"/>
          <w:sz w:val="24"/>
          <w:highlight w:val="none"/>
        </w:rPr>
        <w:t>组成联合体，其中（施工承包人）为联合体主办方，（设计承包人）为联合体成员。</w:t>
      </w:r>
    </w:p>
    <w:p w14:paraId="42BB84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4.4.2.联合体主办方负责设计、施工总协调工作。</w:t>
      </w:r>
    </w:p>
    <w:p w14:paraId="191C90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4.4.3.联合体主办方（施工承包人）应协调设计承包人按本合同规定的时间、内容及数量向发包人提供本工程的、已通过主管部门审批的施工图纸。</w:t>
      </w:r>
    </w:p>
    <w:p w14:paraId="21C519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4.4.4.联合体主办方负责工程所有档案资料的整理归档及竣工结算编制工作。</w:t>
      </w:r>
    </w:p>
    <w:p w14:paraId="61D2EAC7">
      <w:pPr>
        <w:pStyle w:val="2"/>
        <w:adjustRightInd w:val="0"/>
        <w:snapToGrid w:val="0"/>
        <w:spacing w:line="360" w:lineRule="auto"/>
        <w:ind w:firstLine="480" w:firstLineChars="200"/>
        <w:outlineLvl w:val="9"/>
        <w:rPr>
          <w:rFonts w:hint="eastAsia" w:ascii="宋体" w:hAnsi="宋体" w:eastAsia="宋体" w:cs="宋体"/>
          <w:color w:val="auto"/>
          <w:spacing w:val="0"/>
          <w:kern w:val="2"/>
          <w:sz w:val="24"/>
          <w:szCs w:val="24"/>
          <w:highlight w:val="none"/>
        </w:rPr>
      </w:pPr>
      <w:r>
        <w:rPr>
          <w:rFonts w:hint="eastAsia" w:ascii="宋体" w:hAnsi="宋体" w:cs="宋体"/>
          <w:color w:val="auto"/>
          <w:sz w:val="24"/>
          <w:szCs w:val="24"/>
          <w:highlight w:val="none"/>
          <w:lang w:val="en-US" w:eastAsia="zh-CN"/>
        </w:rPr>
        <w:t>4.4.5</w:t>
      </w:r>
      <w:r>
        <w:rPr>
          <w:rFonts w:hint="eastAsia" w:ascii="宋体" w:hAnsi="宋体" w:eastAsia="宋体" w:cs="宋体"/>
          <w:color w:val="auto"/>
          <w:spacing w:val="0"/>
          <w:kern w:val="2"/>
          <w:sz w:val="24"/>
          <w:szCs w:val="24"/>
          <w:highlight w:val="none"/>
        </w:rPr>
        <w:t>联合体各成员单位应收的款项，统一由联合体牵头单位</w:t>
      </w:r>
      <w:r>
        <w:rPr>
          <w:rFonts w:hint="eastAsia" w:ascii="宋体" w:hAnsi="宋体" w:eastAsia="宋体" w:cs="宋体"/>
          <w:color w:val="auto"/>
          <w:spacing w:val="0"/>
          <w:kern w:val="2"/>
          <w:sz w:val="24"/>
          <w:szCs w:val="24"/>
          <w:highlight w:val="none"/>
          <w:lang w:eastAsia="zh-CN"/>
        </w:rPr>
        <w:t>（主办方）</w:t>
      </w:r>
      <w:r>
        <w:rPr>
          <w:rFonts w:hint="eastAsia" w:ascii="宋体" w:hAnsi="宋体" w:eastAsia="宋体" w:cs="宋体"/>
          <w:color w:val="auto"/>
          <w:spacing w:val="0"/>
          <w:kern w:val="2"/>
          <w:sz w:val="24"/>
          <w:szCs w:val="24"/>
          <w:highlight w:val="none"/>
        </w:rPr>
        <w:t>负责向甲方提交请款资料；请款经监理人及甲方审核后，并由收款单位向甲方开具收款发票</w:t>
      </w:r>
      <w:r>
        <w:rPr>
          <w:rFonts w:hint="eastAsia" w:ascii="宋体" w:hAnsi="宋体" w:eastAsia="宋体" w:cs="宋体"/>
          <w:color w:val="auto"/>
          <w:spacing w:val="0"/>
          <w:kern w:val="2"/>
          <w:sz w:val="24"/>
          <w:szCs w:val="24"/>
          <w:highlight w:val="none"/>
          <w:lang w:eastAsia="zh-CN"/>
        </w:rPr>
        <w:t>，甲方将</w:t>
      </w:r>
      <w:r>
        <w:rPr>
          <w:rFonts w:hint="eastAsia" w:ascii="宋体" w:hAnsi="宋体" w:eastAsia="宋体" w:cs="宋体"/>
          <w:color w:val="auto"/>
          <w:spacing w:val="0"/>
          <w:kern w:val="2"/>
          <w:sz w:val="24"/>
          <w:szCs w:val="24"/>
          <w:highlight w:val="none"/>
        </w:rPr>
        <w:t>款项分别支付至联合体各成员单位账户。</w:t>
      </w:r>
    </w:p>
    <w:p w14:paraId="4AC47D50">
      <w:pPr>
        <w:adjustRightInd w:val="0"/>
        <w:snapToGrid w:val="0"/>
        <w:spacing w:line="360" w:lineRule="auto"/>
        <w:ind w:firstLine="480" w:firstLineChars="200"/>
        <w:rPr>
          <w:rFonts w:hint="default" w:ascii="Times New Roman" w:hAnsi="Times New Roman" w:eastAsia="宋体" w:cs="Times New Roman"/>
          <w:color w:val="auto"/>
          <w:sz w:val="21"/>
          <w:highlight w:val="none"/>
          <w:lang w:val="en-US" w:eastAsia="zh-CN"/>
        </w:rPr>
      </w:pPr>
      <w:r>
        <w:rPr>
          <w:rFonts w:hint="eastAsia" w:ascii="宋体" w:hAnsi="宋体" w:cs="宋体"/>
          <w:color w:val="auto"/>
          <w:spacing w:val="0"/>
          <w:kern w:val="2"/>
          <w:sz w:val="24"/>
          <w:szCs w:val="24"/>
          <w:highlight w:val="none"/>
          <w:lang w:val="en-US" w:eastAsia="zh-CN"/>
        </w:rPr>
        <w:t>4.4.6</w:t>
      </w:r>
    </w:p>
    <w:p w14:paraId="5063ABF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 承包人项目经理</w:t>
      </w:r>
    </w:p>
    <w:p w14:paraId="47CD72E6">
      <w:pPr>
        <w:adjustRightInd w:val="0"/>
        <w:snapToGrid w:val="0"/>
        <w:spacing w:line="360" w:lineRule="auto"/>
        <w:ind w:firstLine="480" w:firstLineChars="200"/>
        <w:rPr>
          <w:rFonts w:hint="default" w:ascii="宋体" w:hAnsi="宋体" w:cs="宋体"/>
          <w:color w:val="auto"/>
          <w:sz w:val="24"/>
          <w:highlight w:val="none"/>
          <w:u w:val="single"/>
        </w:rPr>
      </w:pPr>
      <w:r>
        <w:rPr>
          <w:rFonts w:hint="eastAsia" w:ascii="宋体" w:hAnsi="宋体" w:cs="宋体"/>
          <w:color w:val="auto"/>
          <w:sz w:val="24"/>
          <w:highlight w:val="none"/>
        </w:rPr>
        <w:t>4.5.5 承包人任命</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为承包人项目经理，其通讯方式为：</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通讯地址：</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355CC16C">
      <w:pPr>
        <w:adjustRightInd w:val="0"/>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传真号码：</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7AC033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14:paraId="6E7542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承包人必须保证所有项目管理人员全职现场办公，不得兼职或擅自离场。如因特殊情况须短暂离开的，必须妥善安排工地现场的工作交接，指定可以接替工作并能承担责任的临时负责人，并按以下规定执行：离场1天内，须将工作交接情况报告现场监理工程师；离场2至3天，须将工作交接情况报告总监理工程师；离场3天以上，须将工作交接情况报告发包人。每月每人累计离场天数不得超过4天，否则应向发包人支付违约金人民币3000元/人次。承包人擅自更换项目经理或主要施工管理人员，除必须限期纠正外，每人次向发包人支付违约金人民币10万元。</w:t>
      </w:r>
    </w:p>
    <w:p w14:paraId="67C4E4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14:paraId="07B056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4.8.7 承包人因拖欠工人工资或材料设备供应商材料款而被反映到发包人处，需发包人出面协调，经发包人调查了解属实且确定为承包人责任的，每发生1次，承包人须承担一般违约责任1次；因上述的拖欠，造成较大社会影响，或确属承包人责任且经发包人出面协调3次以上承包人仍拒不执行的，承包人应承担严重违约责任一次，同时发包人还有权将其拖欠的金额从应付工程款中直接支付给被拖欠方。承包人拖欠其雇员工资而造成群体性示威、游行等一切责任，由承包人承担；对发包人造成损失或导致工期延误的，应赔偿发包人的损失，工期不予顺延并承担严重违约责任一次。</w:t>
      </w:r>
    </w:p>
    <w:p w14:paraId="15D0AA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14:paraId="7B78CB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14:paraId="1E22CEE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签订后5天内，承包人应将设计成果及本工程的施工组织方案同步提交报发包人审核，并同步编制开工报告和材料、设备进场计划报送发包人及监理人审批。设计成果经发包人确认或组织图纸会审过程中，承包人应同步进行材料、设备进场，确保开工报告经批准即按发包人、监理人批准的计划组织施工。</w:t>
      </w:r>
    </w:p>
    <w:p w14:paraId="44CE9D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（2）因发包人原因设计工作延期的，设计工作时间顺延，发包人不予其它补偿且不承担其它违约责任。</w:t>
      </w:r>
    </w:p>
    <w:p w14:paraId="12D3516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（3）承包人须配合小区其他工程实际进度施工，配合项目整体竣工验收。</w:t>
      </w:r>
    </w:p>
    <w:p w14:paraId="4A9F6B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（4）因发包人原因导致工程延期的，施工工期顺延，发包人不予其它补偿且不承担其它违约责任。</w:t>
      </w:r>
    </w:p>
    <w:p w14:paraId="1F0D4E52">
      <w:pPr>
        <w:adjustRightInd w:val="0"/>
        <w:snapToGrid w:val="0"/>
        <w:spacing w:line="360" w:lineRule="auto"/>
        <w:ind w:firstLine="482" w:firstLineChars="200"/>
        <w:outlineLvl w:val="1"/>
        <w:rPr>
          <w:rFonts w:ascii="宋体" w:hAnsi="宋体" w:cs="宋体"/>
          <w:b/>
          <w:color w:val="auto"/>
          <w:sz w:val="24"/>
          <w:highlight w:val="none"/>
        </w:rPr>
      </w:pPr>
      <w:bookmarkStart w:id="48" w:name="_Toc18752"/>
      <w:r>
        <w:rPr>
          <w:rFonts w:hint="eastAsia" w:ascii="宋体" w:hAnsi="宋体" w:cs="宋体"/>
          <w:b/>
          <w:color w:val="auto"/>
          <w:sz w:val="24"/>
          <w:highlight w:val="none"/>
        </w:rPr>
        <w:t>5. 设计</w:t>
      </w:r>
      <w:bookmarkEnd w:id="48"/>
    </w:p>
    <w:p w14:paraId="1D37AC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14:paraId="1476E0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14:paraId="349316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规定和合同约定的技术规范、标准进行设计，确保设计图纸符合现行规范的要求。按本合同规定的内容、时间及份数向发包人交付设计文件（出现有关规定交付设计文件顺延的情况除外），并对提交的设计文件的质量负责。</w:t>
      </w:r>
    </w:p>
    <w:p w14:paraId="553C86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5.1.3 设计合理使用年限为现行国家有关规定、规范规定的年限。</w:t>
      </w:r>
    </w:p>
    <w:p w14:paraId="588897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5.1.4 承包人应负责对发包人提供的设计资料进行审查，并及时告知发包人是否满足设计要求，负责该合同项目的设计联络工作。</w:t>
      </w:r>
    </w:p>
    <w:p w14:paraId="4CBFAF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5.1.5 承包人应对设计文件出现的遗漏或错误负责修改或补充。由于承包人设计错误造成工程质量事故损失，承包人除负责采取补救措施外，应免收受损失部分的设计费，并根据损失程度向发包人支付赔偿金，损失程度及造价由监理人或经具有相应资质的第三方评估机构评估为准。 </w:t>
      </w:r>
    </w:p>
    <w:p w14:paraId="437DC2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5.1.6 承包人保证对其提交的设计图纸等工作成果享有完整的知识产权。承包人违反本条约定造成发包人损失的，发包人有权向承包人追偿。</w:t>
      </w:r>
    </w:p>
    <w:p w14:paraId="035E1DD4">
      <w:pPr>
        <w:adjustRightInd w:val="0"/>
        <w:snapToGrid w:val="0"/>
        <w:spacing w:line="360" w:lineRule="auto"/>
        <w:ind w:firstLine="482" w:firstLineChars="200"/>
        <w:outlineLvl w:val="1"/>
        <w:rPr>
          <w:rFonts w:ascii="宋体" w:hAnsi="宋体" w:cs="宋体"/>
          <w:b/>
          <w:color w:val="auto"/>
          <w:sz w:val="24"/>
          <w:highlight w:val="none"/>
        </w:rPr>
      </w:pPr>
      <w:bookmarkStart w:id="49" w:name="_Toc11146"/>
      <w:r>
        <w:rPr>
          <w:rFonts w:hint="eastAsia" w:ascii="宋体" w:hAnsi="宋体" w:cs="宋体"/>
          <w:b/>
          <w:color w:val="auto"/>
          <w:sz w:val="24"/>
          <w:highlight w:val="none"/>
        </w:rPr>
        <w:t>6. 材料和工程设备</w:t>
      </w:r>
      <w:bookmarkEnd w:id="49"/>
    </w:p>
    <w:p w14:paraId="5565BE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14:paraId="122810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6.1.4承包人供货要求：本工程使用的设备、主要材料，必须符合设计及相关规范要求。</w:t>
      </w:r>
    </w:p>
    <w:p w14:paraId="772161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订货前，承包人应提供与发包人预算审核时确定的品牌、品质一致的材料、设备的合格证书及试验报告及材料样板，经发包人及工程监理人确认后使用，承包人承诺在同等条件下优先选用预拌混凝土绿色生产达标企业生产的混凝土。本项目主要材料设备品牌执行附件</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《主要材料设备品牌推荐表（参照或相当于）》。</w:t>
      </w:r>
    </w:p>
    <w:p w14:paraId="166B711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承包人拒不提交上述材料、设备的合格证书及试验报告及材料样板，或提交的样板仍不能通过工程监理人及发包人确认，发包人有权自行采购相关材料设备，所需款项在工程款中扣除，承包人不得要求任何费用调整。由此造成的工期延误、费用增加等一切损失均由承包人承担。</w:t>
      </w:r>
    </w:p>
    <w:p w14:paraId="183CEF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（3）发包人对经确认的材料样板进行封板，如发生实际施工材料与封板材料不符，发包人有权拒用，并由承包人承担损失。</w:t>
      </w:r>
    </w:p>
    <w:p w14:paraId="556F357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（4）承包人采购选用的所有材料设备必须符合相关规定，确保不因此影响工程验收。</w:t>
      </w:r>
    </w:p>
    <w:p w14:paraId="3EFBAA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6.1.5 相关违约责任</w:t>
      </w:r>
    </w:p>
    <w:p w14:paraId="1CD33C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按本合同规定的程序申报拟选用的材料设备，未经监理工程师和发包人批准擅自组织材料进场，或未经监理工程师和发包人批准擅自使用推荐品牌库以外的材料，承包人应就每批次擅自组织进场或使用的材料设备承担严重违约责任一次，且发包人有权拒绝使用该批次材料设备，由此造成的一切损失由承包人承担。</w:t>
      </w:r>
    </w:p>
    <w:p w14:paraId="40E19E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14:paraId="68CAD6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223BB6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14:paraId="31E1027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发包人保留对本工程主要材料采用甲招乙供（发包人另行招标，承包人按发包人招标确定的品牌、样板采购供应）的方式供应材料，结算材料价格按发包人另行招标确定的价格计算，承包人不得要求增加任何采购、管理、仓储、搬运等费用。</w:t>
      </w:r>
    </w:p>
    <w:p w14:paraId="09257E13">
      <w:pPr>
        <w:adjustRightInd w:val="0"/>
        <w:snapToGrid w:val="0"/>
        <w:spacing w:line="360" w:lineRule="auto"/>
        <w:ind w:firstLine="482" w:firstLineChars="200"/>
        <w:outlineLvl w:val="1"/>
        <w:rPr>
          <w:rFonts w:ascii="宋体" w:hAnsi="宋体" w:cs="宋体"/>
          <w:b/>
          <w:color w:val="auto"/>
          <w:sz w:val="24"/>
          <w:highlight w:val="none"/>
        </w:rPr>
      </w:pPr>
      <w:bookmarkStart w:id="50" w:name="_Toc12464"/>
      <w:r>
        <w:rPr>
          <w:rFonts w:hint="eastAsia" w:ascii="宋体" w:hAnsi="宋体" w:cs="宋体"/>
          <w:b/>
          <w:color w:val="auto"/>
          <w:sz w:val="24"/>
          <w:highlight w:val="none"/>
        </w:rPr>
        <w:t>7.  施工设备和临时设施</w:t>
      </w:r>
      <w:bookmarkEnd w:id="50"/>
    </w:p>
    <w:p w14:paraId="6CE5F6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14:paraId="11D37F5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工程进度计划的要求，及时配置施工设备和修建临时设施并自行承担修建临时设施的费用。如红线范围内临时用地不能满足施工需要，发包人可协调红线外场地给承包人使用，因此所增加的费用（包括但不限于红线外的场地租赁费、使用费、红线内外临时设施搭拆、迁移、恢复费用以及所占用红线范围外场地设施、地下管网的保护和修复等费用），均包含在中标合同价中的合价包干措施项目费中。如发包人未能协调，则由承包人自行解决，费用均包含在中标合同价中合价包干的措施项目费中。</w:t>
      </w:r>
    </w:p>
    <w:p w14:paraId="2844E9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14:paraId="5CDFDCA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3E0FF765">
      <w:pPr>
        <w:adjustRightInd w:val="0"/>
        <w:snapToGrid w:val="0"/>
        <w:spacing w:line="360" w:lineRule="auto"/>
        <w:ind w:firstLine="482" w:firstLineChars="200"/>
        <w:outlineLvl w:val="1"/>
        <w:rPr>
          <w:rFonts w:ascii="宋体" w:hAnsi="宋体" w:cs="宋体"/>
          <w:b/>
          <w:color w:val="auto"/>
          <w:sz w:val="24"/>
          <w:highlight w:val="none"/>
        </w:rPr>
      </w:pPr>
      <w:bookmarkStart w:id="51" w:name="_Toc24286"/>
      <w:r>
        <w:rPr>
          <w:rFonts w:hint="eastAsia" w:ascii="宋体" w:hAnsi="宋体" w:cs="宋体"/>
          <w:b/>
          <w:color w:val="auto"/>
          <w:sz w:val="24"/>
          <w:highlight w:val="none"/>
        </w:rPr>
        <w:t>8.  交通运输</w:t>
      </w:r>
      <w:bookmarkEnd w:id="51"/>
    </w:p>
    <w:p w14:paraId="641494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8.1 道路通行权和场外设施（A） </w:t>
      </w:r>
    </w:p>
    <w:p w14:paraId="70368C8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62FCDB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14:paraId="2B6F90F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本合同签订时尚未完成的出入施工场地的专用和临时道路的通行权，以及为实施合同工程所需修建场外设施的权利的手续，发包人予以协助。除政府部门规定须由发包人支付的费用由发包人据实支付外，其它费用已包含在承包人的投标报价中。</w:t>
      </w:r>
    </w:p>
    <w:p w14:paraId="02F7D433">
      <w:pPr>
        <w:adjustRightInd w:val="0"/>
        <w:snapToGrid w:val="0"/>
        <w:spacing w:line="360" w:lineRule="auto"/>
        <w:ind w:firstLine="482" w:firstLineChars="200"/>
        <w:outlineLvl w:val="1"/>
        <w:rPr>
          <w:rFonts w:ascii="宋体" w:hAnsi="宋体" w:cs="宋体"/>
          <w:b/>
          <w:color w:val="auto"/>
          <w:sz w:val="24"/>
          <w:highlight w:val="none"/>
        </w:rPr>
      </w:pPr>
      <w:bookmarkStart w:id="52" w:name="_Toc5726"/>
      <w:r>
        <w:rPr>
          <w:rFonts w:hint="eastAsia" w:ascii="宋体" w:hAnsi="宋体" w:cs="宋体"/>
          <w:b/>
          <w:color w:val="auto"/>
          <w:sz w:val="24"/>
          <w:highlight w:val="none"/>
        </w:rPr>
        <w:t>9.  测量放线</w:t>
      </w:r>
      <w:bookmarkEnd w:id="52"/>
    </w:p>
    <w:p w14:paraId="365EA71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14:paraId="5FB4700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9.1.3承包人提交施工控制网资料的时间：开工之前，承包人应该核实图纸所示的所有尺寸和地面标高。当实际尺寸或标高与图纸所示出现任何不一致时，应立即提交给发包人澄清。发包人对任何此类不一致的澄清指令视为最终的决定。</w:t>
      </w:r>
    </w:p>
    <w:p w14:paraId="765CF40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 测量放线误差</w:t>
      </w:r>
    </w:p>
    <w:p w14:paraId="76222AE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测量放线误差的约定：按国家、行业和广东省现行标准执行。</w:t>
      </w:r>
    </w:p>
    <w:p w14:paraId="655463A6">
      <w:pPr>
        <w:adjustRightInd w:val="0"/>
        <w:snapToGrid w:val="0"/>
        <w:spacing w:line="360" w:lineRule="auto"/>
        <w:ind w:firstLine="482" w:firstLineChars="200"/>
        <w:outlineLvl w:val="1"/>
        <w:rPr>
          <w:rFonts w:ascii="宋体" w:hAnsi="宋体" w:cs="宋体"/>
          <w:b/>
          <w:color w:val="auto"/>
          <w:sz w:val="24"/>
          <w:highlight w:val="none"/>
        </w:rPr>
      </w:pPr>
      <w:bookmarkStart w:id="53" w:name="_Toc30960"/>
      <w:r>
        <w:rPr>
          <w:rFonts w:hint="eastAsia" w:ascii="宋体" w:hAnsi="宋体" w:cs="宋体"/>
          <w:b/>
          <w:color w:val="auto"/>
          <w:sz w:val="24"/>
          <w:highlight w:val="none"/>
        </w:rPr>
        <w:t>10. 安全、治安保卫和环境保护</w:t>
      </w:r>
      <w:bookmarkEnd w:id="53"/>
    </w:p>
    <w:p w14:paraId="324967A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14:paraId="4E49135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10.2.10 补充条款：安全事故</w:t>
      </w:r>
    </w:p>
    <w:p w14:paraId="2AF85D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违约赔偿：非因发包人的原因造成安全事故，承包人必须承担全部的民事赔偿责任。如因此被行政主管部门通报批评或被新闻媒体曝光造成不良影响，除按国家及行业规定由上级主管部门实施处罚外，承包人应根据政府主管部门认定的事故等级，承担相应的违约赔偿责任。</w:t>
      </w:r>
    </w:p>
    <w:p w14:paraId="6CDD2D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具体规定为：</w:t>
      </w:r>
    </w:p>
    <w:p w14:paraId="538C8D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①发生特别重大事故，承包人除赔偿因此而给发包人造成的全部损失外，还应按合同总价4%向发包人支付违约金，违约金数额不得低于40万元；</w:t>
      </w:r>
    </w:p>
    <w:p w14:paraId="655497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②发生重大事故，承包人除赔偿因此而给发包人造成的全部损失外，还应按合同总价3%向发包人支付违约金，违约金数额不得低于20万元；</w:t>
      </w:r>
    </w:p>
    <w:p w14:paraId="335DF6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③发生较大事故，承包人除赔偿因此而给发包人造成的全部损失外，还应按合同总价2%向发包人支付违约金，违约金数额不得低于10万元；</w:t>
      </w:r>
    </w:p>
    <w:p w14:paraId="77D54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④发生一般事故，承包人除赔偿因此而给发包人造成的全部损失外，还应按合同总价1%向发包人支付违约金，违约金数额不得低于5万元。</w:t>
      </w:r>
    </w:p>
    <w:p w14:paraId="2E7158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（2）发生上述重大事故，视情况严重程度，发包人有权按合同专用条款规定部分或全部解除合同。</w:t>
      </w:r>
    </w:p>
    <w:p w14:paraId="5DBFA0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10.2.11补充条款：安全检查</w:t>
      </w:r>
    </w:p>
    <w:p w14:paraId="1F38F9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（1）在政府行政主管部门组织的安全检查中，承包人被发现存在严重安全隐患并被通报批评；或存在安全隐患被新闻媒体曝光的，承包人必须承担一般违约责任1次。</w:t>
      </w:r>
    </w:p>
    <w:p w14:paraId="495F32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在发包人、监理人进行的日常质量安全检查中，被发现存在安全隐患的，承包人应限期改正。若同样问题被发现2次或累计类似问题被发现3次，承包人必须支付违约金人民币10000元；此类问题的认定，以发包人确认的总监理工程师书面通知、指令、发包人督查记录及工程通报和会议纪要为准。</w:t>
      </w:r>
    </w:p>
    <w:p w14:paraId="09C4479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10.2.12 补充条款：文明施工措施</w:t>
      </w:r>
    </w:p>
    <w:p w14:paraId="1BD371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及发包人将对承包人文明施工措施进行对照检查，若经检查发现承包人因自身原因未能按计划落实，承包人必须及时纠正，如仍不能及时纠正，承包人每次支付违约金人民币1000元，以此类推直至纠正。若承包人违反文明施工规定，危害到工地作业人员和周围居民的身体健康、人身安全或导致消防等安全隐患，承包人除必须立即整改外，还必须承担一般违约责任1次；被连续发现3次以上，承包人必须承担严重违约责任1次。</w:t>
      </w:r>
    </w:p>
    <w:p w14:paraId="1D2B25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（2）在政府行政主管部门组织的文明施工检查中，承包人被发现存在严重问题，被通报批评，或存在严重问题被新闻媒体曝光的，承包人每次支付违约金人民币100000元。</w:t>
      </w:r>
    </w:p>
    <w:p w14:paraId="4B6578E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在施工过程中应自觉保持施工场地周围环境卫生。承包人在施工过程中因其自身原因违反文明施工有关规定被投诉的，承包人应立即整改，还应支付违约金人民币1000元/次。如故意拖延或同样问题被连续投诉两次，承包人在原每次违约金基础上再支付违约金人民币5000元。</w:t>
      </w:r>
    </w:p>
    <w:p w14:paraId="4CE614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（4）安全文明施工要求：按协议书第4.3条约定。</w:t>
      </w:r>
    </w:p>
    <w:p w14:paraId="04D1F14A">
      <w:pPr>
        <w:pStyle w:val="2"/>
        <w:spacing w:line="360" w:lineRule="auto"/>
        <w:ind w:firstLine="480"/>
        <w:rPr>
          <w:rFonts w:hint="eastAsia" w:ascii="宋体" w:hAnsi="宋体" w:cs="宋体"/>
          <w:bCs w:val="0"/>
          <w:snapToGrid/>
          <w:color w:val="auto"/>
          <w:kern w:val="2"/>
          <w:sz w:val="24"/>
          <w:szCs w:val="24"/>
          <w:highlight w:val="none"/>
        </w:rPr>
      </w:pPr>
      <w:r>
        <w:rPr>
          <w:rFonts w:hint="eastAsia" w:hAnsi="宋体" w:cs="宋体"/>
          <w:color w:val="auto"/>
          <w:sz w:val="24"/>
          <w:szCs w:val="24"/>
          <w:highlight w:val="none"/>
          <w:lang w:val="en-US" w:eastAsia="zh-CN"/>
        </w:rPr>
        <w:t>10.2.13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补充条款：</w:t>
      </w:r>
      <w:r>
        <w:rPr>
          <w:rFonts w:hint="eastAsia" w:ascii="宋体" w:hAnsi="宋体" w:cs="宋体"/>
          <w:bCs w:val="0"/>
          <w:snapToGrid/>
          <w:color w:val="auto"/>
          <w:kern w:val="2"/>
          <w:sz w:val="24"/>
          <w:szCs w:val="24"/>
          <w:highlight w:val="none"/>
        </w:rPr>
        <w:t>发包人保留权利</w:t>
      </w:r>
    </w:p>
    <w:p w14:paraId="295B7129">
      <w:pPr>
        <w:pStyle w:val="7"/>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val="0"/>
          <w:snapToGrid/>
          <w:color w:val="auto"/>
          <w:kern w:val="2"/>
          <w:sz w:val="24"/>
          <w:szCs w:val="24"/>
          <w:highlight w:val="none"/>
        </w:rPr>
        <w:t>为全面提高工程建设管理水平，从监理单位下发开工令起至合同履约完毕，发包人有权按照《广州安居集团有限公司施工合同履约评价实施办法（试行）》（附件</w:t>
      </w:r>
      <w:r>
        <w:rPr>
          <w:rFonts w:hint="eastAsia" w:ascii="宋体" w:hAnsi="宋体" w:eastAsia="宋体" w:cs="宋体"/>
          <w:bCs w:val="0"/>
          <w:snapToGrid/>
          <w:color w:val="auto"/>
          <w:kern w:val="2"/>
          <w:sz w:val="24"/>
          <w:szCs w:val="24"/>
          <w:highlight w:val="none"/>
          <w:lang w:eastAsia="zh-CN"/>
        </w:rPr>
        <w:t>8</w:t>
      </w:r>
      <w:r>
        <w:rPr>
          <w:rFonts w:hint="eastAsia" w:ascii="宋体" w:hAnsi="宋体" w:eastAsia="宋体" w:cs="宋体"/>
          <w:bCs w:val="0"/>
          <w:snapToGrid/>
          <w:color w:val="auto"/>
          <w:kern w:val="2"/>
          <w:sz w:val="24"/>
          <w:szCs w:val="24"/>
          <w:highlight w:val="none"/>
        </w:rPr>
        <w:t>）对承包人进行施工合同履约评价。如合同履约期间，发包人制定的履约评价制度或考评办法更新的，则按新制度或办法执行。</w:t>
      </w:r>
    </w:p>
    <w:p w14:paraId="596A6C5E">
      <w:pPr>
        <w:adjustRightInd w:val="0"/>
        <w:snapToGrid w:val="0"/>
        <w:spacing w:line="360" w:lineRule="auto"/>
        <w:ind w:firstLine="482" w:firstLineChars="200"/>
        <w:outlineLvl w:val="1"/>
        <w:rPr>
          <w:rFonts w:ascii="宋体" w:hAnsi="宋体" w:cs="宋体"/>
          <w:b/>
          <w:color w:val="auto"/>
          <w:sz w:val="24"/>
          <w:highlight w:val="none"/>
        </w:rPr>
      </w:pPr>
      <w:bookmarkStart w:id="54" w:name="_Toc2165"/>
      <w:r>
        <w:rPr>
          <w:rFonts w:hint="eastAsia" w:ascii="宋体" w:hAnsi="宋体" w:cs="宋体"/>
          <w:b/>
          <w:color w:val="auto"/>
          <w:sz w:val="24"/>
          <w:highlight w:val="none"/>
        </w:rPr>
        <w:t>11.  开始工作和竣工</w:t>
      </w:r>
      <w:bookmarkEnd w:id="54"/>
    </w:p>
    <w:p w14:paraId="5823E2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14:paraId="436C14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本项目取得施工许可后，监理工程师在报发包人批准后向承包人发出开工令；承包人应在接到开工令后的</w:t>
      </w:r>
      <w:r>
        <w:rPr>
          <w:rFonts w:hint="eastAsia" w:ascii="宋体" w:hAnsi="宋体" w:cs="宋体"/>
          <w:color w:val="auto"/>
          <w:sz w:val="24"/>
          <w:highlight w:val="none"/>
          <w:u w:val="single"/>
        </w:rPr>
        <w:t>7天</w:t>
      </w:r>
      <w:r>
        <w:rPr>
          <w:rFonts w:hint="eastAsia" w:ascii="宋体" w:hAnsi="宋体" w:cs="宋体"/>
          <w:color w:val="auto"/>
          <w:sz w:val="24"/>
          <w:highlight w:val="none"/>
        </w:rPr>
        <w:t>内开工，并一直保持合同工程连续均衡施工，直至其被改变为止。</w:t>
      </w:r>
    </w:p>
    <w:p w14:paraId="04362B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14:paraId="1344344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11.3.1发包人根据工程实施情况，有权对本工程工期（包括关键节点工期和竣工日期）进行适当调整。</w:t>
      </w:r>
    </w:p>
    <w:p w14:paraId="22DE81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11.3.2因发包人原因导致工期延期的，工期顺延，发包人不予其它补偿且不承担其它违约责任。</w:t>
      </w:r>
    </w:p>
    <w:p w14:paraId="4B92B2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11.5承包人引起的工期延误</w:t>
      </w:r>
    </w:p>
    <w:p w14:paraId="7A343C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承包人违反约定延期开工的，每迟延开工1天，应向发包人支付合同总价1‰的违约金；迟延开工超过30天的，发包人有权解除合同，将本工程另行发包，并不免除承包人的违约赔偿责任。</w:t>
      </w:r>
    </w:p>
    <w:p w14:paraId="322466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由于承包人原因导致设计文件交付时间延误，每逾期一天，按合同设计费的0.3%向发包人支付违约金；设计误期违约金的最高限额为合同设计费的30%。</w:t>
      </w:r>
    </w:p>
    <w:p w14:paraId="0A4EE38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由于承包人原因导致工程施工工期延误，每逾期一天，按合同工程费（包含暂列金额）的0.1%向发包人支付违约金；施工工期误期违约金的最高限额为合同工程费（包含暂列金额）的20%。</w:t>
      </w:r>
    </w:p>
    <w:p w14:paraId="019FFAF9">
      <w:pPr>
        <w:adjustRightInd w:val="0"/>
        <w:snapToGrid w:val="0"/>
        <w:spacing w:line="360" w:lineRule="auto"/>
        <w:ind w:firstLine="482" w:firstLineChars="200"/>
        <w:outlineLvl w:val="1"/>
        <w:rPr>
          <w:rFonts w:ascii="宋体" w:hAnsi="宋体" w:cs="宋体"/>
          <w:b/>
          <w:color w:val="auto"/>
          <w:sz w:val="24"/>
          <w:highlight w:val="none"/>
        </w:rPr>
      </w:pPr>
      <w:bookmarkStart w:id="55" w:name="_Toc31975"/>
      <w:r>
        <w:rPr>
          <w:rFonts w:hint="eastAsia" w:ascii="宋体" w:hAnsi="宋体" w:cs="宋体"/>
          <w:b/>
          <w:color w:val="auto"/>
          <w:sz w:val="24"/>
          <w:highlight w:val="none"/>
        </w:rPr>
        <w:t>12.  暂停工作</w:t>
      </w:r>
      <w:bookmarkEnd w:id="55"/>
    </w:p>
    <w:p w14:paraId="6C262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14:paraId="6DD127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12.2.3承包人原因造成暂停施工的其他原因：为了保证工程质量安全，凡出现下列情形之一（不限于此）的，总监理工程师有权下达停工令，责令承包人停工整改，由此造成的损失由承包人自行负责；造成工期延误的，由承包人承担违约责任。</w:t>
      </w:r>
    </w:p>
    <w:p w14:paraId="3D3F83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（1）拒绝监理人管理；</w:t>
      </w:r>
    </w:p>
    <w:p w14:paraId="52AB68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（2）施工组织设计（方案）未获总监理工程师批准而擅自施工；</w:t>
      </w:r>
    </w:p>
    <w:p w14:paraId="3F9F0F3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（3）未经监理人检验而进行下一道工序作业；</w:t>
      </w:r>
    </w:p>
    <w:p w14:paraId="286B04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（4）擅自采用未经监理工程师及发包人认可或批准的材料；或者使用的材料、设备、构配件不合格或未经检查确认；或者擅自采用未经认可的代用材料；</w:t>
      </w:r>
    </w:p>
    <w:p w14:paraId="161249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（5）未按设计图纸施工；</w:t>
      </w:r>
    </w:p>
    <w:p w14:paraId="6F520B0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（6）非法转包、分包工程；</w:t>
      </w:r>
    </w:p>
    <w:p w14:paraId="1A82DF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（7）擅自让未经总监理工程师和发包人批准的分包单位进场作业；</w:t>
      </w:r>
    </w:p>
    <w:p w14:paraId="231526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（9）存在安全隐患，未按监理工程师要求及时整改或发生安全事故；</w:t>
      </w:r>
    </w:p>
    <w:p w14:paraId="1F2715D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（10）未按双方约定上报有关资料。</w:t>
      </w:r>
    </w:p>
    <w:p w14:paraId="7DE133CD">
      <w:pPr>
        <w:adjustRightInd w:val="0"/>
        <w:snapToGrid w:val="0"/>
        <w:spacing w:line="360" w:lineRule="auto"/>
        <w:ind w:firstLine="482" w:firstLineChars="200"/>
        <w:outlineLvl w:val="1"/>
        <w:rPr>
          <w:rFonts w:ascii="宋体" w:hAnsi="宋体" w:cs="宋体"/>
          <w:b/>
          <w:color w:val="auto"/>
          <w:sz w:val="24"/>
          <w:highlight w:val="none"/>
        </w:rPr>
      </w:pPr>
      <w:bookmarkStart w:id="56" w:name="_Toc7295"/>
      <w:r>
        <w:rPr>
          <w:rFonts w:hint="eastAsia" w:ascii="宋体" w:hAnsi="宋体" w:cs="宋体"/>
          <w:b/>
          <w:color w:val="auto"/>
          <w:sz w:val="24"/>
          <w:highlight w:val="none"/>
        </w:rPr>
        <w:t>13.  工程质量</w:t>
      </w:r>
      <w:bookmarkEnd w:id="56"/>
    </w:p>
    <w:p w14:paraId="5C9514F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14:paraId="40380C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13.2.1 质量与安全检查</w:t>
      </w:r>
    </w:p>
    <w:p w14:paraId="254698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序质量控制点检查：按照质监部门、监理人及有关规范要求，承包人对各工序必须报验检查的各类质量控制点，实行先自检后申请报验的程序，并对自检结果负责。如承包人申请报验后，经检查发现质量不合格，则该工序质量为不合格，承包人必须全部返工，返工后经检查合格才准进入下一道工序，工期不予顺延，承包人必须承担一般违约责任1次；同时发包人将依据每分项工程累计发现三次或连续两次，承包人承担严重违约责任1次。</w:t>
      </w:r>
    </w:p>
    <w:p w14:paraId="0FD16C3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日常工程技术资料检查：承包人应准确、及时地作好日常工程技术资料的记录、整理和归档工作。保证记录中原始数据的真实性和及时性，保证按国家、地方、行业的有关规定及时作好相关技术资料的整理和归档。发包人、监理人有权抽查承包人日常工程技术资料的整理工作，如发现未按规定及时做好资料整理，累计发生3次，承包人承担一般违 约责任1次；如发现原始记录数据不存在、不真实、不及时、不准确，经监理人确认，发包人将有权拒绝相应部分工程量的计量和支付，视情节轻重，承包人承担一般违约责任或严重违约责任1次。</w:t>
      </w:r>
    </w:p>
    <w:p w14:paraId="48FA41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 补充条款：施工质量样板引路</w:t>
      </w:r>
    </w:p>
    <w:p w14:paraId="03979E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全面推行施工样板引路制度，应用于工程的材料设备按要求经看样定板、封样，各分部分项重要工序均实施样板引路。承包人应在编制施工组织方案时细化样板施工措施，实施过程中施工样板完成并经发包人、承包人、监理人共同验收确认后，再全面推行按验收后样板组织大面积施工。杜绝工程因质量不合格、不满足设计文件及发包人要求而大面积返工情况。</w:t>
      </w:r>
    </w:p>
    <w:p w14:paraId="4C7AA1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13.7补充条款：施工质量违约责任及质量事故</w:t>
      </w:r>
    </w:p>
    <w:p w14:paraId="4213D3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13.7.1 施工质量违约责任：对每次施工质量的抽查，如发现存在质量不合格或严重违反操作规程的现象，发包人有权要求承包人停工、返工；返工后经检查合格才准进入下一道工序，工期不予顺延，承包人除赔偿发包人损失外，还应按以下约定承担违约责任：</w:t>
      </w:r>
    </w:p>
    <w:p w14:paraId="7779BE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（1）造成工程质量问题导致发包人直接经济损失在20万元以下或工期延误3天以上5天以内的，施工承包人须就每宗工程质量问题向发包人支付违约金1.5万元；</w:t>
      </w:r>
    </w:p>
    <w:p w14:paraId="4D3672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（2）造成工程质量问题导致发包人直接经济损失在20万元以上（含本数）50万以下或工期延误5天以上10天以内的，施工承包人须就每宗工程质量问题承担一般违约责任1次；</w:t>
      </w:r>
    </w:p>
    <w:p w14:paraId="6BB677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（3）造成工程质量问题导致发包人直接经济损失在50万元以上（含本数）100万以下或工期延误10天以上15天以内的，施工承包人须就每宗工程质量问题承担严重违约责任1次；</w:t>
      </w:r>
    </w:p>
    <w:p w14:paraId="5804F5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如承包人有意隐瞒质量问题或存在严重质量隐患，一经发现，承包人承担严重违约责任1次。</w:t>
      </w:r>
    </w:p>
    <w:p w14:paraId="4FB536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（4）造成工程质量事故的，除按国家及行业规定由上级主管部门实施处罚外，同时须就每宗事故造成发包人直接经济损失金额的10％向发包人支付违约金。</w:t>
      </w:r>
    </w:p>
    <w:p w14:paraId="047AD9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13.7.2除了上述约定的违约金，若因此造成发包人或第三人损失的，承包人还应赔偿发包人或第三人因此造成的损失。</w:t>
      </w:r>
    </w:p>
    <w:p w14:paraId="0209DFB1">
      <w:pPr>
        <w:adjustRightInd w:val="0"/>
        <w:snapToGrid w:val="0"/>
        <w:spacing w:line="360" w:lineRule="auto"/>
        <w:ind w:firstLine="482" w:firstLineChars="200"/>
        <w:outlineLvl w:val="1"/>
        <w:rPr>
          <w:rFonts w:ascii="宋体" w:hAnsi="宋体" w:cs="宋体"/>
          <w:b/>
          <w:color w:val="auto"/>
          <w:sz w:val="24"/>
          <w:highlight w:val="none"/>
        </w:rPr>
      </w:pPr>
      <w:bookmarkStart w:id="57" w:name="_Toc21790"/>
      <w:r>
        <w:rPr>
          <w:rFonts w:hint="eastAsia" w:ascii="宋体" w:hAnsi="宋体" w:cs="宋体"/>
          <w:b/>
          <w:color w:val="auto"/>
          <w:sz w:val="24"/>
          <w:highlight w:val="none"/>
        </w:rPr>
        <w:t>14.  试验和检验</w:t>
      </w:r>
      <w:bookmarkEnd w:id="57"/>
    </w:p>
    <w:p w14:paraId="1F956A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14:paraId="29C25F5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14.1.5 见证取样检验试验的材料和工程设备</w:t>
      </w:r>
    </w:p>
    <w:p w14:paraId="61E314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（1）种类： 依据有关法律、法规、规范和工程建设强制性标准以及结构安全要求进行见证取样的进入施工现场的建筑材料、设备和构配件。</w:t>
      </w:r>
    </w:p>
    <w:p w14:paraId="284E8D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（2）检测机构：由发包人委托具有相应资格的检测机构实施。</w:t>
      </w:r>
    </w:p>
    <w:p w14:paraId="393CFE5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采购的材料需在材料到货前三天将进场计划报发包人和监理工程师，由监理工程师按规定确定材料检验抽样方案；材料到场后，承包人按监理工程师确定的抽样方案，在监理见证人员见证下抽样，按发包人与检测机构约定的格式要求打印检测委托清单一式四份；监理和发包人现场代表负责监督、见证抽样，在样品抽取后贴封条，签发检测委托清单；样品封条方式根据具体情况确定，监理负责对抽样、加封过程进行拍照；承包人负责将已加封条的样品送达检测机构，运送样品所需的费用由承包人负责，包含在合同总价中；承包人需及时将样品送达检测机构，确保不因此而影响工程施工。</w:t>
      </w:r>
    </w:p>
    <w:p w14:paraId="59422AD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（4）样品检验合格的材料，经监理工程师审核同意后方可在合同工程使用，检验报告交给承包人作为质量验收资料；样品检验不合格的，按规定扩大抽样检验或退场处理。</w:t>
      </w:r>
    </w:p>
    <w:p w14:paraId="0EB9CB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14.1.6  材料和工程设备的检验试验费</w:t>
      </w:r>
    </w:p>
    <w:p w14:paraId="15A4DD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建设工程质量检测管理办法》（建设部令141号）第十二条及《广州市城乡建设委员会印发〈关于进一步加强广州市建设工程质量检测委托管理工作方案〉的通知》（穗建质2012[1767]号）规定，建设工程质量、材料及安全检测业务应由发包人依法委托。承包人应按专用条款第20.4款约定，在施工组织设计中报送材料设备进场计划、材料及工程设备和构配件检验试验计划，按经批准的施工组织设计方案组织材料及工程设备进场，配合发包人进行送检。承包人未按批准的计划组织材料、工程设备和构配件进场的，由此造成的检验试验费增加由承包人承担。</w:t>
      </w:r>
    </w:p>
    <w:p w14:paraId="74FE3A4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采购的材料和设备等产品见证取样检验试验合格的，检验试验费由发包人承担；见证取样检验试验不合格的，检验试验费用由承包人承担；见证取样检验试验不合格但扩大见证取样检验试验合格，且经监理工程师批准该批次材料和设备产品可用于合同工程的，发包人承担正常见证取样数量的检验试验费用，因扩大见证取样而额外增加的检验试验费用由承包人承担。发包人采购的材料和设备等产品见证取样检验试验费全部由发包人承担。</w:t>
      </w:r>
    </w:p>
    <w:p w14:paraId="64C2260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（3）承包人须在正式施工前提交材料检测计划，并确保材料检验试验费不超过分部分项工程费的0.1%，如超出限额，超出部分由承包人承担。</w:t>
      </w:r>
    </w:p>
    <w:p w14:paraId="47A2EF0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 再次检验及其责任承担</w:t>
      </w:r>
    </w:p>
    <w:p w14:paraId="480D17A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14.1.7.1 在施工过程中，总监理工程师有权随时对工程材料、设备的使用进行抽查，包括成品、半成品、器具、设备、附件、小五金等。抽查范围、比例、数量、批次及检查深度可比照国家现行施工质量验收规范和相关规定，且比相应规范要求有所提高。</w:t>
      </w:r>
    </w:p>
    <w:p w14:paraId="50FAEF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工程材料、设备的质量依据下列标准的先后顺序认定：</w:t>
      </w:r>
    </w:p>
    <w:p w14:paraId="661B41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（1）本工程设计图纸规定的设计标准；</w:t>
      </w:r>
    </w:p>
    <w:p w14:paraId="0D762B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（2）经设计单位、监理人、承包人、发包人共同认定的产品封样、样板； </w:t>
      </w:r>
    </w:p>
    <w:p w14:paraId="0D8608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（3）招投标时确定的规格、技术指标、质量标准、品牌等；</w:t>
      </w:r>
    </w:p>
    <w:p w14:paraId="30A864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（4）国家或行业强制执行的技术标准、技术规范。</w:t>
      </w:r>
    </w:p>
    <w:p w14:paraId="137F0D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抽查、检验结果达不到上述标准和规范的，总监理工程师必须扩大对该批材料的抽查范围并增加抽检数量。若工程材料、设备复检结果仍达不到上述标准和规范的，无论工程材料、设备是否已施工或安装，承包人必须在发包人联合总监理工程师书面通知的限期内全部无条件拆除、更换，并运出施工现场；由此造成的工期延误、费用增加等一切损失均由承包人承担。同时，承包人还应按本专用条款第14.1.7.2款承担违约责任。</w:t>
      </w:r>
    </w:p>
    <w:p w14:paraId="3BD238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14.1.7.2 材料设备使用违约责任：如发包人发现抽查结果与设计要求或相关标准、规范任何一项不符的，则该抽检批次为不合格，造成工期延误的，发包人不予顺延工期；同时对该批次材料须扩大范围、增加双倍数量抽检，双倍抽检的检验费由承包人承担，若抽检仍不合格，则该批次材料视为不合格。对被认定为不合格批次的材料，承包人必须在发包人通知的限期内全部无条件拆除、更换，并运出施工现场，由此造成的工期延误、费用增加等一切损失均由承包人承担，同时发包人还将根据该批材料的价值，要求承包人承担不同等级的违约责任：</w:t>
      </w:r>
    </w:p>
    <w:p w14:paraId="5857E9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（1）单宗材料在5万元以内（含5万元），承包人每次向发包人支付违约金1万元。</w:t>
      </w:r>
    </w:p>
    <w:p w14:paraId="5A19C01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（2）单宗材料价值在5万元至10万元内（含10万元），承包人每次向发包人支付违约金2万元。</w:t>
      </w:r>
    </w:p>
    <w:p w14:paraId="3DDD32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（3）单宗材料价值在10万至50万元（含50万元），承包人每次向发包人支付违约金5万元。</w:t>
      </w:r>
    </w:p>
    <w:p w14:paraId="767EB4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（4）单宗材料价值在50万元以上，承包人每次向发包人支付违约金10万元。</w:t>
      </w:r>
    </w:p>
    <w:p w14:paraId="5B1548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（5）同一种材料连续发生2次不合格，承包人必须承担一般违约责任1次；不同材料累计发生3次不合格，承包人必须承担一般违约责任1次。</w:t>
      </w:r>
    </w:p>
    <w:p w14:paraId="044516E0">
      <w:pPr>
        <w:adjustRightInd w:val="0"/>
        <w:snapToGrid w:val="0"/>
        <w:spacing w:line="360" w:lineRule="auto"/>
        <w:ind w:firstLine="482" w:firstLineChars="200"/>
        <w:outlineLvl w:val="1"/>
        <w:rPr>
          <w:rFonts w:ascii="宋体" w:hAnsi="宋体" w:cs="宋体"/>
          <w:b/>
          <w:color w:val="auto"/>
          <w:sz w:val="24"/>
          <w:highlight w:val="none"/>
        </w:rPr>
      </w:pPr>
      <w:bookmarkStart w:id="58" w:name="_Toc31358"/>
      <w:r>
        <w:rPr>
          <w:rFonts w:hint="eastAsia" w:ascii="宋体" w:hAnsi="宋体" w:cs="宋体"/>
          <w:b/>
          <w:color w:val="auto"/>
          <w:sz w:val="24"/>
          <w:highlight w:val="none"/>
        </w:rPr>
        <w:t>15.  变更</w:t>
      </w:r>
      <w:bookmarkEnd w:id="58"/>
    </w:p>
    <w:p w14:paraId="11CF9F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14:paraId="3D4E1C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15.1.1施工图经发包人确认后，实施过程中，所有设计变更或材料、设备换用，不论是否引起合同价款变更均须经发包人书面同意方可实施，紧急或特殊情况须经发包人同意并在3个工作日内办理书面确认手续，不得擅自变更，否则，承包人须按以下方式承担违约责任：</w:t>
      </w:r>
    </w:p>
    <w:p w14:paraId="7ACBEA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事后不认可承包人擅自变更的事项，承包人须拆除该事项已实施的工程并按原要求重新施工，所需费用由承包人承担，工期不得顺延，承包人除须赔偿发包人因此而造成的损失外，还须承担一般违约责任一次；</w:t>
      </w:r>
    </w:p>
    <w:p w14:paraId="50BF8A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（2）发包人事后认可承包人擅自变更的事项，该事项如节省了费用则归发包人所有，该事项如增加了费用或造成了损失则由承包人承担。</w:t>
      </w:r>
    </w:p>
    <w:p w14:paraId="48D3F9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15.1.2所有变更工程和新增工程引起的计价、计量调整、报批和审批过程，均不得影响变更的执行，承包人不得以此为理由直接或变相拖延或延误新增或变更工程的实施，否则，承包人须承担由此造成的损失及工期延误的责任，且须承担一般违约责任一次。</w:t>
      </w:r>
    </w:p>
    <w:p w14:paraId="07F38D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15.1.3 工程实施过程中，非发包人原因引起的变更和签证，所增加的费用由承包人承担；由发包人原因引起的变更和签证，所增加的费用由发包人承担。</w:t>
      </w:r>
    </w:p>
    <w:p w14:paraId="202358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14:paraId="414037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15.2.3 发包人采纳承包人建议带来利益的计奖方法：发包人采纳承包人建议带来利益归发包人所有。</w:t>
      </w:r>
    </w:p>
    <w:p w14:paraId="14685E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4D2676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 工程变更的确认</w:t>
      </w:r>
    </w:p>
    <w:p w14:paraId="4DE07C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15.3.4.1设计变更文件必须盖有设计单位的出图章和发包人代表签字并盖公章；</w:t>
      </w:r>
    </w:p>
    <w:p w14:paraId="2FCC8C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15.3.4.2 发包人书面通知变更的指令性文件应有发包人代表签字并盖有公章；</w:t>
      </w:r>
    </w:p>
    <w:p w14:paraId="3B9CCD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15.3.4.3 施工变更文件必须由承包人项目经理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14:paraId="474C9A2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15.3.4.4 设计变更文件（或指令）涉及合同价款和工期调整时，承包人接到设计变更（或指令）有效文件后在14天内申报涉及变更的工程价款和工期调整报告，否则应视作变更不涉及价款和工期调整，发包人不予以接收。 </w:t>
      </w:r>
    </w:p>
    <w:p w14:paraId="2F5893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14:paraId="3BEE21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37134F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14:paraId="48130CA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4E5BC1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15.7 发包人根据工程实施情况，有权对承包人的承包范围及内容进行适当调整（包括增加或减少部分工程）</w:t>
      </w:r>
    </w:p>
    <w:p w14:paraId="6415D4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发生不可抗力、政策变更或规划变更等工程实施情况导致承包范围发生变化的，发包人有权发出书面指令单方增加或缩减合同范围。如上述变更导致承包人履行合同义务的费用增加，发包人与承包人按照合同约定调整合同价款。如上述变更导致承包人承包范围减少的，发包人与承包人按照合同约定调整合同价款，承包人无权向发包人另行提出其他任何补偿或赔偿要求。</w:t>
      </w:r>
    </w:p>
    <w:p w14:paraId="6436CA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承包人履行合同的质量、进度不符合合同约定或存在其他违约事实的，发包人有权直接减少承包人的承包范围直至解除合同，对此，承包人无权向发包人提出任何补偿或赔偿要求。</w:t>
      </w:r>
    </w:p>
    <w:p w14:paraId="2087EF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15.8 工程量</w:t>
      </w:r>
    </w:p>
    <w:p w14:paraId="56382D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所报的施工图预算中开列的工程量应包括由承包人完成合同工程的施工、安装以及相应的施工措施等工作内容。其任何遗漏或错误，既不能使合同无效，也不能免除承包人按照施工设计图纸、标准与规范实施合同工程的任何责任。承包人在施工组织设计中涉及的凡属施工技术措施、安全措施的费用，不论施工组织设计是否得到发包人或监理人的认可和批准，该费用发包人一概不予另行考虑。</w:t>
      </w:r>
    </w:p>
    <w:p w14:paraId="5D9100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 现场签证事件</w:t>
      </w:r>
    </w:p>
    <w:p w14:paraId="3C7811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15.9.1 现场签证报告的确认</w:t>
      </w:r>
    </w:p>
    <w:p w14:paraId="0DDAF5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收到监理工程师书面通知后的7天内，向监理工程师提交现场签证报告，并抄送造价工程师、发包人。监理工程师在收到承包人的现场签证报告后，对报告内容予以核实，并在收到现场签证报告后的48小时内予以确认或提出修改意见。发包人在收到承包人现场签证报告后的14天内确认或提出修改意见的，若发包人在收到承包人现场签证报告后的14天后还未确认或提出修改意见的，承包人应在7天内与发包人协商，并以协商意见为准。</w:t>
      </w:r>
    </w:p>
    <w:p w14:paraId="5E52D6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15.9.2 现场签证价款的支付</w:t>
      </w:r>
    </w:p>
    <w:p w14:paraId="4FE932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现场签证价款的支付按专用条款第16.6款执行。</w:t>
      </w:r>
    </w:p>
    <w:p w14:paraId="1D7B4DD6">
      <w:pPr>
        <w:adjustRightInd w:val="0"/>
        <w:snapToGrid w:val="0"/>
        <w:spacing w:line="360" w:lineRule="auto"/>
        <w:ind w:firstLine="482" w:firstLineChars="200"/>
        <w:outlineLvl w:val="1"/>
        <w:rPr>
          <w:rFonts w:ascii="宋体" w:hAnsi="宋体" w:cs="宋体"/>
          <w:b/>
          <w:color w:val="auto"/>
          <w:sz w:val="24"/>
          <w:highlight w:val="none"/>
        </w:rPr>
      </w:pPr>
      <w:bookmarkStart w:id="59" w:name="_Toc7255"/>
      <w:r>
        <w:rPr>
          <w:rFonts w:hint="eastAsia" w:ascii="宋体" w:hAnsi="宋体" w:cs="宋体"/>
          <w:b/>
          <w:color w:val="auto"/>
          <w:sz w:val="24"/>
          <w:highlight w:val="none"/>
        </w:rPr>
        <w:t>16.  价格调整</w:t>
      </w:r>
      <w:bookmarkEnd w:id="59"/>
    </w:p>
    <w:p w14:paraId="297B9F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合同价款的调整事件</w:t>
      </w:r>
    </w:p>
    <w:p w14:paraId="5CB87E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后继法律变化事件；</w:t>
      </w:r>
    </w:p>
    <w:p w14:paraId="5D9678FE">
      <w:pPr>
        <w:adjustRightInd w:val="0"/>
        <w:snapToGrid w:val="0"/>
        <w:spacing w:line="360" w:lineRule="auto"/>
        <w:ind w:firstLine="480" w:firstLineChars="200"/>
        <w:rPr>
          <w:rFonts w:ascii="宋体" w:hAnsi="宋体" w:cs="宋体"/>
          <w:color w:val="auto"/>
          <w:kern w:val="0"/>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项目特征描述不符事件；</w:t>
      </w:r>
    </w:p>
    <w:p w14:paraId="5402C5A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分部分项工程量清单缺项漏项事件；</w:t>
      </w:r>
    </w:p>
    <w:p w14:paraId="47A96637">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因发包人原因引起合同条件变化导致的工程变更事件；</w:t>
      </w:r>
    </w:p>
    <w:p w14:paraId="70A2CC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工程量的偏差事件</w:t>
      </w:r>
      <w:r>
        <w:rPr>
          <w:rFonts w:hint="eastAsia" w:ascii="宋体" w:hAnsi="宋体" w:cs="宋体"/>
          <w:color w:val="auto"/>
          <w:sz w:val="24"/>
          <w:highlight w:val="none"/>
        </w:rPr>
        <w:t>；</w:t>
      </w:r>
    </w:p>
    <w:p w14:paraId="19B1751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费用索赔事件</w:t>
      </w:r>
      <w:r>
        <w:rPr>
          <w:rFonts w:hint="eastAsia" w:ascii="宋体" w:hAnsi="宋体" w:cs="宋体"/>
          <w:color w:val="auto"/>
          <w:sz w:val="24"/>
          <w:highlight w:val="none"/>
        </w:rPr>
        <w:t>；</w:t>
      </w:r>
    </w:p>
    <w:p w14:paraId="1423D094">
      <w:pPr>
        <w:adjustRightInd w:val="0"/>
        <w:snapToGrid w:val="0"/>
        <w:spacing w:line="360" w:lineRule="auto"/>
        <w:ind w:firstLine="480" w:firstLineChars="200"/>
        <w:rPr>
          <w:rFonts w:ascii="宋体" w:hAnsi="宋体" w:cs="宋体"/>
          <w:color w:val="auto"/>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因发包人原因引起合同条件变化导致的签证</w:t>
      </w:r>
      <w:r>
        <w:rPr>
          <w:rFonts w:hint="eastAsia" w:ascii="宋体" w:hAnsi="宋体" w:cs="宋体"/>
          <w:color w:val="auto"/>
          <w:kern w:val="0"/>
          <w:sz w:val="24"/>
          <w:highlight w:val="none"/>
        </w:rPr>
        <w:t>事件</w:t>
      </w:r>
      <w:r>
        <w:rPr>
          <w:rFonts w:hint="eastAsia" w:ascii="宋体" w:hAnsi="宋体" w:cs="宋体"/>
          <w:color w:val="auto"/>
          <w:sz w:val="24"/>
          <w:highlight w:val="none"/>
        </w:rPr>
        <w:t>；</w:t>
      </w:r>
    </w:p>
    <w:p w14:paraId="6A87A58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物价涨落事件（详见协议书）</w:t>
      </w:r>
      <w:r>
        <w:rPr>
          <w:rFonts w:hint="eastAsia" w:ascii="宋体" w:hAnsi="宋体" w:cs="宋体"/>
          <w:color w:val="auto"/>
          <w:sz w:val="24"/>
          <w:highlight w:val="none"/>
        </w:rPr>
        <w:t>；</w:t>
      </w:r>
    </w:p>
    <w:p w14:paraId="7151CA4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收费减免</w:t>
      </w:r>
      <w:r>
        <w:rPr>
          <w:rFonts w:hint="eastAsia" w:ascii="宋体" w:hAnsi="宋体" w:cs="宋体"/>
          <w:color w:val="auto"/>
          <w:sz w:val="24"/>
          <w:highlight w:val="none"/>
        </w:rPr>
        <w:t>：本项目如能办理到相关的收费减免（如余泥渣土排放费、堤围维护费等）；</w:t>
      </w:r>
    </w:p>
    <w:p w14:paraId="54CF79C6">
      <w:pPr>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调整合同价款的其他事件：</w:t>
      </w:r>
      <w:r>
        <w:rPr>
          <w:rFonts w:hint="eastAsia" w:ascii="宋体" w:hAnsi="宋体" w:cs="宋体"/>
          <w:color w:val="auto"/>
          <w:kern w:val="0"/>
          <w:sz w:val="24"/>
          <w:highlight w:val="none"/>
          <w:u w:val="single"/>
        </w:rPr>
        <w:t xml:space="preserve"> 无 。</w:t>
      </w:r>
    </w:p>
    <w:p w14:paraId="71E82E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计价原则</w:t>
      </w:r>
    </w:p>
    <w:p w14:paraId="0BD88C2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 计价方式按协议书第六条约定</w:t>
      </w:r>
    </w:p>
    <w:p w14:paraId="0593FB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 工程项目实施期间和结算时，原施工图没有而由发包人批准工程变更产生的工程项目，视为新增项目，按以下计价原则调整合同价款：</w:t>
      </w:r>
    </w:p>
    <w:p w14:paraId="537F13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（1）审定的工程预算清单中有相同清单项目，执行该清单项目综合单价；</w:t>
      </w:r>
    </w:p>
    <w:p w14:paraId="11CB37F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（2）审定的工程预算清单报价存在类似的清单项目，按类似清单项目综合单价换算（工程量清单报价中相同清单项目存在多个报价的，取最有利于发包人的报价），换算时，管理费、利润水平保持原报价不变。</w:t>
      </w:r>
    </w:p>
    <w:p w14:paraId="7790E8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（3）审定的工程预算清单中没有相同及类似清单项目，参照审定的工程预算清单的计价方式、由承包人提供详细的单价分析，经发包人审核后确定综合单价执行（须执行中标下浮率）。</w:t>
      </w:r>
    </w:p>
    <w:p w14:paraId="6F9DA25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措施项目费</w:t>
      </w:r>
    </w:p>
    <w:p w14:paraId="4A80CE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16.5.1本工程措施项目费按审定预算合价包干，结算不得调整。</w:t>
      </w:r>
    </w:p>
    <w:p w14:paraId="526ABC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工程变更价款的支付</w:t>
      </w:r>
    </w:p>
    <w:p w14:paraId="708749D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16.6.1当因发包人原因引起的工程变更、现场签证等因素，导致的工程造价增减，经发包人或发包人委托的造价咨询单位评审，累计金额不超过中标合同价时，在竣工结算审定后支付。</w:t>
      </w:r>
    </w:p>
    <w:p w14:paraId="68EC908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16.6.2 当因发包人原因引起的工程变更、现场签证等因素，经发包人或发包人委托的造价咨询单位评审，导致累计的工程造价增加超过中标合同价的，应按发包人相关规定，审批同意签订补充协议后，调整相应价款，按补充协议约定支付。承包人应及时向发包人报告造价变化情况，并办理审核手续，否则由此造成工程款无法及时支付的责任由承包人承担，承包人不得以此为由拒绝履行或怠于履行本合同约定义务，不得因此而影响工程建设和延误工期。</w:t>
      </w:r>
    </w:p>
    <w:p w14:paraId="3355D03F">
      <w:pPr>
        <w:adjustRightInd w:val="0"/>
        <w:snapToGrid w:val="0"/>
        <w:spacing w:line="360" w:lineRule="auto"/>
        <w:ind w:firstLine="482" w:firstLineChars="200"/>
        <w:outlineLvl w:val="1"/>
        <w:rPr>
          <w:rFonts w:hint="eastAsia" w:ascii="宋体" w:hAnsi="宋体" w:cs="宋体"/>
          <w:b/>
          <w:color w:val="auto"/>
          <w:sz w:val="24"/>
          <w:highlight w:val="none"/>
        </w:rPr>
      </w:pPr>
      <w:bookmarkStart w:id="60" w:name="_Toc16843"/>
      <w:r>
        <w:rPr>
          <w:rFonts w:hint="eastAsia" w:ascii="宋体" w:hAnsi="宋体" w:cs="宋体"/>
          <w:b/>
          <w:color w:val="auto"/>
          <w:sz w:val="24"/>
          <w:highlight w:val="none"/>
        </w:rPr>
        <w:t>17.  合同价格与支付</w:t>
      </w:r>
      <w:bookmarkEnd w:id="60"/>
    </w:p>
    <w:p w14:paraId="077E9643">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17.1 合同价格</w:t>
      </w:r>
    </w:p>
    <w:p w14:paraId="7E0E80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17.1.1设计费</w:t>
      </w:r>
    </w:p>
    <w:p w14:paraId="11F488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（1）各分阶段设计所占合同设计费总金额比例按如下约定：</w:t>
      </w:r>
    </w:p>
    <w:p w14:paraId="27B0ED6E">
      <w:pPr>
        <w:adjustRightInd w:val="0"/>
        <w:snapToGrid w:val="0"/>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分阶段设计占比附表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66"/>
        <w:gridCol w:w="3190"/>
      </w:tblGrid>
      <w:tr w14:paraId="4942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466" w:type="dxa"/>
            <w:noWrap/>
            <w:vAlign w:val="center"/>
          </w:tcPr>
          <w:p w14:paraId="67636871">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编号</w:t>
            </w:r>
          </w:p>
        </w:tc>
        <w:tc>
          <w:tcPr>
            <w:tcW w:w="3866" w:type="dxa"/>
            <w:noWrap/>
            <w:vAlign w:val="center"/>
          </w:tcPr>
          <w:p w14:paraId="2AFE218A">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分阶段设计</w:t>
            </w:r>
          </w:p>
        </w:tc>
        <w:tc>
          <w:tcPr>
            <w:tcW w:w="3190" w:type="dxa"/>
            <w:noWrap/>
            <w:vAlign w:val="center"/>
          </w:tcPr>
          <w:p w14:paraId="56DFA0F0">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所占合同设计费总金额比例</w:t>
            </w:r>
          </w:p>
        </w:tc>
      </w:tr>
      <w:tr w14:paraId="7142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5C4F648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3866" w:type="dxa"/>
            <w:noWrap/>
            <w:vAlign w:val="center"/>
          </w:tcPr>
          <w:p w14:paraId="69934B9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方案设计阶段</w:t>
            </w:r>
          </w:p>
        </w:tc>
        <w:tc>
          <w:tcPr>
            <w:tcW w:w="3190" w:type="dxa"/>
            <w:noWrap/>
            <w:vAlign w:val="center"/>
          </w:tcPr>
          <w:p w14:paraId="0E8257A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25%</w:t>
            </w:r>
          </w:p>
        </w:tc>
      </w:tr>
      <w:tr w14:paraId="1BD2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194156B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二</w:t>
            </w:r>
          </w:p>
        </w:tc>
        <w:tc>
          <w:tcPr>
            <w:tcW w:w="3866" w:type="dxa"/>
            <w:noWrap/>
            <w:vAlign w:val="center"/>
          </w:tcPr>
          <w:p w14:paraId="43B5131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施工图设计阶段</w:t>
            </w:r>
          </w:p>
        </w:tc>
        <w:tc>
          <w:tcPr>
            <w:tcW w:w="3190" w:type="dxa"/>
            <w:noWrap/>
            <w:vAlign w:val="center"/>
          </w:tcPr>
          <w:p w14:paraId="5503C256">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65%</w:t>
            </w:r>
          </w:p>
        </w:tc>
      </w:tr>
      <w:tr w14:paraId="772A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0752B2E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三</w:t>
            </w:r>
          </w:p>
        </w:tc>
        <w:tc>
          <w:tcPr>
            <w:tcW w:w="3866" w:type="dxa"/>
            <w:noWrap/>
            <w:vAlign w:val="center"/>
          </w:tcPr>
          <w:p w14:paraId="6806ED3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竣工图设计阶段</w:t>
            </w:r>
          </w:p>
        </w:tc>
        <w:tc>
          <w:tcPr>
            <w:tcW w:w="3190" w:type="dxa"/>
            <w:noWrap/>
            <w:vAlign w:val="center"/>
          </w:tcPr>
          <w:p w14:paraId="21C3C25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r>
    </w:tbl>
    <w:p w14:paraId="579A76A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（2）若发包人要求分阶段分项设计，则相应分项设计费用按对应分阶段、分项占合同金额的比例乘以相应的建筑面积或发包人确定的设计工作量占比。</w:t>
      </w:r>
    </w:p>
    <w:p w14:paraId="3BC4170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422911B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17.2.1承包人按合同专用条款第4.2.3条的要求提交履约担保，提交支付申请及合法有效的</w:t>
      </w:r>
      <w:r>
        <w:rPr>
          <w:rFonts w:hint="eastAsia" w:ascii="宋体" w:hAnsi="宋体" w:cs="宋体"/>
          <w:color w:val="auto"/>
          <w:sz w:val="24"/>
          <w:highlight w:val="none"/>
          <w:lang w:eastAsia="zh-CN"/>
        </w:rPr>
        <w:t>增值税专用</w:t>
      </w:r>
      <w:r>
        <w:rPr>
          <w:rFonts w:hint="eastAsia" w:ascii="宋体" w:hAnsi="宋体" w:cs="宋体"/>
          <w:color w:val="auto"/>
          <w:sz w:val="24"/>
          <w:highlight w:val="none"/>
        </w:rPr>
        <w:t>发票后14个工作日内</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承包人</w:t>
      </w:r>
      <w:r>
        <w:rPr>
          <w:rFonts w:hint="eastAsia" w:ascii="宋体" w:hAnsi="宋体" w:cs="宋体"/>
          <w:color w:val="auto"/>
          <w:sz w:val="24"/>
          <w:highlight w:val="none"/>
        </w:rPr>
        <w:t>支付预付款，预付款支付比例为合同协议书第6.1.2条约定金额的</w:t>
      </w:r>
      <w:r>
        <w:rPr>
          <w:rFonts w:hint="default" w:ascii="宋体" w:hAnsi="宋体" w:cs="宋体"/>
          <w:color w:val="auto"/>
          <w:sz w:val="24"/>
          <w:highlight w:val="none"/>
          <w:u w:val="single"/>
          <w:lang w:val="en-US"/>
        </w:rPr>
        <w:t>10</w:t>
      </w:r>
      <w:r>
        <w:rPr>
          <w:rFonts w:hint="eastAsia" w:ascii="宋体" w:hAnsi="宋体" w:cs="宋体"/>
          <w:color w:val="auto"/>
          <w:sz w:val="24"/>
          <w:highlight w:val="none"/>
          <w:u w:val="singl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即</w:t>
      </w:r>
      <w:r>
        <w:rPr>
          <w:rFonts w:hint="eastAsia" w:ascii="宋体" w:hAnsi="宋体" w:cs="宋体"/>
          <w:color w:val="auto"/>
          <w:sz w:val="24"/>
          <w:highlight w:val="none"/>
          <w:u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58E25C07">
      <w:pPr>
        <w:pStyle w:val="2"/>
        <w:ind w:firstLine="480" w:firstLineChars="200"/>
        <w:rPr>
          <w:rFonts w:hint="default" w:ascii="宋体" w:hAnsi="Courier New" w:cs="Times New Roman"/>
          <w:color w:val="auto"/>
          <w:sz w:val="21"/>
          <w:highlight w:val="none"/>
        </w:rPr>
      </w:pPr>
      <w:r>
        <w:rPr>
          <w:rFonts w:hint="eastAsia" w:hAnsi="宋体" w:cs="宋体"/>
          <w:color w:val="auto"/>
          <w:sz w:val="24"/>
          <w:highlight w:val="none"/>
          <w:lang w:val="en-US" w:eastAsia="zh-CN"/>
        </w:rPr>
        <w:t>17.2.2本合同无需提供预付款保函。</w:t>
      </w:r>
    </w:p>
    <w:p w14:paraId="37152389">
      <w:pPr>
        <w:pStyle w:val="2"/>
        <w:adjustRightInd/>
        <w:snapToGrid/>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预付款分别在支付第二次、第三次工程进度款时各按50%扣回。</w:t>
      </w:r>
    </w:p>
    <w:p w14:paraId="351FFC3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30AB568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 支付分解表</w:t>
      </w:r>
    </w:p>
    <w:p w14:paraId="333114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17.3.2.1 设计费进度款</w:t>
      </w:r>
    </w:p>
    <w:tbl>
      <w:tblPr>
        <w:tblStyle w:val="44"/>
        <w:tblW w:w="90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2060"/>
        <w:gridCol w:w="5842"/>
      </w:tblGrid>
      <w:tr w14:paraId="48860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28" w:type="dxa"/>
            <w:noWrap/>
            <w:vAlign w:val="center"/>
          </w:tcPr>
          <w:p w14:paraId="7445402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进度款</w:t>
            </w:r>
          </w:p>
        </w:tc>
        <w:tc>
          <w:tcPr>
            <w:tcW w:w="2060" w:type="dxa"/>
            <w:noWrap/>
            <w:vAlign w:val="center"/>
          </w:tcPr>
          <w:p w14:paraId="7681040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付款额度</w:t>
            </w:r>
          </w:p>
        </w:tc>
        <w:tc>
          <w:tcPr>
            <w:tcW w:w="5842" w:type="dxa"/>
            <w:noWrap/>
            <w:vAlign w:val="center"/>
          </w:tcPr>
          <w:p w14:paraId="441C4181">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付款条件及时间</w:t>
            </w:r>
          </w:p>
        </w:tc>
      </w:tr>
      <w:tr w14:paraId="75A9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noWrap/>
            <w:vAlign w:val="center"/>
          </w:tcPr>
          <w:p w14:paraId="0D9692F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第一期</w:t>
            </w:r>
          </w:p>
        </w:tc>
        <w:tc>
          <w:tcPr>
            <w:tcW w:w="2060" w:type="dxa"/>
            <w:noWrap/>
            <w:vAlign w:val="center"/>
          </w:tcPr>
          <w:p w14:paraId="2380E063">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合同暂定设计费金额的</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p>
        </w:tc>
        <w:tc>
          <w:tcPr>
            <w:tcW w:w="5842" w:type="dxa"/>
            <w:noWrap/>
            <w:vAlign w:val="center"/>
          </w:tcPr>
          <w:p w14:paraId="4DFA61A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完成</w:t>
            </w:r>
            <w:r>
              <w:rPr>
                <w:rFonts w:hint="eastAsia" w:ascii="宋体" w:hAnsi="宋体" w:cs="宋体"/>
                <w:color w:val="auto"/>
                <w:sz w:val="24"/>
                <w:highlight w:val="none"/>
              </w:rPr>
              <w:t>方案设计</w:t>
            </w:r>
            <w:r>
              <w:rPr>
                <w:rFonts w:hint="eastAsia" w:ascii="宋体" w:hAnsi="宋体" w:cs="宋体"/>
                <w:color w:val="auto"/>
                <w:sz w:val="24"/>
                <w:highlight w:val="none"/>
                <w:lang w:val="en-US" w:eastAsia="zh-CN"/>
              </w:rPr>
              <w:t>和概算，经</w:t>
            </w:r>
            <w:r>
              <w:rPr>
                <w:rFonts w:hint="eastAsia" w:ascii="宋体" w:hAnsi="宋体" w:cs="宋体"/>
                <w:color w:val="auto"/>
                <w:sz w:val="24"/>
                <w:highlight w:val="none"/>
              </w:rPr>
              <w:t>发包人</w:t>
            </w:r>
            <w:r>
              <w:rPr>
                <w:rFonts w:hint="eastAsia" w:ascii="宋体" w:hAnsi="宋体" w:cs="宋体"/>
                <w:color w:val="auto"/>
                <w:sz w:val="24"/>
                <w:highlight w:val="none"/>
                <w:lang w:val="en-US" w:eastAsia="zh-CN"/>
              </w:rPr>
              <w:t>确认</w:t>
            </w:r>
            <w:r>
              <w:rPr>
                <w:rFonts w:hint="eastAsia" w:ascii="宋体" w:hAnsi="宋体" w:cs="宋体"/>
                <w:color w:val="auto"/>
                <w:sz w:val="24"/>
                <w:highlight w:val="none"/>
              </w:rPr>
              <w:t>，按发包人要求提供申请支付文件资料，完成审批流程后15个工作日内。</w:t>
            </w:r>
          </w:p>
        </w:tc>
      </w:tr>
      <w:tr w14:paraId="2AC3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shd w:val="clear" w:color="auto" w:fill="auto"/>
            <w:noWrap/>
            <w:vAlign w:val="center"/>
          </w:tcPr>
          <w:p w14:paraId="7FCEDDCE">
            <w:pPr>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第</w:t>
            </w:r>
            <w:r>
              <w:rPr>
                <w:rFonts w:hint="eastAsia" w:ascii="宋体" w:hAnsi="宋体" w:cs="宋体"/>
                <w:color w:val="auto"/>
                <w:sz w:val="24"/>
                <w:highlight w:val="none"/>
                <w:lang w:eastAsia="zh-CN"/>
              </w:rPr>
              <w:t>二</w:t>
            </w:r>
            <w:r>
              <w:rPr>
                <w:rFonts w:hint="eastAsia" w:ascii="宋体" w:hAnsi="宋体" w:cs="宋体"/>
                <w:color w:val="auto"/>
                <w:sz w:val="24"/>
                <w:highlight w:val="none"/>
              </w:rPr>
              <w:t>期</w:t>
            </w:r>
          </w:p>
        </w:tc>
        <w:tc>
          <w:tcPr>
            <w:tcW w:w="2060" w:type="dxa"/>
            <w:shd w:val="clear" w:color="auto" w:fill="auto"/>
            <w:noWrap/>
            <w:vAlign w:val="center"/>
          </w:tcPr>
          <w:p w14:paraId="0349D03F">
            <w:pPr>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合同暂定设计费金额的</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w:t>
            </w:r>
          </w:p>
        </w:tc>
        <w:tc>
          <w:tcPr>
            <w:tcW w:w="5842" w:type="dxa"/>
            <w:shd w:val="clear" w:color="auto" w:fill="auto"/>
            <w:noWrap/>
            <w:vAlign w:val="center"/>
          </w:tcPr>
          <w:p w14:paraId="19A7CC44">
            <w:pPr>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施工图审定后，按发包人要求提供申请支付文件资料，完成审批流程后15个工作日内。</w:t>
            </w:r>
          </w:p>
        </w:tc>
      </w:tr>
      <w:tr w14:paraId="3114F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128" w:type="dxa"/>
            <w:noWrap/>
            <w:vAlign w:val="center"/>
          </w:tcPr>
          <w:p w14:paraId="682E3A7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eastAsia="zh-CN"/>
              </w:rPr>
              <w:t>三</w:t>
            </w:r>
            <w:r>
              <w:rPr>
                <w:rFonts w:hint="eastAsia" w:ascii="宋体" w:hAnsi="宋体" w:cs="宋体"/>
                <w:color w:val="auto"/>
                <w:sz w:val="24"/>
                <w:highlight w:val="none"/>
              </w:rPr>
              <w:t>期</w:t>
            </w:r>
          </w:p>
        </w:tc>
        <w:tc>
          <w:tcPr>
            <w:tcW w:w="2060" w:type="dxa"/>
            <w:noWrap/>
            <w:vAlign w:val="center"/>
          </w:tcPr>
          <w:p w14:paraId="65A0967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合同暂定设计费金额的</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p>
        </w:tc>
        <w:tc>
          <w:tcPr>
            <w:tcW w:w="5842" w:type="dxa"/>
            <w:noWrap/>
            <w:vAlign w:val="center"/>
          </w:tcPr>
          <w:p w14:paraId="0ED9F68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工程验收完成，竣工图提交给发包人，按发包人要求提供申请支付文件资料，完成审批流程后15个工作日内。</w:t>
            </w:r>
          </w:p>
        </w:tc>
      </w:tr>
      <w:tr w14:paraId="15A7E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128" w:type="dxa"/>
            <w:noWrap/>
            <w:vAlign w:val="center"/>
          </w:tcPr>
          <w:p w14:paraId="528DA13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eastAsia="zh-CN"/>
              </w:rPr>
              <w:t>四</w:t>
            </w:r>
            <w:r>
              <w:rPr>
                <w:rFonts w:hint="eastAsia" w:ascii="宋体" w:hAnsi="宋体" w:cs="宋体"/>
                <w:color w:val="auto"/>
                <w:sz w:val="24"/>
                <w:highlight w:val="none"/>
              </w:rPr>
              <w:t>期</w:t>
            </w:r>
          </w:p>
        </w:tc>
        <w:tc>
          <w:tcPr>
            <w:tcW w:w="2060" w:type="dxa"/>
            <w:noWrap/>
            <w:vAlign w:val="center"/>
          </w:tcPr>
          <w:p w14:paraId="4D16B736">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本合同设计费结算尾款</w:t>
            </w:r>
          </w:p>
        </w:tc>
        <w:tc>
          <w:tcPr>
            <w:tcW w:w="5842" w:type="dxa"/>
            <w:noWrap/>
            <w:vAlign w:val="center"/>
          </w:tcPr>
          <w:p w14:paraId="35D821F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本合同结算通过</w:t>
            </w:r>
            <w:r>
              <w:rPr>
                <w:rFonts w:hint="eastAsia" w:ascii="宋体" w:hAnsi="宋体" w:cs="宋体"/>
                <w:color w:val="auto"/>
                <w:sz w:val="24"/>
                <w:highlight w:val="none"/>
                <w:lang w:eastAsia="zh-CN"/>
              </w:rPr>
              <w:t>有权终审部门审定</w:t>
            </w:r>
            <w:r>
              <w:rPr>
                <w:rFonts w:hint="eastAsia" w:ascii="宋体" w:hAnsi="宋体" w:cs="宋体"/>
                <w:color w:val="auto"/>
                <w:sz w:val="24"/>
                <w:highlight w:val="none"/>
              </w:rPr>
              <w:t>，按发包人要求提供申请支付文件资料，完成审批流程后15个工作日内。</w:t>
            </w:r>
          </w:p>
        </w:tc>
      </w:tr>
    </w:tbl>
    <w:p w14:paraId="5983C8A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17.3.2.2 工程进度款：</w:t>
      </w:r>
    </w:p>
    <w:p w14:paraId="3C20DFE0">
      <w:pPr>
        <w:adjustRightInd/>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工程进度款</w:t>
      </w:r>
      <w:r>
        <w:rPr>
          <w:rFonts w:hint="eastAsia" w:ascii="宋体" w:hAnsi="宋体" w:eastAsia="宋体" w:cs="宋体"/>
          <w:b w:val="0"/>
          <w:bCs w:val="0"/>
          <w:i w:val="0"/>
          <w:iCs w:val="0"/>
          <w:color w:val="auto"/>
          <w:kern w:val="2"/>
          <w:sz w:val="24"/>
          <w:szCs w:val="24"/>
          <w:highlight w:val="none"/>
          <w:vertAlign w:val="baseline"/>
          <w:lang w:val="en-US" w:eastAsia="zh-CN" w:bidi="ar-SA"/>
        </w:rPr>
        <w:t>根据施工进度情况</w:t>
      </w:r>
      <w:r>
        <w:rPr>
          <w:rFonts w:hint="eastAsia" w:ascii="宋体" w:hAnsi="宋体" w:cs="宋体"/>
          <w:color w:val="auto"/>
          <w:sz w:val="24"/>
          <w:highlight w:val="none"/>
        </w:rPr>
        <w:t>按月计付</w:t>
      </w:r>
      <w:r>
        <w:rPr>
          <w:rFonts w:hint="eastAsia" w:ascii="宋体" w:hAnsi="宋体" w:eastAsia="宋体" w:cs="宋体"/>
          <w:b w:val="0"/>
          <w:bCs w:val="0"/>
          <w:i w:val="0"/>
          <w:iCs w:val="0"/>
          <w:color w:val="auto"/>
          <w:kern w:val="2"/>
          <w:sz w:val="24"/>
          <w:szCs w:val="24"/>
          <w:highlight w:val="none"/>
          <w:vertAlign w:val="baseline"/>
          <w:lang w:val="en-US" w:eastAsia="zh-CN" w:bidi="ar-SA"/>
        </w:rPr>
        <w:t>(预付款分别在支付第二次、第三次工程进度款时各按50%扣回)</w:t>
      </w:r>
      <w:r>
        <w:rPr>
          <w:rFonts w:hint="eastAsia"/>
          <w:color w:val="auto"/>
          <w:highlight w:val="none"/>
          <w:lang w:eastAsia="zh-CN"/>
        </w:rPr>
        <w:t>：</w:t>
      </w:r>
    </w:p>
    <w:p w14:paraId="116760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承包人申报第一笔工程进度款前，需提前10个工作日向发包人申报施工图预算。根据施工图预算审核进度支付不同比例的工程进度款，具体如下：</w:t>
      </w:r>
    </w:p>
    <w:p w14:paraId="1C37B52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申报的施工图预算，监理单位已审核、发包人暂未审定的，根据监理单位审核的施工图预算中的工程量清单综合单价及监理单位审核并经发包人确认的工程量计算的当期完成工程造价（不含暂列金额）的60%支付进度款；工人工资比例暂按20%。</w:t>
      </w:r>
    </w:p>
    <w:p w14:paraId="61F665B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于发包人审定施工图预算后申请的第一笔工程进度款支付（仅适用于施工图预算审定前已支付过工程进度款的情况），需根据发包人审定的施工图预算中的工程量清单综合单价及监理单位审核并经发包人确认的累计完成工程量计算的累计工程造价对本次应支付进度款进行修正，具体为：本次应支付进度款=累计应支付进度款-累计已支付进度款-应扣预付款（当期如有），其中累计应支付进度款=累计工程造价*80%。同时根据审定预算调整工人工资比例。</w:t>
      </w:r>
    </w:p>
    <w:p w14:paraId="6CB020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审定施工图预算后，根据发包人审定的施工图预算中的工程量清单综合单价及监理单位审核并经发包人确认的工程量计算的当期完成工程造价（不含暂列金额）的80%支付进度款（如当期应扣预付款，则按约定扣回）；工人工资比例按审核比例。</w:t>
      </w:r>
    </w:p>
    <w:p w14:paraId="239605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（4）竣工验收（需提交经认可的竣工资料）前，累计支付工程款不得超过经发包人审定的施工图预算造价（扣除暂列金额）的85%。</w:t>
      </w:r>
    </w:p>
    <w:p w14:paraId="37D6C0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（5）竣工验收合格后支付至经发包人审定的施工图预算造价（扣除暂列金额）的90％。</w:t>
      </w:r>
    </w:p>
    <w:p w14:paraId="7E51DB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（6）施工合同结算经发包人或其他有权单位审定后，支付至结算审定造价的97%，余下的3%为质量保证金，按保修期满后无息返还。</w:t>
      </w:r>
    </w:p>
    <w:p w14:paraId="215101A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17.3.6 期中支付的最低限额为：（ 5 ）万元。低于（ 5 ）万元的，在下一期的进度款中一并支付，不视为发包人迟延付款。</w:t>
      </w:r>
    </w:p>
    <w:p w14:paraId="11C8D82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 余泥渣土场外运输与排放（如有）</w:t>
      </w:r>
    </w:p>
    <w:p w14:paraId="6EC451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17.3.8.1本项目余泥渣土场外运输与排放结算执行穗建造价〔2009〕31号文，工程量按实结算，实际运距与招标清单不同时，按定额规定调整综合单价；运距按本条第17.3.8.2点进行核定，工程量按本条第17.3.8.3点约定调整。</w:t>
      </w:r>
    </w:p>
    <w:p w14:paraId="571BE1D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17.3.8.2土方开挖前，承包人必须依据就近排放的原则，将余泥渣土排放地点报监理和发包人批准，由承包人、监理和发包人一起测量运输距离并予签证确认，承包人负责办理余泥渣土排放手续及缴纳相关费用。承包人未按上述约定办理运距签证确认，视为开挖出来的土方全部可以在本项目场地内堆放或回填，结算时不得计算土方外运费用。</w:t>
      </w:r>
    </w:p>
    <w:p w14:paraId="2CB933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17.3.8.3土方外运数量按挖方量扣减现场回填、堆放土方的数量计算，且需在外运前报发包人确认。承包人未按上述约定办理外运数量确认，视为开挖出来的土方全部可以在本项目场地内堆放或回填，结算时不得计算土方外运费用。</w:t>
      </w:r>
    </w:p>
    <w:p w14:paraId="69C734B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17.3.8.4承包人必须严格遵守建设工程余泥渣土运输与排放管理制度，执行广州市相关规定。若承包人因违反规定受到有关部门处罚，经查实，应承担严重违约责任一次。</w:t>
      </w:r>
    </w:p>
    <w:p w14:paraId="5D2580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 其它要求</w:t>
      </w:r>
    </w:p>
    <w:p w14:paraId="6055C6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17.3.9.1工程进度款支付申请，除应按发包人要求提供全部资料外，同时应附确认的民工权益保障合格资料，包括如实记录支付单位、支付时间、支付对象、支付数额等工资支付情况的农民工工资支付凭证。若未按发包人要求及时提供完整的相关资料和凭证的，发包人有权延期或不予支付相应的进度款。</w:t>
      </w:r>
    </w:p>
    <w:p w14:paraId="2AF9A3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17.3.9.2 已完工程的计量与支付必须按合同约定的技术条件、发包人批准的施工图有关要求及规定完成，包括合同规定的与已完工程计量有关且必须完成的责任和义务。</w:t>
      </w:r>
    </w:p>
    <w:p w14:paraId="2447EFC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17.3.9.3 已完工程的计量与支付需得到监理工程师和发包人的认可。如承包人的工作不能使监理工程师和发包人满意（如：质量不合格、工程进度缓慢、施工总承包管理和配合服务不到位或有其它方面违背合同的行为等），监理工程师和发包人有权拒绝计量与支付。</w:t>
      </w:r>
    </w:p>
    <w:p w14:paraId="55032B59">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bookmarkStart w:id="61" w:name="_Toc25956"/>
      <w:bookmarkStart w:id="62" w:name="_Toc7886"/>
      <w:bookmarkStart w:id="63" w:name="_Toc27210"/>
      <w:r>
        <w:rPr>
          <w:rFonts w:hint="eastAsia" w:ascii="宋体" w:hAnsi="宋体" w:cs="宋体"/>
          <w:color w:val="auto"/>
          <w:sz w:val="24"/>
          <w:highlight w:val="none"/>
        </w:rPr>
        <w:t>17.3.9.</w:t>
      </w:r>
      <w:r>
        <w:rPr>
          <w:rFonts w:hint="eastAsia" w:ascii="宋体" w:hAnsi="宋体" w:cs="宋体"/>
          <w:color w:val="auto"/>
          <w:sz w:val="24"/>
          <w:highlight w:val="none"/>
          <w:lang w:val="en-US" w:eastAsia="zh-CN"/>
        </w:rPr>
        <w:t>4</w:t>
      </w: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承包人理解并同意在本项目申请政府专项债的发包人拨款账户银行开设工程资金监管专用账户（以下称监管账户），并与发包人、监管银行签订本项目工程资金监管三方协议（以下称监管协议）。</w:t>
      </w:r>
    </w:p>
    <w:bookmarkEnd w:id="61"/>
    <w:bookmarkEnd w:id="62"/>
    <w:bookmarkEnd w:id="63"/>
    <w:p w14:paraId="08419034">
      <w:pPr>
        <w:pStyle w:val="18"/>
        <w:adjustRightInd w:val="0"/>
        <w:snapToGrid w:val="0"/>
        <w:spacing w:after="0" w:line="360" w:lineRule="auto"/>
        <w:ind w:firstLine="480" w:firstLineChars="200"/>
        <w:rPr>
          <w:color w:val="auto"/>
          <w:highlight w:val="none"/>
        </w:rPr>
      </w:pPr>
      <w:r>
        <w:rPr>
          <w:rFonts w:hint="eastAsia" w:ascii="宋体" w:hAnsi="宋体" w:cs="宋体"/>
          <w:color w:val="auto"/>
          <w:sz w:val="24"/>
          <w:highlight w:val="none"/>
        </w:rPr>
        <w:t>17.3.9.</w:t>
      </w:r>
      <w:r>
        <w:rPr>
          <w:rFonts w:hint="eastAsia" w:ascii="宋体" w:hAnsi="宋体" w:cs="宋体"/>
          <w:color w:val="auto"/>
          <w:sz w:val="24"/>
          <w:highlight w:val="none"/>
          <w:lang w:val="en-US" w:eastAsia="zh-CN"/>
        </w:rPr>
        <w:t>5</w:t>
      </w:r>
      <w:r>
        <w:rPr>
          <w:rFonts w:hint="eastAsia" w:ascii="宋体" w:hAnsi="宋体" w:eastAsia="宋体" w:cs="宋体"/>
          <w:snapToGrid w:val="0"/>
          <w:color w:val="auto"/>
          <w:kern w:val="2"/>
          <w:sz w:val="24"/>
          <w:szCs w:val="24"/>
          <w:highlight w:val="none"/>
          <w:u w:val="single"/>
          <w:lang w:val="en-US" w:eastAsia="zh-CN"/>
        </w:rPr>
        <w:t>如本项目资金来源涉及财政资金、专项债劵资金或其他政府专项资金的，则甲方向乙方支付条件还应包括前述资金获得政府或相关部门批准且拨付到位，若由于政府或相关部门审批、拨付资金未完成等非甲方原因导致甲方向乙方付款超过合同约定支付期限的，甲方不承担任何违约责任，且乙方仍须按本合同约定履行义务。若因乙方原因导致专项债券资金拨付失败的，乙方应承担由此产生的全部责任及甲方损失。</w:t>
      </w:r>
    </w:p>
    <w:p w14:paraId="00B90F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3C2D5E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17.4.4质量保证金的约定与扣留</w:t>
      </w:r>
    </w:p>
    <w:p w14:paraId="41514C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（1）质量保证金的约定：为合同结算价款的3%。</w:t>
      </w:r>
    </w:p>
    <w:p w14:paraId="56080C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（2）质量保证金的扣留：工程竣工且审定工程造价后按本合同约定支付工程结算款，扣留3%质量保证金。</w:t>
      </w:r>
    </w:p>
    <w:p w14:paraId="0E1E1E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17.4.5 质量保证金的返还</w:t>
      </w:r>
    </w:p>
    <w:p w14:paraId="13585E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和省市的有关规定，承包人自工程竣工验收合格之日起对工程质量实施保修。保修期间，若无任何质量问题（以发包人批复的保修期满验收意见为准），则在竣工验收满一年且工程项目结算评审完成后，返还质量保证金；质量保证金在该阶段期满后30天内（扣除此期间的维修费用）返还。若在保修期内发生质量问题造成损害，质量保证金余额不足以支付赔偿金的，发包人有权依法追偿。</w:t>
      </w:r>
    </w:p>
    <w:p w14:paraId="4F3DA1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14:paraId="0E993F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竣工付款申请书</w:t>
      </w:r>
    </w:p>
    <w:p w14:paraId="1569929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17.5.1.1提交支付申请和工程款报告期限：承包人应得的各类款项（如预付款、安全文明施工费、进度款、结算款、增加价款等）在工程达到合同约定的付款条件，承包人在7天内提出书面付款申请且监理工程师审查确认并报发包人。</w:t>
      </w:r>
    </w:p>
    <w:p w14:paraId="03D121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17.5.1.2 承包人应当向发包人提供如下竣工结算资料（其中发生的费用由承包人自理）：</w:t>
      </w:r>
    </w:p>
    <w:p w14:paraId="44E9D1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（1）工程结算书</w:t>
      </w:r>
    </w:p>
    <w:p w14:paraId="7AD1A71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w:t>
      </w:r>
    </w:p>
    <w:p w14:paraId="2B8D45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（3）钢筋抽料表（土建专业）（如有）</w:t>
      </w:r>
    </w:p>
    <w:p w14:paraId="641C41F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（4）工程承包合同</w:t>
      </w:r>
    </w:p>
    <w:p w14:paraId="291EC6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（5）工程竣工图（含电子版和竣工通及相关部门要求的专用软件版本）</w:t>
      </w:r>
    </w:p>
    <w:p w14:paraId="1ECDAE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（6）工程竣工资料（含电子版及相关部门要求的专用软件版本、单位工程开工申请报告、单位工程竣工验收报告）</w:t>
      </w:r>
    </w:p>
    <w:p w14:paraId="2A3099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w:t>
      </w:r>
    </w:p>
    <w:p w14:paraId="200EE9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w:t>
      </w:r>
    </w:p>
    <w:p w14:paraId="583487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w:t>
      </w:r>
    </w:p>
    <w:p w14:paraId="7A6CD2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w:t>
      </w:r>
    </w:p>
    <w:p w14:paraId="7B3CB0A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w:t>
      </w:r>
    </w:p>
    <w:p w14:paraId="244F652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w:t>
      </w:r>
    </w:p>
    <w:p w14:paraId="052CA5C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w:t>
      </w:r>
    </w:p>
    <w:p w14:paraId="3D5F92B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w:t>
      </w:r>
    </w:p>
    <w:p w14:paraId="0B83FF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（15）招标文件、答疑纪要</w:t>
      </w:r>
    </w:p>
    <w:p w14:paraId="04B8BF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（16）投标文件（含经济标软件版）、中标通知书</w:t>
      </w:r>
    </w:p>
    <w:p w14:paraId="5ADF445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（17）发包人供应材料收货验收签收单</w:t>
      </w:r>
    </w:p>
    <w:p w14:paraId="59ACA1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（18）其他结算资料</w:t>
      </w:r>
    </w:p>
    <w:p w14:paraId="451DF9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（19）移交物业确认表</w:t>
      </w:r>
    </w:p>
    <w:p w14:paraId="36CC5DB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（20）工期履行审核表</w:t>
      </w:r>
    </w:p>
    <w:p w14:paraId="4F3EE1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（21）移交资料签收表</w:t>
      </w:r>
    </w:p>
    <w:p w14:paraId="0D738A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17.5.1.3发包人对送审结算资料的具体要求：</w:t>
      </w:r>
    </w:p>
    <w:p w14:paraId="582C661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结算书：每项工程的结算书要求分两部分编制：第一部分是以竣工图为依据编制部分（即清单范围内），要求以竣工图纸、投标中标价构成的内容为主要部分，但包括图纸会审记录、设计变更、监理工程师通知或发包人施工指令等，第二部分以现场签证、工程洽商记录以及其它有关费用为结算依据编制部分（即清单范围外）。上述两部分不应有重复列项的内容，用电脑编制的结算书要求提供相应的拷贝磁盘（包括软件版和导出的EXCEL版）。</w:t>
      </w:r>
    </w:p>
    <w:p w14:paraId="43A012B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14:paraId="2E2242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（3）钢筋抽料表用电脑抽料的钢筋用量表要求提供相应的拷贝磁盘，用手工抽料的钢筋用量表要求提供详细的抽料表和明细汇总表，详细的抽料表应注明钢筋所在的构件名称、施工部位、钢筋编号等（如有）。</w:t>
      </w:r>
    </w:p>
    <w:p w14:paraId="19EE28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（4）工程施工合同：包括发包人与承包人签订的工程施工合同、经发包人确认的承包人与第三方签订的分包合同、各类补充合同、合同附件等，要求将上述合同文件列出总目录按顺序整理装订成册。</w:t>
      </w:r>
    </w:p>
    <w:p w14:paraId="3331579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竣工图：用于结算的竣工图必须有承包人竣工图专用章及其相关人员签字和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w:t>
      </w:r>
    </w:p>
    <w:p w14:paraId="2F5EC3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人和发包人在确认表上盖章确认，以证明竣工资料上的相关内容与该项目送审资料的实际内容相一致。整理装订成册的竣工资料需编制总目录，并在每一页的下方统一编号，以便于查找。</w:t>
      </w:r>
    </w:p>
    <w:p w14:paraId="392BF6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（7）图纸会审记录：要求按图纸会审的时间先后整理装订成册，图纸会审记录须有各单位参加会审人员签字及参加会审的单位盖章确认。</w:t>
      </w:r>
    </w:p>
    <w:p w14:paraId="2B4203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要求按设计变更的时间先后整理（安装工程要分专业）装订成册。设计变更单要求有设计人员的签名及设计单位盖章，同时要求有发包人同意按相关的设计院变更进行施工的签认意见和盖章确认。</w:t>
      </w:r>
    </w:p>
    <w:p w14:paraId="1F5EA6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（9）工程洽商记录：要求根据工程洽商记录的时间先后整理装订成册，然后在每一页的下方统一编号，以便于查找。工程洽商记录要求有监理人和发包人相关人员的签字和单位盖章确认。</w:t>
      </w:r>
    </w:p>
    <w:p w14:paraId="4E53586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要求根据监理工程师通知或发包人施工指令的时间先后整理装订成册，然后在每一页的下方统一编号。监理工程师通知要求有监理人和发包人相关人员的签字和单位盖章确认。</w:t>
      </w:r>
    </w:p>
    <w:p w14:paraId="78155C6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指工程质量、安全、技术、经济等现场协调会会议纪要等。要求根据会议纪要的时间先后整理装订成册，然后在每一页的下方统一编号。会议纪要要求有参与会议的各方代表签字，并有监理人和发包人盖章确认。</w:t>
      </w:r>
    </w:p>
    <w:p w14:paraId="375709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要求根据现场签证单的时间先后整理装订成册，然后在每一页的下方统一编号。现场签证单上应有工程数量的计算过程和施工简图，由承包人盖章确认，并有监理人和发包人相关人员签字和单位盖章确认，并且有上述单位的造价工程师对工程造价进行审核的签字和盖章。</w:t>
      </w:r>
    </w:p>
    <w:p w14:paraId="4EB497D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财政部门认可的其它有效材料设备价格凭证等。每份审核单手续必须完备，要求有监理人和发包人相关人员的签字和单位盖章确认。</w:t>
      </w:r>
    </w:p>
    <w:p w14:paraId="322A713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在作为合同附件之一的工程量清单中未列但在施工过程中发生的项目，应由承包人编制单位分析表，盖章确认后报监理人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须完备，要求有监理人和发包人相关人员的签字和单位盖章确认，并且有上述单位的造价工程师对综合单价进行审核的签字和盖章。</w:t>
      </w:r>
    </w:p>
    <w:p w14:paraId="51CE016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发包人供应材料收货验收签收单：按发包人供应材料收货验收签收单的编号顺序及不同材料分类整理装订成册。要求发包人供应材料收货验收签收单上有承包人、材料供货单位、监理人、发包人代表签字和单位盖章确认。</w:t>
      </w:r>
    </w:p>
    <w:p w14:paraId="42D9D41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其它结算资料：凡上述未提及而在结算评审中需要的资料均需提供，例如：施工日记、地质勘察报告、非常用的标准图集、应由承包人承担而由发包人支付的费用证明（如发包人代缴施工水电费票据、余泥排放费证明）等。</w:t>
      </w:r>
    </w:p>
    <w:p w14:paraId="4593FFC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资料签收表：按送审结算资料的内容表，以便资料的移交和管理。资料签收表上应注明资料内容、份数和页数（标注页码），并且对所有复印资料的真实性进行确认，资料签收表一式二份，由资料移交人和接收人分别签名，必要时加盖双方单位的印章。</w:t>
      </w:r>
    </w:p>
    <w:p w14:paraId="0EDFF636">
      <w:pPr>
        <w:pStyle w:val="2"/>
        <w:adjustRightInd w:val="0"/>
        <w:snapToGrid w:val="0"/>
        <w:spacing w:line="360" w:lineRule="auto"/>
        <w:ind w:firstLine="480" w:firstLineChars="200"/>
        <w:rPr>
          <w:rFonts w:hint="eastAsia" w:eastAsia="宋体"/>
          <w:color w:val="auto"/>
          <w:highlight w:val="none"/>
          <w:lang w:eastAsia="zh-CN"/>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18</w:t>
      </w:r>
      <w:r>
        <w:rPr>
          <w:rFonts w:hint="eastAsia" w:hAnsi="宋体" w:cs="宋体"/>
          <w:color w:val="auto"/>
          <w:sz w:val="24"/>
          <w:highlight w:val="none"/>
          <w:lang w:eastAsia="zh-CN"/>
        </w:rPr>
        <w:t>）结算资料还应符合《广州安居住房置业有限公司工程结算编审指引（试行）》（附件</w:t>
      </w:r>
      <w:r>
        <w:rPr>
          <w:rFonts w:hint="eastAsia" w:hAnsi="宋体" w:cs="宋体"/>
          <w:color w:val="auto"/>
          <w:sz w:val="24"/>
          <w:highlight w:val="none"/>
          <w:lang w:val="en-US" w:eastAsia="zh-CN"/>
        </w:rPr>
        <w:t>10</w:t>
      </w:r>
      <w:r>
        <w:rPr>
          <w:rFonts w:hint="eastAsia" w:hAnsi="宋体" w:cs="宋体"/>
          <w:color w:val="auto"/>
          <w:sz w:val="24"/>
          <w:highlight w:val="none"/>
          <w:lang w:eastAsia="zh-CN"/>
        </w:rPr>
        <w:t>）的要求。</w:t>
      </w:r>
    </w:p>
    <w:p w14:paraId="7A64B2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6B5D8E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竣工验收后14天内，承包人提交完整的竣工结算资料，发包人在收到经监理人初审的有关结算资料后90天内完成初审。结算审定后，发包人发现工程款超付，则承包人必须在收到发包人的通知后15天内无条件退还发包人，若承包人迟延退还工程款，除向发包人退还超付工程款，还应向发包人支付该超付工程款的利息，该利息以银行同期贷款利率的2倍计算。</w:t>
      </w:r>
    </w:p>
    <w:p w14:paraId="069848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17.5.3支付期、支付办法</w:t>
      </w:r>
    </w:p>
    <w:p w14:paraId="37A0EB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支付期、支付办法按专用条款第17.5条约定。承包人怠于提供以上竣工结算资料或者不配合结算事宜的，经发包人催告后仍不配合的，视为认可发包人的评审意见。承包人不得再对合同结算金额提出异议或请求鉴定。</w:t>
      </w:r>
    </w:p>
    <w:p w14:paraId="17098B9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3991B5E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3E8C6BC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17.6.1.1提交份数：壹式肆份。</w:t>
      </w:r>
    </w:p>
    <w:p w14:paraId="1430AE8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17.6.1.2 提交期限：结算评审完成且按专用条款第17.4.5款约定的最后一期质量保证金退还时间期满后5天内。</w:t>
      </w:r>
    </w:p>
    <w:p w14:paraId="501A4F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最终结清证书和支付时间：在监理工程师签发最终清算支付证书后的10天内。</w:t>
      </w:r>
    </w:p>
    <w:p w14:paraId="0C7B11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 支付事项</w:t>
      </w:r>
    </w:p>
    <w:p w14:paraId="6F6176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17.7.2 计算利息的利率：按照中国人民银行发布的同期同类贷款利率。</w:t>
      </w:r>
    </w:p>
    <w:p w14:paraId="1358CF1A">
      <w:pPr>
        <w:adjustRightInd w:val="0"/>
        <w:snapToGrid w:val="0"/>
        <w:spacing w:line="360" w:lineRule="auto"/>
        <w:ind w:firstLine="482" w:firstLineChars="200"/>
        <w:outlineLvl w:val="1"/>
        <w:rPr>
          <w:rFonts w:ascii="宋体" w:hAnsi="宋体" w:cs="宋体"/>
          <w:b/>
          <w:color w:val="auto"/>
          <w:sz w:val="24"/>
          <w:highlight w:val="none"/>
        </w:rPr>
      </w:pPr>
      <w:bookmarkStart w:id="64" w:name="_Toc11687"/>
      <w:r>
        <w:rPr>
          <w:rFonts w:hint="eastAsia" w:ascii="宋体" w:hAnsi="宋体" w:cs="宋体"/>
          <w:b/>
          <w:color w:val="auto"/>
          <w:sz w:val="24"/>
          <w:highlight w:val="none"/>
        </w:rPr>
        <w:t>18.  竣工试验和竣工验收</w:t>
      </w:r>
      <w:bookmarkEnd w:id="64"/>
    </w:p>
    <w:p w14:paraId="546454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14:paraId="56688B5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18.3.7竣工验收标准及程序</w:t>
      </w:r>
    </w:p>
    <w:p w14:paraId="5F62005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（1）竣工验收标准：按照国家、行业和广东省有关规定执行。</w:t>
      </w:r>
    </w:p>
    <w:p w14:paraId="1D4A586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（2）竣工验收程序：承包人工程完工后5天内，由承包人通知发包人及有关单位进行预验收，发包人在随后5天内验收完毕。工程内容及质量符合要求的，叁方签字盖章进行确认，并由承包人向主管部门申报验收。</w:t>
      </w:r>
    </w:p>
    <w:p w14:paraId="68F645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18.3.8双方约定的中间交工验收部位按穗建监字〔2001〕068号文件执行，验收人员组成：发包人、总监理工程师、承包人及后续关联工程承建等有关单位。</w:t>
      </w:r>
    </w:p>
    <w:p w14:paraId="7934365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14:paraId="4CE7769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24229B6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14:paraId="3257488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071D66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14:paraId="5DFDFA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14:paraId="11239344">
      <w:pPr>
        <w:adjustRightInd w:val="0"/>
        <w:snapToGrid w:val="0"/>
        <w:spacing w:line="360" w:lineRule="auto"/>
        <w:ind w:firstLine="482" w:firstLineChars="200"/>
        <w:outlineLvl w:val="1"/>
        <w:rPr>
          <w:rFonts w:ascii="宋体" w:hAnsi="宋体" w:cs="宋体"/>
          <w:b/>
          <w:color w:val="auto"/>
          <w:sz w:val="24"/>
          <w:highlight w:val="none"/>
        </w:rPr>
      </w:pPr>
      <w:bookmarkStart w:id="65" w:name="_Toc7643"/>
      <w:r>
        <w:rPr>
          <w:rFonts w:hint="eastAsia" w:ascii="宋体" w:hAnsi="宋体" w:cs="宋体"/>
          <w:b/>
          <w:color w:val="auto"/>
          <w:sz w:val="24"/>
          <w:highlight w:val="none"/>
        </w:rPr>
        <w:t>19.  缺陷责任与保修责任</w:t>
      </w:r>
      <w:bookmarkEnd w:id="65"/>
    </w:p>
    <w:p w14:paraId="522852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14:paraId="6CA894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缺陷责任期：本工程缺陷责任期自实际竣工且按照合同约定移交之日起计算，缺陷责任期两年，质量保证金的返还按合同专用条款第17.4.5款约定执行。</w:t>
      </w:r>
    </w:p>
    <w:p w14:paraId="62222ED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7AF805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 对在质量保修期内或结束后14天内发包人通知承包人需修正的质量缺陷，承包人应当在规定的时间内完成。如果承包人未能在规定时间内修正质量缺陷，则发包人有权按下列其中的任一种方法处理：</w:t>
      </w:r>
    </w:p>
    <w:p w14:paraId="684F98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19.2.5.1 可自行或指派第三方修正缺陷，因此产生的费用由承包人承担。该缺陷的修正费用经造价工程师或监理工程师核实，由承包人支付；</w:t>
      </w:r>
    </w:p>
    <w:p w14:paraId="1B4C31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19.2.5.2 在合同价款中对此项工作所需的费用做相应的扣除。</w:t>
      </w:r>
    </w:p>
    <w:p w14:paraId="3561D9B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70813E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 质量保修期：质量保修期从竣工验收合格且按照合同约定移交之日起计算，按国务院第279号《建设工程质量管理条例》的规定。</w:t>
      </w:r>
    </w:p>
    <w:p w14:paraId="4046F8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19.7.2 修复质量缺陷外工作：</w:t>
      </w:r>
    </w:p>
    <w:p w14:paraId="4D89573A">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承包人修复属于质量缺陷以外的费用，由责任方承担；如果该项工作是由于下述方面引起的，则全部费用均由承包人承担：</w:t>
      </w:r>
      <w:r>
        <w:rPr>
          <w:rFonts w:hint="eastAsia" w:ascii="宋体" w:hAnsi="宋体" w:cs="宋体"/>
          <w:color w:val="auto"/>
          <w:sz w:val="24"/>
          <w:highlight w:val="none"/>
          <w:u w:val="single"/>
        </w:rPr>
        <w:t>（1）、(2）、（3）</w:t>
      </w:r>
    </w:p>
    <w:p w14:paraId="2A97E3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（1）使用不符合合同规定的材料、设备装置或工艺；</w:t>
      </w:r>
    </w:p>
    <w:p w14:paraId="2EAF43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（2）承包人负责设计的工程，出现设计错误；</w:t>
      </w:r>
    </w:p>
    <w:p w14:paraId="369092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（3）承包人未能执行或忽略了合同中规定和暗含的义务；</w:t>
      </w:r>
    </w:p>
    <w:p w14:paraId="71BEC0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如果在合理时间内承包人未能执行上述指示，发包人可自行或指派第三方修复，因此产生的费用经造价工程师或监理工程师核实后，由承包人承担。</w:t>
      </w:r>
    </w:p>
    <w:p w14:paraId="2ADA646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19.7.3 因承包人原因致使建设工程在设计使用年限内造成人身和财产损害的，承包人应当承担损害赔偿责任。</w:t>
      </w:r>
    </w:p>
    <w:p w14:paraId="0C4B05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19.7.4 在本工程质量保修内，承包人接到发包人或发包人委托的物业管理单位维修通知时，必须在1小时内到场，并在接到通知后24小时内完成维修。否则，发包人有权自行委托第三方进行维修，维修费用从保修金内扣除。若保修金不足以弥补发包人损失的，发包人有权追偿。</w:t>
      </w:r>
    </w:p>
    <w:p w14:paraId="0B8D1424">
      <w:pPr>
        <w:adjustRightInd w:val="0"/>
        <w:snapToGrid w:val="0"/>
        <w:spacing w:line="360" w:lineRule="auto"/>
        <w:ind w:firstLine="482" w:firstLineChars="200"/>
        <w:outlineLvl w:val="1"/>
        <w:rPr>
          <w:rFonts w:ascii="宋体" w:hAnsi="宋体" w:cs="宋体"/>
          <w:b/>
          <w:color w:val="auto"/>
          <w:sz w:val="24"/>
          <w:highlight w:val="none"/>
        </w:rPr>
      </w:pPr>
      <w:bookmarkStart w:id="66" w:name="_Toc6290"/>
      <w:r>
        <w:rPr>
          <w:rFonts w:hint="eastAsia" w:ascii="宋体" w:hAnsi="宋体" w:cs="宋体"/>
          <w:b/>
          <w:color w:val="auto"/>
          <w:sz w:val="24"/>
          <w:highlight w:val="none"/>
        </w:rPr>
        <w:t>20. 保险</w:t>
      </w:r>
      <w:bookmarkEnd w:id="66"/>
    </w:p>
    <w:p w14:paraId="3AE026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14:paraId="35A7DB3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20.1.5 投保内容、保险金、保险期限和责任等事项的约定：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w:t>
      </w:r>
    </w:p>
    <w:p w14:paraId="70167A6A">
      <w:pPr>
        <w:adjustRightInd w:val="0"/>
        <w:snapToGrid w:val="0"/>
        <w:spacing w:line="360" w:lineRule="auto"/>
        <w:ind w:firstLine="482" w:firstLineChars="200"/>
        <w:outlineLvl w:val="1"/>
        <w:rPr>
          <w:rFonts w:ascii="宋体" w:hAnsi="宋体" w:cs="宋体"/>
          <w:b/>
          <w:color w:val="auto"/>
          <w:sz w:val="24"/>
          <w:highlight w:val="none"/>
        </w:rPr>
      </w:pPr>
      <w:bookmarkStart w:id="67" w:name="_Toc21095"/>
      <w:r>
        <w:rPr>
          <w:rFonts w:hint="eastAsia" w:ascii="宋体" w:hAnsi="宋体" w:cs="宋体"/>
          <w:b/>
          <w:color w:val="auto"/>
          <w:sz w:val="24"/>
          <w:highlight w:val="none"/>
        </w:rPr>
        <w:t>21. 不可抗力</w:t>
      </w:r>
      <w:bookmarkEnd w:id="67"/>
    </w:p>
    <w:p w14:paraId="73659D0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770154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不可抗力是指不能预见、不能避免并不能克服，对本合同工程的施工造成重大实质性影响的自然灾害和战争、动乱（不包括承包人内部的任何纠纷和纷争）等事件。不可抗力包括因战争、敌对行动（无论是否宣战）、入侵、外敌行为、军事政变、恐怖主义、动乱、空中飞行物坠落或其他非发包人承包人责任或原因造成的罢工、停工、爆炸、火灾等，以及：</w:t>
      </w:r>
    </w:p>
    <w:p w14:paraId="57A1BC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（1）当地气象部门规定的情形：仅指50年（含50年）一遇以上的洪水、10级（含10级）以上的台风；</w:t>
      </w:r>
    </w:p>
    <w:p w14:paraId="03074C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（2）当地地震部门规定的情形：仅指里氏5级以上（含5级）地震；</w:t>
      </w:r>
    </w:p>
    <w:p w14:paraId="78A23D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（3）当地卫生部门规定的情形：仅指构成突发公共卫生事件的重大传染病疫情暴发而被卫生部门强行要求停工的情况发生。</w:t>
      </w:r>
    </w:p>
    <w:p w14:paraId="6084ED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21.1.3因专用条款第21.1.1款约定的异常天气（洪水、台风）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7F212282">
      <w:pPr>
        <w:adjustRightInd w:val="0"/>
        <w:snapToGrid w:val="0"/>
        <w:spacing w:line="360" w:lineRule="auto"/>
        <w:ind w:firstLine="482" w:firstLineChars="200"/>
        <w:outlineLvl w:val="1"/>
        <w:rPr>
          <w:rFonts w:ascii="宋体" w:hAnsi="宋体" w:cs="宋体"/>
          <w:b/>
          <w:color w:val="auto"/>
          <w:sz w:val="24"/>
          <w:highlight w:val="none"/>
        </w:rPr>
      </w:pPr>
      <w:bookmarkStart w:id="68" w:name="_Toc17196"/>
      <w:r>
        <w:rPr>
          <w:rFonts w:hint="eastAsia" w:ascii="宋体" w:hAnsi="宋体" w:cs="宋体"/>
          <w:b/>
          <w:color w:val="auto"/>
          <w:sz w:val="24"/>
          <w:highlight w:val="none"/>
        </w:rPr>
        <w:t>22. 违约</w:t>
      </w:r>
      <w:bookmarkEnd w:id="68"/>
    </w:p>
    <w:p w14:paraId="3BA26E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45308AF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4B1B4B7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（10）合同生效后，承包人要求终止或解除合同，应返还发包人已支付的价款，双方进行清算，履约担保不予退还。</w:t>
      </w:r>
    </w:p>
    <w:p w14:paraId="5F0DD97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（11）若承包人不按指定的日期停工、复工的，每次向发包人支付违约金人民币5万元。</w:t>
      </w:r>
    </w:p>
    <w:p w14:paraId="7E9157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（12）工程验收不合格，履约担保不予退还，承包人应自费履行补救措施直到工程验收合格为止。</w:t>
      </w:r>
    </w:p>
    <w:p w14:paraId="162B86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工程通过验收且在发包人发出退场通知后5天内承包人应无条件退场，否则，每迟延一天退场，支付违约金10000元，承包人实际退场完毕之日为实际竣工之日，同时，发包人有权按已竣工工程的租金标准向承包人收取场地占用费。</w:t>
      </w:r>
    </w:p>
    <w:p w14:paraId="02DBBB6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承包人若无正当理由而未执行监理人的指令，或对监理人的指令敷衍了事，情节严重的，发包人将根据监理人建议，发包人有权每次对承包人处以5000元的罚款，暂停支付当期工程进度款，直至承包人完成监理人指令为止。</w:t>
      </w:r>
    </w:p>
    <w:p w14:paraId="09F8DDE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（15）承包人提供的工程结算资料必须完整真实，不得弄虚作假，随意涂改，否则，一经发现，将按合同价款的2％进行处罚。</w:t>
      </w:r>
    </w:p>
    <w:p w14:paraId="7A0A50A7">
      <w:pPr>
        <w:pStyle w:val="2"/>
        <w:adjustRightInd w:val="0"/>
        <w:snapToGrid w:val="0"/>
        <w:spacing w:line="360" w:lineRule="auto"/>
        <w:ind w:firstLine="480" w:firstLineChars="200"/>
        <w:rPr>
          <w:color w:val="auto"/>
          <w:highlight w:val="none"/>
        </w:rPr>
      </w:pPr>
      <w:r>
        <w:rPr>
          <w:rFonts w:hint="eastAsia" w:ascii="宋体" w:hAnsi="宋体" w:cs="宋体"/>
          <w:bCs/>
          <w:color w:val="auto"/>
          <w:sz w:val="24"/>
          <w:szCs w:val="24"/>
          <w:highlight w:val="none"/>
        </w:rPr>
        <w:t>（</w:t>
      </w:r>
      <w:r>
        <w:rPr>
          <w:rFonts w:hint="eastAsia" w:hAnsi="宋体" w:cs="宋体"/>
          <w:bCs/>
          <w:color w:val="auto"/>
          <w:sz w:val="24"/>
          <w:szCs w:val="24"/>
          <w:highlight w:val="none"/>
          <w:lang w:val="en-US" w:eastAsia="zh-CN"/>
        </w:rPr>
        <w:t>1</w:t>
      </w:r>
      <w:r>
        <w:rPr>
          <w:rFonts w:hint="eastAsia" w:ascii="宋体" w:hAnsi="宋体" w:cs="宋体"/>
          <w:color w:val="auto"/>
          <w:sz w:val="24"/>
          <w:szCs w:val="24"/>
          <w:highlight w:val="none"/>
        </w:rPr>
        <w:t>6）承包人在发包人</w:t>
      </w:r>
      <w:r>
        <w:rPr>
          <w:rFonts w:hint="eastAsia" w:hAnsi="宋体" w:cs="宋体"/>
          <w:color w:val="auto"/>
          <w:sz w:val="24"/>
          <w:szCs w:val="24"/>
          <w:highlight w:val="none"/>
          <w:lang w:eastAsia="zh-CN"/>
        </w:rPr>
        <w:t>按专用条款</w:t>
      </w:r>
      <w:r>
        <w:rPr>
          <w:rFonts w:hint="eastAsia" w:hAnsi="宋体" w:cs="宋体"/>
          <w:color w:val="auto"/>
          <w:sz w:val="24"/>
          <w:szCs w:val="24"/>
          <w:highlight w:val="none"/>
          <w:lang w:val="en-US" w:eastAsia="zh-CN"/>
        </w:rPr>
        <w:t>10.2.13约定</w:t>
      </w:r>
      <w:r>
        <w:rPr>
          <w:rFonts w:hint="eastAsia" w:ascii="宋体" w:hAnsi="宋体" w:cs="宋体"/>
          <w:color w:val="auto"/>
          <w:sz w:val="24"/>
          <w:szCs w:val="24"/>
          <w:highlight w:val="none"/>
        </w:rPr>
        <w:t>组织的考评或履约评价中不合格的，必须按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14:paraId="043503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22.1.7 承包人违约责任的认定程序</w:t>
      </w:r>
    </w:p>
    <w:p w14:paraId="0934D5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若承包人发生本合同约定的违约行为，发包人要求承包人承担违约责任的，应以书面形式通知承包人，说明其违约的原因和必须承担违约责任的等级，认定程序如下：</w:t>
      </w:r>
    </w:p>
    <w:p w14:paraId="696788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（1）由总监理工程师提出书面意见报发包人，发包人审核后向承包人出具《违约情况告知书》；</w:t>
      </w:r>
    </w:p>
    <w:p w14:paraId="564AE87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（2）承包人收到《违约情况告知书》两天内，可向发包人提出书面意见，否则，发包人可直接向承包人出具《违约责任通知书》；</w:t>
      </w:r>
    </w:p>
    <w:p w14:paraId="00C4C21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（3）《违约情况告知书》和《违约责任通知书》于送达承包人时即生效；</w:t>
      </w:r>
    </w:p>
    <w:p w14:paraId="09C681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（4）《违约情况告知书》和《违约责任通知书》的送达方式为下列任一种：</w:t>
      </w:r>
    </w:p>
    <w:p w14:paraId="2606786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①本项目的项目负责人或其他管理人员签收； </w:t>
      </w:r>
    </w:p>
    <w:p w14:paraId="4F27E37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②发包人以挂号邮件送达。</w:t>
      </w:r>
    </w:p>
    <w:p w14:paraId="0984D7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22.1.8 违约责任的承担形式包括但不限于：  </w:t>
      </w:r>
    </w:p>
    <w:p w14:paraId="451DF0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书面警告：</w:t>
      </w:r>
      <w:r>
        <w:rPr>
          <w:rFonts w:hint="eastAsia" w:ascii="宋体" w:hAnsi="宋体" w:cs="宋体"/>
          <w:color w:val="auto"/>
          <w:sz w:val="24"/>
          <w:highlight w:val="none"/>
        </w:rPr>
        <w:t>承包人未履行或未按时履行或未按质按量履行义务时，监理工程师经报发包人同意有权向承包人发出书面警告。</w:t>
      </w:r>
    </w:p>
    <w:p w14:paraId="6E7B071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限期改正：</w:t>
      </w:r>
      <w:r>
        <w:rPr>
          <w:rFonts w:hint="eastAsia" w:ascii="宋体" w:hAnsi="宋体" w:cs="宋体"/>
          <w:color w:val="auto"/>
          <w:sz w:val="24"/>
          <w:highlight w:val="none"/>
        </w:rPr>
        <w:t>承包人受到书面警告后仍不改正，监理工程师经报发包人同意有权向承包人发出《违约责任通知书》，要求承包人必须在监理工程师及发包人限定的时间内履行义务；同时，承包人应向发包人支付违约金人民币10000元。</w:t>
      </w:r>
    </w:p>
    <w:p w14:paraId="3B8F882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一般违约责任：</w:t>
      </w:r>
      <w:r>
        <w:rPr>
          <w:rFonts w:hint="eastAsia" w:ascii="宋体" w:hAnsi="宋体" w:cs="宋体"/>
          <w:color w:val="auto"/>
          <w:sz w:val="24"/>
          <w:highlight w:val="none"/>
        </w:rPr>
        <w:t>承包人违反本合同的约定须承担一般违约责任时，必须每次向发包人支付违约金3万元，若承包人再犯性质相同的违约行为，两次以上（含本数）6万元/次。不同违约行为的违约金可相加计算。</w:t>
      </w:r>
    </w:p>
    <w:p w14:paraId="086685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严重违约责任：</w:t>
      </w:r>
      <w:r>
        <w:rPr>
          <w:rFonts w:hint="eastAsia" w:ascii="宋体" w:hAnsi="宋体" w:cs="宋体"/>
          <w:color w:val="auto"/>
          <w:sz w:val="24"/>
          <w:highlight w:val="none"/>
        </w:rPr>
        <w:t>承包人违反本合同的约定须承担严重违约责任时，必须每次向发包人支付违约金9万元。</w:t>
      </w:r>
    </w:p>
    <w:p w14:paraId="366F6DE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合同的部分解除：</w:t>
      </w:r>
      <w:r>
        <w:rPr>
          <w:rFonts w:hint="eastAsia" w:ascii="宋体" w:hAnsi="宋体" w:cs="宋体"/>
          <w:color w:val="auto"/>
          <w:sz w:val="24"/>
          <w:highlight w:val="none"/>
        </w:rPr>
        <w:t>发包人向承包人发出合同部分解除的通知后，承包人必须在2天内停止该部分工程的施工，并将机械、材料、物件、人员从该部分工程的施工现场撤离。停工3天内，发包人、监理人将会同承包人对已完成工程量进行清点：只承认已发生并投入，且符合质量验收标准的部分，对已订货未到现场或在现场未使用的材料、设备等均不予承认，由承包人自行处理；对于承包人已施工但经检验不合格的工程，承包人必须在限期内拆除，并清运出工地，由此带来的承包人损失发包人不予负任何责任。承包人必须作好与发包人重新确定承包人的配合工作，在7天内作好已施工部分技术资料和实物的交底、移交工作。承包人因没有履行上述义务而给发包人带来工期延误和其它损失的，承包人应赔偿发包人的全部实际损失，发包人有权解除全部合同。</w:t>
      </w:r>
    </w:p>
    <w:p w14:paraId="05D8602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合同的全部解除：</w:t>
      </w:r>
      <w:r>
        <w:rPr>
          <w:rFonts w:hint="eastAsia" w:ascii="宋体" w:hAnsi="宋体" w:cs="宋体"/>
          <w:color w:val="auto"/>
          <w:sz w:val="24"/>
          <w:highlight w:val="none"/>
        </w:rPr>
        <w:t>发包人向承包人发出解除全部合同的通知后，承包人必须在2天内停工，10天内机械、材料、物件、人员全部清理离场。停工3天内，发包人、监理人将会同承包人对已完成工程量进行清点，清点原则同解除部分合同款。承包人未在规定期限内离场，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保证金不足以赔偿发包人损失的，承包人还应当补足）。由于合同全部解除而引致发包人工期延误及其它方面的损失，发包人有权要求承包人赔偿。停工7天内，承包人应将全部与工程相关的技术资料无条件移交给发包人，任何因移交资料不完整、不及时引起工程工期延误和其它损失均由承包人负责，承包人应赔偿发包人因此造成的一切经济损失。</w:t>
      </w:r>
    </w:p>
    <w:p w14:paraId="4622413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22.1.9 三次一般违约责任其性质相当于一次严重违约责任，累计三次严重违约责任，发包人有权解除部分合同；累计出现五次严重违约责任，发包人将立即解除全部合同。合同解除后，承包人必须承担累计的所有违约责任。</w:t>
      </w:r>
    </w:p>
    <w:p w14:paraId="2A0D796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22.1.10 违约金的支付</w:t>
      </w:r>
    </w:p>
    <w:p w14:paraId="20DE94E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项的规定，因承包人原因导致违约，承包人须向发包人支付违约金时，承包人须在当月20日前将上月发生的全部违约金向发包人支付完毕，并在申请当期工程进度款时附上付款凭证。如承包人逾期不支付违约金，发包人有权从应支付给承包人的工程进度款中直接抵扣，承包人不得有异议。如当期工程进度款不足扣付，或扣除当期工程进度款会影响工程正常施工时，发包人将在履约担保中扣除，并在以后的工程进度款中扣回。若因承包人的违约行为造成发包人的实际损失超过承包人履约担保所能支付的金额，则承包人必须按造成发包人的实际损失支付赔偿金。若承包人拒不支付，发包人将依法予以追讨。</w:t>
      </w:r>
    </w:p>
    <w:p w14:paraId="48074394">
      <w:pPr>
        <w:adjustRightInd w:val="0"/>
        <w:snapToGrid w:val="0"/>
        <w:spacing w:line="360" w:lineRule="auto"/>
        <w:ind w:firstLine="482" w:firstLineChars="200"/>
        <w:outlineLvl w:val="1"/>
        <w:rPr>
          <w:rFonts w:ascii="宋体" w:hAnsi="宋体" w:cs="宋体"/>
          <w:b/>
          <w:color w:val="auto"/>
          <w:sz w:val="24"/>
          <w:highlight w:val="none"/>
        </w:rPr>
      </w:pPr>
      <w:bookmarkStart w:id="69" w:name="_Toc386"/>
      <w:r>
        <w:rPr>
          <w:rFonts w:hint="eastAsia" w:ascii="宋体" w:hAnsi="宋体" w:cs="宋体"/>
          <w:b/>
          <w:color w:val="auto"/>
          <w:sz w:val="24"/>
          <w:highlight w:val="none"/>
        </w:rPr>
        <w:t>24. 争议的解决</w:t>
      </w:r>
      <w:bookmarkEnd w:id="69"/>
    </w:p>
    <w:p w14:paraId="6ED0531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 调解或认定</w:t>
      </w:r>
    </w:p>
    <w:p w14:paraId="40776F0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争议调解或认定机构：</w:t>
      </w:r>
    </w:p>
    <w:p w14:paraId="780664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（1）建设工程安全监督机构，负责有关工程安全方面争议的调解或认定；</w:t>
      </w:r>
    </w:p>
    <w:p w14:paraId="00F8E63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（2）建设工程质量监督机构，负责有关工程质量方面争议的调解或认定；</w:t>
      </w:r>
    </w:p>
    <w:p w14:paraId="34F07F8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（3）建设工程造价管理机构，负责有关工程造价方面争议的调解或认定。</w:t>
      </w:r>
    </w:p>
    <w:p w14:paraId="164808C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24.5 仲裁或诉讼</w:t>
      </w:r>
    </w:p>
    <w:p w14:paraId="0C7007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解决争议的最终方式：向施工合同履行地人民法院提起诉讼。 </w:t>
      </w:r>
    </w:p>
    <w:p w14:paraId="39BECA72">
      <w:pPr>
        <w:adjustRightInd w:val="0"/>
        <w:snapToGrid w:val="0"/>
        <w:spacing w:line="360" w:lineRule="auto"/>
        <w:jc w:val="center"/>
        <w:rPr>
          <w:rFonts w:ascii="宋体" w:hAnsi="宋体" w:cs="宋体"/>
          <w:b/>
          <w:color w:val="auto"/>
          <w:sz w:val="24"/>
          <w:highlight w:val="none"/>
        </w:rPr>
      </w:pPr>
    </w:p>
    <w:p w14:paraId="5F8ED2F3">
      <w:pPr>
        <w:adjustRightInd w:val="0"/>
        <w:snapToGrid w:val="0"/>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bookmarkStart w:id="70" w:name="_Toc4677"/>
      <w:r>
        <w:rPr>
          <w:rFonts w:hint="eastAsia" w:ascii="宋体" w:hAnsi="宋体" w:cs="宋体"/>
          <w:b/>
          <w:color w:val="auto"/>
          <w:sz w:val="32"/>
          <w:szCs w:val="32"/>
          <w:highlight w:val="none"/>
        </w:rPr>
        <w:t>第四部分   附件</w:t>
      </w:r>
      <w:bookmarkEnd w:id="70"/>
    </w:p>
    <w:p w14:paraId="68D4F76D">
      <w:pPr>
        <w:adjustRightInd w:val="0"/>
        <w:snapToGrid w:val="0"/>
        <w:spacing w:line="360" w:lineRule="auto"/>
        <w:ind w:firstLine="480" w:firstLineChars="200"/>
        <w:outlineLvl w:val="1"/>
        <w:rPr>
          <w:rFonts w:ascii="宋体" w:hAnsi="宋体" w:cs="宋体"/>
          <w:color w:val="auto"/>
          <w:sz w:val="24"/>
          <w:highlight w:val="none"/>
        </w:rPr>
      </w:pPr>
      <w:bookmarkStart w:id="71" w:name="_Toc17308"/>
      <w:r>
        <w:rPr>
          <w:rFonts w:hint="eastAsia" w:ascii="宋体" w:hAnsi="宋体" w:cs="宋体"/>
          <w:color w:val="auto"/>
          <w:sz w:val="24"/>
          <w:highlight w:val="none"/>
        </w:rPr>
        <w:t>附件1：工程质量保修书</w:t>
      </w:r>
      <w:bookmarkEnd w:id="71"/>
    </w:p>
    <w:p w14:paraId="41367D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附件2：廉政合同</w:t>
      </w:r>
    </w:p>
    <w:p w14:paraId="36A6B6F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附件3：保密协议</w:t>
      </w:r>
    </w:p>
    <w:p w14:paraId="5DBBBF06">
      <w:pPr>
        <w:adjustRightInd w:val="0"/>
        <w:snapToGrid w:val="0"/>
        <w:spacing w:line="360" w:lineRule="auto"/>
        <w:ind w:firstLine="480" w:firstLineChars="200"/>
        <w:outlineLvl w:val="1"/>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附件4：</w:t>
      </w:r>
      <w:r>
        <w:rPr>
          <w:rFonts w:hint="eastAsia" w:ascii="宋体" w:hAnsi="宋体" w:cs="宋体"/>
          <w:b w:val="0"/>
          <w:color w:val="auto"/>
          <w:sz w:val="24"/>
          <w:szCs w:val="24"/>
          <w:highlight w:val="none"/>
          <w:lang w:eastAsia="zh-CN"/>
        </w:rPr>
        <w:t>采购</w:t>
      </w:r>
      <w:r>
        <w:rPr>
          <w:rFonts w:hint="eastAsia" w:ascii="宋体" w:hAnsi="宋体" w:eastAsia="宋体" w:cs="宋体"/>
          <w:b w:val="0"/>
          <w:color w:val="auto"/>
          <w:sz w:val="24"/>
          <w:szCs w:val="24"/>
          <w:highlight w:val="none"/>
        </w:rPr>
        <w:t>需求</w:t>
      </w:r>
      <w:r>
        <w:rPr>
          <w:rFonts w:hint="eastAsia" w:ascii="宋体" w:hAnsi="宋体" w:cs="宋体"/>
          <w:color w:val="auto"/>
          <w:sz w:val="24"/>
          <w:highlight w:val="none"/>
        </w:rPr>
        <w:t>书</w:t>
      </w:r>
      <w:r>
        <w:rPr>
          <w:rFonts w:hint="eastAsia" w:ascii="宋体" w:hAnsi="宋体" w:cs="宋体"/>
          <w:color w:val="auto"/>
          <w:sz w:val="24"/>
          <w:highlight w:val="none"/>
          <w:lang w:eastAsia="zh-CN"/>
        </w:rPr>
        <w:t>（另册）</w:t>
      </w:r>
    </w:p>
    <w:p w14:paraId="32E4A2AD">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附件5：联合体协议书（复印件）</w:t>
      </w:r>
    </w:p>
    <w:p w14:paraId="338910C4">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附件6：《广州安居集团有限公司建设工程设计管理办法（试行）》</w:t>
      </w:r>
      <w:r>
        <w:rPr>
          <w:rFonts w:hint="eastAsia" w:ascii="宋体" w:hAnsi="宋体" w:cs="宋体"/>
          <w:color w:val="auto"/>
          <w:sz w:val="24"/>
          <w:highlight w:val="none"/>
          <w:lang w:eastAsia="zh-CN"/>
        </w:rPr>
        <w:t>（另册）</w:t>
      </w:r>
    </w:p>
    <w:p w14:paraId="163ED21F">
      <w:pPr>
        <w:adjustRightInd w:val="0"/>
        <w:snapToGrid w:val="0"/>
        <w:spacing w:line="360" w:lineRule="auto"/>
        <w:ind w:firstLine="456" w:firstLineChars="200"/>
        <w:outlineLvl w:val="1"/>
        <w:rPr>
          <w:rFonts w:ascii="宋体" w:hAnsi="宋体" w:cs="宋体"/>
          <w:color w:val="auto"/>
          <w:spacing w:val="-6"/>
          <w:sz w:val="24"/>
          <w:highlight w:val="none"/>
        </w:rPr>
      </w:pPr>
      <w:r>
        <w:rPr>
          <w:rFonts w:hint="eastAsia" w:ascii="宋体" w:hAnsi="宋体" w:cs="宋体"/>
          <w:color w:val="auto"/>
          <w:spacing w:val="-6"/>
          <w:sz w:val="24"/>
          <w:highlight w:val="none"/>
        </w:rPr>
        <w:t>附件7：《广州安居集团保障性住房项目设计评价标准及负面清单（试行）》</w:t>
      </w:r>
      <w:r>
        <w:rPr>
          <w:rFonts w:hint="eastAsia" w:ascii="宋体" w:hAnsi="宋体" w:cs="宋体"/>
          <w:color w:val="auto"/>
          <w:spacing w:val="-6"/>
          <w:sz w:val="24"/>
          <w:highlight w:val="none"/>
          <w:lang w:eastAsia="zh-CN"/>
        </w:rPr>
        <w:t>（另册）</w:t>
      </w:r>
    </w:p>
    <w:p w14:paraId="418997E9">
      <w:pPr>
        <w:pStyle w:val="2"/>
        <w:spacing w:line="360" w:lineRule="auto"/>
        <w:ind w:firstLine="480" w:firstLineChars="200"/>
        <w:rPr>
          <w:rFonts w:hint="eastAsia" w:hAnsi="宋体" w:cs="宋体"/>
          <w:color w:val="auto"/>
          <w:sz w:val="24"/>
          <w:highlight w:val="none"/>
          <w:lang w:val="en-US" w:eastAsia="zh-CN"/>
        </w:rPr>
      </w:pPr>
      <w:r>
        <w:rPr>
          <w:rFonts w:hint="eastAsia" w:ascii="宋体" w:hAnsi="宋体" w:cs="宋体"/>
          <w:color w:val="auto"/>
          <w:sz w:val="24"/>
          <w:highlight w:val="none"/>
        </w:rPr>
        <w:t>附件8：</w:t>
      </w:r>
      <w:r>
        <w:rPr>
          <w:rFonts w:hint="eastAsia" w:hAnsi="宋体" w:cs="宋体"/>
          <w:color w:val="auto"/>
          <w:sz w:val="24"/>
          <w:highlight w:val="none"/>
          <w:lang w:val="en-US" w:eastAsia="zh-CN"/>
        </w:rPr>
        <w:t>《广州安居集团有限公司施工合同履约评价实施办法（试行）》（另册）</w:t>
      </w:r>
    </w:p>
    <w:p w14:paraId="273E7835">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w:t>
      </w:r>
      <w:r>
        <w:rPr>
          <w:rFonts w:hint="eastAsia" w:hAnsi="宋体" w:cs="宋体"/>
          <w:color w:val="auto"/>
          <w:sz w:val="24"/>
          <w:highlight w:val="none"/>
          <w:lang w:val="en-US" w:eastAsia="zh-CN"/>
        </w:rPr>
        <w:t>9</w:t>
      </w:r>
      <w:r>
        <w:rPr>
          <w:rFonts w:hint="eastAsia" w:ascii="宋体" w:hAnsi="宋体" w:cs="宋体"/>
          <w:color w:val="auto"/>
          <w:sz w:val="24"/>
          <w:highlight w:val="none"/>
        </w:rPr>
        <w:t>：《广州安居住房置业有限公司工程预算编审指引（试行）》（另册）</w:t>
      </w:r>
    </w:p>
    <w:p w14:paraId="4AC9C1FB">
      <w:pPr>
        <w:pStyle w:val="2"/>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1</w:t>
      </w:r>
      <w:r>
        <w:rPr>
          <w:rFonts w:hint="eastAsia" w:hAnsi="宋体" w:cs="宋体"/>
          <w:color w:val="auto"/>
          <w:sz w:val="24"/>
          <w:highlight w:val="none"/>
          <w:lang w:val="en-US" w:eastAsia="zh-CN"/>
        </w:rPr>
        <w:t>0</w:t>
      </w:r>
      <w:r>
        <w:rPr>
          <w:rFonts w:hint="eastAsia" w:ascii="宋体" w:hAnsi="宋体" w:cs="宋体"/>
          <w:color w:val="auto"/>
          <w:sz w:val="24"/>
          <w:highlight w:val="none"/>
        </w:rPr>
        <w:t>：《广州安居住房置业有限公司工程结算编审指引（试行）》（另册）</w:t>
      </w:r>
    </w:p>
    <w:p w14:paraId="42F27081">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：承包人法定代表人、项目负责人的身份证、职务、职称及通信联系方式</w:t>
      </w:r>
    </w:p>
    <w:p w14:paraId="796D6272">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主要材料设备品牌推荐表（参照或相当于）</w:t>
      </w:r>
      <w:r>
        <w:rPr>
          <w:rFonts w:hint="eastAsia" w:ascii="宋体" w:hAnsi="宋体" w:cs="宋体"/>
          <w:color w:val="auto"/>
          <w:sz w:val="24"/>
          <w:highlight w:val="none"/>
          <w:lang w:eastAsia="zh-CN"/>
        </w:rPr>
        <w:t>（另册）</w:t>
      </w:r>
    </w:p>
    <w:p w14:paraId="7C9730FE">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建筑施工安全生产协议书</w:t>
      </w:r>
    </w:p>
    <w:p w14:paraId="53C3D977">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工人权益保障承诺书</w:t>
      </w:r>
    </w:p>
    <w:p w14:paraId="368B8134">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《安居“好房子”绿化苗木选用及种植技术指引（试行）》</w:t>
      </w:r>
      <w:r>
        <w:rPr>
          <w:rFonts w:hint="eastAsia" w:ascii="宋体" w:hAnsi="宋体" w:cs="宋体"/>
          <w:color w:val="auto"/>
          <w:sz w:val="24"/>
          <w:highlight w:val="none"/>
          <w:lang w:eastAsia="zh-CN"/>
        </w:rPr>
        <w:t>（另册）</w:t>
      </w:r>
    </w:p>
    <w:p w14:paraId="3E327E5D">
      <w:pPr>
        <w:adjustRightInd w:val="0"/>
        <w:snapToGrid w:val="0"/>
        <w:spacing w:line="360" w:lineRule="auto"/>
        <w:ind w:firstLine="480" w:firstLineChars="200"/>
        <w:outlineLvl w:val="1"/>
        <w:rPr>
          <w:rFonts w:hint="eastAsia" w:ascii="宋体" w:hAnsi="宋体" w:cs="宋体"/>
          <w:color w:val="auto"/>
          <w:sz w:val="24"/>
          <w:highlight w:val="none"/>
          <w:lang w:eastAsia="zh-CN"/>
        </w:rPr>
      </w:pPr>
      <w:r>
        <w:rPr>
          <w:rFonts w:hint="eastAsia" w:hAnsi="宋体" w:cs="宋体"/>
          <w:color w:val="auto"/>
          <w:sz w:val="24"/>
          <w:highlight w:val="none"/>
          <w:lang w:val="en-US" w:eastAsia="zh-CN"/>
        </w:rPr>
        <w:t>附件</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《安居“好房子”项目小区道路及园林景观设计指引（试行）》</w:t>
      </w:r>
      <w:r>
        <w:rPr>
          <w:rFonts w:hint="eastAsia" w:ascii="宋体" w:hAnsi="宋体" w:cs="宋体"/>
          <w:color w:val="auto"/>
          <w:sz w:val="24"/>
          <w:highlight w:val="none"/>
          <w:lang w:eastAsia="zh-CN"/>
        </w:rPr>
        <w:t>（另册）</w:t>
      </w:r>
    </w:p>
    <w:p w14:paraId="1AB88E77">
      <w:pPr>
        <w:adjustRightInd w:val="0"/>
        <w:snapToGrid w:val="0"/>
        <w:spacing w:line="360" w:lineRule="auto"/>
        <w:ind w:firstLine="0" w:firstLineChars="0"/>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附件1</w:t>
      </w:r>
    </w:p>
    <w:p w14:paraId="4970424A">
      <w:pPr>
        <w:adjustRightInd w:val="0"/>
        <w:snapToGrid w:val="0"/>
        <w:spacing w:line="480" w:lineRule="auto"/>
        <w:jc w:val="center"/>
        <w:outlineLvl w:val="0"/>
        <w:rPr>
          <w:rFonts w:ascii="宋体" w:hAnsi="宋体" w:cs="宋体"/>
          <w:snapToGrid w:val="0"/>
          <w:color w:val="auto"/>
          <w:kern w:val="0"/>
          <w:sz w:val="30"/>
          <w:szCs w:val="30"/>
          <w:highlight w:val="none"/>
        </w:rPr>
      </w:pPr>
      <w:bookmarkStart w:id="72" w:name="_Toc25593"/>
      <w:bookmarkStart w:id="73" w:name="_Toc28645"/>
      <w:bookmarkStart w:id="74" w:name="_Toc2189"/>
      <w:r>
        <w:rPr>
          <w:rFonts w:hint="eastAsia" w:ascii="宋体" w:hAnsi="宋体" w:cs="宋体"/>
          <w:b/>
          <w:snapToGrid w:val="0"/>
          <w:color w:val="auto"/>
          <w:kern w:val="0"/>
          <w:sz w:val="30"/>
          <w:szCs w:val="30"/>
          <w:highlight w:val="none"/>
        </w:rPr>
        <w:t>工程质量保修书</w:t>
      </w:r>
      <w:bookmarkEnd w:id="72"/>
      <w:bookmarkEnd w:id="73"/>
      <w:bookmarkEnd w:id="74"/>
    </w:p>
    <w:p w14:paraId="314453B9">
      <w:pPr>
        <w:adjustRightInd w:val="0"/>
        <w:snapToGrid w:val="0"/>
        <w:spacing w:line="360" w:lineRule="auto"/>
        <w:ind w:right="11"/>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发包人：</w:t>
      </w:r>
      <w:r>
        <w:rPr>
          <w:rFonts w:hint="eastAsia" w:ascii="宋体" w:hAnsi="宋体" w:cs="宋体"/>
          <w:b/>
          <w:snapToGrid w:val="0"/>
          <w:color w:val="auto"/>
          <w:kern w:val="0"/>
          <w:sz w:val="24"/>
          <w:highlight w:val="none"/>
          <w:u w:val="single"/>
        </w:rPr>
        <w:t xml:space="preserve">广州安居住房置业有限公司 </w:t>
      </w:r>
    </w:p>
    <w:p w14:paraId="5301385B">
      <w:pPr>
        <w:adjustRightInd w:val="0"/>
        <w:snapToGrid w:val="0"/>
        <w:spacing w:line="360" w:lineRule="auto"/>
        <w:ind w:left="1928" w:right="11" w:hanging="1928" w:hangingChars="800"/>
        <w:rPr>
          <w:rFonts w:hint="default" w:ascii="宋体" w:hAnsi="宋体" w:eastAsia="宋体" w:cs="宋体"/>
          <w:b/>
          <w:snapToGrid w:val="0"/>
          <w:color w:val="auto"/>
          <w:kern w:val="0"/>
          <w:sz w:val="24"/>
          <w:highlight w:val="none"/>
          <w:u w:val="single"/>
          <w:lang w:val="en-US" w:eastAsia="zh-CN"/>
        </w:rPr>
      </w:pPr>
      <w:r>
        <w:rPr>
          <w:rFonts w:hint="eastAsia" w:ascii="宋体" w:hAnsi="宋体" w:cs="宋体"/>
          <w:b/>
          <w:snapToGrid w:val="0"/>
          <w:color w:val="auto"/>
          <w:kern w:val="0"/>
          <w:sz w:val="24"/>
          <w:highlight w:val="none"/>
        </w:rPr>
        <w:t>承包人：</w:t>
      </w:r>
      <w:r>
        <w:rPr>
          <w:rFonts w:hint="eastAsia" w:ascii="宋体" w:hAnsi="宋体" w:cs="宋体"/>
          <w:b/>
          <w:snapToGrid w:val="0"/>
          <w:color w:val="auto"/>
          <w:kern w:val="0"/>
          <w:sz w:val="24"/>
          <w:highlight w:val="none"/>
          <w:u w:val="single"/>
        </w:rPr>
        <w:t>（主）</w:t>
      </w:r>
      <w:r>
        <w:rPr>
          <w:rFonts w:hint="eastAsia" w:ascii="宋体" w:hAnsi="宋体" w:cs="宋体"/>
          <w:b/>
          <w:snapToGrid w:val="0"/>
          <w:color w:val="auto"/>
          <w:kern w:val="0"/>
          <w:sz w:val="24"/>
          <w:highlight w:val="none"/>
          <w:u w:val="single"/>
          <w:lang w:val="en-US" w:eastAsia="zh-CN"/>
        </w:rPr>
        <w:t xml:space="preserve">                          </w:t>
      </w:r>
    </w:p>
    <w:p w14:paraId="717F315D">
      <w:pPr>
        <w:adjustRightInd w:val="0"/>
        <w:snapToGrid w:val="0"/>
        <w:spacing w:line="360" w:lineRule="auto"/>
        <w:ind w:left="1928" w:right="11" w:hanging="1928" w:hangingChars="800"/>
        <w:rPr>
          <w:rFonts w:hint="eastAsia" w:ascii="宋体" w:hAnsi="宋体" w:cs="宋体"/>
          <w:b/>
          <w:snapToGrid w:val="0"/>
          <w:color w:val="auto"/>
          <w:kern w:val="0"/>
          <w:sz w:val="24"/>
          <w:highlight w:val="none"/>
          <w:u w:val="single"/>
          <w:lang w:val="en-US" w:eastAsia="zh-CN"/>
        </w:rPr>
      </w:pPr>
      <w:r>
        <w:rPr>
          <w:rFonts w:hint="eastAsia" w:ascii="宋体" w:hAnsi="宋体" w:cs="宋体"/>
          <w:b/>
          <w:snapToGrid w:val="0"/>
          <w:color w:val="auto"/>
          <w:kern w:val="0"/>
          <w:sz w:val="24"/>
          <w:highlight w:val="none"/>
        </w:rPr>
        <w:t xml:space="preserve">        </w:t>
      </w:r>
      <w:r>
        <w:rPr>
          <w:rFonts w:hint="eastAsia" w:ascii="宋体" w:hAnsi="宋体" w:cs="宋体"/>
          <w:b/>
          <w:snapToGrid w:val="0"/>
          <w:color w:val="auto"/>
          <w:kern w:val="0"/>
          <w:sz w:val="24"/>
          <w:highlight w:val="none"/>
          <w:u w:val="single"/>
        </w:rPr>
        <w:t>（成）</w:t>
      </w:r>
      <w:r>
        <w:rPr>
          <w:rFonts w:hint="eastAsia" w:ascii="宋体" w:hAnsi="宋体" w:cs="宋体"/>
          <w:b/>
          <w:snapToGrid w:val="0"/>
          <w:color w:val="auto"/>
          <w:kern w:val="0"/>
          <w:sz w:val="24"/>
          <w:highlight w:val="none"/>
          <w:u w:val="single"/>
          <w:lang w:val="en-US" w:eastAsia="zh-CN"/>
        </w:rPr>
        <w:t xml:space="preserve">                           </w:t>
      </w:r>
    </w:p>
    <w:p w14:paraId="0281B412">
      <w:pPr>
        <w:pStyle w:val="2"/>
        <w:rPr>
          <w:rFonts w:hint="default"/>
          <w:color w:val="auto"/>
          <w:highlight w:val="none"/>
          <w:lang w:val="en-US" w:eastAsia="zh-CN"/>
        </w:rPr>
      </w:pPr>
    </w:p>
    <w:p w14:paraId="41D9E183">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发包人、承包人根据《中华人民共和国建筑法》、《建设工程质量管理条例》和《房屋建筑工程质量保修办法》，经协商一致，对</w:t>
      </w:r>
      <w:r>
        <w:rPr>
          <w:rFonts w:hint="eastAsia" w:ascii="宋体" w:hAnsi="宋体" w:eastAsia="宋体" w:cs="宋体"/>
          <w:b w:val="0"/>
          <w:snapToGrid w:val="0"/>
          <w:color w:val="auto"/>
          <w:kern w:val="0"/>
          <w:sz w:val="24"/>
          <w:szCs w:val="24"/>
          <w:highlight w:val="none"/>
          <w:u w:val="single"/>
        </w:rPr>
        <w:t>金沙洲新社区人居环境升级改造</w:t>
      </w:r>
      <w:r>
        <w:rPr>
          <w:rFonts w:hint="eastAsia" w:ascii="宋体" w:hAnsi="宋体" w:cs="宋体"/>
          <w:snapToGrid w:val="0"/>
          <w:color w:val="auto"/>
          <w:kern w:val="0"/>
          <w:sz w:val="24"/>
          <w:highlight w:val="none"/>
          <w:u w:val="single"/>
        </w:rPr>
        <w:t>项目设计施工总承包</w:t>
      </w:r>
      <w:r>
        <w:rPr>
          <w:rFonts w:hint="eastAsia" w:ascii="宋体" w:hAnsi="宋体" w:cs="宋体"/>
          <w:snapToGrid w:val="0"/>
          <w:color w:val="auto"/>
          <w:kern w:val="0"/>
          <w:sz w:val="24"/>
          <w:highlight w:val="none"/>
        </w:rPr>
        <w:t>签订工程质量保修书。</w:t>
      </w:r>
      <w:bookmarkStart w:id="75" w:name="_Toc20026"/>
      <w:bookmarkStart w:id="76" w:name="_Toc9984"/>
      <w:bookmarkStart w:id="77" w:name="_Toc29663"/>
    </w:p>
    <w:p w14:paraId="25651AF5">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78" w:name="_Toc10387"/>
      <w:r>
        <w:rPr>
          <w:rFonts w:hint="eastAsia" w:ascii="宋体" w:hAnsi="宋体" w:cs="宋体"/>
          <w:snapToGrid w:val="0"/>
          <w:color w:val="auto"/>
          <w:kern w:val="0"/>
          <w:sz w:val="24"/>
          <w:highlight w:val="none"/>
        </w:rPr>
        <w:t>一、工程质量保修范围和内容</w:t>
      </w:r>
      <w:bookmarkEnd w:id="75"/>
      <w:bookmarkEnd w:id="76"/>
      <w:bookmarkEnd w:id="77"/>
      <w:bookmarkEnd w:id="78"/>
    </w:p>
    <w:p w14:paraId="36C77479">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承包人在质量保修期内，按照有关法律、法规、规章的管理规定和双方约定，承担本工程质量保修责任。</w:t>
      </w:r>
    </w:p>
    <w:p w14:paraId="4B8B81CD">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质量保修范围包括：所有承包范围内的工程均属保修范围。具体质量保修内容双方约定如下：本合同规定的承包范围内全部工程内容。</w:t>
      </w:r>
    </w:p>
    <w:p w14:paraId="07CD5102">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79" w:name="_Toc6227"/>
      <w:bookmarkStart w:id="80" w:name="_Toc22909"/>
      <w:bookmarkStart w:id="81" w:name="_Toc2716"/>
      <w:bookmarkStart w:id="82" w:name="_Toc29384"/>
      <w:r>
        <w:rPr>
          <w:rFonts w:hint="eastAsia" w:ascii="宋体" w:hAnsi="宋体" w:cs="宋体"/>
          <w:snapToGrid w:val="0"/>
          <w:color w:val="auto"/>
          <w:kern w:val="0"/>
          <w:sz w:val="24"/>
          <w:highlight w:val="none"/>
        </w:rPr>
        <w:t>二、质量保修期</w:t>
      </w:r>
      <w:bookmarkEnd w:id="79"/>
      <w:bookmarkEnd w:id="80"/>
      <w:bookmarkEnd w:id="81"/>
      <w:bookmarkEnd w:id="82"/>
    </w:p>
    <w:p w14:paraId="36AAA779">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双方根据《建设工程质量管理条例》及有关规定，约定本工程的质量保修期如下：</w:t>
      </w:r>
    </w:p>
    <w:p w14:paraId="5B5FB26D">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1．电气管线、给排水管道、设备安装为2年。</w:t>
      </w:r>
    </w:p>
    <w:p w14:paraId="530ABB92">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2．其他约定：按国家现行规范规程及相关标准和设计的有关要求执行。</w:t>
      </w:r>
    </w:p>
    <w:p w14:paraId="21ABEE17">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质量保修期自工程竣工验收合格之日起计算。</w:t>
      </w:r>
    </w:p>
    <w:p w14:paraId="130923F0">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3" w:name="_Toc12853"/>
      <w:bookmarkStart w:id="84" w:name="_Toc16552"/>
      <w:bookmarkStart w:id="85" w:name="_Toc26784"/>
      <w:bookmarkStart w:id="86" w:name="_Toc16986"/>
      <w:r>
        <w:rPr>
          <w:rFonts w:hint="eastAsia" w:ascii="宋体" w:hAnsi="宋体" w:cs="宋体"/>
          <w:snapToGrid w:val="0"/>
          <w:color w:val="auto"/>
          <w:kern w:val="0"/>
          <w:sz w:val="24"/>
          <w:highlight w:val="none"/>
        </w:rPr>
        <w:t>三、质量保修责任</w:t>
      </w:r>
      <w:bookmarkEnd w:id="83"/>
      <w:bookmarkEnd w:id="84"/>
      <w:bookmarkEnd w:id="85"/>
      <w:bookmarkEnd w:id="86"/>
    </w:p>
    <w:p w14:paraId="0B290D8C">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r>
        <w:rPr>
          <w:rFonts w:hint="eastAsia" w:ascii="宋体" w:hAnsi="宋体" w:cs="宋体"/>
          <w:snapToGrid w:val="0"/>
          <w:color w:val="auto"/>
          <w:kern w:val="0"/>
          <w:sz w:val="24"/>
          <w:highlight w:val="none"/>
          <w:lang w:val="zh-CN"/>
        </w:rPr>
        <w:t>属于保修范围的项目，承包人应在接到发包人通知后的</w:t>
      </w:r>
      <w:r>
        <w:rPr>
          <w:rFonts w:hint="eastAsia" w:ascii="宋体" w:hAnsi="宋体" w:cs="宋体"/>
          <w:snapToGrid w:val="0"/>
          <w:color w:val="auto"/>
          <w:kern w:val="0"/>
          <w:sz w:val="24"/>
          <w:highlight w:val="none"/>
        </w:rPr>
        <w:t>24小时</w:t>
      </w:r>
      <w:r>
        <w:rPr>
          <w:rFonts w:hint="eastAsia" w:ascii="宋体" w:hAnsi="宋体" w:cs="宋体"/>
          <w:snapToGrid w:val="0"/>
          <w:color w:val="auto"/>
          <w:kern w:val="0"/>
          <w:sz w:val="24"/>
          <w:highlight w:val="none"/>
          <w:lang w:val="zh-CN"/>
        </w:rPr>
        <w:t>内派人保修。承包人未能在规定时间内派人保修的，发包人可自行或委托第三方保修，保修费用从质量保修金中扣除</w:t>
      </w:r>
      <w:r>
        <w:rPr>
          <w:rFonts w:hint="eastAsia" w:ascii="宋体" w:hAnsi="宋体" w:cs="宋体"/>
          <w:snapToGrid w:val="0"/>
          <w:color w:val="auto"/>
          <w:kern w:val="0"/>
          <w:sz w:val="24"/>
          <w:highlight w:val="none"/>
        </w:rPr>
        <w:t>。</w:t>
      </w:r>
    </w:p>
    <w:p w14:paraId="0C4354AC">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发生紧急抢修事故的，承包人在接到通知后，应立即到达事故现场抢修。保修通知可以口头或书面的方式发出。如以口头方式发出的，承包人应当如实记录通知时间和内容，并在到达现场保修时由发包人签字确认。书面方式包括但不限于电子邮件、传真、信函等方式。否则，发包人可以另委托单位抢修，属承包人施工质量问题造成的修复等费用全部由承包人承担。</w:t>
      </w:r>
    </w:p>
    <w:p w14:paraId="373E18A7">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在国家规定的工程合理使用期限内，承包人应确保地基基础工程和主体结构的质量和安全。凡出现质量问题，应立即报告当地建设行政主管部门，由承包人或具有相应资质等级的设计单位提出保修方案后，承包人应立即实施保修。</w:t>
      </w:r>
    </w:p>
    <w:p w14:paraId="61F4DDFC">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4．质量保修完成后，由发包人组织验收。</w:t>
      </w:r>
    </w:p>
    <w:p w14:paraId="5D97F289">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7" w:name="_Toc67"/>
      <w:bookmarkStart w:id="88" w:name="_Toc25873"/>
      <w:bookmarkStart w:id="89" w:name="_Toc15485"/>
      <w:bookmarkStart w:id="90" w:name="_Toc21301"/>
      <w:r>
        <w:rPr>
          <w:rFonts w:hint="eastAsia" w:ascii="宋体" w:hAnsi="宋体" w:cs="宋体"/>
          <w:snapToGrid w:val="0"/>
          <w:color w:val="auto"/>
          <w:kern w:val="0"/>
          <w:sz w:val="24"/>
          <w:highlight w:val="none"/>
        </w:rPr>
        <w:t>四、保修费用</w:t>
      </w:r>
      <w:bookmarkEnd w:id="87"/>
      <w:bookmarkEnd w:id="88"/>
      <w:bookmarkEnd w:id="89"/>
      <w:bookmarkEnd w:id="90"/>
    </w:p>
    <w:p w14:paraId="7B3B8625">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保修费用由造成质量缺陷的责任方承担。具体按照以下约定处理：</w:t>
      </w:r>
    </w:p>
    <w:p w14:paraId="1828B8B2">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在保修金中扣除，不足部分发包人有权向承包人追偿。</w:t>
      </w:r>
    </w:p>
    <w:p w14:paraId="45DED8E5">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2.保修期内，因发包人使用不当造成工程的缺陷、损坏，可以委托承包人修复，但发包人应承担修复的费用。</w:t>
      </w:r>
    </w:p>
    <w:p w14:paraId="5A52CECA">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3.因其他原因造成工程的缺陷、损坏，可以委托承包人修复，发包人应承担修复的费用，因工程的缺陷、损坏造成的人身伤害和财产损失由责任方承担。</w:t>
      </w:r>
    </w:p>
    <w:p w14:paraId="0EBC8F66">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91" w:name="_Toc29887"/>
      <w:bookmarkStart w:id="92" w:name="_Toc14223"/>
      <w:bookmarkStart w:id="93" w:name="_Toc21435"/>
      <w:bookmarkStart w:id="94" w:name="_Toc7136"/>
      <w:r>
        <w:rPr>
          <w:rFonts w:hint="eastAsia" w:ascii="宋体" w:hAnsi="宋体" w:cs="宋体"/>
          <w:snapToGrid w:val="0"/>
          <w:color w:val="auto"/>
          <w:kern w:val="0"/>
          <w:sz w:val="24"/>
          <w:highlight w:val="none"/>
        </w:rPr>
        <w:t>五、其他</w:t>
      </w:r>
      <w:bookmarkEnd w:id="91"/>
      <w:bookmarkEnd w:id="92"/>
      <w:bookmarkEnd w:id="93"/>
      <w:bookmarkEnd w:id="94"/>
    </w:p>
    <w:p w14:paraId="5FF2963D">
      <w:pPr>
        <w:adjustRightInd w:val="0"/>
        <w:snapToGrid w:val="0"/>
        <w:spacing w:line="360" w:lineRule="auto"/>
        <w:ind w:right="11" w:firstLine="480" w:firstLineChars="200"/>
        <w:rPr>
          <w:rFonts w:ascii="宋体" w:hAnsi="宋体" w:cs="宋体"/>
          <w:color w:val="auto"/>
          <w:sz w:val="24"/>
          <w:highlight w:val="none"/>
          <w:u w:val="single"/>
        </w:rPr>
      </w:pPr>
      <w:r>
        <w:rPr>
          <w:rFonts w:hint="eastAsia" w:ascii="宋体" w:hAnsi="宋体" w:cs="宋体"/>
          <w:snapToGrid w:val="0"/>
          <w:color w:val="auto"/>
          <w:kern w:val="0"/>
          <w:sz w:val="24"/>
          <w:highlight w:val="none"/>
        </w:rPr>
        <w:t>双方约定的其他工程质量保修事项：</w:t>
      </w:r>
      <w:r>
        <w:rPr>
          <w:rFonts w:hint="eastAsia" w:ascii="宋体" w:hAnsi="宋体" w:cs="宋体"/>
          <w:snapToGrid w:val="0"/>
          <w:color w:val="auto"/>
          <w:kern w:val="0"/>
          <w:sz w:val="24"/>
          <w:highlight w:val="none"/>
          <w:u w:val="single"/>
        </w:rPr>
        <w:t xml:space="preserve">  /  。</w:t>
      </w:r>
    </w:p>
    <w:p w14:paraId="37554324">
      <w:pPr>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本工程质量保修书，由施工合同发包人、承包人双方在竣工验收前共同签署，作为施工合同附件其有效期限至保修期满。</w:t>
      </w:r>
    </w:p>
    <w:p w14:paraId="6E1DD8DF">
      <w:pPr>
        <w:adjustRightInd w:val="0"/>
        <w:snapToGrid w:val="0"/>
        <w:spacing w:line="360" w:lineRule="auto"/>
        <w:ind w:right="11"/>
        <w:rPr>
          <w:rFonts w:ascii="宋体" w:hAnsi="宋体" w:cs="宋体"/>
          <w:snapToGrid w:val="0"/>
          <w:color w:val="auto"/>
          <w:spacing w:val="-20"/>
          <w:kern w:val="0"/>
          <w:sz w:val="24"/>
          <w:highlight w:val="none"/>
        </w:rPr>
      </w:pPr>
    </w:p>
    <w:p w14:paraId="654FBB6D">
      <w:pPr>
        <w:pStyle w:val="2"/>
        <w:rPr>
          <w:color w:val="auto"/>
          <w:highlight w:val="none"/>
        </w:rPr>
      </w:pPr>
    </w:p>
    <w:p w14:paraId="4C55AE6C">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spacing w:val="-20"/>
          <w:kern w:val="0"/>
          <w:sz w:val="24"/>
          <w:highlight w:val="none"/>
        </w:rPr>
        <w:t>发包人</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                                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5303B1CC">
      <w:pPr>
        <w:spacing w:line="360" w:lineRule="auto"/>
        <w:ind w:firstLine="4320" w:firstLineChars="1800"/>
        <w:rPr>
          <w:rFonts w:hint="eastAsia" w:eastAsia="宋体"/>
          <w:color w:val="auto"/>
          <w:sz w:val="24"/>
          <w:szCs w:val="32"/>
          <w:highlight w:val="none"/>
          <w:lang w:eastAsia="zh-CN"/>
        </w:rPr>
      </w:pPr>
      <w:r>
        <w:rPr>
          <w:rFonts w:hint="eastAsia"/>
          <w:color w:val="auto"/>
          <w:sz w:val="24"/>
          <w:szCs w:val="32"/>
          <w:highlight w:val="none"/>
          <w:lang w:val="en-US" w:eastAsia="zh-CN"/>
        </w:rPr>
        <w:t xml:space="preserve"> </w:t>
      </w:r>
    </w:p>
    <w:p w14:paraId="60A381B0">
      <w:pPr>
        <w:spacing w:line="360" w:lineRule="auto"/>
        <w:ind w:firstLine="4320" w:firstLineChars="1800"/>
        <w:rPr>
          <w:color w:val="auto"/>
          <w:sz w:val="24"/>
          <w:szCs w:val="32"/>
          <w:highlight w:val="none"/>
        </w:rPr>
      </w:pPr>
      <w:r>
        <w:rPr>
          <w:rFonts w:hint="eastAsia"/>
          <w:color w:val="auto"/>
          <w:sz w:val="24"/>
          <w:szCs w:val="32"/>
          <w:highlight w:val="none"/>
        </w:rPr>
        <w:t>承包人（成）（盖章）：</w:t>
      </w:r>
    </w:p>
    <w:p w14:paraId="39211722">
      <w:pPr>
        <w:spacing w:line="360" w:lineRule="auto"/>
        <w:ind w:firstLine="4320" w:firstLineChars="1800"/>
        <w:rPr>
          <w:rFonts w:hint="eastAsia" w:eastAsia="宋体"/>
          <w:color w:val="auto"/>
          <w:sz w:val="24"/>
          <w:szCs w:val="32"/>
          <w:highlight w:val="none"/>
          <w:lang w:eastAsia="zh-CN"/>
        </w:rPr>
      </w:pPr>
      <w:r>
        <w:rPr>
          <w:rFonts w:hint="eastAsia"/>
          <w:color w:val="auto"/>
          <w:sz w:val="24"/>
          <w:szCs w:val="32"/>
          <w:highlight w:val="none"/>
          <w:lang w:val="en-US" w:eastAsia="zh-CN"/>
        </w:rPr>
        <w:t xml:space="preserve"> </w:t>
      </w:r>
    </w:p>
    <w:p w14:paraId="42C69729">
      <w:pPr>
        <w:adjustRightInd w:val="0"/>
        <w:snapToGrid w:val="0"/>
        <w:spacing w:line="360" w:lineRule="auto"/>
        <w:ind w:right="11"/>
        <w:jc w:val="left"/>
        <w:rPr>
          <w:rFonts w:ascii="宋体" w:hAnsi="宋体" w:cs="宋体"/>
          <w:snapToGrid w:val="0"/>
          <w:color w:val="auto"/>
          <w:kern w:val="0"/>
          <w:sz w:val="24"/>
          <w:highlight w:val="none"/>
        </w:rPr>
      </w:pPr>
    </w:p>
    <w:p w14:paraId="7C301609">
      <w:pPr>
        <w:adjustRightInd w:val="0"/>
        <w:snapToGrid w:val="0"/>
        <w:spacing w:line="360" w:lineRule="auto"/>
        <w:ind w:right="11" w:firstLine="2880" w:firstLineChars="1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签订日期： </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月  日</w:t>
      </w:r>
    </w:p>
    <w:p w14:paraId="47724D8F">
      <w:pPr>
        <w:wordWrap w:val="0"/>
        <w:topLinePunct/>
        <w:adjustRightInd w:val="0"/>
        <w:snapToGrid w:val="0"/>
        <w:spacing w:line="360" w:lineRule="auto"/>
        <w:rPr>
          <w:rFonts w:ascii="宋体" w:hAnsi="宋体" w:cs="宋体"/>
          <w:b/>
          <w:bCs/>
          <w:color w:val="auto"/>
          <w:sz w:val="24"/>
          <w:highlight w:val="none"/>
        </w:rPr>
        <w:sectPr>
          <w:pgSz w:w="11905" w:h="16838"/>
          <w:pgMar w:top="1440" w:right="1474" w:bottom="1440" w:left="1587" w:header="567" w:footer="850" w:gutter="0"/>
          <w:cols w:space="720" w:num="1"/>
          <w:docGrid w:type="lines" w:linePitch="312" w:charSpace="0"/>
        </w:sectPr>
      </w:pPr>
    </w:p>
    <w:p w14:paraId="06C4693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附件2</w:t>
      </w:r>
    </w:p>
    <w:p w14:paraId="6BFA187C">
      <w:pPr>
        <w:tabs>
          <w:tab w:val="center" w:pos="4792"/>
          <w:tab w:val="right" w:pos="9045"/>
        </w:tabs>
        <w:spacing w:line="336"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廉政合同</w:t>
      </w:r>
    </w:p>
    <w:p w14:paraId="1772B762">
      <w:pPr>
        <w:spacing w:line="336" w:lineRule="auto"/>
        <w:rPr>
          <w:rFonts w:ascii="宋体" w:hAnsi="宋体" w:cs="宋体"/>
          <w:color w:val="auto"/>
          <w:sz w:val="24"/>
          <w:highlight w:val="none"/>
          <w:lang w:val="zh-CN"/>
        </w:rPr>
      </w:pPr>
    </w:p>
    <w:p w14:paraId="0E7A630C">
      <w:pPr>
        <w:tabs>
          <w:tab w:val="center" w:pos="4153"/>
        </w:tabs>
        <w:snapToGrid w:val="0"/>
        <w:spacing w:line="336"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广州安居住房置业有限公司</w:t>
      </w:r>
    </w:p>
    <w:p w14:paraId="2E84EB21">
      <w:pPr>
        <w:spacing w:line="336"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30032D8D">
      <w:pPr>
        <w:spacing w:line="336" w:lineRule="auto"/>
        <w:ind w:firstLine="1440" w:firstLineChars="6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1519FED0">
      <w:pPr>
        <w:spacing w:line="336" w:lineRule="auto"/>
        <w:ind w:firstLine="1440" w:firstLineChars="600"/>
        <w:rPr>
          <w:rFonts w:ascii="宋体" w:hAnsi="宋体" w:cs="宋体"/>
          <w:color w:val="auto"/>
          <w:sz w:val="24"/>
          <w:highlight w:val="none"/>
        </w:rPr>
      </w:pPr>
    </w:p>
    <w:p w14:paraId="40CF4639">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color w:val="auto"/>
          <w:sz w:val="24"/>
          <w:highlight w:val="none"/>
        </w:rPr>
        <w:t>。</w:t>
      </w:r>
    </w:p>
    <w:p w14:paraId="19F62305">
      <w:pPr>
        <w:spacing w:line="336" w:lineRule="auto"/>
        <w:ind w:firstLine="482" w:firstLineChars="200"/>
        <w:outlineLvl w:val="1"/>
        <w:rPr>
          <w:rFonts w:ascii="宋体" w:hAnsi="宋体" w:cs="宋体"/>
          <w:b/>
          <w:bCs/>
          <w:color w:val="auto"/>
          <w:sz w:val="24"/>
          <w:highlight w:val="none"/>
        </w:rPr>
      </w:pPr>
      <w:bookmarkStart w:id="95" w:name="_Toc11148"/>
      <w:bookmarkStart w:id="96" w:name="_Toc16054"/>
      <w:r>
        <w:rPr>
          <w:rFonts w:hint="eastAsia" w:ascii="宋体" w:hAnsi="宋体" w:cs="宋体"/>
          <w:b/>
          <w:bCs/>
          <w:color w:val="auto"/>
          <w:sz w:val="24"/>
          <w:highlight w:val="none"/>
        </w:rPr>
        <w:t>一、双方权利和义务</w:t>
      </w:r>
      <w:bookmarkEnd w:id="95"/>
      <w:bookmarkEnd w:id="96"/>
    </w:p>
    <w:p w14:paraId="781581D0">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严格遵守国家、省有关法律法规的规定。</w:t>
      </w:r>
    </w:p>
    <w:p w14:paraId="7C948342">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严格执行合同工程一切合同文件，自觉按合同办事。</w:t>
      </w:r>
    </w:p>
    <w:p w14:paraId="0511A997">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highlight w:val="none"/>
        </w:rPr>
        <w:t>。</w:t>
      </w:r>
    </w:p>
    <w:p w14:paraId="6C000AA2">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建立健全廉政制度，开展廉政教育，设立廉政告示牌，公布举报电话，监督并认真查处违法违纪行为。</w:t>
      </w:r>
    </w:p>
    <w:p w14:paraId="5F04816B">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发现对方在业务活动中有违反廉政建设规定的行为，应及时给予提醒和纠正。</w:t>
      </w:r>
    </w:p>
    <w:p w14:paraId="55BE9832">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发现对方严重违反合同的行为，有向其主管部门举报、建议给予处理并要求告知处理结果的权利。</w:t>
      </w:r>
      <w:bookmarkStart w:id="97" w:name="_Toc18074"/>
    </w:p>
    <w:p w14:paraId="5BD452BA">
      <w:pPr>
        <w:spacing w:line="336" w:lineRule="auto"/>
        <w:ind w:firstLine="482" w:firstLineChars="200"/>
        <w:outlineLvl w:val="1"/>
        <w:rPr>
          <w:rFonts w:ascii="宋体" w:hAnsi="宋体" w:cs="宋体"/>
          <w:b/>
          <w:bCs/>
          <w:color w:val="auto"/>
          <w:sz w:val="24"/>
          <w:highlight w:val="none"/>
        </w:rPr>
      </w:pPr>
      <w:bookmarkStart w:id="98" w:name="_Toc8232"/>
      <w:r>
        <w:rPr>
          <w:rFonts w:hint="eastAsia" w:ascii="宋体" w:hAnsi="宋体" w:cs="宋体"/>
          <w:b/>
          <w:bCs/>
          <w:color w:val="auto"/>
          <w:sz w:val="24"/>
          <w:highlight w:val="none"/>
        </w:rPr>
        <w:t>二、发包人义务</w:t>
      </w:r>
      <w:bookmarkEnd w:id="97"/>
      <w:bookmarkEnd w:id="98"/>
    </w:p>
    <w:p w14:paraId="61F9B23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发包人及其工作人员不得索要或接受承包人的礼金、有价证券和贵重物品，不得在承包人报销任何应由发包人或工作人员个人支付的费用等。</w:t>
      </w:r>
    </w:p>
    <w:p w14:paraId="524B65F7">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发包人及其工作人员不得参加承包人安排的宴请（工作餐除外）和娱乐活动；不得接受承包人提供的通讯工具、交通工具和高档办公用品等。</w:t>
      </w:r>
    </w:p>
    <w:p w14:paraId="786A97FB">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发包人及其工作人员不得要求或者接受承包人为其住房装修、婚丧嫁娶活动、配偶子女的工作安排以及出国出境、旅游等提供方便等。</w:t>
      </w:r>
    </w:p>
    <w:p w14:paraId="0FA20A9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 </w:t>
      </w:r>
      <w:r>
        <w:rPr>
          <w:rFonts w:hint="eastAsia" w:ascii="宋体" w:hAnsi="宋体" w:cs="宋体"/>
          <w:color w:val="auto"/>
          <w:sz w:val="24"/>
          <w:highlight w:val="none"/>
          <w:lang w:val="zh-CN"/>
        </w:rPr>
        <w:t>发包人及其工作人员不得以任何理由向承包人推荐分包人、推销工程材料和工程设备，不得要求承包人购买合同以外的工程材料和工程设备</w:t>
      </w:r>
      <w:r>
        <w:rPr>
          <w:rFonts w:hint="eastAsia" w:ascii="宋体" w:hAnsi="宋体" w:cs="宋体"/>
          <w:color w:val="auto"/>
          <w:sz w:val="24"/>
          <w:highlight w:val="none"/>
        </w:rPr>
        <w:t>。</w:t>
      </w:r>
    </w:p>
    <w:p w14:paraId="776BECD4">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2.5 </w:t>
      </w:r>
      <w:r>
        <w:rPr>
          <w:rFonts w:hint="eastAsia" w:ascii="宋体" w:hAnsi="宋体" w:cs="宋体"/>
          <w:color w:val="auto"/>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color w:val="auto"/>
          <w:sz w:val="24"/>
          <w:highlight w:val="none"/>
        </w:rPr>
        <w:t>。</w:t>
      </w:r>
    </w:p>
    <w:p w14:paraId="313D0F23">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 </w:t>
      </w:r>
      <w:r>
        <w:rPr>
          <w:rFonts w:hint="eastAsia" w:ascii="宋体" w:hAnsi="宋体" w:cs="宋体"/>
          <w:color w:val="auto"/>
          <w:sz w:val="24"/>
          <w:highlight w:val="none"/>
          <w:lang w:val="zh-CN"/>
        </w:rPr>
        <w:t>发包人及其工作人员（含其配偶、子女）不得从事与合同工程有关的工程材料和工程设备供应、工程分包、劳务等经济活动</w:t>
      </w:r>
      <w:r>
        <w:rPr>
          <w:rFonts w:hint="eastAsia" w:ascii="宋体" w:hAnsi="宋体" w:cs="宋体"/>
          <w:color w:val="auto"/>
          <w:sz w:val="24"/>
          <w:highlight w:val="none"/>
        </w:rPr>
        <w:t>。</w:t>
      </w:r>
    </w:p>
    <w:p w14:paraId="41BFCABD">
      <w:pPr>
        <w:spacing w:line="336" w:lineRule="auto"/>
        <w:ind w:firstLine="482" w:firstLineChars="200"/>
        <w:outlineLvl w:val="1"/>
        <w:rPr>
          <w:rFonts w:ascii="宋体" w:hAnsi="宋体" w:cs="宋体"/>
          <w:b/>
          <w:bCs/>
          <w:color w:val="auto"/>
          <w:sz w:val="24"/>
          <w:highlight w:val="none"/>
        </w:rPr>
      </w:pPr>
      <w:bookmarkStart w:id="99" w:name="_Toc14380"/>
      <w:bookmarkStart w:id="100" w:name="_Toc14115"/>
      <w:r>
        <w:rPr>
          <w:rFonts w:hint="eastAsia" w:ascii="宋体" w:hAnsi="宋体" w:cs="宋体"/>
          <w:b/>
          <w:bCs/>
          <w:color w:val="auto"/>
          <w:sz w:val="24"/>
          <w:highlight w:val="none"/>
        </w:rPr>
        <w:t>三、承包人义务</w:t>
      </w:r>
      <w:bookmarkEnd w:id="99"/>
      <w:bookmarkEnd w:id="100"/>
    </w:p>
    <w:p w14:paraId="1DB7654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承包人不得以任何理由向发包人及其工作人员行贿或馈赠礼金、有价证券、贵重礼品。</w:t>
      </w:r>
    </w:p>
    <w:p w14:paraId="4FAD9C4F">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承包人不得以任何名义为发包人及其工作人员报销应由发包人或工作人员个人支付的任何费用。</w:t>
      </w:r>
    </w:p>
    <w:p w14:paraId="132A163C">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承包人不得以任何理由安排发包人及其工作人员参加宴请（工作餐除外）及娱乐活动。</w:t>
      </w:r>
    </w:p>
    <w:p w14:paraId="1E7BF57A">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承包人不得为发包人和个人购置或提供通讯工具、交通工具和高档办公用品等。</w:t>
      </w:r>
    </w:p>
    <w:p w14:paraId="515A1D53">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 </w:t>
      </w:r>
      <w:r>
        <w:rPr>
          <w:rFonts w:hint="eastAsia" w:ascii="宋体" w:hAnsi="宋体" w:cs="宋体"/>
          <w:color w:val="auto"/>
          <w:sz w:val="24"/>
          <w:highlight w:val="none"/>
          <w:lang w:val="zh-CN"/>
        </w:rPr>
        <w:t>承包人不得为发包人及其工作人员的住房装修、婚丧嫁娶活动、配偶子女工作安排以及出国出境、旅游等提供方便。</w:t>
      </w:r>
    </w:p>
    <w:p w14:paraId="1D996A35">
      <w:pPr>
        <w:spacing w:line="336" w:lineRule="auto"/>
        <w:ind w:firstLine="482" w:firstLineChars="200"/>
        <w:outlineLvl w:val="1"/>
        <w:rPr>
          <w:rFonts w:ascii="宋体" w:hAnsi="宋体" w:cs="宋体"/>
          <w:b/>
          <w:bCs/>
          <w:color w:val="auto"/>
          <w:sz w:val="24"/>
          <w:highlight w:val="none"/>
        </w:rPr>
      </w:pPr>
      <w:bookmarkStart w:id="101" w:name="_Toc13484"/>
      <w:bookmarkStart w:id="102" w:name="_Toc8886"/>
      <w:r>
        <w:rPr>
          <w:rFonts w:hint="eastAsia" w:ascii="宋体" w:hAnsi="宋体" w:cs="宋体"/>
          <w:b/>
          <w:bCs/>
          <w:color w:val="auto"/>
          <w:sz w:val="24"/>
          <w:highlight w:val="none"/>
        </w:rPr>
        <w:t>四、违约责任</w:t>
      </w:r>
      <w:bookmarkEnd w:id="101"/>
      <w:bookmarkEnd w:id="102"/>
    </w:p>
    <w:p w14:paraId="1579F50B">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发包人及其工作人员违反本合同第一条和第二条约定，应依据有关规定给予廉政建设规定的处分；涉嫌犯罪的，移交司法机关追究刑事责任；给承包人造成经济损失的，应予赔偿。</w:t>
      </w:r>
    </w:p>
    <w:p w14:paraId="79BDD721">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4.2 </w:t>
      </w:r>
      <w:r>
        <w:rPr>
          <w:rFonts w:hint="eastAsia" w:ascii="宋体" w:hAnsi="宋体" w:cs="宋体"/>
          <w:color w:val="auto"/>
          <w:sz w:val="24"/>
          <w:highlight w:val="none"/>
          <w:lang w:val="zh-CN"/>
        </w:rPr>
        <w:t>承包人及其工作人员违反本合同第</w:t>
      </w:r>
      <w:r>
        <w:rPr>
          <w:rFonts w:hint="eastAsia" w:ascii="宋体" w:hAnsi="宋体" w:cs="宋体"/>
          <w:color w:val="auto"/>
          <w:sz w:val="24"/>
          <w:highlight w:val="none"/>
        </w:rPr>
        <w:t>一</w:t>
      </w:r>
      <w:r>
        <w:rPr>
          <w:rFonts w:hint="eastAsia" w:ascii="宋体" w:hAnsi="宋体" w:cs="宋体"/>
          <w:color w:val="auto"/>
          <w:sz w:val="24"/>
          <w:highlight w:val="none"/>
          <w:lang w:val="zh-CN"/>
        </w:rPr>
        <w:t>条和第</w:t>
      </w:r>
      <w:r>
        <w:rPr>
          <w:rFonts w:hint="eastAsia" w:ascii="宋体" w:hAnsi="宋体" w:cs="宋体"/>
          <w:color w:val="auto"/>
          <w:sz w:val="24"/>
          <w:highlight w:val="none"/>
        </w:rPr>
        <w:t>三</w:t>
      </w:r>
      <w:r>
        <w:rPr>
          <w:rFonts w:hint="eastAsia" w:ascii="宋体" w:hAnsi="宋体" w:cs="宋体"/>
          <w:color w:val="auto"/>
          <w:sz w:val="24"/>
          <w:highlight w:val="none"/>
          <w:lang w:val="zh-CN"/>
        </w:rPr>
        <w:t>条约定，应按照廉政建设的有关规定给予处分；涉嫌犯罪的，移交司法机关追究刑事责任；给发包人造成损失的，应予赔偿。</w:t>
      </w:r>
    </w:p>
    <w:p w14:paraId="1BBB065E">
      <w:pPr>
        <w:spacing w:line="336" w:lineRule="auto"/>
        <w:ind w:firstLine="482" w:firstLineChars="200"/>
        <w:outlineLvl w:val="1"/>
        <w:rPr>
          <w:rFonts w:ascii="宋体" w:hAnsi="宋体" w:cs="宋体"/>
          <w:b/>
          <w:bCs/>
          <w:color w:val="auto"/>
          <w:sz w:val="24"/>
          <w:highlight w:val="none"/>
        </w:rPr>
      </w:pPr>
      <w:bookmarkStart w:id="103" w:name="_Toc22358"/>
      <w:bookmarkStart w:id="104" w:name="_Toc20236"/>
      <w:r>
        <w:rPr>
          <w:rFonts w:hint="eastAsia" w:ascii="宋体" w:hAnsi="宋体" w:cs="宋体"/>
          <w:b/>
          <w:bCs/>
          <w:color w:val="auto"/>
          <w:sz w:val="24"/>
          <w:highlight w:val="none"/>
        </w:rPr>
        <w:t>五、双方约定</w:t>
      </w:r>
      <w:bookmarkEnd w:id="103"/>
      <w:bookmarkEnd w:id="104"/>
    </w:p>
    <w:p w14:paraId="2C92DF05">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本合同由合同双方当事人或其主管部门负责监督执行</w:t>
      </w:r>
      <w:r>
        <w:rPr>
          <w:rFonts w:hint="eastAsia" w:ascii="宋体" w:hAnsi="宋体" w:cs="宋体"/>
          <w:color w:val="auto"/>
          <w:sz w:val="24"/>
          <w:highlight w:val="none"/>
        </w:rPr>
        <w:t>。</w:t>
      </w:r>
    </w:p>
    <w:p w14:paraId="296155DD">
      <w:pPr>
        <w:spacing w:line="336" w:lineRule="auto"/>
        <w:ind w:firstLine="482" w:firstLineChars="200"/>
        <w:outlineLvl w:val="1"/>
        <w:rPr>
          <w:rFonts w:ascii="宋体" w:hAnsi="宋体" w:cs="宋体"/>
          <w:b/>
          <w:bCs/>
          <w:color w:val="auto"/>
          <w:sz w:val="24"/>
          <w:highlight w:val="none"/>
        </w:rPr>
      </w:pPr>
      <w:bookmarkStart w:id="105" w:name="_Toc18718"/>
      <w:bookmarkStart w:id="106" w:name="_Toc13689"/>
      <w:r>
        <w:rPr>
          <w:rFonts w:hint="eastAsia" w:ascii="宋体" w:hAnsi="宋体" w:cs="宋体"/>
          <w:b/>
          <w:bCs/>
          <w:color w:val="auto"/>
          <w:sz w:val="24"/>
          <w:highlight w:val="none"/>
        </w:rPr>
        <w:t>六、合同法律效力</w:t>
      </w:r>
      <w:bookmarkEnd w:id="105"/>
      <w:bookmarkEnd w:id="106"/>
    </w:p>
    <w:p w14:paraId="72DB4656">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本合同作为</w:t>
      </w:r>
      <w:r>
        <w:rPr>
          <w:rFonts w:hint="eastAsia" w:ascii="宋体" w:hAnsi="宋体" w:eastAsia="宋体" w:cs="宋体"/>
          <w:b w:val="0"/>
          <w:color w:val="auto"/>
          <w:sz w:val="24"/>
          <w:szCs w:val="24"/>
          <w:highlight w:val="none"/>
          <w:u w:val="single"/>
        </w:rPr>
        <w:t>金沙洲新社区人居环境升级改造</w:t>
      </w:r>
      <w:r>
        <w:rPr>
          <w:rFonts w:hint="eastAsia" w:ascii="宋体" w:hAnsi="宋体" w:cs="宋体"/>
          <w:color w:val="auto"/>
          <w:sz w:val="24"/>
          <w:highlight w:val="none"/>
          <w:u w:val="single"/>
        </w:rPr>
        <w:t>项目设计施工总承包合同</w:t>
      </w:r>
      <w:r>
        <w:rPr>
          <w:rFonts w:hint="eastAsia" w:ascii="宋体" w:hAnsi="宋体" w:cs="宋体"/>
          <w:color w:val="auto"/>
          <w:sz w:val="24"/>
          <w:highlight w:val="none"/>
        </w:rPr>
        <w:t>的附件，与主合同具有同等的法律效力。</w:t>
      </w:r>
    </w:p>
    <w:p w14:paraId="33E75C7E">
      <w:pPr>
        <w:spacing w:line="336" w:lineRule="auto"/>
        <w:ind w:firstLine="482" w:firstLineChars="200"/>
        <w:outlineLvl w:val="1"/>
        <w:rPr>
          <w:rFonts w:ascii="宋体" w:hAnsi="宋体" w:cs="宋体"/>
          <w:b/>
          <w:bCs/>
          <w:color w:val="auto"/>
          <w:sz w:val="24"/>
          <w:highlight w:val="none"/>
        </w:rPr>
      </w:pPr>
      <w:bookmarkStart w:id="107" w:name="_Toc16606"/>
      <w:r>
        <w:rPr>
          <w:rFonts w:hint="eastAsia" w:ascii="宋体" w:hAnsi="宋体" w:cs="宋体"/>
          <w:b/>
          <w:bCs/>
          <w:color w:val="auto"/>
          <w:sz w:val="24"/>
          <w:highlight w:val="none"/>
        </w:rPr>
        <w:t>七、合同份数</w:t>
      </w:r>
      <w:bookmarkEnd w:id="107"/>
    </w:p>
    <w:p w14:paraId="694E7B59">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份，均具有同等法律效力。</w:t>
      </w:r>
    </w:p>
    <w:p w14:paraId="4C1C30EB">
      <w:pPr>
        <w:spacing w:line="336" w:lineRule="auto"/>
        <w:rPr>
          <w:rFonts w:ascii="宋体" w:hAnsi="宋体" w:cs="宋体"/>
          <w:color w:val="auto"/>
          <w:sz w:val="24"/>
          <w:highlight w:val="none"/>
        </w:rPr>
      </w:pPr>
    </w:p>
    <w:p w14:paraId="4434EE36">
      <w:pPr>
        <w:adjustRightInd w:val="0"/>
        <w:snapToGrid w:val="0"/>
        <w:spacing w:line="336" w:lineRule="auto"/>
        <w:ind w:right="11"/>
        <w:rPr>
          <w:rFonts w:ascii="宋体" w:hAnsi="宋体" w:cs="宋体"/>
          <w:snapToGrid w:val="0"/>
          <w:color w:val="auto"/>
          <w:spacing w:val="-20"/>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1C998FC2">
      <w:pPr>
        <w:pStyle w:val="2"/>
        <w:rPr>
          <w:color w:val="auto"/>
          <w:highlight w:val="none"/>
        </w:rPr>
      </w:pPr>
    </w:p>
    <w:p w14:paraId="5E273F2F">
      <w:pPr>
        <w:spacing w:line="336" w:lineRule="auto"/>
        <w:rPr>
          <w:rFonts w:ascii="宋体" w:hAnsi="宋体" w:cs="宋体"/>
          <w:color w:val="auto"/>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val="en-US" w:eastAsia="zh-CN"/>
        </w:rPr>
        <w:t xml:space="preserve"> </w:t>
      </w:r>
      <w:r>
        <w:rPr>
          <w:rFonts w:hint="eastAsia" w:ascii="宋体" w:hAnsi="宋体" w:cs="宋体"/>
          <w:snapToGrid w:val="0"/>
          <w:color w:val="auto"/>
          <w:spacing w:val="-20"/>
          <w:kern w:val="0"/>
          <w:sz w:val="24"/>
          <w:highlight w:val="none"/>
        </w:rPr>
        <w:t xml:space="preserve"> 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1F62E6D3">
      <w:pPr>
        <w:tabs>
          <w:tab w:val="left" w:pos="4320"/>
          <w:tab w:val="left" w:pos="6195"/>
        </w:tabs>
        <w:spacing w:line="336" w:lineRule="auto"/>
        <w:jc w:val="right"/>
        <w:rPr>
          <w:rFonts w:ascii="宋体" w:hAnsi="宋体" w:cs="宋体"/>
          <w:b/>
          <w:bCs/>
          <w:color w:val="auto"/>
          <w:sz w:val="2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2EF5F58">
      <w:pPr>
        <w:spacing w:line="360" w:lineRule="auto"/>
        <w:rPr>
          <w:rFonts w:ascii="宋体" w:hAnsi="宋体" w:cs="宋体"/>
          <w:color w:val="auto"/>
          <w:sz w:val="24"/>
          <w:highlight w:val="none"/>
        </w:rPr>
        <w:sectPr>
          <w:footerReference r:id="rId8" w:type="first"/>
          <w:pgSz w:w="11906" w:h="16838"/>
          <w:pgMar w:top="1440" w:right="1440" w:bottom="1440" w:left="1440" w:header="851" w:footer="992" w:gutter="0"/>
          <w:cols w:space="720" w:num="1"/>
          <w:titlePg/>
          <w:docGrid w:type="lines" w:linePitch="312" w:charSpace="0"/>
        </w:sectPr>
      </w:pPr>
    </w:p>
    <w:p w14:paraId="61AE1101">
      <w:pPr>
        <w:spacing w:line="360" w:lineRule="auto"/>
        <w:rPr>
          <w:rFonts w:ascii="宋体" w:hAnsi="宋体" w:cs="宋体"/>
          <w:b/>
          <w:bCs/>
          <w:color w:val="auto"/>
          <w:sz w:val="24"/>
          <w:highlight w:val="none"/>
        </w:rPr>
      </w:pPr>
      <w:bookmarkStart w:id="108" w:name="_Toc239677932"/>
      <w:bookmarkStart w:id="109" w:name="_Toc287191073"/>
      <w:bookmarkStart w:id="110" w:name="_Toc239731716"/>
      <w:bookmarkStart w:id="111" w:name="_Toc287255175"/>
      <w:bookmarkStart w:id="112" w:name="_Toc287191706"/>
      <w:r>
        <w:rPr>
          <w:rFonts w:hint="eastAsia" w:ascii="宋体" w:hAnsi="宋体" w:cs="宋体"/>
          <w:b/>
          <w:bCs/>
          <w:color w:val="auto"/>
          <w:sz w:val="24"/>
          <w:highlight w:val="none"/>
        </w:rPr>
        <w:t>附件</w:t>
      </w:r>
      <w:bookmarkEnd w:id="108"/>
      <w:bookmarkEnd w:id="109"/>
      <w:bookmarkEnd w:id="110"/>
      <w:bookmarkEnd w:id="111"/>
      <w:bookmarkEnd w:id="112"/>
      <w:r>
        <w:rPr>
          <w:rFonts w:hint="eastAsia" w:ascii="宋体" w:hAnsi="宋体" w:cs="宋体"/>
          <w:b/>
          <w:bCs/>
          <w:color w:val="auto"/>
          <w:sz w:val="24"/>
          <w:highlight w:val="none"/>
        </w:rPr>
        <w:t>3</w:t>
      </w:r>
    </w:p>
    <w:p w14:paraId="26D5C134">
      <w:pPr>
        <w:spacing w:line="480" w:lineRule="auto"/>
        <w:contextualSpacing/>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保密协议</w:t>
      </w:r>
    </w:p>
    <w:p w14:paraId="5B9A769D">
      <w:pPr>
        <w:pStyle w:val="2"/>
        <w:rPr>
          <w:color w:val="auto"/>
          <w:highlight w:val="none"/>
        </w:rPr>
      </w:pPr>
    </w:p>
    <w:p w14:paraId="29A239B1">
      <w:pPr>
        <w:autoSpaceDE w:val="0"/>
        <w:autoSpaceDN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广州安居住房置业有限公司</w:t>
      </w:r>
    </w:p>
    <w:p w14:paraId="0A8EDB28">
      <w:pPr>
        <w:autoSpaceDE w:val="0"/>
        <w:autoSpaceDN w:val="0"/>
        <w:spacing w:line="360" w:lineRule="auto"/>
        <w:ind w:left="960" w:hanging="960" w:hangingChars="4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承包人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p>
    <w:p w14:paraId="4B0982F7">
      <w:pPr>
        <w:autoSpaceDE w:val="0"/>
        <w:autoSpaceDN w:val="0"/>
        <w:spacing w:line="360" w:lineRule="auto"/>
        <w:ind w:left="958" w:leftChars="456"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p>
    <w:p w14:paraId="125A561E">
      <w:pPr>
        <w:autoSpaceDE w:val="0"/>
        <w:autoSpaceDN w:val="0"/>
        <w:spacing w:line="360" w:lineRule="auto"/>
        <w:ind w:firstLine="540"/>
        <w:rPr>
          <w:rFonts w:ascii="宋体" w:hAnsi="宋体" w:cs="宋体"/>
          <w:color w:val="auto"/>
          <w:sz w:val="24"/>
          <w:highlight w:val="none"/>
        </w:rPr>
      </w:pPr>
    </w:p>
    <w:p w14:paraId="3B78A19D">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承包人作为发包人服务单位，承包人同意遵守发包人下列保密条款：</w:t>
      </w:r>
    </w:p>
    <w:p w14:paraId="6BB985D7">
      <w:pPr>
        <w:spacing w:line="360" w:lineRule="auto"/>
        <w:ind w:firstLine="482" w:firstLineChars="200"/>
        <w:outlineLvl w:val="1"/>
        <w:rPr>
          <w:rFonts w:ascii="宋体" w:hAnsi="宋体" w:cs="宋体"/>
          <w:b/>
          <w:bCs/>
          <w:color w:val="auto"/>
          <w:sz w:val="24"/>
          <w:highlight w:val="none"/>
        </w:rPr>
      </w:pPr>
      <w:bookmarkStart w:id="113" w:name="_Toc1203"/>
      <w:r>
        <w:rPr>
          <w:rFonts w:hint="eastAsia" w:ascii="宋体" w:hAnsi="宋体" w:cs="宋体"/>
          <w:b/>
          <w:bCs/>
          <w:color w:val="auto"/>
          <w:sz w:val="24"/>
          <w:highlight w:val="none"/>
        </w:rPr>
        <w:t>一、保密信息的范围</w:t>
      </w:r>
      <w:bookmarkEnd w:id="113"/>
    </w:p>
    <w:p w14:paraId="2CCBA667">
      <w:pPr>
        <w:autoSpaceDE w:val="0"/>
        <w:autoSpaceDN w:val="0"/>
        <w:spacing w:line="360" w:lineRule="auto"/>
        <w:ind w:firstLine="540"/>
        <w:rPr>
          <w:rFonts w:ascii="宋体" w:hAnsi="宋体" w:cs="宋体"/>
          <w:color w:val="auto"/>
          <w:sz w:val="24"/>
          <w:highlight w:val="none"/>
          <w:lang w:val="zh-CN"/>
        </w:rPr>
      </w:pPr>
      <w:r>
        <w:rPr>
          <w:rFonts w:hint="eastAsia" w:ascii="宋体" w:hAnsi="宋体" w:cs="宋体"/>
          <w:color w:val="auto"/>
          <w:sz w:val="24"/>
          <w:highlight w:val="none"/>
        </w:rPr>
        <w:t>“保密信息”在本保密协议中是指承包人在为发包人提供服务工作的过程中所获取的重要工作信息。</w:t>
      </w:r>
      <w:r>
        <w:rPr>
          <w:rFonts w:hint="eastAsia" w:ascii="宋体" w:hAnsi="宋体" w:cs="宋体"/>
          <w:color w:val="auto"/>
          <w:sz w:val="24"/>
          <w:highlight w:val="none"/>
          <w:lang w:val="zh-CN"/>
        </w:rPr>
        <w:t>该保密信息包括但不限于投资计划、项目规模、项目计划、项目相关数据和图纸、招标文件资料及信息、合同、价格、成本、研究报告、会议资料和文件。</w:t>
      </w:r>
    </w:p>
    <w:p w14:paraId="6FC73570">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不论以何种形式或载于何种载体，无论在披露时是否以口头、图像或以书面方式表明其具有保密性，都视为发包人的保密信息。</w:t>
      </w:r>
    </w:p>
    <w:p w14:paraId="465B4A21">
      <w:pPr>
        <w:spacing w:line="360" w:lineRule="auto"/>
        <w:ind w:firstLine="482" w:firstLineChars="200"/>
        <w:outlineLvl w:val="1"/>
        <w:rPr>
          <w:rFonts w:ascii="宋体" w:hAnsi="宋体" w:cs="宋体"/>
          <w:b/>
          <w:bCs/>
          <w:color w:val="auto"/>
          <w:sz w:val="24"/>
          <w:highlight w:val="none"/>
        </w:rPr>
      </w:pPr>
      <w:bookmarkStart w:id="114" w:name="_Toc16603"/>
      <w:r>
        <w:rPr>
          <w:rFonts w:hint="eastAsia" w:ascii="宋体" w:hAnsi="宋体" w:cs="宋体"/>
          <w:b/>
          <w:bCs/>
          <w:color w:val="auto"/>
          <w:sz w:val="24"/>
          <w:highlight w:val="none"/>
        </w:rPr>
        <w:t>二、承包人的保密义务</w:t>
      </w:r>
      <w:bookmarkEnd w:id="114"/>
    </w:p>
    <w:p w14:paraId="7B43B7E8">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承包人对已知悉的发包人保密信息，在此同意：</w:t>
      </w:r>
    </w:p>
    <w:p w14:paraId="3B4412BA">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（一）未经发包人事前书面批准，不论服务期间或以后，承包人及其工作人员不得以任何方式泄漏发包人的保密信息。</w:t>
      </w:r>
    </w:p>
    <w:p w14:paraId="1913BD35">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（二）一旦服务工作终止，承包人及其工作人员将退还保存的属于发包人的所有保密信息及资料，如方案、制度、报告、合同等。</w:t>
      </w:r>
    </w:p>
    <w:p w14:paraId="092CA33E">
      <w:pPr>
        <w:spacing w:line="360" w:lineRule="auto"/>
        <w:ind w:firstLine="482" w:firstLineChars="200"/>
        <w:outlineLvl w:val="1"/>
        <w:rPr>
          <w:rFonts w:ascii="宋体" w:hAnsi="宋体" w:cs="宋体"/>
          <w:b/>
          <w:bCs/>
          <w:color w:val="auto"/>
          <w:sz w:val="24"/>
          <w:highlight w:val="none"/>
        </w:rPr>
      </w:pPr>
      <w:bookmarkStart w:id="115" w:name="_Toc2140"/>
      <w:r>
        <w:rPr>
          <w:rFonts w:hint="eastAsia" w:ascii="宋体" w:hAnsi="宋体" w:cs="宋体"/>
          <w:b/>
          <w:bCs/>
          <w:color w:val="auto"/>
          <w:sz w:val="24"/>
          <w:highlight w:val="none"/>
        </w:rPr>
        <w:t>三、保密期限</w:t>
      </w:r>
      <w:bookmarkEnd w:id="115"/>
    </w:p>
    <w:p w14:paraId="23A1B73F">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保密期限包括但不限于：从获知发包人保密信息时起，至保密信息已由发包人通过合法途径让普通公众知悉时止。</w:t>
      </w:r>
    </w:p>
    <w:p w14:paraId="74761D97">
      <w:pPr>
        <w:spacing w:line="360" w:lineRule="auto"/>
        <w:ind w:firstLine="482" w:firstLineChars="200"/>
        <w:outlineLvl w:val="1"/>
        <w:rPr>
          <w:rFonts w:ascii="宋体" w:hAnsi="宋体" w:cs="宋体"/>
          <w:b/>
          <w:bCs/>
          <w:color w:val="auto"/>
          <w:sz w:val="24"/>
          <w:highlight w:val="none"/>
        </w:rPr>
      </w:pPr>
      <w:bookmarkStart w:id="116" w:name="_Toc17696"/>
      <w:r>
        <w:rPr>
          <w:rFonts w:hint="eastAsia" w:ascii="宋体" w:hAnsi="宋体" w:cs="宋体"/>
          <w:b/>
          <w:bCs/>
          <w:color w:val="auto"/>
          <w:sz w:val="24"/>
          <w:highlight w:val="none"/>
        </w:rPr>
        <w:t>四、违约责任</w:t>
      </w:r>
      <w:bookmarkEnd w:id="116"/>
    </w:p>
    <w:p w14:paraId="0BD0EBFD">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承包人违反本保密协议约定，要承担违约责任，发包人有权通过任何合理方式追究承包人的责任并终止服务合同。造成损失的，发包人有权要求承包人进行赔偿并追究承包人其他的法律责任。</w:t>
      </w:r>
    </w:p>
    <w:p w14:paraId="53D75577">
      <w:pPr>
        <w:spacing w:line="360" w:lineRule="auto"/>
        <w:ind w:firstLine="482" w:firstLineChars="200"/>
        <w:outlineLvl w:val="1"/>
        <w:rPr>
          <w:rFonts w:ascii="宋体" w:hAnsi="宋体" w:cs="宋体"/>
          <w:b/>
          <w:bCs/>
          <w:color w:val="auto"/>
          <w:sz w:val="24"/>
          <w:highlight w:val="none"/>
        </w:rPr>
      </w:pPr>
      <w:bookmarkStart w:id="117" w:name="_Toc32619"/>
      <w:r>
        <w:rPr>
          <w:rFonts w:hint="eastAsia" w:ascii="宋体" w:hAnsi="宋体" w:cs="宋体"/>
          <w:b/>
          <w:bCs/>
          <w:color w:val="auto"/>
          <w:sz w:val="24"/>
          <w:highlight w:val="none"/>
        </w:rPr>
        <w:t>五、其他约定</w:t>
      </w:r>
      <w:bookmarkEnd w:id="117"/>
    </w:p>
    <w:p w14:paraId="5B383C98">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本保密协议一式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份，发包人执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份，承包人执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份具有同等法律效力。本保密协议经</w:t>
      </w:r>
      <w:r>
        <w:rPr>
          <w:rFonts w:hint="eastAsia" w:ascii="宋体" w:hAnsi="宋体" w:cs="宋体"/>
          <w:color w:val="auto"/>
          <w:sz w:val="24"/>
          <w:highlight w:val="none"/>
          <w:lang w:eastAsia="zh-CN"/>
        </w:rPr>
        <w:t>发包人与承包人</w:t>
      </w:r>
      <w:r>
        <w:rPr>
          <w:rFonts w:hint="eastAsia" w:ascii="宋体" w:hAnsi="宋体" w:cs="宋体"/>
          <w:color w:val="auto"/>
          <w:sz w:val="24"/>
          <w:highlight w:val="none"/>
        </w:rPr>
        <w:t>签字盖章后生效。</w:t>
      </w:r>
    </w:p>
    <w:p w14:paraId="5968ED46">
      <w:pPr>
        <w:pStyle w:val="2"/>
        <w:rPr>
          <w:rFonts w:hint="eastAsia"/>
          <w:color w:val="auto"/>
          <w:highlight w:val="none"/>
        </w:rPr>
      </w:pPr>
    </w:p>
    <w:p w14:paraId="39BF1620">
      <w:pPr>
        <w:pStyle w:val="2"/>
        <w:rPr>
          <w:color w:val="auto"/>
          <w:highlight w:val="none"/>
        </w:rPr>
      </w:pPr>
    </w:p>
    <w:p w14:paraId="62A259A7">
      <w:pPr>
        <w:adjustRightInd w:val="0"/>
        <w:snapToGrid w:val="0"/>
        <w:spacing w:line="360" w:lineRule="auto"/>
        <w:ind w:right="11"/>
        <w:rPr>
          <w:rFonts w:ascii="宋体" w:hAnsi="宋体" w:cs="宋体"/>
          <w:color w:val="auto"/>
          <w:sz w:val="24"/>
          <w:highlight w:val="none"/>
        </w:rPr>
      </w:pPr>
    </w:p>
    <w:p w14:paraId="156442D1">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6A4B733E">
      <w:pPr>
        <w:adjustRightInd w:val="0"/>
        <w:snapToGrid w:val="0"/>
        <w:spacing w:line="360" w:lineRule="auto"/>
        <w:ind w:right="11"/>
        <w:jc w:val="left"/>
        <w:rPr>
          <w:rFonts w:ascii="宋体" w:hAnsi="宋体" w:cs="宋体"/>
          <w:snapToGrid w:val="0"/>
          <w:color w:val="auto"/>
          <w:spacing w:val="-20"/>
          <w:kern w:val="0"/>
          <w:sz w:val="24"/>
          <w:highlight w:val="none"/>
        </w:rPr>
      </w:pPr>
    </w:p>
    <w:p w14:paraId="1A789B0D">
      <w:pPr>
        <w:autoSpaceDE w:val="0"/>
        <w:autoSpaceDN w:val="0"/>
        <w:spacing w:line="360" w:lineRule="auto"/>
        <w:ind w:firstLine="3550" w:firstLineChars="1775"/>
        <w:rPr>
          <w:rFonts w:ascii="宋体" w:hAnsi="宋体" w:cs="宋体"/>
          <w:color w:val="auto"/>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val="en-US" w:eastAsia="zh-CN"/>
        </w:rPr>
        <w:t xml:space="preserve">  </w:t>
      </w:r>
      <w:r>
        <w:rPr>
          <w:rFonts w:hint="eastAsia" w:ascii="宋体" w:hAnsi="宋体" w:cs="宋体"/>
          <w:snapToGrid w:val="0"/>
          <w:color w:val="auto"/>
          <w:spacing w:val="-20"/>
          <w:kern w:val="0"/>
          <w:sz w:val="24"/>
          <w:highlight w:val="none"/>
        </w:rPr>
        <w:t>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14:paraId="131E96A9">
      <w:pPr>
        <w:autoSpaceDE w:val="0"/>
        <w:autoSpaceDN w:val="0"/>
        <w:spacing w:line="360" w:lineRule="auto"/>
        <w:ind w:firstLine="660" w:firstLineChars="275"/>
        <w:rPr>
          <w:rFonts w:ascii="宋体" w:hAnsi="宋体" w:cs="宋体"/>
          <w:color w:val="auto"/>
          <w:sz w:val="24"/>
          <w:highlight w:val="none"/>
        </w:rPr>
      </w:pPr>
    </w:p>
    <w:p w14:paraId="2C6E4BC8">
      <w:pPr>
        <w:spacing w:line="360" w:lineRule="auto"/>
        <w:ind w:firstLine="2640" w:firstLineChars="1100"/>
        <w:rPr>
          <w:rFonts w:ascii="宋体" w:hAnsi="宋体" w:cs="宋体"/>
          <w:color w:val="auto"/>
          <w:sz w:val="24"/>
          <w:highlight w:val="none"/>
        </w:rPr>
        <w:sectPr>
          <w:pgSz w:w="11906" w:h="16838"/>
          <w:pgMar w:top="1440" w:right="1440" w:bottom="1440" w:left="1587" w:header="851" w:footer="992" w:gutter="0"/>
          <w:cols w:space="720" w:num="1"/>
          <w:titlePg/>
          <w:docGrid w:type="lines" w:linePitch="312" w:charSpace="0"/>
        </w:sectPr>
      </w:pPr>
      <w:r>
        <w:rPr>
          <w:rFonts w:hint="eastAsia" w:ascii="宋体" w:hAnsi="宋体" w:cs="宋体"/>
          <w:color w:val="auto"/>
          <w:sz w:val="24"/>
          <w:highlight w:val="none"/>
        </w:rPr>
        <w:t>签订日期：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  日</w:t>
      </w:r>
    </w:p>
    <w:p w14:paraId="7EDCFE3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附件4</w:t>
      </w:r>
    </w:p>
    <w:p w14:paraId="09359ECB">
      <w:pPr>
        <w:widowControl/>
        <w:snapToGrid w:val="0"/>
        <w:spacing w:line="360" w:lineRule="auto"/>
        <w:jc w:val="center"/>
        <w:outlineLvl w:val="0"/>
        <w:rPr>
          <w:rFonts w:hint="eastAsia" w:ascii="宋体" w:hAnsi="宋体" w:cs="宋体"/>
          <w:b/>
          <w:bCs/>
          <w:color w:val="auto"/>
          <w:sz w:val="30"/>
          <w:szCs w:val="30"/>
          <w:highlight w:val="none"/>
        </w:rPr>
      </w:pPr>
      <w:bookmarkStart w:id="118" w:name="_Toc8699"/>
      <w:bookmarkStart w:id="119" w:name="_Toc16536"/>
      <w:bookmarkStart w:id="120" w:name="_Toc17975"/>
      <w:bookmarkStart w:id="121" w:name="_Toc9719"/>
      <w:r>
        <w:rPr>
          <w:rFonts w:hint="eastAsia" w:ascii="宋体" w:hAnsi="宋体" w:cs="宋体"/>
          <w:b/>
          <w:bCs/>
          <w:color w:val="auto"/>
          <w:sz w:val="30"/>
          <w:szCs w:val="30"/>
          <w:highlight w:val="none"/>
          <w:lang w:eastAsia="zh-CN"/>
        </w:rPr>
        <w:t>采购</w:t>
      </w:r>
      <w:r>
        <w:rPr>
          <w:rFonts w:hint="eastAsia" w:ascii="宋体" w:hAnsi="宋体" w:eastAsia="宋体" w:cs="宋体"/>
          <w:b/>
          <w:bCs/>
          <w:color w:val="auto"/>
          <w:sz w:val="30"/>
          <w:szCs w:val="30"/>
          <w:highlight w:val="none"/>
        </w:rPr>
        <w:t>需求</w:t>
      </w:r>
      <w:r>
        <w:rPr>
          <w:rFonts w:hint="eastAsia" w:ascii="宋体" w:hAnsi="宋体" w:cs="宋体"/>
          <w:b/>
          <w:bCs/>
          <w:color w:val="auto"/>
          <w:sz w:val="30"/>
          <w:szCs w:val="30"/>
          <w:highlight w:val="none"/>
        </w:rPr>
        <w:t>书</w:t>
      </w:r>
    </w:p>
    <w:p w14:paraId="1F26D918">
      <w:pPr>
        <w:widowControl/>
        <w:snapToGrid w:val="0"/>
        <w:spacing w:line="360" w:lineRule="auto"/>
        <w:jc w:val="center"/>
        <w:outlineLvl w:val="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41FFBA64">
      <w:pPr>
        <w:ind w:firstLine="1120"/>
        <w:jc w:val="center"/>
        <w:rPr>
          <w:rFonts w:ascii="宋体" w:hAnsi="宋体" w:cs="宋体"/>
          <w:color w:val="auto"/>
          <w:sz w:val="24"/>
          <w:highlight w:val="none"/>
        </w:rPr>
      </w:pPr>
    </w:p>
    <w:p w14:paraId="3EA34877">
      <w:pPr>
        <w:pStyle w:val="53"/>
        <w:rPr>
          <w:rFonts w:ascii="宋体" w:hAnsi="宋体" w:cs="宋体"/>
          <w:b w:val="0"/>
          <w:color w:val="auto"/>
          <w:sz w:val="24"/>
          <w:highlight w:val="none"/>
        </w:rPr>
      </w:pPr>
    </w:p>
    <w:p w14:paraId="3291A7C9">
      <w:pPr>
        <w:pStyle w:val="53"/>
        <w:rPr>
          <w:rFonts w:ascii="宋体" w:hAnsi="宋体" w:cs="宋体"/>
          <w:b w:val="0"/>
          <w:color w:val="auto"/>
          <w:sz w:val="24"/>
          <w:highlight w:val="none"/>
        </w:rPr>
      </w:pPr>
    </w:p>
    <w:p w14:paraId="63BF220A">
      <w:pPr>
        <w:pStyle w:val="53"/>
        <w:rPr>
          <w:rFonts w:ascii="宋体" w:hAnsi="宋体" w:cs="宋体"/>
          <w:b w:val="0"/>
          <w:color w:val="auto"/>
          <w:sz w:val="24"/>
          <w:highlight w:val="none"/>
        </w:rPr>
      </w:pPr>
    </w:p>
    <w:p w14:paraId="490097AD">
      <w:pPr>
        <w:pStyle w:val="53"/>
        <w:rPr>
          <w:rFonts w:ascii="宋体" w:hAnsi="宋体" w:cs="宋体"/>
          <w:b w:val="0"/>
          <w:color w:val="auto"/>
          <w:sz w:val="24"/>
          <w:highlight w:val="none"/>
        </w:rPr>
      </w:pPr>
    </w:p>
    <w:p w14:paraId="7B079DEB">
      <w:pPr>
        <w:ind w:firstLine="640"/>
        <w:rPr>
          <w:rFonts w:ascii="宋体" w:hAnsi="宋体" w:cs="宋体"/>
          <w:color w:val="auto"/>
          <w:kern w:val="0"/>
          <w:sz w:val="24"/>
          <w:highlight w:val="none"/>
        </w:rPr>
      </w:pPr>
    </w:p>
    <w:p w14:paraId="5E79D339">
      <w:pPr>
        <w:jc w:val="center"/>
        <w:rPr>
          <w:rFonts w:ascii="宋体" w:hAnsi="宋体" w:cs="宋体"/>
          <w:color w:val="auto"/>
          <w:kern w:val="0"/>
          <w:sz w:val="24"/>
          <w:highlight w:val="none"/>
        </w:rPr>
      </w:pPr>
    </w:p>
    <w:p w14:paraId="22381F93">
      <w:pPr>
        <w:jc w:val="center"/>
        <w:rPr>
          <w:rFonts w:ascii="宋体" w:hAnsi="宋体" w:cs="宋体"/>
          <w:color w:val="auto"/>
          <w:kern w:val="0"/>
          <w:sz w:val="24"/>
          <w:highlight w:val="none"/>
        </w:rPr>
      </w:pPr>
    </w:p>
    <w:p w14:paraId="401E645E">
      <w:pPr>
        <w:pStyle w:val="53"/>
        <w:rPr>
          <w:rFonts w:ascii="宋体" w:hAnsi="宋体" w:cs="宋体"/>
          <w:color w:val="auto"/>
          <w:kern w:val="0"/>
          <w:sz w:val="24"/>
          <w:highlight w:val="none"/>
        </w:rPr>
      </w:pPr>
    </w:p>
    <w:p w14:paraId="2E412CFB">
      <w:pPr>
        <w:pStyle w:val="53"/>
        <w:rPr>
          <w:rFonts w:ascii="宋体" w:hAnsi="宋体" w:cs="宋体"/>
          <w:color w:val="auto"/>
          <w:kern w:val="0"/>
          <w:sz w:val="24"/>
          <w:highlight w:val="none"/>
        </w:rPr>
      </w:pPr>
    </w:p>
    <w:p w14:paraId="403587B3">
      <w:pPr>
        <w:pStyle w:val="53"/>
        <w:rPr>
          <w:rFonts w:ascii="宋体" w:hAnsi="宋体" w:cs="宋体"/>
          <w:color w:val="auto"/>
          <w:kern w:val="0"/>
          <w:sz w:val="24"/>
          <w:highlight w:val="none"/>
        </w:rPr>
      </w:pPr>
    </w:p>
    <w:p w14:paraId="5B39BF60">
      <w:pPr>
        <w:pStyle w:val="53"/>
        <w:rPr>
          <w:rFonts w:ascii="宋体" w:hAnsi="宋体" w:cs="宋体"/>
          <w:color w:val="auto"/>
          <w:kern w:val="0"/>
          <w:sz w:val="24"/>
          <w:highlight w:val="none"/>
        </w:rPr>
      </w:pPr>
    </w:p>
    <w:p w14:paraId="680805EF">
      <w:pPr>
        <w:pStyle w:val="53"/>
        <w:rPr>
          <w:rFonts w:ascii="宋体" w:hAnsi="宋体" w:cs="宋体"/>
          <w:color w:val="auto"/>
          <w:kern w:val="0"/>
          <w:sz w:val="24"/>
          <w:highlight w:val="none"/>
        </w:rPr>
      </w:pPr>
    </w:p>
    <w:p w14:paraId="1D2D0579">
      <w:pPr>
        <w:pStyle w:val="53"/>
        <w:rPr>
          <w:rFonts w:ascii="宋体" w:hAnsi="宋体" w:cs="宋体"/>
          <w:color w:val="auto"/>
          <w:kern w:val="0"/>
          <w:sz w:val="24"/>
          <w:highlight w:val="none"/>
        </w:rPr>
      </w:pPr>
    </w:p>
    <w:p w14:paraId="392A0D75">
      <w:pPr>
        <w:pStyle w:val="53"/>
        <w:rPr>
          <w:rFonts w:ascii="宋体" w:hAnsi="宋体" w:cs="宋体"/>
          <w:color w:val="auto"/>
          <w:kern w:val="0"/>
          <w:sz w:val="24"/>
          <w:highlight w:val="none"/>
        </w:rPr>
      </w:pPr>
    </w:p>
    <w:p w14:paraId="059E207D">
      <w:pPr>
        <w:pStyle w:val="53"/>
        <w:rPr>
          <w:rFonts w:ascii="宋体" w:hAnsi="宋体" w:cs="宋体"/>
          <w:color w:val="auto"/>
          <w:kern w:val="0"/>
          <w:sz w:val="24"/>
          <w:highlight w:val="none"/>
        </w:rPr>
      </w:pPr>
    </w:p>
    <w:p w14:paraId="5CC9B34D">
      <w:pPr>
        <w:pStyle w:val="53"/>
        <w:rPr>
          <w:rFonts w:ascii="宋体" w:hAnsi="宋体" w:cs="宋体"/>
          <w:color w:val="auto"/>
          <w:kern w:val="0"/>
          <w:sz w:val="24"/>
          <w:highlight w:val="none"/>
        </w:rPr>
      </w:pPr>
    </w:p>
    <w:p w14:paraId="684CE50D">
      <w:pPr>
        <w:pStyle w:val="53"/>
        <w:rPr>
          <w:rFonts w:ascii="宋体" w:hAnsi="宋体" w:cs="宋体"/>
          <w:color w:val="auto"/>
          <w:kern w:val="0"/>
          <w:sz w:val="24"/>
          <w:highlight w:val="none"/>
        </w:rPr>
      </w:pPr>
    </w:p>
    <w:p w14:paraId="602CA0F6">
      <w:pPr>
        <w:pStyle w:val="53"/>
        <w:rPr>
          <w:rFonts w:ascii="宋体" w:hAnsi="宋体" w:cs="宋体"/>
          <w:color w:val="auto"/>
          <w:kern w:val="0"/>
          <w:sz w:val="24"/>
          <w:highlight w:val="none"/>
        </w:rPr>
      </w:pPr>
    </w:p>
    <w:p w14:paraId="11D70145">
      <w:pPr>
        <w:pStyle w:val="53"/>
        <w:rPr>
          <w:rFonts w:ascii="宋体" w:hAnsi="宋体" w:cs="宋体"/>
          <w:color w:val="auto"/>
          <w:kern w:val="0"/>
          <w:sz w:val="24"/>
          <w:highlight w:val="none"/>
        </w:rPr>
      </w:pPr>
    </w:p>
    <w:p w14:paraId="5EB7975D">
      <w:pPr>
        <w:pStyle w:val="53"/>
        <w:rPr>
          <w:rFonts w:ascii="宋体" w:hAnsi="宋体" w:cs="宋体"/>
          <w:color w:val="auto"/>
          <w:kern w:val="0"/>
          <w:sz w:val="24"/>
          <w:highlight w:val="none"/>
        </w:rPr>
      </w:pPr>
    </w:p>
    <w:p w14:paraId="008195CE">
      <w:pPr>
        <w:pStyle w:val="53"/>
        <w:rPr>
          <w:rFonts w:ascii="宋体" w:hAnsi="宋体" w:cs="宋体"/>
          <w:color w:val="auto"/>
          <w:kern w:val="0"/>
          <w:sz w:val="24"/>
          <w:highlight w:val="none"/>
        </w:rPr>
      </w:pPr>
    </w:p>
    <w:p w14:paraId="5489F94F">
      <w:pPr>
        <w:pStyle w:val="53"/>
        <w:rPr>
          <w:rFonts w:ascii="宋体" w:hAnsi="宋体" w:cs="宋体"/>
          <w:color w:val="auto"/>
          <w:kern w:val="0"/>
          <w:sz w:val="24"/>
          <w:highlight w:val="none"/>
        </w:rPr>
      </w:pPr>
    </w:p>
    <w:p w14:paraId="100EBEC9">
      <w:pPr>
        <w:rPr>
          <w:rFonts w:ascii="宋体" w:hAnsi="宋体" w:cs="宋体"/>
          <w:b/>
          <w:bCs/>
          <w:color w:val="auto"/>
          <w:sz w:val="24"/>
          <w:highlight w:val="none"/>
        </w:rPr>
      </w:pPr>
      <w:bookmarkStart w:id="122" w:name="_Toc19757"/>
      <w:bookmarkStart w:id="123" w:name="_Toc26896"/>
      <w:bookmarkStart w:id="124" w:name="_Toc9295"/>
      <w:bookmarkStart w:id="125" w:name="_Toc4600"/>
      <w:bookmarkStart w:id="126" w:name="_Toc32018"/>
      <w:bookmarkStart w:id="127" w:name="_Toc11097"/>
      <w:bookmarkStart w:id="128" w:name="_Toc4174"/>
      <w:bookmarkStart w:id="129" w:name="_Toc29204"/>
      <w:bookmarkStart w:id="130" w:name="_Toc22751"/>
      <w:bookmarkStart w:id="131" w:name="_Toc18258"/>
      <w:bookmarkStart w:id="132" w:name="_Toc7413"/>
      <w:bookmarkStart w:id="133" w:name="_Toc6858"/>
      <w:r>
        <w:rPr>
          <w:rFonts w:hint="eastAsia" w:ascii="宋体" w:hAnsi="宋体" w:cs="宋体"/>
          <w:b/>
          <w:bCs/>
          <w:color w:val="auto"/>
          <w:sz w:val="24"/>
          <w:highlight w:val="none"/>
        </w:rPr>
        <w:br w:type="page"/>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3EF7AB86">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附件5</w:t>
      </w:r>
    </w:p>
    <w:p w14:paraId="19C44E17">
      <w:pPr>
        <w:spacing w:line="360" w:lineRule="auto"/>
        <w:jc w:val="center"/>
        <w:outlineLvl w:val="0"/>
        <w:rPr>
          <w:rFonts w:ascii="宋体" w:hAnsi="宋体" w:cs="宋体"/>
          <w:b/>
          <w:bCs/>
          <w:color w:val="auto"/>
          <w:sz w:val="30"/>
          <w:szCs w:val="30"/>
          <w:highlight w:val="none"/>
        </w:rPr>
      </w:pPr>
      <w:bookmarkStart w:id="134" w:name="_Toc16242"/>
      <w:r>
        <w:rPr>
          <w:rFonts w:hint="eastAsia" w:ascii="宋体" w:hAnsi="宋体" w:cs="宋体"/>
          <w:b/>
          <w:bCs/>
          <w:color w:val="auto"/>
          <w:sz w:val="30"/>
          <w:szCs w:val="30"/>
          <w:highlight w:val="none"/>
        </w:rPr>
        <w:t>联合体协议书（复印件）</w:t>
      </w:r>
      <w:bookmarkEnd w:id="134"/>
    </w:p>
    <w:p w14:paraId="27AFB940">
      <w:pPr>
        <w:pStyle w:val="2"/>
        <w:rPr>
          <w:color w:val="auto"/>
          <w:highlight w:val="none"/>
        </w:rPr>
      </w:pPr>
    </w:p>
    <w:p w14:paraId="77AF04B3">
      <w:pPr>
        <w:jc w:val="center"/>
        <w:rPr>
          <w:color w:val="auto"/>
          <w:highlight w:val="none"/>
        </w:rPr>
      </w:pPr>
    </w:p>
    <w:p w14:paraId="6315880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附件6</w:t>
      </w:r>
    </w:p>
    <w:p w14:paraId="085F557B">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《广州安居集团有限公司建设工程设计管理办法（试行）》</w:t>
      </w:r>
    </w:p>
    <w:p w14:paraId="3D6FAD5B">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53AD82CD">
      <w:pPr>
        <w:rPr>
          <w:color w:val="auto"/>
          <w:highlight w:val="none"/>
        </w:rPr>
      </w:pPr>
    </w:p>
    <w:p w14:paraId="03D2B1A8">
      <w:pPr>
        <w:rPr>
          <w:color w:val="auto"/>
          <w:highlight w:val="none"/>
        </w:rPr>
      </w:pPr>
    </w:p>
    <w:p w14:paraId="54C7F835">
      <w:pPr>
        <w:rPr>
          <w:rFonts w:ascii="宋体" w:hAnsi="宋体" w:cs="宋体"/>
          <w:b/>
          <w:bCs/>
          <w:color w:val="auto"/>
          <w:sz w:val="24"/>
          <w:highlight w:val="none"/>
        </w:rPr>
      </w:pPr>
    </w:p>
    <w:p w14:paraId="2829207A">
      <w:pPr>
        <w:rPr>
          <w:rFonts w:ascii="宋体" w:hAnsi="宋体" w:cs="宋体"/>
          <w:b/>
          <w:bCs/>
          <w:color w:val="auto"/>
          <w:sz w:val="24"/>
          <w:highlight w:val="none"/>
        </w:rPr>
      </w:pPr>
    </w:p>
    <w:p w14:paraId="1638C997">
      <w:pPr>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附件7</w:t>
      </w:r>
    </w:p>
    <w:p w14:paraId="2EFC5AFE">
      <w:pPr>
        <w:spacing w:line="360" w:lineRule="auto"/>
        <w:jc w:val="center"/>
        <w:rPr>
          <w:rFonts w:hint="eastAsia" w:ascii="宋体" w:hAnsi="宋体" w:cs="宋体"/>
          <w:b/>
          <w:bCs/>
          <w:color w:val="auto"/>
          <w:spacing w:val="-11"/>
          <w:sz w:val="30"/>
          <w:szCs w:val="30"/>
          <w:highlight w:val="none"/>
        </w:rPr>
      </w:pPr>
      <w:r>
        <w:rPr>
          <w:rFonts w:hint="eastAsia" w:ascii="宋体" w:hAnsi="宋体" w:cs="宋体"/>
          <w:b/>
          <w:bCs/>
          <w:color w:val="auto"/>
          <w:spacing w:val="-11"/>
          <w:sz w:val="30"/>
          <w:szCs w:val="30"/>
          <w:highlight w:val="none"/>
        </w:rPr>
        <w:t>《广州安居集团保障性住房项目设计评价标准及负面清单（试行）》</w:t>
      </w:r>
    </w:p>
    <w:p w14:paraId="7868EBFC">
      <w:pPr>
        <w:spacing w:line="360" w:lineRule="auto"/>
        <w:jc w:val="center"/>
        <w:rPr>
          <w:rFonts w:hint="eastAsia" w:ascii="宋体" w:hAnsi="宋体" w:eastAsia="宋体" w:cs="宋体"/>
          <w:b/>
          <w:bCs/>
          <w:color w:val="auto"/>
          <w:spacing w:val="-11"/>
          <w:sz w:val="30"/>
          <w:szCs w:val="30"/>
          <w:highlight w:val="none"/>
          <w:lang w:eastAsia="zh-CN"/>
        </w:rPr>
      </w:pPr>
      <w:r>
        <w:rPr>
          <w:rFonts w:hint="eastAsia" w:ascii="宋体" w:hAnsi="宋体" w:cs="宋体"/>
          <w:b/>
          <w:bCs/>
          <w:color w:val="auto"/>
          <w:spacing w:val="-11"/>
          <w:sz w:val="30"/>
          <w:szCs w:val="30"/>
          <w:highlight w:val="none"/>
          <w:lang w:eastAsia="zh-CN"/>
        </w:rPr>
        <w:t>（另册）</w:t>
      </w:r>
    </w:p>
    <w:p w14:paraId="27B1A65D">
      <w:pPr>
        <w:pStyle w:val="83"/>
        <w:ind w:firstLine="480"/>
        <w:rPr>
          <w:color w:val="auto"/>
          <w:highlight w:val="none"/>
        </w:rPr>
      </w:pPr>
    </w:p>
    <w:p w14:paraId="30137256">
      <w:pPr>
        <w:pStyle w:val="83"/>
        <w:ind w:firstLine="480"/>
        <w:rPr>
          <w:color w:val="auto"/>
          <w:highlight w:val="none"/>
        </w:rPr>
      </w:pPr>
    </w:p>
    <w:p w14:paraId="7AF041F4">
      <w:pPr>
        <w:spacing w:line="480" w:lineRule="auto"/>
        <w:rPr>
          <w:rFonts w:hint="eastAsia" w:ascii="宋体" w:hAnsi="宋体" w:cs="宋体"/>
          <w:b/>
          <w:bCs/>
          <w:color w:val="auto"/>
          <w:spacing w:val="-11"/>
          <w:sz w:val="24"/>
          <w:highlight w:val="none"/>
        </w:rPr>
      </w:pPr>
      <w:r>
        <w:rPr>
          <w:rFonts w:hint="eastAsia" w:ascii="宋体" w:hAnsi="宋体" w:cs="宋体"/>
          <w:b/>
          <w:bCs/>
          <w:color w:val="auto"/>
          <w:spacing w:val="-11"/>
          <w:sz w:val="24"/>
          <w:highlight w:val="none"/>
        </w:rPr>
        <w:br w:type="page"/>
      </w:r>
      <w:r>
        <w:rPr>
          <w:rFonts w:hint="eastAsia" w:ascii="宋体" w:hAnsi="宋体" w:cs="宋体"/>
          <w:b/>
          <w:bCs/>
          <w:color w:val="auto"/>
          <w:spacing w:val="-11"/>
          <w:sz w:val="24"/>
          <w:highlight w:val="none"/>
        </w:rPr>
        <w:t>附件8</w:t>
      </w:r>
    </w:p>
    <w:p w14:paraId="2EF839E6">
      <w:pPr>
        <w:pStyle w:val="43"/>
        <w:adjustRightInd w:val="0"/>
        <w:snapToGrid w:val="0"/>
        <w:spacing w:after="0" w:line="360" w:lineRule="auto"/>
        <w:ind w:left="283" w:leftChars="135" w:firstLine="602" w:firstLineChars="200"/>
        <w:jc w:val="center"/>
        <w:outlineLvl w:val="9"/>
        <w:rPr>
          <w:rFonts w:hint="eastAsia" w:ascii="宋体" w:hAnsi="宋体" w:eastAsia="宋体" w:cs="宋体"/>
          <w:b/>
          <w:bCs/>
          <w:snapToGrid w:val="0"/>
          <w:color w:val="auto"/>
          <w:kern w:val="0"/>
          <w:sz w:val="30"/>
          <w:szCs w:val="30"/>
          <w:highlight w:val="none"/>
        </w:rPr>
      </w:pPr>
      <w:bookmarkStart w:id="135" w:name="_Toc883"/>
      <w:bookmarkStart w:id="136" w:name="_Toc28924"/>
      <w:bookmarkStart w:id="137" w:name="_Toc25157"/>
      <w:bookmarkStart w:id="138" w:name="_Toc26387"/>
      <w:bookmarkStart w:id="139" w:name="_Toc1066"/>
      <w:r>
        <w:rPr>
          <w:rFonts w:hint="eastAsia" w:ascii="宋体" w:hAnsi="宋体" w:eastAsia="宋体" w:cs="宋体"/>
          <w:b/>
          <w:bCs/>
          <w:snapToGrid w:val="0"/>
          <w:color w:val="auto"/>
          <w:kern w:val="0"/>
          <w:sz w:val="30"/>
          <w:szCs w:val="30"/>
          <w:highlight w:val="none"/>
        </w:rPr>
        <w:t>《广州安居集团有限公司施工合同履约评价实施办法（试行）</w:t>
      </w:r>
      <w:r>
        <w:rPr>
          <w:rFonts w:hint="eastAsia" w:ascii="宋体" w:hAnsi="宋体" w:eastAsia="宋体" w:cs="宋体"/>
          <w:b/>
          <w:bCs/>
          <w:snapToGrid w:val="0"/>
          <w:color w:val="auto"/>
          <w:kern w:val="0"/>
          <w:sz w:val="30"/>
          <w:szCs w:val="30"/>
          <w:highlight w:val="none"/>
          <w:lang w:eastAsia="zh-CN"/>
        </w:rPr>
        <w:t>》</w:t>
      </w:r>
      <w:r>
        <w:rPr>
          <w:rFonts w:hint="eastAsia" w:ascii="宋体" w:hAnsi="宋体" w:eastAsia="宋体" w:cs="宋体"/>
          <w:b/>
          <w:bCs/>
          <w:snapToGrid w:val="0"/>
          <w:color w:val="auto"/>
          <w:kern w:val="0"/>
          <w:sz w:val="30"/>
          <w:szCs w:val="30"/>
          <w:highlight w:val="none"/>
        </w:rPr>
        <w:t>（另册）</w:t>
      </w:r>
      <w:bookmarkEnd w:id="135"/>
      <w:bookmarkEnd w:id="136"/>
      <w:bookmarkEnd w:id="137"/>
      <w:bookmarkEnd w:id="138"/>
      <w:bookmarkEnd w:id="139"/>
    </w:p>
    <w:p w14:paraId="201C896C">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6A8C8FD1">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3720900">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A227392">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AD560B6">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A8660C4">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FFD48B1">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DCE4586">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5A3312B">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C68DE44">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6F303626">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31479BF">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0479D78">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0B25145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00F3E5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6F08018">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F3E5517">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3FA9738A">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09EB1F9">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248638D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B29464D">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126A096">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6D03F5D0">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74FBDCE9">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5E3E4837">
      <w:pPr>
        <w:pStyle w:val="43"/>
        <w:adjustRightInd w:val="0"/>
        <w:snapToGrid w:val="0"/>
        <w:spacing w:after="0" w:line="360" w:lineRule="auto"/>
        <w:ind w:firstLine="482" w:firstLineChars="200"/>
        <w:outlineLvl w:val="9"/>
        <w:rPr>
          <w:rFonts w:hint="eastAsia" w:ascii="宋体" w:hAnsi="宋体" w:cs="宋体"/>
          <w:b/>
          <w:bCs/>
          <w:snapToGrid w:val="0"/>
          <w:color w:val="auto"/>
          <w:kern w:val="0"/>
          <w:sz w:val="24"/>
          <w:szCs w:val="24"/>
          <w:highlight w:val="none"/>
        </w:rPr>
      </w:pPr>
    </w:p>
    <w:p w14:paraId="474BB85E">
      <w:pPr>
        <w:adjustRightInd w:val="0"/>
        <w:snapToGrid w:val="0"/>
        <w:spacing w:after="0"/>
        <w:ind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2B2DE5E6">
      <w:pPr>
        <w:spacing w:line="480" w:lineRule="auto"/>
        <w:rPr>
          <w:rFonts w:hint="eastAsia" w:ascii="宋体" w:hAnsi="宋体" w:eastAsia="宋体" w:cs="宋体"/>
          <w:b/>
          <w:bCs/>
          <w:color w:val="auto"/>
          <w:spacing w:val="-11"/>
          <w:sz w:val="24"/>
          <w:highlight w:val="none"/>
          <w:lang w:eastAsia="zh-CN"/>
        </w:rPr>
      </w:pPr>
      <w:r>
        <w:rPr>
          <w:rFonts w:hint="eastAsia" w:ascii="宋体" w:hAnsi="宋体" w:cs="宋体"/>
          <w:b/>
          <w:bCs/>
          <w:color w:val="auto"/>
          <w:spacing w:val="-11"/>
          <w:sz w:val="24"/>
          <w:highlight w:val="none"/>
        </w:rPr>
        <w:t>附件</w:t>
      </w:r>
      <w:r>
        <w:rPr>
          <w:rFonts w:hint="eastAsia" w:ascii="宋体" w:hAnsi="宋体" w:cs="宋体"/>
          <w:b/>
          <w:bCs/>
          <w:color w:val="auto"/>
          <w:spacing w:val="-11"/>
          <w:sz w:val="24"/>
          <w:highlight w:val="none"/>
          <w:lang w:val="en-US" w:eastAsia="zh-CN"/>
        </w:rPr>
        <w:t>9</w:t>
      </w:r>
    </w:p>
    <w:p w14:paraId="58920648">
      <w:pPr>
        <w:pStyle w:val="43"/>
        <w:adjustRightInd w:val="0"/>
        <w:snapToGrid w:val="0"/>
        <w:spacing w:after="0" w:line="360" w:lineRule="auto"/>
        <w:ind w:left="0" w:leftChars="0" w:firstLine="0" w:firstLineChars="0"/>
        <w:jc w:val="center"/>
        <w:outlineLvl w:val="9"/>
        <w:rPr>
          <w:rFonts w:hint="eastAsia" w:ascii="宋体" w:hAnsi="宋体" w:eastAsia="宋体" w:cs="宋体"/>
          <w:b/>
          <w:bCs/>
          <w:snapToGrid w:val="0"/>
          <w:color w:val="auto"/>
          <w:kern w:val="0"/>
          <w:sz w:val="30"/>
          <w:szCs w:val="30"/>
          <w:highlight w:val="none"/>
          <w:lang w:eastAsia="zh-CN"/>
        </w:rPr>
      </w:pPr>
      <w:r>
        <w:rPr>
          <w:rFonts w:hint="eastAsia" w:ascii="宋体" w:hAnsi="宋体" w:eastAsia="宋体" w:cs="宋体"/>
          <w:b/>
          <w:bCs/>
          <w:snapToGrid w:val="0"/>
          <w:color w:val="auto"/>
          <w:kern w:val="0"/>
          <w:sz w:val="30"/>
          <w:szCs w:val="30"/>
          <w:highlight w:val="none"/>
        </w:rPr>
        <w:t>《广州安居住房置业有限公司工程</w:t>
      </w:r>
      <w:r>
        <w:rPr>
          <w:rFonts w:hint="eastAsia" w:ascii="宋体" w:hAnsi="宋体" w:eastAsia="宋体" w:cs="宋体"/>
          <w:b/>
          <w:bCs/>
          <w:snapToGrid w:val="0"/>
          <w:color w:val="auto"/>
          <w:kern w:val="0"/>
          <w:sz w:val="30"/>
          <w:szCs w:val="30"/>
          <w:highlight w:val="none"/>
          <w:lang w:eastAsia="zh-CN"/>
        </w:rPr>
        <w:t>预</w:t>
      </w:r>
      <w:r>
        <w:rPr>
          <w:rFonts w:hint="eastAsia" w:ascii="宋体" w:hAnsi="宋体" w:eastAsia="宋体" w:cs="宋体"/>
          <w:b/>
          <w:bCs/>
          <w:snapToGrid w:val="0"/>
          <w:color w:val="auto"/>
          <w:kern w:val="0"/>
          <w:sz w:val="30"/>
          <w:szCs w:val="30"/>
          <w:highlight w:val="none"/>
        </w:rPr>
        <w:t>算编审指引（试行）</w:t>
      </w:r>
      <w:r>
        <w:rPr>
          <w:rFonts w:hint="eastAsia" w:ascii="宋体" w:hAnsi="宋体" w:eastAsia="宋体" w:cs="宋体"/>
          <w:b/>
          <w:bCs/>
          <w:snapToGrid w:val="0"/>
          <w:color w:val="auto"/>
          <w:kern w:val="0"/>
          <w:sz w:val="30"/>
          <w:szCs w:val="30"/>
          <w:highlight w:val="none"/>
          <w:lang w:eastAsia="zh-CN"/>
        </w:rPr>
        <w:t>》</w:t>
      </w:r>
    </w:p>
    <w:p w14:paraId="25879494">
      <w:pPr>
        <w:pStyle w:val="43"/>
        <w:adjustRightInd w:val="0"/>
        <w:snapToGrid w:val="0"/>
        <w:spacing w:after="0" w:line="360" w:lineRule="auto"/>
        <w:ind w:left="0" w:leftChars="0" w:firstLine="0" w:firstLineChars="0"/>
        <w:jc w:val="center"/>
        <w:outlineLvl w:val="9"/>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t>（另册）</w:t>
      </w:r>
    </w:p>
    <w:p w14:paraId="0F17E1F5">
      <w:pPr>
        <w:adjustRightInd w:val="0"/>
        <w:snapToGrid w:val="0"/>
        <w:spacing w:after="0"/>
        <w:ind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34A58FBF">
      <w:pPr>
        <w:spacing w:line="480" w:lineRule="auto"/>
        <w:rPr>
          <w:rFonts w:hint="default" w:ascii="宋体" w:hAnsi="宋体" w:eastAsia="宋体" w:cs="宋体"/>
          <w:b/>
          <w:bCs/>
          <w:color w:val="auto"/>
          <w:spacing w:val="-11"/>
          <w:sz w:val="24"/>
          <w:highlight w:val="none"/>
          <w:lang w:val="en-US" w:eastAsia="zh-CN"/>
        </w:rPr>
      </w:pPr>
      <w:r>
        <w:rPr>
          <w:rFonts w:hint="eastAsia" w:ascii="宋体" w:hAnsi="宋体" w:cs="宋体"/>
          <w:b/>
          <w:bCs/>
          <w:color w:val="auto"/>
          <w:spacing w:val="-11"/>
          <w:sz w:val="24"/>
          <w:highlight w:val="none"/>
        </w:rPr>
        <w:t>附件</w:t>
      </w:r>
      <w:r>
        <w:rPr>
          <w:rFonts w:hint="eastAsia" w:ascii="宋体" w:hAnsi="宋体" w:cs="宋体"/>
          <w:b/>
          <w:bCs/>
          <w:color w:val="auto"/>
          <w:spacing w:val="-11"/>
          <w:sz w:val="24"/>
          <w:highlight w:val="none"/>
          <w:lang w:val="en-US" w:eastAsia="zh-CN"/>
        </w:rPr>
        <w:t>10</w:t>
      </w:r>
    </w:p>
    <w:p w14:paraId="22321AE7">
      <w:pPr>
        <w:pStyle w:val="43"/>
        <w:adjustRightInd w:val="0"/>
        <w:snapToGrid w:val="0"/>
        <w:spacing w:after="0" w:line="360" w:lineRule="auto"/>
        <w:ind w:left="0" w:leftChars="0" w:firstLine="0" w:firstLineChars="0"/>
        <w:jc w:val="center"/>
        <w:outlineLvl w:val="9"/>
        <w:rPr>
          <w:rFonts w:hint="eastAsia" w:ascii="宋体" w:hAnsi="宋体" w:eastAsia="宋体" w:cs="宋体"/>
          <w:b/>
          <w:bCs/>
          <w:snapToGrid w:val="0"/>
          <w:color w:val="auto"/>
          <w:kern w:val="0"/>
          <w:sz w:val="30"/>
          <w:szCs w:val="30"/>
          <w:highlight w:val="none"/>
          <w:lang w:eastAsia="zh-CN"/>
        </w:rPr>
      </w:pPr>
      <w:r>
        <w:rPr>
          <w:rFonts w:hint="eastAsia" w:ascii="宋体" w:hAnsi="宋体" w:eastAsia="宋体" w:cs="宋体"/>
          <w:b/>
          <w:bCs/>
          <w:snapToGrid w:val="0"/>
          <w:color w:val="auto"/>
          <w:kern w:val="0"/>
          <w:sz w:val="30"/>
          <w:szCs w:val="30"/>
          <w:highlight w:val="none"/>
        </w:rPr>
        <w:t>《广州安居住房置业有限公司工程结算编审指引（试行）</w:t>
      </w:r>
      <w:r>
        <w:rPr>
          <w:rFonts w:hint="eastAsia" w:ascii="宋体" w:hAnsi="宋体" w:eastAsia="宋体" w:cs="宋体"/>
          <w:b/>
          <w:bCs/>
          <w:snapToGrid w:val="0"/>
          <w:color w:val="auto"/>
          <w:kern w:val="0"/>
          <w:sz w:val="30"/>
          <w:szCs w:val="30"/>
          <w:highlight w:val="none"/>
          <w:lang w:eastAsia="zh-CN"/>
        </w:rPr>
        <w:t>》</w:t>
      </w:r>
    </w:p>
    <w:p w14:paraId="7A153822">
      <w:pPr>
        <w:pStyle w:val="43"/>
        <w:adjustRightInd w:val="0"/>
        <w:snapToGrid w:val="0"/>
        <w:spacing w:after="0" w:line="360" w:lineRule="auto"/>
        <w:ind w:left="0" w:leftChars="0" w:firstLine="0" w:firstLineChars="0"/>
        <w:jc w:val="center"/>
        <w:outlineLvl w:val="9"/>
        <w:rPr>
          <w:rFonts w:hint="eastAsia" w:ascii="宋体" w:hAnsi="宋体" w:eastAsia="宋体" w:cs="宋体"/>
          <w:b/>
          <w:bCs/>
          <w:snapToGrid w:val="0"/>
          <w:color w:val="auto"/>
          <w:kern w:val="0"/>
          <w:sz w:val="30"/>
          <w:szCs w:val="30"/>
          <w:highlight w:val="none"/>
        </w:rPr>
      </w:pPr>
      <w:r>
        <w:rPr>
          <w:rFonts w:hint="eastAsia" w:ascii="宋体" w:hAnsi="宋体" w:eastAsia="宋体" w:cs="宋体"/>
          <w:b/>
          <w:bCs/>
          <w:snapToGrid w:val="0"/>
          <w:color w:val="auto"/>
          <w:kern w:val="0"/>
          <w:sz w:val="30"/>
          <w:szCs w:val="30"/>
          <w:highlight w:val="none"/>
        </w:rPr>
        <w:t>（另册）</w:t>
      </w:r>
    </w:p>
    <w:p w14:paraId="561D3383">
      <w:pPr>
        <w:adjustRightInd w:val="0"/>
        <w:snapToGrid w:val="0"/>
        <w:spacing w:after="0"/>
        <w:ind w:firstLineChars="200"/>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br w:type="page"/>
      </w:r>
    </w:p>
    <w:p w14:paraId="7A977669">
      <w:pPr>
        <w:pStyle w:val="2"/>
        <w:spacing w:line="360" w:lineRule="auto"/>
        <w:rPr>
          <w:rFonts w:hint="default" w:eastAsia="宋体"/>
          <w:b/>
          <w:bCs/>
          <w:color w:val="auto"/>
          <w:sz w:val="24"/>
          <w:szCs w:val="24"/>
          <w:highlight w:val="none"/>
          <w:lang w:val="en-US" w:eastAsia="zh-CN"/>
        </w:rPr>
      </w:pPr>
      <w:r>
        <w:rPr>
          <w:rFonts w:hint="eastAsia"/>
          <w:b/>
          <w:bCs/>
          <w:color w:val="auto"/>
          <w:sz w:val="24"/>
          <w:szCs w:val="24"/>
          <w:highlight w:val="none"/>
          <w:lang w:eastAsia="zh-CN"/>
        </w:rPr>
        <w:t>附件</w:t>
      </w:r>
      <w:r>
        <w:rPr>
          <w:rFonts w:hint="eastAsia"/>
          <w:b/>
          <w:bCs/>
          <w:color w:val="auto"/>
          <w:sz w:val="24"/>
          <w:szCs w:val="24"/>
          <w:highlight w:val="none"/>
          <w:lang w:val="en-US" w:eastAsia="zh-CN"/>
        </w:rPr>
        <w:t>11</w:t>
      </w:r>
    </w:p>
    <w:p w14:paraId="4D22D004">
      <w:pPr>
        <w:adjustRightInd w:val="0"/>
        <w:snapToGrid w:val="0"/>
        <w:spacing w:line="360" w:lineRule="auto"/>
        <w:jc w:val="center"/>
        <w:rPr>
          <w:rFonts w:ascii="宋体" w:hAnsi="宋体" w:cs="宋体"/>
          <w:b/>
          <w:snapToGrid w:val="0"/>
          <w:color w:val="auto"/>
          <w:spacing w:val="-11"/>
          <w:kern w:val="0"/>
          <w:sz w:val="30"/>
          <w:szCs w:val="30"/>
          <w:highlight w:val="none"/>
        </w:rPr>
      </w:pPr>
      <w:bookmarkStart w:id="140" w:name="_Toc2452"/>
      <w:bookmarkStart w:id="141" w:name="_Toc9603"/>
      <w:bookmarkStart w:id="142" w:name="_Toc9777"/>
      <w:r>
        <w:rPr>
          <w:rFonts w:hint="eastAsia" w:ascii="宋体" w:hAnsi="宋体" w:cs="宋体"/>
          <w:b/>
          <w:snapToGrid w:val="0"/>
          <w:color w:val="auto"/>
          <w:spacing w:val="-11"/>
          <w:kern w:val="0"/>
          <w:sz w:val="30"/>
          <w:szCs w:val="30"/>
          <w:highlight w:val="none"/>
        </w:rPr>
        <w:t>承包人法定代表人、项目负责人</w:t>
      </w:r>
      <w:bookmarkEnd w:id="140"/>
      <w:bookmarkEnd w:id="141"/>
      <w:bookmarkEnd w:id="142"/>
      <w:bookmarkStart w:id="143" w:name="_Toc513"/>
      <w:bookmarkStart w:id="144" w:name="_Toc10776"/>
      <w:bookmarkStart w:id="145" w:name="_Toc177"/>
      <w:bookmarkStart w:id="146" w:name="_Toc4492"/>
      <w:bookmarkStart w:id="147" w:name="_Toc5224"/>
      <w:r>
        <w:rPr>
          <w:rFonts w:hint="eastAsia" w:ascii="宋体" w:hAnsi="宋体" w:cs="宋体"/>
          <w:b/>
          <w:snapToGrid w:val="0"/>
          <w:color w:val="auto"/>
          <w:spacing w:val="-11"/>
          <w:kern w:val="0"/>
          <w:sz w:val="30"/>
          <w:szCs w:val="30"/>
          <w:highlight w:val="none"/>
        </w:rPr>
        <w:t>的身份证、职务、职称及通信联系方式</w:t>
      </w:r>
      <w:bookmarkEnd w:id="143"/>
      <w:bookmarkEnd w:id="144"/>
      <w:bookmarkEnd w:id="145"/>
      <w:bookmarkEnd w:id="146"/>
      <w:bookmarkEnd w:id="147"/>
    </w:p>
    <w:p w14:paraId="45E7978B">
      <w:pPr>
        <w:adjustRightInd w:val="0"/>
        <w:snapToGrid w:val="0"/>
        <w:spacing w:line="360" w:lineRule="auto"/>
        <w:jc w:val="center"/>
        <w:rPr>
          <w:rFonts w:ascii="宋体" w:hAnsi="宋体" w:cs="宋体"/>
          <w:b/>
          <w:snapToGrid w:val="0"/>
          <w:color w:val="auto"/>
          <w:kern w:val="0"/>
          <w:sz w:val="24"/>
          <w:highlight w:val="none"/>
        </w:rPr>
      </w:pPr>
    </w:p>
    <w:tbl>
      <w:tblPr>
        <w:tblStyle w:val="44"/>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0"/>
        <w:gridCol w:w="1267"/>
        <w:gridCol w:w="1276"/>
        <w:gridCol w:w="1333"/>
        <w:gridCol w:w="1973"/>
      </w:tblGrid>
      <w:tr w14:paraId="4F054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jc w:val="center"/>
        </w:trPr>
        <w:tc>
          <w:tcPr>
            <w:tcW w:w="2690" w:type="dxa"/>
            <w:noWrap/>
            <w:vAlign w:val="center"/>
          </w:tcPr>
          <w:p w14:paraId="5A740AC8">
            <w:pPr>
              <w:jc w:val="center"/>
              <w:rPr>
                <w:rFonts w:ascii="宋体" w:hAnsi="宋体" w:cs="宋体"/>
                <w:b/>
                <w:bCs/>
                <w:color w:val="auto"/>
                <w:sz w:val="24"/>
                <w:highlight w:val="none"/>
              </w:rPr>
            </w:pPr>
            <w:r>
              <w:rPr>
                <w:rFonts w:hint="eastAsia" w:ascii="宋体" w:hAnsi="宋体" w:cs="宋体"/>
                <w:b/>
                <w:bCs/>
                <w:color w:val="auto"/>
                <w:sz w:val="24"/>
                <w:highlight w:val="none"/>
              </w:rPr>
              <w:t>人员</w:t>
            </w:r>
          </w:p>
        </w:tc>
        <w:tc>
          <w:tcPr>
            <w:tcW w:w="1267" w:type="dxa"/>
            <w:noWrap/>
            <w:vAlign w:val="center"/>
          </w:tcPr>
          <w:p w14:paraId="5D116F16">
            <w:pPr>
              <w:jc w:val="center"/>
              <w:rPr>
                <w:rFonts w:ascii="宋体" w:hAnsi="宋体" w:cs="宋体"/>
                <w:b/>
                <w:bCs/>
                <w:color w:val="auto"/>
                <w:sz w:val="24"/>
                <w:highlight w:val="none"/>
              </w:rPr>
            </w:pPr>
            <w:r>
              <w:rPr>
                <w:rFonts w:hint="eastAsia" w:ascii="宋体" w:hAnsi="宋体" w:cs="宋体"/>
                <w:b/>
                <w:bCs/>
                <w:color w:val="auto"/>
                <w:sz w:val="24"/>
                <w:highlight w:val="none"/>
              </w:rPr>
              <w:t>姓名</w:t>
            </w:r>
          </w:p>
        </w:tc>
        <w:tc>
          <w:tcPr>
            <w:tcW w:w="1276" w:type="dxa"/>
            <w:noWrap/>
            <w:vAlign w:val="center"/>
          </w:tcPr>
          <w:p w14:paraId="35350B1A">
            <w:pPr>
              <w:jc w:val="center"/>
              <w:rPr>
                <w:rFonts w:ascii="宋体" w:hAnsi="宋体" w:cs="宋体"/>
                <w:b/>
                <w:bCs/>
                <w:color w:val="auto"/>
                <w:sz w:val="24"/>
                <w:highlight w:val="none"/>
              </w:rPr>
            </w:pPr>
            <w:r>
              <w:rPr>
                <w:rFonts w:hint="eastAsia" w:ascii="宋体" w:hAnsi="宋体" w:cs="宋体"/>
                <w:b/>
                <w:bCs/>
                <w:color w:val="auto"/>
                <w:sz w:val="24"/>
                <w:highlight w:val="none"/>
              </w:rPr>
              <w:t>职务</w:t>
            </w:r>
          </w:p>
        </w:tc>
        <w:tc>
          <w:tcPr>
            <w:tcW w:w="1333" w:type="dxa"/>
            <w:noWrap/>
            <w:vAlign w:val="center"/>
          </w:tcPr>
          <w:p w14:paraId="7B03E948">
            <w:pPr>
              <w:jc w:val="center"/>
              <w:rPr>
                <w:rFonts w:ascii="宋体" w:hAnsi="宋体" w:cs="宋体"/>
                <w:b/>
                <w:bCs/>
                <w:color w:val="auto"/>
                <w:sz w:val="24"/>
                <w:highlight w:val="none"/>
              </w:rPr>
            </w:pPr>
            <w:r>
              <w:rPr>
                <w:rFonts w:hint="eastAsia" w:ascii="宋体" w:hAnsi="宋体" w:cs="宋体"/>
                <w:b/>
                <w:bCs/>
                <w:color w:val="auto"/>
                <w:sz w:val="24"/>
                <w:highlight w:val="none"/>
              </w:rPr>
              <w:t>职称</w:t>
            </w:r>
          </w:p>
        </w:tc>
        <w:tc>
          <w:tcPr>
            <w:tcW w:w="1973" w:type="dxa"/>
            <w:noWrap/>
            <w:vAlign w:val="center"/>
          </w:tcPr>
          <w:p w14:paraId="25EF554C">
            <w:pPr>
              <w:jc w:val="center"/>
              <w:rPr>
                <w:rFonts w:ascii="宋体" w:hAnsi="宋体" w:cs="宋体"/>
                <w:b/>
                <w:bCs/>
                <w:color w:val="auto"/>
                <w:sz w:val="24"/>
                <w:highlight w:val="none"/>
              </w:rPr>
            </w:pPr>
            <w:r>
              <w:rPr>
                <w:rFonts w:hint="eastAsia" w:ascii="宋体" w:hAnsi="宋体" w:cs="宋体"/>
                <w:b/>
                <w:bCs/>
                <w:color w:val="auto"/>
                <w:sz w:val="24"/>
                <w:highlight w:val="none"/>
              </w:rPr>
              <w:t>通信联系方式</w:t>
            </w:r>
          </w:p>
        </w:tc>
      </w:tr>
      <w:tr w14:paraId="283B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690" w:type="dxa"/>
            <w:noWrap/>
            <w:vAlign w:val="center"/>
          </w:tcPr>
          <w:p w14:paraId="42A86D64">
            <w:pPr>
              <w:jc w:val="center"/>
              <w:rPr>
                <w:rFonts w:ascii="宋体" w:hAnsi="宋体" w:cs="宋体"/>
                <w:color w:val="auto"/>
                <w:sz w:val="24"/>
                <w:highlight w:val="none"/>
              </w:rPr>
            </w:pPr>
            <w:r>
              <w:rPr>
                <w:rFonts w:hint="eastAsia" w:ascii="宋体" w:hAnsi="宋体" w:cs="宋体"/>
                <w:color w:val="auto"/>
                <w:sz w:val="24"/>
                <w:highlight w:val="none"/>
              </w:rPr>
              <w:t>法定代表人（主办方）</w:t>
            </w:r>
          </w:p>
        </w:tc>
        <w:tc>
          <w:tcPr>
            <w:tcW w:w="1267" w:type="dxa"/>
            <w:noWrap/>
            <w:vAlign w:val="center"/>
          </w:tcPr>
          <w:p w14:paraId="245CA842">
            <w:pPr>
              <w:rPr>
                <w:rFonts w:ascii="宋体" w:hAnsi="宋体" w:cs="宋体"/>
                <w:color w:val="auto"/>
                <w:sz w:val="24"/>
                <w:highlight w:val="none"/>
              </w:rPr>
            </w:pPr>
          </w:p>
        </w:tc>
        <w:tc>
          <w:tcPr>
            <w:tcW w:w="1276" w:type="dxa"/>
            <w:noWrap/>
            <w:vAlign w:val="center"/>
          </w:tcPr>
          <w:p w14:paraId="1C70C3B3">
            <w:pPr>
              <w:rPr>
                <w:rFonts w:ascii="宋体" w:hAnsi="宋体" w:cs="宋体"/>
                <w:color w:val="auto"/>
                <w:sz w:val="24"/>
                <w:highlight w:val="none"/>
              </w:rPr>
            </w:pPr>
          </w:p>
        </w:tc>
        <w:tc>
          <w:tcPr>
            <w:tcW w:w="1333" w:type="dxa"/>
            <w:noWrap/>
            <w:vAlign w:val="center"/>
          </w:tcPr>
          <w:p w14:paraId="337E1FAD">
            <w:pPr>
              <w:rPr>
                <w:rFonts w:ascii="宋体" w:hAnsi="宋体" w:cs="宋体"/>
                <w:color w:val="auto"/>
                <w:sz w:val="24"/>
                <w:highlight w:val="none"/>
              </w:rPr>
            </w:pPr>
          </w:p>
        </w:tc>
        <w:tc>
          <w:tcPr>
            <w:tcW w:w="1973" w:type="dxa"/>
            <w:noWrap/>
            <w:vAlign w:val="center"/>
          </w:tcPr>
          <w:p w14:paraId="2ADF4540">
            <w:pPr>
              <w:rPr>
                <w:rFonts w:ascii="宋体" w:hAnsi="宋体" w:cs="宋体"/>
                <w:color w:val="auto"/>
                <w:sz w:val="24"/>
                <w:highlight w:val="none"/>
              </w:rPr>
            </w:pPr>
          </w:p>
        </w:tc>
      </w:tr>
      <w:tr w14:paraId="15FD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14:paraId="1811A52A">
            <w:pPr>
              <w:jc w:val="center"/>
              <w:rPr>
                <w:rFonts w:ascii="宋体" w:hAnsi="宋体" w:cs="宋体"/>
                <w:color w:val="auto"/>
                <w:sz w:val="24"/>
                <w:highlight w:val="none"/>
              </w:rPr>
            </w:pPr>
            <w:r>
              <w:rPr>
                <w:rFonts w:hint="eastAsia" w:ascii="宋体" w:hAnsi="宋体" w:cs="宋体"/>
                <w:color w:val="auto"/>
                <w:sz w:val="24"/>
                <w:highlight w:val="none"/>
              </w:rPr>
              <w:t>项目负责人（主办方）</w:t>
            </w:r>
          </w:p>
        </w:tc>
        <w:tc>
          <w:tcPr>
            <w:tcW w:w="1267" w:type="dxa"/>
            <w:noWrap/>
            <w:vAlign w:val="center"/>
          </w:tcPr>
          <w:p w14:paraId="7C799938">
            <w:pPr>
              <w:rPr>
                <w:rFonts w:ascii="宋体" w:hAnsi="宋体" w:cs="宋体"/>
                <w:color w:val="auto"/>
                <w:sz w:val="24"/>
                <w:highlight w:val="none"/>
              </w:rPr>
            </w:pPr>
          </w:p>
        </w:tc>
        <w:tc>
          <w:tcPr>
            <w:tcW w:w="1276" w:type="dxa"/>
            <w:noWrap/>
            <w:vAlign w:val="center"/>
          </w:tcPr>
          <w:p w14:paraId="7B23DE16">
            <w:pPr>
              <w:rPr>
                <w:rFonts w:ascii="宋体" w:hAnsi="宋体" w:cs="宋体"/>
                <w:color w:val="auto"/>
                <w:sz w:val="24"/>
                <w:highlight w:val="none"/>
              </w:rPr>
            </w:pPr>
          </w:p>
        </w:tc>
        <w:tc>
          <w:tcPr>
            <w:tcW w:w="1333" w:type="dxa"/>
            <w:noWrap/>
            <w:vAlign w:val="center"/>
          </w:tcPr>
          <w:p w14:paraId="29AD6BAA">
            <w:pPr>
              <w:rPr>
                <w:rFonts w:ascii="宋体" w:hAnsi="宋体" w:cs="宋体"/>
                <w:color w:val="auto"/>
                <w:sz w:val="24"/>
                <w:highlight w:val="none"/>
              </w:rPr>
            </w:pPr>
          </w:p>
        </w:tc>
        <w:tc>
          <w:tcPr>
            <w:tcW w:w="1973" w:type="dxa"/>
            <w:noWrap/>
            <w:vAlign w:val="center"/>
          </w:tcPr>
          <w:p w14:paraId="170858D9">
            <w:pPr>
              <w:rPr>
                <w:rFonts w:ascii="宋体" w:hAnsi="宋体" w:cs="宋体"/>
                <w:color w:val="auto"/>
                <w:sz w:val="24"/>
                <w:highlight w:val="none"/>
              </w:rPr>
            </w:pPr>
          </w:p>
        </w:tc>
      </w:tr>
      <w:tr w14:paraId="63ABB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14:paraId="29239AA6">
            <w:pPr>
              <w:jc w:val="center"/>
              <w:rPr>
                <w:rFonts w:ascii="宋体" w:hAnsi="宋体" w:cs="宋体"/>
                <w:color w:val="auto"/>
                <w:sz w:val="24"/>
                <w:highlight w:val="none"/>
              </w:rPr>
            </w:pPr>
            <w:r>
              <w:rPr>
                <w:rFonts w:hint="eastAsia" w:ascii="宋体" w:hAnsi="宋体" w:cs="宋体"/>
                <w:color w:val="auto"/>
                <w:sz w:val="24"/>
                <w:highlight w:val="none"/>
              </w:rPr>
              <w:t>设计负责人（成员）</w:t>
            </w:r>
          </w:p>
        </w:tc>
        <w:tc>
          <w:tcPr>
            <w:tcW w:w="1267" w:type="dxa"/>
            <w:noWrap/>
            <w:vAlign w:val="center"/>
          </w:tcPr>
          <w:p w14:paraId="02BDA64B">
            <w:pPr>
              <w:rPr>
                <w:rFonts w:ascii="宋体" w:hAnsi="宋体" w:cs="宋体"/>
                <w:color w:val="auto"/>
                <w:sz w:val="24"/>
                <w:highlight w:val="none"/>
              </w:rPr>
            </w:pPr>
          </w:p>
        </w:tc>
        <w:tc>
          <w:tcPr>
            <w:tcW w:w="1276" w:type="dxa"/>
            <w:noWrap/>
            <w:vAlign w:val="center"/>
          </w:tcPr>
          <w:p w14:paraId="3F4CD2E4">
            <w:pPr>
              <w:rPr>
                <w:rFonts w:ascii="宋体" w:hAnsi="宋体" w:cs="宋体"/>
                <w:color w:val="auto"/>
                <w:sz w:val="24"/>
                <w:highlight w:val="none"/>
              </w:rPr>
            </w:pPr>
          </w:p>
        </w:tc>
        <w:tc>
          <w:tcPr>
            <w:tcW w:w="1333" w:type="dxa"/>
            <w:noWrap/>
            <w:vAlign w:val="center"/>
          </w:tcPr>
          <w:p w14:paraId="3140B926">
            <w:pPr>
              <w:rPr>
                <w:rFonts w:ascii="宋体" w:hAnsi="宋体" w:cs="宋体"/>
                <w:color w:val="auto"/>
                <w:sz w:val="24"/>
                <w:highlight w:val="none"/>
              </w:rPr>
            </w:pPr>
          </w:p>
        </w:tc>
        <w:tc>
          <w:tcPr>
            <w:tcW w:w="1973" w:type="dxa"/>
            <w:noWrap/>
            <w:vAlign w:val="center"/>
          </w:tcPr>
          <w:p w14:paraId="19745EE2">
            <w:pPr>
              <w:rPr>
                <w:rFonts w:ascii="宋体" w:hAnsi="宋体" w:cs="宋体"/>
                <w:color w:val="auto"/>
                <w:sz w:val="24"/>
                <w:highlight w:val="none"/>
              </w:rPr>
            </w:pPr>
          </w:p>
        </w:tc>
      </w:tr>
    </w:tbl>
    <w:p w14:paraId="38C0A479">
      <w:pPr>
        <w:pStyle w:val="43"/>
        <w:adjustRightInd w:val="0"/>
        <w:snapToGrid w:val="0"/>
        <w:spacing w:after="0" w:line="360" w:lineRule="auto"/>
        <w:ind w:firstLine="0" w:firstLineChars="0"/>
        <w:rPr>
          <w:rFonts w:ascii="宋体" w:hAnsi="宋体" w:eastAsia="宋体" w:cs="宋体"/>
          <w:b/>
          <w:bCs/>
          <w:snapToGrid w:val="0"/>
          <w:color w:val="auto"/>
          <w:kern w:val="0"/>
          <w:sz w:val="24"/>
          <w:szCs w:val="24"/>
          <w:highlight w:val="none"/>
        </w:rPr>
      </w:pPr>
    </w:p>
    <w:p w14:paraId="5947DA98">
      <w:pPr>
        <w:pStyle w:val="43"/>
        <w:adjustRightInd w:val="0"/>
        <w:snapToGrid w:val="0"/>
        <w:spacing w:after="0" w:line="360" w:lineRule="auto"/>
        <w:ind w:firstLine="482" w:firstLineChars="200"/>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附：</w:t>
      </w:r>
    </w:p>
    <w:p w14:paraId="56F287ED">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法定代表人身份证（复印件）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663E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4" w:type="dxa"/>
            <w:tcBorders>
              <w:top w:val="nil"/>
              <w:left w:val="nil"/>
              <w:bottom w:val="nil"/>
              <w:right w:val="nil"/>
            </w:tcBorders>
          </w:tcPr>
          <w:p w14:paraId="2FC3DA7D">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14:paraId="09399BC5">
            <w:pPr>
              <w:spacing w:line="480" w:lineRule="auto"/>
              <w:rPr>
                <w:rFonts w:ascii="宋体" w:hAnsi="宋体" w:cs="宋体"/>
                <w:b/>
                <w:bCs/>
                <w:color w:val="auto"/>
                <w:spacing w:val="-11"/>
                <w:sz w:val="24"/>
                <w:highlight w:val="none"/>
              </w:rPr>
            </w:pPr>
          </w:p>
        </w:tc>
      </w:tr>
    </w:tbl>
    <w:p w14:paraId="52C17A43">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p>
    <w:p w14:paraId="7BC5A63D">
      <w:pPr>
        <w:pStyle w:val="43"/>
        <w:adjustRightInd w:val="0"/>
        <w:snapToGrid w:val="0"/>
        <w:spacing w:after="0" w:line="360" w:lineRule="auto"/>
        <w:ind w:firstLine="480" w:firstLineChars="200"/>
        <w:rPr>
          <w:rFonts w:ascii="宋体" w:hAnsi="宋体" w:eastAsia="宋体" w:cs="宋体"/>
          <w:b/>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项目负责人身份证（复印件）</w:t>
      </w:r>
    </w:p>
    <w:p w14:paraId="4CFF4BE8">
      <w:pPr>
        <w:spacing w:line="480" w:lineRule="auto"/>
        <w:rPr>
          <w:rFonts w:ascii="宋体" w:hAnsi="宋体" w:cs="宋体"/>
          <w:b/>
          <w:bCs/>
          <w:color w:val="auto"/>
          <w:spacing w:val="-11"/>
          <w:sz w:val="24"/>
          <w:highlight w:val="none"/>
        </w:rPr>
      </w:pPr>
    </w:p>
    <w:p w14:paraId="6A8B3083">
      <w:pPr>
        <w:spacing w:line="480" w:lineRule="auto"/>
        <w:rPr>
          <w:rFonts w:ascii="宋体" w:hAnsi="宋体" w:cs="宋体"/>
          <w:b/>
          <w:bCs/>
          <w:color w:val="auto"/>
          <w:spacing w:val="-11"/>
          <w:sz w:val="24"/>
          <w:highlight w:val="none"/>
        </w:rPr>
      </w:pPr>
    </w:p>
    <w:p w14:paraId="72AEFDEC">
      <w:pPr>
        <w:spacing w:line="48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设计负责人身份证（复印件）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30E3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4" w:type="dxa"/>
            <w:tcBorders>
              <w:top w:val="nil"/>
              <w:left w:val="nil"/>
              <w:bottom w:val="nil"/>
              <w:right w:val="nil"/>
            </w:tcBorders>
          </w:tcPr>
          <w:p w14:paraId="3149BE89">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14:paraId="40FCA9FC">
            <w:pPr>
              <w:spacing w:line="480" w:lineRule="auto"/>
              <w:rPr>
                <w:rFonts w:ascii="宋体" w:hAnsi="宋体" w:cs="宋体"/>
                <w:b/>
                <w:bCs/>
                <w:color w:val="auto"/>
                <w:spacing w:val="-11"/>
                <w:sz w:val="24"/>
                <w:highlight w:val="none"/>
              </w:rPr>
            </w:pPr>
          </w:p>
        </w:tc>
      </w:tr>
    </w:tbl>
    <w:p w14:paraId="2CAE154B">
      <w:pPr>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br w:type="page"/>
      </w:r>
      <w:bookmarkStart w:id="148" w:name="_Toc3999"/>
      <w:r>
        <w:rPr>
          <w:rFonts w:hint="eastAsia"/>
          <w:b/>
          <w:bCs/>
          <w:color w:val="auto"/>
          <w:sz w:val="24"/>
          <w:highlight w:val="none"/>
        </w:rPr>
        <w:t>附件</w:t>
      </w:r>
      <w:r>
        <w:rPr>
          <w:rFonts w:hint="eastAsia"/>
          <w:b/>
          <w:bCs/>
          <w:color w:val="auto"/>
          <w:sz w:val="24"/>
          <w:highlight w:val="none"/>
          <w:lang w:val="en-US" w:eastAsia="zh-CN"/>
        </w:rPr>
        <w:t>12</w:t>
      </w:r>
      <w:bookmarkEnd w:id="148"/>
    </w:p>
    <w:p w14:paraId="6A3A2DE4">
      <w:pPr>
        <w:jc w:val="center"/>
        <w:outlineLvl w:val="0"/>
        <w:rPr>
          <w:rFonts w:hint="eastAsia" w:ascii="宋体" w:hAnsi="宋体" w:eastAsia="宋体" w:cs="宋体"/>
          <w:b/>
          <w:bCs/>
          <w:color w:val="auto"/>
          <w:sz w:val="30"/>
          <w:szCs w:val="30"/>
          <w:highlight w:val="none"/>
          <w:lang w:eastAsia="zh-CN"/>
        </w:rPr>
      </w:pPr>
      <w:bookmarkStart w:id="149" w:name="Print_Titles"/>
      <w:bookmarkStart w:id="150" w:name="_Toc18570"/>
      <w:r>
        <w:rPr>
          <w:rFonts w:hint="eastAsia" w:ascii="宋体" w:hAnsi="宋体" w:cs="宋体"/>
          <w:b/>
          <w:bCs/>
          <w:color w:val="auto"/>
          <w:sz w:val="30"/>
          <w:szCs w:val="30"/>
          <w:highlight w:val="none"/>
        </w:rPr>
        <w:t>主要材料设备品牌推荐表（参照或相当于）</w:t>
      </w:r>
      <w:bookmarkEnd w:id="149"/>
      <w:bookmarkEnd w:id="150"/>
      <w:r>
        <w:rPr>
          <w:rFonts w:hint="eastAsia" w:ascii="宋体" w:hAnsi="宋体" w:cs="宋体"/>
          <w:b/>
          <w:bCs/>
          <w:color w:val="auto"/>
          <w:sz w:val="30"/>
          <w:szCs w:val="30"/>
          <w:highlight w:val="none"/>
          <w:lang w:eastAsia="zh-CN"/>
        </w:rPr>
        <w:t>（另册）</w:t>
      </w:r>
    </w:p>
    <w:p w14:paraId="54D9A4BE">
      <w:pPr>
        <w:pStyle w:val="2"/>
        <w:rPr>
          <w:color w:val="auto"/>
          <w:highlight w:val="none"/>
        </w:rPr>
      </w:pPr>
    </w:p>
    <w:p w14:paraId="58F7EE01">
      <w:pPr>
        <w:rPr>
          <w:color w:val="auto"/>
          <w:highlight w:val="none"/>
        </w:rPr>
      </w:pPr>
    </w:p>
    <w:p w14:paraId="30C1AD0F">
      <w:pPr>
        <w:pStyle w:val="2"/>
        <w:rPr>
          <w:color w:val="auto"/>
          <w:highlight w:val="none"/>
        </w:rPr>
      </w:pPr>
    </w:p>
    <w:p w14:paraId="789728BE">
      <w:pPr>
        <w:rPr>
          <w:color w:val="auto"/>
          <w:highlight w:val="none"/>
        </w:rPr>
      </w:pPr>
    </w:p>
    <w:p w14:paraId="1024FC2D">
      <w:pPr>
        <w:pStyle w:val="2"/>
        <w:rPr>
          <w:color w:val="auto"/>
          <w:highlight w:val="none"/>
        </w:rPr>
      </w:pPr>
    </w:p>
    <w:p w14:paraId="6F742518">
      <w:pPr>
        <w:rPr>
          <w:color w:val="auto"/>
          <w:highlight w:val="none"/>
        </w:rPr>
      </w:pPr>
    </w:p>
    <w:p w14:paraId="4738CA21">
      <w:pPr>
        <w:pStyle w:val="2"/>
        <w:rPr>
          <w:color w:val="auto"/>
          <w:highlight w:val="none"/>
        </w:rPr>
      </w:pPr>
    </w:p>
    <w:p w14:paraId="6A150545">
      <w:pPr>
        <w:rPr>
          <w:color w:val="auto"/>
          <w:highlight w:val="none"/>
        </w:rPr>
      </w:pPr>
    </w:p>
    <w:p w14:paraId="019B8C19">
      <w:pPr>
        <w:pStyle w:val="2"/>
        <w:rPr>
          <w:color w:val="auto"/>
          <w:highlight w:val="none"/>
        </w:rPr>
      </w:pPr>
    </w:p>
    <w:p w14:paraId="4E2C7EA0">
      <w:pPr>
        <w:rPr>
          <w:color w:val="auto"/>
          <w:highlight w:val="none"/>
        </w:rPr>
      </w:pPr>
    </w:p>
    <w:p w14:paraId="65666D7A">
      <w:pPr>
        <w:pStyle w:val="2"/>
        <w:rPr>
          <w:color w:val="auto"/>
          <w:highlight w:val="none"/>
        </w:rPr>
      </w:pPr>
    </w:p>
    <w:p w14:paraId="63EAE618">
      <w:pPr>
        <w:rPr>
          <w:color w:val="auto"/>
          <w:highlight w:val="none"/>
        </w:rPr>
      </w:pPr>
    </w:p>
    <w:p w14:paraId="44EF6425">
      <w:pPr>
        <w:pStyle w:val="2"/>
        <w:rPr>
          <w:color w:val="auto"/>
          <w:highlight w:val="none"/>
        </w:rPr>
      </w:pPr>
    </w:p>
    <w:p w14:paraId="2A9A0F3F">
      <w:pPr>
        <w:rPr>
          <w:color w:val="auto"/>
          <w:highlight w:val="none"/>
        </w:rPr>
      </w:pPr>
    </w:p>
    <w:p w14:paraId="2B5B2394">
      <w:pPr>
        <w:pStyle w:val="2"/>
        <w:rPr>
          <w:color w:val="auto"/>
          <w:highlight w:val="none"/>
        </w:rPr>
      </w:pPr>
    </w:p>
    <w:p w14:paraId="38B95EF2">
      <w:pPr>
        <w:rPr>
          <w:color w:val="auto"/>
          <w:highlight w:val="none"/>
        </w:rPr>
      </w:pPr>
    </w:p>
    <w:p w14:paraId="4514645F">
      <w:pPr>
        <w:pStyle w:val="2"/>
        <w:rPr>
          <w:color w:val="auto"/>
          <w:highlight w:val="none"/>
        </w:rPr>
      </w:pPr>
    </w:p>
    <w:p w14:paraId="0AE9B962">
      <w:pPr>
        <w:rPr>
          <w:color w:val="auto"/>
          <w:highlight w:val="none"/>
        </w:rPr>
      </w:pPr>
    </w:p>
    <w:p w14:paraId="21C27157">
      <w:pPr>
        <w:pStyle w:val="2"/>
        <w:rPr>
          <w:color w:val="auto"/>
          <w:highlight w:val="none"/>
        </w:rPr>
      </w:pPr>
    </w:p>
    <w:p w14:paraId="3A48B6CD">
      <w:pPr>
        <w:rPr>
          <w:color w:val="auto"/>
          <w:highlight w:val="none"/>
        </w:rPr>
      </w:pPr>
    </w:p>
    <w:p w14:paraId="7FAAD995">
      <w:pPr>
        <w:pStyle w:val="2"/>
        <w:rPr>
          <w:color w:val="auto"/>
          <w:highlight w:val="none"/>
        </w:rPr>
      </w:pPr>
    </w:p>
    <w:p w14:paraId="4F06ED2E">
      <w:pPr>
        <w:rPr>
          <w:color w:val="auto"/>
          <w:highlight w:val="none"/>
        </w:rPr>
      </w:pPr>
    </w:p>
    <w:p w14:paraId="3084B889">
      <w:pPr>
        <w:pStyle w:val="2"/>
        <w:rPr>
          <w:color w:val="auto"/>
          <w:highlight w:val="none"/>
        </w:rPr>
      </w:pPr>
    </w:p>
    <w:p w14:paraId="155D91FE">
      <w:pPr>
        <w:rPr>
          <w:color w:val="auto"/>
          <w:highlight w:val="none"/>
        </w:rPr>
      </w:pPr>
    </w:p>
    <w:p w14:paraId="3B04D0A0">
      <w:pPr>
        <w:pStyle w:val="2"/>
        <w:rPr>
          <w:color w:val="auto"/>
          <w:highlight w:val="none"/>
        </w:rPr>
      </w:pPr>
    </w:p>
    <w:p w14:paraId="1CBEEF48">
      <w:pPr>
        <w:rPr>
          <w:color w:val="auto"/>
          <w:highlight w:val="none"/>
        </w:rPr>
      </w:pPr>
    </w:p>
    <w:p w14:paraId="36600B9D">
      <w:pPr>
        <w:pStyle w:val="2"/>
        <w:rPr>
          <w:color w:val="auto"/>
          <w:highlight w:val="none"/>
        </w:rPr>
      </w:pPr>
    </w:p>
    <w:p w14:paraId="7A76AFD4">
      <w:pPr>
        <w:rPr>
          <w:color w:val="auto"/>
          <w:highlight w:val="none"/>
        </w:rPr>
      </w:pPr>
    </w:p>
    <w:p w14:paraId="23466B1F">
      <w:pPr>
        <w:rPr>
          <w:color w:val="auto"/>
          <w:highlight w:val="none"/>
        </w:rPr>
      </w:pPr>
    </w:p>
    <w:p w14:paraId="3C217C71">
      <w:pPr>
        <w:pStyle w:val="2"/>
        <w:rPr>
          <w:color w:val="auto"/>
          <w:highlight w:val="none"/>
        </w:rPr>
      </w:pPr>
    </w:p>
    <w:p w14:paraId="1E243116">
      <w:pPr>
        <w:rPr>
          <w:color w:val="auto"/>
          <w:highlight w:val="none"/>
        </w:rPr>
      </w:pPr>
    </w:p>
    <w:p w14:paraId="5AC5FAC5">
      <w:pPr>
        <w:pStyle w:val="2"/>
        <w:rPr>
          <w:color w:val="auto"/>
          <w:highlight w:val="none"/>
        </w:rPr>
      </w:pPr>
    </w:p>
    <w:p w14:paraId="7A3BFEFE">
      <w:pPr>
        <w:rPr>
          <w:color w:val="auto"/>
          <w:highlight w:val="none"/>
        </w:rPr>
      </w:pPr>
    </w:p>
    <w:p w14:paraId="3E354838">
      <w:pPr>
        <w:pStyle w:val="2"/>
        <w:rPr>
          <w:color w:val="auto"/>
          <w:highlight w:val="none"/>
        </w:rPr>
      </w:pPr>
    </w:p>
    <w:p w14:paraId="7F63CA78">
      <w:pPr>
        <w:rPr>
          <w:color w:val="auto"/>
          <w:highlight w:val="none"/>
        </w:rPr>
      </w:pPr>
    </w:p>
    <w:p w14:paraId="7BB4AFBA">
      <w:pPr>
        <w:pStyle w:val="2"/>
        <w:rPr>
          <w:color w:val="auto"/>
          <w:highlight w:val="none"/>
        </w:rPr>
      </w:pPr>
    </w:p>
    <w:p w14:paraId="41D0D88E">
      <w:pPr>
        <w:rPr>
          <w:color w:val="auto"/>
          <w:highlight w:val="none"/>
        </w:rPr>
      </w:pPr>
    </w:p>
    <w:p w14:paraId="6CFFDE48">
      <w:pPr>
        <w:pStyle w:val="2"/>
        <w:rPr>
          <w:color w:val="auto"/>
          <w:highlight w:val="none"/>
        </w:rPr>
      </w:pPr>
    </w:p>
    <w:p w14:paraId="1EDC35D0">
      <w:pPr>
        <w:rPr>
          <w:color w:val="auto"/>
          <w:highlight w:val="none"/>
        </w:rPr>
      </w:pPr>
    </w:p>
    <w:p w14:paraId="50DFD750">
      <w:pPr>
        <w:pStyle w:val="2"/>
        <w:rPr>
          <w:color w:val="auto"/>
          <w:highlight w:val="none"/>
        </w:rPr>
      </w:pPr>
    </w:p>
    <w:p w14:paraId="50B4300F">
      <w:pPr>
        <w:rPr>
          <w:rFonts w:hint="default" w:eastAsia="宋体"/>
          <w:color w:val="auto"/>
          <w:highlight w:val="none"/>
          <w:lang w:val="en-US" w:eastAsia="zh-CN"/>
        </w:rPr>
      </w:pPr>
    </w:p>
    <w:p w14:paraId="47BAC6F3">
      <w:pPr>
        <w:adjustRightInd/>
        <w:snapToGrid/>
        <w:spacing w:line="240" w:lineRule="auto"/>
        <w:ind w:firstLine="0" w:firstLineChars="0"/>
        <w:jc w:val="left"/>
        <w:outlineLvl w:val="9"/>
        <w:rPr>
          <w:rFonts w:hint="eastAsia"/>
          <w:b/>
          <w:bCs/>
          <w:color w:val="auto"/>
          <w:sz w:val="24"/>
          <w:highlight w:val="none"/>
        </w:rPr>
      </w:pPr>
      <w:r>
        <w:rPr>
          <w:rFonts w:hint="eastAsia"/>
          <w:b/>
          <w:bCs/>
          <w:color w:val="auto"/>
          <w:sz w:val="24"/>
          <w:highlight w:val="none"/>
        </w:rPr>
        <w:br w:type="page"/>
      </w:r>
    </w:p>
    <w:p w14:paraId="79A45C17">
      <w:pPr>
        <w:adjustRightInd w:val="0"/>
        <w:snapToGrid w:val="0"/>
        <w:spacing w:line="360" w:lineRule="auto"/>
        <w:ind w:firstLine="0" w:firstLineChars="0"/>
        <w:jc w:val="both"/>
        <w:outlineLvl w:val="0"/>
        <w:rPr>
          <w:rFonts w:hint="eastAsia" w:ascii="宋体" w:hAnsi="宋体" w:cs="宋体"/>
          <w:b/>
          <w:bCs/>
          <w:snapToGrid w:val="0"/>
          <w:color w:val="auto"/>
          <w:kern w:val="0"/>
          <w:sz w:val="24"/>
          <w:szCs w:val="24"/>
          <w:highlight w:val="none"/>
        </w:rPr>
      </w:pPr>
      <w:r>
        <w:rPr>
          <w:rFonts w:hint="eastAsia"/>
          <w:b/>
          <w:bCs/>
          <w:color w:val="auto"/>
          <w:sz w:val="24"/>
          <w:highlight w:val="none"/>
        </w:rPr>
        <w:t>附件</w:t>
      </w:r>
      <w:r>
        <w:rPr>
          <w:rFonts w:hint="eastAsia"/>
          <w:b/>
          <w:bCs/>
          <w:color w:val="auto"/>
          <w:sz w:val="24"/>
          <w:highlight w:val="none"/>
          <w:lang w:val="en-US" w:eastAsia="zh-CN"/>
        </w:rPr>
        <w:t>13</w:t>
      </w:r>
    </w:p>
    <w:p w14:paraId="08360F8E">
      <w:pPr>
        <w:adjustRightInd w:val="0"/>
        <w:snapToGrid w:val="0"/>
        <w:spacing w:line="360" w:lineRule="auto"/>
        <w:ind w:firstLine="602" w:firstLineChars="200"/>
        <w:jc w:val="center"/>
        <w:outlineLvl w:val="9"/>
        <w:rPr>
          <w:rFonts w:hint="eastAsia" w:ascii="宋体" w:hAnsi="宋体" w:cs="宋体"/>
          <w:snapToGrid w:val="0"/>
          <w:color w:val="auto"/>
          <w:kern w:val="0"/>
          <w:sz w:val="30"/>
          <w:szCs w:val="30"/>
          <w:highlight w:val="none"/>
        </w:rPr>
      </w:pPr>
      <w:bookmarkStart w:id="151" w:name="_Toc759"/>
      <w:bookmarkStart w:id="152" w:name="_Toc14946"/>
      <w:bookmarkStart w:id="153" w:name="_Toc3162"/>
      <w:bookmarkStart w:id="154" w:name="_Toc10649"/>
      <w:bookmarkStart w:id="155" w:name="_Toc16868"/>
      <w:bookmarkStart w:id="156" w:name="_Toc16254"/>
      <w:bookmarkStart w:id="157" w:name="_Toc19005"/>
      <w:bookmarkStart w:id="158" w:name="_Toc21920"/>
      <w:bookmarkStart w:id="159" w:name="_Toc3750"/>
      <w:r>
        <w:rPr>
          <w:rFonts w:hint="eastAsia" w:ascii="宋体" w:hAnsi="宋体" w:cs="宋体"/>
          <w:b/>
          <w:color w:val="auto"/>
          <w:sz w:val="30"/>
          <w:szCs w:val="30"/>
          <w:highlight w:val="none"/>
        </w:rPr>
        <w:t>建筑施工安全生产协议书</w:t>
      </w:r>
      <w:bookmarkEnd w:id="151"/>
      <w:bookmarkEnd w:id="152"/>
      <w:bookmarkEnd w:id="153"/>
      <w:bookmarkEnd w:id="154"/>
      <w:bookmarkEnd w:id="155"/>
      <w:bookmarkEnd w:id="156"/>
      <w:bookmarkEnd w:id="157"/>
      <w:bookmarkEnd w:id="158"/>
      <w:bookmarkEnd w:id="159"/>
    </w:p>
    <w:p w14:paraId="65832E38">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发包人：</w:t>
      </w:r>
      <w:r>
        <w:rPr>
          <w:rFonts w:hint="eastAsia" w:cs="宋体"/>
          <w:color w:val="auto"/>
          <w:highlight w:val="none"/>
          <w:u w:val="single"/>
        </w:rPr>
        <w:t xml:space="preserve">                                 </w:t>
      </w:r>
    </w:p>
    <w:p w14:paraId="0725688D">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承包人：</w:t>
      </w:r>
      <w:r>
        <w:rPr>
          <w:rFonts w:hint="eastAsia" w:cs="宋体"/>
          <w:color w:val="auto"/>
          <w:highlight w:val="none"/>
          <w:u w:val="single"/>
        </w:rPr>
        <w:t xml:space="preserve">                                  </w:t>
      </w:r>
    </w:p>
    <w:p w14:paraId="6F1C22BD">
      <w:pPr>
        <w:adjustRightInd w:val="0"/>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发包人将</w:t>
      </w:r>
      <w:r>
        <w:rPr>
          <w:rFonts w:hint="eastAsia" w:ascii="宋体" w:hAnsi="宋体" w:cs="宋体"/>
          <w:color w:val="auto"/>
          <w:sz w:val="24"/>
          <w:szCs w:val="24"/>
          <w:highlight w:val="none"/>
          <w:u w:val="single"/>
        </w:rPr>
        <w:t xml:space="preserve">     工程</w:t>
      </w:r>
      <w:r>
        <w:rPr>
          <w:rFonts w:hint="eastAsia" w:ascii="宋体" w:hAnsi="宋体" w:cs="宋体"/>
          <w:color w:val="auto"/>
          <w:sz w:val="24"/>
          <w:szCs w:val="24"/>
          <w:highlight w:val="none"/>
        </w:rPr>
        <w:t>发包给承包人承包施工，为了明确双方的安全生产责任，确保施工安全，双方在签订建筑工程合同的同时，签订本协议，双方必须严格执行。</w:t>
      </w:r>
    </w:p>
    <w:p w14:paraId="4A63EC0C">
      <w:pPr>
        <w:pStyle w:val="40"/>
        <w:widowControl w:val="0"/>
        <w:adjustRightInd w:val="0"/>
        <w:snapToGrid w:val="0"/>
        <w:spacing w:before="0" w:beforeAutospacing="0" w:after="0" w:afterAutospacing="0" w:line="360" w:lineRule="auto"/>
        <w:ind w:firstLine="482" w:firstLineChars="200"/>
        <w:jc w:val="both"/>
        <w:rPr>
          <w:rFonts w:hint="eastAsia" w:cs="宋体"/>
          <w:color w:val="auto"/>
          <w:highlight w:val="none"/>
        </w:rPr>
      </w:pPr>
      <w:r>
        <w:rPr>
          <w:rStyle w:val="46"/>
          <w:rFonts w:hint="eastAsia" w:cs="宋体"/>
          <w:color w:val="auto"/>
          <w:highlight w:val="none"/>
        </w:rPr>
        <w:t>一、工程概况：</w:t>
      </w:r>
    </w:p>
    <w:p w14:paraId="2A850BAD">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1.工程名称：</w:t>
      </w:r>
      <w:r>
        <w:rPr>
          <w:rFonts w:hint="eastAsia" w:cs="宋体"/>
          <w:color w:val="auto"/>
          <w:highlight w:val="none"/>
          <w:u w:val="single"/>
        </w:rPr>
        <w:t xml:space="preserve">                                    </w:t>
      </w:r>
    </w:p>
    <w:p w14:paraId="0BB13277">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2.工程地址：</w:t>
      </w:r>
      <w:r>
        <w:rPr>
          <w:rFonts w:hint="eastAsia" w:cs="宋体"/>
          <w:color w:val="auto"/>
          <w:highlight w:val="none"/>
          <w:u w:val="single"/>
        </w:rPr>
        <w:t xml:space="preserve">                                    </w:t>
      </w:r>
    </w:p>
    <w:p w14:paraId="5DCA0FCC">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3.工程范围和内容：</w:t>
      </w:r>
      <w:r>
        <w:rPr>
          <w:rFonts w:hint="eastAsia" w:ascii="宋体" w:hAnsi="宋体" w:cs="宋体"/>
          <w:bCs/>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bCs/>
          <w:color w:val="auto"/>
          <w:sz w:val="24"/>
          <w:szCs w:val="24"/>
          <w:highlight w:val="none"/>
          <w:u w:val="single"/>
        </w:rPr>
        <w:t xml:space="preserve">  </w:t>
      </w:r>
    </w:p>
    <w:p w14:paraId="0406F619">
      <w:pPr>
        <w:pStyle w:val="40"/>
        <w:widowControl w:val="0"/>
        <w:adjustRightInd w:val="0"/>
        <w:snapToGrid w:val="0"/>
        <w:spacing w:before="0" w:beforeAutospacing="0" w:after="0" w:afterAutospacing="0" w:line="360" w:lineRule="auto"/>
        <w:ind w:firstLine="482" w:firstLineChars="200"/>
        <w:jc w:val="both"/>
        <w:rPr>
          <w:rFonts w:hint="eastAsia" w:cs="宋体"/>
          <w:color w:val="auto"/>
          <w:highlight w:val="none"/>
        </w:rPr>
      </w:pPr>
      <w:r>
        <w:rPr>
          <w:rStyle w:val="46"/>
          <w:rFonts w:hint="eastAsia" w:cs="宋体"/>
          <w:color w:val="auto"/>
          <w:highlight w:val="none"/>
        </w:rPr>
        <w:t>二、工程项目期限：</w:t>
      </w:r>
    </w:p>
    <w:p w14:paraId="4CF24015">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自</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日起开工至</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日止完工。</w:t>
      </w:r>
    </w:p>
    <w:p w14:paraId="4F6E84A8">
      <w:pPr>
        <w:pStyle w:val="40"/>
        <w:widowControl w:val="0"/>
        <w:adjustRightInd w:val="0"/>
        <w:snapToGrid w:val="0"/>
        <w:spacing w:before="0" w:beforeAutospacing="0" w:after="0" w:afterAutospacing="0" w:line="360" w:lineRule="auto"/>
        <w:ind w:firstLine="482" w:firstLineChars="200"/>
        <w:jc w:val="both"/>
        <w:rPr>
          <w:rFonts w:hint="eastAsia" w:cs="宋体"/>
          <w:color w:val="auto"/>
          <w:highlight w:val="none"/>
        </w:rPr>
      </w:pPr>
      <w:r>
        <w:rPr>
          <w:rStyle w:val="46"/>
          <w:rFonts w:hint="eastAsia" w:cs="宋体"/>
          <w:color w:val="auto"/>
          <w:highlight w:val="none"/>
        </w:rPr>
        <w:t>三、协议内容：</w:t>
      </w:r>
      <w:r>
        <w:rPr>
          <w:rFonts w:hint="eastAsia" w:cs="宋体"/>
          <w:color w:val="auto"/>
          <w:highlight w:val="none"/>
        </w:rPr>
        <w:t xml:space="preserve">  </w:t>
      </w:r>
    </w:p>
    <w:p w14:paraId="7215F549">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1.承包人必须认真贯彻国家和上级劳动保护、安全生产主管部门颁发的有关安全生产、消防工作的方针、政策、严格执行有关劳动保护法规、条例、规定，承包人必须执行法规、条例、规定中的标准要求。</w:t>
      </w:r>
    </w:p>
    <w:p w14:paraId="3F1D117A">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2.承包人在工程施工实施前和过程中应有安全管理组织体制，包括分管安全生产的领导，各级专职和兼职的安全员；应有各工种的安全操作规程，特种作业工人的审证考核制度及各级安全生产岗位责任制和定期安全检查制度。</w:t>
      </w:r>
    </w:p>
    <w:p w14:paraId="1084F766">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3.工程项目实施前，承包人应编制安全施工专项方案，经相关单位审批同意后实施；</w:t>
      </w:r>
    </w:p>
    <w:p w14:paraId="3D132AC6">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4.承包人必须认真对本单位职工进行安全生产制度及安全技术知识教育，增强法制观念，提高职工的安全生产意识和自我保护能力，督促职工自觉遵守安全纪律、制度法规。</w:t>
      </w:r>
    </w:p>
    <w:p w14:paraId="34D141A1">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5.施工前，承包人应组织召开现场安全生产教育会议，并通知发包人或监理委派有关人员出席会议，承包人应每周参加发包人组织的安全检查例会。对施工中有关安全及防火等规章制度及要求，承包人必须检查、督促施工人员严格遵守、认真执行。承包人必须层层落实工程施工现场安全生产责任，加强现场安全施工的管理工作，对使用设备每天操作前进行检查，并作好检查记录，安排专职人员进行定期设备保养和维修。</w:t>
      </w:r>
    </w:p>
    <w:p w14:paraId="33B7BABA">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6.施工期间，承包人指派</w:t>
      </w:r>
      <w:r>
        <w:rPr>
          <w:rFonts w:hint="eastAsia" w:cs="宋体"/>
          <w:color w:val="auto"/>
          <w:highlight w:val="none"/>
          <w:u w:val="single"/>
        </w:rPr>
        <w:t xml:space="preserve">      </w:t>
      </w:r>
      <w:r>
        <w:rPr>
          <w:rFonts w:hint="eastAsia" w:cs="宋体"/>
          <w:color w:val="auto"/>
          <w:highlight w:val="none"/>
        </w:rPr>
        <w:t>负责本工程项目的有关安全、防火工作；发包人指派</w:t>
      </w:r>
      <w:r>
        <w:rPr>
          <w:rFonts w:hint="eastAsia" w:cs="宋体"/>
          <w:color w:val="auto"/>
          <w:highlight w:val="none"/>
          <w:u w:val="single"/>
        </w:rPr>
        <w:t xml:space="preserve">      </w:t>
      </w:r>
      <w:r>
        <w:rPr>
          <w:rFonts w:hint="eastAsia" w:cs="宋体"/>
          <w:color w:val="auto"/>
          <w:highlight w:val="none"/>
        </w:rPr>
        <w:t>负责联系、协助、督促承包人执行有关安全、防火规定。监理单位应经常检查工程项目中有关的安全、防火工作，共同预防事故发生。</w:t>
      </w:r>
    </w:p>
    <w:p w14:paraId="488F4A87">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7.承包人在施工期间必须严格执行和遵守发包人的安全生产、防火管理的各类规定，接受监理的督促、检查和指导。发包人有协助承包人搞好安全生产、防火管理以及督促承包人定期检查的义务，对于查出隐患，承包人必须限期整改，对承包人违反安全生产规定、制度等情况，发包人有要求承包人整改和要求承包人支付违约金的权利。</w:t>
      </w:r>
    </w:p>
    <w:p w14:paraId="1F09EC56">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8.在生产操作过程中的个人安全防护用品，由承包人自理，甲乙双方都应督促施工现场人员自觉穿</w:t>
      </w:r>
      <w:r>
        <w:rPr>
          <w:rFonts w:hint="eastAsia" w:cs="宋体"/>
          <w:color w:val="auto"/>
          <w:highlight w:val="none"/>
          <w:lang w:eastAsia="zh-CN"/>
        </w:rPr>
        <w:t>戴</w:t>
      </w:r>
      <w:r>
        <w:rPr>
          <w:rFonts w:hint="eastAsia" w:cs="宋体"/>
          <w:color w:val="auto"/>
          <w:highlight w:val="none"/>
        </w:rPr>
        <w:t>好安全防护用品。</w:t>
      </w:r>
    </w:p>
    <w:p w14:paraId="32877E3A">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9、承包人人员对所处的施工区域、作业环境、操作设施设备、工具用具等必须认真检查，若发现隐患，应即停止施工，并由有关单位落实整改后方能继续施工。一经施工，就表示该施工单位确认施工场所、作业环境、设施设备、工具用具等符合安全要求和处于安全状态，施工单位对施工过程中产生的后果自行负责。</w:t>
      </w:r>
    </w:p>
    <w:p w14:paraId="287E8854">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10.承包人现场使用的机械设备、脚手架等，在搭设、安装完毕提交使用前，应报监理单位会同承包人管理人员共同按规定验收，相关项目必须报政府行政主管部门验收的，必须按程序完成验收工作，在验收合格并取得相关验收合格证明的前提下使用。严禁在未经验收或验收不合格的情况下投入使用，否则由此发生的后果概由擅自使用方负责。</w:t>
      </w:r>
    </w:p>
    <w:p w14:paraId="4CC6A333">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11.承包人的人员，对施工现场的脚手架、各类安全防护措施、安全标志和警告牌等不得擅自拆除、变动。如确需拆除变动的，必须经发包人现场代表和监理双方的同意，并办理相关手续后，在采取必要、可靠的安全措施后方能拆除、变动。承包人擅自拆除、变动所造成的后果，均由承包人人员及其单位负责承担。</w:t>
      </w:r>
    </w:p>
    <w:p w14:paraId="15355A1E">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12.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14:paraId="1EB761E8">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13.承包人必须严格执行各项生产安全及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w:t>
      </w:r>
    </w:p>
    <w:p w14:paraId="42ED28A4">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14.承包人在使用运输设备的过程中，必须指派专职安全人员对可能造成安全隐患或可能发生不安全行为的停机设备及操作进行巡检或封闭，以防止外来人员对运行设备的损坏或造成安全隐患，对现场产生的不安全因素必须立即停工并及时进行整改，因承包人原因造成的所产生的安全生产事故，一切责任及经济损失均由承包人承担。</w:t>
      </w:r>
    </w:p>
    <w:p w14:paraId="07FAD058">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15.承包人在签订建筑工程施工合同后，应自觉地向暂住地的公安派出机构办理暂住登记手续，并向</w:t>
      </w:r>
      <w:r>
        <w:rPr>
          <w:rFonts w:hint="eastAsia" w:cs="宋体"/>
          <w:color w:val="auto"/>
          <w:highlight w:val="none"/>
          <w:u w:val="single"/>
        </w:rPr>
        <w:t xml:space="preserve">       </w:t>
      </w:r>
      <w:r>
        <w:rPr>
          <w:rFonts w:hint="eastAsia" w:cs="宋体"/>
          <w:color w:val="auto"/>
          <w:highlight w:val="none"/>
        </w:rPr>
        <w:t>（县）城建办（建设局）安监站、劳动局劳动保护检察部门办理施工登记手续。</w:t>
      </w:r>
    </w:p>
    <w:p w14:paraId="2B64BD4B">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16.贯彻谁施工谁负责安全的原则，承包人人员在施工期间，造成伤亡、火警、火灾、机械等事故（包括由承包人责任造成发包人人员、他方人员、行人伤亡等），发包人有协助紧急抢救伤员的义务，承包人负责事故上报、经济赔偿及善后处理。</w:t>
      </w:r>
    </w:p>
    <w:p w14:paraId="7F6A8DD2">
      <w:pPr>
        <w:pStyle w:val="40"/>
        <w:widowControl w:val="0"/>
        <w:adjustRightInd w:val="0"/>
        <w:snapToGrid w:val="0"/>
        <w:spacing w:before="0" w:beforeAutospacing="0" w:after="0" w:afterAutospacing="0" w:line="360" w:lineRule="auto"/>
        <w:ind w:left="120" w:firstLine="480" w:firstLineChars="200"/>
        <w:jc w:val="both"/>
        <w:rPr>
          <w:rFonts w:hint="eastAsia" w:cs="宋体"/>
          <w:color w:val="auto"/>
          <w:highlight w:val="none"/>
          <w:u w:val="single"/>
        </w:rPr>
      </w:pPr>
      <w:r>
        <w:rPr>
          <w:rFonts w:hint="eastAsia" w:cs="宋体"/>
          <w:color w:val="auto"/>
          <w:highlight w:val="none"/>
        </w:rPr>
        <w:t>17.其它：</w:t>
      </w:r>
      <w:r>
        <w:rPr>
          <w:rFonts w:hint="eastAsia" w:cs="宋体"/>
          <w:color w:val="auto"/>
          <w:highlight w:val="none"/>
          <w:u w:val="single"/>
        </w:rPr>
        <w:t>无。</w:t>
      </w:r>
    </w:p>
    <w:p w14:paraId="24B19ADD">
      <w:pPr>
        <w:pStyle w:val="40"/>
        <w:widowControl w:val="0"/>
        <w:adjustRightInd w:val="0"/>
        <w:snapToGrid w:val="0"/>
        <w:spacing w:before="0" w:beforeAutospacing="0" w:after="0" w:afterAutospacing="0" w:line="360" w:lineRule="auto"/>
        <w:ind w:left="120" w:firstLine="480" w:firstLineChars="200"/>
        <w:jc w:val="both"/>
        <w:rPr>
          <w:rFonts w:hint="eastAsia" w:cs="宋体"/>
          <w:color w:val="auto"/>
          <w:highlight w:val="none"/>
        </w:rPr>
      </w:pPr>
      <w:r>
        <w:rPr>
          <w:rFonts w:hint="eastAsia" w:cs="宋体"/>
          <w:color w:val="auto"/>
          <w:highlight w:val="none"/>
        </w:rPr>
        <w:t>18.本协议经双方签字盖章后即生效，作为施工总承包合同的组成部分。</w:t>
      </w:r>
    </w:p>
    <w:p w14:paraId="0401E700">
      <w:pPr>
        <w:pStyle w:val="40"/>
        <w:widowControl w:val="0"/>
        <w:adjustRightInd w:val="0"/>
        <w:snapToGrid w:val="0"/>
        <w:spacing w:before="0" w:beforeAutospacing="0" w:after="0" w:afterAutospacing="0" w:line="360" w:lineRule="auto"/>
        <w:ind w:left="120" w:firstLine="480" w:firstLineChars="200"/>
        <w:jc w:val="both"/>
        <w:rPr>
          <w:rFonts w:hint="eastAsia" w:cs="宋体"/>
          <w:color w:val="auto"/>
          <w:highlight w:val="none"/>
        </w:rPr>
      </w:pPr>
      <w:r>
        <w:rPr>
          <w:rFonts w:hint="eastAsia" w:cs="宋体"/>
          <w:color w:val="auto"/>
          <w:highlight w:val="none"/>
        </w:rPr>
        <w:t xml:space="preserve">19.本协议壹式陆份，不分正副本，发包人、承包人各执贰份，送劳动局劳动保护监察科、区（县）城建办（建设局）安监站各壹份备案。 </w:t>
      </w:r>
    </w:p>
    <w:p w14:paraId="00772E46">
      <w:pPr>
        <w:pStyle w:val="40"/>
        <w:widowControl w:val="0"/>
        <w:tabs>
          <w:tab w:val="left" w:pos="4680"/>
        </w:tabs>
        <w:adjustRightInd w:val="0"/>
        <w:snapToGri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rPr>
        <w:t>（以下无正文）</w:t>
      </w:r>
    </w:p>
    <w:p w14:paraId="740EC08F">
      <w:pPr>
        <w:pStyle w:val="40"/>
        <w:widowControl w:val="0"/>
        <w:tabs>
          <w:tab w:val="left" w:pos="4680"/>
        </w:tabs>
        <w:adjustRightInd w:val="0"/>
        <w:snapToGrid w:val="0"/>
        <w:spacing w:before="0" w:beforeAutospacing="0" w:after="0" w:afterAutospacing="0" w:line="360" w:lineRule="auto"/>
        <w:ind w:firstLine="482" w:firstLineChars="200"/>
        <w:jc w:val="both"/>
        <w:rPr>
          <w:rFonts w:hint="eastAsia" w:cs="宋体"/>
          <w:b/>
          <w:color w:val="auto"/>
          <w:highlight w:val="none"/>
        </w:rPr>
      </w:pPr>
    </w:p>
    <w:p w14:paraId="1D17C7C7">
      <w:pPr>
        <w:pStyle w:val="40"/>
        <w:widowControl w:val="0"/>
        <w:tabs>
          <w:tab w:val="left" w:pos="4680"/>
        </w:tabs>
        <w:adjustRightInd w:val="0"/>
        <w:snapToGri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rPr>
        <w:t>发包人</w:t>
      </w:r>
      <w:r>
        <w:rPr>
          <w:rFonts w:hint="eastAsia" w:cs="宋体"/>
          <w:color w:val="auto"/>
          <w:highlight w:val="none"/>
          <w:lang w:eastAsia="zh-CN"/>
        </w:rPr>
        <w:t>（</w:t>
      </w:r>
      <w:r>
        <w:rPr>
          <w:rFonts w:hint="eastAsia" w:cs="宋体"/>
          <w:color w:val="auto"/>
          <w:highlight w:val="none"/>
        </w:rPr>
        <w:t>盖章</w:t>
      </w:r>
      <w:r>
        <w:rPr>
          <w:rFonts w:hint="eastAsia" w:cs="宋体"/>
          <w:color w:val="auto"/>
          <w:highlight w:val="none"/>
          <w:lang w:eastAsia="zh-CN"/>
        </w:rPr>
        <w:t>）</w:t>
      </w:r>
      <w:r>
        <w:rPr>
          <w:rFonts w:hint="eastAsia" w:cs="宋体"/>
          <w:color w:val="auto"/>
          <w:highlight w:val="none"/>
        </w:rPr>
        <w:t>：</w:t>
      </w:r>
      <w:r>
        <w:rPr>
          <w:rFonts w:hint="eastAsia" w:cs="宋体"/>
          <w:color w:val="auto"/>
          <w:highlight w:val="none"/>
          <w:u w:val="none"/>
        </w:rPr>
        <w:t xml:space="preserve">                 </w:t>
      </w:r>
      <w:r>
        <w:rPr>
          <w:rFonts w:hint="eastAsia" w:cs="宋体"/>
          <w:color w:val="auto"/>
          <w:highlight w:val="none"/>
        </w:rPr>
        <w:t xml:space="preserve">  承包人</w:t>
      </w:r>
      <w:r>
        <w:rPr>
          <w:rFonts w:hint="eastAsia" w:cs="宋体"/>
          <w:color w:val="auto"/>
          <w:highlight w:val="none"/>
          <w:lang w:eastAsia="zh-CN"/>
        </w:rPr>
        <w:t>（</w:t>
      </w:r>
      <w:r>
        <w:rPr>
          <w:rFonts w:hint="eastAsia" w:cs="宋体"/>
          <w:color w:val="auto"/>
          <w:highlight w:val="none"/>
        </w:rPr>
        <w:t>盖章</w:t>
      </w:r>
      <w:r>
        <w:rPr>
          <w:rFonts w:hint="eastAsia" w:cs="宋体"/>
          <w:color w:val="auto"/>
          <w:highlight w:val="none"/>
          <w:lang w:eastAsia="zh-CN"/>
        </w:rPr>
        <w:t>）</w:t>
      </w:r>
      <w:r>
        <w:rPr>
          <w:rFonts w:hint="eastAsia" w:cs="宋体"/>
          <w:color w:val="auto"/>
          <w:highlight w:val="none"/>
        </w:rPr>
        <w:t>：</w:t>
      </w:r>
      <w:r>
        <w:rPr>
          <w:rFonts w:hint="eastAsia" w:cs="宋体"/>
          <w:color w:val="auto"/>
          <w:highlight w:val="none"/>
          <w:u w:val="none"/>
        </w:rPr>
        <w:t xml:space="preserve">                  </w:t>
      </w:r>
    </w:p>
    <w:p w14:paraId="155FAA18">
      <w:pPr>
        <w:pStyle w:val="40"/>
        <w:widowControl w:val="0"/>
        <w:adjustRightInd w:val="0"/>
        <w:snapToGrid w:val="0"/>
        <w:spacing w:before="0" w:beforeAutospacing="0" w:after="0" w:afterAutospacing="0" w:line="360" w:lineRule="auto"/>
        <w:ind w:firstLine="480" w:firstLineChars="200"/>
        <w:jc w:val="both"/>
        <w:rPr>
          <w:rFonts w:hint="eastAsia" w:cs="宋体"/>
          <w:color w:val="auto"/>
          <w:highlight w:val="none"/>
        </w:rPr>
      </w:pPr>
    </w:p>
    <w:p w14:paraId="0FFEB4C4">
      <w:pPr>
        <w:pStyle w:val="40"/>
        <w:widowControl w:val="0"/>
        <w:adjustRightInd w:val="0"/>
        <w:snapToGrid w:val="0"/>
        <w:spacing w:before="0" w:beforeAutospacing="0" w:after="0" w:afterAutospacing="0" w:line="360" w:lineRule="auto"/>
        <w:ind w:firstLine="480" w:firstLineChars="200"/>
        <w:jc w:val="center"/>
        <w:rPr>
          <w:rFonts w:hint="eastAsia" w:cs="宋体"/>
          <w:color w:val="auto"/>
          <w:highlight w:val="none"/>
        </w:rPr>
        <w:sectPr>
          <w:pgSz w:w="11906" w:h="16838"/>
          <w:pgMar w:top="1417" w:right="1474" w:bottom="1417" w:left="1474" w:header="851" w:footer="992" w:gutter="0"/>
          <w:pgNumType w:fmt="decimal"/>
          <w:cols w:space="720" w:num="1"/>
          <w:titlePg/>
          <w:rtlGutter w:val="0"/>
          <w:docGrid w:linePitch="312" w:charSpace="0"/>
        </w:sectPr>
      </w:pPr>
      <w:r>
        <w:rPr>
          <w:rFonts w:hint="eastAsia" w:cs="宋体"/>
          <w:color w:val="auto"/>
          <w:highlight w:val="none"/>
        </w:rPr>
        <w:t>签订日期：   年  月  日</w:t>
      </w:r>
    </w:p>
    <w:p w14:paraId="4CEDF0B9">
      <w:pPr>
        <w:adjustRightInd w:val="0"/>
        <w:snapToGrid w:val="0"/>
        <w:spacing w:line="360" w:lineRule="auto"/>
        <w:ind w:firstLine="0" w:firstLineChars="0"/>
        <w:jc w:val="both"/>
        <w:outlineLvl w:val="9"/>
        <w:rPr>
          <w:rFonts w:hint="eastAsia"/>
          <w:b/>
          <w:bCs/>
          <w:color w:val="auto"/>
          <w:sz w:val="24"/>
          <w:highlight w:val="none"/>
          <w:lang w:val="en-US" w:eastAsia="zh-CN"/>
        </w:rPr>
      </w:pPr>
      <w:r>
        <w:rPr>
          <w:rFonts w:hint="eastAsia"/>
          <w:b/>
          <w:bCs/>
          <w:color w:val="auto"/>
          <w:sz w:val="24"/>
          <w:highlight w:val="none"/>
        </w:rPr>
        <w:t>附件</w:t>
      </w:r>
      <w:r>
        <w:rPr>
          <w:rFonts w:hint="eastAsia"/>
          <w:b/>
          <w:bCs/>
          <w:color w:val="auto"/>
          <w:sz w:val="24"/>
          <w:highlight w:val="none"/>
          <w:lang w:val="en-US" w:eastAsia="zh-CN"/>
        </w:rPr>
        <w:t>14</w:t>
      </w:r>
    </w:p>
    <w:p w14:paraId="6BDFEFF4">
      <w:pPr>
        <w:adjustRightInd w:val="0"/>
        <w:snapToGrid w:val="0"/>
        <w:spacing w:line="360" w:lineRule="auto"/>
        <w:ind w:firstLine="482" w:firstLineChars="200"/>
        <w:jc w:val="both"/>
        <w:outlineLvl w:val="9"/>
        <w:rPr>
          <w:rFonts w:hint="eastAsia"/>
          <w:b/>
          <w:bCs/>
          <w:color w:val="auto"/>
          <w:sz w:val="24"/>
          <w:highlight w:val="none"/>
          <w:lang w:val="en-US" w:eastAsia="zh-CN"/>
        </w:rPr>
      </w:pPr>
    </w:p>
    <w:p w14:paraId="3B09F022">
      <w:pPr>
        <w:adjustRightInd w:val="0"/>
        <w:snapToGrid w:val="0"/>
        <w:spacing w:line="360" w:lineRule="auto"/>
        <w:ind w:firstLine="602" w:firstLineChars="200"/>
        <w:jc w:val="center"/>
        <w:outlineLvl w:val="9"/>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30"/>
          <w:szCs w:val="30"/>
          <w:highlight w:val="none"/>
        </w:rPr>
        <w:t>工人</w:t>
      </w:r>
      <w:r>
        <w:rPr>
          <w:rFonts w:hint="eastAsia" w:ascii="宋体" w:hAnsi="宋体" w:cs="宋体"/>
          <w:b/>
          <w:bCs/>
          <w:color w:val="auto"/>
          <w:sz w:val="30"/>
          <w:szCs w:val="30"/>
          <w:highlight w:val="none"/>
        </w:rPr>
        <w:t>权益保障承诺</w:t>
      </w:r>
      <w:r>
        <w:rPr>
          <w:rFonts w:hint="eastAsia" w:ascii="宋体" w:hAnsi="宋体" w:cs="宋体"/>
          <w:b/>
          <w:bCs/>
          <w:color w:val="auto"/>
          <w:sz w:val="30"/>
          <w:szCs w:val="30"/>
          <w:highlight w:val="none"/>
          <w:lang w:eastAsia="zh-CN"/>
        </w:rPr>
        <w:t>书</w:t>
      </w:r>
    </w:p>
    <w:p w14:paraId="6315D531">
      <w:pPr>
        <w:adjustRightInd w:val="0"/>
        <w:snapToGrid w:val="0"/>
        <w:spacing w:line="360" w:lineRule="auto"/>
        <w:ind w:firstLine="0" w:firstLineChars="0"/>
        <w:rPr>
          <w:rFonts w:hint="eastAsia" w:ascii="仿宋" w:hAnsi="仿宋" w:eastAsia="仿宋" w:cs="仿宋"/>
          <w:b/>
          <w:bCs/>
          <w:color w:val="auto"/>
          <w:sz w:val="32"/>
          <w:szCs w:val="32"/>
          <w:highlight w:val="none"/>
          <w:lang w:eastAsia="zh-CN"/>
        </w:rPr>
      </w:pPr>
    </w:p>
    <w:p w14:paraId="6185E798">
      <w:pPr>
        <w:adjustRightInd w:val="0"/>
        <w:snapToGrid w:val="0"/>
        <w:spacing w:line="360" w:lineRule="auto"/>
        <w:ind w:firstLine="0" w:firstLineChars="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rPr>
        <w:t xml:space="preserve">            有限公司</w:t>
      </w:r>
      <w:r>
        <w:rPr>
          <w:rFonts w:hint="eastAsia" w:ascii="宋体" w:hAnsi="宋体" w:cs="宋体"/>
          <w:b/>
          <w:color w:val="auto"/>
          <w:sz w:val="24"/>
          <w:szCs w:val="24"/>
          <w:highlight w:val="none"/>
          <w:u w:val="single"/>
          <w:lang w:eastAsia="zh-CN"/>
        </w:rPr>
        <w:t>：</w:t>
      </w:r>
    </w:p>
    <w:p w14:paraId="0A6C281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本公司与贵司签订《</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合同》，我司同意在合同履行过程中，向贵司就工人权益保障工作做出如下承诺，并作为《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合同》的附件，与其具有同等法律效力。</w:t>
      </w:r>
    </w:p>
    <w:p w14:paraId="5567A96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1.我司承诺成立专人负责的工人权益保障专职部门，部门人员由项目经理、预算部经理、财务部经理、工人权益保障专员组成；项目经理兼任部门经理，与贵司负责工人权益保障的部门工作对接。</w:t>
      </w:r>
    </w:p>
    <w:p w14:paraId="1D25379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2.我司承诺严格遵守国家、省、市劳务用工制度和有关</w:t>
      </w:r>
      <w:r>
        <w:rPr>
          <w:rFonts w:hint="eastAsia" w:ascii="宋体" w:hAnsi="宋体" w:cs="宋体"/>
          <w:bCs/>
          <w:color w:val="auto"/>
          <w:sz w:val="24"/>
          <w:szCs w:val="24"/>
          <w:highlight w:val="none"/>
        </w:rPr>
        <w:t>农民工工资支付管理暂行办法，</w:t>
      </w:r>
      <w:r>
        <w:rPr>
          <w:rFonts w:hint="eastAsia" w:ascii="宋体" w:hAnsi="宋体" w:cs="宋体"/>
          <w:color w:val="auto"/>
          <w:sz w:val="24"/>
          <w:szCs w:val="24"/>
          <w:highlight w:val="none"/>
        </w:rPr>
        <w:t>认真履行职责，做好本公司在贵司承建的施工项目的工人用工和管理工作，确保按时、足额支付劳务分包单位的劳务款，确保按时、足额将工人工资发放到工人本人，安排好本公司工人的生活，做好本公司工人的安全教育和管理工作，发放劳保和安全用品。</w:t>
      </w:r>
    </w:p>
    <w:p w14:paraId="1D41434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司承诺按贵司要求按时如实填报有关工人权益保障资料（包括如实记录支付单位、支付时间、支付对象、支付数额等工资支付情况的工人工资支付凭证），并作为工程款支付依据之一（工程进度款支付申请资料除应附确认的形象进度资料外，同时应附确认的工人权益保障合格资料）。若未按贵司要求及时提供完整的相关资料和凭证的，同意贵司延期或不予支付相应的进度款。合同履行过程中，如贵司接到我司拖欠工人工资的投诉，且经核实为事实的，则贵司有权按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合同》中的相关条款进行处理，并有权将我司拖欠的金额从应付工程款中直接支付给被拖欠方。</w:t>
      </w:r>
    </w:p>
    <w:p w14:paraId="3B46E50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0403D98">
      <w:pPr>
        <w:adjustRightInd w:val="0"/>
        <w:snapToGrid w:val="0"/>
        <w:spacing w:line="360" w:lineRule="auto"/>
        <w:ind w:right="2432" w:firstLine="0" w:firstLineChars="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承诺人：</w:t>
      </w:r>
    </w:p>
    <w:p w14:paraId="5AEBD76A">
      <w:pPr>
        <w:adjustRightInd w:val="0"/>
        <w:snapToGrid w:val="0"/>
        <w:spacing w:line="360" w:lineRule="auto"/>
        <w:ind w:right="2432" w:firstLine="4080" w:firstLineChars="1700"/>
        <w:jc w:val="both"/>
        <w:rPr>
          <w:rFonts w:hint="eastAsia" w:ascii="宋体" w:hAnsi="宋体" w:cs="宋体"/>
          <w:color w:val="auto"/>
          <w:sz w:val="24"/>
          <w:szCs w:val="24"/>
          <w:highlight w:val="none"/>
        </w:rPr>
      </w:pPr>
    </w:p>
    <w:p w14:paraId="0B713F38">
      <w:pPr>
        <w:adjustRightInd w:val="0"/>
        <w:snapToGrid w:val="0"/>
        <w:spacing w:line="360" w:lineRule="auto"/>
        <w:ind w:right="2432" w:firstLine="4080" w:firstLineChars="17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2E3CC4A2">
      <w:pPr>
        <w:adjustRightInd w:val="0"/>
        <w:snapToGrid w:val="0"/>
        <w:spacing w:line="360" w:lineRule="auto"/>
        <w:ind w:right="15"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承诺日期：    年   月   日</w:t>
      </w:r>
    </w:p>
    <w:p w14:paraId="523AB903">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364390EF">
      <w:pPr>
        <w:rPr>
          <w:rFonts w:ascii="宋体" w:hAnsi="宋体" w:cs="宋体"/>
          <w:bCs/>
          <w:snapToGrid w:val="0"/>
          <w:color w:val="auto"/>
          <w:kern w:val="0"/>
          <w:sz w:val="24"/>
          <w:highlight w:val="none"/>
        </w:rPr>
      </w:pPr>
      <w:r>
        <w:rPr>
          <w:rFonts w:hint="eastAsia"/>
          <w:b/>
          <w:bCs/>
          <w:color w:val="auto"/>
          <w:sz w:val="24"/>
          <w:highlight w:val="none"/>
        </w:rPr>
        <w:t>附件</w:t>
      </w:r>
      <w:r>
        <w:rPr>
          <w:rFonts w:hint="eastAsia"/>
          <w:b/>
          <w:bCs/>
          <w:color w:val="auto"/>
          <w:sz w:val="24"/>
          <w:highlight w:val="none"/>
          <w:lang w:val="en-US" w:eastAsia="zh-CN"/>
        </w:rPr>
        <w:t>15</w:t>
      </w:r>
    </w:p>
    <w:p w14:paraId="2673EBA8">
      <w:pPr>
        <w:jc w:val="center"/>
        <w:outlineLvl w:val="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《安居“好房子”绿化苗木选用及种植技术指引（试行）》</w:t>
      </w:r>
    </w:p>
    <w:p w14:paraId="37037876">
      <w:pPr>
        <w:jc w:val="center"/>
        <w:outlineLvl w:val="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69FAF2BB">
      <w:pPr>
        <w:rPr>
          <w:rFonts w:hint="default"/>
          <w:color w:val="auto"/>
          <w:highlight w:val="none"/>
          <w:lang w:val="en-US" w:eastAsia="zh-CN"/>
        </w:rPr>
      </w:pPr>
      <w:r>
        <w:rPr>
          <w:rFonts w:hint="default"/>
          <w:color w:val="auto"/>
          <w:highlight w:val="none"/>
          <w:lang w:val="en-US" w:eastAsia="zh-CN"/>
        </w:rPr>
        <w:br w:type="page"/>
      </w:r>
    </w:p>
    <w:p w14:paraId="7DB921AF">
      <w:pPr>
        <w:rPr>
          <w:rFonts w:ascii="宋体" w:hAnsi="宋体" w:cs="宋体"/>
          <w:bCs/>
          <w:snapToGrid w:val="0"/>
          <w:color w:val="auto"/>
          <w:kern w:val="0"/>
          <w:sz w:val="24"/>
          <w:highlight w:val="none"/>
        </w:rPr>
      </w:pPr>
      <w:r>
        <w:rPr>
          <w:rFonts w:hint="eastAsia"/>
          <w:b/>
          <w:bCs/>
          <w:color w:val="auto"/>
          <w:sz w:val="24"/>
          <w:highlight w:val="none"/>
        </w:rPr>
        <w:t>附件</w:t>
      </w:r>
      <w:r>
        <w:rPr>
          <w:rFonts w:hint="eastAsia"/>
          <w:b/>
          <w:bCs/>
          <w:color w:val="auto"/>
          <w:sz w:val="24"/>
          <w:highlight w:val="none"/>
          <w:lang w:val="en-US" w:eastAsia="zh-CN"/>
        </w:rPr>
        <w:t>16</w:t>
      </w:r>
    </w:p>
    <w:p w14:paraId="5F988E8E">
      <w:pPr>
        <w:jc w:val="center"/>
        <w:outlineLvl w:val="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《安居“好房子”项目小区道路及园林景观设计指引（试行）》</w:t>
      </w:r>
    </w:p>
    <w:p w14:paraId="74B4DC70">
      <w:pPr>
        <w:jc w:val="center"/>
        <w:outlineLvl w:val="0"/>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（另册）</w:t>
      </w:r>
    </w:p>
    <w:p w14:paraId="252BE58C">
      <w:pPr>
        <w:rPr>
          <w:rFonts w:hint="default"/>
          <w:color w:val="auto"/>
          <w:highlight w:val="none"/>
          <w:lang w:val="en-US" w:eastAsia="zh-CN"/>
        </w:rPr>
      </w:pPr>
    </w:p>
    <w:sectPr>
      <w:pgSz w:w="11906" w:h="16838"/>
      <w:pgMar w:top="1440" w:right="1474"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DejaVu Sans">
    <w:altName w:val="Microsoft Sans Serif"/>
    <w:panose1 w:val="00000000000000000000"/>
    <w:charset w:val="00"/>
    <w:family w:val="swiss"/>
    <w:pitch w:val="default"/>
    <w:sig w:usb0="00000000" w:usb1="00000000" w:usb2="0A246029" w:usb3="00000000" w:csb0="000001FF" w:csb1="00000000"/>
  </w:font>
  <w:font w:name="Microsoft Sans Serif">
    <w:panose1 w:val="020B0604020202020204"/>
    <w:charset w:val="00"/>
    <w:family w:val="auto"/>
    <w:pitch w:val="default"/>
    <w:sig w:usb0="E1002AFF" w:usb1="C0000002" w:usb2="00000008"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B184">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0C83">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0CF2">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0C19">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63FE4574">
                          <w:pPr>
                            <w:pStyle w:val="28"/>
                          </w:pPr>
                          <w:r>
                            <w:fldChar w:fldCharType="begin"/>
                          </w:r>
                          <w:r>
                            <w:instrText xml:space="preserve"> PAGE  \* MERGEFORMAT </w:instrText>
                          </w:r>
                          <w:r>
                            <w:fldChar w:fldCharType="separate"/>
                          </w:r>
                          <w:r>
                            <w:t>59</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i91E0AAAAAIBAAAPAAAAAAAA&#10;AAEAIAAAACIAAABkcnMvZG93bnJldi54bWxQSwECFAAUAAAACACHTuJA11u7FeEBAAC9AwAADgAA&#10;AAAAAAABACAAAAAfAQAAZHJzL2Uyb0RvYy54bWxQSwUGAAAAAAYABgBZAQAAcgUAAAAA&#10;">
              <v:fill on="f" focussize="0,0"/>
              <v:stroke on="f"/>
              <v:imagedata o:title=""/>
              <o:lock v:ext="edit" aspectratio="f"/>
              <v:textbox inset="0mm,0mm,0mm,0mm" style="mso-fit-shape-to-text:t;">
                <w:txbxContent>
                  <w:p w14:paraId="63FE4574">
                    <w:pPr>
                      <w:pStyle w:val="2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D66F">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81D6426">
                          <w:pPr>
                            <w:pStyle w:val="28"/>
                            <w:jc w:val="center"/>
                          </w:pPr>
                          <w:r>
                            <w:fldChar w:fldCharType="begin"/>
                          </w:r>
                          <w:r>
                            <w:instrText xml:space="preserve"> PAGE  \* MERGEFORMAT </w:instrText>
                          </w:r>
                          <w:r>
                            <w:fldChar w:fldCharType="separate"/>
                          </w:r>
                          <w:r>
                            <w:t>93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cDHHduEBAAC+AwAADgAA&#10;AAAAAAABACAAAAAfAQAAZHJzL2Uyb0RvYy54bWxQSwUGAAAAAAYABgBZAQAAcgUAAAAA&#10;">
              <v:fill on="f" focussize="0,0"/>
              <v:stroke on="f"/>
              <v:imagedata o:title=""/>
              <o:lock v:ext="edit" aspectratio="f"/>
              <v:textbox inset="0mm,0mm,0mm,0mm" style="mso-fit-shape-to-text:t;">
                <w:txbxContent>
                  <w:p w14:paraId="281D6426">
                    <w:pPr>
                      <w:pStyle w:val="28"/>
                      <w:jc w:val="center"/>
                    </w:pPr>
                    <w:r>
                      <w:fldChar w:fldCharType="begin"/>
                    </w:r>
                    <w:r>
                      <w:instrText xml:space="preserve"> PAGE  \* MERGEFORMAT </w:instrText>
                    </w:r>
                    <w:r>
                      <w:fldChar w:fldCharType="separate"/>
                    </w:r>
                    <w: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127A">
    <w:pPr>
      <w:pStyle w:val="18"/>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chineseCounting"/>
      <w:pStyle w:val="95"/>
      <w:suff w:val="nothing"/>
      <w:lvlText w:val="（%1）"/>
      <w:lvlJc w:val="left"/>
    </w:lvl>
  </w:abstractNum>
  <w:abstractNum w:abstractNumId="1">
    <w:nsid w:val="24CA3464"/>
    <w:multiLevelType w:val="singleLevel"/>
    <w:tmpl w:val="24CA3464"/>
    <w:lvl w:ilvl="0" w:tentative="0">
      <w:start w:val="1"/>
      <w:numFmt w:val="decimal"/>
      <w:suff w:val="nothing"/>
      <w:lvlText w:val="（%1）"/>
      <w:lvlJc w:val="left"/>
    </w:lvl>
  </w:abstractNum>
  <w:abstractNum w:abstractNumId="2">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63296058"/>
    <w:multiLevelType w:val="multilevel"/>
    <w:tmpl w:val="63296058"/>
    <w:lvl w:ilvl="0" w:tentative="0">
      <w:start w:val="1"/>
      <w:numFmt w:val="japaneseCounting"/>
      <w:pStyle w:val="81"/>
      <w:lvlText w:val="%1、"/>
      <w:lvlJc w:val="left"/>
      <w:pPr>
        <w:tabs>
          <w:tab w:val="left" w:pos="1445"/>
        </w:tabs>
        <w:ind w:left="1445" w:hanging="645"/>
      </w:pPr>
      <w:rPr>
        <w:rFonts w:hint="default"/>
        <w:lang w:val="en-US"/>
      </w:rPr>
    </w:lvl>
    <w:lvl w:ilvl="1" w:tentative="0">
      <w:start w:val="1"/>
      <w:numFmt w:val="lowerLetter"/>
      <w:lvlText w:val="%2)"/>
      <w:lvlJc w:val="left"/>
      <w:pPr>
        <w:tabs>
          <w:tab w:val="left" w:pos="1640"/>
        </w:tabs>
        <w:ind w:left="1640" w:hanging="420"/>
      </w:pPr>
    </w:lvl>
    <w:lvl w:ilvl="2" w:tentative="0">
      <w:start w:val="1"/>
      <w:numFmt w:val="lowerRoman"/>
      <w:lvlText w:val="%3."/>
      <w:lvlJc w:val="right"/>
      <w:pPr>
        <w:tabs>
          <w:tab w:val="left" w:pos="2060"/>
        </w:tabs>
        <w:ind w:left="2060" w:hanging="420"/>
      </w:pPr>
    </w:lvl>
    <w:lvl w:ilvl="3" w:tentative="0">
      <w:start w:val="1"/>
      <w:numFmt w:val="decimal"/>
      <w:lvlText w:val="%4."/>
      <w:lvlJc w:val="left"/>
      <w:pPr>
        <w:tabs>
          <w:tab w:val="left" w:pos="2480"/>
        </w:tabs>
        <w:ind w:left="2480" w:hanging="420"/>
      </w:pPr>
    </w:lvl>
    <w:lvl w:ilvl="4" w:tentative="0">
      <w:start w:val="1"/>
      <w:numFmt w:val="lowerLetter"/>
      <w:lvlText w:val="%5)"/>
      <w:lvlJc w:val="left"/>
      <w:pPr>
        <w:tabs>
          <w:tab w:val="left" w:pos="2900"/>
        </w:tabs>
        <w:ind w:left="2900" w:hanging="420"/>
      </w:pPr>
    </w:lvl>
    <w:lvl w:ilvl="5" w:tentative="0">
      <w:start w:val="1"/>
      <w:numFmt w:val="lowerRoman"/>
      <w:lvlText w:val="%6."/>
      <w:lvlJc w:val="right"/>
      <w:pPr>
        <w:tabs>
          <w:tab w:val="left" w:pos="3320"/>
        </w:tabs>
        <w:ind w:left="3320" w:hanging="420"/>
      </w:pPr>
    </w:lvl>
    <w:lvl w:ilvl="6" w:tentative="0">
      <w:start w:val="1"/>
      <w:numFmt w:val="decimal"/>
      <w:lvlText w:val="%7."/>
      <w:lvlJc w:val="left"/>
      <w:pPr>
        <w:tabs>
          <w:tab w:val="left" w:pos="3740"/>
        </w:tabs>
        <w:ind w:left="3740" w:hanging="420"/>
      </w:pPr>
    </w:lvl>
    <w:lvl w:ilvl="7" w:tentative="0">
      <w:start w:val="1"/>
      <w:numFmt w:val="lowerLetter"/>
      <w:lvlText w:val="%8)"/>
      <w:lvlJc w:val="left"/>
      <w:pPr>
        <w:tabs>
          <w:tab w:val="left" w:pos="4160"/>
        </w:tabs>
        <w:ind w:left="4160" w:hanging="420"/>
      </w:pPr>
    </w:lvl>
    <w:lvl w:ilvl="8" w:tentative="0">
      <w:start w:val="1"/>
      <w:numFmt w:val="lowerRoman"/>
      <w:lvlText w:val="%9."/>
      <w:lvlJc w:val="right"/>
      <w:pPr>
        <w:tabs>
          <w:tab w:val="left" w:pos="4580"/>
        </w:tabs>
        <w:ind w:left="4580" w:hanging="420"/>
      </w:pPr>
    </w:lvl>
  </w:abstractNum>
  <w:abstractNum w:abstractNumId="4">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9"/>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79AE925F"/>
    <w:multiLevelType w:val="singleLevel"/>
    <w:tmpl w:val="79AE925F"/>
    <w:lvl w:ilvl="0" w:tentative="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zZjMmEyY2U4NWIxODliYmZiOTc5ODc0YjBkNWEifQ=="/>
    <w:docVar w:name="KSO_WPS_MARK_KEY" w:val="8d6f8c63-1960-4677-bbbc-9a25db0e447e"/>
  </w:docVars>
  <w:rsids>
    <w:rsidRoot w:val="00F66D2C"/>
    <w:rsid w:val="000054AD"/>
    <w:rsid w:val="0000729B"/>
    <w:rsid w:val="00012BDF"/>
    <w:rsid w:val="00015E33"/>
    <w:rsid w:val="00024A25"/>
    <w:rsid w:val="00037519"/>
    <w:rsid w:val="00040A5F"/>
    <w:rsid w:val="0005363A"/>
    <w:rsid w:val="000544A8"/>
    <w:rsid w:val="00060E58"/>
    <w:rsid w:val="00066124"/>
    <w:rsid w:val="00071C5B"/>
    <w:rsid w:val="000812E1"/>
    <w:rsid w:val="00095F34"/>
    <w:rsid w:val="000A794B"/>
    <w:rsid w:val="000B2765"/>
    <w:rsid w:val="000B6D12"/>
    <w:rsid w:val="000C59AF"/>
    <w:rsid w:val="000D776D"/>
    <w:rsid w:val="000E14FA"/>
    <w:rsid w:val="000E2C9A"/>
    <w:rsid w:val="000E317C"/>
    <w:rsid w:val="000E629E"/>
    <w:rsid w:val="000F4829"/>
    <w:rsid w:val="000F6950"/>
    <w:rsid w:val="001029B9"/>
    <w:rsid w:val="00156DE8"/>
    <w:rsid w:val="001605D3"/>
    <w:rsid w:val="00164C0C"/>
    <w:rsid w:val="00186245"/>
    <w:rsid w:val="00191DF4"/>
    <w:rsid w:val="001B472F"/>
    <w:rsid w:val="001B664C"/>
    <w:rsid w:val="001C2D8A"/>
    <w:rsid w:val="001C7E60"/>
    <w:rsid w:val="001D20E9"/>
    <w:rsid w:val="001E05C9"/>
    <w:rsid w:val="001E0DFE"/>
    <w:rsid w:val="001E344C"/>
    <w:rsid w:val="001E67C5"/>
    <w:rsid w:val="001F6065"/>
    <w:rsid w:val="0020479A"/>
    <w:rsid w:val="00206AE2"/>
    <w:rsid w:val="00210B71"/>
    <w:rsid w:val="00224492"/>
    <w:rsid w:val="00231B1E"/>
    <w:rsid w:val="002324CF"/>
    <w:rsid w:val="002418B0"/>
    <w:rsid w:val="00250403"/>
    <w:rsid w:val="00261670"/>
    <w:rsid w:val="0027374C"/>
    <w:rsid w:val="002753D9"/>
    <w:rsid w:val="00283634"/>
    <w:rsid w:val="00287762"/>
    <w:rsid w:val="002947F9"/>
    <w:rsid w:val="002A24EC"/>
    <w:rsid w:val="002A46A5"/>
    <w:rsid w:val="002C3B8D"/>
    <w:rsid w:val="002C5CE9"/>
    <w:rsid w:val="002D6C4A"/>
    <w:rsid w:val="002F37A1"/>
    <w:rsid w:val="00305DB9"/>
    <w:rsid w:val="00313AF6"/>
    <w:rsid w:val="003175D3"/>
    <w:rsid w:val="00320A4E"/>
    <w:rsid w:val="00324315"/>
    <w:rsid w:val="003265CE"/>
    <w:rsid w:val="00331E30"/>
    <w:rsid w:val="00333B2F"/>
    <w:rsid w:val="00351FD3"/>
    <w:rsid w:val="003564FB"/>
    <w:rsid w:val="003622C9"/>
    <w:rsid w:val="00363F68"/>
    <w:rsid w:val="00372063"/>
    <w:rsid w:val="003753B3"/>
    <w:rsid w:val="00376454"/>
    <w:rsid w:val="00383C1B"/>
    <w:rsid w:val="00383CDB"/>
    <w:rsid w:val="003B3170"/>
    <w:rsid w:val="003C22A2"/>
    <w:rsid w:val="003C34DA"/>
    <w:rsid w:val="003F2BE6"/>
    <w:rsid w:val="003F32B9"/>
    <w:rsid w:val="003F38B1"/>
    <w:rsid w:val="003F5F8D"/>
    <w:rsid w:val="003F6A95"/>
    <w:rsid w:val="00401F03"/>
    <w:rsid w:val="004211B5"/>
    <w:rsid w:val="00430EE1"/>
    <w:rsid w:val="00441871"/>
    <w:rsid w:val="00450270"/>
    <w:rsid w:val="004629A1"/>
    <w:rsid w:val="004744B5"/>
    <w:rsid w:val="00474CBB"/>
    <w:rsid w:val="004848C0"/>
    <w:rsid w:val="00491836"/>
    <w:rsid w:val="00497F77"/>
    <w:rsid w:val="004A052A"/>
    <w:rsid w:val="004B518E"/>
    <w:rsid w:val="004C0DB1"/>
    <w:rsid w:val="004C3E9D"/>
    <w:rsid w:val="004C49FD"/>
    <w:rsid w:val="004E1499"/>
    <w:rsid w:val="004F4DF2"/>
    <w:rsid w:val="005018F2"/>
    <w:rsid w:val="005024F4"/>
    <w:rsid w:val="00506053"/>
    <w:rsid w:val="00510B2B"/>
    <w:rsid w:val="00516F53"/>
    <w:rsid w:val="00526071"/>
    <w:rsid w:val="0053536B"/>
    <w:rsid w:val="005365E9"/>
    <w:rsid w:val="00536763"/>
    <w:rsid w:val="00536B05"/>
    <w:rsid w:val="0054270C"/>
    <w:rsid w:val="0055158F"/>
    <w:rsid w:val="00552EB0"/>
    <w:rsid w:val="00557484"/>
    <w:rsid w:val="00561209"/>
    <w:rsid w:val="00570CB0"/>
    <w:rsid w:val="00572C7C"/>
    <w:rsid w:val="00572F0C"/>
    <w:rsid w:val="005B00C2"/>
    <w:rsid w:val="005B7897"/>
    <w:rsid w:val="005D6C56"/>
    <w:rsid w:val="005E2583"/>
    <w:rsid w:val="005F18BE"/>
    <w:rsid w:val="0062004A"/>
    <w:rsid w:val="0062478C"/>
    <w:rsid w:val="00627F3E"/>
    <w:rsid w:val="00635D25"/>
    <w:rsid w:val="0064557A"/>
    <w:rsid w:val="00650CFB"/>
    <w:rsid w:val="00655B72"/>
    <w:rsid w:val="00661372"/>
    <w:rsid w:val="00675F39"/>
    <w:rsid w:val="006761C8"/>
    <w:rsid w:val="00677915"/>
    <w:rsid w:val="00682373"/>
    <w:rsid w:val="00691238"/>
    <w:rsid w:val="006A12E5"/>
    <w:rsid w:val="006A4540"/>
    <w:rsid w:val="006B61BE"/>
    <w:rsid w:val="006C218B"/>
    <w:rsid w:val="006C332B"/>
    <w:rsid w:val="006C6B98"/>
    <w:rsid w:val="006D625F"/>
    <w:rsid w:val="006D6452"/>
    <w:rsid w:val="006E08AB"/>
    <w:rsid w:val="006E44E8"/>
    <w:rsid w:val="006E53B7"/>
    <w:rsid w:val="006E766A"/>
    <w:rsid w:val="006F7004"/>
    <w:rsid w:val="00710E49"/>
    <w:rsid w:val="00724004"/>
    <w:rsid w:val="00754C6E"/>
    <w:rsid w:val="00755575"/>
    <w:rsid w:val="00761555"/>
    <w:rsid w:val="007659CD"/>
    <w:rsid w:val="007752DF"/>
    <w:rsid w:val="00785F05"/>
    <w:rsid w:val="00793B9A"/>
    <w:rsid w:val="007A4BCC"/>
    <w:rsid w:val="007B1D93"/>
    <w:rsid w:val="007B20B7"/>
    <w:rsid w:val="007F761B"/>
    <w:rsid w:val="00800BBA"/>
    <w:rsid w:val="00810B94"/>
    <w:rsid w:val="00814283"/>
    <w:rsid w:val="00824626"/>
    <w:rsid w:val="00826F23"/>
    <w:rsid w:val="0083549C"/>
    <w:rsid w:val="00846FD0"/>
    <w:rsid w:val="00847037"/>
    <w:rsid w:val="00853D7E"/>
    <w:rsid w:val="0085480A"/>
    <w:rsid w:val="008555CF"/>
    <w:rsid w:val="00867AEE"/>
    <w:rsid w:val="0087753C"/>
    <w:rsid w:val="00877DF1"/>
    <w:rsid w:val="00881B47"/>
    <w:rsid w:val="008872BE"/>
    <w:rsid w:val="008903CF"/>
    <w:rsid w:val="008927D7"/>
    <w:rsid w:val="008A425B"/>
    <w:rsid w:val="008B1357"/>
    <w:rsid w:val="008B3214"/>
    <w:rsid w:val="008B3A41"/>
    <w:rsid w:val="008B69A1"/>
    <w:rsid w:val="008C44EE"/>
    <w:rsid w:val="008D5CDC"/>
    <w:rsid w:val="008E3A8A"/>
    <w:rsid w:val="008E6DF3"/>
    <w:rsid w:val="00901E02"/>
    <w:rsid w:val="00902DC2"/>
    <w:rsid w:val="009112C4"/>
    <w:rsid w:val="00912C42"/>
    <w:rsid w:val="00914433"/>
    <w:rsid w:val="009147C4"/>
    <w:rsid w:val="00926106"/>
    <w:rsid w:val="009261AB"/>
    <w:rsid w:val="009363B1"/>
    <w:rsid w:val="00936CDA"/>
    <w:rsid w:val="0093717A"/>
    <w:rsid w:val="009441A9"/>
    <w:rsid w:val="009467E0"/>
    <w:rsid w:val="0094713A"/>
    <w:rsid w:val="00947EDD"/>
    <w:rsid w:val="00951634"/>
    <w:rsid w:val="00954F00"/>
    <w:rsid w:val="00955876"/>
    <w:rsid w:val="00957296"/>
    <w:rsid w:val="00961389"/>
    <w:rsid w:val="00967A32"/>
    <w:rsid w:val="00970855"/>
    <w:rsid w:val="009B6B34"/>
    <w:rsid w:val="009C16B3"/>
    <w:rsid w:val="009C6C48"/>
    <w:rsid w:val="009C72B6"/>
    <w:rsid w:val="009D4A89"/>
    <w:rsid w:val="009D5E5B"/>
    <w:rsid w:val="009E6C8E"/>
    <w:rsid w:val="009E761A"/>
    <w:rsid w:val="00A04549"/>
    <w:rsid w:val="00A07573"/>
    <w:rsid w:val="00A366C4"/>
    <w:rsid w:val="00A40A0A"/>
    <w:rsid w:val="00A57D39"/>
    <w:rsid w:val="00A630B2"/>
    <w:rsid w:val="00A652C8"/>
    <w:rsid w:val="00A65DE5"/>
    <w:rsid w:val="00A67C3F"/>
    <w:rsid w:val="00A75419"/>
    <w:rsid w:val="00A80ACE"/>
    <w:rsid w:val="00A83FBD"/>
    <w:rsid w:val="00A91F51"/>
    <w:rsid w:val="00A940D8"/>
    <w:rsid w:val="00AA46FF"/>
    <w:rsid w:val="00AA76FE"/>
    <w:rsid w:val="00AB21B2"/>
    <w:rsid w:val="00AB3CA5"/>
    <w:rsid w:val="00AB5038"/>
    <w:rsid w:val="00AB531A"/>
    <w:rsid w:val="00AC0E74"/>
    <w:rsid w:val="00AD4887"/>
    <w:rsid w:val="00AE1527"/>
    <w:rsid w:val="00AE6A19"/>
    <w:rsid w:val="00AE6FCB"/>
    <w:rsid w:val="00AF0171"/>
    <w:rsid w:val="00AF39B4"/>
    <w:rsid w:val="00AF59F2"/>
    <w:rsid w:val="00B137FA"/>
    <w:rsid w:val="00B246F2"/>
    <w:rsid w:val="00B66BD0"/>
    <w:rsid w:val="00B6773E"/>
    <w:rsid w:val="00B70436"/>
    <w:rsid w:val="00B70A80"/>
    <w:rsid w:val="00B75D14"/>
    <w:rsid w:val="00B7634F"/>
    <w:rsid w:val="00B77511"/>
    <w:rsid w:val="00B913DC"/>
    <w:rsid w:val="00B96E05"/>
    <w:rsid w:val="00BA62F5"/>
    <w:rsid w:val="00BC4642"/>
    <w:rsid w:val="00BD7A5A"/>
    <w:rsid w:val="00BE34A0"/>
    <w:rsid w:val="00BE5E77"/>
    <w:rsid w:val="00BE6644"/>
    <w:rsid w:val="00BF13D3"/>
    <w:rsid w:val="00BF401A"/>
    <w:rsid w:val="00BF41B7"/>
    <w:rsid w:val="00BF52BD"/>
    <w:rsid w:val="00BF69FE"/>
    <w:rsid w:val="00C258AF"/>
    <w:rsid w:val="00C301E6"/>
    <w:rsid w:val="00C46641"/>
    <w:rsid w:val="00C47357"/>
    <w:rsid w:val="00C54020"/>
    <w:rsid w:val="00C5505F"/>
    <w:rsid w:val="00C55A44"/>
    <w:rsid w:val="00C73B43"/>
    <w:rsid w:val="00C84A48"/>
    <w:rsid w:val="00C87468"/>
    <w:rsid w:val="00C91572"/>
    <w:rsid w:val="00CA0D5F"/>
    <w:rsid w:val="00CA4303"/>
    <w:rsid w:val="00CA5DD3"/>
    <w:rsid w:val="00CB3C26"/>
    <w:rsid w:val="00CB491C"/>
    <w:rsid w:val="00CC2A36"/>
    <w:rsid w:val="00CD20FC"/>
    <w:rsid w:val="00CD7D72"/>
    <w:rsid w:val="00CF0BDC"/>
    <w:rsid w:val="00CF4B1D"/>
    <w:rsid w:val="00D03970"/>
    <w:rsid w:val="00D03A66"/>
    <w:rsid w:val="00D23C22"/>
    <w:rsid w:val="00D33704"/>
    <w:rsid w:val="00D40E0B"/>
    <w:rsid w:val="00D43A26"/>
    <w:rsid w:val="00D43C75"/>
    <w:rsid w:val="00D443B4"/>
    <w:rsid w:val="00D52415"/>
    <w:rsid w:val="00D64B11"/>
    <w:rsid w:val="00D81B7C"/>
    <w:rsid w:val="00D879ED"/>
    <w:rsid w:val="00DA0F25"/>
    <w:rsid w:val="00DD05B2"/>
    <w:rsid w:val="00DD208D"/>
    <w:rsid w:val="00DD4239"/>
    <w:rsid w:val="00DE4921"/>
    <w:rsid w:val="00DF0807"/>
    <w:rsid w:val="00E0178B"/>
    <w:rsid w:val="00E11EDA"/>
    <w:rsid w:val="00E21145"/>
    <w:rsid w:val="00E25C7D"/>
    <w:rsid w:val="00E270E6"/>
    <w:rsid w:val="00E30DBB"/>
    <w:rsid w:val="00E33D37"/>
    <w:rsid w:val="00E44899"/>
    <w:rsid w:val="00E44F85"/>
    <w:rsid w:val="00E55AC5"/>
    <w:rsid w:val="00E62194"/>
    <w:rsid w:val="00E705FF"/>
    <w:rsid w:val="00E70A0C"/>
    <w:rsid w:val="00E73881"/>
    <w:rsid w:val="00E815CA"/>
    <w:rsid w:val="00E81BAC"/>
    <w:rsid w:val="00E924B2"/>
    <w:rsid w:val="00E94E17"/>
    <w:rsid w:val="00E962B2"/>
    <w:rsid w:val="00EA349F"/>
    <w:rsid w:val="00EE0AF3"/>
    <w:rsid w:val="00EE3C98"/>
    <w:rsid w:val="00EF610E"/>
    <w:rsid w:val="00F00FD5"/>
    <w:rsid w:val="00F047D1"/>
    <w:rsid w:val="00F04C88"/>
    <w:rsid w:val="00F05651"/>
    <w:rsid w:val="00F110EC"/>
    <w:rsid w:val="00F11293"/>
    <w:rsid w:val="00F265DC"/>
    <w:rsid w:val="00F42A3D"/>
    <w:rsid w:val="00F5742A"/>
    <w:rsid w:val="00F57D5E"/>
    <w:rsid w:val="00F61C0D"/>
    <w:rsid w:val="00F66D2C"/>
    <w:rsid w:val="00F828C7"/>
    <w:rsid w:val="00F921B1"/>
    <w:rsid w:val="00FA03E8"/>
    <w:rsid w:val="00FA3548"/>
    <w:rsid w:val="00FA524E"/>
    <w:rsid w:val="00FB4835"/>
    <w:rsid w:val="00FB6CC0"/>
    <w:rsid w:val="00FC7248"/>
    <w:rsid w:val="00FD3D95"/>
    <w:rsid w:val="00FE5A68"/>
    <w:rsid w:val="01382321"/>
    <w:rsid w:val="01521358"/>
    <w:rsid w:val="0177299B"/>
    <w:rsid w:val="01942E59"/>
    <w:rsid w:val="019B3634"/>
    <w:rsid w:val="01A168D0"/>
    <w:rsid w:val="01D57E45"/>
    <w:rsid w:val="01F87695"/>
    <w:rsid w:val="01FD7E4B"/>
    <w:rsid w:val="020C008E"/>
    <w:rsid w:val="02595E05"/>
    <w:rsid w:val="02886481"/>
    <w:rsid w:val="028E070E"/>
    <w:rsid w:val="028E10CD"/>
    <w:rsid w:val="02A12ECC"/>
    <w:rsid w:val="02B03771"/>
    <w:rsid w:val="02BD713F"/>
    <w:rsid w:val="02C51035"/>
    <w:rsid w:val="02F52891"/>
    <w:rsid w:val="02F83623"/>
    <w:rsid w:val="031A59A9"/>
    <w:rsid w:val="03CD3C38"/>
    <w:rsid w:val="03ED6E11"/>
    <w:rsid w:val="041F679F"/>
    <w:rsid w:val="04260D3B"/>
    <w:rsid w:val="044E4A96"/>
    <w:rsid w:val="04575F38"/>
    <w:rsid w:val="04730898"/>
    <w:rsid w:val="04A42D2D"/>
    <w:rsid w:val="04BA64C7"/>
    <w:rsid w:val="04C15A35"/>
    <w:rsid w:val="04C904B8"/>
    <w:rsid w:val="04D42979"/>
    <w:rsid w:val="0509267F"/>
    <w:rsid w:val="054F4812"/>
    <w:rsid w:val="05615168"/>
    <w:rsid w:val="05676AE5"/>
    <w:rsid w:val="057D7052"/>
    <w:rsid w:val="05CF1095"/>
    <w:rsid w:val="05E93B08"/>
    <w:rsid w:val="060C670B"/>
    <w:rsid w:val="063302DF"/>
    <w:rsid w:val="06436186"/>
    <w:rsid w:val="064C314F"/>
    <w:rsid w:val="0676641E"/>
    <w:rsid w:val="06856842"/>
    <w:rsid w:val="06A123D1"/>
    <w:rsid w:val="06B81D95"/>
    <w:rsid w:val="06D21D66"/>
    <w:rsid w:val="06DC32F6"/>
    <w:rsid w:val="0717628B"/>
    <w:rsid w:val="07327843"/>
    <w:rsid w:val="073444C5"/>
    <w:rsid w:val="07A11572"/>
    <w:rsid w:val="07B44EEB"/>
    <w:rsid w:val="07C1603E"/>
    <w:rsid w:val="07C5765D"/>
    <w:rsid w:val="07FB5B2B"/>
    <w:rsid w:val="085D2162"/>
    <w:rsid w:val="086879C7"/>
    <w:rsid w:val="08C34C11"/>
    <w:rsid w:val="08D61386"/>
    <w:rsid w:val="08FD35AE"/>
    <w:rsid w:val="09070651"/>
    <w:rsid w:val="090B26C0"/>
    <w:rsid w:val="09B8526E"/>
    <w:rsid w:val="09BD48AC"/>
    <w:rsid w:val="09BE25B6"/>
    <w:rsid w:val="0A2A5810"/>
    <w:rsid w:val="0A742C74"/>
    <w:rsid w:val="0A750C19"/>
    <w:rsid w:val="0AAC292F"/>
    <w:rsid w:val="0AC73481"/>
    <w:rsid w:val="0AD10E39"/>
    <w:rsid w:val="0AD56CF2"/>
    <w:rsid w:val="0ADB782C"/>
    <w:rsid w:val="0AE96E62"/>
    <w:rsid w:val="0B665DF5"/>
    <w:rsid w:val="0B7627F0"/>
    <w:rsid w:val="0B7C7A87"/>
    <w:rsid w:val="0B860EB1"/>
    <w:rsid w:val="0B8F053D"/>
    <w:rsid w:val="0B9730BE"/>
    <w:rsid w:val="0BDD4D88"/>
    <w:rsid w:val="0C02298B"/>
    <w:rsid w:val="0C0B0C64"/>
    <w:rsid w:val="0C2B1A59"/>
    <w:rsid w:val="0C3C5FB6"/>
    <w:rsid w:val="0C4F79BD"/>
    <w:rsid w:val="0C801DA5"/>
    <w:rsid w:val="0C9433F9"/>
    <w:rsid w:val="0CAE15C5"/>
    <w:rsid w:val="0CE54A83"/>
    <w:rsid w:val="0CF4290E"/>
    <w:rsid w:val="0D0245FD"/>
    <w:rsid w:val="0D0559CD"/>
    <w:rsid w:val="0D3F097E"/>
    <w:rsid w:val="0D562B05"/>
    <w:rsid w:val="0D5D297B"/>
    <w:rsid w:val="0D722980"/>
    <w:rsid w:val="0DB8510F"/>
    <w:rsid w:val="0DDE1E9C"/>
    <w:rsid w:val="0E1B67AA"/>
    <w:rsid w:val="0E387361"/>
    <w:rsid w:val="0E407A3D"/>
    <w:rsid w:val="0E4202C8"/>
    <w:rsid w:val="0E4E4DBA"/>
    <w:rsid w:val="0E9502A9"/>
    <w:rsid w:val="0EB80C9B"/>
    <w:rsid w:val="0ED870A5"/>
    <w:rsid w:val="0EE00014"/>
    <w:rsid w:val="0EE0040E"/>
    <w:rsid w:val="0EE04D7C"/>
    <w:rsid w:val="0F0D6BEA"/>
    <w:rsid w:val="0F1A231E"/>
    <w:rsid w:val="0F2D7E01"/>
    <w:rsid w:val="0FA7463C"/>
    <w:rsid w:val="0FE4317D"/>
    <w:rsid w:val="0FE57958"/>
    <w:rsid w:val="10057642"/>
    <w:rsid w:val="104B3700"/>
    <w:rsid w:val="106B763B"/>
    <w:rsid w:val="10710382"/>
    <w:rsid w:val="10B239FE"/>
    <w:rsid w:val="10D557FD"/>
    <w:rsid w:val="113165F6"/>
    <w:rsid w:val="11567578"/>
    <w:rsid w:val="11625F1D"/>
    <w:rsid w:val="11901201"/>
    <w:rsid w:val="11934328"/>
    <w:rsid w:val="119F0731"/>
    <w:rsid w:val="11A06D61"/>
    <w:rsid w:val="11CA0A32"/>
    <w:rsid w:val="11E04312"/>
    <w:rsid w:val="12303925"/>
    <w:rsid w:val="129739A4"/>
    <w:rsid w:val="1298690F"/>
    <w:rsid w:val="12B5207C"/>
    <w:rsid w:val="12BF61EA"/>
    <w:rsid w:val="12E77EA1"/>
    <w:rsid w:val="130F171F"/>
    <w:rsid w:val="131571D0"/>
    <w:rsid w:val="131A3D10"/>
    <w:rsid w:val="131B5AA1"/>
    <w:rsid w:val="13607B7A"/>
    <w:rsid w:val="13AD1CE9"/>
    <w:rsid w:val="13B40293"/>
    <w:rsid w:val="13C10C86"/>
    <w:rsid w:val="13D23411"/>
    <w:rsid w:val="13D65BBB"/>
    <w:rsid w:val="13F16EF0"/>
    <w:rsid w:val="14151024"/>
    <w:rsid w:val="141776C3"/>
    <w:rsid w:val="14294CC3"/>
    <w:rsid w:val="142A18A2"/>
    <w:rsid w:val="14357918"/>
    <w:rsid w:val="146D5A8B"/>
    <w:rsid w:val="152F06F4"/>
    <w:rsid w:val="15396F94"/>
    <w:rsid w:val="1552040A"/>
    <w:rsid w:val="157F162F"/>
    <w:rsid w:val="15871706"/>
    <w:rsid w:val="159877B7"/>
    <w:rsid w:val="15D0477B"/>
    <w:rsid w:val="16311D10"/>
    <w:rsid w:val="163F7BD6"/>
    <w:rsid w:val="16BC0261"/>
    <w:rsid w:val="16E21E18"/>
    <w:rsid w:val="16ED6DA6"/>
    <w:rsid w:val="174B0D9F"/>
    <w:rsid w:val="1752297D"/>
    <w:rsid w:val="17B62F89"/>
    <w:rsid w:val="17CE50CF"/>
    <w:rsid w:val="17D17F86"/>
    <w:rsid w:val="17E578E1"/>
    <w:rsid w:val="17FC66C5"/>
    <w:rsid w:val="1815577B"/>
    <w:rsid w:val="182B52BA"/>
    <w:rsid w:val="18724368"/>
    <w:rsid w:val="187529B4"/>
    <w:rsid w:val="1890511D"/>
    <w:rsid w:val="19461C80"/>
    <w:rsid w:val="194D20C0"/>
    <w:rsid w:val="195345DA"/>
    <w:rsid w:val="196A6E29"/>
    <w:rsid w:val="199649B5"/>
    <w:rsid w:val="199F4605"/>
    <w:rsid w:val="19A83DC1"/>
    <w:rsid w:val="19C22CBD"/>
    <w:rsid w:val="19C239FC"/>
    <w:rsid w:val="19D57567"/>
    <w:rsid w:val="1A3B1416"/>
    <w:rsid w:val="1A6A3B28"/>
    <w:rsid w:val="1A793CE7"/>
    <w:rsid w:val="1AC26884"/>
    <w:rsid w:val="1AC92B69"/>
    <w:rsid w:val="1ADC69A0"/>
    <w:rsid w:val="1AE16479"/>
    <w:rsid w:val="1B373B42"/>
    <w:rsid w:val="1B6D3662"/>
    <w:rsid w:val="1B827539"/>
    <w:rsid w:val="1BB613A5"/>
    <w:rsid w:val="1BB71286"/>
    <w:rsid w:val="1BE80229"/>
    <w:rsid w:val="1C0C6595"/>
    <w:rsid w:val="1C200F85"/>
    <w:rsid w:val="1C276989"/>
    <w:rsid w:val="1C4125A6"/>
    <w:rsid w:val="1C6455ED"/>
    <w:rsid w:val="1CA77076"/>
    <w:rsid w:val="1CE95CBC"/>
    <w:rsid w:val="1CF87278"/>
    <w:rsid w:val="1D187DD7"/>
    <w:rsid w:val="1DDC27C5"/>
    <w:rsid w:val="1DE5548B"/>
    <w:rsid w:val="1E185727"/>
    <w:rsid w:val="1E1C68BD"/>
    <w:rsid w:val="1E2F7187"/>
    <w:rsid w:val="1EFD0258"/>
    <w:rsid w:val="1F0057E3"/>
    <w:rsid w:val="1F151713"/>
    <w:rsid w:val="1F523B21"/>
    <w:rsid w:val="1F77033E"/>
    <w:rsid w:val="1F7809A0"/>
    <w:rsid w:val="1FB432EB"/>
    <w:rsid w:val="1FB66F0C"/>
    <w:rsid w:val="1FD1105A"/>
    <w:rsid w:val="1FF7722D"/>
    <w:rsid w:val="1FF8178F"/>
    <w:rsid w:val="2087447B"/>
    <w:rsid w:val="20AD10A9"/>
    <w:rsid w:val="20B237F2"/>
    <w:rsid w:val="20C02D42"/>
    <w:rsid w:val="20DD2ECA"/>
    <w:rsid w:val="210E39CB"/>
    <w:rsid w:val="21120064"/>
    <w:rsid w:val="214E00C7"/>
    <w:rsid w:val="218F76B2"/>
    <w:rsid w:val="21BA5E37"/>
    <w:rsid w:val="21DF2C72"/>
    <w:rsid w:val="222D6635"/>
    <w:rsid w:val="22354F02"/>
    <w:rsid w:val="224F082B"/>
    <w:rsid w:val="22525138"/>
    <w:rsid w:val="22723DCE"/>
    <w:rsid w:val="22933C99"/>
    <w:rsid w:val="22964986"/>
    <w:rsid w:val="22D242E7"/>
    <w:rsid w:val="22E5765B"/>
    <w:rsid w:val="22FA4207"/>
    <w:rsid w:val="234174BA"/>
    <w:rsid w:val="234F7621"/>
    <w:rsid w:val="235F7526"/>
    <w:rsid w:val="23D11E33"/>
    <w:rsid w:val="23D625A8"/>
    <w:rsid w:val="23E93EF4"/>
    <w:rsid w:val="2467728F"/>
    <w:rsid w:val="24715D06"/>
    <w:rsid w:val="248E2A06"/>
    <w:rsid w:val="24936808"/>
    <w:rsid w:val="24973CD7"/>
    <w:rsid w:val="24B201C7"/>
    <w:rsid w:val="24BA665E"/>
    <w:rsid w:val="24D818B3"/>
    <w:rsid w:val="24F211F6"/>
    <w:rsid w:val="25204842"/>
    <w:rsid w:val="2529332B"/>
    <w:rsid w:val="253B28D5"/>
    <w:rsid w:val="255D282B"/>
    <w:rsid w:val="258A45EF"/>
    <w:rsid w:val="258E59DD"/>
    <w:rsid w:val="2596694F"/>
    <w:rsid w:val="25A50CC9"/>
    <w:rsid w:val="25BC1C48"/>
    <w:rsid w:val="2623383B"/>
    <w:rsid w:val="270611CA"/>
    <w:rsid w:val="270A1564"/>
    <w:rsid w:val="2727745C"/>
    <w:rsid w:val="2728447A"/>
    <w:rsid w:val="272C7277"/>
    <w:rsid w:val="27383645"/>
    <w:rsid w:val="27466615"/>
    <w:rsid w:val="274B6198"/>
    <w:rsid w:val="275B0666"/>
    <w:rsid w:val="275F617F"/>
    <w:rsid w:val="277B51EB"/>
    <w:rsid w:val="27AF1DA4"/>
    <w:rsid w:val="27F45AEA"/>
    <w:rsid w:val="27FB0151"/>
    <w:rsid w:val="288F34F5"/>
    <w:rsid w:val="289D72E9"/>
    <w:rsid w:val="28D54FA9"/>
    <w:rsid w:val="29055A1C"/>
    <w:rsid w:val="29384677"/>
    <w:rsid w:val="29B7338C"/>
    <w:rsid w:val="29BF27BE"/>
    <w:rsid w:val="29CD0966"/>
    <w:rsid w:val="29E32ADC"/>
    <w:rsid w:val="29E675C2"/>
    <w:rsid w:val="2A224043"/>
    <w:rsid w:val="2A353CFD"/>
    <w:rsid w:val="2B1B7878"/>
    <w:rsid w:val="2B1E2A5D"/>
    <w:rsid w:val="2B2D5CB9"/>
    <w:rsid w:val="2B39378D"/>
    <w:rsid w:val="2B68461C"/>
    <w:rsid w:val="2B6E5792"/>
    <w:rsid w:val="2B7359FA"/>
    <w:rsid w:val="2B8311F8"/>
    <w:rsid w:val="2B894B5E"/>
    <w:rsid w:val="2BA2368E"/>
    <w:rsid w:val="2C1809A7"/>
    <w:rsid w:val="2C5F46BC"/>
    <w:rsid w:val="2C692273"/>
    <w:rsid w:val="2CA376BD"/>
    <w:rsid w:val="2CD31625"/>
    <w:rsid w:val="2D2E13F9"/>
    <w:rsid w:val="2D7A1BE9"/>
    <w:rsid w:val="2D8C7557"/>
    <w:rsid w:val="2D9C61A8"/>
    <w:rsid w:val="2DB41FE8"/>
    <w:rsid w:val="2E041545"/>
    <w:rsid w:val="2E1661E6"/>
    <w:rsid w:val="2EAB5FC3"/>
    <w:rsid w:val="2F145637"/>
    <w:rsid w:val="2F171377"/>
    <w:rsid w:val="2F4F4F24"/>
    <w:rsid w:val="2F5C4655"/>
    <w:rsid w:val="304D1D6B"/>
    <w:rsid w:val="30754C3A"/>
    <w:rsid w:val="30C356D1"/>
    <w:rsid w:val="30C419B0"/>
    <w:rsid w:val="30CD50A8"/>
    <w:rsid w:val="30DB1652"/>
    <w:rsid w:val="30E3452C"/>
    <w:rsid w:val="313769A9"/>
    <w:rsid w:val="3141061D"/>
    <w:rsid w:val="31462D0D"/>
    <w:rsid w:val="318670E2"/>
    <w:rsid w:val="31A17A66"/>
    <w:rsid w:val="31BE0CDA"/>
    <w:rsid w:val="31DA148B"/>
    <w:rsid w:val="31DD5420"/>
    <w:rsid w:val="32014992"/>
    <w:rsid w:val="321F564A"/>
    <w:rsid w:val="32466539"/>
    <w:rsid w:val="3267304B"/>
    <w:rsid w:val="3273368E"/>
    <w:rsid w:val="32F04866"/>
    <w:rsid w:val="32FC6AC1"/>
    <w:rsid w:val="330902B3"/>
    <w:rsid w:val="332A7F87"/>
    <w:rsid w:val="33503A92"/>
    <w:rsid w:val="335C4122"/>
    <w:rsid w:val="3388025A"/>
    <w:rsid w:val="338B2CC9"/>
    <w:rsid w:val="33BF137E"/>
    <w:rsid w:val="33D4222E"/>
    <w:rsid w:val="33EE1384"/>
    <w:rsid w:val="34173986"/>
    <w:rsid w:val="341A3419"/>
    <w:rsid w:val="34330282"/>
    <w:rsid w:val="34634E3D"/>
    <w:rsid w:val="347831DE"/>
    <w:rsid w:val="34961941"/>
    <w:rsid w:val="3499404E"/>
    <w:rsid w:val="354A087B"/>
    <w:rsid w:val="35770353"/>
    <w:rsid w:val="35957DBF"/>
    <w:rsid w:val="35D13477"/>
    <w:rsid w:val="35DE2737"/>
    <w:rsid w:val="35FA0AD8"/>
    <w:rsid w:val="361A4A7B"/>
    <w:rsid w:val="36236C4E"/>
    <w:rsid w:val="36303BDF"/>
    <w:rsid w:val="364A133F"/>
    <w:rsid w:val="36632FF1"/>
    <w:rsid w:val="366B4F45"/>
    <w:rsid w:val="367D7205"/>
    <w:rsid w:val="36C17560"/>
    <w:rsid w:val="3743620A"/>
    <w:rsid w:val="3772660A"/>
    <w:rsid w:val="37A57F02"/>
    <w:rsid w:val="37C130EE"/>
    <w:rsid w:val="38145E28"/>
    <w:rsid w:val="3816710C"/>
    <w:rsid w:val="38244E95"/>
    <w:rsid w:val="38267884"/>
    <w:rsid w:val="383E5630"/>
    <w:rsid w:val="3850243C"/>
    <w:rsid w:val="386D068A"/>
    <w:rsid w:val="38B03996"/>
    <w:rsid w:val="38C26759"/>
    <w:rsid w:val="38EA77BA"/>
    <w:rsid w:val="38FE1125"/>
    <w:rsid w:val="391560C2"/>
    <w:rsid w:val="391854E7"/>
    <w:rsid w:val="39515725"/>
    <w:rsid w:val="395F191E"/>
    <w:rsid w:val="39AC3434"/>
    <w:rsid w:val="39BA40F5"/>
    <w:rsid w:val="39D34C71"/>
    <w:rsid w:val="39D751C8"/>
    <w:rsid w:val="39E003C2"/>
    <w:rsid w:val="3A1F0242"/>
    <w:rsid w:val="3A5864AF"/>
    <w:rsid w:val="3A5B3385"/>
    <w:rsid w:val="3AA70BC9"/>
    <w:rsid w:val="3AAB5CE4"/>
    <w:rsid w:val="3AB903B0"/>
    <w:rsid w:val="3AC37B79"/>
    <w:rsid w:val="3AD62004"/>
    <w:rsid w:val="3B561D9F"/>
    <w:rsid w:val="3B7948F7"/>
    <w:rsid w:val="3B85018E"/>
    <w:rsid w:val="3BD67301"/>
    <w:rsid w:val="3BE27C11"/>
    <w:rsid w:val="3C1C1B29"/>
    <w:rsid w:val="3C1F2362"/>
    <w:rsid w:val="3C447E49"/>
    <w:rsid w:val="3C4D0778"/>
    <w:rsid w:val="3C520284"/>
    <w:rsid w:val="3C643836"/>
    <w:rsid w:val="3CB52EC4"/>
    <w:rsid w:val="3CD02756"/>
    <w:rsid w:val="3D0870C9"/>
    <w:rsid w:val="3D166298"/>
    <w:rsid w:val="3D294B8D"/>
    <w:rsid w:val="3D2F254E"/>
    <w:rsid w:val="3D440B11"/>
    <w:rsid w:val="3D4F6AA6"/>
    <w:rsid w:val="3D695DB9"/>
    <w:rsid w:val="3D784646"/>
    <w:rsid w:val="3DA10BCD"/>
    <w:rsid w:val="3DBB686B"/>
    <w:rsid w:val="3DCA159E"/>
    <w:rsid w:val="3DFE0C51"/>
    <w:rsid w:val="3E47191D"/>
    <w:rsid w:val="3E75078E"/>
    <w:rsid w:val="3E913F0E"/>
    <w:rsid w:val="3ECF60F0"/>
    <w:rsid w:val="3EF11A36"/>
    <w:rsid w:val="3F0F516A"/>
    <w:rsid w:val="3F7E0284"/>
    <w:rsid w:val="3FAD5A88"/>
    <w:rsid w:val="3FD66B9D"/>
    <w:rsid w:val="3FE6171A"/>
    <w:rsid w:val="40273B0A"/>
    <w:rsid w:val="402F14D9"/>
    <w:rsid w:val="404448BC"/>
    <w:rsid w:val="408563A3"/>
    <w:rsid w:val="40A13ABC"/>
    <w:rsid w:val="41006A35"/>
    <w:rsid w:val="41076015"/>
    <w:rsid w:val="411F5A72"/>
    <w:rsid w:val="41260850"/>
    <w:rsid w:val="416B6CE2"/>
    <w:rsid w:val="41AA074E"/>
    <w:rsid w:val="41BF069E"/>
    <w:rsid w:val="41F75335"/>
    <w:rsid w:val="422F1949"/>
    <w:rsid w:val="423041D0"/>
    <w:rsid w:val="424F44AD"/>
    <w:rsid w:val="42804A02"/>
    <w:rsid w:val="42AA6905"/>
    <w:rsid w:val="42B63CD0"/>
    <w:rsid w:val="432745D6"/>
    <w:rsid w:val="438102EA"/>
    <w:rsid w:val="43994D93"/>
    <w:rsid w:val="43CC6029"/>
    <w:rsid w:val="4410624B"/>
    <w:rsid w:val="4417329B"/>
    <w:rsid w:val="44175999"/>
    <w:rsid w:val="44371D6C"/>
    <w:rsid w:val="445B4977"/>
    <w:rsid w:val="447062AE"/>
    <w:rsid w:val="44772036"/>
    <w:rsid w:val="447A6AFE"/>
    <w:rsid w:val="44A9032E"/>
    <w:rsid w:val="44AE49FA"/>
    <w:rsid w:val="44C851AD"/>
    <w:rsid w:val="45032A73"/>
    <w:rsid w:val="450B72E0"/>
    <w:rsid w:val="45151A10"/>
    <w:rsid w:val="452B324F"/>
    <w:rsid w:val="454278F8"/>
    <w:rsid w:val="456728CD"/>
    <w:rsid w:val="456F1408"/>
    <w:rsid w:val="45856946"/>
    <w:rsid w:val="458A3F12"/>
    <w:rsid w:val="45903389"/>
    <w:rsid w:val="46144678"/>
    <w:rsid w:val="463C7E2F"/>
    <w:rsid w:val="46564102"/>
    <w:rsid w:val="465D0485"/>
    <w:rsid w:val="46B856BC"/>
    <w:rsid w:val="474D431E"/>
    <w:rsid w:val="47547451"/>
    <w:rsid w:val="475579C7"/>
    <w:rsid w:val="47596DFD"/>
    <w:rsid w:val="478D3B1B"/>
    <w:rsid w:val="47B76DEA"/>
    <w:rsid w:val="47C71762"/>
    <w:rsid w:val="47DB78B4"/>
    <w:rsid w:val="47ED306F"/>
    <w:rsid w:val="48295761"/>
    <w:rsid w:val="483E6AA3"/>
    <w:rsid w:val="48431516"/>
    <w:rsid w:val="48462CE4"/>
    <w:rsid w:val="48D10ECA"/>
    <w:rsid w:val="48E775A8"/>
    <w:rsid w:val="48FB5F4F"/>
    <w:rsid w:val="491004AC"/>
    <w:rsid w:val="49165DA6"/>
    <w:rsid w:val="497A6719"/>
    <w:rsid w:val="498975CF"/>
    <w:rsid w:val="498A0B16"/>
    <w:rsid w:val="49A35E13"/>
    <w:rsid w:val="4A295E9B"/>
    <w:rsid w:val="4A976654"/>
    <w:rsid w:val="4AA807B2"/>
    <w:rsid w:val="4ABA6D58"/>
    <w:rsid w:val="4AD327E2"/>
    <w:rsid w:val="4AEC002A"/>
    <w:rsid w:val="4B517CCB"/>
    <w:rsid w:val="4B7A5635"/>
    <w:rsid w:val="4B836A49"/>
    <w:rsid w:val="4BBC1EC9"/>
    <w:rsid w:val="4C2A666F"/>
    <w:rsid w:val="4C2C4B28"/>
    <w:rsid w:val="4C432784"/>
    <w:rsid w:val="4C555A70"/>
    <w:rsid w:val="4C6E725A"/>
    <w:rsid w:val="4C763282"/>
    <w:rsid w:val="4C8E792C"/>
    <w:rsid w:val="4CB41FF3"/>
    <w:rsid w:val="4CE4720A"/>
    <w:rsid w:val="4CF44566"/>
    <w:rsid w:val="4CF75D0A"/>
    <w:rsid w:val="4D276D24"/>
    <w:rsid w:val="4D583672"/>
    <w:rsid w:val="4D7C7F5C"/>
    <w:rsid w:val="4DB63E9B"/>
    <w:rsid w:val="4E453EFD"/>
    <w:rsid w:val="4E74262B"/>
    <w:rsid w:val="4E946A0E"/>
    <w:rsid w:val="4EBE4208"/>
    <w:rsid w:val="4FC1296B"/>
    <w:rsid w:val="4FDC1084"/>
    <w:rsid w:val="4FF05EC6"/>
    <w:rsid w:val="501C6CBB"/>
    <w:rsid w:val="501E0C85"/>
    <w:rsid w:val="502308EA"/>
    <w:rsid w:val="5099030C"/>
    <w:rsid w:val="50A6292A"/>
    <w:rsid w:val="50E871B6"/>
    <w:rsid w:val="510A6AC3"/>
    <w:rsid w:val="512872A6"/>
    <w:rsid w:val="5199388B"/>
    <w:rsid w:val="51C70EA9"/>
    <w:rsid w:val="51F32194"/>
    <w:rsid w:val="5227016D"/>
    <w:rsid w:val="522735F1"/>
    <w:rsid w:val="522C5193"/>
    <w:rsid w:val="52324645"/>
    <w:rsid w:val="52634928"/>
    <w:rsid w:val="52786B20"/>
    <w:rsid w:val="528D5C4E"/>
    <w:rsid w:val="52CA7E39"/>
    <w:rsid w:val="53201529"/>
    <w:rsid w:val="536D782E"/>
    <w:rsid w:val="53982AFD"/>
    <w:rsid w:val="53B10AB4"/>
    <w:rsid w:val="53BC6AEA"/>
    <w:rsid w:val="53D72561"/>
    <w:rsid w:val="54342932"/>
    <w:rsid w:val="54425012"/>
    <w:rsid w:val="545104EE"/>
    <w:rsid w:val="547E13AC"/>
    <w:rsid w:val="54AD3770"/>
    <w:rsid w:val="54AF5068"/>
    <w:rsid w:val="54E95E3A"/>
    <w:rsid w:val="54F81946"/>
    <w:rsid w:val="55241EC9"/>
    <w:rsid w:val="553A28B7"/>
    <w:rsid w:val="553E5926"/>
    <w:rsid w:val="55551C7E"/>
    <w:rsid w:val="558E4775"/>
    <w:rsid w:val="55BE5B01"/>
    <w:rsid w:val="55C242F4"/>
    <w:rsid w:val="55C67023"/>
    <w:rsid w:val="55EC7856"/>
    <w:rsid w:val="55FB55C5"/>
    <w:rsid w:val="565117F9"/>
    <w:rsid w:val="56602FA9"/>
    <w:rsid w:val="568972EE"/>
    <w:rsid w:val="56A30BEE"/>
    <w:rsid w:val="56A77B6A"/>
    <w:rsid w:val="56B440F1"/>
    <w:rsid w:val="56D906E3"/>
    <w:rsid w:val="57373AAD"/>
    <w:rsid w:val="573D4F33"/>
    <w:rsid w:val="57522DE8"/>
    <w:rsid w:val="57772DF9"/>
    <w:rsid w:val="577B373E"/>
    <w:rsid w:val="57820F66"/>
    <w:rsid w:val="57A04676"/>
    <w:rsid w:val="57AA6441"/>
    <w:rsid w:val="57AE35F9"/>
    <w:rsid w:val="57B7551B"/>
    <w:rsid w:val="57CF44B7"/>
    <w:rsid w:val="57DB115D"/>
    <w:rsid w:val="581214D6"/>
    <w:rsid w:val="581666E6"/>
    <w:rsid w:val="582D6EF7"/>
    <w:rsid w:val="58443253"/>
    <w:rsid w:val="58502AF2"/>
    <w:rsid w:val="586C27AA"/>
    <w:rsid w:val="587C6E60"/>
    <w:rsid w:val="58AD6518"/>
    <w:rsid w:val="58FA6603"/>
    <w:rsid w:val="59ED5249"/>
    <w:rsid w:val="5A0B353B"/>
    <w:rsid w:val="5A0B795B"/>
    <w:rsid w:val="5A882213"/>
    <w:rsid w:val="5A921267"/>
    <w:rsid w:val="5AA24261"/>
    <w:rsid w:val="5ABC185B"/>
    <w:rsid w:val="5AD36B10"/>
    <w:rsid w:val="5AE1122D"/>
    <w:rsid w:val="5B3D2BF4"/>
    <w:rsid w:val="5B894531"/>
    <w:rsid w:val="5B906F80"/>
    <w:rsid w:val="5BC54DF4"/>
    <w:rsid w:val="5BE5131E"/>
    <w:rsid w:val="5C310235"/>
    <w:rsid w:val="5C6D541D"/>
    <w:rsid w:val="5CB35126"/>
    <w:rsid w:val="5CB534F1"/>
    <w:rsid w:val="5CEC3CAD"/>
    <w:rsid w:val="5CF42402"/>
    <w:rsid w:val="5CFF3BED"/>
    <w:rsid w:val="5D1B21AF"/>
    <w:rsid w:val="5D1F1C68"/>
    <w:rsid w:val="5D3E4715"/>
    <w:rsid w:val="5D515A4E"/>
    <w:rsid w:val="5D80006D"/>
    <w:rsid w:val="5DA60C81"/>
    <w:rsid w:val="5DC21A60"/>
    <w:rsid w:val="5DDB4BA4"/>
    <w:rsid w:val="5DDE7158"/>
    <w:rsid w:val="5E5758A6"/>
    <w:rsid w:val="5E5D2232"/>
    <w:rsid w:val="5E812B1E"/>
    <w:rsid w:val="5E943FE1"/>
    <w:rsid w:val="5E952C95"/>
    <w:rsid w:val="5EA159EF"/>
    <w:rsid w:val="5ED56004"/>
    <w:rsid w:val="5EDD7F5D"/>
    <w:rsid w:val="5EE161BA"/>
    <w:rsid w:val="5F1C1939"/>
    <w:rsid w:val="5F5610E6"/>
    <w:rsid w:val="5F633A38"/>
    <w:rsid w:val="5FC3596E"/>
    <w:rsid w:val="5FC449AC"/>
    <w:rsid w:val="5FC84222"/>
    <w:rsid w:val="5FC86518"/>
    <w:rsid w:val="5FD01A5D"/>
    <w:rsid w:val="5FDE43C0"/>
    <w:rsid w:val="600D28A3"/>
    <w:rsid w:val="60367925"/>
    <w:rsid w:val="605317AE"/>
    <w:rsid w:val="60786190"/>
    <w:rsid w:val="60793BFC"/>
    <w:rsid w:val="607F4AFF"/>
    <w:rsid w:val="60820189"/>
    <w:rsid w:val="609E371C"/>
    <w:rsid w:val="60A65B62"/>
    <w:rsid w:val="60AC6E64"/>
    <w:rsid w:val="60AE6575"/>
    <w:rsid w:val="60C96143"/>
    <w:rsid w:val="60E90B28"/>
    <w:rsid w:val="61033DD8"/>
    <w:rsid w:val="610655D3"/>
    <w:rsid w:val="61104A3E"/>
    <w:rsid w:val="61265BEC"/>
    <w:rsid w:val="615F0010"/>
    <w:rsid w:val="617F7AE6"/>
    <w:rsid w:val="618D2AD3"/>
    <w:rsid w:val="61960FE2"/>
    <w:rsid w:val="61BB234F"/>
    <w:rsid w:val="61BB48FB"/>
    <w:rsid w:val="61E97F9F"/>
    <w:rsid w:val="61EB26C7"/>
    <w:rsid w:val="62037CDB"/>
    <w:rsid w:val="62196B34"/>
    <w:rsid w:val="6224175D"/>
    <w:rsid w:val="62821E3B"/>
    <w:rsid w:val="62A04DC5"/>
    <w:rsid w:val="62E710A2"/>
    <w:rsid w:val="633E1CFD"/>
    <w:rsid w:val="635634FF"/>
    <w:rsid w:val="636062D7"/>
    <w:rsid w:val="63972DD1"/>
    <w:rsid w:val="63B76FCF"/>
    <w:rsid w:val="63C21368"/>
    <w:rsid w:val="63DC24EC"/>
    <w:rsid w:val="63F200B4"/>
    <w:rsid w:val="64197F46"/>
    <w:rsid w:val="64714E92"/>
    <w:rsid w:val="649B5691"/>
    <w:rsid w:val="649C190D"/>
    <w:rsid w:val="64B21544"/>
    <w:rsid w:val="64B27796"/>
    <w:rsid w:val="64E42A92"/>
    <w:rsid w:val="64FD5AFA"/>
    <w:rsid w:val="65316E4A"/>
    <w:rsid w:val="654E3963"/>
    <w:rsid w:val="655B07D5"/>
    <w:rsid w:val="65612584"/>
    <w:rsid w:val="65AB4FD6"/>
    <w:rsid w:val="65AD3502"/>
    <w:rsid w:val="65DE4CE7"/>
    <w:rsid w:val="65F17BBD"/>
    <w:rsid w:val="66025E86"/>
    <w:rsid w:val="66267F8A"/>
    <w:rsid w:val="6689123D"/>
    <w:rsid w:val="66A75FC4"/>
    <w:rsid w:val="66E36A05"/>
    <w:rsid w:val="66F84506"/>
    <w:rsid w:val="66FF55A5"/>
    <w:rsid w:val="67044E37"/>
    <w:rsid w:val="676542B7"/>
    <w:rsid w:val="67676974"/>
    <w:rsid w:val="676F35B6"/>
    <w:rsid w:val="678F67DD"/>
    <w:rsid w:val="689E69AF"/>
    <w:rsid w:val="68A45648"/>
    <w:rsid w:val="68E83B78"/>
    <w:rsid w:val="692C7B17"/>
    <w:rsid w:val="694C6B5E"/>
    <w:rsid w:val="69A10B77"/>
    <w:rsid w:val="69E403F2"/>
    <w:rsid w:val="69FC4AAC"/>
    <w:rsid w:val="6A1847CB"/>
    <w:rsid w:val="6A422766"/>
    <w:rsid w:val="6A4874D1"/>
    <w:rsid w:val="6A6169E7"/>
    <w:rsid w:val="6AF01018"/>
    <w:rsid w:val="6B2E3383"/>
    <w:rsid w:val="6B3D3B05"/>
    <w:rsid w:val="6B3D52B3"/>
    <w:rsid w:val="6B6213BB"/>
    <w:rsid w:val="6BA028D5"/>
    <w:rsid w:val="6BA840A9"/>
    <w:rsid w:val="6BB64A65"/>
    <w:rsid w:val="6BCE135A"/>
    <w:rsid w:val="6BEC7A32"/>
    <w:rsid w:val="6BF53221"/>
    <w:rsid w:val="6C036674"/>
    <w:rsid w:val="6C1274B0"/>
    <w:rsid w:val="6C4C5A5B"/>
    <w:rsid w:val="6CBE3142"/>
    <w:rsid w:val="6D137AC9"/>
    <w:rsid w:val="6D371181"/>
    <w:rsid w:val="6D4A527C"/>
    <w:rsid w:val="6D6B45C3"/>
    <w:rsid w:val="6D8609FF"/>
    <w:rsid w:val="6D904B96"/>
    <w:rsid w:val="6D9528B5"/>
    <w:rsid w:val="6DB217DF"/>
    <w:rsid w:val="6DC72505"/>
    <w:rsid w:val="6DC9001E"/>
    <w:rsid w:val="6DE339FD"/>
    <w:rsid w:val="6E1C56D4"/>
    <w:rsid w:val="6E22598D"/>
    <w:rsid w:val="6E2B579C"/>
    <w:rsid w:val="6E37217F"/>
    <w:rsid w:val="6E5611D1"/>
    <w:rsid w:val="6E6019A2"/>
    <w:rsid w:val="6E627DBE"/>
    <w:rsid w:val="6E7F6A0A"/>
    <w:rsid w:val="6E804461"/>
    <w:rsid w:val="6E852BF1"/>
    <w:rsid w:val="6E912A5B"/>
    <w:rsid w:val="6EFC14F6"/>
    <w:rsid w:val="6EFE1F56"/>
    <w:rsid w:val="6F5702B1"/>
    <w:rsid w:val="6FA5043E"/>
    <w:rsid w:val="6FBD7470"/>
    <w:rsid w:val="6FC43A9D"/>
    <w:rsid w:val="6FDA2A55"/>
    <w:rsid w:val="6FE86762"/>
    <w:rsid w:val="6FF6634F"/>
    <w:rsid w:val="70262932"/>
    <w:rsid w:val="703060B6"/>
    <w:rsid w:val="704C6CF1"/>
    <w:rsid w:val="70797761"/>
    <w:rsid w:val="70851470"/>
    <w:rsid w:val="70A15B20"/>
    <w:rsid w:val="712B03AE"/>
    <w:rsid w:val="715600C6"/>
    <w:rsid w:val="71581A65"/>
    <w:rsid w:val="71643C74"/>
    <w:rsid w:val="71693203"/>
    <w:rsid w:val="71744751"/>
    <w:rsid w:val="718E61D0"/>
    <w:rsid w:val="719B77EB"/>
    <w:rsid w:val="71E15C6A"/>
    <w:rsid w:val="71FC02A3"/>
    <w:rsid w:val="71FD64F5"/>
    <w:rsid w:val="72101EA0"/>
    <w:rsid w:val="723B0331"/>
    <w:rsid w:val="724845BB"/>
    <w:rsid w:val="72C95878"/>
    <w:rsid w:val="72CB35E3"/>
    <w:rsid w:val="72FD7620"/>
    <w:rsid w:val="730646C5"/>
    <w:rsid w:val="73277640"/>
    <w:rsid w:val="73544F69"/>
    <w:rsid w:val="74007F90"/>
    <w:rsid w:val="740F7AF0"/>
    <w:rsid w:val="7414687C"/>
    <w:rsid w:val="74353FEF"/>
    <w:rsid w:val="74482476"/>
    <w:rsid w:val="745101DE"/>
    <w:rsid w:val="74780A2A"/>
    <w:rsid w:val="74AF784E"/>
    <w:rsid w:val="74EF66A3"/>
    <w:rsid w:val="75660ACE"/>
    <w:rsid w:val="75757F55"/>
    <w:rsid w:val="757B030B"/>
    <w:rsid w:val="75AF5D58"/>
    <w:rsid w:val="75B321C0"/>
    <w:rsid w:val="75EE7C07"/>
    <w:rsid w:val="7619471D"/>
    <w:rsid w:val="762F499C"/>
    <w:rsid w:val="76682FE4"/>
    <w:rsid w:val="76760624"/>
    <w:rsid w:val="767B3FAD"/>
    <w:rsid w:val="768674F2"/>
    <w:rsid w:val="76986CFB"/>
    <w:rsid w:val="76D27B9A"/>
    <w:rsid w:val="76D87530"/>
    <w:rsid w:val="770B6B66"/>
    <w:rsid w:val="77112A42"/>
    <w:rsid w:val="771E298D"/>
    <w:rsid w:val="77387FCF"/>
    <w:rsid w:val="77390966"/>
    <w:rsid w:val="777059BB"/>
    <w:rsid w:val="77706B69"/>
    <w:rsid w:val="77761B41"/>
    <w:rsid w:val="777947C3"/>
    <w:rsid w:val="77804C61"/>
    <w:rsid w:val="77B44AED"/>
    <w:rsid w:val="77B72F43"/>
    <w:rsid w:val="77BF0792"/>
    <w:rsid w:val="77C17FC5"/>
    <w:rsid w:val="780560FA"/>
    <w:rsid w:val="780E5B91"/>
    <w:rsid w:val="78175DA9"/>
    <w:rsid w:val="781E357C"/>
    <w:rsid w:val="78210F1F"/>
    <w:rsid w:val="782F6DDE"/>
    <w:rsid w:val="784F48C7"/>
    <w:rsid w:val="78523814"/>
    <w:rsid w:val="785E3A65"/>
    <w:rsid w:val="787F1F33"/>
    <w:rsid w:val="788B6AA1"/>
    <w:rsid w:val="788D24D3"/>
    <w:rsid w:val="789D0E85"/>
    <w:rsid w:val="78A31478"/>
    <w:rsid w:val="78B92217"/>
    <w:rsid w:val="78BB6B92"/>
    <w:rsid w:val="78C772C8"/>
    <w:rsid w:val="78D81679"/>
    <w:rsid w:val="78D92D55"/>
    <w:rsid w:val="78E4457F"/>
    <w:rsid w:val="79166C1B"/>
    <w:rsid w:val="791C0FC9"/>
    <w:rsid w:val="79275B80"/>
    <w:rsid w:val="79D96EED"/>
    <w:rsid w:val="79F37BFC"/>
    <w:rsid w:val="7A0D129F"/>
    <w:rsid w:val="7A5532C2"/>
    <w:rsid w:val="7AF965D1"/>
    <w:rsid w:val="7B004CFD"/>
    <w:rsid w:val="7B3D1CC7"/>
    <w:rsid w:val="7B6F06D0"/>
    <w:rsid w:val="7B9E2F12"/>
    <w:rsid w:val="7BA619AB"/>
    <w:rsid w:val="7BC45653"/>
    <w:rsid w:val="7BD51572"/>
    <w:rsid w:val="7BFE25AA"/>
    <w:rsid w:val="7C066589"/>
    <w:rsid w:val="7C0860ED"/>
    <w:rsid w:val="7C150EDA"/>
    <w:rsid w:val="7C1D4C64"/>
    <w:rsid w:val="7C1E1BC0"/>
    <w:rsid w:val="7C264A8A"/>
    <w:rsid w:val="7C3E60FC"/>
    <w:rsid w:val="7C793955"/>
    <w:rsid w:val="7C900D21"/>
    <w:rsid w:val="7CF146FC"/>
    <w:rsid w:val="7D306D5D"/>
    <w:rsid w:val="7D482346"/>
    <w:rsid w:val="7D4F7E21"/>
    <w:rsid w:val="7D6A4B1C"/>
    <w:rsid w:val="7D9A5CDC"/>
    <w:rsid w:val="7DAE39EA"/>
    <w:rsid w:val="7E047221"/>
    <w:rsid w:val="7E163333"/>
    <w:rsid w:val="7E207828"/>
    <w:rsid w:val="7E436112"/>
    <w:rsid w:val="7E654BDC"/>
    <w:rsid w:val="7E7B1B25"/>
    <w:rsid w:val="7E9401E1"/>
    <w:rsid w:val="7EA032A6"/>
    <w:rsid w:val="7F0974E4"/>
    <w:rsid w:val="7F330658"/>
    <w:rsid w:val="7F662F4E"/>
    <w:rsid w:val="7F89586C"/>
    <w:rsid w:val="7FE8538E"/>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after="120" w:line="360" w:lineRule="auto"/>
      <w:outlineLvl w:val="0"/>
    </w:pPr>
    <w:rPr>
      <w:rFonts w:ascii="仿宋_GB2312" w:hAnsi="宋体" w:eastAsia="仿宋_GB2312" w:cs="宋体"/>
      <w:bCs/>
      <w:sz w:val="30"/>
      <w:szCs w:val="30"/>
    </w:rPr>
  </w:style>
  <w:style w:type="paragraph" w:styleId="4">
    <w:name w:val="heading 2"/>
    <w:basedOn w:val="1"/>
    <w:next w:val="1"/>
    <w:link w:val="59"/>
    <w:qFormat/>
    <w:uiPriority w:val="0"/>
    <w:pPr>
      <w:keepNext/>
      <w:keepLines/>
      <w:snapToGrid w:val="0"/>
      <w:spacing w:before="240" w:after="120"/>
      <w:ind w:left="454" w:hanging="454"/>
      <w:outlineLvl w:val="1"/>
    </w:pPr>
    <w:rPr>
      <w:rFonts w:ascii="宋体" w:hAnsi="宋体" w:eastAsia="仿宋_GB2312" w:cs="宋体"/>
      <w:sz w:val="30"/>
      <w:szCs w:val="30"/>
    </w:rPr>
  </w:style>
  <w:style w:type="paragraph" w:styleId="5">
    <w:name w:val="heading 3"/>
    <w:basedOn w:val="1"/>
    <w:next w:val="1"/>
    <w:link w:val="60"/>
    <w:qFormat/>
    <w:uiPriority w:val="0"/>
    <w:pPr>
      <w:keepNext/>
      <w:keepLines/>
      <w:spacing w:before="260" w:after="260" w:line="416" w:lineRule="auto"/>
      <w:outlineLvl w:val="2"/>
    </w:pPr>
    <w:rPr>
      <w:rFonts w:eastAsia="仿宋_GB2312"/>
      <w:b/>
      <w:bCs/>
      <w:sz w:val="32"/>
      <w:szCs w:val="32"/>
    </w:rPr>
  </w:style>
  <w:style w:type="paragraph" w:styleId="6">
    <w:name w:val="heading 4"/>
    <w:basedOn w:val="5"/>
    <w:next w:val="7"/>
    <w:link w:val="61"/>
    <w:qFormat/>
    <w:uiPriority w:val="0"/>
    <w:pPr>
      <w:numPr>
        <w:ilvl w:val="3"/>
        <w:numId w:val="1"/>
      </w:numPr>
      <w:spacing w:beforeLines="50" w:afterLines="50" w:line="360" w:lineRule="auto"/>
      <w:jc w:val="center"/>
      <w:outlineLvl w:val="3"/>
    </w:pPr>
    <w:rPr>
      <w:rFonts w:ascii="Arial" w:hAnsi="Arial" w:eastAsia="宋体"/>
      <w:b w:val="0"/>
      <w:bCs w:val="0"/>
      <w:sz w:val="24"/>
      <w:szCs w:val="24"/>
    </w:rPr>
  </w:style>
  <w:style w:type="paragraph" w:styleId="8">
    <w:name w:val="heading 5"/>
    <w:basedOn w:val="6"/>
    <w:next w:val="7"/>
    <w:link w:val="62"/>
    <w:qFormat/>
    <w:uiPriority w:val="0"/>
    <w:pPr>
      <w:numPr>
        <w:ilvl w:val="4"/>
      </w:numPr>
      <w:spacing w:line="240" w:lineRule="exact"/>
      <w:outlineLvl w:val="4"/>
    </w:pPr>
  </w:style>
  <w:style w:type="paragraph" w:styleId="9">
    <w:name w:val="heading 6"/>
    <w:basedOn w:val="1"/>
    <w:next w:val="1"/>
    <w:link w:val="63"/>
    <w:qFormat/>
    <w:uiPriority w:val="0"/>
    <w:pPr>
      <w:keepNext/>
      <w:keepLines/>
      <w:numPr>
        <w:ilvl w:val="5"/>
        <w:numId w:val="2"/>
      </w:numPr>
      <w:spacing w:before="240" w:after="64" w:line="312" w:lineRule="auto"/>
      <w:outlineLvl w:val="5"/>
    </w:pPr>
    <w:rPr>
      <w:rFonts w:ascii="Arial" w:hAnsi="Arial" w:eastAsia="黑体"/>
      <w:b/>
      <w:bCs/>
      <w:sz w:val="24"/>
    </w:rPr>
  </w:style>
  <w:style w:type="paragraph" w:styleId="10">
    <w:name w:val="heading 7"/>
    <w:basedOn w:val="1"/>
    <w:next w:val="7"/>
    <w:link w:val="64"/>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7"/>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4"/>
    <w:qFormat/>
    <w:uiPriority w:val="0"/>
    <w:rPr>
      <w:rFonts w:ascii="宋体" w:hAnsi="Courier New"/>
      <w:szCs w:val="20"/>
    </w:rPr>
  </w:style>
  <w:style w:type="paragraph" w:styleId="7">
    <w:name w:val="Normal Indent"/>
    <w:basedOn w:val="1"/>
    <w:qFormat/>
    <w:uiPriority w:val="0"/>
    <w:pPr>
      <w:ind w:firstLine="420" w:firstLineChars="200"/>
    </w:pPr>
    <w:rPr>
      <w:rFonts w:eastAsia="仿宋_GB2312"/>
      <w:sz w:val="32"/>
      <w:szCs w:val="32"/>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List Bullet"/>
    <w:basedOn w:val="1"/>
    <w:qFormat/>
    <w:uiPriority w:val="0"/>
    <w:pPr>
      <w:ind w:left="567" w:hanging="279"/>
    </w:pPr>
  </w:style>
  <w:style w:type="paragraph" w:styleId="15">
    <w:name w:val="Document Map"/>
    <w:basedOn w:val="1"/>
    <w:link w:val="67"/>
    <w:semiHidden/>
    <w:qFormat/>
    <w:uiPriority w:val="0"/>
    <w:pPr>
      <w:shd w:val="clear" w:color="auto" w:fill="000080"/>
    </w:pPr>
  </w:style>
  <w:style w:type="paragraph" w:styleId="16">
    <w:name w:val="annotation text"/>
    <w:basedOn w:val="1"/>
    <w:link w:val="68"/>
    <w:qFormat/>
    <w:uiPriority w:val="0"/>
    <w:pPr>
      <w:widowControl/>
      <w:adjustRightInd w:val="0"/>
      <w:snapToGrid w:val="0"/>
      <w:spacing w:after="200"/>
      <w:jc w:val="left"/>
    </w:pPr>
    <w:rPr>
      <w:rFonts w:ascii="Tahoma" w:hAnsi="Tahoma" w:eastAsia="微软雅黑" w:cs="Tahoma"/>
      <w:kern w:val="0"/>
      <w:sz w:val="22"/>
      <w:szCs w:val="22"/>
    </w:rPr>
  </w:style>
  <w:style w:type="paragraph" w:styleId="17">
    <w:name w:val="Closing"/>
    <w:basedOn w:val="1"/>
    <w:link w:val="69"/>
    <w:qFormat/>
    <w:uiPriority w:val="0"/>
    <w:pPr>
      <w:ind w:left="100" w:leftChars="2100"/>
    </w:pPr>
    <w:rPr>
      <w:rFonts w:eastAsia="仿宋_GB2312"/>
      <w:sz w:val="28"/>
      <w:szCs w:val="28"/>
    </w:rPr>
  </w:style>
  <w:style w:type="paragraph" w:styleId="18">
    <w:name w:val="Body Text"/>
    <w:basedOn w:val="1"/>
    <w:next w:val="1"/>
    <w:link w:val="57"/>
    <w:qFormat/>
    <w:uiPriority w:val="0"/>
    <w:pPr>
      <w:spacing w:after="120"/>
    </w:pPr>
    <w:rPr>
      <w:rFonts w:eastAsia="仿宋_GB2312"/>
      <w:sz w:val="32"/>
      <w:szCs w:val="32"/>
    </w:rPr>
  </w:style>
  <w:style w:type="paragraph" w:styleId="19">
    <w:name w:val="Body Text Indent"/>
    <w:basedOn w:val="1"/>
    <w:link w:val="70"/>
    <w:qFormat/>
    <w:uiPriority w:val="0"/>
    <w:pPr>
      <w:ind w:left="2240" w:hanging="2240" w:hangingChars="700"/>
    </w:pPr>
    <w:rPr>
      <w:rFonts w:eastAsia="仿宋_GB2312"/>
      <w:sz w:val="32"/>
    </w:rPr>
  </w:style>
  <w:style w:type="paragraph" w:styleId="20">
    <w:name w:val="List 2"/>
    <w:basedOn w:val="1"/>
    <w:qFormat/>
    <w:uiPriority w:val="0"/>
    <w:pPr>
      <w:ind w:left="100" w:leftChars="200" w:hanging="200" w:hangingChars="200"/>
    </w:pPr>
    <w:rPr>
      <w:rFonts w:eastAsia="楷体_GB2312"/>
      <w:szCs w:val="20"/>
    </w:rPr>
  </w:style>
  <w:style w:type="paragraph" w:styleId="21">
    <w:name w:val="List Bullet 2"/>
    <w:basedOn w:val="14"/>
    <w:qFormat/>
    <w:uiPriority w:val="0"/>
    <w:pPr>
      <w:widowControl/>
      <w:tabs>
        <w:tab w:val="left" w:pos="1350"/>
      </w:tabs>
      <w:spacing w:after="220" w:line="220" w:lineRule="atLeast"/>
      <w:ind w:left="2160" w:right="720" w:hanging="870"/>
      <w:jc w:val="left"/>
    </w:pPr>
    <w:rPr>
      <w:kern w:val="0"/>
      <w:szCs w:val="20"/>
    </w:rPr>
  </w:style>
  <w:style w:type="paragraph" w:styleId="2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3">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1"/>
    <w:qFormat/>
    <w:uiPriority w:val="0"/>
    <w:pPr>
      <w:ind w:left="100" w:leftChars="2500"/>
    </w:pPr>
    <w:rPr>
      <w:rFonts w:eastAsia="仿宋_GB2312"/>
      <w:sz w:val="32"/>
      <w:szCs w:val="32"/>
    </w:rPr>
  </w:style>
  <w:style w:type="paragraph" w:styleId="26">
    <w:name w:val="Body Text Indent 2"/>
    <w:basedOn w:val="1"/>
    <w:link w:val="72"/>
    <w:qFormat/>
    <w:uiPriority w:val="0"/>
    <w:pPr>
      <w:spacing w:after="120" w:line="480" w:lineRule="auto"/>
      <w:ind w:left="420" w:leftChars="200"/>
    </w:pPr>
    <w:rPr>
      <w:rFonts w:eastAsia="仿宋_GB2312"/>
      <w:sz w:val="32"/>
      <w:szCs w:val="32"/>
    </w:rPr>
  </w:style>
  <w:style w:type="paragraph" w:styleId="27">
    <w:name w:val="Balloon Text"/>
    <w:basedOn w:val="1"/>
    <w:link w:val="73"/>
    <w:unhideWhenUsed/>
    <w:qFormat/>
    <w:uiPriority w:val="0"/>
    <w:rPr>
      <w:rFonts w:ascii="Calibri" w:hAnsi="Calibri"/>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2">
    <w:name w:val="List"/>
    <w:basedOn w:val="18"/>
    <w:qFormat/>
    <w:uiPriority w:val="0"/>
    <w:pPr>
      <w:suppressAutoHyphens/>
      <w:spacing w:after="0"/>
    </w:pPr>
    <w:rPr>
      <w:rFonts w:eastAsia="黑体"/>
      <w:kern w:val="1"/>
      <w:sz w:val="24"/>
      <w:szCs w:val="20"/>
      <w:lang w:eastAsia="ar-SA"/>
    </w:rPr>
  </w:style>
  <w:style w:type="paragraph" w:styleId="33">
    <w:name w:val="footnote text"/>
    <w:basedOn w:val="1"/>
    <w:link w:val="76"/>
    <w:unhideWhenUsed/>
    <w:qFormat/>
    <w:uiPriority w:val="0"/>
    <w:pPr>
      <w:snapToGrid w:val="0"/>
      <w:jc w:val="left"/>
    </w:pPr>
    <w:rPr>
      <w:rFonts w:ascii="Calibri" w:hAnsi="Calibri"/>
      <w:sz w:val="18"/>
      <w:szCs w:val="18"/>
    </w:rPr>
  </w:style>
  <w:style w:type="paragraph" w:styleId="3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5">
    <w:name w:val="Body Text Indent 3"/>
    <w:basedOn w:val="1"/>
    <w:link w:val="77"/>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8">
    <w:name w:val="Body Text 2"/>
    <w:basedOn w:val="1"/>
    <w:link w:val="78"/>
    <w:qFormat/>
    <w:uiPriority w:val="0"/>
    <w:pPr>
      <w:spacing w:after="120" w:line="480" w:lineRule="auto"/>
    </w:pPr>
    <w:rPr>
      <w:rFonts w:eastAsia="仿宋_GB2312"/>
      <w:sz w:val="32"/>
      <w:szCs w:val="32"/>
    </w:r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41">
    <w:name w:val="Title"/>
    <w:basedOn w:val="1"/>
    <w:link w:val="55"/>
    <w:qFormat/>
    <w:uiPriority w:val="0"/>
    <w:pPr>
      <w:spacing w:before="120" w:after="60"/>
      <w:jc w:val="center"/>
    </w:pPr>
    <w:rPr>
      <w:rFonts w:ascii="Arial" w:hAnsi="Arial" w:eastAsia="楷体_GB2312"/>
      <w:b/>
      <w:sz w:val="44"/>
      <w:szCs w:val="20"/>
    </w:rPr>
  </w:style>
  <w:style w:type="paragraph" w:styleId="42">
    <w:name w:val="annotation subject"/>
    <w:basedOn w:val="16"/>
    <w:next w:val="16"/>
    <w:semiHidden/>
    <w:qFormat/>
    <w:uiPriority w:val="0"/>
    <w:pPr>
      <w:widowControl w:val="0"/>
      <w:adjustRightInd/>
      <w:snapToGrid/>
      <w:spacing w:after="0"/>
    </w:pPr>
    <w:rPr>
      <w:rFonts w:ascii="Times New Roman" w:hAnsi="Times New Roman" w:eastAsia="宋体" w:cs="Times New Roman"/>
      <w:b/>
      <w:bCs/>
      <w:kern w:val="2"/>
      <w:sz w:val="21"/>
      <w:szCs w:val="24"/>
    </w:rPr>
  </w:style>
  <w:style w:type="paragraph" w:styleId="43">
    <w:name w:val="Body Text First Indent"/>
    <w:basedOn w:val="18"/>
    <w:link w:val="58"/>
    <w:qFormat/>
    <w:uiPriority w:val="0"/>
    <w:pPr>
      <w:ind w:firstLine="420" w:firstLineChars="100"/>
    </w:pPr>
  </w:style>
  <w:style w:type="character" w:styleId="46">
    <w:name w:val="Strong"/>
    <w:basedOn w:val="45"/>
    <w:qFormat/>
    <w:uiPriority w:val="0"/>
    <w:rPr>
      <w:rFonts w:eastAsia="宋体"/>
      <w:b/>
      <w:bCs/>
      <w:kern w:val="2"/>
      <w:sz w:val="24"/>
      <w:szCs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000000"/>
      <w:u w:val="none"/>
    </w:rPr>
  </w:style>
  <w:style w:type="character" w:styleId="49">
    <w:name w:val="Emphasis"/>
    <w:qFormat/>
    <w:uiPriority w:val="0"/>
    <w:rPr>
      <w:i/>
      <w:iCs/>
    </w:rPr>
  </w:style>
  <w:style w:type="character" w:styleId="50">
    <w:name w:val="Hyperlink"/>
    <w:basedOn w:val="45"/>
    <w:qFormat/>
    <w:uiPriority w:val="99"/>
    <w:rPr>
      <w:color w:val="000000"/>
      <w:u w:val="none"/>
    </w:rPr>
  </w:style>
  <w:style w:type="character" w:styleId="51">
    <w:name w:val="annotation reference"/>
    <w:qFormat/>
    <w:uiPriority w:val="0"/>
    <w:rPr>
      <w:sz w:val="21"/>
      <w:szCs w:val="21"/>
    </w:rPr>
  </w:style>
  <w:style w:type="character" w:styleId="52">
    <w:name w:val="footnote reference"/>
    <w:basedOn w:val="45"/>
    <w:unhideWhenUsed/>
    <w:qFormat/>
    <w:uiPriority w:val="0"/>
    <w:rPr>
      <w:vertAlign w:val="superscript"/>
    </w:rPr>
  </w:style>
  <w:style w:type="paragraph" w:customStyle="1" w:styleId="53">
    <w:name w:val="样式 宋体 行距: 1.5 倍行距"/>
    <w:basedOn w:val="1"/>
    <w:qFormat/>
    <w:uiPriority w:val="99"/>
    <w:pPr>
      <w:jc w:val="center"/>
    </w:pPr>
    <w:rPr>
      <w:b/>
      <w:bCs/>
    </w:rPr>
  </w:style>
  <w:style w:type="character" w:customStyle="1" w:styleId="54">
    <w:name w:val="纯文本 Char"/>
    <w:link w:val="2"/>
    <w:qFormat/>
    <w:locked/>
    <w:uiPriority w:val="0"/>
    <w:rPr>
      <w:rFonts w:ascii="宋体" w:hAnsi="Courier New"/>
      <w:kern w:val="2"/>
      <w:sz w:val="21"/>
      <w:lang w:bidi="ar-SA"/>
    </w:rPr>
  </w:style>
  <w:style w:type="character" w:customStyle="1" w:styleId="55">
    <w:name w:val="标题 Char"/>
    <w:basedOn w:val="45"/>
    <w:link w:val="41"/>
    <w:qFormat/>
    <w:uiPriority w:val="0"/>
    <w:rPr>
      <w:rFonts w:ascii="Arial" w:hAnsi="Arial" w:eastAsia="楷体_GB2312"/>
      <w:b/>
      <w:kern w:val="2"/>
      <w:sz w:val="44"/>
    </w:rPr>
  </w:style>
  <w:style w:type="character" w:customStyle="1" w:styleId="56">
    <w:name w:val="标题 1 Char"/>
    <w:basedOn w:val="45"/>
    <w:link w:val="3"/>
    <w:qFormat/>
    <w:uiPriority w:val="0"/>
    <w:rPr>
      <w:rFonts w:ascii="仿宋_GB2312" w:hAnsi="宋体" w:eastAsia="仿宋_GB2312" w:cs="宋体"/>
      <w:b/>
      <w:bCs/>
      <w:kern w:val="2"/>
      <w:sz w:val="30"/>
      <w:szCs w:val="30"/>
    </w:rPr>
  </w:style>
  <w:style w:type="character" w:customStyle="1" w:styleId="57">
    <w:name w:val="正文文本 Char"/>
    <w:basedOn w:val="45"/>
    <w:link w:val="18"/>
    <w:qFormat/>
    <w:uiPriority w:val="0"/>
    <w:rPr>
      <w:rFonts w:eastAsia="仿宋_GB2312"/>
      <w:kern w:val="2"/>
      <w:sz w:val="32"/>
      <w:szCs w:val="32"/>
    </w:rPr>
  </w:style>
  <w:style w:type="character" w:customStyle="1" w:styleId="58">
    <w:name w:val="正文首行缩进 Char"/>
    <w:basedOn w:val="57"/>
    <w:link w:val="43"/>
    <w:qFormat/>
    <w:uiPriority w:val="0"/>
    <w:rPr>
      <w:rFonts w:eastAsia="仿宋_GB2312"/>
      <w:kern w:val="2"/>
      <w:sz w:val="32"/>
      <w:szCs w:val="32"/>
    </w:rPr>
  </w:style>
  <w:style w:type="character" w:customStyle="1" w:styleId="59">
    <w:name w:val="标题 2 Char"/>
    <w:basedOn w:val="45"/>
    <w:link w:val="4"/>
    <w:qFormat/>
    <w:uiPriority w:val="0"/>
    <w:rPr>
      <w:rFonts w:ascii="宋体" w:hAnsi="宋体" w:eastAsia="仿宋_GB2312" w:cs="宋体"/>
      <w:kern w:val="2"/>
      <w:sz w:val="30"/>
      <w:szCs w:val="30"/>
    </w:rPr>
  </w:style>
  <w:style w:type="character" w:customStyle="1" w:styleId="60">
    <w:name w:val="标题 3 Char"/>
    <w:basedOn w:val="45"/>
    <w:link w:val="5"/>
    <w:qFormat/>
    <w:uiPriority w:val="0"/>
    <w:rPr>
      <w:rFonts w:eastAsia="仿宋_GB2312"/>
      <w:b/>
      <w:bCs/>
      <w:kern w:val="2"/>
      <w:sz w:val="32"/>
      <w:szCs w:val="32"/>
    </w:rPr>
  </w:style>
  <w:style w:type="character" w:customStyle="1" w:styleId="61">
    <w:name w:val="标题 4 Char"/>
    <w:basedOn w:val="45"/>
    <w:link w:val="6"/>
    <w:qFormat/>
    <w:uiPriority w:val="0"/>
    <w:rPr>
      <w:rFonts w:ascii="Arial" w:hAnsi="Arial"/>
      <w:kern w:val="2"/>
      <w:sz w:val="24"/>
      <w:szCs w:val="24"/>
    </w:rPr>
  </w:style>
  <w:style w:type="character" w:customStyle="1" w:styleId="62">
    <w:name w:val="标题 5 Char"/>
    <w:basedOn w:val="45"/>
    <w:link w:val="8"/>
    <w:qFormat/>
    <w:uiPriority w:val="0"/>
    <w:rPr>
      <w:rFonts w:ascii="Arial" w:hAnsi="Arial"/>
      <w:kern w:val="2"/>
      <w:sz w:val="24"/>
      <w:szCs w:val="24"/>
    </w:rPr>
  </w:style>
  <w:style w:type="character" w:customStyle="1" w:styleId="63">
    <w:name w:val="标题 6 Char"/>
    <w:basedOn w:val="45"/>
    <w:link w:val="9"/>
    <w:qFormat/>
    <w:uiPriority w:val="0"/>
    <w:rPr>
      <w:rFonts w:ascii="Arial" w:hAnsi="Arial" w:eastAsia="黑体"/>
      <w:b/>
      <w:bCs/>
      <w:kern w:val="2"/>
      <w:sz w:val="24"/>
      <w:szCs w:val="24"/>
    </w:rPr>
  </w:style>
  <w:style w:type="character" w:customStyle="1" w:styleId="64">
    <w:name w:val="标题 7 Char"/>
    <w:basedOn w:val="45"/>
    <w:link w:val="10"/>
    <w:qFormat/>
    <w:uiPriority w:val="0"/>
    <w:rPr>
      <w:b/>
      <w:kern w:val="2"/>
      <w:sz w:val="24"/>
    </w:rPr>
  </w:style>
  <w:style w:type="character" w:customStyle="1" w:styleId="65">
    <w:name w:val="标题 8 Char"/>
    <w:basedOn w:val="45"/>
    <w:link w:val="11"/>
    <w:qFormat/>
    <w:uiPriority w:val="0"/>
    <w:rPr>
      <w:rFonts w:ascii="Arial" w:hAnsi="Arial" w:eastAsia="黑体"/>
      <w:kern w:val="2"/>
      <w:sz w:val="24"/>
    </w:rPr>
  </w:style>
  <w:style w:type="character" w:customStyle="1" w:styleId="66">
    <w:name w:val="标题 9 Char"/>
    <w:basedOn w:val="45"/>
    <w:link w:val="12"/>
    <w:qFormat/>
    <w:uiPriority w:val="0"/>
    <w:rPr>
      <w:rFonts w:ascii="Arial" w:hAnsi="Arial" w:eastAsia="黑体"/>
      <w:kern w:val="2"/>
      <w:sz w:val="21"/>
    </w:rPr>
  </w:style>
  <w:style w:type="character" w:customStyle="1" w:styleId="67">
    <w:name w:val="文档结构图 Char"/>
    <w:basedOn w:val="45"/>
    <w:link w:val="15"/>
    <w:semiHidden/>
    <w:qFormat/>
    <w:uiPriority w:val="0"/>
    <w:rPr>
      <w:kern w:val="2"/>
      <w:sz w:val="21"/>
      <w:szCs w:val="24"/>
      <w:shd w:val="clear" w:color="auto" w:fill="000080"/>
    </w:rPr>
  </w:style>
  <w:style w:type="character" w:customStyle="1" w:styleId="68">
    <w:name w:val="批注文字 Char"/>
    <w:basedOn w:val="45"/>
    <w:link w:val="16"/>
    <w:qFormat/>
    <w:uiPriority w:val="0"/>
    <w:rPr>
      <w:rFonts w:ascii="Tahoma" w:hAnsi="Tahoma" w:eastAsia="微软雅黑" w:cs="Tahoma"/>
      <w:sz w:val="22"/>
      <w:szCs w:val="22"/>
    </w:rPr>
  </w:style>
  <w:style w:type="character" w:customStyle="1" w:styleId="69">
    <w:name w:val="结束语 Char"/>
    <w:basedOn w:val="45"/>
    <w:link w:val="17"/>
    <w:qFormat/>
    <w:uiPriority w:val="0"/>
    <w:rPr>
      <w:rFonts w:eastAsia="仿宋_GB2312"/>
      <w:kern w:val="2"/>
      <w:sz w:val="28"/>
      <w:szCs w:val="28"/>
    </w:rPr>
  </w:style>
  <w:style w:type="character" w:customStyle="1" w:styleId="70">
    <w:name w:val="正文文本缩进 Char"/>
    <w:basedOn w:val="45"/>
    <w:link w:val="19"/>
    <w:qFormat/>
    <w:uiPriority w:val="0"/>
    <w:rPr>
      <w:rFonts w:eastAsia="仿宋_GB2312"/>
      <w:kern w:val="2"/>
      <w:sz w:val="32"/>
      <w:szCs w:val="24"/>
    </w:rPr>
  </w:style>
  <w:style w:type="character" w:customStyle="1" w:styleId="71">
    <w:name w:val="日期 Char"/>
    <w:basedOn w:val="45"/>
    <w:link w:val="25"/>
    <w:qFormat/>
    <w:uiPriority w:val="0"/>
    <w:rPr>
      <w:rFonts w:eastAsia="仿宋_GB2312"/>
      <w:kern w:val="2"/>
      <w:sz w:val="32"/>
      <w:szCs w:val="32"/>
    </w:rPr>
  </w:style>
  <w:style w:type="character" w:customStyle="1" w:styleId="72">
    <w:name w:val="正文文本缩进 2 Char"/>
    <w:basedOn w:val="45"/>
    <w:link w:val="26"/>
    <w:qFormat/>
    <w:uiPriority w:val="0"/>
    <w:rPr>
      <w:rFonts w:eastAsia="仿宋_GB2312"/>
      <w:kern w:val="2"/>
      <w:sz w:val="32"/>
      <w:szCs w:val="32"/>
    </w:rPr>
  </w:style>
  <w:style w:type="character" w:customStyle="1" w:styleId="73">
    <w:name w:val="批注框文本 Char"/>
    <w:basedOn w:val="45"/>
    <w:link w:val="27"/>
    <w:qFormat/>
    <w:uiPriority w:val="0"/>
    <w:rPr>
      <w:rFonts w:ascii="Calibri" w:hAnsi="Calibri"/>
      <w:kern w:val="2"/>
      <w:sz w:val="18"/>
      <w:szCs w:val="18"/>
    </w:rPr>
  </w:style>
  <w:style w:type="character" w:customStyle="1" w:styleId="74">
    <w:name w:val="页脚 Char"/>
    <w:basedOn w:val="45"/>
    <w:link w:val="28"/>
    <w:qFormat/>
    <w:uiPriority w:val="0"/>
    <w:rPr>
      <w:kern w:val="2"/>
      <w:sz w:val="18"/>
      <w:szCs w:val="18"/>
    </w:rPr>
  </w:style>
  <w:style w:type="character" w:customStyle="1" w:styleId="75">
    <w:name w:val="页眉 Char"/>
    <w:basedOn w:val="45"/>
    <w:link w:val="29"/>
    <w:qFormat/>
    <w:uiPriority w:val="0"/>
    <w:rPr>
      <w:kern w:val="2"/>
      <w:sz w:val="18"/>
      <w:szCs w:val="18"/>
    </w:rPr>
  </w:style>
  <w:style w:type="character" w:customStyle="1" w:styleId="76">
    <w:name w:val="脚注文本 Char"/>
    <w:basedOn w:val="45"/>
    <w:link w:val="33"/>
    <w:qFormat/>
    <w:uiPriority w:val="0"/>
    <w:rPr>
      <w:rFonts w:ascii="Calibri" w:hAnsi="Calibri"/>
      <w:kern w:val="2"/>
      <w:sz w:val="18"/>
      <w:szCs w:val="18"/>
    </w:rPr>
  </w:style>
  <w:style w:type="character" w:customStyle="1" w:styleId="77">
    <w:name w:val="正文文本缩进 3 Char"/>
    <w:basedOn w:val="45"/>
    <w:link w:val="35"/>
    <w:qFormat/>
    <w:uiPriority w:val="0"/>
    <w:rPr>
      <w:kern w:val="2"/>
      <w:sz w:val="16"/>
      <w:szCs w:val="16"/>
    </w:rPr>
  </w:style>
  <w:style w:type="character" w:customStyle="1" w:styleId="78">
    <w:name w:val="正文文本 2 Char"/>
    <w:basedOn w:val="45"/>
    <w:link w:val="38"/>
    <w:qFormat/>
    <w:uiPriority w:val="0"/>
    <w:rPr>
      <w:rFonts w:eastAsia="仿宋_GB2312"/>
      <w:kern w:val="2"/>
      <w:sz w:val="32"/>
      <w:szCs w:val="32"/>
    </w:rPr>
  </w:style>
  <w:style w:type="paragraph" w:customStyle="1" w:styleId="79">
    <w:name w:val="样式1"/>
    <w:basedOn w:val="4"/>
    <w:qFormat/>
    <w:uiPriority w:val="0"/>
    <w:pPr>
      <w:snapToGrid/>
      <w:spacing w:line="360" w:lineRule="auto"/>
      <w:jc w:val="left"/>
    </w:pPr>
    <w:rPr>
      <w:rFonts w:eastAsia="宋体" w:cs="Times New Roman"/>
      <w:b/>
      <w:bCs/>
      <w:spacing w:val="26"/>
      <w:sz w:val="28"/>
      <w:szCs w:val="28"/>
    </w:rPr>
  </w:style>
  <w:style w:type="paragraph" w:customStyle="1" w:styleId="80">
    <w:name w:val="Char13 Char Char Char Char Char"/>
    <w:basedOn w:val="1"/>
    <w:qFormat/>
    <w:uiPriority w:val="0"/>
    <w:pPr>
      <w:ind w:left="567" w:hanging="279"/>
    </w:pPr>
    <w:rPr>
      <w:kern w:val="0"/>
      <w:sz w:val="20"/>
      <w:szCs w:val="20"/>
    </w:rPr>
  </w:style>
  <w:style w:type="paragraph" w:customStyle="1" w:styleId="81">
    <w:name w:val="Char"/>
    <w:basedOn w:val="1"/>
    <w:qFormat/>
    <w:uiPriority w:val="0"/>
    <w:pPr>
      <w:numPr>
        <w:ilvl w:val="0"/>
        <w:numId w:val="3"/>
      </w:numPr>
    </w:pPr>
    <w:rPr>
      <w:sz w:val="24"/>
    </w:rPr>
  </w:style>
  <w:style w:type="character" w:customStyle="1" w:styleId="82">
    <w:name w:val="A正文 Char"/>
    <w:link w:val="83"/>
    <w:qFormat/>
    <w:uiPriority w:val="0"/>
    <w:rPr>
      <w:rFonts w:eastAsia="仿宋_GB2312"/>
      <w:sz w:val="24"/>
      <w:szCs w:val="24"/>
    </w:rPr>
  </w:style>
  <w:style w:type="paragraph" w:customStyle="1" w:styleId="83">
    <w:name w:val="A正文"/>
    <w:basedOn w:val="1"/>
    <w:link w:val="82"/>
    <w:qFormat/>
    <w:uiPriority w:val="0"/>
    <w:pPr>
      <w:widowControl/>
      <w:overflowPunct w:val="0"/>
      <w:autoSpaceDE w:val="0"/>
      <w:autoSpaceDN w:val="0"/>
      <w:adjustRightInd w:val="0"/>
      <w:spacing w:line="360" w:lineRule="auto"/>
      <w:ind w:firstLine="200" w:firstLineChars="200"/>
      <w:jc w:val="left"/>
    </w:pPr>
    <w:rPr>
      <w:rFonts w:eastAsia="仿宋_GB2312"/>
      <w:kern w:val="0"/>
      <w:sz w:val="24"/>
    </w:rPr>
  </w:style>
  <w:style w:type="paragraph" w:customStyle="1" w:styleId="84">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 Char Char1 Char1"/>
    <w:basedOn w:val="1"/>
    <w:link w:val="86"/>
    <w:qFormat/>
    <w:uiPriority w:val="0"/>
    <w:pPr>
      <w:widowControl/>
      <w:spacing w:after="160" w:line="600" w:lineRule="exact"/>
      <w:ind w:firstLine="696"/>
    </w:pPr>
    <w:rPr>
      <w:rFonts w:ascii="Verdana" w:hAnsi="Verdana" w:eastAsia="仿宋_GB2312"/>
      <w:kern w:val="0"/>
      <w:sz w:val="32"/>
      <w:szCs w:val="32"/>
      <w:lang w:eastAsia="en-US"/>
    </w:rPr>
  </w:style>
  <w:style w:type="character" w:customStyle="1" w:styleId="86">
    <w:name w:val="Char Char Char Char Char Char1 Char Char"/>
    <w:link w:val="85"/>
    <w:qFormat/>
    <w:locked/>
    <w:uiPriority w:val="0"/>
    <w:rPr>
      <w:rFonts w:ascii="Verdana" w:hAnsi="Verdana" w:eastAsia="仿宋_GB2312"/>
      <w:sz w:val="32"/>
      <w:szCs w:val="32"/>
      <w:lang w:eastAsia="en-US"/>
    </w:rPr>
  </w:style>
  <w:style w:type="paragraph" w:customStyle="1" w:styleId="87">
    <w:name w:val="表头"/>
    <w:basedOn w:val="1"/>
    <w:qFormat/>
    <w:uiPriority w:val="0"/>
    <w:pPr>
      <w:spacing w:line="360" w:lineRule="auto"/>
      <w:jc w:val="center"/>
    </w:pPr>
    <w:rPr>
      <w:rFonts w:ascii="黑体" w:eastAsia="黑体"/>
      <w:kern w:val="0"/>
      <w:sz w:val="24"/>
      <w:szCs w:val="4"/>
    </w:rPr>
  </w:style>
  <w:style w:type="paragraph" w:customStyle="1" w:styleId="88">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89">
    <w:name w:val="style6"/>
    <w:basedOn w:val="45"/>
    <w:qFormat/>
    <w:uiPriority w:val="0"/>
  </w:style>
  <w:style w:type="paragraph" w:customStyle="1" w:styleId="90">
    <w:name w:val="p0"/>
    <w:basedOn w:val="1"/>
    <w:qFormat/>
    <w:uiPriority w:val="0"/>
    <w:pPr>
      <w:widowControl/>
      <w:jc w:val="left"/>
    </w:pPr>
    <w:rPr>
      <w:kern w:val="0"/>
      <w:szCs w:val="21"/>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92">
    <w:name w:val="List Paragraph"/>
    <w:basedOn w:val="1"/>
    <w:qFormat/>
    <w:uiPriority w:val="0"/>
    <w:pPr>
      <w:ind w:firstLine="420" w:firstLineChars="200"/>
    </w:pPr>
    <w:rPr>
      <w:rFonts w:ascii="Calibri" w:hAnsi="Calibri" w:eastAsia="仿宋_GB2312"/>
      <w:sz w:val="32"/>
      <w:szCs w:val="22"/>
    </w:rPr>
  </w:style>
  <w:style w:type="paragraph" w:customStyle="1" w:styleId="93">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94">
    <w:name w:val="文标题"/>
    <w:basedOn w:val="1"/>
    <w:qFormat/>
    <w:uiPriority w:val="0"/>
    <w:pPr>
      <w:jc w:val="center"/>
    </w:pPr>
    <w:rPr>
      <w:rFonts w:ascii="方正小标宋简体" w:eastAsia="方正小标宋简体" w:cs="宋体"/>
      <w:sz w:val="44"/>
      <w:szCs w:val="20"/>
    </w:rPr>
  </w:style>
  <w:style w:type="paragraph" w:customStyle="1" w:styleId="95">
    <w:name w:val="Char11"/>
    <w:basedOn w:val="1"/>
    <w:qFormat/>
    <w:uiPriority w:val="0"/>
    <w:pPr>
      <w:numPr>
        <w:ilvl w:val="0"/>
        <w:numId w:val="4"/>
      </w:numPr>
    </w:pPr>
    <w:rPr>
      <w:sz w:val="24"/>
    </w:rPr>
  </w:style>
  <w:style w:type="paragraph" w:customStyle="1" w:styleId="96">
    <w:name w:val="默认段落字体 Para Char"/>
    <w:basedOn w:val="1"/>
    <w:qFormat/>
    <w:uiPriority w:val="0"/>
    <w:pPr>
      <w:adjustRightInd w:val="0"/>
      <w:spacing w:line="312" w:lineRule="atLeast"/>
      <w:textAlignment w:val="baseline"/>
    </w:pPr>
    <w:rPr>
      <w:rFonts w:ascii="Tahoma" w:hAnsi="Tahoma"/>
      <w:kern w:val="0"/>
      <w:sz w:val="24"/>
      <w:szCs w:val="20"/>
    </w:rPr>
  </w:style>
  <w:style w:type="character" w:customStyle="1" w:styleId="97">
    <w:name w:val="hover37"/>
    <w:basedOn w:val="45"/>
    <w:qFormat/>
    <w:uiPriority w:val="0"/>
  </w:style>
  <w:style w:type="paragraph" w:customStyle="1" w:styleId="98">
    <w:name w:val="Char Char Char1 Char"/>
    <w:basedOn w:val="15"/>
    <w:qFormat/>
    <w:uiPriority w:val="0"/>
    <w:rPr>
      <w:rFonts w:ascii="Tahoma" w:hAnsi="Tahoma"/>
      <w:sz w:val="24"/>
    </w:rPr>
  </w:style>
  <w:style w:type="character" w:customStyle="1" w:styleId="99">
    <w:name w:val="尾注文本 Char"/>
    <w:basedOn w:val="45"/>
    <w:qFormat/>
    <w:locked/>
    <w:uiPriority w:val="0"/>
    <w:rPr>
      <w:rFonts w:ascii="宋体" w:hAnsi="宋体" w:eastAsia="宋体"/>
      <w:kern w:val="2"/>
      <w:sz w:val="21"/>
      <w:szCs w:val="24"/>
      <w:lang w:val="en-US" w:eastAsia="zh-CN" w:bidi="ar-SA"/>
    </w:rPr>
  </w:style>
  <w:style w:type="character" w:customStyle="1" w:styleId="100">
    <w:name w:val="普通文字 Char Char"/>
    <w:basedOn w:val="45"/>
    <w:qFormat/>
    <w:locked/>
    <w:uiPriority w:val="0"/>
    <w:rPr>
      <w:rFonts w:ascii="宋体" w:hAnsi="Courier New" w:eastAsia="楷体_GB2312"/>
      <w:kern w:val="2"/>
      <w:sz w:val="21"/>
      <w:szCs w:val="24"/>
      <w:lang w:val="en-US" w:eastAsia="zh-CN" w:bidi="ar-SA"/>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5"/>
    <w:qFormat/>
    <w:uiPriority w:val="0"/>
    <w:pPr>
      <w:spacing w:line="240" w:lineRule="auto"/>
      <w:ind w:left="1469" w:right="1542"/>
      <w:jc w:val="center"/>
    </w:pPr>
    <w:rPr>
      <w:rFonts w:eastAsia="宋体"/>
      <w:bCs w:val="0"/>
      <w:sz w:val="44"/>
      <w:szCs w:val="24"/>
    </w:rPr>
  </w:style>
  <w:style w:type="paragraph" w:customStyle="1" w:styleId="103">
    <w:name w:val="发文落款"/>
    <w:basedOn w:val="101"/>
    <w:qFormat/>
    <w:uiPriority w:val="0"/>
    <w:pPr>
      <w:ind w:left="4094" w:right="607" w:firstLine="0"/>
      <w:jc w:val="center"/>
    </w:pPr>
  </w:style>
  <w:style w:type="paragraph" w:customStyle="1" w:styleId="104">
    <w:name w:val="cjk"/>
    <w:basedOn w:val="1"/>
    <w:qFormat/>
    <w:uiPriority w:val="0"/>
    <w:pPr>
      <w:widowControl/>
      <w:spacing w:before="284" w:after="100" w:afterAutospacing="1" w:line="360" w:lineRule="auto"/>
      <w:jc w:val="left"/>
    </w:pPr>
    <w:rPr>
      <w:rFonts w:ascii="宋体" w:hAnsi="宋体"/>
      <w:kern w:val="0"/>
      <w:sz w:val="22"/>
      <w:szCs w:val="22"/>
    </w:rPr>
  </w:style>
  <w:style w:type="character" w:customStyle="1" w:styleId="105">
    <w:name w:val="WW8Num1z0"/>
    <w:qFormat/>
    <w:uiPriority w:val="0"/>
    <w:rPr>
      <w:sz w:val="24"/>
    </w:rPr>
  </w:style>
  <w:style w:type="character" w:customStyle="1" w:styleId="106">
    <w:name w:val="WW8Num3z0"/>
    <w:qFormat/>
    <w:uiPriority w:val="0"/>
    <w:rPr>
      <w:sz w:val="24"/>
      <w:szCs w:val="24"/>
    </w:rPr>
  </w:style>
  <w:style w:type="character" w:customStyle="1" w:styleId="107">
    <w:name w:val="WW8Num4z0"/>
    <w:qFormat/>
    <w:uiPriority w:val="0"/>
    <w:rPr>
      <w:rFonts w:ascii="Courier New" w:hAnsi="Courier New"/>
      <w:sz w:val="22"/>
    </w:rPr>
  </w:style>
  <w:style w:type="character" w:customStyle="1" w:styleId="108">
    <w:name w:val="WW8Num8z0"/>
    <w:qFormat/>
    <w:uiPriority w:val="0"/>
    <w:rPr>
      <w:sz w:val="24"/>
    </w:rPr>
  </w:style>
  <w:style w:type="character" w:customStyle="1" w:styleId="109">
    <w:name w:val="WW8Num9z0"/>
    <w:qFormat/>
    <w:uiPriority w:val="0"/>
    <w:rPr>
      <w:rFonts w:ascii="Wingdings" w:hAnsi="Wingdings"/>
    </w:rPr>
  </w:style>
  <w:style w:type="character" w:customStyle="1" w:styleId="110">
    <w:name w:val="WW8Num15z1"/>
    <w:qFormat/>
    <w:uiPriority w:val="0"/>
    <w:rPr>
      <w:rFonts w:ascii="Times New Roman" w:hAnsi="Times New Roman" w:cs="Times New Roman"/>
      <w:color w:val="auto"/>
    </w:rPr>
  </w:style>
  <w:style w:type="character" w:customStyle="1" w:styleId="111">
    <w:name w:val="默认段落字体1"/>
    <w:qFormat/>
    <w:uiPriority w:val="0"/>
  </w:style>
  <w:style w:type="character" w:customStyle="1" w:styleId="112">
    <w:name w:val="Char Char7"/>
    <w:basedOn w:val="111"/>
    <w:qFormat/>
    <w:uiPriority w:val="0"/>
    <w:rPr>
      <w:b/>
      <w:sz w:val="28"/>
    </w:rPr>
  </w:style>
  <w:style w:type="character" w:customStyle="1" w:styleId="113">
    <w:name w:val="Char Char8"/>
    <w:basedOn w:val="111"/>
    <w:qFormat/>
    <w:uiPriority w:val="0"/>
    <w:rPr>
      <w:rFonts w:ascii="Arial" w:hAnsi="Arial" w:eastAsia="黑体"/>
      <w:b/>
      <w:sz w:val="28"/>
    </w:rPr>
  </w:style>
  <w:style w:type="character" w:customStyle="1" w:styleId="114">
    <w:name w:val="Char Char6"/>
    <w:basedOn w:val="111"/>
    <w:qFormat/>
    <w:uiPriority w:val="0"/>
    <w:rPr>
      <w:rFonts w:ascii="Arial" w:hAnsi="Arial" w:eastAsia="黑体"/>
      <w:b/>
      <w:sz w:val="24"/>
    </w:rPr>
  </w:style>
  <w:style w:type="paragraph" w:customStyle="1" w:styleId="115">
    <w:name w:val="标题1"/>
    <w:basedOn w:val="1"/>
    <w:next w:val="18"/>
    <w:qFormat/>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116">
    <w:name w:val="标签"/>
    <w:basedOn w:val="1"/>
    <w:qFormat/>
    <w:uiPriority w:val="0"/>
    <w:pPr>
      <w:suppressLineNumbers/>
      <w:suppressAutoHyphens/>
      <w:spacing w:before="120" w:after="120"/>
    </w:pPr>
    <w:rPr>
      <w:i/>
      <w:iCs/>
      <w:kern w:val="1"/>
      <w:sz w:val="24"/>
      <w:lang w:eastAsia="ar-SA"/>
    </w:rPr>
  </w:style>
  <w:style w:type="paragraph" w:customStyle="1" w:styleId="117">
    <w:name w:val="目录"/>
    <w:basedOn w:val="1"/>
    <w:qFormat/>
    <w:uiPriority w:val="0"/>
    <w:pPr>
      <w:suppressLineNumbers/>
      <w:suppressAutoHyphens/>
    </w:pPr>
    <w:rPr>
      <w:kern w:val="1"/>
      <w:szCs w:val="20"/>
      <w:lang w:eastAsia="ar-SA"/>
    </w:rPr>
  </w:style>
  <w:style w:type="paragraph" w:customStyle="1" w:styleId="118">
    <w:name w:val="正文文本 21"/>
    <w:basedOn w:val="1"/>
    <w:qFormat/>
    <w:uiPriority w:val="0"/>
    <w:pPr>
      <w:suppressAutoHyphens/>
    </w:pPr>
    <w:rPr>
      <w:rFonts w:eastAsia="楷体_GB2312"/>
      <w:b/>
      <w:kern w:val="1"/>
      <w:szCs w:val="20"/>
      <w:lang w:eastAsia="ar-SA"/>
    </w:rPr>
  </w:style>
  <w:style w:type="paragraph" w:customStyle="1" w:styleId="119">
    <w:name w:val="普通(网站)1"/>
    <w:basedOn w:val="1"/>
    <w:qFormat/>
    <w:uiPriority w:val="0"/>
    <w:pPr>
      <w:widowControl/>
      <w:suppressAutoHyphens/>
      <w:spacing w:before="284" w:after="280" w:line="360" w:lineRule="auto"/>
      <w:jc w:val="left"/>
    </w:pPr>
    <w:rPr>
      <w:rFonts w:ascii="宋体" w:hAnsi="宋体"/>
      <w:kern w:val="1"/>
      <w:sz w:val="24"/>
      <w:szCs w:val="20"/>
      <w:lang w:eastAsia="ar-SA"/>
    </w:rPr>
  </w:style>
  <w:style w:type="paragraph" w:customStyle="1" w:styleId="120">
    <w:name w:val="正文文本缩进 21"/>
    <w:basedOn w:val="1"/>
    <w:qFormat/>
    <w:uiPriority w:val="0"/>
    <w:pPr>
      <w:suppressAutoHyphens/>
      <w:spacing w:after="120" w:line="480" w:lineRule="auto"/>
      <w:ind w:left="420"/>
    </w:pPr>
    <w:rPr>
      <w:kern w:val="1"/>
      <w:szCs w:val="20"/>
      <w:lang w:eastAsia="ar-SA"/>
    </w:rPr>
  </w:style>
  <w:style w:type="paragraph" w:customStyle="1" w:styleId="121">
    <w:name w:val="批注文字1"/>
    <w:basedOn w:val="1"/>
    <w:qFormat/>
    <w:uiPriority w:val="0"/>
    <w:pPr>
      <w:suppressAutoHyphens/>
      <w:jc w:val="left"/>
    </w:pPr>
    <w:rPr>
      <w:kern w:val="1"/>
      <w:szCs w:val="20"/>
      <w:lang w:eastAsia="ar-SA"/>
    </w:rPr>
  </w:style>
  <w:style w:type="paragraph" w:customStyle="1" w:styleId="122">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kern w:val="1"/>
      <w:sz w:val="24"/>
      <w:szCs w:val="20"/>
      <w:lang w:eastAsia="ar-SA"/>
    </w:rPr>
  </w:style>
  <w:style w:type="paragraph" w:customStyle="1" w:styleId="123">
    <w:name w:val="列表项目符号1"/>
    <w:basedOn w:val="1"/>
    <w:qFormat/>
    <w:uiPriority w:val="0"/>
    <w:pPr>
      <w:tabs>
        <w:tab w:val="left" w:pos="360"/>
      </w:tabs>
      <w:suppressAutoHyphens/>
    </w:pPr>
    <w:rPr>
      <w:kern w:val="1"/>
      <w:szCs w:val="20"/>
      <w:lang w:eastAsia="ar-SA"/>
    </w:rPr>
  </w:style>
  <w:style w:type="paragraph" w:customStyle="1" w:styleId="124">
    <w:name w:val="列表项目符号 21"/>
    <w:basedOn w:val="123"/>
    <w:qFormat/>
    <w:uiPriority w:val="0"/>
    <w:pPr>
      <w:widowControl/>
      <w:spacing w:after="220" w:line="220" w:lineRule="atLeast"/>
      <w:ind w:left="360" w:right="720"/>
      <w:jc w:val="left"/>
    </w:pPr>
  </w:style>
  <w:style w:type="paragraph" w:customStyle="1" w:styleId="125">
    <w:name w:val="文档结构图1"/>
    <w:basedOn w:val="1"/>
    <w:qFormat/>
    <w:uiPriority w:val="0"/>
    <w:pPr>
      <w:shd w:val="clear" w:color="auto" w:fill="000080"/>
      <w:suppressAutoHyphens/>
    </w:pPr>
    <w:rPr>
      <w:kern w:val="1"/>
      <w:szCs w:val="20"/>
      <w:lang w:eastAsia="ar-SA"/>
    </w:rPr>
  </w:style>
  <w:style w:type="paragraph" w:customStyle="1" w:styleId="126">
    <w:name w:val="正文文本缩进 31"/>
    <w:basedOn w:val="1"/>
    <w:qFormat/>
    <w:uiPriority w:val="0"/>
    <w:pPr>
      <w:suppressAutoHyphens/>
      <w:spacing w:after="120"/>
      <w:ind w:left="420"/>
    </w:pPr>
    <w:rPr>
      <w:kern w:val="1"/>
      <w:sz w:val="16"/>
      <w:szCs w:val="20"/>
      <w:lang w:eastAsia="ar-SA"/>
    </w:rPr>
  </w:style>
  <w:style w:type="paragraph" w:customStyle="1" w:styleId="127">
    <w:name w:val="纯文本1"/>
    <w:basedOn w:val="1"/>
    <w:qFormat/>
    <w:uiPriority w:val="0"/>
    <w:pPr>
      <w:suppressAutoHyphens/>
    </w:pPr>
    <w:rPr>
      <w:rFonts w:ascii="宋体" w:hAnsi="宋体"/>
      <w:kern w:val="1"/>
      <w:szCs w:val="20"/>
      <w:lang w:eastAsia="ar-SA"/>
    </w:rPr>
  </w:style>
  <w:style w:type="paragraph" w:customStyle="1" w:styleId="128">
    <w:name w:val="日期1"/>
    <w:basedOn w:val="1"/>
    <w:next w:val="1"/>
    <w:qFormat/>
    <w:uiPriority w:val="0"/>
    <w:pPr>
      <w:suppressAutoHyphens/>
      <w:ind w:left="100"/>
    </w:pPr>
    <w:rPr>
      <w:kern w:val="1"/>
      <w:szCs w:val="20"/>
      <w:lang w:eastAsia="ar-SA"/>
    </w:rPr>
  </w:style>
  <w:style w:type="paragraph" w:customStyle="1" w:styleId="129">
    <w:name w:val="内容目录 10"/>
    <w:basedOn w:val="117"/>
    <w:qFormat/>
    <w:uiPriority w:val="0"/>
    <w:pPr>
      <w:tabs>
        <w:tab w:val="right" w:leader="dot" w:pos="9637"/>
      </w:tabs>
      <w:ind w:left="2547"/>
    </w:pPr>
  </w:style>
  <w:style w:type="paragraph" w:customStyle="1" w:styleId="130">
    <w:name w:val="表格内容"/>
    <w:basedOn w:val="1"/>
    <w:qFormat/>
    <w:uiPriority w:val="0"/>
    <w:pPr>
      <w:suppressLineNumbers/>
      <w:suppressAutoHyphens/>
    </w:pPr>
    <w:rPr>
      <w:kern w:val="1"/>
      <w:szCs w:val="20"/>
      <w:lang w:eastAsia="ar-SA"/>
    </w:rPr>
  </w:style>
  <w:style w:type="paragraph" w:customStyle="1" w:styleId="131">
    <w:name w:val="表格标题"/>
    <w:basedOn w:val="130"/>
    <w:qFormat/>
    <w:uiPriority w:val="0"/>
    <w:pPr>
      <w:jc w:val="center"/>
    </w:pPr>
    <w:rPr>
      <w:b/>
      <w:bCs/>
    </w:rPr>
  </w:style>
  <w:style w:type="character" w:customStyle="1" w:styleId="132">
    <w:name w:val="textcontents1"/>
    <w:basedOn w:val="45"/>
    <w:qFormat/>
    <w:uiPriority w:val="0"/>
    <w:rPr>
      <w:rFonts w:eastAsia="宋体"/>
      <w:color w:val="000000"/>
      <w:kern w:val="2"/>
      <w:sz w:val="22"/>
      <w:szCs w:val="22"/>
      <w:lang w:val="en-US" w:eastAsia="zh-CN" w:bidi="ar-SA"/>
    </w:rPr>
  </w:style>
  <w:style w:type="paragraph" w:customStyle="1" w:styleId="133">
    <w:name w:val="Char1"/>
    <w:basedOn w:val="1"/>
    <w:qFormat/>
    <w:uiPriority w:val="0"/>
    <w:pPr>
      <w:ind w:left="567" w:hanging="279"/>
    </w:pPr>
    <w:rPr>
      <w:sz w:val="24"/>
    </w:rPr>
  </w:style>
  <w:style w:type="paragraph" w:customStyle="1" w:styleId="134">
    <w:name w:val="Char12"/>
    <w:basedOn w:val="1"/>
    <w:qFormat/>
    <w:uiPriority w:val="0"/>
    <w:pPr>
      <w:ind w:left="567" w:hanging="279"/>
    </w:pPr>
    <w:rPr>
      <w:sz w:val="24"/>
    </w:rPr>
  </w:style>
  <w:style w:type="character" w:customStyle="1" w:styleId="135">
    <w:name w:val="标题 1 Char Char"/>
    <w:basedOn w:val="136"/>
    <w:qFormat/>
    <w:uiPriority w:val="0"/>
    <w:rPr>
      <w:rFonts w:ascii="仿宋_GB2312" w:hAnsi="宋体" w:eastAsia="仿宋_GB2312" w:cs="宋体"/>
      <w:bCs/>
      <w:kern w:val="2"/>
      <w:sz w:val="30"/>
      <w:szCs w:val="30"/>
      <w:lang w:val="en-US" w:eastAsia="zh-CN" w:bidi="ar-SA"/>
    </w:rPr>
  </w:style>
  <w:style w:type="character" w:customStyle="1" w:styleId="136">
    <w:name w:val="标题 Char Char"/>
    <w:basedOn w:val="45"/>
    <w:qFormat/>
    <w:uiPriority w:val="0"/>
    <w:rPr>
      <w:rFonts w:ascii="Arial" w:hAnsi="Arial" w:eastAsia="楷体_GB2312"/>
      <w:b/>
      <w:kern w:val="2"/>
      <w:sz w:val="44"/>
      <w:szCs w:val="24"/>
      <w:lang w:val="en-US" w:eastAsia="zh-CN" w:bidi="ar-SA"/>
    </w:rPr>
  </w:style>
  <w:style w:type="character" w:customStyle="1" w:styleId="137">
    <w:name w:val="标题 2 Char Char"/>
    <w:qFormat/>
    <w:uiPriority w:val="0"/>
    <w:rPr>
      <w:rFonts w:ascii="黑体" w:hAnsi="黑体" w:eastAsia="黑体"/>
      <w:sz w:val="24"/>
    </w:rPr>
  </w:style>
  <w:style w:type="character" w:customStyle="1" w:styleId="138">
    <w:name w:val="尾注文本 Char Char"/>
    <w:basedOn w:val="45"/>
    <w:qFormat/>
    <w:uiPriority w:val="0"/>
    <w:rPr>
      <w:rFonts w:ascii="宋体" w:hAnsi="宋体" w:eastAsia="宋体"/>
      <w:kern w:val="2"/>
      <w:sz w:val="21"/>
      <w:szCs w:val="24"/>
      <w:lang w:val="en-US" w:eastAsia="zh-CN" w:bidi="ar-SA"/>
    </w:rPr>
  </w:style>
  <w:style w:type="character" w:customStyle="1" w:styleId="139">
    <w:name w:val="Char Char Char1"/>
    <w:basedOn w:val="111"/>
    <w:qFormat/>
    <w:uiPriority w:val="0"/>
    <w:rPr>
      <w:rFonts w:eastAsia="楷体_GB2312"/>
      <w:b/>
      <w:kern w:val="1"/>
      <w:sz w:val="21"/>
    </w:rPr>
  </w:style>
  <w:style w:type="paragraph" w:customStyle="1" w:styleId="140">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141">
    <w:name w:val="公文抬头"/>
    <w:basedOn w:val="7"/>
    <w:qFormat/>
    <w:uiPriority w:val="0"/>
    <w:pPr>
      <w:ind w:firstLine="0" w:firstLineChars="0"/>
    </w:pPr>
    <w:rPr>
      <w:rFonts w:ascii="仿宋_GB2312"/>
      <w:sz w:val="30"/>
      <w:szCs w:val="24"/>
    </w:rPr>
  </w:style>
  <w:style w:type="paragraph" w:customStyle="1" w:styleId="142">
    <w:name w:val="目录文字"/>
    <w:basedOn w:val="1"/>
    <w:qFormat/>
    <w:uiPriority w:val="0"/>
    <w:pPr>
      <w:widowControl/>
      <w:spacing w:line="480" w:lineRule="auto"/>
      <w:jc w:val="left"/>
    </w:pPr>
    <w:rPr>
      <w:rFonts w:ascii="宋体" w:hAnsi="宋体"/>
      <w:kern w:val="0"/>
      <w:sz w:val="24"/>
      <w:szCs w:val="20"/>
    </w:rPr>
  </w:style>
  <w:style w:type="paragraph" w:customStyle="1" w:styleId="143">
    <w:name w:val="方框图"/>
    <w:basedOn w:val="1"/>
    <w:qFormat/>
    <w:uiPriority w:val="0"/>
    <w:pPr>
      <w:jc w:val="center"/>
    </w:pPr>
    <w:rPr>
      <w:bCs/>
    </w:rPr>
  </w:style>
  <w:style w:type="paragraph" w:customStyle="1" w:styleId="144">
    <w:name w:val="Char Char Char Char Char Char Char Char Char Char Char Char Char"/>
    <w:basedOn w:val="15"/>
    <w:qFormat/>
    <w:uiPriority w:val="0"/>
    <w:rPr>
      <w:rFonts w:ascii="Tahoma" w:hAnsi="Tahoma"/>
      <w:sz w:val="24"/>
    </w:rPr>
  </w:style>
  <w:style w:type="paragraph" w:customStyle="1" w:styleId="145">
    <w:name w:val="Char Char1 Char Char Char Char Char Char Char"/>
    <w:basedOn w:val="15"/>
    <w:qFormat/>
    <w:uiPriority w:val="0"/>
    <w:rPr>
      <w:rFonts w:ascii="Tahoma" w:hAnsi="Tahoma"/>
      <w:sz w:val="24"/>
    </w:rPr>
  </w:style>
  <w:style w:type="paragraph" w:customStyle="1" w:styleId="146">
    <w:name w:val="BodyText"/>
    <w:basedOn w:val="1"/>
    <w:qFormat/>
    <w:uiPriority w:val="0"/>
    <w:pPr>
      <w:spacing w:after="120"/>
    </w:pPr>
    <w:rPr>
      <w:sz w:val="20"/>
      <w:szCs w:val="20"/>
    </w:rPr>
  </w:style>
  <w:style w:type="paragraph" w:customStyle="1" w:styleId="14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0">
    <w:name w:val="_Style 3"/>
    <w:next w:val="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Table Paragraph"/>
    <w:basedOn w:val="1"/>
    <w:qFormat/>
    <w:uiPriority w:val="1"/>
    <w:pPr>
      <w:jc w:val="left"/>
    </w:pPr>
    <w:rP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118</Pages>
  <Words>76934</Words>
  <Characters>81225</Characters>
  <Lines>700</Lines>
  <Paragraphs>197</Paragraphs>
  <TotalTime>3</TotalTime>
  <ScaleCrop>false</ScaleCrop>
  <LinksUpToDate>false</LinksUpToDate>
  <CharactersWithSpaces>84075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2025-01-14T12:51:00Z</dcterms:created>
  <dc:creator>LSK</dc:creator>
  <dc:description>Shankar's Birthday falls on 25th July.  Don't Forget to wish him</dc:description>
  <cp:keywords>Birthday</cp:keywords>
  <cp:lastModifiedBy>郑华莎</cp:lastModifiedBy>
  <cp:lastPrinted>2017-11-24T03:18:00Z</cp:lastPrinted>
  <dcterms:modified xsi:type="dcterms:W3CDTF">2025-12-05T03:55:31Z</dcterms:modified>
  <dc:subject>Birthday</dc:subject>
  <dc:title>Are You suprised ?</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30D0FF5B9FB449E3B7119AAA552CED34_13</vt:lpwstr>
  </property>
  <property fmtid="{D5CDD505-2E9C-101B-9397-08002B2CF9AE}" pid="4" name="KSOTemplateDocerSaveRecord">
    <vt:lpwstr>eyJoZGlkIjoiMzgyN2UyMDMyMWVhY2UzZmY4NGVhMzNmM2ZlMTE2ODYiLCJ1c2VySWQiOiI1NzU5NTA0OTkifQ==</vt:lpwstr>
  </property>
</Properties>
</file>