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2C2BE2">
      <w:pPr>
        <w:spacing w:line="360" w:lineRule="auto"/>
        <w:jc w:val="left"/>
        <w:rPr>
          <w:rFonts w:eastAsia="华文中宋"/>
          <w:b/>
          <w:color w:val="000000"/>
          <w:sz w:val="48"/>
          <w:szCs w:val="48"/>
          <w:highlight w:val="none"/>
          <w:u w:val="single"/>
        </w:rPr>
      </w:pPr>
      <w:permStart w:id="0" w:edGrp="everyone"/>
      <w:r>
        <w:rPr>
          <w:rFonts w:hint="eastAsia" w:ascii="Times New Roman" w:hAnsi="Times New Roman" w:eastAsia="仿宋_GB2312"/>
          <w:bCs/>
          <w:color w:val="000000"/>
          <w:sz w:val="28"/>
          <w:szCs w:val="28"/>
          <w:highlight w:val="none"/>
        </w:rPr>
        <w:t>合同编号：</w:t>
      </w:r>
      <w:permEnd w:id="0"/>
      <w:r>
        <w:rPr>
          <w:rFonts w:hint="eastAsia" w:eastAsia="仿宋_GB2312"/>
          <w:bCs/>
          <w:color w:val="000000"/>
          <w:sz w:val="28"/>
          <w:szCs w:val="28"/>
          <w:highlight w:val="none"/>
          <w:u w:val="single"/>
        </w:rPr>
        <w:t xml:space="preserve">            </w:t>
      </w:r>
      <w:r>
        <w:rPr>
          <w:highlight w:val="none"/>
        </w:rPr>
        <w:pict>
          <v:shape id="_x0000_s1026" o:spid="_x0000_s1026" o:spt="136" type="#_x0000_t136" style="position:absolute;left:0pt;margin-left:100pt;margin-top:100pt;height:100pt;width:200pt;z-index:251659264;mso-width-relative:page;mso-height-relative:page;" coordsize="21600,21600">
            <v:path/>
            <v:fill opacity="32768f" focussize="0,0"/>
            <v:stroke/>
            <v:imagedata o:title=""/>
            <o:lock v:ext="edit"/>
            <v:textpath on="t" fitshape="t" fitpath="t" trim="t" xscale="f" string="" style="font-size:36pt;v-text-align:center;"/>
          </v:shape>
        </w:pict>
      </w:r>
    </w:p>
    <w:p w14:paraId="6B2A00FF">
      <w:pPr>
        <w:spacing w:line="360" w:lineRule="auto"/>
        <w:jc w:val="left"/>
        <w:rPr>
          <w:rFonts w:eastAsia="华文中宋"/>
          <w:b/>
          <w:color w:val="000000"/>
          <w:sz w:val="48"/>
          <w:szCs w:val="48"/>
          <w:highlight w:val="none"/>
        </w:rPr>
      </w:pPr>
      <w:r>
        <w:rPr>
          <w:rFonts w:hint="eastAsia" w:eastAsia="仿宋_GB2312"/>
          <w:bCs/>
          <w:color w:val="000000"/>
          <w:sz w:val="28"/>
          <w:szCs w:val="28"/>
          <w:highlight w:val="none"/>
          <w:u w:val="single"/>
        </w:rPr>
        <w:t xml:space="preserve">                    </w:t>
      </w:r>
    </w:p>
    <w:p w14:paraId="31C6672D">
      <w:pPr>
        <w:spacing w:line="360" w:lineRule="auto"/>
        <w:rPr>
          <w:rFonts w:eastAsia="华文中宋"/>
          <w:b/>
          <w:color w:val="000000"/>
          <w:sz w:val="48"/>
          <w:szCs w:val="48"/>
          <w:highlight w:val="none"/>
        </w:rPr>
      </w:pPr>
    </w:p>
    <w:p w14:paraId="2A29CE46">
      <w:pPr>
        <w:spacing w:line="360" w:lineRule="auto"/>
        <w:jc w:val="center"/>
        <w:rPr>
          <w:rFonts w:eastAsia="华文中宋" w:cs="Times New Roman"/>
          <w:b/>
          <w:color w:val="000000"/>
          <w:sz w:val="56"/>
          <w:szCs w:val="48"/>
          <w:highlight w:val="none"/>
        </w:rPr>
      </w:pPr>
      <w:r>
        <w:rPr>
          <w:rFonts w:eastAsia="华文中宋" w:cs="Times New Roman"/>
          <w:b/>
          <w:color w:val="000000"/>
          <w:sz w:val="56"/>
          <w:szCs w:val="48"/>
          <w:highlight w:val="none"/>
        </w:rPr>
        <w:t>建设工程施工</w:t>
      </w:r>
      <w:r>
        <w:rPr>
          <w:rFonts w:hint="eastAsia" w:eastAsia="华文中宋" w:cs="Times New Roman"/>
          <w:b/>
          <w:color w:val="000000"/>
          <w:sz w:val="56"/>
          <w:szCs w:val="48"/>
          <w:highlight w:val="none"/>
        </w:rPr>
        <w:t>专业</w:t>
      </w:r>
      <w:r>
        <w:rPr>
          <w:rFonts w:eastAsia="华文中宋" w:cs="Times New Roman"/>
          <w:b/>
          <w:color w:val="000000"/>
          <w:sz w:val="56"/>
          <w:szCs w:val="48"/>
          <w:highlight w:val="none"/>
        </w:rPr>
        <w:t>分包合同</w:t>
      </w:r>
    </w:p>
    <w:p w14:paraId="719A68A0">
      <w:pPr>
        <w:spacing w:line="360" w:lineRule="auto"/>
        <w:jc w:val="center"/>
        <w:rPr>
          <w:rFonts w:eastAsia="华文中宋" w:cs="Times New Roman"/>
          <w:b/>
          <w:color w:val="000000"/>
          <w:sz w:val="56"/>
          <w:szCs w:val="48"/>
          <w:highlight w:val="none"/>
        </w:rPr>
      </w:pPr>
      <w:permStart w:id="1" w:edGrp="everyone"/>
      <w:r>
        <w:rPr>
          <w:rFonts w:eastAsia="华文中宋" w:cs="Times New Roman"/>
          <w:b/>
          <w:color w:val="000000"/>
          <w:sz w:val="56"/>
          <w:szCs w:val="48"/>
          <w:highlight w:val="none"/>
        </w:rPr>
        <w:t>（</w:t>
      </w:r>
      <w:r>
        <w:rPr>
          <w:rFonts w:hint="eastAsia" w:eastAsia="华文中宋" w:cs="Times New Roman"/>
          <w:b/>
          <w:color w:val="000000"/>
          <w:sz w:val="56"/>
          <w:szCs w:val="48"/>
          <w:highlight w:val="none"/>
          <w:lang w:val="en-US" w:eastAsia="zh-CN"/>
        </w:rPr>
        <w:t>火灾自动报警工程</w:t>
      </w:r>
      <w:r>
        <w:rPr>
          <w:rFonts w:eastAsia="华文中宋" w:cs="Times New Roman"/>
          <w:b/>
          <w:color w:val="000000"/>
          <w:sz w:val="56"/>
          <w:szCs w:val="48"/>
          <w:highlight w:val="none"/>
        </w:rPr>
        <w:t>）</w:t>
      </w:r>
      <w:permEnd w:id="1"/>
    </w:p>
    <w:p w14:paraId="3EC5AFFC">
      <w:pPr>
        <w:spacing w:line="360" w:lineRule="auto"/>
        <w:jc w:val="center"/>
        <w:rPr>
          <w:rFonts w:eastAsia="华文中宋"/>
          <w:b/>
          <w:color w:val="000000"/>
          <w:sz w:val="48"/>
          <w:szCs w:val="48"/>
          <w:highlight w:val="none"/>
        </w:rPr>
      </w:pPr>
    </w:p>
    <w:p w14:paraId="19804CD3">
      <w:pPr>
        <w:spacing w:line="360" w:lineRule="auto"/>
        <w:jc w:val="center"/>
        <w:rPr>
          <w:rFonts w:eastAsia="华文中宋"/>
          <w:b/>
          <w:color w:val="000000"/>
          <w:sz w:val="48"/>
          <w:szCs w:val="48"/>
          <w:highlight w:val="none"/>
        </w:rPr>
      </w:pPr>
    </w:p>
    <w:p w14:paraId="79892CC2">
      <w:pPr>
        <w:spacing w:line="360" w:lineRule="auto"/>
        <w:jc w:val="center"/>
        <w:rPr>
          <w:rFonts w:eastAsia="黑体"/>
          <w:b/>
          <w:color w:val="000000"/>
          <w:sz w:val="56"/>
          <w:szCs w:val="56"/>
          <w:highlight w:val="none"/>
        </w:rPr>
      </w:pPr>
      <w:r>
        <w:rPr>
          <w:rFonts w:hint="eastAsia" w:eastAsia="楷体_GB2312"/>
          <w:b/>
          <w:color w:val="000000"/>
          <w:sz w:val="56"/>
          <w:szCs w:val="56"/>
          <w:highlight w:val="none"/>
        </w:rPr>
        <w:pict>
          <v:shape id="图片 9" o:spid="_x0000_s1027" o:spt="75" alt="图片1" type="#_x0000_t75" style="position:absolute;left:0pt;margin-left:148.65pt;margin-top:4.2pt;height:185.25pt;width:132.75pt;z-index:-251656192;mso-width-relative:page;mso-height-relative:page;" filled="f" o:preferrelative="t" stroked="f" coordsize="21600,21600">
            <v:path/>
            <v:fill on="f" focussize="0,0"/>
            <v:stroke on="f" joinstyle="miter"/>
            <v:imagedata r:id="rId11" o:title=""/>
            <o:lock v:ext="edit" aspectratio="t"/>
          </v:shape>
        </w:pict>
      </w:r>
    </w:p>
    <w:p w14:paraId="04BA42F6">
      <w:pPr>
        <w:spacing w:line="360" w:lineRule="auto"/>
        <w:jc w:val="center"/>
        <w:rPr>
          <w:rFonts w:eastAsia="楷体_GB2312"/>
          <w:b/>
          <w:color w:val="000000"/>
          <w:sz w:val="56"/>
          <w:szCs w:val="56"/>
          <w:highlight w:val="none"/>
        </w:rPr>
      </w:pPr>
    </w:p>
    <w:p w14:paraId="44F2DB6A">
      <w:pPr>
        <w:spacing w:line="360" w:lineRule="auto"/>
        <w:jc w:val="center"/>
        <w:rPr>
          <w:rFonts w:eastAsia="黑体"/>
          <w:b/>
          <w:color w:val="000000"/>
          <w:sz w:val="48"/>
          <w:szCs w:val="48"/>
          <w:highlight w:val="none"/>
        </w:rPr>
      </w:pPr>
    </w:p>
    <w:p w14:paraId="25CB81BF">
      <w:pPr>
        <w:spacing w:line="360" w:lineRule="auto"/>
        <w:jc w:val="center"/>
        <w:rPr>
          <w:rFonts w:eastAsia="华文中宋"/>
          <w:b/>
          <w:color w:val="000000"/>
          <w:sz w:val="48"/>
          <w:szCs w:val="48"/>
          <w:highlight w:val="none"/>
        </w:rPr>
      </w:pPr>
    </w:p>
    <w:p w14:paraId="7ACAC00D">
      <w:pPr>
        <w:spacing w:line="360" w:lineRule="auto"/>
        <w:jc w:val="center"/>
        <w:rPr>
          <w:rFonts w:eastAsia="华文中宋"/>
          <w:b/>
          <w:color w:val="000000"/>
          <w:sz w:val="48"/>
          <w:szCs w:val="48"/>
          <w:highlight w:val="none"/>
        </w:rPr>
      </w:pPr>
    </w:p>
    <w:p w14:paraId="3598AE94">
      <w:pPr>
        <w:pStyle w:val="2"/>
        <w:rPr>
          <w:highlight w:val="none"/>
        </w:rPr>
      </w:pPr>
    </w:p>
    <w:p w14:paraId="2C6C5D64">
      <w:pPr>
        <w:spacing w:line="360" w:lineRule="auto"/>
        <w:ind w:firstLine="562" w:firstLineChars="200"/>
        <w:rPr>
          <w:rFonts w:ascii="仿宋_GB2312" w:hAnsi="仿宋_GB2312" w:eastAsia="仿宋_GB2312" w:cs="仿宋_GB2312"/>
          <w:b/>
          <w:bCs/>
          <w:sz w:val="28"/>
          <w:szCs w:val="28"/>
          <w:highlight w:val="none"/>
        </w:rPr>
      </w:pPr>
    </w:p>
    <w:p w14:paraId="0E0C83B1">
      <w:pPr>
        <w:spacing w:line="360" w:lineRule="auto"/>
        <w:ind w:firstLine="562" w:firstLineChars="200"/>
        <w:jc w:val="left"/>
        <w:rPr>
          <w:rFonts w:ascii="仿宋_GB2312" w:hAnsi="仿宋_GB2312" w:eastAsia="仿宋_GB2312" w:cs="仿宋_GB2312"/>
          <w:b/>
          <w:bCs/>
          <w:sz w:val="28"/>
          <w:szCs w:val="28"/>
          <w:highlight w:val="none"/>
        </w:rPr>
      </w:pPr>
      <w:permStart w:id="2" w:edGrp="everyone"/>
      <w:r>
        <w:rPr>
          <w:rFonts w:hint="eastAsia" w:ascii="仿宋_GB2312" w:hAnsi="仿宋_GB2312" w:eastAsia="仿宋_GB2312" w:cs="仿宋_GB2312"/>
          <w:b/>
          <w:bCs/>
          <w:sz w:val="28"/>
          <w:szCs w:val="28"/>
          <w:highlight w:val="none"/>
        </w:rPr>
        <w:t>工程名称：【</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w:t>
      </w:r>
    </w:p>
    <w:p w14:paraId="3F49B5E3">
      <w:pPr>
        <w:spacing w:line="360" w:lineRule="auto"/>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w:t>
      </w:r>
    </w:p>
    <w:p w14:paraId="58D91C92">
      <w:pPr>
        <w:spacing w:line="360" w:lineRule="auto"/>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w:t>
      </w:r>
    </w:p>
    <w:p w14:paraId="1D25DC1A">
      <w:pPr>
        <w:spacing w:line="360" w:lineRule="auto"/>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w:t>
      </w:r>
    </w:p>
    <w:p w14:paraId="53AC35A3">
      <w:pPr>
        <w:spacing w:line="360" w:lineRule="auto"/>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w:t>
      </w:r>
    </w:p>
    <w:permEnd w:id="2"/>
    <w:p w14:paraId="16559FAA">
      <w:pPr>
        <w:spacing w:line="360" w:lineRule="auto"/>
        <w:rPr>
          <w:rFonts w:ascii="宋体" w:hAnsi="宋体" w:eastAsia="宋体" w:cs="宋体"/>
          <w:b/>
        </w:rPr>
        <w:sectPr>
          <w:headerReference r:id="rId5" w:type="first"/>
          <w:headerReference r:id="rId3" w:type="default"/>
          <w:headerReference r:id="rId4" w:type="even"/>
          <w:pgSz w:w="11906" w:h="16838"/>
          <w:pgMar w:top="1440" w:right="1800" w:bottom="1440" w:left="1800" w:header="851" w:footer="992" w:gutter="0"/>
          <w:pgNumType w:fmt="decimal"/>
          <w:cols w:space="425" w:num="1"/>
          <w:docGrid w:type="lines" w:linePitch="312" w:charSpace="0"/>
        </w:sectPr>
      </w:pPr>
    </w:p>
    <w:p w14:paraId="751B7AA0">
      <w:pPr>
        <w:pStyle w:val="69"/>
        <w:spacing w:before="0" w:after="0" w:line="360" w:lineRule="auto"/>
        <w:jc w:val="center"/>
        <w:rPr>
          <w:rFonts w:eastAsia="仿宋_GB2312"/>
          <w:kern w:val="2"/>
          <w:sz w:val="24"/>
          <w:szCs w:val="24"/>
          <w:highlight w:val="none"/>
          <w:lang w:val="en-US"/>
        </w:rPr>
      </w:pPr>
      <w:bookmarkStart w:id="0" w:name="_Toc384137521"/>
      <w:bookmarkStart w:id="1" w:name="_Toc389663452"/>
      <w:bookmarkStart w:id="2" w:name="_Toc383940876"/>
      <w:bookmarkStart w:id="3" w:name="_Toc384026350"/>
      <w:bookmarkStart w:id="4" w:name="_Toc389602795"/>
      <w:r>
        <w:rPr>
          <w:rFonts w:eastAsia="华文中宋" w:cs="Times New Roman"/>
          <w:sz w:val="40"/>
          <w:szCs w:val="40"/>
          <w:highlight w:val="none"/>
        </w:rPr>
        <w:t>目  录</w:t>
      </w:r>
      <w:permStart w:id="3" w:edGrp="everyone"/>
      <w:r>
        <w:rPr>
          <w:rFonts w:eastAsia="仿宋_GB2312"/>
          <w:kern w:val="2"/>
          <w:sz w:val="24"/>
          <w:szCs w:val="24"/>
          <w:highlight w:val="none"/>
          <w:lang w:val="en-US"/>
        </w:rPr>
        <w:fldChar w:fldCharType="begin"/>
      </w:r>
      <w:r>
        <w:rPr>
          <w:rFonts w:eastAsia="仿宋_GB2312"/>
          <w:kern w:val="2"/>
          <w:sz w:val="24"/>
          <w:szCs w:val="24"/>
          <w:highlight w:val="none"/>
          <w:lang w:val="en-US"/>
        </w:rPr>
        <w:instrText xml:space="preserve"> TOC \o "1-4" \h \z \u </w:instrText>
      </w:r>
      <w:r>
        <w:rPr>
          <w:rFonts w:eastAsia="仿宋_GB2312"/>
          <w:kern w:val="2"/>
          <w:sz w:val="24"/>
          <w:szCs w:val="24"/>
          <w:highlight w:val="none"/>
          <w:lang w:val="en-US"/>
        </w:rPr>
        <w:fldChar w:fldCharType="separate"/>
      </w:r>
      <w:r>
        <w:rPr>
          <w:highlight w:val="none"/>
        </w:rPr>
        <w:pict>
          <v:shape id="_x0000_s1028" o:spid="_x0000_s1028" o:spt="136" type="#_x0000_t136" style="position:absolute;left:0pt;margin-left:100pt;margin-top:100pt;height:100pt;width:200pt;z-index:251661312;mso-width-relative:page;mso-height-relative:page;" coordsize="21600,21600">
            <v:path/>
            <v:fill opacity="32768f" focussize="0,0"/>
            <v:stroke/>
            <v:imagedata o:title=""/>
            <o:lock v:ext="edit"/>
            <v:textpath on="t" fitshape="t" fitpath="t" trim="t" xscale="f" string="" style="font-size:36pt;v-text-align:center;"/>
          </v:shape>
        </w:pict>
      </w:r>
    </w:p>
    <w:p w14:paraId="4D34432F">
      <w:pPr>
        <w:pStyle w:val="23"/>
        <w:keepNext w:val="0"/>
        <w:keepLines w:val="0"/>
        <w:pageBreakBefore w:val="0"/>
        <w:widowControl w:val="0"/>
        <w:tabs>
          <w:tab w:val="right" w:leader="dot" w:pos="8306"/>
        </w:tabs>
        <w:kinsoku/>
        <w:wordWrap/>
        <w:overflowPunct/>
        <w:topLinePunct w:val="0"/>
        <w:autoSpaceDE/>
        <w:autoSpaceDN/>
        <w:bidi w:val="0"/>
        <w:adjustRightInd/>
        <w:snapToGrid/>
        <w:spacing w:after="120" w:afterLines="50" w:line="360" w:lineRule="auto"/>
        <w:ind w:left="0" w:leftChars="0" w:firstLine="0" w:firstLineChars="0"/>
        <w:jc w:val="both"/>
        <w:textAlignment w:val="auto"/>
        <w:rPr>
          <w:rFonts w:hint="eastAsia" w:ascii="仿宋_GB2312" w:hAnsi="仿宋_GB2312" w:eastAsia="仿宋_GB2312" w:cs="仿宋_GB2312"/>
          <w:b/>
          <w:bCs/>
          <w:sz w:val="28"/>
          <w:szCs w:val="28"/>
          <w:highlight w:val="none"/>
        </w:rPr>
      </w:pPr>
      <w:r>
        <w:rPr>
          <w:highlight w:val="none"/>
        </w:rPr>
        <w:fldChar w:fldCharType="begin"/>
      </w:r>
      <w:r>
        <w:rPr>
          <w:highlight w:val="none"/>
        </w:rPr>
        <w:instrText xml:space="preserve"> HYPERLINK \l "_Toc25369" </w:instrText>
      </w:r>
      <w:r>
        <w:rPr>
          <w:highlight w:val="none"/>
        </w:rPr>
        <w:fldChar w:fldCharType="separate"/>
      </w:r>
      <w:r>
        <w:rPr>
          <w:rFonts w:hint="eastAsia" w:ascii="仿宋_GB2312" w:hAnsi="仿宋_GB2312" w:eastAsia="仿宋_GB2312" w:cs="仿宋_GB2312"/>
          <w:b/>
          <w:bCs/>
          <w:sz w:val="28"/>
          <w:szCs w:val="28"/>
          <w:highlight w:val="none"/>
        </w:rPr>
        <w:t>第一部分 合同协议书</w:t>
      </w:r>
      <w:r>
        <w:rPr>
          <w:rFonts w:hint="eastAsia" w:ascii="仿宋_GB2312" w:hAnsi="仿宋_GB2312" w:eastAsia="仿宋_GB2312" w:cs="仿宋_GB2312"/>
          <w:b/>
          <w:bCs/>
          <w:sz w:val="28"/>
          <w:szCs w:val="28"/>
          <w:highlight w:val="none"/>
        </w:rPr>
        <w:tab/>
      </w: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PAGEREF _Toc25369 \h </w:instrText>
      </w:r>
      <w:r>
        <w:rPr>
          <w:rFonts w:hint="eastAsia" w:ascii="仿宋_GB2312" w:hAnsi="仿宋_GB2312" w:eastAsia="仿宋_GB2312" w:cs="仿宋_GB2312"/>
          <w:b/>
          <w:bCs/>
          <w:sz w:val="28"/>
          <w:szCs w:val="28"/>
          <w:highlight w:val="none"/>
        </w:rPr>
        <w:fldChar w:fldCharType="separate"/>
      </w:r>
      <w:r>
        <w:rPr>
          <w:rFonts w:hint="eastAsia" w:ascii="仿宋_GB2312" w:hAnsi="仿宋_GB2312" w:eastAsia="仿宋_GB2312" w:cs="仿宋_GB2312"/>
          <w:b/>
          <w:bCs/>
          <w:sz w:val="28"/>
          <w:szCs w:val="28"/>
          <w:highlight w:val="none"/>
        </w:rPr>
        <w:t>1</w:t>
      </w:r>
      <w:r>
        <w:rPr>
          <w:rFonts w:hint="eastAsia" w:ascii="仿宋_GB2312" w:hAnsi="仿宋_GB2312" w:eastAsia="仿宋_GB2312" w:cs="仿宋_GB2312"/>
          <w:b/>
          <w:bCs/>
          <w:sz w:val="28"/>
          <w:szCs w:val="28"/>
          <w:highlight w:val="none"/>
        </w:rPr>
        <w:fldChar w:fldCharType="end"/>
      </w:r>
      <w:r>
        <w:rPr>
          <w:rFonts w:hint="eastAsia" w:ascii="仿宋_GB2312" w:hAnsi="仿宋_GB2312" w:eastAsia="仿宋_GB2312" w:cs="仿宋_GB2312"/>
          <w:b/>
          <w:bCs/>
          <w:sz w:val="28"/>
          <w:szCs w:val="28"/>
          <w:highlight w:val="none"/>
        </w:rPr>
        <w:fldChar w:fldCharType="end"/>
      </w:r>
    </w:p>
    <w:p w14:paraId="0EA475E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"_Toc23838"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1. </w:t>
      </w:r>
      <w:r>
        <w:rPr>
          <w:rFonts w:hint="eastAsia" w:ascii="仿宋_GB2312" w:hAnsi="仿宋_GB2312" w:eastAsia="仿宋_GB2312" w:cs="仿宋_GB2312"/>
          <w:sz w:val="24"/>
          <w:szCs w:val="24"/>
          <w:highlight w:val="none"/>
        </w:rPr>
        <w:t>工程概况</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_Toc23838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4BC6D349">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"_Toc15188"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2. </w:t>
      </w:r>
      <w:r>
        <w:rPr>
          <w:rFonts w:hint="eastAsia" w:ascii="仿宋_GB2312" w:hAnsi="仿宋_GB2312" w:eastAsia="仿宋_GB2312" w:cs="仿宋_GB2312"/>
          <w:sz w:val="24"/>
          <w:szCs w:val="24"/>
          <w:highlight w:val="none"/>
        </w:rPr>
        <w:t>分包合同工期</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fldChar w:fldCharType="end"/>
      </w:r>
    </w:p>
    <w:p w14:paraId="5D4BB9B2">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"_Toc2709"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3. </w:t>
      </w:r>
      <w:r>
        <w:rPr>
          <w:rFonts w:hint="eastAsia" w:ascii="仿宋_GB2312" w:hAnsi="仿宋_GB2312" w:eastAsia="仿宋_GB2312" w:cs="仿宋_GB2312"/>
          <w:sz w:val="24"/>
          <w:szCs w:val="24"/>
          <w:highlight w:val="none"/>
        </w:rPr>
        <w:t>质量、安全文明施工标准及创优目标</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_Toc2709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1AB372A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"_Toc13077"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4. </w:t>
      </w:r>
      <w:r>
        <w:rPr>
          <w:rFonts w:hint="eastAsia" w:ascii="仿宋_GB2312" w:hAnsi="仿宋_GB2312" w:eastAsia="仿宋_GB2312" w:cs="仿宋_GB2312"/>
          <w:sz w:val="24"/>
          <w:szCs w:val="24"/>
          <w:highlight w:val="none"/>
        </w:rPr>
        <w:t>签约合同价与合同价格形式</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_Toc13077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3A91AEF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"_Toc15100"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5. </w:t>
      </w:r>
      <w:r>
        <w:rPr>
          <w:rFonts w:hint="eastAsia" w:ascii="仿宋_GB2312" w:hAnsi="仿宋_GB2312" w:eastAsia="仿宋_GB2312" w:cs="仿宋_GB2312"/>
          <w:sz w:val="24"/>
          <w:szCs w:val="24"/>
          <w:highlight w:val="none"/>
        </w:rPr>
        <w:t>工程款支付</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fldChar w:fldCharType="end"/>
      </w:r>
    </w:p>
    <w:p w14:paraId="63B4E4B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"_Toc4739"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6. </w:t>
      </w:r>
      <w:r>
        <w:rPr>
          <w:rFonts w:hint="eastAsia" w:ascii="仿宋_GB2312" w:hAnsi="仿宋_GB2312" w:eastAsia="仿宋_GB2312" w:cs="仿宋_GB2312"/>
          <w:sz w:val="24"/>
          <w:szCs w:val="24"/>
          <w:highlight w:val="none"/>
        </w:rPr>
        <w:t>增值税条款</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_Toc4739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6</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4F0CF10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"_Toc9189"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7. </w:t>
      </w:r>
      <w:r>
        <w:rPr>
          <w:rFonts w:hint="eastAsia" w:ascii="仿宋_GB2312" w:hAnsi="仿宋_GB2312" w:eastAsia="仿宋_GB2312" w:cs="仿宋_GB2312"/>
          <w:sz w:val="24"/>
          <w:szCs w:val="24"/>
          <w:highlight w:val="none"/>
        </w:rPr>
        <w:t>材料供应</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_Toc9189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9</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10350B2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"_Toc14028"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8. </w:t>
      </w:r>
      <w:r>
        <w:rPr>
          <w:rFonts w:hint="eastAsia" w:ascii="仿宋_GB2312" w:hAnsi="仿宋_GB2312" w:eastAsia="仿宋_GB2312" w:cs="仿宋_GB2312"/>
          <w:sz w:val="24"/>
          <w:szCs w:val="24"/>
          <w:highlight w:val="none"/>
        </w:rPr>
        <w:t>各类机械及安全防护用品供应</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_Toc14028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10</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19E59C4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"_Toc15397"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9. </w:t>
      </w:r>
      <w:r>
        <w:rPr>
          <w:rFonts w:hint="eastAsia" w:ascii="仿宋_GB2312" w:hAnsi="仿宋_GB2312" w:eastAsia="仿宋_GB2312" w:cs="仿宋_GB2312"/>
          <w:sz w:val="24"/>
          <w:szCs w:val="24"/>
          <w:highlight w:val="none"/>
        </w:rPr>
        <w:t>甲乙方代表</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_Toc15397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11</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325DA4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"_Toc30812"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10. </w:t>
      </w:r>
      <w:r>
        <w:rPr>
          <w:rFonts w:hint="eastAsia" w:ascii="仿宋_GB2312" w:hAnsi="仿宋_GB2312" w:eastAsia="仿宋_GB2312" w:cs="仿宋_GB2312"/>
          <w:sz w:val="24"/>
          <w:szCs w:val="24"/>
          <w:highlight w:val="none"/>
        </w:rPr>
        <w:t>合同文件构成及解释顺序</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_Toc30812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1B28183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"_Toc2973"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11. </w:t>
      </w:r>
      <w:r>
        <w:rPr>
          <w:rFonts w:hint="eastAsia" w:ascii="仿宋_GB2312" w:hAnsi="仿宋_GB2312" w:eastAsia="仿宋_GB2312" w:cs="仿宋_GB2312"/>
          <w:sz w:val="24"/>
          <w:szCs w:val="24"/>
          <w:highlight w:val="none"/>
        </w:rPr>
        <w:t>乙方承诺</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_Toc2973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5CCA6CA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"_Toc13337"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12. </w:t>
      </w:r>
      <w:r>
        <w:rPr>
          <w:rFonts w:hint="eastAsia" w:ascii="仿宋_GB2312" w:hAnsi="仿宋_GB2312" w:eastAsia="仿宋_GB2312" w:cs="仿宋_GB2312"/>
          <w:sz w:val="24"/>
          <w:szCs w:val="24"/>
          <w:highlight w:val="none"/>
        </w:rPr>
        <w:t>工程保修缺陷责任</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_Toc13337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338C93A9">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"_Toc9754"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13. </w:t>
      </w:r>
      <w:r>
        <w:rPr>
          <w:rFonts w:hint="eastAsia" w:ascii="仿宋_GB2312" w:hAnsi="仿宋_GB2312" w:eastAsia="仿宋_GB2312" w:cs="仿宋_GB2312"/>
          <w:sz w:val="24"/>
          <w:szCs w:val="24"/>
          <w:highlight w:val="none"/>
        </w:rPr>
        <w:t>争议解决</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_Toc9754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1756DB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"_Toc5933" </w:instrText>
      </w:r>
      <w:r>
        <w:rPr>
          <w:highlight w:val="none"/>
        </w:rPr>
        <w:fldChar w:fldCharType="separate"/>
      </w:r>
      <w:r>
        <w:rPr>
          <w:rFonts w:hint="eastAsia" w:ascii="仿宋_GB2312" w:hAnsi="仿宋_GB2312" w:eastAsia="仿宋_GB2312" w:cs="仿宋_GB2312"/>
          <w:sz w:val="24"/>
          <w:szCs w:val="24"/>
          <w:highlight w:val="none"/>
          <w:lang w:val="en-US" w:eastAsia="zh-CN"/>
        </w:rPr>
        <w:t xml:space="preserve">14. </w:t>
      </w:r>
      <w:r>
        <w:rPr>
          <w:rFonts w:hint="eastAsia" w:ascii="仿宋_GB2312" w:hAnsi="仿宋_GB2312" w:eastAsia="仿宋_GB2312" w:cs="仿宋_GB2312"/>
          <w:sz w:val="24"/>
          <w:szCs w:val="24"/>
          <w:highlight w:val="none"/>
        </w:rPr>
        <w:t>附则</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_Toc5933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14</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4515AAAE">
      <w:pPr>
        <w:pStyle w:val="23"/>
        <w:keepNext w:val="0"/>
        <w:keepLines w:val="0"/>
        <w:pageBreakBefore w:val="0"/>
        <w:widowControl w:val="0"/>
        <w:tabs>
          <w:tab w:val="right" w:leader="dot" w:pos="8306"/>
        </w:tabs>
        <w:kinsoku/>
        <w:wordWrap/>
        <w:overflowPunct/>
        <w:topLinePunct w:val="0"/>
        <w:autoSpaceDE/>
        <w:autoSpaceDN/>
        <w:bidi w:val="0"/>
        <w:adjustRightInd/>
        <w:snapToGrid/>
        <w:spacing w:after="120" w:afterLines="50" w:line="480" w:lineRule="exact"/>
        <w:ind w:left="0" w:leftChars="0" w:firstLine="0" w:firstLineChars="0"/>
        <w:jc w:val="both"/>
        <w:textAlignment w:val="auto"/>
        <w:rPr>
          <w:rFonts w:hint="eastAsia" w:ascii="仿宋_GB2312" w:hAnsi="仿宋_GB2312" w:eastAsia="仿宋_GB2312" w:cs="仿宋_GB2312"/>
          <w:b/>
          <w:bCs/>
          <w:sz w:val="28"/>
          <w:szCs w:val="28"/>
          <w:highlight w:val="none"/>
        </w:rPr>
      </w:pPr>
      <w:r>
        <w:rPr>
          <w:highlight w:val="none"/>
        </w:rPr>
        <w:fldChar w:fldCharType="begin"/>
      </w:r>
      <w:r>
        <w:rPr>
          <w:highlight w:val="none"/>
        </w:rPr>
        <w:instrText xml:space="preserve"> HYPERLINK \l "_Toc4707" </w:instrText>
      </w:r>
      <w:r>
        <w:rPr>
          <w:highlight w:val="none"/>
        </w:rPr>
        <w:fldChar w:fldCharType="separate"/>
      </w:r>
      <w:r>
        <w:rPr>
          <w:rFonts w:hint="eastAsia" w:ascii="仿宋_GB2312" w:hAnsi="仿宋_GB2312" w:eastAsia="仿宋_GB2312" w:cs="仿宋_GB2312"/>
          <w:b/>
          <w:bCs/>
          <w:sz w:val="28"/>
          <w:szCs w:val="28"/>
          <w:highlight w:val="none"/>
        </w:rPr>
        <w:t>第二部分  合同条款</w:t>
      </w:r>
      <w:r>
        <w:rPr>
          <w:rFonts w:hint="eastAsia" w:ascii="仿宋_GB2312" w:hAnsi="仿宋_GB2312" w:eastAsia="仿宋_GB2312" w:cs="仿宋_GB2312"/>
          <w:b/>
          <w:bCs/>
          <w:sz w:val="28"/>
          <w:szCs w:val="28"/>
          <w:highlight w:val="none"/>
        </w:rPr>
        <w:tab/>
      </w: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PAGEREF _Toc4707 \h </w:instrText>
      </w:r>
      <w:r>
        <w:rPr>
          <w:rFonts w:hint="eastAsia" w:ascii="仿宋_GB2312" w:hAnsi="仿宋_GB2312" w:eastAsia="仿宋_GB2312" w:cs="仿宋_GB2312"/>
          <w:b/>
          <w:bCs/>
          <w:sz w:val="28"/>
          <w:szCs w:val="28"/>
          <w:highlight w:val="none"/>
        </w:rPr>
        <w:fldChar w:fldCharType="separate"/>
      </w:r>
      <w:r>
        <w:rPr>
          <w:rFonts w:hint="eastAsia" w:ascii="仿宋_GB2312" w:hAnsi="仿宋_GB2312" w:eastAsia="仿宋_GB2312" w:cs="仿宋_GB2312"/>
          <w:b/>
          <w:bCs/>
          <w:sz w:val="28"/>
          <w:szCs w:val="28"/>
          <w:highlight w:val="none"/>
        </w:rPr>
        <w:t>16</w:t>
      </w:r>
      <w:r>
        <w:rPr>
          <w:rFonts w:hint="eastAsia" w:ascii="仿宋_GB2312" w:hAnsi="仿宋_GB2312" w:eastAsia="仿宋_GB2312" w:cs="仿宋_GB2312"/>
          <w:b/>
          <w:bCs/>
          <w:sz w:val="28"/>
          <w:szCs w:val="28"/>
          <w:highlight w:val="none"/>
        </w:rPr>
        <w:fldChar w:fldCharType="end"/>
      </w:r>
      <w:r>
        <w:rPr>
          <w:rFonts w:hint="eastAsia" w:ascii="仿宋_GB2312" w:hAnsi="仿宋_GB2312" w:eastAsia="仿宋_GB2312" w:cs="仿宋_GB2312"/>
          <w:b/>
          <w:bCs/>
          <w:sz w:val="28"/>
          <w:szCs w:val="28"/>
          <w:highlight w:val="none"/>
        </w:rPr>
        <w:fldChar w:fldCharType="end"/>
      </w:r>
    </w:p>
    <w:p w14:paraId="6EDC6D7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"_Toc2656" </w:instrText>
      </w:r>
      <w:r>
        <w:rPr>
          <w:highlight w:val="none"/>
        </w:rPr>
        <w:fldChar w:fldCharType="separate"/>
      </w:r>
      <w:r>
        <w:rPr>
          <w:rFonts w:hint="eastAsia" w:ascii="仿宋_GB2312" w:hAnsi="仿宋_GB2312" w:eastAsia="仿宋_GB2312" w:cs="仿宋_GB2312"/>
          <w:sz w:val="24"/>
          <w:szCs w:val="24"/>
          <w:highlight w:val="none"/>
        </w:rPr>
        <w:t>1. 一般约定</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_Toc2656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16</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04AD4C52">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"_Toc9917" </w:instrText>
      </w:r>
      <w:r>
        <w:rPr>
          <w:highlight w:val="none"/>
        </w:rPr>
        <w:fldChar w:fldCharType="separate"/>
      </w:r>
      <w:r>
        <w:rPr>
          <w:rFonts w:hint="eastAsia" w:ascii="仿宋_GB2312" w:hAnsi="仿宋_GB2312" w:eastAsia="仿宋_GB2312" w:cs="仿宋_GB2312"/>
          <w:sz w:val="24"/>
          <w:szCs w:val="24"/>
          <w:highlight w:val="none"/>
        </w:rPr>
        <w:t>2. 甲方</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_Toc9917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18</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6D92396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"_Toc16664" </w:instrText>
      </w:r>
      <w:r>
        <w:rPr>
          <w:highlight w:val="none"/>
        </w:rPr>
        <w:fldChar w:fldCharType="separate"/>
      </w:r>
      <w:r>
        <w:rPr>
          <w:rFonts w:hint="eastAsia" w:ascii="仿宋_GB2312" w:hAnsi="仿宋_GB2312" w:eastAsia="仿宋_GB2312" w:cs="仿宋_GB2312"/>
          <w:sz w:val="24"/>
          <w:szCs w:val="24"/>
          <w:highlight w:val="none"/>
        </w:rPr>
        <w:t>3. 乙方</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_Toc16664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29D071BE">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"_Toc28256" </w:instrText>
      </w:r>
      <w:r>
        <w:rPr>
          <w:highlight w:val="none"/>
        </w:rPr>
        <w:fldChar w:fldCharType="separate"/>
      </w:r>
      <w:r>
        <w:rPr>
          <w:rFonts w:hint="eastAsia" w:ascii="仿宋_GB2312" w:hAnsi="仿宋_GB2312" w:eastAsia="仿宋_GB2312" w:cs="仿宋_GB2312"/>
          <w:sz w:val="24"/>
          <w:szCs w:val="24"/>
          <w:highlight w:val="none"/>
        </w:rPr>
        <w:t>4. 分包作业人员</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_Toc28256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28</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4508421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"_Toc20850" </w:instrText>
      </w:r>
      <w:r>
        <w:rPr>
          <w:highlight w:val="none"/>
        </w:rPr>
        <w:fldChar w:fldCharType="separate"/>
      </w:r>
      <w:r>
        <w:rPr>
          <w:rFonts w:hint="eastAsia" w:ascii="仿宋_GB2312" w:hAnsi="仿宋_GB2312" w:eastAsia="仿宋_GB2312" w:cs="仿宋_GB2312"/>
          <w:sz w:val="24"/>
          <w:szCs w:val="24"/>
          <w:highlight w:val="none"/>
        </w:rPr>
        <w:t>5. 作业安全与环境保护</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_Toc20850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30</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435F88E">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"_Toc1966" </w:instrText>
      </w:r>
      <w:r>
        <w:rPr>
          <w:highlight w:val="none"/>
        </w:rPr>
        <w:fldChar w:fldCharType="separate"/>
      </w:r>
      <w:r>
        <w:rPr>
          <w:rFonts w:hint="eastAsia" w:ascii="仿宋_GB2312" w:hAnsi="仿宋_GB2312" w:eastAsia="仿宋_GB2312" w:cs="仿宋_GB2312"/>
          <w:sz w:val="24"/>
          <w:szCs w:val="24"/>
          <w:highlight w:val="none"/>
        </w:rPr>
        <w:t>6. 作业期限及进度</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_Toc1966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35</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5659F7D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"_Toc9749" </w:instrText>
      </w:r>
      <w:r>
        <w:rPr>
          <w:highlight w:val="none"/>
        </w:rPr>
        <w:fldChar w:fldCharType="separate"/>
      </w:r>
      <w:r>
        <w:rPr>
          <w:rFonts w:hint="eastAsia" w:ascii="仿宋_GB2312" w:hAnsi="仿宋_GB2312" w:eastAsia="仿宋_GB2312" w:cs="仿宋_GB2312"/>
          <w:sz w:val="24"/>
          <w:szCs w:val="24"/>
          <w:highlight w:val="none"/>
        </w:rPr>
        <w:t>7. 机具、设备及材料供应</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_Toc9749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37</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610E178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"_Toc10553" </w:instrText>
      </w:r>
      <w:r>
        <w:rPr>
          <w:highlight w:val="none"/>
        </w:rPr>
        <w:fldChar w:fldCharType="separate"/>
      </w:r>
      <w:r>
        <w:rPr>
          <w:rFonts w:hint="eastAsia" w:ascii="仿宋_GB2312" w:hAnsi="仿宋_GB2312" w:eastAsia="仿宋_GB2312" w:cs="仿宋_GB2312"/>
          <w:sz w:val="24"/>
          <w:szCs w:val="24"/>
          <w:highlight w:val="none"/>
        </w:rPr>
        <w:t>8. 分包作业变化</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_Toc10553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39</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65CF57C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"_Toc24496" </w:instrText>
      </w:r>
      <w:r>
        <w:rPr>
          <w:highlight w:val="none"/>
        </w:rPr>
        <w:fldChar w:fldCharType="separate"/>
      </w:r>
      <w:r>
        <w:rPr>
          <w:rFonts w:hint="eastAsia" w:ascii="仿宋_GB2312" w:hAnsi="仿宋_GB2312" w:eastAsia="仿宋_GB2312" w:cs="仿宋_GB2312"/>
          <w:sz w:val="24"/>
          <w:szCs w:val="24"/>
          <w:highlight w:val="none"/>
        </w:rPr>
        <w:t>9. 分包作业价格调整</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_Toc24496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40</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0AC326F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"_Toc11220" </w:instrText>
      </w:r>
      <w:r>
        <w:rPr>
          <w:highlight w:val="none"/>
        </w:rPr>
        <w:fldChar w:fldCharType="separate"/>
      </w:r>
      <w:r>
        <w:rPr>
          <w:rFonts w:hint="eastAsia" w:ascii="仿宋_GB2312" w:hAnsi="仿宋_GB2312" w:eastAsia="仿宋_GB2312" w:cs="仿宋_GB2312"/>
          <w:sz w:val="24"/>
          <w:szCs w:val="24"/>
          <w:highlight w:val="none"/>
        </w:rPr>
        <w:t>10. 合同价格形式</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_Toc11220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41</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586BEE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"_Toc11066" </w:instrText>
      </w:r>
      <w:r>
        <w:rPr>
          <w:highlight w:val="none"/>
        </w:rPr>
        <w:fldChar w:fldCharType="separate"/>
      </w:r>
      <w:r>
        <w:rPr>
          <w:rFonts w:hint="eastAsia" w:ascii="仿宋_GB2312" w:hAnsi="仿宋_GB2312" w:eastAsia="仿宋_GB2312" w:cs="仿宋_GB2312"/>
          <w:sz w:val="24"/>
          <w:szCs w:val="24"/>
          <w:highlight w:val="none"/>
        </w:rPr>
        <w:t>11. 分包作业计量与支付</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_Toc11066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41</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304D9A9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"_Toc10817" </w:instrText>
      </w:r>
      <w:r>
        <w:rPr>
          <w:highlight w:val="none"/>
        </w:rPr>
        <w:fldChar w:fldCharType="separate"/>
      </w:r>
      <w:r>
        <w:rPr>
          <w:rFonts w:hint="eastAsia" w:ascii="仿宋_GB2312" w:hAnsi="仿宋_GB2312" w:eastAsia="仿宋_GB2312" w:cs="仿宋_GB2312"/>
          <w:sz w:val="24"/>
          <w:szCs w:val="24"/>
          <w:highlight w:val="none"/>
        </w:rPr>
        <w:t>12. 验收与交付</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_Toc10817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42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CC931E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"_Toc31604" </w:instrText>
      </w:r>
      <w:r>
        <w:rPr>
          <w:highlight w:val="none"/>
        </w:rPr>
        <w:fldChar w:fldCharType="separate"/>
      </w:r>
      <w:r>
        <w:rPr>
          <w:rFonts w:hint="eastAsia" w:ascii="仿宋_GB2312" w:hAnsi="仿宋_GB2312" w:eastAsia="仿宋_GB2312" w:cs="仿宋_GB2312"/>
          <w:sz w:val="24"/>
          <w:szCs w:val="24"/>
          <w:highlight w:val="none"/>
        </w:rPr>
        <w:t>13. 分包作业结算与支付</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_Toc31604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44</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6819FE3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"_Toc2874" </w:instrText>
      </w:r>
      <w:r>
        <w:rPr>
          <w:highlight w:val="none"/>
        </w:rPr>
        <w:fldChar w:fldCharType="separate"/>
      </w:r>
      <w:r>
        <w:rPr>
          <w:rFonts w:hint="eastAsia" w:ascii="仿宋_GB2312" w:hAnsi="仿宋_GB2312" w:eastAsia="仿宋_GB2312" w:cs="仿宋_GB2312"/>
          <w:sz w:val="24"/>
          <w:szCs w:val="24"/>
          <w:highlight w:val="none"/>
        </w:rPr>
        <w:t>14. 违约</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_Toc2874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46</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3E0EDC8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"_Toc18235" </w:instrText>
      </w:r>
      <w:r>
        <w:rPr>
          <w:highlight w:val="none"/>
        </w:rPr>
        <w:fldChar w:fldCharType="separate"/>
      </w:r>
      <w:r>
        <w:rPr>
          <w:rFonts w:hint="eastAsia" w:ascii="仿宋_GB2312" w:hAnsi="仿宋_GB2312" w:eastAsia="仿宋_GB2312" w:cs="仿宋_GB2312"/>
          <w:sz w:val="24"/>
          <w:szCs w:val="24"/>
          <w:highlight w:val="none"/>
        </w:rPr>
        <w:t>15. 不可抗力</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_Toc18235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48</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56D8FFF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"_Toc12525" </w:instrText>
      </w:r>
      <w:r>
        <w:rPr>
          <w:highlight w:val="none"/>
        </w:rPr>
        <w:fldChar w:fldCharType="separate"/>
      </w:r>
      <w:r>
        <w:rPr>
          <w:rFonts w:hint="eastAsia" w:ascii="仿宋_GB2312" w:hAnsi="仿宋_GB2312" w:eastAsia="仿宋_GB2312" w:cs="仿宋_GB2312"/>
          <w:sz w:val="24"/>
          <w:szCs w:val="24"/>
          <w:highlight w:val="none"/>
        </w:rPr>
        <w:t>16. 保险</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_Toc12525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3A239FA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"_Toc15276" </w:instrText>
      </w:r>
      <w:r>
        <w:rPr>
          <w:highlight w:val="none"/>
        </w:rPr>
        <w:fldChar w:fldCharType="separate"/>
      </w:r>
      <w:r>
        <w:rPr>
          <w:rFonts w:hint="eastAsia" w:ascii="仿宋_GB2312" w:hAnsi="仿宋_GB2312" w:eastAsia="仿宋_GB2312" w:cs="仿宋_GB2312"/>
          <w:sz w:val="24"/>
          <w:szCs w:val="24"/>
          <w:highlight w:val="none"/>
        </w:rPr>
        <w:t>17. 配合索赔</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_Toc15276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49</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5C78EEC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"_Toc8477" </w:instrText>
      </w:r>
      <w:r>
        <w:rPr>
          <w:highlight w:val="none"/>
        </w:rPr>
        <w:fldChar w:fldCharType="separate"/>
      </w:r>
      <w:r>
        <w:rPr>
          <w:rFonts w:hint="eastAsia" w:ascii="仿宋_GB2312" w:hAnsi="仿宋_GB2312" w:eastAsia="仿宋_GB2312" w:cs="仿宋_GB2312"/>
          <w:sz w:val="24"/>
          <w:szCs w:val="24"/>
          <w:highlight w:val="none"/>
        </w:rPr>
        <w:t>18. 合同解除</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_Toc8477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50</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1EF304C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"_Toc2093" </w:instrText>
      </w:r>
      <w:r>
        <w:rPr>
          <w:highlight w:val="none"/>
        </w:rPr>
        <w:fldChar w:fldCharType="separate"/>
      </w:r>
      <w:r>
        <w:rPr>
          <w:rFonts w:hint="eastAsia" w:ascii="仿宋_GB2312" w:hAnsi="仿宋_GB2312" w:eastAsia="仿宋_GB2312" w:cs="仿宋_GB2312"/>
          <w:sz w:val="24"/>
          <w:szCs w:val="24"/>
          <w:highlight w:val="none"/>
        </w:rPr>
        <w:t>19. 知识产权</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_Toc2093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52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64E28C2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"_Toc21384" </w:instrText>
      </w:r>
      <w:r>
        <w:rPr>
          <w:highlight w:val="none"/>
        </w:rPr>
        <w:fldChar w:fldCharType="separate"/>
      </w:r>
      <w:r>
        <w:rPr>
          <w:rFonts w:hint="eastAsia" w:ascii="仿宋_GB2312" w:hAnsi="仿宋_GB2312" w:eastAsia="仿宋_GB2312" w:cs="仿宋_GB2312"/>
          <w:sz w:val="24"/>
          <w:szCs w:val="24"/>
          <w:highlight w:val="none"/>
        </w:rPr>
        <w:t>20. 其他约定</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_Toc21384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01D32689">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"_Toc23496" </w:instrText>
      </w:r>
      <w:r>
        <w:rPr>
          <w:highlight w:val="none"/>
        </w:rPr>
        <w:fldChar w:fldCharType="separate"/>
      </w:r>
      <w:r>
        <w:rPr>
          <w:rFonts w:hint="eastAsia" w:ascii="仿宋_GB2312" w:hAnsi="仿宋_GB2312" w:eastAsia="仿宋_GB2312" w:cs="仿宋_GB2312"/>
          <w:sz w:val="24"/>
          <w:szCs w:val="24"/>
          <w:highlight w:val="none"/>
        </w:rPr>
        <w:t>附件1  工程量清单与计价表</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_Toc23496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55</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5687345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"_Toc67" </w:instrText>
      </w:r>
      <w:r>
        <w:rPr>
          <w:highlight w:val="none"/>
        </w:rPr>
        <w:fldChar w:fldCharType="separate"/>
      </w:r>
      <w:r>
        <w:rPr>
          <w:rFonts w:hint="eastAsia" w:ascii="仿宋_GB2312" w:hAnsi="仿宋_GB2312" w:eastAsia="仿宋_GB2312" w:cs="仿宋_GB2312"/>
          <w:sz w:val="24"/>
          <w:szCs w:val="24"/>
          <w:highlight w:val="none"/>
        </w:rPr>
        <w:t>附件2  授 权 委 托 书（甲方）</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_Toc67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56</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06504E0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"_Toc9871" </w:instrText>
      </w:r>
      <w:r>
        <w:rPr>
          <w:highlight w:val="none"/>
        </w:rPr>
        <w:fldChar w:fldCharType="separate"/>
      </w:r>
      <w:r>
        <w:rPr>
          <w:rFonts w:hint="eastAsia" w:ascii="仿宋_GB2312" w:hAnsi="仿宋_GB2312" w:eastAsia="仿宋_GB2312" w:cs="仿宋_GB2312"/>
          <w:sz w:val="24"/>
          <w:szCs w:val="24"/>
          <w:highlight w:val="none"/>
        </w:rPr>
        <w:t>附件3  授 权 委 托 书（乙方）</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_Toc9871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60</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6EFFF2E2">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"_Toc22055" </w:instrText>
      </w:r>
      <w:r>
        <w:rPr>
          <w:highlight w:val="none"/>
        </w:rPr>
        <w:fldChar w:fldCharType="separate"/>
      </w:r>
      <w:r>
        <w:rPr>
          <w:rFonts w:hint="eastAsia" w:ascii="仿宋_GB2312" w:hAnsi="仿宋_GB2312" w:eastAsia="仿宋_GB2312" w:cs="仿宋_GB2312"/>
          <w:sz w:val="24"/>
          <w:szCs w:val="24"/>
          <w:highlight w:val="none"/>
        </w:rPr>
        <w:t>附件4  乙方现场管理人员名单</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_Toc22055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E01028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"_Toc1751" </w:instrText>
      </w:r>
      <w:r>
        <w:rPr>
          <w:highlight w:val="none"/>
        </w:rPr>
        <w:fldChar w:fldCharType="separate"/>
      </w:r>
      <w:r>
        <w:rPr>
          <w:rFonts w:hint="eastAsia" w:ascii="仿宋_GB2312" w:hAnsi="仿宋_GB2312" w:eastAsia="仿宋_GB2312" w:cs="仿宋_GB2312"/>
          <w:sz w:val="24"/>
          <w:szCs w:val="24"/>
          <w:highlight w:val="none"/>
        </w:rPr>
        <w:t>附件5  工程承包人供应材料与设备明细表</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_Toc1751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63</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258B17E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"_Toc398" </w:instrText>
      </w:r>
      <w:r>
        <w:rPr>
          <w:highlight w:val="none"/>
        </w:rPr>
        <w:fldChar w:fldCharType="separate"/>
      </w:r>
      <w:r>
        <w:rPr>
          <w:rFonts w:hint="eastAsia" w:ascii="仿宋_GB2312" w:hAnsi="仿宋_GB2312" w:eastAsia="仿宋_GB2312" w:cs="仿宋_GB2312"/>
          <w:sz w:val="24"/>
          <w:szCs w:val="24"/>
          <w:highlight w:val="none"/>
        </w:rPr>
        <w:t>附件6  项目廉政合同书</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_Toc398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64</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1E2D6C5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"_Toc18826" </w:instrText>
      </w:r>
      <w:r>
        <w:rPr>
          <w:highlight w:val="none"/>
        </w:rPr>
        <w:fldChar w:fldCharType="separate"/>
      </w:r>
      <w:r>
        <w:rPr>
          <w:rFonts w:hint="eastAsia" w:ascii="仿宋_GB2312" w:hAnsi="仿宋_GB2312" w:eastAsia="仿宋_GB2312" w:cs="仿宋_GB2312"/>
          <w:sz w:val="24"/>
          <w:szCs w:val="24"/>
          <w:highlight w:val="none"/>
        </w:rPr>
        <w:t>附件7  工程质量专项管理协议书</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_Toc18826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66</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341BD3CE">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"_Toc28128" </w:instrText>
      </w:r>
      <w:r>
        <w:rPr>
          <w:highlight w:val="none"/>
        </w:rPr>
        <w:fldChar w:fldCharType="separate"/>
      </w:r>
      <w:r>
        <w:rPr>
          <w:rFonts w:hint="eastAsia" w:ascii="仿宋_GB2312" w:hAnsi="仿宋_GB2312" w:eastAsia="仿宋_GB2312" w:cs="仿宋_GB2312"/>
          <w:sz w:val="24"/>
          <w:szCs w:val="24"/>
          <w:highlight w:val="none"/>
        </w:rPr>
        <w:t>附件8  施工现场安全生产管理协议</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_Toc28128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73</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2B3258A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"_Toc24044" </w:instrText>
      </w:r>
      <w:r>
        <w:rPr>
          <w:highlight w:val="none"/>
        </w:rPr>
        <w:fldChar w:fldCharType="separate"/>
      </w:r>
      <w:r>
        <w:rPr>
          <w:rFonts w:hint="eastAsia" w:ascii="仿宋_GB2312" w:hAnsi="仿宋_GB2312" w:eastAsia="仿宋_GB2312" w:cs="仿宋_GB2312"/>
          <w:sz w:val="24"/>
          <w:szCs w:val="24"/>
          <w:highlight w:val="none"/>
        </w:rPr>
        <w:t xml:space="preserve">附件9  </w:t>
      </w:r>
      <w:r>
        <w:rPr>
          <w:rFonts w:hint="eastAsia" w:ascii="仿宋_GB2312" w:hAnsi="仿宋_GB2312" w:eastAsia="仿宋_GB2312" w:cs="仿宋_GB2312"/>
          <w:sz w:val="24"/>
          <w:szCs w:val="24"/>
          <w:highlight w:val="none"/>
          <w:lang w:val="zh-CN"/>
        </w:rPr>
        <w:t>项目后勤管理协议</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_Toc24044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82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6CAE4899">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"_Toc16592" </w:instrText>
      </w:r>
      <w:r>
        <w:rPr>
          <w:highlight w:val="none"/>
        </w:rPr>
        <w:fldChar w:fldCharType="separate"/>
      </w:r>
      <w:r>
        <w:rPr>
          <w:rFonts w:hint="eastAsia" w:ascii="仿宋_GB2312" w:hAnsi="仿宋_GB2312" w:eastAsia="仿宋_GB2312" w:cs="仿宋_GB2312"/>
          <w:sz w:val="24"/>
          <w:szCs w:val="24"/>
          <w:highlight w:val="none"/>
        </w:rPr>
        <w:t>附件10  质量保修书</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_Toc16592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85</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3878359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"_Toc24696" </w:instrText>
      </w:r>
      <w:r>
        <w:rPr>
          <w:highlight w:val="none"/>
        </w:rPr>
        <w:fldChar w:fldCharType="separate"/>
      </w:r>
      <w:r>
        <w:rPr>
          <w:rFonts w:hint="eastAsia" w:ascii="仿宋_GB2312" w:hAnsi="仿宋_GB2312" w:eastAsia="仿宋_GB2312" w:cs="仿宋_GB2312"/>
          <w:sz w:val="24"/>
          <w:szCs w:val="24"/>
          <w:highlight w:val="none"/>
        </w:rPr>
        <w:t>附件11  农民工工资委托支付协议</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_Toc24696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89</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9E44A6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"_Toc17463" </w:instrText>
      </w:r>
      <w:r>
        <w:rPr>
          <w:highlight w:val="none"/>
        </w:rPr>
        <w:fldChar w:fldCharType="separate"/>
      </w:r>
      <w:r>
        <w:rPr>
          <w:rFonts w:hint="eastAsia" w:ascii="仿宋_GB2312" w:hAnsi="仿宋_GB2312" w:eastAsia="仿宋_GB2312" w:cs="仿宋_GB2312"/>
          <w:sz w:val="24"/>
          <w:szCs w:val="24"/>
          <w:highlight w:val="none"/>
        </w:rPr>
        <w:t>附件12  施工现场消防安全管理协议</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_Toc17463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93</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1E7C8CE">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hint="eastAsia" w:ascii="仿宋_GB2312" w:hAnsi="仿宋_GB2312" w:eastAsia="仿宋_GB2312" w:cs="仿宋_GB2312"/>
          <w:sz w:val="24"/>
          <w:szCs w:val="24"/>
          <w:highlight w:val="none"/>
        </w:rPr>
      </w:pPr>
      <w:r>
        <w:rPr>
          <w:highlight w:val="none"/>
        </w:rPr>
        <w:fldChar w:fldCharType="begin"/>
      </w:r>
      <w:r>
        <w:rPr>
          <w:highlight w:val="none"/>
        </w:rPr>
        <w:instrText xml:space="preserve"> HYPERLINK \l "_Toc15815" </w:instrText>
      </w:r>
      <w:r>
        <w:rPr>
          <w:highlight w:val="none"/>
        </w:rPr>
        <w:fldChar w:fldCharType="separate"/>
      </w:r>
      <w:r>
        <w:rPr>
          <w:rFonts w:hint="eastAsia" w:ascii="仿宋_GB2312" w:hAnsi="仿宋_GB2312" w:eastAsia="仿宋_GB2312" w:cs="仿宋_GB2312"/>
          <w:sz w:val="24"/>
          <w:szCs w:val="24"/>
          <w:highlight w:val="none"/>
        </w:rPr>
        <w:t>附件13  施工现场临时用电安全管理协议</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_Toc15815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97</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4365708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firstLine="360" w:firstLineChars="200"/>
        <w:jc w:val="both"/>
        <w:textAlignment w:val="auto"/>
        <w:rPr>
          <w:rFonts w:ascii="Times New Roman" w:hAnsi="Times New Roman" w:eastAsia="仿宋_GB2312"/>
          <w:sz w:val="24"/>
          <w:szCs w:val="24"/>
          <w:highlight w:val="none"/>
        </w:rPr>
      </w:pPr>
      <w:r>
        <w:rPr>
          <w:highlight w:val="none"/>
        </w:rPr>
        <w:fldChar w:fldCharType="begin"/>
      </w:r>
      <w:r>
        <w:rPr>
          <w:highlight w:val="none"/>
        </w:rPr>
        <w:instrText xml:space="preserve"> HYPERLINK \l "_Toc23521" </w:instrText>
      </w:r>
      <w:r>
        <w:rPr>
          <w:highlight w:val="none"/>
        </w:rPr>
        <w:fldChar w:fldCharType="separate"/>
      </w:r>
      <w:r>
        <w:rPr>
          <w:rFonts w:hint="eastAsia" w:ascii="仿宋_GB2312" w:hAnsi="仿宋_GB2312" w:eastAsia="仿宋_GB2312" w:cs="仿宋_GB2312"/>
          <w:sz w:val="24"/>
          <w:szCs w:val="24"/>
          <w:highlight w:val="none"/>
        </w:rPr>
        <w:t>附件14  承  诺  书</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_Toc23521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100</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107BDB98">
      <w:pPr>
        <w:pStyle w:val="5"/>
        <w:spacing w:before="260" w:after="260" w:line="480" w:lineRule="exact"/>
        <w:ind w:firstLine="0" w:firstLineChars="0"/>
        <w:jc w:val="center"/>
        <w:rPr>
          <w:rFonts w:ascii="Times New Roman" w:hAnsi="Times New Roman" w:eastAsia="仿宋_GB2312"/>
          <w:szCs w:val="24"/>
          <w:highlight w:val="none"/>
          <w:lang w:val="en-US"/>
        </w:rPr>
      </w:pPr>
      <w:r>
        <w:rPr>
          <w:rFonts w:ascii="Times New Roman" w:hAnsi="Times New Roman" w:eastAsia="仿宋_GB2312"/>
          <w:szCs w:val="24"/>
          <w:highlight w:val="none"/>
          <w:lang w:val="en-US"/>
        </w:rPr>
        <w:fldChar w:fldCharType="end"/>
      </w:r>
      <w:bookmarkStart w:id="5" w:name="_Toc25369"/>
    </w:p>
    <w:p w14:paraId="48419CC3">
      <w:pPr>
        <w:rPr>
          <w:lang w:val="en-US"/>
        </w:rPr>
      </w:pPr>
    </w:p>
    <w:permEnd w:id="3"/>
    <w:p w14:paraId="01367E83">
      <w:pPr>
        <w:pStyle w:val="5"/>
        <w:spacing w:before="260" w:after="260" w:line="480" w:lineRule="exact"/>
        <w:ind w:firstLine="0" w:firstLineChars="0"/>
        <w:jc w:val="center"/>
        <w:rPr>
          <w:rFonts w:ascii="华文中宋" w:hAnsi="华文中宋" w:eastAsia="华文中宋" w:cs="Times New Roman"/>
          <w:sz w:val="40"/>
          <w:szCs w:val="40"/>
          <w:highlight w:val="none"/>
          <w:lang w:val="en-US"/>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p>
    <w:p w14:paraId="39130B67">
      <w:pPr>
        <w:pStyle w:val="5"/>
        <w:spacing w:before="260" w:after="260" w:line="480" w:lineRule="exact"/>
        <w:ind w:firstLine="0" w:firstLineChars="0"/>
        <w:jc w:val="center"/>
        <w:rPr>
          <w:rFonts w:ascii="宋体" w:hAnsi="宋体" w:eastAsia="宋体" w:cs="宋体"/>
          <w:b/>
          <w:szCs w:val="21"/>
          <w:highlight w:val="none"/>
        </w:rPr>
      </w:pPr>
      <w:r>
        <w:rPr>
          <w:rFonts w:ascii="华文中宋" w:hAnsi="华文中宋" w:eastAsia="华文中宋" w:cs="Times New Roman"/>
          <w:sz w:val="40"/>
          <w:szCs w:val="40"/>
          <w:highlight w:val="none"/>
          <w:lang w:val="en-US"/>
        </w:rPr>
        <w:t>第一部分 合同协议书</w:t>
      </w:r>
      <w:bookmarkEnd w:id="0"/>
      <w:bookmarkEnd w:id="1"/>
      <w:bookmarkEnd w:id="2"/>
      <w:bookmarkEnd w:id="3"/>
      <w:bookmarkEnd w:id="4"/>
      <w:bookmarkEnd w:id="5"/>
      <w:r>
        <w:rPr>
          <w:highlight w:val="none"/>
        </w:rPr>
        <w:pict>
          <v:shape id="_x0000_s1029" o:spid="_x0000_s1029" o:spt="136" type="#_x0000_t136" style="position:absolute;left:0pt;margin-left:100pt;margin-top:100pt;height:100pt;width:200pt;z-index:251662336;mso-width-relative:page;mso-height-relative:page;" coordsize="21600,21600">
            <v:path/>
            <v:fill opacity="32768f" focussize="0,0"/>
            <v:stroke/>
            <v:imagedata o:title=""/>
            <o:lock v:ext="edit"/>
            <v:textpath on="t" fitshape="t" fitpath="t" trim="t" xscale="f" string="" style="font-size:36pt;v-text-align:center;"/>
          </v:shape>
        </w:pict>
      </w:r>
    </w:p>
    <w:p w14:paraId="7C1A151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仿宋_GB2312" w:hAnsi="仿宋_GB2312" w:eastAsia="仿宋_GB2312" w:cs="仿宋_GB2312"/>
          <w:b/>
          <w:sz w:val="28"/>
          <w:szCs w:val="28"/>
          <w:highlight w:val="none"/>
          <w:u w:val="single"/>
        </w:rPr>
      </w:pPr>
      <w:bookmarkStart w:id="6" w:name="_Hlk132055371"/>
      <w:r>
        <w:rPr>
          <w:rFonts w:hint="eastAsia" w:ascii="仿宋_GB2312" w:hAnsi="仿宋_GB2312" w:eastAsia="仿宋_GB2312" w:cs="仿宋_GB2312"/>
          <w:b/>
          <w:sz w:val="28"/>
          <w:szCs w:val="28"/>
          <w:highlight w:val="none"/>
        </w:rPr>
        <w:t>甲方（承包人）：</w:t>
      </w:r>
      <w:permStart w:id="4" w:edGrp="everyone"/>
      <w:r>
        <w:rPr>
          <w:rFonts w:hint="eastAsia" w:ascii="仿宋_GB2312" w:hAnsi="仿宋_GB2312" w:eastAsia="仿宋_GB2312" w:cs="仿宋_GB2312"/>
          <w:b/>
          <w:sz w:val="28"/>
          <w:szCs w:val="28"/>
          <w:highlight w:val="none"/>
        </w:rPr>
        <w:t>【</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w:t>
      </w:r>
      <w:permEnd w:id="4"/>
    </w:p>
    <w:p w14:paraId="165858C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乙方（分包人）：</w:t>
      </w:r>
      <w:permStart w:id="5" w:edGrp="everyone"/>
      <w:r>
        <w:rPr>
          <w:rFonts w:hint="eastAsia" w:ascii="仿宋_GB2312" w:hAnsi="仿宋_GB2312" w:eastAsia="仿宋_GB2312" w:cs="仿宋_GB2312"/>
          <w:b/>
          <w:sz w:val="28"/>
          <w:szCs w:val="28"/>
          <w:highlight w:val="none"/>
        </w:rPr>
        <w:t>【</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w:t>
      </w:r>
      <w:permEnd w:id="5"/>
    </w:p>
    <w:bookmarkEnd w:id="6"/>
    <w:p w14:paraId="70BD7F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color w:val="000000"/>
          <w:spacing w:val="-20"/>
          <w:sz w:val="28"/>
          <w:szCs w:val="28"/>
          <w:highlight w:val="none"/>
        </w:rPr>
      </w:pPr>
      <w:r>
        <w:rPr>
          <w:rFonts w:hint="eastAsia" w:eastAsia="仿宋_GB2312"/>
          <w:color w:val="000000"/>
          <w:sz w:val="28"/>
          <w:szCs w:val="28"/>
          <w:highlight w:val="none"/>
        </w:rPr>
        <w:t>鉴于乙方已对</w:t>
      </w:r>
      <w:permStart w:id="6" w:edGrp="everyone"/>
      <w:r>
        <w:rPr>
          <w:rFonts w:hint="eastAsia" w:eastAsia="仿宋_GB2312"/>
          <w:color w:val="000000"/>
          <w:sz w:val="28"/>
          <w:szCs w:val="28"/>
          <w:highlight w:val="none"/>
        </w:rPr>
        <w:t>【</w:t>
      </w:r>
      <w:r>
        <w:rPr>
          <w:rFonts w:hint="eastAsia" w:ascii="仿宋_GB2312" w:hAnsi="仿宋_GB2312" w:eastAsia="仿宋_GB2312" w:cs="仿宋_GB2312"/>
          <w:b/>
          <w:sz w:val="28"/>
          <w:szCs w:val="28"/>
          <w:highlight w:val="none"/>
          <w:lang w:val="en-US" w:eastAsia="zh-CN"/>
        </w:rPr>
        <w:t xml:space="preserve">                          </w:t>
      </w:r>
      <w:r>
        <w:rPr>
          <w:rFonts w:hint="eastAsia" w:eastAsia="仿宋_GB2312"/>
          <w:color w:val="000000"/>
          <w:sz w:val="28"/>
          <w:szCs w:val="28"/>
          <w:highlight w:val="none"/>
        </w:rPr>
        <w:t>】</w:t>
      </w:r>
      <w:permEnd w:id="6"/>
      <w:r>
        <w:rPr>
          <w:rFonts w:hint="eastAsia" w:eastAsia="仿宋_GB2312"/>
          <w:color w:val="000000"/>
          <w:sz w:val="28"/>
          <w:szCs w:val="28"/>
          <w:highlight w:val="none"/>
        </w:rPr>
        <w:t>工程现场环境、地质条件及所有有关资料进行了全面细致勘查和研究，已对工程施工所有相关图纸进行了详细研究和计算，并已对甲方有关项目管理制度规定充分了解并认可，根据《中华人民共和国民法典》、《中华人民共和国建筑法》、《中华人民共和国招标投标法》及有关法律规定，遵循平等、自愿、公平和诚实信用的原则，双方就分包工程分包作业承包事项协商一致</w:t>
      </w:r>
      <w:r>
        <w:rPr>
          <w:rFonts w:hint="eastAsia" w:eastAsia="仿宋_GB2312"/>
          <w:color w:val="000000"/>
          <w:spacing w:val="-20"/>
          <w:sz w:val="28"/>
          <w:szCs w:val="28"/>
          <w:highlight w:val="none"/>
        </w:rPr>
        <w:t>，达成如下协议，双方共同遵守。</w:t>
      </w:r>
    </w:p>
    <w:p w14:paraId="7570930A">
      <w:pPr>
        <w:pStyle w:val="6"/>
        <w:numPr>
          <w:ilvl w:val="0"/>
          <w:numId w:val="1"/>
        </w:numPr>
        <w:ind w:left="0" w:leftChars="0" w:firstLine="562" w:firstLineChars="200"/>
        <w:rPr>
          <w:rFonts w:cs="Times New Roman"/>
          <w:bCs w:val="0"/>
          <w:color w:val="000000"/>
          <w:highlight w:val="none"/>
        </w:rPr>
      </w:pPr>
      <w:bookmarkStart w:id="7" w:name="_Toc23838"/>
      <w:bookmarkStart w:id="8" w:name="_Toc132053677"/>
      <w:bookmarkStart w:id="9" w:name="_Toc389602796"/>
      <w:bookmarkStart w:id="10" w:name="_Toc383940877"/>
      <w:bookmarkStart w:id="11" w:name="_Toc389663453"/>
      <w:bookmarkStart w:id="12" w:name="_Toc384026351"/>
      <w:bookmarkStart w:id="13" w:name="_Toc384137522"/>
      <w:r>
        <w:rPr>
          <w:rFonts w:cs="Times New Roman"/>
          <w:bCs w:val="0"/>
          <w:color w:val="000000"/>
          <w:highlight w:val="none"/>
        </w:rPr>
        <w:t>工程概况</w:t>
      </w:r>
      <w:bookmarkEnd w:id="7"/>
      <w:bookmarkEnd w:id="8"/>
    </w:p>
    <w:p w14:paraId="6B89F397">
      <w:pPr>
        <w:numPr>
          <w:ilvl w:val="1"/>
          <w:numId w:val="1"/>
        </w:numPr>
        <w:spacing w:line="480" w:lineRule="exact"/>
        <w:ind w:left="561" w:leftChars="267" w:firstLine="0" w:firstLineChars="0"/>
        <w:jc w:val="both"/>
        <w:rPr>
          <w:rFonts w:ascii="仿宋_GB2312" w:hAnsi="仿宋_GB2312" w:eastAsia="仿宋_GB2312" w:cs="仿宋_GB2312"/>
          <w:b w:val="0"/>
          <w:bCs/>
          <w:color w:val="000000"/>
          <w:sz w:val="28"/>
          <w:szCs w:val="28"/>
          <w:highlight w:val="none"/>
          <w:u w:val="single"/>
        </w:rPr>
      </w:pPr>
      <w:r>
        <w:rPr>
          <w:rFonts w:hint="eastAsia" w:ascii="仿宋_GB2312" w:hAnsi="仿宋_GB2312" w:eastAsia="仿宋_GB2312" w:cs="仿宋_GB2312"/>
          <w:b w:val="0"/>
          <w:bCs/>
          <w:color w:val="000000"/>
          <w:sz w:val="28"/>
          <w:szCs w:val="28"/>
          <w:highlight w:val="none"/>
        </w:rPr>
        <w:t>工程名称：</w:t>
      </w:r>
      <w:permStart w:id="7" w:edGrp="everyone"/>
      <w:r>
        <w:rPr>
          <w:rFonts w:hint="eastAsia" w:ascii="仿宋_GB2312" w:hAnsi="仿宋_GB2312" w:eastAsia="仿宋_GB2312" w:cs="仿宋_GB2312"/>
          <w:b w:val="0"/>
          <w:bCs/>
          <w:color w:val="000000"/>
          <w:sz w:val="28"/>
          <w:szCs w:val="28"/>
          <w:highlight w:val="none"/>
        </w:rPr>
        <w:t>【</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val="0"/>
          <w:bCs/>
          <w:color w:val="000000"/>
          <w:sz w:val="28"/>
          <w:szCs w:val="28"/>
          <w:highlight w:val="none"/>
        </w:rPr>
        <w:t>】</w:t>
      </w:r>
      <w:permEnd w:id="7"/>
    </w:p>
    <w:p w14:paraId="5B5CA966">
      <w:pPr>
        <w:numPr>
          <w:ilvl w:val="1"/>
          <w:numId w:val="1"/>
        </w:numPr>
        <w:spacing w:line="480" w:lineRule="exact"/>
        <w:ind w:left="561" w:leftChars="267" w:firstLine="0" w:firstLineChars="0"/>
        <w:jc w:val="both"/>
        <w:rPr>
          <w:rFonts w:ascii="仿宋_GB2312" w:hAnsi="仿宋_GB2312" w:eastAsia="仿宋_GB2312" w:cs="仿宋_GB2312"/>
          <w:b w:val="0"/>
          <w:bCs/>
          <w:color w:val="000000"/>
          <w:sz w:val="28"/>
          <w:szCs w:val="28"/>
          <w:highlight w:val="none"/>
        </w:rPr>
      </w:pPr>
      <w:r>
        <w:rPr>
          <w:rFonts w:hint="eastAsia" w:ascii="仿宋_GB2312" w:hAnsi="仿宋_GB2312" w:eastAsia="仿宋_GB2312" w:cs="仿宋_GB2312"/>
          <w:b w:val="0"/>
          <w:bCs/>
          <w:color w:val="000000"/>
          <w:sz w:val="28"/>
          <w:szCs w:val="28"/>
          <w:highlight w:val="none"/>
        </w:rPr>
        <w:t>工程地点：</w:t>
      </w:r>
      <w:permStart w:id="8" w:edGrp="everyone"/>
      <w:r>
        <w:rPr>
          <w:rFonts w:hint="eastAsia" w:ascii="仿宋_GB2312" w:hAnsi="仿宋_GB2312" w:eastAsia="仿宋_GB2312" w:cs="仿宋_GB2312"/>
          <w:b w:val="0"/>
          <w:bCs/>
          <w:color w:val="000000"/>
          <w:sz w:val="28"/>
          <w:szCs w:val="28"/>
          <w:highlight w:val="none"/>
        </w:rPr>
        <w:t>【</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val="0"/>
          <w:bCs/>
          <w:color w:val="000000"/>
          <w:sz w:val="28"/>
          <w:szCs w:val="28"/>
          <w:highlight w:val="none"/>
        </w:rPr>
        <w:t>】</w:t>
      </w:r>
      <w:permEnd w:id="8"/>
    </w:p>
    <w:p w14:paraId="51940441">
      <w:pPr>
        <w:spacing w:line="480" w:lineRule="exact"/>
        <w:ind w:firstLine="560" w:firstLineChars="200"/>
        <w:jc w:val="both"/>
        <w:rPr>
          <w:rFonts w:ascii="仿宋_GB2312" w:hAnsi="仿宋_GB2312" w:eastAsia="仿宋_GB2312" w:cs="仿宋_GB2312"/>
          <w:b w:val="0"/>
          <w:bCs/>
          <w:color w:val="000000"/>
          <w:sz w:val="28"/>
          <w:szCs w:val="28"/>
          <w:highlight w:val="none"/>
        </w:rPr>
      </w:pPr>
      <w:r>
        <w:rPr>
          <w:rFonts w:ascii="仿宋_GB2312" w:hAnsi="仿宋_GB2312" w:eastAsia="仿宋_GB2312" w:cs="仿宋_GB2312"/>
          <w:b w:val="0"/>
          <w:bCs/>
          <w:color w:val="000000"/>
          <w:sz w:val="28"/>
          <w:szCs w:val="28"/>
          <w:highlight w:val="none"/>
        </w:rPr>
        <w:t xml:space="preserve">1.3 </w:t>
      </w:r>
      <w:r>
        <w:rPr>
          <w:rFonts w:hint="eastAsia" w:ascii="仿宋_GB2312" w:hAnsi="仿宋_GB2312" w:eastAsia="仿宋_GB2312" w:cs="仿宋_GB2312"/>
          <w:b w:val="0"/>
          <w:bCs/>
          <w:color w:val="000000"/>
          <w:sz w:val="28"/>
          <w:szCs w:val="28"/>
          <w:highlight w:val="none"/>
        </w:rPr>
        <w:t>工程结构：</w:t>
      </w:r>
      <w:permStart w:id="9" w:edGrp="everyone"/>
      <w:r>
        <w:rPr>
          <w:rFonts w:hint="eastAsia" w:ascii="仿宋_GB2312" w:hAnsi="仿宋_GB2312" w:eastAsia="仿宋_GB2312" w:cs="仿宋_GB2312"/>
          <w:b w:val="0"/>
          <w:bCs/>
          <w:color w:val="000000"/>
          <w:sz w:val="28"/>
          <w:szCs w:val="28"/>
          <w:highlight w:val="none"/>
        </w:rPr>
        <w:t>【</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val="0"/>
          <w:bCs/>
          <w:color w:val="000000"/>
          <w:sz w:val="28"/>
          <w:szCs w:val="28"/>
          <w:highlight w:val="none"/>
        </w:rPr>
        <w:t>】</w:t>
      </w:r>
      <w:bookmarkEnd w:id="9"/>
      <w:bookmarkEnd w:id="10"/>
      <w:bookmarkEnd w:id="11"/>
      <w:bookmarkEnd w:id="12"/>
      <w:bookmarkEnd w:id="13"/>
    </w:p>
    <w:permEnd w:id="9"/>
    <w:p w14:paraId="4A9FCA48">
      <w:pPr>
        <w:spacing w:line="480" w:lineRule="exact"/>
        <w:ind w:firstLine="560" w:firstLineChars="200"/>
        <w:jc w:val="both"/>
        <w:rPr>
          <w:rFonts w:ascii="仿宋_GB2312" w:hAnsi="仿宋_GB2312" w:eastAsia="仿宋_GB2312" w:cs="仿宋_GB2312"/>
          <w:bCs/>
          <w:color w:val="000000"/>
          <w:sz w:val="28"/>
          <w:szCs w:val="28"/>
          <w:highlight w:val="none"/>
        </w:rPr>
      </w:pPr>
      <w:bookmarkStart w:id="14" w:name="_Toc389602798"/>
      <w:bookmarkStart w:id="15" w:name="_Toc389663455"/>
      <w:bookmarkStart w:id="16" w:name="_Toc383940879"/>
      <w:bookmarkStart w:id="17" w:name="_Toc384026353"/>
      <w:bookmarkStart w:id="18" w:name="_Toc384137524"/>
      <w:r>
        <w:rPr>
          <w:rFonts w:ascii="仿宋_GB2312" w:hAnsi="仿宋_GB2312" w:eastAsia="仿宋_GB2312" w:cs="仿宋_GB2312"/>
          <w:b w:val="0"/>
          <w:bCs/>
          <w:color w:val="000000"/>
          <w:sz w:val="28"/>
          <w:szCs w:val="28"/>
          <w:highlight w:val="none"/>
        </w:rPr>
        <w:t>1.4</w:t>
      </w:r>
      <w:r>
        <w:rPr>
          <w:rFonts w:hint="eastAsia" w:ascii="仿宋_GB2312" w:hAnsi="仿宋_GB2312" w:eastAsia="仿宋_GB2312" w:cs="仿宋_GB2312"/>
          <w:b w:val="0"/>
          <w:bCs/>
          <w:color w:val="000000"/>
          <w:sz w:val="28"/>
          <w:szCs w:val="28"/>
          <w:highlight w:val="none"/>
        </w:rPr>
        <w:t xml:space="preserve"> </w:t>
      </w:r>
      <w:r>
        <w:rPr>
          <w:rFonts w:ascii="仿宋_GB2312" w:hAnsi="仿宋_GB2312" w:eastAsia="仿宋_GB2312" w:cs="仿宋_GB2312"/>
          <w:b w:val="0"/>
          <w:bCs/>
          <w:color w:val="000000"/>
          <w:sz w:val="28"/>
          <w:szCs w:val="28"/>
          <w:highlight w:val="none"/>
        </w:rPr>
        <w:t>分包工程范围：</w:t>
      </w:r>
      <w:r>
        <w:rPr>
          <w:rFonts w:hint="eastAsia" w:ascii="仿宋_GB2312" w:hAnsi="仿宋_GB2312" w:eastAsia="仿宋_GB2312" w:cs="仿宋_GB2312"/>
          <w:bCs/>
          <w:color w:val="000000"/>
          <w:sz w:val="28"/>
          <w:szCs w:val="28"/>
          <w:highlight w:val="none"/>
        </w:rPr>
        <w:t>本工程范围内的</w:t>
      </w:r>
      <w:permStart w:id="10" w:edGrp="everyone"/>
      <w:r>
        <w:rPr>
          <w:rFonts w:hint="eastAsia" w:ascii="仿宋_GB2312" w:hAnsi="仿宋_GB2312" w:eastAsia="仿宋_GB2312" w:cs="仿宋_GB2312"/>
          <w:bCs/>
          <w:color w:val="000000"/>
          <w:sz w:val="28"/>
          <w:szCs w:val="28"/>
          <w:highlight w:val="none"/>
        </w:rPr>
        <w:t>【</w:t>
      </w:r>
      <w:r>
        <w:rPr>
          <w:rFonts w:hint="eastAsia" w:ascii="仿宋_GB2312" w:hAnsi="仿宋_GB2312" w:eastAsia="仿宋_GB2312" w:cs="仿宋_GB2312"/>
          <w:b w:val="0"/>
          <w:bCs/>
          <w:color w:val="000000"/>
          <w:sz w:val="28"/>
          <w:szCs w:val="28"/>
          <w:highlight w:val="none"/>
          <w:lang w:val="en-US" w:eastAsia="zh-CN"/>
        </w:rPr>
        <w:t>火灾自动报警</w:t>
      </w:r>
      <w:permEnd w:id="10"/>
      <w:r>
        <w:rPr>
          <w:rFonts w:hint="eastAsia" w:ascii="仿宋_GB2312" w:hAnsi="仿宋_GB2312" w:eastAsia="仿宋_GB2312" w:cs="仿宋_GB2312"/>
          <w:bCs/>
          <w:color w:val="000000"/>
          <w:sz w:val="28"/>
          <w:szCs w:val="28"/>
          <w:highlight w:val="none"/>
        </w:rPr>
        <w:t>分包工程】 （以下简称本分包工程）。施工范围及数量为暂定，实际施工过程中承包人可以根据实际施工情况增加或减少分包人的施工内容，分包人必须按照承包人的指令进行施工，确保现场施工进度，并且不得进行任何工期及费用的索赔。</w:t>
      </w:r>
    </w:p>
    <w:p w14:paraId="6F0D194D">
      <w:pPr>
        <w:spacing w:line="480" w:lineRule="exact"/>
        <w:ind w:firstLine="560" w:firstLineChars="200"/>
        <w:jc w:val="both"/>
        <w:rPr>
          <w:rFonts w:ascii="宋体" w:hAnsi="宋体" w:eastAsia="宋体" w:cs="宋体"/>
          <w:b w:val="0"/>
          <w:bCs/>
          <w:szCs w:val="21"/>
          <w:highlight w:val="none"/>
        </w:rPr>
      </w:pPr>
      <w:r>
        <w:rPr>
          <w:rFonts w:ascii="仿宋_GB2312" w:hAnsi="仿宋_GB2312" w:eastAsia="仿宋_GB2312" w:cs="仿宋_GB2312"/>
          <w:b w:val="0"/>
          <w:bCs/>
          <w:sz w:val="28"/>
          <w:szCs w:val="28"/>
          <w:highlight w:val="none"/>
        </w:rPr>
        <w:t>1.5</w:t>
      </w:r>
      <w:r>
        <w:rPr>
          <w:rFonts w:hint="eastAsia" w:ascii="仿宋_GB2312" w:hAnsi="仿宋_GB2312" w:eastAsia="仿宋_GB2312" w:cs="仿宋_GB2312"/>
          <w:b w:val="0"/>
          <w:bCs/>
          <w:sz w:val="28"/>
          <w:szCs w:val="28"/>
          <w:highlight w:val="none"/>
        </w:rPr>
        <w:t xml:space="preserve"> </w:t>
      </w:r>
      <w:r>
        <w:rPr>
          <w:rFonts w:ascii="仿宋_GB2312" w:hAnsi="仿宋_GB2312" w:eastAsia="仿宋_GB2312" w:cs="仿宋_GB2312"/>
          <w:b w:val="0"/>
          <w:bCs/>
          <w:sz w:val="28"/>
          <w:szCs w:val="28"/>
          <w:highlight w:val="none"/>
        </w:rPr>
        <w:t>分包模式：</w:t>
      </w:r>
      <w:r>
        <w:rPr>
          <w:rFonts w:hint="eastAsia" w:ascii="仿宋_GB2312" w:hAnsi="仿宋_GB2312" w:eastAsia="仿宋_GB2312" w:cs="仿宋_GB2312"/>
          <w:b w:val="0"/>
          <w:bCs/>
          <w:sz w:val="28"/>
          <w:szCs w:val="28"/>
          <w:highlight w:val="none"/>
        </w:rPr>
        <w:t xml:space="preserve">专业分包 </w:t>
      </w:r>
    </w:p>
    <w:p w14:paraId="737CD38F">
      <w:pPr>
        <w:spacing w:line="480" w:lineRule="exact"/>
        <w:ind w:firstLine="560" w:firstLineChars="200"/>
        <w:jc w:val="both"/>
        <w:rPr>
          <w:rFonts w:ascii="宋体" w:hAnsi="宋体" w:eastAsia="宋体" w:cs="宋体"/>
          <w:szCs w:val="21"/>
          <w:highlight w:val="none"/>
          <w:u w:val="single"/>
        </w:rPr>
      </w:pPr>
      <w:r>
        <w:rPr>
          <w:rFonts w:ascii="仿宋_GB2312" w:hAnsi="仿宋_GB2312" w:eastAsia="仿宋_GB2312" w:cs="仿宋_GB2312"/>
          <w:b w:val="0"/>
          <w:bCs/>
          <w:sz w:val="28"/>
          <w:szCs w:val="28"/>
          <w:highlight w:val="none"/>
        </w:rPr>
        <w:t>1.6</w:t>
      </w:r>
      <w:r>
        <w:rPr>
          <w:rFonts w:hint="eastAsia" w:ascii="仿宋_GB2312" w:hAnsi="仿宋_GB2312" w:eastAsia="仿宋_GB2312" w:cs="仿宋_GB2312"/>
          <w:b w:val="0"/>
          <w:bCs/>
          <w:sz w:val="28"/>
          <w:szCs w:val="28"/>
          <w:highlight w:val="none"/>
        </w:rPr>
        <w:t xml:space="preserve"> </w:t>
      </w:r>
      <w:r>
        <w:rPr>
          <w:rFonts w:ascii="仿宋_GB2312" w:hAnsi="仿宋_GB2312" w:eastAsia="仿宋_GB2312" w:cs="仿宋_GB2312"/>
          <w:b w:val="0"/>
          <w:bCs/>
          <w:sz w:val="28"/>
          <w:szCs w:val="28"/>
          <w:highlight w:val="none"/>
        </w:rPr>
        <w:t>分包工作内容：</w:t>
      </w:r>
      <w:r>
        <w:rPr>
          <w:rFonts w:hint="eastAsia" w:ascii="仿宋_GB2312" w:hAnsi="仿宋_GB2312" w:eastAsia="仿宋_GB2312" w:cs="仿宋_GB2312"/>
          <w:b w:val="0"/>
          <w:bCs/>
          <w:color w:val="000000"/>
          <w:sz w:val="28"/>
          <w:szCs w:val="28"/>
          <w:highlight w:val="none"/>
        </w:rPr>
        <w:t>包</w:t>
      </w:r>
      <w:r>
        <w:rPr>
          <w:rFonts w:hint="eastAsia" w:ascii="仿宋_GB2312" w:hAnsi="仿宋_GB2312" w:eastAsia="仿宋_GB2312" w:cs="仿宋_GB2312"/>
          <w:bCs/>
          <w:color w:val="000000"/>
          <w:sz w:val="28"/>
          <w:szCs w:val="28"/>
          <w:highlight w:val="none"/>
        </w:rPr>
        <w:t>括但不限于</w:t>
      </w:r>
      <w:permStart w:id="11" w:edGrp="everyone"/>
      <w:r>
        <w:rPr>
          <w:rFonts w:hint="eastAsia" w:ascii="仿宋_GB2312" w:hAnsi="仿宋_GB2312" w:eastAsia="仿宋_GB2312" w:cs="仿宋_GB2312"/>
          <w:bCs/>
          <w:color w:val="000000"/>
          <w:sz w:val="28"/>
          <w:szCs w:val="28"/>
          <w:highlight w:val="none"/>
        </w:rPr>
        <w:t>【</w:t>
      </w:r>
      <w:r>
        <w:rPr>
          <w:rFonts w:hint="eastAsia" w:ascii="仿宋_GB2312" w:hAnsi="仿宋_GB2312" w:eastAsia="仿宋_GB2312" w:cs="仿宋_GB2312"/>
          <w:b w:val="0"/>
          <w:bCs/>
          <w:color w:val="000000"/>
          <w:sz w:val="28"/>
          <w:szCs w:val="28"/>
          <w:highlight w:val="none"/>
          <w:lang w:val="en-US" w:eastAsia="zh-CN"/>
        </w:rPr>
        <w:t>火灾自动报警</w:t>
      </w:r>
      <w:r>
        <w:rPr>
          <w:rFonts w:hint="eastAsia" w:ascii="仿宋_GB2312" w:hAnsi="仿宋_GB2312" w:eastAsia="仿宋_GB2312" w:cs="仿宋_GB2312"/>
          <w:bCs/>
          <w:color w:val="000000"/>
          <w:sz w:val="28"/>
          <w:szCs w:val="28"/>
          <w:highlight w:val="none"/>
        </w:rPr>
        <w:t>】等与本分包工程相关的全部工作。</w:t>
      </w:r>
      <w:r>
        <w:rPr>
          <w:rFonts w:hint="eastAsia" w:ascii="仿宋_GB2312" w:hAnsi="仿宋_GB2312" w:eastAsia="仿宋_GB2312" w:cs="仿宋_GB2312"/>
          <w:bCs/>
          <w:sz w:val="28"/>
          <w:szCs w:val="28"/>
          <w:highlight w:val="none"/>
        </w:rPr>
        <w:t>（详见附件1工程量清单与计价表）</w:t>
      </w:r>
      <w:permEnd w:id="11"/>
    </w:p>
    <w:bookmarkEnd w:id="14"/>
    <w:bookmarkEnd w:id="15"/>
    <w:bookmarkEnd w:id="16"/>
    <w:bookmarkEnd w:id="17"/>
    <w:bookmarkEnd w:id="18"/>
    <w:p w14:paraId="58D8B110">
      <w:pPr>
        <w:pStyle w:val="6"/>
        <w:keepNext/>
        <w:keepLines/>
        <w:pageBreakBefore w:val="0"/>
        <w:widowControl w:val="0"/>
        <w:numPr>
          <w:ilvl w:val="0"/>
          <w:numId w:val="1"/>
        </w:numPr>
        <w:kinsoku/>
        <w:wordWrap/>
        <w:overflowPunct/>
        <w:topLinePunct w:val="0"/>
        <w:autoSpaceDE/>
        <w:autoSpaceDN/>
        <w:bidi w:val="0"/>
        <w:adjustRightInd/>
        <w:snapToGrid/>
        <w:ind w:left="0" w:leftChars="0" w:firstLine="562" w:firstLineChars="200"/>
        <w:jc w:val="both"/>
        <w:textAlignment w:val="auto"/>
        <w:rPr>
          <w:rFonts w:cs="Times New Roman"/>
          <w:bCs w:val="0"/>
          <w:color w:val="000000"/>
          <w:sz w:val="28"/>
          <w:szCs w:val="28"/>
          <w:highlight w:val="none"/>
        </w:rPr>
      </w:pPr>
      <w:bookmarkStart w:id="19" w:name="_Toc15188"/>
      <w:bookmarkStart w:id="20" w:name="_Toc132053678"/>
      <w:r>
        <w:rPr>
          <w:rFonts w:cs="Times New Roman"/>
          <w:bCs w:val="0"/>
          <w:color w:val="000000"/>
          <w:sz w:val="28"/>
          <w:szCs w:val="28"/>
          <w:highlight w:val="none"/>
        </w:rPr>
        <w:t>分包合同工期</w:t>
      </w:r>
      <w:bookmarkEnd w:id="19"/>
      <w:bookmarkEnd w:id="20"/>
    </w:p>
    <w:p w14:paraId="12C6BA48">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color w:val="000000"/>
          <w:sz w:val="28"/>
          <w:szCs w:val="28"/>
          <w:highlight w:val="none"/>
        </w:rPr>
      </w:pPr>
      <w:permStart w:id="12" w:edGrp="everyone"/>
      <w:r>
        <w:rPr>
          <w:rFonts w:hint="eastAsia" w:ascii="仿宋_GB2312" w:hAnsi="仿宋_GB2312" w:eastAsia="仿宋_GB2312" w:cs="仿宋_GB2312"/>
          <w:color w:val="000000"/>
          <w:sz w:val="28"/>
          <w:szCs w:val="28"/>
          <w:highlight w:val="none"/>
        </w:rPr>
        <w:t>计划开工日期：</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color w:val="000000"/>
          <w:sz w:val="28"/>
          <w:szCs w:val="28"/>
          <w:highlight w:val="none"/>
        </w:rPr>
        <w:t>日（此为暂定时间，具体以甲方发出的进场通知单为准）。</w:t>
      </w:r>
    </w:p>
    <w:p w14:paraId="38DBC832">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计划完工日期：</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sz w:val="28"/>
          <w:szCs w:val="28"/>
          <w:highlight w:val="none"/>
        </w:rPr>
        <w:t>若有变更，具体以甲方书面通知为准</w:t>
      </w:r>
      <w:r>
        <w:rPr>
          <w:rFonts w:hint="eastAsia" w:ascii="仿宋_GB2312" w:hAnsi="仿宋_GB2312" w:eastAsia="仿宋_GB2312" w:cs="仿宋_GB2312"/>
          <w:color w:val="000000"/>
          <w:sz w:val="28"/>
          <w:szCs w:val="28"/>
          <w:highlight w:val="none"/>
        </w:rPr>
        <w:t>）。</w:t>
      </w:r>
    </w:p>
    <w:p w14:paraId="21CACC29">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color w:val="000000"/>
          <w:spacing w:val="-20"/>
          <w:sz w:val="28"/>
          <w:szCs w:val="28"/>
          <w:highlight w:val="none"/>
        </w:rPr>
      </w:pPr>
      <w:r>
        <w:rPr>
          <w:rFonts w:hint="eastAsia" w:ascii="仿宋_GB2312" w:hAnsi="仿宋_GB2312" w:eastAsia="仿宋_GB2312" w:cs="仿宋_GB2312"/>
          <w:color w:val="000000"/>
          <w:sz w:val="28"/>
          <w:szCs w:val="28"/>
          <w:highlight w:val="none"/>
        </w:rPr>
        <w:t>合同工期总日历天数：</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color w:val="000000"/>
          <w:sz w:val="28"/>
          <w:szCs w:val="28"/>
          <w:highlight w:val="none"/>
        </w:rPr>
        <w:t>天。</w:t>
      </w:r>
      <w:permEnd w:id="12"/>
      <w:r>
        <w:rPr>
          <w:rFonts w:hint="eastAsia" w:ascii="仿宋_GB2312" w:hAnsi="仿宋_GB2312" w:eastAsia="仿宋_GB2312" w:cs="仿宋_GB2312"/>
          <w:color w:val="000000"/>
          <w:sz w:val="28"/>
          <w:szCs w:val="28"/>
          <w:highlight w:val="none"/>
        </w:rPr>
        <w:t>合同工期总日历天数与根据前述计划开工</w:t>
      </w:r>
      <w:r>
        <w:rPr>
          <w:rFonts w:hint="eastAsia" w:ascii="仿宋_GB2312" w:hAnsi="仿宋_GB2312" w:eastAsia="仿宋_GB2312" w:cs="仿宋_GB2312"/>
          <w:color w:val="000000"/>
          <w:spacing w:val="-20"/>
          <w:sz w:val="28"/>
          <w:szCs w:val="28"/>
          <w:highlight w:val="none"/>
        </w:rPr>
        <w:t>、完工日期计算的天数不一致的，以合同工期总日历天数为准。</w:t>
      </w:r>
    </w:p>
    <w:p w14:paraId="59501B8F">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宋体"/>
          <w:sz w:val="28"/>
          <w:szCs w:val="28"/>
          <w:highlight w:val="none"/>
        </w:rPr>
      </w:pPr>
      <w:r>
        <w:rPr>
          <w:rFonts w:hint="eastAsia" w:ascii="仿宋_GB2312" w:hAnsi="仿宋_GB2312" w:eastAsia="仿宋_GB2312" w:cs="仿宋_GB2312"/>
          <w:color w:val="000000"/>
          <w:sz w:val="28"/>
          <w:szCs w:val="28"/>
          <w:highlight w:val="none"/>
        </w:rPr>
        <w:t>本分包合同工期已综合考虑法定节假日（特别是中秋、春节等重要节假日）、非极端不利天气、中高考、两会及其他政府会议、农忙、扰民与民扰、城管管制、甲方或建设单位或政府部门领导检查、观摩、工地现状、空气污染预警、环保政策要求、交叉施工、配合施工的等待时间等对工期产生的影响，乙方承诺不因此类原因提出任何有关的工期和费用索赔。</w:t>
      </w:r>
    </w:p>
    <w:p w14:paraId="13B95630">
      <w:pPr>
        <w:pStyle w:val="6"/>
        <w:numPr>
          <w:ilvl w:val="0"/>
          <w:numId w:val="1"/>
        </w:numPr>
        <w:ind w:left="0" w:leftChars="0" w:firstLine="562" w:firstLineChars="200"/>
        <w:rPr>
          <w:rFonts w:cs="Times New Roman"/>
          <w:bCs w:val="0"/>
          <w:color w:val="000000"/>
          <w:highlight w:val="none"/>
        </w:rPr>
      </w:pPr>
      <w:bookmarkStart w:id="21" w:name="_Toc2709"/>
      <w:bookmarkStart w:id="22" w:name="_Toc389602799"/>
      <w:bookmarkStart w:id="23" w:name="_Toc384137525"/>
      <w:bookmarkStart w:id="24" w:name="_Toc383940880"/>
      <w:bookmarkStart w:id="25" w:name="_Toc389663456"/>
      <w:bookmarkStart w:id="26" w:name="_Toc384026354"/>
      <w:r>
        <w:rPr>
          <w:rFonts w:cs="Times New Roman"/>
          <w:bCs w:val="0"/>
          <w:color w:val="000000"/>
          <w:highlight w:val="none"/>
        </w:rPr>
        <w:t>质量、安全文明施工标准及创优目标</w:t>
      </w:r>
      <w:bookmarkEnd w:id="21"/>
    </w:p>
    <w:p w14:paraId="03357487">
      <w:pPr>
        <w:numPr>
          <w:ilvl w:val="1"/>
          <w:numId w:val="1"/>
        </w:numPr>
        <w:spacing w:line="4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质量标准：</w:t>
      </w:r>
      <w:permStart w:id="13" w:edGrp="everyone"/>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合格</w:t>
      </w:r>
      <w:r>
        <w:rPr>
          <w:rFonts w:hint="eastAsia" w:ascii="仿宋_GB2312" w:hAnsi="仿宋_GB2312" w:eastAsia="仿宋_GB2312" w:cs="仿宋_GB2312"/>
          <w:color w:val="000000"/>
          <w:sz w:val="28"/>
          <w:szCs w:val="28"/>
          <w:highlight w:val="none"/>
        </w:rPr>
        <w:t>】</w:t>
      </w:r>
      <w:permEnd w:id="13"/>
      <w:r>
        <w:rPr>
          <w:rFonts w:hint="eastAsia" w:ascii="仿宋_GB2312" w:hAnsi="仿宋_GB2312" w:eastAsia="仿宋_GB2312" w:cs="仿宋_GB2312"/>
          <w:color w:val="000000"/>
          <w:sz w:val="28"/>
          <w:szCs w:val="28"/>
          <w:highlight w:val="none"/>
        </w:rPr>
        <w:t>，创优要求：</w:t>
      </w:r>
      <w:permStart w:id="14" w:edGrp="everyone"/>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w:t>
      </w:r>
      <w:permEnd w:id="14"/>
      <w:r>
        <w:rPr>
          <w:rFonts w:hint="eastAsia" w:ascii="仿宋_GB2312" w:hAnsi="仿宋_GB2312" w:eastAsia="仿宋_GB2312" w:cs="仿宋_GB2312"/>
          <w:color w:val="000000"/>
          <w:sz w:val="28"/>
          <w:szCs w:val="28"/>
          <w:highlight w:val="none"/>
        </w:rPr>
        <w:t>，并符合</w:t>
      </w:r>
      <w:permStart w:id="15" w:edGrp="everyone"/>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w:t>
      </w:r>
      <w:permEnd w:id="15"/>
      <w:r>
        <w:rPr>
          <w:rFonts w:hint="eastAsia" w:ascii="仿宋_GB2312" w:hAnsi="仿宋_GB2312" w:eastAsia="仿宋_GB2312" w:cs="仿宋_GB2312"/>
          <w:color w:val="000000"/>
          <w:sz w:val="28"/>
          <w:szCs w:val="28"/>
          <w:highlight w:val="none"/>
        </w:rPr>
        <w:t>标准。因创优所发生的费用均已包含在合同价款中，结算时不再另行调整。</w:t>
      </w:r>
    </w:p>
    <w:p w14:paraId="3193F9B4">
      <w:pPr>
        <w:numPr>
          <w:ilvl w:val="0"/>
          <w:numId w:val="0"/>
        </w:numPr>
        <w:spacing w:line="480" w:lineRule="exact"/>
        <w:ind w:leftChars="200"/>
        <w:rPr>
          <w:highlight w:val="none"/>
        </w:rPr>
      </w:pPr>
      <w:r>
        <w:rPr>
          <w:rFonts w:hint="eastAsia" w:ascii="仿宋_GB2312" w:hAnsi="仿宋_GB2312" w:eastAsia="仿宋_GB2312" w:cs="仿宋_GB2312"/>
          <w:color w:val="000000"/>
          <w:sz w:val="28"/>
          <w:szCs w:val="28"/>
          <w:highlight w:val="none"/>
        </w:rPr>
        <w:t>3.2 安全生产、文明施工达到JGJ59-2011合格要求。杜绝重伤死亡事故，控制轻伤事故，轻伤率</w:t>
      </w:r>
      <w:permStart w:id="16" w:edGrp="everyone"/>
      <w:r>
        <w:rPr>
          <w:rFonts w:hint="eastAsia" w:ascii="仿宋_GB2312" w:hAnsi="仿宋_GB2312" w:eastAsia="仿宋_GB2312" w:cs="仿宋_GB2312"/>
          <w:color w:val="000000"/>
          <w:sz w:val="28"/>
          <w:szCs w:val="28"/>
          <w:highlight w:val="none"/>
        </w:rPr>
        <w:t>【2】</w:t>
      </w:r>
      <w:permEnd w:id="16"/>
      <w:r>
        <w:rPr>
          <w:rFonts w:hint="eastAsia" w:ascii="仿宋_GB2312" w:hAnsi="仿宋_GB2312" w:eastAsia="仿宋_GB2312" w:cs="仿宋_GB2312"/>
          <w:color w:val="000000"/>
          <w:sz w:val="28"/>
          <w:szCs w:val="28"/>
          <w:highlight w:val="none"/>
        </w:rPr>
        <w:t>‰以内；杜绝机械设备事故、火灾事故和公共安全事故、防止职业病发生；创优目标：</w:t>
      </w:r>
      <w:permStart w:id="17" w:edGrp="everyone"/>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 xml:space="preserve">】 </w:t>
      </w:r>
      <w:permEnd w:id="17"/>
      <w:r>
        <w:rPr>
          <w:rFonts w:hint="eastAsia" w:ascii="仿宋_GB2312" w:hAnsi="仿宋_GB2312" w:eastAsia="仿宋_GB2312" w:cs="仿宋_GB2312"/>
          <w:color w:val="000000"/>
          <w:sz w:val="28"/>
          <w:szCs w:val="28"/>
          <w:highlight w:val="none"/>
        </w:rPr>
        <w:t>。</w:t>
      </w:r>
    </w:p>
    <w:bookmarkEnd w:id="22"/>
    <w:bookmarkEnd w:id="23"/>
    <w:bookmarkEnd w:id="24"/>
    <w:bookmarkEnd w:id="25"/>
    <w:bookmarkEnd w:id="26"/>
    <w:p w14:paraId="144FBE9E">
      <w:pPr>
        <w:pStyle w:val="6"/>
        <w:keepNext/>
        <w:keepLines/>
        <w:pageBreakBefore w:val="0"/>
        <w:widowControl w:val="0"/>
        <w:numPr>
          <w:ilvl w:val="0"/>
          <w:numId w:val="1"/>
        </w:numPr>
        <w:kinsoku/>
        <w:wordWrap/>
        <w:overflowPunct/>
        <w:topLinePunct w:val="0"/>
        <w:autoSpaceDE/>
        <w:autoSpaceDN/>
        <w:bidi w:val="0"/>
        <w:adjustRightInd/>
        <w:snapToGrid/>
        <w:ind w:left="0" w:leftChars="0" w:firstLine="562" w:firstLineChars="200"/>
        <w:textAlignment w:val="auto"/>
        <w:rPr>
          <w:rFonts w:cs="Times New Roman"/>
          <w:bCs w:val="0"/>
          <w:color w:val="000000"/>
          <w:highlight w:val="none"/>
        </w:rPr>
      </w:pPr>
      <w:bookmarkStart w:id="27" w:name="_Toc13077"/>
      <w:r>
        <w:rPr>
          <w:rFonts w:hint="eastAsia" w:ascii="黑体" w:hAnsi="黑体" w:eastAsia="黑体" w:cs="黑体"/>
          <w:bCs w:val="0"/>
          <w:color w:val="000000"/>
          <w:highlight w:val="none"/>
        </w:rPr>
        <w:t>签约合同价与合同价格形式</w:t>
      </w:r>
      <w:bookmarkEnd w:id="27"/>
      <w:bookmarkStart w:id="28" w:name="_Hlk132269406"/>
    </w:p>
    <w:bookmarkEnd w:id="28"/>
    <w:p w14:paraId="7B486DDA">
      <w:pPr>
        <w:spacing w:line="480" w:lineRule="exact"/>
        <w:ind w:firstLine="560" w:firstLineChars="200"/>
        <w:jc w:val="both"/>
        <w:rPr>
          <w:rFonts w:hint="default" w:ascii="仿宋_GB2312" w:hAnsi="仿宋_GB2312" w:eastAsia="仿宋_GB2312" w:cs="仿宋_GB2312"/>
          <w:color w:val="000000"/>
          <w:sz w:val="28"/>
          <w:szCs w:val="28"/>
          <w:highlight w:val="none"/>
          <w:lang w:val="en-US" w:eastAsia="zh-CN"/>
        </w:rPr>
      </w:pPr>
      <w:r>
        <w:rPr>
          <w:rFonts w:ascii="仿宋_GB2312" w:hAnsi="仿宋_GB2312" w:eastAsia="仿宋_GB2312" w:cs="仿宋_GB2312"/>
          <w:color w:val="000000"/>
          <w:sz w:val="28"/>
          <w:szCs w:val="28"/>
          <w:highlight w:val="none"/>
        </w:rPr>
        <w:t>4</w:t>
      </w: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 xml:space="preserve">1 </w:t>
      </w:r>
      <w:r>
        <w:rPr>
          <w:rFonts w:hint="eastAsia" w:ascii="仿宋_GB2312" w:hAnsi="仿宋_GB2312" w:eastAsia="仿宋_GB2312" w:cs="仿宋_GB2312"/>
          <w:color w:val="000000"/>
          <w:sz w:val="28"/>
          <w:szCs w:val="28"/>
          <w:highlight w:val="none"/>
        </w:rPr>
        <w:t>签约合同价（含增值税）为：暂定人民币（大写）</w:t>
      </w:r>
      <w:permStart w:id="18" w:edGrp="everyone"/>
      <w:r>
        <w:rPr>
          <w:rFonts w:hint="eastAsia" w:ascii="仿宋_GB2312" w:hAnsi="仿宋_GB2312" w:eastAsia="仿宋_GB2312" w:cs="仿宋_GB2312"/>
          <w:b/>
          <w:color w:val="000000"/>
          <w:sz w:val="28"/>
          <w:szCs w:val="28"/>
          <w:highlight w:val="none"/>
        </w:rPr>
        <w:t>【】</w:t>
      </w:r>
      <w:permEnd w:id="18"/>
      <w:r>
        <w:rPr>
          <w:rFonts w:hint="eastAsia" w:ascii="仿宋_GB2312" w:hAnsi="仿宋_GB2312" w:eastAsia="仿宋_GB2312" w:cs="仿宋_GB2312"/>
          <w:color w:val="000000"/>
          <w:sz w:val="28"/>
          <w:szCs w:val="28"/>
          <w:highlight w:val="none"/>
        </w:rPr>
        <w:t>(¥</w:t>
      </w:r>
      <w:permStart w:id="19" w:edGrp="everyone"/>
      <w:r>
        <w:rPr>
          <w:rFonts w:hint="eastAsia" w:ascii="仿宋_GB2312" w:hAnsi="仿宋_GB2312" w:eastAsia="仿宋_GB2312" w:cs="仿宋_GB2312"/>
          <w:b/>
          <w:color w:val="000000"/>
          <w:sz w:val="28"/>
          <w:szCs w:val="28"/>
          <w:highlight w:val="none"/>
        </w:rPr>
        <w:t>【】</w:t>
      </w:r>
      <w:permEnd w:id="19"/>
      <w:r>
        <w:rPr>
          <w:rFonts w:hint="eastAsia" w:ascii="仿宋_GB2312" w:hAnsi="仿宋_GB2312" w:eastAsia="仿宋_GB2312" w:cs="仿宋_GB2312"/>
          <w:color w:val="000000"/>
          <w:sz w:val="28"/>
          <w:szCs w:val="28"/>
          <w:highlight w:val="none"/>
        </w:rPr>
        <w:t>元)。此合同价为暂定价，最终以甲方确认的实际结算值为准。其中，不含增值税合同价款为人民币（大写）</w:t>
      </w:r>
      <w:permStart w:id="20" w:edGrp="everyone"/>
      <w:r>
        <w:rPr>
          <w:rFonts w:hint="eastAsia" w:ascii="仿宋_GB2312" w:hAnsi="仿宋_GB2312" w:eastAsia="仿宋_GB2312" w:cs="仿宋_GB2312"/>
          <w:color w:val="000000"/>
          <w:sz w:val="28"/>
          <w:szCs w:val="28"/>
          <w:highlight w:val="none"/>
        </w:rPr>
        <w:t>【】（）</w:t>
      </w:r>
      <w:permEnd w:id="20"/>
      <w:r>
        <w:rPr>
          <w:rFonts w:hint="eastAsia" w:ascii="仿宋_GB2312" w:hAnsi="仿宋_GB2312" w:eastAsia="仿宋_GB2312" w:cs="仿宋_GB2312"/>
          <w:color w:val="000000"/>
          <w:sz w:val="28"/>
          <w:szCs w:val="28"/>
          <w:highlight w:val="none"/>
        </w:rPr>
        <w:t>元），增值税为人民币（大写）</w:t>
      </w:r>
      <w:permStart w:id="21" w:edGrp="everyone"/>
      <w:r>
        <w:rPr>
          <w:rFonts w:hint="eastAsia" w:ascii="仿宋_GB2312" w:hAnsi="仿宋_GB2312" w:eastAsia="仿宋_GB2312" w:cs="仿宋_GB2312"/>
          <w:color w:val="000000"/>
          <w:sz w:val="28"/>
          <w:szCs w:val="28"/>
          <w:highlight w:val="none"/>
        </w:rPr>
        <w:t>【】（¥【】</w:t>
      </w:r>
      <w:permEnd w:id="21"/>
      <w:r>
        <w:rPr>
          <w:rFonts w:hint="eastAsia" w:ascii="仿宋_GB2312" w:hAnsi="仿宋_GB2312" w:eastAsia="仿宋_GB2312" w:cs="仿宋_GB2312"/>
          <w:color w:val="000000"/>
          <w:sz w:val="28"/>
          <w:szCs w:val="28"/>
          <w:highlight w:val="none"/>
        </w:rPr>
        <w:t>元），税率</w:t>
      </w:r>
      <w:permStart w:id="22" w:edGrp="everyone"/>
      <w:r>
        <w:rPr>
          <w:rFonts w:hint="eastAsia" w:ascii="仿宋_GB2312" w:hAnsi="仿宋_GB2312" w:eastAsia="仿宋_GB2312" w:cs="仿宋_GB2312"/>
          <w:color w:val="000000"/>
          <w:sz w:val="28"/>
          <w:szCs w:val="28"/>
          <w:highlight w:val="none"/>
        </w:rPr>
        <w:t>【】</w:t>
      </w:r>
      <w:permEnd w:id="22"/>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其中人工费不含税总价为¥</w:t>
      </w:r>
      <w:permStart w:id="23" w:edGrp="everyone"/>
      <w:r>
        <w:rPr>
          <w:rFonts w:hint="eastAsia" w:ascii="仿宋_GB2312" w:hAnsi="仿宋_GB2312" w:eastAsia="仿宋_GB2312" w:cs="仿宋_GB2312"/>
          <w:color w:val="000000"/>
          <w:sz w:val="28"/>
          <w:szCs w:val="28"/>
          <w:highlight w:val="none"/>
          <w:lang w:val="en-US" w:eastAsia="zh-CN"/>
        </w:rPr>
        <w:t>【】</w:t>
      </w:r>
      <w:permEnd w:id="23"/>
      <w:r>
        <w:rPr>
          <w:rFonts w:hint="eastAsia" w:ascii="仿宋_GB2312" w:hAnsi="仿宋_GB2312" w:eastAsia="仿宋_GB2312" w:cs="仿宋_GB2312"/>
          <w:color w:val="000000"/>
          <w:sz w:val="28"/>
          <w:szCs w:val="28"/>
          <w:highlight w:val="none"/>
          <w:lang w:val="en-US" w:eastAsia="zh-CN"/>
        </w:rPr>
        <w:t>元，占不含税合同总价的【】%。</w:t>
      </w:r>
    </w:p>
    <w:p w14:paraId="0F044E59">
      <w:pPr>
        <w:spacing w:line="480" w:lineRule="exact"/>
        <w:ind w:firstLine="560" w:firstLineChars="200"/>
        <w:jc w:val="both"/>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 xml:space="preserve">4.2 </w:t>
      </w:r>
      <w:r>
        <w:rPr>
          <w:rFonts w:hint="eastAsia" w:ascii="仿宋_GB2312" w:hAnsi="仿宋_GB2312" w:eastAsia="仿宋_GB2312" w:cs="仿宋_GB2312"/>
          <w:color w:val="000000"/>
          <w:sz w:val="28"/>
          <w:szCs w:val="28"/>
          <w:highlight w:val="none"/>
        </w:rPr>
        <w:t>合同价格形式为</w:t>
      </w:r>
      <w:permStart w:id="24" w:edGrp="everyone"/>
      <w:r>
        <w:rPr>
          <w:rFonts w:hint="eastAsia" w:ascii="仿宋_GB2312" w:hAnsi="仿宋_GB2312" w:eastAsia="仿宋_GB2312" w:cs="仿宋_GB2312"/>
          <w:color w:val="000000"/>
          <w:sz w:val="28"/>
          <w:szCs w:val="28"/>
          <w:highlight w:val="none"/>
        </w:rPr>
        <w:t>【固定综合单价】</w:t>
      </w:r>
      <w:permEnd w:id="24"/>
      <w:r>
        <w:rPr>
          <w:rFonts w:hint="eastAsia" w:ascii="仿宋_GB2312" w:hAnsi="仿宋_GB2312" w:eastAsia="仿宋_GB2312" w:cs="仿宋_GB2312"/>
          <w:color w:val="000000"/>
          <w:sz w:val="28"/>
          <w:szCs w:val="28"/>
          <w:highlight w:val="none"/>
        </w:rPr>
        <w:t>，</w:t>
      </w:r>
      <w:bookmarkStart w:id="104" w:name="_GoBack"/>
      <w:r>
        <w:rPr>
          <w:rFonts w:hint="eastAsia" w:ascii="仿宋_GB2312" w:hAnsi="仿宋_GB2312" w:eastAsia="仿宋_GB2312" w:cs="仿宋_GB2312"/>
          <w:color w:val="000000"/>
          <w:sz w:val="28"/>
          <w:szCs w:val="28"/>
          <w:highlight w:val="red"/>
          <w:lang w:val="en-US" w:eastAsia="zh-CN"/>
        </w:rPr>
        <w:t>其中绿色施工安全防护措施费结算包干、不做调整</w:t>
      </w:r>
      <w:bookmarkEnd w:id="104"/>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具体单价详见后附工程量清单与计价表（以下简称综合单价表）。</w:t>
      </w:r>
    </w:p>
    <w:p w14:paraId="1F5F2DAE">
      <w:pPr>
        <w:numPr>
          <w:ilvl w:val="12"/>
          <w:numId w:val="0"/>
        </w:numPr>
        <w:spacing w:line="480" w:lineRule="exact"/>
        <w:ind w:firstLine="560" w:firstLineChars="20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（1）固定总价：除特别约定外，合同总价为一次性包死，结算时不作调整。</w:t>
      </w:r>
    </w:p>
    <w:p w14:paraId="699E903E">
      <w:pPr>
        <w:numPr>
          <w:ilvl w:val="12"/>
          <w:numId w:val="0"/>
        </w:numPr>
        <w:spacing w:line="480" w:lineRule="exact"/>
        <w:ind w:firstLine="560" w:firstLineChars="20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（2）固定综合单价：综合单价均为不含税固定单价，除特别约定外综合单价不作调整。</w:t>
      </w:r>
    </w:p>
    <w:p w14:paraId="640B93A3">
      <w:pPr>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综合单价表中不含税综合单价包含但不限于：</w:t>
      </w:r>
    </w:p>
    <w:p w14:paraId="3AC929C8">
      <w:pPr>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①人工费、材料费(甲供材除外)、小型机械费、管理费、利润、除增值税外的其他全部税费（包括但不限于城市建设维护税、教育费附加及地方教育费附加、个人所得税、合同印花税、企业所得税、车船使用税以及国家和地方规定的所有税费）；</w:t>
      </w:r>
    </w:p>
    <w:p w14:paraId="43C8B7FD">
      <w:pPr>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②设备进退场及场外运输费用、材料和设备的场内水平运输及二次及多次倒运费用、二次进场费、专用工具费、缺陷修复费、成品保护费、水电费、措施费（如垃圾清运、现场二次及多次搭拆施工用架子及吊篮、后期服务等费用）、施工降效费、超高费、运输费（含运输保险费）、深化设计费；</w:t>
      </w:r>
    </w:p>
    <w:p w14:paraId="1709A623">
      <w:pPr>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③外经证办理费用、进入工程所在地备案费用、意外人身保险等所有保险费、承包范围内的材料检测及检验试验配合费、第三方检测、验收配合费、安全监督费用、地下障碍物清除费用、交通费、保洁费、风险费用、协调及完成本分包工作内容的安全费用、技术费用、措施费用、乙方自有人员（包括管理人员及劳务工人）的养老保险、工伤保险、医疗保险、失业保险、生育保险、住房公积金、危险作业意外伤害保险及当地政府部门规定的其他险种等与完成本分包工程相关的全部费用；</w:t>
      </w:r>
    </w:p>
    <w:p w14:paraId="745E11EA">
      <w:pPr>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④因疫情常态化防控发生的各种防疫费用。</w:t>
      </w:r>
    </w:p>
    <w:p w14:paraId="4DB049D1">
      <w:pPr>
        <w:numPr>
          <w:ilvl w:val="12"/>
          <w:numId w:val="0"/>
        </w:numPr>
        <w:spacing w:line="480" w:lineRule="exact"/>
        <w:ind w:firstLine="560" w:firstLineChars="20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（3）固定综合单价、措施费总价包干；综合单价均为不含税固定单价，措施费总价一次性包死，除特别约定外不作调整。</w:t>
      </w:r>
    </w:p>
    <w:p w14:paraId="253E99DF">
      <w:pPr>
        <w:spacing w:line="48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（4）其他；</w:t>
      </w:r>
      <w:permStart w:id="25" w:edGrp="everyone"/>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w:t>
      </w:r>
      <w:permEnd w:id="25"/>
      <w:r>
        <w:rPr>
          <w:rFonts w:hint="eastAsia" w:ascii="仿宋_GB2312" w:hAnsi="仿宋_GB2312" w:eastAsia="仿宋_GB2312" w:cs="仿宋_GB2312"/>
          <w:sz w:val="28"/>
          <w:szCs w:val="28"/>
          <w:highlight w:val="none"/>
        </w:rPr>
        <w:t>。</w:t>
      </w:r>
    </w:p>
    <w:p w14:paraId="622AF80A">
      <w:pPr>
        <w:spacing w:line="480" w:lineRule="exact"/>
        <w:ind w:firstLine="560" w:firstLineChars="200"/>
        <w:jc w:val="both"/>
        <w:rPr>
          <w:rFonts w:ascii="仿宋_GB2312" w:hAnsi="仿宋_GB2312" w:eastAsia="仿宋_GB2312" w:cs="仿宋_GB2312"/>
          <w:color w:val="FF0000"/>
          <w:sz w:val="28"/>
          <w:szCs w:val="28"/>
          <w:highlight w:val="none"/>
        </w:rPr>
      </w:pPr>
      <w:r>
        <w:rPr>
          <w:rFonts w:ascii="仿宋_GB2312" w:hAnsi="仿宋_GB2312" w:eastAsia="仿宋_GB2312" w:cs="仿宋_GB2312"/>
          <w:color w:val="000000"/>
          <w:sz w:val="28"/>
          <w:szCs w:val="28"/>
          <w:highlight w:val="none"/>
        </w:rPr>
        <w:t xml:space="preserve">4.3 </w:t>
      </w:r>
      <w:r>
        <w:rPr>
          <w:rFonts w:hint="eastAsia" w:ascii="仿宋_GB2312" w:hAnsi="仿宋_GB2312" w:eastAsia="仿宋_GB2312" w:cs="仿宋_GB2312"/>
          <w:sz w:val="28"/>
          <w:szCs w:val="28"/>
          <w:highlight w:val="none"/>
        </w:rPr>
        <w:t>工程量计算规则：具体详见工程量清单与计价表约定。如未约定，采用</w:t>
      </w:r>
      <w:permStart w:id="26" w:edGrp="everyone"/>
      <w:r>
        <w:rPr>
          <w:rFonts w:hint="eastAsia" w:ascii="仿宋_GB2312" w:hAnsi="仿宋_GB2312" w:eastAsia="仿宋_GB2312" w:cs="仿宋_GB2312"/>
          <w:sz w:val="28"/>
          <w:szCs w:val="28"/>
          <w:highlight w:val="none"/>
        </w:rPr>
        <w:t>【按确</w:t>
      </w:r>
      <w:r>
        <w:rPr>
          <w:rFonts w:hint="default" w:ascii="仿宋_GB2312" w:hAnsi="仿宋_GB2312" w:eastAsia="仿宋_GB2312" w:cs="仿宋_GB2312"/>
          <w:sz w:val="28"/>
          <w:szCs w:val="28"/>
          <w:highlight w:val="none"/>
        </w:rPr>
        <w:t>认的施工图纸、设计变更、招标文件及本合同（工程量清单）中相应的计算规则计算完成工程量(建筑面积)，上述文件中未能提及的项目，甲乙双方参照《广东省安装工程综合定额 2018》相应计算规则协商确定。</w:t>
      </w:r>
      <w:r>
        <w:rPr>
          <w:rFonts w:hint="eastAsia" w:ascii="仿宋_GB2312" w:hAnsi="仿宋_GB2312" w:eastAsia="仿宋_GB2312" w:cs="仿宋_GB2312"/>
          <w:sz w:val="28"/>
          <w:szCs w:val="28"/>
          <w:highlight w:val="none"/>
        </w:rPr>
        <w:t>】</w:t>
      </w:r>
      <w:permEnd w:id="26"/>
      <w:r>
        <w:rPr>
          <w:rFonts w:hint="eastAsia" w:ascii="仿宋_GB2312" w:hAnsi="仿宋_GB2312" w:eastAsia="仿宋_GB2312" w:cs="仿宋_GB2312"/>
          <w:sz w:val="28"/>
          <w:szCs w:val="28"/>
          <w:highlight w:val="none"/>
        </w:rPr>
        <w:t>。</w:t>
      </w:r>
    </w:p>
    <w:p w14:paraId="1EDBE626">
      <w:pPr>
        <w:spacing w:line="480" w:lineRule="exact"/>
        <w:ind w:firstLine="562" w:firstLineChars="200"/>
        <w:rPr>
          <w:rFonts w:ascii="仿宋_GB2312" w:hAnsi="仿宋_GB2312" w:eastAsia="仿宋_GB2312" w:cs="仿宋_GB2312"/>
          <w:b/>
          <w:bCs/>
          <w:color w:val="000000"/>
          <w:sz w:val="28"/>
          <w:szCs w:val="28"/>
          <w:highlight w:val="none"/>
        </w:rPr>
      </w:pPr>
      <w:r>
        <w:rPr>
          <w:rFonts w:ascii="仿宋_GB2312" w:hAnsi="仿宋_GB2312" w:eastAsia="仿宋_GB2312" w:cs="仿宋_GB2312"/>
          <w:b/>
          <w:bCs/>
          <w:color w:val="000000"/>
          <w:sz w:val="28"/>
          <w:szCs w:val="28"/>
          <w:highlight w:val="none"/>
        </w:rPr>
        <w:t xml:space="preserve">4.4 </w:t>
      </w:r>
      <w:r>
        <w:rPr>
          <w:rFonts w:hint="eastAsia" w:ascii="仿宋_GB2312" w:hAnsi="仿宋_GB2312" w:eastAsia="仿宋_GB2312" w:cs="仿宋_GB2312"/>
          <w:b/>
          <w:bCs/>
          <w:color w:val="000000"/>
          <w:sz w:val="28"/>
          <w:szCs w:val="28"/>
          <w:highlight w:val="none"/>
        </w:rPr>
        <w:t>其他</w:t>
      </w:r>
    </w:p>
    <w:p w14:paraId="373587CD">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4.4.1</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所有应由乙方向行政管理部门交纳的费用、人员进出场费用和相关手续费用及其他费用均由乙方承</w:t>
      </w:r>
      <w:r>
        <w:rPr>
          <w:rFonts w:hint="eastAsia" w:ascii="仿宋_GB2312" w:hAnsi="仿宋_GB2312" w:eastAsia="仿宋_GB2312" w:cs="仿宋_GB2312"/>
          <w:color w:val="000000"/>
          <w:sz w:val="28"/>
          <w:szCs w:val="28"/>
        </w:rPr>
        <w:t>担并自行缴纳。本合同中的所有税费，由乙方按照国家相应规定自行缴纳。乙方人员（包括管理人员和劳务工人）的养老保险、工伤保险、医疗保险、失业保险、生育保险、住房公积金、危险作业意外伤害保险及政府部门规定的其他险种等全部费用由乙方承担并自行缴纳。</w:t>
      </w:r>
    </w:p>
    <w:p w14:paraId="4DF7ECF4">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4.4.2 乙方水电使用费用约定：</w:t>
      </w:r>
    </w:p>
    <w:p w14:paraId="44D58A96">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highlight w:val="none"/>
        </w:rPr>
        <w:t>现场、生活水电费按</w:t>
      </w:r>
      <w:r>
        <w:rPr>
          <w:rFonts w:hint="eastAsia" w:ascii="仿宋_GB2312" w:hAnsi="仿宋_GB2312" w:eastAsia="仿宋_GB2312" w:cs="仿宋_GB2312"/>
          <w:sz w:val="28"/>
          <w:szCs w:val="28"/>
          <w:highlight w:val="none"/>
          <w:lang w:val="en-US" w:eastAsia="zh-CN"/>
        </w:rPr>
        <w:t>中期计价和最终</w:t>
      </w:r>
      <w:r>
        <w:rPr>
          <w:rFonts w:hint="eastAsia" w:ascii="仿宋_GB2312" w:hAnsi="仿宋_GB2312" w:eastAsia="仿宋_GB2312" w:cs="仿宋_GB2312"/>
          <w:sz w:val="28"/>
          <w:szCs w:val="28"/>
          <w:highlight w:val="none"/>
        </w:rPr>
        <w:t>结算额的1.5%收取，工人宿舍入住率须达到80%以上，床架床板甲方自行配备，甲方提供的生活用水用电实行挂表，每月每套房电量限额270度、水量限额9㎥，超出部分电费按1.5元/度，水费按6元/㎥收取</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于中期计价和最终</w:t>
      </w:r>
      <w:r>
        <w:rPr>
          <w:rFonts w:hint="eastAsia" w:ascii="仿宋_GB2312" w:hAnsi="仿宋_GB2312" w:eastAsia="仿宋_GB2312" w:cs="仿宋_GB2312"/>
          <w:sz w:val="28"/>
          <w:szCs w:val="28"/>
          <w:highlight w:val="none"/>
        </w:rPr>
        <w:t>结算额</w:t>
      </w:r>
      <w:r>
        <w:rPr>
          <w:rFonts w:hint="eastAsia" w:ascii="仿宋_GB2312" w:hAnsi="仿宋_GB2312" w:eastAsia="仿宋_GB2312" w:cs="仿宋_GB2312"/>
          <w:sz w:val="28"/>
          <w:szCs w:val="28"/>
          <w:highlight w:val="none"/>
          <w:lang w:val="en-US" w:eastAsia="zh-CN"/>
        </w:rPr>
        <w:t>中扣除</w:t>
      </w:r>
      <w:r>
        <w:rPr>
          <w:rFonts w:hint="eastAsia" w:ascii="仿宋_GB2312" w:hAnsi="仿宋_GB2312" w:eastAsia="仿宋_GB2312" w:cs="仿宋_GB2312"/>
          <w:sz w:val="28"/>
          <w:szCs w:val="28"/>
          <w:highlight w:val="none"/>
        </w:rPr>
        <w:t>;</w:t>
      </w:r>
    </w:p>
    <w:p w14:paraId="47DF18B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若工人宿舍为外租房，水电设施由乙方自行解决，乙方按时交纳水电费并承担因房屋租赁引起的一切责任。】</w:t>
      </w:r>
    </w:p>
    <w:p w14:paraId="25F0B96C">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4.4.3 合同备案时所需的一切费用已包含在合同价款中。本合同签订后乙方应负责办理本合同备案事宜，并支付相应费用。如因乙方合同备案不及时导致乙方无法提供发票或提供的发票无法抵扣甲方已经缴纳的税金、施工手续无法正常办理等问题，造成甲方损失的，乙方应承担给甲方造成的损失并支付【2】万元违约金。</w:t>
      </w:r>
    </w:p>
    <w:p w14:paraId="408EA037">
      <w:pPr>
        <w:spacing w:line="480" w:lineRule="exact"/>
        <w:ind w:firstLine="560" w:firstLineChars="200"/>
        <w:rPr>
          <w:rFonts w:ascii="仿宋_GB2312" w:hAnsi="仿宋_GB2312" w:eastAsia="仿宋_GB2312" w:cs="仿宋_GB2312"/>
          <w:color w:val="000000"/>
          <w:spacing w:val="-20"/>
          <w:sz w:val="28"/>
          <w:szCs w:val="28"/>
        </w:rPr>
      </w:pPr>
      <w:r>
        <w:rPr>
          <w:rFonts w:hint="eastAsia" w:ascii="仿宋_GB2312" w:hAnsi="仿宋_GB2312" w:eastAsia="仿宋_GB2312" w:cs="仿宋_GB2312"/>
          <w:color w:val="000000"/>
          <w:sz w:val="28"/>
          <w:szCs w:val="28"/>
        </w:rPr>
        <w:t xml:space="preserve">4.4.4 </w:t>
      </w:r>
      <w:r>
        <w:rPr>
          <w:rFonts w:hint="eastAsia" w:ascii="仿宋_GB2312" w:hAnsi="仿宋_GB2312" w:eastAsia="仿宋_GB2312" w:cs="仿宋_GB2312"/>
          <w:color w:val="000000"/>
          <w:spacing w:val="-20"/>
          <w:sz w:val="28"/>
          <w:szCs w:val="28"/>
        </w:rPr>
        <w:t>安全生产费用已包含在签约合同价中。乙方相应安全生产费用投入：</w:t>
      </w:r>
    </w:p>
    <w:p w14:paraId="31A56C83">
      <w:pPr>
        <w:spacing w:line="480" w:lineRule="exact"/>
        <w:ind w:firstLine="560" w:firstLineChars="200"/>
        <w:rPr>
          <w:rFonts w:ascii="仿宋_GB2312" w:hAnsi="仿宋_GB2312" w:eastAsia="仿宋_GB2312" w:cs="仿宋_GB2312"/>
          <w:color w:val="000000"/>
          <w:spacing w:val="-20"/>
          <w:sz w:val="28"/>
          <w:szCs w:val="28"/>
        </w:rPr>
      </w:pPr>
      <w:r>
        <w:rPr>
          <w:rFonts w:hint="eastAsia" w:ascii="仿宋_GB2312" w:hAnsi="仿宋_GB2312" w:eastAsia="仿宋_GB2312" w:cs="仿宋_GB2312"/>
          <w:color w:val="000000"/>
          <w:sz w:val="28"/>
          <w:szCs w:val="28"/>
        </w:rPr>
        <w:t>①</w:t>
      </w:r>
      <w:r>
        <w:rPr>
          <w:rFonts w:hint="eastAsia" w:ascii="仿宋_GB2312" w:hAnsi="仿宋_GB2312" w:eastAsia="仿宋_GB2312" w:cs="仿宋_GB2312"/>
          <w:color w:val="000000"/>
          <w:spacing w:val="-20"/>
          <w:sz w:val="28"/>
          <w:szCs w:val="28"/>
        </w:rPr>
        <w:t>铁路工程、城市轨道交通工程</w:t>
      </w:r>
      <w:r>
        <w:rPr>
          <w:rFonts w:hint="eastAsia" w:ascii="仿宋_GB2312" w:hAnsi="仿宋_GB2312" w:eastAsia="仿宋_GB2312" w:cs="仿宋_GB2312"/>
          <w:color w:val="000000"/>
          <w:spacing w:val="-20"/>
          <w:sz w:val="28"/>
          <w:szCs w:val="28"/>
          <w:lang w:eastAsia="zh-CN"/>
        </w:rPr>
        <w:t>、</w:t>
      </w:r>
      <w:r>
        <w:rPr>
          <w:rFonts w:hint="eastAsia" w:ascii="仿宋_GB2312" w:hAnsi="仿宋_GB2312" w:eastAsia="仿宋_GB2312" w:cs="仿宋_GB2312"/>
          <w:color w:val="000000"/>
          <w:spacing w:val="-20"/>
          <w:sz w:val="28"/>
          <w:szCs w:val="28"/>
        </w:rPr>
        <w:t>房屋建筑工程、市政公用工程为3%；</w:t>
      </w:r>
    </w:p>
    <w:p w14:paraId="7017381B">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②水利水电工程、电力工程为</w:t>
      </w:r>
      <w:r>
        <w:rPr>
          <w:rFonts w:hint="default" w:ascii="仿宋_GB2312" w:hAnsi="仿宋_GB2312" w:eastAsia="仿宋_GB2312" w:cs="仿宋_GB2312"/>
          <w:color w:val="000000"/>
          <w:sz w:val="28"/>
          <w:szCs w:val="28"/>
          <w:lang w:val="en-US"/>
        </w:rPr>
        <w:t>2.5</w:t>
      </w:r>
      <w:r>
        <w:rPr>
          <w:rFonts w:hint="eastAsia" w:ascii="仿宋_GB2312" w:hAnsi="仿宋_GB2312" w:eastAsia="仿宋_GB2312" w:cs="仿宋_GB2312"/>
          <w:color w:val="000000"/>
          <w:sz w:val="28"/>
          <w:szCs w:val="28"/>
        </w:rPr>
        <w:t>%；</w:t>
      </w:r>
    </w:p>
    <w:p w14:paraId="351556A8">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③冶炼工程、机电安装工程、化工石油工程、港口与航道工程、通信工程为2%；</w:t>
      </w:r>
    </w:p>
    <w:p w14:paraId="18CD3BE6">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④公路工程为1.5%。</w:t>
      </w:r>
    </w:p>
    <w:p w14:paraId="6B3BA9DD">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若地方政府计提标准高于上述要求的，参照地方要求执行。</w:t>
      </w:r>
    </w:p>
    <w:p w14:paraId="070B2024">
      <w:pPr>
        <w:pStyle w:val="6"/>
        <w:keepNext/>
        <w:keepLines/>
        <w:pageBreakBefore w:val="0"/>
        <w:widowControl w:val="0"/>
        <w:numPr>
          <w:ilvl w:val="0"/>
          <w:numId w:val="1"/>
        </w:numPr>
        <w:kinsoku/>
        <w:wordWrap/>
        <w:overflowPunct/>
        <w:topLinePunct w:val="0"/>
        <w:autoSpaceDE/>
        <w:autoSpaceDN/>
        <w:bidi w:val="0"/>
        <w:adjustRightInd w:val="0"/>
        <w:snapToGrid/>
        <w:ind w:left="0" w:leftChars="0" w:firstLine="562" w:firstLineChars="200"/>
        <w:textAlignment w:val="auto"/>
        <w:rPr>
          <w:rFonts w:cs="Times New Roman"/>
          <w:bCs w:val="0"/>
          <w:color w:val="000000"/>
          <w:highlight w:val="none"/>
        </w:rPr>
      </w:pPr>
      <w:bookmarkStart w:id="29" w:name="_Toc15100"/>
      <w:r>
        <w:rPr>
          <w:rFonts w:cs="Times New Roman"/>
          <w:bCs w:val="0"/>
          <w:color w:val="000000"/>
        </w:rPr>
        <w:t>工</w:t>
      </w:r>
      <w:r>
        <w:rPr>
          <w:rFonts w:cs="Times New Roman"/>
          <w:bCs w:val="0"/>
          <w:color w:val="000000"/>
          <w:highlight w:val="none"/>
        </w:rPr>
        <w:t>程款支付</w:t>
      </w:r>
      <w:bookmarkEnd w:id="29"/>
    </w:p>
    <w:p w14:paraId="0BF94E75">
      <w:pPr>
        <w:spacing w:line="48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 xml:space="preserve">5.1 </w:t>
      </w:r>
      <w:r>
        <w:rPr>
          <w:rFonts w:hint="eastAsia" w:ascii="仿宋_GB2312" w:hAnsi="仿宋_GB2312" w:eastAsia="仿宋_GB2312" w:cs="仿宋_GB2312"/>
          <w:color w:val="000000"/>
          <w:sz w:val="28"/>
          <w:szCs w:val="28"/>
          <w:highlight w:val="none"/>
        </w:rPr>
        <w:t>预付款：甲方【</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 xml:space="preserve">】按签约合同价【 </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 xml:space="preserve"> 】%或【 </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 xml:space="preserve"> 】元支付预付款，抵扣方式为【 </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 xml:space="preserve"> 】。</w:t>
      </w:r>
    </w:p>
    <w:p w14:paraId="590382BE">
      <w:pPr>
        <w:spacing w:line="480" w:lineRule="exact"/>
        <w:ind w:firstLine="560" w:firstLineChars="200"/>
        <w:rPr>
          <w:rFonts w:ascii="仿宋_GB2312" w:hAnsi="仿宋_GB2312" w:eastAsia="仿宋_GB2312" w:cs="仿宋_GB2312"/>
          <w:color w:val="000000"/>
          <w:sz w:val="28"/>
          <w:szCs w:val="28"/>
          <w:highlight w:val="none"/>
        </w:rPr>
      </w:pPr>
      <w:permStart w:id="27" w:edGrp="everyone"/>
      <w:r>
        <w:rPr>
          <w:rFonts w:ascii="仿宋_GB2312" w:hAnsi="仿宋_GB2312" w:eastAsia="仿宋_GB2312" w:cs="仿宋_GB2312"/>
          <w:color w:val="000000"/>
          <w:sz w:val="28"/>
          <w:szCs w:val="28"/>
          <w:highlight w:val="none"/>
        </w:rPr>
        <w:t xml:space="preserve">5.2 </w:t>
      </w:r>
      <w:r>
        <w:rPr>
          <w:rFonts w:hint="eastAsia" w:ascii="仿宋_GB2312" w:hAnsi="仿宋_GB2312" w:eastAsia="仿宋_GB2312" w:cs="仿宋_GB2312"/>
          <w:color w:val="000000"/>
          <w:sz w:val="28"/>
          <w:szCs w:val="28"/>
          <w:highlight w:val="none"/>
        </w:rPr>
        <w:t xml:space="preserve">进度款：本工程按【 </w:t>
      </w:r>
      <w:r>
        <w:rPr>
          <w:rFonts w:hint="eastAsia" w:ascii="仿宋_GB2312" w:hAnsi="仿宋_GB2312" w:eastAsia="仿宋_GB2312" w:cs="仿宋_GB2312"/>
          <w:color w:val="000000"/>
          <w:sz w:val="28"/>
          <w:szCs w:val="28"/>
          <w:highlight w:val="none"/>
          <w:lang w:val="en-US" w:eastAsia="zh-CN"/>
        </w:rPr>
        <w:t>月</w:t>
      </w:r>
      <w:r>
        <w:rPr>
          <w:rFonts w:hint="eastAsia" w:ascii="仿宋_GB2312" w:hAnsi="仿宋_GB2312" w:eastAsia="仿宋_GB2312" w:cs="仿宋_GB2312"/>
          <w:color w:val="000000"/>
          <w:sz w:val="28"/>
          <w:szCs w:val="28"/>
          <w:highlight w:val="none"/>
        </w:rPr>
        <w:t xml:space="preserve"> 】支付工程款，</w:t>
      </w:r>
      <w:r>
        <w:rPr>
          <w:rFonts w:hint="eastAsia" w:ascii="仿宋_GB2312" w:hAnsi="仿宋_GB2312" w:eastAsia="仿宋_GB2312" w:cs="仿宋_GB2312"/>
          <w:sz w:val="28"/>
          <w:szCs w:val="28"/>
          <w:highlight w:val="none"/>
        </w:rPr>
        <w:t>确认产值后次月向乙方支付相当于上月得到确认的完成量的</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75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进度款。</w:t>
      </w:r>
    </w:p>
    <w:p w14:paraId="20647F53">
      <w:pPr>
        <w:spacing w:line="48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 xml:space="preserve">5.3 </w:t>
      </w:r>
      <w:r>
        <w:rPr>
          <w:rFonts w:hint="eastAsia" w:ascii="仿宋_GB2312" w:hAnsi="仿宋_GB2312" w:eastAsia="仿宋_GB2312" w:cs="仿宋_GB2312"/>
          <w:color w:val="000000"/>
          <w:sz w:val="28"/>
          <w:szCs w:val="28"/>
          <w:highlight w:val="none"/>
        </w:rPr>
        <w:t>完工付款：本分包工程完工验收合格且</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sz w:val="28"/>
          <w:szCs w:val="28"/>
          <w:highlight w:val="none"/>
        </w:rPr>
        <w:t>乙方上报结算书，分包工程结算经华南公司终审完成后，6个月</w:t>
      </w:r>
      <w:r>
        <w:rPr>
          <w:rFonts w:hint="eastAsia" w:ascii="仿宋_GB2312" w:hAnsi="仿宋_GB2312" w:eastAsia="仿宋_GB2312" w:cs="仿宋_GB2312"/>
          <w:sz w:val="28"/>
          <w:szCs w:val="28"/>
          <w:highlight w:val="none"/>
          <w:lang w:val="en-US" w:eastAsia="zh-CN"/>
        </w:rPr>
        <w:t>内</w:t>
      </w:r>
      <w:r>
        <w:rPr>
          <w:rFonts w:hint="eastAsia" w:ascii="仿宋_GB2312" w:hAnsi="仿宋_GB2312" w:eastAsia="仿宋_GB2312" w:cs="仿宋_GB2312"/>
          <w:sz w:val="28"/>
          <w:szCs w:val="28"/>
          <w:highlight w:val="none"/>
        </w:rPr>
        <w:t>支付至</w:t>
      </w:r>
      <w:r>
        <w:rPr>
          <w:rFonts w:hint="eastAsia" w:ascii="仿宋_GB2312" w:hAnsi="仿宋_GB2312" w:eastAsia="仿宋_GB2312" w:cs="仿宋_GB2312"/>
          <w:sz w:val="28"/>
          <w:szCs w:val="28"/>
          <w:highlight w:val="none"/>
          <w:lang w:val="en-US" w:eastAsia="zh-CN"/>
        </w:rPr>
        <w:t>80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000000"/>
          <w:sz w:val="28"/>
          <w:szCs w:val="28"/>
          <w:highlight w:val="none"/>
        </w:rPr>
        <w:t>。</w:t>
      </w:r>
    </w:p>
    <w:p w14:paraId="779D3AB4">
      <w:pPr>
        <w:spacing w:line="480" w:lineRule="exact"/>
        <w:ind w:firstLine="560" w:firstLineChars="200"/>
        <w:rPr>
          <w:rFonts w:ascii="仿宋_GB2312" w:hAnsi="仿宋_GB2312" w:eastAsia="仿宋_GB2312" w:cs="仿宋_GB2312"/>
          <w:color w:val="FF0000"/>
          <w:sz w:val="28"/>
          <w:szCs w:val="28"/>
          <w:highlight w:val="none"/>
        </w:rPr>
      </w:pPr>
      <w:r>
        <w:rPr>
          <w:rFonts w:ascii="仿宋_GB2312" w:hAnsi="仿宋_GB2312" w:eastAsia="仿宋_GB2312" w:cs="仿宋_GB2312"/>
          <w:color w:val="000000"/>
          <w:sz w:val="28"/>
          <w:szCs w:val="28"/>
          <w:highlight w:val="none"/>
        </w:rPr>
        <w:t xml:space="preserve">5.4 </w:t>
      </w:r>
      <w:r>
        <w:rPr>
          <w:rFonts w:hint="eastAsia" w:ascii="仿宋_GB2312" w:hAnsi="仿宋_GB2312" w:eastAsia="仿宋_GB2312" w:cs="仿宋_GB2312"/>
          <w:color w:val="000000"/>
          <w:sz w:val="28"/>
          <w:szCs w:val="28"/>
          <w:highlight w:val="none"/>
        </w:rPr>
        <w:t>尾款支付：【整体工程】竣工验收合格后且分包结算经华南公司终审完成后，</w:t>
      </w:r>
      <w:r>
        <w:rPr>
          <w:rFonts w:hint="eastAsia" w:ascii="仿宋_GB2312" w:hAnsi="仿宋_GB2312" w:eastAsia="仿宋_GB2312" w:cs="仿宋_GB2312"/>
          <w:color w:val="000000"/>
          <w:sz w:val="28"/>
          <w:szCs w:val="28"/>
          <w:highlight w:val="none"/>
          <w:lang w:val="en-US" w:eastAsia="zh-CN"/>
        </w:rPr>
        <w:t>3个月</w:t>
      </w:r>
      <w:r>
        <w:rPr>
          <w:rFonts w:hint="eastAsia" w:ascii="仿宋_GB2312" w:hAnsi="仿宋_GB2312" w:eastAsia="仿宋_GB2312" w:cs="仿宋_GB2312"/>
          <w:sz w:val="28"/>
          <w:szCs w:val="28"/>
          <w:highlight w:val="none"/>
          <w:lang w:val="en-US" w:eastAsia="zh-CN"/>
        </w:rPr>
        <w:t>内</w:t>
      </w:r>
      <w:r>
        <w:rPr>
          <w:rFonts w:hint="eastAsia" w:ascii="仿宋_GB2312" w:hAnsi="仿宋_GB2312" w:eastAsia="仿宋_GB2312" w:cs="仿宋_GB2312"/>
          <w:color w:val="000000"/>
          <w:sz w:val="28"/>
          <w:szCs w:val="28"/>
          <w:highlight w:val="none"/>
          <w:lang w:val="en-US" w:eastAsia="zh-CN"/>
        </w:rPr>
        <w:t>付至结算额的</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85</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12个月</w:t>
      </w:r>
      <w:r>
        <w:rPr>
          <w:rFonts w:hint="eastAsia" w:ascii="仿宋_GB2312" w:hAnsi="仿宋_GB2312" w:eastAsia="仿宋_GB2312" w:cs="仿宋_GB2312"/>
          <w:sz w:val="28"/>
          <w:szCs w:val="28"/>
          <w:highlight w:val="none"/>
          <w:lang w:val="en-US" w:eastAsia="zh-CN"/>
        </w:rPr>
        <w:t>内</w:t>
      </w:r>
      <w:r>
        <w:rPr>
          <w:rFonts w:hint="eastAsia" w:ascii="仿宋_GB2312" w:hAnsi="仿宋_GB2312" w:eastAsia="仿宋_GB2312" w:cs="仿宋_GB2312"/>
          <w:color w:val="000000"/>
          <w:sz w:val="28"/>
          <w:szCs w:val="28"/>
          <w:highlight w:val="none"/>
        </w:rPr>
        <w:t>付至结算额的【 97 】%，剩余【</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】%作为质保金。质保金不计利息，自本项目【整体工程】竣工验收合格满【两年】后</w:t>
      </w:r>
      <w:r>
        <w:rPr>
          <w:rFonts w:hint="eastAsia" w:ascii="仿宋_GB2312" w:hAnsi="仿宋_GB2312" w:eastAsia="仿宋_GB2312" w:cs="仿宋_GB2312"/>
          <w:color w:val="000000"/>
          <w:sz w:val="28"/>
          <w:szCs w:val="28"/>
          <w:highlight w:val="none"/>
          <w:lang w:val="en-US" w:eastAsia="zh-CN"/>
        </w:rPr>
        <w:t>12个月</w:t>
      </w:r>
      <w:r>
        <w:rPr>
          <w:rFonts w:hint="eastAsia" w:ascii="仿宋_GB2312" w:hAnsi="仿宋_GB2312" w:eastAsia="仿宋_GB2312" w:cs="仿宋_GB2312"/>
          <w:sz w:val="28"/>
          <w:szCs w:val="28"/>
          <w:highlight w:val="none"/>
          <w:lang w:val="en-US" w:eastAsia="zh-CN"/>
        </w:rPr>
        <w:t>内</w:t>
      </w:r>
      <w:r>
        <w:rPr>
          <w:rFonts w:hint="eastAsia" w:ascii="仿宋_GB2312" w:hAnsi="仿宋_GB2312" w:eastAsia="仿宋_GB2312" w:cs="仿宋_GB2312"/>
          <w:color w:val="000000"/>
          <w:sz w:val="28"/>
          <w:szCs w:val="28"/>
          <w:highlight w:val="none"/>
        </w:rPr>
        <w:t>付清。</w:t>
      </w:r>
    </w:p>
    <w:p w14:paraId="176EB0E3">
      <w:pPr>
        <w:spacing w:line="48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 xml:space="preserve">5.5 </w:t>
      </w:r>
      <w:r>
        <w:rPr>
          <w:rFonts w:hint="eastAsia" w:ascii="仿宋_GB2312" w:hAnsi="仿宋_GB2312" w:eastAsia="仿宋_GB2312" w:cs="仿宋_GB2312"/>
          <w:color w:val="000000"/>
          <w:sz w:val="28"/>
          <w:szCs w:val="28"/>
          <w:highlight w:val="none"/>
        </w:rPr>
        <w:t xml:space="preserve">支付方式：乙方同意甲方采用【 </w:t>
      </w:r>
      <w:r>
        <w:rPr>
          <w:rFonts w:hint="eastAsia" w:ascii="仿宋_GB2312" w:hAnsi="仿宋_GB2312" w:eastAsia="仿宋_GB2312" w:cs="仿宋_GB2312"/>
          <w:sz w:val="28"/>
          <w:szCs w:val="28"/>
          <w:highlight w:val="none"/>
        </w:rPr>
        <w:t>银行转账支票、网银转账、银行承兑汇票、商业承兑汇票、国内信用证、银行保理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供应链ABS、信用证</w:t>
      </w:r>
      <w:r>
        <w:rPr>
          <w:rFonts w:hint="eastAsia" w:ascii="仿宋_GB2312" w:hAnsi="仿宋_GB2312" w:eastAsia="仿宋_GB2312" w:cs="仿宋_GB2312"/>
          <w:sz w:val="28"/>
          <w:szCs w:val="28"/>
          <w:highlight w:val="none"/>
        </w:rPr>
        <w:t>及其他</w:t>
      </w:r>
      <w:r>
        <w:rPr>
          <w:rFonts w:hint="eastAsia" w:ascii="仿宋_GB2312" w:hAnsi="仿宋_GB2312" w:eastAsia="仿宋_GB2312" w:cs="仿宋_GB2312"/>
          <w:color w:val="000000"/>
          <w:sz w:val="28"/>
          <w:szCs w:val="28"/>
          <w:highlight w:val="none"/>
        </w:rPr>
        <w:t xml:space="preserve">  】的支付方式或其他合法有效的付款方式（【 </w:t>
      </w:r>
      <w:r>
        <w:rPr>
          <w:rFonts w:hint="eastAsia" w:ascii="仿宋_GB2312" w:hAnsi="仿宋_GB2312" w:eastAsia="仿宋_GB2312" w:cs="仿宋_GB2312"/>
          <w:color w:val="000000"/>
          <w:sz w:val="28"/>
          <w:szCs w:val="28"/>
          <w:highlight w:val="none"/>
          <w:lang w:val="en-US" w:eastAsia="zh-CN"/>
        </w:rPr>
        <w:t>乙</w:t>
      </w:r>
      <w:r>
        <w:rPr>
          <w:rFonts w:hint="eastAsia" w:ascii="仿宋_GB2312" w:hAnsi="仿宋_GB2312" w:eastAsia="仿宋_GB2312" w:cs="仿宋_GB2312"/>
          <w:color w:val="000000"/>
          <w:sz w:val="28"/>
          <w:szCs w:val="28"/>
          <w:highlight w:val="none"/>
        </w:rPr>
        <w:t xml:space="preserve"> 】方承担全部贴息费用和手续费）。</w:t>
      </w:r>
    </w:p>
    <w:permEnd w:id="27"/>
    <w:p w14:paraId="6182326F">
      <w:pPr>
        <w:spacing w:line="48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color w:val="000000"/>
          <w:sz w:val="28"/>
          <w:szCs w:val="28"/>
          <w:highlight w:val="none"/>
        </w:rPr>
        <w:t xml:space="preserve">5.6 </w:t>
      </w:r>
      <w:r>
        <w:rPr>
          <w:rFonts w:hint="eastAsia" w:ascii="仿宋_GB2312" w:hAnsi="仿宋_GB2312" w:eastAsia="仿宋_GB2312" w:cs="仿宋_GB2312"/>
          <w:sz w:val="28"/>
          <w:szCs w:val="28"/>
          <w:highlight w:val="none"/>
        </w:rPr>
        <w:t>关于乙方指定收款账户：乙方指定下列账户为收款账户，甲方采用转账方式付款时，应支付至下列帐户。如乙方变更收款帐户，应提前十五天以上书面通知甲方，否则造成资金的损失由</w:t>
      </w:r>
      <w:r>
        <w:rPr>
          <w:rFonts w:hint="eastAsia" w:ascii="仿宋_GB2312" w:hAnsi="仿宋_GB2312" w:eastAsia="仿宋_GB2312" w:cs="仿宋_GB2312"/>
          <w:sz w:val="28"/>
          <w:szCs w:val="28"/>
        </w:rPr>
        <w:t>乙方自行承担，</w:t>
      </w:r>
      <w:r>
        <w:rPr>
          <w:rFonts w:hint="eastAsia" w:ascii="仿宋_GB2312" w:hAnsi="仿宋_GB2312" w:eastAsia="仿宋_GB2312" w:cs="仿宋_GB2312"/>
          <w:sz w:val="28"/>
          <w:szCs w:val="28"/>
          <w:highlight w:val="none"/>
        </w:rPr>
        <w:t>与甲方无关。乙方指定收款帐户为：</w:t>
      </w:r>
    </w:p>
    <w:p w14:paraId="786ED9FF">
      <w:pPr>
        <w:spacing w:line="480" w:lineRule="exact"/>
        <w:ind w:firstLine="560" w:firstLineChars="200"/>
        <w:rPr>
          <w:rFonts w:ascii="仿宋_GB2312" w:hAnsi="仿宋_GB2312" w:eastAsia="仿宋_GB2312" w:cs="仿宋_GB2312"/>
          <w:sz w:val="28"/>
          <w:szCs w:val="28"/>
          <w:highlight w:val="none"/>
        </w:rPr>
      </w:pPr>
      <w:permStart w:id="28" w:edGrp="everyone"/>
      <w:r>
        <w:rPr>
          <w:rFonts w:hint="eastAsia" w:ascii="仿宋_GB2312" w:hAnsi="仿宋_GB2312" w:eastAsia="仿宋_GB2312" w:cs="仿宋_GB2312"/>
          <w:sz w:val="28"/>
          <w:szCs w:val="28"/>
          <w:highlight w:val="none"/>
        </w:rPr>
        <w:t>账户名：【】</w:t>
      </w:r>
    </w:p>
    <w:p w14:paraId="449C072F">
      <w:pPr>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p>
    <w:p w14:paraId="48738951">
      <w:p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账  号：【】</w:t>
      </w:r>
    </w:p>
    <w:permEnd w:id="28"/>
    <w:p w14:paraId="0065649F">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5.7 每期报量经甲方审核确认后3日内，乙方</w:t>
      </w:r>
      <w:r>
        <w:rPr>
          <w:rFonts w:hint="eastAsia" w:ascii="仿宋_GB2312" w:hAnsi="仿宋_GB2312" w:eastAsia="仿宋_GB2312" w:cs="仿宋_GB2312"/>
          <w:color w:val="000000"/>
          <w:sz w:val="28"/>
          <w:szCs w:val="28"/>
        </w:rPr>
        <w:t>按合同约定税率开具与当期</w:t>
      </w:r>
      <w:r>
        <w:rPr>
          <w:rFonts w:hint="eastAsia" w:ascii="仿宋_GB2312" w:hAnsi="仿宋_GB2312" w:eastAsia="仿宋_GB2312" w:cs="仿宋_GB2312"/>
          <w:sz w:val="28"/>
          <w:szCs w:val="28"/>
          <w:highlight w:val="none"/>
          <w:lang w:val="en-US" w:eastAsia="zh-CN"/>
        </w:rPr>
        <w:t>确权产值</w:t>
      </w:r>
      <w:r>
        <w:rPr>
          <w:rFonts w:hint="eastAsia" w:ascii="仿宋_GB2312" w:hAnsi="仿宋_GB2312" w:eastAsia="仿宋_GB2312" w:cs="仿宋_GB2312"/>
          <w:color w:val="000000"/>
          <w:sz w:val="28"/>
          <w:szCs w:val="28"/>
        </w:rPr>
        <w:t>等额的合法有效且票面信息准确的增值税专用发票（包含税务机关代开），否则甲方有权拒绝付款且免于承担任何责任，乙方还应继续履行合同义务。甲方在收到乙方增值税专用发票且经验证合法有效后开始走付款审批流程，付款审批流程完成后付款。如因乙方未及时开具发票，甲方可拒绝付款，并不承担逾期付款责任。</w:t>
      </w:r>
    </w:p>
    <w:p w14:paraId="23BA9358">
      <w:pPr>
        <w:spacing w:line="480" w:lineRule="exact"/>
        <w:ind w:firstLine="560" w:firstLineChars="200"/>
        <w:rPr>
          <w:rFonts w:ascii="仿宋_GB2312" w:hAnsi="仿宋_GB2312" w:eastAsia="仿宋_GB2312" w:cs="仿宋_GB2312"/>
          <w:color w:val="FF0000"/>
          <w:sz w:val="28"/>
          <w:szCs w:val="28"/>
          <w:highlight w:val="none"/>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8</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甲方应按照合同约定及时向乙方支付合同价款，若因甲方资金不到位，乙方同意给予甲方【</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0】日的宽限期，宽限期内不视为甲方违约。超过宽限期仍未支付的，乙方可向甲方主张自宽限期结束后的违约金；违约金以逾期支付的价款为基数，自宽限期结束之日起至甲方支付逾期价款之日止，按【同期全国银行间同业拆借中心公布的1年期贷款市场报价利率(LPR)】向乙方计付，逾期支付违约金的上限为逾期支付金额的【</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highlight w:val="none"/>
        </w:rPr>
        <w:t>。</w:t>
      </w:r>
    </w:p>
    <w:p w14:paraId="74021871">
      <w:pPr>
        <w:pStyle w:val="6"/>
        <w:keepNext/>
        <w:keepLines/>
        <w:pageBreakBefore w:val="0"/>
        <w:widowControl w:val="0"/>
        <w:numPr>
          <w:ilvl w:val="0"/>
          <w:numId w:val="1"/>
        </w:numPr>
        <w:kinsoku/>
        <w:wordWrap/>
        <w:overflowPunct/>
        <w:topLinePunct w:val="0"/>
        <w:autoSpaceDE/>
        <w:autoSpaceDN/>
        <w:bidi w:val="0"/>
        <w:adjustRightInd/>
        <w:snapToGrid/>
        <w:ind w:left="0" w:leftChars="0" w:firstLine="562" w:firstLineChars="200"/>
        <w:textAlignment w:val="auto"/>
        <w:rPr>
          <w:rFonts w:cs="Times New Roman"/>
          <w:bCs w:val="0"/>
          <w:color w:val="000000"/>
          <w:highlight w:val="none"/>
        </w:rPr>
      </w:pPr>
      <w:bookmarkStart w:id="30" w:name="_Toc4739"/>
      <w:r>
        <w:rPr>
          <w:rFonts w:cs="Times New Roman"/>
          <w:bCs w:val="0"/>
          <w:color w:val="000000"/>
          <w:highlight w:val="none"/>
        </w:rPr>
        <w:t>增值税条款</w:t>
      </w:r>
      <w:bookmarkEnd w:id="30"/>
    </w:p>
    <w:p w14:paraId="2B205E17">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6.1 双方基本信息</w:t>
      </w:r>
    </w:p>
    <w:tbl>
      <w:tblPr>
        <w:tblStyle w:val="33"/>
        <w:tblW w:w="8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260"/>
        <w:gridCol w:w="5491"/>
      </w:tblGrid>
      <w:tr w14:paraId="283F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restart"/>
            <w:tcBorders>
              <w:top w:val="single" w:color="auto" w:sz="12" w:space="0"/>
              <w:left w:val="single" w:color="auto" w:sz="12" w:space="0"/>
            </w:tcBorders>
            <w:shd w:val="clear" w:color="auto" w:fill="auto"/>
            <w:vAlign w:val="center"/>
          </w:tcPr>
          <w:p w14:paraId="7249E053">
            <w:pPr>
              <w:widowControl w:val="0"/>
              <w:spacing w:line="440" w:lineRule="exact"/>
              <w:contextualSpacing/>
              <w:jc w:val="center"/>
              <w:rPr>
                <w:rFonts w:ascii="仿宋_GB2312" w:hAnsi="宋体" w:eastAsia="仿宋_GB2312" w:cs="宋体"/>
                <w:b/>
                <w:kern w:val="2"/>
                <w:sz w:val="21"/>
                <w:szCs w:val="21"/>
                <w:highlight w:val="none"/>
                <w:lang w:val="en-US" w:eastAsia="zh-CN" w:bidi="ar-SA"/>
              </w:rPr>
            </w:pPr>
            <w:permStart w:id="29" w:edGrp="everyone" w:colFirst="0" w:colLast="0"/>
            <w:permStart w:id="30" w:edGrp="everyone" w:colFirst="1" w:colLast="1"/>
            <w:permStart w:id="31" w:edGrp="everyone" w:colFirst="2" w:colLast="2"/>
            <w:r>
              <w:rPr>
                <w:rFonts w:hint="eastAsia" w:ascii="仿宋_GB2312" w:hAnsi="宋体" w:eastAsia="仿宋_GB2312" w:cs="宋体"/>
                <w:b/>
                <w:kern w:val="2"/>
                <w:sz w:val="21"/>
                <w:szCs w:val="21"/>
                <w:highlight w:val="none"/>
                <w:lang w:val="en-US" w:eastAsia="zh-CN" w:bidi="ar-SA"/>
              </w:rPr>
              <w:t>甲方</w:t>
            </w:r>
          </w:p>
        </w:tc>
        <w:tc>
          <w:tcPr>
            <w:tcW w:w="2260" w:type="dxa"/>
            <w:tcBorders>
              <w:top w:val="single" w:color="auto" w:sz="12" w:space="0"/>
            </w:tcBorders>
            <w:shd w:val="clear" w:color="auto" w:fill="auto"/>
          </w:tcPr>
          <w:p w14:paraId="5AC74945">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名        称</w:t>
            </w:r>
          </w:p>
        </w:tc>
        <w:tc>
          <w:tcPr>
            <w:tcW w:w="5491" w:type="dxa"/>
            <w:tcBorders>
              <w:top w:val="single" w:color="auto" w:sz="12" w:space="0"/>
              <w:right w:val="single" w:color="auto" w:sz="12" w:space="0"/>
            </w:tcBorders>
            <w:shd w:val="clear" w:color="auto" w:fill="auto"/>
          </w:tcPr>
          <w:p w14:paraId="1E6BA8FB">
            <w:pPr>
              <w:widowControl w:val="0"/>
              <w:spacing w:line="440" w:lineRule="exact"/>
              <w:contextualSpacing/>
              <w:jc w:val="center"/>
              <w:rPr>
                <w:rFonts w:ascii="仿宋_GB2312" w:hAnsi="宋体" w:eastAsia="仿宋_GB2312" w:cs="宋体"/>
                <w:kern w:val="2"/>
                <w:sz w:val="21"/>
                <w:szCs w:val="21"/>
                <w:highlight w:val="none"/>
                <w:lang w:val="en-US" w:eastAsia="zh-CN" w:bidi="ar-SA"/>
              </w:rPr>
            </w:pPr>
          </w:p>
        </w:tc>
      </w:tr>
      <w:permEnd w:id="29"/>
      <w:permEnd w:id="30"/>
      <w:permEnd w:id="31"/>
      <w:tr w14:paraId="4711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tcBorders>
              <w:left w:val="single" w:color="auto" w:sz="12" w:space="0"/>
            </w:tcBorders>
            <w:shd w:val="clear" w:color="auto" w:fill="auto"/>
            <w:vAlign w:val="center"/>
          </w:tcPr>
          <w:p w14:paraId="797F94A4">
            <w:pPr>
              <w:widowControl w:val="0"/>
              <w:spacing w:line="440" w:lineRule="exact"/>
              <w:contextualSpacing/>
              <w:jc w:val="center"/>
              <w:rPr>
                <w:rFonts w:ascii="仿宋_GB2312" w:hAnsi="宋体" w:eastAsia="仿宋_GB2312" w:cs="宋体"/>
                <w:b/>
                <w:kern w:val="2"/>
                <w:sz w:val="21"/>
                <w:szCs w:val="21"/>
                <w:highlight w:val="none"/>
                <w:lang w:val="en-US" w:eastAsia="zh-CN" w:bidi="ar-SA"/>
              </w:rPr>
            </w:pPr>
            <w:permStart w:id="32" w:edGrp="everyone" w:colFirst="0" w:colLast="0"/>
            <w:permStart w:id="33" w:edGrp="everyone" w:colFirst="1" w:colLast="1"/>
            <w:permStart w:id="34" w:edGrp="everyone" w:colFirst="2" w:colLast="2"/>
          </w:p>
        </w:tc>
        <w:tc>
          <w:tcPr>
            <w:tcW w:w="2260" w:type="dxa"/>
            <w:shd w:val="clear" w:color="auto" w:fill="auto"/>
          </w:tcPr>
          <w:p w14:paraId="7F55F62B">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纳税人身份</w:t>
            </w:r>
          </w:p>
        </w:tc>
        <w:tc>
          <w:tcPr>
            <w:tcW w:w="5491" w:type="dxa"/>
            <w:tcBorders>
              <w:right w:val="single" w:color="auto" w:sz="12" w:space="0"/>
            </w:tcBorders>
            <w:shd w:val="clear" w:color="auto" w:fill="auto"/>
          </w:tcPr>
          <w:p w14:paraId="412BCC01">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□一般纳税人    □小规模纳税人（请勾选）</w:t>
            </w:r>
          </w:p>
        </w:tc>
      </w:tr>
      <w:permEnd w:id="32"/>
      <w:permEnd w:id="33"/>
      <w:permEnd w:id="34"/>
      <w:tr w14:paraId="0074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tcBorders>
              <w:left w:val="single" w:color="auto" w:sz="12" w:space="0"/>
            </w:tcBorders>
            <w:shd w:val="clear" w:color="auto" w:fill="auto"/>
            <w:vAlign w:val="center"/>
          </w:tcPr>
          <w:p w14:paraId="1EF4800C">
            <w:pPr>
              <w:widowControl w:val="0"/>
              <w:spacing w:line="440" w:lineRule="exact"/>
              <w:contextualSpacing/>
              <w:jc w:val="center"/>
              <w:rPr>
                <w:rFonts w:ascii="仿宋_GB2312" w:hAnsi="宋体" w:eastAsia="仿宋_GB2312" w:cs="宋体"/>
                <w:b/>
                <w:kern w:val="2"/>
                <w:sz w:val="21"/>
                <w:szCs w:val="21"/>
                <w:highlight w:val="none"/>
                <w:lang w:val="en-US" w:eastAsia="zh-CN" w:bidi="ar-SA"/>
              </w:rPr>
            </w:pPr>
            <w:permStart w:id="35" w:edGrp="everyone" w:colFirst="0" w:colLast="0"/>
            <w:permStart w:id="36" w:edGrp="everyone" w:colFirst="1" w:colLast="1"/>
            <w:permStart w:id="37" w:edGrp="everyone" w:colFirst="2" w:colLast="2"/>
          </w:p>
        </w:tc>
        <w:tc>
          <w:tcPr>
            <w:tcW w:w="2260" w:type="dxa"/>
            <w:shd w:val="clear" w:color="auto" w:fill="auto"/>
          </w:tcPr>
          <w:p w14:paraId="7BE3BD27">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纳税人识别号</w:t>
            </w:r>
          </w:p>
        </w:tc>
        <w:tc>
          <w:tcPr>
            <w:tcW w:w="5491" w:type="dxa"/>
            <w:tcBorders>
              <w:right w:val="single" w:color="auto" w:sz="12" w:space="0"/>
            </w:tcBorders>
            <w:shd w:val="clear" w:color="auto" w:fill="auto"/>
            <w:vAlign w:val="top"/>
          </w:tcPr>
          <w:p w14:paraId="140FEE97">
            <w:pPr>
              <w:widowControl w:val="0"/>
              <w:spacing w:line="440" w:lineRule="exact"/>
              <w:contextualSpacing/>
              <w:jc w:val="center"/>
              <w:rPr>
                <w:rFonts w:ascii="仿宋_GB2312" w:hAnsi="宋体" w:eastAsia="仿宋_GB2312" w:cs="宋体"/>
                <w:kern w:val="2"/>
                <w:sz w:val="21"/>
                <w:szCs w:val="21"/>
                <w:highlight w:val="none"/>
                <w:lang w:val="en-US" w:eastAsia="zh-CN" w:bidi="ar-SA"/>
              </w:rPr>
            </w:pPr>
          </w:p>
        </w:tc>
      </w:tr>
      <w:permEnd w:id="35"/>
      <w:permEnd w:id="36"/>
      <w:permEnd w:id="37"/>
      <w:tr w14:paraId="3A63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tcBorders>
              <w:left w:val="single" w:color="auto" w:sz="12" w:space="0"/>
            </w:tcBorders>
            <w:shd w:val="clear" w:color="auto" w:fill="auto"/>
            <w:vAlign w:val="center"/>
          </w:tcPr>
          <w:p w14:paraId="19A9A1F3">
            <w:pPr>
              <w:widowControl w:val="0"/>
              <w:spacing w:line="440" w:lineRule="exact"/>
              <w:contextualSpacing/>
              <w:jc w:val="center"/>
              <w:rPr>
                <w:rFonts w:ascii="仿宋_GB2312" w:hAnsi="宋体" w:eastAsia="仿宋_GB2312" w:cs="宋体"/>
                <w:b/>
                <w:kern w:val="2"/>
                <w:sz w:val="21"/>
                <w:szCs w:val="21"/>
                <w:highlight w:val="none"/>
                <w:lang w:val="en-US" w:eastAsia="zh-CN" w:bidi="ar-SA"/>
              </w:rPr>
            </w:pPr>
            <w:permStart w:id="38" w:edGrp="everyone" w:colFirst="0" w:colLast="0"/>
            <w:permStart w:id="39" w:edGrp="everyone" w:colFirst="1" w:colLast="1"/>
            <w:permStart w:id="40" w:edGrp="everyone" w:colFirst="2" w:colLast="2"/>
          </w:p>
        </w:tc>
        <w:tc>
          <w:tcPr>
            <w:tcW w:w="2260" w:type="dxa"/>
            <w:shd w:val="clear" w:color="auto" w:fill="auto"/>
          </w:tcPr>
          <w:p w14:paraId="26ABFF98">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地 址、电 话</w:t>
            </w:r>
          </w:p>
        </w:tc>
        <w:tc>
          <w:tcPr>
            <w:tcW w:w="5491" w:type="dxa"/>
            <w:tcBorders>
              <w:right w:val="single" w:color="auto" w:sz="12" w:space="0"/>
            </w:tcBorders>
            <w:shd w:val="clear" w:color="auto" w:fill="auto"/>
            <w:vAlign w:val="top"/>
          </w:tcPr>
          <w:p w14:paraId="3F0FD74C">
            <w:pPr>
              <w:widowControl w:val="0"/>
              <w:spacing w:line="440" w:lineRule="exact"/>
              <w:contextualSpacing/>
              <w:jc w:val="center"/>
              <w:rPr>
                <w:rFonts w:ascii="仿宋_GB2312" w:hAnsi="宋体" w:eastAsia="仿宋_GB2312" w:cs="宋体"/>
                <w:kern w:val="2"/>
                <w:sz w:val="21"/>
                <w:szCs w:val="21"/>
                <w:highlight w:val="none"/>
                <w:lang w:val="en-US" w:eastAsia="zh-CN" w:bidi="ar-SA"/>
              </w:rPr>
            </w:pPr>
          </w:p>
        </w:tc>
      </w:tr>
      <w:permEnd w:id="38"/>
      <w:permEnd w:id="39"/>
      <w:permEnd w:id="40"/>
      <w:tr w14:paraId="16D7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tcBorders>
              <w:left w:val="single" w:color="auto" w:sz="12" w:space="0"/>
              <w:bottom w:val="double" w:color="auto" w:sz="4" w:space="0"/>
            </w:tcBorders>
            <w:shd w:val="clear" w:color="auto" w:fill="auto"/>
            <w:vAlign w:val="center"/>
          </w:tcPr>
          <w:p w14:paraId="0C8A433F">
            <w:pPr>
              <w:widowControl w:val="0"/>
              <w:spacing w:line="440" w:lineRule="exact"/>
              <w:contextualSpacing/>
              <w:jc w:val="center"/>
              <w:rPr>
                <w:rFonts w:ascii="仿宋_GB2312" w:hAnsi="宋体" w:eastAsia="仿宋_GB2312" w:cs="宋体"/>
                <w:b/>
                <w:kern w:val="2"/>
                <w:sz w:val="21"/>
                <w:szCs w:val="21"/>
                <w:highlight w:val="none"/>
                <w:lang w:val="en-US" w:eastAsia="zh-CN" w:bidi="ar-SA"/>
              </w:rPr>
            </w:pPr>
            <w:permStart w:id="41" w:edGrp="everyone" w:colFirst="0" w:colLast="0"/>
            <w:permStart w:id="42" w:edGrp="everyone" w:colFirst="1" w:colLast="1"/>
            <w:permStart w:id="43" w:edGrp="everyone" w:colFirst="2" w:colLast="2"/>
          </w:p>
        </w:tc>
        <w:tc>
          <w:tcPr>
            <w:tcW w:w="2260" w:type="dxa"/>
            <w:tcBorders>
              <w:bottom w:val="double" w:color="auto" w:sz="4" w:space="0"/>
            </w:tcBorders>
            <w:shd w:val="clear" w:color="auto" w:fill="auto"/>
          </w:tcPr>
          <w:p w14:paraId="5C69270A">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开户行（全称）及账号</w:t>
            </w:r>
          </w:p>
        </w:tc>
        <w:tc>
          <w:tcPr>
            <w:tcW w:w="5491" w:type="dxa"/>
            <w:tcBorders>
              <w:bottom w:val="double" w:color="auto" w:sz="4" w:space="0"/>
              <w:right w:val="single" w:color="auto" w:sz="12" w:space="0"/>
            </w:tcBorders>
            <w:shd w:val="clear" w:color="auto" w:fill="auto"/>
            <w:vAlign w:val="top"/>
          </w:tcPr>
          <w:p w14:paraId="13470D07">
            <w:pPr>
              <w:widowControl w:val="0"/>
              <w:spacing w:line="440" w:lineRule="exact"/>
              <w:contextualSpacing/>
              <w:jc w:val="center"/>
              <w:rPr>
                <w:rFonts w:ascii="仿宋_GB2312" w:hAnsi="宋体" w:eastAsia="仿宋_GB2312" w:cs="宋体"/>
                <w:kern w:val="2"/>
                <w:sz w:val="21"/>
                <w:szCs w:val="21"/>
                <w:highlight w:val="none"/>
                <w:lang w:val="en-US" w:eastAsia="zh-CN" w:bidi="ar-SA"/>
              </w:rPr>
            </w:pPr>
          </w:p>
        </w:tc>
      </w:tr>
      <w:permEnd w:id="41"/>
      <w:permEnd w:id="42"/>
      <w:permEnd w:id="43"/>
      <w:tr w14:paraId="4925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restart"/>
            <w:tcBorders>
              <w:top w:val="double" w:color="auto" w:sz="4" w:space="0"/>
              <w:left w:val="single" w:color="auto" w:sz="12" w:space="0"/>
            </w:tcBorders>
            <w:shd w:val="clear" w:color="auto" w:fill="auto"/>
            <w:vAlign w:val="center"/>
          </w:tcPr>
          <w:p w14:paraId="36C017C0">
            <w:pPr>
              <w:widowControl w:val="0"/>
              <w:spacing w:line="440" w:lineRule="exact"/>
              <w:contextualSpacing/>
              <w:jc w:val="center"/>
              <w:rPr>
                <w:rFonts w:ascii="仿宋_GB2312" w:hAnsi="宋体" w:eastAsia="仿宋_GB2312" w:cs="宋体"/>
                <w:b/>
                <w:kern w:val="2"/>
                <w:sz w:val="21"/>
                <w:szCs w:val="21"/>
                <w:highlight w:val="none"/>
                <w:lang w:val="en-US" w:eastAsia="zh-CN" w:bidi="ar-SA"/>
              </w:rPr>
            </w:pPr>
            <w:permStart w:id="44" w:edGrp="everyone" w:colFirst="0" w:colLast="0"/>
            <w:permStart w:id="45" w:edGrp="everyone" w:colFirst="1" w:colLast="1"/>
            <w:permStart w:id="46" w:edGrp="everyone" w:colFirst="2" w:colLast="2"/>
            <w:r>
              <w:rPr>
                <w:rFonts w:hint="eastAsia" w:ascii="仿宋_GB2312" w:hAnsi="宋体" w:eastAsia="仿宋_GB2312" w:cs="宋体"/>
                <w:b/>
                <w:kern w:val="2"/>
                <w:sz w:val="21"/>
                <w:szCs w:val="21"/>
                <w:highlight w:val="none"/>
                <w:lang w:val="en-US" w:eastAsia="zh-CN" w:bidi="ar-SA"/>
              </w:rPr>
              <w:t>乙方</w:t>
            </w:r>
          </w:p>
        </w:tc>
        <w:tc>
          <w:tcPr>
            <w:tcW w:w="2260" w:type="dxa"/>
            <w:tcBorders>
              <w:top w:val="double" w:color="auto" w:sz="4" w:space="0"/>
            </w:tcBorders>
            <w:shd w:val="clear" w:color="auto" w:fill="auto"/>
          </w:tcPr>
          <w:p w14:paraId="79FFEF4A">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名        称</w:t>
            </w:r>
          </w:p>
        </w:tc>
        <w:tc>
          <w:tcPr>
            <w:tcW w:w="5491" w:type="dxa"/>
            <w:tcBorders>
              <w:top w:val="double" w:color="auto" w:sz="4" w:space="0"/>
              <w:right w:val="single" w:color="auto" w:sz="12" w:space="0"/>
            </w:tcBorders>
            <w:shd w:val="clear" w:color="auto" w:fill="auto"/>
          </w:tcPr>
          <w:p w14:paraId="19F1B128">
            <w:pPr>
              <w:widowControl w:val="0"/>
              <w:spacing w:line="440" w:lineRule="exact"/>
              <w:contextualSpacing/>
              <w:jc w:val="center"/>
              <w:rPr>
                <w:rFonts w:hint="default" w:ascii="仿宋_GB2312" w:hAnsi="宋体" w:eastAsia="仿宋_GB2312" w:cs="宋体"/>
                <w:kern w:val="2"/>
                <w:sz w:val="21"/>
                <w:szCs w:val="21"/>
                <w:highlight w:val="none"/>
                <w:lang w:val="en-US" w:eastAsia="zh-CN" w:bidi="ar-SA"/>
              </w:rPr>
            </w:pPr>
          </w:p>
        </w:tc>
      </w:tr>
      <w:permEnd w:id="44"/>
      <w:permEnd w:id="45"/>
      <w:permEnd w:id="46"/>
      <w:tr w14:paraId="6477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tcBorders>
              <w:left w:val="single" w:color="auto" w:sz="12" w:space="0"/>
            </w:tcBorders>
            <w:shd w:val="clear" w:color="auto" w:fill="auto"/>
          </w:tcPr>
          <w:p w14:paraId="7C89D292">
            <w:pPr>
              <w:widowControl w:val="0"/>
              <w:spacing w:line="440" w:lineRule="exact"/>
              <w:contextualSpacing/>
              <w:jc w:val="both"/>
              <w:rPr>
                <w:rFonts w:ascii="仿宋_GB2312" w:hAnsi="宋体" w:eastAsia="仿宋_GB2312" w:cs="宋体"/>
                <w:kern w:val="2"/>
                <w:sz w:val="21"/>
                <w:szCs w:val="21"/>
                <w:highlight w:val="none"/>
                <w:lang w:val="en-US" w:eastAsia="zh-CN" w:bidi="ar-SA"/>
              </w:rPr>
            </w:pPr>
            <w:permStart w:id="47" w:edGrp="everyone" w:colFirst="0" w:colLast="0"/>
            <w:permStart w:id="48" w:edGrp="everyone" w:colFirst="1" w:colLast="1"/>
            <w:permStart w:id="49" w:edGrp="everyone" w:colFirst="2" w:colLast="2"/>
          </w:p>
        </w:tc>
        <w:tc>
          <w:tcPr>
            <w:tcW w:w="2260" w:type="dxa"/>
            <w:shd w:val="clear" w:color="auto" w:fill="auto"/>
          </w:tcPr>
          <w:p w14:paraId="334FFAE2">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纳税人身份</w:t>
            </w:r>
          </w:p>
        </w:tc>
        <w:tc>
          <w:tcPr>
            <w:tcW w:w="5491" w:type="dxa"/>
            <w:tcBorders>
              <w:right w:val="single" w:color="auto" w:sz="12" w:space="0"/>
            </w:tcBorders>
            <w:shd w:val="clear" w:color="auto" w:fill="auto"/>
          </w:tcPr>
          <w:p w14:paraId="79305383">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□一般纳税人    □小规模纳税人（请勾选）</w:t>
            </w:r>
          </w:p>
        </w:tc>
      </w:tr>
      <w:permEnd w:id="47"/>
      <w:permEnd w:id="48"/>
      <w:permEnd w:id="49"/>
      <w:tr w14:paraId="08C5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tcBorders>
              <w:left w:val="single" w:color="auto" w:sz="12" w:space="0"/>
            </w:tcBorders>
            <w:shd w:val="clear" w:color="auto" w:fill="auto"/>
          </w:tcPr>
          <w:p w14:paraId="3ADE3608">
            <w:pPr>
              <w:widowControl w:val="0"/>
              <w:spacing w:line="440" w:lineRule="exact"/>
              <w:contextualSpacing/>
              <w:jc w:val="both"/>
              <w:rPr>
                <w:rFonts w:ascii="仿宋_GB2312" w:hAnsi="宋体" w:eastAsia="仿宋_GB2312" w:cs="宋体"/>
                <w:kern w:val="2"/>
                <w:sz w:val="21"/>
                <w:szCs w:val="21"/>
                <w:highlight w:val="none"/>
                <w:lang w:val="en-US" w:eastAsia="zh-CN" w:bidi="ar-SA"/>
              </w:rPr>
            </w:pPr>
            <w:permStart w:id="50" w:edGrp="everyone" w:colFirst="0" w:colLast="0"/>
            <w:permStart w:id="51" w:edGrp="everyone" w:colFirst="1" w:colLast="1"/>
            <w:permStart w:id="52" w:edGrp="everyone" w:colFirst="2" w:colLast="2"/>
          </w:p>
        </w:tc>
        <w:tc>
          <w:tcPr>
            <w:tcW w:w="2260" w:type="dxa"/>
            <w:shd w:val="clear" w:color="auto" w:fill="auto"/>
          </w:tcPr>
          <w:p w14:paraId="5BEC6A76">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纳税人识别号</w:t>
            </w:r>
          </w:p>
        </w:tc>
        <w:tc>
          <w:tcPr>
            <w:tcW w:w="5491" w:type="dxa"/>
            <w:tcBorders>
              <w:right w:val="single" w:color="auto" w:sz="12" w:space="0"/>
            </w:tcBorders>
            <w:shd w:val="clear" w:color="auto" w:fill="auto"/>
          </w:tcPr>
          <w:p w14:paraId="1153BE3A">
            <w:pPr>
              <w:widowControl w:val="0"/>
              <w:spacing w:line="440" w:lineRule="exact"/>
              <w:contextualSpacing/>
              <w:jc w:val="center"/>
              <w:rPr>
                <w:rFonts w:hint="default" w:ascii="仿宋_GB2312" w:hAnsi="宋体" w:eastAsia="仿宋_GB2312" w:cs="宋体"/>
                <w:kern w:val="2"/>
                <w:sz w:val="21"/>
                <w:szCs w:val="21"/>
                <w:highlight w:val="none"/>
                <w:lang w:val="en-US" w:eastAsia="zh-CN" w:bidi="ar-SA"/>
              </w:rPr>
            </w:pPr>
          </w:p>
        </w:tc>
      </w:tr>
      <w:permEnd w:id="50"/>
      <w:permEnd w:id="51"/>
      <w:permEnd w:id="52"/>
      <w:tr w14:paraId="422E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tcBorders>
              <w:left w:val="single" w:color="auto" w:sz="12" w:space="0"/>
            </w:tcBorders>
            <w:shd w:val="clear" w:color="auto" w:fill="auto"/>
          </w:tcPr>
          <w:p w14:paraId="7C27411E">
            <w:pPr>
              <w:widowControl w:val="0"/>
              <w:spacing w:line="440" w:lineRule="exact"/>
              <w:contextualSpacing/>
              <w:jc w:val="both"/>
              <w:rPr>
                <w:rFonts w:ascii="仿宋_GB2312" w:hAnsi="宋体" w:eastAsia="仿宋_GB2312" w:cs="宋体"/>
                <w:kern w:val="2"/>
                <w:sz w:val="21"/>
                <w:szCs w:val="21"/>
                <w:highlight w:val="none"/>
                <w:lang w:val="en-US" w:eastAsia="zh-CN" w:bidi="ar-SA"/>
              </w:rPr>
            </w:pPr>
            <w:permStart w:id="53" w:edGrp="everyone" w:colFirst="0" w:colLast="0"/>
            <w:permStart w:id="54" w:edGrp="everyone" w:colFirst="1" w:colLast="1"/>
            <w:permStart w:id="55" w:edGrp="everyone" w:colFirst="2" w:colLast="2"/>
          </w:p>
        </w:tc>
        <w:tc>
          <w:tcPr>
            <w:tcW w:w="2260" w:type="dxa"/>
            <w:shd w:val="clear" w:color="auto" w:fill="auto"/>
          </w:tcPr>
          <w:p w14:paraId="23E8D8B7">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地 址、电 话</w:t>
            </w:r>
          </w:p>
        </w:tc>
        <w:tc>
          <w:tcPr>
            <w:tcW w:w="5491" w:type="dxa"/>
            <w:tcBorders>
              <w:right w:val="single" w:color="auto" w:sz="12" w:space="0"/>
            </w:tcBorders>
            <w:shd w:val="clear" w:color="auto" w:fill="auto"/>
          </w:tcPr>
          <w:p w14:paraId="09101AB7">
            <w:pPr>
              <w:widowControl w:val="0"/>
              <w:spacing w:line="440" w:lineRule="exact"/>
              <w:contextualSpacing/>
              <w:jc w:val="center"/>
              <w:rPr>
                <w:rFonts w:hint="default" w:ascii="仿宋_GB2312" w:hAnsi="宋体" w:eastAsia="仿宋_GB2312" w:cs="宋体"/>
                <w:kern w:val="2"/>
                <w:sz w:val="21"/>
                <w:szCs w:val="21"/>
                <w:highlight w:val="none"/>
                <w:lang w:val="en-US" w:eastAsia="zh-CN" w:bidi="ar-SA"/>
              </w:rPr>
            </w:pPr>
          </w:p>
        </w:tc>
      </w:tr>
      <w:permEnd w:id="53"/>
      <w:permEnd w:id="54"/>
      <w:permEnd w:id="55"/>
      <w:tr w14:paraId="2177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tcBorders>
              <w:left w:val="single" w:color="auto" w:sz="12" w:space="0"/>
            </w:tcBorders>
            <w:shd w:val="clear" w:color="auto" w:fill="auto"/>
          </w:tcPr>
          <w:p w14:paraId="6468DDD4">
            <w:pPr>
              <w:widowControl w:val="0"/>
              <w:spacing w:line="440" w:lineRule="exact"/>
              <w:contextualSpacing/>
              <w:jc w:val="both"/>
              <w:rPr>
                <w:rFonts w:ascii="仿宋_GB2312" w:hAnsi="宋体" w:eastAsia="仿宋_GB2312" w:cs="宋体"/>
                <w:kern w:val="2"/>
                <w:sz w:val="21"/>
                <w:szCs w:val="21"/>
                <w:highlight w:val="none"/>
                <w:lang w:val="en-US" w:eastAsia="zh-CN" w:bidi="ar-SA"/>
              </w:rPr>
            </w:pPr>
            <w:permStart w:id="56" w:edGrp="everyone" w:colFirst="0" w:colLast="0"/>
            <w:permStart w:id="57" w:edGrp="everyone" w:colFirst="1" w:colLast="1"/>
            <w:permStart w:id="58" w:edGrp="everyone" w:colFirst="2" w:colLast="2"/>
          </w:p>
        </w:tc>
        <w:tc>
          <w:tcPr>
            <w:tcW w:w="2260" w:type="dxa"/>
            <w:shd w:val="clear" w:color="auto" w:fill="auto"/>
          </w:tcPr>
          <w:p w14:paraId="3B210F3C">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开户行（全称）及账号</w:t>
            </w:r>
          </w:p>
        </w:tc>
        <w:tc>
          <w:tcPr>
            <w:tcW w:w="5491" w:type="dxa"/>
            <w:tcBorders>
              <w:right w:val="single" w:color="auto" w:sz="12" w:space="0"/>
            </w:tcBorders>
            <w:shd w:val="clear" w:color="auto" w:fill="auto"/>
          </w:tcPr>
          <w:p w14:paraId="73CB3915">
            <w:pPr>
              <w:widowControl w:val="0"/>
              <w:spacing w:line="440" w:lineRule="exact"/>
              <w:contextualSpacing/>
              <w:jc w:val="center"/>
              <w:rPr>
                <w:rFonts w:hint="default" w:ascii="仿宋_GB2312" w:hAnsi="宋体" w:eastAsia="仿宋_GB2312" w:cs="宋体"/>
                <w:kern w:val="2"/>
                <w:sz w:val="21"/>
                <w:szCs w:val="21"/>
                <w:highlight w:val="none"/>
                <w:lang w:val="en-US" w:eastAsia="zh-CN" w:bidi="ar-SA"/>
              </w:rPr>
            </w:pPr>
          </w:p>
        </w:tc>
      </w:tr>
      <w:permEnd w:id="56"/>
      <w:permEnd w:id="57"/>
      <w:permEnd w:id="58"/>
      <w:tr w14:paraId="3999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tcBorders>
              <w:left w:val="single" w:color="auto" w:sz="12" w:space="0"/>
            </w:tcBorders>
            <w:shd w:val="clear" w:color="auto" w:fill="auto"/>
          </w:tcPr>
          <w:p w14:paraId="4711F25E">
            <w:pPr>
              <w:widowControl w:val="0"/>
              <w:spacing w:line="440" w:lineRule="exact"/>
              <w:contextualSpacing/>
              <w:jc w:val="both"/>
              <w:rPr>
                <w:rFonts w:ascii="仿宋_GB2312" w:hAnsi="宋体" w:eastAsia="仿宋_GB2312" w:cs="宋体"/>
                <w:kern w:val="2"/>
                <w:sz w:val="21"/>
                <w:szCs w:val="21"/>
                <w:highlight w:val="none"/>
                <w:lang w:val="en-US" w:eastAsia="zh-CN" w:bidi="ar-SA"/>
              </w:rPr>
            </w:pPr>
            <w:permStart w:id="59" w:edGrp="everyone" w:colFirst="0" w:colLast="0"/>
            <w:permStart w:id="60" w:edGrp="everyone" w:colFirst="1" w:colLast="1"/>
            <w:permStart w:id="61" w:edGrp="everyone" w:colFirst="2" w:colLast="2"/>
          </w:p>
        </w:tc>
        <w:tc>
          <w:tcPr>
            <w:tcW w:w="2260" w:type="dxa"/>
            <w:shd w:val="clear" w:color="auto" w:fill="auto"/>
          </w:tcPr>
          <w:p w14:paraId="6E2275ED">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联行号</w:t>
            </w:r>
          </w:p>
        </w:tc>
        <w:tc>
          <w:tcPr>
            <w:tcW w:w="5491" w:type="dxa"/>
            <w:tcBorders>
              <w:right w:val="single" w:color="auto" w:sz="12" w:space="0"/>
            </w:tcBorders>
            <w:shd w:val="clear" w:color="auto" w:fill="auto"/>
          </w:tcPr>
          <w:p w14:paraId="7902D8F8">
            <w:pPr>
              <w:widowControl w:val="0"/>
              <w:spacing w:line="440" w:lineRule="exact"/>
              <w:contextualSpacing/>
              <w:jc w:val="center"/>
              <w:rPr>
                <w:rFonts w:hint="default" w:ascii="仿宋_GB2312" w:hAnsi="宋体" w:eastAsia="仿宋_GB2312" w:cs="宋体"/>
                <w:kern w:val="2"/>
                <w:sz w:val="21"/>
                <w:szCs w:val="21"/>
                <w:highlight w:val="none"/>
                <w:lang w:val="en-US" w:eastAsia="zh-CN" w:bidi="ar-SA"/>
              </w:rPr>
            </w:pPr>
          </w:p>
        </w:tc>
      </w:tr>
      <w:permEnd w:id="59"/>
      <w:permEnd w:id="60"/>
      <w:permEnd w:id="61"/>
      <w:tr w14:paraId="5EB5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tcBorders>
              <w:left w:val="single" w:color="auto" w:sz="12" w:space="0"/>
              <w:bottom w:val="single" w:color="auto" w:sz="12" w:space="0"/>
            </w:tcBorders>
            <w:shd w:val="clear" w:color="auto" w:fill="auto"/>
          </w:tcPr>
          <w:p w14:paraId="282288C7">
            <w:pPr>
              <w:widowControl w:val="0"/>
              <w:spacing w:line="440" w:lineRule="exact"/>
              <w:contextualSpacing/>
              <w:jc w:val="both"/>
              <w:rPr>
                <w:rFonts w:ascii="仿宋_GB2312" w:hAnsi="宋体" w:eastAsia="仿宋_GB2312" w:cs="宋体"/>
                <w:kern w:val="2"/>
                <w:sz w:val="21"/>
                <w:szCs w:val="21"/>
                <w:highlight w:val="none"/>
                <w:lang w:val="en-US" w:eastAsia="zh-CN" w:bidi="ar-SA"/>
              </w:rPr>
            </w:pPr>
            <w:permStart w:id="62" w:edGrp="everyone" w:colFirst="0" w:colLast="0"/>
            <w:permStart w:id="63" w:edGrp="everyone" w:colFirst="1" w:colLast="1"/>
            <w:permStart w:id="64" w:edGrp="everyone" w:colFirst="2" w:colLast="2"/>
          </w:p>
        </w:tc>
        <w:tc>
          <w:tcPr>
            <w:tcW w:w="2260" w:type="dxa"/>
            <w:tcBorders>
              <w:bottom w:val="single" w:color="auto" w:sz="12" w:space="0"/>
            </w:tcBorders>
            <w:shd w:val="clear" w:color="auto" w:fill="auto"/>
          </w:tcPr>
          <w:p w14:paraId="26087F3C">
            <w:pPr>
              <w:widowControl w:val="0"/>
              <w:spacing w:line="440" w:lineRule="exact"/>
              <w:contextualSpacing/>
              <w:jc w:val="center"/>
              <w:rPr>
                <w:rFonts w:ascii="仿宋_GB2312" w:hAnsi="宋体" w:eastAsia="仿宋_GB2312" w:cs="宋体"/>
                <w:kern w:val="2"/>
                <w:sz w:val="21"/>
                <w:szCs w:val="21"/>
                <w:highlight w:val="none"/>
                <w:lang w:val="en-US" w:eastAsia="zh-CN" w:bidi="ar-SA"/>
              </w:rPr>
            </w:pPr>
          </w:p>
        </w:tc>
        <w:tc>
          <w:tcPr>
            <w:tcW w:w="5491" w:type="dxa"/>
            <w:tcBorders>
              <w:bottom w:val="single" w:color="auto" w:sz="12" w:space="0"/>
              <w:right w:val="single" w:color="auto" w:sz="12" w:space="0"/>
            </w:tcBorders>
            <w:shd w:val="clear" w:color="auto" w:fill="auto"/>
          </w:tcPr>
          <w:p w14:paraId="4BE9C0A1">
            <w:pPr>
              <w:widowControl w:val="0"/>
              <w:spacing w:line="440" w:lineRule="exact"/>
              <w:contextualSpacing/>
              <w:jc w:val="center"/>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该开户行为乙方在税务局已备案的乙方单位账户。</w:t>
            </w:r>
          </w:p>
        </w:tc>
      </w:tr>
      <w:permEnd w:id="62"/>
      <w:permEnd w:id="63"/>
      <w:permEnd w:id="64"/>
    </w:tbl>
    <w:p w14:paraId="77B4B14B">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6.1.1</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任何一方如上述信息发生变更，应提前10日以书面方式通知另一方。</w:t>
      </w:r>
      <w:r>
        <w:rPr>
          <w:rFonts w:hint="eastAsia" w:ascii="仿宋_GB2312" w:hAnsi="仿宋_GB2312" w:eastAsia="仿宋_GB2312" w:cs="仿宋_GB2312"/>
          <w:sz w:val="28"/>
          <w:szCs w:val="28"/>
        </w:rPr>
        <w:t>如一方未按本合同规定通知而使另一方遭受损失的，应予以赔偿。</w:t>
      </w:r>
      <w:r>
        <w:rPr>
          <w:rFonts w:hint="eastAsia" w:ascii="仿宋_GB2312" w:hAnsi="仿宋_GB2312" w:eastAsia="仿宋_GB2312" w:cs="仿宋_GB2312"/>
          <w:color w:val="000000"/>
          <w:sz w:val="28"/>
          <w:szCs w:val="28"/>
        </w:rPr>
        <w:t>乙方在开具发票前，需向甲方确认上述开票信息，否则，由于乙方未向甲方确认导致开票信息与实际不符，造成发票无法抵扣等问题，全部责任由乙方承担，并赔偿甲方相应损失。</w:t>
      </w:r>
    </w:p>
    <w:p w14:paraId="34DCE2CB">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6.1.2</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乙方开具的增值税专用发票应保证信息完整、内容规范，备注栏按甲方给定信息备注清楚，否则退回重开；乙方开具增值税发票后，次月必须在税务网进行抄税，未经甲方事先书面同意，乙方不得擅自将已向甲方开具的增值税发票作废。若乙方擅自作废发票，需向甲方承担作废发票金额2%的违约金并承担因擅自作废给甲方造成的所有责任及损失。</w:t>
      </w:r>
    </w:p>
    <w:p w14:paraId="18A9B0ED">
      <w:p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6.1.3 增值税税率变化：合同执行过程中如果遇到国家税务政策调整，增值税税率发生变化的，按新的税</w:t>
      </w:r>
      <w:r>
        <w:rPr>
          <w:rFonts w:hint="eastAsia" w:ascii="仿宋_GB2312" w:hAnsi="仿宋_GB2312" w:eastAsia="仿宋_GB2312" w:cs="仿宋_GB2312"/>
          <w:color w:val="000000"/>
          <w:sz w:val="28"/>
          <w:szCs w:val="28"/>
          <w:highlight w:val="none"/>
        </w:rPr>
        <w:t>率执行，不含税价不变，仅调整增值税税率的原则进行相应调整。</w:t>
      </w:r>
    </w:p>
    <w:p w14:paraId="7C96366A">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6.2 本合同所涉应税行为计税方法（请勾选）</w:t>
      </w:r>
    </w:p>
    <w:p w14:paraId="76318C59">
      <w:p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ascii="仿宋_GB2312" w:hAnsi="仿宋_GB2312" w:eastAsia="仿宋_GB2312" w:cs="仿宋_GB2312"/>
          <w:color w:val="000000"/>
          <w:sz w:val="28"/>
          <w:szCs w:val="28"/>
          <w:highlight w:val="none"/>
        </w:rPr>
        <w:t>一般计税方法   □简易计税方法</w:t>
      </w:r>
    </w:p>
    <w:p w14:paraId="0EEB2EDA">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6.3 发票及其他相关信息</w:t>
      </w:r>
    </w:p>
    <w:p w14:paraId="4C6493AD">
      <w:pPr>
        <w:spacing w:line="48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6.3.1</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kern w:val="0"/>
          <w:sz w:val="28"/>
          <w:szCs w:val="28"/>
          <w:highlight w:val="none"/>
        </w:rPr>
        <w:t>每次乙方在甲方付款前必须提供</w:t>
      </w:r>
      <w:r>
        <w:rPr>
          <w:rFonts w:hint="eastAsia" w:ascii="仿宋_GB2312" w:hAnsi="仿宋_GB2312" w:eastAsia="仿宋_GB2312" w:cs="仿宋_GB2312"/>
          <w:color w:val="auto"/>
          <w:sz w:val="28"/>
          <w:szCs w:val="28"/>
          <w:highlight w:val="none"/>
        </w:rPr>
        <w:t>按合同约定税率开具与当</w:t>
      </w:r>
      <w:r>
        <w:rPr>
          <w:rFonts w:hint="default" w:ascii="仿宋_GB2312" w:hAnsi="仿宋_GB2312" w:eastAsia="仿宋_GB2312" w:cs="仿宋_GB2312"/>
          <w:color w:val="auto"/>
          <w:sz w:val="28"/>
          <w:szCs w:val="28"/>
          <w:highlight w:val="none"/>
        </w:rPr>
        <w:t>期确权产值</w:t>
      </w:r>
      <w:r>
        <w:rPr>
          <w:rFonts w:hint="eastAsia" w:ascii="仿宋_GB2312" w:hAnsi="仿宋_GB2312" w:eastAsia="仿宋_GB2312" w:cs="仿宋_GB2312"/>
          <w:color w:val="auto"/>
          <w:sz w:val="28"/>
          <w:szCs w:val="28"/>
          <w:highlight w:val="none"/>
        </w:rPr>
        <w:t>等额的合法有效且票面信息准确的增值税专用发票（包含税务机关代开），甲乙</w:t>
      </w:r>
      <w:r>
        <w:rPr>
          <w:rFonts w:hint="eastAsia" w:ascii="仿宋_GB2312" w:hAnsi="仿宋_GB2312" w:eastAsia="仿宋_GB2312" w:cs="仿宋_GB2312"/>
          <w:color w:val="000000"/>
          <w:sz w:val="28"/>
          <w:szCs w:val="28"/>
          <w:highlight w:val="none"/>
        </w:rPr>
        <w:t>双方一致确认提供发票为主合同义务而非附随义务，若乙方未按要求提供发票，甲方有权暂停付款。乙方应在开票之日起7天内将发票送达甲方指定人员</w:t>
      </w:r>
      <w:permStart w:id="65" w:edGrp="everyone"/>
      <w:r>
        <w:rPr>
          <w:rFonts w:hint="eastAsia" w:ascii="仿宋_GB2312" w:hAnsi="仿宋_GB2312" w:eastAsia="仿宋_GB2312" w:cs="仿宋_GB2312"/>
          <w:color w:val="000000"/>
          <w:sz w:val="28"/>
          <w:szCs w:val="28"/>
          <w:highlight w:val="none"/>
        </w:rPr>
        <w:t>【】</w:t>
      </w:r>
      <w:permEnd w:id="65"/>
      <w:r>
        <w:rPr>
          <w:rFonts w:hint="eastAsia" w:ascii="仿宋_GB2312" w:hAnsi="仿宋_GB2312" w:eastAsia="仿宋_GB2312" w:cs="仿宋_GB2312"/>
          <w:color w:val="000000"/>
          <w:sz w:val="28"/>
          <w:szCs w:val="28"/>
          <w:highlight w:val="none"/>
        </w:rPr>
        <w:t>，甲方指定人员签收发票的日期为发票的送达日期。</w:t>
      </w:r>
    </w:p>
    <w:p w14:paraId="3B434D1E">
      <w:pPr>
        <w:spacing w:line="48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6.3.2</w:t>
      </w:r>
      <w:r>
        <w:rPr>
          <w:rFonts w:hint="eastAsia" w:ascii="仿宋_GB2312" w:hAnsi="仿宋_GB2312" w:eastAsia="仿宋_GB2312" w:cs="仿宋_GB2312"/>
          <w:color w:val="000000"/>
          <w:sz w:val="28"/>
          <w:szCs w:val="28"/>
          <w:highlight w:val="none"/>
        </w:rPr>
        <w:t xml:space="preserve"> </w:t>
      </w:r>
      <w:r>
        <w:rPr>
          <w:rFonts w:ascii="仿宋_GB2312" w:hAnsi="仿宋_GB2312" w:eastAsia="仿宋_GB2312" w:cs="仿宋_GB2312"/>
          <w:color w:val="000000"/>
          <w:sz w:val="28"/>
          <w:szCs w:val="28"/>
          <w:highlight w:val="none"/>
        </w:rPr>
        <w:t>乙方在向甲方请款时，应根据甲方</w:t>
      </w:r>
      <w:r>
        <w:rPr>
          <w:rFonts w:hint="eastAsia" w:ascii="仿宋_GB2312" w:hAnsi="仿宋_GB2312" w:eastAsia="仿宋_GB2312" w:cs="仿宋_GB2312"/>
          <w:sz w:val="28"/>
          <w:szCs w:val="28"/>
          <w:highlight w:val="none"/>
          <w:lang w:val="en-US" w:eastAsia="zh-CN"/>
        </w:rPr>
        <w:t>确权产值</w:t>
      </w:r>
      <w:r>
        <w:rPr>
          <w:rFonts w:ascii="仿宋_GB2312" w:hAnsi="仿宋_GB2312" w:eastAsia="仿宋_GB2312" w:cs="仿宋_GB2312"/>
          <w:color w:val="000000"/>
          <w:sz w:val="28"/>
          <w:szCs w:val="28"/>
          <w:highlight w:val="none"/>
        </w:rPr>
        <w:t>开具合法、有效、完整、准确的增值税（请勾选：</w:t>
      </w:r>
      <w:r>
        <w:rPr>
          <w:rFonts w:hint="eastAsia" w:ascii="仿宋_GB2312" w:hAnsi="仿宋_GB2312" w:eastAsia="仿宋_GB2312" w:cs="仿宋_GB2312"/>
          <w:color w:val="000000"/>
          <w:sz w:val="28"/>
          <w:szCs w:val="28"/>
          <w:highlight w:val="none"/>
          <w:lang w:eastAsia="zh-CN"/>
        </w:rPr>
        <w:t>☑</w:t>
      </w:r>
      <w:r>
        <w:rPr>
          <w:rFonts w:ascii="仿宋_GB2312" w:hAnsi="仿宋_GB2312" w:eastAsia="仿宋_GB2312" w:cs="仿宋_GB2312"/>
          <w:color w:val="000000"/>
          <w:sz w:val="28"/>
          <w:szCs w:val="28"/>
          <w:highlight w:val="none"/>
        </w:rPr>
        <w:t>专用□普通）发票。全部联次一次打印，内容完全一致，发票抵扣联、发票联加盖发票专用章。</w:t>
      </w:r>
    </w:p>
    <w:p w14:paraId="7F863D8D">
      <w:pPr>
        <w:spacing w:line="48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若乙方为小规模纳税人，且本款第1项勾选增值税专用发票的，则乙方需提供由税务机关代开的增值税专用发票。</w:t>
      </w:r>
    </w:p>
    <w:p w14:paraId="61A1BDFF">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若乙方为一般纳税人的，应当在开具发票、请款之前向甲方提供一般纳税人认定表。</w:t>
      </w:r>
    </w:p>
    <w:p w14:paraId="112CA5D0">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若汇总开具增值税专用发票的，则乙方需同时提供防伪税控系统开具的《销售货物或提供应税劳务清单》，并加盖发票专用章。</w:t>
      </w:r>
    </w:p>
    <w:p w14:paraId="74A6EE6C">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6.3.3</w:t>
      </w:r>
      <w:r>
        <w:rPr>
          <w:rFonts w:hint="eastAsia" w:ascii="仿宋_GB2312" w:hAnsi="仿宋_GB2312" w:eastAsia="仿宋_GB2312" w:cs="仿宋_GB2312"/>
          <w:color w:val="000000"/>
          <w:sz w:val="28"/>
          <w:szCs w:val="28"/>
        </w:rPr>
        <w:t xml:space="preserve"> </w:t>
      </w:r>
      <w:r>
        <w:rPr>
          <w:rFonts w:ascii="仿宋_GB2312" w:hAnsi="仿宋_GB2312" w:eastAsia="仿宋_GB2312" w:cs="仿宋_GB2312"/>
          <w:color w:val="000000"/>
          <w:sz w:val="28"/>
          <w:szCs w:val="28"/>
        </w:rPr>
        <w:t>乙方提供发票不符合法律法规规范性文件规定或不符合合同约定开具、送达、认证、抵扣增值税发票的情形：</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（1）开具虚假发票的（如：虚开增值税发票，开具伪造、变造的增值税发票）；</w:t>
      </w:r>
    </w:p>
    <w:p w14:paraId="25B215D5">
      <w:pPr>
        <w:spacing w:line="480" w:lineRule="exact"/>
        <w:ind w:firstLine="560" w:firstLineChars="200"/>
        <w:rPr>
          <w:rFonts w:ascii="仿宋_GB2312" w:hAnsi="仿宋_GB2312" w:eastAsia="仿宋_GB2312" w:cs="仿宋_GB2312"/>
          <w:color w:val="000000"/>
          <w:spacing w:val="-20"/>
          <w:sz w:val="28"/>
          <w:szCs w:val="28"/>
        </w:rPr>
      </w:pPr>
      <w:r>
        <w:rPr>
          <w:rFonts w:ascii="仿宋_GB2312" w:hAnsi="仿宋_GB2312" w:eastAsia="仿宋_GB2312" w:cs="仿宋_GB2312"/>
          <w:color w:val="000000"/>
          <w:sz w:val="28"/>
          <w:szCs w:val="28"/>
        </w:rPr>
        <w:t>（2）</w:t>
      </w:r>
      <w:r>
        <w:rPr>
          <w:rFonts w:ascii="仿宋_GB2312" w:hAnsi="仿宋_GB2312" w:eastAsia="仿宋_GB2312" w:cs="仿宋_GB2312"/>
          <w:color w:val="000000"/>
          <w:spacing w:val="-20"/>
          <w:sz w:val="28"/>
          <w:szCs w:val="28"/>
        </w:rPr>
        <w:t>开具发票种类错误的（如：增值税专用发票开成增值税普通发票）；</w:t>
      </w:r>
    </w:p>
    <w:p w14:paraId="32C8D0B5">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（3）开具发票上记载的信息错误的（如：双方基本信息、发票号码、开票时间、金额、税率、税额等错误；字迹不清，压线、错格；项目不齐全；缺少发票专用章；备注栏遗漏填写等）；</w:t>
      </w:r>
    </w:p>
    <w:p w14:paraId="2123BD8F">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（4）因迟延送达增值税专用发票导致甲方不能认证、抵扣的；</w:t>
      </w:r>
    </w:p>
    <w:p w14:paraId="3DE10435">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（5）因开具虚假增值税专用发票导致甲方不能认证、抵扣的；</w:t>
      </w:r>
    </w:p>
    <w:p w14:paraId="77594F60">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（6）因开具的增值税专用发票上记载的信息错误导致甲方不能认证、抵扣的；</w:t>
      </w:r>
    </w:p>
    <w:p w14:paraId="6F43FD34">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（7）汇总开具增值税专用发票时，未一并提供防伪税控系统开具的《销售货物或提供应税劳务清单》的，或提供的《销售货物或提供应税劳务清单》上未加盖发票专用章的；</w:t>
      </w:r>
    </w:p>
    <w:p w14:paraId="51D5BC66">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（8）其他违反法律法规规范性文件规定或合同约定开具的增值税发票的。</w:t>
      </w:r>
      <w:r>
        <w:rPr>
          <w:rFonts w:hint="eastAsia" w:ascii="仿宋_GB2312" w:hAnsi="仿宋_GB2312" w:eastAsia="仿宋_GB2312" w:cs="仿宋_GB2312"/>
          <w:color w:val="000000"/>
          <w:sz w:val="28"/>
          <w:szCs w:val="28"/>
        </w:rPr>
        <w:t>】</w:t>
      </w:r>
    </w:p>
    <w:p w14:paraId="0A18EB01">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6.3.4 甲方若同时遗失增值税专用发票联和抵扣联，则乙方应为甲方提供加盖销售方发票专用章的相应发票记账联复印件作为增值税进项税的抵扣凭证或记账凭证。甲方若丢失抵扣联、发票联其中之一的，可用另外一联复印件，无需乙方提供记账联复印件。</w:t>
      </w:r>
    </w:p>
    <w:p w14:paraId="3C85A9D8">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6.3.5 甲方根据本合同约定从当期分包工程款中扣除了乙方的违约金、损失赔偿、代扣代缴费用等款项的，乙方仍应按扣除前的当期分包工程款金额开具增值税发票。本合同中约定的甲方向乙方支付的违约金为含税金额，在甲方支付违约金前，乙方应根据协议书第四条约定的增值税率或征收率，向甲方开具增值税发票。</w:t>
      </w:r>
    </w:p>
    <w:p w14:paraId="240E97F5">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6.3.6 违约责任</w:t>
      </w:r>
    </w:p>
    <w:p w14:paraId="30899ED9">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若乙方开具或提供的或税务机关代开的增值税发票存在第6.3.3款约定情形之一的，则甲方有权拒收增值税发票，并有权暂停支付相应款项直到甲方收到符合要求的增值税发票之日止。甲方拒收发票或暂停支付款项等行为，不视为违约，且乙方不得以此为由中止履行合同约定的义务。乙方在甲方拒收发票之日起7日内重新开具或提供符合要求的增值税发票并送达甲方。若因甲方原因提供错误开票信息的，甲方应在拒收的同时向乙方提供正确开票信息。</w:t>
      </w:r>
    </w:p>
    <w:p w14:paraId="77416CFD">
      <w:pPr>
        <w:spacing w:line="48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（2）若乙方开具或提供的增值税专用发票存在第6.3.3款约定情形之一的，除适用第6.3.6（1）款约定外，乙方还应按甲方要求采取其他补救措施，同时，</w:t>
      </w:r>
      <w:r>
        <w:rPr>
          <w:rFonts w:hint="eastAsia" w:ascii="仿宋_GB2312" w:hAnsi="仿宋_GB2312" w:eastAsia="仿宋_GB2312" w:cs="仿宋_GB2312"/>
          <w:sz w:val="28"/>
          <w:szCs w:val="28"/>
        </w:rPr>
        <w:t>甲方有权要求乙方支付签约合同价的【1】%的违约金或违约金【1】万元（以二者数额高者为准）</w:t>
      </w:r>
      <w:r>
        <w:rPr>
          <w:rFonts w:hint="eastAsia" w:ascii="仿宋_GB2312" w:hAnsi="仿宋_GB2312" w:eastAsia="仿宋_GB2312" w:cs="仿宋_GB2312"/>
          <w:color w:val="000000"/>
          <w:sz w:val="28"/>
          <w:szCs w:val="28"/>
        </w:rPr>
        <w:t>，并赔偿甲方损失，因甲方原因造成开票信息错误的除外。</w:t>
      </w:r>
    </w:p>
    <w:p w14:paraId="7BAF211D">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（3）若乙方开具或提供的增值税专用发票发生第6.3.3款的情形超过3次的或给甲方造成重大损失的，则乙方除按第6.3.6（2）款约定承担责任外，甲方有权单方解除本合同。</w:t>
      </w:r>
    </w:p>
    <w:p w14:paraId="1ED6A875">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（4）由于乙方的不规范涉税行为导致甲方受到税务局协查并给甲方造成涉税风险和损失的，乙方应承担甲方全部损失，甲方有权单方解除本合同。</w:t>
      </w:r>
    </w:p>
    <w:p w14:paraId="7D7EFE40">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35754BA8">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（6）乙方向甲方提供其他增值税扣税凭证的，均适用于本合同中第六条有关增值税专用发票的约定。</w:t>
      </w:r>
    </w:p>
    <w:p w14:paraId="11D7C2BC">
      <w:pPr>
        <w:spacing w:line="480" w:lineRule="exact"/>
        <w:ind w:firstLine="560" w:firstLineChars="200"/>
        <w:rPr>
          <w:rFonts w:ascii="仿宋_GB2312" w:hAnsi="仿宋_GB2312" w:eastAsia="仿宋_GB2312" w:cs="仿宋_GB2312"/>
          <w:color w:val="000000"/>
          <w:spacing w:val="-20"/>
          <w:sz w:val="28"/>
          <w:szCs w:val="28"/>
        </w:rPr>
      </w:pPr>
      <w:r>
        <w:rPr>
          <w:rFonts w:hint="eastAsia" w:ascii="仿宋_GB2312" w:hAnsi="仿宋_GB2312" w:eastAsia="仿宋_GB2312" w:cs="仿宋_GB2312"/>
          <w:color w:val="000000"/>
          <w:sz w:val="28"/>
          <w:szCs w:val="28"/>
        </w:rPr>
        <w:t>（7）乙方过程中开具发票的总金额不作为双方结算的金额，最终结算金额根据合同约定的时间和方式由双方确定。乙方开具的发票金额超过最终结算金额的</w:t>
      </w:r>
      <w:r>
        <w:rPr>
          <w:rFonts w:hint="eastAsia" w:ascii="仿宋_GB2312" w:hAnsi="仿宋_GB2312" w:eastAsia="仿宋_GB2312" w:cs="仿宋_GB2312"/>
          <w:color w:val="000000"/>
          <w:spacing w:val="-20"/>
          <w:sz w:val="28"/>
          <w:szCs w:val="28"/>
        </w:rPr>
        <w:t>，由双方后期对超开具部分的发票进行冲正处理。</w:t>
      </w:r>
    </w:p>
    <w:p w14:paraId="62DCE6F6">
      <w:pPr>
        <w:pStyle w:val="6"/>
        <w:keepNext/>
        <w:keepLines/>
        <w:pageBreakBefore w:val="0"/>
        <w:widowControl w:val="0"/>
        <w:numPr>
          <w:ilvl w:val="0"/>
          <w:numId w:val="1"/>
        </w:numPr>
        <w:kinsoku/>
        <w:wordWrap/>
        <w:overflowPunct/>
        <w:topLinePunct w:val="0"/>
        <w:autoSpaceDE/>
        <w:autoSpaceDN/>
        <w:bidi w:val="0"/>
        <w:adjustRightInd/>
        <w:snapToGrid/>
        <w:ind w:left="0" w:leftChars="0" w:firstLine="562" w:firstLineChars="200"/>
        <w:textAlignment w:val="auto"/>
        <w:rPr>
          <w:rFonts w:cs="Times New Roman"/>
          <w:b w:val="0"/>
          <w:bCs w:val="0"/>
          <w:color w:val="000000"/>
          <w:highlight w:val="none"/>
        </w:rPr>
      </w:pPr>
      <w:bookmarkStart w:id="31" w:name="_Toc9189"/>
      <w:r>
        <w:rPr>
          <w:rFonts w:cs="Times New Roman"/>
          <w:bCs w:val="0"/>
          <w:color w:val="000000"/>
        </w:rPr>
        <w:t>材料供</w:t>
      </w:r>
      <w:r>
        <w:rPr>
          <w:rFonts w:cs="Times New Roman"/>
          <w:bCs w:val="0"/>
          <w:color w:val="000000"/>
          <w:highlight w:val="none"/>
        </w:rPr>
        <w:t>应</w:t>
      </w:r>
      <w:bookmarkEnd w:id="31"/>
    </w:p>
    <w:p w14:paraId="0BD72AC7">
      <w:p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甲方按计划提供以下材料：</w:t>
      </w:r>
      <w:permStart w:id="66" w:edGrp="everyone"/>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w:t>
      </w:r>
      <w:permEnd w:id="66"/>
      <w:r>
        <w:rPr>
          <w:rFonts w:hint="eastAsia" w:ascii="仿宋_GB2312" w:hAnsi="仿宋_GB2312" w:eastAsia="仿宋_GB2312" w:cs="仿宋_GB2312"/>
          <w:color w:val="000000"/>
          <w:sz w:val="28"/>
          <w:szCs w:val="28"/>
          <w:highlight w:val="none"/>
        </w:rPr>
        <w:t>。乙方限额领料，材料如超出甲方约定（如甲方无约定，则执行工程所在地相应定额标准），则超领部分由乙方全部赔偿，价格按甲方购买价格加价【10】%计取，在进度款或结算款中扣除。</w:t>
      </w:r>
    </w:p>
    <w:p w14:paraId="07931D7B">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由甲方提供的材料在进出场时，乙方必须参与验收，否则，以甲方与供应商双方确认的数量为准。甲方供应的材料的质量、品种、规格、型号应符合设计要求，货到后甲乙双方共同验收合格后，办理领用手续，由乙方自行保管使用，相关费用已包含在合同单价中。乙</w:t>
      </w:r>
      <w:r>
        <w:rPr>
          <w:rFonts w:hint="eastAsia" w:ascii="仿宋_GB2312" w:hAnsi="仿宋_GB2312" w:eastAsia="仿宋_GB2312" w:cs="仿宋_GB2312"/>
          <w:color w:val="000000"/>
          <w:sz w:val="28"/>
          <w:szCs w:val="28"/>
        </w:rPr>
        <w:t>方未参加验收的，视为同意甲方的验收结果。</w:t>
      </w:r>
    </w:p>
    <w:p w14:paraId="64A56824">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乙方供料：除第7.1条约定甲方按计划供料外的所有材料由乙方自行提供，包括但不限于【零星材料、辅材、低值易耗品等，不包括主要建筑材料、周转材料和大中型施工机械设备等】。费用包含在合同综合单价中。</w:t>
      </w:r>
    </w:p>
    <w:p w14:paraId="6078C336">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7.2.1</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对于乙供材料，乙方负责原材料进场后的抽检和试验，在材料进场后，必须进行物资报验，报甲方进行复验，相关检测费用均已包含在综合单价内，甲方复验不免除乙方应承担的质量责任。</w:t>
      </w:r>
    </w:p>
    <w:p w14:paraId="1D897DD4">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7.2.2</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 xml:space="preserve">乙方对自供材料的质量负责，材料品牌需在采购前向甲方报备，根据技术要求和有关规定需要合格证、质量保证书和准用证等证件的，证件必须随货同行，货到后将证件交给甲方，据以进行质量验收，证件齐全、质量合格的材料方能用于工程。如在施工过程中发现材料质量不合格，乙方除负责更换合格材料外，还应承担签约合同价【 </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 xml:space="preserve"> 】%的惩罚性违约金及因此给甲方造成的全部损失。</w:t>
      </w:r>
    </w:p>
    <w:p w14:paraId="479004EB">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7.2.3</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对于乙方供应材料，若乙方拒绝提供，则由甲方代购，代购费用按照甲方购买价格的【110】%从乙方当期工程款中扣除。</w:t>
      </w:r>
    </w:p>
    <w:p w14:paraId="43021559">
      <w:pPr>
        <w:pStyle w:val="6"/>
        <w:keepNext/>
        <w:keepLines/>
        <w:pageBreakBefore w:val="0"/>
        <w:widowControl w:val="0"/>
        <w:numPr>
          <w:ilvl w:val="0"/>
          <w:numId w:val="1"/>
        </w:numPr>
        <w:kinsoku/>
        <w:wordWrap/>
        <w:overflowPunct/>
        <w:topLinePunct w:val="0"/>
        <w:autoSpaceDE/>
        <w:autoSpaceDN/>
        <w:bidi w:val="0"/>
        <w:adjustRightInd/>
        <w:snapToGrid/>
        <w:ind w:left="0" w:leftChars="0" w:firstLine="562" w:firstLineChars="200"/>
        <w:jc w:val="both"/>
        <w:textAlignment w:val="auto"/>
        <w:rPr>
          <w:rFonts w:cs="Times New Roman"/>
          <w:bCs w:val="0"/>
          <w:color w:val="000000"/>
          <w:highlight w:val="none"/>
        </w:rPr>
      </w:pPr>
      <w:bookmarkStart w:id="32" w:name="_Toc14028"/>
      <w:r>
        <w:rPr>
          <w:rFonts w:cs="Times New Roman"/>
          <w:bCs w:val="0"/>
          <w:color w:val="000000"/>
        </w:rPr>
        <w:t>各类机</w:t>
      </w:r>
      <w:r>
        <w:rPr>
          <w:rFonts w:cs="Times New Roman"/>
          <w:bCs w:val="0"/>
          <w:color w:val="000000"/>
          <w:highlight w:val="none"/>
        </w:rPr>
        <w:t>械及安全防护用品供应</w:t>
      </w:r>
      <w:bookmarkEnd w:id="32"/>
    </w:p>
    <w:p w14:paraId="7FA217DE">
      <w:p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8.1</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甲方提供机械：</w:t>
      </w:r>
      <w:permStart w:id="67" w:edGrp="everyone"/>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塔吊、施工电梯</w:t>
      </w:r>
      <w:r>
        <w:rPr>
          <w:rFonts w:hint="eastAsia" w:ascii="仿宋_GB2312" w:hAnsi="仿宋_GB2312" w:eastAsia="仿宋_GB2312" w:cs="仿宋_GB2312"/>
          <w:color w:val="000000"/>
          <w:sz w:val="28"/>
          <w:szCs w:val="28"/>
          <w:highlight w:val="none"/>
        </w:rPr>
        <w:t>】</w:t>
      </w:r>
    </w:p>
    <w:permEnd w:id="67"/>
    <w:p w14:paraId="11EF0413">
      <w:p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8.1.1</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甲方人员操作的机械由甲方派相关专业人员跟班操作、管理、维修、保养、保管，乙方不准擅自操作。甲方交由乙方人员操作的机械，乙方办理接管手续，负责日常的保养、保管。乙方要严格执行操作规程，保证设备良好状态。施工任务完成后进行盘点、清理、刷油，并交还甲方。如有保管不善或使用不当造成丢失、损坏，乙方负责修理或照价赔偿。</w:t>
      </w:r>
    </w:p>
    <w:p w14:paraId="4B446319">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8.1.2</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由甲方提供给乙方使用的机械在进出场时，乙方必</w:t>
      </w:r>
      <w:r>
        <w:rPr>
          <w:rFonts w:hint="eastAsia" w:ascii="仿宋_GB2312" w:hAnsi="仿宋_GB2312" w:eastAsia="仿宋_GB2312" w:cs="仿宋_GB2312"/>
          <w:color w:val="000000"/>
          <w:sz w:val="28"/>
          <w:szCs w:val="28"/>
        </w:rPr>
        <w:t>须参与验收，确认数量及运行状态，否则，以甲方确认为准。</w:t>
      </w:r>
    </w:p>
    <w:p w14:paraId="72EB0CBC">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8.1.3</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甲方提供的大型机械，如遇特殊情况提前拆除或维修、不同作业区因工期问题造成某作业区一定时间内无法使用甲方提供的大型机械、施工现场存在少量覆盖盲区情况，甲方应在合理期限内提前通知乙方，由乙方自行解决物料搬运问题，甲方不补偿相应费用。</w:t>
      </w:r>
    </w:p>
    <w:p w14:paraId="0D1276C5">
      <w:pPr>
        <w:spacing w:line="480" w:lineRule="exact"/>
        <w:ind w:firstLine="560" w:firstLineChars="200"/>
        <w:rPr>
          <w:rFonts w:ascii="仿宋_GB2312" w:hAnsi="宋体" w:eastAsia="仿宋_GB2312" w:cs="宋体"/>
          <w:strike/>
          <w:sz w:val="28"/>
          <w:szCs w:val="28"/>
        </w:rPr>
      </w:pPr>
      <w:r>
        <w:rPr>
          <w:rFonts w:hint="eastAsia" w:ascii="仿宋_GB2312" w:hAnsi="宋体" w:eastAsia="仿宋_GB2312" w:cs="宋体"/>
          <w:sz w:val="28"/>
          <w:szCs w:val="28"/>
        </w:rPr>
        <w:t>8.2</w:t>
      </w:r>
      <w:r>
        <w:rPr>
          <w:rFonts w:ascii="仿宋_GB2312" w:hAnsi="宋体" w:eastAsia="仿宋_GB2312" w:cs="宋体"/>
          <w:sz w:val="28"/>
          <w:szCs w:val="28"/>
        </w:rPr>
        <w:t xml:space="preserve"> </w:t>
      </w:r>
      <w:r>
        <w:rPr>
          <w:rFonts w:hint="eastAsia" w:ascii="仿宋_GB2312" w:hAnsi="宋体" w:eastAsia="仿宋_GB2312" w:cs="宋体"/>
          <w:sz w:val="28"/>
          <w:szCs w:val="28"/>
        </w:rPr>
        <w:t>乙方提供机械机具：【除第8.1条约定甲供机械之外的所有机械及机具、手头工具及劳保用品等均由乙方供应】，费用包含在合同单价中。</w:t>
      </w:r>
    </w:p>
    <w:p w14:paraId="296CE631">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8.3</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安全防护用品：乙方必须为施工现场自有人员配备必需的安全防护用品。乙方配备的安全防护用品使用性能或质量必须符合国家主管部门及行业规范、标准要求，另外安全防护用品外观、样式、规格、型号须符合甲方安全管理要求。</w:t>
      </w:r>
    </w:p>
    <w:p w14:paraId="5B723EB9">
      <w:p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【施工现场特种劳动防护用品（包括三宝一器：安全帽、安全带、安全网，漏触电保护器）及锁扣、钢丝绳由甲方统一采购、统一发放、统一管理，费用由甲方从</w:t>
      </w:r>
      <w:r>
        <w:rPr>
          <w:rFonts w:hint="eastAsia" w:ascii="仿宋_GB2312" w:hAnsi="仿宋_GB2312" w:eastAsia="仿宋_GB2312" w:cs="仿宋_GB2312"/>
          <w:color w:val="000000"/>
          <w:sz w:val="28"/>
          <w:szCs w:val="28"/>
          <w:highlight w:val="none"/>
        </w:rPr>
        <w:t>乙方工程款中代付代扣】。</w:t>
      </w:r>
    </w:p>
    <w:p w14:paraId="646BDAD7">
      <w:pPr>
        <w:pStyle w:val="6"/>
        <w:numPr>
          <w:ilvl w:val="0"/>
          <w:numId w:val="1"/>
        </w:numPr>
        <w:ind w:left="0" w:leftChars="0" w:firstLine="562" w:firstLineChars="200"/>
        <w:jc w:val="both"/>
        <w:rPr>
          <w:rFonts w:cs="Times New Roman"/>
          <w:bCs w:val="0"/>
          <w:color w:val="000000"/>
          <w:highlight w:val="none"/>
        </w:rPr>
      </w:pPr>
      <w:bookmarkStart w:id="33" w:name="_Toc15397"/>
      <w:r>
        <w:rPr>
          <w:rFonts w:cs="Times New Roman"/>
          <w:bCs w:val="0"/>
          <w:color w:val="000000"/>
          <w:highlight w:val="none"/>
        </w:rPr>
        <w:t>甲乙方代表</w:t>
      </w:r>
      <w:bookmarkEnd w:id="33"/>
    </w:p>
    <w:p w14:paraId="7FDA2D4E">
      <w:pPr>
        <w:numPr>
          <w:ilvl w:val="0"/>
          <w:numId w:val="0"/>
        </w:numPr>
        <w:spacing w:line="4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9.1</w:t>
      </w:r>
      <w:r>
        <w:rPr>
          <w:rFonts w:hint="eastAsia" w:ascii="仿宋_GB2312" w:hAnsi="仿宋_GB2312" w:eastAsia="仿宋_GB2312" w:cs="仿宋_GB2312"/>
          <w:color w:val="000000"/>
          <w:sz w:val="28"/>
          <w:szCs w:val="28"/>
          <w:highlight w:val="none"/>
        </w:rPr>
        <w:t>甲方现场代表：</w:t>
      </w:r>
      <w:permStart w:id="68" w:edGrp="everyone"/>
      <w:r>
        <w:rPr>
          <w:rFonts w:hint="eastAsia" w:ascii="仿宋_GB2312" w:hAnsi="仿宋_GB2312" w:eastAsia="仿宋_GB2312" w:cs="仿宋_GB2312"/>
          <w:color w:val="000000"/>
          <w:sz w:val="28"/>
          <w:szCs w:val="28"/>
          <w:highlight w:val="none"/>
        </w:rPr>
        <w:t>【】</w:t>
      </w:r>
      <w:permEnd w:id="68"/>
      <w:r>
        <w:rPr>
          <w:rFonts w:hint="eastAsia" w:ascii="仿宋_GB2312" w:hAnsi="仿宋_GB2312" w:eastAsia="仿宋_GB2312" w:cs="仿宋_GB2312"/>
          <w:color w:val="000000"/>
          <w:sz w:val="28"/>
          <w:szCs w:val="28"/>
          <w:highlight w:val="none"/>
        </w:rPr>
        <w:t>，代表甲方【负责现场管理，但无权单独处理合同调价、付款、结算、借款、担保、融投资及除本合同外经济合同的签订事项，也无权变更或解除分包合同】。甲方现场代表权限具体见甲方授权委托书。</w:t>
      </w:r>
    </w:p>
    <w:p w14:paraId="06E4C246">
      <w:pPr>
        <w:numPr>
          <w:ilvl w:val="0"/>
          <w:numId w:val="0"/>
        </w:num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9.2</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乙方现场代表：</w:t>
      </w:r>
      <w:permStart w:id="69" w:edGrp="everyone"/>
      <w:r>
        <w:rPr>
          <w:rFonts w:hint="eastAsia" w:ascii="仿宋_GB2312" w:hAnsi="仿宋_GB2312" w:eastAsia="仿宋_GB2312" w:cs="仿宋_GB2312"/>
          <w:color w:val="000000"/>
          <w:sz w:val="28"/>
          <w:szCs w:val="28"/>
          <w:highlight w:val="none"/>
        </w:rPr>
        <w:t>【】</w:t>
      </w:r>
      <w:permEnd w:id="69"/>
      <w:r>
        <w:rPr>
          <w:rFonts w:hint="eastAsia" w:ascii="仿宋_GB2312" w:hAnsi="仿宋_GB2312" w:eastAsia="仿宋_GB2312" w:cs="仿宋_GB2312"/>
          <w:color w:val="000000"/>
          <w:sz w:val="28"/>
          <w:szCs w:val="28"/>
          <w:highlight w:val="none"/>
        </w:rPr>
        <w:t>，联系电话：</w:t>
      </w:r>
      <w:permStart w:id="70" w:edGrp="everyone"/>
      <w:r>
        <w:rPr>
          <w:rFonts w:hint="eastAsia" w:ascii="仿宋_GB2312" w:hAnsi="仿宋_GB2312" w:eastAsia="仿宋_GB2312" w:cs="仿宋_GB2312"/>
          <w:color w:val="000000"/>
          <w:sz w:val="28"/>
          <w:szCs w:val="28"/>
          <w:highlight w:val="none"/>
        </w:rPr>
        <w:t>【】</w:t>
      </w:r>
      <w:permEnd w:id="70"/>
      <w:r>
        <w:rPr>
          <w:rFonts w:hint="eastAsia" w:ascii="仿宋_GB2312" w:hAnsi="仿宋_GB2312" w:eastAsia="仿宋_GB2312" w:cs="仿宋_GB2312"/>
          <w:color w:val="000000"/>
          <w:sz w:val="28"/>
          <w:szCs w:val="28"/>
          <w:highlight w:val="none"/>
        </w:rPr>
        <w:t>，电子邮箱：</w:t>
      </w:r>
      <w:permStart w:id="71" w:edGrp="everyone"/>
      <w:r>
        <w:rPr>
          <w:rFonts w:hint="eastAsia" w:ascii="仿宋_GB2312" w:hAnsi="仿宋_GB2312" w:eastAsia="仿宋_GB2312" w:cs="仿宋_GB2312"/>
          <w:color w:val="000000"/>
          <w:sz w:val="28"/>
          <w:szCs w:val="28"/>
          <w:highlight w:val="none"/>
        </w:rPr>
        <w:t>【】</w:t>
      </w:r>
      <w:permEnd w:id="71"/>
      <w:r>
        <w:rPr>
          <w:rFonts w:hint="eastAsia" w:ascii="仿宋_GB2312" w:hAnsi="仿宋_GB2312" w:eastAsia="仿宋_GB2312" w:cs="仿宋_GB2312"/>
          <w:color w:val="000000"/>
          <w:sz w:val="28"/>
          <w:szCs w:val="28"/>
          <w:highlight w:val="none"/>
        </w:rPr>
        <w:t>，必须持有授权委托书，代表乙方履【行合同，负责施工管理、签署任何文件、处理与工程有关的所有事务等】，乙方承担乙方现场代表行为的全部法律后果。（条款说明：各项目可根据不同情况需要进行调整）。</w:t>
      </w:r>
    </w:p>
    <w:p w14:paraId="3B5B9D88">
      <w:pPr>
        <w:pStyle w:val="6"/>
        <w:keepNext/>
        <w:keepLines/>
        <w:pageBreakBefore w:val="0"/>
        <w:widowControl w:val="0"/>
        <w:numPr>
          <w:ilvl w:val="0"/>
          <w:numId w:val="1"/>
        </w:numPr>
        <w:kinsoku/>
        <w:wordWrap/>
        <w:overflowPunct/>
        <w:topLinePunct w:val="0"/>
        <w:autoSpaceDE/>
        <w:autoSpaceDN/>
        <w:bidi w:val="0"/>
        <w:adjustRightInd/>
        <w:snapToGrid/>
        <w:ind w:left="0" w:leftChars="0" w:firstLine="562" w:firstLineChars="200"/>
        <w:textAlignment w:val="auto"/>
        <w:rPr>
          <w:rFonts w:cs="Times New Roman"/>
          <w:bCs w:val="0"/>
          <w:color w:val="000000"/>
          <w:highlight w:val="none"/>
        </w:rPr>
      </w:pPr>
      <w:bookmarkStart w:id="34" w:name="_Toc30812"/>
      <w:r>
        <w:rPr>
          <w:rFonts w:cs="Times New Roman"/>
          <w:bCs w:val="0"/>
          <w:color w:val="000000"/>
          <w:highlight w:val="none"/>
        </w:rPr>
        <w:t>合同文件构成及解释顺序</w:t>
      </w:r>
      <w:bookmarkEnd w:id="34"/>
    </w:p>
    <w:p w14:paraId="5C7C2D0E">
      <w:p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本协议书与下列文件一起构成合同文件：</w:t>
      </w:r>
    </w:p>
    <w:p w14:paraId="37E8E5A7">
      <w:p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（1）合同协议书；</w:t>
      </w:r>
    </w:p>
    <w:p w14:paraId="1412114A">
      <w:p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（2）本合同条款及承诺书等合同附件；</w:t>
      </w:r>
    </w:p>
    <w:p w14:paraId="1CD5CAAB">
      <w:p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（3）中标通知书（如有）；</w:t>
      </w:r>
    </w:p>
    <w:p w14:paraId="49F86291">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（4）技术标准和要求；</w:t>
      </w:r>
    </w:p>
    <w:p w14:paraId="46FDFE14">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（5）图纸；</w:t>
      </w:r>
    </w:p>
    <w:p w14:paraId="31DE9AAD">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（6）已标价的工程量清单；</w:t>
      </w:r>
    </w:p>
    <w:p w14:paraId="3D601C44">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（7）往来资料；</w:t>
      </w:r>
    </w:p>
    <w:p w14:paraId="420DF757">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（8）甲方的招标文件；</w:t>
      </w:r>
    </w:p>
    <w:p w14:paraId="31179E1F">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）甲方现场管理制度及要求；</w:t>
      </w:r>
    </w:p>
    <w:p w14:paraId="71F992BE">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）乙方的投标文件（价格除外）。</w:t>
      </w:r>
    </w:p>
    <w:p w14:paraId="0F793C17">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在合同订立及履行过程中形成的与合同有关的文件均为合同文件的组成部分。</w:t>
      </w:r>
    </w:p>
    <w:p w14:paraId="5F4B0ECA">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上述各项合同文件中包括合同当事人就该项合同文件所做出的补充和修改，属于同一类型内容的文件应以最新签署的为准。</w:t>
      </w:r>
    </w:p>
    <w:p w14:paraId="0C5537E0">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组成合同的各项文件应互相解释，互为说明。本合同约定解释合同文件的优先顺序同上述排列次序，在合同订立及履行过程中形成的与合同有关的文件根据其性质确定优先解释顺序。</w:t>
      </w:r>
    </w:p>
    <w:p w14:paraId="68596F49">
      <w:pPr>
        <w:pStyle w:val="6"/>
        <w:numPr>
          <w:ilvl w:val="0"/>
          <w:numId w:val="1"/>
        </w:numPr>
        <w:ind w:left="0" w:leftChars="0" w:firstLine="562" w:firstLineChars="200"/>
        <w:rPr>
          <w:rFonts w:cs="Times New Roman"/>
          <w:bCs w:val="0"/>
          <w:color w:val="000000"/>
        </w:rPr>
      </w:pPr>
      <w:bookmarkStart w:id="35" w:name="_Toc2973"/>
      <w:r>
        <w:rPr>
          <w:rFonts w:cs="Times New Roman"/>
          <w:bCs w:val="0"/>
          <w:color w:val="000000"/>
        </w:rPr>
        <w:t>乙方承诺</w:t>
      </w:r>
      <w:bookmarkEnd w:id="35"/>
    </w:p>
    <w:p w14:paraId="1CDAF550">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按照法律规定及合同约定组织完成分包工作，确保分包作业质量和安全，不进行转包及再分包，并按时足额的向分包作业人员发放工资。</w:t>
      </w:r>
    </w:p>
    <w:p w14:paraId="0A2A1246">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完成总承包合同中与本分包工程有关的甲方所有义务，并承担总承包合同中关于本分包工程的质量、安全、经济等连带责任。</w:t>
      </w:r>
    </w:p>
    <w:p w14:paraId="66971A88">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按照甲方要求积极使用全国劳务实名制平台、相关方系统，并配置专（兼）职管理员进行日常管理维护，承认全国劳务实名制平台、相关方系统及手持终端系统相关文件及相关数据具有法律效力。</w:t>
      </w:r>
    </w:p>
    <w:p w14:paraId="6A954E62">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11.4</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乙方应当积极维护甲方名誉，不得以</w:t>
      </w:r>
      <w:r>
        <w:rPr>
          <w:rFonts w:hint="eastAsia" w:ascii="仿宋_GB2312" w:hAnsi="仿宋_GB2312" w:eastAsia="仿宋_GB2312" w:cs="仿宋_GB2312"/>
          <w:sz w:val="28"/>
          <w:szCs w:val="28"/>
        </w:rPr>
        <w:t>中建集团、中建xxx局及其下属公司、甲方及甲方关联公司、项目部等</w:t>
      </w:r>
      <w:r>
        <w:rPr>
          <w:rFonts w:hint="eastAsia" w:ascii="仿宋_GB2312" w:hAnsi="仿宋_GB2312" w:eastAsia="仿宋_GB2312" w:cs="仿宋_GB2312"/>
          <w:color w:val="000000"/>
          <w:sz w:val="28"/>
          <w:szCs w:val="28"/>
        </w:rPr>
        <w:t>名义发布自媒体作品，接受媒体、建设单位、行政机关、司法机关等第三方的采访、调查、问询等，或通过其他形式发表言论。</w:t>
      </w:r>
    </w:p>
    <w:p w14:paraId="13A6FF6B">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11.5</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根据《保障农民工工资支付条例》第十五条规定，乙方应当按照工资支付周期编制书面工资支付台账，并至少保存3年。书面工资支付台账应当包括乙方名称，支付周期，支付日期，支付对象姓名、身份证号码、联系方式，工作时间，应发工资项目及数额，代扣、代缴、扣除项目和数额，实发工资数额，银行代发工资凭证或者农民工签字等内容。乙方在甲方支付每笔工程款后【7】天内，需将上述资料复印件加盖乙方公章后提交至甲方存档，如未编制书面工资支付台账且未在期限内提交工资发放凭证，乙方需向甲方承担签约合同价【1】%/次的违约责任。</w:t>
      </w:r>
    </w:p>
    <w:p w14:paraId="2220F27F">
      <w:pPr>
        <w:spacing w:line="480" w:lineRule="exact"/>
        <w:ind w:firstLine="560" w:firstLineChars="200"/>
        <w:rPr>
          <w:rFonts w:ascii="仿宋_GB2312" w:hAnsi="仿宋_GB2312" w:eastAsia="仿宋_GB2312" w:cs="仿宋_GB2312"/>
          <w:color w:val="000000"/>
          <w:spacing w:val="-20"/>
          <w:sz w:val="28"/>
          <w:szCs w:val="28"/>
        </w:rPr>
      </w:pPr>
      <w:r>
        <w:rPr>
          <w:rFonts w:hint="eastAsia" w:ascii="仿宋_GB2312" w:hAnsi="仿宋_GB2312" w:eastAsia="仿宋_GB2312" w:cs="仿宋_GB2312"/>
          <w:color w:val="000000"/>
          <w:sz w:val="28"/>
          <w:szCs w:val="28"/>
        </w:rPr>
        <w:t>如因乙方原因导致</w:t>
      </w:r>
      <w:r>
        <w:rPr>
          <w:rFonts w:hint="eastAsia" w:ascii="仿宋_GB2312" w:hAnsi="仿宋_GB2312" w:eastAsia="仿宋_GB2312" w:cs="仿宋_GB2312"/>
          <w:sz w:val="28"/>
          <w:szCs w:val="28"/>
        </w:rPr>
        <w:t>中建集团、中建</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局或其他下属公司、甲方及甲方关联公司或项目部</w:t>
      </w:r>
      <w:r>
        <w:rPr>
          <w:rFonts w:hint="eastAsia" w:ascii="仿宋_GB2312" w:hAnsi="仿宋_GB2312" w:eastAsia="仿宋_GB2312" w:cs="仿宋_GB2312"/>
          <w:color w:val="000000"/>
          <w:sz w:val="28"/>
          <w:szCs w:val="28"/>
        </w:rPr>
        <w:t>名誉受损的，除应</w:t>
      </w:r>
      <w:r>
        <w:rPr>
          <w:rFonts w:hint="eastAsia" w:ascii="仿宋_GB2312" w:hAnsi="仿宋_GB2312" w:eastAsia="仿宋_GB2312" w:cs="仿宋_GB2312"/>
          <w:sz w:val="28"/>
          <w:szCs w:val="28"/>
        </w:rPr>
        <w:t>按签约合同价【3】%/次</w:t>
      </w:r>
      <w:r>
        <w:rPr>
          <w:rFonts w:hint="eastAsia" w:ascii="仿宋_GB2312" w:hAnsi="仿宋_GB2312" w:eastAsia="仿宋_GB2312" w:cs="仿宋_GB2312"/>
          <w:color w:val="000000"/>
          <w:sz w:val="28"/>
          <w:szCs w:val="28"/>
        </w:rPr>
        <w:t>支付违约金外，还应赔偿甲方因此而遭受的全部损失，以及甲方为恢复名誉而支付的差旅费、诉讼费、律师费等，并应在事件发生后【24小时】</w:t>
      </w:r>
      <w:r>
        <w:rPr>
          <w:rFonts w:hint="eastAsia" w:ascii="仿宋_GB2312" w:hAnsi="仿宋_GB2312" w:eastAsia="仿宋_GB2312" w:cs="仿宋_GB2312"/>
          <w:color w:val="000000"/>
          <w:spacing w:val="-20"/>
          <w:sz w:val="28"/>
          <w:szCs w:val="28"/>
        </w:rPr>
        <w:t>内通过具有全国影响力的主流媒体公开向甲方道歉并澄清相关事实。</w:t>
      </w:r>
    </w:p>
    <w:p w14:paraId="7546513C">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述违约金及赔偿金，甲方有权从乙方缴纳的全部履约保证金或履约保函中直接扣除，也可从任何一笔应支付乙方的工程款中直接扣除，乙方对此知悉并同意，且甲方有权解除合同，解除合同造成的全部损失由乙方承担。</w:t>
      </w:r>
    </w:p>
    <w:p w14:paraId="384AA805">
      <w:pPr>
        <w:pStyle w:val="6"/>
        <w:numPr>
          <w:ilvl w:val="0"/>
          <w:numId w:val="1"/>
        </w:numPr>
        <w:ind w:left="0" w:leftChars="0" w:firstLine="562" w:firstLineChars="200"/>
        <w:rPr>
          <w:rFonts w:cs="Times New Roman"/>
          <w:bCs w:val="0"/>
          <w:color w:val="000000"/>
          <w:highlight w:val="none"/>
        </w:rPr>
      </w:pPr>
      <w:bookmarkStart w:id="36" w:name="_Toc13337"/>
      <w:r>
        <w:rPr>
          <w:rFonts w:cs="Times New Roman"/>
          <w:bCs w:val="0"/>
          <w:color w:val="000000"/>
          <w:highlight w:val="none"/>
        </w:rPr>
        <w:t>工程保修缺陷责任</w:t>
      </w:r>
      <w:bookmarkEnd w:id="36"/>
    </w:p>
    <w:p w14:paraId="16F14B89">
      <w:pPr>
        <w:spacing w:line="480" w:lineRule="exact"/>
        <w:ind w:firstLine="560" w:firstLineChars="200"/>
        <w:rPr>
          <w:rFonts w:ascii="仿宋_GB2312" w:hAnsi="仿宋_GB2312" w:eastAsia="仿宋_GB2312" w:cs="仿宋_GB2312"/>
          <w:color w:val="000000"/>
          <w:sz w:val="28"/>
          <w:szCs w:val="28"/>
          <w:highlight w:val="none"/>
        </w:rPr>
      </w:pPr>
      <w:permStart w:id="72" w:edGrp="everyone"/>
      <w:r>
        <w:rPr>
          <w:rFonts w:hint="eastAsia" w:ascii="仿宋_GB2312" w:hAnsi="仿宋_GB2312" w:eastAsia="仿宋_GB2312" w:cs="仿宋_GB2312"/>
          <w:color w:val="000000"/>
          <w:sz w:val="28"/>
          <w:szCs w:val="28"/>
          <w:highlight w:val="none"/>
        </w:rPr>
        <w:t>按《建设工程质量管理条例》执行。在正常使用条件下，本工程保修期限为【</w:t>
      </w:r>
      <w:r>
        <w:rPr>
          <w:rFonts w:hint="eastAsia" w:ascii="仿宋_GB2312" w:hAnsi="仿宋_GB2312" w:eastAsia="仿宋_GB2312" w:cs="仿宋_GB2312"/>
          <w:color w:val="000000"/>
          <w:sz w:val="28"/>
          <w:szCs w:val="28"/>
          <w:highlight w:val="none"/>
          <w:lang w:val="en-US" w:eastAsia="zh-CN"/>
        </w:rPr>
        <w:t>2年</w:t>
      </w:r>
      <w:r>
        <w:rPr>
          <w:rFonts w:hint="eastAsia" w:ascii="仿宋_GB2312" w:hAnsi="仿宋_GB2312" w:eastAsia="仿宋_GB2312" w:cs="仿宋_GB2312"/>
          <w:color w:val="000000"/>
          <w:sz w:val="28"/>
          <w:szCs w:val="28"/>
          <w:highlight w:val="none"/>
        </w:rPr>
        <w:t>】，自【整体工程】竣工验收合格之日起计算。</w:t>
      </w:r>
    </w:p>
    <w:p w14:paraId="17CE5187">
      <w:pPr>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质保金的返还：自【整体工程】竣工验收合格之日起满【2】年，工程无任何质量缺陷，【</w:t>
      </w:r>
      <w:r>
        <w:rPr>
          <w:rFonts w:hint="eastAsia" w:ascii="仿宋_GB2312" w:hAnsi="仿宋_GB2312" w:eastAsia="仿宋_GB2312" w:cs="仿宋_GB2312"/>
          <w:sz w:val="28"/>
          <w:szCs w:val="28"/>
          <w:highlight w:val="none"/>
          <w:lang w:val="en-US" w:eastAsia="zh-CN"/>
        </w:rPr>
        <w:t>365</w:t>
      </w:r>
      <w:r>
        <w:rPr>
          <w:rFonts w:hint="eastAsia" w:ascii="仿宋_GB2312" w:hAnsi="仿宋_GB2312" w:eastAsia="仿宋_GB2312" w:cs="仿宋_GB2312"/>
          <w:color w:val="000000"/>
          <w:sz w:val="28"/>
          <w:szCs w:val="28"/>
          <w:highlight w:val="none"/>
        </w:rPr>
        <w:t>】天内无息支付。</w:t>
      </w:r>
    </w:p>
    <w:permEnd w:id="72"/>
    <w:p w14:paraId="33167C02">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如该工程在保修期内出现质量问题，乙方在接到甲方维修通知后应当在24小时内派人前往维修处理。如乙方未能按照约定履行维修义务，甲方可自行组织人员维修，所产生的维修费用全部由乙方承担，甲方有权在乙方的质保金中扣除，并要求乙方承担维修费用【20】%的违约金，不足部分及因乙方拒绝维修导致额外的损失，甲方将继续向乙方追偿。</w:t>
      </w:r>
    </w:p>
    <w:p w14:paraId="0DCF5115">
      <w:pPr>
        <w:pStyle w:val="6"/>
        <w:numPr>
          <w:ilvl w:val="0"/>
          <w:numId w:val="1"/>
        </w:numPr>
        <w:ind w:left="0" w:leftChars="0" w:firstLine="562" w:firstLineChars="200"/>
        <w:rPr>
          <w:rFonts w:cs="Times New Roman"/>
          <w:bCs w:val="0"/>
          <w:color w:val="auto"/>
        </w:rPr>
      </w:pPr>
      <w:bookmarkStart w:id="37" w:name="_Toc9754"/>
      <w:r>
        <w:rPr>
          <w:rFonts w:cs="Times New Roman"/>
          <w:bCs w:val="0"/>
          <w:color w:val="auto"/>
        </w:rPr>
        <w:t>争议解决</w:t>
      </w:r>
      <w:bookmarkEnd w:id="37"/>
    </w:p>
    <w:p w14:paraId="66EA87E8">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因本合同引起或与之相关的任何争议、纠纷或权利主张，双方可先行通过和解方式解决，或采用下列第【</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】种争议解决方式，并自行承担本方发生的律师费、差旅费、保函费等相关费用：</w:t>
      </w:r>
    </w:p>
    <w:p w14:paraId="06A5FB49">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①向【 </w:t>
      </w:r>
      <w:r>
        <w:rPr>
          <w:rFonts w:hint="eastAsia" w:ascii="仿宋_GB2312" w:hAnsi="仿宋_GB2312" w:eastAsia="仿宋_GB2312" w:cs="仿宋_GB2312"/>
          <w:color w:val="000000"/>
          <w:sz w:val="28"/>
          <w:szCs w:val="28"/>
          <w:lang w:val="en-US" w:eastAsia="zh-CN"/>
        </w:rPr>
        <w:t>深圳国际仲裁院</w:t>
      </w:r>
      <w:r>
        <w:rPr>
          <w:rFonts w:hint="eastAsia" w:ascii="仿宋_GB2312" w:hAnsi="仿宋_GB2312" w:eastAsia="仿宋_GB2312" w:cs="仿宋_GB2312"/>
          <w:color w:val="000000"/>
          <w:sz w:val="28"/>
          <w:szCs w:val="28"/>
        </w:rPr>
        <w:t xml:space="preserve"> 】申请仲裁;</w:t>
      </w:r>
    </w:p>
    <w:p w14:paraId="0CB54330">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②向【   </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 xml:space="preserve">   】人民法院提起诉讼。</w:t>
      </w:r>
    </w:p>
    <w:p w14:paraId="7E38DF49">
      <w:pPr>
        <w:pStyle w:val="6"/>
        <w:numPr>
          <w:ilvl w:val="0"/>
          <w:numId w:val="1"/>
        </w:numPr>
        <w:ind w:left="0" w:leftChars="0" w:firstLine="562" w:firstLineChars="200"/>
        <w:rPr>
          <w:rFonts w:cs="Times New Roman"/>
          <w:bCs w:val="0"/>
          <w:color w:val="000000"/>
        </w:rPr>
      </w:pPr>
      <w:bookmarkStart w:id="38" w:name="_Toc5933"/>
      <w:r>
        <w:rPr>
          <w:rFonts w:cs="Times New Roman"/>
          <w:bCs w:val="0"/>
          <w:color w:val="000000"/>
        </w:rPr>
        <w:t>附则</w:t>
      </w:r>
      <w:bookmarkEnd w:id="38"/>
    </w:p>
    <w:p w14:paraId="1D856E76">
      <w:pPr>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14.1 本合同采用下列第【 </w:t>
      </w:r>
      <w:r>
        <w:rPr>
          <w:rFonts w:hint="eastAsia" w:ascii="仿宋_GB2312" w:hAnsi="仿宋_GB2312" w:eastAsia="仿宋_GB2312" w:cs="仿宋_GB2312"/>
          <w:bCs/>
          <w:color w:val="000000"/>
          <w:sz w:val="28"/>
          <w:szCs w:val="28"/>
          <w:lang w:val="en-US" w:eastAsia="zh-CN"/>
        </w:rPr>
        <w:t>2</w:t>
      </w:r>
      <w:r>
        <w:rPr>
          <w:rFonts w:hint="eastAsia" w:ascii="仿宋_GB2312" w:hAnsi="仿宋_GB2312" w:eastAsia="仿宋_GB2312" w:cs="仿宋_GB2312"/>
          <w:bCs/>
          <w:color w:val="000000"/>
          <w:sz w:val="28"/>
          <w:szCs w:val="28"/>
        </w:rPr>
        <w:t xml:space="preserve"> 】 种方式签订：</w:t>
      </w:r>
    </w:p>
    <w:p w14:paraId="049EDA04">
      <w:pPr>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（1）本合同自双方签字并盖章后生效，一式【 </w:t>
      </w:r>
      <w:r>
        <w:rPr>
          <w:rFonts w:hint="eastAsia" w:ascii="仿宋_GB2312" w:hAnsi="仿宋_GB2312" w:eastAsia="仿宋_GB2312" w:cs="仿宋_GB2312"/>
          <w:bCs/>
          <w:color w:val="000000"/>
          <w:sz w:val="28"/>
          <w:szCs w:val="28"/>
          <w:lang w:val="en-US" w:eastAsia="zh-CN"/>
        </w:rPr>
        <w:t>肆</w:t>
      </w:r>
      <w:r>
        <w:rPr>
          <w:rFonts w:hint="eastAsia" w:ascii="仿宋_GB2312" w:hAnsi="仿宋_GB2312" w:eastAsia="仿宋_GB2312" w:cs="仿宋_GB2312"/>
          <w:bCs/>
          <w:color w:val="000000"/>
          <w:sz w:val="28"/>
          <w:szCs w:val="28"/>
        </w:rPr>
        <w:t xml:space="preserve"> 】份，甲方执【 </w:t>
      </w:r>
      <w:r>
        <w:rPr>
          <w:rFonts w:hint="eastAsia" w:ascii="仿宋_GB2312" w:hAnsi="仿宋_GB2312" w:eastAsia="仿宋_GB2312" w:cs="仿宋_GB2312"/>
          <w:bCs/>
          <w:color w:val="000000"/>
          <w:sz w:val="28"/>
          <w:szCs w:val="28"/>
          <w:lang w:val="en-US" w:eastAsia="zh-CN"/>
        </w:rPr>
        <w:t>叁</w:t>
      </w:r>
      <w:r>
        <w:rPr>
          <w:rFonts w:hint="eastAsia" w:ascii="仿宋_GB2312" w:hAnsi="仿宋_GB2312" w:eastAsia="仿宋_GB2312" w:cs="仿宋_GB2312"/>
          <w:bCs/>
          <w:color w:val="000000"/>
          <w:sz w:val="28"/>
          <w:szCs w:val="28"/>
        </w:rPr>
        <w:t xml:space="preserve"> 】份，乙方执【 </w:t>
      </w:r>
      <w:r>
        <w:rPr>
          <w:rFonts w:hint="eastAsia" w:ascii="仿宋_GB2312" w:hAnsi="仿宋_GB2312" w:eastAsia="仿宋_GB2312" w:cs="仿宋_GB2312"/>
          <w:bCs/>
          <w:color w:val="000000"/>
          <w:sz w:val="28"/>
          <w:szCs w:val="28"/>
          <w:lang w:val="en-US" w:eastAsia="zh-CN"/>
        </w:rPr>
        <w:t>壹</w:t>
      </w:r>
      <w:r>
        <w:rPr>
          <w:rFonts w:hint="eastAsia" w:ascii="仿宋_GB2312" w:hAnsi="仿宋_GB2312" w:eastAsia="仿宋_GB2312" w:cs="仿宋_GB2312"/>
          <w:bCs/>
          <w:color w:val="000000"/>
          <w:sz w:val="28"/>
          <w:szCs w:val="28"/>
        </w:rPr>
        <w:t xml:space="preserve"> 】份，每份具有同等法律效力。</w:t>
      </w:r>
    </w:p>
    <w:p w14:paraId="2010937A">
      <w:pPr>
        <w:spacing w:line="48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（2）本合同采用电子签章签署生效。根据《中华人民共和国民法典》、《中华人民共和国电子签名法》等相关法律、法规，双方一致认可在【</w:t>
      </w:r>
      <w:r>
        <w:rPr>
          <w:rFonts w:hint="eastAsia" w:ascii="仿宋_GB2312" w:hAnsi="仿宋_GB2312" w:eastAsia="仿宋_GB2312" w:cs="仿宋_GB2312"/>
          <w:bCs/>
          <w:color w:val="000000"/>
          <w:sz w:val="28"/>
          <w:szCs w:val="28"/>
          <w:highlight w:val="none"/>
          <w:lang w:val="en-US" w:eastAsia="zh-CN"/>
        </w:rPr>
        <w:t>云筑网</w:t>
      </w:r>
      <w:r>
        <w:rPr>
          <w:rFonts w:hint="eastAsia" w:ascii="仿宋_GB2312" w:hAnsi="仿宋_GB2312" w:eastAsia="仿宋_GB2312" w:cs="仿宋_GB2312"/>
          <w:bCs/>
          <w:color w:val="000000"/>
          <w:sz w:val="28"/>
          <w:szCs w:val="28"/>
          <w:highlight w:val="none"/>
        </w:rPr>
        <w:t xml:space="preserve"> </w:t>
      </w:r>
      <w:r>
        <w:rPr>
          <w:rFonts w:hint="eastAsia" w:ascii="仿宋_GB2312" w:hAnsi="仿宋_GB2312" w:eastAsia="仿宋_GB2312" w:cs="仿宋_GB2312"/>
          <w:bCs/>
          <w:color w:val="000000"/>
          <w:sz w:val="28"/>
          <w:szCs w:val="28"/>
        </w:rPr>
        <w:t>】平台（网址：【</w:t>
      </w:r>
      <w:r>
        <w:rPr>
          <w:rFonts w:hint="eastAsia" w:ascii="仿宋_GB2312" w:hAnsi="仿宋_GB2312" w:eastAsia="仿宋_GB2312" w:cs="仿宋_GB2312"/>
          <w:bCs/>
          <w:color w:val="000000"/>
          <w:sz w:val="28"/>
          <w:szCs w:val="28"/>
          <w:highlight w:val="none"/>
        </w:rPr>
        <w:t>https://www.yzw.cn</w:t>
      </w:r>
      <w:r>
        <w:rPr>
          <w:rFonts w:hint="eastAsia" w:ascii="仿宋_GB2312" w:hAnsi="仿宋_GB2312" w:eastAsia="仿宋_GB2312" w:cs="仿宋_GB2312"/>
          <w:bCs/>
          <w:color w:val="000000"/>
          <w:sz w:val="28"/>
          <w:szCs w:val="28"/>
        </w:rPr>
        <w:t>】）使用电子印章签署合同为其真实意思表示，且确保在该平台注册时，使用的企业信息和个人相关信息真实有效，并且自觉遵守国家法律法规和甲方在该平台的合同签约流程。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2325F3FC">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未尽事宜经双方协商一致后，可签订补充协议，与本合同具有同等法律效力。</w:t>
      </w:r>
    </w:p>
    <w:p w14:paraId="5A237553">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 xml:space="preserve">14.2 </w:t>
      </w:r>
      <w:r>
        <w:rPr>
          <w:rFonts w:hint="eastAsia" w:ascii="仿宋_GB2312" w:hAnsi="仿宋_GB2312" w:eastAsia="仿宋_GB2312" w:cs="仿宋_GB2312"/>
          <w:sz w:val="28"/>
          <w:szCs w:val="28"/>
          <w:highlight w:val="none"/>
          <w:lang w:val="en-US" w:eastAsia="zh-CN"/>
        </w:rPr>
        <w:t xml:space="preserve"> 明确合同中投诉渠道的约定，内容如下:</w:t>
      </w:r>
    </w:p>
    <w:p w14:paraId="731DBA86">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14.2.1 关于账款拖欠事项信访投诉渠道如下:</w:t>
      </w:r>
    </w:p>
    <w:p w14:paraId="47DBDB88">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云筑网投诉网址:https://ts.yzw.cn</w:t>
      </w:r>
    </w:p>
    <w:p w14:paraId="2702D5AA">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信访投诉电话:0755-82291262</w:t>
      </w:r>
    </w:p>
    <w:p w14:paraId="3204C6BE">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信访投诉邮箱:zjejhnfxinfang@cscec.com</w:t>
      </w:r>
    </w:p>
    <w:p w14:paraId="263EF32F">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中建二局(企业账款拖欠信访):</w:t>
      </w:r>
    </w:p>
    <w:p w14:paraId="11156146">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联系电话:010-51816643</w:t>
      </w:r>
    </w:p>
    <w:p w14:paraId="01E9A872">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电子邮箱:zjejcw@cscec.com</w:t>
      </w:r>
    </w:p>
    <w:p w14:paraId="1DF9FAEF">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中建二局(农民工工资拖欠咨询):</w:t>
      </w:r>
    </w:p>
    <w:p w14:paraId="794FF5AD">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联系电话:010-51816659</w:t>
      </w:r>
    </w:p>
    <w:p w14:paraId="4400228C">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电子邮箱:zjejnongmingong@cscec.com</w:t>
      </w:r>
    </w:p>
    <w:p w14:paraId="7B8061C2">
      <w:pPr>
        <w:pStyle w:val="2"/>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云筑劳务建筑工人投诉二维码(云筑工匠APP):</w:t>
      </w:r>
    </w:p>
    <w:p w14:paraId="5F3E7100">
      <w:pPr>
        <w:pStyle w:val="28"/>
        <w:rPr>
          <w:rFonts w:hint="eastAsia"/>
          <w:lang w:val="en-US" w:eastAsia="zh-CN"/>
        </w:rPr>
      </w:pPr>
      <w:r>
        <w:rPr>
          <w:rFonts w:hint="eastAsia"/>
          <w:lang w:val="en-US" w:eastAsia="zh-CN"/>
        </w:rPr>
        <w:t xml:space="preserve">     </w:t>
      </w:r>
      <w:r>
        <w:pict>
          <v:shape id="_x0000_i1025" o:spt="75" type="#_x0000_t75" style="height:75.1pt;width:79.7pt;" filled="f" o:preferrelative="t" stroked="f" coordsize="21600,21600">
            <v:path/>
            <v:fill on="f" focussize="0,0"/>
            <v:stroke on="f"/>
            <v:imagedata r:id="rId12" o:title=""/>
            <o:lock v:ext="edit" aspectratio="t"/>
            <w10:wrap type="none"/>
            <w10:anchorlock/>
          </v:shape>
        </w:pict>
      </w:r>
    </w:p>
    <w:p w14:paraId="1D6FB954">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14.2.2 纪检监督举报渠道如下:</w:t>
      </w:r>
    </w:p>
    <w:p w14:paraId="36731E5B">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举报电话:0755-82292331</w:t>
      </w:r>
    </w:p>
    <w:p w14:paraId="0F50A9A5">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电子邮箱:jiandu@cscec.com</w:t>
      </w:r>
      <w:permStart w:id="73" w:edGrp="everyone"/>
    </w:p>
    <w:p w14:paraId="7429EAF5">
      <w:pPr>
        <w:pStyle w:val="2"/>
      </w:pPr>
    </w:p>
    <w:p w14:paraId="4E3384E1">
      <w:pPr>
        <w:keepNext w:val="0"/>
        <w:keepLines w:val="0"/>
        <w:pageBreakBefore w:val="0"/>
        <w:widowControl w:val="0"/>
        <w:kinsoku/>
        <w:wordWrap/>
        <w:overflowPunct/>
        <w:topLinePunct w:val="0"/>
        <w:autoSpaceDE w:val="0"/>
        <w:autoSpaceDN w:val="0"/>
        <w:bidi w:val="0"/>
        <w:adjustRightInd w:val="0"/>
        <w:snapToGrid/>
        <w:spacing w:line="480" w:lineRule="auto"/>
        <w:ind w:left="5880" w:hanging="5880" w:hangingChars="2100"/>
        <w:contextualSpacing/>
        <w:jc w:val="both"/>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甲  方：【】 </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乙  方：【】</w:t>
      </w:r>
    </w:p>
    <w:p w14:paraId="3D516AAE">
      <w:pPr>
        <w:keepNext w:val="0"/>
        <w:keepLines w:val="0"/>
        <w:pageBreakBefore w:val="0"/>
        <w:widowControl w:val="0"/>
        <w:kinsoku/>
        <w:wordWrap/>
        <w:overflowPunct/>
        <w:topLinePunct w:val="0"/>
        <w:autoSpaceDE w:val="0"/>
        <w:autoSpaceDN w:val="0"/>
        <w:bidi w:val="0"/>
        <w:adjustRightInd w:val="0"/>
        <w:snapToGrid/>
        <w:spacing w:line="480" w:lineRule="auto"/>
        <w:ind w:firstLine="0" w:firstLineChars="0"/>
        <w:contextualSpacing/>
        <w:jc w:val="both"/>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法定代表人：【</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 xml:space="preserve">】       </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 xml:space="preserve">  法定代表人：【</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w:t>
      </w:r>
    </w:p>
    <w:p w14:paraId="69C69921">
      <w:pPr>
        <w:keepNext w:val="0"/>
        <w:keepLines w:val="0"/>
        <w:pageBreakBefore w:val="0"/>
        <w:widowControl w:val="0"/>
        <w:kinsoku/>
        <w:wordWrap/>
        <w:overflowPunct/>
        <w:topLinePunct w:val="0"/>
        <w:autoSpaceDE w:val="0"/>
        <w:autoSpaceDN w:val="0"/>
        <w:bidi w:val="0"/>
        <w:adjustRightInd w:val="0"/>
        <w:snapToGrid/>
        <w:spacing w:line="480" w:lineRule="auto"/>
        <w:ind w:firstLine="0" w:firstLineChars="0"/>
        <w:contextualSpacing/>
        <w:jc w:val="both"/>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委托代理人：【</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 xml:space="preserve">】      </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 xml:space="preserve">   委托代理人：【</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w:t>
      </w:r>
    </w:p>
    <w:p w14:paraId="2358C80D">
      <w:pPr>
        <w:keepNext w:val="0"/>
        <w:keepLines w:val="0"/>
        <w:pageBreakBefore w:val="0"/>
        <w:widowControl w:val="0"/>
        <w:kinsoku/>
        <w:wordWrap/>
        <w:overflowPunct/>
        <w:topLinePunct w:val="0"/>
        <w:autoSpaceDE w:val="0"/>
        <w:autoSpaceDN w:val="0"/>
        <w:bidi w:val="0"/>
        <w:adjustRightInd w:val="0"/>
        <w:snapToGrid/>
        <w:spacing w:line="480" w:lineRule="auto"/>
        <w:ind w:firstLine="0" w:firstLineChars="0"/>
        <w:contextualSpacing/>
        <w:jc w:val="both"/>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地  址：【    】                  地  址：【    】</w:t>
      </w:r>
    </w:p>
    <w:p w14:paraId="3EC649D9">
      <w:pPr>
        <w:keepNext w:val="0"/>
        <w:keepLines w:val="0"/>
        <w:pageBreakBefore w:val="0"/>
        <w:widowControl w:val="0"/>
        <w:kinsoku/>
        <w:wordWrap/>
        <w:overflowPunct/>
        <w:topLinePunct w:val="0"/>
        <w:autoSpaceDE w:val="0"/>
        <w:autoSpaceDN w:val="0"/>
        <w:bidi w:val="0"/>
        <w:adjustRightInd w:val="0"/>
        <w:snapToGrid/>
        <w:spacing w:line="480" w:lineRule="auto"/>
        <w:ind w:firstLine="0" w:firstLineChars="0"/>
        <w:contextualSpacing/>
        <w:jc w:val="both"/>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  话：【    】                  电  话：【    】</w:t>
      </w:r>
    </w:p>
    <w:p w14:paraId="199C397C">
      <w:pPr>
        <w:keepNext w:val="0"/>
        <w:keepLines w:val="0"/>
        <w:pageBreakBefore w:val="0"/>
        <w:widowControl w:val="0"/>
        <w:kinsoku/>
        <w:wordWrap/>
        <w:overflowPunct/>
        <w:topLinePunct w:val="0"/>
        <w:autoSpaceDE w:val="0"/>
        <w:autoSpaceDN w:val="0"/>
        <w:bidi w:val="0"/>
        <w:adjustRightInd w:val="0"/>
        <w:snapToGrid/>
        <w:spacing w:line="480" w:lineRule="auto"/>
        <w:ind w:firstLine="0" w:firstLineChars="0"/>
        <w:contextualSpacing/>
        <w:jc w:val="both"/>
        <w:textAlignment w:val="auto"/>
        <w:rPr>
          <w:rFonts w:ascii="华文中宋" w:hAnsi="华文中宋" w:eastAsia="华文中宋"/>
          <w:sz w:val="40"/>
          <w:szCs w:val="40"/>
        </w:rPr>
      </w:pPr>
      <w:r>
        <w:rPr>
          <w:rFonts w:hint="eastAsia" w:ascii="仿宋_GB2312" w:hAnsi="仿宋_GB2312" w:eastAsia="仿宋_GB2312" w:cs="仿宋_GB2312"/>
          <w:kern w:val="0"/>
          <w:sz w:val="28"/>
          <w:szCs w:val="28"/>
          <w:highlight w:val="none"/>
        </w:rPr>
        <w:t>电子信箱：【    】                电子信箱：【    】</w:t>
      </w:r>
      <w:permEnd w:id="73"/>
      <w:bookmarkStart w:id="39" w:name="_Toc4707"/>
      <w:bookmarkStart w:id="40" w:name="_Toc132359800"/>
    </w:p>
    <w:p w14:paraId="1854DBF3">
      <w:pPr>
        <w:pStyle w:val="5"/>
        <w:spacing w:line="480" w:lineRule="exact"/>
        <w:ind w:firstLine="801"/>
        <w:jc w:val="center"/>
        <w:rPr>
          <w:rFonts w:ascii="华文中宋" w:hAnsi="华文中宋" w:eastAsia="华文中宋"/>
          <w:sz w:val="40"/>
          <w:szCs w:val="40"/>
        </w:rPr>
      </w:pPr>
    </w:p>
    <w:p w14:paraId="79FCC150">
      <w:pPr>
        <w:rPr>
          <w:rFonts w:ascii="华文中宋" w:hAnsi="华文中宋" w:eastAsia="华文中宋"/>
          <w:sz w:val="40"/>
          <w:szCs w:val="40"/>
        </w:rPr>
      </w:pPr>
    </w:p>
    <w:p w14:paraId="46E88D0D">
      <w:pPr>
        <w:pStyle w:val="2"/>
        <w:rPr>
          <w:rFonts w:ascii="华文中宋" w:hAnsi="华文中宋" w:eastAsia="华文中宋"/>
          <w:sz w:val="40"/>
          <w:szCs w:val="40"/>
        </w:rPr>
      </w:pPr>
    </w:p>
    <w:p w14:paraId="1E69FAF4">
      <w:pPr>
        <w:pStyle w:val="28"/>
        <w:rPr>
          <w:rFonts w:ascii="华文中宋" w:hAnsi="华文中宋" w:eastAsia="华文中宋"/>
          <w:sz w:val="40"/>
          <w:szCs w:val="40"/>
        </w:rPr>
      </w:pPr>
    </w:p>
    <w:p w14:paraId="03C4CE81">
      <w:pPr>
        <w:pStyle w:val="2"/>
        <w:rPr>
          <w:rFonts w:ascii="华文中宋" w:hAnsi="华文中宋" w:eastAsia="华文中宋"/>
          <w:sz w:val="40"/>
          <w:szCs w:val="40"/>
        </w:rPr>
      </w:pPr>
    </w:p>
    <w:p w14:paraId="4E202F18">
      <w:pPr>
        <w:pStyle w:val="28"/>
      </w:pPr>
    </w:p>
    <w:p w14:paraId="4CD57C10">
      <w:pPr>
        <w:pStyle w:val="5"/>
        <w:spacing w:line="480" w:lineRule="exact"/>
        <w:ind w:firstLine="801"/>
        <w:jc w:val="center"/>
        <w:rPr>
          <w:rFonts w:ascii="华文中宋" w:hAnsi="华文中宋" w:eastAsia="华文中宋"/>
          <w:sz w:val="40"/>
          <w:szCs w:val="40"/>
        </w:rPr>
      </w:pPr>
      <w:r>
        <w:rPr>
          <w:rFonts w:ascii="华文中宋" w:hAnsi="华文中宋" w:eastAsia="华文中宋"/>
          <w:sz w:val="40"/>
          <w:szCs w:val="40"/>
        </w:rPr>
        <w:t>第二部分  合同条款</w:t>
      </w:r>
      <w:bookmarkEnd w:id="39"/>
      <w:bookmarkEnd w:id="40"/>
      <w:bookmarkStart w:id="41" w:name="_Toc337558727"/>
      <w:r>
        <w:pict>
          <v:shape id="_x0000_s1030" o:spid="_x0000_s1030"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064F7E19">
      <w:pPr>
        <w:pStyle w:val="6"/>
        <w:ind w:left="0" w:leftChars="0" w:firstLine="562" w:firstLineChars="200"/>
        <w:rPr>
          <w:rFonts w:ascii="黑体" w:hAnsi="黑体" w:cs="黑体"/>
        </w:rPr>
      </w:pPr>
      <w:bookmarkStart w:id="42" w:name="_Toc2656"/>
      <w:r>
        <w:rPr>
          <w:rFonts w:hint="eastAsia" w:ascii="黑体" w:hAnsi="黑体" w:cs="黑体"/>
        </w:rPr>
        <w:t>1.</w:t>
      </w:r>
      <w:bookmarkStart w:id="43" w:name="_Toc303538973"/>
      <w:bookmarkEnd w:id="43"/>
      <w:bookmarkStart w:id="44" w:name="_Toc303538976"/>
      <w:bookmarkEnd w:id="44"/>
      <w:bookmarkStart w:id="45" w:name="_Toc303538974"/>
      <w:bookmarkEnd w:id="45"/>
      <w:bookmarkStart w:id="46" w:name="_Toc303538972"/>
      <w:bookmarkEnd w:id="46"/>
      <w:bookmarkStart w:id="47" w:name="_Toc303538975"/>
      <w:bookmarkEnd w:id="47"/>
      <w:bookmarkStart w:id="48" w:name="_Toc296346528"/>
      <w:bookmarkStart w:id="49" w:name="_Toc296503027"/>
      <w:r>
        <w:rPr>
          <w:rFonts w:hint="eastAsia" w:ascii="黑体" w:hAnsi="黑体" w:cs="黑体"/>
        </w:rPr>
        <w:t xml:space="preserve"> 一般约定</w:t>
      </w:r>
      <w:bookmarkEnd w:id="41"/>
      <w:bookmarkEnd w:id="42"/>
      <w:bookmarkEnd w:id="48"/>
      <w:bookmarkEnd w:id="49"/>
    </w:p>
    <w:p w14:paraId="5DF44622">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bookmarkStart w:id="50" w:name="_Toc296346529"/>
      <w:bookmarkStart w:id="51" w:name="_Toc337558728"/>
      <w:bookmarkStart w:id="52" w:name="_Toc296503028"/>
      <w:bookmarkStart w:id="53" w:name="_Toc5925"/>
      <w:r>
        <w:rPr>
          <w:rFonts w:hint="eastAsia" w:ascii="黑体" w:hAnsi="黑体" w:eastAsia="黑体" w:cs="黑体"/>
          <w:b/>
          <w:bCs/>
          <w:color w:val="000000"/>
          <w:sz w:val="28"/>
          <w:szCs w:val="28"/>
        </w:rPr>
        <w:t>1.1 词语定义</w:t>
      </w:r>
      <w:bookmarkEnd w:id="50"/>
      <w:bookmarkEnd w:id="51"/>
      <w:bookmarkEnd w:id="52"/>
      <w:r>
        <w:rPr>
          <w:rFonts w:hint="eastAsia" w:ascii="黑体" w:hAnsi="黑体" w:eastAsia="黑体" w:cs="黑体"/>
          <w:b/>
          <w:bCs/>
          <w:color w:val="000000"/>
          <w:sz w:val="28"/>
          <w:szCs w:val="28"/>
        </w:rPr>
        <w:t>与解释</w:t>
      </w:r>
      <w:bookmarkEnd w:id="53"/>
    </w:p>
    <w:p w14:paraId="464F82AE">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1.1.1 建设单位：指本工程的建设单位，即整体工程开发单位。</w:t>
      </w:r>
    </w:p>
    <w:p w14:paraId="57790745">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1.1.2 监理：指建设单位聘请的整体工程的监理单位。</w:t>
      </w:r>
    </w:p>
    <w:p w14:paraId="71B0E113">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1.1.3 甲方：指本分包工程的承包人，亦为整体工程的总承包人。</w:t>
      </w:r>
    </w:p>
    <w:p w14:paraId="53169CF3">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1.1.4 乙方：指本分包工程的分包人，即分包施工单位。</w:t>
      </w:r>
    </w:p>
    <w:p w14:paraId="046594D7">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1.1.5 总承包合同：甲方与建设单位签订的整体工程的总承包合同。</w:t>
      </w:r>
    </w:p>
    <w:p w14:paraId="457FF0C5">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1.1.6 整体工程：即总承包合同中甲方作为总承包单位所对应的工程。</w:t>
      </w:r>
    </w:p>
    <w:p w14:paraId="022E3B1D">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1.1.7 分包工程：本合同约定的乙方承包范围内的所有工程。</w:t>
      </w:r>
    </w:p>
    <w:p w14:paraId="6E353FE2">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1.1.8 签约合同价：是指甲方和乙方在合同协议书中确定的总金额。</w:t>
      </w:r>
    </w:p>
    <w:p w14:paraId="4F2674B4">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1.1.9 合同价款：指合同协议书中约定并依据合同约定调整后的价款。</w:t>
      </w:r>
    </w:p>
    <w:p w14:paraId="6BAF6738">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1.1.10 日、天：本文所述之“日”、“天”均指日历日。</w:t>
      </w:r>
    </w:p>
    <w:p w14:paraId="4BA464AA">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1.2 标准和规范</w:t>
      </w:r>
    </w:p>
    <w:p w14:paraId="549FF9AE">
      <w:pPr>
        <w:autoSpaceDE w:val="0"/>
        <w:autoSpaceDN w:val="0"/>
        <w:adjustRightInd w:val="0"/>
        <w:spacing w:line="4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适用标准、规范：按施工合同有关约定，按国家现行的《建筑工程施工质量验收统一标准》、《建筑工程施工质量评价标准》、现行建筑工程施工质量验收规范、施工技术标准及规范、总承包合同中约定的其它标准及规范执行。</w:t>
      </w:r>
    </w:p>
    <w:p w14:paraId="73B17B52">
      <w:pPr>
        <w:autoSpaceDE w:val="0"/>
        <w:autoSpaceDN w:val="0"/>
        <w:adjustRightInd w:val="0"/>
        <w:spacing w:line="4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本分包工程没有相应标准、规范的，由甲方向乙方提出施工技术要求，乙方按约定的时间和要求提出施工工艺，经甲方书面认可后执行，乙方应对其提出的施工工艺承担全部责任。</w:t>
      </w:r>
    </w:p>
    <w:p w14:paraId="42054828">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1.3 图纸</w:t>
      </w:r>
    </w:p>
    <w:p w14:paraId="243B4CD6">
      <w:pPr>
        <w:autoSpaceDE w:val="0"/>
        <w:autoSpaceDN w:val="0"/>
        <w:adjustRightInd w:val="0"/>
        <w:spacing w:line="4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1.3.1 甲方向乙方提供纸质施工图纸【1】套或电子图纸，边设计边施工的工程分期提供图纸。</w:t>
      </w:r>
    </w:p>
    <w:p w14:paraId="277116D9">
      <w:pPr>
        <w:autoSpaceDE w:val="0"/>
        <w:autoSpaceDN w:val="0"/>
        <w:adjustRightInd w:val="0"/>
        <w:spacing w:line="4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1.3.2 甲方有权随时向乙方发出为使工程合理及正确施工、竣工以及保修所需的补充图纸和指示，乙方应执行该等补充图纸和指示，并受其约束。</w:t>
      </w:r>
    </w:p>
    <w:p w14:paraId="7A46BCCF">
      <w:pPr>
        <w:autoSpaceDE w:val="0"/>
        <w:autoSpaceDN w:val="0"/>
        <w:adjustRightInd w:val="0"/>
        <w:spacing w:line="4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1.3.3 乙方不能将甲方提供的图纸挪作他用，乙方施工完毕需将纸质图纸完整交回甲方。</w:t>
      </w:r>
    </w:p>
    <w:p w14:paraId="64B88BFC">
      <w:pPr>
        <w:autoSpaceDE w:val="0"/>
        <w:autoSpaceDN w:val="0"/>
        <w:adjustRightInd w:val="0"/>
        <w:spacing w:line="4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1.3.4 乙方应认真核查甲方所提供的施工图纸，有义务指出甲方提供施工图纸中可能存在的缺陷和遗漏并在施工之前将发现的图纸上错漏及时通知甲方，避免造成损失，否则，在施工过程中因乙方未尽职责而导致的变更不予增加费用，建设单位和甲方事先书面同意增加的除外。</w:t>
      </w:r>
    </w:p>
    <w:p w14:paraId="788466BF">
      <w:pPr>
        <w:autoSpaceDE w:val="0"/>
        <w:autoSpaceDN w:val="0"/>
        <w:adjustRightInd w:val="0"/>
        <w:spacing w:line="4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1.3.5 对施工图纸的保密要求：乙方可以为了实现合同目的而复制、使用工程图纸、规范及其它构成分包合同的任何性质的或与分包合同相关的资料和信息，但不能用于与合同无关的其他事项。未经甲方书面同意，乙方不得为了合同以外的目的而复制、使用上述文件或将之转让、泄露给任何第三方。乙方应负责分包工程范围内图纸的保密工作，乙方的保密义务在分包合同终止后，应当继续履行。</w:t>
      </w:r>
    </w:p>
    <w:p w14:paraId="360647B2">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rPr>
        <w:t>1.4 联络</w:t>
      </w:r>
    </w:p>
    <w:p w14:paraId="03785E29">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1.4.1 与合同有关的通知、指令等文件，可通过【邮件、信函、直接送达】等方式送达。双方确认以下送达信息：</w:t>
      </w:r>
    </w:p>
    <w:p w14:paraId="56C29774">
      <w:pPr>
        <w:autoSpaceDE w:val="0"/>
        <w:autoSpaceDN w:val="0"/>
        <w:adjustRightInd w:val="0"/>
        <w:spacing w:line="480" w:lineRule="exact"/>
        <w:ind w:firstLine="560" w:firstLineChars="200"/>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甲方：收件人</w:t>
      </w:r>
      <w:permStart w:id="74" w:edGrp="everyone"/>
      <w:r>
        <w:rPr>
          <w:rFonts w:hint="eastAsia" w:ascii="Times New Roman" w:hAnsi="Times New Roman" w:eastAsia="仿宋_GB2312"/>
          <w:color w:val="000000"/>
          <w:kern w:val="0"/>
          <w:sz w:val="28"/>
          <w:szCs w:val="28"/>
          <w:highlight w:val="none"/>
        </w:rPr>
        <w:t>【】</w:t>
      </w:r>
      <w:permEnd w:id="74"/>
      <w:r>
        <w:rPr>
          <w:rFonts w:hint="eastAsia" w:ascii="Times New Roman" w:hAnsi="Times New Roman" w:eastAsia="仿宋_GB2312"/>
          <w:color w:val="000000"/>
          <w:kern w:val="0"/>
          <w:sz w:val="28"/>
          <w:szCs w:val="28"/>
          <w:highlight w:val="none"/>
        </w:rPr>
        <w:t>，联系电话</w:t>
      </w:r>
      <w:permStart w:id="75" w:edGrp="everyone"/>
      <w:r>
        <w:rPr>
          <w:rFonts w:hint="eastAsia" w:ascii="Times New Roman" w:hAnsi="Times New Roman" w:eastAsia="仿宋_GB2312"/>
          <w:color w:val="000000"/>
          <w:kern w:val="0"/>
          <w:sz w:val="28"/>
          <w:szCs w:val="28"/>
          <w:highlight w:val="none"/>
        </w:rPr>
        <w:t>【】</w:t>
      </w:r>
      <w:permEnd w:id="75"/>
      <w:r>
        <w:rPr>
          <w:rFonts w:hint="eastAsia" w:ascii="Times New Roman" w:hAnsi="Times New Roman" w:eastAsia="仿宋_GB2312"/>
          <w:color w:val="000000"/>
          <w:kern w:val="0"/>
          <w:sz w:val="28"/>
          <w:szCs w:val="28"/>
          <w:highlight w:val="none"/>
        </w:rPr>
        <w:t>，电子邮箱</w:t>
      </w:r>
      <w:permStart w:id="76" w:edGrp="everyone"/>
      <w:r>
        <w:rPr>
          <w:rFonts w:hint="eastAsia" w:ascii="Times New Roman" w:hAnsi="Times New Roman" w:eastAsia="仿宋_GB2312"/>
          <w:color w:val="000000"/>
          <w:kern w:val="0"/>
          <w:sz w:val="28"/>
          <w:szCs w:val="28"/>
          <w:highlight w:val="none"/>
        </w:rPr>
        <w:t>【</w:t>
      </w:r>
      <w:r>
        <w:rPr>
          <w:rFonts w:hint="eastAsia" w:ascii="Times New Roman" w:hAnsi="Times New Roman" w:eastAsia="仿宋_GB2312"/>
          <w:color w:val="000000"/>
          <w:kern w:val="0"/>
          <w:sz w:val="28"/>
          <w:szCs w:val="28"/>
          <w:highlight w:val="none"/>
          <w:lang w:val="en-US" w:eastAsia="zh-CN"/>
        </w:rPr>
        <w:t>/</w:t>
      </w:r>
      <w:r>
        <w:rPr>
          <w:rFonts w:hint="eastAsia" w:ascii="Times New Roman" w:hAnsi="Times New Roman" w:eastAsia="仿宋_GB2312"/>
          <w:color w:val="000000"/>
          <w:kern w:val="0"/>
          <w:sz w:val="28"/>
          <w:szCs w:val="28"/>
          <w:highlight w:val="none"/>
        </w:rPr>
        <w:t>】</w:t>
      </w:r>
      <w:permEnd w:id="76"/>
      <w:r>
        <w:rPr>
          <w:rFonts w:hint="eastAsia" w:ascii="Times New Roman" w:hAnsi="Times New Roman" w:eastAsia="仿宋_GB2312"/>
          <w:color w:val="000000"/>
          <w:kern w:val="0"/>
          <w:sz w:val="28"/>
          <w:szCs w:val="28"/>
          <w:highlight w:val="none"/>
        </w:rPr>
        <w:t>，地址</w:t>
      </w:r>
      <w:permStart w:id="77" w:edGrp="everyone"/>
      <w:r>
        <w:rPr>
          <w:rFonts w:hint="eastAsia" w:ascii="Times New Roman" w:hAnsi="Times New Roman" w:eastAsia="仿宋_GB2312"/>
          <w:color w:val="000000"/>
          <w:kern w:val="0"/>
          <w:sz w:val="28"/>
          <w:szCs w:val="28"/>
          <w:highlight w:val="none"/>
        </w:rPr>
        <w:t>【】</w:t>
      </w:r>
      <w:permEnd w:id="77"/>
      <w:r>
        <w:rPr>
          <w:rFonts w:hint="eastAsia" w:ascii="Times New Roman" w:hAnsi="Times New Roman" w:eastAsia="仿宋_GB2312"/>
          <w:color w:val="000000"/>
          <w:kern w:val="0"/>
          <w:sz w:val="28"/>
          <w:szCs w:val="28"/>
          <w:highlight w:val="none"/>
        </w:rPr>
        <w:t>。</w:t>
      </w:r>
    </w:p>
    <w:p w14:paraId="13058F30">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乙方：收件人</w:t>
      </w:r>
      <w:permStart w:id="78" w:edGrp="everyone"/>
      <w:r>
        <w:rPr>
          <w:rFonts w:hint="eastAsia" w:ascii="仿宋_GB2312" w:hAnsi="仿宋_GB2312" w:eastAsia="仿宋_GB2312" w:cs="仿宋_GB2312"/>
          <w:color w:val="000000"/>
          <w:kern w:val="0"/>
          <w:sz w:val="28"/>
          <w:szCs w:val="28"/>
          <w:highlight w:val="none"/>
        </w:rPr>
        <w:t>【】</w:t>
      </w:r>
      <w:permEnd w:id="78"/>
      <w:r>
        <w:rPr>
          <w:rFonts w:hint="eastAsia" w:ascii="仿宋_GB2312" w:hAnsi="仿宋_GB2312" w:eastAsia="仿宋_GB2312" w:cs="仿宋_GB2312"/>
          <w:color w:val="000000"/>
          <w:kern w:val="0"/>
          <w:sz w:val="28"/>
          <w:szCs w:val="28"/>
          <w:highlight w:val="none"/>
        </w:rPr>
        <w:t>，联系电话</w:t>
      </w:r>
      <w:permStart w:id="79" w:edGrp="everyone"/>
      <w:r>
        <w:rPr>
          <w:rFonts w:hint="eastAsia" w:ascii="仿宋_GB2312" w:hAnsi="仿宋_GB2312" w:eastAsia="仿宋_GB2312" w:cs="仿宋_GB2312"/>
          <w:color w:val="000000"/>
          <w:kern w:val="0"/>
          <w:sz w:val="28"/>
          <w:szCs w:val="28"/>
          <w:highlight w:val="none"/>
        </w:rPr>
        <w:t>【】</w:t>
      </w:r>
      <w:permEnd w:id="79"/>
      <w:r>
        <w:rPr>
          <w:rFonts w:hint="eastAsia" w:ascii="仿宋_GB2312" w:hAnsi="仿宋_GB2312" w:eastAsia="仿宋_GB2312" w:cs="仿宋_GB2312"/>
          <w:color w:val="000000"/>
          <w:kern w:val="0"/>
          <w:sz w:val="28"/>
          <w:szCs w:val="28"/>
          <w:highlight w:val="none"/>
        </w:rPr>
        <w:t>，电子邮箱</w:t>
      </w:r>
      <w:permStart w:id="80" w:edGrp="everyone"/>
      <w:r>
        <w:rPr>
          <w:rFonts w:hint="eastAsia" w:ascii="仿宋_GB2312" w:hAnsi="仿宋_GB2312" w:eastAsia="仿宋_GB2312" w:cs="仿宋_GB2312"/>
          <w:color w:val="000000"/>
          <w:kern w:val="0"/>
          <w:sz w:val="28"/>
          <w:szCs w:val="28"/>
          <w:highlight w:val="none"/>
        </w:rPr>
        <w:t>【</w:t>
      </w:r>
      <w:r>
        <w:rPr>
          <w:rFonts w:hint="eastAsia" w:ascii="Times New Roman" w:hAnsi="Times New Roman" w:eastAsia="仿宋_GB2312"/>
          <w:color w:val="000000"/>
          <w:kern w:val="0"/>
          <w:sz w:val="28"/>
          <w:szCs w:val="28"/>
          <w:highlight w:val="none"/>
        </w:rPr>
        <w:t>】</w:t>
      </w:r>
      <w:permEnd w:id="80"/>
      <w:r>
        <w:rPr>
          <w:rFonts w:hint="eastAsia" w:ascii="仿宋_GB2312" w:hAnsi="仿宋_GB2312" w:eastAsia="仿宋_GB2312" w:cs="仿宋_GB2312"/>
          <w:color w:val="000000"/>
          <w:kern w:val="0"/>
          <w:sz w:val="28"/>
          <w:szCs w:val="28"/>
          <w:highlight w:val="none"/>
        </w:rPr>
        <w:t>，地址</w:t>
      </w:r>
      <w:permStart w:id="81" w:edGrp="everyone"/>
      <w:r>
        <w:rPr>
          <w:rFonts w:hint="eastAsia" w:ascii="仿宋_GB2312" w:hAnsi="仿宋_GB2312" w:eastAsia="仿宋_GB2312" w:cs="仿宋_GB2312"/>
          <w:color w:val="000000"/>
          <w:kern w:val="0"/>
          <w:sz w:val="28"/>
          <w:szCs w:val="28"/>
          <w:highlight w:val="none"/>
        </w:rPr>
        <w:t>【】</w:t>
      </w:r>
      <w:permEnd w:id="81"/>
      <w:r>
        <w:rPr>
          <w:rFonts w:hint="eastAsia" w:ascii="仿宋_GB2312" w:hAnsi="仿宋_GB2312" w:eastAsia="仿宋_GB2312" w:cs="仿宋_GB2312"/>
          <w:color w:val="000000"/>
          <w:kern w:val="0"/>
          <w:sz w:val="28"/>
          <w:szCs w:val="28"/>
          <w:highlight w:val="none"/>
        </w:rPr>
        <w:t>。</w:t>
      </w:r>
    </w:p>
    <w:p w14:paraId="279C1AB3">
      <w:pPr>
        <w:autoSpaceDE w:val="0"/>
        <w:autoSpaceDN w:val="0"/>
        <w:adjustRightInd w:val="0"/>
        <w:spacing w:line="480" w:lineRule="exact"/>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highlight w:val="none"/>
        </w:rPr>
        <w:t xml:space="preserve">1.4.2 </w:t>
      </w:r>
      <w:r>
        <w:rPr>
          <w:rFonts w:hint="eastAsia" w:ascii="仿宋_GB2312" w:hAnsi="仿宋_GB2312" w:eastAsia="仿宋_GB2312" w:cs="仿宋_GB2312"/>
          <w:kern w:val="0"/>
          <w:sz w:val="28"/>
          <w:szCs w:val="28"/>
          <w:highlight w:val="none"/>
        </w:rPr>
        <w:t>本合同中乙方注明的电子邮箱需是有效（须保证能够正常使用），若使用电子邮件等数据电文形式的，此数据电文进</w:t>
      </w:r>
      <w:r>
        <w:rPr>
          <w:rFonts w:hint="eastAsia" w:ascii="仿宋_GB2312" w:hAnsi="仿宋_GB2312" w:eastAsia="仿宋_GB2312" w:cs="仿宋_GB2312"/>
          <w:kern w:val="0"/>
          <w:sz w:val="28"/>
          <w:szCs w:val="28"/>
        </w:rPr>
        <w:t>入乙方提供的电子邮箱运营商服务器即视为收到；通过信函邮寄送达的，则信函寄出后的第三个工作日或收件人实际签收日（以先到的时间为准）视为送达；选择直接送达的，则递交时视为送达。</w:t>
      </w:r>
    </w:p>
    <w:p w14:paraId="28FE34F9">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1.4.3 </w:t>
      </w:r>
      <w:r>
        <w:rPr>
          <w:rFonts w:hint="eastAsia" w:ascii="仿宋_GB2312" w:hAnsi="仿宋_GB2312" w:eastAsia="仿宋_GB2312" w:cs="仿宋_GB2312"/>
          <w:kern w:val="0"/>
          <w:sz w:val="28"/>
          <w:szCs w:val="28"/>
        </w:rPr>
        <w:t>邮件邮寄至上述地址被拒收或无人签收，亦视为已经送达，由此增加的费用和（或）延误的期限由拒绝接收一方承担。</w:t>
      </w:r>
    </w:p>
    <w:p w14:paraId="188F6769">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1.4.4 双方承诺，因本协议的履行或争议解决，上述联系人和联系方式为有效的联系方式，各项通知均应当向上述联系、联系方式送达。在诉讼、仲裁中，上述联系人、联系方式亦为有效的送达地址，向上述地址的送达即为有效送达，即使发生拒收、退信等事件。</w:t>
      </w:r>
    </w:p>
    <w:p w14:paraId="0358F45A">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1.4.5 上述联系信息发生变更的，变更方应当即时通知对方；在对方收到变更通知之前，对方当事人或者仲裁、司法机构已经向原联系人、联系方式进行的通知，视为有效通知。</w:t>
      </w:r>
    </w:p>
    <w:p w14:paraId="64C149BD">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1.5 保密</w:t>
      </w:r>
    </w:p>
    <w:p w14:paraId="6CEFDC1B">
      <w:pPr>
        <w:autoSpaceDE w:val="0"/>
        <w:autoSpaceDN w:val="0"/>
        <w:adjustRightInd w:val="0"/>
        <w:spacing w:line="4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乙方对在订立和履行合同过程中知悉的甲方的商业秘密、技术秘密，以及甲方明确要求保密的其它信息，负有保密责任。</w:t>
      </w:r>
    </w:p>
    <w:p w14:paraId="5513AB4D">
      <w:pPr>
        <w:autoSpaceDE w:val="0"/>
        <w:autoSpaceDN w:val="0"/>
        <w:adjustRightInd w:val="0"/>
        <w:spacing w:line="4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除法律规定或合同条款另有约定外，未经甲方事先书面同意，乙方不得将甲方提供的图纸、文件以及声明需要保密的资料信息等商业秘密、技术秘密泄露给第三方。</w:t>
      </w:r>
    </w:p>
    <w:p w14:paraId="072172F3">
      <w:pPr>
        <w:autoSpaceDE w:val="0"/>
        <w:autoSpaceDN w:val="0"/>
        <w:adjustRightInd w:val="0"/>
        <w:spacing w:line="4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如乙方泄露或者在本合同以外使用该商业秘密、技术秘密等保密信息，应向甲方支付签约合同价【5】%的违约金，并赔偿甲方因此遭受的全部损失。</w:t>
      </w:r>
    </w:p>
    <w:p w14:paraId="394F4971">
      <w:pPr>
        <w:pStyle w:val="6"/>
        <w:ind w:left="0" w:leftChars="0" w:firstLine="562" w:firstLineChars="200"/>
        <w:rPr>
          <w:rFonts w:ascii="黑体" w:hAnsi="黑体" w:cs="黑体"/>
        </w:rPr>
      </w:pPr>
      <w:bookmarkStart w:id="54" w:name="_Toc9917"/>
      <w:r>
        <w:rPr>
          <w:rFonts w:hint="eastAsia" w:ascii="黑体" w:hAnsi="黑体" w:cs="黑体"/>
        </w:rPr>
        <w:t>2. 甲方</w:t>
      </w:r>
      <w:bookmarkEnd w:id="54"/>
    </w:p>
    <w:p w14:paraId="1FA39C49">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2.1 分包作业现场和工作条件</w:t>
      </w:r>
    </w:p>
    <w:p w14:paraId="4C682754">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 甲方于开始工作日期前向乙方交付具备分包作业条件的分包作业现场。</w:t>
      </w:r>
    </w:p>
    <w:p w14:paraId="6EB51CC2">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 甲方负责提供分包作业所需要的分包作业条件，包括：</w:t>
      </w:r>
    </w:p>
    <w:p w14:paraId="4194AD12">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将作业所需的用水、电力、通讯线路等必需的条件接至分包作业现场内，水电能源接驳点由甲方提供，由乙方在甲方现有的设备上接驳，水电接驳点与乙方设备连接的人工材料机械等全部费用由乙方自行承担且已包含在综合单价中。施工用电用水由甲方提供至二级配电箱及供水立管（乙方应充分了解本工程二级配电箱及供水立管接驳点，施工时不得以任何理由要求甲方再次布置二级箱及临时水接驳点）；</w:t>
      </w:r>
    </w:p>
    <w:p w14:paraId="5D7C3790">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（2）向乙方提供分包作业所需要的进入分包作业现场的交通条件；</w:t>
      </w:r>
    </w:p>
    <w:p w14:paraId="441F395C">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（3）向乙方提供分包作业所需的工程地质和地下管网线路资料，乙方不得以地质和管网资料不准确为由进行索赔；</w:t>
      </w:r>
    </w:p>
    <w:p w14:paraId="22DEA1E0">
      <w:pPr>
        <w:autoSpaceDE w:val="0"/>
        <w:autoSpaceDN w:val="0"/>
        <w:adjustRightInd w:val="0"/>
        <w:spacing w:line="480" w:lineRule="exact"/>
        <w:ind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（4）完成办理分包作业所需的各种证件、批件等手续，乙方予以配合，但涉及乙方需依法自行办理的手续除外。】</w:t>
      </w:r>
    </w:p>
    <w:p w14:paraId="795951B2">
      <w:pPr>
        <w:autoSpaceDE w:val="0"/>
        <w:autoSpaceDN w:val="0"/>
        <w:adjustRightInd w:val="0"/>
        <w:spacing w:line="480" w:lineRule="exact"/>
        <w:ind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甲方的一般义务：</w:t>
      </w:r>
    </w:p>
    <w:p w14:paraId="4449F59E">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（1）负责统一规划现场的平面布置，确定临设、工地出入口、标志的安置、材料堆放、安全、消防、文明施工设施的位置；</w:t>
      </w:r>
    </w:p>
    <w:p w14:paraId="271E9E18">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（2）负责工程测量基准点的定位、沉降观测，组织乙方人员进行图纸会审和技术交底，提供经建设单位批准的施工组织设计，统一安排技术档案资料的收集、整理，办理交工验收；</w:t>
      </w:r>
    </w:p>
    <w:p w14:paraId="2F136CDA">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（3）提供标高、定位的基准点、线；</w:t>
      </w:r>
    </w:p>
    <w:p w14:paraId="322DDEEB">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（4）负责工程的整体进度及各分包单位的进度协调，负责有关工程会议，协调各协同单位施工中出现的矛盾；</w:t>
      </w:r>
    </w:p>
    <w:p w14:paraId="3DBE9EF3">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（5）负责与建设单位、监理、设计等单位和有关部门的工作联系，协调现场有关单位的关系；</w:t>
      </w:r>
    </w:p>
    <w:p w14:paraId="5B660ACF">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（6）制定项目管理目标、安排施工总进度计划，实施对工程质量、安全、工期、文明施工的控制、监督和验收；</w:t>
      </w:r>
    </w:p>
    <w:p w14:paraId="4B8B2718">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随时检查乙方施工设备的运行、材料保管使用情况，检查乙方现场管理人员和操作人员的有效证件及持证上岗情况。当乙方工作达不到合同约定的标准时，甲方有权要求乙方进行整改、返修，并追究相应的违约责任；</w:t>
      </w:r>
    </w:p>
    <w:p w14:paraId="56580038">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（8）负责审核乙方编制的分包报量及材料计划、进度计划等，并办理款项支付；</w:t>
      </w:r>
    </w:p>
    <w:p w14:paraId="3F773ED9">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（9）负责施工现场的CI标准的设计、检查，监督现场各单位落实CI标准；</w:t>
      </w:r>
    </w:p>
    <w:p w14:paraId="732F078D">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rPr>
        <w:t>（10）协调处理施工场地周围地下管线和临近建筑物（含文物保护建筑物）、古树名木、</w:t>
      </w:r>
      <w:r>
        <w:rPr>
          <w:rFonts w:hint="eastAsia" w:ascii="仿宋_GB2312" w:hAnsi="仿宋_GB2312" w:eastAsia="仿宋_GB2312" w:cs="仿宋_GB2312"/>
          <w:color w:val="000000"/>
          <w:kern w:val="0"/>
          <w:sz w:val="28"/>
          <w:szCs w:val="28"/>
          <w:highlight w:val="none"/>
        </w:rPr>
        <w:t>文物的保护工作；</w:t>
      </w:r>
    </w:p>
    <w:p w14:paraId="1C89EDA0">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（11）负责甲供材试件或试块的制作、保管、养护及送试工作，乙方配合。</w:t>
      </w:r>
    </w:p>
    <w:p w14:paraId="60FAB36A">
      <w:pPr>
        <w:autoSpaceDE w:val="0"/>
        <w:autoSpaceDN w:val="0"/>
        <w:adjustRightInd w:val="0"/>
        <w:spacing w:line="480" w:lineRule="exact"/>
        <w:ind w:firstLine="560" w:firstLineChars="200"/>
        <w:jc w:val="both"/>
        <w:rPr>
          <w:rFonts w:ascii="仿宋_GB2312" w:hAnsi="仿宋_GB2312" w:eastAsia="仿宋_GB2312" w:cs="仿宋_GB2312"/>
          <w:strike/>
          <w:color w:val="000000"/>
          <w:kern w:val="0"/>
          <w:sz w:val="28"/>
          <w:szCs w:val="28"/>
          <w:highlight w:val="none"/>
        </w:rPr>
      </w:pPr>
      <w:r>
        <w:rPr>
          <w:rFonts w:hint="eastAsia" w:ascii="仿宋_GB2312" w:hAnsi="仿宋_GB2312" w:eastAsia="仿宋_GB2312" w:cs="仿宋_GB2312"/>
          <w:color w:val="000000"/>
          <w:kern w:val="0"/>
          <w:sz w:val="28"/>
          <w:szCs w:val="28"/>
          <w:highlight w:val="none"/>
        </w:rPr>
        <w:t>2.1.4 甲方的特别义务：</w:t>
      </w:r>
      <w:permStart w:id="82" w:edGrp="everyone"/>
      <w:r>
        <w:rPr>
          <w:rFonts w:hint="eastAsia" w:ascii="仿宋_GB2312" w:hAnsi="仿宋_GB2312" w:eastAsia="仿宋_GB2312" w:cs="仿宋_GB2312"/>
          <w:color w:val="000000"/>
          <w:kern w:val="0"/>
          <w:sz w:val="28"/>
          <w:szCs w:val="28"/>
          <w:highlight w:val="none"/>
        </w:rPr>
        <w:t>【</w:t>
      </w:r>
      <w:r>
        <w:rPr>
          <w:rFonts w:hint="eastAsia" w:ascii="Times New Roman" w:hAnsi="Times New Roman" w:eastAsia="仿宋_GB2312"/>
          <w:color w:val="000000"/>
          <w:kern w:val="0"/>
          <w:sz w:val="28"/>
          <w:szCs w:val="28"/>
          <w:highlight w:val="none"/>
        </w:rPr>
        <w:t xml:space="preserve"> </w:t>
      </w:r>
      <w:r>
        <w:rPr>
          <w:rFonts w:hint="eastAsia" w:ascii="Times New Roman" w:hAnsi="Times New Roman" w:eastAsia="仿宋_GB2312"/>
          <w:color w:val="000000"/>
          <w:kern w:val="0"/>
          <w:sz w:val="28"/>
          <w:szCs w:val="28"/>
          <w:highlight w:val="none"/>
          <w:lang w:val="en-US" w:eastAsia="zh-CN"/>
        </w:rPr>
        <w:t>/</w:t>
      </w:r>
      <w:r>
        <w:rPr>
          <w:rFonts w:ascii="Times New Roman" w:hAnsi="Times New Roman" w:eastAsia="仿宋_GB2312"/>
          <w:color w:val="000000"/>
          <w:kern w:val="0"/>
          <w:sz w:val="28"/>
          <w:szCs w:val="28"/>
          <w:highlight w:val="none"/>
        </w:rPr>
        <w:t xml:space="preserve"> </w:t>
      </w:r>
      <w:r>
        <w:rPr>
          <w:rFonts w:hint="eastAsia" w:ascii="仿宋_GB2312" w:hAnsi="仿宋_GB2312" w:eastAsia="仿宋_GB2312" w:cs="仿宋_GB2312"/>
          <w:color w:val="000000"/>
          <w:kern w:val="0"/>
          <w:sz w:val="28"/>
          <w:szCs w:val="28"/>
          <w:highlight w:val="none"/>
        </w:rPr>
        <w:t>】</w:t>
      </w:r>
    </w:p>
    <w:permEnd w:id="82"/>
    <w:p w14:paraId="63E92ED1">
      <w:pPr>
        <w:spacing w:before="120" w:after="120" w:line="480" w:lineRule="exact"/>
        <w:ind w:firstLine="562" w:firstLineChars="200"/>
        <w:outlineLvl w:val="0"/>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2.2 甲方现场代表</w:t>
      </w:r>
    </w:p>
    <w:p w14:paraId="4B012D6B">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2.2.1 甲方现场代表负责现场管理工作，履行合同约定的职责。</w:t>
      </w:r>
    </w:p>
    <w:p w14:paraId="147950E3">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highlight w:val="none"/>
        </w:rPr>
        <w:t>2.2.2 甲方现场代表有权要求乙方调离</w:t>
      </w:r>
      <w:r>
        <w:rPr>
          <w:rFonts w:hint="eastAsia" w:ascii="仿宋_GB2312" w:hAnsi="仿宋_GB2312" w:eastAsia="仿宋_GB2312" w:cs="仿宋_GB2312"/>
          <w:color w:val="000000"/>
          <w:kern w:val="0"/>
          <w:sz w:val="28"/>
          <w:szCs w:val="28"/>
        </w:rPr>
        <w:t>不作为或不称职的管理人员，乙方应在【7】日内按照甲方现场代表要求予以撤换。否则，视为乙方违约，甲方有权据此解除合同。</w:t>
      </w:r>
    </w:p>
    <w:p w14:paraId="745537C0">
      <w:pPr>
        <w:pStyle w:val="6"/>
        <w:ind w:left="0" w:leftChars="0" w:firstLine="562" w:firstLineChars="200"/>
        <w:rPr>
          <w:rFonts w:ascii="黑体" w:hAnsi="黑体" w:cs="黑体"/>
        </w:rPr>
      </w:pPr>
      <w:bookmarkStart w:id="55" w:name="_Toc16664"/>
      <w:r>
        <w:rPr>
          <w:rFonts w:hint="eastAsia" w:ascii="黑体" w:hAnsi="黑体" w:cs="黑体"/>
        </w:rPr>
        <w:t>3. 乙方</w:t>
      </w:r>
      <w:bookmarkEnd w:id="55"/>
    </w:p>
    <w:p w14:paraId="4BB1AD4E">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3.1 乙方的一般义务</w:t>
      </w:r>
    </w:p>
    <w:p w14:paraId="4A53E24E">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3.1.1 乙方在履行合同过程中应遵守法律和工程建设标准规范，并履行以下义务，相关费用已包含在合同综合单价中：</w:t>
      </w:r>
    </w:p>
    <w:p w14:paraId="32472953">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（1）按照合同、图纸、标准和规范、有关技术要求、甲方指令、各类交底组织分包作业人员进场作业，并负责工作面范围内的成品保护工作。</w:t>
      </w:r>
    </w:p>
    <w:p w14:paraId="3C07E312">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（2）承担由于自身原因造成的质量缺陷、工期延误等责任。</w:t>
      </w:r>
    </w:p>
    <w:p w14:paraId="0A97510F">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（3）履行总承包合同中与分包工作有关的义务，但分包合同明确约定应由甲方履行的义务除外。</w:t>
      </w:r>
    </w:p>
    <w:p w14:paraId="1294400F">
      <w:pPr>
        <w:autoSpaceDE w:val="0"/>
        <w:autoSpaceDN w:val="0"/>
        <w:adjustRightInd w:val="0"/>
        <w:spacing w:line="480" w:lineRule="exact"/>
        <w:ind w:firstLine="560" w:firstLineChars="200"/>
        <w:jc w:val="both"/>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必须配备完全胜任本工程及甲方要求的包括专职安全管理员、质量管理员等在内的项目管理班子，服从甲方的管理，负责对工程进度、质量、劳动力调配、安全及职工生活安排等具体事项的具体管理；乙方管理人员每月出勤不少于【25】天，若少于【25】天的，乙方应承担【1000】元/人/天的惩罚性违约金；项目将对乙方相关岗位人员进行考勤，缺岗的，乙方应承担【1000】元/人/天的惩罚性违约金，乙方有义务立即将缺岗人员调整到位；所有管理人员及特殊工种必须持证上岗，将证件复印件交甲方备案，并确保证件的真实、有效，否则视为乙方违约，每发现一人次乙方应支付违约金【5000】元，超过【3】人次，视为乙方严重违约且无履约能力，甲方可单方解除合同。</w:t>
      </w:r>
    </w:p>
    <w:p w14:paraId="751C5C40">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对本合同承包范围内的分包作业向甲方负责，全部施工任务必须组织自有力量完成，严禁转包、挂靠和再分包。否则一经发现，乙方应承担签约合同价【20】%的惩罚性违约金并赔偿甲方所有的损失（包括但不限于诉讼费、律师费、行政处罚等），且甲方有权单方解除合同。</w:t>
      </w:r>
    </w:p>
    <w:p w14:paraId="13A2009A">
      <w:pPr>
        <w:autoSpaceDE w:val="0"/>
        <w:autoSpaceDN w:val="0"/>
        <w:adjustRightInd w:val="0"/>
        <w:spacing w:line="480" w:lineRule="exact"/>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未经甲方书面授权不得擅自与建设单位及有关部门发生工作上的联系，严禁在对外任何事务中签署甲方单位名称或带有甲方简称中任何“中国建筑”“中建”“中建</w:t>
      </w:r>
      <w:r>
        <w:rPr>
          <w:rFonts w:hint="eastAsia" w:ascii="仿宋_GB2312" w:hAnsi="仿宋_GB2312" w:eastAsia="仿宋_GB2312" w:cs="仿宋_GB2312"/>
          <w:kern w:val="0"/>
          <w:sz w:val="28"/>
          <w:szCs w:val="28"/>
          <w:lang w:val="en-US" w:eastAsia="zh-CN"/>
        </w:rPr>
        <w:t>二</w:t>
      </w:r>
      <w:r>
        <w:rPr>
          <w:rFonts w:hint="eastAsia" w:ascii="仿宋_GB2312" w:hAnsi="仿宋_GB2312" w:eastAsia="仿宋_GB2312" w:cs="仿宋_GB2312"/>
          <w:kern w:val="0"/>
          <w:sz w:val="28"/>
          <w:szCs w:val="28"/>
        </w:rPr>
        <w:t>局”等字样的落款，每发现一次乙方承担</w:t>
      </w: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rPr>
        <w:t>2</w:t>
      </w: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rPr>
        <w:t>万元的违约金并赔偿所有直接或间接损失。</w:t>
      </w:r>
    </w:p>
    <w:p w14:paraId="51A70BB1">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（6）参加甲方或建设单位主持的图纸预审、技术交底、安全教育培训、安全技术交底；严格按施工图纸、设计说明、国家及当地有关标准和规范、建筑工程质量检验评定标准精心施工。</w:t>
      </w:r>
    </w:p>
    <w:p w14:paraId="4300B60E">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遵守国家法律法规、当地政策文件及甲方有关施工现场管理的各项管理制度，按当地主管部门规定办理应由乙方负责的各项手续。接受甲方、建设单位及有关部门的管理、检查和监督，与现场各单位搞好协调配合。</w:t>
      </w:r>
    </w:p>
    <w:p w14:paraId="1F910E4B">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（8）负责完成本分包工程的有关施工方案的编制，报甲方批准后严格实施（施工方案不作为结算及合同价款调整依据）。</w:t>
      </w:r>
    </w:p>
    <w:p w14:paraId="68BE8D39">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（9）根据甲方编制的施工组织设计及总进度计划要求，开始作业前【7天】提交主要工序施工方案及施工进度计划，【每月】提交下期施工劳务计划、材料需求计划确保总工期的要求。</w:t>
      </w:r>
    </w:p>
    <w:p w14:paraId="3910DA18">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（10）乙方应配备具有与承揽工程范围相适应专业技术水平的专职测量人员及经过校定且校定证书在有效期内的测量仪器，根据甲方提供的标高、定位的基准点线，具体负责承包范围内的测量、放线、定位工作。</w:t>
      </w:r>
    </w:p>
    <w:p w14:paraId="1A32EBE6">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（11）对甲方的指令应迅速执行，如未按照甲方要求执行，除赔偿甲方所有损失外，须承担【100</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0】元/次违约金。乙方在收到甲方催促执行的书面通知后【</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】小时内仍未执行，甲方可另行委托他人执行，费用</w:t>
      </w:r>
      <w:r>
        <w:rPr>
          <w:rFonts w:hint="eastAsia" w:ascii="仿宋_GB2312" w:hAnsi="仿宋_GB2312" w:eastAsia="仿宋_GB2312" w:cs="仿宋_GB2312"/>
          <w:kern w:val="0"/>
          <w:sz w:val="28"/>
          <w:szCs w:val="28"/>
        </w:rPr>
        <w:t>由甲方与第三方确认即可，并</w:t>
      </w:r>
      <w:r>
        <w:rPr>
          <w:rFonts w:hint="eastAsia" w:ascii="仿宋_GB2312" w:hAnsi="仿宋_GB2312" w:eastAsia="仿宋_GB2312" w:cs="仿宋_GB2312"/>
          <w:color w:val="000000"/>
          <w:sz w:val="28"/>
          <w:szCs w:val="28"/>
        </w:rPr>
        <w:t>由乙方承担，从应付乙方款项中扣除(不足部分，由乙方补足)。</w:t>
      </w:r>
    </w:p>
    <w:p w14:paraId="5E90E443">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（12）认真做好施工日志和隐蔽工程等原始记录工作，完整、清晰、详细准确的记录和积累资料，及时将符合甲方要求的完整的经济技术资料提供给甲方，并配合甲方进行整理归档工作。</w:t>
      </w:r>
    </w:p>
    <w:p w14:paraId="29AC887D">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（13）做好施工场地周围建筑物、构筑物、地下管线的保护工作，如因乙方原因造成损坏，乙方承担由此造成的经济损失（包括行政主管部门的行政罚款）。</w:t>
      </w:r>
    </w:p>
    <w:p w14:paraId="2CEB3D72">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负责施工现场的垃圾清理、堆放、装车工作，做到工完场清。乙方现场必须派专人负责乙方自行完成工作范围内施工垃圾的清理工作，并负责装车运输到甲方指定位置，必须做到每日工完场清。若乙方未做到工完场清，甲方将委托他人代为清理（清理产生的乙方材料丢失由乙方自负），清理产生的费用由乙方承担，在付款时直接自乙方的应得款项中扣除。</w:t>
      </w:r>
    </w:p>
    <w:p w14:paraId="4042DE89">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（15）工程完工后，乙方自用工具、机械和设备应及时清运出场，并负责清理本工程项目的标志、污斑、指印、油污和脏污等，达到交工前的清理标准。</w:t>
      </w:r>
    </w:p>
    <w:p w14:paraId="0985D7D0">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（16）负责工作面范围内半成品、成品的保护工作，承担修复责任。参与交工验收，并负责修复质量缺陷，直至满足交工验收质量标准。</w:t>
      </w:r>
    </w:p>
    <w:p w14:paraId="70007ACD">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（17）建设单位对甲方的各项要求和标准均是乙方应履行的义务。乙方应无条件服从和执行甲方、建设单位、监理所提出的整改要求。</w:t>
      </w:r>
    </w:p>
    <w:p w14:paraId="3C9B56BF">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（18）如乙方认为甲方违约或存在乙方需要索赔的事项，应在事件发生后【7天】内向甲方提出书面报告及支撑资料，逾期视为乙方放弃索赔权利，将无权得到任何赔偿或补偿。</w:t>
      </w:r>
    </w:p>
    <w:p w14:paraId="38CBAC4C">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（19）在施工过程中，若乙方擅自停工，视为乙方违约，除承担停工给甲方造成的损失外，另承担【</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000】元/天的违约金，停工超过【5】天，甲方可单方解除合同，乙方需向甲方承担本合同签约合同价【3】%的违约金。</w:t>
      </w:r>
    </w:p>
    <w:p w14:paraId="186D963D">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（20）乙方现场必须派专人负责工人生活区保洁工作，如经甲方、监理检查不符合现场管理规定，乙方除限期整改外，须承担【</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00】元/次的惩罚性违约金。</w:t>
      </w:r>
    </w:p>
    <w:p w14:paraId="50CFFE68">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（21）甲方另行分包的工程，乙方应积极配合，做好与其他分包穿插及配合施工。</w:t>
      </w:r>
    </w:p>
    <w:p w14:paraId="710B9E10">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施工过程中按甲方要求对施工现场临时设施、工作面、工人生活区、现场内外临时道路等进行清理，对模板、周转料具等分类整理、码放，迎接相关检查。若乙方未做到或无故拖延，甲方将委托他人代为清理，清理产生的费用由乙方承担，在付款时直接自乙方的应得款项中扣除。</w:t>
      </w:r>
    </w:p>
    <w:p w14:paraId="175D4393">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（23）配合甲方进行绿色施工管理。</w:t>
      </w:r>
    </w:p>
    <w:p w14:paraId="425F9E9F">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因施工需拆除安全防护装置或设施的，经甲方批准后方准实施，并在施工完成后负责恢复。作业面内存在交叉施工作业时，做好与相关单位的协调工作，并负责本单位施工区域交叉作业安全防护设置工作。乙方未做到或无故拖延，甲方将委托他人代为执行，期间因防护不到位发生生产安全事故或产生其他损失的，由乙方承担，相关费用或损失在付款时直接自乙方的应得款项中扣除。</w:t>
      </w:r>
    </w:p>
    <w:p w14:paraId="37ED0FF6">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乙方负责工作面范围内“四口”“五临边”安全防护安装、维护工作。临时安全防护的标准需满足相关规范、标准及甲方要求。无甲方允许不得私自拆除安全防护范围内的防护措施，否则造成的后果由乙方承担。</w:t>
      </w:r>
    </w:p>
    <w:p w14:paraId="5943B9BB">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（26）保证施工中使用的各类中小型设备、移动式操作平台、临时消防器材、辅助设施或工具的安全性能，确保其安全防护设施、装置安全可靠。</w:t>
      </w:r>
    </w:p>
    <w:p w14:paraId="4E277057">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（27）乙方施工中应杜绝“十项零容忍安全隐患”的发生，对甲方提出的安全隐患整改意见应在规定的期限内整改完成并组织回复。安全隐患整改不及时，甲方有权依照相关管理规定对乙方进行处罚。</w:t>
      </w:r>
    </w:p>
    <w:p w14:paraId="73D73C90">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28）按照国家法律法规要求，乙方配合甲方做好农民工工资分账制管理工作，工程款与人工费分开核算。乙方配合甲方进行项目施工现场实名制管理工作，按月编制农民工工资发放表并报送甲方审核后从农民工工资专用账户代发农民工工资。</w:t>
      </w:r>
    </w:p>
    <w:p w14:paraId="70DB42A8">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（29）本协议履行期间，若因乙方与其合作方的债务纠纷出现合作方向甲方追索情形，乙方应承担因此对甲方造成的所有损失并按签约合同价【1】%或【100000】元/次进行赔偿。</w:t>
      </w:r>
    </w:p>
    <w:p w14:paraId="309C5CA4">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（30）乙方应与其雇用人员签订雇用合同按时发放工资，不得无故拖欠或克扣所雇用人员工资。</w:t>
      </w:r>
    </w:p>
    <w:p w14:paraId="49A51EBD">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（31）对于乙方所雇用的工人出现的伤亡事故或损失，应由乙方自行负责，包括伤亡或损失的索赔、诉讼、损害赔偿及其它费用。</w:t>
      </w:r>
    </w:p>
    <w:p w14:paraId="2911EECF">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（32）乙方应当清楚地预计到施工期间对外界可能产生的必需的不可能避免的干扰，并为此保证主动努力减少这些干扰对外界的影响，且应当积极主动与外界进行协调。</w:t>
      </w:r>
    </w:p>
    <w:p w14:paraId="31A0A704">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（33）按法律规定和合同约定采取施工安全和环境保护措施，办理工伤保险，确保工程及人员、材料、设备和设施的安全。</w:t>
      </w:r>
    </w:p>
    <w:p w14:paraId="3C0668C6">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在进行合同约定的各项工作时，不得侵害他人使用公用道路、水源、市政管网等公共设施的权利，避免对邻近的公共设施产生干扰。乙方占用或使用他人的施工场地，影响他人作业或生活的，应承担相应责任。</w:t>
      </w:r>
    </w:p>
    <w:p w14:paraId="4E219CA1">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35）乙方应按照分包合同的约定，对分包工程进行深化设计（分包合同有约定时）、施工、竣工和保修。乙方在审阅分包合同和（或）总承包合同的相关内容时，或在分包合同的施工中，如发现分包工程的设计或工程建设标准、技术要求存在错误、遗漏、失误或其它缺陷，应立即通知甲方。</w:t>
      </w:r>
    </w:p>
    <w:p w14:paraId="24C54AA0">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3.1.2 未经甲方书面准许，乙方不得擅自调整和撤走进驻工地人员。私自调整进驻工地人员，所导致的经济损失由乙方负责，除承担因此造成的损失外，每发现一次处以【</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000】元惩罚性违约金。</w:t>
      </w:r>
    </w:p>
    <w:p w14:paraId="42BDE6D1">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3.1.3 乙方对甲方指令持有异议，应在收到指令后的24小时内提出书面报告，逾期视为认可。</w:t>
      </w:r>
    </w:p>
    <w:p w14:paraId="30035A52">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3.1.4 乙方投标书中承诺的人员及现场委托的负责人非经甲方事先书面同意不得擅自更换。如乙方擅自更换前述人员，甲方有权解除合同，甲方解除合同的，乙方需向甲方支付签约合同价【</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】%的违约金。乙方现场代表外出办事需向甲方请假，未经批准擅自离开工地的，承担【</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00】元/天的违约金，其他管理人员承担【</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00】元/天的违约金。</w:t>
      </w:r>
    </w:p>
    <w:p w14:paraId="535D1E4B">
      <w:pPr>
        <w:autoSpaceDE w:val="0"/>
        <w:autoSpaceDN w:val="0"/>
        <w:adjustRightInd w:val="0"/>
        <w:spacing w:line="48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 xml:space="preserve">3.1.5 </w:t>
      </w:r>
      <w:r>
        <w:rPr>
          <w:rFonts w:hint="eastAsia" w:ascii="仿宋_GB2312" w:hAnsi="仿宋_GB2312" w:eastAsia="仿宋_GB2312" w:cs="仿宋_GB2312"/>
          <w:kern w:val="0"/>
          <w:sz w:val="28"/>
          <w:szCs w:val="28"/>
        </w:rPr>
        <w:t>乙方的防疫义务</w:t>
      </w:r>
    </w:p>
    <w:p w14:paraId="28F17907">
      <w:pPr>
        <w:autoSpaceDE w:val="0"/>
        <w:autoSpaceDN w:val="0"/>
        <w:adjustRightInd w:val="0"/>
        <w:spacing w:line="48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（1）乙方必须根据分包内容的实际，制定疫情常态化防控工作方案，建立疫情常态化防控工作体系，配备疫情防控人员，完善疫情防控管理制度。</w:t>
      </w:r>
    </w:p>
    <w:p w14:paraId="028951D0">
      <w:pPr>
        <w:autoSpaceDE w:val="0"/>
        <w:autoSpaceDN w:val="0"/>
        <w:adjustRightInd w:val="0"/>
        <w:spacing w:line="48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乙方应做好本单位人员管理工作。乙方应对聘用的所有人员核实身份及健康信息，不私招滥雇，不使用无健康信息的人员，不得在项目之间无组织无序调配使用务工人员。建立“一人一档”制度，准确掌握人员健康和流动情况。做好人员防护、宣传教育工作，建立健全应急防控机制。乙方承诺本单位管理人员、下属工人及关联人员在入职、入场、外地返岗前已经进行疫情排查，并确认进场人员近14日内无国内高、中风险地区和国外居住史、旅行史或与其他确诊病例、疑似病例、无症状感染者的接触史或其他可能引起疫情传播的情况，如存在瞒报、迟报、谎报情况，由乙方承担相关法律责任。</w:t>
      </w:r>
    </w:p>
    <w:p w14:paraId="109F2AC6">
      <w:pPr>
        <w:autoSpaceDE w:val="0"/>
        <w:autoSpaceDN w:val="0"/>
        <w:adjustRightInd w:val="0"/>
        <w:spacing w:line="48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乙方应定期对所属务工人员居住场所通风换气、清洁卫生、定期消毒，并按甲方现场管理要求，严格进行实名登记和出入管理。乙方应保障防疫物资配备，配置足够的消毒液、口罩、防护眼镜、防护服、消毒手套并及时发放。乙方应安排人员按时对生活区、工人房间、食堂、卫生间进行消杀，不定时开展巡查，防止工人聚集，督促工人戴好口罩，并做好防疫措施台账记录，相关费用由乙方承担。</w:t>
      </w:r>
    </w:p>
    <w:p w14:paraId="75134875">
      <w:pPr>
        <w:autoSpaceDE w:val="0"/>
        <w:autoSpaceDN w:val="0"/>
        <w:adjustRightInd w:val="0"/>
        <w:spacing w:line="48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（4）乙方须贯彻国家、地方政府相关部门及甲方发布的有关卫生法律、法规和规章制度，积极配合政府部门的检查，对于提出的要求按所属责任立刻整改，确保疫情防控的管理落实到位。</w:t>
      </w:r>
    </w:p>
    <w:p w14:paraId="0EAEB476">
      <w:pPr>
        <w:autoSpaceDE w:val="0"/>
        <w:autoSpaceDN w:val="0"/>
        <w:adjustRightInd w:val="0"/>
        <w:spacing w:line="48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乙方应指导员工及时关注国家疫情变化情况，发现有中高风险地区经停史、旅居史的人员，应立即向所属疫情防控指挥部门及甲方报告，并配合做好管控。乙方应严格遵守各级疫情防控指挥部制定的防疫政策法规，按甲方或政府部门要求，做好管理人员及下属工人疫情排查、检测、流调、隔离和治疗等，如发生不配合情况，相关法律责任由乙方自行承担。</w:t>
      </w:r>
    </w:p>
    <w:p w14:paraId="3F2ADDE5">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rPr>
        <w:t>（6）乙方承诺做好管理人员及下属工人隔离安抚，按相关政策法规规定，及时足额发放隔离期间劳动报酬及相关费用补贴，如乙方未能按时支付相关费用的，甲方有权直接扣除乙方工程款，用以补发相关工人的隔离期间劳动报酬及相关费用补贴。</w:t>
      </w:r>
    </w:p>
    <w:p w14:paraId="2667B9C1">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3.1.6 乙方已知晓本合同的付款条件，乙方不得以任何理由向甲方提出超出本合同支付条款以外的任何工程款的支付请求。</w:t>
      </w:r>
    </w:p>
    <w:p w14:paraId="610E5F9A">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3.2 乙方现场代表</w:t>
      </w:r>
    </w:p>
    <w:p w14:paraId="18C1B504">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3.2.1 乙方现场代表代表乙方进行合同履行及施工管理、签署文件和处理与工程有关的所有事务等，行使合同约定的权利，履行合同约定的职责。乙方无条件接受现场代表的行为后果。</w:t>
      </w:r>
    </w:p>
    <w:p w14:paraId="04C1F64A">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3.2.2 乙方现场代表必须保证长驻施工现场，并保证通讯畅通，乙方承诺甲方发现乙方现场代表通讯不畅通，乙方承担违约金【1000】元/次，累计计算，同时，乙方代表需按时参加甲方组织的各项会议、交底、教育等，如有事需及时请假，未经甲方允许擅自不参加，每次承担【1000】元的罚款，累计计算。乙方的现场代表每月在工地不少于【</w:t>
      </w:r>
      <w:r>
        <w:rPr>
          <w:rFonts w:hint="eastAsia" w:ascii="仿宋_GB2312" w:hAnsi="仿宋_GB2312" w:eastAsia="仿宋_GB2312" w:cs="仿宋_GB2312"/>
          <w:color w:val="000000"/>
          <w:sz w:val="28"/>
          <w:szCs w:val="28"/>
          <w:lang w:val="en-US" w:eastAsia="zh-CN"/>
        </w:rPr>
        <w:t>25</w:t>
      </w:r>
      <w:r>
        <w:rPr>
          <w:rFonts w:hint="eastAsia" w:ascii="仿宋_GB2312" w:hAnsi="仿宋_GB2312" w:eastAsia="仿宋_GB2312" w:cs="仿宋_GB2312"/>
          <w:color w:val="000000"/>
          <w:sz w:val="28"/>
          <w:szCs w:val="28"/>
        </w:rPr>
        <w:t>】天，每少一天，乙方应承担【100</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0】元/天的违约金，累计计算。</w:t>
      </w:r>
    </w:p>
    <w:p w14:paraId="042B64A0">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3.2.3 乙方现场代表应按甲方批准的施工组织设计或施工方案和依据合同发出的指令、指示组织施工。在情况紧急无法与甲方现场代表联系的情况下，可采取保证工程和人员生命、财产安全的紧急措施，并在采取措施后【24】小时内向甲方提交书面报告。</w:t>
      </w:r>
    </w:p>
    <w:p w14:paraId="33520ACE">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3.2.4 乙方现场代表接甲方现场代表通知要求撤换人员后，立即将该人员调离现场，交回有关证件，未经甲方现场代表书面许可，不可再将此人员调入工地。否则，每发生一次，应向甲方支付违约金【2000】元，甲方可单方解除合同。</w:t>
      </w:r>
    </w:p>
    <w:p w14:paraId="0B0FFE54">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3.2.5 乙方现场代表应是乙方正式聘用的员工，保证其代表权限无权利瑕疵。</w:t>
      </w:r>
    </w:p>
    <w:p w14:paraId="5EEE559D">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3.3 乙方管理人员</w:t>
      </w:r>
    </w:p>
    <w:p w14:paraId="220CE8E2">
      <w:pPr>
        <w:autoSpaceDE w:val="0"/>
        <w:autoSpaceDN w:val="0"/>
        <w:adjustRightInd w:val="0"/>
        <w:spacing w:line="48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乙方在合同签订时提供一份乙方施工现场管理人员名单（详见附件4）。在合同签订时提供项目现场代表、技术负责人、质量负责人、安全负责人的劳动合同、养老保</w:t>
      </w:r>
      <w:r>
        <w:rPr>
          <w:rFonts w:hint="eastAsia" w:ascii="仿宋_GB2312" w:hAnsi="仿宋_GB2312" w:eastAsia="仿宋_GB2312" w:cs="仿宋_GB2312"/>
          <w:color w:val="000000"/>
          <w:sz w:val="28"/>
          <w:szCs w:val="28"/>
          <w:highlight w:val="none"/>
        </w:rPr>
        <w:t>险及工资发放凭证，同时提供身份证复印件（双面复印）及岗位证书复印件，其中养老保险及工资发放凭证在合同履行期间每季度提供一次且确保真实、有效，直至合同履行完成，否则，甲方有权单方解除合同。</w:t>
      </w:r>
    </w:p>
    <w:p w14:paraId="1831F9F8">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3.4 履约担保</w:t>
      </w:r>
    </w:p>
    <w:p w14:paraId="4F921832">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highlight w:val="none"/>
        </w:rPr>
      </w:pPr>
      <w:permStart w:id="83" w:edGrp="everyone"/>
      <w:r>
        <w:rPr>
          <w:rFonts w:hint="eastAsia" w:ascii="仿宋_GB2312" w:hAnsi="仿宋_GB2312" w:eastAsia="仿宋_GB2312" w:cs="仿宋_GB2312"/>
          <w:color w:val="000000"/>
          <w:sz w:val="28"/>
          <w:szCs w:val="28"/>
          <w:highlight w:val="none"/>
        </w:rPr>
        <w:t xml:space="preserve">3.4.1 履约担保采用以下第【 </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 xml:space="preserve"> 】种方式。</w:t>
      </w:r>
    </w:p>
    <w:p w14:paraId="36190817">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（1）独立、不可撤销、见索即付的银行保函。</w:t>
      </w:r>
    </w:p>
    <w:p w14:paraId="06E217AE">
      <w:pPr>
        <w:spacing w:line="480" w:lineRule="exact"/>
        <w:ind w:firstLine="560" w:firstLineChars="200"/>
        <w:jc w:val="both"/>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（2）履约保证金，</w:t>
      </w:r>
      <w:r>
        <w:rPr>
          <w:rFonts w:hint="eastAsia" w:ascii="仿宋_GB2312" w:hAnsi="仿宋_GB2312" w:eastAsia="仿宋_GB2312" w:cs="仿宋_GB2312"/>
          <w:sz w:val="28"/>
          <w:szCs w:val="28"/>
          <w:highlight w:val="none"/>
        </w:rPr>
        <w:t>转账至甲方以下账户：</w:t>
      </w:r>
    </w:p>
    <w:p w14:paraId="0575955C">
      <w:pPr>
        <w:spacing w:line="480" w:lineRule="exact"/>
        <w:ind w:firstLine="560" w:firstLineChars="20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账 户 名：【   </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 xml:space="preserve">       】；</w:t>
      </w:r>
    </w:p>
    <w:p w14:paraId="04BD7C9F">
      <w:pPr>
        <w:spacing w:line="480" w:lineRule="exact"/>
        <w:ind w:firstLine="560" w:firstLineChars="20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开 户 行：【    </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 xml:space="preserve">      】；</w:t>
      </w:r>
    </w:p>
    <w:p w14:paraId="0738391C">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 xml:space="preserve">账号信息：【    </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color w:val="000000"/>
          <w:sz w:val="28"/>
          <w:szCs w:val="28"/>
          <w:highlight w:val="none"/>
        </w:rPr>
        <w:t>。</w:t>
      </w:r>
    </w:p>
    <w:p w14:paraId="38E49575">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（3）其他【     </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 xml:space="preserve">       】</w:t>
      </w:r>
    </w:p>
    <w:p w14:paraId="06DAB393">
      <w:pPr>
        <w:autoSpaceDE w:val="0"/>
        <w:autoSpaceDN w:val="0"/>
        <w:adjustRightInd w:val="0"/>
        <w:spacing w:line="480" w:lineRule="exact"/>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3.4.2 履约担保的金额：【</w:t>
      </w:r>
      <w:r>
        <w:rPr>
          <w:rFonts w:hint="eastAsia" w:ascii="Times New Roman" w:hAnsi="Times New Roman" w:eastAsia="仿宋_GB2312"/>
          <w:color w:val="000000"/>
          <w:sz w:val="28"/>
          <w:szCs w:val="28"/>
          <w:highlight w:val="none"/>
          <w:lang w:val="en-US" w:eastAsia="zh-CN"/>
        </w:rPr>
        <w:t>按暂定合同含税总价的5%</w:t>
      </w:r>
      <w:r>
        <w:rPr>
          <w:rFonts w:hint="eastAsia" w:ascii="仿宋_GB2312" w:hAnsi="仿宋_GB2312" w:eastAsia="仿宋_GB2312" w:cs="仿宋_GB2312"/>
          <w:color w:val="000000"/>
          <w:sz w:val="28"/>
          <w:szCs w:val="28"/>
          <w:highlight w:val="none"/>
        </w:rPr>
        <w:t>】。</w:t>
      </w:r>
    </w:p>
    <w:p w14:paraId="4F3C8A18">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3.4.3 履约担保的提交时间：乙方应在合同签订【</w:t>
      </w:r>
      <w:r>
        <w:rPr>
          <w:rFonts w:hint="eastAsia" w:ascii="仿宋_GB2312" w:hAnsi="仿宋_GB2312" w:eastAsia="仿宋_GB2312" w:cs="仿宋_GB2312"/>
          <w:sz w:val="28"/>
          <w:szCs w:val="28"/>
          <w:highlight w:val="none"/>
        </w:rPr>
        <w:t>前14</w:t>
      </w:r>
      <w:r>
        <w:rPr>
          <w:rFonts w:hint="eastAsia" w:ascii="仿宋_GB2312" w:hAnsi="仿宋_GB2312" w:eastAsia="仿宋_GB2312" w:cs="仿宋_GB2312"/>
          <w:color w:val="000000"/>
          <w:sz w:val="28"/>
          <w:szCs w:val="28"/>
          <w:highlight w:val="none"/>
        </w:rPr>
        <w:t>】天内，向甲方提交履约担保，否则进度款不予支付。</w:t>
      </w:r>
    </w:p>
    <w:permEnd w:id="83"/>
    <w:p w14:paraId="5FD46A1A">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3.4.4 当乙方未按约定履行合同而发生违约行为时，乙方应承担的违约金及因违约对甲方所造成的损失金额，甲方有权无条件从履约担保中扣除违约金及相关损失并通知乙方，乙方有义务在接到上述通知后【7】天内将履约担保恢复到原金额。当乙方需承担的违约金及造成甲方的损失金额超出履约担保金额时，甲方有权就超出数额向乙方追偿。</w:t>
      </w:r>
    </w:p>
    <w:p w14:paraId="58141F14">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3.4.5 履约</w:t>
      </w:r>
      <w:r>
        <w:rPr>
          <w:rFonts w:hint="eastAsia" w:ascii="仿宋_GB2312" w:hAnsi="仿宋_GB2312" w:eastAsia="仿宋_GB2312" w:cs="仿宋_GB2312"/>
          <w:color w:val="000000"/>
          <w:sz w:val="28"/>
          <w:szCs w:val="28"/>
          <w:highlight w:val="none"/>
        </w:rPr>
        <w:t>担保有效期的延长：履约担保有效期的延长：在本分包工程竣工验收合格之前，乙方应保证履约担保持续有效。若分包工程尚未竣工验收，则乙方应在履约担保期满前【28】天内延长履约担保的有效期，直至分包工程竣工验收合格</w:t>
      </w:r>
      <w:r>
        <w:rPr>
          <w:rFonts w:hint="eastAsia" w:ascii="仿宋_GB2312" w:hAnsi="仿宋_GB2312" w:eastAsia="仿宋_GB2312" w:cs="仿宋_GB2312"/>
          <w:sz w:val="28"/>
          <w:szCs w:val="28"/>
          <w:highlight w:val="none"/>
        </w:rPr>
        <w:t>。</w:t>
      </w:r>
    </w:p>
    <w:p w14:paraId="03B602A1">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highlight w:val="none"/>
        </w:rPr>
      </w:pPr>
      <w:permStart w:id="84" w:edGrp="everyone"/>
      <w:r>
        <w:rPr>
          <w:rFonts w:hint="eastAsia" w:ascii="仿宋_GB2312" w:hAnsi="仿宋_GB2312" w:eastAsia="仿宋_GB2312" w:cs="仿宋_GB2312"/>
          <w:color w:val="000000"/>
          <w:sz w:val="28"/>
          <w:szCs w:val="28"/>
          <w:highlight w:val="none"/>
        </w:rPr>
        <w:t xml:space="preserve">3.4.6 履约担保的退还，按照【 </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 xml:space="preserve"> 】执行：</w:t>
      </w:r>
    </w:p>
    <w:p w14:paraId="4D9B09FF">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（1）履约担保在</w:t>
      </w:r>
      <w:r>
        <w:rPr>
          <w:rFonts w:hint="eastAsia" w:ascii="仿宋_GB2312" w:hAnsi="仿宋_GB2312" w:eastAsia="仿宋_GB2312" w:cs="仿宋_GB2312"/>
          <w:sz w:val="28"/>
          <w:szCs w:val="28"/>
          <w:highlight w:val="none"/>
        </w:rPr>
        <w:t>【乙方履行完本合同工作内容经甲方验收合格且办理退场手续，扣除乙方违约金及应扣款项后</w:t>
      </w:r>
      <w:r>
        <w:rPr>
          <w:rFonts w:hint="eastAsia" w:ascii="仿宋_GB2312" w:hAnsi="仿宋_GB2312" w:eastAsia="仿宋_GB2312" w:cs="仿宋_GB2312"/>
          <w:sz w:val="28"/>
          <w:szCs w:val="28"/>
          <w:highlight w:val="none"/>
          <w:lang w:val="en-US" w:eastAsia="zh-CN"/>
        </w:rPr>
        <w:t>30日内</w:t>
      </w:r>
      <w:r>
        <w:rPr>
          <w:rFonts w:hint="eastAsia" w:ascii="仿宋_GB2312" w:hAnsi="仿宋_GB2312" w:eastAsia="仿宋_GB2312" w:cs="仿宋_GB2312"/>
          <w:sz w:val="28"/>
          <w:szCs w:val="28"/>
          <w:highlight w:val="none"/>
        </w:rPr>
        <w:t>】无息返还</w:t>
      </w:r>
      <w:r>
        <w:rPr>
          <w:rFonts w:hint="eastAsia" w:ascii="仿宋_GB2312" w:hAnsi="仿宋_GB2312" w:eastAsia="仿宋_GB2312" w:cs="仿宋_GB2312"/>
          <w:color w:val="000000"/>
          <w:sz w:val="28"/>
          <w:szCs w:val="28"/>
          <w:highlight w:val="none"/>
        </w:rPr>
        <w:t>。</w:t>
      </w:r>
    </w:p>
    <w:p w14:paraId="5A7E63AD">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（2）履约担保按照工程节点分期退还。</w:t>
      </w:r>
    </w:p>
    <w:p w14:paraId="6EBFD690">
      <w:pPr>
        <w:autoSpaceDE w:val="0"/>
        <w:autoSpaceDN w:val="0"/>
        <w:adjustRightInd w:val="0"/>
        <w:spacing w:line="480" w:lineRule="exact"/>
        <w:ind w:firstLine="560" w:firstLineChars="200"/>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（3）其他方式。【       </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 xml:space="preserve">      】</w:t>
      </w:r>
    </w:p>
    <w:permEnd w:id="84"/>
    <w:p w14:paraId="2684D3E0">
      <w:pPr>
        <w:pStyle w:val="6"/>
        <w:ind w:left="0" w:leftChars="0" w:firstLine="562" w:firstLineChars="200"/>
        <w:rPr>
          <w:rFonts w:ascii="黑体" w:hAnsi="黑体" w:cs="黑体"/>
          <w:highlight w:val="none"/>
        </w:rPr>
      </w:pPr>
      <w:bookmarkStart w:id="56" w:name="_Toc28256"/>
      <w:r>
        <w:rPr>
          <w:rFonts w:hint="eastAsia" w:ascii="黑体" w:hAnsi="黑体" w:cs="黑体"/>
          <w:highlight w:val="none"/>
        </w:rPr>
        <w:t>4. 分包作业人员</w:t>
      </w:r>
      <w:bookmarkEnd w:id="56"/>
    </w:p>
    <w:p w14:paraId="72535726">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4.1 签订书面劳动合同</w:t>
      </w:r>
    </w:p>
    <w:p w14:paraId="2B7A99AB">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应当与分包作业人员签订书面劳动合同，并在工人进场前将劳动合同报甲方备案。在劳动合同中应明确工资支付方式、支付标准（不低于当地最低工资标准）及工资支付日期等条款，工人工资约定内容要便于计量和支付。</w:t>
      </w:r>
    </w:p>
    <w:p w14:paraId="1F7E88A3">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应建立职工花名册并办理劳动备案；要全面实行农民工实名制管理制度，建立劳动计酬手册，记录施工现场作业农民工的身份信息、劳动考勤、工资结算等信息。同时，乙方应每月向甲方提供上月所有分包作业人员的劳动合同签署情况、出勤情况、人员变动情况书面记录及本人签字确认的工资支付书面记录。除上述书面记录用工行为外，乙方承诺在本工程不存在其他劳务用工行为。</w:t>
      </w:r>
    </w:p>
    <w:p w14:paraId="1712456C">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若发现乙方未与工人签订劳动用工合同或者签订劳动合同不真实，乙方承担【</w:t>
      </w:r>
      <w:r>
        <w:rPr>
          <w:rFonts w:hint="eastAsia" w:ascii="Times New Roman" w:hAnsi="Times New Roman" w:eastAsia="仿宋_GB2312"/>
          <w:color w:val="000000"/>
          <w:sz w:val="28"/>
          <w:szCs w:val="28"/>
          <w:highlight w:val="none"/>
          <w:lang w:val="en-US" w:eastAsia="zh-CN"/>
        </w:rPr>
        <w:t>30000</w:t>
      </w:r>
      <w:r>
        <w:rPr>
          <w:rFonts w:hint="eastAsia" w:ascii="Times New Roman" w:hAnsi="Times New Roman" w:eastAsia="仿宋_GB2312"/>
          <w:color w:val="000000"/>
          <w:sz w:val="28"/>
          <w:szCs w:val="28"/>
          <w:highlight w:val="none"/>
        </w:rPr>
        <w:t xml:space="preserve"> </w:t>
      </w:r>
      <w:r>
        <w:rPr>
          <w:rFonts w:hint="eastAsia" w:ascii="仿宋_GB2312" w:hAnsi="仿宋_GB2312" w:eastAsia="仿宋_GB2312" w:cs="仿宋_GB2312"/>
          <w:color w:val="000000"/>
          <w:sz w:val="28"/>
          <w:szCs w:val="28"/>
        </w:rPr>
        <w:t>】元/人次违约金并赔偿因此给甲方造成的损失（包括但不限于诉讼费、律师费、行政处罚等），乙方同意甲方在工程进度款中扣除，甲方有权单方解除合同。</w:t>
      </w:r>
    </w:p>
    <w:p w14:paraId="3DE74B18">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意外伤害保险缴纳后，乙方须将保单原件扫描并加盖公章后交甲方留存；乙方为每位劳务工人提供的意外伤害保险保额不得低于50万元。如乙方未购买保险的，甲方有权代为购买，并在进度款中扣除相关费用。</w:t>
      </w:r>
    </w:p>
    <w:p w14:paraId="571F6C24">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4.2 支付分包作业人员工资</w:t>
      </w:r>
    </w:p>
    <w:p w14:paraId="736F4D6A">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必须严格执行甲方的门禁制度，为每个劳务工人办理门禁卡（人脸识别），每次进出施工现场刷卡/刷脸考勤。乙方在支付工人工资时，应以甲方门禁系统考核结果作为依据编制表格，发放工资。乙方应当依据劳动合同每月按时足额支付分包作业人员工资并支付法定社会保险，分包作业人员工资不得低于工程所在地最低工资标准，并于收到甲方支付的工程款后</w:t>
      </w:r>
      <w:r>
        <w:rPr>
          <w:rFonts w:hint="eastAsia" w:ascii="仿宋_GB2312" w:hAnsi="仿宋_GB2312" w:eastAsia="仿宋_GB2312" w:cs="仿宋_GB2312"/>
          <w:kern w:val="0"/>
          <w:sz w:val="28"/>
          <w:szCs w:val="28"/>
        </w:rPr>
        <w:t>【10】</w:t>
      </w:r>
      <w:r>
        <w:rPr>
          <w:rFonts w:hint="eastAsia" w:ascii="仿宋_GB2312" w:hAnsi="仿宋_GB2312" w:eastAsia="仿宋_GB2312" w:cs="仿宋_GB2312"/>
          <w:color w:val="000000"/>
          <w:sz w:val="28"/>
          <w:szCs w:val="28"/>
        </w:rPr>
        <w:t>日内向甲方提供支付劳务工人工资的回执单。否则，甲方有权暂停支付乙方工程款。</w:t>
      </w:r>
    </w:p>
    <w:p w14:paraId="6FFE41F8">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如乙方未按照约定及时支付分包作业人员工资，出现经济纠纷事件，干扰甲方正常工作，乙方应及时解决。经甲方催告（包括口头催告）后半天内仍不履行义务，在第三方证明或相关政府部门要求下甲方可行使特别付款权，使用未付工程款代乙方支付工人工资。乙方同意支付金额参照甲方考勤记录和工资标准进行支付，由甲方通过银行直接打入工人工资卡。乙方认可银行打款记录作为甲方代付依据。如甲方代付的金额超出本合同项下甲方应付乙方的工程款，甲方有权从其与乙方签订的其他经济类合同项下的应付款项中直接扣除，乙方不得提出任何异议。</w:t>
      </w:r>
    </w:p>
    <w:p w14:paraId="2ACF77D4">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乙方未如期支付分包作业人员工资及法定社会保险费用，导致分包作业人员投诉、上访或引发纠纷的或影响甲方及甲方项目正常工作的，甲方可单方面解除合同，同时乙方承担【</w:t>
      </w:r>
      <w:r>
        <w:rPr>
          <w:rFonts w:hint="eastAsia" w:ascii="Times New Roman" w:hAnsi="Times New Roman" w:eastAsia="仿宋_GB2312"/>
          <w:color w:val="000000"/>
          <w:sz w:val="28"/>
          <w:szCs w:val="28"/>
          <w:highlight w:val="none"/>
          <w:lang w:val="en-US" w:eastAsia="zh-CN"/>
        </w:rPr>
        <w:t>20000</w:t>
      </w:r>
      <w:r>
        <w:rPr>
          <w:rFonts w:hint="eastAsia" w:ascii="仿宋_GB2312" w:hAnsi="仿宋_GB2312" w:eastAsia="仿宋_GB2312" w:cs="仿宋_GB2312"/>
          <w:color w:val="000000"/>
          <w:sz w:val="28"/>
          <w:szCs w:val="28"/>
        </w:rPr>
        <w:t>】元/次的违约金，如果违约金不足以弥补甲方损失的，乙方还应承担赔偿责任。</w:t>
      </w:r>
    </w:p>
    <w:p w14:paraId="11B2CD87">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 xml:space="preserve">4.3 分包作业人员管理 </w:t>
      </w:r>
    </w:p>
    <w:p w14:paraId="63DD7771">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4.3.1 乙方应当根据甲方编制的施工组织设计，编制与施工组织设计相适应的劳动力安排计划，劳动力安排计划应当包括分包作业人员数量、工种、进场时间、退场时间以及劳务费支付计划等，劳动力安排计划应当经甲方批准后实施。</w:t>
      </w:r>
    </w:p>
    <w:p w14:paraId="729D207B">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4.3.2 乙方应当组织具有相应资格证书和符合本合同分包作业要求的分包作业人员投入工作。</w:t>
      </w:r>
    </w:p>
    <w:p w14:paraId="7567A88D">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4.3.3 甲方有权随时检查分包作业人员的有效证件及持证上岗情况。特种作业人员必须按照有关规定取得相应职业资格证书，并保证人证合一，否则甲方有权禁止未获得相应资格证书的特种作业人员进入分包作业现场，并对乙方处以【10000】元/人次违约金。</w:t>
      </w:r>
    </w:p>
    <w:p w14:paraId="0B0C384F">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4.3.4 甲方要求撤换违章作业的分包作业人员时，乙方应当立即撤换。乙方无正当理由拒绝撤换的，应承担违约金【2000】元/人次。</w:t>
      </w:r>
    </w:p>
    <w:p w14:paraId="048229D0">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4.3.5 乙方应当对分包作业人员进行实名制管理，包括但不限于进出场管理、登记造册管理、工资支付管理以及各种证照的办理。乙方在进场前提供所有人员花名册，并提供：身份证、暂住证、健康证、上岗证等复印件，其费用由乙方自行承担。</w:t>
      </w:r>
    </w:p>
    <w:p w14:paraId="570EE730">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4.3.6 乙方加强劳务用工管理，执行工程所在地建筑企业用工的有关规定。</w:t>
      </w:r>
    </w:p>
    <w:p w14:paraId="0092C4D4">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4.3.7 乙方任何危险作业活动必须经甲方批准后方准实施。</w:t>
      </w:r>
    </w:p>
    <w:p w14:paraId="315C942A">
      <w:pPr>
        <w:pStyle w:val="6"/>
        <w:ind w:left="0" w:leftChars="0" w:firstLine="562" w:firstLineChars="200"/>
        <w:rPr>
          <w:rFonts w:ascii="黑体" w:hAnsi="黑体" w:cs="黑体"/>
        </w:rPr>
      </w:pPr>
      <w:bookmarkStart w:id="57" w:name="_Toc20850"/>
      <w:r>
        <w:rPr>
          <w:rFonts w:hint="eastAsia" w:ascii="黑体" w:hAnsi="黑体" w:cs="黑体"/>
        </w:rPr>
        <w:t>5. 作业安全与环境保护</w:t>
      </w:r>
      <w:bookmarkEnd w:id="57"/>
    </w:p>
    <w:p w14:paraId="13C0EDA1">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5.1 作业安全</w:t>
      </w:r>
    </w:p>
    <w:p w14:paraId="0211958C">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5.1.1 乙方应按照建质［2008］91号文件规定配备专职安全管理人员，现场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专业承包单位应当配置至少1人，并根据所承担的分部分项工程的工程量和施工危险程度增加）。</w:t>
      </w:r>
    </w:p>
    <w:p w14:paraId="07AA05FD">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专职安全管理人员配备不足的，限【3】日内改正，逾期没有改正的，每缺少1人，每天承担违约金【</w:t>
      </w:r>
      <w:r>
        <w:rPr>
          <w:rFonts w:hint="eastAsia" w:ascii="仿宋_GB2312" w:hAnsi="仿宋_GB2312" w:eastAsia="仿宋_GB2312" w:cs="仿宋_GB2312"/>
          <w:kern w:val="0"/>
          <w:sz w:val="28"/>
          <w:szCs w:val="28"/>
        </w:rPr>
        <w:t>1000</w:t>
      </w:r>
      <w:r>
        <w:rPr>
          <w:rFonts w:hint="eastAsia" w:ascii="仿宋_GB2312" w:hAnsi="仿宋_GB2312" w:eastAsia="仿宋_GB2312" w:cs="仿宋_GB2312"/>
          <w:color w:val="000000"/>
          <w:sz w:val="28"/>
          <w:szCs w:val="28"/>
        </w:rPr>
        <w:t>】元；甲方、乙方专职安全管理人员集中办公，办公地点由甲方指定，甲方每月对乙方专职安全管理人员到岗情况及工作质量进行考核，缺勤费用及违约金从当月工程报量中予以扣除。</w:t>
      </w:r>
    </w:p>
    <w:p w14:paraId="0519FA74">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5.1.2 乙方应明确拒绝甲方违反工程建设安全生产有关管理规定的指示。</w:t>
      </w:r>
    </w:p>
    <w:p w14:paraId="68AB5723">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5.1.3 乙方应遵守工程建设安全生产有关管理规定，严格按安全标准进行作业，并随时接受行业安全检查人员依法实施的监督检查，采取必要的安全防护措施，消除事故隐患。</w:t>
      </w:r>
    </w:p>
    <w:p w14:paraId="1E427865">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5.1.4 乙方应遵守国家现行的《中华人民共和国安全生产法》、《中华人民共和国建筑法》、《中华人民共和国劳动法》、《安全生产许可证条例》、《建设工程安全生产管理条例》等有关安全生产的法律法规，严格执行《建筑安全施工检查标准》JGJ59—2011等标准、规程、规范。</w:t>
      </w:r>
    </w:p>
    <w:p w14:paraId="7BF27399">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5.1.5 乙方必须接受甲方管理人员对施工现场安全生产的指导、监督，服从甲方管理人员的指挥。</w:t>
      </w:r>
    </w:p>
    <w:p w14:paraId="2B1537BB">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5.1.6 乙方应配合甲方建立安全保证体系。</w:t>
      </w:r>
    </w:p>
    <w:p w14:paraId="39DE7848">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5.1.7 乙方应在所招用农民工进场前组织对农民工的进场的三级安全教育，教育内容不限于安全生产教育、合理合法维权方法及上述有关内容，要积极组织相关考试，并将教育情况、考试情况录入劳务实名制管理平台，并配合甲方项目部做好入场教育。乙方每日进入施工现场前，必须进行班前教育。乙方应接受甲方对安全教育的监督，并配合甲方自行组织的教育活动开展。乙方班组长应参加甲方组织的周安全教育和警示教育。</w:t>
      </w:r>
    </w:p>
    <w:p w14:paraId="70C31FFB">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5.1.8 乙方随时接受并配合甲方对安全措施落实执行情况的检查、并按照甲方要求对检查出的问题进行整改，落实到人。</w:t>
      </w:r>
    </w:p>
    <w:p w14:paraId="40994409">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5.1.9 乙方要配合甲方落实好“进入施工现场必须佩戴安全帽”，可能涉及高处作业人员应佩戴安全带、每日组织班前安全教育活动、“行为安全之星”评选等管理制度或措施。</w:t>
      </w:r>
    </w:p>
    <w:p w14:paraId="27FE0472">
      <w:pPr>
        <w:autoSpaceDE w:val="0"/>
        <w:autoSpaceDN w:val="0"/>
        <w:adjustRightInd w:val="0"/>
        <w:spacing w:line="48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5.1.10 乙方需严格落实十项“零容忍”安全隐患及其他相关安全管理制度。严格按照甲方关于重大危险源管控的相关要求，遵守重大危险源管控流程，做好危险源日常管理。</w:t>
      </w:r>
    </w:p>
    <w:p w14:paraId="2FBD8077">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5.1.11 若乙方未执行5.1.2-5.1.10的任一约定，每发现一次乙方需向甲方支付【1000】元违约金。</w:t>
      </w:r>
    </w:p>
    <w:p w14:paraId="5E89D15F">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5.1.12 如在本工程中发生安全事故，应立即向甲方报告，并做出书面记录或影像资料，重大事故按规定上报有关部门，如因乙方未及时报告，导致甲方被行政部门问责或被连带起诉，每发生一次乙方需向甲方支付违约金【5万】元。事故发生后，乙方应全力出人出资组织抢救，防止事态扩大，并支付抢救、医疗、赔偿金等相关费用，作好受害方安抚工作。若乙方不及时支付费用，在任何第三方证明下，甲方可先行垫付，该费用从应付款项中扣除。且每发生一次按垫付数额的【2】倍向甲方支付违约金，如果违约金不足以弥补甲方损失的，乙方还应承担赔偿责任。</w:t>
      </w:r>
    </w:p>
    <w:p w14:paraId="51B304D8">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5.2 职业健康</w:t>
      </w:r>
    </w:p>
    <w:p w14:paraId="22967665">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5.2.1 乙方应按法律规定安排分包作业人员的劳动和休息时间，保证其雇佣人员享有休息和休假的权利。</w:t>
      </w:r>
    </w:p>
    <w:p w14:paraId="54B4EA33">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5.2.2 如果甲方提供住宿，则甲方应为乙方雇用的分包作业人员提供必要的临建板房。甲方应按工程所在地行政管理机关的标准和要求对分包作业人员的宿舍和食堂进行管理。</w:t>
      </w:r>
    </w:p>
    <w:p w14:paraId="5E071587">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5.2.3 乙方应按照行政管理机关的要求为外来务工人员办理暂住证等一切所需证件。</w:t>
      </w:r>
    </w:p>
    <w:p w14:paraId="0DAFD06A">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5.3 环境保护</w:t>
      </w:r>
    </w:p>
    <w:p w14:paraId="1953FF39">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合同履行期间，乙方应采取合理措施保护分包作业现场环境。对分包作业过程中可能引起的大气、水、噪音以及固体废物等污染采取具体可行的防范措施，确保符合甲方的环境管理体系目标和要求。乙方应当遵守甲方关于分包作业现场环境保护的要求。</w:t>
      </w:r>
    </w:p>
    <w:p w14:paraId="273ED673">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乙方应承担因其原因引起的环境污染侵权损害赔偿责任，因上述环境污染引起纠纷而导致分包作业暂停的，由此增加的费用和（或）延误的工期由乙方承担。</w:t>
      </w:r>
    </w:p>
    <w:p w14:paraId="617208FC">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5.4 文明施工</w:t>
      </w:r>
    </w:p>
    <w:p w14:paraId="50AB3248">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乙方应严格执行建设主管部门及环保、环卫、消防等有关部门对施工现场管理的规定及甲方的有关管理制度和CI标化工地标准，确保现场管理达标，创造标化工地。</w:t>
      </w:r>
    </w:p>
    <w:p w14:paraId="6D2DFF3A">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（1）按甲方的统一规划搭设临时设施，分类整齐堆放材料、机具，挂牌标识。</w:t>
      </w:r>
    </w:p>
    <w:p w14:paraId="1C5C9278">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（2）按标化工地要求完成场地硬化覆盖，设置标牌，做好现场美化，做到每天工完场清，保持现场整洁。</w:t>
      </w:r>
    </w:p>
    <w:p w14:paraId="24008CDE">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乙方进场后，派专人负责工作面及生活区卫生清理工作，并将垃圾清理装车运输到甲方指定位置满足甲方项目管理要求。否则，甲方有权安排其他人完成此项工作，相关费用由乙方承担。负责施工现场的垃圾清理、堆放、装车工作，做到工完场清。</w:t>
      </w:r>
    </w:p>
    <w:p w14:paraId="3C1170DE">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（4）乙方施工现场人员服装，由甲方统一提供样式，或由甲方统一订制，费用由乙方承担。乙方应做好生活区管理，做好自身责任区的治安保卫工作。</w:t>
      </w:r>
    </w:p>
    <w:p w14:paraId="0B0A3854">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（5）按甲方要求设置消防设施，负责自用部分消防设施的费用。乙方负责该消防设施的维护、保管，损坏照价赔偿。</w:t>
      </w:r>
    </w:p>
    <w:p w14:paraId="5C27F8C4">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（6）因乙方原因文明施工、标化工地达不到要求，甲方有权要求乙方赔偿全部损失，并从乙方进度款中扣除安全文明施工费。</w:t>
      </w:r>
    </w:p>
    <w:p w14:paraId="690C0C66">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5.5 绿色施工</w:t>
      </w:r>
    </w:p>
    <w:p w14:paraId="0E316C59">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乙方必须遵守国家、当地政府部门的有关绿色施工的规定、标准和要求，定期对自有管理人员及劳务工人进行绿色施工法规、技术知识培训等，并接受相关单位的监督管理。</w:t>
      </w:r>
    </w:p>
    <w:p w14:paraId="482DA575">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rPr>
        <w:t>乙方应建立绿色施工组织架构和绿色施工管理体系，设专人（工人数量不少于【5】人且必须满足管理要求）负责绿色施工管理工作，责任落实到人，并保证有效运行，真正做到“四节一环保”即：节水、节能、节地、节材和环境保护</w:t>
      </w:r>
      <w:r>
        <w:rPr>
          <w:rFonts w:hint="eastAsia" w:ascii="仿宋_GB2312" w:hAnsi="仿宋_GB2312" w:eastAsia="仿宋_GB2312" w:cs="仿宋_GB2312"/>
          <w:color w:val="000000"/>
          <w:sz w:val="28"/>
          <w:szCs w:val="28"/>
        </w:rPr>
        <w:t>。</w:t>
      </w:r>
    </w:p>
    <w:p w14:paraId="36D08964">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（1）建筑余料应合理使用：施工现场建筑余料要合理利用，如混凝土用于制作路牙石，预制过梁等，钢筋制作马镫，定位筋等；</w:t>
      </w:r>
    </w:p>
    <w:p w14:paraId="44429500">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（2）板材、块材等下脚料和撒落混凝土及砂浆应科学利用：下脚料等分规格后合理进行利用；</w:t>
      </w:r>
    </w:p>
    <w:p w14:paraId="3ED6BA9E">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（3）混凝土养护和砂浆搅拌用水应合理，应有节水措施：混凝土养护宜采用覆膜养护或喷雾养护等节水措施；</w:t>
      </w:r>
    </w:p>
    <w:p w14:paraId="0B8152B9">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（4）管网和用水器具不应有渗漏：对管网及用水器具要定期进行检查维修；</w:t>
      </w:r>
    </w:p>
    <w:p w14:paraId="113208CE">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（5）对施工现场的生产、生活、办公和主要耗能施工设备应设有节能的控制措施：主要耗能设备要有自动控制等相关控制措施，避免造成能源浪费；</w:t>
      </w:r>
    </w:p>
    <w:p w14:paraId="3E97C661">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（6）国家、行业、地方政府明令淘汰的施工设备、机具和产品不应使用：施工现场严禁使用国家命令淘汰的用能设备及生产工艺；</w:t>
      </w:r>
    </w:p>
    <w:p w14:paraId="6607902A">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（7）应采用节能型设施：现场临电设备、小型机具、照明灯具等应采用带有国家能源效率标示的产品；</w:t>
      </w:r>
    </w:p>
    <w:p w14:paraId="499B0185">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（8）临时用电应设置合理，管理制度应齐全并应落实到位：施工现场临时用电要规范，制定相关管理制度，有专人负责；</w:t>
      </w:r>
    </w:p>
    <w:p w14:paraId="7D3AFBAC">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（9）应采用能源利用效率高的施工机械设备：现场施工应选用功率与负载相匹配的施工机械设备；</w:t>
      </w:r>
    </w:p>
    <w:p w14:paraId="74B73361">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（10）施工机具资源应共享：合理进行施工平面布置，塔吊、加工厂等要充分考虑多区域共同利用；</w:t>
      </w:r>
    </w:p>
    <w:p w14:paraId="3A30B51D">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（11）应定期监控重点耗能设备的能源利用情况，并有记录：塔吊、施工电梯等重点耗能设备要单独安装电表；</w:t>
      </w:r>
    </w:p>
    <w:p w14:paraId="128F1794">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（12）建筑材料的选用应缩短运输距离，减少能源消耗：500km以内的建筑材料用量占施工使用的建筑材料总重量的70%以上；</w:t>
      </w:r>
    </w:p>
    <w:p w14:paraId="7F53F617">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（13）应采用能耗少的施工工艺：改进施工工艺，节能降耗。如采用逆作法等，降低扬尘及噪音、减少材料消耗、避免使用大型设备能源；</w:t>
      </w:r>
    </w:p>
    <w:p w14:paraId="31159D9A">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（14）应合理安排施工工序和施工进度：在既定施工目标条件下，做到均衡施工、流水施工。特别要避免突击赶工期造成的无序施工、人力物力财力浪费等现象。</w:t>
      </w:r>
    </w:p>
    <w:p w14:paraId="712C39F8">
      <w:pPr>
        <w:pStyle w:val="6"/>
        <w:ind w:left="0" w:leftChars="0" w:firstLine="562" w:firstLineChars="200"/>
        <w:rPr>
          <w:rFonts w:ascii="黑体" w:hAnsi="黑体" w:cs="黑体"/>
        </w:rPr>
      </w:pPr>
      <w:bookmarkStart w:id="58" w:name="_Toc1966"/>
      <w:r>
        <w:rPr>
          <w:rFonts w:hint="eastAsia" w:ascii="黑体" w:hAnsi="黑体" w:cs="黑体"/>
        </w:rPr>
        <w:t>6. 作业期限及进度</w:t>
      </w:r>
      <w:bookmarkEnd w:id="58"/>
    </w:p>
    <w:p w14:paraId="5E28F2D4">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6.1 分包作业方案</w:t>
      </w:r>
    </w:p>
    <w:p w14:paraId="24E7DB9A">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6.1.1 甲方负责编制施工组织设计，在分包作业过程中，施工组织设计修订的，甲方应及时通知乙方。</w:t>
      </w:r>
    </w:p>
    <w:p w14:paraId="1516E47C">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6.1.2 乙方应当根据甲方要求及施工组织设计，编制及修订分包作业方案，分包作业方案应包括施工安排、施工进度计划、施工准备与资源配置计划、施工方法及工艺技术、各项管理计划（绿色施工、进度、质量、安全、成品保护等）、应急预案等。乙方应于开工前【7】天提供分包作业方案。</w:t>
      </w:r>
      <w:r>
        <w:rPr>
          <w:rFonts w:hint="eastAsia" w:ascii="仿宋_GB2312" w:hAnsi="仿宋_GB2312" w:eastAsia="仿宋_GB2312" w:cs="仿宋_GB2312"/>
          <w:kern w:val="0"/>
          <w:sz w:val="28"/>
          <w:szCs w:val="28"/>
        </w:rPr>
        <w:t>每延迟一天，支付违约金【5000】元。</w:t>
      </w:r>
      <w:r>
        <w:rPr>
          <w:rFonts w:hint="eastAsia" w:ascii="仿宋_GB2312" w:hAnsi="仿宋_GB2312" w:eastAsia="仿宋_GB2312" w:cs="仿宋_GB2312"/>
          <w:color w:val="000000"/>
          <w:sz w:val="28"/>
          <w:szCs w:val="28"/>
        </w:rPr>
        <w:t>如乙方未按甲方要求提供作业方案，甲方有权暂停支付进度款。</w:t>
      </w:r>
    </w:p>
    <w:p w14:paraId="064D6BD5">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6.2 开始工作</w:t>
      </w:r>
    </w:p>
    <w:p w14:paraId="2274D01B">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6.2.1 分包作业准备</w:t>
      </w:r>
    </w:p>
    <w:p w14:paraId="2A1A6343">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合同当事人应按约定完成如下分包作业准备工作：</w:t>
      </w:r>
    </w:p>
    <w:p w14:paraId="4418F0B3">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（1）甲方负责工程测量定位、沉降观测、技术交底，组织图纸会审。</w:t>
      </w:r>
    </w:p>
    <w:p w14:paraId="28908048">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（2）乙方应根据施工组织设计及分包作业方案，组织分包作业人员。6.2.2 分包作业通知</w:t>
      </w:r>
    </w:p>
    <w:p w14:paraId="6FB5F0D1">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合同当事人应按照法律规定和合同约定获得分包作业所需的许可。甲方应在计划开始工作日期【7】天前向乙方发出分包作业通知，作业期限自分包作业通知中载明的开始工作日期起算。</w:t>
      </w:r>
    </w:p>
    <w:p w14:paraId="1B7159A3">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6.3 作业期限延误</w:t>
      </w:r>
    </w:p>
    <w:p w14:paraId="11D01FA2">
      <w:pPr>
        <w:autoSpaceDE w:val="0"/>
        <w:autoSpaceDN w:val="0"/>
        <w:adjustRightInd w:val="0"/>
        <w:spacing w:line="48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6.3.1 工期顺延</w:t>
      </w:r>
    </w:p>
    <w:p w14:paraId="3854B644">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合同履行期间，因下列原因之一造成工期延误的，乙方有权要求工期相应顺延：</w:t>
      </w:r>
    </w:p>
    <w:p w14:paraId="09C61954">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（1）建设单位书面认可的工期延误；</w:t>
      </w:r>
    </w:p>
    <w:p w14:paraId="575469DD">
      <w:pPr>
        <w:autoSpaceDE w:val="0"/>
        <w:autoSpaceDN w:val="0"/>
        <w:adjustRightIn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（2）因不可抗力或甲方原因导致乙方不能正常施工，并经甲方【项目经理、项目总工、项目生产经理、项目商务经理】书面共同确认。</w:t>
      </w:r>
    </w:p>
    <w:p w14:paraId="63A5B6F7">
      <w:pPr>
        <w:autoSpaceDE w:val="0"/>
        <w:autoSpaceDN w:val="0"/>
        <w:adjustRightInd w:val="0"/>
        <w:spacing w:line="480" w:lineRule="exact"/>
        <w:ind w:firstLine="560" w:firstLineChars="200"/>
        <w:rPr>
          <w:rFonts w:ascii="仿宋_GB2312" w:hAnsi="仿宋_GB2312" w:eastAsia="仿宋_GB2312" w:cs="仿宋_GB2312"/>
          <w:color w:val="C00000"/>
          <w:sz w:val="28"/>
          <w:szCs w:val="28"/>
        </w:rPr>
      </w:pPr>
      <w:r>
        <w:rPr>
          <w:rFonts w:hint="eastAsia" w:ascii="仿宋_GB2312" w:hAnsi="仿宋_GB2312" w:eastAsia="仿宋_GB2312" w:cs="仿宋_GB2312"/>
          <w:kern w:val="0"/>
          <w:sz w:val="28"/>
          <w:szCs w:val="28"/>
        </w:rPr>
        <w:t>甲方同意顺延工期的，仅工期得到顺延，不进行任何费用补偿。</w:t>
      </w:r>
    </w:p>
    <w:p w14:paraId="17E957F0">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6.3.2</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工期顺延的申请</w:t>
      </w:r>
    </w:p>
    <w:p w14:paraId="184C1DD0">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当第6.3.1款所述情况发生后，乙方应在发生事项终了之日起5天内以书面形式向甲方现场代表提交要求延期的报告，并在延期报告提交后7日内提交详细资料</w:t>
      </w:r>
      <w:r>
        <w:rPr>
          <w:rFonts w:hint="eastAsia" w:ascii="仿宋_GB2312" w:hAnsi="仿宋_GB2312" w:eastAsia="仿宋_GB2312" w:cs="仿宋_GB2312"/>
          <w:sz w:val="28"/>
          <w:szCs w:val="28"/>
        </w:rPr>
        <w:t>。逾期未提交要求延期的通知或详细报告，则视为乙方放弃索赔工期的权利。</w:t>
      </w:r>
    </w:p>
    <w:p w14:paraId="28428405">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甲方应在收到乙方发出要求延期的通知或提交详细报告后的【14】日内，要求乙方进一步补充顺延工期的资料或确认顺延工期的天数。若乙方未在【5】日内补充要求的资料，则视为乙方放弃索赔工期的权利。</w:t>
      </w:r>
    </w:p>
    <w:p w14:paraId="2D9FAA25">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w:t>
      </w:r>
      <w:r>
        <w:rPr>
          <w:rFonts w:ascii="仿宋_GB2312" w:hAnsi="仿宋_GB2312" w:eastAsia="仿宋_GB2312" w:cs="仿宋_GB2312"/>
          <w:sz w:val="28"/>
          <w:szCs w:val="28"/>
        </w:rPr>
        <w:t xml:space="preserve">3 </w:t>
      </w:r>
      <w:r>
        <w:rPr>
          <w:rFonts w:hint="eastAsia" w:ascii="仿宋_GB2312" w:hAnsi="仿宋_GB2312" w:eastAsia="仿宋_GB2312" w:cs="仿宋_GB2312"/>
          <w:sz w:val="28"/>
          <w:szCs w:val="28"/>
        </w:rPr>
        <w:t>节点工期</w:t>
      </w:r>
    </w:p>
    <w:p w14:paraId="74BCEA3B">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甲方根据合同约定工期</w:t>
      </w:r>
      <w:r>
        <w:rPr>
          <w:rFonts w:hint="eastAsia" w:ascii="仿宋_GB2312" w:hAnsi="仿宋_GB2312" w:eastAsia="仿宋_GB2312" w:cs="仿宋_GB2312"/>
          <w:kern w:val="0"/>
          <w:sz w:val="28"/>
          <w:szCs w:val="28"/>
        </w:rPr>
        <w:t>及施工组织设计</w:t>
      </w:r>
      <w:r>
        <w:rPr>
          <w:rFonts w:hint="eastAsia" w:ascii="仿宋_GB2312" w:hAnsi="仿宋_GB2312" w:eastAsia="仿宋_GB2312" w:cs="仿宋_GB2312"/>
          <w:sz w:val="28"/>
          <w:szCs w:val="28"/>
        </w:rPr>
        <w:t>编制节点工期，乙方必须严格按照甲方制定的节点工期要求组织施工，工程节点工期由甲乙双方在合同中约定或由甲方另行通知。</w:t>
      </w:r>
    </w:p>
    <w:p w14:paraId="41BC71FF">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 xml:space="preserve"> 因甲方原因导致作业期限延误</w:t>
      </w:r>
    </w:p>
    <w:p w14:paraId="4379A29D">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因甲方原因未按计划开始工作日期开始工作的，甲方应按实际开始工作日期顺延作业期限，确保实际作业期限不低于合同约定的作业总日历天数。</w:t>
      </w:r>
    </w:p>
    <w:p w14:paraId="3A03EF5B">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 xml:space="preserve"> 因乙方原因导致作业期限延误</w:t>
      </w:r>
    </w:p>
    <w:p w14:paraId="0D7B0563">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因乙方原因造成节点工期或者分包合同工期延误的，乙方承担签约合同价【0.2】%/天的逾期违约金，如发生节点工期延误，逾期违约金于当期进度款扣除，乙方采取赶工措施</w:t>
      </w:r>
      <w:r>
        <w:rPr>
          <w:rFonts w:hint="eastAsia" w:ascii="仿宋_GB2312" w:hAnsi="仿宋_GB2312" w:eastAsia="仿宋_GB2312" w:cs="仿宋_GB2312"/>
          <w:kern w:val="0"/>
          <w:sz w:val="28"/>
          <w:szCs w:val="28"/>
        </w:rPr>
        <w:t>且合同工期无延误的</w:t>
      </w:r>
      <w:r>
        <w:rPr>
          <w:rFonts w:hint="eastAsia" w:ascii="仿宋_GB2312" w:hAnsi="仿宋_GB2312" w:eastAsia="仿宋_GB2312" w:cs="仿宋_GB2312"/>
          <w:sz w:val="28"/>
          <w:szCs w:val="28"/>
        </w:rPr>
        <w:t>，经乙方申请、甲方确认后返还。乙方支付逾期违约金后，不免除乙方继续完成分包作业及整改的义务。如果节点工期延误超过【7】天或分包合同工期延误超过【14】天，甲方有权单方解除合同，且乙方须向甲方支付签约合同价【20】%的违约金。</w:t>
      </w:r>
    </w:p>
    <w:p w14:paraId="7102E1E9">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6.4 分包作业暂停</w:t>
      </w:r>
    </w:p>
    <w:p w14:paraId="4F8C5001">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6.4.1 由于政策变化、扬尘治理、不可抗力以及建设单位或甲乙双方原因等导致工程停建或缓建，使合同不能连续履行，乙方应妥善做好已完工程和已进场材料、设备的保护和移交工作，按甲方要求将自带机械和人员撤出施工现场；如需继续施工到安全部位的，乙方应按甲方指令将工程施工到安全部位。甲方应为乙方撤出现场提供必要的条件，及时做好已完工程的结算，并按合同约定支付已完工程款。</w:t>
      </w:r>
    </w:p>
    <w:p w14:paraId="73B9B76D">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6.4.2 当工程具备复工条件时，甲方向乙方发出复工通知后，乙方应按照复工通知的要求复工，乙方应当无条件复工，超过【15】天乙方仍未复工的，甲方有权解除合同并要求乙方承担违约责任。</w:t>
      </w:r>
    </w:p>
    <w:p w14:paraId="3E4D6571">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6.4.3 如在乙方没有全面履行完此分包合同义务之前，甲方与建设单位合同解除，甲方应当及时通知乙方，乙方接到通知后应尽快与甲方协商，解除或调整分包合同的内容，乙方及时做好已完工程的结算。无法施工的剩余分包内容工程，乙方放弃主张可得利益等权利。</w:t>
      </w:r>
    </w:p>
    <w:p w14:paraId="0BEFBE46">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6.5 工作配合</w:t>
      </w:r>
    </w:p>
    <w:p w14:paraId="1F9FAD1B">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6.5.1 乙方按约定完成分包作业，必须由甲方或甲方的其他分包方配合时，甲方应配合乙方工作或协助乙方获得该其他分包方的配合。</w:t>
      </w:r>
    </w:p>
    <w:p w14:paraId="5EC4E054">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6.5.2 甲方或甲方的其他分包方的工作必须由乙方配合时，乙方应按甲方的指示予以配合，否则由此造成的损失由乙方承担，并承担【 </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 xml:space="preserve"> 】元/次的违约金。</w:t>
      </w:r>
    </w:p>
    <w:p w14:paraId="4C2AF856">
      <w:pPr>
        <w:pStyle w:val="6"/>
        <w:ind w:left="0" w:leftChars="0" w:firstLine="562" w:firstLineChars="200"/>
        <w:jc w:val="both"/>
        <w:rPr>
          <w:rFonts w:ascii="黑体" w:hAnsi="黑体" w:cs="黑体"/>
        </w:rPr>
      </w:pPr>
      <w:bookmarkStart w:id="59" w:name="_Toc9749"/>
      <w:r>
        <w:rPr>
          <w:rFonts w:hint="eastAsia" w:ascii="黑体" w:hAnsi="黑体" w:cs="黑体"/>
        </w:rPr>
        <w:t>7. 机具、设备及材料供应</w:t>
      </w:r>
      <w:bookmarkEnd w:id="59"/>
    </w:p>
    <w:p w14:paraId="1E77690A">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7.1 机具、设备和材料供应计划</w:t>
      </w:r>
    </w:p>
    <w:p w14:paraId="2FC99D22">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7.1.1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乙方应在收到甲方提供的施工组织设计之日起【14】天内，向甲方提交机具、设备、材料供应计划。</w:t>
      </w:r>
    </w:p>
    <w:p w14:paraId="7D3DF3E9">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7.1.2 上述供应计划经甲方确认后，甲乙双方各自应按供应计划要求的品种、规格、型号、质量、数量和供应时间等组织货源并及时运入场地。</w:t>
      </w:r>
    </w:p>
    <w:p w14:paraId="1D97F45C">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7.1.3 甲方提供的机具、设备应在安装调试完毕，确认运行良好后交付乙方使用，在进出场时，乙方必须参与验收。</w:t>
      </w:r>
    </w:p>
    <w:p w14:paraId="25663B63">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7.1.</w:t>
      </w:r>
      <w:r>
        <w:rPr>
          <w:rFonts w:hint="eastAsia" w:ascii="仿宋_GB2312" w:hAnsi="仿宋_GB2312" w:eastAsia="仿宋_GB2312" w:cs="仿宋_GB2312"/>
          <w:sz w:val="28"/>
          <w:szCs w:val="28"/>
        </w:rPr>
        <w:t>4</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甲方提供的材料在进场时应由乙方负责验收，如材料的品种、规格、型号、质量、数量不符合要求，乙方应在验收时提出，否则，视为乙方认可甲方提供的材料符合要求，如果乙方再行提出其他要求，由此增加的费用和（或）延误的期限均由乙方承担。</w:t>
      </w:r>
    </w:p>
    <w:p w14:paraId="1449E31A">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7.2 大型机械、主要材料和周转性材料</w:t>
      </w:r>
    </w:p>
    <w:p w14:paraId="7A2589F7">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7.2.1 大型机械、主要材料和周转性材料供应具体详见协议书中约定。</w:t>
      </w:r>
    </w:p>
    <w:p w14:paraId="0A6C8660">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7.2.2 乙方材料验收人员需</w:t>
      </w:r>
      <w:r>
        <w:rPr>
          <w:rFonts w:hint="eastAsia" w:ascii="仿宋_GB2312" w:hAnsi="仿宋_GB2312" w:eastAsia="仿宋_GB2312" w:cs="仿宋_GB2312"/>
          <w:kern w:val="0"/>
          <w:sz w:val="28"/>
          <w:szCs w:val="28"/>
        </w:rPr>
        <w:t>向甲方</w:t>
      </w:r>
      <w:r>
        <w:rPr>
          <w:rFonts w:hint="eastAsia" w:ascii="仿宋_GB2312" w:hAnsi="仿宋_GB2312" w:eastAsia="仿宋_GB2312" w:cs="仿宋_GB2312"/>
          <w:sz w:val="28"/>
          <w:szCs w:val="28"/>
        </w:rPr>
        <w:t>提供乙方单位的授权委托书，此委托书由甲方保存。</w:t>
      </w:r>
    </w:p>
    <w:p w14:paraId="2DC804B4">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7.2.3 甲方供应的材料设备属甲方所有，只供本合同分包作业范围内工程专用，乙方不能挪作它用或擅自处理（包括边角余料）。施工节余材料，废旧材料、边角余料由乙方负责回收至指定地点，归甲方所有,若乙方不按照甲方要求送回至甲方指定地点，甲方将以采购价上浮【10】%的价格调拨给乙方，或由乙方承担甲方自行收回所使用的机械、人工等费用。</w:t>
      </w:r>
    </w:p>
    <w:p w14:paraId="169F0CFB">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7.2.4 甲方供料由乙方按进度计划提前【20】天报材料进场计划，甲方按审定的计划供应。因计划不及时、不准确，造成乙方停工、窝工责任由乙方承担。</w:t>
      </w:r>
    </w:p>
    <w:p w14:paraId="4DD0C5EC">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7.3 低值易耗材料和小型机械</w:t>
      </w:r>
    </w:p>
    <w:p w14:paraId="2F61BD7F">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低值易耗材料和小型机械供应，详见协议书中约定。除甲方供应外，分包作业所需的其他低值易耗零星材料及小型机械，均由乙方自行提供。</w:t>
      </w:r>
    </w:p>
    <w:p w14:paraId="4F17C110">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7.4 乙方的保管义务</w:t>
      </w:r>
    </w:p>
    <w:p w14:paraId="07195F57">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妥善保管、合理使用甲方供应的机具、设备、材料，并接受甲方随时检查其机具、设备、材料的保管、使用情况，保管费用由乙方承担。因乙方保管不善、不合理使用造成机具、设备、材料丢失、损毁的，乙方应负责赔偿，并承担因此造成的作业期限延误等责任。</w:t>
      </w:r>
    </w:p>
    <w:p w14:paraId="2C8F8D58">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7.5 甲方供应设备、材料的合理损耗</w:t>
      </w:r>
    </w:p>
    <w:p w14:paraId="337BCC5C">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甲方提供设备及供应材料，乙方本合同约定损耗的范围内对设备、材料进行合理使用。超出约定损耗率范围之外的设备、材料用量，由乙方全部赔偿，价格按甲方购买价格加价10%计取，在进度款中扣除。</w:t>
      </w:r>
    </w:p>
    <w:p w14:paraId="59A5F89A">
      <w:pPr>
        <w:pStyle w:val="6"/>
        <w:ind w:left="0" w:leftChars="0" w:firstLine="562" w:firstLineChars="200"/>
        <w:jc w:val="both"/>
        <w:rPr>
          <w:rFonts w:ascii="黑体" w:hAnsi="黑体" w:cs="黑体"/>
        </w:rPr>
      </w:pPr>
      <w:bookmarkStart w:id="60" w:name="_Toc10553"/>
      <w:r>
        <w:rPr>
          <w:rFonts w:hint="eastAsia" w:ascii="黑体" w:hAnsi="黑体" w:cs="黑体"/>
        </w:rPr>
        <w:t>8. 分包作业变化</w:t>
      </w:r>
      <w:bookmarkEnd w:id="60"/>
    </w:p>
    <w:p w14:paraId="772B2E61">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8.1 分包作业变化的情形</w:t>
      </w:r>
    </w:p>
    <w:p w14:paraId="183C7E28">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按照甲方发出的设计变更通知及有关要求，进行施工，未经甲方事先书面同意，乙方不得擅自调整分包作业范围。由乙方擅自变更或未按照甲方设计变更通知进行施工造成的费用增加和由此导致甲方的直接损失，由乙方承担，延误的工期不予顺延。</w:t>
      </w:r>
    </w:p>
    <w:p w14:paraId="4DA8DC3F">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8.2 分包作业变化的通知</w:t>
      </w:r>
    </w:p>
    <w:p w14:paraId="45FC792B">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施工中如发生对原工作内容进行变更，甲方应提前【1】天以书面形式向乙方发出变更通知，并提供变更的相应图纸和说明。</w:t>
      </w:r>
    </w:p>
    <w:p w14:paraId="0DB91AFF">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依据自己的专业性提出合理化建议。乙方提出合理化建议的，应向甲方提交合理化建议说明，说明建议的内容、理由以及实施该建议对合同价格和工期的影响。甲方应在收到乙方的合理化建议后【7】天内审批完毕。合理化建议经甲方批准的，甲方应及时发出变更通知。</w:t>
      </w:r>
    </w:p>
    <w:p w14:paraId="79944ECB">
      <w:pPr>
        <w:spacing w:before="120" w:after="120" w:line="480" w:lineRule="exact"/>
        <w:ind w:firstLine="562" w:firstLineChars="200"/>
        <w:outlineLvl w:val="0"/>
        <w:rPr>
          <w:rFonts w:ascii="仿宋_GB2312" w:hAnsi="仿宋_GB2312" w:eastAsia="仿宋_GB2312" w:cs="仿宋_GB2312"/>
          <w:b/>
          <w:color w:val="000000"/>
          <w:sz w:val="28"/>
          <w:szCs w:val="28"/>
        </w:rPr>
      </w:pPr>
      <w:r>
        <w:rPr>
          <w:rFonts w:hint="eastAsia" w:ascii="黑体" w:hAnsi="黑体" w:eastAsia="黑体" w:cs="黑体"/>
          <w:b/>
          <w:bCs/>
          <w:color w:val="000000"/>
          <w:sz w:val="28"/>
          <w:szCs w:val="28"/>
        </w:rPr>
        <w:t>8.3 分包作业变化估价</w:t>
      </w:r>
    </w:p>
    <w:p w14:paraId="1D45CC23">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8.3.1 分包作业变化估价原则</w:t>
      </w:r>
    </w:p>
    <w:p w14:paraId="751BBEEB">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①已标价工程量清单或预算书有相同项目的，按照相同项目单价认定；</w:t>
      </w:r>
    </w:p>
    <w:p w14:paraId="5AB27D50">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②已标价工程量清单或预算书中无相同项目，但有类似项目的，参照类似项目的单价认定；</w:t>
      </w:r>
    </w:p>
    <w:p w14:paraId="706AC846">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③合同中既无可执行的，又没有类似参照执行的，由乙方报送费用，甲方审核确认。</w:t>
      </w:r>
    </w:p>
    <w:p w14:paraId="6BE79046">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8.3.2 分包作业变化估价程序</w:t>
      </w:r>
    </w:p>
    <w:p w14:paraId="47FA0F43">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当分包作业变化且合同中没有相应实物的合同单价或者其他原因造成需要办理经济签证时，严格按照甲方程序办理签证。</w:t>
      </w:r>
    </w:p>
    <w:p w14:paraId="7BD936C6">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 xml:space="preserve">.3.3 </w:t>
      </w:r>
      <w:r>
        <w:rPr>
          <w:rFonts w:hint="eastAsia" w:ascii="仿宋_GB2312" w:hAnsi="仿宋_GB2312" w:eastAsia="仿宋_GB2312" w:cs="仿宋_GB2312"/>
          <w:sz w:val="28"/>
          <w:szCs w:val="28"/>
        </w:rPr>
        <w:t>变更费用的支付</w:t>
      </w:r>
    </w:p>
    <w:p w14:paraId="63B2A919">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合同外的增减部分在依据充足情况下，随中间进度报量一并提交。签证金额的支付时间由双方另行约定。</w:t>
      </w:r>
    </w:p>
    <w:p w14:paraId="3F55B8F3">
      <w:pPr>
        <w:spacing w:before="120" w:after="120" w:line="480" w:lineRule="exact"/>
        <w:ind w:firstLine="562" w:firstLineChars="200"/>
        <w:outlineLvl w:val="0"/>
        <w:rPr>
          <w:rFonts w:ascii="仿宋_GB2312" w:hAnsi="仿宋_GB2312" w:eastAsia="仿宋_GB2312" w:cs="仿宋_GB2312"/>
          <w:b/>
          <w:color w:val="000000"/>
          <w:sz w:val="28"/>
          <w:szCs w:val="28"/>
        </w:rPr>
      </w:pPr>
      <w:r>
        <w:rPr>
          <w:rFonts w:hint="eastAsia" w:ascii="黑体" w:hAnsi="黑体" w:eastAsia="黑体" w:cs="黑体"/>
          <w:b/>
          <w:bCs/>
          <w:color w:val="000000"/>
          <w:sz w:val="28"/>
          <w:szCs w:val="28"/>
        </w:rPr>
        <w:t>8.4 分包作业变化引起的作业期限调整</w:t>
      </w:r>
    </w:p>
    <w:p w14:paraId="0E294F0D">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由甲方原因造成的变更导致合同价款的增加，由甲方承担，延误的工期相应顺延；因变更减少工程量，合同价款应相应减少，工期相应调整。</w:t>
      </w:r>
    </w:p>
    <w:p w14:paraId="7B894AE2">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由乙方原因造成的变更费用和由此导致甲方的直接损失，由乙方承担，延误的工期不予顺延。</w:t>
      </w:r>
    </w:p>
    <w:p w14:paraId="0CEAFBCB">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8.5 临时性用工劳务</w:t>
      </w:r>
    </w:p>
    <w:p w14:paraId="1D8E4804">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临时性用工劳务是指未包括在合同约定的分包作业范围之内的零星用工。甲方要求乙方提供临时性用工劳务的，甲方应当提前向乙方发出指示，乙方应当按照甲方的指示按时组织分包作业人员进场。临时性用工结束后，乙方提交结算时应提供所涉及全部工人的工人工资付清证明资料及承诺书，否则甲方不予认可，如发生工人工资纠纷，乙方自行承担相应责任。</w:t>
      </w:r>
    </w:p>
    <w:p w14:paraId="6D761B92">
      <w:pPr>
        <w:pStyle w:val="6"/>
        <w:ind w:left="0" w:leftChars="0" w:firstLine="562" w:firstLineChars="200"/>
        <w:jc w:val="both"/>
        <w:rPr>
          <w:rFonts w:ascii="黑体" w:hAnsi="黑体" w:cs="黑体"/>
        </w:rPr>
      </w:pPr>
      <w:bookmarkStart w:id="61" w:name="_Toc24496"/>
      <w:r>
        <w:rPr>
          <w:rFonts w:hint="eastAsia" w:ascii="黑体" w:hAnsi="黑体" w:cs="黑体"/>
        </w:rPr>
        <w:t>9. 分包作业价格调整</w:t>
      </w:r>
      <w:bookmarkEnd w:id="61"/>
    </w:p>
    <w:p w14:paraId="579EDFBA">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本合同分包作业价格由乙方根据自身企业情况确定，包干单价是乙方结合图纸、现场条件、招标文件及附件合同、国家现行的材料工艺标准规范、工程规范和技术说明、甲方与建设单位的总承包合同等综合进行理解所确定的单价，已考虑一切风险因素。任何情况下，乙方在投标前已勘察现场及熟悉施工图纸等，实际施工时不能以对现场或图纸不熟，或者以清单未描述或内容描述不全面等为由要求调整合同单价，也不因施工期内市场材料价格、人工价格、政府收费、政府政策性调整等因素造成价格的变动而要求调整单价，且乙方已综合考虑由于甲方或建设单位图纸变更对合同单价造成的影响，及由于甲方要求施工工程量增加或减少对招标工程量及合同总造价的影响，综合单价（含税）均不得以任何理由要求调整。合同一经签订，乙方应诚信履约。如出现乙方要求增加任何费用的情况，视为乙方违约，甲方有权按分包工程签约合同价的【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 】%处以惩罚性违约金；给甲方造成损失的，由乙方承担所有给甲方造成的相关损失，由此造成的影响由乙方自负，且甲方有权单方解除合同。</w:t>
      </w:r>
    </w:p>
    <w:p w14:paraId="1866B737">
      <w:pPr>
        <w:pStyle w:val="6"/>
        <w:ind w:left="0" w:leftChars="0" w:firstLine="562" w:firstLineChars="200"/>
        <w:jc w:val="both"/>
        <w:rPr>
          <w:rFonts w:ascii="黑体" w:hAnsi="黑体" w:cs="黑体"/>
        </w:rPr>
      </w:pPr>
      <w:bookmarkStart w:id="62" w:name="_Toc11220"/>
      <w:r>
        <w:rPr>
          <w:rFonts w:hint="eastAsia" w:ascii="黑体" w:hAnsi="黑体" w:cs="黑体"/>
        </w:rPr>
        <w:t>10. 合同价格形式</w:t>
      </w:r>
      <w:bookmarkEnd w:id="62"/>
    </w:p>
    <w:p w14:paraId="175BB3B7">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详见协议书中约定。</w:t>
      </w:r>
    </w:p>
    <w:p w14:paraId="7FEE11B1">
      <w:pPr>
        <w:pStyle w:val="6"/>
        <w:ind w:left="0" w:leftChars="0" w:firstLine="562" w:firstLineChars="200"/>
        <w:jc w:val="both"/>
        <w:rPr>
          <w:rFonts w:ascii="黑体" w:hAnsi="黑体" w:cs="黑体"/>
          <w:highlight w:val="none"/>
        </w:rPr>
      </w:pPr>
      <w:bookmarkStart w:id="63" w:name="_Toc11066"/>
      <w:r>
        <w:rPr>
          <w:rFonts w:hint="eastAsia" w:ascii="黑体" w:hAnsi="黑体" w:cs="黑体"/>
        </w:rPr>
        <w:t>11. 分包作业计量与支付</w:t>
      </w:r>
      <w:bookmarkEnd w:id="63"/>
    </w:p>
    <w:p w14:paraId="4A7AFB61">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11.1 分包作业的计量</w:t>
      </w:r>
    </w:p>
    <w:p w14:paraId="4436A048">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11.1.1 计量原则和计量周期</w:t>
      </w:r>
    </w:p>
    <w:p w14:paraId="2C6DB50D">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分包作业工作量计算规则详见合同协议书。</w:t>
      </w:r>
    </w:p>
    <w:p w14:paraId="747EBC87">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11.1.2 </w:t>
      </w:r>
      <w:r>
        <w:rPr>
          <w:rFonts w:eastAsia="仿宋_GB2312" w:cs="Times New Roman"/>
          <w:kern w:val="0"/>
          <w:sz w:val="28"/>
          <w:szCs w:val="28"/>
          <w:highlight w:val="none"/>
        </w:rPr>
        <w:t>施工图预算乙方收到施工图纸后【</w:t>
      </w:r>
      <w:r>
        <w:rPr>
          <w:rFonts w:hint="eastAsia" w:eastAsia="仿宋_GB2312" w:cs="Times New Roman"/>
          <w:kern w:val="0"/>
          <w:sz w:val="28"/>
          <w:szCs w:val="28"/>
          <w:highlight w:val="none"/>
        </w:rPr>
        <w:t>28</w:t>
      </w:r>
      <w:r>
        <w:rPr>
          <w:rFonts w:eastAsia="仿宋_GB2312" w:cs="Times New Roman"/>
          <w:kern w:val="0"/>
          <w:sz w:val="28"/>
          <w:szCs w:val="28"/>
          <w:highlight w:val="none"/>
        </w:rPr>
        <w:t>】天内报送施工图预算，甲方【</w:t>
      </w:r>
      <w:r>
        <w:rPr>
          <w:rFonts w:hint="eastAsia" w:eastAsia="仿宋_GB2312" w:cs="Times New Roman"/>
          <w:kern w:val="0"/>
          <w:sz w:val="28"/>
          <w:szCs w:val="28"/>
          <w:highlight w:val="none"/>
        </w:rPr>
        <w:t>28</w:t>
      </w:r>
      <w:r>
        <w:rPr>
          <w:rFonts w:eastAsia="仿宋_GB2312" w:cs="Times New Roman"/>
          <w:kern w:val="0"/>
          <w:sz w:val="28"/>
          <w:szCs w:val="28"/>
          <w:highlight w:val="none"/>
        </w:rPr>
        <w:t>】天内完成审核，经甲方项部审核的施工图预算值作为支付乙方分包工程进度款的上限值。施工过程中发生变化应进行调整。未编报的工程量，甲方有权暂停付款；超出施工图预算范围外的工程量，甲方有权不予计价、不予付款。</w:t>
      </w:r>
    </w:p>
    <w:p w14:paraId="07F76342">
      <w:pPr>
        <w:autoSpaceDE w:val="0"/>
        <w:autoSpaceDN w:val="0"/>
        <w:adjustRightInd w:val="0"/>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11.1.3 计量程序</w:t>
      </w:r>
    </w:p>
    <w:p w14:paraId="448D8EBC">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（1）乙方每月</w:t>
      </w:r>
      <w:permStart w:id="85" w:edGrp="everyone"/>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w:t>
      </w:r>
      <w:permEnd w:id="85"/>
      <w:r>
        <w:rPr>
          <w:rFonts w:hint="eastAsia" w:ascii="仿宋_GB2312" w:hAnsi="仿宋_GB2312" w:eastAsia="仿宋_GB2312" w:cs="仿宋_GB2312"/>
          <w:sz w:val="28"/>
          <w:szCs w:val="28"/>
          <w:highlight w:val="none"/>
        </w:rPr>
        <w:t>日向甲方上报已完工程量计算书，并填报《分包报量审核报告》，并经甲方项目商务部审核后仅可用于支付工程进度款，不得作为最终结算的依据。</w:t>
      </w:r>
    </w:p>
    <w:p w14:paraId="00AEFD62">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eastAsia="仿宋_GB2312" w:cs="Times New Roman"/>
          <w:kern w:val="0"/>
          <w:sz w:val="28"/>
          <w:szCs w:val="28"/>
          <w:highlight w:val="none"/>
        </w:rPr>
        <w:t>乙方所报工程量为</w:t>
      </w:r>
      <w:permStart w:id="86" w:edGrp="everyone"/>
      <w:r>
        <w:rPr>
          <w:rFonts w:hint="eastAsia" w:eastAsia="仿宋_GB2312" w:cs="Times New Roman"/>
          <w:kern w:val="0"/>
          <w:sz w:val="28"/>
          <w:szCs w:val="28"/>
          <w:highlight w:val="none"/>
        </w:rPr>
        <w:t>上月【</w:t>
      </w:r>
      <w:r>
        <w:rPr>
          <w:rFonts w:hint="eastAsia" w:eastAsia="仿宋_GB2312" w:cs="Times New Roman"/>
          <w:kern w:val="0"/>
          <w:sz w:val="28"/>
          <w:szCs w:val="28"/>
          <w:highlight w:val="none"/>
          <w:lang w:val="en-US" w:eastAsia="zh-CN"/>
        </w:rPr>
        <w:t>16</w:t>
      </w:r>
      <w:r>
        <w:rPr>
          <w:rFonts w:hint="eastAsia" w:eastAsia="仿宋_GB2312" w:cs="Times New Roman"/>
          <w:kern w:val="0"/>
          <w:sz w:val="28"/>
          <w:szCs w:val="28"/>
          <w:highlight w:val="none"/>
        </w:rPr>
        <w:t>】日至本月【</w:t>
      </w:r>
      <w:r>
        <w:rPr>
          <w:rFonts w:hint="eastAsia" w:eastAsia="仿宋_GB2312" w:cs="Times New Roman"/>
          <w:kern w:val="0"/>
          <w:sz w:val="28"/>
          <w:szCs w:val="28"/>
          <w:highlight w:val="none"/>
          <w:lang w:val="en-US" w:eastAsia="zh-CN"/>
        </w:rPr>
        <w:t>15</w:t>
      </w:r>
      <w:r>
        <w:rPr>
          <w:rFonts w:hint="eastAsia" w:eastAsia="仿宋_GB2312" w:cs="Times New Roman"/>
          <w:kern w:val="0"/>
          <w:sz w:val="28"/>
          <w:szCs w:val="28"/>
          <w:highlight w:val="none"/>
        </w:rPr>
        <w:t>】日</w:t>
      </w:r>
      <w:permEnd w:id="86"/>
      <w:r>
        <w:rPr>
          <w:rFonts w:hint="eastAsia" w:eastAsia="仿宋_GB2312" w:cs="Times New Roman"/>
          <w:kern w:val="0"/>
          <w:sz w:val="28"/>
          <w:szCs w:val="28"/>
          <w:highlight w:val="none"/>
        </w:rPr>
        <w:t>完成的工作内容，必须有乙方现场代表签字、盖章，过程付款资料及报量单均应连续编号。</w:t>
      </w:r>
    </w:p>
    <w:p w14:paraId="577AC342">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（3）乙方每月报量中的安全措施费，可根据月度考核情况单独计量，由项目安全工程师、专业工程师、安全总监、商务经理、甲方现场代表进行审核，按乙方实际投入情况计取费用。</w:t>
      </w:r>
    </w:p>
    <w:p w14:paraId="6FCC6A99">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（4）如分包计量超过签约合同</w:t>
      </w:r>
      <w:r>
        <w:rPr>
          <w:rFonts w:hint="eastAsia" w:ascii="仿宋_GB2312" w:hAnsi="仿宋_GB2312" w:eastAsia="仿宋_GB2312" w:cs="仿宋_GB2312"/>
          <w:sz w:val="28"/>
          <w:szCs w:val="28"/>
          <w:highlight w:val="none"/>
          <w:lang w:val="en-US" w:eastAsia="zh-CN"/>
        </w:rPr>
        <w:t>总价</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涉及设计变更、施工方案重大变化、签订合同时图纸或做法参数存在待定或缺项的、非分包方原因导致合同额调整等等</w:t>
      </w:r>
      <w:r>
        <w:rPr>
          <w:rFonts w:hint="eastAsia" w:ascii="仿宋_GB2312" w:hAnsi="仿宋_GB2312" w:eastAsia="仿宋_GB2312" w:cs="仿宋_GB2312"/>
          <w:sz w:val="28"/>
          <w:szCs w:val="28"/>
          <w:highlight w:val="none"/>
        </w:rPr>
        <w:t>，应及时签订补充协议，如不签订补充协议，增加部分不予计量。</w:t>
      </w:r>
      <w:r>
        <w:rPr>
          <w:rFonts w:hint="eastAsia" w:ascii="仿宋_GB2312" w:hAnsi="仿宋_GB2312" w:eastAsia="仿宋_GB2312" w:cs="仿宋_GB2312"/>
          <w:sz w:val="28"/>
          <w:szCs w:val="28"/>
          <w:highlight w:val="none"/>
          <w:lang w:val="en-US" w:eastAsia="zh-CN"/>
        </w:rPr>
        <w:t>其他需签订补充协议情况以甲方指令为准，乙方应及时配合完成。</w:t>
      </w:r>
    </w:p>
    <w:p w14:paraId="211CE9D9">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11.2 合同价款支付</w:t>
      </w:r>
    </w:p>
    <w:p w14:paraId="5F2FCE57">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具体支付比例及支付方式详见协议书中约定。</w:t>
      </w:r>
    </w:p>
    <w:p w14:paraId="6006022E">
      <w:pPr>
        <w:pStyle w:val="6"/>
        <w:ind w:left="0" w:leftChars="0" w:firstLine="562" w:firstLineChars="200"/>
        <w:jc w:val="both"/>
        <w:rPr>
          <w:rFonts w:ascii="黑体" w:hAnsi="黑体" w:cs="黑体"/>
        </w:rPr>
      </w:pPr>
      <w:bookmarkStart w:id="64" w:name="_Toc10817"/>
      <w:r>
        <w:rPr>
          <w:rFonts w:hint="eastAsia" w:ascii="黑体" w:hAnsi="黑体" w:cs="黑体"/>
        </w:rPr>
        <w:t>12. 验收与交付</w:t>
      </w:r>
      <w:bookmarkEnd w:id="64"/>
    </w:p>
    <w:p w14:paraId="673CD1F1">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12.1 分包作业质量</w:t>
      </w:r>
    </w:p>
    <w:p w14:paraId="281B8559">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12.1.1 乙方应确保所完成分包作业符合合同约定的质量标准。甲方有作业规范要求的，乙方的分包作业还应当满足甲方的作业规范要求。</w:t>
      </w:r>
    </w:p>
    <w:p w14:paraId="5D86422A">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12.1.2 甲方有权随时对乙方实施的分包作业进行监督检查，确保分包作业质量，并对存在的质量隐患提出整改要求，乙方应当及时完成整改。</w:t>
      </w:r>
    </w:p>
    <w:p w14:paraId="1725C54F">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12.2 参加检验与验收</w:t>
      </w:r>
    </w:p>
    <w:p w14:paraId="7B4280FE">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乙方应按照甲方的书面指示，参加与其分包作业有关的分部分项工程的验收，并承担相应部分的整改责任。</w:t>
      </w:r>
    </w:p>
    <w:p w14:paraId="5A35C27B">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质量检查：乙方应当建立质量管理体系，坚持自检、互检、交接检制度，并为检验提供便利条件，随时接受甲方现场代表和委派人员以及各级质检部门的检查、检验，并按要求返工、修改，承担由自身原因导致的返工、修改费用。</w:t>
      </w:r>
    </w:p>
    <w:p w14:paraId="01C65684">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12.2.2</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隐蔽工程验收：乙方应在自检合格后，验收【48】小时前通知甲方组织验收，经监理验收合格，在验收记录签字后方可进行隐蔽和继续施工。如验收不符合质量要求，乙方应按验收提出的整改意见进行返修自检，合格后重新通知验收，返修费用乙方承担，工期不予顺延。未经验收不得自行隐蔽，如有自行隐蔽，乙方必须按照甲方或有关单位的验收要求剥露和开口及恢复，并承担因此发生的全部费用及损失，工期不予顺延。</w:t>
      </w:r>
    </w:p>
    <w:p w14:paraId="0C01C5D4">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12.2.3</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交工验收：乙方承担的任务全部完成，经初验达到约定的质量标准后，由甲方约请建设单位验收，经验收合格，评定质量定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14:paraId="2789F74D">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12.2.4</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分包工程质量应达到设计图纸要求及约定的标准和质量目标。如图纸、国家及当地政府的施工验收规范、标准、建设单位的指令之间有差异和不一致的，乙方应取得甲方的书面认可后，以质量要求较严者为施工依据。</w:t>
      </w:r>
    </w:p>
    <w:p w14:paraId="0008CA62">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12.3 完工日期的确定</w:t>
      </w:r>
    </w:p>
    <w:p w14:paraId="381DCB64">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12.3.1 乙方完成全部分包作业后，应向甲方提交完工报告，通知甲方验收。分包作业经甲方验收合格的，以验收合格之日起为本分包工程完工日期。</w:t>
      </w:r>
    </w:p>
    <w:p w14:paraId="08832AB0">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12.3.2 总包工程竣工且经建设单位验收合格的，视为乙方的分包作业质量符合合同约定的要求。</w:t>
      </w:r>
    </w:p>
    <w:p w14:paraId="194F05E5">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12.4 分包作业整改</w:t>
      </w:r>
    </w:p>
    <w:p w14:paraId="7FB90F70">
      <w:pPr>
        <w:autoSpaceDE w:val="0"/>
        <w:autoSpaceDN w:val="0"/>
        <w:adjustRightInd w:val="0"/>
        <w:spacing w:line="48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甲方与建设单位间的隐蔽工程验收、分部分项工程验收以及工程竣工验收表明分包作业质量不合格时，乙方应负责无偿整改，作业期限不予延长，并承担由此导致的甲方的全部损失。若乙方接到甲方整改通知单后【24小时】内未进行整改</w:t>
      </w:r>
      <w:r>
        <w:rPr>
          <w:rFonts w:hint="eastAsia" w:eastAsia="仿宋_GB2312" w:cs="Times New Roman"/>
          <w:kern w:val="0"/>
          <w:sz w:val="28"/>
          <w:szCs w:val="28"/>
        </w:rPr>
        <w:t>或整改不合格的</w:t>
      </w:r>
      <w:r>
        <w:rPr>
          <w:rFonts w:hint="eastAsia" w:ascii="仿宋_GB2312" w:hAnsi="仿宋_GB2312" w:eastAsia="仿宋_GB2312" w:cs="仿宋_GB2312"/>
          <w:sz w:val="28"/>
          <w:szCs w:val="28"/>
        </w:rPr>
        <w:t>，甲方有权委托第三方完成，此部分费用由乙方承担</w:t>
      </w:r>
      <w:r>
        <w:rPr>
          <w:rFonts w:hint="eastAsia" w:ascii="仿宋_GB2312" w:hAnsi="仿宋_GB2312" w:eastAsia="仿宋_GB2312" w:cs="仿宋_GB2312"/>
          <w:kern w:val="0"/>
          <w:sz w:val="28"/>
          <w:szCs w:val="28"/>
        </w:rPr>
        <w:t>并向甲方支付</w:t>
      </w:r>
      <w:r>
        <w:rPr>
          <w:rFonts w:hint="eastAsia" w:ascii="仿宋_GB2312" w:hAnsi="仿宋_GB2312" w:eastAsia="仿宋_GB2312" w:cs="仿宋_GB2312"/>
          <w:sz w:val="28"/>
          <w:szCs w:val="28"/>
        </w:rPr>
        <w:t>【10000】</w:t>
      </w:r>
      <w:r>
        <w:rPr>
          <w:rFonts w:hint="eastAsia" w:ascii="仿宋_GB2312" w:hAnsi="仿宋_GB2312" w:eastAsia="仿宋_GB2312" w:cs="仿宋_GB2312"/>
          <w:kern w:val="0"/>
          <w:sz w:val="28"/>
          <w:szCs w:val="28"/>
        </w:rPr>
        <w:t>元违约金。</w:t>
      </w:r>
    </w:p>
    <w:p w14:paraId="4A0B5D08">
      <w:pPr>
        <w:widowControl/>
        <w:autoSpaceDE w:val="0"/>
        <w:autoSpaceDN w:val="0"/>
        <w:adjustRightInd w:val="0"/>
        <w:spacing w:line="48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12.5 分包作业交付</w:t>
      </w:r>
    </w:p>
    <w:p w14:paraId="1AC05407">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分包作业经验收合格后，乙方应当按照甲方指示及时将该分包作业交付甲方，不得以双方存在争议为由拒绝将该分包作业交付甲方。</w:t>
      </w:r>
    </w:p>
    <w:p w14:paraId="22A8D2C3">
      <w:pPr>
        <w:pStyle w:val="6"/>
        <w:ind w:left="0" w:leftChars="0" w:firstLine="562" w:firstLineChars="200"/>
        <w:jc w:val="both"/>
        <w:rPr>
          <w:rFonts w:ascii="黑体" w:hAnsi="黑体" w:cs="黑体"/>
          <w:highlight w:val="none"/>
        </w:rPr>
      </w:pPr>
      <w:bookmarkStart w:id="65" w:name="_Toc31604"/>
      <w:r>
        <w:rPr>
          <w:rFonts w:hint="eastAsia" w:ascii="黑体" w:hAnsi="黑体" w:cs="黑体"/>
        </w:rPr>
        <w:t>13. 分包作</w:t>
      </w:r>
      <w:r>
        <w:rPr>
          <w:rFonts w:hint="eastAsia" w:ascii="黑体" w:hAnsi="黑体" w:cs="黑体"/>
          <w:highlight w:val="none"/>
        </w:rPr>
        <w:t>业结算与支付</w:t>
      </w:r>
      <w:bookmarkEnd w:id="65"/>
    </w:p>
    <w:p w14:paraId="4C30D89B">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13.1 结算的申报</w:t>
      </w:r>
    </w:p>
    <w:p w14:paraId="1A811215">
      <w:pPr>
        <w:autoSpaceDE w:val="0"/>
        <w:autoSpaceDN w:val="0"/>
        <w:adjustRightInd w:val="0"/>
        <w:spacing w:line="480" w:lineRule="exact"/>
        <w:ind w:firstLine="560" w:firstLineChars="20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除合同协议书另有约定外，乙方应自分包工程竣工验收合格后【28】天内，根据甲方要求向甲方申报完工结算资料（包括书面版本和电子版本），</w:t>
      </w:r>
      <w:permStart w:id="87" w:edGrp="everyone"/>
      <w:r>
        <w:rPr>
          <w:rFonts w:hint="eastAsia" w:eastAsia="仿宋_GB2312" w:cs="Times New Roman"/>
          <w:kern w:val="0"/>
          <w:sz w:val="28"/>
          <w:szCs w:val="28"/>
          <w:highlight w:val="none"/>
        </w:rPr>
        <w:t>结算资料包括：【（1）加盖乙方单位公章的工程结算书（含电子版及软件版）；（2）分包完工确认单（含工程量、签证、材料、费用等完工确认单）；（3）分包工程结算条件会签单；（4） 工程量计算书（含电子版）；（5）有效的签证资料；（6）分包方物资月度对账汇总表；（7）分包月度库存材料明细表；（8）分包合同复印件；（9）分包结算人授权委托书；（10）和结算相关的其他原始资料】。</w:t>
      </w:r>
      <w:permEnd w:id="87"/>
    </w:p>
    <w:p w14:paraId="6F328CCC">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13.2 结算的审核</w:t>
      </w:r>
    </w:p>
    <w:p w14:paraId="0B278B93">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t>.2.1</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除合同协议书另有约定外，甲方应在以下期限内完成对乙方结算资料的审核，并由双方签署《完工结算审核报告》（结算书）：</w:t>
      </w:r>
    </w:p>
    <w:p w14:paraId="022A3E43">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（1）甲方收到乙方的结算资料后【 </w:t>
      </w:r>
      <w:r>
        <w:rPr>
          <w:rFonts w:hint="eastAsia" w:ascii="仿宋_GB2312" w:hAnsi="仿宋_GB2312" w:eastAsia="仿宋_GB2312" w:cs="仿宋_GB2312"/>
          <w:sz w:val="28"/>
          <w:szCs w:val="28"/>
          <w:highlight w:val="none"/>
          <w:lang w:val="en-US" w:eastAsia="zh-CN"/>
        </w:rPr>
        <w:t>90</w:t>
      </w:r>
      <w:r>
        <w:rPr>
          <w:rFonts w:hint="eastAsia" w:ascii="仿宋_GB2312" w:hAnsi="仿宋_GB2312" w:eastAsia="仿宋_GB2312" w:cs="仿宋_GB2312"/>
          <w:sz w:val="28"/>
          <w:szCs w:val="28"/>
          <w:highlight w:val="none"/>
        </w:rPr>
        <w:t xml:space="preserve"> 】天内，或者</w:t>
      </w:r>
    </w:p>
    <w:p w14:paraId="31B52889">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（2）在建设单位对甲方的结算资料审核之后的【</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 xml:space="preserve">  】天内。</w:t>
      </w:r>
    </w:p>
    <w:p w14:paraId="5774BBC4">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highlight w:val="none"/>
        </w:rPr>
        <w:t>双方特别约定：双方工作人员的过程中核对的数据不视为甲方对乙方结算金额的确认，最终需以甲方盖章</w:t>
      </w:r>
      <w:r>
        <w:rPr>
          <w:rFonts w:hint="eastAsia" w:ascii="仿宋_GB2312" w:hAnsi="仿宋_GB2312" w:eastAsia="仿宋_GB2312" w:cs="仿宋_GB2312"/>
          <w:sz w:val="28"/>
          <w:szCs w:val="28"/>
        </w:rPr>
        <w:t>确认的《完工结算审核报告》为准。</w:t>
      </w:r>
    </w:p>
    <w:p w14:paraId="2C76F651">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.2.2</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结算审核报告应当扣减以下金额：</w:t>
      </w:r>
    </w:p>
    <w:p w14:paraId="5310FDD8">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①施工所需水、电费用。</w:t>
      </w:r>
    </w:p>
    <w:p w14:paraId="15386C53">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②地方各种政策性收费：按甲方实际代扣代缴为准。</w:t>
      </w:r>
    </w:p>
    <w:p w14:paraId="556F6AFD">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③乙方承担的各项罚款及违约金。</w:t>
      </w:r>
    </w:p>
    <w:p w14:paraId="3001CC2F">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④乙方施工的安防用品、工作服等，以实际领取数量及甲方采购价为准（如有）。</w:t>
      </w:r>
    </w:p>
    <w:p w14:paraId="2F08F952">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⑤甲方根据合同应当扣除的其他款项。</w:t>
      </w:r>
    </w:p>
    <w:p w14:paraId="7629466D">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根据本条应扣减的项目，如双方无法达成一致的，根据争议解决办法解决。</w:t>
      </w:r>
    </w:p>
    <w:p w14:paraId="101CE486">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13.2.3</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甲方项目部收到结算资料后进行初审，项目部审核完毕后报甲方总部（或总部授权的结算部门）审计。若乙方所报结算价的审减率在5%-10%（含5%）的，乙方承担被审减额的【5】%的违约金，若审减率超过10%（含10%）的，乙方承担被审减额的【10】</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的违约金，审减率在20%以上（含20%）的，乙方承担被审减额的【20】%的违约金。</w:t>
      </w:r>
    </w:p>
    <w:p w14:paraId="47F5E2B8">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13.3 结算的异议</w:t>
      </w:r>
    </w:p>
    <w:p w14:paraId="23CFE272">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.3.1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甲方对乙方提交的完工结算资料有异议的，有权要求乙方在规定的时间内进行修正和提供补充资料，乙方应提交修正后的结算资料。</w:t>
      </w:r>
    </w:p>
    <w:p w14:paraId="52B6B87D">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.3.2</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乙方对甲方的审核结果有异议的，应在接到审核结果后的【 </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 xml:space="preserve"> 】天内向甲方提出书面意见，甲方据此进行核实，经甲方核定后的计量结果为最终结果。若乙方不认可甲方核定的最终结果的，有异议部分按约定的争议解决方式处理；若乙方未在接到审核结果后的【1</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】天内提出异议的，即视为确认甲方的审核结果，并作为双方的最终结算金额。</w:t>
      </w:r>
    </w:p>
    <w:p w14:paraId="16C04C83">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.3.3</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乙方如未在规定时间内提供完整的工程竣工结算资料，经甲方催促后【14】天内仍未提供或没有明确答复，甲方有权根据已有资料进行审查并确定双方的最终结算金额，该结算金额对乙方具有约束力，乙方无权再提出疑义，由此带来的全部责任和后果由乙方自负。</w:t>
      </w:r>
    </w:p>
    <w:p w14:paraId="68E4C2F8">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13.4 结算款的支付</w:t>
      </w:r>
    </w:p>
    <w:p w14:paraId="491BA61D">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除在协议书中另有约定外，在满足以下全部条件后的【</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】天内，以后到者为准，甲方向乙方支付至合同结算价的【</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】%，同时扣除乙方应付的其他款项以及质保金：</w:t>
      </w:r>
    </w:p>
    <w:p w14:paraId="41133277">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（1）工程经建设单位整体竣工验收合格出具工程竣工验收报告或者办理竣工备案；</w:t>
      </w:r>
    </w:p>
    <w:p w14:paraId="621125F1">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（2）双方完成确认《完工结算审核报告》；</w:t>
      </w:r>
    </w:p>
    <w:p w14:paraId="61F86FD8">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（3）甲方收到乙方开具的有效的增值税发票。</w:t>
      </w:r>
    </w:p>
    <w:p w14:paraId="206E556A">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13.5 其他</w:t>
      </w:r>
    </w:p>
    <w:p w14:paraId="2BBFB482">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ascii="仿宋_GB2312" w:hAnsi="仿宋_GB2312" w:eastAsia="仿宋_GB2312" w:cs="仿宋_GB2312"/>
          <w:sz w:val="28"/>
          <w:szCs w:val="28"/>
        </w:rPr>
        <w:t xml:space="preserve">5.1 </w:t>
      </w:r>
      <w:r>
        <w:rPr>
          <w:rFonts w:hint="eastAsia" w:ascii="仿宋_GB2312" w:hAnsi="仿宋_GB2312" w:eastAsia="仿宋_GB2312" w:cs="仿宋_GB2312"/>
          <w:sz w:val="28"/>
          <w:szCs w:val="28"/>
        </w:rPr>
        <w:t>乙方施工过程中，由于自行施工部分安全、质量或其他问题达不到甲方要求，甲方在过程中签发的涉及到经济问题的罚款单或联系单，甲方有权在进度款中扣除该费用。</w:t>
      </w:r>
    </w:p>
    <w:p w14:paraId="6DD9BC88">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ascii="仿宋_GB2312" w:hAnsi="仿宋_GB2312" w:eastAsia="仿宋_GB2312" w:cs="仿宋_GB2312"/>
          <w:sz w:val="28"/>
          <w:szCs w:val="28"/>
        </w:rPr>
        <w:t xml:space="preserve">5.2 </w:t>
      </w:r>
      <w:r>
        <w:rPr>
          <w:rFonts w:hint="eastAsia" w:ascii="仿宋_GB2312" w:hAnsi="仿宋_GB2312" w:eastAsia="仿宋_GB2312" w:cs="仿宋_GB2312"/>
          <w:sz w:val="28"/>
          <w:szCs w:val="28"/>
        </w:rPr>
        <w:t>乙方提交甲方的月进度报量结算书及最终结算书须资料详实、数据准确。乙方提交最终结算书时，应当提供所有工人工资付清证明资料及承诺书作为附件，否则甲方不予认可。</w:t>
      </w:r>
    </w:p>
    <w:p w14:paraId="2A77F11D">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13.5</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若乙方拒绝甲方的工作安排，只选择部分施工的分项进行施工，则视为乙方违约，甲方可单方面解除合同，并对已施工部分按照【70】%与乙方进行结算。</w:t>
      </w:r>
    </w:p>
    <w:p w14:paraId="7A00327D">
      <w:pPr>
        <w:pStyle w:val="6"/>
        <w:ind w:left="0" w:leftChars="0" w:firstLine="562" w:firstLineChars="200"/>
        <w:jc w:val="both"/>
        <w:rPr>
          <w:rFonts w:ascii="黑体" w:hAnsi="黑体" w:cs="黑体"/>
        </w:rPr>
      </w:pPr>
      <w:bookmarkStart w:id="66" w:name="_Toc2874"/>
      <w:r>
        <w:rPr>
          <w:rFonts w:hint="eastAsia" w:ascii="黑体" w:hAnsi="黑体" w:cs="黑体"/>
        </w:rPr>
        <w:t>14. 违约</w:t>
      </w:r>
      <w:bookmarkEnd w:id="66"/>
    </w:p>
    <w:p w14:paraId="4F6905FA">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甲乙双方均应按照本合同的约定全面履行相应的义务，给对方造成损失的，应赔偿相应损失，并按照本合同约定支付违约金。</w:t>
      </w:r>
    </w:p>
    <w:p w14:paraId="72C547CC">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14.2</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因乙方原因导致工程质量达不到约定的标准，乙方应向甲方支付签约合同价【10】%的违约金，并承担因此给甲方造成的全部损失。</w:t>
      </w:r>
    </w:p>
    <w:p w14:paraId="7F4F1063">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rPr>
        <w:t>14.3</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乙方在施工过程中，若达不到甲方要求（包括履约能力、工期等任何约定），或甲方单方解除合同的通知送达之日，乙方必须无条件退场，如拒不退场，按照【</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50000</w:t>
      </w:r>
      <w:r>
        <w:rPr>
          <w:rFonts w:hint="eastAsia" w:ascii="仿宋_GB2312" w:hAnsi="仿宋_GB2312" w:eastAsia="仿宋_GB2312" w:cs="仿宋_GB2312"/>
          <w:sz w:val="28"/>
          <w:szCs w:val="28"/>
          <w:highlight w:val="none"/>
        </w:rPr>
        <w:t xml:space="preserve"> 】元/天承担违约金并赔偿甲方的全部损失。如果发生甲方有权单方解除合同情形，则自甲方向乙方约定的通信地址或电子邮箱发出通知之日，双方合同解除。</w:t>
      </w:r>
    </w:p>
    <w:p w14:paraId="38045C56">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14.4</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因乙方原因未达到甲方要求的</w:t>
      </w:r>
      <w:permStart w:id="88" w:edGrp="everyone"/>
      <w:r>
        <w:rPr>
          <w:rFonts w:hint="eastAsia" w:ascii="仿宋_GB2312" w:hAnsi="仿宋_GB2312" w:eastAsia="仿宋_GB2312" w:cs="仿宋_GB2312"/>
          <w:sz w:val="28"/>
          <w:szCs w:val="28"/>
          <w:highlight w:val="none"/>
        </w:rPr>
        <w:t>【市级/省级安全文明施工标准】</w:t>
      </w:r>
      <w:permEnd w:id="88"/>
      <w:r>
        <w:rPr>
          <w:rFonts w:hint="eastAsia" w:ascii="仿宋_GB2312" w:hAnsi="仿宋_GB2312" w:eastAsia="仿宋_GB2312" w:cs="仿宋_GB2312"/>
          <w:sz w:val="28"/>
          <w:szCs w:val="28"/>
          <w:highlight w:val="none"/>
        </w:rPr>
        <w:t>，乙方向甲方支付签约合同价【5】%的违约金，并承担因此给甲方造成的全部损失。安全文明工地建设参照当地主管部门的有关标准验收，用工等费用已包含在乙方报价中。</w:t>
      </w:r>
    </w:p>
    <w:p w14:paraId="637E70D6">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14.5</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除非双方协议将合同终止或解除，另一方要求违约方继续履行合同时，违约方在承担有关责任后仍应继续履行合同。</w:t>
      </w:r>
    </w:p>
    <w:p w14:paraId="4F9D0D6C">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highlight w:val="none"/>
        </w:rPr>
        <w:t>14.6</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乙方在合同履行期间，应该按照甲方要求，【在甲方招标平台云筑网（https://www.yzw.cn/）中】完成工程量</w:t>
      </w:r>
      <w:r>
        <w:rPr>
          <w:rFonts w:hint="eastAsia" w:ascii="仿宋_GB2312" w:hAnsi="仿宋_GB2312" w:eastAsia="仿宋_GB2312" w:cs="仿宋_GB2312"/>
          <w:sz w:val="28"/>
          <w:szCs w:val="28"/>
        </w:rPr>
        <w:t xml:space="preserve">的填报，否则，甲方有权在乙方的工程款中每次扣除【 </w:t>
      </w:r>
      <w:r>
        <w:rPr>
          <w:rFonts w:hint="eastAsia" w:ascii="仿宋_GB2312" w:hAnsi="仿宋_GB2312" w:eastAsia="仿宋_GB2312" w:cs="仿宋_GB2312"/>
          <w:sz w:val="28"/>
          <w:szCs w:val="28"/>
          <w:lang w:val="en-US" w:eastAsia="zh-CN"/>
        </w:rPr>
        <w:t>1000</w:t>
      </w:r>
      <w:r>
        <w:rPr>
          <w:rFonts w:hint="eastAsia" w:ascii="仿宋_GB2312" w:hAnsi="仿宋_GB2312" w:eastAsia="仿宋_GB2312" w:cs="仿宋_GB2312"/>
          <w:sz w:val="28"/>
          <w:szCs w:val="28"/>
        </w:rPr>
        <w:t xml:space="preserve"> 】元作为违约金。</w:t>
      </w:r>
    </w:p>
    <w:p w14:paraId="723A3966">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14.7</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如乙方放弃工程，或明确表示不愿继续按照合同履行其义务的意向；或不能有效管理，难以保证工程质量和进度，并有确切证据证明将导致合同目的不能实现，甲方均可以单方解除合同。</w:t>
      </w:r>
    </w:p>
    <w:p w14:paraId="6939F1FA">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14.8</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若乙方的供货商、员工、民工向法院提起诉讼、劳动仲裁、向相关部门投诉举报，给甲方造成媒体曝光、工人上访、聚众闹事、被政府相关部门通报等负面影响，乙方应承担签约合同价【10】%的违约金，且甲方有权选择解除合同。</w:t>
      </w:r>
    </w:p>
    <w:p w14:paraId="709AC3C7">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w:t>
      </w:r>
      <w:r>
        <w:rPr>
          <w:rFonts w:ascii="仿宋_GB2312" w:hAnsi="仿宋_GB2312" w:eastAsia="仿宋_GB2312" w:cs="仿宋_GB2312"/>
          <w:sz w:val="28"/>
          <w:szCs w:val="28"/>
        </w:rPr>
        <w:t xml:space="preserve">9 </w:t>
      </w:r>
      <w:r>
        <w:rPr>
          <w:rFonts w:hint="eastAsia" w:ascii="仿宋_GB2312" w:hAnsi="仿宋_GB2312" w:eastAsia="仿宋_GB2312" w:cs="仿宋_GB2312"/>
          <w:sz w:val="28"/>
          <w:szCs w:val="28"/>
        </w:rPr>
        <w:t>本合同所确定的承包范围的工作内容，乙方应无条件完成。如因乙方原因某部分施工不能满足合同要求，甲方有权另作发包，并且乙方需向甲方支付未完成部分合同造价的【2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】%作为违约金。</w:t>
      </w:r>
    </w:p>
    <w:p w14:paraId="24C23980">
      <w:pPr>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r>
        <w:rPr>
          <w:rFonts w:ascii="仿宋_GB2312" w:hAnsi="仿宋_GB2312" w:eastAsia="仿宋_GB2312" w:cs="仿宋_GB2312"/>
          <w:sz w:val="28"/>
          <w:szCs w:val="28"/>
        </w:rPr>
        <w:t xml:space="preserve">10 </w:t>
      </w:r>
      <w:r>
        <w:rPr>
          <w:rFonts w:hint="eastAsia" w:ascii="仿宋_GB2312" w:hAnsi="仿宋_GB2312" w:eastAsia="仿宋_GB2312" w:cs="仿宋_GB2312"/>
          <w:sz w:val="28"/>
          <w:szCs w:val="28"/>
        </w:rPr>
        <w:t>本分包工程实施过程中出现交叉施工时应注意现场的文明施工及成品保护，上道工序应为下道工序创造良好的施工条件，下道工序要注意保护上道工序的成品和半成品。任何交叉作业中因乙方管理不善或出于恶意行为而导致的返工、返修、工期延误等损害或损失均由乙方承担。</w:t>
      </w:r>
    </w:p>
    <w:p w14:paraId="7D07F351">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14.11</w:t>
      </w:r>
      <w:r>
        <w:rPr>
          <w:rFonts w:hint="eastAsia" w:ascii="仿宋_GB2312" w:hAnsi="仿宋_GB2312" w:eastAsia="仿宋_GB2312" w:cs="仿宋_GB2312"/>
          <w:color w:val="auto"/>
          <w:kern w:val="0"/>
          <w:sz w:val="28"/>
          <w:szCs w:val="28"/>
        </w:rPr>
        <w:t>如发生工人闹事私自退场、施工质量不达标、工期拖延!甲方被业主单位索赔、甲方被判决/裁定承担法律责任等乙方原因导致甲方承担责任的，甲方有权向银行直接发起履约保函索赔，包括但不限于律师费、诉讼费仲裁费、保全费、申请财产保全的担保费、执行费、公证费、鉴定费、评估费、差旅费、赔偿金等，并收取所涉款项的20%作为违约金，乙方已知悉且无异议。</w:t>
      </w:r>
    </w:p>
    <w:p w14:paraId="2EC4CB8F">
      <w:pPr>
        <w:pStyle w:val="6"/>
        <w:ind w:left="0" w:leftChars="0" w:firstLine="562" w:firstLineChars="200"/>
        <w:jc w:val="both"/>
        <w:rPr>
          <w:rFonts w:ascii="黑体" w:hAnsi="黑体" w:cs="黑体"/>
        </w:rPr>
      </w:pPr>
      <w:bookmarkStart w:id="67" w:name="_Toc18235"/>
      <w:r>
        <w:rPr>
          <w:rFonts w:hint="eastAsia" w:ascii="黑体" w:hAnsi="黑体" w:cs="黑体"/>
        </w:rPr>
        <w:t>15. 不可抗力</w:t>
      </w:r>
      <w:bookmarkEnd w:id="67"/>
    </w:p>
    <w:p w14:paraId="67E6C173">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本合同所定不可抗力是指合同当事人在签订合同时不可预见，在合同履行过程中不可避免且不能克服的自然灾害和社会性突发事件，包括但不限于地震、海啸、瘟疫、骚乱、戒严、暴动、战争等。</w:t>
      </w:r>
    </w:p>
    <w:p w14:paraId="6150633C">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15.2</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乙方认为某一事件已构成不可抗力并影响其正常履行义务，则此事件发生时，应立即通知甲方，并立即采取必要的措施，防止损失的进一步扩大。不可抗力事件发生后【24小时】内乙方向甲方通报受害情况和损失情况，及预计清理和修复的费用，逾期提出的甲方不予认可。不可抗力持续发生，乙方应每日报告一次受害情况，直到不可抗力结束。甲方应对受害处理提供必要的条件，并负责处理工作的组织、指挥。不可抗力发生后，乙方未采取有效措施控制灾害而发生的损失由乙方承担。</w:t>
      </w:r>
    </w:p>
    <w:p w14:paraId="507A4FEB">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15.2.1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因不可抗力，由甲方、乙方各自承担自身的人员伤亡、机械设备和材料的损坏、停工等造成的损失；</w:t>
      </w:r>
    </w:p>
    <w:p w14:paraId="1323A136">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15.2.2</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工程自身的损害、因工程损害导致第三人伤亡、工程清理维修费由乙方配合甲方与建设单位协商处理；</w:t>
      </w:r>
    </w:p>
    <w:p w14:paraId="0C8EDAD6">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15.2.3</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在得到建设单位/监理对整体/分包工程的工期顺延许可后，分包工程延误的工期相应顺延；</w:t>
      </w:r>
    </w:p>
    <w:p w14:paraId="37980A86">
      <w:pPr>
        <w:autoSpaceDE w:val="0"/>
        <w:autoSpaceDN w:val="0"/>
        <w:adjustRightInd w:val="0"/>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5.2.4</w:t>
      </w:r>
      <w:r>
        <w:rPr>
          <w:rFonts w:hint="eastAsia" w:ascii="仿宋_GB2312" w:hAnsi="仿宋_GB2312" w:eastAsia="仿宋_GB2312" w:cs="仿宋_GB2312"/>
          <w:sz w:val="28"/>
          <w:szCs w:val="28"/>
        </w:rPr>
        <w:t>停工期间，乙方应甲方要求留在施工场地的必要的管理人员及保卫人员的费用由甲方承担；</w:t>
      </w:r>
    </w:p>
    <w:p w14:paraId="27266161">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 xml:space="preserve">5.3 </w:t>
      </w:r>
      <w:r>
        <w:rPr>
          <w:rFonts w:hint="eastAsia" w:ascii="仿宋_GB2312" w:hAnsi="仿宋_GB2312" w:eastAsia="仿宋_GB2312" w:cs="仿宋_GB2312"/>
          <w:sz w:val="28"/>
          <w:szCs w:val="28"/>
        </w:rPr>
        <w:t>因单次不可抗力导致合同无法履行连续超过【90】天或累计超过【120】天的，甲乙双方均有权解除合同。合同解除后，双方应就已完工程的计量、验收、估价、以及结算与付款等善后事宜达成补充协议。</w:t>
      </w:r>
    </w:p>
    <w:p w14:paraId="1296D830">
      <w:pPr>
        <w:pStyle w:val="6"/>
        <w:ind w:left="0" w:leftChars="0" w:firstLine="562" w:firstLineChars="200"/>
        <w:jc w:val="both"/>
        <w:rPr>
          <w:rFonts w:ascii="黑体" w:hAnsi="黑体" w:cs="黑体"/>
        </w:rPr>
      </w:pPr>
      <w:bookmarkStart w:id="68" w:name="_Toc12525"/>
      <w:r>
        <w:rPr>
          <w:rFonts w:hint="eastAsia" w:ascii="黑体" w:hAnsi="黑体" w:cs="黑体"/>
        </w:rPr>
        <w:t>16. 保险</w:t>
      </w:r>
      <w:bookmarkEnd w:id="68"/>
    </w:p>
    <w:p w14:paraId="21702367">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16.1 乙方应办理的保险</w:t>
      </w:r>
    </w:p>
    <w:p w14:paraId="62924D3F">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 xml:space="preserve">6.1.1 </w:t>
      </w:r>
      <w:r>
        <w:rPr>
          <w:rFonts w:hint="eastAsia" w:ascii="仿宋_GB2312" w:hAnsi="仿宋_GB2312" w:eastAsia="仿宋_GB2312" w:cs="仿宋_GB2312"/>
          <w:sz w:val="28"/>
          <w:szCs w:val="28"/>
        </w:rPr>
        <w:t>乙方应当在合同签订进场施工前为其履行合同雇用的全部人员办理工伤保险，缴纳工伤保险费，并为其在施工现场的全部施工人员办理意外伤害保险，属于国家规定的高危行业、领域的生产经营单位，应当投保安全生产责任保险，并为施工场地内自有人员生命财产、运至施工场内用于分包工程的材料和待安装设备以及施工机械设备办理保险，支付保险费用。包括但不限于：</w:t>
      </w:r>
    </w:p>
    <w:p w14:paraId="48BBD2BE">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（1）应对其自身在分包工程现场的全部雇员的人身安全及自有机械设备等财产办理保险；</w:t>
      </w:r>
    </w:p>
    <w:p w14:paraId="0363A265">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（2）乙方雇用的任何员工或其它人员的任何意外事故或伤害所引起损失由乙方承担。</w:t>
      </w:r>
    </w:p>
    <w:p w14:paraId="058D8686">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 xml:space="preserve">6.1.2 </w:t>
      </w:r>
      <w:r>
        <w:rPr>
          <w:rFonts w:hint="eastAsia" w:ascii="仿宋_GB2312" w:hAnsi="仿宋_GB2312" w:eastAsia="仿宋_GB2312" w:cs="仿宋_GB2312"/>
          <w:sz w:val="28"/>
          <w:szCs w:val="28"/>
        </w:rPr>
        <w:t>乙方应保持保单的有效性，并按照甲方的要求，在本分包合同履约期间，妥善保存此保单及保险费付款收据，并在甲方要求的情况下立即向甲方出示投保单和保险单。如果乙方未按约定办理上述保险且在甲方提醒后仍未办理，甲方可代为办理保险，并从应支付乙方工程款中扣除相应金额。</w:t>
      </w:r>
    </w:p>
    <w:p w14:paraId="318C247B">
      <w:pPr>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w:t>
      </w:r>
      <w:r>
        <w:rPr>
          <w:rFonts w:ascii="仿宋_GB2312" w:hAnsi="仿宋_GB2312" w:eastAsia="仿宋_GB2312" w:cs="仿宋_GB2312"/>
          <w:sz w:val="28"/>
          <w:szCs w:val="28"/>
        </w:rPr>
        <w:t xml:space="preserve">3 </w:t>
      </w:r>
      <w:r>
        <w:rPr>
          <w:rFonts w:hint="eastAsia" w:ascii="仿宋_GB2312" w:hAnsi="仿宋_GB2312" w:eastAsia="仿宋_GB2312" w:cs="仿宋_GB2312"/>
          <w:sz w:val="28"/>
          <w:szCs w:val="28"/>
        </w:rPr>
        <w:t>保险费用已包含在乙方的合同价款中，乙方自行缴纳。</w:t>
      </w:r>
    </w:p>
    <w:p w14:paraId="16D00B6A">
      <w:pPr>
        <w:autoSpaceDE w:val="0"/>
        <w:autoSpaceDN w:val="0"/>
        <w:adjustRightInd w:val="0"/>
        <w:spacing w:line="480" w:lineRule="exact"/>
        <w:ind w:firstLine="560" w:firstLineChars="200"/>
      </w:pPr>
      <w:r>
        <w:rPr>
          <w:rFonts w:hint="eastAsia" w:ascii="仿宋_GB2312" w:hAnsi="仿宋_GB2312" w:eastAsia="仿宋_GB2312" w:cs="仿宋_GB2312"/>
          <w:kern w:val="0"/>
          <w:sz w:val="28"/>
          <w:szCs w:val="28"/>
          <w:highlight w:val="none"/>
          <w:lang w:val="en-US" w:eastAsia="zh-CN"/>
        </w:rPr>
        <w:t>16.1.4 建筑施工人员团体意外伤害保险及医疗附加保险由甲方按整个工程统一购买，乙方按其承接工程完成的结算额的0.3%进行分摊，由甲方在乙方中期计价和结算款中扣除。</w:t>
      </w:r>
    </w:p>
    <w:p w14:paraId="1D2CC527">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16.2 保险事故的处理</w:t>
      </w:r>
    </w:p>
    <w:p w14:paraId="4B43D201">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保险事故发生时，甲方和乙方有责任采取必要的措施，避免损失扩大。</w:t>
      </w:r>
    </w:p>
    <w:p w14:paraId="44027F22">
      <w:pPr>
        <w:pStyle w:val="6"/>
        <w:ind w:left="0" w:leftChars="0" w:firstLine="562" w:firstLineChars="200"/>
        <w:jc w:val="both"/>
        <w:rPr>
          <w:rFonts w:ascii="黑体" w:hAnsi="黑体" w:cs="黑体"/>
        </w:rPr>
      </w:pPr>
      <w:bookmarkStart w:id="69" w:name="_Toc15276"/>
      <w:r>
        <w:rPr>
          <w:rFonts w:hint="eastAsia" w:ascii="黑体" w:hAnsi="黑体" w:cs="黑体"/>
        </w:rPr>
        <w:t>17. 配合索赔</w:t>
      </w:r>
      <w:bookmarkEnd w:id="69"/>
    </w:p>
    <w:p w14:paraId="2266F1E6">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甲方根据总承包合同向建设单位递交索赔意向通知或其它资料时，乙方应予以积极配合，并出示相应资料。</w:t>
      </w:r>
    </w:p>
    <w:p w14:paraId="6BC8F5E0">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17.2</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在分包作业实施过程中甲方认为可以根据总承包合同向建设单位提起索赔的，主张追加付款和（或）延长作业期限，乙方应予以配合，否则将承担甲方的损失。</w:t>
      </w:r>
    </w:p>
    <w:p w14:paraId="22223ED5">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17.3</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乙方根据甲方要求出示的相关索赔资料及建设单位的回复意见等均不作为甲乙双方结算的依据。</w:t>
      </w:r>
    </w:p>
    <w:p w14:paraId="32734C3F">
      <w:pPr>
        <w:pStyle w:val="6"/>
        <w:ind w:left="0" w:leftChars="0" w:firstLine="562" w:firstLineChars="200"/>
        <w:jc w:val="both"/>
        <w:rPr>
          <w:rFonts w:ascii="黑体" w:hAnsi="黑体" w:cs="黑体"/>
        </w:rPr>
      </w:pPr>
      <w:bookmarkStart w:id="70" w:name="_Toc8477"/>
      <w:r>
        <w:rPr>
          <w:rFonts w:hint="eastAsia" w:ascii="黑体" w:hAnsi="黑体" w:cs="黑体"/>
        </w:rPr>
        <w:t>18. 合同解除</w:t>
      </w:r>
      <w:bookmarkEnd w:id="70"/>
    </w:p>
    <w:p w14:paraId="4809AEEA">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18.1 分包合同解除事由</w:t>
      </w:r>
    </w:p>
    <w:p w14:paraId="71838ECC">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18</w:t>
      </w:r>
      <w:r>
        <w:rPr>
          <w:rFonts w:hint="eastAsia" w:ascii="仿宋_GB2312" w:hAnsi="仿宋_GB2312" w:eastAsia="仿宋_GB2312" w:cs="仿宋_GB2312"/>
          <w:sz w:val="28"/>
          <w:szCs w:val="28"/>
        </w:rPr>
        <w:t>.1.1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如乙方出现以下违约行为，甲方可发出书面指令要求其立即纠正并承担违约所造成的损失：</w:t>
      </w:r>
    </w:p>
    <w:p w14:paraId="5F54FD37">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（1）在竣工之前，没有合理原因，完全搁置工程停止施工；</w:t>
      </w:r>
    </w:p>
    <w:p w14:paraId="1276949C">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（2）拒绝执行甲方要求其修补缺陷或更换不适用的材料和/或物品等的书面通知；</w:t>
      </w:r>
    </w:p>
    <w:p w14:paraId="6A4A96E3">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（3）未经甲方许可，乙方擅自将其承包的分包工程转包或再分包；</w:t>
      </w:r>
    </w:p>
    <w:p w14:paraId="72E22259">
      <w:pPr>
        <w:autoSpaceDE w:val="0"/>
        <w:autoSpaceDN w:val="0"/>
        <w:adjustRightIn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（4）因乙方原因拖延工期，未能在约定的工期内或分段工期内完成分包工程或其中任何区段的工作； </w:t>
      </w:r>
    </w:p>
    <w:p w14:paraId="7D24F2C1">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（5）因乙方原因工程质量达不到本分包合同约定的质量标准和质量目标；</w:t>
      </w:r>
    </w:p>
    <w:p w14:paraId="630AA006">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（6）合同中约定的其他违约行为。</w:t>
      </w:r>
    </w:p>
    <w:p w14:paraId="5E6C39F9">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8.1.2 </w:t>
      </w:r>
      <w:r>
        <w:rPr>
          <w:rFonts w:hint="eastAsia" w:ascii="仿宋_GB2312" w:hAnsi="仿宋_GB2312" w:eastAsia="仿宋_GB2312" w:cs="仿宋_GB2312"/>
          <w:sz w:val="28"/>
          <w:szCs w:val="28"/>
          <w:highlight w:val="none"/>
        </w:rPr>
        <w:t>如乙方在接到甲方发出的书面指令后仍继续1</w:t>
      </w:r>
      <w:r>
        <w:rPr>
          <w:rFonts w:ascii="仿宋_GB2312" w:hAnsi="仿宋_GB2312" w:eastAsia="仿宋_GB2312" w:cs="仿宋_GB2312"/>
          <w:sz w:val="28"/>
          <w:szCs w:val="28"/>
          <w:highlight w:val="none"/>
        </w:rPr>
        <w:t>8.1.1</w:t>
      </w:r>
      <w:r>
        <w:rPr>
          <w:rFonts w:hint="eastAsia" w:ascii="仿宋_GB2312" w:hAnsi="仿宋_GB2312" w:eastAsia="仿宋_GB2312" w:cs="仿宋_GB2312"/>
          <w:sz w:val="28"/>
          <w:szCs w:val="28"/>
          <w:highlight w:val="none"/>
        </w:rPr>
        <w:t>中的违约行为，或该违约行为再次发生，甲方可选择行使如下权利：</w:t>
      </w:r>
    </w:p>
    <w:p w14:paraId="1A0D3DB7">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（1）以书面形式通知乙方解除本分包合同；</w:t>
      </w:r>
    </w:p>
    <w:p w14:paraId="08CD420E">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（2）将分包工程中的部分内容交由其他单位完成，相关费用由甲方从分包工程价款中扣除，由此给甲方造成的额外成本由乙方承担。 </w:t>
      </w:r>
    </w:p>
    <w:p w14:paraId="3BF37D22">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18.1.</w:t>
      </w:r>
      <w:r>
        <w:rPr>
          <w:rFonts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t xml:space="preserve"> 不论何种原因导致甲方与建设单位之间的总包合同解除时，甲方与乙方之间的分包合同同时无条件解除。所发生的费用由甲、乙双方另行协商并签订补充协议。</w:t>
      </w:r>
    </w:p>
    <w:p w14:paraId="783E749A">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18.1.</w:t>
      </w:r>
      <w:r>
        <w:rPr>
          <w:rFonts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 xml:space="preserve"> 如果乙方发生破产、解散、关闭等已不能实际履行分包合同义务的情形，甲方可在通知乙方后，解除本分包合同。</w:t>
      </w:r>
    </w:p>
    <w:p w14:paraId="2ED99787">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18.1.</w:t>
      </w:r>
      <w:r>
        <w:rPr>
          <w:rFonts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t xml:space="preserve"> 因不可抗力发生导致全部分包合同的履行成为不可能时，甲方、乙方均有权解除合同。</w:t>
      </w:r>
    </w:p>
    <w:p w14:paraId="46327484">
      <w:pPr>
        <w:keepNext w:val="0"/>
        <w:keepLines w:val="0"/>
        <w:pageBreakBefore w:val="0"/>
        <w:widowControl w:val="0"/>
        <w:kinsoku/>
        <w:wordWrap/>
        <w:overflowPunct/>
        <w:topLinePunct w:val="0"/>
        <w:autoSpaceDE/>
        <w:autoSpaceDN/>
        <w:bidi w:val="0"/>
        <w:adjustRightInd/>
        <w:snapToGrid/>
        <w:spacing w:before="120" w:after="120" w:line="480" w:lineRule="exact"/>
        <w:ind w:firstLine="562" w:firstLineChars="20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 xml:space="preserve">18.2 分包合同解除后各自的权利和责任 </w:t>
      </w:r>
    </w:p>
    <w:p w14:paraId="7C8FBDB0">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如因本合同第18.1.1条款约定的解除情形发生，甲方和乙方应具有以下权利和责任： </w:t>
      </w:r>
    </w:p>
    <w:p w14:paraId="4841325F">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（1）甲方可雇佣其他单位进行并完成分包工程；</w:t>
      </w:r>
    </w:p>
    <w:p w14:paraId="295034D7">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（2）分包合同解除后【 </w:t>
      </w:r>
      <w:r>
        <w:rPr>
          <w:rFonts w:hint="eastAsia" w:ascii="仿宋_GB2312" w:hAnsi="仿宋_GB2312" w:eastAsia="仿宋_GB2312" w:cs="仿宋_GB2312"/>
          <w:sz w:val="28"/>
          <w:szCs w:val="28"/>
          <w:highlight w:val="none"/>
          <w:lang w:val="en-US" w:eastAsia="zh-CN"/>
        </w:rPr>
        <w:t>14</w:t>
      </w:r>
      <w:r>
        <w:rPr>
          <w:rFonts w:hint="eastAsia" w:ascii="仿宋_GB2312" w:hAnsi="仿宋_GB2312" w:eastAsia="仿宋_GB2312" w:cs="仿宋_GB2312"/>
          <w:sz w:val="28"/>
          <w:szCs w:val="28"/>
          <w:highlight w:val="none"/>
        </w:rPr>
        <w:t xml:space="preserve"> 】天内，经甲方同意，乙方可将用于本分包工程的任何材料、设备和其它物品的采购供货协议和租赁协议等转让给甲方或乙方的继任者；</w:t>
      </w:r>
    </w:p>
    <w:p w14:paraId="599693A9">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（3）乙方应妥善做好已完工程和已购材料、设备、建筑施工图纸和全部相关资料的保护和移交工作；</w:t>
      </w:r>
    </w:p>
    <w:p w14:paraId="53BA4EE5">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当甲方以书面形式通知乙方须从现场拆除或撤出属于乙方的或由其租赁的任何临时工程、机具设备、材料和货物时，乙方应按照要求执行。如乙方未在合理的时间内按照要求执行，甲方可自行拆除（但不对任何损失或损坏负责），并有权变卖或处理任何这些的属于乙方的财产。甲方在扣除因乙方违约造成的工程损失费用及处理此类财产的费用后，将剩余金额返还乙方。</w:t>
      </w:r>
    </w:p>
    <w:p w14:paraId="07FB652C">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（5）分包合同解除后【 </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 xml:space="preserve"> 】日内，乙方自身的劳务人员或其劳务分包的全体人员应退场，未撤场人员发生的费用均由乙方承担。</w:t>
      </w:r>
    </w:p>
    <w:p w14:paraId="56768D2E">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（6）乙方应补偿甲方因分包合同解除给甲方带来的任何损失和损害。</w:t>
      </w:r>
    </w:p>
    <w:p w14:paraId="3055BF24">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（7）分包合同解除后【 </w:t>
      </w:r>
      <w:r>
        <w:rPr>
          <w:rFonts w:hint="eastAsia" w:ascii="仿宋_GB2312" w:hAnsi="仿宋_GB2312" w:eastAsia="仿宋_GB2312" w:cs="仿宋_GB2312"/>
          <w:sz w:val="28"/>
          <w:szCs w:val="28"/>
          <w:highlight w:val="none"/>
          <w:lang w:val="en-US" w:eastAsia="zh-CN"/>
        </w:rPr>
        <w:t>14</w:t>
      </w:r>
      <w:r>
        <w:rPr>
          <w:rFonts w:hint="eastAsia" w:ascii="仿宋_GB2312" w:hAnsi="仿宋_GB2312" w:eastAsia="仿宋_GB2312" w:cs="仿宋_GB2312"/>
          <w:sz w:val="28"/>
          <w:szCs w:val="28"/>
          <w:highlight w:val="none"/>
        </w:rPr>
        <w:t xml:space="preserve"> 】日内，乙方应向甲方提交结算报告和结算协议供甲方审核，结算应根据甲方签字确认的已完工程量和工程量清单中确定的单价进行计算，计算时间应截至分包合同解除之日。一旦工程竣工并在甲方对工程结算核准后的合理时间内，甲方应确认因乙方原因导致分包合同解除而给总包工程带来任何直接、间接损失和损害的费用金额。如果此金额加上在分包合同解除前已付给乙方的金额超过在分包合同解除时应付而未付给乙方的工程款额时，其差额作为乙方对甲方的负债，由甲方从乙方提交的履约保函、预付款保函中予以扣回，不足时，仍可索赔；如果此金额未超过甲方应支付给乙方的工程款额时，其差额应由甲方按分包合同付款条件支付给乙方。</w:t>
      </w:r>
    </w:p>
    <w:p w14:paraId="4A301E09">
      <w:pPr>
        <w:pStyle w:val="6"/>
        <w:ind w:left="0" w:leftChars="0" w:firstLine="562" w:firstLineChars="200"/>
        <w:jc w:val="both"/>
        <w:rPr>
          <w:rFonts w:ascii="黑体" w:hAnsi="黑体" w:cs="黑体"/>
          <w:highlight w:val="none"/>
        </w:rPr>
      </w:pPr>
      <w:bookmarkStart w:id="71" w:name="_Toc2093"/>
      <w:r>
        <w:rPr>
          <w:rFonts w:hint="eastAsia" w:ascii="黑体" w:hAnsi="黑体" w:cs="黑体"/>
          <w:highlight w:val="none"/>
        </w:rPr>
        <w:t>19. 知识产权</w:t>
      </w:r>
      <w:bookmarkEnd w:id="71"/>
    </w:p>
    <w:p w14:paraId="3369EE97">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9.1 </w:t>
      </w:r>
      <w:r>
        <w:rPr>
          <w:rFonts w:hint="eastAsia" w:ascii="仿宋_GB2312" w:hAnsi="仿宋_GB2312" w:eastAsia="仿宋_GB2312" w:cs="仿宋_GB2312"/>
          <w:sz w:val="28"/>
          <w:szCs w:val="28"/>
          <w:highlight w:val="none"/>
        </w:rPr>
        <w:t>除法律规定或合同条款另有约定外，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事先书面同意，乙方不得为了合同以外的目的而复制、使用上述文件或将之提供给任何第三方。</w:t>
      </w:r>
    </w:p>
    <w:p w14:paraId="29B56394">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9.2 </w:t>
      </w:r>
      <w:r>
        <w:rPr>
          <w:rFonts w:hint="eastAsia" w:ascii="仿宋_GB2312" w:hAnsi="仿宋_GB2312" w:eastAsia="仿宋_GB2312" w:cs="仿宋_GB2312"/>
          <w:sz w:val="28"/>
          <w:szCs w:val="28"/>
          <w:highlight w:val="none"/>
        </w:rPr>
        <w:t>除法律规定或合同条款另有约定外，乙方为实施工程所编制的文件，除署名权以外的著作权属于甲方，乙方可因实施工程的运行、调试、维修、改造等目的而复制、使用此类文件，但不能用于与合同无关的其他事项。未经甲方事先书面同意，乙方不得为了合同以外的目的而复制、使用上述文件或将之提供给任何第三方。</w:t>
      </w:r>
    </w:p>
    <w:p w14:paraId="111673F7">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9.3 </w:t>
      </w:r>
      <w:r>
        <w:rPr>
          <w:rFonts w:hint="eastAsia" w:ascii="仿宋_GB2312" w:hAnsi="仿宋_GB2312" w:eastAsia="仿宋_GB2312" w:cs="仿宋_GB2312"/>
          <w:sz w:val="28"/>
          <w:szCs w:val="28"/>
          <w:highlight w:val="none"/>
        </w:rPr>
        <w:t>除法律规定或合同条款另有约定外，乙方在合同签订前和签订时已确定采用的专利、专有技术、技术秘密的使用费已包含在签约合同价中。</w:t>
      </w:r>
    </w:p>
    <w:p w14:paraId="183DDBC1">
      <w:pPr>
        <w:autoSpaceDE w:val="0"/>
        <w:autoSpaceDN w:val="0"/>
        <w:adjustRightInd w:val="0"/>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9.4 </w:t>
      </w:r>
      <w:r>
        <w:rPr>
          <w:rFonts w:hint="eastAsia" w:ascii="仿宋_GB2312" w:hAnsi="仿宋_GB2312" w:eastAsia="仿宋_GB2312" w:cs="仿宋_GB2312"/>
          <w:sz w:val="28"/>
          <w:szCs w:val="28"/>
          <w:highlight w:val="none"/>
        </w:rPr>
        <w:t>乙方保证乙方交付的成果不会侵犯甲方及任何第三方的知识产权，并保证甲方及甲方利益相关方免于遭受任何第三方基于本合同交付成果而提起任何诉讼。如果任何第三方基于本合同交付成果而针对甲方或甲方利益相关方提起任何诉讼，乙方应负责应诉，并承担所有费用，包括但不限于：诉讼费、律师费、鉴定费、罚金、赔偿金等，如甲方为自身及甲方利益相关方的利益应诉，并不免除乙方的前述义务，乙方应赔偿甲方因此遭受的前述全部损失，并及时公开澄清相关事实，使甲方声誉免受损害。</w:t>
      </w:r>
    </w:p>
    <w:p w14:paraId="7AE444A6">
      <w:pPr>
        <w:pStyle w:val="6"/>
        <w:ind w:left="0" w:leftChars="0" w:firstLine="562" w:firstLineChars="200"/>
        <w:rPr>
          <w:rFonts w:hint="eastAsia" w:ascii="黑体" w:hAnsi="黑体" w:cs="黑体"/>
          <w:highlight w:val="none"/>
        </w:rPr>
      </w:pPr>
      <w:bookmarkStart w:id="72" w:name="_Toc21384"/>
      <w:r>
        <w:rPr>
          <w:rFonts w:hint="eastAsia" w:ascii="黑体" w:hAnsi="黑体" w:cs="黑体"/>
          <w:highlight w:val="none"/>
        </w:rPr>
        <w:t>20. 其他约定</w:t>
      </w:r>
      <w:bookmarkEnd w:id="72"/>
    </w:p>
    <w:p w14:paraId="241648B8">
      <w:pPr>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20.1</w:t>
      </w:r>
      <w:r>
        <w:rPr>
          <w:rFonts w:hint="eastAsia" w:ascii="仿宋_GB2312" w:hAnsi="仿宋_GB2312" w:eastAsia="仿宋_GB2312" w:cs="仿宋_GB2312"/>
          <w:sz w:val="28"/>
          <w:szCs w:val="28"/>
          <w:highlight w:val="none"/>
        </w:rPr>
        <w:t>本合同已考虑各类极端不利天气（参考建设单位合同的相关约定）、交通管制、疫情及隔离、政府禁令等对工期产生的影响，乙方承诺不因此类原因提出任何有关的工期和费用索赔。</w:t>
      </w:r>
    </w:p>
    <w:p w14:paraId="6DBF119A">
      <w:pPr>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20.2</w:t>
      </w:r>
      <w:r>
        <w:rPr>
          <w:rFonts w:hint="eastAsia" w:ascii="仿宋_GB2312" w:hAnsi="仿宋_GB2312" w:eastAsia="仿宋_GB2312" w:cs="仿宋_GB2312"/>
          <w:sz w:val="28"/>
          <w:szCs w:val="28"/>
          <w:highlight w:val="none"/>
        </w:rPr>
        <w:t>本合同约定的综合单价不因任何原因进行调整。分包合同内同一子目或子项，如出现两个或两个以上不同价格的，按照价格低者执行和结算。</w:t>
      </w:r>
    </w:p>
    <w:p w14:paraId="67C7FA5D">
      <w:pPr>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20.3</w:t>
      </w:r>
      <w:r>
        <w:rPr>
          <w:rFonts w:hint="eastAsia" w:ascii="仿宋_GB2312" w:hAnsi="仿宋_GB2312" w:eastAsia="仿宋_GB2312" w:cs="仿宋_GB2312"/>
          <w:sz w:val="28"/>
          <w:szCs w:val="28"/>
          <w:highlight w:val="none"/>
        </w:rPr>
        <w:t>根据合同条款6.3.1甲方对乙方工期顺延的，甲方不进行任何费用补偿。</w:t>
      </w:r>
    </w:p>
    <w:p w14:paraId="3357A54E">
      <w:pPr>
        <w:autoSpaceDE w:val="0"/>
        <w:autoSpaceDN w:val="0"/>
        <w:adjustRightInd w:val="0"/>
        <w:spacing w:line="48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20.4</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签约合同价已综合考虑合同条款6.5因工作配合产生的影响和相关费用，乙方不得就此再向甲方索赔。</w:t>
      </w:r>
    </w:p>
    <w:p w14:paraId="32BA37E3">
      <w:pPr>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如果乙方拒收或收到甲方发出的有关函件、工作联系单等后【3】个工作日内不提出异议，即视为乙方认可函件、工作联系单等之内容。</w:t>
      </w:r>
    </w:p>
    <w:p w14:paraId="3E05DD9D">
      <w:pPr>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20.5</w:t>
      </w:r>
      <w:r>
        <w:rPr>
          <w:rFonts w:hint="eastAsia" w:ascii="仿宋_GB2312" w:hAnsi="仿宋_GB2312" w:eastAsia="仿宋_GB2312" w:cs="仿宋_GB2312"/>
          <w:sz w:val="28"/>
          <w:szCs w:val="28"/>
          <w:highlight w:val="none"/>
        </w:rPr>
        <w:t>.在施工过程中，无论任何原因，乙方均不得擅自停工。</w:t>
      </w:r>
    </w:p>
    <w:p w14:paraId="4B87381E">
      <w:pPr>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不可抗力发生后，因不可抗力造成的清理修复的劳务费用，建设单位不承担部分由乙方承担。</w:t>
      </w:r>
    </w:p>
    <w:p w14:paraId="1756D3A5">
      <w:pPr>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20.6</w:t>
      </w:r>
      <w:r>
        <w:rPr>
          <w:rFonts w:hint="eastAsia" w:ascii="仿宋_GB2312" w:hAnsi="仿宋_GB2312" w:eastAsia="仿宋_GB2312" w:cs="仿宋_GB2312"/>
          <w:sz w:val="28"/>
          <w:szCs w:val="28"/>
          <w:highlight w:val="none"/>
        </w:rPr>
        <w:t>结算定案后，乙方应提供结算值100%的增值税发票，否则甲方可拒绝付款。若建设单位与甲方办理结算时，针对本分包工程进行审减，则甲方有权对乙方进行同比例审减。</w:t>
      </w:r>
    </w:p>
    <w:p w14:paraId="29CF0AA6">
      <w:pPr>
        <w:spacing w:line="4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20.7</w:t>
      </w:r>
      <w:r>
        <w:rPr>
          <w:rFonts w:hint="eastAsia" w:ascii="仿宋_GB2312" w:hAnsi="仿宋_GB2312" w:eastAsia="仿宋_GB2312" w:cs="仿宋_GB2312"/>
          <w:sz w:val="28"/>
          <w:szCs w:val="28"/>
          <w:highlight w:val="none"/>
        </w:rPr>
        <w:t>在整个合同履行期间，未经甲方事先书面同意，乙方在本合同项下的债权债务不得转让给第三人，乙方不得擅自将对甲方的债权向金融机构进行质押、出让。否则乙方需向甲方支付转让金额10%的违约金，并承担甲方由此产生的诉讼费、律师费等费用。以上费用甲方可以在应付工程款中直接扣除，无需另行向乙方主张。</w:t>
      </w:r>
    </w:p>
    <w:p w14:paraId="3C70B6CD">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20.8</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如乙方与下属工人或班组发生工程款、人身损害纠纷等，经甲方通知不予积极配合处理或者达成和解后不按时履行的，甲方有权禁止乙方参与后期工程投标、停付任何应付工程款项。</w:t>
      </w:r>
    </w:p>
    <w:p w14:paraId="49816A62">
      <w:pPr>
        <w:pStyle w:val="2"/>
        <w:ind w:firstLine="419"/>
        <w:jc w:val="left"/>
        <w:rPr>
          <w:highlight w:val="none"/>
        </w:rPr>
      </w:pPr>
      <w:r>
        <w:rPr>
          <w:rFonts w:hint="eastAsia" w:ascii="仿宋_GB2312" w:hAnsi="仿宋_GB2312" w:eastAsia="仿宋_GB2312" w:cs="仿宋_GB2312"/>
          <w:sz w:val="28"/>
          <w:szCs w:val="28"/>
          <w:highlight w:val="none"/>
          <w:lang w:val="en-US" w:eastAsia="zh-CN"/>
        </w:rPr>
        <w:t>20.8</w:t>
      </w:r>
      <w:r>
        <w:rPr>
          <w:rFonts w:hint="eastAsia" w:ascii="仿宋_GB2312" w:eastAsia="仿宋_GB2312"/>
          <w:sz w:val="28"/>
          <w:szCs w:val="28"/>
          <w:highlight w:val="none"/>
          <w:lang w:val="en-US" w:eastAsia="zh-CN"/>
        </w:rPr>
        <w:t xml:space="preserve"> 乙方使用塔吊调运材料设备作业时，必须配备专职塔吊司索工，持证上岗，费用包含在清单综合单价中综合考虑。</w:t>
      </w:r>
    </w:p>
    <w:p w14:paraId="2D168ED1">
      <w:pPr>
        <w:autoSpaceDE w:val="0"/>
        <w:autoSpaceDN w:val="0"/>
        <w:adjustRightInd w:val="0"/>
        <w:spacing w:line="480" w:lineRule="exact"/>
        <w:ind w:firstLine="562" w:firstLineChars="200"/>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附件：</w:t>
      </w:r>
    </w:p>
    <w:p w14:paraId="43C90247">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附件1：工程量清单与计价表</w:t>
      </w:r>
    </w:p>
    <w:p w14:paraId="4F939D01">
      <w:pPr>
        <w:autoSpaceDE w:val="0"/>
        <w:autoSpaceDN w:val="0"/>
        <w:adjustRightInd w:val="0"/>
        <w:spacing w:line="48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附件2：授权委托书（甲方）</w:t>
      </w:r>
    </w:p>
    <w:p w14:paraId="61D4A973">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附件3：授权委托书（乙方）</w:t>
      </w:r>
    </w:p>
    <w:p w14:paraId="28DAF35D">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：乙方现场管理人员名单</w:t>
      </w:r>
    </w:p>
    <w:p w14:paraId="1A9DFF96">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t>：工程承包人供应材料与设备明细表</w:t>
      </w:r>
    </w:p>
    <w:p w14:paraId="6066921A">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t>：廉政合同书</w:t>
      </w:r>
    </w:p>
    <w:p w14:paraId="6042A2A6">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rPr>
        <w:t>：工程质量专项管理协议书</w:t>
      </w:r>
    </w:p>
    <w:p w14:paraId="1C45D24B">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ascii="仿宋_GB2312" w:hAnsi="仿宋_GB2312" w:eastAsia="仿宋_GB2312" w:cs="仿宋_GB2312"/>
          <w:sz w:val="28"/>
          <w:szCs w:val="28"/>
          <w:highlight w:val="none"/>
        </w:rPr>
        <w:t>8</w:t>
      </w:r>
      <w:r>
        <w:rPr>
          <w:rFonts w:hint="eastAsia" w:ascii="仿宋_GB2312" w:hAnsi="仿宋_GB2312" w:eastAsia="仿宋_GB2312" w:cs="仿宋_GB2312"/>
          <w:sz w:val="28"/>
          <w:szCs w:val="28"/>
          <w:highlight w:val="none"/>
        </w:rPr>
        <w:t>：施工现场安全生产管理协议</w:t>
      </w:r>
    </w:p>
    <w:p w14:paraId="42E88496">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ascii="仿宋_GB2312" w:hAnsi="仿宋_GB2312" w:eastAsia="仿宋_GB2312" w:cs="仿宋_GB2312"/>
          <w:sz w:val="28"/>
          <w:szCs w:val="28"/>
          <w:highlight w:val="none"/>
        </w:rPr>
        <w:t>9</w:t>
      </w:r>
      <w:r>
        <w:rPr>
          <w:rFonts w:hint="eastAsia" w:ascii="仿宋_GB2312" w:hAnsi="仿宋_GB2312" w:eastAsia="仿宋_GB2312" w:cs="仿宋_GB2312"/>
          <w:sz w:val="28"/>
          <w:szCs w:val="28"/>
          <w:highlight w:val="none"/>
        </w:rPr>
        <w:t>：项目后勤管理协议</w:t>
      </w:r>
    </w:p>
    <w:p w14:paraId="5D810B31">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ascii="仿宋_GB2312" w:hAnsi="仿宋_GB2312" w:eastAsia="仿宋_GB2312" w:cs="仿宋_GB2312"/>
          <w:sz w:val="28"/>
          <w:szCs w:val="28"/>
          <w:highlight w:val="none"/>
        </w:rPr>
        <w:t>10</w:t>
      </w:r>
      <w:r>
        <w:rPr>
          <w:rFonts w:hint="eastAsia" w:ascii="仿宋_GB2312" w:hAnsi="仿宋_GB2312" w:eastAsia="仿宋_GB2312" w:cs="仿宋_GB2312"/>
          <w:sz w:val="28"/>
          <w:szCs w:val="28"/>
          <w:highlight w:val="none"/>
        </w:rPr>
        <w:t>：质量保证书</w:t>
      </w:r>
    </w:p>
    <w:p w14:paraId="51070CB9">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附件1</w:t>
      </w:r>
      <w:r>
        <w:rPr>
          <w:rFonts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t>：农民工工作委托支付协议</w:t>
      </w:r>
    </w:p>
    <w:p w14:paraId="07181448">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附件1</w:t>
      </w:r>
      <w:r>
        <w:rPr>
          <w:rFonts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rPr>
        <w:t>：施工现场消防安全管理协议</w:t>
      </w:r>
    </w:p>
    <w:p w14:paraId="00E58BB5">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附件1</w:t>
      </w:r>
      <w:r>
        <w:rPr>
          <w:rFonts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t>：施工现场临时用电安全管理协议</w:t>
      </w:r>
    </w:p>
    <w:p w14:paraId="22B626C4">
      <w:pPr>
        <w:autoSpaceDE w:val="0"/>
        <w:autoSpaceDN w:val="0"/>
        <w:adjustRightInd w:val="0"/>
        <w:spacing w:line="48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附件1</w:t>
      </w:r>
      <w:r>
        <w:rPr>
          <w:rFonts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：承诺书</w:t>
      </w:r>
    </w:p>
    <w:p w14:paraId="7641EACE">
      <w:pPr>
        <w:pStyle w:val="7"/>
        <w:spacing w:before="156" w:beforeLines="50" w:after="156" w:afterLines="50" w:line="480" w:lineRule="exact"/>
        <w:ind w:firstLine="560" w:firstLineChars="200"/>
        <w:rPr>
          <w:rFonts w:hint="eastAsia" w:ascii="黑体" w:hAnsi="黑体" w:eastAsia="黑体" w:cs="黑体"/>
          <w:b w:val="0"/>
          <w:bCs w:val="0"/>
          <w:highlight w:val="none"/>
        </w:rPr>
        <w:sectPr>
          <w:footerReference r:id="rId8" w:type="default"/>
          <w:pgSz w:w="11906" w:h="16838"/>
          <w:pgMar w:top="1440" w:right="1800" w:bottom="1440" w:left="1800" w:header="851" w:footer="992" w:gutter="0"/>
          <w:pgNumType w:fmt="decimal" w:start="1"/>
          <w:cols w:space="720" w:num="1"/>
          <w:docGrid w:type="lines" w:linePitch="312" w:charSpace="0"/>
        </w:sectPr>
      </w:pPr>
      <w:bookmarkStart w:id="73" w:name="_Toc132053711"/>
      <w:bookmarkStart w:id="74" w:name="_Toc23496"/>
      <w:permStart w:id="89" w:edGrp="everyone"/>
    </w:p>
    <w:p w14:paraId="34DE3A09">
      <w:pPr>
        <w:pStyle w:val="7"/>
        <w:spacing w:before="156" w:beforeLines="50" w:after="156" w:afterLines="50" w:line="480" w:lineRule="exact"/>
        <w:ind w:firstLine="560" w:firstLineChars="200"/>
        <w:rPr>
          <w:rFonts w:ascii="黑体" w:hAnsi="黑体" w:eastAsia="黑体" w:cs="黑体"/>
          <w:highlight w:val="none"/>
        </w:rPr>
      </w:pPr>
      <w:r>
        <w:rPr>
          <w:rFonts w:hint="eastAsia" w:ascii="黑体" w:hAnsi="黑体" w:eastAsia="黑体" w:cs="黑体"/>
          <w:b w:val="0"/>
          <w:bCs w:val="0"/>
          <w:highlight w:val="none"/>
        </w:rPr>
        <w:t>附件1</w:t>
      </w:r>
      <w:r>
        <w:rPr>
          <w:rFonts w:hint="eastAsia" w:ascii="黑体" w:hAnsi="黑体" w:eastAsia="黑体" w:cs="黑体"/>
          <w:highlight w:val="none"/>
        </w:rPr>
        <w:t xml:space="preserve">  </w:t>
      </w:r>
    </w:p>
    <w:p w14:paraId="7EA90627">
      <w:pPr>
        <w:pStyle w:val="7"/>
        <w:spacing w:before="156" w:beforeLines="50" w:after="156" w:afterLines="50" w:line="480" w:lineRule="exact"/>
        <w:jc w:val="center"/>
        <w:rPr>
          <w:rFonts w:ascii="黑体" w:hAnsi="黑体" w:eastAsia="黑体" w:cs="黑体"/>
          <w:highlight w:val="none"/>
        </w:rPr>
      </w:pPr>
      <w:r>
        <w:rPr>
          <w:rFonts w:hint="eastAsia" w:ascii="黑体" w:hAnsi="黑体" w:eastAsia="黑体" w:cs="黑体"/>
          <w:highlight w:val="none"/>
        </w:rPr>
        <w:t>工程量清单与计价表</w:t>
      </w:r>
      <w:bookmarkEnd w:id="73"/>
      <w:bookmarkEnd w:id="74"/>
      <w:r>
        <w:rPr>
          <w:rFonts w:hint="eastAsia" w:ascii="黑体" w:hAnsi="黑体" w:cs="黑体"/>
          <w:b/>
          <w:bCs w:val="0"/>
          <w:color w:val="000000"/>
          <w:kern w:val="2"/>
          <w:sz w:val="28"/>
          <w:szCs w:val="28"/>
          <w:highlight w:val="none"/>
          <w:lang w:val="en-US" w:eastAsia="zh-CN" w:bidi="ar-SA"/>
        </w:rPr>
        <w:t>（另附EXCEL）</w:t>
      </w:r>
    </w:p>
    <w:permEnd w:id="89"/>
    <w:p w14:paraId="10E10579">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bookmarkStart w:id="75" w:name="_Toc67"/>
    </w:p>
    <w:p w14:paraId="66089B33">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1777DE00">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77B214A0">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50235C79">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194357BA">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5449B961">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2BDDFDD1">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1A20C624">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525D9B62">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4885448B">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367EE256">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56C82C7F">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4159BD1E">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5C7BC7E3">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38E63AAE">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65771F01">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4655EFB8">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526CBB5D">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18F4E9B3">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
    <w:p w14:paraId="73846DDA">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ascii="黑体" w:hAnsi="黑体" w:eastAsia="黑体" w:cs="黑体"/>
          <w:color w:val="auto"/>
          <w:highlight w:val="none"/>
        </w:rPr>
      </w:pPr>
      <w:r>
        <w:rPr>
          <w:rFonts w:hint="eastAsia" w:ascii="黑体" w:hAnsi="黑体" w:eastAsia="黑体" w:cs="黑体"/>
          <w:b w:val="0"/>
          <w:bCs w:val="0"/>
          <w:color w:val="auto"/>
          <w:highlight w:val="none"/>
        </w:rPr>
        <w:t xml:space="preserve">附件2 </w:t>
      </w:r>
      <w:r>
        <w:rPr>
          <w:rFonts w:hint="eastAsia" w:ascii="黑体" w:hAnsi="黑体" w:eastAsia="黑体" w:cs="黑体"/>
          <w:color w:val="auto"/>
          <w:highlight w:val="none"/>
        </w:rPr>
        <w:t xml:space="preserve"> </w:t>
      </w:r>
    </w:p>
    <w:p w14:paraId="64548ECD">
      <w:pPr>
        <w:pStyle w:val="7"/>
        <w:spacing w:before="156" w:beforeLines="50" w:after="156" w:afterLines="50" w:line="480" w:lineRule="exact"/>
        <w:jc w:val="center"/>
        <w:rPr>
          <w:rFonts w:ascii="黑体" w:hAnsi="黑体" w:eastAsia="黑体" w:cs="黑体"/>
          <w:color w:val="auto"/>
          <w:highlight w:val="none"/>
        </w:rPr>
      </w:pPr>
      <w:r>
        <w:rPr>
          <w:rFonts w:hint="eastAsia" w:ascii="黑体" w:hAnsi="黑体" w:eastAsia="黑体" w:cs="黑体"/>
          <w:color w:val="auto"/>
          <w:highlight w:val="none"/>
        </w:rPr>
        <w:t>授 权 委 托 书（甲方）</w:t>
      </w:r>
      <w:bookmarkEnd w:id="75"/>
    </w:p>
    <w:p w14:paraId="75955684">
      <w:pPr>
        <w:spacing w:before="156" w:beforeLines="50" w:after="156" w:afterLines="50"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致：</w:t>
      </w:r>
      <w:permStart w:id="90" w:edGrp="everyone"/>
      <w:r>
        <w:rPr>
          <w:rFonts w:hint="eastAsia" w:ascii="仿宋_GB2312" w:eastAsia="仿宋_GB2312"/>
          <w:color w:val="auto"/>
          <w:sz w:val="28"/>
          <w:szCs w:val="28"/>
          <w:highlight w:val="none"/>
        </w:rPr>
        <w:t>【】</w:t>
      </w:r>
      <w:permEnd w:id="90"/>
    </w:p>
    <w:p w14:paraId="72918AF5">
      <w:pPr>
        <w:spacing w:before="156" w:beforeLines="50" w:after="156" w:afterLines="50" w:line="480" w:lineRule="exact"/>
        <w:ind w:firstLine="560" w:firstLineChars="200"/>
        <w:rPr>
          <w:rFonts w:ascii="仿宋_GB2312" w:hAnsi="仿宋" w:eastAsia="仿宋_GB2312" w:cs="仿宋"/>
          <w:sz w:val="28"/>
          <w:szCs w:val="28"/>
          <w:highlight w:val="none"/>
        </w:rPr>
      </w:pPr>
      <w:permStart w:id="91" w:edGrp="everyone"/>
      <w:r>
        <w:rPr>
          <w:rFonts w:hint="eastAsia" w:ascii="仿宋_GB2312" w:eastAsia="仿宋_GB2312"/>
          <w:color w:val="auto"/>
          <w:sz w:val="28"/>
          <w:szCs w:val="28"/>
          <w:highlight w:val="none"/>
        </w:rPr>
        <w:t>【】</w:t>
      </w:r>
      <w:permEnd w:id="91"/>
      <w:r>
        <w:rPr>
          <w:rFonts w:hint="eastAsia" w:ascii="仿宋_GB2312" w:eastAsia="仿宋_GB2312"/>
          <w:color w:val="auto"/>
          <w:sz w:val="28"/>
          <w:szCs w:val="28"/>
          <w:highlight w:val="none"/>
        </w:rPr>
        <w:t>(以下简称本公司)</w:t>
      </w:r>
      <w:r>
        <w:rPr>
          <w:rFonts w:ascii="仿宋_GB2312" w:eastAsia="仿宋_GB2312"/>
          <w:color w:val="auto"/>
          <w:sz w:val="28"/>
          <w:szCs w:val="28"/>
          <w:highlight w:val="none"/>
        </w:rPr>
        <w:t>,</w:t>
      </w:r>
      <w:r>
        <w:rPr>
          <w:rFonts w:hint="eastAsia" w:ascii="仿宋_GB2312" w:hAnsi="仿宋" w:eastAsia="仿宋_GB2312" w:cs="仿宋"/>
          <w:color w:val="auto"/>
          <w:sz w:val="28"/>
          <w:szCs w:val="28"/>
          <w:highlight w:val="none"/>
        </w:rPr>
        <w:t>系依法成立并有效存续的公司。现就本公司【</w:t>
      </w:r>
      <w:r>
        <w:rPr>
          <w:rFonts w:hint="eastAsia" w:ascii="仿宋_GB2312" w:hAnsi="仿宋" w:eastAsia="仿宋_GB2312" w:cs="仿宋"/>
          <w:sz w:val="28"/>
          <w:szCs w:val="28"/>
          <w:highlight w:val="none"/>
        </w:rPr>
        <w:t>】（以下简称该项目）签发授权书，项目部经理【】代表本公司就该项目相关事务行使权限：</w:t>
      </w:r>
    </w:p>
    <w:p w14:paraId="52B27E17">
      <w:pPr>
        <w:spacing w:before="156" w:beforeLines="50" w:after="156" w:afterLines="50" w:line="480" w:lineRule="exact"/>
        <w:ind w:firstLine="399" w:firstLineChars="142"/>
        <w:jc w:val="left"/>
        <w:rPr>
          <w:rFonts w:ascii="仿宋_GB2312" w:hAnsi="仿宋" w:eastAsia="仿宋_GB2312" w:cs="仿宋"/>
          <w:b/>
          <w:sz w:val="28"/>
          <w:szCs w:val="28"/>
          <w:highlight w:val="none"/>
        </w:rPr>
      </w:pPr>
      <w:r>
        <w:rPr>
          <w:rFonts w:hint="eastAsia" w:ascii="仿宋_GB2312" w:hAnsi="仿宋" w:eastAsia="仿宋_GB2312" w:cs="仿宋"/>
          <w:b/>
          <w:sz w:val="28"/>
          <w:szCs w:val="28"/>
          <w:highlight w:val="none"/>
        </w:rPr>
        <w:t>一、项目部有权行使以下权限：</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677"/>
        <w:gridCol w:w="1573"/>
        <w:gridCol w:w="5720"/>
      </w:tblGrid>
      <w:tr w14:paraId="247F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vAlign w:val="center"/>
          </w:tcPr>
          <w:p w14:paraId="7BBD88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kern w:val="0"/>
                <w:sz w:val="21"/>
                <w:szCs w:val="21"/>
                <w:highlight w:val="none"/>
                <w:lang w:val="en-US" w:eastAsia="zh-CN" w:bidi="ar-SA"/>
              </w:rPr>
            </w:pPr>
            <w:r>
              <w:rPr>
                <w:rFonts w:hint="eastAsia" w:ascii="仿宋_GB2312" w:hAnsi="仿宋_GB2312" w:eastAsia="仿宋_GB2312" w:cs="仿宋_GB2312"/>
                <w:b/>
                <w:kern w:val="0"/>
                <w:sz w:val="21"/>
                <w:szCs w:val="21"/>
                <w:highlight w:val="none"/>
                <w:lang w:val="en-US" w:eastAsia="zh-CN" w:bidi="ar-SA"/>
              </w:rPr>
              <w:t>序号</w:t>
            </w:r>
          </w:p>
        </w:tc>
        <w:tc>
          <w:tcPr>
            <w:tcW w:w="677" w:type="dxa"/>
            <w:vAlign w:val="center"/>
          </w:tcPr>
          <w:p w14:paraId="35C4BF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kern w:val="0"/>
                <w:sz w:val="21"/>
                <w:szCs w:val="21"/>
                <w:highlight w:val="none"/>
                <w:lang w:val="en-US" w:eastAsia="zh-CN" w:bidi="ar-SA"/>
              </w:rPr>
            </w:pPr>
            <w:r>
              <w:rPr>
                <w:rFonts w:hint="eastAsia" w:ascii="仿宋_GB2312" w:hAnsi="仿宋_GB2312" w:eastAsia="仿宋_GB2312" w:cs="仿宋_GB2312"/>
                <w:b/>
                <w:kern w:val="0"/>
                <w:sz w:val="21"/>
                <w:szCs w:val="21"/>
                <w:highlight w:val="none"/>
                <w:lang w:val="en-US" w:eastAsia="zh-CN" w:bidi="ar-SA"/>
              </w:rPr>
              <w:t>板块</w:t>
            </w:r>
          </w:p>
        </w:tc>
        <w:tc>
          <w:tcPr>
            <w:tcW w:w="1573" w:type="dxa"/>
            <w:vAlign w:val="center"/>
          </w:tcPr>
          <w:p w14:paraId="45842D8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kern w:val="0"/>
                <w:sz w:val="21"/>
                <w:szCs w:val="21"/>
                <w:highlight w:val="none"/>
                <w:lang w:val="en-US" w:eastAsia="zh-CN" w:bidi="ar-SA"/>
              </w:rPr>
            </w:pPr>
            <w:r>
              <w:rPr>
                <w:rFonts w:hint="eastAsia" w:ascii="仿宋_GB2312" w:hAnsi="仿宋_GB2312" w:eastAsia="仿宋_GB2312" w:cs="仿宋_GB2312"/>
                <w:b/>
                <w:kern w:val="0"/>
                <w:sz w:val="21"/>
                <w:szCs w:val="21"/>
                <w:highlight w:val="none"/>
                <w:lang w:val="en-US" w:eastAsia="zh-CN" w:bidi="ar-SA"/>
              </w:rPr>
              <w:t>授权事项</w:t>
            </w:r>
          </w:p>
        </w:tc>
        <w:tc>
          <w:tcPr>
            <w:tcW w:w="5720" w:type="dxa"/>
            <w:vAlign w:val="center"/>
          </w:tcPr>
          <w:p w14:paraId="51EB72F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kern w:val="0"/>
                <w:sz w:val="21"/>
                <w:szCs w:val="21"/>
                <w:highlight w:val="none"/>
                <w:lang w:val="en-US" w:eastAsia="zh-CN" w:bidi="ar-SA"/>
              </w:rPr>
            </w:pPr>
            <w:r>
              <w:rPr>
                <w:rFonts w:hint="eastAsia" w:ascii="仿宋_GB2312" w:hAnsi="仿宋_GB2312" w:eastAsia="仿宋_GB2312" w:cs="仿宋_GB2312"/>
                <w:b/>
                <w:kern w:val="0"/>
                <w:sz w:val="21"/>
                <w:szCs w:val="21"/>
                <w:highlight w:val="none"/>
                <w:lang w:val="en-US" w:eastAsia="zh-CN" w:bidi="ar-SA"/>
              </w:rPr>
              <w:t>授权权限</w:t>
            </w:r>
          </w:p>
        </w:tc>
      </w:tr>
      <w:tr w14:paraId="104C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vAlign w:val="center"/>
          </w:tcPr>
          <w:p w14:paraId="54C797E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16</w:t>
            </w:r>
          </w:p>
        </w:tc>
        <w:tc>
          <w:tcPr>
            <w:tcW w:w="677" w:type="dxa"/>
            <w:vMerge w:val="restart"/>
            <w:vAlign w:val="center"/>
          </w:tcPr>
          <w:p w14:paraId="7CB1F99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分包(供)管理</w:t>
            </w:r>
          </w:p>
        </w:tc>
        <w:tc>
          <w:tcPr>
            <w:tcW w:w="1573" w:type="dxa"/>
            <w:vAlign w:val="center"/>
          </w:tcPr>
          <w:p w14:paraId="5D0D185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分包（供）合同管理</w:t>
            </w:r>
          </w:p>
        </w:tc>
        <w:tc>
          <w:tcPr>
            <w:tcW w:w="5720" w:type="dxa"/>
            <w:vAlign w:val="center"/>
          </w:tcPr>
          <w:p w14:paraId="5D87F03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有权根据公司/分公司授权范围进行谈判，均需报分公司/公司审批签约。</w:t>
            </w:r>
          </w:p>
        </w:tc>
      </w:tr>
      <w:tr w14:paraId="77A0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2" w:type="dxa"/>
            <w:vAlign w:val="center"/>
          </w:tcPr>
          <w:p w14:paraId="6A22F32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17</w:t>
            </w:r>
          </w:p>
        </w:tc>
        <w:tc>
          <w:tcPr>
            <w:tcW w:w="677" w:type="dxa"/>
            <w:vMerge w:val="continue"/>
            <w:vAlign w:val="center"/>
          </w:tcPr>
          <w:p w14:paraId="69540F9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3425F31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分包（供）合同签证管理</w:t>
            </w:r>
          </w:p>
        </w:tc>
        <w:tc>
          <w:tcPr>
            <w:tcW w:w="5720" w:type="dxa"/>
            <w:vAlign w:val="center"/>
          </w:tcPr>
          <w:p w14:paraId="01F7346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分包（供）合同签证接收与初审(单项签证索赔金额在3万元以内，总金额在15万元以内的以项目部为主洽商，结果需报公司/分公司审核，审核后方可作为结算依据；超过需由公司/分公司牵头与项目部共同洽商）。</w:t>
            </w:r>
          </w:p>
        </w:tc>
      </w:tr>
      <w:tr w14:paraId="7B0A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vAlign w:val="center"/>
          </w:tcPr>
          <w:p w14:paraId="2771A56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18</w:t>
            </w:r>
          </w:p>
        </w:tc>
        <w:tc>
          <w:tcPr>
            <w:tcW w:w="677" w:type="dxa"/>
            <w:vMerge w:val="continue"/>
            <w:vAlign w:val="center"/>
          </w:tcPr>
          <w:p w14:paraId="4E67CB1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047A6CA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分包劳务工人进退场</w:t>
            </w:r>
          </w:p>
        </w:tc>
        <w:tc>
          <w:tcPr>
            <w:tcW w:w="5720" w:type="dxa"/>
            <w:vAlign w:val="center"/>
          </w:tcPr>
          <w:p w14:paraId="7688995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有权确认劳务分包工人进退场。</w:t>
            </w:r>
          </w:p>
        </w:tc>
      </w:tr>
      <w:tr w14:paraId="3FFD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vAlign w:val="center"/>
          </w:tcPr>
          <w:p w14:paraId="053A0D8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19</w:t>
            </w:r>
          </w:p>
        </w:tc>
        <w:tc>
          <w:tcPr>
            <w:tcW w:w="677" w:type="dxa"/>
            <w:vMerge w:val="continue"/>
            <w:vAlign w:val="center"/>
          </w:tcPr>
          <w:p w14:paraId="36893F5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4D9C0B5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劳动力分配计划</w:t>
            </w:r>
          </w:p>
        </w:tc>
        <w:tc>
          <w:tcPr>
            <w:tcW w:w="5720" w:type="dxa"/>
            <w:vAlign w:val="center"/>
          </w:tcPr>
          <w:p w14:paraId="2A24FF5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有权要求分包方按要求配置劳动力。</w:t>
            </w:r>
          </w:p>
        </w:tc>
      </w:tr>
      <w:tr w14:paraId="55B6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vAlign w:val="center"/>
          </w:tcPr>
          <w:p w14:paraId="19D9CC8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20</w:t>
            </w:r>
          </w:p>
        </w:tc>
        <w:tc>
          <w:tcPr>
            <w:tcW w:w="677" w:type="dxa"/>
            <w:vMerge w:val="continue"/>
            <w:vAlign w:val="center"/>
          </w:tcPr>
          <w:p w14:paraId="380F430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2860278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现场零星工程指令</w:t>
            </w:r>
          </w:p>
        </w:tc>
        <w:tc>
          <w:tcPr>
            <w:tcW w:w="5720" w:type="dxa"/>
            <w:vAlign w:val="center"/>
          </w:tcPr>
          <w:p w14:paraId="5C8001B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有权根据需要向分供方签发现场零星工程指令（金额在5万元以内）。</w:t>
            </w:r>
          </w:p>
        </w:tc>
      </w:tr>
      <w:tr w14:paraId="2E4A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552" w:type="dxa"/>
            <w:vMerge w:val="restart"/>
            <w:vAlign w:val="center"/>
          </w:tcPr>
          <w:p w14:paraId="2F27556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21</w:t>
            </w:r>
          </w:p>
        </w:tc>
        <w:tc>
          <w:tcPr>
            <w:tcW w:w="677" w:type="dxa"/>
            <w:vMerge w:val="continue"/>
            <w:vAlign w:val="center"/>
          </w:tcPr>
          <w:p w14:paraId="12A4B92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Merge w:val="restart"/>
            <w:vAlign w:val="center"/>
          </w:tcPr>
          <w:p w14:paraId="4310C96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紧急采购、零星物资采购</w:t>
            </w:r>
          </w:p>
        </w:tc>
        <w:tc>
          <w:tcPr>
            <w:tcW w:w="5720" w:type="dxa"/>
            <w:vAlign w:val="center"/>
          </w:tcPr>
          <w:p w14:paraId="78C9CD3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零星采购：公司权限内，材料类单项采购金额低于10万元，周转料具类单项租赁金额低于5万元，设备类单项采购金额低于5万元。</w:t>
            </w:r>
          </w:p>
        </w:tc>
      </w:tr>
      <w:tr w14:paraId="7CA4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2" w:type="dxa"/>
            <w:vMerge w:val="continue"/>
            <w:vAlign w:val="center"/>
          </w:tcPr>
          <w:p w14:paraId="0B918B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p>
        </w:tc>
        <w:tc>
          <w:tcPr>
            <w:tcW w:w="677" w:type="dxa"/>
            <w:vMerge w:val="continue"/>
            <w:vAlign w:val="center"/>
          </w:tcPr>
          <w:p w14:paraId="615D322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Merge w:val="continue"/>
            <w:vAlign w:val="center"/>
          </w:tcPr>
          <w:p w14:paraId="58972B6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5720" w:type="dxa"/>
            <w:vAlign w:val="center"/>
          </w:tcPr>
          <w:p w14:paraId="3397CA3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紧急采购：报公司审核后，项目实施采购。</w:t>
            </w:r>
          </w:p>
        </w:tc>
      </w:tr>
      <w:tr w14:paraId="003D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2" w:type="dxa"/>
            <w:vAlign w:val="center"/>
          </w:tcPr>
          <w:p w14:paraId="748AEB5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22</w:t>
            </w:r>
          </w:p>
        </w:tc>
        <w:tc>
          <w:tcPr>
            <w:tcW w:w="677" w:type="dxa"/>
            <w:vMerge w:val="continue"/>
            <w:vAlign w:val="center"/>
          </w:tcPr>
          <w:p w14:paraId="5F77A72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404D088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材料、料具、设备进退场</w:t>
            </w:r>
          </w:p>
        </w:tc>
        <w:tc>
          <w:tcPr>
            <w:tcW w:w="5720" w:type="dxa"/>
            <w:vAlign w:val="center"/>
          </w:tcPr>
          <w:p w14:paraId="450A3F8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有权向分供方发送物资进退场通知单；有权确认材料、料具、设备及退货材料的进退场单据。</w:t>
            </w:r>
          </w:p>
        </w:tc>
      </w:tr>
      <w:tr w14:paraId="0164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vAlign w:val="center"/>
          </w:tcPr>
          <w:p w14:paraId="6FD5F19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23</w:t>
            </w:r>
          </w:p>
        </w:tc>
        <w:tc>
          <w:tcPr>
            <w:tcW w:w="677" w:type="dxa"/>
            <w:vMerge w:val="continue"/>
            <w:vAlign w:val="center"/>
          </w:tcPr>
          <w:p w14:paraId="52D5096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4AEAFBE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物资发放</w:t>
            </w:r>
          </w:p>
        </w:tc>
        <w:tc>
          <w:tcPr>
            <w:tcW w:w="5720" w:type="dxa"/>
            <w:vAlign w:val="center"/>
          </w:tcPr>
          <w:p w14:paraId="020A94E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有权确认有关物资发放的领料单、退货单、混凝土浇灌申请表（不含调拨单）。</w:t>
            </w:r>
          </w:p>
        </w:tc>
      </w:tr>
      <w:tr w14:paraId="588C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52" w:type="dxa"/>
            <w:vAlign w:val="center"/>
          </w:tcPr>
          <w:p w14:paraId="3EA7D0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24</w:t>
            </w:r>
          </w:p>
        </w:tc>
        <w:tc>
          <w:tcPr>
            <w:tcW w:w="677" w:type="dxa"/>
            <w:vMerge w:val="continue"/>
            <w:vAlign w:val="center"/>
          </w:tcPr>
          <w:p w14:paraId="6006195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454C4FA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履约整改通知</w:t>
            </w:r>
          </w:p>
        </w:tc>
        <w:tc>
          <w:tcPr>
            <w:tcW w:w="5720" w:type="dxa"/>
            <w:vAlign w:val="center"/>
          </w:tcPr>
          <w:p w14:paraId="17D4190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对分包分供方工程项目的履约情况进行监控和核查，发现问题后，有权通知要求分包分供方进行整改。</w:t>
            </w:r>
          </w:p>
        </w:tc>
      </w:tr>
      <w:tr w14:paraId="5D78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vAlign w:val="center"/>
          </w:tcPr>
          <w:p w14:paraId="30195CC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25</w:t>
            </w:r>
          </w:p>
        </w:tc>
        <w:tc>
          <w:tcPr>
            <w:tcW w:w="677" w:type="dxa"/>
            <w:vMerge w:val="continue"/>
            <w:vAlign w:val="center"/>
          </w:tcPr>
          <w:p w14:paraId="3F63176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5761316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分包分供方处罚</w:t>
            </w:r>
          </w:p>
        </w:tc>
        <w:tc>
          <w:tcPr>
            <w:tcW w:w="5720" w:type="dxa"/>
            <w:vAlign w:val="center"/>
          </w:tcPr>
          <w:p w14:paraId="0054CA9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有权根据合同约定对不服从管理或违约的分包分供方作出处罚的决定。</w:t>
            </w:r>
          </w:p>
        </w:tc>
      </w:tr>
      <w:tr w14:paraId="44A5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52" w:type="dxa"/>
            <w:vAlign w:val="center"/>
          </w:tcPr>
          <w:p w14:paraId="6F2A0C2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26</w:t>
            </w:r>
          </w:p>
        </w:tc>
        <w:tc>
          <w:tcPr>
            <w:tcW w:w="677" w:type="dxa"/>
            <w:vMerge w:val="continue"/>
            <w:vAlign w:val="center"/>
          </w:tcPr>
          <w:p w14:paraId="0FB24B3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072B445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分包分供方结算扣款</w:t>
            </w:r>
          </w:p>
        </w:tc>
        <w:tc>
          <w:tcPr>
            <w:tcW w:w="5720" w:type="dxa"/>
            <w:vAlign w:val="center"/>
          </w:tcPr>
          <w:p w14:paraId="20DFE2E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有权在中间结算和最终结算时扣除分包分供方应扣款项（包括但不限于委托采购材料扣款、料具、机械租赁费扣款、项目现场管理费用扣款、临建费、维修费扣款、规费分摊扣款、水电费、罚款及税金扣款等）。</w:t>
            </w:r>
          </w:p>
        </w:tc>
      </w:tr>
      <w:tr w14:paraId="3CD1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vAlign w:val="center"/>
          </w:tcPr>
          <w:p w14:paraId="578151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27</w:t>
            </w:r>
          </w:p>
        </w:tc>
        <w:tc>
          <w:tcPr>
            <w:tcW w:w="677" w:type="dxa"/>
            <w:vMerge w:val="restart"/>
            <w:vAlign w:val="center"/>
          </w:tcPr>
          <w:p w14:paraId="4ADC78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安全管理</w:t>
            </w:r>
          </w:p>
        </w:tc>
        <w:tc>
          <w:tcPr>
            <w:tcW w:w="1573" w:type="dxa"/>
            <w:vAlign w:val="center"/>
          </w:tcPr>
          <w:p w14:paraId="007EEB8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事故现场秩序维护</w:t>
            </w:r>
          </w:p>
        </w:tc>
        <w:tc>
          <w:tcPr>
            <w:tcW w:w="5720" w:type="dxa"/>
            <w:vAlign w:val="center"/>
          </w:tcPr>
          <w:p w14:paraId="6E8BBA0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有权维护安全事故现场秩序。涉及赔偿的，赔偿数额确定需经分公司审批（不含安全事故责任认定及赔偿）。</w:t>
            </w:r>
          </w:p>
        </w:tc>
      </w:tr>
      <w:tr w14:paraId="52C4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vAlign w:val="center"/>
          </w:tcPr>
          <w:p w14:paraId="2E0A4FE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28</w:t>
            </w:r>
          </w:p>
        </w:tc>
        <w:tc>
          <w:tcPr>
            <w:tcW w:w="677" w:type="dxa"/>
            <w:vMerge w:val="continue"/>
            <w:vAlign w:val="center"/>
          </w:tcPr>
          <w:p w14:paraId="116C999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7CFBB48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安全事故处理方案</w:t>
            </w:r>
          </w:p>
        </w:tc>
        <w:tc>
          <w:tcPr>
            <w:tcW w:w="5720" w:type="dxa"/>
            <w:vAlign w:val="center"/>
          </w:tcPr>
          <w:p w14:paraId="6DAC6CA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发生安全事故后，有权启动应急预案。</w:t>
            </w:r>
          </w:p>
        </w:tc>
      </w:tr>
      <w:tr w14:paraId="636B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2" w:type="dxa"/>
            <w:vAlign w:val="center"/>
          </w:tcPr>
          <w:p w14:paraId="629BC3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29</w:t>
            </w:r>
          </w:p>
        </w:tc>
        <w:tc>
          <w:tcPr>
            <w:tcW w:w="677" w:type="dxa"/>
            <w:vMerge w:val="restart"/>
            <w:vAlign w:val="center"/>
          </w:tcPr>
          <w:p w14:paraId="61F126D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质量管理</w:t>
            </w:r>
          </w:p>
        </w:tc>
        <w:tc>
          <w:tcPr>
            <w:tcW w:w="1573" w:type="dxa"/>
            <w:vAlign w:val="center"/>
          </w:tcPr>
          <w:p w14:paraId="7392F37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质量验收</w:t>
            </w:r>
          </w:p>
        </w:tc>
        <w:tc>
          <w:tcPr>
            <w:tcW w:w="5720" w:type="dxa"/>
            <w:vAlign w:val="center"/>
          </w:tcPr>
          <w:p w14:paraId="07D43CF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有权组织实施质量验收工作。</w:t>
            </w:r>
          </w:p>
        </w:tc>
      </w:tr>
      <w:tr w14:paraId="7AA0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vAlign w:val="center"/>
          </w:tcPr>
          <w:p w14:paraId="29576A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30</w:t>
            </w:r>
          </w:p>
        </w:tc>
        <w:tc>
          <w:tcPr>
            <w:tcW w:w="677" w:type="dxa"/>
            <w:vMerge w:val="continue"/>
            <w:vAlign w:val="center"/>
          </w:tcPr>
          <w:p w14:paraId="258711E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21E2D20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质量事故应急措施</w:t>
            </w:r>
          </w:p>
        </w:tc>
        <w:tc>
          <w:tcPr>
            <w:tcW w:w="5720" w:type="dxa"/>
            <w:vAlign w:val="center"/>
          </w:tcPr>
          <w:p w14:paraId="75ABD2B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质量事故发生后，有权立即采取措施防止事故扩大（1小时内上报分公司）。</w:t>
            </w:r>
          </w:p>
        </w:tc>
      </w:tr>
      <w:tr w14:paraId="0273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vAlign w:val="center"/>
          </w:tcPr>
          <w:p w14:paraId="18F2C8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31</w:t>
            </w:r>
          </w:p>
        </w:tc>
        <w:tc>
          <w:tcPr>
            <w:tcW w:w="677" w:type="dxa"/>
            <w:vMerge w:val="continue"/>
            <w:vAlign w:val="center"/>
          </w:tcPr>
          <w:p w14:paraId="1253A96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2D7959C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质量事故处理方案</w:t>
            </w:r>
          </w:p>
        </w:tc>
        <w:tc>
          <w:tcPr>
            <w:tcW w:w="5720" w:type="dxa"/>
            <w:vAlign w:val="center"/>
          </w:tcPr>
          <w:p w14:paraId="6871389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有权按照公司、分公司制定质量事故处理方案处理事故相关事宜。</w:t>
            </w:r>
          </w:p>
        </w:tc>
      </w:tr>
      <w:tr w14:paraId="1B17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vAlign w:val="center"/>
          </w:tcPr>
          <w:p w14:paraId="7C09B23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32</w:t>
            </w:r>
          </w:p>
        </w:tc>
        <w:tc>
          <w:tcPr>
            <w:tcW w:w="677" w:type="dxa"/>
            <w:vAlign w:val="center"/>
          </w:tcPr>
          <w:p w14:paraId="0672527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环境管理</w:t>
            </w:r>
          </w:p>
        </w:tc>
        <w:tc>
          <w:tcPr>
            <w:tcW w:w="1573" w:type="dxa"/>
            <w:vAlign w:val="center"/>
          </w:tcPr>
          <w:p w14:paraId="2C0FF15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环境污染事故应急措施</w:t>
            </w:r>
          </w:p>
        </w:tc>
        <w:tc>
          <w:tcPr>
            <w:tcW w:w="5720" w:type="dxa"/>
            <w:vAlign w:val="center"/>
          </w:tcPr>
          <w:p w14:paraId="0030602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环境污染事故发生后，有权立即采取措施防止事故扩大（1小时内上报分公司）。</w:t>
            </w:r>
          </w:p>
        </w:tc>
      </w:tr>
      <w:tr w14:paraId="7EF7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vAlign w:val="center"/>
          </w:tcPr>
          <w:p w14:paraId="48E894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33</w:t>
            </w:r>
          </w:p>
        </w:tc>
        <w:tc>
          <w:tcPr>
            <w:tcW w:w="677" w:type="dxa"/>
            <w:vMerge w:val="restart"/>
            <w:vAlign w:val="center"/>
          </w:tcPr>
          <w:p w14:paraId="0778887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维保管理</w:t>
            </w:r>
          </w:p>
        </w:tc>
        <w:tc>
          <w:tcPr>
            <w:tcW w:w="1573" w:type="dxa"/>
            <w:vAlign w:val="center"/>
          </w:tcPr>
          <w:p w14:paraId="1D9EF70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维修整改通知</w:t>
            </w:r>
          </w:p>
        </w:tc>
        <w:tc>
          <w:tcPr>
            <w:tcW w:w="5720" w:type="dxa"/>
            <w:vAlign w:val="center"/>
          </w:tcPr>
          <w:p w14:paraId="5703484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有权向分包分供方发送维修整改通知。</w:t>
            </w:r>
          </w:p>
        </w:tc>
      </w:tr>
      <w:tr w14:paraId="2029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vAlign w:val="center"/>
          </w:tcPr>
          <w:p w14:paraId="0DB0078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34</w:t>
            </w:r>
          </w:p>
        </w:tc>
        <w:tc>
          <w:tcPr>
            <w:tcW w:w="677" w:type="dxa"/>
            <w:vMerge w:val="continue"/>
            <w:vAlign w:val="center"/>
          </w:tcPr>
          <w:p w14:paraId="111F2DE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5CAD852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协商维修方案</w:t>
            </w:r>
          </w:p>
        </w:tc>
        <w:tc>
          <w:tcPr>
            <w:tcW w:w="5720" w:type="dxa"/>
            <w:vAlign w:val="center"/>
          </w:tcPr>
          <w:p w14:paraId="2848D7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对存在的质量问题有权与建设单位协商维修方案。</w:t>
            </w:r>
          </w:p>
        </w:tc>
      </w:tr>
      <w:tr w14:paraId="5F02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vAlign w:val="center"/>
          </w:tcPr>
          <w:p w14:paraId="22DDEC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35</w:t>
            </w:r>
          </w:p>
        </w:tc>
        <w:tc>
          <w:tcPr>
            <w:tcW w:w="677" w:type="dxa"/>
            <w:vMerge w:val="continue"/>
            <w:vAlign w:val="center"/>
          </w:tcPr>
          <w:p w14:paraId="6386905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760A97D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组织维修</w:t>
            </w:r>
          </w:p>
        </w:tc>
        <w:tc>
          <w:tcPr>
            <w:tcW w:w="5720" w:type="dxa"/>
            <w:vAlign w:val="center"/>
          </w:tcPr>
          <w:p w14:paraId="3A0CD72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有权向建设单位报送维修登记单、维修任务书。</w:t>
            </w:r>
          </w:p>
        </w:tc>
      </w:tr>
      <w:tr w14:paraId="6ECE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vAlign w:val="center"/>
          </w:tcPr>
          <w:p w14:paraId="764025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36</w:t>
            </w:r>
          </w:p>
        </w:tc>
        <w:tc>
          <w:tcPr>
            <w:tcW w:w="677" w:type="dxa"/>
            <w:vMerge w:val="continue"/>
            <w:vAlign w:val="center"/>
          </w:tcPr>
          <w:p w14:paraId="56CB9C9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44F49C9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维修验收</w:t>
            </w:r>
          </w:p>
        </w:tc>
        <w:tc>
          <w:tcPr>
            <w:tcW w:w="5720" w:type="dxa"/>
            <w:vAlign w:val="center"/>
          </w:tcPr>
          <w:p w14:paraId="305C3C6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有权组织建设单位对保修工作进行验收、有权组织对分包分供的维修验收。</w:t>
            </w:r>
          </w:p>
        </w:tc>
      </w:tr>
      <w:tr w14:paraId="212D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52" w:type="dxa"/>
            <w:vMerge w:val="restart"/>
            <w:vAlign w:val="center"/>
          </w:tcPr>
          <w:p w14:paraId="537836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37</w:t>
            </w:r>
          </w:p>
        </w:tc>
        <w:tc>
          <w:tcPr>
            <w:tcW w:w="677" w:type="dxa"/>
            <w:vMerge w:val="restart"/>
            <w:vAlign w:val="center"/>
          </w:tcPr>
          <w:p w14:paraId="4AB4F83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催收清欠</w:t>
            </w:r>
          </w:p>
        </w:tc>
        <w:tc>
          <w:tcPr>
            <w:tcW w:w="1573" w:type="dxa"/>
            <w:vAlign w:val="center"/>
          </w:tcPr>
          <w:p w14:paraId="3CDC286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质保金到期催付</w:t>
            </w:r>
          </w:p>
        </w:tc>
        <w:tc>
          <w:tcPr>
            <w:tcW w:w="5720" w:type="dxa"/>
            <w:vAlign w:val="center"/>
          </w:tcPr>
          <w:p w14:paraId="38EC1E6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有权向建设单位发《保修期满通知书》。</w:t>
            </w:r>
          </w:p>
        </w:tc>
      </w:tr>
      <w:tr w14:paraId="505A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52" w:type="dxa"/>
            <w:vMerge w:val="continue"/>
            <w:vAlign w:val="center"/>
          </w:tcPr>
          <w:p w14:paraId="3F2BE4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p>
        </w:tc>
        <w:tc>
          <w:tcPr>
            <w:tcW w:w="677" w:type="dxa"/>
            <w:vMerge w:val="continue"/>
            <w:vAlign w:val="center"/>
          </w:tcPr>
          <w:p w14:paraId="11C4D28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p>
        </w:tc>
        <w:tc>
          <w:tcPr>
            <w:tcW w:w="1573" w:type="dxa"/>
            <w:vAlign w:val="center"/>
          </w:tcPr>
          <w:p w14:paraId="27E5EE4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其他到期应付款催付</w:t>
            </w:r>
          </w:p>
        </w:tc>
        <w:tc>
          <w:tcPr>
            <w:tcW w:w="5720" w:type="dxa"/>
            <w:vAlign w:val="center"/>
          </w:tcPr>
          <w:p w14:paraId="273A705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有权向建设单位发催款函。</w:t>
            </w:r>
          </w:p>
        </w:tc>
      </w:tr>
      <w:tr w14:paraId="016A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vAlign w:val="center"/>
          </w:tcPr>
          <w:p w14:paraId="278F215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38</w:t>
            </w:r>
          </w:p>
        </w:tc>
        <w:tc>
          <w:tcPr>
            <w:tcW w:w="677" w:type="dxa"/>
            <w:vAlign w:val="center"/>
          </w:tcPr>
          <w:p w14:paraId="70424F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往来函件</w:t>
            </w:r>
          </w:p>
        </w:tc>
        <w:tc>
          <w:tcPr>
            <w:tcW w:w="1573" w:type="dxa"/>
            <w:vAlign w:val="center"/>
          </w:tcPr>
          <w:p w14:paraId="04AACB6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工程往来函件</w:t>
            </w:r>
          </w:p>
        </w:tc>
        <w:tc>
          <w:tcPr>
            <w:tcW w:w="5720" w:type="dxa"/>
            <w:vAlign w:val="center"/>
          </w:tcPr>
          <w:p w14:paraId="437265E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有权报送或接收项目工程联系函（如图纸会审、技术核定、设计变更通知等）。</w:t>
            </w:r>
          </w:p>
        </w:tc>
      </w:tr>
    </w:tbl>
    <w:p w14:paraId="6AA8D016">
      <w:pPr>
        <w:spacing w:line="520" w:lineRule="exact"/>
        <w:ind w:firstLine="342" w:firstLineChars="142"/>
        <w:jc w:val="left"/>
        <w:rPr>
          <w:rFonts w:ascii="仿宋" w:hAnsi="仿宋" w:eastAsia="仿宋" w:cs="仿宋"/>
          <w:b/>
          <w:sz w:val="24"/>
          <w:highlight w:val="none"/>
        </w:rPr>
      </w:pPr>
      <w:r>
        <w:rPr>
          <w:rFonts w:hint="eastAsia" w:ascii="仿宋" w:hAnsi="仿宋" w:eastAsia="仿宋" w:cs="仿宋"/>
          <w:b/>
          <w:sz w:val="24"/>
          <w:highlight w:val="none"/>
        </w:rPr>
        <w:t>二、项目部无权决定或审批以下事项：</w:t>
      </w:r>
    </w:p>
    <w:tbl>
      <w:tblPr>
        <w:tblStyle w:val="33"/>
        <w:tblW w:w="8364" w:type="dxa"/>
        <w:tblInd w:w="108" w:type="dxa"/>
        <w:tblLayout w:type="fixed"/>
        <w:tblCellMar>
          <w:top w:w="0" w:type="dxa"/>
          <w:left w:w="108" w:type="dxa"/>
          <w:bottom w:w="0" w:type="dxa"/>
          <w:right w:w="108" w:type="dxa"/>
        </w:tblCellMar>
      </w:tblPr>
      <w:tblGrid>
        <w:gridCol w:w="709"/>
        <w:gridCol w:w="7655"/>
      </w:tblGrid>
      <w:tr w14:paraId="37565857">
        <w:tblPrEx>
          <w:tblCellMar>
            <w:top w:w="0" w:type="dxa"/>
            <w:left w:w="108" w:type="dxa"/>
            <w:bottom w:w="0" w:type="dxa"/>
            <w:right w:w="108" w:type="dxa"/>
          </w:tblCellMar>
        </w:tblPrEx>
        <w:trPr>
          <w:trHeight w:val="586" w:hRule="atLeast"/>
        </w:trPr>
        <w:tc>
          <w:tcPr>
            <w:tcW w:w="709" w:type="dxa"/>
            <w:tcBorders>
              <w:top w:val="single" w:color="auto" w:sz="4" w:space="0"/>
              <w:left w:val="single" w:color="auto" w:sz="4" w:space="0"/>
              <w:bottom w:val="single" w:color="auto" w:sz="4" w:space="0"/>
              <w:right w:val="single" w:color="auto" w:sz="4" w:space="0"/>
            </w:tcBorders>
            <w:vAlign w:val="center"/>
          </w:tcPr>
          <w:p w14:paraId="517A11A7">
            <w:pPr>
              <w:widowControl/>
              <w:jc w:val="center"/>
              <w:rPr>
                <w:rFonts w:ascii="仿宋_GB2312" w:hAnsi="仿宋_GB2312" w:eastAsia="仿宋_GB2312" w:cs="仿宋_GB2312"/>
                <w:b/>
                <w:bCs/>
                <w:kern w:val="0"/>
                <w:sz w:val="21"/>
                <w:szCs w:val="21"/>
                <w:highlight w:val="none"/>
                <w:lang w:val="en-US" w:eastAsia="zh-CN" w:bidi="ar-SA"/>
              </w:rPr>
            </w:pPr>
            <w:r>
              <w:rPr>
                <w:rFonts w:hint="eastAsia" w:ascii="仿宋_GB2312" w:hAnsi="仿宋_GB2312" w:eastAsia="仿宋_GB2312" w:cs="仿宋_GB2312"/>
                <w:b/>
                <w:bCs/>
                <w:kern w:val="0"/>
                <w:sz w:val="21"/>
                <w:szCs w:val="21"/>
                <w:highlight w:val="none"/>
                <w:lang w:val="en-US" w:eastAsia="zh-CN" w:bidi="ar-SA"/>
              </w:rPr>
              <w:t>序号</w:t>
            </w:r>
          </w:p>
        </w:tc>
        <w:tc>
          <w:tcPr>
            <w:tcW w:w="7655" w:type="dxa"/>
            <w:tcBorders>
              <w:top w:val="single" w:color="auto" w:sz="4" w:space="0"/>
              <w:left w:val="nil"/>
              <w:bottom w:val="single" w:color="auto" w:sz="4" w:space="0"/>
              <w:right w:val="single" w:color="auto" w:sz="4" w:space="0"/>
            </w:tcBorders>
            <w:vAlign w:val="center"/>
          </w:tcPr>
          <w:p w14:paraId="10A6A254">
            <w:pPr>
              <w:widowControl/>
              <w:jc w:val="center"/>
              <w:rPr>
                <w:rFonts w:ascii="仿宋_GB2312" w:hAnsi="仿宋_GB2312" w:eastAsia="仿宋_GB2312" w:cs="仿宋_GB2312"/>
                <w:b/>
                <w:bCs/>
                <w:kern w:val="0"/>
                <w:sz w:val="21"/>
                <w:szCs w:val="21"/>
                <w:highlight w:val="none"/>
                <w:lang w:val="en-US" w:eastAsia="zh-CN" w:bidi="ar-SA"/>
              </w:rPr>
            </w:pPr>
            <w:r>
              <w:rPr>
                <w:rFonts w:hint="eastAsia" w:ascii="仿宋_GB2312" w:hAnsi="仿宋_GB2312" w:eastAsia="仿宋_GB2312" w:cs="仿宋_GB2312"/>
                <w:b/>
                <w:bCs/>
                <w:kern w:val="0"/>
                <w:sz w:val="21"/>
                <w:szCs w:val="21"/>
                <w:highlight w:val="none"/>
                <w:lang w:val="en-US" w:eastAsia="zh-CN" w:bidi="ar-SA"/>
              </w:rPr>
              <w:t>禁 止 事 项</w:t>
            </w:r>
          </w:p>
        </w:tc>
      </w:tr>
      <w:tr w14:paraId="7F34625F">
        <w:tblPrEx>
          <w:tblCellMar>
            <w:top w:w="0" w:type="dxa"/>
            <w:left w:w="108" w:type="dxa"/>
            <w:bottom w:w="0" w:type="dxa"/>
            <w:right w:w="108" w:type="dxa"/>
          </w:tblCellMar>
        </w:tblPrEx>
        <w:trPr>
          <w:trHeight w:val="1140" w:hRule="atLeast"/>
        </w:trPr>
        <w:tc>
          <w:tcPr>
            <w:tcW w:w="709" w:type="dxa"/>
            <w:tcBorders>
              <w:top w:val="nil"/>
              <w:left w:val="single" w:color="auto" w:sz="4" w:space="0"/>
              <w:bottom w:val="single" w:color="auto" w:sz="4" w:space="0"/>
              <w:right w:val="single" w:color="auto" w:sz="4" w:space="0"/>
            </w:tcBorders>
            <w:vAlign w:val="center"/>
          </w:tcPr>
          <w:p w14:paraId="5E004946">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w:t>
            </w:r>
          </w:p>
        </w:tc>
        <w:tc>
          <w:tcPr>
            <w:tcW w:w="7655" w:type="dxa"/>
            <w:tcBorders>
              <w:top w:val="nil"/>
              <w:left w:val="nil"/>
              <w:bottom w:val="single" w:color="auto" w:sz="4" w:space="0"/>
              <w:right w:val="single" w:color="auto" w:sz="4" w:space="0"/>
            </w:tcBorders>
            <w:vAlign w:val="center"/>
          </w:tcPr>
          <w:p w14:paraId="42C3348E">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签署（或变更）各类经济类合同（包含但不限于总承包合同及其补充协议、专业分包合同、劳务分包合同、物资设备料具采购、租赁合同、设备安装拆除合同、技术咨询合同等各类合同</w:t>
            </w:r>
            <w:r>
              <w:rPr>
                <w:rFonts w:hint="eastAsia" w:ascii="仿宋_GB2312" w:hAnsi="仿宋_GB2312" w:eastAsia="仿宋_GB2312" w:cs="仿宋_GB2312"/>
                <w:kern w:val="2"/>
                <w:sz w:val="21"/>
                <w:szCs w:val="21"/>
                <w:highlight w:val="none"/>
                <w:lang w:val="en-US" w:eastAsia="zh-CN" w:bidi="ar-SA"/>
              </w:rPr>
              <w:t>）</w:t>
            </w:r>
            <w:r>
              <w:rPr>
                <w:rFonts w:hint="eastAsia" w:ascii="仿宋_GB2312" w:hAnsi="仿宋_GB2312" w:eastAsia="仿宋_GB2312" w:cs="仿宋_GB2312"/>
                <w:kern w:val="0"/>
                <w:sz w:val="21"/>
                <w:szCs w:val="21"/>
                <w:highlight w:val="none"/>
                <w:lang w:val="en-US" w:eastAsia="zh-CN" w:bidi="ar-SA"/>
              </w:rPr>
              <w:t>。</w:t>
            </w:r>
          </w:p>
        </w:tc>
      </w:tr>
      <w:tr w14:paraId="417E3D35">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396EA7C8">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w:t>
            </w:r>
          </w:p>
        </w:tc>
        <w:tc>
          <w:tcPr>
            <w:tcW w:w="7655" w:type="dxa"/>
            <w:tcBorders>
              <w:top w:val="nil"/>
              <w:left w:val="nil"/>
              <w:bottom w:val="single" w:color="auto" w:sz="4" w:space="0"/>
              <w:right w:val="single" w:color="auto" w:sz="4" w:space="0"/>
            </w:tcBorders>
            <w:vAlign w:val="center"/>
          </w:tcPr>
          <w:p w14:paraId="01B3E8B5">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未经分公司/公司书面批准擅自购买材料、设备。</w:t>
            </w:r>
          </w:p>
        </w:tc>
      </w:tr>
      <w:tr w14:paraId="16044F25">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64D0297A">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w:t>
            </w:r>
          </w:p>
        </w:tc>
        <w:tc>
          <w:tcPr>
            <w:tcW w:w="7655" w:type="dxa"/>
            <w:tcBorders>
              <w:top w:val="nil"/>
              <w:left w:val="nil"/>
              <w:bottom w:val="single" w:color="auto" w:sz="4" w:space="0"/>
              <w:right w:val="single" w:color="auto" w:sz="4" w:space="0"/>
            </w:tcBorders>
            <w:vAlign w:val="center"/>
          </w:tcPr>
          <w:p w14:paraId="30036EC7">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放弃或限制行使工程项目优先受偿权。</w:t>
            </w:r>
          </w:p>
        </w:tc>
      </w:tr>
      <w:tr w14:paraId="4F9B138F">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596A1C60">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4</w:t>
            </w:r>
          </w:p>
        </w:tc>
        <w:tc>
          <w:tcPr>
            <w:tcW w:w="7655" w:type="dxa"/>
            <w:tcBorders>
              <w:top w:val="nil"/>
              <w:left w:val="nil"/>
              <w:bottom w:val="single" w:color="auto" w:sz="4" w:space="0"/>
              <w:right w:val="single" w:color="auto" w:sz="4" w:space="0"/>
            </w:tcBorders>
            <w:vAlign w:val="center"/>
          </w:tcPr>
          <w:p w14:paraId="1E09699E">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进行银行贷款等融资活动。</w:t>
            </w:r>
          </w:p>
        </w:tc>
      </w:tr>
      <w:tr w14:paraId="73CEB701">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0DE2C185">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5</w:t>
            </w:r>
          </w:p>
        </w:tc>
        <w:tc>
          <w:tcPr>
            <w:tcW w:w="7655" w:type="dxa"/>
            <w:tcBorders>
              <w:top w:val="nil"/>
              <w:left w:val="nil"/>
              <w:bottom w:val="single" w:color="auto" w:sz="4" w:space="0"/>
              <w:right w:val="single" w:color="auto" w:sz="4" w:space="0"/>
            </w:tcBorders>
            <w:vAlign w:val="center"/>
          </w:tcPr>
          <w:p w14:paraId="165798C3">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对外提供担保、出具欠条、签订还款协议、签订调价协议。</w:t>
            </w:r>
          </w:p>
        </w:tc>
      </w:tr>
      <w:tr w14:paraId="3B6164CD">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3427DC24">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6</w:t>
            </w:r>
          </w:p>
        </w:tc>
        <w:tc>
          <w:tcPr>
            <w:tcW w:w="7655" w:type="dxa"/>
            <w:tcBorders>
              <w:top w:val="nil"/>
              <w:left w:val="nil"/>
              <w:bottom w:val="single" w:color="auto" w:sz="4" w:space="0"/>
              <w:right w:val="single" w:color="auto" w:sz="4" w:space="0"/>
            </w:tcBorders>
            <w:vAlign w:val="center"/>
          </w:tcPr>
          <w:p w14:paraId="6C67F7A6">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对外开立各类保函。</w:t>
            </w:r>
          </w:p>
        </w:tc>
      </w:tr>
      <w:tr w14:paraId="43705107">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6431C396">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7</w:t>
            </w:r>
          </w:p>
        </w:tc>
        <w:tc>
          <w:tcPr>
            <w:tcW w:w="7655" w:type="dxa"/>
            <w:tcBorders>
              <w:top w:val="nil"/>
              <w:left w:val="nil"/>
              <w:bottom w:val="single" w:color="auto" w:sz="4" w:space="0"/>
              <w:right w:val="single" w:color="auto" w:sz="4" w:space="0"/>
            </w:tcBorders>
            <w:vAlign w:val="center"/>
          </w:tcPr>
          <w:p w14:paraId="5618F214">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对外拆借资金。</w:t>
            </w:r>
          </w:p>
        </w:tc>
      </w:tr>
      <w:tr w14:paraId="251B75FD">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061DFF27">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8</w:t>
            </w:r>
          </w:p>
        </w:tc>
        <w:tc>
          <w:tcPr>
            <w:tcW w:w="7655" w:type="dxa"/>
            <w:tcBorders>
              <w:top w:val="nil"/>
              <w:left w:val="nil"/>
              <w:bottom w:val="single" w:color="auto" w:sz="4" w:space="0"/>
              <w:right w:val="single" w:color="auto" w:sz="4" w:space="0"/>
            </w:tcBorders>
            <w:vAlign w:val="center"/>
          </w:tcPr>
          <w:p w14:paraId="7F50B514">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私设小金库，坐支现金。</w:t>
            </w:r>
          </w:p>
        </w:tc>
      </w:tr>
      <w:tr w14:paraId="1033D9C3">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1790422E">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9</w:t>
            </w:r>
          </w:p>
        </w:tc>
        <w:tc>
          <w:tcPr>
            <w:tcW w:w="7655" w:type="dxa"/>
            <w:tcBorders>
              <w:top w:val="nil"/>
              <w:left w:val="nil"/>
              <w:bottom w:val="single" w:color="auto" w:sz="4" w:space="0"/>
              <w:right w:val="single" w:color="auto" w:sz="4" w:space="0"/>
            </w:tcBorders>
            <w:vAlign w:val="center"/>
          </w:tcPr>
          <w:p w14:paraId="0CE20409">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超出本综合授权书权限的分包（供）合同签证办理。</w:t>
            </w:r>
          </w:p>
        </w:tc>
      </w:tr>
      <w:tr w14:paraId="35FA3AF5">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51EBDAF0">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10</w:t>
            </w:r>
          </w:p>
        </w:tc>
        <w:tc>
          <w:tcPr>
            <w:tcW w:w="7655" w:type="dxa"/>
            <w:tcBorders>
              <w:top w:val="nil"/>
              <w:left w:val="nil"/>
              <w:bottom w:val="single" w:color="auto" w:sz="4" w:space="0"/>
              <w:right w:val="single" w:color="auto" w:sz="4" w:space="0"/>
            </w:tcBorders>
            <w:vAlign w:val="center"/>
          </w:tcPr>
          <w:p w14:paraId="2E6A6C8E">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确认总包结算、确认分包合同结算（含甲指分包）。</w:t>
            </w:r>
          </w:p>
        </w:tc>
      </w:tr>
      <w:tr w14:paraId="4C83D7A9">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1775E4A7">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11</w:t>
            </w:r>
          </w:p>
        </w:tc>
        <w:tc>
          <w:tcPr>
            <w:tcW w:w="7655" w:type="dxa"/>
            <w:tcBorders>
              <w:top w:val="nil"/>
              <w:left w:val="nil"/>
              <w:bottom w:val="single" w:color="auto" w:sz="4" w:space="0"/>
              <w:right w:val="single" w:color="auto" w:sz="4" w:space="0"/>
            </w:tcBorders>
            <w:vAlign w:val="center"/>
          </w:tcPr>
          <w:p w14:paraId="14FCAA5C">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确认材料、设备、料具结算及赔偿（含零星材料、甲供材）。</w:t>
            </w:r>
          </w:p>
        </w:tc>
      </w:tr>
      <w:tr w14:paraId="7DCD637F">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27BEBD13">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12</w:t>
            </w:r>
          </w:p>
        </w:tc>
        <w:tc>
          <w:tcPr>
            <w:tcW w:w="7655" w:type="dxa"/>
            <w:tcBorders>
              <w:top w:val="nil"/>
              <w:left w:val="nil"/>
              <w:bottom w:val="single" w:color="auto" w:sz="4" w:space="0"/>
              <w:right w:val="single" w:color="auto" w:sz="4" w:space="0"/>
            </w:tcBorders>
            <w:vAlign w:val="center"/>
          </w:tcPr>
          <w:p w14:paraId="61A4A542">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设立或变更劳动关系（包括签订劳动合同、确认劳动关系等）。</w:t>
            </w:r>
          </w:p>
        </w:tc>
      </w:tr>
      <w:tr w14:paraId="6AED2B03">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69376C23">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13</w:t>
            </w:r>
          </w:p>
        </w:tc>
        <w:tc>
          <w:tcPr>
            <w:tcW w:w="7655" w:type="dxa"/>
            <w:tcBorders>
              <w:top w:val="nil"/>
              <w:left w:val="nil"/>
              <w:bottom w:val="single" w:color="auto" w:sz="4" w:space="0"/>
              <w:right w:val="single" w:color="auto" w:sz="4" w:space="0"/>
            </w:tcBorders>
            <w:vAlign w:val="center"/>
          </w:tcPr>
          <w:p w14:paraId="3223042D">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向工伤认定机构提交工伤认定申请或确认工伤事故。</w:t>
            </w:r>
          </w:p>
        </w:tc>
      </w:tr>
      <w:tr w14:paraId="706B9792">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56B7BF4E">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14</w:t>
            </w:r>
          </w:p>
        </w:tc>
        <w:tc>
          <w:tcPr>
            <w:tcW w:w="7655" w:type="dxa"/>
            <w:tcBorders>
              <w:top w:val="nil"/>
              <w:left w:val="nil"/>
              <w:bottom w:val="single" w:color="auto" w:sz="4" w:space="0"/>
              <w:right w:val="single" w:color="auto" w:sz="4" w:space="0"/>
            </w:tcBorders>
            <w:vAlign w:val="center"/>
          </w:tcPr>
          <w:p w14:paraId="6636717E">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确认第三方维修费用。</w:t>
            </w:r>
          </w:p>
        </w:tc>
      </w:tr>
      <w:tr w14:paraId="1F67FB55">
        <w:tblPrEx>
          <w:tblCellMar>
            <w:top w:w="0" w:type="dxa"/>
            <w:left w:w="108" w:type="dxa"/>
            <w:bottom w:w="0" w:type="dxa"/>
            <w:right w:w="108" w:type="dxa"/>
          </w:tblCellMar>
        </w:tblPrEx>
        <w:trPr>
          <w:trHeight w:val="329" w:hRule="atLeast"/>
        </w:trPr>
        <w:tc>
          <w:tcPr>
            <w:tcW w:w="709" w:type="dxa"/>
            <w:tcBorders>
              <w:top w:val="nil"/>
              <w:left w:val="single" w:color="auto" w:sz="4" w:space="0"/>
              <w:bottom w:val="single" w:color="auto" w:sz="4" w:space="0"/>
              <w:right w:val="single" w:color="auto" w:sz="4" w:space="0"/>
            </w:tcBorders>
            <w:vAlign w:val="center"/>
          </w:tcPr>
          <w:p w14:paraId="3C66D5A9">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15</w:t>
            </w:r>
          </w:p>
        </w:tc>
        <w:tc>
          <w:tcPr>
            <w:tcW w:w="7655" w:type="dxa"/>
            <w:tcBorders>
              <w:top w:val="nil"/>
              <w:left w:val="nil"/>
              <w:bottom w:val="single" w:color="auto" w:sz="4" w:space="0"/>
              <w:right w:val="single" w:color="auto" w:sz="4" w:space="0"/>
            </w:tcBorders>
            <w:vAlign w:val="center"/>
          </w:tcPr>
          <w:p w14:paraId="429879EF">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决定废旧物资处理方案。</w:t>
            </w:r>
          </w:p>
        </w:tc>
      </w:tr>
      <w:tr w14:paraId="2F928D3C">
        <w:tblPrEx>
          <w:tblCellMar>
            <w:top w:w="0" w:type="dxa"/>
            <w:left w:w="108" w:type="dxa"/>
            <w:bottom w:w="0" w:type="dxa"/>
            <w:right w:w="108" w:type="dxa"/>
          </w:tblCellMar>
        </w:tblPrEx>
        <w:trPr>
          <w:trHeight w:val="594" w:hRule="atLeast"/>
        </w:trPr>
        <w:tc>
          <w:tcPr>
            <w:tcW w:w="709" w:type="dxa"/>
            <w:tcBorders>
              <w:top w:val="nil"/>
              <w:left w:val="single" w:color="auto" w:sz="4" w:space="0"/>
              <w:bottom w:val="single" w:color="auto" w:sz="4" w:space="0"/>
              <w:right w:val="single" w:color="auto" w:sz="4" w:space="0"/>
            </w:tcBorders>
            <w:vAlign w:val="center"/>
          </w:tcPr>
          <w:p w14:paraId="58E752B4">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16</w:t>
            </w:r>
          </w:p>
        </w:tc>
        <w:tc>
          <w:tcPr>
            <w:tcW w:w="7655" w:type="dxa"/>
            <w:tcBorders>
              <w:top w:val="nil"/>
              <w:left w:val="nil"/>
              <w:bottom w:val="single" w:color="auto" w:sz="4" w:space="0"/>
              <w:right w:val="single" w:color="auto" w:sz="4" w:space="0"/>
            </w:tcBorders>
            <w:vAlign w:val="center"/>
          </w:tcPr>
          <w:p w14:paraId="4AB85BC5">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分包分供合同涨价、奖励、补偿、增加合同外的工作范围、变更分包分供合同模式。</w:t>
            </w:r>
          </w:p>
        </w:tc>
      </w:tr>
      <w:tr w14:paraId="1A98B331">
        <w:tblPrEx>
          <w:tblCellMar>
            <w:top w:w="0" w:type="dxa"/>
            <w:left w:w="108" w:type="dxa"/>
            <w:bottom w:w="0" w:type="dxa"/>
            <w:right w:w="108" w:type="dxa"/>
          </w:tblCellMar>
        </w:tblPrEx>
        <w:trPr>
          <w:trHeight w:val="285" w:hRule="atLeast"/>
        </w:trPr>
        <w:tc>
          <w:tcPr>
            <w:tcW w:w="709" w:type="dxa"/>
            <w:tcBorders>
              <w:top w:val="single" w:color="auto" w:sz="4" w:space="0"/>
              <w:left w:val="single" w:color="auto" w:sz="4" w:space="0"/>
              <w:bottom w:val="single" w:color="auto" w:sz="4" w:space="0"/>
              <w:right w:val="single" w:color="auto" w:sz="4" w:space="0"/>
            </w:tcBorders>
            <w:vAlign w:val="center"/>
          </w:tcPr>
          <w:p w14:paraId="5A8161EA">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17</w:t>
            </w:r>
          </w:p>
        </w:tc>
        <w:tc>
          <w:tcPr>
            <w:tcW w:w="7655" w:type="dxa"/>
            <w:tcBorders>
              <w:top w:val="single" w:color="auto" w:sz="4" w:space="0"/>
              <w:left w:val="nil"/>
              <w:bottom w:val="single" w:color="auto" w:sz="4" w:space="0"/>
              <w:right w:val="single" w:color="auto" w:sz="4" w:space="0"/>
            </w:tcBorders>
            <w:vAlign w:val="center"/>
          </w:tcPr>
          <w:p w14:paraId="7C5F62A7">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危险性较大的分部分项工程安全施工方案。</w:t>
            </w:r>
          </w:p>
        </w:tc>
      </w:tr>
      <w:tr w14:paraId="725AEE30">
        <w:tblPrEx>
          <w:tblCellMar>
            <w:top w:w="0" w:type="dxa"/>
            <w:left w:w="108" w:type="dxa"/>
            <w:bottom w:w="0" w:type="dxa"/>
            <w:right w:w="108" w:type="dxa"/>
          </w:tblCellMar>
        </w:tblPrEx>
        <w:trPr>
          <w:trHeight w:val="285" w:hRule="atLeast"/>
        </w:trPr>
        <w:tc>
          <w:tcPr>
            <w:tcW w:w="709" w:type="dxa"/>
            <w:tcBorders>
              <w:top w:val="single" w:color="auto" w:sz="4" w:space="0"/>
              <w:left w:val="single" w:color="auto" w:sz="4" w:space="0"/>
              <w:bottom w:val="single" w:color="auto" w:sz="4" w:space="0"/>
              <w:right w:val="single" w:color="auto" w:sz="4" w:space="0"/>
            </w:tcBorders>
            <w:vAlign w:val="center"/>
          </w:tcPr>
          <w:p w14:paraId="25FE9D5E">
            <w:pPr>
              <w:widowControl/>
              <w:jc w:val="center"/>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18</w:t>
            </w:r>
          </w:p>
        </w:tc>
        <w:tc>
          <w:tcPr>
            <w:tcW w:w="7655" w:type="dxa"/>
            <w:tcBorders>
              <w:top w:val="single" w:color="auto" w:sz="4" w:space="0"/>
              <w:left w:val="nil"/>
              <w:bottom w:val="single" w:color="auto" w:sz="4" w:space="0"/>
              <w:right w:val="single" w:color="auto" w:sz="4" w:space="0"/>
            </w:tcBorders>
            <w:vAlign w:val="center"/>
          </w:tcPr>
          <w:p w14:paraId="22BA6BEB">
            <w:pPr>
              <w:widowControl/>
              <w:jc w:val="left"/>
              <w:rPr>
                <w:rFonts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接收诉讼法律文书、处理人民法院协助执行通知或参加仲裁、诉讼。</w:t>
            </w:r>
          </w:p>
        </w:tc>
      </w:tr>
    </w:tbl>
    <w:p w14:paraId="7D3291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三、该项目不得超越权限，不得违规行使授权。该项目超越权限行使本授权书已明示禁止的事项，一律无效。该项目超越权限行使本授权书未明示授权的事项，除本公司书面形式予以追认，均属无效。</w:t>
      </w:r>
    </w:p>
    <w:p w14:paraId="3EF3B1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四、本授权未涉及事项，若该项目确有必要行使权限的，必须经本公司另行授权后，方可以本公司名义处理。</w:t>
      </w:r>
    </w:p>
    <w:p w14:paraId="0544DFF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五、该项目在行使授权范围内的各项权利时必须遵循公司的各项规章制度。</w:t>
      </w:r>
    </w:p>
    <w:p w14:paraId="556AB4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六、除合同另有约定，该项目行使授权须加盖项目公章并由甲方现场代表签字后生效，该项目所属任何机构或个人以任何形式签字、盖章均无效，本公司不承担任何责任。</w:t>
      </w:r>
    </w:p>
    <w:p w14:paraId="1E3112B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七、该项目按照本授权书规定开展各项生产、经营和管理活动，本公司予以认可，并承担法律责任。否则，本公司概不承担任何法律责任。</w:t>
      </w:r>
    </w:p>
    <w:p w14:paraId="31F2379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八、本授权书与合同约定的授权类条款不一致的，以该合同约定的条款为准。</w:t>
      </w:r>
    </w:p>
    <w:p w14:paraId="0DC9F7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九、本授权书经本公司盖章后生效，本公司有权随时变更或撤销本授权。</w:t>
      </w:r>
    </w:p>
    <w:p w14:paraId="00D9D4D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p>
    <w:p w14:paraId="779804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permStart w:id="92" w:edGrp="everyone"/>
      <w:r>
        <w:rPr>
          <w:rFonts w:hint="eastAsia" w:ascii="仿宋_GB2312" w:hAnsi="仿宋" w:eastAsia="仿宋_GB2312" w:cs="仿宋"/>
          <w:sz w:val="28"/>
          <w:szCs w:val="28"/>
          <w:highlight w:val="none"/>
        </w:rPr>
        <w:t>预留项目部公章印鉴：</w:t>
      </w:r>
    </w:p>
    <w:p w14:paraId="17104BC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p>
    <w:p w14:paraId="0CACFF2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甲方现场代表签字样式：</w:t>
      </w:r>
    </w:p>
    <w:p w14:paraId="59616F4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p>
    <w:p w14:paraId="29262E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授权单位（承包人盖章）：</w:t>
      </w:r>
      <w:permEnd w:id="92"/>
    </w:p>
    <w:p w14:paraId="3508D242">
      <w:pPr>
        <w:rPr>
          <w:rFonts w:ascii="仿宋_GB2312" w:eastAsia="仿宋_GB2312"/>
          <w:sz w:val="28"/>
          <w:szCs w:val="36"/>
          <w:highlight w:val="none"/>
        </w:rPr>
      </w:pPr>
      <w:r>
        <w:rPr>
          <w:rFonts w:ascii="宋体" w:hAnsi="宋体" w:cs="宋体"/>
          <w:b/>
          <w:bCs/>
          <w:sz w:val="24"/>
          <w:highlight w:val="none"/>
        </w:rPr>
        <w:br w:type="page"/>
      </w:r>
    </w:p>
    <w:p w14:paraId="0DC8C162">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permStart w:id="93" w:edGrp="everyone"/>
      <w:bookmarkStart w:id="76" w:name="_Toc9871"/>
      <w:r>
        <w:rPr>
          <w:rFonts w:hint="eastAsia" w:ascii="黑体" w:hAnsi="黑体" w:eastAsia="黑体" w:cs="黑体"/>
          <w:b w:val="0"/>
          <w:bCs w:val="0"/>
          <w:highlight w:val="none"/>
        </w:rPr>
        <w:t>附件3</w:t>
      </w:r>
      <w:bookmarkStart w:id="77" w:name="_Toc132053712"/>
      <w:bookmarkStart w:id="78" w:name="_Hlk132271615"/>
      <w:r>
        <w:rPr>
          <w:rFonts w:hint="eastAsia" w:ascii="黑体" w:hAnsi="黑体" w:eastAsia="黑体" w:cs="黑体"/>
          <w:b w:val="0"/>
          <w:bCs w:val="0"/>
          <w:highlight w:val="none"/>
        </w:rPr>
        <w:t xml:space="preserve">  </w:t>
      </w:r>
    </w:p>
    <w:p w14:paraId="1108B0D1">
      <w:pPr>
        <w:pStyle w:val="7"/>
        <w:spacing w:before="156" w:beforeLines="50" w:after="156" w:afterLines="50" w:line="480" w:lineRule="exact"/>
        <w:jc w:val="center"/>
        <w:rPr>
          <w:rFonts w:ascii="黑体" w:hAnsi="黑体" w:eastAsia="黑体" w:cs="黑体"/>
          <w:highlight w:val="none"/>
        </w:rPr>
      </w:pPr>
      <w:r>
        <w:rPr>
          <w:rFonts w:hint="eastAsia" w:ascii="黑体" w:hAnsi="黑体" w:eastAsia="黑体" w:cs="黑体"/>
          <w:highlight w:val="none"/>
        </w:rPr>
        <w:t>授 权 委 托 书</w:t>
      </w:r>
      <w:bookmarkEnd w:id="77"/>
      <w:r>
        <w:rPr>
          <w:rFonts w:hint="eastAsia" w:ascii="黑体" w:hAnsi="黑体" w:eastAsia="黑体" w:cs="黑体"/>
          <w:highlight w:val="none"/>
        </w:rPr>
        <w:t>（乙方）</w:t>
      </w:r>
      <w:bookmarkEnd w:id="76"/>
      <w:bookmarkEnd w:id="78"/>
    </w:p>
    <w:p w14:paraId="13B32C03">
      <w:pPr>
        <w:spacing w:line="360" w:lineRule="auto"/>
        <w:ind w:firstLine="420" w:firstLineChars="200"/>
        <w:rPr>
          <w:rFonts w:hint="eastAsia" w:ascii="仿宋_GB2312" w:hAnsi="仿宋" w:eastAsia="仿宋_GB2312" w:cs="仿宋"/>
          <w:sz w:val="28"/>
          <w:szCs w:val="28"/>
          <w:highlight w:val="none"/>
        </w:rPr>
      </w:pPr>
      <w:r>
        <w:rPr>
          <w:rFonts w:hint="eastAsia" w:ascii="宋体" w:hAnsi="宋体" w:cs="宋体"/>
          <w:szCs w:val="21"/>
          <w:highlight w:val="none"/>
        </w:rPr>
        <w:t xml:space="preserve"> </w:t>
      </w:r>
      <w:r>
        <w:rPr>
          <w:rFonts w:hint="eastAsia" w:ascii="仿宋_GB2312" w:hAnsi="仿宋" w:eastAsia="仿宋_GB2312" w:cs="仿宋"/>
          <w:sz w:val="28"/>
          <w:szCs w:val="28"/>
          <w:highlight w:val="none"/>
        </w:rPr>
        <w:t>兹授权我单位员工【】作为我单位代理人。该委托代理人的授权范围为：作为我单位中标的【】工程（项目）现场负责人，负责合同谈判、签订、履行、办理结算以及合同履行过程中签署的一切文件和处理与之有关的一切事务。</w:t>
      </w:r>
    </w:p>
    <w:p w14:paraId="0529EF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该代理人与本项目有关的一切行为，均代表我单位，我单位均予承认并视同我单位行为，由我单位承担该代理人行为的全部法律责任和后果。</w:t>
      </w:r>
    </w:p>
    <w:p w14:paraId="31D6370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代理人无转委托权。</w:t>
      </w:r>
    </w:p>
    <w:p w14:paraId="0279003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有效期限：自授权委托书签发之日起至分包合同履行结束。</w:t>
      </w:r>
    </w:p>
    <w:p w14:paraId="0A8A53A2">
      <w:pPr>
        <w:spacing w:line="480" w:lineRule="exact"/>
        <w:ind w:firstLine="1960" w:firstLineChars="700"/>
        <w:jc w:val="both"/>
        <w:rPr>
          <w:rFonts w:hint="eastAsia" w:ascii="仿宋_GB2312" w:hAnsi="仿宋" w:eastAsia="仿宋_GB2312" w:cs="仿宋"/>
          <w:sz w:val="28"/>
          <w:szCs w:val="28"/>
          <w:highlight w:val="none"/>
        </w:rPr>
      </w:pPr>
    </w:p>
    <w:p w14:paraId="59990F7C">
      <w:pPr>
        <w:spacing w:line="480" w:lineRule="exact"/>
        <w:ind w:firstLine="1960" w:firstLineChars="700"/>
        <w:jc w:val="both"/>
        <w:rPr>
          <w:rFonts w:ascii="仿宋_GB2312" w:hAnsi="宋体" w:eastAsia="仿宋_GB2312" w:cs="宋体"/>
          <w:sz w:val="28"/>
          <w:szCs w:val="28"/>
          <w:highlight w:val="none"/>
        </w:rPr>
      </w:pPr>
      <w:r>
        <w:rPr>
          <w:rFonts w:hint="eastAsia" w:ascii="仿宋_GB2312" w:hAnsi="仿宋" w:eastAsia="仿宋_GB2312" w:cs="仿宋"/>
          <w:sz w:val="28"/>
          <w:szCs w:val="28"/>
          <w:highlight w:val="none"/>
        </w:rPr>
        <w:t>授权单位：（公章）</w:t>
      </w:r>
    </w:p>
    <w:p w14:paraId="6F1E8195">
      <w:pPr>
        <w:keepNext w:val="0"/>
        <w:keepLines w:val="0"/>
        <w:pageBreakBefore w:val="0"/>
        <w:widowControl w:val="0"/>
        <w:kinsoku/>
        <w:wordWrap/>
        <w:overflowPunct/>
        <w:topLinePunct w:val="0"/>
        <w:autoSpaceDE/>
        <w:autoSpaceDN/>
        <w:bidi w:val="0"/>
        <w:adjustRightInd/>
        <w:snapToGrid/>
        <w:spacing w:line="480" w:lineRule="exact"/>
        <w:ind w:firstLine="1960" w:firstLineChars="7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法定代表人：（签字）</w:t>
      </w:r>
    </w:p>
    <w:p w14:paraId="1C3F551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 xml:space="preserve">   </w:t>
      </w:r>
      <w:r>
        <w:rPr>
          <w:rFonts w:hint="eastAsia" w:ascii="仿宋_GB2312" w:hAnsi="仿宋" w:eastAsia="仿宋_GB2312" w:cs="仿宋"/>
          <w:sz w:val="28"/>
          <w:szCs w:val="28"/>
          <w:highlight w:val="none"/>
          <w:lang w:val="en-US" w:eastAsia="zh-CN"/>
        </w:rPr>
        <w:t xml:space="preserve">       </w:t>
      </w:r>
      <w:r>
        <w:rPr>
          <w:rFonts w:hint="eastAsia" w:ascii="仿宋_GB2312" w:hAnsi="仿宋" w:eastAsia="仿宋_GB2312" w:cs="仿宋"/>
          <w:sz w:val="28"/>
          <w:szCs w:val="28"/>
          <w:highlight w:val="none"/>
        </w:rPr>
        <w:t>委托代理人：（签字）</w:t>
      </w:r>
    </w:p>
    <w:p w14:paraId="2921749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 xml:space="preserve">          年    月   日 </w:t>
      </w:r>
    </w:p>
    <w:p w14:paraId="19010E6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 xml:space="preserve">附：法定代表人及委托代理人身份证正反面复印件（复印件要加盖授权单位公章）  </w:t>
      </w:r>
    </w:p>
    <w:p w14:paraId="4454000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 xml:space="preserve"> </w:t>
      </w:r>
    </w:p>
    <w:p w14:paraId="2270C053">
      <w:pPr>
        <w:pStyle w:val="28"/>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 xml:space="preserve"> </w:t>
      </w:r>
    </w:p>
    <w:p w14:paraId="78375C23">
      <w:pPr>
        <w:pStyle w:val="28"/>
        <w:rPr>
          <w:rFonts w:hint="eastAsia" w:ascii="仿宋_GB2312" w:hAnsi="宋体" w:eastAsia="仿宋_GB2312" w:cs="宋体"/>
          <w:sz w:val="28"/>
          <w:szCs w:val="28"/>
          <w:highlight w:val="none"/>
        </w:rPr>
      </w:pPr>
    </w:p>
    <w:p w14:paraId="2ADCF770">
      <w:pPr>
        <w:pStyle w:val="28"/>
        <w:rPr>
          <w:rFonts w:hint="eastAsia" w:ascii="仿宋_GB2312" w:hAnsi="宋体" w:eastAsia="仿宋_GB2312" w:cs="宋体"/>
          <w:sz w:val="28"/>
          <w:szCs w:val="28"/>
          <w:highlight w:val="none"/>
        </w:rPr>
      </w:pPr>
    </w:p>
    <w:p w14:paraId="4018D7DE">
      <w:pPr>
        <w:pStyle w:val="28"/>
        <w:rPr>
          <w:rFonts w:hint="eastAsia" w:ascii="仿宋_GB2312" w:hAnsi="宋体" w:eastAsia="仿宋_GB2312" w:cs="宋体"/>
          <w:sz w:val="28"/>
          <w:szCs w:val="28"/>
          <w:highlight w:val="none"/>
        </w:rPr>
      </w:pPr>
    </w:p>
    <w:p w14:paraId="1AF2B9F3">
      <w:pPr>
        <w:pStyle w:val="28"/>
        <w:rPr>
          <w:rFonts w:hint="eastAsia" w:ascii="仿宋_GB2312" w:hAnsi="宋体" w:eastAsia="仿宋_GB2312" w:cs="宋体"/>
          <w:sz w:val="28"/>
          <w:szCs w:val="28"/>
          <w:highlight w:val="none"/>
        </w:rPr>
      </w:pPr>
    </w:p>
    <w:p w14:paraId="40317DC2">
      <w:pPr>
        <w:pStyle w:val="28"/>
        <w:rPr>
          <w:rFonts w:hint="default" w:ascii="仿宋_GB2312" w:hAnsi="仿宋" w:eastAsia="仿宋_GB2312" w:cs="仿宋"/>
          <w:kern w:val="2"/>
          <w:sz w:val="28"/>
          <w:szCs w:val="28"/>
          <w:highlight w:val="none"/>
          <w:lang w:val="en-US" w:eastAsia="zh-CN" w:bidi="ar-SA"/>
        </w:rPr>
      </w:pPr>
      <w:r>
        <w:rPr>
          <w:rFonts w:hint="eastAsia" w:ascii="仿宋_GB2312" w:hAnsi="仿宋" w:eastAsia="仿宋_GB2312" w:cs="仿宋"/>
          <w:kern w:val="2"/>
          <w:sz w:val="28"/>
          <w:szCs w:val="28"/>
          <w:highlight w:val="none"/>
          <w:lang w:val="en-US" w:eastAsia="zh-CN" w:bidi="ar-SA"/>
        </w:rPr>
        <w:t xml:space="preserve"> 法人身份证：</w:t>
      </w:r>
    </w:p>
    <w:p w14:paraId="3707FA12">
      <w:pPr>
        <w:pStyle w:val="28"/>
        <w:rPr>
          <w:rFonts w:hint="eastAsia" w:ascii="仿宋_GB2312" w:hAnsi="仿宋" w:eastAsia="仿宋_GB2312" w:cs="仿宋"/>
          <w:kern w:val="2"/>
          <w:sz w:val="28"/>
          <w:szCs w:val="28"/>
          <w:highlight w:val="none"/>
          <w:lang w:val="en-US" w:eastAsia="zh-CN" w:bidi="ar-SA"/>
        </w:rPr>
      </w:pPr>
    </w:p>
    <w:p w14:paraId="70FE5D7B">
      <w:pPr>
        <w:pStyle w:val="28"/>
        <w:rPr>
          <w:rFonts w:hint="default" w:ascii="仿宋_GB2312" w:hAnsi="仿宋" w:eastAsia="仿宋_GB2312" w:cs="仿宋"/>
          <w:kern w:val="2"/>
          <w:sz w:val="28"/>
          <w:szCs w:val="28"/>
          <w:highlight w:val="none"/>
          <w:lang w:val="en-US" w:eastAsia="zh-CN" w:bidi="ar-SA"/>
        </w:rPr>
      </w:pPr>
      <w:r>
        <w:rPr>
          <w:rFonts w:hint="eastAsia" w:ascii="仿宋_GB2312" w:hAnsi="仿宋" w:eastAsia="仿宋_GB2312" w:cs="仿宋"/>
          <w:kern w:val="2"/>
          <w:sz w:val="28"/>
          <w:szCs w:val="28"/>
          <w:highlight w:val="none"/>
          <w:lang w:val="en-US" w:eastAsia="zh-CN" w:bidi="ar-SA"/>
        </w:rPr>
        <w:t>委托代理人身份证：</w:t>
      </w:r>
    </w:p>
    <w:p w14:paraId="21A6CD24">
      <w:pPr>
        <w:spacing w:line="480" w:lineRule="exact"/>
        <w:rPr>
          <w:rFonts w:ascii="仿宋_GB2312" w:hAnsi="宋体" w:eastAsia="仿宋_GB2312" w:cs="宋体"/>
          <w:sz w:val="28"/>
          <w:szCs w:val="28"/>
          <w:highlight w:val="yellow"/>
        </w:rPr>
      </w:pPr>
    </w:p>
    <w:p w14:paraId="184CEF57">
      <w:pPr>
        <w:pStyle w:val="6"/>
        <w:spacing w:before="156" w:beforeLines="50" w:after="156" w:afterLines="50"/>
        <w:rPr>
          <w:rFonts w:hint="eastAsia"/>
          <w:highlight w:val="yellow"/>
        </w:rPr>
        <w:sectPr>
          <w:pgSz w:w="11906" w:h="16838"/>
          <w:pgMar w:top="1440" w:right="1706" w:bottom="1440" w:left="1800" w:header="851" w:footer="992" w:gutter="0"/>
          <w:cols w:space="425" w:num="1"/>
          <w:docGrid w:type="lines" w:linePitch="312" w:charSpace="0"/>
        </w:sectPr>
      </w:pPr>
    </w:p>
    <w:p w14:paraId="2DEA938D">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bookmarkStart w:id="79" w:name="_Toc22055"/>
      <w:r>
        <w:rPr>
          <w:rFonts w:hint="eastAsia" w:ascii="黑体" w:hAnsi="黑体" w:eastAsia="黑体" w:cs="黑体"/>
          <w:b w:val="0"/>
          <w:bCs w:val="0"/>
          <w:highlight w:val="none"/>
        </w:rPr>
        <w:t>附件4</w:t>
      </w:r>
      <w:bookmarkStart w:id="80" w:name="_Toc132053713"/>
      <w:r>
        <w:rPr>
          <w:rFonts w:hint="eastAsia" w:ascii="黑体" w:hAnsi="黑体" w:eastAsia="黑体" w:cs="黑体"/>
          <w:b w:val="0"/>
          <w:bCs w:val="0"/>
          <w:highlight w:val="none"/>
        </w:rPr>
        <w:t xml:space="preserve">  </w:t>
      </w:r>
    </w:p>
    <w:p w14:paraId="664A4177">
      <w:pPr>
        <w:pStyle w:val="7"/>
        <w:spacing w:before="156" w:beforeLines="50" w:after="156" w:afterLines="50" w:line="480" w:lineRule="exact"/>
        <w:jc w:val="center"/>
        <w:rPr>
          <w:rFonts w:ascii="黑体" w:hAnsi="黑体" w:eastAsia="黑体" w:cs="黑体"/>
          <w:highlight w:val="none"/>
        </w:rPr>
      </w:pPr>
      <w:r>
        <w:rPr>
          <w:rFonts w:hint="eastAsia" w:ascii="黑体" w:hAnsi="黑体" w:eastAsia="黑体" w:cs="黑体"/>
          <w:highlight w:val="none"/>
        </w:rPr>
        <w:t>乙方现场管理人员名单</w:t>
      </w:r>
      <w:bookmarkEnd w:id="79"/>
      <w:bookmarkEnd w:id="80"/>
    </w:p>
    <w:p w14:paraId="0266D96D">
      <w:pPr>
        <w:adjustRightInd w:val="0"/>
        <w:snapToGrid w:val="0"/>
        <w:spacing w:line="440" w:lineRule="exact"/>
        <w:jc w:val="center"/>
        <w:rPr>
          <w:rFonts w:ascii="宋体" w:hAnsi="宋体" w:cs="宋体"/>
          <w:b/>
          <w:sz w:val="30"/>
          <w:szCs w:val="30"/>
          <w:highlight w:val="none"/>
        </w:rPr>
      </w:pPr>
    </w:p>
    <w:tbl>
      <w:tblPr>
        <w:tblStyle w:val="3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47"/>
        <w:gridCol w:w="1189"/>
        <w:gridCol w:w="1350"/>
        <w:gridCol w:w="1583"/>
        <w:gridCol w:w="1854"/>
      </w:tblGrid>
      <w:tr w14:paraId="5052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tcPr>
          <w:p w14:paraId="3C23136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ermStart w:id="94" w:edGrp="everyone" w:colFirst="1" w:colLast="1"/>
            <w:permStart w:id="95" w:edGrp="everyone" w:colFirst="2" w:colLast="2"/>
            <w:permStart w:id="96" w:edGrp="everyone" w:colFirst="3" w:colLast="3"/>
            <w:permStart w:id="97" w:edGrp="everyone" w:colFirst="4" w:colLast="4"/>
            <w:permStart w:id="98" w:edGrp="everyone" w:colFirst="5" w:colLast="5"/>
            <w:r>
              <w:rPr>
                <w:rFonts w:hint="eastAsia" w:ascii="仿宋_GB2312" w:hAnsi="仿宋_GB2312" w:eastAsia="仿宋_GB2312" w:cs="仿宋_GB2312"/>
                <w:b/>
                <w:kern w:val="2"/>
                <w:sz w:val="21"/>
                <w:szCs w:val="21"/>
                <w:highlight w:val="none"/>
                <w:lang w:val="en-US" w:eastAsia="zh-CN" w:bidi="ar-SA"/>
              </w:rPr>
              <w:t>姓名</w:t>
            </w:r>
          </w:p>
          <w:permEnd w:id="93"/>
        </w:tc>
        <w:tc>
          <w:tcPr>
            <w:tcW w:w="1247" w:type="dxa"/>
          </w:tcPr>
          <w:p w14:paraId="495993E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r>
              <w:rPr>
                <w:rFonts w:hint="eastAsia" w:ascii="仿宋_GB2312" w:hAnsi="仿宋_GB2312" w:eastAsia="仿宋_GB2312" w:cs="仿宋_GB2312"/>
                <w:b/>
                <w:kern w:val="2"/>
                <w:sz w:val="21"/>
                <w:szCs w:val="21"/>
                <w:highlight w:val="none"/>
                <w:lang w:val="en-US" w:eastAsia="zh-CN" w:bidi="ar-SA"/>
              </w:rPr>
              <w:t>职务</w:t>
            </w:r>
          </w:p>
        </w:tc>
        <w:tc>
          <w:tcPr>
            <w:tcW w:w="1189" w:type="dxa"/>
          </w:tcPr>
          <w:p w14:paraId="4530A36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r>
              <w:rPr>
                <w:rFonts w:hint="eastAsia" w:ascii="仿宋_GB2312" w:hAnsi="仿宋_GB2312" w:eastAsia="仿宋_GB2312" w:cs="仿宋_GB2312"/>
                <w:b/>
                <w:kern w:val="2"/>
                <w:sz w:val="21"/>
                <w:szCs w:val="21"/>
                <w:highlight w:val="none"/>
                <w:lang w:val="en-US" w:eastAsia="zh-CN" w:bidi="ar-SA"/>
              </w:rPr>
              <w:t>职责权限</w:t>
            </w:r>
          </w:p>
        </w:tc>
        <w:tc>
          <w:tcPr>
            <w:tcW w:w="1350" w:type="dxa"/>
          </w:tcPr>
          <w:p w14:paraId="4F44CE0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r>
              <w:rPr>
                <w:rFonts w:hint="eastAsia" w:ascii="仿宋_GB2312" w:hAnsi="仿宋_GB2312" w:eastAsia="仿宋_GB2312" w:cs="仿宋_GB2312"/>
                <w:b/>
                <w:kern w:val="2"/>
                <w:sz w:val="21"/>
                <w:szCs w:val="21"/>
                <w:highlight w:val="none"/>
                <w:lang w:val="en-US" w:eastAsia="zh-CN" w:bidi="ar-SA"/>
              </w:rPr>
              <w:t>联系方式</w:t>
            </w:r>
          </w:p>
        </w:tc>
        <w:tc>
          <w:tcPr>
            <w:tcW w:w="1583" w:type="dxa"/>
          </w:tcPr>
          <w:p w14:paraId="7FADF52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r>
              <w:rPr>
                <w:rFonts w:hint="eastAsia" w:ascii="仿宋_GB2312" w:hAnsi="仿宋_GB2312" w:eastAsia="仿宋_GB2312" w:cs="仿宋_GB2312"/>
                <w:b/>
                <w:kern w:val="2"/>
                <w:sz w:val="21"/>
                <w:szCs w:val="21"/>
                <w:highlight w:val="none"/>
                <w:lang w:val="en-US" w:eastAsia="zh-CN" w:bidi="ar-SA"/>
              </w:rPr>
              <w:t>通讯地址</w:t>
            </w:r>
          </w:p>
        </w:tc>
        <w:tc>
          <w:tcPr>
            <w:tcW w:w="1854" w:type="dxa"/>
          </w:tcPr>
          <w:p w14:paraId="76EFD71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r>
              <w:rPr>
                <w:rFonts w:hint="eastAsia" w:ascii="仿宋_GB2312" w:hAnsi="仿宋_GB2312" w:eastAsia="仿宋_GB2312" w:cs="仿宋_GB2312"/>
                <w:b/>
                <w:kern w:val="2"/>
                <w:sz w:val="21"/>
                <w:szCs w:val="21"/>
                <w:highlight w:val="none"/>
                <w:lang w:val="en-US" w:eastAsia="zh-CN" w:bidi="ar-SA"/>
              </w:rPr>
              <w:t>电子邮箱</w:t>
            </w:r>
          </w:p>
        </w:tc>
      </w:tr>
      <w:permEnd w:id="94"/>
      <w:permEnd w:id="95"/>
      <w:permEnd w:id="96"/>
      <w:permEnd w:id="97"/>
      <w:permEnd w:id="98"/>
      <w:tr w14:paraId="0959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shd w:val="clear" w:color="auto" w:fill="auto"/>
            <w:vAlign w:val="top"/>
          </w:tcPr>
          <w:p w14:paraId="2A3BB20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仿宋_GB2312" w:eastAsia="仿宋_GB2312" w:cs="仿宋_GB2312"/>
                <w:b/>
                <w:kern w:val="2"/>
                <w:sz w:val="21"/>
                <w:szCs w:val="21"/>
                <w:highlight w:val="none"/>
                <w:lang w:val="en-US" w:eastAsia="zh-CN" w:bidi="ar-SA"/>
              </w:rPr>
            </w:pPr>
            <w:permStart w:id="99" w:edGrp="everyone" w:colFirst="0" w:colLast="0"/>
            <w:permStart w:id="100" w:edGrp="everyone" w:colFirst="1" w:colLast="1"/>
            <w:permStart w:id="101" w:edGrp="everyone" w:colFirst="2" w:colLast="2"/>
            <w:permStart w:id="102" w:edGrp="everyone" w:colFirst="3" w:colLast="3"/>
            <w:permStart w:id="103" w:edGrp="everyone" w:colFirst="4" w:colLast="4"/>
            <w:permStart w:id="104" w:edGrp="everyone" w:colFirst="5" w:colLast="5"/>
          </w:p>
        </w:tc>
        <w:tc>
          <w:tcPr>
            <w:tcW w:w="1247" w:type="dxa"/>
            <w:shd w:val="clear" w:color="auto" w:fill="auto"/>
            <w:vAlign w:val="top"/>
          </w:tcPr>
          <w:p w14:paraId="2AD7165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仿宋_GB2312" w:eastAsia="仿宋_GB2312" w:cs="仿宋_GB2312"/>
                <w:b/>
                <w:kern w:val="2"/>
                <w:sz w:val="21"/>
                <w:szCs w:val="21"/>
                <w:highlight w:val="none"/>
                <w:lang w:val="en-US" w:eastAsia="zh-CN" w:bidi="ar-SA"/>
              </w:rPr>
            </w:pPr>
          </w:p>
        </w:tc>
        <w:tc>
          <w:tcPr>
            <w:tcW w:w="1189" w:type="dxa"/>
            <w:shd w:val="clear" w:color="auto" w:fill="auto"/>
            <w:vAlign w:val="top"/>
          </w:tcPr>
          <w:p w14:paraId="09745B5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仿宋_GB2312" w:eastAsia="仿宋_GB2312" w:cs="仿宋_GB2312"/>
                <w:b/>
                <w:kern w:val="2"/>
                <w:sz w:val="21"/>
                <w:szCs w:val="21"/>
                <w:highlight w:val="none"/>
                <w:lang w:val="en-US" w:eastAsia="zh-CN" w:bidi="ar-SA"/>
              </w:rPr>
            </w:pPr>
          </w:p>
        </w:tc>
        <w:tc>
          <w:tcPr>
            <w:tcW w:w="1350" w:type="dxa"/>
            <w:shd w:val="clear" w:color="auto" w:fill="auto"/>
            <w:vAlign w:val="top"/>
          </w:tcPr>
          <w:p w14:paraId="61CC032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仿宋_GB2312" w:eastAsia="仿宋_GB2312" w:cs="仿宋_GB2312"/>
                <w:b/>
                <w:kern w:val="2"/>
                <w:sz w:val="21"/>
                <w:szCs w:val="21"/>
                <w:highlight w:val="none"/>
                <w:lang w:val="en-US" w:eastAsia="zh-CN" w:bidi="ar-SA"/>
              </w:rPr>
            </w:pPr>
          </w:p>
        </w:tc>
        <w:tc>
          <w:tcPr>
            <w:tcW w:w="1583" w:type="dxa"/>
            <w:shd w:val="clear" w:color="auto" w:fill="auto"/>
            <w:vAlign w:val="top"/>
          </w:tcPr>
          <w:p w14:paraId="368F168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仿宋_GB2312" w:eastAsia="仿宋_GB2312" w:cs="仿宋_GB2312"/>
                <w:b/>
                <w:kern w:val="2"/>
                <w:sz w:val="21"/>
                <w:szCs w:val="21"/>
                <w:highlight w:val="none"/>
                <w:lang w:val="en-US" w:eastAsia="zh-CN" w:bidi="ar-SA"/>
              </w:rPr>
            </w:pPr>
          </w:p>
        </w:tc>
        <w:tc>
          <w:tcPr>
            <w:tcW w:w="1854" w:type="dxa"/>
            <w:shd w:val="clear" w:color="auto" w:fill="auto"/>
            <w:vAlign w:val="top"/>
          </w:tcPr>
          <w:p w14:paraId="3666DBA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仿宋_GB2312" w:eastAsia="仿宋_GB2312" w:cs="仿宋_GB2312"/>
                <w:b/>
                <w:kern w:val="2"/>
                <w:sz w:val="21"/>
                <w:szCs w:val="21"/>
                <w:highlight w:val="none"/>
                <w:lang w:val="en-US" w:eastAsia="zh-CN" w:bidi="ar-SA"/>
              </w:rPr>
            </w:pPr>
          </w:p>
        </w:tc>
      </w:tr>
      <w:permEnd w:id="99"/>
      <w:permEnd w:id="100"/>
      <w:permEnd w:id="101"/>
      <w:permEnd w:id="102"/>
      <w:permEnd w:id="103"/>
      <w:permEnd w:id="104"/>
      <w:tr w14:paraId="0CA0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shd w:val="clear" w:color="auto" w:fill="auto"/>
            <w:vAlign w:val="top"/>
          </w:tcPr>
          <w:p w14:paraId="5A58D92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ermStart w:id="105" w:edGrp="everyone" w:colFirst="0" w:colLast="0"/>
            <w:permStart w:id="106" w:edGrp="everyone" w:colFirst="1" w:colLast="1"/>
            <w:permStart w:id="107" w:edGrp="everyone" w:colFirst="2" w:colLast="2"/>
            <w:permStart w:id="108" w:edGrp="everyone" w:colFirst="3" w:colLast="3"/>
            <w:permStart w:id="109" w:edGrp="everyone" w:colFirst="4" w:colLast="4"/>
            <w:permStart w:id="110" w:edGrp="everyone" w:colFirst="5" w:colLast="5"/>
          </w:p>
        </w:tc>
        <w:tc>
          <w:tcPr>
            <w:tcW w:w="1247" w:type="dxa"/>
            <w:shd w:val="clear" w:color="auto" w:fill="auto"/>
            <w:vAlign w:val="top"/>
          </w:tcPr>
          <w:p w14:paraId="4A8043B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189" w:type="dxa"/>
            <w:shd w:val="clear" w:color="auto" w:fill="auto"/>
            <w:vAlign w:val="top"/>
          </w:tcPr>
          <w:p w14:paraId="180BAED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350" w:type="dxa"/>
            <w:shd w:val="clear" w:color="auto" w:fill="auto"/>
            <w:vAlign w:val="top"/>
          </w:tcPr>
          <w:p w14:paraId="010DE54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583" w:type="dxa"/>
            <w:shd w:val="clear" w:color="auto" w:fill="auto"/>
            <w:vAlign w:val="top"/>
          </w:tcPr>
          <w:p w14:paraId="7525D0B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854" w:type="dxa"/>
            <w:shd w:val="clear" w:color="auto" w:fill="auto"/>
            <w:vAlign w:val="top"/>
          </w:tcPr>
          <w:p w14:paraId="4B3F7F2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r>
      <w:permEnd w:id="105"/>
      <w:permEnd w:id="106"/>
      <w:permEnd w:id="107"/>
      <w:permEnd w:id="108"/>
      <w:permEnd w:id="109"/>
      <w:permEnd w:id="110"/>
      <w:tr w14:paraId="4E35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top"/>
          </w:tcPr>
          <w:p w14:paraId="702DAAD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ermStart w:id="111" w:edGrp="everyone" w:colFirst="0" w:colLast="0"/>
            <w:permStart w:id="112" w:edGrp="everyone" w:colFirst="1" w:colLast="1"/>
            <w:permStart w:id="113" w:edGrp="everyone" w:colFirst="2" w:colLast="2"/>
            <w:permStart w:id="114" w:edGrp="everyone" w:colFirst="3" w:colLast="3"/>
            <w:permStart w:id="115" w:edGrp="everyone" w:colFirst="4" w:colLast="4"/>
            <w:permStart w:id="116" w:edGrp="everyone" w:colFirst="5" w:colLast="5"/>
          </w:p>
        </w:tc>
        <w:tc>
          <w:tcPr>
            <w:tcW w:w="1247" w:type="dxa"/>
            <w:vAlign w:val="top"/>
          </w:tcPr>
          <w:p w14:paraId="06D388B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189" w:type="dxa"/>
            <w:vAlign w:val="top"/>
          </w:tcPr>
          <w:p w14:paraId="267C6B6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350" w:type="dxa"/>
            <w:vAlign w:val="top"/>
          </w:tcPr>
          <w:p w14:paraId="03727DE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583" w:type="dxa"/>
            <w:shd w:val="clear" w:color="auto" w:fill="auto"/>
            <w:vAlign w:val="top"/>
          </w:tcPr>
          <w:p w14:paraId="7EDFF36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854" w:type="dxa"/>
            <w:shd w:val="clear" w:color="auto" w:fill="auto"/>
            <w:vAlign w:val="top"/>
          </w:tcPr>
          <w:p w14:paraId="597BB12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r>
      <w:permEnd w:id="111"/>
      <w:permEnd w:id="112"/>
      <w:permEnd w:id="113"/>
      <w:permEnd w:id="114"/>
      <w:permEnd w:id="115"/>
      <w:permEnd w:id="116"/>
      <w:tr w14:paraId="1170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top"/>
          </w:tcPr>
          <w:p w14:paraId="11B76A5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ermStart w:id="117" w:edGrp="everyone" w:colFirst="0" w:colLast="0"/>
            <w:permStart w:id="118" w:edGrp="everyone" w:colFirst="1" w:colLast="1"/>
            <w:permStart w:id="119" w:edGrp="everyone" w:colFirst="2" w:colLast="2"/>
            <w:permStart w:id="120" w:edGrp="everyone" w:colFirst="3" w:colLast="3"/>
            <w:permStart w:id="121" w:edGrp="everyone" w:colFirst="4" w:colLast="4"/>
            <w:permStart w:id="122" w:edGrp="everyone" w:colFirst="5" w:colLast="5"/>
          </w:p>
        </w:tc>
        <w:tc>
          <w:tcPr>
            <w:tcW w:w="1247" w:type="dxa"/>
            <w:vAlign w:val="top"/>
          </w:tcPr>
          <w:p w14:paraId="48CE248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189" w:type="dxa"/>
            <w:vAlign w:val="top"/>
          </w:tcPr>
          <w:p w14:paraId="009D334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350" w:type="dxa"/>
            <w:vAlign w:val="top"/>
          </w:tcPr>
          <w:p w14:paraId="0393EC1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583" w:type="dxa"/>
            <w:shd w:val="clear" w:color="auto" w:fill="auto"/>
            <w:vAlign w:val="top"/>
          </w:tcPr>
          <w:p w14:paraId="19CA4C4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854" w:type="dxa"/>
            <w:shd w:val="clear" w:color="auto" w:fill="auto"/>
            <w:vAlign w:val="top"/>
          </w:tcPr>
          <w:p w14:paraId="1006A24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r>
      <w:permEnd w:id="117"/>
      <w:permEnd w:id="118"/>
      <w:permEnd w:id="119"/>
      <w:permEnd w:id="120"/>
      <w:permEnd w:id="121"/>
      <w:permEnd w:id="122"/>
      <w:tr w14:paraId="7F7F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top"/>
          </w:tcPr>
          <w:p w14:paraId="2E53849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ermStart w:id="123" w:edGrp="everyone" w:colFirst="0" w:colLast="0"/>
            <w:permStart w:id="124" w:edGrp="everyone" w:colFirst="1" w:colLast="1"/>
            <w:permStart w:id="125" w:edGrp="everyone" w:colFirst="2" w:colLast="2"/>
            <w:permStart w:id="126" w:edGrp="everyone" w:colFirst="3" w:colLast="3"/>
            <w:permStart w:id="127" w:edGrp="everyone" w:colFirst="4" w:colLast="4"/>
            <w:permStart w:id="128" w:edGrp="everyone" w:colFirst="5" w:colLast="5"/>
          </w:p>
        </w:tc>
        <w:tc>
          <w:tcPr>
            <w:tcW w:w="1247" w:type="dxa"/>
            <w:vAlign w:val="top"/>
          </w:tcPr>
          <w:p w14:paraId="047655E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189" w:type="dxa"/>
            <w:vAlign w:val="top"/>
          </w:tcPr>
          <w:p w14:paraId="7C3DAF5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350" w:type="dxa"/>
            <w:vAlign w:val="top"/>
          </w:tcPr>
          <w:p w14:paraId="0816E88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583" w:type="dxa"/>
            <w:vAlign w:val="top"/>
          </w:tcPr>
          <w:p w14:paraId="1BCF10E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854" w:type="dxa"/>
            <w:vAlign w:val="top"/>
          </w:tcPr>
          <w:p w14:paraId="30D9F84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r>
      <w:permEnd w:id="123"/>
      <w:permEnd w:id="124"/>
      <w:permEnd w:id="125"/>
      <w:permEnd w:id="126"/>
      <w:permEnd w:id="127"/>
      <w:permEnd w:id="128"/>
      <w:tr w14:paraId="06BF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top"/>
          </w:tcPr>
          <w:p w14:paraId="129E8B1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ermStart w:id="129" w:edGrp="everyone" w:colFirst="0" w:colLast="0"/>
            <w:permStart w:id="130" w:edGrp="everyone" w:colFirst="1" w:colLast="1"/>
            <w:permStart w:id="131" w:edGrp="everyone" w:colFirst="2" w:colLast="2"/>
            <w:permStart w:id="132" w:edGrp="everyone" w:colFirst="3" w:colLast="3"/>
            <w:permStart w:id="133" w:edGrp="everyone" w:colFirst="4" w:colLast="4"/>
            <w:permStart w:id="134" w:edGrp="everyone" w:colFirst="5" w:colLast="5"/>
          </w:p>
        </w:tc>
        <w:tc>
          <w:tcPr>
            <w:tcW w:w="1247" w:type="dxa"/>
            <w:vAlign w:val="top"/>
          </w:tcPr>
          <w:p w14:paraId="7FB67D4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189" w:type="dxa"/>
            <w:vAlign w:val="top"/>
          </w:tcPr>
          <w:p w14:paraId="0C9D144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350" w:type="dxa"/>
            <w:vAlign w:val="top"/>
          </w:tcPr>
          <w:p w14:paraId="082093C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583" w:type="dxa"/>
            <w:vAlign w:val="top"/>
          </w:tcPr>
          <w:p w14:paraId="30DAC1F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854" w:type="dxa"/>
            <w:vAlign w:val="top"/>
          </w:tcPr>
          <w:p w14:paraId="1A665DD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r>
      <w:permEnd w:id="129"/>
      <w:permEnd w:id="130"/>
      <w:permEnd w:id="131"/>
      <w:permEnd w:id="132"/>
      <w:permEnd w:id="133"/>
      <w:permEnd w:id="134"/>
      <w:tr w14:paraId="5DA1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top"/>
          </w:tcPr>
          <w:p w14:paraId="0B40B31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ermStart w:id="135" w:edGrp="everyone" w:colFirst="0" w:colLast="0"/>
            <w:permStart w:id="136" w:edGrp="everyone" w:colFirst="1" w:colLast="1"/>
            <w:permStart w:id="137" w:edGrp="everyone" w:colFirst="2" w:colLast="2"/>
            <w:permStart w:id="138" w:edGrp="everyone" w:colFirst="3" w:colLast="3"/>
            <w:permStart w:id="139" w:edGrp="everyone" w:colFirst="4" w:colLast="4"/>
            <w:permStart w:id="140" w:edGrp="everyone" w:colFirst="5" w:colLast="5"/>
          </w:p>
        </w:tc>
        <w:tc>
          <w:tcPr>
            <w:tcW w:w="1247" w:type="dxa"/>
            <w:vAlign w:val="top"/>
          </w:tcPr>
          <w:p w14:paraId="4E628F4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189" w:type="dxa"/>
            <w:vAlign w:val="top"/>
          </w:tcPr>
          <w:p w14:paraId="4E08AD7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350" w:type="dxa"/>
            <w:vAlign w:val="top"/>
          </w:tcPr>
          <w:p w14:paraId="3F56514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583" w:type="dxa"/>
            <w:vAlign w:val="top"/>
          </w:tcPr>
          <w:p w14:paraId="4CE9C17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854" w:type="dxa"/>
            <w:vAlign w:val="top"/>
          </w:tcPr>
          <w:p w14:paraId="60EAA99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r>
      <w:permEnd w:id="135"/>
      <w:permEnd w:id="136"/>
      <w:permEnd w:id="137"/>
      <w:permEnd w:id="138"/>
      <w:permEnd w:id="139"/>
      <w:permEnd w:id="140"/>
      <w:tr w14:paraId="75D5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top"/>
          </w:tcPr>
          <w:p w14:paraId="16A2362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ermStart w:id="141" w:edGrp="everyone" w:colFirst="0" w:colLast="0"/>
            <w:permStart w:id="142" w:edGrp="everyone" w:colFirst="1" w:colLast="1"/>
            <w:permStart w:id="143" w:edGrp="everyone" w:colFirst="2" w:colLast="2"/>
            <w:permStart w:id="144" w:edGrp="everyone" w:colFirst="3" w:colLast="3"/>
            <w:permStart w:id="145" w:edGrp="everyone" w:colFirst="4" w:colLast="4"/>
            <w:permStart w:id="146" w:edGrp="everyone" w:colFirst="5" w:colLast="5"/>
          </w:p>
        </w:tc>
        <w:tc>
          <w:tcPr>
            <w:tcW w:w="1247" w:type="dxa"/>
            <w:vAlign w:val="top"/>
          </w:tcPr>
          <w:p w14:paraId="6CFEA7E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189" w:type="dxa"/>
            <w:vAlign w:val="top"/>
          </w:tcPr>
          <w:p w14:paraId="0AAB04E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350" w:type="dxa"/>
            <w:vAlign w:val="top"/>
          </w:tcPr>
          <w:p w14:paraId="0766116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583" w:type="dxa"/>
            <w:vAlign w:val="top"/>
          </w:tcPr>
          <w:p w14:paraId="223B905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854" w:type="dxa"/>
            <w:vAlign w:val="top"/>
          </w:tcPr>
          <w:p w14:paraId="17F82A9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r>
      <w:permEnd w:id="141"/>
      <w:permEnd w:id="142"/>
      <w:permEnd w:id="143"/>
      <w:permEnd w:id="144"/>
      <w:permEnd w:id="145"/>
      <w:permEnd w:id="146"/>
      <w:tr w14:paraId="3627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top"/>
          </w:tcPr>
          <w:p w14:paraId="570E9B6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ermStart w:id="147" w:edGrp="everyone" w:colFirst="0" w:colLast="0"/>
            <w:permStart w:id="148" w:edGrp="everyone" w:colFirst="1" w:colLast="1"/>
            <w:permStart w:id="149" w:edGrp="everyone" w:colFirst="2" w:colLast="2"/>
            <w:permStart w:id="150" w:edGrp="everyone" w:colFirst="3" w:colLast="3"/>
            <w:permStart w:id="151" w:edGrp="everyone" w:colFirst="4" w:colLast="4"/>
            <w:permStart w:id="152" w:edGrp="everyone" w:colFirst="5" w:colLast="5"/>
          </w:p>
        </w:tc>
        <w:tc>
          <w:tcPr>
            <w:tcW w:w="1247" w:type="dxa"/>
            <w:vAlign w:val="top"/>
          </w:tcPr>
          <w:p w14:paraId="4A5CB49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189" w:type="dxa"/>
            <w:vAlign w:val="top"/>
          </w:tcPr>
          <w:p w14:paraId="60A4F61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350" w:type="dxa"/>
            <w:vAlign w:val="top"/>
          </w:tcPr>
          <w:p w14:paraId="36B4420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583" w:type="dxa"/>
            <w:vAlign w:val="top"/>
          </w:tcPr>
          <w:p w14:paraId="22EF548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c>
          <w:tcPr>
            <w:tcW w:w="1854" w:type="dxa"/>
            <w:vAlign w:val="top"/>
          </w:tcPr>
          <w:p w14:paraId="4A8A711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kern w:val="2"/>
                <w:sz w:val="21"/>
                <w:szCs w:val="21"/>
                <w:highlight w:val="none"/>
                <w:lang w:val="en-US" w:eastAsia="zh-CN" w:bidi="ar-SA"/>
              </w:rPr>
            </w:pPr>
          </w:p>
        </w:tc>
      </w:tr>
      <w:permEnd w:id="147"/>
      <w:permEnd w:id="148"/>
      <w:permEnd w:id="149"/>
      <w:permEnd w:id="150"/>
      <w:permEnd w:id="151"/>
      <w:permEnd w:id="152"/>
    </w:tbl>
    <w:p w14:paraId="052EC128">
      <w:pPr>
        <w:adjustRightInd w:val="0"/>
        <w:snapToGrid w:val="0"/>
        <w:spacing w:line="480" w:lineRule="exact"/>
        <w:rPr>
          <w:rFonts w:ascii="仿宋_GB2312" w:hAnsi="宋体" w:eastAsia="仿宋_GB2312" w:cs="宋体"/>
          <w:sz w:val="28"/>
          <w:szCs w:val="28"/>
          <w:highlight w:val="none"/>
        </w:rPr>
      </w:pPr>
      <w:permStart w:id="153" w:edGrp="everyone"/>
      <w:r>
        <w:rPr>
          <w:rFonts w:hint="eastAsia" w:ascii="仿宋_GB2312" w:hAnsi="宋体" w:eastAsia="仿宋_GB2312" w:cs="宋体"/>
          <w:sz w:val="28"/>
          <w:szCs w:val="28"/>
          <w:highlight w:val="none"/>
        </w:rPr>
        <w:t>备注：</w:t>
      </w:r>
    </w:p>
    <w:p w14:paraId="7AF63153">
      <w:pPr>
        <w:widowControl/>
        <w:spacing w:after="156" w:afterLines="50" w:line="480" w:lineRule="exact"/>
        <w:ind w:left="542" w:leftChars="206" w:hanging="109" w:hangingChars="39"/>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1.上表所列乙方现场管理人员，未经甲方事先书面同意，不得更换，甲方对上述人员进行现场考勤。</w:t>
      </w:r>
    </w:p>
    <w:p w14:paraId="04C37F8C">
      <w:pPr>
        <w:widowControl/>
        <w:spacing w:after="156" w:afterLines="50" w:line="480" w:lineRule="exact"/>
        <w:ind w:left="542" w:leftChars="206" w:hanging="109" w:hangingChars="39"/>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2.上表所列乙方现场管理人员均有权代表乙方签署往来函件，履行乙方权利和义务。</w:t>
      </w:r>
    </w:p>
    <w:p w14:paraId="361E56F3">
      <w:pPr>
        <w:pStyle w:val="2"/>
      </w:pPr>
    </w:p>
    <w:p w14:paraId="294A062E">
      <w:pPr>
        <w:adjustRightInd w:val="0"/>
        <w:snapToGrid w:val="0"/>
        <w:spacing w:before="156" w:beforeLines="50" w:after="156" w:afterLines="50" w:line="480" w:lineRule="exact"/>
        <w:ind w:firstLine="3640" w:firstLineChars="13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乙方(盖章)</w:t>
      </w:r>
    </w:p>
    <w:p w14:paraId="346AE6CE">
      <w:pPr>
        <w:adjustRightInd w:val="0"/>
        <w:snapToGrid w:val="0"/>
        <w:spacing w:before="156" w:beforeLines="50" w:after="156" w:afterLines="50" w:line="480" w:lineRule="exact"/>
        <w:ind w:firstLine="3640" w:firstLineChars="1300"/>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法定代表人</w:t>
      </w:r>
    </w:p>
    <w:p w14:paraId="1FB249D5">
      <w:pPr>
        <w:adjustRightInd w:val="0"/>
        <w:snapToGrid w:val="0"/>
        <w:spacing w:before="156" w:beforeLines="50" w:after="156" w:afterLines="50" w:line="480" w:lineRule="exact"/>
        <w:ind w:firstLine="3640" w:firstLineChars="1300"/>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或受委托人</w:t>
      </w:r>
    </w:p>
    <w:p w14:paraId="622CEB06">
      <w:pPr>
        <w:adjustRightInd w:val="0"/>
        <w:snapToGrid w:val="0"/>
        <w:spacing w:line="480" w:lineRule="exact"/>
        <w:ind w:left="5147" w:leftChars="2451" w:firstLine="5880" w:firstLineChars="21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 xml:space="preserve">      日期：    年  月    日 </w:t>
      </w:r>
    </w:p>
    <w:permEnd w:id="153"/>
    <w:p w14:paraId="25F3DD5C">
      <w:pPr>
        <w:pStyle w:val="7"/>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0" w:firstLineChars="200"/>
        <w:textAlignment w:val="auto"/>
        <w:rPr>
          <w:rFonts w:hint="eastAsia" w:ascii="黑体" w:hAnsi="黑体" w:eastAsia="黑体" w:cs="黑体"/>
          <w:b w:val="0"/>
          <w:bCs w:val="0"/>
          <w:highlight w:val="none"/>
        </w:rPr>
      </w:pPr>
      <w:bookmarkStart w:id="81" w:name="_Toc1751"/>
      <w:r>
        <w:rPr>
          <w:rFonts w:hint="eastAsia" w:ascii="黑体" w:hAnsi="黑体" w:eastAsia="黑体" w:cs="黑体"/>
          <w:b w:val="0"/>
          <w:bCs w:val="0"/>
          <w:highlight w:val="none"/>
        </w:rPr>
        <w:t>附件5</w:t>
      </w:r>
      <w:bookmarkStart w:id="82" w:name="_Toc132053714"/>
      <w:r>
        <w:rPr>
          <w:rFonts w:hint="eastAsia" w:ascii="黑体" w:hAnsi="黑体" w:eastAsia="黑体" w:cs="黑体"/>
          <w:b w:val="0"/>
          <w:bCs w:val="0"/>
          <w:highlight w:val="none"/>
        </w:rPr>
        <w:t xml:space="preserve">  </w:t>
      </w:r>
    </w:p>
    <w:p w14:paraId="375870A9">
      <w:pPr>
        <w:pStyle w:val="7"/>
        <w:spacing w:before="156" w:beforeLines="50" w:after="156" w:afterLines="50" w:line="480" w:lineRule="exact"/>
        <w:jc w:val="center"/>
        <w:rPr>
          <w:rFonts w:ascii="黑体" w:hAnsi="黑体" w:eastAsia="黑体" w:cs="黑体"/>
          <w:highlight w:val="none"/>
        </w:rPr>
      </w:pPr>
      <w:r>
        <w:rPr>
          <w:rFonts w:hint="eastAsia" w:ascii="黑体" w:hAnsi="黑体" w:eastAsia="黑体" w:cs="黑体"/>
          <w:highlight w:val="none"/>
        </w:rPr>
        <w:t>工程承包人供应材料与设备明细表</w:t>
      </w:r>
      <w:bookmarkEnd w:id="81"/>
      <w:bookmarkEnd w:id="82"/>
    </w:p>
    <w:p w14:paraId="0087462A">
      <w:pPr>
        <w:widowControl/>
        <w:spacing w:after="156" w:afterLines="50" w:line="480" w:lineRule="exact"/>
        <w:ind w:left="505" w:hanging="505"/>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工程名称：</w:t>
      </w:r>
      <w:permStart w:id="154" w:edGrp="everyone"/>
      <w:r>
        <w:rPr>
          <w:rFonts w:hint="eastAsia" w:ascii="仿宋_GB2312" w:hAnsi="宋体" w:eastAsia="仿宋_GB2312" w:cs="宋体"/>
          <w:sz w:val="28"/>
          <w:szCs w:val="28"/>
          <w:highlight w:val="none"/>
        </w:rPr>
        <w:t>【】</w:t>
      </w:r>
      <w:permEnd w:id="154"/>
    </w:p>
    <w:p w14:paraId="48F92928">
      <w:pPr>
        <w:widowControl/>
        <w:spacing w:after="156" w:afterLines="50" w:line="480" w:lineRule="exact"/>
        <w:ind w:left="505" w:hanging="505"/>
        <w:jc w:val="righ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单位：元</w:t>
      </w:r>
    </w:p>
    <w:p w14:paraId="7F93A3DB">
      <w:pPr>
        <w:pStyle w:val="2"/>
      </w:pPr>
    </w:p>
    <w:tbl>
      <w:tblPr>
        <w:tblStyle w:val="33"/>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963"/>
        <w:gridCol w:w="992"/>
        <w:gridCol w:w="1025"/>
        <w:gridCol w:w="1340"/>
        <w:gridCol w:w="1530"/>
        <w:gridCol w:w="1105"/>
      </w:tblGrid>
      <w:tr w14:paraId="15F7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3" w:type="dxa"/>
            <w:vAlign w:val="center"/>
          </w:tcPr>
          <w:p w14:paraId="181B4D8E">
            <w:pPr>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ascii="仿宋_GB2312" w:hAnsi="宋体" w:eastAsia="仿宋_GB2312" w:cs="宋体"/>
                <w:kern w:val="2"/>
                <w:sz w:val="21"/>
                <w:szCs w:val="21"/>
                <w:highlight w:val="none"/>
                <w:lang w:val="en-US" w:eastAsia="zh-CN" w:bidi="ar-SA"/>
              </w:rPr>
            </w:pPr>
            <w:permStart w:id="155" w:edGrp="everyone" w:colFirst="0" w:colLast="0"/>
            <w:permStart w:id="156" w:edGrp="everyone" w:colFirst="1" w:colLast="1"/>
            <w:permStart w:id="157" w:edGrp="everyone" w:colFirst="2" w:colLast="2"/>
            <w:permStart w:id="158" w:edGrp="everyone" w:colFirst="3" w:colLast="3"/>
            <w:permStart w:id="159" w:edGrp="everyone" w:colFirst="4" w:colLast="4"/>
            <w:permStart w:id="160" w:edGrp="everyone" w:colFirst="5" w:colLast="5"/>
            <w:permStart w:id="161" w:edGrp="everyone" w:colFirst="6" w:colLast="6"/>
            <w:r>
              <w:rPr>
                <w:rFonts w:hint="eastAsia" w:ascii="仿宋_GB2312" w:hAnsi="宋体" w:eastAsia="仿宋_GB2312" w:cs="宋体"/>
                <w:kern w:val="2"/>
                <w:sz w:val="21"/>
                <w:szCs w:val="21"/>
                <w:highlight w:val="none"/>
                <w:lang w:val="en-US" w:eastAsia="zh-CN" w:bidi="ar-SA"/>
              </w:rPr>
              <w:t>序号</w:t>
            </w:r>
          </w:p>
        </w:tc>
        <w:tc>
          <w:tcPr>
            <w:tcW w:w="1963" w:type="dxa"/>
            <w:vAlign w:val="center"/>
          </w:tcPr>
          <w:p w14:paraId="5FE08956">
            <w:pPr>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材料设备名称</w:t>
            </w:r>
          </w:p>
        </w:tc>
        <w:tc>
          <w:tcPr>
            <w:tcW w:w="992" w:type="dxa"/>
            <w:vAlign w:val="center"/>
          </w:tcPr>
          <w:p w14:paraId="6F434BBD">
            <w:pPr>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规格</w:t>
            </w:r>
          </w:p>
        </w:tc>
        <w:tc>
          <w:tcPr>
            <w:tcW w:w="1025" w:type="dxa"/>
            <w:vAlign w:val="center"/>
          </w:tcPr>
          <w:p w14:paraId="34DE5DBB">
            <w:pPr>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单位</w:t>
            </w:r>
          </w:p>
        </w:tc>
        <w:tc>
          <w:tcPr>
            <w:tcW w:w="1340" w:type="dxa"/>
            <w:vAlign w:val="center"/>
          </w:tcPr>
          <w:p w14:paraId="7143B093">
            <w:pPr>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数量</w:t>
            </w:r>
          </w:p>
        </w:tc>
        <w:tc>
          <w:tcPr>
            <w:tcW w:w="1530" w:type="dxa"/>
            <w:vAlign w:val="center"/>
          </w:tcPr>
          <w:p w14:paraId="3C103808">
            <w:pPr>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扣款单价</w:t>
            </w:r>
          </w:p>
        </w:tc>
        <w:tc>
          <w:tcPr>
            <w:tcW w:w="1105" w:type="dxa"/>
            <w:vAlign w:val="center"/>
          </w:tcPr>
          <w:p w14:paraId="4201EB18">
            <w:pPr>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备注</w:t>
            </w:r>
          </w:p>
        </w:tc>
      </w:tr>
      <w:permEnd w:id="155"/>
      <w:permEnd w:id="156"/>
      <w:permEnd w:id="157"/>
      <w:permEnd w:id="158"/>
      <w:permEnd w:id="159"/>
      <w:permEnd w:id="160"/>
      <w:permEnd w:id="161"/>
      <w:tr w14:paraId="66DD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top"/>
          </w:tcPr>
          <w:p w14:paraId="30D1ABB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仿宋_GB2312" w:hAnsi="宋体" w:eastAsia="仿宋_GB2312" w:cs="宋体"/>
                <w:kern w:val="2"/>
                <w:sz w:val="21"/>
                <w:szCs w:val="21"/>
                <w:highlight w:val="none"/>
                <w:lang w:val="en-US" w:eastAsia="zh-CN" w:bidi="ar-SA"/>
              </w:rPr>
            </w:pPr>
            <w:permStart w:id="162" w:edGrp="everyone" w:colFirst="0" w:colLast="0"/>
            <w:permStart w:id="163" w:edGrp="everyone" w:colFirst="1" w:colLast="1"/>
            <w:permStart w:id="164" w:edGrp="everyone" w:colFirst="2" w:colLast="2"/>
            <w:permStart w:id="165" w:edGrp="everyone" w:colFirst="3" w:colLast="3"/>
            <w:permStart w:id="166" w:edGrp="everyone" w:colFirst="4" w:colLast="4"/>
            <w:permStart w:id="167" w:edGrp="everyone" w:colFirst="5" w:colLast="5"/>
            <w:permStart w:id="168" w:edGrp="everyone" w:colFirst="6" w:colLast="6"/>
          </w:p>
        </w:tc>
        <w:tc>
          <w:tcPr>
            <w:tcW w:w="1963" w:type="dxa"/>
            <w:vAlign w:val="top"/>
          </w:tcPr>
          <w:p w14:paraId="680B48B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仿宋_GB2312" w:hAnsi="宋体" w:eastAsia="仿宋_GB2312" w:cs="宋体"/>
                <w:kern w:val="2"/>
                <w:sz w:val="21"/>
                <w:szCs w:val="21"/>
                <w:highlight w:val="none"/>
                <w:lang w:val="en-US" w:eastAsia="zh-CN" w:bidi="ar-SA"/>
              </w:rPr>
            </w:pPr>
          </w:p>
        </w:tc>
        <w:tc>
          <w:tcPr>
            <w:tcW w:w="992" w:type="dxa"/>
            <w:vAlign w:val="top"/>
          </w:tcPr>
          <w:p w14:paraId="707FCBB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c>
          <w:tcPr>
            <w:tcW w:w="1025" w:type="dxa"/>
            <w:vAlign w:val="top"/>
          </w:tcPr>
          <w:p w14:paraId="7D726F8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c>
          <w:tcPr>
            <w:tcW w:w="1340" w:type="dxa"/>
            <w:vAlign w:val="top"/>
          </w:tcPr>
          <w:p w14:paraId="258C060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c>
          <w:tcPr>
            <w:tcW w:w="1530" w:type="dxa"/>
            <w:vAlign w:val="top"/>
          </w:tcPr>
          <w:p w14:paraId="0ABD3D6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c>
          <w:tcPr>
            <w:tcW w:w="1105" w:type="dxa"/>
            <w:vAlign w:val="top"/>
          </w:tcPr>
          <w:p w14:paraId="646E49D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r>
      <w:permEnd w:id="162"/>
      <w:permEnd w:id="163"/>
      <w:permEnd w:id="164"/>
      <w:permEnd w:id="165"/>
      <w:permEnd w:id="166"/>
      <w:permEnd w:id="167"/>
      <w:permEnd w:id="168"/>
      <w:tr w14:paraId="5C8C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top"/>
          </w:tcPr>
          <w:p w14:paraId="4925F3D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仿宋_GB2312" w:hAnsi="宋体" w:eastAsia="仿宋_GB2312" w:cs="宋体"/>
                <w:kern w:val="2"/>
                <w:sz w:val="21"/>
                <w:szCs w:val="21"/>
                <w:highlight w:val="none"/>
                <w:lang w:val="en-US" w:eastAsia="zh-CN" w:bidi="ar-SA"/>
              </w:rPr>
            </w:pPr>
            <w:permStart w:id="169" w:edGrp="everyone" w:colFirst="0" w:colLast="0"/>
            <w:permStart w:id="170" w:edGrp="everyone" w:colFirst="1" w:colLast="1"/>
            <w:permStart w:id="171" w:edGrp="everyone" w:colFirst="2" w:colLast="2"/>
            <w:permStart w:id="172" w:edGrp="everyone" w:colFirst="3" w:colLast="3"/>
            <w:permStart w:id="173" w:edGrp="everyone" w:colFirst="4" w:colLast="4"/>
            <w:permStart w:id="174" w:edGrp="everyone" w:colFirst="5" w:colLast="5"/>
            <w:permStart w:id="175" w:edGrp="everyone" w:colFirst="6" w:colLast="6"/>
          </w:p>
        </w:tc>
        <w:tc>
          <w:tcPr>
            <w:tcW w:w="1963" w:type="dxa"/>
            <w:vAlign w:val="top"/>
          </w:tcPr>
          <w:p w14:paraId="7CF0887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仿宋_GB2312" w:hAnsi="宋体" w:eastAsia="仿宋_GB2312" w:cs="宋体"/>
                <w:kern w:val="2"/>
                <w:sz w:val="21"/>
                <w:szCs w:val="21"/>
                <w:highlight w:val="none"/>
                <w:lang w:val="en-US" w:eastAsia="zh-CN" w:bidi="ar-SA"/>
              </w:rPr>
            </w:pPr>
          </w:p>
        </w:tc>
        <w:tc>
          <w:tcPr>
            <w:tcW w:w="992" w:type="dxa"/>
            <w:vAlign w:val="top"/>
          </w:tcPr>
          <w:p w14:paraId="54FCB92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c>
          <w:tcPr>
            <w:tcW w:w="1025" w:type="dxa"/>
            <w:vAlign w:val="top"/>
          </w:tcPr>
          <w:p w14:paraId="536632D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c>
          <w:tcPr>
            <w:tcW w:w="1340" w:type="dxa"/>
            <w:vAlign w:val="top"/>
          </w:tcPr>
          <w:p w14:paraId="3434215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c>
          <w:tcPr>
            <w:tcW w:w="1530" w:type="dxa"/>
            <w:vAlign w:val="top"/>
          </w:tcPr>
          <w:p w14:paraId="379EF29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c>
          <w:tcPr>
            <w:tcW w:w="1105" w:type="dxa"/>
            <w:vAlign w:val="top"/>
          </w:tcPr>
          <w:p w14:paraId="3D7522D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r>
      <w:permEnd w:id="169"/>
      <w:permEnd w:id="170"/>
      <w:permEnd w:id="171"/>
      <w:permEnd w:id="172"/>
      <w:permEnd w:id="173"/>
      <w:permEnd w:id="174"/>
      <w:permEnd w:id="175"/>
      <w:tr w14:paraId="5512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top"/>
          </w:tcPr>
          <w:p w14:paraId="185E7CF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仿宋_GB2312" w:hAnsi="宋体" w:eastAsia="仿宋_GB2312" w:cs="宋体"/>
                <w:kern w:val="2"/>
                <w:sz w:val="21"/>
                <w:szCs w:val="21"/>
                <w:highlight w:val="none"/>
                <w:lang w:val="en-US" w:eastAsia="zh-CN" w:bidi="ar-SA"/>
              </w:rPr>
            </w:pPr>
            <w:permStart w:id="176" w:edGrp="everyone" w:colFirst="0" w:colLast="0"/>
            <w:permStart w:id="177" w:edGrp="everyone" w:colFirst="1" w:colLast="1"/>
            <w:permStart w:id="178" w:edGrp="everyone" w:colFirst="2" w:colLast="2"/>
            <w:permStart w:id="179" w:edGrp="everyone" w:colFirst="3" w:colLast="3"/>
            <w:permStart w:id="180" w:edGrp="everyone" w:colFirst="4" w:colLast="4"/>
            <w:permStart w:id="181" w:edGrp="everyone" w:colFirst="5" w:colLast="5"/>
            <w:permStart w:id="182" w:edGrp="everyone" w:colFirst="6" w:colLast="6"/>
          </w:p>
        </w:tc>
        <w:tc>
          <w:tcPr>
            <w:tcW w:w="1963" w:type="dxa"/>
            <w:vAlign w:val="top"/>
          </w:tcPr>
          <w:p w14:paraId="78F931F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仿宋_GB2312" w:hAnsi="宋体" w:eastAsia="仿宋_GB2312" w:cs="宋体"/>
                <w:kern w:val="2"/>
                <w:sz w:val="21"/>
                <w:szCs w:val="21"/>
                <w:highlight w:val="none"/>
                <w:lang w:val="en-US" w:eastAsia="zh-CN" w:bidi="ar-SA"/>
              </w:rPr>
            </w:pPr>
          </w:p>
        </w:tc>
        <w:tc>
          <w:tcPr>
            <w:tcW w:w="992" w:type="dxa"/>
            <w:vAlign w:val="top"/>
          </w:tcPr>
          <w:p w14:paraId="55434B0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c>
          <w:tcPr>
            <w:tcW w:w="1025" w:type="dxa"/>
            <w:vAlign w:val="top"/>
          </w:tcPr>
          <w:p w14:paraId="4EED06F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c>
          <w:tcPr>
            <w:tcW w:w="1340" w:type="dxa"/>
            <w:vAlign w:val="top"/>
          </w:tcPr>
          <w:p w14:paraId="6DB7E0C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c>
          <w:tcPr>
            <w:tcW w:w="1530" w:type="dxa"/>
            <w:vAlign w:val="top"/>
          </w:tcPr>
          <w:p w14:paraId="795178A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c>
          <w:tcPr>
            <w:tcW w:w="1105" w:type="dxa"/>
            <w:vAlign w:val="top"/>
          </w:tcPr>
          <w:p w14:paraId="19F0153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宋体" w:eastAsia="仿宋_GB2312" w:cs="宋体"/>
                <w:kern w:val="2"/>
                <w:sz w:val="21"/>
                <w:szCs w:val="21"/>
                <w:highlight w:val="none"/>
                <w:lang w:val="en-US" w:eastAsia="zh-CN" w:bidi="ar-SA"/>
              </w:rPr>
            </w:pPr>
          </w:p>
        </w:tc>
      </w:tr>
      <w:permEnd w:id="176"/>
      <w:permEnd w:id="177"/>
      <w:permEnd w:id="178"/>
      <w:permEnd w:id="179"/>
      <w:permEnd w:id="180"/>
      <w:permEnd w:id="181"/>
      <w:permEnd w:id="182"/>
    </w:tbl>
    <w:p w14:paraId="3FF82E04">
      <w:pPr>
        <w:widowControl/>
        <w:spacing w:line="480" w:lineRule="exact"/>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注：此表中未明确的材料、设备，按照工程承包人与建设单位最终确认的材料、设备单价乘以1.2，作为专业分包人超用材料、设备扣款的单价。</w:t>
      </w:r>
    </w:p>
    <w:p w14:paraId="463CF63C">
      <w:pPr>
        <w:spacing w:line="480" w:lineRule="exact"/>
        <w:rPr>
          <w:rFonts w:ascii="仿宋_GB2312" w:hAnsi="宋体" w:eastAsia="仿宋_GB2312" w:cs="宋体"/>
          <w:b/>
          <w:bCs/>
          <w:sz w:val="28"/>
          <w:szCs w:val="28"/>
          <w:highlight w:val="none"/>
        </w:rPr>
      </w:pPr>
    </w:p>
    <w:p w14:paraId="0D11A4E5">
      <w:pPr>
        <w:spacing w:line="480" w:lineRule="exact"/>
        <w:rPr>
          <w:rFonts w:ascii="仿宋_GB2312" w:hAnsi="宋体" w:eastAsia="仿宋_GB2312" w:cs="宋体"/>
          <w:b/>
          <w:bCs/>
          <w:sz w:val="28"/>
          <w:szCs w:val="28"/>
          <w:highlight w:val="none"/>
        </w:rPr>
      </w:pPr>
    </w:p>
    <w:p w14:paraId="50819BCA">
      <w:pPr>
        <w:spacing w:line="480" w:lineRule="exact"/>
        <w:rPr>
          <w:rFonts w:ascii="仿宋_GB2312" w:hAnsi="宋体" w:eastAsia="仿宋_GB2312" w:cs="宋体"/>
          <w:b/>
          <w:bCs/>
          <w:sz w:val="28"/>
          <w:szCs w:val="28"/>
          <w:highlight w:val="none"/>
        </w:rPr>
      </w:pPr>
    </w:p>
    <w:p w14:paraId="02C06C0B">
      <w:pPr>
        <w:widowControl/>
        <w:tabs>
          <w:tab w:val="left" w:pos="5610"/>
        </w:tabs>
        <w:spacing w:before="312" w:beforeLines="100" w:after="312" w:afterLines="100" w:line="480" w:lineRule="exact"/>
        <w:jc w:val="left"/>
        <w:rPr>
          <w:rFonts w:hint="eastAsia" w:ascii="仿宋_GB2312" w:hAnsi="宋体" w:eastAsia="仿宋_GB2312" w:cs="宋体"/>
          <w:kern w:val="0"/>
          <w:sz w:val="28"/>
          <w:szCs w:val="28"/>
          <w:highlight w:val="none"/>
        </w:rPr>
      </w:pPr>
      <w:permStart w:id="183" w:edGrp="everyone"/>
      <w:r>
        <w:rPr>
          <w:rFonts w:hint="eastAsia" w:ascii="仿宋_GB2312" w:hAnsi="宋体" w:eastAsia="仿宋_GB2312" w:cs="宋体"/>
          <w:kern w:val="0"/>
          <w:sz w:val="28"/>
          <w:szCs w:val="28"/>
          <w:highlight w:val="none"/>
        </w:rPr>
        <w:t>专业分包人：【盖章】</w:t>
      </w:r>
    </w:p>
    <w:p w14:paraId="40C17C34">
      <w:pPr>
        <w:widowControl/>
        <w:tabs>
          <w:tab w:val="left" w:pos="5610"/>
        </w:tabs>
        <w:spacing w:before="312" w:beforeLines="100" w:after="312" w:afterLines="100" w:line="480" w:lineRule="exact"/>
        <w:jc w:val="left"/>
        <w:rPr>
          <w:rFonts w:ascii="仿宋_GB2312" w:hAnsi="宋体" w:eastAsia="仿宋_GB2312" w:cs="宋体"/>
          <w:kern w:val="0"/>
          <w:sz w:val="28"/>
          <w:szCs w:val="28"/>
          <w:highlight w:val="none"/>
        </w:rPr>
      </w:pPr>
      <w:r>
        <w:rPr>
          <w:rFonts w:hint="eastAsia" w:ascii="仿宋_GB2312" w:hAnsi="宋体" w:eastAsia="仿宋_GB2312" w:cs="宋体"/>
          <w:sz w:val="28"/>
          <w:szCs w:val="28"/>
          <w:highlight w:val="none"/>
        </w:rPr>
        <w:t>法定代表人：【盖章】</w:t>
      </w:r>
    </w:p>
    <w:p w14:paraId="336021BA">
      <w:pPr>
        <w:spacing w:line="480" w:lineRule="exact"/>
        <w:rPr>
          <w:rFonts w:ascii="仿宋_GB2312" w:hAnsi="宋体" w:eastAsia="仿宋_GB2312" w:cs="宋体"/>
          <w:b/>
          <w:bCs/>
          <w:sz w:val="28"/>
          <w:szCs w:val="28"/>
          <w:highlight w:val="none"/>
        </w:rPr>
      </w:pPr>
      <w:r>
        <w:rPr>
          <w:rFonts w:hint="eastAsia" w:ascii="仿宋_GB2312" w:hAnsi="宋体" w:eastAsia="仿宋_GB2312" w:cs="宋体"/>
          <w:kern w:val="0"/>
          <w:sz w:val="28"/>
          <w:szCs w:val="28"/>
          <w:highlight w:val="none"/>
        </w:rPr>
        <w:t xml:space="preserve">委托代理人：【签字】 </w:t>
      </w:r>
    </w:p>
    <w:permEnd w:id="183"/>
    <w:p w14:paraId="7B9EE876">
      <w:pPr>
        <w:spacing w:line="360" w:lineRule="exact"/>
        <w:rPr>
          <w:rFonts w:ascii="宋体" w:hAnsi="宋体" w:cs="宋体"/>
          <w:b/>
          <w:bCs/>
          <w:sz w:val="24"/>
          <w:highlight w:val="none"/>
        </w:rPr>
      </w:pPr>
    </w:p>
    <w:p w14:paraId="4310ED8F">
      <w:pPr>
        <w:widowControl/>
        <w:jc w:val="left"/>
        <w:rPr>
          <w:rFonts w:ascii="宋体" w:hAnsi="宋体" w:cs="宋体"/>
          <w:b/>
          <w:bCs/>
          <w:sz w:val="24"/>
          <w:highlight w:val="none"/>
        </w:rPr>
      </w:pPr>
      <w:r>
        <w:rPr>
          <w:rFonts w:hint="eastAsia" w:ascii="宋体" w:hAnsi="宋体" w:cs="宋体"/>
          <w:b/>
          <w:bCs/>
          <w:sz w:val="24"/>
          <w:highlight w:val="none"/>
        </w:rPr>
        <w:br w:type="page"/>
      </w:r>
    </w:p>
    <w:p w14:paraId="7A3F484A">
      <w:pPr>
        <w:pStyle w:val="6"/>
        <w:keepNext/>
        <w:keepLines/>
        <w:pageBreakBefore w:val="0"/>
        <w:widowControl w:val="0"/>
        <w:kinsoku/>
        <w:wordWrap/>
        <w:overflowPunct/>
        <w:topLinePunct w:val="0"/>
        <w:autoSpaceDE/>
        <w:autoSpaceDN/>
        <w:bidi w:val="0"/>
        <w:adjustRightInd/>
        <w:snapToGrid/>
        <w:spacing w:before="156" w:beforeLines="50" w:after="156" w:afterLines="50"/>
        <w:ind w:left="0" w:leftChars="0" w:firstLine="560" w:firstLineChars="200"/>
        <w:jc w:val="both"/>
        <w:textAlignment w:val="auto"/>
        <w:rPr>
          <w:rFonts w:hint="eastAsia" w:ascii="黑体" w:hAnsi="黑体" w:eastAsia="黑体" w:cs="黑体"/>
          <w:b w:val="0"/>
          <w:bCs w:val="0"/>
          <w:kern w:val="2"/>
          <w:sz w:val="28"/>
          <w:szCs w:val="28"/>
          <w:highlight w:val="none"/>
          <w:lang w:val="zh-CN" w:eastAsia="zh-CN" w:bidi="ar-SA"/>
        </w:rPr>
      </w:pPr>
      <w:bookmarkStart w:id="83" w:name="_Toc398"/>
      <w:r>
        <w:rPr>
          <w:rFonts w:hint="eastAsia" w:ascii="黑体" w:hAnsi="黑体" w:eastAsia="黑体" w:cs="黑体"/>
          <w:b w:val="0"/>
          <w:bCs w:val="0"/>
          <w:kern w:val="2"/>
          <w:sz w:val="28"/>
          <w:szCs w:val="28"/>
          <w:highlight w:val="none"/>
          <w:lang w:val="zh-CN" w:eastAsia="zh-CN" w:bidi="ar-SA"/>
        </w:rPr>
        <w:t>附件6</w:t>
      </w:r>
      <w:bookmarkStart w:id="84" w:name="_Toc132053715"/>
      <w:r>
        <w:rPr>
          <w:rFonts w:hint="eastAsia" w:ascii="黑体" w:hAnsi="黑体" w:eastAsia="黑体" w:cs="黑体"/>
          <w:b w:val="0"/>
          <w:bCs w:val="0"/>
          <w:kern w:val="2"/>
          <w:sz w:val="28"/>
          <w:szCs w:val="28"/>
          <w:highlight w:val="none"/>
          <w:lang w:val="zh-CN" w:eastAsia="zh-CN" w:bidi="ar-SA"/>
        </w:rPr>
        <w:t xml:space="preserve">  </w:t>
      </w:r>
    </w:p>
    <w:p w14:paraId="67F4C76B">
      <w:pPr>
        <w:pStyle w:val="6"/>
        <w:spacing w:before="156" w:beforeLines="50" w:after="156" w:afterLines="50"/>
        <w:ind w:left="0" w:leftChars="0"/>
        <w:jc w:val="center"/>
        <w:rPr>
          <w:rFonts w:ascii="黑体" w:hAnsi="黑体" w:cs="黑体"/>
          <w:highlight w:val="none"/>
          <w:lang w:val="zh-CN"/>
        </w:rPr>
      </w:pPr>
      <w:r>
        <w:rPr>
          <w:rFonts w:hint="eastAsia" w:ascii="黑体" w:hAnsi="黑体" w:cs="黑体"/>
          <w:highlight w:val="none"/>
          <w:lang w:val="zh-CN"/>
        </w:rPr>
        <w:t>项目廉政合同书</w:t>
      </w:r>
      <w:bookmarkEnd w:id="83"/>
      <w:bookmarkEnd w:id="84"/>
    </w:p>
    <w:p w14:paraId="35771AB8">
      <w:pPr>
        <w:spacing w:line="480" w:lineRule="exact"/>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甲方（承包人）：</w:t>
      </w:r>
      <w:permStart w:id="184" w:edGrp="everyone"/>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w:t>
      </w:r>
    </w:p>
    <w:permEnd w:id="184"/>
    <w:p w14:paraId="70B2E70C">
      <w:pPr>
        <w:spacing w:line="480" w:lineRule="exact"/>
        <w:ind w:firstLine="562" w:firstLineChars="200"/>
        <w:rPr>
          <w:rFonts w:hint="eastAsia" w:ascii="仿宋_GB2312" w:hAnsi="宋体" w:eastAsia="仿宋_GB2312" w:cs="宋体"/>
          <w:sz w:val="28"/>
          <w:szCs w:val="28"/>
          <w:highlight w:val="none"/>
          <w:lang w:val="en-US" w:eastAsia="zh-CN"/>
        </w:rPr>
      </w:pPr>
      <w:r>
        <w:rPr>
          <w:rFonts w:hint="eastAsia" w:ascii="仿宋_GB2312" w:hAnsi="仿宋_GB2312" w:eastAsia="仿宋_GB2312" w:cs="仿宋_GB2312"/>
          <w:b/>
          <w:color w:val="000000"/>
          <w:sz w:val="28"/>
          <w:szCs w:val="28"/>
          <w:highlight w:val="none"/>
        </w:rPr>
        <w:t>乙方（分包人）：</w:t>
      </w:r>
      <w:permStart w:id="185" w:edGrp="everyone"/>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w:t>
      </w:r>
      <w:permEnd w:id="185"/>
    </w:p>
    <w:p w14:paraId="6DEEB98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为确保甲方对建设单位的承诺，高效、优质共同完成施工任务，争创优质工程，保证合同双方能够高效廉洁地履行，维护双方合法权益，经双方协商，特订立如下廉政合同书。</w:t>
      </w:r>
    </w:p>
    <w:p w14:paraId="2495F19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第一条 甲乙双方的权利和义务</w:t>
      </w:r>
    </w:p>
    <w:p w14:paraId="0BFD9DE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1.甲乙双方应本着“公开、公平、公正、诚信、透明”的原则开展工作，自觉遵守党和国家、工程项目所在省、市、区工程建设有关法律法规以及廉政建设的各项规定。</w:t>
      </w:r>
    </w:p>
    <w:p w14:paraId="13F3F9A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2.甲乙双方应建立健全廉政教育制度，开展经常性教育活动，积极宣贯“合规诚信 自律清正”的廉洁从业核心理念，加强廉政教育。</w:t>
      </w:r>
    </w:p>
    <w:p w14:paraId="7B57445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3.加强相互监督，发现对方有违反廉政合同书规定的行为，应及时提醒对方纠正。</w:t>
      </w:r>
    </w:p>
    <w:p w14:paraId="4DEDDFE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第二条 甲方的责任</w:t>
      </w:r>
    </w:p>
    <w:p w14:paraId="5E71B9C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甲方工作人员不得有以下行为：</w:t>
      </w:r>
    </w:p>
    <w:p w14:paraId="7A69A07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（1）为乙方多结算工程量、多签证、多付工程款等，并向乙方索要或接受贿赂、回扣、礼金、有价证券（卡）、贵重物品和好处费等;</w:t>
      </w:r>
    </w:p>
    <w:p w14:paraId="3492B5A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（2）在乙方报销任何应由甲方或个人支付的费用;</w:t>
      </w:r>
    </w:p>
    <w:p w14:paraId="5CC555B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（3）参加有可能影响公正执行公务的超标准宴请和娱乐、健身等活动;</w:t>
      </w:r>
    </w:p>
    <w:p w14:paraId="17E352B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（4）接受乙方提供的通讯工具、交通工具和高档办公用品;</w:t>
      </w:r>
    </w:p>
    <w:p w14:paraId="6504787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（5）要求、暗示或接受乙方为个人住房装修、婚丧嫁娶、配偶子女工作的安排以及出国（境）、旅游提供的方便;</w:t>
      </w:r>
    </w:p>
    <w:p w14:paraId="3CDC109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（6）向乙方介绍或推荐配偶、子女、亲属参与的工程施工合同有关的设备、材料、工程分包、劳务等;</w:t>
      </w:r>
    </w:p>
    <w:p w14:paraId="3893FEE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（7）向乙方推荐分包单位或要求乙方购买合同规定以外的材料、机具设备等;</w:t>
      </w:r>
    </w:p>
    <w:p w14:paraId="614FE51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（8）因乙方拒绝本人的不合理要求，而故意刁难乙方。</w:t>
      </w:r>
    </w:p>
    <w:p w14:paraId="1731B3E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第三条乙方的责任</w:t>
      </w:r>
    </w:p>
    <w:p w14:paraId="5162631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乙方应当通过正常途径开展业务，不得有以下行为：</w:t>
      </w:r>
    </w:p>
    <w:p w14:paraId="2C6A96F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（1）为多结算工程量、多签证、多收工程款等，向甲方及其管理人员行贿或馈赠礼金、有价证券（卡）、贵重礼品;</w:t>
      </w:r>
    </w:p>
    <w:p w14:paraId="3F8EC65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（2）为甲方及其工作人员报销应由甲方单位或个人支付的任何费用;</w:t>
      </w:r>
    </w:p>
    <w:p w14:paraId="0C327D0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（3）安排甲方人员参加超标准宴请、娱乐活动及带有黄、赌性质的娱乐活动;</w:t>
      </w:r>
    </w:p>
    <w:p w14:paraId="5869D49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（4）为甲方人员购置或提供通讯工具、交通工具和高档办公用品等;</w:t>
      </w:r>
    </w:p>
    <w:p w14:paraId="4F99790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（5）乙方向甲方工作人员及其家属或者亲友介绍从事与甲乙双方工程有关的工程分包及材料设备、周转工具的供应、租赁等经营活动。</w:t>
      </w:r>
    </w:p>
    <w:p w14:paraId="2A828F8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第四条 违约责任</w:t>
      </w:r>
    </w:p>
    <w:p w14:paraId="5C51C3E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1.如甲方工作人员有违反本廉政合同书的行为，由甲方纪委查处，追究相应的党纪、政务责任，涉嫌犯罪的，移交司法机关追究刑事责任；对实名举报的，甲方要立即调查，并采取有效措施保障乙方的合法权益，防止报复事件发生。</w:t>
      </w:r>
    </w:p>
    <w:p w14:paraId="17FDAB3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2.如乙方单位或个人有违反本廉政合同书的行为，甲方视情节对乙方处以签约合同价0.5%—1%的罚款，情节较重并给甲方造成损失的，乙方另需赔偿甲方全部经济损失，并取消乙方工程分包资格。</w:t>
      </w:r>
    </w:p>
    <w:p w14:paraId="6C52BB6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宋体"/>
          <w:sz w:val="28"/>
          <w:szCs w:val="28"/>
          <w:highlight w:val="none"/>
        </w:rPr>
      </w:pPr>
      <w:bookmarkStart w:id="85" w:name="_Hlk117694496"/>
      <w:r>
        <w:rPr>
          <w:rFonts w:hint="eastAsia" w:ascii="仿宋_GB2312" w:hAnsi="宋体" w:eastAsia="仿宋_GB2312" w:cs="宋体"/>
          <w:sz w:val="28"/>
          <w:szCs w:val="28"/>
          <w:highlight w:val="none"/>
        </w:rPr>
        <w:t xml:space="preserve">第五条 甲方举报电话：纪委书记【      </w:t>
      </w:r>
      <w:r>
        <w:rPr>
          <w:rFonts w:hint="eastAsia" w:ascii="仿宋_GB2312" w:hAnsi="宋体" w:eastAsia="仿宋_GB2312" w:cs="宋体"/>
          <w:sz w:val="28"/>
          <w:szCs w:val="28"/>
          <w:highlight w:val="none"/>
          <w:lang w:val="en-US" w:eastAsia="zh-CN"/>
        </w:rPr>
        <w:t>/</w:t>
      </w:r>
      <w:r>
        <w:rPr>
          <w:rFonts w:hint="eastAsia" w:ascii="仿宋_GB2312" w:hAnsi="宋体" w:eastAsia="仿宋_GB2312" w:cs="宋体"/>
          <w:sz w:val="28"/>
          <w:szCs w:val="28"/>
          <w:highlight w:val="none"/>
        </w:rPr>
        <w:t xml:space="preserve">     】，纪检监察部【</w:t>
      </w:r>
      <w:r>
        <w:rPr>
          <w:rFonts w:hint="eastAsia" w:ascii="仿宋_GB2312" w:hAnsi="宋体" w:eastAsia="仿宋_GB2312" w:cs="宋体"/>
          <w:sz w:val="28"/>
          <w:szCs w:val="28"/>
          <w:highlight w:val="none"/>
          <w:lang w:val="en-US" w:eastAsia="zh-CN"/>
        </w:rPr>
        <w:t>0755-82292331</w:t>
      </w:r>
      <w:r>
        <w:rPr>
          <w:rFonts w:hint="eastAsia" w:ascii="仿宋_GB2312" w:hAnsi="宋体" w:eastAsia="仿宋_GB2312" w:cs="宋体"/>
          <w:sz w:val="28"/>
          <w:szCs w:val="28"/>
          <w:highlight w:val="none"/>
        </w:rPr>
        <w:t>】。</w:t>
      </w:r>
      <w:bookmarkEnd w:id="85"/>
    </w:p>
    <w:p w14:paraId="4DC224E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ascii="宋体" w:hAnsi="宋体" w:cs="宋体"/>
          <w:b/>
          <w:sz w:val="24"/>
          <w:highlight w:val="none"/>
        </w:rPr>
      </w:pPr>
      <w:r>
        <w:rPr>
          <w:rFonts w:hint="eastAsia" w:ascii="仿宋_GB2312" w:hAnsi="宋体" w:eastAsia="仿宋_GB2312" w:cs="宋体"/>
          <w:sz w:val="28"/>
          <w:szCs w:val="28"/>
          <w:highlight w:val="none"/>
        </w:rPr>
        <w:t>第六条 本廉政合同书作为分包合同的附件，具有同等法律效力，本协议与合同同日生效,至甲乙双方工程合同履约完止。</w:t>
      </w:r>
      <w:r>
        <w:rPr>
          <w:rFonts w:hint="eastAsia" w:ascii="宋体" w:hAnsi="宋体" w:cs="宋体"/>
          <w:b/>
          <w:sz w:val="24"/>
          <w:highlight w:val="none"/>
        </w:rPr>
        <w:br w:type="page"/>
      </w:r>
    </w:p>
    <w:p w14:paraId="7FB141BC">
      <w:pPr>
        <w:pStyle w:val="6"/>
        <w:keepNext/>
        <w:keepLines/>
        <w:pageBreakBefore w:val="0"/>
        <w:widowControl w:val="0"/>
        <w:kinsoku/>
        <w:wordWrap/>
        <w:overflowPunct/>
        <w:topLinePunct w:val="0"/>
        <w:autoSpaceDE/>
        <w:autoSpaceDN/>
        <w:bidi w:val="0"/>
        <w:adjustRightInd/>
        <w:snapToGrid/>
        <w:spacing w:before="156" w:beforeLines="50" w:after="156" w:afterLines="50"/>
        <w:ind w:left="0" w:leftChars="0" w:firstLine="560" w:firstLineChars="200"/>
        <w:jc w:val="both"/>
        <w:textAlignment w:val="auto"/>
        <w:rPr>
          <w:rFonts w:hint="eastAsia" w:ascii="黑体" w:hAnsi="黑体" w:eastAsia="黑体" w:cs="黑体"/>
          <w:b w:val="0"/>
          <w:bCs w:val="0"/>
          <w:kern w:val="2"/>
          <w:sz w:val="28"/>
          <w:szCs w:val="28"/>
          <w:highlight w:val="none"/>
          <w:lang w:val="zh-CN" w:eastAsia="zh-CN" w:bidi="ar-SA"/>
        </w:rPr>
      </w:pPr>
      <w:bookmarkStart w:id="86" w:name="_Toc18826"/>
      <w:r>
        <w:rPr>
          <w:rFonts w:hint="eastAsia" w:ascii="黑体" w:hAnsi="黑体" w:eastAsia="黑体" w:cs="黑体"/>
          <w:b w:val="0"/>
          <w:bCs w:val="0"/>
          <w:kern w:val="2"/>
          <w:sz w:val="28"/>
          <w:szCs w:val="28"/>
          <w:highlight w:val="none"/>
          <w:lang w:val="zh-CN" w:eastAsia="zh-CN" w:bidi="ar-SA"/>
        </w:rPr>
        <w:t>附件</w:t>
      </w:r>
      <w:bookmarkStart w:id="87" w:name="_Toc132053716"/>
      <w:r>
        <w:rPr>
          <w:rFonts w:hint="eastAsia" w:ascii="黑体" w:hAnsi="黑体" w:eastAsia="黑体" w:cs="黑体"/>
          <w:b w:val="0"/>
          <w:bCs w:val="0"/>
          <w:kern w:val="2"/>
          <w:sz w:val="28"/>
          <w:szCs w:val="28"/>
          <w:highlight w:val="none"/>
          <w:lang w:val="zh-CN" w:eastAsia="zh-CN" w:bidi="ar-SA"/>
        </w:rPr>
        <w:t xml:space="preserve">7  </w:t>
      </w:r>
    </w:p>
    <w:p w14:paraId="5CEB3318">
      <w:pPr>
        <w:pStyle w:val="6"/>
        <w:spacing w:before="156" w:beforeLines="50" w:after="156" w:afterLines="50"/>
        <w:ind w:left="0" w:leftChars="0"/>
        <w:jc w:val="center"/>
        <w:rPr>
          <w:rFonts w:ascii="黑体" w:hAnsi="黑体" w:cs="黑体"/>
          <w:highlight w:val="none"/>
          <w:lang w:val="zh-CN"/>
        </w:rPr>
      </w:pPr>
      <w:r>
        <w:rPr>
          <w:rFonts w:hint="eastAsia" w:ascii="黑体" w:hAnsi="黑体" w:cs="黑体"/>
          <w:highlight w:val="none"/>
          <w:lang w:val="zh-CN"/>
        </w:rPr>
        <w:t>工程质量专项管理协议书</w:t>
      </w:r>
      <w:bookmarkEnd w:id="86"/>
      <w:bookmarkEnd w:id="87"/>
    </w:p>
    <w:p w14:paraId="5400ECC1">
      <w:pPr>
        <w:spacing w:line="480" w:lineRule="exact"/>
        <w:ind w:left="2527" w:leftChars="266" w:hanging="1968" w:hangingChars="7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工程名称：</w:t>
      </w:r>
      <w:permStart w:id="186" w:edGrp="everyone"/>
      <w:r>
        <w:rPr>
          <w:rFonts w:hint="eastAsia" w:ascii="仿宋_GB2312" w:hAnsi="仿宋_GB2312" w:eastAsia="仿宋_GB2312" w:cs="仿宋_GB2312"/>
          <w:b/>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sz w:val="28"/>
          <w:szCs w:val="28"/>
          <w:highlight w:val="none"/>
        </w:rPr>
        <w:t>】</w:t>
      </w:r>
    </w:p>
    <w:permEnd w:id="186"/>
    <w:p w14:paraId="7AFC7A89">
      <w:pPr>
        <w:spacing w:line="480" w:lineRule="exact"/>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甲方（承包人）：</w:t>
      </w:r>
      <w:permStart w:id="187" w:edGrp="everyone"/>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w:t>
      </w:r>
      <w:permEnd w:id="187"/>
    </w:p>
    <w:p w14:paraId="7971CB4A">
      <w:pPr>
        <w:spacing w:line="480" w:lineRule="exact"/>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color w:val="000000"/>
          <w:sz w:val="28"/>
          <w:szCs w:val="28"/>
          <w:highlight w:val="none"/>
        </w:rPr>
        <w:t>乙方（分包人）：</w:t>
      </w:r>
      <w:permStart w:id="188" w:edGrp="everyone"/>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w:t>
      </w:r>
      <w:permEnd w:id="188"/>
    </w:p>
    <w:p w14:paraId="53EE374C">
      <w:pPr>
        <w:spacing w:line="48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Cs/>
          <w:sz w:val="28"/>
          <w:szCs w:val="28"/>
          <w:highlight w:val="none"/>
        </w:rPr>
        <w:t xml:space="preserve"> 为明确双方质量责任，加强施工质量过程管控，进一步促进分包人在质量管理和质量效果上的有效落实，提高项目质量管理水平；经双方协商一致，订立本协议：</w:t>
      </w:r>
    </w:p>
    <w:p w14:paraId="425D8150">
      <w:pPr>
        <w:spacing w:line="48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第一条：甲乙双方都必须严格执行以下法律法规及规章制度。</w:t>
      </w:r>
    </w:p>
    <w:p w14:paraId="16A1187C">
      <w:pPr>
        <w:spacing w:line="480" w:lineRule="exact"/>
        <w:ind w:firstLine="420" w:firstLineChars="15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《中华人民共和国建筑法》、《中华人民共和国民法典》、《中华人民共和国招投标法》、《建设工程质量管理条例》、《建筑工程质量验收统一标准》（GB50300</w:t>
      </w:r>
      <w:r>
        <w:rPr>
          <w:rFonts w:hint="eastAsia" w:ascii="仿宋_GB2312" w:hAnsi="仿宋_GB2312" w:eastAsia="仿宋_GB2312" w:cs="仿宋_GB2312"/>
          <w:bCs/>
          <w:sz w:val="28"/>
          <w:szCs w:val="28"/>
          <w:highlight w:val="none"/>
        </w:rPr>
        <w:softHyphen/>
      </w:r>
      <w:r>
        <w:rPr>
          <w:rFonts w:hint="eastAsia" w:ascii="仿宋_GB2312" w:hAnsi="仿宋_GB2312" w:eastAsia="仿宋_GB2312" w:cs="仿宋_GB2312"/>
          <w:bCs/>
          <w:sz w:val="28"/>
          <w:szCs w:val="28"/>
          <w:highlight w:val="none"/>
        </w:rPr>
        <w:t>-2013）、《建筑工程施工质量评价标准》（GB／T50375-2016）等相关法律法规或规范性文件。</w:t>
      </w:r>
    </w:p>
    <w:p w14:paraId="12D73ACC">
      <w:pPr>
        <w:spacing w:line="480" w:lineRule="exact"/>
        <w:ind w:firstLine="490" w:firstLineChars="175"/>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Cs/>
          <w:sz w:val="28"/>
          <w:szCs w:val="28"/>
          <w:highlight w:val="none"/>
        </w:rPr>
        <w:t>涉及分包工程的相关标准、规范、规程等：</w:t>
      </w:r>
      <w:permStart w:id="189" w:edGrp="everyone"/>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color w:val="auto"/>
          <w:sz w:val="28"/>
          <w:szCs w:val="28"/>
        </w:rPr>
        <w:t>工程质量均严格按照施工图的设计要求及国家、广东省、工程所在地及有关施工及验收规范、规程、标准进行施工和验收，工程质量须达到合格</w:t>
      </w:r>
      <w:r>
        <w:rPr>
          <w:rFonts w:hint="eastAsia" w:ascii="仿宋_GB2312" w:hAnsi="仿宋_GB2312" w:eastAsia="仿宋_GB2312" w:cs="仿宋_GB2312"/>
          <w:sz w:val="28"/>
          <w:szCs w:val="28"/>
          <w:highlight w:val="none"/>
        </w:rPr>
        <w:t>】</w:t>
      </w:r>
    </w:p>
    <w:permEnd w:id="189"/>
    <w:p w14:paraId="0587E3DC">
      <w:pPr>
        <w:spacing w:line="480" w:lineRule="exact"/>
        <w:ind w:firstLine="490" w:firstLineChars="175"/>
        <w:rPr>
          <w:rFonts w:hint="eastAsia" w:ascii="仿宋_GB2312" w:hAnsi="仿宋_GB2312" w:eastAsia="仿宋_GB2312" w:cs="仿宋_GB2312"/>
          <w:color w:val="auto"/>
          <w:sz w:val="28"/>
          <w:szCs w:val="28"/>
        </w:rPr>
      </w:pPr>
      <w:r>
        <w:rPr>
          <w:rFonts w:hint="eastAsia" w:ascii="仿宋_GB2312" w:hAnsi="仿宋_GB2312" w:eastAsia="仿宋_GB2312" w:cs="仿宋_GB2312"/>
          <w:bCs/>
          <w:sz w:val="28"/>
          <w:szCs w:val="28"/>
          <w:highlight w:val="none"/>
        </w:rPr>
        <w:t>公司的各项规章制度：</w:t>
      </w:r>
      <w:permStart w:id="190" w:edGrp="everyone"/>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 xml:space="preserve"> 分包单位必须制定质量实施计划、分项工程质量控制措施、实测实量计划等。</w:t>
      </w:r>
    </w:p>
    <w:p w14:paraId="38C0F95D">
      <w:pPr>
        <w:spacing w:line="480" w:lineRule="exact"/>
        <w:ind w:firstLine="490" w:firstLineChars="17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 xml:space="preserve"> 总包单位对分包单位进场人员必须进行质量技术交底工作，进行质量培训，建立人员质量档案，分包单位紧后必须对进场工人与管理人员进行质量技术交底与培训，对不合格人员视情况，进入下期培训或直接辞退。 </w:t>
      </w:r>
    </w:p>
    <w:p w14:paraId="51A87302">
      <w:pPr>
        <w:spacing w:line="480" w:lineRule="exact"/>
        <w:ind w:firstLine="490" w:firstLineChars="17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3分包必须全面配合总包质量检查工作、实测实量工作等，对质量问题无条件配合整改。</w:t>
      </w:r>
    </w:p>
    <w:p w14:paraId="398D12D5">
      <w:pPr>
        <w:spacing w:line="480" w:lineRule="exact"/>
        <w:ind w:firstLine="490" w:firstLineChars="17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如分包人员（管理人员和工人）不称职，总包有权随时调换或清退，分包必须无条件配合。</w:t>
      </w:r>
    </w:p>
    <w:p w14:paraId="76DFCD1B">
      <w:pPr>
        <w:spacing w:line="480" w:lineRule="exact"/>
        <w:ind w:firstLine="490" w:firstLineChars="17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所有分项工程，分包必须自检合格后，才能通知总包验收，必须提供合格品给总包。</w:t>
      </w:r>
    </w:p>
    <w:p w14:paraId="24C7C3B0">
      <w:pPr>
        <w:spacing w:line="480" w:lineRule="exact"/>
        <w:ind w:firstLine="490" w:firstLineChars="17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人员配备要求、数量</w:t>
      </w:r>
    </w:p>
    <w:p w14:paraId="1EA6E4A2">
      <w:pPr>
        <w:spacing w:line="480" w:lineRule="exact"/>
        <w:ind w:firstLine="490" w:firstLineChars="17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专职工程质量管理人员应具备质检员上岗证。</w:t>
      </w:r>
    </w:p>
    <w:p w14:paraId="6748F479">
      <w:pPr>
        <w:spacing w:line="480" w:lineRule="exact"/>
        <w:ind w:firstLine="490" w:firstLineChars="17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配置专职质量管理人员，50以下作业人员的分包单位要配置1名质量员，50~200作业人员的分包要配置2名质量员，200人以上作业人员要配置3名及以上质量员。</w:t>
      </w:r>
    </w:p>
    <w:p w14:paraId="4EFEB3C8">
      <w:pPr>
        <w:spacing w:line="480" w:lineRule="exact"/>
        <w:ind w:firstLine="490" w:firstLineChars="175"/>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color w:val="auto"/>
          <w:sz w:val="28"/>
          <w:szCs w:val="28"/>
        </w:rPr>
        <w:t>2.3 分包必须参加总包组织的质量分析会，并认真对待，对存在的问题及时纠正整改，参加人员包括分包负责人、技术负责人、质量主管和质检员。</w:t>
      </w:r>
      <w:r>
        <w:rPr>
          <w:rFonts w:hint="eastAsia" w:ascii="仿宋_GB2312" w:hAnsi="仿宋_GB2312" w:eastAsia="仿宋_GB2312" w:cs="仿宋_GB2312"/>
          <w:b/>
          <w:bCs/>
          <w:sz w:val="28"/>
          <w:szCs w:val="28"/>
          <w:highlight w:val="none"/>
        </w:rPr>
        <w:t>】</w:t>
      </w:r>
      <w:permEnd w:id="190"/>
    </w:p>
    <w:p w14:paraId="6165E61F">
      <w:pPr>
        <w:spacing w:line="480" w:lineRule="exac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第二条：本协议的期限自分包工程开工之日起至分包工程质量保修期结束止。</w:t>
      </w:r>
    </w:p>
    <w:p w14:paraId="245AA94E">
      <w:pPr>
        <w:spacing w:line="480" w:lineRule="exac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第三条：质量管理：</w:t>
      </w:r>
    </w:p>
    <w:p w14:paraId="4548936B">
      <w:pPr>
        <w:spacing w:line="480" w:lineRule="exact"/>
        <w:ind w:firstLine="492" w:firstLineChars="175"/>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3.1  项目负责人及专职质量管理人员</w:t>
      </w:r>
    </w:p>
    <w:p w14:paraId="710A7D8F">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甲方委派</w:t>
      </w:r>
      <w:permStart w:id="191" w:edGrp="everyone"/>
      <w:r>
        <w:rPr>
          <w:rFonts w:hint="eastAsia" w:ascii="仿宋_GB2312" w:hAnsi="仿宋_GB2312" w:eastAsia="仿宋_GB2312" w:cs="仿宋_GB2312"/>
          <w:bCs/>
          <w:sz w:val="28"/>
          <w:szCs w:val="28"/>
          <w:highlight w:val="none"/>
        </w:rPr>
        <w:t>【】</w:t>
      </w:r>
      <w:permEnd w:id="191"/>
      <w:r>
        <w:rPr>
          <w:rFonts w:hint="eastAsia" w:ascii="仿宋_GB2312" w:hAnsi="仿宋_GB2312" w:eastAsia="仿宋_GB2312" w:cs="仿宋_GB2312"/>
          <w:bCs/>
          <w:sz w:val="28"/>
          <w:szCs w:val="28"/>
          <w:highlight w:val="none"/>
        </w:rPr>
        <w:t>为甲方现场代表（身份证号：</w:t>
      </w:r>
      <w:permStart w:id="192" w:edGrp="everyone"/>
      <w:r>
        <w:rPr>
          <w:rFonts w:hint="eastAsia" w:ascii="仿宋_GB2312" w:hAnsi="仿宋_GB2312" w:eastAsia="仿宋_GB2312" w:cs="仿宋_GB2312"/>
          <w:bCs/>
          <w:sz w:val="28"/>
          <w:szCs w:val="28"/>
          <w:highlight w:val="none"/>
        </w:rPr>
        <w:t>【】）、【】</w:t>
      </w:r>
      <w:permEnd w:id="192"/>
      <w:r>
        <w:rPr>
          <w:rFonts w:hint="eastAsia" w:ascii="仿宋_GB2312" w:hAnsi="仿宋_GB2312" w:eastAsia="仿宋_GB2312" w:cs="仿宋_GB2312"/>
          <w:bCs/>
          <w:sz w:val="28"/>
          <w:szCs w:val="28"/>
          <w:highlight w:val="none"/>
        </w:rPr>
        <w:t>为质量检查员（身份证号：</w:t>
      </w:r>
      <w:permStart w:id="193" w:edGrp="everyone"/>
      <w:r>
        <w:rPr>
          <w:rFonts w:hint="eastAsia" w:ascii="仿宋_GB2312" w:hAnsi="仿宋_GB2312" w:eastAsia="仿宋_GB2312" w:cs="仿宋_GB2312"/>
          <w:bCs/>
          <w:sz w:val="28"/>
          <w:szCs w:val="28"/>
          <w:highlight w:val="none"/>
        </w:rPr>
        <w:t>【】</w:t>
      </w:r>
      <w:permEnd w:id="193"/>
      <w:r>
        <w:rPr>
          <w:rFonts w:hint="eastAsia" w:ascii="仿宋_GB2312" w:hAnsi="仿宋_GB2312" w:eastAsia="仿宋_GB2312" w:cs="仿宋_GB2312"/>
          <w:bCs/>
          <w:sz w:val="28"/>
          <w:szCs w:val="28"/>
          <w:highlight w:val="none"/>
        </w:rPr>
        <w:t>），代表甲方对工程质量进行全面管理。</w:t>
      </w:r>
    </w:p>
    <w:p w14:paraId="4E982840">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乙方委派</w:t>
      </w:r>
      <w:permStart w:id="194" w:edGrp="everyone"/>
      <w:r>
        <w:rPr>
          <w:rFonts w:hint="eastAsia" w:ascii="仿宋_GB2312" w:hAnsi="仿宋_GB2312" w:eastAsia="仿宋_GB2312" w:cs="仿宋_GB2312"/>
          <w:bCs/>
          <w:sz w:val="28"/>
          <w:szCs w:val="28"/>
          <w:highlight w:val="none"/>
        </w:rPr>
        <w:t>【】</w:t>
      </w:r>
      <w:permEnd w:id="194"/>
      <w:r>
        <w:rPr>
          <w:rFonts w:hint="eastAsia" w:ascii="仿宋_GB2312" w:hAnsi="仿宋_GB2312" w:eastAsia="仿宋_GB2312" w:cs="仿宋_GB2312"/>
          <w:bCs/>
          <w:sz w:val="28"/>
          <w:szCs w:val="28"/>
          <w:highlight w:val="none"/>
        </w:rPr>
        <w:t>为乙方现场代表（身份证号：</w:t>
      </w:r>
      <w:permStart w:id="195" w:edGrp="everyone"/>
      <w:r>
        <w:rPr>
          <w:rFonts w:hint="eastAsia" w:ascii="仿宋_GB2312" w:hAnsi="仿宋_GB2312" w:eastAsia="仿宋_GB2312" w:cs="仿宋_GB2312"/>
          <w:bCs/>
          <w:sz w:val="28"/>
          <w:szCs w:val="28"/>
          <w:highlight w:val="none"/>
        </w:rPr>
        <w:t>【】）、【】</w:t>
      </w:r>
      <w:permEnd w:id="195"/>
      <w:r>
        <w:rPr>
          <w:rFonts w:hint="eastAsia" w:ascii="仿宋_GB2312" w:hAnsi="仿宋_GB2312" w:eastAsia="仿宋_GB2312" w:cs="仿宋_GB2312"/>
          <w:bCs/>
          <w:sz w:val="28"/>
          <w:szCs w:val="28"/>
          <w:highlight w:val="none"/>
        </w:rPr>
        <w:t>为质量检查员（身份证号：</w:t>
      </w:r>
      <w:permStart w:id="196" w:edGrp="everyone"/>
      <w:r>
        <w:rPr>
          <w:rFonts w:hint="eastAsia" w:ascii="仿宋_GB2312" w:hAnsi="仿宋_GB2312" w:eastAsia="仿宋_GB2312" w:cs="仿宋_GB2312"/>
          <w:bCs/>
          <w:sz w:val="28"/>
          <w:szCs w:val="28"/>
          <w:highlight w:val="none"/>
        </w:rPr>
        <w:t>【】</w:t>
      </w:r>
      <w:permEnd w:id="196"/>
      <w:r>
        <w:rPr>
          <w:rFonts w:hint="eastAsia" w:ascii="仿宋_GB2312" w:hAnsi="仿宋_GB2312" w:eastAsia="仿宋_GB2312" w:cs="仿宋_GB2312"/>
          <w:bCs/>
          <w:sz w:val="28"/>
          <w:szCs w:val="28"/>
          <w:highlight w:val="none"/>
        </w:rPr>
        <w:t>），代表乙方对工程质量进行全面管理。</w:t>
      </w:r>
    </w:p>
    <w:p w14:paraId="62B103DD">
      <w:pPr>
        <w:spacing w:line="480" w:lineRule="exact"/>
        <w:ind w:firstLine="490" w:firstLineChars="175"/>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甲方技术质量部门对工程质量的控制过程进行监督检查。</w:t>
      </w:r>
    </w:p>
    <w:p w14:paraId="6B134F6C">
      <w:pPr>
        <w:spacing w:line="480" w:lineRule="exact"/>
        <w:ind w:firstLine="490" w:firstLineChars="175"/>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乙方进场后，不按要求配备专职质量管理人员的，限七日内改正，逾期不改的，每缺少一人，按照【</w:t>
      </w:r>
      <w:r>
        <w:rPr>
          <w:rFonts w:hint="eastAsia" w:ascii="仿宋_GB2312" w:hAnsi="仿宋_GB2312" w:eastAsia="仿宋_GB2312" w:cs="仿宋_GB2312"/>
          <w:bCs/>
          <w:sz w:val="28"/>
          <w:szCs w:val="28"/>
          <w:highlight w:val="none"/>
          <w:lang w:val="en-US" w:eastAsia="zh-CN"/>
        </w:rPr>
        <w:t>1000</w:t>
      </w:r>
      <w:r>
        <w:rPr>
          <w:rFonts w:hint="eastAsia" w:ascii="仿宋_GB2312" w:hAnsi="仿宋_GB2312" w:eastAsia="仿宋_GB2312" w:cs="仿宋_GB2312"/>
          <w:bCs/>
          <w:sz w:val="28"/>
          <w:szCs w:val="28"/>
          <w:highlight w:val="none"/>
        </w:rPr>
        <w:t>】元/天承担违约金。乙方进行专职质量管理人员变动（更换或调离）必须得到甲方现场代表事先同意并书面确认，否则按缺少人员承担违约金。</w:t>
      </w:r>
    </w:p>
    <w:p w14:paraId="41CCAB30">
      <w:pPr>
        <w:spacing w:line="480" w:lineRule="exact"/>
        <w:ind w:firstLine="492" w:firstLineChars="175"/>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3.2  本项目质量管理目标</w:t>
      </w:r>
    </w:p>
    <w:p w14:paraId="46B1F9E7">
      <w:pPr>
        <w:spacing w:line="480" w:lineRule="exact"/>
        <w:ind w:firstLine="490" w:firstLineChars="175"/>
        <w:rPr>
          <w:rFonts w:hint="eastAsia" w:ascii="仿宋_GB2312" w:hAnsi="仿宋_GB2312" w:eastAsia="仿宋_GB2312" w:cs="仿宋_GB2312"/>
          <w:bCs/>
          <w:sz w:val="28"/>
          <w:szCs w:val="28"/>
          <w:highlight w:val="none"/>
        </w:rPr>
      </w:pPr>
      <w:permStart w:id="197" w:edGrp="everyone"/>
      <w:r>
        <w:rPr>
          <w:rFonts w:hint="eastAsia" w:ascii="仿宋_GB2312" w:hAnsi="仿宋_GB2312" w:eastAsia="仿宋_GB2312" w:cs="仿宋_GB2312"/>
          <w:bCs/>
          <w:sz w:val="28"/>
          <w:szCs w:val="28"/>
          <w:highlight w:val="none"/>
        </w:rPr>
        <w:t>3.2.1  工程质量目标：合格、创【</w:t>
      </w:r>
      <w:r>
        <w:rPr>
          <w:rFonts w:hint="eastAsia" w:ascii="仿宋_GB2312" w:hAnsi="宋体" w:eastAsia="仿宋_GB2312" w:cs="宋体"/>
          <w:color w:val="auto"/>
          <w:sz w:val="28"/>
          <w:szCs w:val="28"/>
          <w:highlight w:val="none"/>
          <w:lang w:val="en-US" w:eastAsia="zh-CN"/>
        </w:rPr>
        <w:t>/</w:t>
      </w:r>
      <w:r>
        <w:rPr>
          <w:rFonts w:hint="eastAsia" w:ascii="仿宋_GB2312" w:hAnsi="仿宋_GB2312" w:eastAsia="仿宋_GB2312" w:cs="仿宋_GB2312"/>
          <w:bCs/>
          <w:sz w:val="28"/>
          <w:szCs w:val="28"/>
          <w:highlight w:val="none"/>
        </w:rPr>
        <w:t>】工程（如国优、鲁班奖、詹天佑奖等，最高创优目标）</w:t>
      </w:r>
    </w:p>
    <w:p w14:paraId="50127143">
      <w:pPr>
        <w:spacing w:line="480" w:lineRule="exact"/>
        <w:ind w:firstLine="490" w:firstLineChars="175"/>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3.2.2  土建质量目标：【</w:t>
      </w:r>
      <w:r>
        <w:rPr>
          <w:rFonts w:hint="eastAsia" w:ascii="仿宋_GB2312" w:hAnsi="宋体" w:eastAsia="仿宋_GB2312" w:cs="宋体"/>
          <w:color w:val="auto"/>
          <w:sz w:val="28"/>
          <w:szCs w:val="28"/>
          <w:highlight w:val="none"/>
          <w:lang w:val="en-US" w:eastAsia="zh-CN"/>
        </w:rPr>
        <w:t>/</w:t>
      </w:r>
      <w:r>
        <w:rPr>
          <w:rFonts w:hint="eastAsia" w:ascii="仿宋_GB2312" w:hAnsi="仿宋_GB2312" w:eastAsia="仿宋_GB2312" w:cs="仿宋_GB2312"/>
          <w:bCs/>
          <w:sz w:val="28"/>
          <w:szCs w:val="28"/>
          <w:highlight w:val="none"/>
        </w:rPr>
        <w:t>】优质结构奖</w:t>
      </w:r>
    </w:p>
    <w:p w14:paraId="3B8BFC6F">
      <w:pPr>
        <w:spacing w:line="480" w:lineRule="exact"/>
        <w:ind w:firstLine="490" w:firstLineChars="175"/>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3.2.3  钢结构专业目标：【</w:t>
      </w:r>
      <w:r>
        <w:rPr>
          <w:rFonts w:hint="eastAsia" w:ascii="仿宋_GB2312" w:hAnsi="宋体" w:eastAsia="仿宋_GB2312" w:cs="宋体"/>
          <w:color w:val="auto"/>
          <w:sz w:val="28"/>
          <w:szCs w:val="28"/>
          <w:highlight w:val="none"/>
          <w:lang w:val="en-US" w:eastAsia="zh-CN"/>
        </w:rPr>
        <w:t>/</w:t>
      </w:r>
      <w:r>
        <w:rPr>
          <w:rFonts w:hint="eastAsia" w:ascii="仿宋_GB2312" w:hAnsi="仿宋_GB2312" w:eastAsia="仿宋_GB2312" w:cs="仿宋_GB2312"/>
          <w:bCs/>
          <w:sz w:val="28"/>
          <w:szCs w:val="28"/>
          <w:highlight w:val="none"/>
        </w:rPr>
        <w:t xml:space="preserve"> 】奖</w:t>
      </w:r>
    </w:p>
    <w:p w14:paraId="4D5CB462">
      <w:pPr>
        <w:spacing w:line="480" w:lineRule="exact"/>
        <w:ind w:firstLine="490" w:firstLineChars="175"/>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3.2.4  装饰装修目标：【</w:t>
      </w:r>
      <w:r>
        <w:rPr>
          <w:rFonts w:hint="eastAsia" w:ascii="仿宋_GB2312" w:hAnsi="宋体" w:eastAsia="仿宋_GB2312" w:cs="宋体"/>
          <w:color w:val="auto"/>
          <w:sz w:val="28"/>
          <w:szCs w:val="28"/>
          <w:highlight w:val="none"/>
          <w:lang w:val="en-US" w:eastAsia="zh-CN"/>
        </w:rPr>
        <w:t>/</w:t>
      </w:r>
      <w:r>
        <w:rPr>
          <w:rFonts w:hint="eastAsia" w:ascii="仿宋_GB2312" w:hAnsi="仿宋_GB2312" w:eastAsia="仿宋_GB2312" w:cs="仿宋_GB2312"/>
          <w:bCs/>
          <w:sz w:val="28"/>
          <w:szCs w:val="28"/>
          <w:highlight w:val="none"/>
        </w:rPr>
        <w:t>】优质工程奖</w:t>
      </w:r>
    </w:p>
    <w:p w14:paraId="5DEF2137">
      <w:pPr>
        <w:spacing w:line="480" w:lineRule="exact"/>
        <w:ind w:firstLine="490" w:firstLineChars="175"/>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3.2.5  安装专业目标：【</w:t>
      </w:r>
      <w:r>
        <w:rPr>
          <w:rFonts w:hint="eastAsia" w:ascii="仿宋_GB2312" w:hAnsi="宋体" w:eastAsia="仿宋_GB2312" w:cs="宋体"/>
          <w:color w:val="auto"/>
          <w:sz w:val="28"/>
          <w:szCs w:val="28"/>
          <w:highlight w:val="none"/>
          <w:lang w:val="en-US" w:eastAsia="zh-CN"/>
        </w:rPr>
        <w:t>/</w:t>
      </w:r>
      <w:r>
        <w:rPr>
          <w:rFonts w:hint="eastAsia" w:ascii="仿宋_GB2312" w:hAnsi="仿宋_GB2312" w:eastAsia="仿宋_GB2312" w:cs="仿宋_GB2312"/>
          <w:bCs/>
          <w:sz w:val="28"/>
          <w:szCs w:val="28"/>
          <w:highlight w:val="none"/>
        </w:rPr>
        <w:t>】奖</w:t>
      </w:r>
    </w:p>
    <w:permEnd w:id="197"/>
    <w:p w14:paraId="47832502">
      <w:pPr>
        <w:spacing w:line="48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第四条：甲方责任及义务：</w:t>
      </w:r>
    </w:p>
    <w:p w14:paraId="5A373AD5">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4.1  甲方负责施工现场工程质量的统一管理，负责监督检查乙方在工程质量控制过程中的一切活动。</w:t>
      </w:r>
    </w:p>
    <w:p w14:paraId="60749C68">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4.2  甲方负责组织协调各单位在工程开工前，编制完成施工组织总设计及工程质量保证措施、创优策划、验收程序等，并进行现场指导。</w:t>
      </w:r>
    </w:p>
    <w:p w14:paraId="00DBD934">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4.3  甲方负责向乙方发放图纸、设计变更等。甲方为乙方提供每个楼层（按楼座或功能分区考虑）的标高、定位的基准点（线），乙方应严格按甲方提供的标高、定位的基准点（线）进行工程细部放线。</w:t>
      </w:r>
    </w:p>
    <w:p w14:paraId="55FE1E92">
      <w:pPr>
        <w:spacing w:line="480" w:lineRule="exact"/>
        <w:ind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Cs/>
          <w:sz w:val="28"/>
          <w:szCs w:val="28"/>
          <w:highlight w:val="none"/>
        </w:rPr>
        <w:t>4.4  甲方在施工过程中，发现乙方不按设计图纸、施工方案、技术交底组织施工，违章操作，严重危害工程质量时，有权要求立即停止施工，并对乙方进行经济处罚；</w:t>
      </w:r>
      <w:r>
        <w:rPr>
          <w:rFonts w:hint="eastAsia" w:ascii="仿宋_GB2312" w:hAnsi="仿宋_GB2312" w:eastAsia="仿宋_GB2312" w:cs="仿宋_GB2312"/>
          <w:b/>
          <w:bCs/>
          <w:sz w:val="28"/>
          <w:szCs w:val="28"/>
          <w:highlight w:val="none"/>
        </w:rPr>
        <w:t>情节严重的，甲方有权终止合同。</w:t>
      </w:r>
    </w:p>
    <w:p w14:paraId="4342661B">
      <w:pPr>
        <w:spacing w:line="480" w:lineRule="exact"/>
        <w:ind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Cs/>
          <w:sz w:val="28"/>
          <w:szCs w:val="28"/>
          <w:highlight w:val="none"/>
        </w:rPr>
        <w:t>4.5  经甲方质检员口头要求、或下发整改通知单后，未整改或整改后达不到合格标准的，甲方有权按照甲方项目部所制订的《工程项目质量奖罚管理规定》进行质量罚款，对质量管理较好的项目根据质量评比情况进行奖励，质量奖罚由甲方向乙方出具书面质量奖罚单。</w:t>
      </w:r>
      <w:r>
        <w:rPr>
          <w:rFonts w:hint="eastAsia" w:ascii="仿宋_GB2312" w:hAnsi="仿宋_GB2312" w:eastAsia="仿宋_GB2312" w:cs="仿宋_GB2312"/>
          <w:b/>
          <w:bCs/>
          <w:sz w:val="28"/>
          <w:szCs w:val="28"/>
          <w:highlight w:val="none"/>
        </w:rPr>
        <w:t>对于甲方出具的罚款通知单，以罚款通知单下发之日为生效之日。</w:t>
      </w:r>
    </w:p>
    <w:p w14:paraId="6486CCA4">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4.6  甲方有权对乙方未经自检的工程拒绝验收，由此产生的费用由乙方自行承担。</w:t>
      </w:r>
    </w:p>
    <w:p w14:paraId="69D5C9BD">
      <w:pPr>
        <w:spacing w:line="480" w:lineRule="exac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第五条：乙方的责任及义务</w:t>
      </w:r>
    </w:p>
    <w:p w14:paraId="4A856EFA">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5.1  乙方必须遵守甲方相关质量管理制度。</w:t>
      </w:r>
    </w:p>
    <w:p w14:paraId="016F4E75">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5.2  乙方在施工过程中必须严格按照设计图纸、现行有效规程、规范施工，工程质量必须达到本协议约定的质量目标。</w:t>
      </w:r>
    </w:p>
    <w:p w14:paraId="4FF72796">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5.3  在工程开工前，乙方须建立健全现场质量管理体系，并将质量管理体系、质量保证措施等报甲方确认备案。乙方备案质量管理人员必须与在现场质量管理人员相符，必须持证上岗。</w:t>
      </w:r>
    </w:p>
    <w:p w14:paraId="5E11991B">
      <w:pPr>
        <w:spacing w:line="480" w:lineRule="exact"/>
        <w:ind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Cs/>
          <w:sz w:val="28"/>
          <w:szCs w:val="28"/>
          <w:highlight w:val="none"/>
        </w:rPr>
        <w:t>5.4  乙方必须按照</w:t>
      </w:r>
      <w:r>
        <w:rPr>
          <w:rFonts w:hint="eastAsia" w:ascii="仿宋_GB2312" w:hAnsi="仿宋_GB2312" w:eastAsia="仿宋_GB2312" w:cs="仿宋_GB2312"/>
          <w:b/>
          <w:bCs/>
          <w:sz w:val="28"/>
          <w:szCs w:val="28"/>
          <w:highlight w:val="none"/>
        </w:rPr>
        <w:t>甲方的“样板引路”制度</w:t>
      </w:r>
      <w:r>
        <w:rPr>
          <w:rFonts w:hint="eastAsia" w:ascii="仿宋_GB2312" w:hAnsi="仿宋_GB2312" w:eastAsia="仿宋_GB2312" w:cs="仿宋_GB2312"/>
          <w:bCs/>
          <w:sz w:val="28"/>
          <w:szCs w:val="28"/>
          <w:highlight w:val="none"/>
        </w:rPr>
        <w:t>进行施工，任何分项工程施工前，乙方要先做好样板，经甲方、监理或建设单位验收批准后方可大面积施工，未经验收批准不得进行大面积施工；</w:t>
      </w:r>
      <w:r>
        <w:rPr>
          <w:rFonts w:hint="eastAsia" w:ascii="仿宋_GB2312" w:hAnsi="仿宋_GB2312" w:eastAsia="仿宋_GB2312" w:cs="仿宋_GB2312"/>
          <w:b/>
          <w:bCs/>
          <w:sz w:val="28"/>
          <w:szCs w:val="28"/>
          <w:highlight w:val="none"/>
        </w:rPr>
        <w:t>无样板验收而擅自施工的分项工程，不计入乙方工程量。</w:t>
      </w:r>
    </w:p>
    <w:p w14:paraId="2491D68B">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5.5  乙方班组进入现场施工前，乙方班组长必须对工人进行技术交底。乙方项目专业技术负责人自行组织对专项施工作业人员进行操作交底。内容应符合现行、有效的各类法规、规范及文件、甲方项目部技术质量要求，交底材料和内容应签字并交甲方项目部备案。</w:t>
      </w:r>
    </w:p>
    <w:p w14:paraId="7EFE4474">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5.6  乙方在施工过程中必须严格按照施工组织设计及方案、技术交底施工，要随时接受政府、建设单位、监理、甲方的质量监督检查。</w:t>
      </w:r>
    </w:p>
    <w:p w14:paraId="6FD80D8D">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5.7  施工过程各阶段要严格执行自检、互检、交接检制度，逐道工序由操作和验收人员签字确认。乙方不按要求落实自检、互检、交接检制度并填报相应资料的，按照【 </w:t>
      </w:r>
      <w:r>
        <w:rPr>
          <w:rFonts w:hint="eastAsia" w:ascii="仿宋_GB2312" w:hAnsi="仿宋_GB2312" w:eastAsia="仿宋_GB2312" w:cs="仿宋_GB2312"/>
          <w:bCs/>
          <w:sz w:val="28"/>
          <w:szCs w:val="28"/>
          <w:highlight w:val="none"/>
          <w:lang w:val="en-US" w:eastAsia="zh-CN"/>
        </w:rPr>
        <w:t>2000</w:t>
      </w:r>
      <w:r>
        <w:rPr>
          <w:rFonts w:hint="eastAsia" w:ascii="仿宋_GB2312" w:hAnsi="仿宋_GB2312" w:eastAsia="仿宋_GB2312" w:cs="仿宋_GB2312"/>
          <w:bCs/>
          <w:sz w:val="28"/>
          <w:szCs w:val="28"/>
          <w:highlight w:val="none"/>
        </w:rPr>
        <w:t xml:space="preserve"> 】元/次承担违约金。乙方不履行质量交接检查程序，擅自进行下一道工序施工的按照【 </w:t>
      </w:r>
      <w:r>
        <w:rPr>
          <w:rFonts w:hint="eastAsia" w:ascii="仿宋_GB2312" w:hAnsi="仿宋_GB2312" w:eastAsia="仿宋_GB2312" w:cs="仿宋_GB2312"/>
          <w:bCs/>
          <w:sz w:val="28"/>
          <w:szCs w:val="28"/>
          <w:highlight w:val="none"/>
          <w:lang w:val="en-US" w:eastAsia="zh-CN"/>
        </w:rPr>
        <w:t>10000</w:t>
      </w:r>
      <w:r>
        <w:rPr>
          <w:rFonts w:hint="eastAsia" w:ascii="仿宋_GB2312" w:hAnsi="仿宋_GB2312" w:eastAsia="仿宋_GB2312" w:cs="仿宋_GB2312"/>
          <w:bCs/>
          <w:sz w:val="28"/>
          <w:szCs w:val="28"/>
          <w:highlight w:val="none"/>
        </w:rPr>
        <w:t xml:space="preserve"> 】元/次承担违约金。</w:t>
      </w:r>
    </w:p>
    <w:p w14:paraId="5F354854">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5.8  工程的隐蔽工程、检验批等验收，乙方自检合格后，报甲方验收，乙方质检员、乙方技术人员参加验收，监理确认后签字。当过程验收检验不合格时，甲方质检员行使否决权，检验验收不予通过。乙方要服从甲方质检员的意见组织返修，直至合格后，重新组织检验验收。</w:t>
      </w:r>
    </w:p>
    <w:p w14:paraId="57433424">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5.9  未经验收合格，不得擅自进入下道工序施工，否则，责令其拆除并无条件重新施工，所发生的费用及损失，均由乙方承担，并对相关人员进行罚款处理。</w:t>
      </w:r>
    </w:p>
    <w:p w14:paraId="7E651918">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5.10  乙方必须配合甲方和监理工程师做好验收工作，及时处理验收过程中存在的问题。</w:t>
      </w:r>
    </w:p>
    <w:p w14:paraId="53B74A53">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5.11  工程实体在具备实测实量条件后一周内乙方应完成实测实量工作，并对工程实体实测实量数据进行统计，查找问题、分析原因和制定改进措施，逐步提高实测实量合格率。对连续三次实体质量实测实量合格率低于80%的乙方要被清理出场。</w:t>
      </w:r>
    </w:p>
    <w:p w14:paraId="0FE1EDD3">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5.12  乙方在施工过程中，必须服从甲方的质量管理，按时参加甲方组织的质量检查和质量专题会议，接受甲方的质量罚款，并对质量问题按甲方的要求及时整改，直至达到合格标准；</w:t>
      </w:r>
    </w:p>
    <w:p w14:paraId="64F76C28">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5.13  如出现质量问题或严重缺陷，乙方要及时通知甲方，不得隐瞒，必须按处理措施或方案进行整改，严禁私自处理。</w:t>
      </w:r>
    </w:p>
    <w:p w14:paraId="3623A073">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5.14  当甲方要求对已经隐蔽的工程重新检验时，乙方应按要求进行剥离或开孔，并在检验后重新覆盖或修复。</w:t>
      </w:r>
    </w:p>
    <w:p w14:paraId="48FC9FFB">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5.15  乙方符合甲方《工程项目质量奖罚管理规定》奖励条款的，有权获得奖励。</w:t>
      </w:r>
    </w:p>
    <w:p w14:paraId="17778201">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5.16  对于甲方不按协议或规范要求违章指挥，乙方有权拒绝进行施工。</w:t>
      </w:r>
    </w:p>
    <w:p w14:paraId="6159DAA6">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5.17  材料、设备进场验收必须按照要求进行验收，严禁材料、设备未经验收而进场使用。乙方施工现场的检验、试验、测量器具应按有关规定使用、管理和校验，并建立台账报甲方现场技术管理部门备案，严禁使用未经鉴定或鉴定不合格的试检验及测量设备。</w:t>
      </w:r>
    </w:p>
    <w:p w14:paraId="0322DDFD">
      <w:pPr>
        <w:spacing w:line="480" w:lineRule="exact"/>
        <w:ind w:firstLine="562"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第六条：违反规定的处罚细则</w:t>
      </w:r>
    </w:p>
    <w:p w14:paraId="6CCA3490">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6.1  违反建设工程强制性条文规定，每次处罚2000元。</w:t>
      </w:r>
    </w:p>
    <w:p w14:paraId="2DB4C549">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6.2  不按设计图进行施工或擅自改变设计图纸施工的，处罚5000元/次。</w:t>
      </w:r>
    </w:p>
    <w:p w14:paraId="35CBB520">
      <w:pPr>
        <w:spacing w:line="48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6.3  违反施工方案、技术交底要求野蛮施工，处罚2000元/次。造成质量与安全隐患的按照5000元/次承担违约金，并且承担相应的经济损失。</w:t>
      </w:r>
    </w:p>
    <w:p w14:paraId="347B3D81">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6.4  分项工程（工序）未经验收而擅自进行下道工序施工的，处罚1000元/次。</w:t>
      </w:r>
    </w:p>
    <w:p w14:paraId="2EAB6F95">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6.5  未落实“三检”验收制度，处罚500元/次，未经自检合格报验的，处罚500元/次。</w:t>
      </w:r>
    </w:p>
    <w:p w14:paraId="5C783630">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6.6  分包材料进场前必须按要求进行报验，未按程序报验或使用不合格材料的，罚款1000～5000元/次。</w:t>
      </w:r>
    </w:p>
    <w:p w14:paraId="5200185D">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6.7  乙方违背合同约定，材料以次充好，检验弄虚作假，施工偷工减料，将不合格物资用于工程的按照5000-20000元/次承担违约金，并且承担相应经济损失。</w:t>
      </w:r>
    </w:p>
    <w:p w14:paraId="6D5BA59B">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6.8  未经事先书面同意擅自修补，隐瞒施工质量问题，处罚1000～2000元/处。</w:t>
      </w:r>
    </w:p>
    <w:p w14:paraId="0452631A">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6.9  出现质量问题未及时按甲方要求进行整改或修复，处罚1000元/次。</w:t>
      </w:r>
    </w:p>
    <w:p w14:paraId="6A254824">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6.10  不服从甲方及上级单位质量管理和要求，处罚2000元/次。</w:t>
      </w:r>
    </w:p>
    <w:p w14:paraId="388C3C3F">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6.11  未按时参加甲方组织的验收和检查，处罚2000元/次。</w:t>
      </w:r>
    </w:p>
    <w:p w14:paraId="3D0CABA7">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6.12  对质量整改通知单必须在限定时间内整改及书面回复（回复附整改后照片），如不按要求整改或不落实整改，处罚500～2000元/次。</w:t>
      </w:r>
    </w:p>
    <w:p w14:paraId="4282F2C4">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6.13  连续两次出现同种质量问题，每增加一次罚款金额增加1000～2000元（以甲方发出的质量整改通知单中存在的问题为准）。</w:t>
      </w:r>
    </w:p>
    <w:p w14:paraId="1C445257">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6.14  施工样板未经确认而大面积施工或未按照要求进行样板施工的，处罚2000元。</w:t>
      </w:r>
    </w:p>
    <w:p w14:paraId="5DBD6BFD">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6.15  未按规定对施工成品采取保护措施，根据损坏程度赔偿，并处罚500～1000元/处。</w:t>
      </w:r>
    </w:p>
    <w:p w14:paraId="4AF7B778">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6.16  甲方发出的质量整改通知单，必须及时落实整改，如发现班组反应缓慢或者不落实整改，每次处罚500～3000元。</w:t>
      </w:r>
    </w:p>
    <w:p w14:paraId="4582D709">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6.17 因质量原因出现以下情形的，乙方按照下述承担违约责任。</w:t>
      </w:r>
    </w:p>
    <w:p w14:paraId="63DFC8E8">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1、被建设单位、甲方公司及其上级单位质量检查通报排名倒数后两名的，乙方按照3000～5000元/次承担违约金。同一项目，被连续通报倒数后两名的，违约金加倍。</w:t>
      </w:r>
    </w:p>
    <w:p w14:paraId="29424574">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2、被建设单位投诉到公司及其上级单位主管部门的，乙方按照10000～50000元/次承担违约金。同一项目，半年期内连续被投诉，违约金加倍。</w:t>
      </w:r>
    </w:p>
    <w:p w14:paraId="79B5922F">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3、被新闻媒体曝光的，乙方按照20000～100000元/次承担违约金。</w:t>
      </w:r>
    </w:p>
    <w:p w14:paraId="161D36CA">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4、被政府主管部门行政处罚的，分包单位除按处罚金额交款外，另外按照罚款金额的两倍承担违约金。</w:t>
      </w:r>
    </w:p>
    <w:p w14:paraId="3519E573">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5、被政府主管部门责令停工、限制投标以及降低资质的，乙方按照100000～500000元/次承担违约金。</w:t>
      </w:r>
    </w:p>
    <w:p w14:paraId="569020BB">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6、被国家、地方政府建设主管部门在执法检查中典型通报，违反国家强制性标准，或质量较差造成恶劣影响的，乙方按照100000～500000元/次承担违约金。</w:t>
      </w:r>
    </w:p>
    <w:p w14:paraId="179C0849">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6.18发生质量事故的，乙方按照下述承担违约责任。</w:t>
      </w:r>
    </w:p>
    <w:p w14:paraId="454DA8B6">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1、特别重大质量事故</w:t>
      </w:r>
    </w:p>
    <w:p w14:paraId="09030E76">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特别重大质量事故的直接责任人应依法追究其刑事责任及民事责任。乙方按照500000～1000000元/次承担违约金。</w:t>
      </w:r>
    </w:p>
    <w:p w14:paraId="430EA912">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2、重大质量事故</w:t>
      </w:r>
    </w:p>
    <w:p w14:paraId="4062BA16">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重大质量事故的直接责任人应依法追究其刑事责任及民事责任。乙方按照100000～200000元/次承担违约金。</w:t>
      </w:r>
    </w:p>
    <w:p w14:paraId="4FAF001B">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3、较大质量事故</w:t>
      </w:r>
    </w:p>
    <w:p w14:paraId="58344759">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较大质量事故的直接责任人应依法追究其民事责任，因事故造成人员死亡时应依法追究其刑事责任。乙方按照50000～200000元/次承担违约金。</w:t>
      </w:r>
    </w:p>
    <w:p w14:paraId="437B69B1">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4、一般质量事故</w:t>
      </w:r>
    </w:p>
    <w:p w14:paraId="5E3908B8">
      <w:pPr>
        <w:spacing w:line="48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一般质量事故的直接责任人违约金额度不应低于事故直接经济损失的5%，亦不应低于100000元。乙方按照10000～50000元/次承担违约金。</w:t>
      </w:r>
    </w:p>
    <w:p w14:paraId="521CAD90">
      <w:pPr>
        <w:spacing w:line="480" w:lineRule="exact"/>
        <w:ind w:firstLine="562"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注：上述罚款行为视为乙方的违约行为，罚款视为乙方应支付的违约金，甲方可选择在当期工程款中扣除，也可在最终结算后在应支付乙方工程款中扣除。</w:t>
      </w:r>
    </w:p>
    <w:p w14:paraId="2FF4EEFF">
      <w:pPr>
        <w:spacing w:line="480" w:lineRule="exact"/>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第七条：</w:t>
      </w:r>
      <w:r>
        <w:rPr>
          <w:rFonts w:hint="eastAsia" w:ascii="仿宋_GB2312" w:hAnsi="仿宋_GB2312" w:eastAsia="仿宋_GB2312" w:cs="仿宋_GB2312"/>
          <w:bCs/>
          <w:sz w:val="28"/>
          <w:szCs w:val="28"/>
          <w:highlight w:val="none"/>
        </w:rPr>
        <w:t>本协议作为附件与分包合同同时签订，自乙方于分包合同盖章之日起生效，乙方必须严格执行，由于乙方违反本协议而造成质量问题，由乙方承担经济损失。</w:t>
      </w:r>
    </w:p>
    <w:p w14:paraId="42D9A222">
      <w:pPr>
        <w:rPr>
          <w:rFonts w:ascii="宋体" w:hAnsi="宋体" w:cs="宋体"/>
          <w:szCs w:val="21"/>
          <w:highlight w:val="none"/>
        </w:rPr>
      </w:pPr>
    </w:p>
    <w:p w14:paraId="665D43CF">
      <w:pPr>
        <w:rPr>
          <w:rFonts w:ascii="宋体" w:hAnsi="宋体" w:cs="宋体"/>
          <w:szCs w:val="21"/>
          <w:highlight w:val="none"/>
        </w:rPr>
      </w:pPr>
    </w:p>
    <w:p w14:paraId="44BE9147">
      <w:pPr>
        <w:rPr>
          <w:rFonts w:ascii="宋体" w:hAnsi="宋体" w:cs="宋体"/>
          <w:b/>
          <w:bCs/>
          <w:sz w:val="24"/>
          <w:highlight w:val="none"/>
        </w:rPr>
      </w:pPr>
      <w:r>
        <w:rPr>
          <w:rFonts w:hint="eastAsia" w:ascii="宋体" w:hAnsi="宋体" w:cs="宋体"/>
          <w:b/>
          <w:bCs/>
          <w:sz w:val="24"/>
          <w:highlight w:val="none"/>
        </w:rPr>
        <w:br w:type="page"/>
      </w:r>
    </w:p>
    <w:p w14:paraId="48464C36">
      <w:pPr>
        <w:pStyle w:val="6"/>
        <w:keepNext/>
        <w:keepLines/>
        <w:pageBreakBefore w:val="0"/>
        <w:widowControl w:val="0"/>
        <w:kinsoku/>
        <w:wordWrap/>
        <w:overflowPunct/>
        <w:topLinePunct w:val="0"/>
        <w:autoSpaceDE/>
        <w:autoSpaceDN/>
        <w:bidi w:val="0"/>
        <w:adjustRightInd/>
        <w:snapToGrid/>
        <w:spacing w:before="156" w:beforeLines="50" w:after="156" w:afterLines="50"/>
        <w:ind w:left="0" w:leftChars="0" w:firstLine="560" w:firstLineChars="200"/>
        <w:jc w:val="both"/>
        <w:textAlignment w:val="auto"/>
        <w:rPr>
          <w:rFonts w:ascii="黑体" w:hAnsi="黑体" w:cs="黑体"/>
          <w:highlight w:val="none"/>
          <w:lang w:val="zh-CN"/>
        </w:rPr>
      </w:pPr>
      <w:bookmarkStart w:id="88" w:name="_Toc28128"/>
      <w:r>
        <w:rPr>
          <w:rFonts w:hint="eastAsia" w:ascii="黑体" w:hAnsi="黑体" w:eastAsia="黑体" w:cs="黑体"/>
          <w:b w:val="0"/>
          <w:bCs w:val="0"/>
          <w:kern w:val="2"/>
          <w:sz w:val="28"/>
          <w:szCs w:val="28"/>
          <w:highlight w:val="none"/>
          <w:lang w:val="zh-CN" w:eastAsia="zh-CN" w:bidi="ar-SA"/>
        </w:rPr>
        <w:t>附件8</w:t>
      </w:r>
      <w:bookmarkStart w:id="89" w:name="_Toc132053717"/>
      <w:r>
        <w:rPr>
          <w:rFonts w:hint="eastAsia" w:ascii="黑体" w:hAnsi="黑体" w:eastAsia="黑体" w:cs="黑体"/>
          <w:b w:val="0"/>
          <w:bCs w:val="0"/>
          <w:kern w:val="2"/>
          <w:sz w:val="28"/>
          <w:szCs w:val="28"/>
          <w:highlight w:val="none"/>
          <w:lang w:val="zh-CN" w:eastAsia="zh-CN" w:bidi="ar-SA"/>
        </w:rPr>
        <w:t xml:space="preserve"> </w:t>
      </w:r>
      <w:r>
        <w:rPr>
          <w:rFonts w:hint="eastAsia" w:ascii="黑体" w:hAnsi="黑体" w:cs="黑体"/>
          <w:highlight w:val="none"/>
          <w:lang w:val="zh-CN"/>
        </w:rPr>
        <w:t xml:space="preserve"> </w:t>
      </w:r>
    </w:p>
    <w:p w14:paraId="0E6C80FD">
      <w:pPr>
        <w:pStyle w:val="6"/>
        <w:spacing w:before="156" w:beforeLines="50" w:after="156" w:afterLines="50"/>
        <w:ind w:left="0" w:leftChars="0"/>
        <w:jc w:val="center"/>
        <w:rPr>
          <w:rFonts w:ascii="黑体" w:hAnsi="黑体" w:cs="黑体"/>
          <w:highlight w:val="none"/>
          <w:lang w:val="zh-CN"/>
        </w:rPr>
      </w:pPr>
      <w:r>
        <w:rPr>
          <w:rFonts w:hint="eastAsia" w:ascii="黑体" w:hAnsi="黑体" w:cs="黑体"/>
          <w:highlight w:val="none"/>
          <w:lang w:val="zh-CN"/>
        </w:rPr>
        <w:t>施工现场安全生产管理协议</w:t>
      </w:r>
      <w:bookmarkEnd w:id="88"/>
      <w:bookmarkEnd w:id="89"/>
    </w:p>
    <w:p w14:paraId="1D40259D">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甲方（承包人）：</w:t>
      </w:r>
      <w:permStart w:id="198" w:edGrp="everyone"/>
      <w:r>
        <w:rPr>
          <w:rFonts w:hint="eastAsia" w:ascii="仿宋_GB2312" w:hAnsi="仿宋_GB2312" w:eastAsia="仿宋_GB2312" w:cs="仿宋_GB2312"/>
          <w:b/>
          <w:color w:val="000000"/>
          <w:sz w:val="28"/>
          <w:szCs w:val="28"/>
          <w:highlight w:val="none"/>
        </w:rPr>
        <w:t>【】</w:t>
      </w:r>
    </w:p>
    <w:permEnd w:id="198"/>
    <w:p w14:paraId="69E1B754">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color w:val="000000"/>
          <w:sz w:val="28"/>
          <w:szCs w:val="28"/>
          <w:highlight w:val="none"/>
        </w:rPr>
        <w:t>乙方（分包人）：</w:t>
      </w:r>
      <w:permStart w:id="199" w:edGrp="everyone"/>
      <w:r>
        <w:rPr>
          <w:rFonts w:hint="eastAsia" w:ascii="仿宋_GB2312" w:hAnsi="仿宋_GB2312" w:eastAsia="仿宋_GB2312" w:cs="仿宋_GB2312"/>
          <w:b/>
          <w:color w:val="000000"/>
          <w:sz w:val="28"/>
          <w:szCs w:val="28"/>
          <w:highlight w:val="none"/>
        </w:rPr>
        <w:t>【】</w:t>
      </w:r>
      <w:permEnd w:id="199"/>
    </w:p>
    <w:p w14:paraId="4724E117">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p>
    <w:p w14:paraId="67E9C267">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工程名称：</w:t>
      </w:r>
      <w:permStart w:id="200" w:edGrp="everyone"/>
      <w:r>
        <w:rPr>
          <w:rFonts w:hint="eastAsia" w:ascii="仿宋_GB2312" w:hAnsi="仿宋_GB2312" w:eastAsia="仿宋_GB2312" w:cs="仿宋_GB2312"/>
          <w:sz w:val="28"/>
          <w:szCs w:val="28"/>
          <w:highlight w:val="none"/>
        </w:rPr>
        <w:t>【】</w:t>
      </w:r>
    </w:p>
    <w:permEnd w:id="200"/>
    <w:p w14:paraId="63FE846F">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工程地点：</w:t>
      </w:r>
      <w:permStart w:id="201" w:edGrp="everyone"/>
      <w:r>
        <w:rPr>
          <w:rFonts w:hint="eastAsia" w:ascii="仿宋_GB2312" w:hAnsi="仿宋_GB2312" w:eastAsia="仿宋_GB2312" w:cs="仿宋_GB2312"/>
          <w:sz w:val="28"/>
          <w:szCs w:val="28"/>
          <w:highlight w:val="none"/>
        </w:rPr>
        <w:t>【】</w:t>
      </w:r>
      <w:permEnd w:id="201"/>
    </w:p>
    <w:p w14:paraId="64BD3EB4">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现行的《中华人民共和国安全生产法》、《中华人民共和国建筑法》、《建筑工程安全生产管理条例》等法律、法规和建筑施工行业安全生产管理标准、规范等，甲、乙双方就本工程现场的安全生产、职业健康、文明施工管理工作达成如下协议。</w:t>
      </w:r>
    </w:p>
    <w:p w14:paraId="45658DFB">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一、双方权责</w:t>
      </w:r>
    </w:p>
    <w:p w14:paraId="1E47F447">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（一）甲乙双方共同的责任：</w:t>
      </w:r>
    </w:p>
    <w:p w14:paraId="39888AAE">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严格执行国家、地方有关安全生产的法律、法规，坚持“安全第一、预防为主、综合治理”的方针，全面落实国家、地方和行业管理部门有关安全生产的标准规范，严格落实各项安全生产管理措施，消除生产安全事故隐患，确保员工生命、财产安全。</w:t>
      </w:r>
    </w:p>
    <w:p w14:paraId="3CFE487C">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（二）甲方的权责</w:t>
      </w:r>
    </w:p>
    <w:p w14:paraId="552F6E5C">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 对施工现场所有施工生产活动进行全面安全管理，制定全员安全生产责任制、安全生产规章制度和安全操作规程，督促乙方落实。</w:t>
      </w:r>
    </w:p>
    <w:p w14:paraId="070C3FD4">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 建立安全例会制度。组织召开安全生产周例会，研究、部署和落实项目安全生产有关工作。遇有特殊情况时，随时召开安全会议。</w:t>
      </w:r>
    </w:p>
    <w:p w14:paraId="6E390F03">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 建立安全生产检查制度。组织开展安全生产周检查工作和定期安全生产隐患排查工作，发出整改通知单，督促乙方完成整改事项。对乙方现场施工生产活动进行日常监督检查，纠正违章作业、违章指挥和违反劳动纪律的现象。</w:t>
      </w:r>
    </w:p>
    <w:p w14:paraId="38702B7B">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 建立安全教育培训制度。组织乙方进场工人进行入场安全教育。组织进行乙方特种作业人员月度安全教育。在节假日及季节转换时，进行专题教育。督促乙方开展每日早班会安全教育活动。督促乙方开展三级安全教育活动。收集有关安全生产教育培训资料。督促乙方清退安全生产教育培训考核不合格的人员。</w:t>
      </w:r>
    </w:p>
    <w:p w14:paraId="79E8B275">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 负责编制工程施工组织设计，审查乙方编制的危大工程和超危工程等安全专项方案，组织开展超危工程方案专家论证。督促乙方开展安全技术交底工作，并留存安全技术交底资料。</w:t>
      </w:r>
    </w:p>
    <w:p w14:paraId="3A65153F">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监督乙方按照施工组织设计和安全专项施工方案要求组织施工生产，落实安全保障措施。</w:t>
      </w:r>
    </w:p>
    <w:p w14:paraId="0B747BC0">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 足额投入安全生产措施费用，督促乙方按规定足额使用安全措施费。</w:t>
      </w:r>
    </w:p>
    <w:p w14:paraId="40E03C91">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 督促乙方按照规定配齐安全管理人员，监督乙方现场代表、安全员、班组长和作业人员履行安全生产责任和义务，定期对乙方现场代表、安全员、班组长进行安全生产履职考核。为乙方专职安全生产管理人员提供办公场所。</w:t>
      </w:r>
    </w:p>
    <w:p w14:paraId="50B321E3">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 编制施工现场应急救援预案，根据方案要求储备应急救援物资、设备，并定期组织演练。</w:t>
      </w:r>
    </w:p>
    <w:p w14:paraId="6AC32134">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 组织基坑工程、模板工程、临时用电、机械设备、防护设施、防护用品、高处作业、脚手架等分部分项工程的安全验收，提出验收意见，督促乙方对不合格项进行整改。</w:t>
      </w:r>
    </w:p>
    <w:p w14:paraId="62C4F821">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 在施工现场显要位置公布施工现场危险源，在施工现场危险作业部位设置警示标识。</w:t>
      </w:r>
    </w:p>
    <w:p w14:paraId="5776789E">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（三）乙方的权责</w:t>
      </w:r>
    </w:p>
    <w:p w14:paraId="6B58AF2A">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 层层落实安全生产责任，杜绝死亡、重伤、火灾、交通、职业病、食品中毒等事故。</w:t>
      </w:r>
    </w:p>
    <w:p w14:paraId="7DC5C90B">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 加强自身安全管理工作，服从甲方的管理，按照甲方的管理制度、操作规程、安全施工方案、安全策划、安全交底等开展现场的施工生产工作。若不服从甲方管理，导致事故的，承担事故主要责任。</w:t>
      </w:r>
    </w:p>
    <w:p w14:paraId="12240983">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 按国家有关规定配足安全管理人员，安全管理人员需持建设行政主管部门颁发的安全生产考核合格证，且注册单位与用人单位一致。安全管理人员应当先于作业人员进场并晚于施工人员退场。</w:t>
      </w:r>
    </w:p>
    <w:p w14:paraId="45FC1C46">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未按照建质［2008］91号文件规定配备专职安全管理人员的，或专职安全管理人员配备不足的，按照合同条款进行处置。乙方专职安全管理人员应当与甲方专职安全管理人员合署办公，乙方专职安全生产管理人员应当服从甲方的统一管理。</w:t>
      </w:r>
    </w:p>
    <w:p w14:paraId="19FC2763">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 新工人进场前，应当完成所有工人的三级安全教育工作，并向甲方提供教育培训档案。</w:t>
      </w:r>
    </w:p>
    <w:p w14:paraId="60005F83">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工人进场前，应当向甲方提供现场管理人员和工人的花名册、特种作业人员台账。调出和调进人员应提前向甲方报告。</w:t>
      </w:r>
    </w:p>
    <w:p w14:paraId="1B90C49C">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应当在新工人进场3天内，安排所有新工人接受甲方组织的入场安全教育，清退入场安全教育考核不合格的工人。未经三级安全教育和入场安全教育的工人不得进入施工现场工作，否则产生的后果由乙方承担。</w:t>
      </w:r>
    </w:p>
    <w:p w14:paraId="1FFADA67">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每日组织开展安全生产早班会。督促每一个班组、每一名参加当天生产活动的工人接受早班会教育。每天早班会教育活动完成后，应及时向甲方报送早班会活动相关资料。</w:t>
      </w:r>
    </w:p>
    <w:p w14:paraId="00A1C8B8">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工人进场前，乙方应对工人年龄、健康状况进行筛查，不得安排60周岁以</w:t>
      </w:r>
      <w:bookmarkStart w:id="90" w:name="_Hlk132056563"/>
      <w:r>
        <w:rPr>
          <w:rFonts w:hint="eastAsia" w:ascii="仿宋_GB2312" w:hAnsi="仿宋_GB2312" w:eastAsia="仿宋_GB2312" w:cs="仿宋_GB2312"/>
          <w:sz w:val="28"/>
          <w:szCs w:val="28"/>
          <w:highlight w:val="none"/>
        </w:rPr>
        <w:t>上</w:t>
      </w:r>
      <w:bookmarkEnd w:id="90"/>
      <w:r>
        <w:rPr>
          <w:rFonts w:hint="eastAsia" w:ascii="仿宋_GB2312" w:hAnsi="仿宋_GB2312" w:eastAsia="仿宋_GB2312" w:cs="仿宋_GB2312"/>
          <w:sz w:val="28"/>
          <w:szCs w:val="28"/>
          <w:highlight w:val="none"/>
        </w:rPr>
        <w:t>男普通工人、50周岁以上女普通工人、55周岁以上男特殊工种、45周岁以上女特殊工种、有身体残疾、有不适合施工现场作业疾病（心脏病、精神疾病、癫痫病等）的人员进入施工现场。不得安排年龄超过55周岁的工人从事登高、有限空间作业等高危险作业。为预防传染病，在进场前，需提供最近三个月内的体检报告。若因乙方筛查工作不到位或刻意隐瞒作业人员身体疾病，导致出现意外的，相应责任由乙方承担。</w:t>
      </w:r>
    </w:p>
    <w:p w14:paraId="56F1BBD2">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配备齐全各专业特种作业人员，特种作业人员数量和操作技能应当满足现场生产安全需要。不得安排无证人员从事现场特种作业，特种作业人员进场前应当主动向甲方提供特种作业人员操作证，并对证件的有效性、真实性负责。施工期间，乙方特殊工种工人应每季度体检一次，并将体检报告提供至甲方。乙方要按照甲方管理要求对工人进行安全教育培训，完善考核及签字手续，未经安全教育即进场施工的，责令停工整改的同时，按照【1000】元/人次收取违约金。</w:t>
      </w:r>
    </w:p>
    <w:p w14:paraId="54CA3DF8">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 项目负责人和安全管理人员应参加甲方组织的安全检查、巡查工作，参加甲方组织的安全生产会议，认真落实甲方做出的有关决定。在规定的期限内完成甲方发出的整改事项。</w:t>
      </w:r>
    </w:p>
    <w:p w14:paraId="68D64B36">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 进行受限空间作业、防护设施拆除、脚手架拆除作业、动火作业、爆破作业、起重机械安装、拆除及顶升作业、建（构）筑物拆除作业、电梯井内施工作业、起重吊装作业等危险作业时，应当经过甲方的批准，并办理审批手续。危险作业实施过程中，乙方应当安排专人进行全程监护，督促作业人员按章作业。</w:t>
      </w:r>
    </w:p>
    <w:p w14:paraId="17A1B585">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 应当使用甲方提供的合格防护用品。督促所属的每一名工人规范佩戴和使用防护用品，防护用品包括安全帽、安全带、马甲、绑腿、护目镜、劳保鞋等。现场工人使用的安全帽、马甲等应当样式统一，执行甲方的标准。工人进行高处作业、电梯井作业等有高处坠落风险的作业时，乙方应当督促工人佩戴并正确使用安全带。</w:t>
      </w:r>
    </w:p>
    <w:p w14:paraId="7701A0FD">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 加强自带起重机械、吊篮、运输工具、电箱、电缆、工具、器具等设备设施的检查和验收，不使用无合格证、不能满足规范要求、安全性能不足或存在明显安全缺陷的工具、器具、设备和设施等。</w:t>
      </w:r>
    </w:p>
    <w:p w14:paraId="419DD2D9">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特种设备、吊篮等必须经过具备相应资质的第三方单位进行安装检测和定期检测，检测合格后，经现场建设单位、监理单位、总承包单位、安装单位和使用单位联合验收合格后，方可投入使用。</w:t>
      </w:r>
    </w:p>
    <w:p w14:paraId="4706EC2F">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 加强工人交通安全法制观念的教育，督促工人在上、下班途中遵守交通安全法律、法规，及时发现和制止工人的交通违法和违规行为。</w:t>
      </w:r>
    </w:p>
    <w:p w14:paraId="185FF627">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 加强零散、突击用工安全管理，零散和突击用工进场前，应当向甲方报告，由甲方进行入场安全教育和安全作业能力审查，未经三级教育、入场教育和安全技术交底的人员，不得安排进入施工现场施工。零散、突击用工施工时，要安排专人进行旁站监督，要加强巡视检查。</w:t>
      </w:r>
    </w:p>
    <w:p w14:paraId="3733C08E">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 不得超时间、超强度、超能力安排工人进行生产作业活动。应当根据甲方制定的作息时间表安排工人上、下班，禁止工人在非正常工作时段进入施工现场，应当督促工人在下班后及时离开施工现场。</w:t>
      </w:r>
    </w:p>
    <w:p w14:paraId="5D454238">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加班期间，乙方应当每天安排专人负责值班，在所有工人撤场后，值班人员方可离开现场。施工现场禁止工人午休及留宿。</w:t>
      </w:r>
    </w:p>
    <w:p w14:paraId="215EC240">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 负责编制合同范围内的危险性较大的工程和超过一定规模的危险性较大的分部分项工程安全专项施工方案，履行内部审核程序，将危大工程和超危工程方案报送总承包单位审查。按照超危工程方案专家论证意见，对专项方案进行修改。</w:t>
      </w:r>
    </w:p>
    <w:p w14:paraId="45E28C61">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组织作业工人进行书面安全技术交底，所有作业工人均应当接受安全技术交底。安全技术交底活动应当接受甲方安全生产监督管理人员的监督。技术交底工作完成后，应当及时将相关资料（安全技术交底表、工人签名、交底图片等）交甲方留存备查。</w:t>
      </w:r>
    </w:p>
    <w:p w14:paraId="4B065C29">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 工人作业时，应当安排专职安全管理人员在施工区域范围内进行不间断安全巡查，巡查应当以发现和制止工人的违章操作和违反劳动纪律行为为重点。巡查部位、巡查内容、巡查反馈等巡查要求应当按照甲方的要求执行。在巡查过程中，发现不能立即消除的安全隐患时，应当向甲方报告。发现危及工人安全的险情时，应当安排工人立即撤离，并立即向甲方报告。</w:t>
      </w:r>
    </w:p>
    <w:p w14:paraId="16327686">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参加甲方组织的周检查、日巡查、季节性检查等安全检查，负责对自身所属范围内容的隐患问题进行整改，在规定的期限内完成整改，并向甲方反馈整改情况。</w:t>
      </w:r>
    </w:p>
    <w:p w14:paraId="5B1F43DD">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 现场危大工程和超危工程实施到一定阶段时，应当向总承包单位提出验收申请，经建设单位、监理单位、总承包单位等验收合格后，方可进入下一道工序。</w:t>
      </w:r>
    </w:p>
    <w:p w14:paraId="03C066B5">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16. 参加甲方组织的生产安全事故应急救援演练，掌握应急救援相关要求。</w:t>
      </w:r>
    </w:p>
    <w:p w14:paraId="071EB3FF">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 按照甲方的要求和施工现场的具体情况，足额使用本单位掌握的安全措施费用。</w:t>
      </w:r>
    </w:p>
    <w:p w14:paraId="06501724">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 在同一场地与其他分包单位交叉作业，有可能危及对方安全时，应主动向甲方报告，听从甲方的统一指挥，按照甲方指定的施工顺序进行施工，并安排专职安全生产管理人员进行监护。</w:t>
      </w:r>
    </w:p>
    <w:p w14:paraId="0A93DC36">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 不得在建的建筑物内布置工人宿舍。按照甲方的生活区管理制度，配合甲方做好生活区的卫生、防火、防盗和治安管理等工作。严禁在工人生活区私自使用大功率电器、私拉乱接、破坏临时消防设施；严禁在工人宿舍区聚众赌博。</w:t>
      </w:r>
    </w:p>
    <w:p w14:paraId="2B11B58C">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 食堂工作人员须持健康证上岗；每半年检查一次身体，做好饭菜留样，落实各项预防食物中毒的制度和措施。</w:t>
      </w:r>
    </w:p>
    <w:p w14:paraId="3F49D4FE">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二、事故处理</w:t>
      </w:r>
    </w:p>
    <w:p w14:paraId="37F5C34E">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旦发生生产安全事故，要依据《生产安全事故报告和调查处理条例》的规定进行处理。保护事故现场，及时抢救伤员，防止事故扩大，减少事故损失。由甲方安排向有关方面报告。事故调查处理期间，配合有关部门进行事故调查，按照“四不放过”原则进行事故处理。</w:t>
      </w:r>
    </w:p>
    <w:p w14:paraId="0A3DCC36">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事故发生后，乙方应调动一切资源，做好家属的接待和服务工作，并负责洽谈有关赔偿事宜。乙方在事故中负有责任的，乙方应赔偿甲方在安全事故中支出的各种费用和所遭受的各种损失，相关费用直接从结算价款中直接扣除。</w:t>
      </w:r>
    </w:p>
    <w:p w14:paraId="7252F568">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三、其他</w:t>
      </w:r>
    </w:p>
    <w:p w14:paraId="6D76F80B">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不执行本协议的有关要求，由甲方按照本协议附件：《专业分包现场安全生产违约处罚细则》进行处罚，处罚由甲方管理人员发出书面告知，乙方收到书面告知后，可在7天内提出书面异议。乙方对甲方的处罚有异议时，可书面向甲方现场代表提出复议；对甲方现场代表的决定仍然有异议时，可向甲方上级安全管理部门书面申请复议，甲方上级安全管理部门的决定是最终决定。若在规定的时间内不提出书面异议，处罚自动生效，在乙方当月工程款中直接扣除。</w:t>
      </w:r>
    </w:p>
    <w:p w14:paraId="721E6E3A">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鼓励乙方采取创新举措加强现场安全生产管理工作，提出改进安全生产工作的有效措施建议，乙方对项目安全生产工作有突出贡献的，由甲方进行奖励，奖励经甲方现场代表事先签字同意后，按照甲方商务、财务有关规定办理。</w:t>
      </w:r>
    </w:p>
    <w:p w14:paraId="65BE4882">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在施工过程中遇有本协议未约定情况，甲乙双方需共同遵守国家、地方的有关现行法律、法规、规范、标准等的要求，共同做好现场安全生产工作，确保生产安全。</w:t>
      </w:r>
    </w:p>
    <w:p w14:paraId="6F68705C">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本协议适用范围：（1）人员：甲乙双方所有进入施工现场、项目部、生活区的人员；（2）区域：工程地点围墙以内，大门处门边3米以内；（3）时间：自本协议书签字之日起至乙方完成合同约定工程量之日止。</w:t>
      </w:r>
    </w:p>
    <w:p w14:paraId="0A7EE11C">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permStart w:id="202" w:edGrp="everyone"/>
      <w:r>
        <w:rPr>
          <w:rFonts w:hint="eastAsia" w:ascii="仿宋_GB2312" w:hAnsi="仿宋_GB2312" w:eastAsia="仿宋_GB2312" w:cs="仿宋_GB2312"/>
          <w:sz w:val="28"/>
          <w:szCs w:val="28"/>
          <w:highlight w:val="none"/>
        </w:rPr>
        <w:t>甲方现场安全生产监督管理负责人：【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w:t>
      </w:r>
    </w:p>
    <w:p w14:paraId="1CE66F9C">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宋体" w:eastAsia="仿宋_GB2312" w:cs="宋体"/>
          <w:sz w:val="28"/>
          <w:szCs w:val="28"/>
          <w:highlight w:val="none"/>
        </w:rPr>
      </w:pPr>
      <w:r>
        <w:rPr>
          <w:rFonts w:hint="eastAsia" w:ascii="仿宋_GB2312" w:hAnsi="仿宋_GB2312" w:eastAsia="仿宋_GB2312" w:cs="仿宋_GB2312"/>
          <w:sz w:val="28"/>
          <w:szCs w:val="28"/>
          <w:highlight w:val="none"/>
        </w:rPr>
        <w:t>安全员：1.【</w:t>
      </w:r>
      <w:r>
        <w:rPr>
          <w:rFonts w:hint="eastAsia" w:ascii="仿宋_GB2312" w:hAnsi="宋体" w:eastAsia="仿宋_GB2312" w:cs="宋体"/>
          <w:sz w:val="28"/>
          <w:szCs w:val="28"/>
          <w:highlight w:val="none"/>
        </w:rPr>
        <w:t xml:space="preserve"> 】2.【 】</w:t>
      </w:r>
    </w:p>
    <w:p w14:paraId="10E6CD78">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乙方现场安全负责人：【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w:t>
      </w:r>
    </w:p>
    <w:p w14:paraId="7551EBC5">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宋体" w:eastAsia="仿宋_GB2312" w:cs="宋体"/>
          <w:sz w:val="28"/>
          <w:szCs w:val="28"/>
          <w:highlight w:val="none"/>
        </w:rPr>
      </w:pPr>
      <w:r>
        <w:rPr>
          <w:rFonts w:hint="eastAsia" w:ascii="仿宋_GB2312" w:hAnsi="仿宋_GB2312" w:eastAsia="仿宋_GB2312" w:cs="仿宋_GB2312"/>
          <w:sz w:val="28"/>
          <w:szCs w:val="28"/>
          <w:highlight w:val="none"/>
        </w:rPr>
        <w:t>安全员：1.【</w:t>
      </w:r>
      <w:r>
        <w:rPr>
          <w:rFonts w:hint="eastAsia" w:ascii="仿宋_GB2312" w:hAnsi="宋体" w:eastAsia="仿宋_GB2312" w:cs="宋体"/>
          <w:sz w:val="28"/>
          <w:szCs w:val="28"/>
          <w:highlight w:val="none"/>
        </w:rPr>
        <w:t xml:space="preserve"> 】2.【 】</w:t>
      </w:r>
    </w:p>
    <w:permEnd w:id="202"/>
    <w:p w14:paraId="2D07EFE2">
      <w:pPr>
        <w:keepNext w:val="0"/>
        <w:keepLines w:val="0"/>
        <w:pageBreakBefore w:val="0"/>
        <w:widowControl w:val="0"/>
        <w:kinsoku/>
        <w:wordWrap/>
        <w:overflowPunct/>
        <w:topLinePunct w:val="0"/>
        <w:autoSpaceDE/>
        <w:autoSpaceDN/>
        <w:bidi w:val="0"/>
        <w:adjustRightInd/>
        <w:snapToGrid/>
        <w:spacing w:line="480" w:lineRule="exact"/>
        <w:ind w:left="105" w:leftChars="50" w:right="28" w:firstLine="482"/>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 w:val="28"/>
          <w:szCs w:val="28"/>
          <w:highlight w:val="none"/>
        </w:rPr>
        <w:t>本协议作为附件与分包合同同时签订。</w:t>
      </w:r>
    </w:p>
    <w:p w14:paraId="4AC22439">
      <w:pPr>
        <w:spacing w:line="360" w:lineRule="auto"/>
        <w:ind w:right="28"/>
        <w:jc w:val="center"/>
        <w:rPr>
          <w:rFonts w:ascii="仿宋_GB2312" w:hAnsi="宋体" w:eastAsia="仿宋_GB2312" w:cs="宋体"/>
          <w:b/>
          <w:bCs/>
          <w:sz w:val="30"/>
          <w:szCs w:val="30"/>
          <w:highlight w:val="none"/>
        </w:rPr>
      </w:pPr>
      <w:r>
        <w:rPr>
          <w:rFonts w:hint="eastAsia" w:ascii="宋体" w:hAnsi="宋体" w:cs="宋体"/>
          <w:szCs w:val="21"/>
          <w:highlight w:val="none"/>
        </w:rPr>
        <w:br w:type="page"/>
      </w:r>
      <w:r>
        <w:rPr>
          <w:rFonts w:hint="eastAsia" w:ascii="黑体" w:hAnsi="黑体" w:eastAsia="黑体" w:cs="黑体"/>
          <w:b/>
          <w:bCs/>
          <w:sz w:val="28"/>
          <w:szCs w:val="28"/>
          <w:highlight w:val="none"/>
        </w:rPr>
        <w:t>专业分包现场安全生产违约责任承担细则</w:t>
      </w:r>
    </w:p>
    <w:tbl>
      <w:tblPr>
        <w:tblStyle w:val="3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245"/>
        <w:gridCol w:w="1559"/>
        <w:gridCol w:w="788"/>
      </w:tblGrid>
      <w:tr w14:paraId="50A9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C5C3BC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kern w:val="2"/>
                <w:sz w:val="21"/>
                <w:szCs w:val="21"/>
                <w:highlight w:val="none"/>
                <w:lang w:val="en-US" w:eastAsia="zh-CN" w:bidi="ar-SA"/>
              </w:rPr>
              <w:t>序号</w:t>
            </w:r>
          </w:p>
        </w:tc>
        <w:tc>
          <w:tcPr>
            <w:tcW w:w="5245" w:type="dxa"/>
            <w:vAlign w:val="center"/>
          </w:tcPr>
          <w:p w14:paraId="3F1FB35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kern w:val="2"/>
                <w:sz w:val="21"/>
                <w:szCs w:val="21"/>
                <w:highlight w:val="none"/>
                <w:lang w:val="en-US" w:eastAsia="zh-CN" w:bidi="ar-SA"/>
              </w:rPr>
              <w:t>违约情形</w:t>
            </w:r>
          </w:p>
        </w:tc>
        <w:tc>
          <w:tcPr>
            <w:tcW w:w="1559" w:type="dxa"/>
            <w:vAlign w:val="center"/>
          </w:tcPr>
          <w:p w14:paraId="0918E08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kern w:val="2"/>
                <w:sz w:val="21"/>
                <w:szCs w:val="21"/>
                <w:highlight w:val="none"/>
                <w:lang w:val="en-US" w:eastAsia="zh-CN" w:bidi="ar-SA"/>
              </w:rPr>
              <w:t>违约金</w:t>
            </w:r>
          </w:p>
        </w:tc>
        <w:tc>
          <w:tcPr>
            <w:tcW w:w="788" w:type="dxa"/>
            <w:vAlign w:val="center"/>
          </w:tcPr>
          <w:p w14:paraId="0ECB482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kern w:val="2"/>
                <w:sz w:val="21"/>
                <w:szCs w:val="21"/>
                <w:highlight w:val="none"/>
                <w:lang w:val="en-US" w:eastAsia="zh-CN" w:bidi="ar-SA"/>
              </w:rPr>
              <w:t>备注</w:t>
            </w:r>
          </w:p>
        </w:tc>
      </w:tr>
      <w:tr w14:paraId="6709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22AF4D4">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w:t>
            </w:r>
          </w:p>
        </w:tc>
        <w:tc>
          <w:tcPr>
            <w:tcW w:w="5245" w:type="dxa"/>
          </w:tcPr>
          <w:p w14:paraId="2AA2844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未按照规定配齐专职安全生产管理人员</w:t>
            </w:r>
          </w:p>
        </w:tc>
        <w:tc>
          <w:tcPr>
            <w:tcW w:w="1559" w:type="dxa"/>
            <w:vAlign w:val="center"/>
          </w:tcPr>
          <w:p w14:paraId="0BE1C8E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1000元/天/人</w:t>
            </w:r>
          </w:p>
        </w:tc>
        <w:tc>
          <w:tcPr>
            <w:tcW w:w="788" w:type="dxa"/>
          </w:tcPr>
          <w:p w14:paraId="3E56E15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79CB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362BCF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w:t>
            </w:r>
          </w:p>
        </w:tc>
        <w:tc>
          <w:tcPr>
            <w:tcW w:w="5245" w:type="dxa"/>
          </w:tcPr>
          <w:p w14:paraId="63E0946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专职安全生产管理人员兼职其他工作</w:t>
            </w:r>
          </w:p>
        </w:tc>
        <w:tc>
          <w:tcPr>
            <w:tcW w:w="1559" w:type="dxa"/>
            <w:vAlign w:val="center"/>
          </w:tcPr>
          <w:p w14:paraId="2FB085C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2000元/次</w:t>
            </w:r>
          </w:p>
        </w:tc>
        <w:tc>
          <w:tcPr>
            <w:tcW w:w="788" w:type="dxa"/>
          </w:tcPr>
          <w:p w14:paraId="4293C24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1F65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461EA5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w:t>
            </w:r>
          </w:p>
        </w:tc>
        <w:tc>
          <w:tcPr>
            <w:tcW w:w="5245" w:type="dxa"/>
          </w:tcPr>
          <w:p w14:paraId="46481F1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安全管理人员未持有效执业资格证</w:t>
            </w:r>
          </w:p>
        </w:tc>
        <w:tc>
          <w:tcPr>
            <w:tcW w:w="1559" w:type="dxa"/>
            <w:vAlign w:val="center"/>
          </w:tcPr>
          <w:p w14:paraId="062B1BF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1000元</w:t>
            </w:r>
          </w:p>
        </w:tc>
        <w:tc>
          <w:tcPr>
            <w:tcW w:w="788" w:type="dxa"/>
          </w:tcPr>
          <w:p w14:paraId="56B4C1A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0B76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76632E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4</w:t>
            </w:r>
          </w:p>
        </w:tc>
        <w:tc>
          <w:tcPr>
            <w:tcW w:w="5245" w:type="dxa"/>
          </w:tcPr>
          <w:p w14:paraId="01BC53A4">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未完成合同约定工程量，专职安全员提前退场</w:t>
            </w:r>
          </w:p>
        </w:tc>
        <w:tc>
          <w:tcPr>
            <w:tcW w:w="1559" w:type="dxa"/>
            <w:vAlign w:val="center"/>
          </w:tcPr>
          <w:p w14:paraId="3B1B0904">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1000元/天/人</w:t>
            </w:r>
          </w:p>
        </w:tc>
        <w:tc>
          <w:tcPr>
            <w:tcW w:w="788" w:type="dxa"/>
          </w:tcPr>
          <w:p w14:paraId="0AF988C1">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1EB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6C346C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5</w:t>
            </w:r>
          </w:p>
        </w:tc>
        <w:tc>
          <w:tcPr>
            <w:tcW w:w="5245" w:type="dxa"/>
          </w:tcPr>
          <w:p w14:paraId="4DA98D8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专职安全生产管理人员未与甲方合并办公</w:t>
            </w:r>
          </w:p>
        </w:tc>
        <w:tc>
          <w:tcPr>
            <w:tcW w:w="1559" w:type="dxa"/>
            <w:vAlign w:val="center"/>
          </w:tcPr>
          <w:p w14:paraId="753154C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2000元/次</w:t>
            </w:r>
          </w:p>
        </w:tc>
        <w:tc>
          <w:tcPr>
            <w:tcW w:w="788" w:type="dxa"/>
          </w:tcPr>
          <w:p w14:paraId="7ECFBEA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13B7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8496D6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6</w:t>
            </w:r>
          </w:p>
        </w:tc>
        <w:tc>
          <w:tcPr>
            <w:tcW w:w="5245" w:type="dxa"/>
          </w:tcPr>
          <w:p w14:paraId="7F2200F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专职安全生产管理人员未按照甲方要求开展工作</w:t>
            </w:r>
          </w:p>
        </w:tc>
        <w:tc>
          <w:tcPr>
            <w:tcW w:w="1559" w:type="dxa"/>
            <w:vAlign w:val="center"/>
          </w:tcPr>
          <w:p w14:paraId="527F27C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2000元/次</w:t>
            </w:r>
          </w:p>
        </w:tc>
        <w:tc>
          <w:tcPr>
            <w:tcW w:w="788" w:type="dxa"/>
          </w:tcPr>
          <w:p w14:paraId="57CC371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12FC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486923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7</w:t>
            </w:r>
          </w:p>
        </w:tc>
        <w:tc>
          <w:tcPr>
            <w:tcW w:w="5245" w:type="dxa"/>
          </w:tcPr>
          <w:p w14:paraId="23128FF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未安排专职安全生产管理人员在现场巡查</w:t>
            </w:r>
          </w:p>
        </w:tc>
        <w:tc>
          <w:tcPr>
            <w:tcW w:w="1559" w:type="dxa"/>
            <w:vAlign w:val="center"/>
          </w:tcPr>
          <w:p w14:paraId="451C056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1000元/次</w:t>
            </w:r>
          </w:p>
        </w:tc>
        <w:tc>
          <w:tcPr>
            <w:tcW w:w="788" w:type="dxa"/>
          </w:tcPr>
          <w:p w14:paraId="6EFBC7D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5347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1FEEAF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8</w:t>
            </w:r>
          </w:p>
        </w:tc>
        <w:tc>
          <w:tcPr>
            <w:tcW w:w="5245" w:type="dxa"/>
          </w:tcPr>
          <w:p w14:paraId="02D2245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未向甲方提供进场人员名单、身份证复印件</w:t>
            </w:r>
          </w:p>
        </w:tc>
        <w:tc>
          <w:tcPr>
            <w:tcW w:w="1559" w:type="dxa"/>
            <w:vAlign w:val="center"/>
          </w:tcPr>
          <w:p w14:paraId="32269D6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200元/人</w:t>
            </w:r>
          </w:p>
        </w:tc>
        <w:tc>
          <w:tcPr>
            <w:tcW w:w="788" w:type="dxa"/>
          </w:tcPr>
          <w:p w14:paraId="2077046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0FEE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29C934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9</w:t>
            </w:r>
          </w:p>
        </w:tc>
        <w:tc>
          <w:tcPr>
            <w:tcW w:w="5245" w:type="dxa"/>
          </w:tcPr>
          <w:p w14:paraId="7CC97BA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未提供进场工人进行三级安全教育资料</w:t>
            </w:r>
          </w:p>
        </w:tc>
        <w:tc>
          <w:tcPr>
            <w:tcW w:w="1559" w:type="dxa"/>
            <w:vAlign w:val="center"/>
          </w:tcPr>
          <w:p w14:paraId="3FC3946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200元/人</w:t>
            </w:r>
          </w:p>
        </w:tc>
        <w:tc>
          <w:tcPr>
            <w:tcW w:w="788" w:type="dxa"/>
          </w:tcPr>
          <w:p w14:paraId="38867EF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7A8D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5F62C7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w:t>
            </w:r>
          </w:p>
        </w:tc>
        <w:tc>
          <w:tcPr>
            <w:tcW w:w="5245" w:type="dxa"/>
          </w:tcPr>
          <w:p w14:paraId="1A17B581">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安排超过60周岁的工人进入现场作业</w:t>
            </w:r>
          </w:p>
        </w:tc>
        <w:tc>
          <w:tcPr>
            <w:tcW w:w="1559" w:type="dxa"/>
            <w:vAlign w:val="center"/>
          </w:tcPr>
          <w:p w14:paraId="234DDD2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500元/人</w:t>
            </w:r>
          </w:p>
        </w:tc>
        <w:tc>
          <w:tcPr>
            <w:tcW w:w="788" w:type="dxa"/>
          </w:tcPr>
          <w:p w14:paraId="1AD4358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7E46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CAEA1C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11</w:t>
            </w:r>
          </w:p>
        </w:tc>
        <w:tc>
          <w:tcPr>
            <w:tcW w:w="5245" w:type="dxa"/>
          </w:tcPr>
          <w:p w14:paraId="71E9FD6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特种作业人员未持有效证件</w:t>
            </w:r>
          </w:p>
        </w:tc>
        <w:tc>
          <w:tcPr>
            <w:tcW w:w="1559" w:type="dxa"/>
            <w:vAlign w:val="center"/>
          </w:tcPr>
          <w:p w14:paraId="635B245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2000元/人</w:t>
            </w:r>
          </w:p>
        </w:tc>
        <w:tc>
          <w:tcPr>
            <w:tcW w:w="788" w:type="dxa"/>
          </w:tcPr>
          <w:p w14:paraId="4380852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413B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E779CB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12</w:t>
            </w:r>
          </w:p>
        </w:tc>
        <w:tc>
          <w:tcPr>
            <w:tcW w:w="5245" w:type="dxa"/>
          </w:tcPr>
          <w:p w14:paraId="318B53B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不参加甲方组织的安全生产检查</w:t>
            </w:r>
          </w:p>
        </w:tc>
        <w:tc>
          <w:tcPr>
            <w:tcW w:w="1559" w:type="dxa"/>
            <w:vAlign w:val="center"/>
          </w:tcPr>
          <w:p w14:paraId="455CF78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1000元/次</w:t>
            </w:r>
          </w:p>
        </w:tc>
        <w:tc>
          <w:tcPr>
            <w:tcW w:w="788" w:type="dxa"/>
          </w:tcPr>
          <w:p w14:paraId="008C365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7BEF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701EA2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13</w:t>
            </w:r>
          </w:p>
        </w:tc>
        <w:tc>
          <w:tcPr>
            <w:tcW w:w="5245" w:type="dxa"/>
          </w:tcPr>
          <w:p w14:paraId="4945211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不参加甲方组织的安全会议</w:t>
            </w:r>
          </w:p>
        </w:tc>
        <w:tc>
          <w:tcPr>
            <w:tcW w:w="1559" w:type="dxa"/>
            <w:vAlign w:val="center"/>
          </w:tcPr>
          <w:p w14:paraId="48F3AFD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1000元/次</w:t>
            </w:r>
          </w:p>
        </w:tc>
        <w:tc>
          <w:tcPr>
            <w:tcW w:w="788" w:type="dxa"/>
          </w:tcPr>
          <w:p w14:paraId="3CD4777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3083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4EF1CD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14</w:t>
            </w:r>
          </w:p>
        </w:tc>
        <w:tc>
          <w:tcPr>
            <w:tcW w:w="5245" w:type="dxa"/>
          </w:tcPr>
          <w:p w14:paraId="62A470C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未在规定的期限内，完成隐患整改（一般隐患）</w:t>
            </w:r>
          </w:p>
        </w:tc>
        <w:tc>
          <w:tcPr>
            <w:tcW w:w="1559" w:type="dxa"/>
            <w:vAlign w:val="center"/>
          </w:tcPr>
          <w:p w14:paraId="46802E3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500元/条</w:t>
            </w:r>
          </w:p>
        </w:tc>
        <w:tc>
          <w:tcPr>
            <w:tcW w:w="788" w:type="dxa"/>
          </w:tcPr>
          <w:p w14:paraId="1B4E498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23EB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8473C8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15</w:t>
            </w:r>
          </w:p>
        </w:tc>
        <w:tc>
          <w:tcPr>
            <w:tcW w:w="5245" w:type="dxa"/>
          </w:tcPr>
          <w:p w14:paraId="0C733D3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出现三大“攻坚”隐患</w:t>
            </w:r>
          </w:p>
        </w:tc>
        <w:tc>
          <w:tcPr>
            <w:tcW w:w="1559" w:type="dxa"/>
            <w:vAlign w:val="center"/>
          </w:tcPr>
          <w:p w14:paraId="6772203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1000元/条</w:t>
            </w:r>
          </w:p>
        </w:tc>
        <w:tc>
          <w:tcPr>
            <w:tcW w:w="788" w:type="dxa"/>
          </w:tcPr>
          <w:p w14:paraId="1E5A42D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002E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4931F5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16</w:t>
            </w:r>
          </w:p>
        </w:tc>
        <w:tc>
          <w:tcPr>
            <w:tcW w:w="5245" w:type="dxa"/>
          </w:tcPr>
          <w:p w14:paraId="0B77C84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不安排工人接受甲方入场安全教育</w:t>
            </w:r>
          </w:p>
        </w:tc>
        <w:tc>
          <w:tcPr>
            <w:tcW w:w="1559" w:type="dxa"/>
            <w:vAlign w:val="center"/>
          </w:tcPr>
          <w:p w14:paraId="3F3213F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200元/人</w:t>
            </w:r>
          </w:p>
        </w:tc>
        <w:tc>
          <w:tcPr>
            <w:tcW w:w="788" w:type="dxa"/>
          </w:tcPr>
          <w:p w14:paraId="6263C2A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5829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25953C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17</w:t>
            </w:r>
          </w:p>
        </w:tc>
        <w:tc>
          <w:tcPr>
            <w:tcW w:w="5245" w:type="dxa"/>
          </w:tcPr>
          <w:p w14:paraId="3AB4B99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经过入场安全教育工人安全帽未贴标识</w:t>
            </w:r>
          </w:p>
        </w:tc>
        <w:tc>
          <w:tcPr>
            <w:tcW w:w="1559" w:type="dxa"/>
            <w:vAlign w:val="center"/>
          </w:tcPr>
          <w:p w14:paraId="6E21382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50元/人</w:t>
            </w:r>
          </w:p>
        </w:tc>
        <w:tc>
          <w:tcPr>
            <w:tcW w:w="788" w:type="dxa"/>
          </w:tcPr>
          <w:p w14:paraId="380163B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4EE0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DBFB86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18</w:t>
            </w:r>
          </w:p>
        </w:tc>
        <w:tc>
          <w:tcPr>
            <w:tcW w:w="5245" w:type="dxa"/>
          </w:tcPr>
          <w:p w14:paraId="558F74E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使用未经安全教育培训考核合格的工人</w:t>
            </w:r>
          </w:p>
        </w:tc>
        <w:tc>
          <w:tcPr>
            <w:tcW w:w="1559" w:type="dxa"/>
            <w:vAlign w:val="center"/>
          </w:tcPr>
          <w:p w14:paraId="6EF486B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1000元/人</w:t>
            </w:r>
          </w:p>
        </w:tc>
        <w:tc>
          <w:tcPr>
            <w:tcW w:w="788" w:type="dxa"/>
          </w:tcPr>
          <w:p w14:paraId="429A08B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2470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6C1A8F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19</w:t>
            </w:r>
          </w:p>
        </w:tc>
        <w:tc>
          <w:tcPr>
            <w:tcW w:w="5245" w:type="dxa"/>
          </w:tcPr>
          <w:p w14:paraId="3C4FD4C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未组织开展安全生产早班会</w:t>
            </w:r>
          </w:p>
        </w:tc>
        <w:tc>
          <w:tcPr>
            <w:tcW w:w="1559" w:type="dxa"/>
            <w:vAlign w:val="center"/>
          </w:tcPr>
          <w:p w14:paraId="0092D57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2000元/次</w:t>
            </w:r>
          </w:p>
        </w:tc>
        <w:tc>
          <w:tcPr>
            <w:tcW w:w="788" w:type="dxa"/>
          </w:tcPr>
          <w:p w14:paraId="34CD476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18CA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1FB4B3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w:t>
            </w:r>
          </w:p>
        </w:tc>
        <w:tc>
          <w:tcPr>
            <w:tcW w:w="5245" w:type="dxa"/>
          </w:tcPr>
          <w:p w14:paraId="6BEA746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参加早班会人员不全</w:t>
            </w:r>
          </w:p>
        </w:tc>
        <w:tc>
          <w:tcPr>
            <w:tcW w:w="1559" w:type="dxa"/>
            <w:vAlign w:val="center"/>
          </w:tcPr>
          <w:p w14:paraId="0B25A2F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50元/人</w:t>
            </w:r>
          </w:p>
        </w:tc>
        <w:tc>
          <w:tcPr>
            <w:tcW w:w="788" w:type="dxa"/>
          </w:tcPr>
          <w:p w14:paraId="08C6507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3A60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32292B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21</w:t>
            </w:r>
          </w:p>
        </w:tc>
        <w:tc>
          <w:tcPr>
            <w:tcW w:w="5245" w:type="dxa"/>
          </w:tcPr>
          <w:p w14:paraId="1735331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未及时向甲方报送安全生产早班会资料</w:t>
            </w:r>
          </w:p>
        </w:tc>
        <w:tc>
          <w:tcPr>
            <w:tcW w:w="1559" w:type="dxa"/>
            <w:vAlign w:val="center"/>
          </w:tcPr>
          <w:p w14:paraId="6D4F1CE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200元/次</w:t>
            </w:r>
          </w:p>
        </w:tc>
        <w:tc>
          <w:tcPr>
            <w:tcW w:w="788" w:type="dxa"/>
          </w:tcPr>
          <w:p w14:paraId="2A1E810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54FB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B13948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22</w:t>
            </w:r>
          </w:p>
        </w:tc>
        <w:tc>
          <w:tcPr>
            <w:tcW w:w="5245" w:type="dxa"/>
          </w:tcPr>
          <w:p w14:paraId="5BCFBF1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高风险作业未经许可</w:t>
            </w:r>
          </w:p>
        </w:tc>
        <w:tc>
          <w:tcPr>
            <w:tcW w:w="1559" w:type="dxa"/>
            <w:vAlign w:val="center"/>
          </w:tcPr>
          <w:p w14:paraId="2ACD890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2000元/次</w:t>
            </w:r>
          </w:p>
        </w:tc>
        <w:tc>
          <w:tcPr>
            <w:tcW w:w="788" w:type="dxa"/>
          </w:tcPr>
          <w:p w14:paraId="7D398224">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1E5A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295F76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23</w:t>
            </w:r>
          </w:p>
        </w:tc>
        <w:tc>
          <w:tcPr>
            <w:tcW w:w="5245" w:type="dxa"/>
          </w:tcPr>
          <w:p w14:paraId="57D90C5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拆除现场防护后，未采取临时措施防护或及时恢复</w:t>
            </w:r>
          </w:p>
        </w:tc>
        <w:tc>
          <w:tcPr>
            <w:tcW w:w="1559" w:type="dxa"/>
            <w:vAlign w:val="center"/>
          </w:tcPr>
          <w:p w14:paraId="0666D66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2000元/次</w:t>
            </w:r>
          </w:p>
        </w:tc>
        <w:tc>
          <w:tcPr>
            <w:tcW w:w="788" w:type="dxa"/>
          </w:tcPr>
          <w:p w14:paraId="3EA3929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40E9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5B26014">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24</w:t>
            </w:r>
          </w:p>
        </w:tc>
        <w:tc>
          <w:tcPr>
            <w:tcW w:w="5245" w:type="dxa"/>
          </w:tcPr>
          <w:p w14:paraId="368E8BD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高风险作业未安排专人进行监护</w:t>
            </w:r>
          </w:p>
        </w:tc>
        <w:tc>
          <w:tcPr>
            <w:tcW w:w="1559" w:type="dxa"/>
            <w:vAlign w:val="center"/>
          </w:tcPr>
          <w:p w14:paraId="1F0D419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1000元</w:t>
            </w:r>
          </w:p>
        </w:tc>
        <w:tc>
          <w:tcPr>
            <w:tcW w:w="788" w:type="dxa"/>
          </w:tcPr>
          <w:p w14:paraId="429C3C6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57D1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97DF41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25</w:t>
            </w:r>
          </w:p>
        </w:tc>
        <w:tc>
          <w:tcPr>
            <w:tcW w:w="5245" w:type="dxa"/>
          </w:tcPr>
          <w:p w14:paraId="35F6B4F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高处作业人员未佩戴和使用安全带</w:t>
            </w:r>
          </w:p>
        </w:tc>
        <w:tc>
          <w:tcPr>
            <w:tcW w:w="1559" w:type="dxa"/>
            <w:vAlign w:val="center"/>
          </w:tcPr>
          <w:p w14:paraId="4F1AF59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500元/次</w:t>
            </w:r>
          </w:p>
        </w:tc>
        <w:tc>
          <w:tcPr>
            <w:tcW w:w="788" w:type="dxa"/>
          </w:tcPr>
          <w:p w14:paraId="4D7B637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2A48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A41565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26</w:t>
            </w:r>
          </w:p>
        </w:tc>
        <w:tc>
          <w:tcPr>
            <w:tcW w:w="5245" w:type="dxa"/>
          </w:tcPr>
          <w:p w14:paraId="21087EA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工人未佩戴安全帽或规范佩戴安全帽</w:t>
            </w:r>
          </w:p>
        </w:tc>
        <w:tc>
          <w:tcPr>
            <w:tcW w:w="1559" w:type="dxa"/>
            <w:vAlign w:val="center"/>
          </w:tcPr>
          <w:p w14:paraId="58C3B7B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100元/次</w:t>
            </w:r>
          </w:p>
        </w:tc>
        <w:tc>
          <w:tcPr>
            <w:tcW w:w="788" w:type="dxa"/>
          </w:tcPr>
          <w:p w14:paraId="251493B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kern w:val="2"/>
                <w:sz w:val="21"/>
                <w:szCs w:val="21"/>
                <w:highlight w:val="none"/>
                <w:lang w:val="en-US" w:eastAsia="zh-CN" w:bidi="ar-SA"/>
              </w:rPr>
            </w:pPr>
          </w:p>
        </w:tc>
      </w:tr>
      <w:tr w14:paraId="27EE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8A60024">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27</w:t>
            </w:r>
          </w:p>
        </w:tc>
        <w:tc>
          <w:tcPr>
            <w:tcW w:w="5245" w:type="dxa"/>
          </w:tcPr>
          <w:p w14:paraId="0E37513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工人未穿马甲</w:t>
            </w:r>
          </w:p>
        </w:tc>
        <w:tc>
          <w:tcPr>
            <w:tcW w:w="1559" w:type="dxa"/>
            <w:vAlign w:val="center"/>
          </w:tcPr>
          <w:p w14:paraId="1182615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50元/次</w:t>
            </w:r>
          </w:p>
        </w:tc>
        <w:tc>
          <w:tcPr>
            <w:tcW w:w="788" w:type="dxa"/>
          </w:tcPr>
          <w:p w14:paraId="1BE0BC5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2D60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3F5B03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28</w:t>
            </w:r>
          </w:p>
        </w:tc>
        <w:tc>
          <w:tcPr>
            <w:tcW w:w="5245" w:type="dxa"/>
          </w:tcPr>
          <w:p w14:paraId="1A3C06F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使用自带不合格电箱、电缆、配电盘等电气设备</w:t>
            </w:r>
          </w:p>
        </w:tc>
        <w:tc>
          <w:tcPr>
            <w:tcW w:w="1559" w:type="dxa"/>
            <w:vAlign w:val="center"/>
          </w:tcPr>
          <w:p w14:paraId="116B0EB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200元/次</w:t>
            </w:r>
          </w:p>
        </w:tc>
        <w:tc>
          <w:tcPr>
            <w:tcW w:w="788" w:type="dxa"/>
          </w:tcPr>
          <w:p w14:paraId="20A113D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1013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82ABD84">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29</w:t>
            </w:r>
          </w:p>
        </w:tc>
        <w:tc>
          <w:tcPr>
            <w:tcW w:w="5245" w:type="dxa"/>
          </w:tcPr>
          <w:p w14:paraId="2ECC92E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自带工具、器具、设备未经验收即使用</w:t>
            </w:r>
          </w:p>
        </w:tc>
        <w:tc>
          <w:tcPr>
            <w:tcW w:w="1559" w:type="dxa"/>
            <w:vAlign w:val="center"/>
          </w:tcPr>
          <w:p w14:paraId="3692664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200元/次</w:t>
            </w:r>
          </w:p>
        </w:tc>
        <w:tc>
          <w:tcPr>
            <w:tcW w:w="788" w:type="dxa"/>
          </w:tcPr>
          <w:p w14:paraId="48628C6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71B1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42CB14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30</w:t>
            </w:r>
          </w:p>
        </w:tc>
        <w:tc>
          <w:tcPr>
            <w:tcW w:w="5245" w:type="dxa"/>
          </w:tcPr>
          <w:p w14:paraId="3EBEB8B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使用自带安全性能明显不足的工具、器具、设备等</w:t>
            </w:r>
          </w:p>
        </w:tc>
        <w:tc>
          <w:tcPr>
            <w:tcW w:w="1559" w:type="dxa"/>
            <w:vAlign w:val="center"/>
          </w:tcPr>
          <w:p w14:paraId="71B81EE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500元/次</w:t>
            </w:r>
          </w:p>
        </w:tc>
        <w:tc>
          <w:tcPr>
            <w:tcW w:w="788" w:type="dxa"/>
          </w:tcPr>
          <w:p w14:paraId="1520151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40E8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FF52024">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31</w:t>
            </w:r>
          </w:p>
        </w:tc>
        <w:tc>
          <w:tcPr>
            <w:tcW w:w="5245" w:type="dxa"/>
          </w:tcPr>
          <w:p w14:paraId="1CA6616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未安排工人接受安全技术交底</w:t>
            </w:r>
          </w:p>
        </w:tc>
        <w:tc>
          <w:tcPr>
            <w:tcW w:w="1559" w:type="dxa"/>
            <w:vAlign w:val="center"/>
          </w:tcPr>
          <w:p w14:paraId="3526238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200元/人</w:t>
            </w:r>
          </w:p>
        </w:tc>
        <w:tc>
          <w:tcPr>
            <w:tcW w:w="788" w:type="dxa"/>
          </w:tcPr>
          <w:p w14:paraId="7B7BDC6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6723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B77F30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32</w:t>
            </w:r>
          </w:p>
        </w:tc>
        <w:tc>
          <w:tcPr>
            <w:tcW w:w="5245" w:type="dxa"/>
          </w:tcPr>
          <w:p w14:paraId="001DE371">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零散用工、突击用工未经入场安全教育</w:t>
            </w:r>
          </w:p>
        </w:tc>
        <w:tc>
          <w:tcPr>
            <w:tcW w:w="1559" w:type="dxa"/>
            <w:vAlign w:val="center"/>
          </w:tcPr>
          <w:p w14:paraId="5523BAB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200元/人</w:t>
            </w:r>
          </w:p>
        </w:tc>
        <w:tc>
          <w:tcPr>
            <w:tcW w:w="788" w:type="dxa"/>
          </w:tcPr>
          <w:p w14:paraId="6721757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11AC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4811DD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33</w:t>
            </w:r>
          </w:p>
        </w:tc>
        <w:tc>
          <w:tcPr>
            <w:tcW w:w="5245" w:type="dxa"/>
          </w:tcPr>
          <w:p w14:paraId="418A668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零散用工、突击用工作业时，无专人监护</w:t>
            </w:r>
          </w:p>
        </w:tc>
        <w:tc>
          <w:tcPr>
            <w:tcW w:w="1559" w:type="dxa"/>
            <w:vAlign w:val="center"/>
          </w:tcPr>
          <w:p w14:paraId="52D40F2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1000元/次</w:t>
            </w:r>
          </w:p>
        </w:tc>
        <w:tc>
          <w:tcPr>
            <w:tcW w:w="788" w:type="dxa"/>
          </w:tcPr>
          <w:p w14:paraId="41529F3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3A21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3A4C6C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34</w:t>
            </w:r>
          </w:p>
        </w:tc>
        <w:tc>
          <w:tcPr>
            <w:tcW w:w="5245" w:type="dxa"/>
          </w:tcPr>
          <w:p w14:paraId="534D5C9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加班时段，现场无专人值班</w:t>
            </w:r>
          </w:p>
        </w:tc>
        <w:tc>
          <w:tcPr>
            <w:tcW w:w="1559" w:type="dxa"/>
            <w:vAlign w:val="center"/>
          </w:tcPr>
          <w:p w14:paraId="79C9BFA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2000元/次</w:t>
            </w:r>
          </w:p>
        </w:tc>
        <w:tc>
          <w:tcPr>
            <w:tcW w:w="788" w:type="dxa"/>
          </w:tcPr>
          <w:p w14:paraId="19284F61">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7405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E3AA05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35</w:t>
            </w:r>
          </w:p>
        </w:tc>
        <w:tc>
          <w:tcPr>
            <w:tcW w:w="5245" w:type="dxa"/>
          </w:tcPr>
          <w:p w14:paraId="0808D9A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不执行交叉作业安全管理有关规定</w:t>
            </w:r>
          </w:p>
        </w:tc>
        <w:tc>
          <w:tcPr>
            <w:tcW w:w="1559" w:type="dxa"/>
            <w:vAlign w:val="center"/>
          </w:tcPr>
          <w:p w14:paraId="3A754BD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1000元/次</w:t>
            </w:r>
          </w:p>
        </w:tc>
        <w:tc>
          <w:tcPr>
            <w:tcW w:w="788" w:type="dxa"/>
          </w:tcPr>
          <w:p w14:paraId="01825CF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5DCF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74FD63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36</w:t>
            </w:r>
          </w:p>
        </w:tc>
        <w:tc>
          <w:tcPr>
            <w:tcW w:w="5245" w:type="dxa"/>
          </w:tcPr>
          <w:p w14:paraId="4D5619A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不参加甲方组织的应急演练</w:t>
            </w:r>
          </w:p>
        </w:tc>
        <w:tc>
          <w:tcPr>
            <w:tcW w:w="1559" w:type="dxa"/>
            <w:vAlign w:val="center"/>
          </w:tcPr>
          <w:p w14:paraId="15A38E5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5000元/次</w:t>
            </w:r>
          </w:p>
        </w:tc>
        <w:tc>
          <w:tcPr>
            <w:tcW w:w="788" w:type="dxa"/>
          </w:tcPr>
          <w:p w14:paraId="00FC77F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659F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6E91EA1">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37</w:t>
            </w:r>
          </w:p>
        </w:tc>
        <w:tc>
          <w:tcPr>
            <w:tcW w:w="5245" w:type="dxa"/>
          </w:tcPr>
          <w:p w14:paraId="618307F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危大工程和超危工程，关键节点未经甲方验收，即进入下一道工序施工</w:t>
            </w:r>
          </w:p>
        </w:tc>
        <w:tc>
          <w:tcPr>
            <w:tcW w:w="1559" w:type="dxa"/>
            <w:vAlign w:val="center"/>
          </w:tcPr>
          <w:p w14:paraId="0E74433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20000元/次</w:t>
            </w:r>
          </w:p>
        </w:tc>
        <w:tc>
          <w:tcPr>
            <w:tcW w:w="788" w:type="dxa"/>
          </w:tcPr>
          <w:p w14:paraId="413F153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48F5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57678A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38</w:t>
            </w:r>
          </w:p>
        </w:tc>
        <w:tc>
          <w:tcPr>
            <w:tcW w:w="5245" w:type="dxa"/>
          </w:tcPr>
          <w:p w14:paraId="62BCC6F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生活区无专人负责安全管理</w:t>
            </w:r>
          </w:p>
        </w:tc>
        <w:tc>
          <w:tcPr>
            <w:tcW w:w="1559" w:type="dxa"/>
            <w:vAlign w:val="center"/>
          </w:tcPr>
          <w:p w14:paraId="16A9E93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3000元</w:t>
            </w:r>
          </w:p>
        </w:tc>
        <w:tc>
          <w:tcPr>
            <w:tcW w:w="788" w:type="dxa"/>
          </w:tcPr>
          <w:p w14:paraId="369131A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7593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96DD83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39</w:t>
            </w:r>
          </w:p>
        </w:tc>
        <w:tc>
          <w:tcPr>
            <w:tcW w:w="5245" w:type="dxa"/>
          </w:tcPr>
          <w:p w14:paraId="22C92714">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不执行动火作业有关规定，导致现场火灾</w:t>
            </w:r>
          </w:p>
        </w:tc>
        <w:tc>
          <w:tcPr>
            <w:tcW w:w="1559" w:type="dxa"/>
            <w:vAlign w:val="center"/>
          </w:tcPr>
          <w:p w14:paraId="463BD58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50000元/次</w:t>
            </w:r>
          </w:p>
        </w:tc>
        <w:tc>
          <w:tcPr>
            <w:tcW w:w="788" w:type="dxa"/>
          </w:tcPr>
          <w:p w14:paraId="6DAC694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7F29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D15FE5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40</w:t>
            </w:r>
          </w:p>
        </w:tc>
        <w:tc>
          <w:tcPr>
            <w:tcW w:w="5245" w:type="dxa"/>
          </w:tcPr>
          <w:p w14:paraId="3E2741C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违反生活区消防管理规定，导致生活区火灾</w:t>
            </w:r>
          </w:p>
        </w:tc>
        <w:tc>
          <w:tcPr>
            <w:tcW w:w="1559" w:type="dxa"/>
            <w:vAlign w:val="center"/>
          </w:tcPr>
          <w:p w14:paraId="09F0391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50000元/次</w:t>
            </w:r>
          </w:p>
        </w:tc>
        <w:tc>
          <w:tcPr>
            <w:tcW w:w="788" w:type="dxa"/>
          </w:tcPr>
          <w:p w14:paraId="7D76718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417C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C02E14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41</w:t>
            </w:r>
          </w:p>
        </w:tc>
        <w:tc>
          <w:tcPr>
            <w:tcW w:w="5245" w:type="dxa"/>
          </w:tcPr>
          <w:p w14:paraId="3A3E035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违反食堂卫生制度，发生食物中毒事件</w:t>
            </w:r>
          </w:p>
        </w:tc>
        <w:tc>
          <w:tcPr>
            <w:tcW w:w="1559" w:type="dxa"/>
            <w:vAlign w:val="center"/>
          </w:tcPr>
          <w:p w14:paraId="4450BF5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50000元/次</w:t>
            </w:r>
          </w:p>
        </w:tc>
        <w:tc>
          <w:tcPr>
            <w:tcW w:w="788" w:type="dxa"/>
          </w:tcPr>
          <w:p w14:paraId="484B06B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r w14:paraId="4579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116B75B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w:t>
            </w:r>
          </w:p>
        </w:tc>
        <w:tc>
          <w:tcPr>
            <w:tcW w:w="5245" w:type="dxa"/>
          </w:tcPr>
          <w:p w14:paraId="24D0722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c>
          <w:tcPr>
            <w:tcW w:w="1559" w:type="dxa"/>
          </w:tcPr>
          <w:p w14:paraId="503CA9E1">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c>
          <w:tcPr>
            <w:tcW w:w="788" w:type="dxa"/>
          </w:tcPr>
          <w:p w14:paraId="29D8F32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kern w:val="2"/>
                <w:sz w:val="21"/>
                <w:szCs w:val="21"/>
                <w:highlight w:val="none"/>
                <w:lang w:val="en-US" w:eastAsia="zh-CN" w:bidi="ar-SA"/>
              </w:rPr>
            </w:pPr>
          </w:p>
        </w:tc>
      </w:tr>
    </w:tbl>
    <w:p w14:paraId="58C7624D">
      <w:pPr>
        <w:widowControl/>
        <w:jc w:val="center"/>
        <w:rPr>
          <w:rFonts w:ascii="宋体" w:hAnsi="宋体" w:cs="宋体"/>
          <w:b/>
          <w:bCs/>
          <w:sz w:val="24"/>
          <w:highlight w:val="none"/>
        </w:rPr>
      </w:pPr>
    </w:p>
    <w:p w14:paraId="60C076DE">
      <w:pPr>
        <w:widowControl/>
        <w:jc w:val="left"/>
        <w:rPr>
          <w:rFonts w:ascii="宋体" w:hAnsi="宋体" w:cs="宋体"/>
          <w:b/>
          <w:bCs/>
          <w:sz w:val="24"/>
          <w:highlight w:val="none"/>
        </w:rPr>
      </w:pPr>
      <w:r>
        <w:rPr>
          <w:rFonts w:ascii="宋体" w:hAnsi="宋体" w:cs="宋体"/>
          <w:b/>
          <w:bCs/>
          <w:sz w:val="24"/>
          <w:highlight w:val="none"/>
        </w:rPr>
        <w:br w:type="page"/>
      </w:r>
    </w:p>
    <w:p w14:paraId="58E40EE9">
      <w:pPr>
        <w:pStyle w:val="6"/>
        <w:keepNext/>
        <w:keepLines/>
        <w:pageBreakBefore w:val="0"/>
        <w:widowControl w:val="0"/>
        <w:kinsoku/>
        <w:wordWrap/>
        <w:overflowPunct/>
        <w:topLinePunct w:val="0"/>
        <w:autoSpaceDE/>
        <w:autoSpaceDN/>
        <w:bidi w:val="0"/>
        <w:adjustRightInd/>
        <w:snapToGrid/>
        <w:spacing w:before="156" w:beforeLines="50" w:after="156" w:afterLines="50"/>
        <w:ind w:left="0" w:leftChars="0" w:firstLine="560" w:firstLineChars="200"/>
        <w:jc w:val="both"/>
        <w:textAlignment w:val="auto"/>
        <w:rPr>
          <w:rFonts w:hint="eastAsia" w:ascii="黑体" w:hAnsi="黑体" w:eastAsia="黑体" w:cs="黑体"/>
          <w:b w:val="0"/>
          <w:bCs w:val="0"/>
          <w:kern w:val="2"/>
          <w:sz w:val="28"/>
          <w:szCs w:val="28"/>
          <w:highlight w:val="none"/>
          <w:lang w:val="zh-CN" w:eastAsia="zh-CN" w:bidi="ar-SA"/>
        </w:rPr>
      </w:pPr>
      <w:bookmarkStart w:id="91" w:name="_Toc24044"/>
      <w:r>
        <w:rPr>
          <w:rFonts w:hint="eastAsia" w:ascii="黑体" w:hAnsi="黑体" w:eastAsia="黑体" w:cs="黑体"/>
          <w:b w:val="0"/>
          <w:bCs w:val="0"/>
          <w:kern w:val="2"/>
          <w:sz w:val="28"/>
          <w:szCs w:val="28"/>
          <w:highlight w:val="none"/>
          <w:lang w:val="zh-CN" w:eastAsia="zh-CN" w:bidi="ar-SA"/>
        </w:rPr>
        <w:t>附件</w:t>
      </w:r>
      <w:bookmarkStart w:id="92" w:name="_Toc132053719"/>
      <w:r>
        <w:rPr>
          <w:rFonts w:hint="eastAsia" w:ascii="黑体" w:hAnsi="黑体" w:eastAsia="黑体" w:cs="黑体"/>
          <w:b w:val="0"/>
          <w:bCs w:val="0"/>
          <w:kern w:val="2"/>
          <w:sz w:val="28"/>
          <w:szCs w:val="28"/>
          <w:highlight w:val="none"/>
          <w:lang w:val="zh-CN" w:eastAsia="zh-CN" w:bidi="ar-SA"/>
        </w:rPr>
        <w:t xml:space="preserve">9  </w:t>
      </w:r>
    </w:p>
    <w:p w14:paraId="67DEBC20">
      <w:pPr>
        <w:pStyle w:val="6"/>
        <w:spacing w:before="156" w:beforeLines="50" w:after="156" w:afterLines="50"/>
        <w:ind w:left="0" w:leftChars="0"/>
        <w:jc w:val="center"/>
        <w:rPr>
          <w:rFonts w:ascii="黑体" w:hAnsi="黑体" w:cs="黑体"/>
          <w:highlight w:val="none"/>
          <w:lang w:val="zh-CN"/>
        </w:rPr>
      </w:pPr>
      <w:r>
        <w:rPr>
          <w:rFonts w:hint="eastAsia" w:ascii="黑体" w:hAnsi="黑体" w:cs="黑体"/>
          <w:highlight w:val="none"/>
          <w:lang w:val="zh-CN"/>
        </w:rPr>
        <w:t>项目后勤管理协议</w:t>
      </w:r>
      <w:bookmarkEnd w:id="91"/>
      <w:bookmarkEnd w:id="92"/>
    </w:p>
    <w:p w14:paraId="197DBDDE">
      <w:pPr>
        <w:spacing w:line="480" w:lineRule="exact"/>
        <w:ind w:firstLine="562" w:firstLineChars="200"/>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甲方（承包人）：</w:t>
      </w:r>
      <w:permStart w:id="203" w:edGrp="everyone"/>
      <w:r>
        <w:rPr>
          <w:rFonts w:hint="eastAsia" w:ascii="仿宋_GB2312" w:hAnsi="仿宋_GB2312" w:eastAsia="仿宋_GB2312" w:cs="仿宋_GB2312"/>
          <w:b/>
          <w:color w:val="000000"/>
          <w:sz w:val="28"/>
          <w:szCs w:val="28"/>
          <w:highlight w:val="none"/>
        </w:rPr>
        <w:t>【】</w:t>
      </w:r>
      <w:permEnd w:id="203"/>
    </w:p>
    <w:p w14:paraId="62DE3E51">
      <w:pPr>
        <w:spacing w:line="480" w:lineRule="exact"/>
        <w:ind w:firstLine="562" w:firstLineChars="200"/>
        <w:rPr>
          <w:rFonts w:ascii="仿宋_GB2312" w:hAnsi="宋体" w:eastAsia="仿宋_GB2312" w:cs="宋体"/>
          <w:bCs/>
          <w:sz w:val="28"/>
          <w:szCs w:val="28"/>
          <w:highlight w:val="none"/>
        </w:rPr>
      </w:pPr>
      <w:r>
        <w:rPr>
          <w:rFonts w:hint="eastAsia" w:ascii="仿宋_GB2312" w:hAnsi="仿宋_GB2312" w:eastAsia="仿宋_GB2312" w:cs="仿宋_GB2312"/>
          <w:b/>
          <w:color w:val="000000"/>
          <w:sz w:val="28"/>
          <w:szCs w:val="28"/>
          <w:highlight w:val="none"/>
        </w:rPr>
        <w:t>乙方（分包人）：</w:t>
      </w:r>
      <w:permStart w:id="204" w:edGrp="everyone"/>
      <w:r>
        <w:rPr>
          <w:rFonts w:hint="eastAsia" w:ascii="仿宋_GB2312" w:hAnsi="仿宋_GB2312" w:eastAsia="仿宋_GB2312" w:cs="仿宋_GB2312"/>
          <w:b/>
          <w:color w:val="000000"/>
          <w:sz w:val="28"/>
          <w:szCs w:val="28"/>
          <w:highlight w:val="none"/>
        </w:rPr>
        <w:t>【】</w:t>
      </w:r>
      <w:permEnd w:id="204"/>
    </w:p>
    <w:p w14:paraId="1A975E51">
      <w:pPr>
        <w:spacing w:line="480" w:lineRule="exact"/>
        <w:ind w:firstLine="560" w:firstLineChars="200"/>
        <w:rPr>
          <w:rFonts w:ascii="仿宋_GB2312" w:hAnsi="宋体" w:eastAsia="仿宋_GB2312" w:cs="宋体"/>
          <w:bCs/>
          <w:sz w:val="28"/>
          <w:szCs w:val="28"/>
          <w:highlight w:val="none"/>
        </w:rPr>
      </w:pPr>
    </w:p>
    <w:p w14:paraId="792752F4">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为保证工人生活区生活质量，规范项目临设管理，明确双方权利和义务，规定如下：</w:t>
      </w:r>
    </w:p>
    <w:p w14:paraId="5BF311E4">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一、甲方将自有的坐落</w:t>
      </w:r>
      <w:permStart w:id="205" w:edGrp="everyone"/>
      <w:r>
        <w:rPr>
          <w:rFonts w:hint="eastAsia" w:ascii="仿宋_GB2312" w:hAnsi="宋体" w:eastAsia="仿宋_GB2312" w:cs="宋体"/>
          <w:bCs/>
          <w:sz w:val="28"/>
          <w:szCs w:val="28"/>
          <w:highlight w:val="none"/>
        </w:rPr>
        <w:t>在【】</w:t>
      </w:r>
      <w:permEnd w:id="205"/>
      <w:r>
        <w:rPr>
          <w:rFonts w:hint="eastAsia" w:ascii="仿宋_GB2312" w:hAnsi="宋体" w:eastAsia="仿宋_GB2312" w:cs="宋体"/>
          <w:bCs/>
          <w:sz w:val="28"/>
          <w:szCs w:val="28"/>
          <w:highlight w:val="none"/>
        </w:rPr>
        <w:t>项目部生活区内彩钢板房，提供乙方使用，明确用途为工人宿舍。每间房建筑面积约</w:t>
      </w:r>
      <w:permStart w:id="206" w:edGrp="everyone"/>
      <w:r>
        <w:rPr>
          <w:rFonts w:hint="eastAsia" w:ascii="仿宋_GB2312" w:hAnsi="宋体" w:eastAsia="仿宋_GB2312" w:cs="宋体"/>
          <w:bCs/>
          <w:sz w:val="28"/>
          <w:szCs w:val="28"/>
          <w:highlight w:val="none"/>
        </w:rPr>
        <w:t>【</w:t>
      </w:r>
      <w:r>
        <w:rPr>
          <w:rFonts w:hint="eastAsia" w:ascii="仿宋_GB2312" w:hAnsi="宋体" w:eastAsia="仿宋_GB2312" w:cs="宋体"/>
          <w:bCs/>
          <w:sz w:val="28"/>
          <w:szCs w:val="28"/>
          <w:highlight w:val="none"/>
          <w:lang w:val="en-US" w:eastAsia="zh-CN"/>
        </w:rPr>
        <w:t>18</w:t>
      </w:r>
      <w:r>
        <w:rPr>
          <w:rFonts w:hint="eastAsia" w:ascii="仿宋_GB2312" w:hAnsi="宋体" w:eastAsia="仿宋_GB2312" w:cs="宋体"/>
          <w:bCs/>
          <w:sz w:val="28"/>
          <w:szCs w:val="28"/>
          <w:highlight w:val="none"/>
        </w:rPr>
        <w:t>】平方米，每间按照【</w:t>
      </w:r>
      <w:r>
        <w:rPr>
          <w:rFonts w:hint="eastAsia" w:ascii="仿宋_GB2312" w:hAnsi="宋体" w:eastAsia="仿宋_GB2312" w:cs="宋体"/>
          <w:bCs/>
          <w:sz w:val="28"/>
          <w:szCs w:val="28"/>
          <w:highlight w:val="none"/>
          <w:lang w:val="en-US" w:eastAsia="zh-CN"/>
        </w:rPr>
        <w:t>6</w:t>
      </w:r>
      <w:r>
        <w:rPr>
          <w:rFonts w:hint="eastAsia" w:ascii="仿宋_GB2312" w:hAnsi="宋体" w:eastAsia="仿宋_GB2312" w:cs="宋体"/>
          <w:bCs/>
          <w:sz w:val="28"/>
          <w:szCs w:val="28"/>
          <w:highlight w:val="none"/>
        </w:rPr>
        <w:t>】人安排。租用期限为：【</w:t>
      </w:r>
      <w:r>
        <w:rPr>
          <w:rFonts w:hint="default" w:ascii="仿宋_GB2312" w:hAnsi="宋体" w:eastAsia="仿宋_GB2312" w:cs="宋体"/>
          <w:bCs/>
          <w:sz w:val="28"/>
          <w:szCs w:val="28"/>
          <w:highlight w:val="none"/>
        </w:rPr>
        <w:t>根据具体租赁时长确定</w:t>
      </w:r>
      <w:r>
        <w:rPr>
          <w:rFonts w:hint="eastAsia" w:ascii="仿宋_GB2312" w:hAnsi="宋体" w:eastAsia="仿宋_GB2312" w:cs="宋体"/>
          <w:bCs/>
          <w:sz w:val="28"/>
          <w:szCs w:val="28"/>
          <w:highlight w:val="none"/>
        </w:rPr>
        <w:t xml:space="preserve"> 】</w:t>
      </w:r>
      <w:permEnd w:id="206"/>
    </w:p>
    <w:p w14:paraId="39CAF153">
      <w:pPr>
        <w:spacing w:line="480" w:lineRule="exact"/>
        <w:ind w:firstLine="560" w:firstLineChars="200"/>
        <w:rPr>
          <w:rFonts w:ascii="仿宋_GB2312" w:hAnsi="宋体" w:eastAsia="仿宋_GB2312" w:cs="宋体"/>
          <w:bCs/>
          <w:strike/>
          <w:sz w:val="28"/>
          <w:szCs w:val="28"/>
          <w:highlight w:val="none"/>
        </w:rPr>
      </w:pPr>
      <w:r>
        <w:rPr>
          <w:rFonts w:hint="eastAsia" w:ascii="仿宋_GB2312" w:hAnsi="宋体" w:eastAsia="仿宋_GB2312" w:cs="宋体"/>
          <w:bCs/>
          <w:sz w:val="28"/>
          <w:szCs w:val="28"/>
          <w:highlight w:val="none"/>
        </w:rPr>
        <w:t>二、甲方在工人生活区内设立工人食堂、工友超市等基础生活设施，乙方及乙方所属工人或其他关系人不得使用租用板房另行开办食堂、超市等经营性场所。</w:t>
      </w:r>
    </w:p>
    <w:p w14:paraId="34834F8B">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 xml:space="preserve">三、甲方在生活区内设置的安防设施、消防设施、供电设施、供水设施、卫生清洁设备器具，并负责生活区公共区域的清洁卫生工作。乙方及乙方所属工人必须共同维护设施的完好和生活区内的清洁卫生。一旦乙方所属工人有故意破坏、损坏公共设施、设备的现象，由乙方照价赔偿，且甲方有权根据事件性质和影响追加处罚，处罚标准为：【 </w:t>
      </w:r>
      <w:r>
        <w:rPr>
          <w:rFonts w:hint="eastAsia" w:ascii="仿宋_GB2312" w:hAnsi="宋体" w:eastAsia="仿宋_GB2312" w:cs="宋体"/>
          <w:bCs/>
          <w:sz w:val="28"/>
          <w:szCs w:val="28"/>
          <w:highlight w:val="none"/>
          <w:lang w:val="en-US" w:eastAsia="zh-CN"/>
        </w:rPr>
        <w:t>1000</w:t>
      </w:r>
      <w:r>
        <w:rPr>
          <w:rFonts w:ascii="仿宋_GB2312" w:hAnsi="宋体" w:eastAsia="仿宋_GB2312" w:cs="宋体"/>
          <w:bCs/>
          <w:sz w:val="28"/>
          <w:szCs w:val="28"/>
          <w:highlight w:val="none"/>
        </w:rPr>
        <w:t xml:space="preserve"> </w:t>
      </w:r>
      <w:r>
        <w:rPr>
          <w:rFonts w:hint="eastAsia" w:ascii="仿宋_GB2312" w:hAnsi="宋体" w:eastAsia="仿宋_GB2312" w:cs="宋体"/>
          <w:bCs/>
          <w:sz w:val="28"/>
          <w:szCs w:val="28"/>
          <w:highlight w:val="none"/>
        </w:rPr>
        <w:t>】元/次。屡次发生的，甲方有权提高处罚标准。</w:t>
      </w:r>
    </w:p>
    <w:p w14:paraId="207023DD">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四、乙方须配合甲方生活区管理规定，按照工人实际进场时间登记使用，并提供乙方入住工人身份证等详细信息。乙方应避免男女混住等情形，如需使用夫妻房的，应提供入住人结婚证等证明文件。期间，如有入住工人变动的，应及时向甲方生活区管理人员进行报备。工程完工后，必须及时退出房间。乙方保证入住人员无国家公安机关追逃等情况。</w:t>
      </w:r>
    </w:p>
    <w:p w14:paraId="6AD0BA16">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五、乙方在使用租用房屋的过程中，应遵守以下规定：</w:t>
      </w:r>
    </w:p>
    <w:p w14:paraId="73E3FE39">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1、宿舍内床应统一摆放，床上用品（被、褥）应清洁卫生叠放整齐，床下鞋盆物品摆放统一整齐，房间卫生保持清洁。</w:t>
      </w:r>
    </w:p>
    <w:p w14:paraId="268688BA">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 xml:space="preserve">2、房间内禁止私拉电线，乱接外接电源，严禁使用电饭锅、电炉、取暖器、电热毯等电器设备。违反规定的，一经发现将处罚金【 </w:t>
      </w:r>
      <w:r>
        <w:rPr>
          <w:rFonts w:hint="eastAsia" w:ascii="仿宋_GB2312" w:hAnsi="宋体" w:eastAsia="仿宋_GB2312" w:cs="宋体"/>
          <w:bCs/>
          <w:sz w:val="28"/>
          <w:szCs w:val="28"/>
          <w:highlight w:val="none"/>
          <w:lang w:val="en-US" w:eastAsia="zh-CN"/>
        </w:rPr>
        <w:t>2000</w:t>
      </w:r>
      <w:r>
        <w:rPr>
          <w:rFonts w:hint="eastAsia" w:ascii="仿宋_GB2312" w:hAnsi="宋体" w:eastAsia="仿宋_GB2312" w:cs="宋体"/>
          <w:bCs/>
          <w:sz w:val="28"/>
          <w:szCs w:val="28"/>
          <w:highlight w:val="none"/>
        </w:rPr>
        <w:t xml:space="preserve"> 】元/次。屡次发现拒不整改的，甲方可提高处罚标准。</w:t>
      </w:r>
    </w:p>
    <w:p w14:paraId="464C6899">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3、乙方应教育和引导所属工人妥善保管个人物品和财产，有丢失或遗失的，甲方不承担任何保管、赔偿或补偿责任。</w:t>
      </w:r>
    </w:p>
    <w:p w14:paraId="3AA6C047">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 xml:space="preserve">4、严禁乙方工人在宿舍内赌博，酗酒闹事，打架斗殴。发现一次按项目管理规定进行处罚，处罚金额为【 </w:t>
      </w:r>
      <w:r>
        <w:rPr>
          <w:rFonts w:hint="eastAsia" w:ascii="仿宋_GB2312" w:hAnsi="宋体" w:eastAsia="仿宋_GB2312" w:cs="宋体"/>
          <w:bCs/>
          <w:sz w:val="28"/>
          <w:szCs w:val="28"/>
          <w:highlight w:val="none"/>
          <w:lang w:val="en-US" w:eastAsia="zh-CN"/>
        </w:rPr>
        <w:t>1000</w:t>
      </w:r>
      <w:r>
        <w:rPr>
          <w:rFonts w:ascii="仿宋_GB2312" w:hAnsi="宋体" w:eastAsia="仿宋_GB2312" w:cs="宋体"/>
          <w:bCs/>
          <w:sz w:val="28"/>
          <w:szCs w:val="28"/>
          <w:highlight w:val="none"/>
        </w:rPr>
        <w:t xml:space="preserve"> </w:t>
      </w:r>
      <w:r>
        <w:rPr>
          <w:rFonts w:hint="eastAsia" w:ascii="仿宋_GB2312" w:hAnsi="宋体" w:eastAsia="仿宋_GB2312" w:cs="宋体"/>
          <w:bCs/>
          <w:sz w:val="28"/>
          <w:szCs w:val="28"/>
          <w:highlight w:val="none"/>
        </w:rPr>
        <w:t xml:space="preserve">】元至【 </w:t>
      </w:r>
      <w:r>
        <w:rPr>
          <w:rFonts w:hint="eastAsia" w:ascii="仿宋_GB2312" w:hAnsi="宋体" w:eastAsia="仿宋_GB2312" w:cs="宋体"/>
          <w:bCs/>
          <w:sz w:val="28"/>
          <w:szCs w:val="28"/>
          <w:highlight w:val="none"/>
          <w:lang w:val="en-US" w:eastAsia="zh-CN"/>
        </w:rPr>
        <w:t>5000</w:t>
      </w:r>
      <w:r>
        <w:rPr>
          <w:rFonts w:ascii="仿宋_GB2312" w:hAnsi="宋体" w:eastAsia="仿宋_GB2312" w:cs="宋体"/>
          <w:bCs/>
          <w:sz w:val="28"/>
          <w:szCs w:val="28"/>
          <w:highlight w:val="none"/>
        </w:rPr>
        <w:t xml:space="preserve"> </w:t>
      </w:r>
      <w:r>
        <w:rPr>
          <w:rFonts w:hint="eastAsia" w:ascii="仿宋_GB2312" w:hAnsi="宋体" w:eastAsia="仿宋_GB2312" w:cs="宋体"/>
          <w:bCs/>
          <w:sz w:val="28"/>
          <w:szCs w:val="28"/>
          <w:highlight w:val="none"/>
        </w:rPr>
        <w:t>】元不等。情节严重者移交当地公安机关处理。</w:t>
      </w:r>
    </w:p>
    <w:p w14:paraId="706A67E2">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5、乙方所属工人严禁赤膊、光背、穿拖鞋出现在项目部办公区域。</w:t>
      </w:r>
    </w:p>
    <w:p w14:paraId="59691167">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6、乙方承担租用房屋门前及走廊卫生清洁责任。各施工单位及班组按合同规定要求执行。</w:t>
      </w:r>
    </w:p>
    <w:p w14:paraId="2945D26A">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 xml:space="preserve">六、乙方有下列情形之一的，甲方可以收回房屋： </w:t>
      </w:r>
    </w:p>
    <w:p w14:paraId="7ACE3FD5">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 xml:space="preserve">1、擅自将房屋转租、分租、转借或与他人调剂交换的； </w:t>
      </w:r>
    </w:p>
    <w:p w14:paraId="27453116">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 xml:space="preserve">2、利用房屋进行非法活动，损害公共利益的； </w:t>
      </w:r>
    </w:p>
    <w:p w14:paraId="3D0448D9">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3、未按期、足额缴纳房屋水电费的；</w:t>
      </w:r>
    </w:p>
    <w:p w14:paraId="11FBCFA3">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4、使用房屋内起火做饭、使用大功率电器、乱拉乱接电线等情形严重的，或未按照甲方安全检查要求进行整改的；</w:t>
      </w:r>
    </w:p>
    <w:p w14:paraId="0285B083">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5、乙方所属工人在生活区范围内出现聚众赌博、打架斗殴、酗酒闹事和其他违法犯罪行为的，或因乙方或乙方所属工人其他不当行为对项目部造成负面社会影响的。；</w:t>
      </w:r>
    </w:p>
    <w:p w14:paraId="4A968B28">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6、不服从甲方《生活区管理条例》的。</w:t>
      </w:r>
    </w:p>
    <w:p w14:paraId="65AAB297">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 xml:space="preserve">七、违约责任 </w:t>
      </w:r>
    </w:p>
    <w:p w14:paraId="592FF95A">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1、乙方在居住期间不得破坏房屋，如有破坏乙方按市场价赔偿。</w:t>
      </w:r>
    </w:p>
    <w:p w14:paraId="39490EAD">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 xml:space="preserve">2、本规定中乙方使用期满时，乙方未经甲方事先书面同意继续使用房屋的，向甲方支付【 </w:t>
      </w:r>
      <w:r>
        <w:rPr>
          <w:rFonts w:hint="eastAsia" w:ascii="仿宋_GB2312" w:hAnsi="宋体" w:eastAsia="仿宋_GB2312" w:cs="宋体"/>
          <w:bCs/>
          <w:sz w:val="28"/>
          <w:szCs w:val="28"/>
          <w:highlight w:val="none"/>
          <w:lang w:val="en-US" w:eastAsia="zh-CN"/>
        </w:rPr>
        <w:t>500</w:t>
      </w:r>
      <w:r>
        <w:rPr>
          <w:rFonts w:hint="eastAsia" w:ascii="仿宋_GB2312" w:hAnsi="宋体" w:eastAsia="仿宋_GB2312" w:cs="宋体"/>
          <w:bCs/>
          <w:sz w:val="28"/>
          <w:szCs w:val="28"/>
          <w:highlight w:val="none"/>
        </w:rPr>
        <w:t xml:space="preserve"> 】元/天/间的违约金，甲方仍有终止提供临时设施的权利。 </w:t>
      </w:r>
    </w:p>
    <w:p w14:paraId="2F4C9023">
      <w:pPr>
        <w:spacing w:line="480" w:lineRule="exact"/>
        <w:ind w:firstLine="700" w:firstLineChars="25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3、在居住期间如由于乙方使用不当给甲方造成损失的，乙方承担责任并赔偿所有损失。</w:t>
      </w:r>
    </w:p>
    <w:p w14:paraId="40B5DD6B">
      <w:pPr>
        <w:spacing w:line="480" w:lineRule="exact"/>
        <w:ind w:left="105" w:leftChars="50" w:right="28" w:firstLine="482"/>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本协议作为附件与分包合同同时签订，自乙方于分包合同盖章之日起生效，乙方必须严格执行，由于乙方违反本协议而给甲方造成的损失，由乙方承担赔偿责任。</w:t>
      </w:r>
    </w:p>
    <w:p w14:paraId="29ABBA7B">
      <w:pPr>
        <w:rPr>
          <w:rFonts w:ascii="宋体" w:hAnsi="宋体" w:cs="宋体"/>
          <w:bCs/>
          <w:sz w:val="28"/>
          <w:szCs w:val="28"/>
          <w:highlight w:val="none"/>
        </w:rPr>
      </w:pPr>
      <w:r>
        <w:rPr>
          <w:rFonts w:hint="eastAsia" w:ascii="宋体" w:hAnsi="宋体" w:cs="宋体"/>
          <w:bCs/>
          <w:sz w:val="28"/>
          <w:szCs w:val="28"/>
          <w:highlight w:val="none"/>
        </w:rPr>
        <w:br w:type="page"/>
      </w:r>
    </w:p>
    <w:p w14:paraId="79B6FE37">
      <w:pPr>
        <w:pStyle w:val="6"/>
        <w:keepNext/>
        <w:keepLines/>
        <w:pageBreakBefore w:val="0"/>
        <w:widowControl w:val="0"/>
        <w:kinsoku/>
        <w:wordWrap/>
        <w:overflowPunct/>
        <w:topLinePunct w:val="0"/>
        <w:autoSpaceDE/>
        <w:autoSpaceDN/>
        <w:bidi w:val="0"/>
        <w:adjustRightInd/>
        <w:snapToGrid/>
        <w:spacing w:before="156" w:beforeLines="50" w:after="156" w:afterLines="50"/>
        <w:ind w:left="0" w:leftChars="0" w:firstLine="560" w:firstLineChars="200"/>
        <w:jc w:val="both"/>
        <w:textAlignment w:val="auto"/>
        <w:rPr>
          <w:rFonts w:hint="eastAsia" w:ascii="黑体" w:hAnsi="黑体" w:eastAsia="黑体" w:cs="黑体"/>
          <w:b w:val="0"/>
          <w:bCs w:val="0"/>
          <w:kern w:val="2"/>
          <w:sz w:val="28"/>
          <w:szCs w:val="28"/>
          <w:highlight w:val="none"/>
          <w:lang w:val="zh-CN" w:eastAsia="zh-CN" w:bidi="ar-SA"/>
        </w:rPr>
      </w:pPr>
      <w:bookmarkStart w:id="93" w:name="_Toc16592"/>
      <w:r>
        <w:rPr>
          <w:rFonts w:hint="eastAsia" w:ascii="黑体" w:hAnsi="黑体" w:eastAsia="黑体" w:cs="黑体"/>
          <w:b w:val="0"/>
          <w:bCs w:val="0"/>
          <w:kern w:val="2"/>
          <w:sz w:val="28"/>
          <w:szCs w:val="28"/>
          <w:highlight w:val="none"/>
          <w:lang w:val="zh-CN" w:eastAsia="zh-CN" w:bidi="ar-SA"/>
        </w:rPr>
        <w:t>附件10</w:t>
      </w:r>
      <w:bookmarkStart w:id="94" w:name="_Toc132053720"/>
      <w:r>
        <w:rPr>
          <w:rFonts w:hint="eastAsia" w:ascii="黑体" w:hAnsi="黑体" w:eastAsia="黑体" w:cs="黑体"/>
          <w:b w:val="0"/>
          <w:bCs w:val="0"/>
          <w:kern w:val="2"/>
          <w:sz w:val="28"/>
          <w:szCs w:val="28"/>
          <w:highlight w:val="none"/>
          <w:lang w:val="zh-CN" w:eastAsia="zh-CN" w:bidi="ar-SA"/>
        </w:rPr>
        <w:t xml:space="preserve">  </w:t>
      </w:r>
    </w:p>
    <w:p w14:paraId="6BB52AC1">
      <w:pPr>
        <w:pStyle w:val="6"/>
        <w:spacing w:before="156" w:beforeLines="50" w:after="156" w:afterLines="50"/>
        <w:ind w:left="0" w:leftChars="0"/>
        <w:jc w:val="center"/>
        <w:rPr>
          <w:rFonts w:ascii="黑体" w:hAnsi="黑体" w:cs="黑体"/>
          <w:highlight w:val="none"/>
          <w:lang w:val="zh-CN"/>
        </w:rPr>
      </w:pPr>
      <w:r>
        <w:rPr>
          <w:rFonts w:hint="eastAsia" w:ascii="黑体" w:hAnsi="黑体" w:cs="黑体"/>
          <w:highlight w:val="none"/>
          <w:lang w:val="zh-CN"/>
        </w:rPr>
        <w:t>质量保修书</w:t>
      </w:r>
      <w:bookmarkEnd w:id="93"/>
      <w:bookmarkEnd w:id="94"/>
    </w:p>
    <w:p w14:paraId="29202659">
      <w:pPr>
        <w:spacing w:line="480" w:lineRule="exact"/>
        <w:ind w:firstLine="562" w:firstLineChars="200"/>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甲方（承包人）：</w:t>
      </w:r>
      <w:permStart w:id="207" w:edGrp="everyone"/>
      <w:r>
        <w:rPr>
          <w:rFonts w:hint="eastAsia" w:ascii="仿宋_GB2312" w:hAnsi="仿宋_GB2312" w:eastAsia="仿宋_GB2312" w:cs="仿宋_GB2312"/>
          <w:b/>
          <w:color w:val="000000"/>
          <w:sz w:val="28"/>
          <w:szCs w:val="28"/>
          <w:highlight w:val="none"/>
        </w:rPr>
        <w:t>【】</w:t>
      </w:r>
      <w:permEnd w:id="207"/>
    </w:p>
    <w:p w14:paraId="1A908A46">
      <w:pPr>
        <w:spacing w:line="480" w:lineRule="exact"/>
        <w:ind w:firstLine="562" w:firstLineChars="200"/>
        <w:rPr>
          <w:rFonts w:ascii="仿宋_GB2312" w:hAnsi="宋体" w:eastAsia="仿宋_GB2312" w:cs="宋体"/>
          <w:bCs/>
          <w:sz w:val="28"/>
          <w:szCs w:val="28"/>
          <w:highlight w:val="none"/>
        </w:rPr>
      </w:pPr>
      <w:r>
        <w:rPr>
          <w:rFonts w:hint="eastAsia" w:ascii="仿宋_GB2312" w:hAnsi="仿宋_GB2312" w:eastAsia="仿宋_GB2312" w:cs="仿宋_GB2312"/>
          <w:b/>
          <w:color w:val="000000"/>
          <w:sz w:val="28"/>
          <w:szCs w:val="28"/>
          <w:highlight w:val="none"/>
        </w:rPr>
        <w:t>乙方（分包人）：</w:t>
      </w:r>
      <w:permStart w:id="208" w:edGrp="everyone"/>
      <w:r>
        <w:rPr>
          <w:rFonts w:hint="eastAsia" w:ascii="仿宋_GB2312" w:hAnsi="仿宋_GB2312" w:eastAsia="仿宋_GB2312" w:cs="仿宋_GB2312"/>
          <w:b/>
          <w:color w:val="000000"/>
          <w:sz w:val="28"/>
          <w:szCs w:val="28"/>
          <w:highlight w:val="none"/>
        </w:rPr>
        <w:t>【】</w:t>
      </w:r>
      <w:permEnd w:id="208"/>
    </w:p>
    <w:p w14:paraId="2B8C4440">
      <w:pPr>
        <w:spacing w:line="480" w:lineRule="exact"/>
        <w:ind w:firstLine="560" w:firstLineChars="200"/>
        <w:rPr>
          <w:rFonts w:ascii="仿宋_GB2312" w:hAnsi="宋体" w:eastAsia="仿宋_GB2312" w:cs="宋体"/>
          <w:bCs/>
          <w:sz w:val="28"/>
          <w:szCs w:val="28"/>
          <w:highlight w:val="none"/>
        </w:rPr>
      </w:pPr>
    </w:p>
    <w:p w14:paraId="34FE06AF">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为保证</w:t>
      </w:r>
      <w:permStart w:id="209" w:edGrp="everyone"/>
      <w:r>
        <w:rPr>
          <w:rFonts w:hint="eastAsia" w:ascii="仿宋_GB2312" w:hAnsi="宋体" w:eastAsia="仿宋_GB2312" w:cs="宋体"/>
          <w:bCs/>
          <w:sz w:val="28"/>
          <w:szCs w:val="28"/>
          <w:highlight w:val="none"/>
        </w:rPr>
        <w:t>【】</w:t>
      </w:r>
      <w:permEnd w:id="209"/>
      <w:r>
        <w:rPr>
          <w:rFonts w:hint="eastAsia" w:ascii="仿宋_GB2312" w:hAnsi="宋体" w:eastAsia="仿宋_GB2312" w:cs="宋体"/>
          <w:bCs/>
          <w:sz w:val="28"/>
          <w:szCs w:val="28"/>
          <w:highlight w:val="none"/>
        </w:rPr>
        <w:t>工程（下称“本分包工程”）的正常使用，甲方与乙方协商一致，按《建设工程质量管理条例》及相关法律法规，就乙方的分包工程签订本质量保修书。</w:t>
      </w:r>
    </w:p>
    <w:p w14:paraId="39B00E7A">
      <w:pPr>
        <w:spacing w:line="480" w:lineRule="exact"/>
        <w:rPr>
          <w:rFonts w:ascii="仿宋_GB2312" w:hAnsi="宋体" w:eastAsia="仿宋_GB2312" w:cs="宋体"/>
          <w:b/>
          <w:sz w:val="28"/>
          <w:szCs w:val="28"/>
          <w:highlight w:val="none"/>
        </w:rPr>
      </w:pPr>
      <w:r>
        <w:rPr>
          <w:rFonts w:hint="eastAsia" w:ascii="仿宋_GB2312" w:hAnsi="宋体" w:eastAsia="仿宋_GB2312" w:cs="宋体"/>
          <w:b/>
          <w:sz w:val="28"/>
          <w:szCs w:val="28"/>
          <w:highlight w:val="none"/>
        </w:rPr>
        <w:t>一、质量保修期</w:t>
      </w:r>
    </w:p>
    <w:p w14:paraId="65BCA3F0">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本工程的质量保修期从【整体工程/分包工程】竣工验收合格之日起算。</w:t>
      </w:r>
    </w:p>
    <w:p w14:paraId="1AB083A9">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本工程的质量保修期不少于《建设工程质量管理条例》、相关法律法规规定及本保修书约定的质量保修期，其中：</w:t>
      </w:r>
    </w:p>
    <w:p w14:paraId="76D44360">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1、地基基础工程与主体结构工程的质量保修期为设计文件规定的本工程的合理使用年限；</w:t>
      </w:r>
    </w:p>
    <w:p w14:paraId="278F5E18">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2、屋面、厨房、卫生间、地下室、外墙面、门窗框以及其他有防水要求工程项目的防渗漏的质量保修期为【5】年；</w:t>
      </w:r>
    </w:p>
    <w:p w14:paraId="53CA0FA6">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3、装修工程的质量保修期为【2】年；</w:t>
      </w:r>
    </w:p>
    <w:p w14:paraId="604958C0">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4、电气管线、给排水管道、设备安装工程的质量保修期为【2】年；</w:t>
      </w:r>
    </w:p>
    <w:p w14:paraId="564D8825">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5、供热系统的质量保修期为【2】个采暖期，供冷系统的质量保修期为【2】个供冷期；</w:t>
      </w:r>
    </w:p>
    <w:p w14:paraId="2673CB1B">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6、室外道路、地下污水管道等工程的质量保修期为【2】年；</w:t>
      </w:r>
    </w:p>
    <w:p w14:paraId="6D23B78A">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7、其他工程的质量保修期按照国家《建设工程质量管理条例》及相关法律法规执行，但不得少于【2】年。</w:t>
      </w:r>
    </w:p>
    <w:p w14:paraId="4DD42118">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若总承包合同或法律法规对分部分项工程有更长的质量保修期规定，则乙方应以较长的质量保修期为准承担质量保修责任。</w:t>
      </w:r>
    </w:p>
    <w:p w14:paraId="28F363E2">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在质量保修期内，若某项经过维修，则该项的质量保修期自其维修完毕并经甲方验收合格之日起重新计算。若某项经过多次维修，则该项的质量保修期自其最后一次维修完毕并经甲方验收合格之日起重新计算。</w:t>
      </w:r>
    </w:p>
    <w:p w14:paraId="46B21867">
      <w:pPr>
        <w:spacing w:line="480" w:lineRule="exact"/>
        <w:rPr>
          <w:rFonts w:ascii="仿宋_GB2312" w:hAnsi="宋体" w:eastAsia="仿宋_GB2312" w:cs="宋体"/>
          <w:b/>
          <w:sz w:val="28"/>
          <w:szCs w:val="28"/>
          <w:highlight w:val="none"/>
        </w:rPr>
      </w:pPr>
      <w:r>
        <w:rPr>
          <w:rFonts w:hint="eastAsia" w:ascii="仿宋_GB2312" w:hAnsi="宋体" w:eastAsia="仿宋_GB2312" w:cs="宋体"/>
          <w:b/>
          <w:sz w:val="28"/>
          <w:szCs w:val="28"/>
          <w:highlight w:val="none"/>
        </w:rPr>
        <w:t>二、保修范围</w:t>
      </w:r>
    </w:p>
    <w:p w14:paraId="044D6169">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1、乙方承担保修责任的范围包括其依据本合同（含本合同的补充协议）所承接的施工项目和所供应的全部物料。</w:t>
      </w:r>
    </w:p>
    <w:p w14:paraId="5D4D8243">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2、除建设单位使用不当或不可抗力造成的损坏外，分包合同范围内的所有工程质量问题均属乙方的保修责任范围。</w:t>
      </w:r>
    </w:p>
    <w:p w14:paraId="164269D6">
      <w:pPr>
        <w:spacing w:line="480" w:lineRule="exact"/>
        <w:rPr>
          <w:rFonts w:ascii="仿宋_GB2312" w:hAnsi="宋体" w:eastAsia="仿宋_GB2312" w:cs="宋体"/>
          <w:b/>
          <w:sz w:val="28"/>
          <w:szCs w:val="28"/>
          <w:highlight w:val="none"/>
        </w:rPr>
      </w:pPr>
      <w:r>
        <w:rPr>
          <w:rFonts w:hint="eastAsia" w:ascii="仿宋_GB2312" w:hAnsi="宋体" w:eastAsia="仿宋_GB2312" w:cs="宋体"/>
          <w:b/>
          <w:sz w:val="28"/>
          <w:szCs w:val="28"/>
          <w:highlight w:val="none"/>
        </w:rPr>
        <w:t>三、保修费用</w:t>
      </w:r>
    </w:p>
    <w:p w14:paraId="0B71BC87">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1、分包工程在质量保修期内，发生质量问题，乙方应当履行保修义务。</w:t>
      </w:r>
    </w:p>
    <w:p w14:paraId="7E9035BE">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2、由于分包工程质量问题造成甲方，建设单位的全部直接和间接损失，由乙方无条件承担。</w:t>
      </w:r>
    </w:p>
    <w:p w14:paraId="4C5774B2">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3、乙方无正当理由拒绝或者怠于履行保修义务，或者履行保修义务不符合约定，致使甲方承担侵权责任或违约责任以及连带责任的，乙方应赔偿甲方的损失。</w:t>
      </w:r>
    </w:p>
    <w:p w14:paraId="2EA47759">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 xml:space="preserve">4、乙方应当遵照甲方发出的维修通知，具体负责维修工作。若乙方无正当理由拒绝或者怠于履行保修义务，甲方有权自行委托第三方维修，乙方应承担全部费用；每出现一次前述行为，甲方有权要求乙方承担【 </w:t>
      </w:r>
      <w:r>
        <w:rPr>
          <w:rFonts w:hint="eastAsia" w:ascii="仿宋_GB2312" w:hAnsi="宋体" w:eastAsia="仿宋_GB2312" w:cs="宋体"/>
          <w:bCs/>
          <w:sz w:val="28"/>
          <w:szCs w:val="28"/>
          <w:highlight w:val="none"/>
          <w:lang w:val="en-US" w:eastAsia="zh-CN"/>
        </w:rPr>
        <w:t>100000</w:t>
      </w:r>
      <w:r>
        <w:rPr>
          <w:rFonts w:hint="eastAsia" w:ascii="仿宋_GB2312" w:hAnsi="宋体" w:eastAsia="仿宋_GB2312" w:cs="宋体"/>
          <w:bCs/>
          <w:sz w:val="28"/>
          <w:szCs w:val="28"/>
          <w:highlight w:val="none"/>
        </w:rPr>
        <w:t xml:space="preserve"> 】元违约金。</w:t>
      </w:r>
    </w:p>
    <w:p w14:paraId="32955426">
      <w:pPr>
        <w:spacing w:line="480" w:lineRule="exact"/>
        <w:rPr>
          <w:rFonts w:ascii="仿宋_GB2312" w:hAnsi="宋体" w:eastAsia="仿宋_GB2312" w:cs="宋体"/>
          <w:b/>
          <w:sz w:val="28"/>
          <w:szCs w:val="28"/>
          <w:highlight w:val="none"/>
        </w:rPr>
      </w:pPr>
      <w:r>
        <w:rPr>
          <w:rFonts w:hint="eastAsia" w:ascii="仿宋_GB2312" w:hAnsi="宋体" w:eastAsia="仿宋_GB2312" w:cs="宋体"/>
          <w:b/>
          <w:sz w:val="28"/>
          <w:szCs w:val="28"/>
          <w:highlight w:val="none"/>
        </w:rPr>
        <w:t>四、保修处理时限</w:t>
      </w:r>
    </w:p>
    <w:p w14:paraId="010D682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1、分包工程出现影响本项目正常使用的质量问题时，包括但不限于渗水、漏水、给排水、供电设施和线路故障，乙方承诺在收到甲方通知后4小时内赶到现场并于12小时内完成维修。</w:t>
      </w:r>
    </w:p>
    <w:p w14:paraId="558A99F7">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2、发生其他紧急抢修事故的，乙方在接到甲方的通知后，应当立即到达事故现场抢修。</w:t>
      </w:r>
    </w:p>
    <w:p w14:paraId="4C892465">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3、其他情况下，乙方须在甲方通知后24小时内赶到现场，并于48小时内完成通知所涉及之保修、维修项目。</w:t>
      </w:r>
    </w:p>
    <w:p w14:paraId="4B9C8766">
      <w:pPr>
        <w:spacing w:line="480" w:lineRule="exact"/>
        <w:rPr>
          <w:rFonts w:ascii="仿宋_GB2312" w:hAnsi="宋体" w:eastAsia="仿宋_GB2312" w:cs="宋体"/>
          <w:b/>
          <w:sz w:val="28"/>
          <w:szCs w:val="28"/>
          <w:highlight w:val="none"/>
        </w:rPr>
      </w:pPr>
      <w:r>
        <w:rPr>
          <w:rFonts w:hint="eastAsia" w:ascii="仿宋_GB2312" w:hAnsi="宋体" w:eastAsia="仿宋_GB2312" w:cs="宋体"/>
          <w:b/>
          <w:sz w:val="28"/>
          <w:szCs w:val="28"/>
          <w:highlight w:val="none"/>
        </w:rPr>
        <w:t>五、其他约定</w:t>
      </w:r>
    </w:p>
    <w:p w14:paraId="37F844AD">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1、对于涉及结构安全的质量问题，乙方应当按照《建设工程质量管理条例》的规定，立即向甲方报告，并采取安全防范措施；由甲方和建设单位协商提出维修方案，由乙方负责实施。</w:t>
      </w:r>
    </w:p>
    <w:p w14:paraId="337B8457">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2、每次维修完毕后，乙方应填写维修单交甲方、建设单位签字验收。</w:t>
      </w:r>
    </w:p>
    <w:p w14:paraId="677530D3">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 xml:space="preserve">3、质保期内，如发生下列情况之一，甲方有权自行或另行聘请第三方进行维修，由此引起的费用、损失和责任由乙方承担，甲方有权直接从质量保修金或其他应付款项中扣除，不足部分仍可向乙方追偿： </w:t>
      </w:r>
    </w:p>
    <w:p w14:paraId="67D2E4EA">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1）接到报修通知（口头或书面）后，明示或暗示拒不履行保修义务的；</w:t>
      </w:r>
    </w:p>
    <w:p w14:paraId="69446C13">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2）无正当理由，在规定的时间内未履行或未完成保修义务而又不能提供解决方案的；</w:t>
      </w:r>
    </w:p>
    <w:p w14:paraId="475273EC">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3）紧急情况下，不履行保修义务，将严重影响生产或生活的；</w:t>
      </w:r>
    </w:p>
    <w:p w14:paraId="546D9952">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 xml:space="preserve">4）对同一位置或部件经过三次维修仍未彻底解决问题的； </w:t>
      </w:r>
    </w:p>
    <w:p w14:paraId="7C2A9A1C">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5）因现场保修人员的服务行为引起投诉的；</w:t>
      </w:r>
    </w:p>
    <w:p w14:paraId="37F89B63">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6）乙方破产或丧失相应资质，而又不能提出解决方案的；</w:t>
      </w:r>
    </w:p>
    <w:p w14:paraId="7B94BD4C">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7）出现其他违反本保修书及合同约定保修义务行为的。</w:t>
      </w:r>
    </w:p>
    <w:p w14:paraId="197DD6F2">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4、无论工程质量问题是何种原因造成的，乙方均应在接到通知后，进行维修。经判定，不属乙方责任的，由责任方向乙方支付合理的材料及人工费用。</w:t>
      </w:r>
    </w:p>
    <w:p w14:paraId="14ECF685">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5、乙方同意在质量保修期满后至本工程有效使用年限内，按甲方的要求继续提供适当维修服务，并按最优惠价格收取费用。</w:t>
      </w:r>
    </w:p>
    <w:p w14:paraId="0D43CC30">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6、本质量保修书中约定的、乙方应当支付给甲方的各种款项，包括但不限于违约金、赔偿金和委托整改费用，甲方有权从质保金或从其他应付乙方的款项中直接扣除。如质保金金额不足，甲方有权继续要求乙方承担（包括从其他应付乙方款项中扣除或是直接向乙方追偿）。</w:t>
      </w:r>
    </w:p>
    <w:p w14:paraId="44A5E67E">
      <w:pPr>
        <w:spacing w:line="480" w:lineRule="exact"/>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本质量保修书作为分包合同的附件，具有同等法律效力，与合同同日生效,至分包工程保修期满为止。</w:t>
      </w:r>
    </w:p>
    <w:p w14:paraId="260AA9A3">
      <w:pPr>
        <w:widowControl/>
        <w:jc w:val="both"/>
        <w:rPr>
          <w:rFonts w:ascii="宋体" w:hAnsi="宋体" w:cs="宋体"/>
          <w:bCs/>
          <w:szCs w:val="21"/>
          <w:highlight w:val="none"/>
        </w:rPr>
      </w:pPr>
      <w:r>
        <w:rPr>
          <w:rFonts w:ascii="宋体" w:hAnsi="宋体" w:cs="宋体"/>
          <w:bCs/>
          <w:szCs w:val="21"/>
          <w:highlight w:val="none"/>
        </w:rPr>
        <w:br w:type="page"/>
      </w:r>
    </w:p>
    <w:p w14:paraId="708D49E7">
      <w:pPr>
        <w:pStyle w:val="6"/>
        <w:keepNext/>
        <w:keepLines/>
        <w:pageBreakBefore w:val="0"/>
        <w:widowControl w:val="0"/>
        <w:kinsoku/>
        <w:wordWrap/>
        <w:overflowPunct/>
        <w:topLinePunct w:val="0"/>
        <w:autoSpaceDE/>
        <w:autoSpaceDN/>
        <w:bidi w:val="0"/>
        <w:adjustRightInd/>
        <w:snapToGrid/>
        <w:spacing w:before="156" w:beforeLines="50" w:after="156" w:afterLines="50"/>
        <w:ind w:left="0" w:leftChars="0" w:firstLine="560" w:firstLineChars="200"/>
        <w:jc w:val="both"/>
        <w:textAlignment w:val="auto"/>
        <w:rPr>
          <w:rFonts w:hint="eastAsia" w:ascii="黑体" w:hAnsi="黑体" w:eastAsia="黑体" w:cs="黑体"/>
          <w:b w:val="0"/>
          <w:bCs w:val="0"/>
          <w:kern w:val="2"/>
          <w:sz w:val="28"/>
          <w:szCs w:val="28"/>
          <w:highlight w:val="none"/>
          <w:lang w:val="zh-CN" w:eastAsia="zh-CN" w:bidi="ar-SA"/>
        </w:rPr>
      </w:pPr>
      <w:bookmarkStart w:id="95" w:name="_Toc24696"/>
      <w:r>
        <w:rPr>
          <w:rFonts w:hint="eastAsia" w:ascii="黑体" w:hAnsi="黑体" w:eastAsia="黑体" w:cs="黑体"/>
          <w:b w:val="0"/>
          <w:bCs w:val="0"/>
          <w:kern w:val="2"/>
          <w:sz w:val="28"/>
          <w:szCs w:val="28"/>
          <w:highlight w:val="none"/>
          <w:lang w:val="zh-CN" w:eastAsia="zh-CN" w:bidi="ar-SA"/>
        </w:rPr>
        <w:t>附件11</w:t>
      </w:r>
      <w:bookmarkStart w:id="96" w:name="_Toc132053721"/>
      <w:r>
        <w:rPr>
          <w:rFonts w:hint="eastAsia" w:ascii="黑体" w:hAnsi="黑体" w:eastAsia="黑体" w:cs="黑体"/>
          <w:b w:val="0"/>
          <w:bCs w:val="0"/>
          <w:kern w:val="2"/>
          <w:sz w:val="28"/>
          <w:szCs w:val="28"/>
          <w:highlight w:val="none"/>
          <w:lang w:val="zh-CN" w:eastAsia="zh-CN" w:bidi="ar-SA"/>
        </w:rPr>
        <w:t xml:space="preserve">  </w:t>
      </w:r>
    </w:p>
    <w:p w14:paraId="4FA24644">
      <w:pPr>
        <w:pStyle w:val="6"/>
        <w:spacing w:before="156" w:beforeLines="50" w:after="156" w:afterLines="50"/>
        <w:ind w:left="0" w:leftChars="0"/>
        <w:jc w:val="center"/>
        <w:rPr>
          <w:rFonts w:ascii="黑体" w:hAnsi="黑体" w:cs="黑体"/>
          <w:highlight w:val="none"/>
          <w:lang w:val="zh-CN"/>
        </w:rPr>
      </w:pPr>
      <w:r>
        <w:rPr>
          <w:rFonts w:hint="eastAsia" w:ascii="黑体" w:hAnsi="黑体" w:cs="黑体"/>
          <w:highlight w:val="none"/>
          <w:lang w:val="zh-CN"/>
        </w:rPr>
        <w:t>农民工工资委托支付协议</w:t>
      </w:r>
      <w:bookmarkEnd w:id="95"/>
      <w:bookmarkEnd w:id="96"/>
    </w:p>
    <w:p w14:paraId="5CDCC16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甲方（承包人）：</w:t>
      </w:r>
      <w:permStart w:id="210" w:edGrp="everyone"/>
      <w:r>
        <w:rPr>
          <w:rFonts w:hint="eastAsia" w:ascii="仿宋_GB2312" w:hAnsi="仿宋_GB2312" w:eastAsia="仿宋_GB2312" w:cs="仿宋_GB2312"/>
          <w:b/>
          <w:color w:val="000000"/>
          <w:sz w:val="28"/>
          <w:szCs w:val="28"/>
          <w:highlight w:val="none"/>
        </w:rPr>
        <w:t>【】</w:t>
      </w:r>
    </w:p>
    <w:permEnd w:id="210"/>
    <w:p w14:paraId="66A10668">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_GB2312" w:hAnsi="宋体" w:eastAsia="仿宋_GB2312" w:cs="宋体"/>
          <w:sz w:val="28"/>
          <w:szCs w:val="28"/>
          <w:highlight w:val="none"/>
        </w:rPr>
      </w:pPr>
      <w:r>
        <w:rPr>
          <w:rFonts w:hint="eastAsia" w:ascii="仿宋_GB2312" w:hAnsi="仿宋_GB2312" w:eastAsia="仿宋_GB2312" w:cs="仿宋_GB2312"/>
          <w:b/>
          <w:color w:val="000000"/>
          <w:sz w:val="28"/>
          <w:szCs w:val="28"/>
          <w:highlight w:val="none"/>
        </w:rPr>
        <w:t>乙方（分包人）：</w:t>
      </w:r>
      <w:permStart w:id="211" w:edGrp="everyone"/>
      <w:r>
        <w:rPr>
          <w:rFonts w:hint="eastAsia" w:ascii="仿宋_GB2312" w:hAnsi="仿宋_GB2312" w:eastAsia="仿宋_GB2312" w:cs="仿宋_GB2312"/>
          <w:b/>
          <w:color w:val="000000"/>
          <w:sz w:val="28"/>
          <w:szCs w:val="28"/>
          <w:highlight w:val="none"/>
        </w:rPr>
        <w:t>【】</w:t>
      </w:r>
      <w:permEnd w:id="211"/>
    </w:p>
    <w:p w14:paraId="63BC5F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p>
    <w:p w14:paraId="072A75E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为保障工程建设顺利实施，保障农民工合法权益，现甲乙双方根据国家对农民工工资专项支付的相关要求，在公平公正、友好协商的基础上，就</w:t>
      </w:r>
      <w:permStart w:id="212" w:edGrp="everyone"/>
      <w:r>
        <w:rPr>
          <w:rFonts w:hint="eastAsia" w:ascii="仿宋_GB2312" w:hAnsi="宋体" w:eastAsia="仿宋_GB2312" w:cs="宋体"/>
          <w:sz w:val="28"/>
          <w:szCs w:val="28"/>
          <w:highlight w:val="none"/>
        </w:rPr>
        <w:t>【】</w:t>
      </w:r>
      <w:permEnd w:id="212"/>
      <w:r>
        <w:rPr>
          <w:rFonts w:hint="eastAsia" w:ascii="仿宋_GB2312" w:hAnsi="宋体" w:eastAsia="仿宋_GB2312" w:cs="宋体"/>
          <w:sz w:val="28"/>
          <w:szCs w:val="28"/>
          <w:highlight w:val="none"/>
        </w:rPr>
        <w:t>项目农民工工资委托支付事宜签订本协议。</w:t>
      </w:r>
    </w:p>
    <w:p w14:paraId="5E8E9F1E">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62" w:firstLineChars="200"/>
        <w:textAlignment w:val="auto"/>
        <w:rPr>
          <w:rFonts w:ascii="仿宋_GB2312" w:hAnsi="宋体" w:eastAsia="仿宋_GB2312" w:cs="宋体"/>
          <w:b/>
          <w:bCs/>
          <w:sz w:val="28"/>
          <w:szCs w:val="28"/>
          <w:highlight w:val="none"/>
        </w:rPr>
      </w:pPr>
      <w:r>
        <w:rPr>
          <w:rFonts w:hint="eastAsia" w:ascii="仿宋_GB2312" w:hAnsi="宋体" w:eastAsia="仿宋_GB2312" w:cs="宋体"/>
          <w:b/>
          <w:bCs/>
          <w:sz w:val="28"/>
          <w:szCs w:val="28"/>
          <w:highlight w:val="none"/>
        </w:rPr>
        <w:t>实名登记与考勤管理</w:t>
      </w:r>
    </w:p>
    <w:p w14:paraId="67F9E03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1.1 甲方委派</w:t>
      </w:r>
      <w:permStart w:id="213" w:edGrp="everyone"/>
      <w:r>
        <w:rPr>
          <w:rFonts w:hint="eastAsia" w:ascii="仿宋_GB2312" w:hAnsi="宋体" w:eastAsia="仿宋_GB2312" w:cs="宋体"/>
          <w:sz w:val="28"/>
          <w:szCs w:val="28"/>
          <w:highlight w:val="none"/>
        </w:rPr>
        <w:t>【】</w:t>
      </w:r>
      <w:permEnd w:id="213"/>
      <w:r>
        <w:rPr>
          <w:rFonts w:hint="eastAsia" w:ascii="仿宋_GB2312" w:hAnsi="宋体" w:eastAsia="仿宋_GB2312" w:cs="宋体"/>
          <w:sz w:val="28"/>
          <w:szCs w:val="28"/>
          <w:highlight w:val="none"/>
        </w:rPr>
        <w:t>为本工程劳资专管员（劳务管理员），全面负责劳务实名制工资管理。</w:t>
      </w:r>
    </w:p>
    <w:p w14:paraId="59AD5F5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乙方委派</w:t>
      </w:r>
      <w:permStart w:id="214" w:edGrp="everyone"/>
      <w:r>
        <w:rPr>
          <w:rFonts w:hint="eastAsia" w:ascii="仿宋_GB2312" w:hAnsi="宋体" w:eastAsia="仿宋_GB2312" w:cs="宋体"/>
          <w:sz w:val="28"/>
          <w:szCs w:val="28"/>
          <w:highlight w:val="none"/>
        </w:rPr>
        <w:t>【】</w:t>
      </w:r>
      <w:permEnd w:id="214"/>
      <w:r>
        <w:rPr>
          <w:rFonts w:hint="eastAsia" w:ascii="仿宋_GB2312" w:hAnsi="宋体" w:eastAsia="仿宋_GB2312" w:cs="宋体"/>
          <w:sz w:val="28"/>
          <w:szCs w:val="28"/>
          <w:highlight w:val="none"/>
        </w:rPr>
        <w:t>（须与原合同授权委托书</w:t>
      </w:r>
      <w:r>
        <w:rPr>
          <w:rFonts w:hint="eastAsia" w:ascii="仿宋_GB2312" w:hAnsi="宋体" w:eastAsia="仿宋_GB2312" w:cs="宋体"/>
          <w:b w:val="0"/>
          <w:bCs w:val="0"/>
          <w:sz w:val="28"/>
          <w:szCs w:val="28"/>
          <w:highlight w:val="none"/>
        </w:rPr>
        <w:t>中受委托人</w:t>
      </w:r>
      <w:r>
        <w:rPr>
          <w:rFonts w:hint="eastAsia" w:ascii="仿宋_GB2312" w:hAnsi="宋体" w:eastAsia="仿宋_GB2312" w:cs="宋体"/>
          <w:sz w:val="28"/>
          <w:szCs w:val="28"/>
          <w:highlight w:val="none"/>
        </w:rPr>
        <w:t>保持一致）（身份证号</w:t>
      </w:r>
      <w:permStart w:id="215" w:edGrp="everyone"/>
      <w:r>
        <w:rPr>
          <w:rFonts w:hint="eastAsia" w:ascii="仿宋_GB2312" w:hAnsi="宋体" w:eastAsia="仿宋_GB2312" w:cs="宋体"/>
          <w:sz w:val="28"/>
          <w:szCs w:val="28"/>
          <w:highlight w:val="none"/>
        </w:rPr>
        <w:t>【】</w:t>
      </w:r>
      <w:permEnd w:id="215"/>
      <w:r>
        <w:rPr>
          <w:rFonts w:hint="eastAsia" w:ascii="仿宋_GB2312" w:hAnsi="宋体" w:eastAsia="仿宋_GB2312" w:cs="宋体"/>
          <w:sz w:val="28"/>
          <w:szCs w:val="28"/>
          <w:highlight w:val="none"/>
        </w:rPr>
        <w:t>）为本工程项目劳资管理负责人，负责乙方农民工进退场信息登记、日常考勤、工资发放等劳务实名制工资管理工作。</w:t>
      </w:r>
    </w:p>
    <w:p w14:paraId="613533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b w:val="0"/>
          <w:bCs w:val="0"/>
          <w:sz w:val="28"/>
          <w:szCs w:val="28"/>
          <w:highlight w:val="none"/>
        </w:rPr>
      </w:pPr>
      <w:r>
        <w:rPr>
          <w:rFonts w:hint="eastAsia" w:ascii="仿宋_GB2312" w:hAnsi="宋体" w:eastAsia="仿宋_GB2312" w:cs="宋体"/>
          <w:b w:val="0"/>
          <w:bCs w:val="0"/>
          <w:sz w:val="28"/>
          <w:szCs w:val="28"/>
          <w:highlight w:val="none"/>
        </w:rPr>
        <w:t>1.2 乙方应向甲方提供如下资料并确保其真实性：农民工花名册、身份证原件及其复印件、工资卡信息（开户行和卡号）、合法劳动用工合同（或加盖乙方公章的复印件）、操作证件等资料。由甲方项目劳资专管员（劳务管理员）逐一核实、登记、建立基础信息，并办理进入施工现场的门禁（考勤）卡。</w:t>
      </w:r>
    </w:p>
    <w:p w14:paraId="56EFD8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b w:val="0"/>
          <w:bCs w:val="0"/>
          <w:sz w:val="28"/>
          <w:szCs w:val="28"/>
          <w:highlight w:val="none"/>
        </w:rPr>
      </w:pPr>
      <w:r>
        <w:rPr>
          <w:rFonts w:hint="eastAsia" w:ascii="仿宋_GB2312" w:hAnsi="宋体" w:eastAsia="仿宋_GB2312" w:cs="宋体"/>
          <w:b w:val="0"/>
          <w:bCs w:val="0"/>
          <w:sz w:val="28"/>
          <w:szCs w:val="28"/>
          <w:highlight w:val="none"/>
        </w:rPr>
        <w:t>1.3 乙方须对进入工程施工现场的农民工进行登记造册，注明工种、所在班组、工资标准等，并及时报甲方审核。</w:t>
      </w:r>
    </w:p>
    <w:p w14:paraId="2DA6C27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b w:val="0"/>
          <w:bCs w:val="0"/>
          <w:sz w:val="28"/>
          <w:szCs w:val="28"/>
          <w:highlight w:val="none"/>
        </w:rPr>
      </w:pPr>
      <w:r>
        <w:rPr>
          <w:rFonts w:hint="eastAsia" w:ascii="仿宋_GB2312" w:hAnsi="宋体" w:eastAsia="仿宋_GB2312" w:cs="宋体"/>
          <w:b w:val="0"/>
          <w:bCs w:val="0"/>
          <w:sz w:val="28"/>
          <w:szCs w:val="28"/>
          <w:highlight w:val="none"/>
        </w:rPr>
        <w:t>1.4 甲方应根据施工现场实际需要配备考勤刷卡系统。乙方需指派管理人员督导农民工刷卡（考勤）进出施工现场，并及时确认当期（月）考勤记录。由乙方项目劳资管理负责人对出勤统计确认，并经甲、乙双方会签，视为当日农民工出勤。乙方不确认或者延迟确认的，以考勤系统数据为准，乙方对此无异议。</w:t>
      </w:r>
    </w:p>
    <w:p w14:paraId="6751FE42">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_GB2312" w:hAnsi="宋体" w:eastAsia="仿宋_GB2312" w:cs="宋体"/>
          <w:b/>
          <w:bCs/>
          <w:sz w:val="28"/>
          <w:szCs w:val="28"/>
          <w:highlight w:val="none"/>
        </w:rPr>
      </w:pPr>
      <w:r>
        <w:rPr>
          <w:rFonts w:hint="eastAsia" w:ascii="仿宋_GB2312" w:hAnsi="宋体" w:eastAsia="仿宋_GB2312" w:cs="宋体"/>
          <w:b/>
          <w:bCs/>
          <w:sz w:val="28"/>
          <w:szCs w:val="28"/>
          <w:highlight w:val="none"/>
        </w:rPr>
        <w:t>2. 农民工工资发放管理</w:t>
      </w:r>
    </w:p>
    <w:p w14:paraId="00566AD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2.1 乙方委托甲方通过</w:t>
      </w:r>
      <w:permStart w:id="216" w:edGrp="everyone"/>
      <w:r>
        <w:rPr>
          <w:rFonts w:hint="eastAsia" w:ascii="仿宋_GB2312" w:hAnsi="宋体" w:eastAsia="仿宋_GB2312" w:cs="宋体"/>
          <w:sz w:val="28"/>
          <w:szCs w:val="28"/>
          <w:highlight w:val="none"/>
        </w:rPr>
        <w:t>【】项目农民工工资专用账户】</w:t>
      </w:r>
      <w:permEnd w:id="216"/>
      <w:r>
        <w:rPr>
          <w:rFonts w:hint="eastAsia" w:ascii="仿宋_GB2312" w:hAnsi="宋体" w:eastAsia="仿宋_GB2312" w:cs="宋体"/>
          <w:sz w:val="28"/>
          <w:szCs w:val="28"/>
          <w:highlight w:val="none"/>
        </w:rPr>
        <w:t>项目农民工工资专用账户》代发农民工工资，承诺每月</w:t>
      </w:r>
      <w:permStart w:id="217" w:edGrp="everyone"/>
      <w:r>
        <w:rPr>
          <w:rFonts w:hint="eastAsia" w:ascii="仿宋_GB2312" w:hAnsi="宋体" w:eastAsia="仿宋_GB2312" w:cs="宋体"/>
          <w:sz w:val="28"/>
          <w:szCs w:val="28"/>
          <w:highlight w:val="none"/>
        </w:rPr>
        <w:t>【</w:t>
      </w:r>
      <w:r>
        <w:rPr>
          <w:rFonts w:hint="eastAsia" w:ascii="仿宋_GB2312" w:hAnsi="宋体" w:eastAsia="仿宋_GB2312" w:cs="宋体"/>
          <w:sz w:val="28"/>
          <w:szCs w:val="28"/>
          <w:highlight w:val="none"/>
          <w:lang w:val="en-US" w:eastAsia="zh-CN"/>
        </w:rPr>
        <w:t>20</w:t>
      </w:r>
      <w:r>
        <w:rPr>
          <w:rFonts w:hint="eastAsia" w:ascii="仿宋_GB2312" w:hAnsi="宋体" w:eastAsia="仿宋_GB2312" w:cs="宋体"/>
          <w:sz w:val="28"/>
          <w:szCs w:val="28"/>
          <w:highlight w:val="none"/>
        </w:rPr>
        <w:t>】</w:t>
      </w:r>
      <w:permEnd w:id="217"/>
      <w:r>
        <w:rPr>
          <w:rFonts w:hint="eastAsia" w:ascii="仿宋_GB2312" w:hAnsi="宋体" w:eastAsia="仿宋_GB2312" w:cs="宋体"/>
          <w:sz w:val="28"/>
          <w:szCs w:val="28"/>
          <w:highlight w:val="none"/>
        </w:rPr>
        <w:t>日按时将上月施工班组及农民工本人签字确认（捺指印）的农民工工资清单报甲方项目部审核，农民工实名登记、工资金额、农民工个人银行卡申请资料等信息真实性、完整性、有效性由乙方负责。</w:t>
      </w:r>
    </w:p>
    <w:p w14:paraId="0951BAC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2.2 甲方农民工工资专用账户信息：以甲方财务部门发布的账户信息为准。</w:t>
      </w:r>
    </w:p>
    <w:p w14:paraId="03EFABE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2.3 每月</w:t>
      </w:r>
      <w:permStart w:id="218" w:edGrp="everyone"/>
      <w:r>
        <w:rPr>
          <w:rFonts w:hint="eastAsia" w:ascii="仿宋_GB2312" w:hAnsi="宋体" w:eastAsia="仿宋_GB2312" w:cs="宋体"/>
          <w:sz w:val="28"/>
          <w:szCs w:val="28"/>
          <w:highlight w:val="none"/>
        </w:rPr>
        <w:t>【</w:t>
      </w:r>
      <w:r>
        <w:rPr>
          <w:rFonts w:hint="eastAsia" w:ascii="仿宋_GB2312" w:hAnsi="宋体" w:eastAsia="仿宋_GB2312" w:cs="宋体"/>
          <w:sz w:val="28"/>
          <w:szCs w:val="28"/>
          <w:highlight w:val="none"/>
          <w:lang w:val="en-US" w:eastAsia="zh-CN"/>
        </w:rPr>
        <w:t>20</w:t>
      </w:r>
      <w:r>
        <w:rPr>
          <w:rFonts w:hint="eastAsia" w:ascii="仿宋_GB2312" w:hAnsi="宋体" w:eastAsia="仿宋_GB2312" w:cs="宋体"/>
          <w:sz w:val="28"/>
          <w:szCs w:val="28"/>
          <w:highlight w:val="none"/>
        </w:rPr>
        <w:t>】</w:t>
      </w:r>
      <w:permEnd w:id="218"/>
      <w:r>
        <w:rPr>
          <w:rFonts w:hint="eastAsia" w:ascii="仿宋_GB2312" w:hAnsi="宋体" w:eastAsia="仿宋_GB2312" w:cs="宋体"/>
          <w:sz w:val="28"/>
          <w:szCs w:val="28"/>
          <w:highlight w:val="none"/>
        </w:rPr>
        <w:t>日前，乙方须按劳动合同及相关约定，对照考勤记录，核算当期农民工工资（税后工资），并汇总造册，在农民工本人签字捺指印确认并由乙方项目劳资管理负责人签字并加盖公章后，提交甲方作为农民工工资发放依据。</w:t>
      </w:r>
    </w:p>
    <w:p w14:paraId="2DAD28D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2.4 甲方根据本协议第2.3条中乙方提供的农民工工资表计算出当期乙方应付农民工工资总额，乙方委托甲方通过项目农民工工资专用账户逐一向每名农民工的银行卡支付工资，乙方对此无异议。</w:t>
      </w:r>
    </w:p>
    <w:p w14:paraId="7A4D248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如第2.3条中所列当期农民工工资高于甲方当期应付款，甲方以当期应付款为限，不足部分由乙方支付，另有约定的按书面确认后的约定执行（应加盖甲方单位公章，仅由甲方人员签字、加盖甲方项目印章的对甲方不发生效力）。</w:t>
      </w:r>
    </w:p>
    <w:p w14:paraId="7FB3D1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当乙方与农民工有协议先支付一定比例的部分工资，最后按节点工期一次性结算时，乙方应将双方确认的书面协议，提交一份至甲方备案，甲方将以此为依据，按照双方确认的工资表和协商比例支付农民工工资。</w:t>
      </w:r>
    </w:p>
    <w:p w14:paraId="65D2338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2.5 甲方对支付的每笔工资，都要留存支付记录，并将支付信息传送给乙方核实。当期农民工工资发放结束后【5】天内，由乙方向甲方提供所有农民工工资全部发放完毕的确认书。逾期不确认，视为乙方默认当期农民工工资全部发放完毕，乙方无异议。</w:t>
      </w:r>
    </w:p>
    <w:p w14:paraId="0D3FD4C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2.6 甲方支付到农民工个人银行账户，即视为乙方已收到相应款项，甲乙双方进行工程结算时，乙方应无条件予以认可。所支付的农民工工资从乙方每月工程进度款中扣除，并视为已向乙方支付相应工程款。</w:t>
      </w:r>
    </w:p>
    <w:p w14:paraId="0B2C64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2.7 乙方承担其农民工工人相关税费（包括但不限于个人所得税、五险一金等）的代扣代缴义务，具体缴纳方式由乙方与农民工工人协商确定，由此引发的纠纷与甲方无关。</w:t>
      </w:r>
    </w:p>
    <w:p w14:paraId="143596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b/>
          <w:bCs/>
          <w:sz w:val="28"/>
          <w:szCs w:val="28"/>
          <w:highlight w:val="none"/>
        </w:rPr>
      </w:pPr>
      <w:r>
        <w:rPr>
          <w:rFonts w:hint="eastAsia" w:ascii="仿宋_GB2312" w:hAnsi="宋体" w:eastAsia="仿宋_GB2312" w:cs="宋体"/>
          <w:sz w:val="28"/>
          <w:szCs w:val="28"/>
          <w:highlight w:val="none"/>
        </w:rPr>
        <w:t>2.8 乙方农民工工人退场应及时到甲方办理退场手续，在退还门禁卡和领用物资、结算当期工资等手续后方可退场。乙方应督促农民工办理退场手续。</w:t>
      </w:r>
    </w:p>
    <w:p w14:paraId="740126AA">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562" w:firstLineChars="200"/>
        <w:textAlignment w:val="auto"/>
        <w:rPr>
          <w:rFonts w:ascii="仿宋_GB2312" w:hAnsi="宋体" w:eastAsia="仿宋_GB2312" w:cs="宋体"/>
          <w:b/>
          <w:bCs/>
          <w:sz w:val="28"/>
          <w:szCs w:val="28"/>
          <w:highlight w:val="none"/>
        </w:rPr>
      </w:pPr>
      <w:r>
        <w:rPr>
          <w:rFonts w:hint="eastAsia" w:ascii="仿宋_GB2312" w:hAnsi="宋体" w:eastAsia="仿宋_GB2312" w:cs="宋体"/>
          <w:b/>
          <w:bCs/>
          <w:sz w:val="28"/>
          <w:szCs w:val="28"/>
          <w:highlight w:val="none"/>
        </w:rPr>
        <w:t>违约责任</w:t>
      </w:r>
    </w:p>
    <w:p w14:paraId="2D51D1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3.1 甲方未按照乙方项目劳资管理负责人确认盖章后的农民工工资表进行及时支付，由相关部门按规定进行处罚。</w:t>
      </w:r>
    </w:p>
    <w:p w14:paraId="3B03ED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3.2 乙方须积极按本委托协议的约定，做好劳务用工合同签订、农民工信息收集更新、工资计量等工作，并对以上信息的真实完整性负责。因乙方伪造出勤信息、提供虚假身份信息套取、高估冒算农民工工资的，一经核实，乙方需按高估冒算部分金额的两倍向甲方承担违约金，该违约金从乙方剩余工程款中扣除，且该违约金不需经乙方同意或确认。</w:t>
      </w:r>
    </w:p>
    <w:p w14:paraId="66132CA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3.3 因乙方给甲方提供的资料不准确导致甲方代发工资超过或小于实际应代发工资，产生的相应后果由乙方承担。</w:t>
      </w:r>
    </w:p>
    <w:p w14:paraId="22AF8E1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3.4 因乙方不服从实名制管理致使农民工工人登记、考勤遗漏，导致农民工工资无法通过农民工工资专用账户发放，由乙方补发工资，产生的后果由乙方承担。</w:t>
      </w:r>
    </w:p>
    <w:p w14:paraId="462B16C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3.5 甲方依照本协议约定支付农民工工资后，若乙方与农民工因工资问题发生争议的，乙方应积极妥善处理，甲方有权敦促乙方及时解决相关问题，但不承担任何责任。</w:t>
      </w:r>
    </w:p>
    <w:p w14:paraId="0768A83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3.6 乙方应赔偿因此给甲方造成的损失（包括但不限于罚款、利息、律师费、诉讼费、甲方为处理相关事宜支出的合理费用等）。</w:t>
      </w:r>
    </w:p>
    <w:p w14:paraId="209BC40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_GB2312" w:hAnsi="宋体" w:eastAsia="仿宋_GB2312" w:cs="宋体"/>
          <w:b/>
          <w:bCs/>
          <w:sz w:val="28"/>
          <w:szCs w:val="28"/>
          <w:highlight w:val="none"/>
        </w:rPr>
      </w:pPr>
      <w:r>
        <w:rPr>
          <w:rFonts w:hint="eastAsia" w:ascii="仿宋_GB2312" w:hAnsi="宋体" w:eastAsia="仿宋_GB2312" w:cs="宋体"/>
          <w:b/>
          <w:bCs/>
          <w:sz w:val="28"/>
          <w:szCs w:val="28"/>
          <w:highlight w:val="none"/>
        </w:rPr>
        <w:t>4. 其他</w:t>
      </w:r>
    </w:p>
    <w:p w14:paraId="60C512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4.1 乙方须积极配合执行甲方及甲方上级单位制定的关于推动劳务实名制工资管理的各项制度和办法。</w:t>
      </w:r>
    </w:p>
    <w:p w14:paraId="115408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4.2 甲乙双方对本协议及相关文件均负有保密责任，任何一方或其雇员或代理人获得的本协议及本协议所有资料和文件，未经甲方事先书面同意，不得对外透露或公开，并承诺在本协议终止后仍然有效。</w:t>
      </w:r>
    </w:p>
    <w:p w14:paraId="23F5BE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本农民工工资委托支付协议作为分包合同的附件，具有同等法律效力，与合同同日生效。</w:t>
      </w:r>
    </w:p>
    <w:p w14:paraId="43369E2B">
      <w:pPr>
        <w:widowControl/>
        <w:jc w:val="left"/>
        <w:rPr>
          <w:rFonts w:ascii="仿宋_GB2312" w:hAnsi="宋体" w:eastAsia="仿宋_GB2312" w:cs="宋体"/>
          <w:sz w:val="28"/>
          <w:szCs w:val="28"/>
          <w:highlight w:val="none"/>
        </w:rPr>
      </w:pPr>
      <w:r>
        <w:rPr>
          <w:rFonts w:ascii="仿宋_GB2312" w:hAnsi="宋体" w:eastAsia="仿宋_GB2312" w:cs="宋体"/>
          <w:sz w:val="28"/>
          <w:szCs w:val="28"/>
          <w:highlight w:val="none"/>
        </w:rPr>
        <w:br w:type="page"/>
      </w:r>
    </w:p>
    <w:p w14:paraId="304D7ED2">
      <w:pPr>
        <w:pStyle w:val="6"/>
        <w:keepNext/>
        <w:keepLines/>
        <w:pageBreakBefore w:val="0"/>
        <w:widowControl w:val="0"/>
        <w:kinsoku/>
        <w:wordWrap/>
        <w:overflowPunct/>
        <w:topLinePunct w:val="0"/>
        <w:autoSpaceDE/>
        <w:autoSpaceDN/>
        <w:bidi w:val="0"/>
        <w:adjustRightInd/>
        <w:snapToGrid/>
        <w:spacing w:before="156" w:beforeLines="50" w:after="156" w:afterLines="50"/>
        <w:ind w:left="0" w:leftChars="0" w:firstLine="560" w:firstLineChars="200"/>
        <w:jc w:val="both"/>
        <w:textAlignment w:val="auto"/>
        <w:rPr>
          <w:rFonts w:ascii="黑体" w:hAnsi="黑体" w:cs="黑体"/>
          <w:highlight w:val="none"/>
          <w:lang w:val="zh-CN"/>
        </w:rPr>
      </w:pPr>
      <w:bookmarkStart w:id="97" w:name="_Toc17463"/>
      <w:bookmarkStart w:id="98" w:name="_Hlk117691612"/>
      <w:r>
        <w:rPr>
          <w:rFonts w:hint="eastAsia" w:ascii="黑体" w:hAnsi="黑体" w:eastAsia="黑体" w:cs="黑体"/>
          <w:b w:val="0"/>
          <w:bCs w:val="0"/>
          <w:kern w:val="2"/>
          <w:sz w:val="28"/>
          <w:szCs w:val="28"/>
          <w:highlight w:val="none"/>
          <w:lang w:val="zh-CN" w:eastAsia="zh-CN" w:bidi="ar-SA"/>
        </w:rPr>
        <w:t>附件12</w:t>
      </w:r>
      <w:bookmarkStart w:id="99" w:name="_Toc132053722"/>
      <w:r>
        <w:rPr>
          <w:rFonts w:hint="eastAsia" w:ascii="黑体" w:hAnsi="黑体" w:eastAsia="黑体" w:cs="黑体"/>
          <w:b w:val="0"/>
          <w:bCs w:val="0"/>
          <w:kern w:val="2"/>
          <w:sz w:val="28"/>
          <w:szCs w:val="28"/>
          <w:highlight w:val="none"/>
          <w:lang w:val="zh-CN" w:eastAsia="zh-CN" w:bidi="ar-SA"/>
        </w:rPr>
        <w:t xml:space="preserve"> </w:t>
      </w:r>
      <w:r>
        <w:rPr>
          <w:rFonts w:hint="eastAsia" w:ascii="黑体" w:hAnsi="黑体" w:cs="黑体"/>
          <w:highlight w:val="none"/>
          <w:lang w:val="zh-CN"/>
        </w:rPr>
        <w:t xml:space="preserve"> </w:t>
      </w:r>
    </w:p>
    <w:p w14:paraId="16851B35">
      <w:pPr>
        <w:pStyle w:val="6"/>
        <w:spacing w:before="156" w:beforeLines="50" w:after="156" w:afterLines="50"/>
        <w:ind w:left="0" w:leftChars="0"/>
        <w:jc w:val="center"/>
        <w:rPr>
          <w:rFonts w:ascii="黑体" w:hAnsi="黑体" w:cs="黑体"/>
          <w:highlight w:val="none"/>
          <w:lang w:val="zh-CN"/>
        </w:rPr>
      </w:pPr>
      <w:r>
        <w:rPr>
          <w:rFonts w:hint="eastAsia" w:ascii="黑体" w:hAnsi="黑体" w:cs="黑体"/>
          <w:highlight w:val="none"/>
          <w:lang w:val="zh-CN"/>
        </w:rPr>
        <w:t>施工现场消防安全管理协议</w:t>
      </w:r>
      <w:bookmarkEnd w:id="97"/>
      <w:bookmarkEnd w:id="99"/>
    </w:p>
    <w:p w14:paraId="0CF95A08">
      <w:pPr>
        <w:spacing w:line="480" w:lineRule="exact"/>
        <w:ind w:firstLine="562" w:firstLineChars="200"/>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甲方（承包人）：</w:t>
      </w:r>
      <w:permStart w:id="219" w:edGrp="everyone"/>
      <w:r>
        <w:rPr>
          <w:rFonts w:hint="eastAsia" w:ascii="仿宋_GB2312" w:hAnsi="仿宋_GB2312" w:eastAsia="仿宋_GB2312" w:cs="仿宋_GB2312"/>
          <w:b/>
          <w:color w:val="000000"/>
          <w:sz w:val="28"/>
          <w:szCs w:val="28"/>
          <w:highlight w:val="none"/>
        </w:rPr>
        <w:t>【】</w:t>
      </w:r>
    </w:p>
    <w:permEnd w:id="219"/>
    <w:p w14:paraId="138ED563">
      <w:pPr>
        <w:autoSpaceDE w:val="0"/>
        <w:autoSpaceDN w:val="0"/>
        <w:adjustRightInd w:val="0"/>
        <w:snapToGrid w:val="0"/>
        <w:spacing w:line="480" w:lineRule="exact"/>
        <w:ind w:firstLine="562" w:firstLineChars="200"/>
        <w:rPr>
          <w:rFonts w:ascii="仿宋_GB2312" w:hAnsi="宋体" w:eastAsia="仿宋_GB2312" w:cs="宋体"/>
          <w:kern w:val="0"/>
          <w:sz w:val="28"/>
          <w:szCs w:val="28"/>
          <w:highlight w:val="none"/>
        </w:rPr>
      </w:pPr>
      <w:r>
        <w:rPr>
          <w:rFonts w:hint="eastAsia" w:ascii="仿宋_GB2312" w:hAnsi="仿宋_GB2312" w:eastAsia="仿宋_GB2312" w:cs="仿宋_GB2312"/>
          <w:b/>
          <w:color w:val="000000"/>
          <w:sz w:val="28"/>
          <w:szCs w:val="28"/>
          <w:highlight w:val="none"/>
        </w:rPr>
        <w:t>乙方（分包人）：</w:t>
      </w:r>
      <w:permStart w:id="220" w:edGrp="everyone"/>
      <w:r>
        <w:rPr>
          <w:rFonts w:hint="eastAsia" w:ascii="仿宋_GB2312" w:hAnsi="仿宋_GB2312" w:eastAsia="仿宋_GB2312" w:cs="仿宋_GB2312"/>
          <w:b/>
          <w:color w:val="000000"/>
          <w:sz w:val="28"/>
          <w:szCs w:val="28"/>
          <w:highlight w:val="none"/>
        </w:rPr>
        <w:t>【】</w:t>
      </w:r>
      <w:permEnd w:id="220"/>
    </w:p>
    <w:p w14:paraId="1C37143E">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p>
    <w:p w14:paraId="67B90226">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为了加强和规范施工现场消防安全管理，落实逐级消防安全责任制，依据《中华人民共和国消防法》、《机关、团体、企业、事业单位消防安全管理规定》（公安部令第61号）等法律、法规，本着“谁主管，谁负责”的原则，就</w:t>
      </w:r>
      <w:permStart w:id="221" w:edGrp="everyone"/>
      <w:r>
        <w:rPr>
          <w:rFonts w:hint="eastAsia" w:ascii="仿宋_GB2312" w:hAnsi="宋体" w:eastAsia="仿宋_GB2312" w:cs="宋体"/>
          <w:kern w:val="0"/>
          <w:sz w:val="28"/>
          <w:szCs w:val="28"/>
          <w:highlight w:val="none"/>
        </w:rPr>
        <w:t>【】</w:t>
      </w:r>
      <w:permEnd w:id="221"/>
      <w:r>
        <w:rPr>
          <w:rFonts w:hint="eastAsia" w:ascii="仿宋_GB2312" w:hAnsi="宋体" w:eastAsia="仿宋_GB2312" w:cs="宋体"/>
          <w:kern w:val="0"/>
          <w:sz w:val="28"/>
          <w:szCs w:val="28"/>
          <w:highlight w:val="none"/>
        </w:rPr>
        <w:t>工程消防安全管理等签订本协议书，双方应严格遵守和执行本协议书规定的权力、责任和义务，确保施工现场的消防安全。</w:t>
      </w:r>
    </w:p>
    <w:p w14:paraId="5F4DA8E8">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2" w:firstLineChars="200"/>
        <w:textAlignment w:val="auto"/>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一、甲方的权利、责任和义务</w:t>
      </w:r>
    </w:p>
    <w:p w14:paraId="5D9F6BF7">
      <w:pPr>
        <w:keepNext w:val="0"/>
        <w:keepLines w:val="0"/>
        <w:pageBreakBefore w:val="0"/>
        <w:widowControl w:val="0"/>
        <w:tabs>
          <w:tab w:val="left" w:pos="312"/>
        </w:tabs>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 贯彻落实国家消防安全法规和总包的消防安全管理制度，总包单位对施工现场、生活区的消防安全负总责，对施工现场、生活区的消防安全进行全面管理、监督、检查和指导。</w:t>
      </w:r>
    </w:p>
    <w:p w14:paraId="75655D29">
      <w:pPr>
        <w:keepNext w:val="0"/>
        <w:keepLines w:val="0"/>
        <w:pageBreakBefore w:val="0"/>
        <w:widowControl w:val="0"/>
        <w:tabs>
          <w:tab w:val="left" w:pos="312"/>
        </w:tabs>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 运用多种形式开展经常性的消防安全宣传教育，对现场所有人员每年至少进行一次消防安全培训，并有培训记录和登记；对采用新工艺、新技术、新材料或者使用新设备有火灾危险的，要对从业人员进行专门的消防安全教育和培训；对不接受培训、教育、考核或考核不合格以及经审查有其他不符合规定要求的人员，有权拒绝其进入施工现场或清退出现场。</w:t>
      </w:r>
    </w:p>
    <w:p w14:paraId="5B471E76">
      <w:pPr>
        <w:keepNext w:val="0"/>
        <w:keepLines w:val="0"/>
        <w:pageBreakBefore w:val="0"/>
        <w:widowControl w:val="0"/>
        <w:tabs>
          <w:tab w:val="left" w:pos="312"/>
        </w:tabs>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 建立健全各项消防安全管理制度和操作规程，并督促落实。明确逐级和岗位消防安全职责，确定现场各栋号、分包、外包单位和各职能部门、各工种和各区域、层段等各级别和岗位的消防安全责任人；建立健全施工现场各级消防安全组织机构和义务消防队组织；对重点工种人员如电气焊人员、防水作业人员进行登记，建立档案。</w:t>
      </w:r>
    </w:p>
    <w:p w14:paraId="7DB7FAC0">
      <w:pPr>
        <w:keepNext w:val="0"/>
        <w:keepLines w:val="0"/>
        <w:pageBreakBefore w:val="0"/>
        <w:widowControl w:val="0"/>
        <w:tabs>
          <w:tab w:val="left" w:pos="312"/>
        </w:tabs>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strike/>
          <w:kern w:val="0"/>
          <w:sz w:val="28"/>
          <w:szCs w:val="28"/>
          <w:highlight w:val="none"/>
        </w:rPr>
      </w:pPr>
      <w:r>
        <w:rPr>
          <w:rFonts w:hint="eastAsia" w:ascii="仿宋_GB2312" w:hAnsi="宋体" w:eastAsia="仿宋_GB2312" w:cs="宋体"/>
          <w:kern w:val="0"/>
          <w:sz w:val="28"/>
          <w:szCs w:val="28"/>
          <w:highlight w:val="none"/>
        </w:rPr>
        <w:t>4. 严格落实有关运用明火的管理制度，做到“四不动火”。施工现场动用明火，应当按照规定事先办理审批手续；用火操作前，须对乙方电气焊工作业人员以班组或分包为单位进行用火操作交底，对乙方填写的《动火作业审批表及动火证》，由甲方项目主管负责人审批签字，并开具当天动火证。开具动火证人员必须符合甲方公司管理手册要求，其他人员代理应有书面委托；开具动火证时应严格把关，根据施工情况提出有针对性的防火措施。高层、外檐和孔洞周围作业，必须要求乙方和有关作业人员配备接挡工具，并在动火证上注明具体要求和措施。</w:t>
      </w:r>
    </w:p>
    <w:p w14:paraId="7B272072">
      <w:pPr>
        <w:keepNext w:val="0"/>
        <w:keepLines w:val="0"/>
        <w:pageBreakBefore w:val="0"/>
        <w:widowControl w:val="0"/>
        <w:tabs>
          <w:tab w:val="left" w:pos="312"/>
        </w:tabs>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5. 负责对乙方在施工现场、生活区的用火、用电、使用易燃易爆化学危险物品、防水作业及材料存储进行审查、批准和监督、检查。做到工程内不设置宿舍和住人，不做仓库使用和存放易燃易爆化学危险物品可燃材料；对违章指挥、违规操作等违章、违纪行为进行制止、纠正，并按有关规定进行处理。</w:t>
      </w:r>
    </w:p>
    <w:p w14:paraId="385E1F7D">
      <w:pPr>
        <w:keepNext w:val="0"/>
        <w:keepLines w:val="0"/>
        <w:pageBreakBefore w:val="0"/>
        <w:widowControl w:val="0"/>
        <w:tabs>
          <w:tab w:val="left" w:pos="312"/>
        </w:tabs>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6. 负责在施工现场、生活区、办公区内，按有关规定设置、配备相应的消防设施和灭火器材，设置消防应急疏散通道和指示标志；制定整体的灭火和应急疏散预案，并至少每半年进行一次演练。</w:t>
      </w:r>
    </w:p>
    <w:p w14:paraId="2F7D74F5">
      <w:pPr>
        <w:keepNext w:val="0"/>
        <w:keepLines w:val="0"/>
        <w:pageBreakBefore w:val="0"/>
        <w:widowControl w:val="0"/>
        <w:tabs>
          <w:tab w:val="left" w:pos="312"/>
        </w:tabs>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7. 定期召开施工现场安全会议，组织防火检查，督促落实火灾隐患整改；有针对性地部署做好施工各阶段的防火工作；协调和处理本施工现场的有关消防安全问题。</w:t>
      </w:r>
    </w:p>
    <w:p w14:paraId="630D0DAF">
      <w:pPr>
        <w:keepNext w:val="0"/>
        <w:keepLines w:val="0"/>
        <w:pageBreakBefore w:val="0"/>
        <w:widowControl w:val="0"/>
        <w:tabs>
          <w:tab w:val="left" w:pos="312"/>
        </w:tabs>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8. 发生火灾，应及时报警、迅速组织扑救和人员疏散。紧急情况下甲方有权调用乙方的相关人员及物资。</w:t>
      </w:r>
    </w:p>
    <w:p w14:paraId="1903EE6C">
      <w:pPr>
        <w:keepNext w:val="0"/>
        <w:keepLines w:val="0"/>
        <w:pageBreakBefore w:val="0"/>
        <w:widowControl w:val="0"/>
        <w:tabs>
          <w:tab w:val="left" w:pos="312"/>
        </w:tabs>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9. 积极配合各级消防监督检查机关进行消防安全检查，参与对火灾事故的调查、处理。</w:t>
      </w:r>
    </w:p>
    <w:p w14:paraId="0EB40642">
      <w:pPr>
        <w:keepNext w:val="0"/>
        <w:keepLines w:val="0"/>
        <w:pageBreakBefore w:val="0"/>
        <w:widowControl w:val="0"/>
        <w:tabs>
          <w:tab w:val="left" w:pos="312"/>
        </w:tabs>
        <w:kinsoku/>
        <w:wordWrap/>
        <w:overflowPunct/>
        <w:topLinePunct w:val="0"/>
        <w:autoSpaceDE w:val="0"/>
        <w:autoSpaceDN w:val="0"/>
        <w:bidi w:val="0"/>
        <w:adjustRightInd w:val="0"/>
        <w:snapToGrid w:val="0"/>
        <w:spacing w:line="480" w:lineRule="exact"/>
        <w:ind w:left="0" w:firstLine="562"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b/>
          <w:bCs/>
          <w:kern w:val="0"/>
          <w:sz w:val="28"/>
          <w:szCs w:val="28"/>
          <w:highlight w:val="none"/>
        </w:rPr>
        <w:t>二、乙方的权利、责任和义务</w:t>
      </w:r>
    </w:p>
    <w:p w14:paraId="307029F3">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 贯彻落实各级政府及相关部门有关施工现场消防安全的法规和总包的消防安全管理制度，对所属施工区域、生活区宿舍、办公区的消防安全管理负全面责任。</w:t>
      </w:r>
    </w:p>
    <w:p w14:paraId="1EC24075">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 负责建立健全本单位的防火组织，明确消防安全责任人、消防安全管理人、义务消防队伍。负责在施工现场内，按有关规定设置、配备相应的消防设施和灭火器材，设置消防应急疏散通道和指示标志；按照甲方的要求提供施工人员花名册及特殊工种的证件复印件及有关资料，在本施工区域内，尤其是重点部位按规定配备相应的灭火器材，并保证灵敏有效。</w:t>
      </w:r>
    </w:p>
    <w:p w14:paraId="056FAF3F">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 电气焊等特种作业人员必须持证上岗。用火操作前，必须到甲方用火审批部门办理动火证，不得由他人代理。在操作中应确保高层、外檐和孔洞周围作业对电气焊割产生的火花、焊渣有接挡和封堵措施，并避免与易燃危险性作业同时交叉进行；要清除周围易燃可燃物，配备灭火器材、灭火用水，设专人看火监护。禁止非焊工进行电气焊操作。</w:t>
      </w:r>
    </w:p>
    <w:p w14:paraId="22D7561D">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4. 负责对本单位在施人员进行消防法规、制度、操作规程和施工现场火灾危险性教育；进行报火警、扑救初起火灾和自救逃生知识、技能教育。对施工现场采用的新工艺、新技术、新材料或使用的新设备必须了解、掌握其安全消防技术特性，经培训教育后方可上岗作业。在消防安全教育或安全活动中，可要求甲方提供帮助。</w:t>
      </w:r>
    </w:p>
    <w:p w14:paraId="63BBC9FD">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5. 工程不准作为仓库使用，不准存放易燃、易爆化学危险物品和易燃可燃材料，不得在建设工程内设置宿舍。甲方指令乙方违反上述规定的，乙方有权拒绝。在建设工程外设置宿舍和库房的，禁止使用可燃材料做分割和围挡。严禁在宿舍内私接乱拉电线，严禁使用“热得快”、电饭锅、电褥子等大功率电热器具。乙方使用或存储易燃易爆化学危险品，应向甲方有关部门提出申请，经甲方批准和登记，并有可靠的防火安全措施后才准许使用和存储。</w:t>
      </w:r>
    </w:p>
    <w:p w14:paraId="2FD59EF1">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6. 负责所在施工区域及所属生活区宿舍内的消防安全管理，制定消防应急预案，保证所施工区域内的消防设施、器材等配置到位、完好无损、灵敏有效，确保消防应急通道畅通，并有权拒绝甲方违反消防安全法规的指令。</w:t>
      </w:r>
    </w:p>
    <w:p w14:paraId="34AA8948">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7. 落实日检及周检要求，进行自我防火安全检查，及时制止、纠正各种违章用火、用电和违章操作行为，在防火安全检查中发现的消防隐患及问题，应及时整改或采取必要的安全措施，并及时通报甲方有关部门共同协商解决，消除消防隐患。</w:t>
      </w:r>
    </w:p>
    <w:p w14:paraId="61C58CA5">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8. 积极配合、服从各级消防机关、部门及甲方消防安全监督、检查和管理，对于查出的防火安全问题及时进行整改，并将整改情况书面报甲方备案。</w:t>
      </w:r>
    </w:p>
    <w:p w14:paraId="0D359878">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9. 发生火灾事故，立即向甲方报告，并迅速组织扑救，事后积极协助有关部门进行调查，迟报或隐瞒不报造成严重后果的，要承担相应责任。</w:t>
      </w:r>
    </w:p>
    <w:p w14:paraId="69C80385">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10. 因乙方责任造成火灾事故，导致甲方或第三方人身伤亡和经济损失的，乙方承担全部经济损失和法律责任。</w:t>
      </w:r>
    </w:p>
    <w:p w14:paraId="71BA134F">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2"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b/>
          <w:bCs/>
          <w:kern w:val="0"/>
          <w:sz w:val="28"/>
          <w:szCs w:val="28"/>
          <w:highlight w:val="none"/>
        </w:rPr>
        <w:t>三、补充条款</w:t>
      </w:r>
    </w:p>
    <w:p w14:paraId="78028361">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补充条款如下：</w:t>
      </w:r>
    </w:p>
    <w:p w14:paraId="42BBE72C">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乙方认真执行甲方项目部的消防要求，如有违犯规定的按甲方安全奖罚制度处罚。</w:t>
      </w:r>
    </w:p>
    <w:p w14:paraId="4FF2C11B">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560" w:firstLineChars="200"/>
        <w:textAlignment w:val="auto"/>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本协议作为合同一部分，自合同签订之日起生效，到退场协议终止。</w:t>
      </w:r>
    </w:p>
    <w:p w14:paraId="37326AD4">
      <w:pPr>
        <w:widowControl/>
        <w:jc w:val="left"/>
        <w:rPr>
          <w:rFonts w:ascii="宋体" w:hAnsi="宋体" w:cs="宋体"/>
          <w:szCs w:val="21"/>
          <w:highlight w:val="none"/>
        </w:rPr>
      </w:pPr>
      <w:r>
        <w:rPr>
          <w:rFonts w:ascii="宋体" w:hAnsi="宋体" w:cs="宋体"/>
          <w:szCs w:val="21"/>
          <w:highlight w:val="none"/>
        </w:rPr>
        <w:br w:type="page"/>
      </w:r>
    </w:p>
    <w:p w14:paraId="1CAC00F7">
      <w:pPr>
        <w:pStyle w:val="6"/>
        <w:keepNext/>
        <w:keepLines/>
        <w:pageBreakBefore w:val="0"/>
        <w:widowControl w:val="0"/>
        <w:kinsoku/>
        <w:wordWrap/>
        <w:overflowPunct/>
        <w:topLinePunct w:val="0"/>
        <w:autoSpaceDE/>
        <w:autoSpaceDN/>
        <w:bidi w:val="0"/>
        <w:adjustRightInd/>
        <w:snapToGrid/>
        <w:spacing w:before="156" w:beforeLines="50" w:after="156" w:afterLines="50"/>
        <w:ind w:left="0" w:leftChars="0" w:firstLine="560" w:firstLineChars="200"/>
        <w:jc w:val="both"/>
        <w:textAlignment w:val="auto"/>
        <w:rPr>
          <w:rFonts w:ascii="黑体" w:hAnsi="黑体" w:cs="黑体"/>
          <w:highlight w:val="none"/>
          <w:lang w:val="zh-CN"/>
        </w:rPr>
      </w:pPr>
      <w:bookmarkStart w:id="100" w:name="_Toc15815"/>
      <w:bookmarkStart w:id="101" w:name="_Toc132053723"/>
      <w:r>
        <w:rPr>
          <w:rFonts w:hint="eastAsia" w:ascii="黑体" w:hAnsi="黑体" w:eastAsia="黑体" w:cs="黑体"/>
          <w:b w:val="0"/>
          <w:bCs w:val="0"/>
          <w:kern w:val="2"/>
          <w:sz w:val="28"/>
          <w:szCs w:val="28"/>
          <w:highlight w:val="none"/>
          <w:lang w:val="zh-CN" w:eastAsia="zh-CN" w:bidi="ar-SA"/>
        </w:rPr>
        <w:t xml:space="preserve">附件13 </w:t>
      </w:r>
      <w:r>
        <w:rPr>
          <w:rFonts w:hint="eastAsia" w:ascii="黑体" w:hAnsi="黑体" w:cs="黑体"/>
          <w:highlight w:val="none"/>
          <w:lang w:val="zh-CN"/>
        </w:rPr>
        <w:t xml:space="preserve"> </w:t>
      </w:r>
    </w:p>
    <w:p w14:paraId="32A9B0D3">
      <w:pPr>
        <w:pStyle w:val="6"/>
        <w:spacing w:before="156" w:beforeLines="50" w:after="156" w:afterLines="50"/>
        <w:ind w:left="0" w:leftChars="0"/>
        <w:jc w:val="center"/>
        <w:rPr>
          <w:rFonts w:ascii="黑体" w:hAnsi="黑体" w:cs="黑体"/>
          <w:highlight w:val="none"/>
          <w:lang w:val="zh-CN"/>
        </w:rPr>
      </w:pPr>
      <w:r>
        <w:rPr>
          <w:rFonts w:hint="eastAsia" w:ascii="黑体" w:hAnsi="黑体" w:cs="黑体"/>
          <w:highlight w:val="none"/>
          <w:lang w:val="zh-CN"/>
        </w:rPr>
        <w:t>施工现场临时用电安全管理协议</w:t>
      </w:r>
      <w:bookmarkEnd w:id="100"/>
      <w:bookmarkEnd w:id="101"/>
    </w:p>
    <w:p w14:paraId="26FDCFBF">
      <w:pPr>
        <w:spacing w:line="480" w:lineRule="exact"/>
        <w:ind w:firstLine="562" w:firstLineChars="200"/>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甲方（承包人）：</w:t>
      </w:r>
      <w:permStart w:id="222" w:edGrp="everyone"/>
      <w:r>
        <w:rPr>
          <w:rFonts w:hint="eastAsia" w:ascii="仿宋_GB2312" w:hAnsi="仿宋_GB2312" w:eastAsia="仿宋_GB2312" w:cs="仿宋_GB2312"/>
          <w:b/>
          <w:color w:val="000000"/>
          <w:sz w:val="28"/>
          <w:szCs w:val="28"/>
          <w:highlight w:val="none"/>
        </w:rPr>
        <w:t>【】</w:t>
      </w:r>
    </w:p>
    <w:permEnd w:id="222"/>
    <w:p w14:paraId="6369178C">
      <w:pPr>
        <w:spacing w:line="480" w:lineRule="exact"/>
        <w:ind w:firstLine="562" w:firstLineChars="200"/>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乙方（分包人）：</w:t>
      </w:r>
      <w:permStart w:id="223" w:edGrp="everyone"/>
      <w:r>
        <w:rPr>
          <w:rFonts w:hint="eastAsia" w:ascii="仿宋_GB2312" w:hAnsi="仿宋_GB2312" w:eastAsia="仿宋_GB2312" w:cs="仿宋_GB2312"/>
          <w:b/>
          <w:color w:val="000000"/>
          <w:sz w:val="28"/>
          <w:szCs w:val="28"/>
          <w:highlight w:val="none"/>
        </w:rPr>
        <w:t>【】</w:t>
      </w:r>
      <w:permEnd w:id="223"/>
    </w:p>
    <w:p w14:paraId="107B1466">
      <w:pPr>
        <w:spacing w:line="480" w:lineRule="exact"/>
        <w:ind w:firstLine="560" w:firstLineChars="200"/>
        <w:rPr>
          <w:rFonts w:ascii="仿宋_GB2312" w:hAnsi="宋体" w:eastAsia="仿宋_GB2312" w:cs="宋体"/>
          <w:sz w:val="28"/>
          <w:szCs w:val="28"/>
          <w:highlight w:val="none"/>
        </w:rPr>
      </w:pPr>
    </w:p>
    <w:p w14:paraId="6E573FC5">
      <w:pPr>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为了确保施工现场临时用电安全，防止触电事故的发生，依据《中华人民共和国安全生产法》、《建设工程安全生产管理条例》、《建设工程施工现场供用电安全规范》（GB50194-2014）、《施工现场临时用电安全技术规范》（JGJ46—2005）、《建筑施工安全检查标准》（JGJ59—2011）等有关规定，就</w:t>
      </w:r>
      <w:permStart w:id="224" w:edGrp="everyone"/>
      <w:r>
        <w:rPr>
          <w:rFonts w:hint="eastAsia" w:ascii="仿宋_GB2312" w:hAnsi="宋体" w:eastAsia="仿宋_GB2312" w:cs="宋体"/>
          <w:sz w:val="28"/>
          <w:szCs w:val="28"/>
          <w:highlight w:val="none"/>
        </w:rPr>
        <w:t>【】</w:t>
      </w:r>
      <w:permEnd w:id="224"/>
      <w:r>
        <w:rPr>
          <w:rFonts w:hint="eastAsia" w:ascii="仿宋_GB2312" w:hAnsi="宋体" w:eastAsia="仿宋_GB2312" w:cs="宋体"/>
          <w:sz w:val="28"/>
          <w:szCs w:val="28"/>
          <w:highlight w:val="none"/>
        </w:rPr>
        <w:t>工程施工现场临时用电安全制定本协议书。甲方和乙方应当按照各自职责，对临时用电进行监督管理，严格遵守本协议书规定的权利、责任和义务，保障施工现场临时用电安全。</w:t>
      </w:r>
    </w:p>
    <w:p w14:paraId="292D06EB">
      <w:pPr>
        <w:autoSpaceDE w:val="0"/>
        <w:autoSpaceDN w:val="0"/>
        <w:adjustRightInd w:val="0"/>
        <w:snapToGrid w:val="0"/>
        <w:spacing w:line="480" w:lineRule="exact"/>
        <w:ind w:firstLine="562" w:firstLineChars="200"/>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一、甲方的权利、责任和义务</w:t>
      </w:r>
    </w:p>
    <w:p w14:paraId="4E5BA389">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1.贯彻落实国家施工现场临时用电的有关规定。负责对施工现场临时用电进行全面监督、管理，并对施工现场临时用电进行安全检查和指导。</w:t>
      </w:r>
    </w:p>
    <w:p w14:paraId="69846B81">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2.审阅乙方临时用电申请，并把乙方临时用电安全技术措施和电气防火措施进行备案。</w:t>
      </w:r>
    </w:p>
    <w:p w14:paraId="7162649B">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3.负责提供施工电源，并把施工电源送到符合安全标准的二级配电箱。并对乙方的使用情况进行监督检查。</w:t>
      </w:r>
    </w:p>
    <w:p w14:paraId="57FD2B3A">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4.向乙方提供电源时，应与乙方办理交接验收手续。</w:t>
      </w:r>
    </w:p>
    <w:p w14:paraId="56D68DA9">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5.按照有关临时用电标准对乙方的临时用电设备、设施进行监督和检查。发现乙方在临时用电中存在隐患必须责成乙方予以整改，并监督整改落实情况。</w:t>
      </w:r>
    </w:p>
    <w:p w14:paraId="0655CF23">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6.对乙方特种作业人员的花名册、操作证复印件及培训记录进行存档备案。未经安全生产教育培训和无证人员，不得允许上岗作业。</w:t>
      </w:r>
    </w:p>
    <w:p w14:paraId="78E2BED5">
      <w:pPr>
        <w:autoSpaceDE w:val="0"/>
        <w:autoSpaceDN w:val="0"/>
        <w:adjustRightInd w:val="0"/>
        <w:snapToGrid w:val="0"/>
        <w:spacing w:line="480" w:lineRule="exact"/>
        <w:ind w:firstLine="562" w:firstLineChars="200"/>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二、乙方的权利、责任和义务</w:t>
      </w:r>
    </w:p>
    <w:p w14:paraId="53BB06F4">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1.严格执行国家施工现场临时用电的有关技术规范和安全操作规程，对施工区域内自行管辖的临时用电负全面管理责任。</w:t>
      </w:r>
    </w:p>
    <w:p w14:paraId="212590F4">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2.向甲方提供书面的临时用电申请。设备设施需要增容时，必须重新办理用电申请手续。</w:t>
      </w:r>
    </w:p>
    <w:p w14:paraId="5F237CAB">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保证二级配电箱以下管辖区域内各种用电设备、设施完好，临时用电设施和器材必须使用正规厂家的合格产品，严禁使用假冒伪劣等不合格产品。加强日常检查与维护保养工作，严禁各种机电设备带病运行，保证临时用电符合有关安全用电标准。</w:t>
      </w:r>
    </w:p>
    <w:p w14:paraId="643DCB4B">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4.执行临时用电安全技术交底制度，对施工区域内自行管辖的操作人员进行临时用电安全技术交底，避免违章指挥、违章操作和误操作，确保安全用电。</w:t>
      </w:r>
    </w:p>
    <w:p w14:paraId="05628F0D">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5.在使用甲方提供临时电源时，对不符合临时用电标准的电源，对甲方提出整改意见。有权拒绝在不符合临时用电标准的电源上拉接电源。对甲方在安全检查中提出的关于临时用电方面存在的问题或隐患，必须按要求认真落实整改。</w:t>
      </w:r>
    </w:p>
    <w:p w14:paraId="064CB0FB">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6.配置满足施工需要的特种作业人员，对特种作业人员进行上岗前的职业技能、安全生产等方面的培训，未经安全生产教育培训及培训不合格和无证人员，不得上岗作业。特种作业人员必须依照有关规定持证上岗。向甲方提供特种作业人员花名册、操作证复印件和培训记录。</w:t>
      </w:r>
    </w:p>
    <w:p w14:paraId="486FC446">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7.现场发生触电事故时，经主管部门鉴定属于乙方因违反上述协议和违章指挥、违章操作，对提供的电源线路设施未经甲方事先书面同意擅自拆、改、接，不服从甲方管理造成事故的，由乙方负全责。</w:t>
      </w:r>
    </w:p>
    <w:p w14:paraId="073970AA">
      <w:pPr>
        <w:autoSpaceDE w:val="0"/>
        <w:autoSpaceDN w:val="0"/>
        <w:adjustRightInd w:val="0"/>
        <w:snapToGrid w:val="0"/>
        <w:spacing w:line="480" w:lineRule="exact"/>
        <w:ind w:firstLine="562" w:firstLineChars="200"/>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三、争议</w:t>
      </w:r>
    </w:p>
    <w:p w14:paraId="06E6F2C3">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当甲、乙双方发生争议时，可以通过甲、乙双方上级主管部门协商解决。</w:t>
      </w:r>
    </w:p>
    <w:p w14:paraId="2BFC5FB2">
      <w:pPr>
        <w:autoSpaceDE w:val="0"/>
        <w:autoSpaceDN w:val="0"/>
        <w:adjustRightInd w:val="0"/>
        <w:snapToGrid w:val="0"/>
        <w:spacing w:line="480" w:lineRule="exact"/>
        <w:ind w:firstLine="562" w:firstLineChars="200"/>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四、双方有关未尽事宜补充条款</w:t>
      </w:r>
    </w:p>
    <w:p w14:paraId="30181196">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 xml:space="preserve">补充条款如下：乙方所有进入现场配电设备、设施（配电箱、电缆线、电器配件）等，必须报甲方项目部物资部、安全部验收，未经验收合格严禁使用。 </w:t>
      </w:r>
    </w:p>
    <w:p w14:paraId="3245F6B9">
      <w:pPr>
        <w:autoSpaceDE w:val="0"/>
        <w:autoSpaceDN w:val="0"/>
        <w:adjustRightInd w:val="0"/>
        <w:snapToGri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本协议作为合同一部分，自合同签订之日起生效，到退场协议终止。</w:t>
      </w:r>
      <w:bookmarkEnd w:id="98"/>
    </w:p>
    <w:p w14:paraId="0BCB90D2">
      <w:pPr>
        <w:widowControl/>
        <w:jc w:val="left"/>
        <w:rPr>
          <w:rFonts w:ascii="仿宋_GB2312" w:hAnsi="宋体" w:eastAsia="仿宋_GB2312" w:cs="宋体"/>
          <w:bCs/>
          <w:sz w:val="28"/>
          <w:szCs w:val="28"/>
          <w:highlight w:val="none"/>
          <w:u w:val="single"/>
        </w:rPr>
      </w:pPr>
      <w:r>
        <w:rPr>
          <w:rFonts w:ascii="仿宋_GB2312" w:hAnsi="宋体" w:eastAsia="仿宋_GB2312" w:cs="宋体"/>
          <w:bCs/>
          <w:sz w:val="28"/>
          <w:szCs w:val="28"/>
          <w:highlight w:val="none"/>
          <w:u w:val="single"/>
        </w:rPr>
        <w:br w:type="page"/>
      </w:r>
    </w:p>
    <w:p w14:paraId="5F3E5BED">
      <w:pPr>
        <w:pStyle w:val="6"/>
        <w:keepNext/>
        <w:keepLines/>
        <w:pageBreakBefore w:val="0"/>
        <w:widowControl w:val="0"/>
        <w:kinsoku/>
        <w:wordWrap/>
        <w:overflowPunct/>
        <w:topLinePunct w:val="0"/>
        <w:autoSpaceDE/>
        <w:autoSpaceDN/>
        <w:bidi w:val="0"/>
        <w:adjustRightInd/>
        <w:snapToGrid/>
        <w:spacing w:before="156" w:beforeLines="50" w:after="156" w:afterLines="50"/>
        <w:ind w:left="0" w:leftChars="0" w:firstLine="560" w:firstLineChars="200"/>
        <w:jc w:val="both"/>
        <w:textAlignment w:val="auto"/>
        <w:rPr>
          <w:rFonts w:ascii="黑体" w:hAnsi="黑体" w:cs="黑体"/>
          <w:highlight w:val="none"/>
          <w:lang w:val="zh-CN"/>
        </w:rPr>
      </w:pPr>
      <w:bookmarkStart w:id="102" w:name="_Toc132053718"/>
      <w:bookmarkStart w:id="103" w:name="_Toc23521"/>
      <w:r>
        <w:rPr>
          <w:rFonts w:hint="eastAsia" w:ascii="黑体" w:hAnsi="黑体" w:eastAsia="黑体" w:cs="黑体"/>
          <w:b w:val="0"/>
          <w:bCs w:val="0"/>
          <w:kern w:val="2"/>
          <w:sz w:val="28"/>
          <w:szCs w:val="28"/>
          <w:highlight w:val="none"/>
          <w:lang w:val="zh-CN" w:eastAsia="zh-CN" w:bidi="ar-SA"/>
        </w:rPr>
        <w:t xml:space="preserve">附件14 </w:t>
      </w:r>
      <w:r>
        <w:rPr>
          <w:rFonts w:hint="eastAsia" w:ascii="黑体" w:hAnsi="黑体" w:cs="黑体"/>
          <w:highlight w:val="none"/>
          <w:lang w:val="zh-CN"/>
        </w:rPr>
        <w:t xml:space="preserve"> </w:t>
      </w:r>
    </w:p>
    <w:p w14:paraId="0B0130C8">
      <w:pPr>
        <w:pStyle w:val="6"/>
        <w:spacing w:before="156" w:beforeLines="50" w:after="156" w:afterLines="50"/>
        <w:ind w:left="0" w:leftChars="0"/>
        <w:jc w:val="center"/>
        <w:rPr>
          <w:rFonts w:ascii="黑体" w:hAnsi="黑体" w:cs="黑体"/>
          <w:highlight w:val="none"/>
          <w:lang w:val="zh-CN"/>
        </w:rPr>
      </w:pPr>
      <w:r>
        <w:rPr>
          <w:rFonts w:hint="eastAsia" w:ascii="黑体" w:hAnsi="黑体" w:cs="黑体"/>
          <w:highlight w:val="none"/>
          <w:lang w:val="zh-CN"/>
        </w:rPr>
        <w:t>承  诺  书</w:t>
      </w:r>
      <w:bookmarkEnd w:id="102"/>
      <w:bookmarkEnd w:id="103"/>
    </w:p>
    <w:p w14:paraId="5837169E">
      <w:pPr>
        <w:spacing w:line="480" w:lineRule="exact"/>
        <w:rPr>
          <w:rFonts w:ascii="仿宋_GB2312" w:hAnsi="宋体" w:eastAsia="仿宋_GB2312" w:cs="宋体"/>
          <w:sz w:val="28"/>
          <w:szCs w:val="28"/>
          <w:highlight w:val="none"/>
        </w:rPr>
      </w:pPr>
      <w:permStart w:id="225" w:edGrp="everyone"/>
      <w:r>
        <w:rPr>
          <w:rFonts w:hint="eastAsia" w:ascii="仿宋_GB2312" w:hAnsi="宋体" w:eastAsia="仿宋_GB2312" w:cs="宋体"/>
          <w:sz w:val="28"/>
          <w:szCs w:val="28"/>
          <w:highlight w:val="none"/>
        </w:rPr>
        <w:t>【】</w:t>
      </w:r>
      <w:permEnd w:id="225"/>
      <w:r>
        <w:rPr>
          <w:rFonts w:hint="eastAsia" w:ascii="仿宋_GB2312" w:hAnsi="宋体" w:eastAsia="仿宋_GB2312" w:cs="宋体"/>
          <w:sz w:val="28"/>
          <w:szCs w:val="28"/>
          <w:highlight w:val="none"/>
        </w:rPr>
        <w:t>：</w:t>
      </w:r>
    </w:p>
    <w:p w14:paraId="1A54BAED">
      <w:pPr>
        <w:autoSpaceDE w:val="0"/>
        <w:autoSpaceDN w:val="0"/>
        <w:adjustRightInd w:val="0"/>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我公司参加贵司</w:t>
      </w:r>
      <w:permStart w:id="226" w:edGrp="everyone"/>
      <w:r>
        <w:rPr>
          <w:rFonts w:hint="eastAsia" w:ascii="仿宋_GB2312" w:hAnsi="宋体" w:eastAsia="仿宋_GB2312" w:cs="宋体"/>
          <w:sz w:val="28"/>
          <w:szCs w:val="28"/>
          <w:highlight w:val="none"/>
        </w:rPr>
        <w:t>【】</w:t>
      </w:r>
      <w:permEnd w:id="226"/>
      <w:r>
        <w:rPr>
          <w:rFonts w:hint="eastAsia" w:ascii="仿宋_GB2312" w:hAnsi="宋体" w:eastAsia="仿宋_GB2312" w:cs="宋体"/>
          <w:sz w:val="28"/>
          <w:szCs w:val="28"/>
          <w:highlight w:val="none"/>
        </w:rPr>
        <w:t>工程投标并已中标，为更好的完成合同约定的工作内容，我公司承诺如下：</w:t>
      </w:r>
    </w:p>
    <w:p w14:paraId="31591A09">
      <w:pPr>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1.我公司严格执行国家、当地政府部门的法规、政策及总承包单位规章制度，依法进行用工管理，不挂靠及不接受挂靠，不使用小包工队伍和未培训的社会闲散人员。</w:t>
      </w:r>
    </w:p>
    <w:p w14:paraId="45AAB700">
      <w:pPr>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2.依法与劳动者本人签订书面劳动合同，明确双方的权利和义务，并经双方签字（章）认可，合同文本同时报甲方项目部备案。</w:t>
      </w:r>
    </w:p>
    <w:p w14:paraId="2419736C">
      <w:pPr>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3.我公司对员工实施实名制管理，做好工人的基本信息采集和考勤工作，并及时报总包项目部。</w:t>
      </w:r>
    </w:p>
    <w:p w14:paraId="274E628B">
      <w:pPr>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4.我公司使用劳务工人保证做到先培训，后上岗，持证上岗。</w:t>
      </w:r>
    </w:p>
    <w:p w14:paraId="49BE654A">
      <w:pPr>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5.按时足额发放工资（包括现场施工工人及劳务用工、农民工等所有用工，以下均简称“员工工资”），不管在任何情况下，决不拖欠工资，每次发放工资经员工本人签字。</w:t>
      </w:r>
    </w:p>
    <w:p w14:paraId="41BF70B9">
      <w:pPr>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6.接受贵司的监督与管理。执行贵司对用工和工资支付的相关规定，按时足额缴纳工资保障基金，做好工资支付工作。并将工资支付情况统计表报送总承包方。</w:t>
      </w:r>
    </w:p>
    <w:p w14:paraId="62BF3EAB">
      <w:pPr>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7.在有条件的地区，委托总承包方在银行开设“工资专户”，建立工资卡，由银行代发工资，将工资直接打入员工个人卡中，并接受总包方对“工资专户”资金使用情况的监督管理。</w:t>
      </w:r>
    </w:p>
    <w:p w14:paraId="42619E81">
      <w:pPr>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8.发生资金矛盾时，无条件先行支付员工工资。</w:t>
      </w:r>
    </w:p>
    <w:p w14:paraId="1A404C17">
      <w:pPr>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9.若拖欠员工工资，贵司有权直接终止分包合同，并按照分包合同的约定承担违约金。</w:t>
      </w:r>
    </w:p>
    <w:p w14:paraId="3B53E3EA">
      <w:pPr>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10.我公司严格遵守总承包方安全管理规章制度，履行安全生产协议，做好劳务工人安全教育培训工作，接受贵司安全生产监督检查并承担相应的责任。</w:t>
      </w:r>
    </w:p>
    <w:p w14:paraId="1920BFEC">
      <w:pPr>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11.我司根据贵司要求，进入施工现场的所有人员，按照总承包方规定要求，按照实名制要求做好基本信息采集工作，办理门禁卡，无门禁卡的人员，贵司有权拒绝其进入施工现场。</w:t>
      </w:r>
    </w:p>
    <w:p w14:paraId="15DC5DA7">
      <w:pPr>
        <w:autoSpaceDE w:val="0"/>
        <w:autoSpaceDN w:val="0"/>
        <w:adjustRightIn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12.在合同实施过程中因建设单位、政策性因素、不可抗力、瘟疫等其他原因造成工程停建、缓建或工期延后，我公司不向贵司提出索赔。</w:t>
      </w:r>
    </w:p>
    <w:p w14:paraId="6BD40208">
      <w:pPr>
        <w:autoSpaceDE w:val="0"/>
        <w:autoSpaceDN w:val="0"/>
        <w:adjustRightInd w:val="0"/>
        <w:spacing w:line="480" w:lineRule="exact"/>
        <w:ind w:firstLine="560" w:firstLineChars="20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13.我公司从贵司收取的工程款首先支付工人工资，并每月将发放的劳务人员工资回执单上报贵司，如每月不按时上报，贵司可不支付下月工程款。如果出现我方范围内农民工、供货商经济纠纷事件干扰贵司正常工作或相关部门要求贵司解决，我方将及时解决，如半天内未解决，在第三方证明下或相关政府部门要求下，贵司可直接代为垫付，由此发生的费用贵司可直接自应支付我司的款项中扣除，并且按垫付数额的2倍由我司向贵司支付违约金。</w:t>
      </w:r>
    </w:p>
    <w:p w14:paraId="1F85C29E">
      <w:pPr>
        <w:widowControl/>
        <w:spacing w:line="480" w:lineRule="exact"/>
        <w:ind w:firstLine="560" w:firstLineChars="200"/>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14.我公司具有完成合同所有内容的垫资能力，如贵司对我公司司付款不及时，我公司表示谅解，并承诺继续施工，不向贵司索赔任何费用。</w:t>
      </w:r>
    </w:p>
    <w:p w14:paraId="4C79C2A3">
      <w:pPr>
        <w:autoSpaceDE w:val="0"/>
        <w:autoSpaceDN w:val="0"/>
        <w:adjustRightInd w:val="0"/>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 xml:space="preserve">15.本合同履行过程中，若由于现场实际情况、贵司或建设单位要求，需要抢工或提前完工的，我公司积极配合，不以费用未确定等任何借口拒绝或拖延执行；若我公司施工能力无法满足前述要求，贵司有权组织其他单位代我公司完成，我公司将提供配合并承担由此产生的费用（包括但不限于代为完成部分工程款（该部分工程款由贵司直接与代为完成者直接结算，我公司对结算结果完全予以认可）及贵司管理费等），此费用由贵司从我公司工程款中扣除。 </w:t>
      </w:r>
    </w:p>
    <w:p w14:paraId="702A95A4">
      <w:pPr>
        <w:autoSpaceDE w:val="0"/>
        <w:autoSpaceDN w:val="0"/>
        <w:adjustRightInd w:val="0"/>
        <w:spacing w:line="480" w:lineRule="exact"/>
        <w:ind w:firstLine="560" w:firstLineChars="200"/>
        <w:rPr>
          <w:rFonts w:ascii="仿宋_GB2312" w:hAnsi="宋体" w:eastAsia="仿宋_GB2312" w:cs="宋体"/>
          <w:sz w:val="28"/>
          <w:szCs w:val="28"/>
          <w:highlight w:val="none"/>
        </w:rPr>
      </w:pPr>
    </w:p>
    <w:p w14:paraId="168EB31F">
      <w:pPr>
        <w:autoSpaceDE w:val="0"/>
        <w:autoSpaceDN w:val="0"/>
        <w:adjustRightInd w:val="0"/>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特此承诺。</w:t>
      </w:r>
    </w:p>
    <w:p w14:paraId="6C2581E1">
      <w:pPr>
        <w:snapToGrid w:val="0"/>
        <w:spacing w:line="480" w:lineRule="exact"/>
        <w:ind w:right="840" w:firstLine="280" w:firstLineChars="100"/>
        <w:jc w:val="right"/>
        <w:rPr>
          <w:rFonts w:ascii="仿宋_GB2312" w:hAnsi="宋体" w:eastAsia="仿宋_GB2312" w:cs="宋体"/>
          <w:sz w:val="28"/>
          <w:szCs w:val="28"/>
          <w:highlight w:val="none"/>
        </w:rPr>
      </w:pPr>
      <w:permStart w:id="227" w:edGrp="everyone"/>
      <w:r>
        <w:rPr>
          <w:rFonts w:hint="eastAsia" w:ascii="仿宋_GB2312" w:hAnsi="宋体" w:eastAsia="仿宋_GB2312" w:cs="宋体"/>
          <w:sz w:val="28"/>
          <w:szCs w:val="28"/>
          <w:highlight w:val="none"/>
        </w:rPr>
        <w:t>承诺单位（签字盖章）：</w:t>
      </w:r>
    </w:p>
    <w:p w14:paraId="0FC4D787">
      <w:pPr>
        <w:spacing w:line="480" w:lineRule="exact"/>
        <w:ind w:right="1120"/>
        <w:jc w:val="righ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年    月    日</w:t>
      </w:r>
      <w:permEnd w:id="227"/>
    </w:p>
    <w:p w14:paraId="16E6E2EE">
      <w:pPr>
        <w:spacing w:line="360" w:lineRule="auto"/>
        <w:rPr>
          <w:rFonts w:ascii="宋体" w:hAnsi="宋体" w:eastAsia="宋体" w:cs="宋体"/>
          <w:bCs/>
          <w:szCs w:val="21"/>
          <w:u w:val="single"/>
        </w:rPr>
      </w:pPr>
    </w:p>
    <w:sectPr>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85A2">
    <w:pPr>
      <w:pStyle w:val="20"/>
      <w:jc w:val="left"/>
      <w:rPr>
        <w:rFonts w:hint="default"/>
        <w:u w:val="single"/>
        <w:lang w:val="en-US"/>
      </w:rPr>
    </w:pPr>
    <w:r>
      <w:rPr>
        <w:u w:val="single"/>
        <w:lang w:val="en-US"/>
      </w:rPr>
      <w:pict>
        <v:shape id="文本框 6" o:spid="_x0000_s2056"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0AA84EBA">
                <w:pPr>
                  <w:pStyle w:val="20"/>
                  <w:jc w:val="cente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3C7B">
    <w:pPr>
      <w:pStyle w:val="20"/>
      <w:jc w:val="left"/>
      <w:rPr>
        <w:rFonts w:hint="default"/>
        <w:u w:val="single"/>
        <w:lang w:val="en-US"/>
      </w:rPr>
    </w:pPr>
    <w:r>
      <w:rPr>
        <w:sz w:val="18"/>
      </w:rPr>
      <w:pict>
        <v:shape id="_x0000_s2063" o:spid="_x0000_s2063" o:spt="202" type="#_x0000_t202" style="position:absolute;left:0pt;margin-top:0pt;height:144pt;width:144pt;mso-position-horizontal:right;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DC6CA45">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101</w:t>
                </w:r>
                <w:r>
                  <w:t xml:space="preserve"> 页</w:t>
                </w:r>
              </w:p>
            </w:txbxContent>
          </v:textbox>
        </v:shape>
      </w:pict>
    </w:r>
    <w:r>
      <w:rPr>
        <w:u w:val="single"/>
        <w:lang w:val="en-US"/>
      </w:rPr>
      <w:pict>
        <v:shape id="_x0000_s2062" o:spid="_x0000_s2062" o:spt="202" type="#_x0000_t202" style="position:absolute;left:0pt;margin-top:0pt;height:144pt;width:144pt;mso-position-horizontal:right;mso-position-horizontal-relative:margin;mso-wrap-style:none;z-index:251666432;mso-width-relative:page;mso-height-relative:page;" filled="f" stroked="f" coordsize="21600,21600">
          <v:path/>
          <v:fill on="f" focussize="0,0"/>
          <v:stroke on="f" weight="0.5pt"/>
          <v:imagedata o:title=""/>
          <o:lock v:ext="edit" aspectratio="f"/>
          <v:textbox inset="0mm,0mm,0mm,0mm" style="mso-fit-shape-to-text:t;">
            <w:txbxContent>
              <w:p w14:paraId="0BED8E08">
                <w:pPr>
                  <w:pStyle w:val="20"/>
                  <w:jc w:val="cente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D43DE">
    <w:pPr>
      <w:pStyle w:val="20"/>
      <w:jc w:val="left"/>
      <w:rPr>
        <w:rFonts w:hint="default"/>
        <w:u w:val="single"/>
        <w:lang w:val="en-US"/>
      </w:rPr>
    </w:pPr>
    <w:r>
      <w:rPr>
        <w:u w:val="single"/>
        <w:lang w:val="en-US"/>
      </w:rPr>
      <w:pict>
        <v:shape id="_x0000_s2061" o:spid="_x0000_s2061" o:spt="202" type="#_x0000_t202" style="position:absolute;left:0pt;margin-top:0pt;height:144pt;width:144pt;mso-position-horizontal:right;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14:paraId="6CF355F2">
                <w:pPr>
                  <w:pStyle w:val="20"/>
                  <w:jc w:val="center"/>
                </w:pPr>
                <w:r>
                  <w:t xml:space="preserve">第 </w:t>
                </w:r>
                <w:r>
                  <w:fldChar w:fldCharType="begin"/>
                </w:r>
                <w:r>
                  <w:instrText xml:space="preserve"> PAGE  \* MERGEFORMAT </w:instrText>
                </w:r>
                <w:r>
                  <w:fldChar w:fldCharType="separate"/>
                </w:r>
                <w:r>
                  <w:t>56</w:t>
                </w:r>
                <w:r>
                  <w:fldChar w:fldCharType="end"/>
                </w:r>
                <w:r>
                  <w:t xml:space="preserve"> 页 共 </w:t>
                </w:r>
                <w:r>
                  <w:rPr>
                    <w:rFonts w:hint="eastAsia"/>
                    <w:lang w:val="en-US" w:eastAsia="zh-CN"/>
                  </w:rPr>
                  <w:t>101</w:t>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0E7B">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Calibri" w:hAnsi="Calibri" w:eastAsia="宋体" w:cs="Times New Roman"/>
        <w:sz w:val="18"/>
      </w:rPr>
    </w:pPr>
    <w:r>
      <w:rPr>
        <w:rFonts w:hint="eastAsia" w:eastAsia="楷体_GB2312" w:cs="Times New Roman"/>
        <w:b/>
        <w:color w:val="000000"/>
        <w:szCs w:val="21"/>
      </w:rPr>
      <w:pict>
        <v:shape id="图片 8" o:spid="_x0000_s2050" o:spt="75" alt="图片1" type="#_x0000_t75" style="position:absolute;left:0pt;margin-left:0.6pt;margin-top:-0.9pt;height:11.35pt;width:29.7pt;z-index:251660288;mso-width-relative:page;mso-height-relative:page;" filled="f" o:preferrelative="t" stroked="f" coordsize="21600,21600">
          <v:path/>
          <v:fill on="f" focussize="0,0"/>
          <v:stroke on="f" joinstyle="miter"/>
          <v:imagedata r:id="rId1" croptop="47600f" gain="79922f" o:title=""/>
          <o:lock v:ext="edit" aspectratio="t"/>
        </v:shape>
      </w:pict>
    </w:r>
    <w:r>
      <w:rPr>
        <w:rFonts w:hint="eastAsia" w:ascii="Calibri" w:hAnsi="Calibri" w:eastAsia="宋体" w:cs="Times New Roman"/>
        <w:sz w:val="18"/>
      </w:rPr>
      <w:t xml:space="preserve">                                                                                    </w:t>
    </w:r>
    <w:r>
      <w:rPr>
        <w:rFonts w:hint="eastAsia" w:ascii="宋体" w:hAnsi="宋体" w:eastAsia="宋体" w:cs="宋体"/>
        <w:b/>
        <w:color w:val="000000"/>
        <w:szCs w:val="21"/>
      </w:rPr>
      <w:t>CSCEC</w:t>
    </w:r>
    <w:r>
      <w:rPr>
        <w:sz w:val="2"/>
      </w:rPr>
      <w:pict>
        <v:shape id="PowerPlusWaterMarkObject100020" o:spid="_x0000_s2051" o:spt="136" type="#_x0000_t136" style="position:absolute;left:0pt;height:130.3pt;width:457pt;mso-position-horizontal:center;mso-position-horizontal-relative:margin;mso-position-vertical:center;mso-position-vertical-relative:margin;rotation:20643840f;z-index:-251655168;mso-width-relative:page;mso-height-relative:page;" fillcolor="#CCCCCC" filled="t" stroked="f" coordsize="21600,21600">
          <v:path/>
          <v:fill on="t" opacity="32768f" focussize="0,0"/>
          <v:stroke on="f" color="#CCCCCC"/>
          <v:imagedata o:title=""/>
          <o:lock v:ext="edit"/>
          <v:textpath on="t" fitshape="t" fitpath="t" trim="f" xscale="f" string="中建二局"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A8ABB">
    <w:r>
      <w:rPr>
        <w:sz w:val="2"/>
      </w:rPr>
      <w:pict>
        <v:shape id="PowerPlusWaterMarkObject100019" o:spid="_x0000_s2049" o:spt="136" type="#_x0000_t136" style="position:absolute;left:0pt;height:130.3pt;width:457pt;mso-position-horizontal:center;mso-position-horizontal-relative:margin;mso-position-vertical:center;mso-position-vertical-relative:margin;rotation:20643840f;z-index:-251657216;mso-width-relative:page;mso-height-relative:page;" fillcolor="#CCCCCC" filled="t" stroked="f" coordsize="21600,21600">
          <v:path/>
          <v:fill on="t" opacity="32768f" focussize="0,0"/>
          <v:stroke on="f" color="#CCCCCC"/>
          <v:imagedata o:title=""/>
          <o:lock v:ext="edit"/>
          <v:textpath on="t" fitshape="t" fitpath="t" trim="f" xscale="f" string="中建二局" style="font-family:宋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81E94">
    <w:r>
      <w:rPr>
        <w:sz w:val="2"/>
      </w:rPr>
      <w:pict>
        <v:shape id="PowerPlusWaterMarkObject100018" o:spid="_x0000_s2052" o:spt="136" type="#_x0000_t136" style="position:absolute;left:0pt;height:130.3pt;width:457pt;mso-position-horizontal:center;mso-position-horizontal-relative:margin;mso-position-vertical:center;mso-position-vertical-relative:margin;rotation:20643840f;z-index:-251654144;mso-width-relative:page;mso-height-relative:page;" fillcolor="#CCCCCC" filled="t" stroked="f" coordsize="21600,21600">
          <v:path/>
          <v:fill on="t" opacity="32768f" focussize="0,0"/>
          <v:stroke on="f" color="#CCCCCC"/>
          <v:imagedata o:title=""/>
          <o:lock v:ext="edit"/>
          <v:textpath on="t" fitshape="t" fitpath="t" trim="f" xscale="f" string="中建二局" style="font-family:宋体;font-size:36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6D69D">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Calibri" w:hAnsi="Calibri" w:eastAsia="宋体" w:cs="Times New Roman"/>
        <w:sz w:val="18"/>
      </w:rPr>
    </w:pPr>
    <w:r>
      <w:rPr>
        <w:rFonts w:hint="eastAsia" w:eastAsia="楷体_GB2312" w:cs="Times New Roman"/>
        <w:b/>
        <w:color w:val="000000"/>
        <w:szCs w:val="21"/>
      </w:rPr>
      <w:pict>
        <v:shape id="图片 10" o:spid="_x0000_s2054" o:spt="75" alt="图片1" type="#_x0000_t75" style="position:absolute;left:0pt;margin-left:0.6pt;margin-top:-0.9pt;height:11.35pt;width:29.7pt;z-index:251664384;mso-width-relative:page;mso-height-relative:page;" filled="f" o:preferrelative="t" stroked="f" coordsize="21600,21600">
          <v:path/>
          <v:fill on="f" focussize="0,0"/>
          <v:stroke on="f" joinstyle="miter"/>
          <v:imagedata r:id="rId1" croptop="47600f" gain="79922f" o:title=""/>
          <o:lock v:ext="edit" aspectratio="t"/>
        </v:shape>
      </w:pict>
    </w:r>
    <w:r>
      <w:rPr>
        <w:rFonts w:hint="eastAsia" w:ascii="Calibri" w:hAnsi="Calibri" w:eastAsia="宋体" w:cs="Times New Roman"/>
        <w:sz w:val="18"/>
      </w:rPr>
      <w:t xml:space="preserve">                                                                                     </w:t>
    </w:r>
    <w:r>
      <w:rPr>
        <w:rFonts w:hint="eastAsia" w:ascii="宋体" w:hAnsi="宋体" w:eastAsia="宋体" w:cs="宋体"/>
        <w:b/>
        <w:color w:val="000000"/>
        <w:szCs w:val="21"/>
      </w:rPr>
      <w:t>CSCEC</w:t>
    </w:r>
    <w:r>
      <w:rPr>
        <w:sz w:val="2"/>
      </w:rPr>
      <w:pict>
        <v:shape id="PowerPlusWaterMarkObject100021" o:spid="_x0000_s2055" o:spt="136" type="#_x0000_t136" style="position:absolute;left:0pt;height:130.3pt;width:457pt;mso-position-horizontal:center;mso-position-horizontal-relative:margin;mso-position-vertical:center;mso-position-vertical-relative:margin;rotation:20643840f;z-index:-251653120;mso-width-relative:page;mso-height-relative:page;" fillcolor="#CCCCCC" filled="t" stroked="f" coordsize="21600,21600">
          <v:path/>
          <v:fill on="t" opacity="32768f" focussize="0,0"/>
          <v:stroke on="f" color="#CCCCCC"/>
          <v:imagedata o:title=""/>
          <o:lock v:ext="edit"/>
          <v:textpath on="t" fitshape="t" fitpath="t" trim="f" xscale="f" string="中建二局"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96009"/>
    <w:multiLevelType w:val="singleLevel"/>
    <w:tmpl w:val="8EC96009"/>
    <w:lvl w:ilvl="0" w:tentative="0">
      <w:start w:val="3"/>
      <w:numFmt w:val="decimal"/>
      <w:suff w:val="space"/>
      <w:lvlText w:val="%1."/>
      <w:lvlJc w:val="left"/>
    </w:lvl>
  </w:abstractNum>
  <w:abstractNum w:abstractNumId="1">
    <w:nsid w:val="A110DD6B"/>
    <w:multiLevelType w:val="singleLevel"/>
    <w:tmpl w:val="A110DD6B"/>
    <w:lvl w:ilvl="0" w:tentative="0">
      <w:start w:val="1"/>
      <w:numFmt w:val="decimal"/>
      <w:suff w:val="space"/>
      <w:lvlText w:val="%1."/>
      <w:lvlJc w:val="left"/>
    </w:lvl>
  </w:abstractNum>
  <w:abstractNum w:abstractNumId="2">
    <w:nsid w:val="1C52FFA3"/>
    <w:multiLevelType w:val="multilevel"/>
    <w:tmpl w:val="1C52FFA3"/>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1"/>
  </w:compat>
  <w:docVars>
    <w:docVar w:name="commondata" w:val="eyJoZGlkIjoiOGZhZGM5ZjZjOTliOWQ5YzIwMzVkZmM2ZmE5OTQ2NmQifQ=="/>
  </w:docVars>
  <w:rsids>
    <w:rsidRoot w:val="00172A27"/>
    <w:rsid w:val="00000B8A"/>
    <w:rsid w:val="00001ECC"/>
    <w:rsid w:val="00002222"/>
    <w:rsid w:val="0000726F"/>
    <w:rsid w:val="00010CDA"/>
    <w:rsid w:val="000112AF"/>
    <w:rsid w:val="00015232"/>
    <w:rsid w:val="000164B2"/>
    <w:rsid w:val="00016798"/>
    <w:rsid w:val="00017166"/>
    <w:rsid w:val="00017A82"/>
    <w:rsid w:val="000231A8"/>
    <w:rsid w:val="00023E0C"/>
    <w:rsid w:val="00023E68"/>
    <w:rsid w:val="0002569A"/>
    <w:rsid w:val="000271EC"/>
    <w:rsid w:val="000274A8"/>
    <w:rsid w:val="00030788"/>
    <w:rsid w:val="0003152A"/>
    <w:rsid w:val="00032519"/>
    <w:rsid w:val="00032F31"/>
    <w:rsid w:val="000343D2"/>
    <w:rsid w:val="000348F0"/>
    <w:rsid w:val="00037914"/>
    <w:rsid w:val="00037DB3"/>
    <w:rsid w:val="0004163F"/>
    <w:rsid w:val="00042945"/>
    <w:rsid w:val="00045586"/>
    <w:rsid w:val="000461B7"/>
    <w:rsid w:val="00046985"/>
    <w:rsid w:val="000479DB"/>
    <w:rsid w:val="00047F39"/>
    <w:rsid w:val="0005190C"/>
    <w:rsid w:val="00051F44"/>
    <w:rsid w:val="0005386E"/>
    <w:rsid w:val="000558DB"/>
    <w:rsid w:val="00055A8A"/>
    <w:rsid w:val="000600B9"/>
    <w:rsid w:val="0006052D"/>
    <w:rsid w:val="00062339"/>
    <w:rsid w:val="00062967"/>
    <w:rsid w:val="0006352D"/>
    <w:rsid w:val="00064A9C"/>
    <w:rsid w:val="000650E2"/>
    <w:rsid w:val="000658A8"/>
    <w:rsid w:val="000659DC"/>
    <w:rsid w:val="000676AB"/>
    <w:rsid w:val="00072628"/>
    <w:rsid w:val="00072FDB"/>
    <w:rsid w:val="0007454B"/>
    <w:rsid w:val="00074F2A"/>
    <w:rsid w:val="00075B2F"/>
    <w:rsid w:val="00077517"/>
    <w:rsid w:val="00077BBF"/>
    <w:rsid w:val="00081E43"/>
    <w:rsid w:val="00083212"/>
    <w:rsid w:val="00083799"/>
    <w:rsid w:val="00086013"/>
    <w:rsid w:val="0009055C"/>
    <w:rsid w:val="00092189"/>
    <w:rsid w:val="00093923"/>
    <w:rsid w:val="000971EC"/>
    <w:rsid w:val="00097BB0"/>
    <w:rsid w:val="000A0F44"/>
    <w:rsid w:val="000A1499"/>
    <w:rsid w:val="000A1A76"/>
    <w:rsid w:val="000A2383"/>
    <w:rsid w:val="000A2728"/>
    <w:rsid w:val="000A2984"/>
    <w:rsid w:val="000A2FA6"/>
    <w:rsid w:val="000A6088"/>
    <w:rsid w:val="000A6296"/>
    <w:rsid w:val="000A7326"/>
    <w:rsid w:val="000A7B34"/>
    <w:rsid w:val="000B19C6"/>
    <w:rsid w:val="000B27D6"/>
    <w:rsid w:val="000B450B"/>
    <w:rsid w:val="000B5DAA"/>
    <w:rsid w:val="000B6971"/>
    <w:rsid w:val="000C19B9"/>
    <w:rsid w:val="000C19D0"/>
    <w:rsid w:val="000C2E30"/>
    <w:rsid w:val="000C33A9"/>
    <w:rsid w:val="000C3A59"/>
    <w:rsid w:val="000C55D3"/>
    <w:rsid w:val="000C55EF"/>
    <w:rsid w:val="000C5F40"/>
    <w:rsid w:val="000C6A4F"/>
    <w:rsid w:val="000C6DBD"/>
    <w:rsid w:val="000C6F52"/>
    <w:rsid w:val="000C7BBE"/>
    <w:rsid w:val="000C7E7C"/>
    <w:rsid w:val="000D01B4"/>
    <w:rsid w:val="000D14DC"/>
    <w:rsid w:val="000D1A91"/>
    <w:rsid w:val="000D2066"/>
    <w:rsid w:val="000D2DD1"/>
    <w:rsid w:val="000D6CFF"/>
    <w:rsid w:val="000D71C1"/>
    <w:rsid w:val="000E1A03"/>
    <w:rsid w:val="000E1D54"/>
    <w:rsid w:val="000E38B2"/>
    <w:rsid w:val="000E46AC"/>
    <w:rsid w:val="000E4B42"/>
    <w:rsid w:val="000E56DD"/>
    <w:rsid w:val="000E70C5"/>
    <w:rsid w:val="000E7A03"/>
    <w:rsid w:val="000E7FCA"/>
    <w:rsid w:val="000F0485"/>
    <w:rsid w:val="000F1FD0"/>
    <w:rsid w:val="000F3762"/>
    <w:rsid w:val="000F385D"/>
    <w:rsid w:val="000F3CEF"/>
    <w:rsid w:val="000F409A"/>
    <w:rsid w:val="000F409B"/>
    <w:rsid w:val="000F503D"/>
    <w:rsid w:val="000F5DF5"/>
    <w:rsid w:val="000F6C95"/>
    <w:rsid w:val="000F7426"/>
    <w:rsid w:val="00102055"/>
    <w:rsid w:val="00102410"/>
    <w:rsid w:val="00103A37"/>
    <w:rsid w:val="00103D3D"/>
    <w:rsid w:val="00104021"/>
    <w:rsid w:val="0010551A"/>
    <w:rsid w:val="0010644A"/>
    <w:rsid w:val="00111069"/>
    <w:rsid w:val="0011198D"/>
    <w:rsid w:val="0011398F"/>
    <w:rsid w:val="0011755D"/>
    <w:rsid w:val="0012035F"/>
    <w:rsid w:val="001205D7"/>
    <w:rsid w:val="00121293"/>
    <w:rsid w:val="00122564"/>
    <w:rsid w:val="00123289"/>
    <w:rsid w:val="00123BBE"/>
    <w:rsid w:val="001248A6"/>
    <w:rsid w:val="00130516"/>
    <w:rsid w:val="00131856"/>
    <w:rsid w:val="00133D47"/>
    <w:rsid w:val="00134426"/>
    <w:rsid w:val="001346E9"/>
    <w:rsid w:val="00135208"/>
    <w:rsid w:val="001353BE"/>
    <w:rsid w:val="0013748C"/>
    <w:rsid w:val="00140268"/>
    <w:rsid w:val="0014665E"/>
    <w:rsid w:val="001502EC"/>
    <w:rsid w:val="00151CD2"/>
    <w:rsid w:val="00152760"/>
    <w:rsid w:val="00152C00"/>
    <w:rsid w:val="001536C7"/>
    <w:rsid w:val="001538E9"/>
    <w:rsid w:val="0015429C"/>
    <w:rsid w:val="00155D6C"/>
    <w:rsid w:val="0015768C"/>
    <w:rsid w:val="0016107F"/>
    <w:rsid w:val="00162A82"/>
    <w:rsid w:val="00164D1D"/>
    <w:rsid w:val="001657CE"/>
    <w:rsid w:val="00166EB6"/>
    <w:rsid w:val="001711D4"/>
    <w:rsid w:val="001718FE"/>
    <w:rsid w:val="0017193A"/>
    <w:rsid w:val="00171F29"/>
    <w:rsid w:val="00172A27"/>
    <w:rsid w:val="00172DD0"/>
    <w:rsid w:val="00173938"/>
    <w:rsid w:val="001805F1"/>
    <w:rsid w:val="00180E9E"/>
    <w:rsid w:val="00182090"/>
    <w:rsid w:val="0018212A"/>
    <w:rsid w:val="00183074"/>
    <w:rsid w:val="00183113"/>
    <w:rsid w:val="001834B5"/>
    <w:rsid w:val="0018463B"/>
    <w:rsid w:val="00184DB2"/>
    <w:rsid w:val="001852C2"/>
    <w:rsid w:val="00185686"/>
    <w:rsid w:val="001857F6"/>
    <w:rsid w:val="00186339"/>
    <w:rsid w:val="00187B32"/>
    <w:rsid w:val="00187F5A"/>
    <w:rsid w:val="00191427"/>
    <w:rsid w:val="00193872"/>
    <w:rsid w:val="00194CC7"/>
    <w:rsid w:val="00194CF1"/>
    <w:rsid w:val="00196463"/>
    <w:rsid w:val="00196BA4"/>
    <w:rsid w:val="00196DE9"/>
    <w:rsid w:val="001A08F3"/>
    <w:rsid w:val="001A411E"/>
    <w:rsid w:val="001A46C8"/>
    <w:rsid w:val="001A5874"/>
    <w:rsid w:val="001A67EF"/>
    <w:rsid w:val="001B124E"/>
    <w:rsid w:val="001B24EA"/>
    <w:rsid w:val="001B2D78"/>
    <w:rsid w:val="001B3C58"/>
    <w:rsid w:val="001B4043"/>
    <w:rsid w:val="001B4BDC"/>
    <w:rsid w:val="001B4D96"/>
    <w:rsid w:val="001B6AB4"/>
    <w:rsid w:val="001B7716"/>
    <w:rsid w:val="001C02DF"/>
    <w:rsid w:val="001C1BC6"/>
    <w:rsid w:val="001C2C48"/>
    <w:rsid w:val="001C32D8"/>
    <w:rsid w:val="001C34EA"/>
    <w:rsid w:val="001C478F"/>
    <w:rsid w:val="001C578C"/>
    <w:rsid w:val="001C5822"/>
    <w:rsid w:val="001C718B"/>
    <w:rsid w:val="001D0DC7"/>
    <w:rsid w:val="001D1DA1"/>
    <w:rsid w:val="001D23F3"/>
    <w:rsid w:val="001D42D0"/>
    <w:rsid w:val="001D44E4"/>
    <w:rsid w:val="001D5005"/>
    <w:rsid w:val="001D619E"/>
    <w:rsid w:val="001D66F0"/>
    <w:rsid w:val="001D68CF"/>
    <w:rsid w:val="001D7E96"/>
    <w:rsid w:val="001E0D44"/>
    <w:rsid w:val="001E1AFF"/>
    <w:rsid w:val="001E39DD"/>
    <w:rsid w:val="001E4981"/>
    <w:rsid w:val="001E4C3D"/>
    <w:rsid w:val="001E4D64"/>
    <w:rsid w:val="001E560A"/>
    <w:rsid w:val="001E5EE7"/>
    <w:rsid w:val="001E781E"/>
    <w:rsid w:val="001F1624"/>
    <w:rsid w:val="001F1802"/>
    <w:rsid w:val="001F2635"/>
    <w:rsid w:val="001F4146"/>
    <w:rsid w:val="001F49CD"/>
    <w:rsid w:val="001F57B7"/>
    <w:rsid w:val="001F5C9E"/>
    <w:rsid w:val="002010FA"/>
    <w:rsid w:val="0020332E"/>
    <w:rsid w:val="002055CB"/>
    <w:rsid w:val="00205638"/>
    <w:rsid w:val="00211D4B"/>
    <w:rsid w:val="00213332"/>
    <w:rsid w:val="002139CC"/>
    <w:rsid w:val="00216040"/>
    <w:rsid w:val="002164D1"/>
    <w:rsid w:val="002173E5"/>
    <w:rsid w:val="0021759C"/>
    <w:rsid w:val="00222771"/>
    <w:rsid w:val="002303BC"/>
    <w:rsid w:val="00231D2C"/>
    <w:rsid w:val="002337C4"/>
    <w:rsid w:val="00234BF0"/>
    <w:rsid w:val="00240B9A"/>
    <w:rsid w:val="00241039"/>
    <w:rsid w:val="00241C57"/>
    <w:rsid w:val="00241DD3"/>
    <w:rsid w:val="00242FF7"/>
    <w:rsid w:val="00243111"/>
    <w:rsid w:val="002438B1"/>
    <w:rsid w:val="002456EA"/>
    <w:rsid w:val="002460D0"/>
    <w:rsid w:val="00251164"/>
    <w:rsid w:val="002521B5"/>
    <w:rsid w:val="00254C9C"/>
    <w:rsid w:val="00254CA2"/>
    <w:rsid w:val="00255637"/>
    <w:rsid w:val="0026206E"/>
    <w:rsid w:val="00263312"/>
    <w:rsid w:val="00263672"/>
    <w:rsid w:val="00263759"/>
    <w:rsid w:val="00264CD1"/>
    <w:rsid w:val="00267C04"/>
    <w:rsid w:val="00272021"/>
    <w:rsid w:val="00273EB1"/>
    <w:rsid w:val="00274437"/>
    <w:rsid w:val="0027579E"/>
    <w:rsid w:val="00275EBC"/>
    <w:rsid w:val="002813D3"/>
    <w:rsid w:val="00282229"/>
    <w:rsid w:val="00282292"/>
    <w:rsid w:val="00284D81"/>
    <w:rsid w:val="00286C3E"/>
    <w:rsid w:val="00287F1D"/>
    <w:rsid w:val="002900B0"/>
    <w:rsid w:val="00291DC1"/>
    <w:rsid w:val="002927BF"/>
    <w:rsid w:val="00293427"/>
    <w:rsid w:val="00293697"/>
    <w:rsid w:val="00294837"/>
    <w:rsid w:val="00297210"/>
    <w:rsid w:val="002A1079"/>
    <w:rsid w:val="002A2D51"/>
    <w:rsid w:val="002A4876"/>
    <w:rsid w:val="002A6F6F"/>
    <w:rsid w:val="002B1324"/>
    <w:rsid w:val="002B1A7A"/>
    <w:rsid w:val="002B2D37"/>
    <w:rsid w:val="002B3322"/>
    <w:rsid w:val="002B410E"/>
    <w:rsid w:val="002B5639"/>
    <w:rsid w:val="002B5DDF"/>
    <w:rsid w:val="002B6000"/>
    <w:rsid w:val="002B6674"/>
    <w:rsid w:val="002B7814"/>
    <w:rsid w:val="002B7F58"/>
    <w:rsid w:val="002C045A"/>
    <w:rsid w:val="002C236C"/>
    <w:rsid w:val="002C2D10"/>
    <w:rsid w:val="002C3A58"/>
    <w:rsid w:val="002C3AE8"/>
    <w:rsid w:val="002C3C3E"/>
    <w:rsid w:val="002C42EF"/>
    <w:rsid w:val="002C44D8"/>
    <w:rsid w:val="002C4584"/>
    <w:rsid w:val="002C58B3"/>
    <w:rsid w:val="002C5E53"/>
    <w:rsid w:val="002C6854"/>
    <w:rsid w:val="002C6E53"/>
    <w:rsid w:val="002D1E5E"/>
    <w:rsid w:val="002D3932"/>
    <w:rsid w:val="002D3C74"/>
    <w:rsid w:val="002D43D9"/>
    <w:rsid w:val="002D4A76"/>
    <w:rsid w:val="002D552E"/>
    <w:rsid w:val="002D553C"/>
    <w:rsid w:val="002D6D1C"/>
    <w:rsid w:val="002E2002"/>
    <w:rsid w:val="002E281E"/>
    <w:rsid w:val="002E32E6"/>
    <w:rsid w:val="002E49E9"/>
    <w:rsid w:val="002E6E09"/>
    <w:rsid w:val="002E785D"/>
    <w:rsid w:val="002E79DC"/>
    <w:rsid w:val="002F2D4E"/>
    <w:rsid w:val="002F42A9"/>
    <w:rsid w:val="002F46A5"/>
    <w:rsid w:val="002F4C50"/>
    <w:rsid w:val="002F50B3"/>
    <w:rsid w:val="002F56E0"/>
    <w:rsid w:val="00300409"/>
    <w:rsid w:val="00301187"/>
    <w:rsid w:val="00301409"/>
    <w:rsid w:val="0030291C"/>
    <w:rsid w:val="00302D94"/>
    <w:rsid w:val="00303E7F"/>
    <w:rsid w:val="003053D4"/>
    <w:rsid w:val="003055A2"/>
    <w:rsid w:val="0030799D"/>
    <w:rsid w:val="00311601"/>
    <w:rsid w:val="003135DC"/>
    <w:rsid w:val="00314092"/>
    <w:rsid w:val="00315A12"/>
    <w:rsid w:val="003162F9"/>
    <w:rsid w:val="0031763F"/>
    <w:rsid w:val="00321F2A"/>
    <w:rsid w:val="0032399D"/>
    <w:rsid w:val="00323BCB"/>
    <w:rsid w:val="00323D81"/>
    <w:rsid w:val="003271FE"/>
    <w:rsid w:val="00327A65"/>
    <w:rsid w:val="0033042D"/>
    <w:rsid w:val="003310A3"/>
    <w:rsid w:val="003310E5"/>
    <w:rsid w:val="00331A95"/>
    <w:rsid w:val="003324BE"/>
    <w:rsid w:val="00332DAB"/>
    <w:rsid w:val="00334437"/>
    <w:rsid w:val="0033444F"/>
    <w:rsid w:val="00335E81"/>
    <w:rsid w:val="00336637"/>
    <w:rsid w:val="00336DFF"/>
    <w:rsid w:val="003379BB"/>
    <w:rsid w:val="00337AA6"/>
    <w:rsid w:val="003433A3"/>
    <w:rsid w:val="00344111"/>
    <w:rsid w:val="00345557"/>
    <w:rsid w:val="00345BEF"/>
    <w:rsid w:val="00345DC8"/>
    <w:rsid w:val="00346510"/>
    <w:rsid w:val="003478CD"/>
    <w:rsid w:val="00347D93"/>
    <w:rsid w:val="003506E7"/>
    <w:rsid w:val="00350715"/>
    <w:rsid w:val="00350B3C"/>
    <w:rsid w:val="00351E41"/>
    <w:rsid w:val="00353018"/>
    <w:rsid w:val="003544CA"/>
    <w:rsid w:val="003548ED"/>
    <w:rsid w:val="003573CD"/>
    <w:rsid w:val="00357482"/>
    <w:rsid w:val="003605A6"/>
    <w:rsid w:val="00361431"/>
    <w:rsid w:val="00361DCC"/>
    <w:rsid w:val="00363218"/>
    <w:rsid w:val="00363C8D"/>
    <w:rsid w:val="00363F0A"/>
    <w:rsid w:val="003647DC"/>
    <w:rsid w:val="00365038"/>
    <w:rsid w:val="00365469"/>
    <w:rsid w:val="00367E7F"/>
    <w:rsid w:val="0037103C"/>
    <w:rsid w:val="00371780"/>
    <w:rsid w:val="00373071"/>
    <w:rsid w:val="00373875"/>
    <w:rsid w:val="003753F0"/>
    <w:rsid w:val="003755F3"/>
    <w:rsid w:val="003758E7"/>
    <w:rsid w:val="00375928"/>
    <w:rsid w:val="00375B4D"/>
    <w:rsid w:val="00375FEE"/>
    <w:rsid w:val="003761AC"/>
    <w:rsid w:val="00376F79"/>
    <w:rsid w:val="00380895"/>
    <w:rsid w:val="00386CF7"/>
    <w:rsid w:val="003909A9"/>
    <w:rsid w:val="00393364"/>
    <w:rsid w:val="00393A85"/>
    <w:rsid w:val="00394BA6"/>
    <w:rsid w:val="00394F7C"/>
    <w:rsid w:val="003965CD"/>
    <w:rsid w:val="00396ECE"/>
    <w:rsid w:val="003A0C60"/>
    <w:rsid w:val="003A1C89"/>
    <w:rsid w:val="003A22F1"/>
    <w:rsid w:val="003A3265"/>
    <w:rsid w:val="003A37D2"/>
    <w:rsid w:val="003A3C62"/>
    <w:rsid w:val="003A3F30"/>
    <w:rsid w:val="003A4E11"/>
    <w:rsid w:val="003A531A"/>
    <w:rsid w:val="003A5724"/>
    <w:rsid w:val="003B204F"/>
    <w:rsid w:val="003B25D5"/>
    <w:rsid w:val="003B2A03"/>
    <w:rsid w:val="003B301F"/>
    <w:rsid w:val="003B6175"/>
    <w:rsid w:val="003B6D98"/>
    <w:rsid w:val="003B74AA"/>
    <w:rsid w:val="003B7B91"/>
    <w:rsid w:val="003C23EA"/>
    <w:rsid w:val="003C6CBC"/>
    <w:rsid w:val="003D0912"/>
    <w:rsid w:val="003D0D7A"/>
    <w:rsid w:val="003D1045"/>
    <w:rsid w:val="003D109D"/>
    <w:rsid w:val="003D1128"/>
    <w:rsid w:val="003D1560"/>
    <w:rsid w:val="003D1F51"/>
    <w:rsid w:val="003D4974"/>
    <w:rsid w:val="003D73E5"/>
    <w:rsid w:val="003D743D"/>
    <w:rsid w:val="003E1267"/>
    <w:rsid w:val="003E33DB"/>
    <w:rsid w:val="003E380E"/>
    <w:rsid w:val="003E4CD0"/>
    <w:rsid w:val="003E4E06"/>
    <w:rsid w:val="003E6361"/>
    <w:rsid w:val="003E64D5"/>
    <w:rsid w:val="003E7C81"/>
    <w:rsid w:val="003F02C7"/>
    <w:rsid w:val="003F2834"/>
    <w:rsid w:val="003F6D46"/>
    <w:rsid w:val="003F73E5"/>
    <w:rsid w:val="00401DE6"/>
    <w:rsid w:val="00403BAC"/>
    <w:rsid w:val="00403D2B"/>
    <w:rsid w:val="004051C7"/>
    <w:rsid w:val="00411761"/>
    <w:rsid w:val="00412A43"/>
    <w:rsid w:val="00412B55"/>
    <w:rsid w:val="00413E16"/>
    <w:rsid w:val="00414295"/>
    <w:rsid w:val="0041479E"/>
    <w:rsid w:val="00414EFE"/>
    <w:rsid w:val="00415BA8"/>
    <w:rsid w:val="004166FC"/>
    <w:rsid w:val="00416FE8"/>
    <w:rsid w:val="00417887"/>
    <w:rsid w:val="004210EC"/>
    <w:rsid w:val="00423761"/>
    <w:rsid w:val="00424063"/>
    <w:rsid w:val="004242C6"/>
    <w:rsid w:val="0042595B"/>
    <w:rsid w:val="00426B11"/>
    <w:rsid w:val="004278A0"/>
    <w:rsid w:val="0043544A"/>
    <w:rsid w:val="004358FD"/>
    <w:rsid w:val="00435E6D"/>
    <w:rsid w:val="00437798"/>
    <w:rsid w:val="00437C8B"/>
    <w:rsid w:val="004402CB"/>
    <w:rsid w:val="00441965"/>
    <w:rsid w:val="004421EA"/>
    <w:rsid w:val="004434FF"/>
    <w:rsid w:val="00446FCE"/>
    <w:rsid w:val="00450BE4"/>
    <w:rsid w:val="0045231E"/>
    <w:rsid w:val="0045270E"/>
    <w:rsid w:val="0045504E"/>
    <w:rsid w:val="00455C36"/>
    <w:rsid w:val="004566B4"/>
    <w:rsid w:val="00456BF9"/>
    <w:rsid w:val="00463397"/>
    <w:rsid w:val="00463A3F"/>
    <w:rsid w:val="00463E69"/>
    <w:rsid w:val="004642E8"/>
    <w:rsid w:val="00464306"/>
    <w:rsid w:val="004646A2"/>
    <w:rsid w:val="0046590C"/>
    <w:rsid w:val="004674F4"/>
    <w:rsid w:val="00470747"/>
    <w:rsid w:val="00470DB3"/>
    <w:rsid w:val="004714A5"/>
    <w:rsid w:val="0047395B"/>
    <w:rsid w:val="00474301"/>
    <w:rsid w:val="004760EE"/>
    <w:rsid w:val="0047726D"/>
    <w:rsid w:val="0047738E"/>
    <w:rsid w:val="00480853"/>
    <w:rsid w:val="004819C6"/>
    <w:rsid w:val="00481D85"/>
    <w:rsid w:val="004841EF"/>
    <w:rsid w:val="00484B83"/>
    <w:rsid w:val="00484F63"/>
    <w:rsid w:val="00485283"/>
    <w:rsid w:val="004855F0"/>
    <w:rsid w:val="00485DB9"/>
    <w:rsid w:val="004871BC"/>
    <w:rsid w:val="004900A8"/>
    <w:rsid w:val="004925FD"/>
    <w:rsid w:val="00492E7B"/>
    <w:rsid w:val="00495CBC"/>
    <w:rsid w:val="004963F1"/>
    <w:rsid w:val="0049706B"/>
    <w:rsid w:val="00497D7E"/>
    <w:rsid w:val="004A30A5"/>
    <w:rsid w:val="004A3BD1"/>
    <w:rsid w:val="004A419B"/>
    <w:rsid w:val="004A6833"/>
    <w:rsid w:val="004A744B"/>
    <w:rsid w:val="004B0893"/>
    <w:rsid w:val="004B1D6F"/>
    <w:rsid w:val="004B3272"/>
    <w:rsid w:val="004B3E07"/>
    <w:rsid w:val="004B67AF"/>
    <w:rsid w:val="004C009B"/>
    <w:rsid w:val="004C051B"/>
    <w:rsid w:val="004C1965"/>
    <w:rsid w:val="004C3449"/>
    <w:rsid w:val="004C3AF7"/>
    <w:rsid w:val="004C58FB"/>
    <w:rsid w:val="004C5C6B"/>
    <w:rsid w:val="004C68B9"/>
    <w:rsid w:val="004C6AD7"/>
    <w:rsid w:val="004C736C"/>
    <w:rsid w:val="004C743F"/>
    <w:rsid w:val="004C7861"/>
    <w:rsid w:val="004D02D4"/>
    <w:rsid w:val="004D0975"/>
    <w:rsid w:val="004D4DEA"/>
    <w:rsid w:val="004D6054"/>
    <w:rsid w:val="004D72E6"/>
    <w:rsid w:val="004E0FB1"/>
    <w:rsid w:val="004E3EB8"/>
    <w:rsid w:val="004E4A66"/>
    <w:rsid w:val="004E63C9"/>
    <w:rsid w:val="004E7370"/>
    <w:rsid w:val="004E793F"/>
    <w:rsid w:val="004E7C56"/>
    <w:rsid w:val="004F0E72"/>
    <w:rsid w:val="004F41A6"/>
    <w:rsid w:val="004F50C0"/>
    <w:rsid w:val="0050051E"/>
    <w:rsid w:val="00500E7C"/>
    <w:rsid w:val="00501368"/>
    <w:rsid w:val="0050182B"/>
    <w:rsid w:val="00501D87"/>
    <w:rsid w:val="00503AA0"/>
    <w:rsid w:val="00505398"/>
    <w:rsid w:val="00506C8C"/>
    <w:rsid w:val="00507A80"/>
    <w:rsid w:val="00510166"/>
    <w:rsid w:val="0051090B"/>
    <w:rsid w:val="005129A6"/>
    <w:rsid w:val="00512BB0"/>
    <w:rsid w:val="00514455"/>
    <w:rsid w:val="00514CB0"/>
    <w:rsid w:val="00516705"/>
    <w:rsid w:val="00521271"/>
    <w:rsid w:val="00522381"/>
    <w:rsid w:val="005233CB"/>
    <w:rsid w:val="005239F0"/>
    <w:rsid w:val="005247A0"/>
    <w:rsid w:val="00524BB7"/>
    <w:rsid w:val="00524D44"/>
    <w:rsid w:val="005256DC"/>
    <w:rsid w:val="0052689D"/>
    <w:rsid w:val="00530F69"/>
    <w:rsid w:val="0053306D"/>
    <w:rsid w:val="00535662"/>
    <w:rsid w:val="00537FC4"/>
    <w:rsid w:val="005416A1"/>
    <w:rsid w:val="00543879"/>
    <w:rsid w:val="0054401E"/>
    <w:rsid w:val="00550A64"/>
    <w:rsid w:val="005551EB"/>
    <w:rsid w:val="00555968"/>
    <w:rsid w:val="00555EFB"/>
    <w:rsid w:val="00556AEB"/>
    <w:rsid w:val="0055774B"/>
    <w:rsid w:val="005603F7"/>
    <w:rsid w:val="00561DA2"/>
    <w:rsid w:val="0056280D"/>
    <w:rsid w:val="00563DDD"/>
    <w:rsid w:val="00565D4D"/>
    <w:rsid w:val="005663D5"/>
    <w:rsid w:val="0056763B"/>
    <w:rsid w:val="00567D1D"/>
    <w:rsid w:val="00570CD0"/>
    <w:rsid w:val="00573CAB"/>
    <w:rsid w:val="00573DF1"/>
    <w:rsid w:val="00575771"/>
    <w:rsid w:val="00577A93"/>
    <w:rsid w:val="00577CB3"/>
    <w:rsid w:val="00577D45"/>
    <w:rsid w:val="00577DC9"/>
    <w:rsid w:val="0058020D"/>
    <w:rsid w:val="005802F9"/>
    <w:rsid w:val="005807A1"/>
    <w:rsid w:val="00585325"/>
    <w:rsid w:val="00585FA8"/>
    <w:rsid w:val="0058640C"/>
    <w:rsid w:val="0058742D"/>
    <w:rsid w:val="00587433"/>
    <w:rsid w:val="00587C64"/>
    <w:rsid w:val="00590115"/>
    <w:rsid w:val="005915FF"/>
    <w:rsid w:val="00594858"/>
    <w:rsid w:val="00595D98"/>
    <w:rsid w:val="005960EE"/>
    <w:rsid w:val="0059612F"/>
    <w:rsid w:val="00596C90"/>
    <w:rsid w:val="005A0293"/>
    <w:rsid w:val="005A1C00"/>
    <w:rsid w:val="005A445F"/>
    <w:rsid w:val="005A57E0"/>
    <w:rsid w:val="005A6774"/>
    <w:rsid w:val="005A7CBF"/>
    <w:rsid w:val="005B0E31"/>
    <w:rsid w:val="005B2023"/>
    <w:rsid w:val="005B621C"/>
    <w:rsid w:val="005B6613"/>
    <w:rsid w:val="005C2FF5"/>
    <w:rsid w:val="005C32BE"/>
    <w:rsid w:val="005C72E6"/>
    <w:rsid w:val="005C793F"/>
    <w:rsid w:val="005D0A24"/>
    <w:rsid w:val="005D10C3"/>
    <w:rsid w:val="005D37C6"/>
    <w:rsid w:val="005D38BF"/>
    <w:rsid w:val="005D57D1"/>
    <w:rsid w:val="005E0C84"/>
    <w:rsid w:val="005E15F5"/>
    <w:rsid w:val="005E202C"/>
    <w:rsid w:val="005E6C37"/>
    <w:rsid w:val="005F0297"/>
    <w:rsid w:val="005F11DF"/>
    <w:rsid w:val="005F1D01"/>
    <w:rsid w:val="005F3039"/>
    <w:rsid w:val="005F3B83"/>
    <w:rsid w:val="005F5697"/>
    <w:rsid w:val="0060060A"/>
    <w:rsid w:val="00602344"/>
    <w:rsid w:val="006038C3"/>
    <w:rsid w:val="006039A3"/>
    <w:rsid w:val="00603E2A"/>
    <w:rsid w:val="00603F9F"/>
    <w:rsid w:val="0060603D"/>
    <w:rsid w:val="006071CF"/>
    <w:rsid w:val="006071FD"/>
    <w:rsid w:val="00607CCD"/>
    <w:rsid w:val="0061049D"/>
    <w:rsid w:val="00610BC6"/>
    <w:rsid w:val="006111C7"/>
    <w:rsid w:val="00613A38"/>
    <w:rsid w:val="00620BC7"/>
    <w:rsid w:val="00621FCF"/>
    <w:rsid w:val="00622C1D"/>
    <w:rsid w:val="00624AA9"/>
    <w:rsid w:val="00624CDC"/>
    <w:rsid w:val="0062581D"/>
    <w:rsid w:val="006263A9"/>
    <w:rsid w:val="00627D12"/>
    <w:rsid w:val="00630040"/>
    <w:rsid w:val="006327CF"/>
    <w:rsid w:val="006330E0"/>
    <w:rsid w:val="00634884"/>
    <w:rsid w:val="006377A9"/>
    <w:rsid w:val="00637866"/>
    <w:rsid w:val="00640442"/>
    <w:rsid w:val="00645189"/>
    <w:rsid w:val="00646D0C"/>
    <w:rsid w:val="00646F8D"/>
    <w:rsid w:val="00650713"/>
    <w:rsid w:val="00650AAE"/>
    <w:rsid w:val="00650ACC"/>
    <w:rsid w:val="00650B0E"/>
    <w:rsid w:val="006543A9"/>
    <w:rsid w:val="00654AB5"/>
    <w:rsid w:val="00655ABF"/>
    <w:rsid w:val="00662936"/>
    <w:rsid w:val="00662B4F"/>
    <w:rsid w:val="00662F8F"/>
    <w:rsid w:val="0066360C"/>
    <w:rsid w:val="00663C5B"/>
    <w:rsid w:val="006652DC"/>
    <w:rsid w:val="00665AA1"/>
    <w:rsid w:val="00665C2A"/>
    <w:rsid w:val="0066683A"/>
    <w:rsid w:val="006669C3"/>
    <w:rsid w:val="006675FE"/>
    <w:rsid w:val="00671316"/>
    <w:rsid w:val="00672708"/>
    <w:rsid w:val="00673A04"/>
    <w:rsid w:val="00673C50"/>
    <w:rsid w:val="00674678"/>
    <w:rsid w:val="00674C75"/>
    <w:rsid w:val="00675A7C"/>
    <w:rsid w:val="00676104"/>
    <w:rsid w:val="00677660"/>
    <w:rsid w:val="006777E8"/>
    <w:rsid w:val="00680EDD"/>
    <w:rsid w:val="00683017"/>
    <w:rsid w:val="00684CE3"/>
    <w:rsid w:val="0069076D"/>
    <w:rsid w:val="006928AA"/>
    <w:rsid w:val="00692A01"/>
    <w:rsid w:val="006930AE"/>
    <w:rsid w:val="00693B6A"/>
    <w:rsid w:val="006956C0"/>
    <w:rsid w:val="00695EB1"/>
    <w:rsid w:val="006960F4"/>
    <w:rsid w:val="006979D2"/>
    <w:rsid w:val="00697C48"/>
    <w:rsid w:val="006A06EE"/>
    <w:rsid w:val="006A250D"/>
    <w:rsid w:val="006A30BA"/>
    <w:rsid w:val="006A3C1A"/>
    <w:rsid w:val="006A3C44"/>
    <w:rsid w:val="006A5801"/>
    <w:rsid w:val="006A5A4F"/>
    <w:rsid w:val="006A6053"/>
    <w:rsid w:val="006A7333"/>
    <w:rsid w:val="006A79B5"/>
    <w:rsid w:val="006A79C5"/>
    <w:rsid w:val="006A7AE8"/>
    <w:rsid w:val="006B0F62"/>
    <w:rsid w:val="006B5766"/>
    <w:rsid w:val="006B5E07"/>
    <w:rsid w:val="006B7EDE"/>
    <w:rsid w:val="006C20E0"/>
    <w:rsid w:val="006C232C"/>
    <w:rsid w:val="006C45CA"/>
    <w:rsid w:val="006C516A"/>
    <w:rsid w:val="006C5189"/>
    <w:rsid w:val="006D05EC"/>
    <w:rsid w:val="006D2AB8"/>
    <w:rsid w:val="006D3DBC"/>
    <w:rsid w:val="006D433E"/>
    <w:rsid w:val="006D7C6D"/>
    <w:rsid w:val="006E0061"/>
    <w:rsid w:val="006E0C27"/>
    <w:rsid w:val="006E1FA5"/>
    <w:rsid w:val="006E2933"/>
    <w:rsid w:val="006E29F8"/>
    <w:rsid w:val="006E3305"/>
    <w:rsid w:val="006E5E67"/>
    <w:rsid w:val="006E6484"/>
    <w:rsid w:val="006E763E"/>
    <w:rsid w:val="006F16CF"/>
    <w:rsid w:val="006F1C63"/>
    <w:rsid w:val="006F1EBE"/>
    <w:rsid w:val="006F2F53"/>
    <w:rsid w:val="006F3651"/>
    <w:rsid w:val="006F7055"/>
    <w:rsid w:val="006F70EF"/>
    <w:rsid w:val="006F7DB2"/>
    <w:rsid w:val="007014AE"/>
    <w:rsid w:val="00702874"/>
    <w:rsid w:val="00703C2C"/>
    <w:rsid w:val="00707BB8"/>
    <w:rsid w:val="00707BDB"/>
    <w:rsid w:val="0071157F"/>
    <w:rsid w:val="00715446"/>
    <w:rsid w:val="00715AE4"/>
    <w:rsid w:val="0071654A"/>
    <w:rsid w:val="00717E0A"/>
    <w:rsid w:val="0072191A"/>
    <w:rsid w:val="007229CD"/>
    <w:rsid w:val="00722FE4"/>
    <w:rsid w:val="00724D28"/>
    <w:rsid w:val="007307F6"/>
    <w:rsid w:val="00730FC9"/>
    <w:rsid w:val="007326D6"/>
    <w:rsid w:val="00732C12"/>
    <w:rsid w:val="00732D08"/>
    <w:rsid w:val="00732DD0"/>
    <w:rsid w:val="00733001"/>
    <w:rsid w:val="007358BC"/>
    <w:rsid w:val="007366CE"/>
    <w:rsid w:val="00737A83"/>
    <w:rsid w:val="007467C5"/>
    <w:rsid w:val="0075089D"/>
    <w:rsid w:val="00750C45"/>
    <w:rsid w:val="00750CD0"/>
    <w:rsid w:val="00750E5D"/>
    <w:rsid w:val="00751110"/>
    <w:rsid w:val="00751BCD"/>
    <w:rsid w:val="0075213F"/>
    <w:rsid w:val="007521AE"/>
    <w:rsid w:val="007532C9"/>
    <w:rsid w:val="0075353D"/>
    <w:rsid w:val="00753A2A"/>
    <w:rsid w:val="00754890"/>
    <w:rsid w:val="0076014C"/>
    <w:rsid w:val="00760B86"/>
    <w:rsid w:val="00761395"/>
    <w:rsid w:val="007618CE"/>
    <w:rsid w:val="00762080"/>
    <w:rsid w:val="00762BE9"/>
    <w:rsid w:val="007633C2"/>
    <w:rsid w:val="00766FF5"/>
    <w:rsid w:val="00771C99"/>
    <w:rsid w:val="00772A46"/>
    <w:rsid w:val="00772C97"/>
    <w:rsid w:val="0077359B"/>
    <w:rsid w:val="0077720B"/>
    <w:rsid w:val="00777A9A"/>
    <w:rsid w:val="00780CB3"/>
    <w:rsid w:val="007813DE"/>
    <w:rsid w:val="0078166E"/>
    <w:rsid w:val="007819D0"/>
    <w:rsid w:val="0078201F"/>
    <w:rsid w:val="00782B23"/>
    <w:rsid w:val="007845AF"/>
    <w:rsid w:val="00784990"/>
    <w:rsid w:val="00786918"/>
    <w:rsid w:val="00786AAD"/>
    <w:rsid w:val="007924DD"/>
    <w:rsid w:val="00792526"/>
    <w:rsid w:val="007955EA"/>
    <w:rsid w:val="00795690"/>
    <w:rsid w:val="007956E6"/>
    <w:rsid w:val="00796959"/>
    <w:rsid w:val="007A07E2"/>
    <w:rsid w:val="007A461C"/>
    <w:rsid w:val="007A5069"/>
    <w:rsid w:val="007A7238"/>
    <w:rsid w:val="007A7991"/>
    <w:rsid w:val="007B1EEE"/>
    <w:rsid w:val="007B4878"/>
    <w:rsid w:val="007B4E1D"/>
    <w:rsid w:val="007B71ED"/>
    <w:rsid w:val="007B7543"/>
    <w:rsid w:val="007B7E1A"/>
    <w:rsid w:val="007C0409"/>
    <w:rsid w:val="007C37C4"/>
    <w:rsid w:val="007C3C55"/>
    <w:rsid w:val="007C42D8"/>
    <w:rsid w:val="007C526D"/>
    <w:rsid w:val="007D0265"/>
    <w:rsid w:val="007D4413"/>
    <w:rsid w:val="007D4DEC"/>
    <w:rsid w:val="007D552C"/>
    <w:rsid w:val="007D5BE6"/>
    <w:rsid w:val="007D62CB"/>
    <w:rsid w:val="007E0928"/>
    <w:rsid w:val="007E3273"/>
    <w:rsid w:val="007E44BE"/>
    <w:rsid w:val="007E5058"/>
    <w:rsid w:val="007E509E"/>
    <w:rsid w:val="007E58C2"/>
    <w:rsid w:val="007E6ACC"/>
    <w:rsid w:val="007E6B9C"/>
    <w:rsid w:val="007F10F0"/>
    <w:rsid w:val="007F143B"/>
    <w:rsid w:val="007F1E6F"/>
    <w:rsid w:val="007F2692"/>
    <w:rsid w:val="007F2768"/>
    <w:rsid w:val="007F306E"/>
    <w:rsid w:val="007F4813"/>
    <w:rsid w:val="007F5ECC"/>
    <w:rsid w:val="007F670D"/>
    <w:rsid w:val="007F6EE5"/>
    <w:rsid w:val="008022C2"/>
    <w:rsid w:val="008036B5"/>
    <w:rsid w:val="008037B0"/>
    <w:rsid w:val="008042DF"/>
    <w:rsid w:val="008058C7"/>
    <w:rsid w:val="008063BE"/>
    <w:rsid w:val="008103DB"/>
    <w:rsid w:val="0081159E"/>
    <w:rsid w:val="00811D84"/>
    <w:rsid w:val="00813071"/>
    <w:rsid w:val="0081308C"/>
    <w:rsid w:val="008154AF"/>
    <w:rsid w:val="00816A47"/>
    <w:rsid w:val="0082358C"/>
    <w:rsid w:val="00824A14"/>
    <w:rsid w:val="00825569"/>
    <w:rsid w:val="008263FB"/>
    <w:rsid w:val="008266B2"/>
    <w:rsid w:val="0083024F"/>
    <w:rsid w:val="008311AF"/>
    <w:rsid w:val="00831295"/>
    <w:rsid w:val="0083156D"/>
    <w:rsid w:val="00832975"/>
    <w:rsid w:val="00833BE5"/>
    <w:rsid w:val="008364B4"/>
    <w:rsid w:val="00841D45"/>
    <w:rsid w:val="00842348"/>
    <w:rsid w:val="0084291E"/>
    <w:rsid w:val="00842F40"/>
    <w:rsid w:val="008454D0"/>
    <w:rsid w:val="008459EC"/>
    <w:rsid w:val="00845E49"/>
    <w:rsid w:val="00845FE8"/>
    <w:rsid w:val="00850529"/>
    <w:rsid w:val="00850870"/>
    <w:rsid w:val="00851E15"/>
    <w:rsid w:val="00856104"/>
    <w:rsid w:val="0085668B"/>
    <w:rsid w:val="00856AB1"/>
    <w:rsid w:val="00856E83"/>
    <w:rsid w:val="0085716F"/>
    <w:rsid w:val="0086194C"/>
    <w:rsid w:val="00861E52"/>
    <w:rsid w:val="008625A2"/>
    <w:rsid w:val="00862B49"/>
    <w:rsid w:val="0086442A"/>
    <w:rsid w:val="0086583A"/>
    <w:rsid w:val="00865D74"/>
    <w:rsid w:val="0086713B"/>
    <w:rsid w:val="008702AE"/>
    <w:rsid w:val="00870E42"/>
    <w:rsid w:val="00870FF0"/>
    <w:rsid w:val="0087102D"/>
    <w:rsid w:val="008747F3"/>
    <w:rsid w:val="00875040"/>
    <w:rsid w:val="00875D16"/>
    <w:rsid w:val="008765C5"/>
    <w:rsid w:val="008769E9"/>
    <w:rsid w:val="00881522"/>
    <w:rsid w:val="008816C1"/>
    <w:rsid w:val="00881A83"/>
    <w:rsid w:val="00882338"/>
    <w:rsid w:val="008839B5"/>
    <w:rsid w:val="008854CF"/>
    <w:rsid w:val="00885D30"/>
    <w:rsid w:val="00885F8D"/>
    <w:rsid w:val="00886974"/>
    <w:rsid w:val="00891C0A"/>
    <w:rsid w:val="0089299B"/>
    <w:rsid w:val="00892C40"/>
    <w:rsid w:val="00892CE5"/>
    <w:rsid w:val="008962E4"/>
    <w:rsid w:val="008963C7"/>
    <w:rsid w:val="008970A0"/>
    <w:rsid w:val="00897447"/>
    <w:rsid w:val="008976D0"/>
    <w:rsid w:val="00897A29"/>
    <w:rsid w:val="00897C4F"/>
    <w:rsid w:val="008A1311"/>
    <w:rsid w:val="008A19A9"/>
    <w:rsid w:val="008A2082"/>
    <w:rsid w:val="008A22D0"/>
    <w:rsid w:val="008A3AFC"/>
    <w:rsid w:val="008A3B97"/>
    <w:rsid w:val="008A3CAA"/>
    <w:rsid w:val="008A3FB4"/>
    <w:rsid w:val="008A484D"/>
    <w:rsid w:val="008A4F93"/>
    <w:rsid w:val="008A5E1E"/>
    <w:rsid w:val="008A6A26"/>
    <w:rsid w:val="008A6BEB"/>
    <w:rsid w:val="008B0B4C"/>
    <w:rsid w:val="008B1580"/>
    <w:rsid w:val="008B17F4"/>
    <w:rsid w:val="008B1C29"/>
    <w:rsid w:val="008B2536"/>
    <w:rsid w:val="008B28EB"/>
    <w:rsid w:val="008B3FCB"/>
    <w:rsid w:val="008B60CF"/>
    <w:rsid w:val="008B64AE"/>
    <w:rsid w:val="008C2387"/>
    <w:rsid w:val="008C37B8"/>
    <w:rsid w:val="008C547C"/>
    <w:rsid w:val="008C6D9A"/>
    <w:rsid w:val="008C7F76"/>
    <w:rsid w:val="008D1081"/>
    <w:rsid w:val="008D1581"/>
    <w:rsid w:val="008D1895"/>
    <w:rsid w:val="008D1FCF"/>
    <w:rsid w:val="008D21F5"/>
    <w:rsid w:val="008D26D0"/>
    <w:rsid w:val="008D7633"/>
    <w:rsid w:val="008E0497"/>
    <w:rsid w:val="008E08E1"/>
    <w:rsid w:val="008E135F"/>
    <w:rsid w:val="008E1764"/>
    <w:rsid w:val="008E50B1"/>
    <w:rsid w:val="008E6046"/>
    <w:rsid w:val="008E7826"/>
    <w:rsid w:val="008F0B66"/>
    <w:rsid w:val="008F14A2"/>
    <w:rsid w:val="008F28A9"/>
    <w:rsid w:val="008F36C8"/>
    <w:rsid w:val="008F3739"/>
    <w:rsid w:val="008F38BE"/>
    <w:rsid w:val="008F4CDC"/>
    <w:rsid w:val="008F5895"/>
    <w:rsid w:val="008F5E51"/>
    <w:rsid w:val="008F64DC"/>
    <w:rsid w:val="008F70B2"/>
    <w:rsid w:val="008F7523"/>
    <w:rsid w:val="00901577"/>
    <w:rsid w:val="00901931"/>
    <w:rsid w:val="00901FEB"/>
    <w:rsid w:val="00903F00"/>
    <w:rsid w:val="009042C6"/>
    <w:rsid w:val="0090490D"/>
    <w:rsid w:val="00906C81"/>
    <w:rsid w:val="00916456"/>
    <w:rsid w:val="009167AA"/>
    <w:rsid w:val="00921867"/>
    <w:rsid w:val="00922A38"/>
    <w:rsid w:val="00923E87"/>
    <w:rsid w:val="00925898"/>
    <w:rsid w:val="00926D11"/>
    <w:rsid w:val="00930028"/>
    <w:rsid w:val="00930213"/>
    <w:rsid w:val="00930B3D"/>
    <w:rsid w:val="00932837"/>
    <w:rsid w:val="00932F57"/>
    <w:rsid w:val="0093429B"/>
    <w:rsid w:val="00935797"/>
    <w:rsid w:val="00936E3D"/>
    <w:rsid w:val="0094236B"/>
    <w:rsid w:val="009427B0"/>
    <w:rsid w:val="00943ACC"/>
    <w:rsid w:val="00944248"/>
    <w:rsid w:val="00944278"/>
    <w:rsid w:val="009445A2"/>
    <w:rsid w:val="0094615B"/>
    <w:rsid w:val="00947931"/>
    <w:rsid w:val="00950C0B"/>
    <w:rsid w:val="00950EF2"/>
    <w:rsid w:val="00951162"/>
    <w:rsid w:val="009513B4"/>
    <w:rsid w:val="009532F1"/>
    <w:rsid w:val="00954081"/>
    <w:rsid w:val="00954A43"/>
    <w:rsid w:val="00954AF0"/>
    <w:rsid w:val="00955ACD"/>
    <w:rsid w:val="009572DB"/>
    <w:rsid w:val="009602F2"/>
    <w:rsid w:val="0096096A"/>
    <w:rsid w:val="0096099E"/>
    <w:rsid w:val="009610A9"/>
    <w:rsid w:val="009610BF"/>
    <w:rsid w:val="009621C8"/>
    <w:rsid w:val="0096233A"/>
    <w:rsid w:val="00963484"/>
    <w:rsid w:val="0096524F"/>
    <w:rsid w:val="00965B8B"/>
    <w:rsid w:val="009706E3"/>
    <w:rsid w:val="00971082"/>
    <w:rsid w:val="00972950"/>
    <w:rsid w:val="00973895"/>
    <w:rsid w:val="00976E43"/>
    <w:rsid w:val="00977CFC"/>
    <w:rsid w:val="00980385"/>
    <w:rsid w:val="00982909"/>
    <w:rsid w:val="00982AFD"/>
    <w:rsid w:val="0098331E"/>
    <w:rsid w:val="00983D23"/>
    <w:rsid w:val="00984689"/>
    <w:rsid w:val="00992E31"/>
    <w:rsid w:val="00994463"/>
    <w:rsid w:val="009956AA"/>
    <w:rsid w:val="0099661C"/>
    <w:rsid w:val="00996715"/>
    <w:rsid w:val="0099740B"/>
    <w:rsid w:val="0099780E"/>
    <w:rsid w:val="00997B6D"/>
    <w:rsid w:val="009A03AF"/>
    <w:rsid w:val="009A0643"/>
    <w:rsid w:val="009A073C"/>
    <w:rsid w:val="009A12C7"/>
    <w:rsid w:val="009A4F48"/>
    <w:rsid w:val="009A5FC4"/>
    <w:rsid w:val="009A6145"/>
    <w:rsid w:val="009A682B"/>
    <w:rsid w:val="009A747C"/>
    <w:rsid w:val="009B0DF4"/>
    <w:rsid w:val="009B1770"/>
    <w:rsid w:val="009B2665"/>
    <w:rsid w:val="009B37B0"/>
    <w:rsid w:val="009B3972"/>
    <w:rsid w:val="009B4F1F"/>
    <w:rsid w:val="009B55BD"/>
    <w:rsid w:val="009B6D3C"/>
    <w:rsid w:val="009C0C25"/>
    <w:rsid w:val="009C112F"/>
    <w:rsid w:val="009C2CA7"/>
    <w:rsid w:val="009C3F91"/>
    <w:rsid w:val="009C4635"/>
    <w:rsid w:val="009C4FE2"/>
    <w:rsid w:val="009C686C"/>
    <w:rsid w:val="009C7102"/>
    <w:rsid w:val="009C7980"/>
    <w:rsid w:val="009C7A52"/>
    <w:rsid w:val="009D3CAD"/>
    <w:rsid w:val="009D74E9"/>
    <w:rsid w:val="009D7EBF"/>
    <w:rsid w:val="009E03D5"/>
    <w:rsid w:val="009E183F"/>
    <w:rsid w:val="009E2661"/>
    <w:rsid w:val="009E6029"/>
    <w:rsid w:val="009E7FC8"/>
    <w:rsid w:val="009F10B1"/>
    <w:rsid w:val="009F42CD"/>
    <w:rsid w:val="009F49F6"/>
    <w:rsid w:val="009F4B85"/>
    <w:rsid w:val="009F5878"/>
    <w:rsid w:val="009F69F9"/>
    <w:rsid w:val="009F6D24"/>
    <w:rsid w:val="00A003A7"/>
    <w:rsid w:val="00A0345E"/>
    <w:rsid w:val="00A04A77"/>
    <w:rsid w:val="00A0764B"/>
    <w:rsid w:val="00A10131"/>
    <w:rsid w:val="00A101EB"/>
    <w:rsid w:val="00A122D1"/>
    <w:rsid w:val="00A123DD"/>
    <w:rsid w:val="00A17282"/>
    <w:rsid w:val="00A20C9D"/>
    <w:rsid w:val="00A214FB"/>
    <w:rsid w:val="00A2472B"/>
    <w:rsid w:val="00A26307"/>
    <w:rsid w:val="00A2678C"/>
    <w:rsid w:val="00A26CCA"/>
    <w:rsid w:val="00A27474"/>
    <w:rsid w:val="00A27F72"/>
    <w:rsid w:val="00A300F5"/>
    <w:rsid w:val="00A30F72"/>
    <w:rsid w:val="00A31362"/>
    <w:rsid w:val="00A31A7C"/>
    <w:rsid w:val="00A31E47"/>
    <w:rsid w:val="00A32A08"/>
    <w:rsid w:val="00A33577"/>
    <w:rsid w:val="00A34C29"/>
    <w:rsid w:val="00A35AB7"/>
    <w:rsid w:val="00A35B58"/>
    <w:rsid w:val="00A37DC2"/>
    <w:rsid w:val="00A420C9"/>
    <w:rsid w:val="00A42879"/>
    <w:rsid w:val="00A42A71"/>
    <w:rsid w:val="00A453B5"/>
    <w:rsid w:val="00A45C24"/>
    <w:rsid w:val="00A46066"/>
    <w:rsid w:val="00A46304"/>
    <w:rsid w:val="00A50BAD"/>
    <w:rsid w:val="00A5108D"/>
    <w:rsid w:val="00A52373"/>
    <w:rsid w:val="00A52F9E"/>
    <w:rsid w:val="00A535F9"/>
    <w:rsid w:val="00A54727"/>
    <w:rsid w:val="00A54956"/>
    <w:rsid w:val="00A557A6"/>
    <w:rsid w:val="00A62A55"/>
    <w:rsid w:val="00A6484B"/>
    <w:rsid w:val="00A65B14"/>
    <w:rsid w:val="00A66126"/>
    <w:rsid w:val="00A66375"/>
    <w:rsid w:val="00A667FD"/>
    <w:rsid w:val="00A668C8"/>
    <w:rsid w:val="00A672AA"/>
    <w:rsid w:val="00A7003D"/>
    <w:rsid w:val="00A70DFB"/>
    <w:rsid w:val="00A70FA9"/>
    <w:rsid w:val="00A71208"/>
    <w:rsid w:val="00A73095"/>
    <w:rsid w:val="00A74214"/>
    <w:rsid w:val="00A7448E"/>
    <w:rsid w:val="00A74AC4"/>
    <w:rsid w:val="00A8129B"/>
    <w:rsid w:val="00A83D6A"/>
    <w:rsid w:val="00A863DB"/>
    <w:rsid w:val="00A87645"/>
    <w:rsid w:val="00A87DDD"/>
    <w:rsid w:val="00A9101E"/>
    <w:rsid w:val="00A9182A"/>
    <w:rsid w:val="00A91C42"/>
    <w:rsid w:val="00A92B98"/>
    <w:rsid w:val="00A92BB4"/>
    <w:rsid w:val="00A92E53"/>
    <w:rsid w:val="00A93283"/>
    <w:rsid w:val="00A9495B"/>
    <w:rsid w:val="00A957C5"/>
    <w:rsid w:val="00A95D1D"/>
    <w:rsid w:val="00AA14D2"/>
    <w:rsid w:val="00AA154D"/>
    <w:rsid w:val="00AA3034"/>
    <w:rsid w:val="00AA442F"/>
    <w:rsid w:val="00AA483E"/>
    <w:rsid w:val="00AA6179"/>
    <w:rsid w:val="00AA7845"/>
    <w:rsid w:val="00AA7DE4"/>
    <w:rsid w:val="00AB0812"/>
    <w:rsid w:val="00AB0D44"/>
    <w:rsid w:val="00AB1677"/>
    <w:rsid w:val="00AB3E42"/>
    <w:rsid w:val="00AB58AF"/>
    <w:rsid w:val="00AB5D84"/>
    <w:rsid w:val="00AB7233"/>
    <w:rsid w:val="00AC0A0B"/>
    <w:rsid w:val="00AC2F71"/>
    <w:rsid w:val="00AC5DA7"/>
    <w:rsid w:val="00AC67C1"/>
    <w:rsid w:val="00AD05C5"/>
    <w:rsid w:val="00AD0972"/>
    <w:rsid w:val="00AD11CA"/>
    <w:rsid w:val="00AD1BF2"/>
    <w:rsid w:val="00AD2569"/>
    <w:rsid w:val="00AD2F61"/>
    <w:rsid w:val="00AD358C"/>
    <w:rsid w:val="00AD5D33"/>
    <w:rsid w:val="00AD6C50"/>
    <w:rsid w:val="00AD71D7"/>
    <w:rsid w:val="00AE0282"/>
    <w:rsid w:val="00AE0511"/>
    <w:rsid w:val="00AE23F7"/>
    <w:rsid w:val="00AE24BF"/>
    <w:rsid w:val="00AE25D9"/>
    <w:rsid w:val="00AE2C2F"/>
    <w:rsid w:val="00AE3143"/>
    <w:rsid w:val="00AE36A5"/>
    <w:rsid w:val="00AE3E88"/>
    <w:rsid w:val="00AE3FDE"/>
    <w:rsid w:val="00AE5021"/>
    <w:rsid w:val="00AE6BA1"/>
    <w:rsid w:val="00AE75D0"/>
    <w:rsid w:val="00AE7D46"/>
    <w:rsid w:val="00AF0932"/>
    <w:rsid w:val="00AF605A"/>
    <w:rsid w:val="00AF6618"/>
    <w:rsid w:val="00AF6EC6"/>
    <w:rsid w:val="00B00475"/>
    <w:rsid w:val="00B01215"/>
    <w:rsid w:val="00B0448D"/>
    <w:rsid w:val="00B05006"/>
    <w:rsid w:val="00B05169"/>
    <w:rsid w:val="00B07AD0"/>
    <w:rsid w:val="00B103AC"/>
    <w:rsid w:val="00B106FD"/>
    <w:rsid w:val="00B11704"/>
    <w:rsid w:val="00B15775"/>
    <w:rsid w:val="00B15CBA"/>
    <w:rsid w:val="00B21FE7"/>
    <w:rsid w:val="00B23E79"/>
    <w:rsid w:val="00B26BA5"/>
    <w:rsid w:val="00B276AE"/>
    <w:rsid w:val="00B27B8D"/>
    <w:rsid w:val="00B3006D"/>
    <w:rsid w:val="00B30221"/>
    <w:rsid w:val="00B30F8E"/>
    <w:rsid w:val="00B31F7A"/>
    <w:rsid w:val="00B32838"/>
    <w:rsid w:val="00B33C07"/>
    <w:rsid w:val="00B35AD2"/>
    <w:rsid w:val="00B36046"/>
    <w:rsid w:val="00B4128A"/>
    <w:rsid w:val="00B41521"/>
    <w:rsid w:val="00B41DED"/>
    <w:rsid w:val="00B43FDF"/>
    <w:rsid w:val="00B45111"/>
    <w:rsid w:val="00B45339"/>
    <w:rsid w:val="00B4542A"/>
    <w:rsid w:val="00B475B9"/>
    <w:rsid w:val="00B477EB"/>
    <w:rsid w:val="00B51AF2"/>
    <w:rsid w:val="00B51E72"/>
    <w:rsid w:val="00B529A0"/>
    <w:rsid w:val="00B52B40"/>
    <w:rsid w:val="00B52DA2"/>
    <w:rsid w:val="00B54E8C"/>
    <w:rsid w:val="00B55F35"/>
    <w:rsid w:val="00B56AFD"/>
    <w:rsid w:val="00B57498"/>
    <w:rsid w:val="00B60BFB"/>
    <w:rsid w:val="00B61A2E"/>
    <w:rsid w:val="00B61DFA"/>
    <w:rsid w:val="00B631C2"/>
    <w:rsid w:val="00B656F3"/>
    <w:rsid w:val="00B65B8C"/>
    <w:rsid w:val="00B663BD"/>
    <w:rsid w:val="00B67CB8"/>
    <w:rsid w:val="00B720E9"/>
    <w:rsid w:val="00B73A31"/>
    <w:rsid w:val="00B743A3"/>
    <w:rsid w:val="00B74E83"/>
    <w:rsid w:val="00B75D65"/>
    <w:rsid w:val="00B76E68"/>
    <w:rsid w:val="00B82A20"/>
    <w:rsid w:val="00B85D7B"/>
    <w:rsid w:val="00B8607E"/>
    <w:rsid w:val="00B86117"/>
    <w:rsid w:val="00B87C6E"/>
    <w:rsid w:val="00B9374C"/>
    <w:rsid w:val="00B94208"/>
    <w:rsid w:val="00B95CD8"/>
    <w:rsid w:val="00B97BB5"/>
    <w:rsid w:val="00BA0259"/>
    <w:rsid w:val="00BA092F"/>
    <w:rsid w:val="00BA1101"/>
    <w:rsid w:val="00BA13A3"/>
    <w:rsid w:val="00BA3A56"/>
    <w:rsid w:val="00BA4FAA"/>
    <w:rsid w:val="00BB0156"/>
    <w:rsid w:val="00BB0D5A"/>
    <w:rsid w:val="00BB2BAD"/>
    <w:rsid w:val="00BB42EF"/>
    <w:rsid w:val="00BB49E0"/>
    <w:rsid w:val="00BB5B3E"/>
    <w:rsid w:val="00BB6B9D"/>
    <w:rsid w:val="00BC1B34"/>
    <w:rsid w:val="00BC3394"/>
    <w:rsid w:val="00BC406B"/>
    <w:rsid w:val="00BC4ADB"/>
    <w:rsid w:val="00BC72C2"/>
    <w:rsid w:val="00BC7CC7"/>
    <w:rsid w:val="00BD04BF"/>
    <w:rsid w:val="00BD15A7"/>
    <w:rsid w:val="00BD1B2E"/>
    <w:rsid w:val="00BD1E14"/>
    <w:rsid w:val="00BD34BA"/>
    <w:rsid w:val="00BD6D2E"/>
    <w:rsid w:val="00BD7C88"/>
    <w:rsid w:val="00BE010B"/>
    <w:rsid w:val="00BE06D1"/>
    <w:rsid w:val="00BE0C9F"/>
    <w:rsid w:val="00BE1CAD"/>
    <w:rsid w:val="00BE37CF"/>
    <w:rsid w:val="00BE40D8"/>
    <w:rsid w:val="00BE6838"/>
    <w:rsid w:val="00BE6FB3"/>
    <w:rsid w:val="00BE7E85"/>
    <w:rsid w:val="00BF1510"/>
    <w:rsid w:val="00BF3E1C"/>
    <w:rsid w:val="00BF485D"/>
    <w:rsid w:val="00BF731B"/>
    <w:rsid w:val="00BF76B8"/>
    <w:rsid w:val="00C01159"/>
    <w:rsid w:val="00C012B4"/>
    <w:rsid w:val="00C013E0"/>
    <w:rsid w:val="00C028E6"/>
    <w:rsid w:val="00C04E7B"/>
    <w:rsid w:val="00C050B1"/>
    <w:rsid w:val="00C05248"/>
    <w:rsid w:val="00C05C02"/>
    <w:rsid w:val="00C05EC7"/>
    <w:rsid w:val="00C0754D"/>
    <w:rsid w:val="00C07B7C"/>
    <w:rsid w:val="00C07D89"/>
    <w:rsid w:val="00C07E4A"/>
    <w:rsid w:val="00C106B8"/>
    <w:rsid w:val="00C14074"/>
    <w:rsid w:val="00C14977"/>
    <w:rsid w:val="00C1729D"/>
    <w:rsid w:val="00C1743E"/>
    <w:rsid w:val="00C17CF7"/>
    <w:rsid w:val="00C20C96"/>
    <w:rsid w:val="00C20DD0"/>
    <w:rsid w:val="00C21F0D"/>
    <w:rsid w:val="00C231EF"/>
    <w:rsid w:val="00C265D2"/>
    <w:rsid w:val="00C27205"/>
    <w:rsid w:val="00C352FB"/>
    <w:rsid w:val="00C3647D"/>
    <w:rsid w:val="00C376AD"/>
    <w:rsid w:val="00C41A5B"/>
    <w:rsid w:val="00C41DE2"/>
    <w:rsid w:val="00C423EF"/>
    <w:rsid w:val="00C431F6"/>
    <w:rsid w:val="00C43443"/>
    <w:rsid w:val="00C43B4C"/>
    <w:rsid w:val="00C442EB"/>
    <w:rsid w:val="00C4625D"/>
    <w:rsid w:val="00C46567"/>
    <w:rsid w:val="00C46A72"/>
    <w:rsid w:val="00C475A1"/>
    <w:rsid w:val="00C47923"/>
    <w:rsid w:val="00C54F41"/>
    <w:rsid w:val="00C61FFD"/>
    <w:rsid w:val="00C62185"/>
    <w:rsid w:val="00C66467"/>
    <w:rsid w:val="00C66827"/>
    <w:rsid w:val="00C66B82"/>
    <w:rsid w:val="00C7227E"/>
    <w:rsid w:val="00C72375"/>
    <w:rsid w:val="00C72C92"/>
    <w:rsid w:val="00C7423F"/>
    <w:rsid w:val="00C74368"/>
    <w:rsid w:val="00C777EC"/>
    <w:rsid w:val="00C80E83"/>
    <w:rsid w:val="00C80F79"/>
    <w:rsid w:val="00C81014"/>
    <w:rsid w:val="00C8158E"/>
    <w:rsid w:val="00C844D3"/>
    <w:rsid w:val="00C85299"/>
    <w:rsid w:val="00C85847"/>
    <w:rsid w:val="00C85C39"/>
    <w:rsid w:val="00C90701"/>
    <w:rsid w:val="00C9224E"/>
    <w:rsid w:val="00C92C5F"/>
    <w:rsid w:val="00C92E84"/>
    <w:rsid w:val="00C95849"/>
    <w:rsid w:val="00CA14CA"/>
    <w:rsid w:val="00CA27BA"/>
    <w:rsid w:val="00CA357C"/>
    <w:rsid w:val="00CA44B7"/>
    <w:rsid w:val="00CA4CD2"/>
    <w:rsid w:val="00CA7EB3"/>
    <w:rsid w:val="00CB0155"/>
    <w:rsid w:val="00CB1A68"/>
    <w:rsid w:val="00CB1EA3"/>
    <w:rsid w:val="00CB2AC7"/>
    <w:rsid w:val="00CB2CDD"/>
    <w:rsid w:val="00CC0367"/>
    <w:rsid w:val="00CC0601"/>
    <w:rsid w:val="00CC13AA"/>
    <w:rsid w:val="00CC285A"/>
    <w:rsid w:val="00CC2E99"/>
    <w:rsid w:val="00CC4C30"/>
    <w:rsid w:val="00CC673A"/>
    <w:rsid w:val="00CD0735"/>
    <w:rsid w:val="00CD42C2"/>
    <w:rsid w:val="00CD5029"/>
    <w:rsid w:val="00CD66DC"/>
    <w:rsid w:val="00CE0A21"/>
    <w:rsid w:val="00CE4080"/>
    <w:rsid w:val="00CE5A7F"/>
    <w:rsid w:val="00CE61BA"/>
    <w:rsid w:val="00CE6E16"/>
    <w:rsid w:val="00CE76BD"/>
    <w:rsid w:val="00CE7E89"/>
    <w:rsid w:val="00CF02C1"/>
    <w:rsid w:val="00CF2547"/>
    <w:rsid w:val="00CF4940"/>
    <w:rsid w:val="00CF6786"/>
    <w:rsid w:val="00CF6D01"/>
    <w:rsid w:val="00D008AE"/>
    <w:rsid w:val="00D00935"/>
    <w:rsid w:val="00D018A2"/>
    <w:rsid w:val="00D02B56"/>
    <w:rsid w:val="00D04441"/>
    <w:rsid w:val="00D048A4"/>
    <w:rsid w:val="00D053FD"/>
    <w:rsid w:val="00D06B79"/>
    <w:rsid w:val="00D073E2"/>
    <w:rsid w:val="00D07691"/>
    <w:rsid w:val="00D11272"/>
    <w:rsid w:val="00D1210E"/>
    <w:rsid w:val="00D12CC4"/>
    <w:rsid w:val="00D1504A"/>
    <w:rsid w:val="00D15E75"/>
    <w:rsid w:val="00D2034F"/>
    <w:rsid w:val="00D2175B"/>
    <w:rsid w:val="00D22AB3"/>
    <w:rsid w:val="00D23460"/>
    <w:rsid w:val="00D24331"/>
    <w:rsid w:val="00D247E3"/>
    <w:rsid w:val="00D24A59"/>
    <w:rsid w:val="00D2662F"/>
    <w:rsid w:val="00D276B2"/>
    <w:rsid w:val="00D30850"/>
    <w:rsid w:val="00D32A2D"/>
    <w:rsid w:val="00D33488"/>
    <w:rsid w:val="00D40264"/>
    <w:rsid w:val="00D4033B"/>
    <w:rsid w:val="00D40A74"/>
    <w:rsid w:val="00D40C48"/>
    <w:rsid w:val="00D44234"/>
    <w:rsid w:val="00D447DC"/>
    <w:rsid w:val="00D4499D"/>
    <w:rsid w:val="00D4620E"/>
    <w:rsid w:val="00D46417"/>
    <w:rsid w:val="00D46647"/>
    <w:rsid w:val="00D4734A"/>
    <w:rsid w:val="00D50DA3"/>
    <w:rsid w:val="00D52E45"/>
    <w:rsid w:val="00D562D0"/>
    <w:rsid w:val="00D562D9"/>
    <w:rsid w:val="00D569C1"/>
    <w:rsid w:val="00D613BD"/>
    <w:rsid w:val="00D62A73"/>
    <w:rsid w:val="00D6427B"/>
    <w:rsid w:val="00D70801"/>
    <w:rsid w:val="00D71398"/>
    <w:rsid w:val="00D71525"/>
    <w:rsid w:val="00D71794"/>
    <w:rsid w:val="00D76A9B"/>
    <w:rsid w:val="00D76B21"/>
    <w:rsid w:val="00D77B3A"/>
    <w:rsid w:val="00D77FBF"/>
    <w:rsid w:val="00D81BC5"/>
    <w:rsid w:val="00D824C1"/>
    <w:rsid w:val="00D8266E"/>
    <w:rsid w:val="00D85487"/>
    <w:rsid w:val="00D85657"/>
    <w:rsid w:val="00D85E2F"/>
    <w:rsid w:val="00D85E4B"/>
    <w:rsid w:val="00D870B0"/>
    <w:rsid w:val="00D906E9"/>
    <w:rsid w:val="00D90DF3"/>
    <w:rsid w:val="00D9131F"/>
    <w:rsid w:val="00D91964"/>
    <w:rsid w:val="00D94A79"/>
    <w:rsid w:val="00D97112"/>
    <w:rsid w:val="00DA13C0"/>
    <w:rsid w:val="00DA2DE6"/>
    <w:rsid w:val="00DA7BCF"/>
    <w:rsid w:val="00DA7CAD"/>
    <w:rsid w:val="00DA7CBA"/>
    <w:rsid w:val="00DB3829"/>
    <w:rsid w:val="00DB681B"/>
    <w:rsid w:val="00DB6996"/>
    <w:rsid w:val="00DB710A"/>
    <w:rsid w:val="00DC214A"/>
    <w:rsid w:val="00DC3528"/>
    <w:rsid w:val="00DC5533"/>
    <w:rsid w:val="00DC6CB5"/>
    <w:rsid w:val="00DD17A2"/>
    <w:rsid w:val="00DD1CBF"/>
    <w:rsid w:val="00DD2431"/>
    <w:rsid w:val="00DD3120"/>
    <w:rsid w:val="00DD3F3E"/>
    <w:rsid w:val="00DD402B"/>
    <w:rsid w:val="00DD4068"/>
    <w:rsid w:val="00DD4E90"/>
    <w:rsid w:val="00DE0724"/>
    <w:rsid w:val="00DE1164"/>
    <w:rsid w:val="00DE2506"/>
    <w:rsid w:val="00DE3867"/>
    <w:rsid w:val="00DE549E"/>
    <w:rsid w:val="00DE5C2B"/>
    <w:rsid w:val="00DE6AE9"/>
    <w:rsid w:val="00DF0CDA"/>
    <w:rsid w:val="00DF15AC"/>
    <w:rsid w:val="00DF3C95"/>
    <w:rsid w:val="00DF48D0"/>
    <w:rsid w:val="00DF5DB2"/>
    <w:rsid w:val="00DF5DCB"/>
    <w:rsid w:val="00DF6021"/>
    <w:rsid w:val="00DF65FE"/>
    <w:rsid w:val="00DF7956"/>
    <w:rsid w:val="00E008B4"/>
    <w:rsid w:val="00E01E56"/>
    <w:rsid w:val="00E02B38"/>
    <w:rsid w:val="00E036C2"/>
    <w:rsid w:val="00E03860"/>
    <w:rsid w:val="00E041E8"/>
    <w:rsid w:val="00E06384"/>
    <w:rsid w:val="00E13D0E"/>
    <w:rsid w:val="00E14EAF"/>
    <w:rsid w:val="00E15091"/>
    <w:rsid w:val="00E15710"/>
    <w:rsid w:val="00E164FB"/>
    <w:rsid w:val="00E173C6"/>
    <w:rsid w:val="00E1747C"/>
    <w:rsid w:val="00E174BE"/>
    <w:rsid w:val="00E224C3"/>
    <w:rsid w:val="00E25A69"/>
    <w:rsid w:val="00E30883"/>
    <w:rsid w:val="00E30A58"/>
    <w:rsid w:val="00E30AB0"/>
    <w:rsid w:val="00E3226A"/>
    <w:rsid w:val="00E32ACC"/>
    <w:rsid w:val="00E350B1"/>
    <w:rsid w:val="00E3666F"/>
    <w:rsid w:val="00E37386"/>
    <w:rsid w:val="00E40524"/>
    <w:rsid w:val="00E40BFA"/>
    <w:rsid w:val="00E41220"/>
    <w:rsid w:val="00E44A8C"/>
    <w:rsid w:val="00E4520D"/>
    <w:rsid w:val="00E46E77"/>
    <w:rsid w:val="00E4794A"/>
    <w:rsid w:val="00E520D6"/>
    <w:rsid w:val="00E52CA9"/>
    <w:rsid w:val="00E53E5D"/>
    <w:rsid w:val="00E55005"/>
    <w:rsid w:val="00E55518"/>
    <w:rsid w:val="00E566B0"/>
    <w:rsid w:val="00E5694C"/>
    <w:rsid w:val="00E6074E"/>
    <w:rsid w:val="00E6177A"/>
    <w:rsid w:val="00E6334D"/>
    <w:rsid w:val="00E65321"/>
    <w:rsid w:val="00E659D3"/>
    <w:rsid w:val="00E6609F"/>
    <w:rsid w:val="00E6699C"/>
    <w:rsid w:val="00E6712E"/>
    <w:rsid w:val="00E712BD"/>
    <w:rsid w:val="00E71653"/>
    <w:rsid w:val="00E7308F"/>
    <w:rsid w:val="00E73168"/>
    <w:rsid w:val="00E7508F"/>
    <w:rsid w:val="00E762F5"/>
    <w:rsid w:val="00E763A6"/>
    <w:rsid w:val="00E770DE"/>
    <w:rsid w:val="00E805FF"/>
    <w:rsid w:val="00E807B8"/>
    <w:rsid w:val="00E80A3D"/>
    <w:rsid w:val="00E80C3B"/>
    <w:rsid w:val="00E81E19"/>
    <w:rsid w:val="00E82B3A"/>
    <w:rsid w:val="00E82D68"/>
    <w:rsid w:val="00E83E3B"/>
    <w:rsid w:val="00E850BB"/>
    <w:rsid w:val="00E8583C"/>
    <w:rsid w:val="00E85E13"/>
    <w:rsid w:val="00E86225"/>
    <w:rsid w:val="00E86B66"/>
    <w:rsid w:val="00E87D80"/>
    <w:rsid w:val="00E904B1"/>
    <w:rsid w:val="00E92AE0"/>
    <w:rsid w:val="00E94410"/>
    <w:rsid w:val="00E94BC5"/>
    <w:rsid w:val="00E94C4D"/>
    <w:rsid w:val="00E94CCE"/>
    <w:rsid w:val="00E959A6"/>
    <w:rsid w:val="00E96C3A"/>
    <w:rsid w:val="00EA5683"/>
    <w:rsid w:val="00EA5688"/>
    <w:rsid w:val="00EA7E41"/>
    <w:rsid w:val="00EB1BB1"/>
    <w:rsid w:val="00EB20D3"/>
    <w:rsid w:val="00EB23A7"/>
    <w:rsid w:val="00EB3C13"/>
    <w:rsid w:val="00EB709F"/>
    <w:rsid w:val="00EC0038"/>
    <w:rsid w:val="00EC0A27"/>
    <w:rsid w:val="00EC43BD"/>
    <w:rsid w:val="00EC4A78"/>
    <w:rsid w:val="00EC4DB6"/>
    <w:rsid w:val="00EC61CC"/>
    <w:rsid w:val="00EC6355"/>
    <w:rsid w:val="00EC7BD6"/>
    <w:rsid w:val="00ED0CEB"/>
    <w:rsid w:val="00ED104A"/>
    <w:rsid w:val="00ED2AE3"/>
    <w:rsid w:val="00ED3EF7"/>
    <w:rsid w:val="00ED4319"/>
    <w:rsid w:val="00ED5D13"/>
    <w:rsid w:val="00ED62B8"/>
    <w:rsid w:val="00ED7254"/>
    <w:rsid w:val="00EE2B65"/>
    <w:rsid w:val="00EE3DF5"/>
    <w:rsid w:val="00EE469A"/>
    <w:rsid w:val="00EE5C40"/>
    <w:rsid w:val="00EE72EB"/>
    <w:rsid w:val="00EE7D81"/>
    <w:rsid w:val="00EF0247"/>
    <w:rsid w:val="00EF1309"/>
    <w:rsid w:val="00EF264F"/>
    <w:rsid w:val="00EF4EAD"/>
    <w:rsid w:val="00EF5CBE"/>
    <w:rsid w:val="00EF6067"/>
    <w:rsid w:val="00EF7029"/>
    <w:rsid w:val="00F00DA9"/>
    <w:rsid w:val="00F05F9F"/>
    <w:rsid w:val="00F06001"/>
    <w:rsid w:val="00F07010"/>
    <w:rsid w:val="00F10BE8"/>
    <w:rsid w:val="00F113F9"/>
    <w:rsid w:val="00F115D6"/>
    <w:rsid w:val="00F129BF"/>
    <w:rsid w:val="00F137E6"/>
    <w:rsid w:val="00F1634A"/>
    <w:rsid w:val="00F20786"/>
    <w:rsid w:val="00F21237"/>
    <w:rsid w:val="00F21682"/>
    <w:rsid w:val="00F21DAF"/>
    <w:rsid w:val="00F22A96"/>
    <w:rsid w:val="00F22EB9"/>
    <w:rsid w:val="00F25FB7"/>
    <w:rsid w:val="00F27448"/>
    <w:rsid w:val="00F276DA"/>
    <w:rsid w:val="00F27F31"/>
    <w:rsid w:val="00F27FF0"/>
    <w:rsid w:val="00F306CB"/>
    <w:rsid w:val="00F30F18"/>
    <w:rsid w:val="00F3181A"/>
    <w:rsid w:val="00F32DA6"/>
    <w:rsid w:val="00F3319D"/>
    <w:rsid w:val="00F34F1D"/>
    <w:rsid w:val="00F351AF"/>
    <w:rsid w:val="00F36CD3"/>
    <w:rsid w:val="00F377CB"/>
    <w:rsid w:val="00F378F0"/>
    <w:rsid w:val="00F42F21"/>
    <w:rsid w:val="00F44B0C"/>
    <w:rsid w:val="00F45EC8"/>
    <w:rsid w:val="00F4742A"/>
    <w:rsid w:val="00F5052E"/>
    <w:rsid w:val="00F53BED"/>
    <w:rsid w:val="00F54070"/>
    <w:rsid w:val="00F56AE3"/>
    <w:rsid w:val="00F57B7A"/>
    <w:rsid w:val="00F607F1"/>
    <w:rsid w:val="00F62952"/>
    <w:rsid w:val="00F62A26"/>
    <w:rsid w:val="00F63480"/>
    <w:rsid w:val="00F643A1"/>
    <w:rsid w:val="00F64408"/>
    <w:rsid w:val="00F65CAD"/>
    <w:rsid w:val="00F6641B"/>
    <w:rsid w:val="00F67034"/>
    <w:rsid w:val="00F67063"/>
    <w:rsid w:val="00F67A72"/>
    <w:rsid w:val="00F70D13"/>
    <w:rsid w:val="00F725C9"/>
    <w:rsid w:val="00F73381"/>
    <w:rsid w:val="00F7363E"/>
    <w:rsid w:val="00F73937"/>
    <w:rsid w:val="00F74E87"/>
    <w:rsid w:val="00F7758E"/>
    <w:rsid w:val="00F779AB"/>
    <w:rsid w:val="00F77A8E"/>
    <w:rsid w:val="00F800CB"/>
    <w:rsid w:val="00F8021E"/>
    <w:rsid w:val="00F80B0B"/>
    <w:rsid w:val="00F81062"/>
    <w:rsid w:val="00F81170"/>
    <w:rsid w:val="00F81415"/>
    <w:rsid w:val="00F834D6"/>
    <w:rsid w:val="00F8552A"/>
    <w:rsid w:val="00F85B31"/>
    <w:rsid w:val="00F86A06"/>
    <w:rsid w:val="00F9059F"/>
    <w:rsid w:val="00F908FD"/>
    <w:rsid w:val="00F931FF"/>
    <w:rsid w:val="00F94A00"/>
    <w:rsid w:val="00F952BC"/>
    <w:rsid w:val="00F96788"/>
    <w:rsid w:val="00FA067A"/>
    <w:rsid w:val="00FA0EA3"/>
    <w:rsid w:val="00FA1746"/>
    <w:rsid w:val="00FA19B4"/>
    <w:rsid w:val="00FA34CE"/>
    <w:rsid w:val="00FA3C07"/>
    <w:rsid w:val="00FA3ECE"/>
    <w:rsid w:val="00FA4001"/>
    <w:rsid w:val="00FA69E4"/>
    <w:rsid w:val="00FA7F3A"/>
    <w:rsid w:val="00FB03A5"/>
    <w:rsid w:val="00FB42FA"/>
    <w:rsid w:val="00FB5739"/>
    <w:rsid w:val="00FB6530"/>
    <w:rsid w:val="00FC2B14"/>
    <w:rsid w:val="00FC36F4"/>
    <w:rsid w:val="00FC3817"/>
    <w:rsid w:val="00FC3F8D"/>
    <w:rsid w:val="00FD19DA"/>
    <w:rsid w:val="00FD3B58"/>
    <w:rsid w:val="00FD71E5"/>
    <w:rsid w:val="00FE1019"/>
    <w:rsid w:val="00FE1B3F"/>
    <w:rsid w:val="00FE5174"/>
    <w:rsid w:val="00FE5DE6"/>
    <w:rsid w:val="00FE5EA5"/>
    <w:rsid w:val="00FE78E6"/>
    <w:rsid w:val="00FE7DCF"/>
    <w:rsid w:val="00FF2D71"/>
    <w:rsid w:val="00FF4930"/>
    <w:rsid w:val="00FF495E"/>
    <w:rsid w:val="00FF5BE3"/>
    <w:rsid w:val="00FF5CFE"/>
    <w:rsid w:val="00FF7F3D"/>
    <w:rsid w:val="010356B7"/>
    <w:rsid w:val="01225F6B"/>
    <w:rsid w:val="0131747F"/>
    <w:rsid w:val="01791910"/>
    <w:rsid w:val="019500C0"/>
    <w:rsid w:val="01A8285C"/>
    <w:rsid w:val="01E34D25"/>
    <w:rsid w:val="02265C77"/>
    <w:rsid w:val="02572AE5"/>
    <w:rsid w:val="02641DFB"/>
    <w:rsid w:val="02C6661C"/>
    <w:rsid w:val="02C8629C"/>
    <w:rsid w:val="034C0876"/>
    <w:rsid w:val="036B3C40"/>
    <w:rsid w:val="037C1EB0"/>
    <w:rsid w:val="03B81428"/>
    <w:rsid w:val="046505CC"/>
    <w:rsid w:val="04A732AF"/>
    <w:rsid w:val="050A5551"/>
    <w:rsid w:val="055D755A"/>
    <w:rsid w:val="059B4E40"/>
    <w:rsid w:val="05C40203"/>
    <w:rsid w:val="05DD332B"/>
    <w:rsid w:val="063B1146"/>
    <w:rsid w:val="06891246"/>
    <w:rsid w:val="06B66892"/>
    <w:rsid w:val="06BA5298"/>
    <w:rsid w:val="06EB648B"/>
    <w:rsid w:val="071311AA"/>
    <w:rsid w:val="071333A8"/>
    <w:rsid w:val="072100E8"/>
    <w:rsid w:val="074D44C9"/>
    <w:rsid w:val="076E4BDB"/>
    <w:rsid w:val="077D2DD8"/>
    <w:rsid w:val="078017DE"/>
    <w:rsid w:val="07983134"/>
    <w:rsid w:val="07DA3171"/>
    <w:rsid w:val="08071DA2"/>
    <w:rsid w:val="08215AE4"/>
    <w:rsid w:val="08292EF0"/>
    <w:rsid w:val="086D0162"/>
    <w:rsid w:val="08762705"/>
    <w:rsid w:val="088E3F19"/>
    <w:rsid w:val="089303A1"/>
    <w:rsid w:val="08991749"/>
    <w:rsid w:val="089D7C92"/>
    <w:rsid w:val="08CB04FB"/>
    <w:rsid w:val="08D7469E"/>
    <w:rsid w:val="09071458"/>
    <w:rsid w:val="091268D2"/>
    <w:rsid w:val="09157676"/>
    <w:rsid w:val="091805FA"/>
    <w:rsid w:val="09230B8A"/>
    <w:rsid w:val="09363CE1"/>
    <w:rsid w:val="095707D0"/>
    <w:rsid w:val="096C0084"/>
    <w:rsid w:val="09770614"/>
    <w:rsid w:val="099512B1"/>
    <w:rsid w:val="09CC13A3"/>
    <w:rsid w:val="09DB0338"/>
    <w:rsid w:val="09E72B7C"/>
    <w:rsid w:val="09F50EE2"/>
    <w:rsid w:val="0A48676E"/>
    <w:rsid w:val="0A590C06"/>
    <w:rsid w:val="0A6749FB"/>
    <w:rsid w:val="0A9D3C79"/>
    <w:rsid w:val="0AA45EE4"/>
    <w:rsid w:val="0B226B5B"/>
    <w:rsid w:val="0B416FFB"/>
    <w:rsid w:val="0B696845"/>
    <w:rsid w:val="0B736E36"/>
    <w:rsid w:val="0BD074EE"/>
    <w:rsid w:val="0C060244"/>
    <w:rsid w:val="0C1237DB"/>
    <w:rsid w:val="0C4A71B8"/>
    <w:rsid w:val="0C66220D"/>
    <w:rsid w:val="0C712EE4"/>
    <w:rsid w:val="0C795F85"/>
    <w:rsid w:val="0C817911"/>
    <w:rsid w:val="0C8201F4"/>
    <w:rsid w:val="0C9153AE"/>
    <w:rsid w:val="0C984D39"/>
    <w:rsid w:val="0CF705D6"/>
    <w:rsid w:val="0CFF716D"/>
    <w:rsid w:val="0D413ECD"/>
    <w:rsid w:val="0D8323B8"/>
    <w:rsid w:val="0D865D7A"/>
    <w:rsid w:val="0DB8731C"/>
    <w:rsid w:val="0DD845B8"/>
    <w:rsid w:val="0DDE5050"/>
    <w:rsid w:val="0DFD2082"/>
    <w:rsid w:val="0E6D73B7"/>
    <w:rsid w:val="0E87237D"/>
    <w:rsid w:val="0E9B5403"/>
    <w:rsid w:val="0EA67017"/>
    <w:rsid w:val="0EBD0E3B"/>
    <w:rsid w:val="0ECF23DA"/>
    <w:rsid w:val="0EF0290F"/>
    <w:rsid w:val="0EFE530E"/>
    <w:rsid w:val="0F790513"/>
    <w:rsid w:val="0F7F4595"/>
    <w:rsid w:val="10142A71"/>
    <w:rsid w:val="10191AE9"/>
    <w:rsid w:val="1029666A"/>
    <w:rsid w:val="104B514A"/>
    <w:rsid w:val="109C47F2"/>
    <w:rsid w:val="10AF2703"/>
    <w:rsid w:val="10B05CAB"/>
    <w:rsid w:val="10D873BC"/>
    <w:rsid w:val="10EB73E2"/>
    <w:rsid w:val="10EF7E56"/>
    <w:rsid w:val="10FE376A"/>
    <w:rsid w:val="1142766A"/>
    <w:rsid w:val="11743932"/>
    <w:rsid w:val="118D6A5B"/>
    <w:rsid w:val="11B02492"/>
    <w:rsid w:val="120B18A7"/>
    <w:rsid w:val="12111232"/>
    <w:rsid w:val="122968D9"/>
    <w:rsid w:val="122B7BDE"/>
    <w:rsid w:val="123D2E83"/>
    <w:rsid w:val="12591626"/>
    <w:rsid w:val="12A273BF"/>
    <w:rsid w:val="12BF2650"/>
    <w:rsid w:val="12FE3439"/>
    <w:rsid w:val="13243D22"/>
    <w:rsid w:val="13697265"/>
    <w:rsid w:val="139513AE"/>
    <w:rsid w:val="139B74C4"/>
    <w:rsid w:val="13AF57DB"/>
    <w:rsid w:val="13B967BE"/>
    <w:rsid w:val="13C808D2"/>
    <w:rsid w:val="13D9661F"/>
    <w:rsid w:val="13DE2AA7"/>
    <w:rsid w:val="1430702E"/>
    <w:rsid w:val="14A3198B"/>
    <w:rsid w:val="14D25525"/>
    <w:rsid w:val="14EE06E6"/>
    <w:rsid w:val="14F212EA"/>
    <w:rsid w:val="14FE0980"/>
    <w:rsid w:val="1511631C"/>
    <w:rsid w:val="15160323"/>
    <w:rsid w:val="152D5C4C"/>
    <w:rsid w:val="15C164C0"/>
    <w:rsid w:val="16226038"/>
    <w:rsid w:val="16317A78"/>
    <w:rsid w:val="16361C1B"/>
    <w:rsid w:val="1668774A"/>
    <w:rsid w:val="167011B8"/>
    <w:rsid w:val="16BD765C"/>
    <w:rsid w:val="16CC2EEB"/>
    <w:rsid w:val="170B51DD"/>
    <w:rsid w:val="171406CB"/>
    <w:rsid w:val="172018FF"/>
    <w:rsid w:val="17561DD9"/>
    <w:rsid w:val="176E3BFD"/>
    <w:rsid w:val="17984446"/>
    <w:rsid w:val="17BB3CFC"/>
    <w:rsid w:val="17D06220"/>
    <w:rsid w:val="17D26A5D"/>
    <w:rsid w:val="17DF7E5C"/>
    <w:rsid w:val="17EC44CB"/>
    <w:rsid w:val="183A72AB"/>
    <w:rsid w:val="1846326C"/>
    <w:rsid w:val="18F062F7"/>
    <w:rsid w:val="195D0EAA"/>
    <w:rsid w:val="196B3A43"/>
    <w:rsid w:val="197C5D9B"/>
    <w:rsid w:val="19CD0264"/>
    <w:rsid w:val="19D368EA"/>
    <w:rsid w:val="1A252E71"/>
    <w:rsid w:val="1A381BFC"/>
    <w:rsid w:val="1A5D54D3"/>
    <w:rsid w:val="1A8014D9"/>
    <w:rsid w:val="1A9B73EE"/>
    <w:rsid w:val="1AA2382E"/>
    <w:rsid w:val="1AA50C28"/>
    <w:rsid w:val="1AD66A32"/>
    <w:rsid w:val="1AED28BA"/>
    <w:rsid w:val="1B096967"/>
    <w:rsid w:val="1B276D3A"/>
    <w:rsid w:val="1B435847"/>
    <w:rsid w:val="1B4667CC"/>
    <w:rsid w:val="1B4F7207"/>
    <w:rsid w:val="1B650F17"/>
    <w:rsid w:val="1B696C14"/>
    <w:rsid w:val="1B6C448D"/>
    <w:rsid w:val="1B761292"/>
    <w:rsid w:val="1B9A78C3"/>
    <w:rsid w:val="1BA623B6"/>
    <w:rsid w:val="1BBC1C8E"/>
    <w:rsid w:val="1BE55050"/>
    <w:rsid w:val="1C702A36"/>
    <w:rsid w:val="1C876837"/>
    <w:rsid w:val="1C8D5121"/>
    <w:rsid w:val="1C905D0B"/>
    <w:rsid w:val="1CCB0E2A"/>
    <w:rsid w:val="1D50131F"/>
    <w:rsid w:val="1D7757E7"/>
    <w:rsid w:val="1D9236E6"/>
    <w:rsid w:val="1DC31AF1"/>
    <w:rsid w:val="1DD90840"/>
    <w:rsid w:val="1DE37094"/>
    <w:rsid w:val="1DED2423"/>
    <w:rsid w:val="1E253381"/>
    <w:rsid w:val="1E276524"/>
    <w:rsid w:val="1E4538B6"/>
    <w:rsid w:val="1E4B1F10"/>
    <w:rsid w:val="1E4F7829"/>
    <w:rsid w:val="1E754758"/>
    <w:rsid w:val="1E8D532F"/>
    <w:rsid w:val="1EEF1B50"/>
    <w:rsid w:val="1F0014FB"/>
    <w:rsid w:val="1F3031B6"/>
    <w:rsid w:val="1F325ABD"/>
    <w:rsid w:val="1F3879C6"/>
    <w:rsid w:val="1F46238E"/>
    <w:rsid w:val="1F784C69"/>
    <w:rsid w:val="1F7C46F2"/>
    <w:rsid w:val="1FAB3ED7"/>
    <w:rsid w:val="1FFE648A"/>
    <w:rsid w:val="20174E36"/>
    <w:rsid w:val="20230B34"/>
    <w:rsid w:val="205570DB"/>
    <w:rsid w:val="2059775B"/>
    <w:rsid w:val="20606CFE"/>
    <w:rsid w:val="2065113C"/>
    <w:rsid w:val="20734A3A"/>
    <w:rsid w:val="2099410A"/>
    <w:rsid w:val="209B3D8A"/>
    <w:rsid w:val="20C04F41"/>
    <w:rsid w:val="20F766A2"/>
    <w:rsid w:val="215138B9"/>
    <w:rsid w:val="215B3528"/>
    <w:rsid w:val="216215D5"/>
    <w:rsid w:val="21652559"/>
    <w:rsid w:val="216C6661"/>
    <w:rsid w:val="21B262AB"/>
    <w:rsid w:val="21E32E28"/>
    <w:rsid w:val="21F430C2"/>
    <w:rsid w:val="22050DDE"/>
    <w:rsid w:val="220B2CE7"/>
    <w:rsid w:val="221D6484"/>
    <w:rsid w:val="221F520B"/>
    <w:rsid w:val="22274816"/>
    <w:rsid w:val="22723990"/>
    <w:rsid w:val="228161A9"/>
    <w:rsid w:val="229B0F0C"/>
    <w:rsid w:val="23042EFF"/>
    <w:rsid w:val="230D1610"/>
    <w:rsid w:val="23412D64"/>
    <w:rsid w:val="235B390E"/>
    <w:rsid w:val="235F6A6A"/>
    <w:rsid w:val="23DB5D6F"/>
    <w:rsid w:val="240A6030"/>
    <w:rsid w:val="24AA2336"/>
    <w:rsid w:val="24CC02EC"/>
    <w:rsid w:val="250B5853"/>
    <w:rsid w:val="256F255E"/>
    <w:rsid w:val="25816B16"/>
    <w:rsid w:val="2584600A"/>
    <w:rsid w:val="26194FF3"/>
    <w:rsid w:val="263A0B97"/>
    <w:rsid w:val="263C7EFD"/>
    <w:rsid w:val="265832F6"/>
    <w:rsid w:val="2666570F"/>
    <w:rsid w:val="26694895"/>
    <w:rsid w:val="269A17E1"/>
    <w:rsid w:val="26FB0D5D"/>
    <w:rsid w:val="27254993"/>
    <w:rsid w:val="272C6B52"/>
    <w:rsid w:val="275B76A1"/>
    <w:rsid w:val="277966B8"/>
    <w:rsid w:val="27A5352F"/>
    <w:rsid w:val="27AE5E26"/>
    <w:rsid w:val="27B97D18"/>
    <w:rsid w:val="28364A85"/>
    <w:rsid w:val="284839B4"/>
    <w:rsid w:val="28680578"/>
    <w:rsid w:val="28896A8E"/>
    <w:rsid w:val="2892519F"/>
    <w:rsid w:val="28CE4973"/>
    <w:rsid w:val="28DC6898"/>
    <w:rsid w:val="28F61640"/>
    <w:rsid w:val="291F1484"/>
    <w:rsid w:val="294E7410"/>
    <w:rsid w:val="296E0005"/>
    <w:rsid w:val="29934E59"/>
    <w:rsid w:val="299C5651"/>
    <w:rsid w:val="29AF0487"/>
    <w:rsid w:val="29B42C36"/>
    <w:rsid w:val="29F3375E"/>
    <w:rsid w:val="2A5B1D84"/>
    <w:rsid w:val="2A972463"/>
    <w:rsid w:val="2AB253C7"/>
    <w:rsid w:val="2ADD3A5F"/>
    <w:rsid w:val="2AEA2D75"/>
    <w:rsid w:val="2B004F19"/>
    <w:rsid w:val="2B0C45AE"/>
    <w:rsid w:val="2B0D2030"/>
    <w:rsid w:val="2B0E6097"/>
    <w:rsid w:val="2B122C35"/>
    <w:rsid w:val="2B6B7E4B"/>
    <w:rsid w:val="2BD177EF"/>
    <w:rsid w:val="2BDA70A7"/>
    <w:rsid w:val="2C046D45"/>
    <w:rsid w:val="2C0A7AC8"/>
    <w:rsid w:val="2C8302B1"/>
    <w:rsid w:val="2C9A2ABC"/>
    <w:rsid w:val="2CC27995"/>
    <w:rsid w:val="2CDD7C61"/>
    <w:rsid w:val="2D35073C"/>
    <w:rsid w:val="2D5B1E5D"/>
    <w:rsid w:val="2D6F2D6C"/>
    <w:rsid w:val="2D76092E"/>
    <w:rsid w:val="2DD14D37"/>
    <w:rsid w:val="2DD16806"/>
    <w:rsid w:val="2E24038A"/>
    <w:rsid w:val="2E2C5491"/>
    <w:rsid w:val="2E304F81"/>
    <w:rsid w:val="2E346F72"/>
    <w:rsid w:val="2E5A138D"/>
    <w:rsid w:val="2E677A29"/>
    <w:rsid w:val="2E8E5D33"/>
    <w:rsid w:val="2EF563F6"/>
    <w:rsid w:val="2EFA0538"/>
    <w:rsid w:val="2F0D0A27"/>
    <w:rsid w:val="2F3A3EF1"/>
    <w:rsid w:val="2F3D0B11"/>
    <w:rsid w:val="2FAA36C3"/>
    <w:rsid w:val="2FEE409E"/>
    <w:rsid w:val="2FF31539"/>
    <w:rsid w:val="2FFF7ADC"/>
    <w:rsid w:val="30021B53"/>
    <w:rsid w:val="301E5C00"/>
    <w:rsid w:val="3024558B"/>
    <w:rsid w:val="30635554"/>
    <w:rsid w:val="30710115"/>
    <w:rsid w:val="308A4F2F"/>
    <w:rsid w:val="30DE27BB"/>
    <w:rsid w:val="30E73506"/>
    <w:rsid w:val="30EA404F"/>
    <w:rsid w:val="31460EE6"/>
    <w:rsid w:val="314865E7"/>
    <w:rsid w:val="314E171A"/>
    <w:rsid w:val="31771119"/>
    <w:rsid w:val="31A23C67"/>
    <w:rsid w:val="32070FA4"/>
    <w:rsid w:val="320C1BA8"/>
    <w:rsid w:val="321759BB"/>
    <w:rsid w:val="323E367C"/>
    <w:rsid w:val="323F10FE"/>
    <w:rsid w:val="325A7097"/>
    <w:rsid w:val="326438BC"/>
    <w:rsid w:val="3265133D"/>
    <w:rsid w:val="328C11FD"/>
    <w:rsid w:val="32A468A4"/>
    <w:rsid w:val="32CD7A68"/>
    <w:rsid w:val="32FA774B"/>
    <w:rsid w:val="3306441D"/>
    <w:rsid w:val="332500F7"/>
    <w:rsid w:val="33604A58"/>
    <w:rsid w:val="33637BDB"/>
    <w:rsid w:val="338F3AB0"/>
    <w:rsid w:val="33A41CCA"/>
    <w:rsid w:val="33D7295D"/>
    <w:rsid w:val="340D25F3"/>
    <w:rsid w:val="342E31FB"/>
    <w:rsid w:val="348F55E6"/>
    <w:rsid w:val="349B0B76"/>
    <w:rsid w:val="34C346A0"/>
    <w:rsid w:val="34D53238"/>
    <w:rsid w:val="34DC1FBE"/>
    <w:rsid w:val="34EC6639"/>
    <w:rsid w:val="34F06469"/>
    <w:rsid w:val="350B4CB2"/>
    <w:rsid w:val="352A5349"/>
    <w:rsid w:val="352C612D"/>
    <w:rsid w:val="35373099"/>
    <w:rsid w:val="3540269F"/>
    <w:rsid w:val="354C0D81"/>
    <w:rsid w:val="356C7FB1"/>
    <w:rsid w:val="35925C72"/>
    <w:rsid w:val="35961B3C"/>
    <w:rsid w:val="3606175C"/>
    <w:rsid w:val="362D5E70"/>
    <w:rsid w:val="368E138D"/>
    <w:rsid w:val="369B3F26"/>
    <w:rsid w:val="36B67FED"/>
    <w:rsid w:val="36D00EFD"/>
    <w:rsid w:val="372B02D6"/>
    <w:rsid w:val="373D2F21"/>
    <w:rsid w:val="374B4FC3"/>
    <w:rsid w:val="374B4FD5"/>
    <w:rsid w:val="37541156"/>
    <w:rsid w:val="375F3C64"/>
    <w:rsid w:val="379C191A"/>
    <w:rsid w:val="38301DBE"/>
    <w:rsid w:val="3846046C"/>
    <w:rsid w:val="384F06F9"/>
    <w:rsid w:val="385E1608"/>
    <w:rsid w:val="388C6C54"/>
    <w:rsid w:val="38934061"/>
    <w:rsid w:val="38953CE0"/>
    <w:rsid w:val="38A95E4C"/>
    <w:rsid w:val="38C913B5"/>
    <w:rsid w:val="38DD575A"/>
    <w:rsid w:val="39075030"/>
    <w:rsid w:val="390B11D5"/>
    <w:rsid w:val="390F4DA4"/>
    <w:rsid w:val="393B3575"/>
    <w:rsid w:val="396024B0"/>
    <w:rsid w:val="398110B7"/>
    <w:rsid w:val="39AE222F"/>
    <w:rsid w:val="39B62EBE"/>
    <w:rsid w:val="39C22F0B"/>
    <w:rsid w:val="39C26CD1"/>
    <w:rsid w:val="3A7E7084"/>
    <w:rsid w:val="3AA765CB"/>
    <w:rsid w:val="3AED09BD"/>
    <w:rsid w:val="3AFF08D7"/>
    <w:rsid w:val="3B0749D9"/>
    <w:rsid w:val="3B1104A2"/>
    <w:rsid w:val="3B327A17"/>
    <w:rsid w:val="3B387B37"/>
    <w:rsid w:val="3B3B7ADF"/>
    <w:rsid w:val="3B617677"/>
    <w:rsid w:val="3B6C15C2"/>
    <w:rsid w:val="3BB064FC"/>
    <w:rsid w:val="3BCE7CAB"/>
    <w:rsid w:val="3BDD4364"/>
    <w:rsid w:val="3BFF627B"/>
    <w:rsid w:val="3C12749A"/>
    <w:rsid w:val="3C4C63E9"/>
    <w:rsid w:val="3C830A53"/>
    <w:rsid w:val="3CC571DC"/>
    <w:rsid w:val="3CE974FE"/>
    <w:rsid w:val="3D22018A"/>
    <w:rsid w:val="3D2B59E9"/>
    <w:rsid w:val="3D2C2C5F"/>
    <w:rsid w:val="3DA348A2"/>
    <w:rsid w:val="3DAB75BC"/>
    <w:rsid w:val="3DC52364"/>
    <w:rsid w:val="3DCF2C73"/>
    <w:rsid w:val="3E110A0A"/>
    <w:rsid w:val="3E20628A"/>
    <w:rsid w:val="3E661EED"/>
    <w:rsid w:val="3E706080"/>
    <w:rsid w:val="3E7472A4"/>
    <w:rsid w:val="3E98013E"/>
    <w:rsid w:val="3EDF4135"/>
    <w:rsid w:val="3EE5747A"/>
    <w:rsid w:val="3EFC2BBF"/>
    <w:rsid w:val="3F2752A1"/>
    <w:rsid w:val="3F345DBE"/>
    <w:rsid w:val="3F3512C1"/>
    <w:rsid w:val="3F627A49"/>
    <w:rsid w:val="3FAA73D8"/>
    <w:rsid w:val="3FB76397"/>
    <w:rsid w:val="3FCA75B6"/>
    <w:rsid w:val="3FD15421"/>
    <w:rsid w:val="3FD31F32"/>
    <w:rsid w:val="40061999"/>
    <w:rsid w:val="40650159"/>
    <w:rsid w:val="40667434"/>
    <w:rsid w:val="406A5E3B"/>
    <w:rsid w:val="407057C5"/>
    <w:rsid w:val="40B048BD"/>
    <w:rsid w:val="40BF6BC9"/>
    <w:rsid w:val="40D554EA"/>
    <w:rsid w:val="40EB3D48"/>
    <w:rsid w:val="411B0F0E"/>
    <w:rsid w:val="412752F4"/>
    <w:rsid w:val="412B665C"/>
    <w:rsid w:val="41321AA3"/>
    <w:rsid w:val="414A2F2A"/>
    <w:rsid w:val="414F3C78"/>
    <w:rsid w:val="417F5983"/>
    <w:rsid w:val="418A2632"/>
    <w:rsid w:val="41944C93"/>
    <w:rsid w:val="41C276F1"/>
    <w:rsid w:val="42287095"/>
    <w:rsid w:val="42415A41"/>
    <w:rsid w:val="42702D0D"/>
    <w:rsid w:val="428F4111"/>
    <w:rsid w:val="42D05480"/>
    <w:rsid w:val="42D53AF8"/>
    <w:rsid w:val="42DA4728"/>
    <w:rsid w:val="42F06ADE"/>
    <w:rsid w:val="4326283B"/>
    <w:rsid w:val="432C0EC1"/>
    <w:rsid w:val="433B36DA"/>
    <w:rsid w:val="433E465F"/>
    <w:rsid w:val="43441DEB"/>
    <w:rsid w:val="43485526"/>
    <w:rsid w:val="4357483E"/>
    <w:rsid w:val="435900D9"/>
    <w:rsid w:val="43C71648"/>
    <w:rsid w:val="43CB1469"/>
    <w:rsid w:val="443D4582"/>
    <w:rsid w:val="447446DC"/>
    <w:rsid w:val="4499603C"/>
    <w:rsid w:val="44CC63EF"/>
    <w:rsid w:val="44CD05ED"/>
    <w:rsid w:val="44F3082D"/>
    <w:rsid w:val="45631DE6"/>
    <w:rsid w:val="45857D9C"/>
    <w:rsid w:val="4590510C"/>
    <w:rsid w:val="459602BA"/>
    <w:rsid w:val="45A40651"/>
    <w:rsid w:val="45C17D89"/>
    <w:rsid w:val="45D4339E"/>
    <w:rsid w:val="462A63DE"/>
    <w:rsid w:val="46387B39"/>
    <w:rsid w:val="46621D09"/>
    <w:rsid w:val="4670062D"/>
    <w:rsid w:val="469559DB"/>
    <w:rsid w:val="46B42A0C"/>
    <w:rsid w:val="46E666DE"/>
    <w:rsid w:val="46E75AA5"/>
    <w:rsid w:val="47182731"/>
    <w:rsid w:val="47372FE6"/>
    <w:rsid w:val="47473280"/>
    <w:rsid w:val="475F7720"/>
    <w:rsid w:val="47A24893"/>
    <w:rsid w:val="47BA1F3A"/>
    <w:rsid w:val="47ED11C8"/>
    <w:rsid w:val="47F776CA"/>
    <w:rsid w:val="47F97714"/>
    <w:rsid w:val="47FE7BF1"/>
    <w:rsid w:val="480C7BF8"/>
    <w:rsid w:val="48112949"/>
    <w:rsid w:val="4831166A"/>
    <w:rsid w:val="484E646B"/>
    <w:rsid w:val="486636D8"/>
    <w:rsid w:val="48850709"/>
    <w:rsid w:val="48A979B2"/>
    <w:rsid w:val="48D33786"/>
    <w:rsid w:val="49476BEC"/>
    <w:rsid w:val="49570A61"/>
    <w:rsid w:val="496D4F07"/>
    <w:rsid w:val="49BA7481"/>
    <w:rsid w:val="49C30834"/>
    <w:rsid w:val="49E35145"/>
    <w:rsid w:val="49E360C7"/>
    <w:rsid w:val="49F41BE5"/>
    <w:rsid w:val="49FC11EF"/>
    <w:rsid w:val="4A2E5242"/>
    <w:rsid w:val="4A6251D7"/>
    <w:rsid w:val="4A6D27A8"/>
    <w:rsid w:val="4AF64C8A"/>
    <w:rsid w:val="4B1E03CD"/>
    <w:rsid w:val="4B2B76E3"/>
    <w:rsid w:val="4B881FFB"/>
    <w:rsid w:val="4BBF68D2"/>
    <w:rsid w:val="4BC40C02"/>
    <w:rsid w:val="4BC73CDE"/>
    <w:rsid w:val="4C186067"/>
    <w:rsid w:val="4C2578FB"/>
    <w:rsid w:val="4C8B149F"/>
    <w:rsid w:val="4CA10C34"/>
    <w:rsid w:val="4CA41646"/>
    <w:rsid w:val="4CC90409"/>
    <w:rsid w:val="4CC92607"/>
    <w:rsid w:val="4CDE4B2B"/>
    <w:rsid w:val="4CEE4DC5"/>
    <w:rsid w:val="4D1832EB"/>
    <w:rsid w:val="4D257D8B"/>
    <w:rsid w:val="4D472ED5"/>
    <w:rsid w:val="4D98625A"/>
    <w:rsid w:val="4D9F4BE9"/>
    <w:rsid w:val="4DB04534"/>
    <w:rsid w:val="4DFB4C8A"/>
    <w:rsid w:val="4E05458D"/>
    <w:rsid w:val="4E0F6861"/>
    <w:rsid w:val="4E1E2F39"/>
    <w:rsid w:val="4E2A34C8"/>
    <w:rsid w:val="4E403907"/>
    <w:rsid w:val="4E4C255B"/>
    <w:rsid w:val="4E914171"/>
    <w:rsid w:val="4EAB18B8"/>
    <w:rsid w:val="4EAF55F6"/>
    <w:rsid w:val="4EDC2E36"/>
    <w:rsid w:val="4F2527A3"/>
    <w:rsid w:val="4F41397C"/>
    <w:rsid w:val="4F9C79A4"/>
    <w:rsid w:val="4FA06933"/>
    <w:rsid w:val="4FCA09F6"/>
    <w:rsid w:val="5054095A"/>
    <w:rsid w:val="50563E5D"/>
    <w:rsid w:val="506640F7"/>
    <w:rsid w:val="50750E8F"/>
    <w:rsid w:val="50897B2F"/>
    <w:rsid w:val="50C33203"/>
    <w:rsid w:val="51343C2E"/>
    <w:rsid w:val="513534CB"/>
    <w:rsid w:val="51627812"/>
    <w:rsid w:val="51AB5688"/>
    <w:rsid w:val="52083D4C"/>
    <w:rsid w:val="520973AD"/>
    <w:rsid w:val="5241358B"/>
    <w:rsid w:val="529E7E5B"/>
    <w:rsid w:val="52A43C36"/>
    <w:rsid w:val="52B175FC"/>
    <w:rsid w:val="52D902F9"/>
    <w:rsid w:val="52F77860"/>
    <w:rsid w:val="530B01B4"/>
    <w:rsid w:val="5311134F"/>
    <w:rsid w:val="53132A5C"/>
    <w:rsid w:val="53160B7D"/>
    <w:rsid w:val="53204A82"/>
    <w:rsid w:val="5328717E"/>
    <w:rsid w:val="53486019"/>
    <w:rsid w:val="534D4FDD"/>
    <w:rsid w:val="53901051"/>
    <w:rsid w:val="53AD748E"/>
    <w:rsid w:val="544F3F9E"/>
    <w:rsid w:val="546F7495"/>
    <w:rsid w:val="54712998"/>
    <w:rsid w:val="54E64B55"/>
    <w:rsid w:val="54EB27DD"/>
    <w:rsid w:val="54F6763F"/>
    <w:rsid w:val="5529345B"/>
    <w:rsid w:val="55396B5E"/>
    <w:rsid w:val="556B1F50"/>
    <w:rsid w:val="55C21041"/>
    <w:rsid w:val="55DA12AB"/>
    <w:rsid w:val="55DD2EEF"/>
    <w:rsid w:val="55DE50EE"/>
    <w:rsid w:val="55FD211F"/>
    <w:rsid w:val="56190953"/>
    <w:rsid w:val="566A2753"/>
    <w:rsid w:val="566E1159"/>
    <w:rsid w:val="56877B05"/>
    <w:rsid w:val="56921A85"/>
    <w:rsid w:val="569577C7"/>
    <w:rsid w:val="56A26130"/>
    <w:rsid w:val="56B61E25"/>
    <w:rsid w:val="56C7506B"/>
    <w:rsid w:val="56DD1B1D"/>
    <w:rsid w:val="571C5CE5"/>
    <w:rsid w:val="57252E86"/>
    <w:rsid w:val="573C08AD"/>
    <w:rsid w:val="574C40E4"/>
    <w:rsid w:val="57835872"/>
    <w:rsid w:val="5785510F"/>
    <w:rsid w:val="57B823F5"/>
    <w:rsid w:val="585F1909"/>
    <w:rsid w:val="586F79A5"/>
    <w:rsid w:val="58B11742"/>
    <w:rsid w:val="58C44EB1"/>
    <w:rsid w:val="58D876A4"/>
    <w:rsid w:val="58E06A85"/>
    <w:rsid w:val="590E6D8B"/>
    <w:rsid w:val="592651F9"/>
    <w:rsid w:val="595D34F5"/>
    <w:rsid w:val="597701D8"/>
    <w:rsid w:val="597823D6"/>
    <w:rsid w:val="598361E9"/>
    <w:rsid w:val="598900F2"/>
    <w:rsid w:val="59BB1BC6"/>
    <w:rsid w:val="59C9336C"/>
    <w:rsid w:val="59D46198"/>
    <w:rsid w:val="59ED57DB"/>
    <w:rsid w:val="5A01157C"/>
    <w:rsid w:val="5A036812"/>
    <w:rsid w:val="5A1A4E95"/>
    <w:rsid w:val="5A4D2B9E"/>
    <w:rsid w:val="5A5654C0"/>
    <w:rsid w:val="5A5D46E4"/>
    <w:rsid w:val="5A6C6166"/>
    <w:rsid w:val="5A84380D"/>
    <w:rsid w:val="5A9E21B8"/>
    <w:rsid w:val="5ADC1C9D"/>
    <w:rsid w:val="5AED7B2A"/>
    <w:rsid w:val="5AF11864"/>
    <w:rsid w:val="5B3F1D42"/>
    <w:rsid w:val="5BA9717C"/>
    <w:rsid w:val="5BAC6AF2"/>
    <w:rsid w:val="5C863177"/>
    <w:rsid w:val="5CBA3536"/>
    <w:rsid w:val="5CCF5950"/>
    <w:rsid w:val="5CDE0169"/>
    <w:rsid w:val="5D654F24"/>
    <w:rsid w:val="5D9D50A4"/>
    <w:rsid w:val="5E5A675C"/>
    <w:rsid w:val="5E6812F2"/>
    <w:rsid w:val="5E751C2E"/>
    <w:rsid w:val="5EC20F87"/>
    <w:rsid w:val="5EF354D1"/>
    <w:rsid w:val="5F056BF5"/>
    <w:rsid w:val="5F243C26"/>
    <w:rsid w:val="5F3B6A32"/>
    <w:rsid w:val="5F417953"/>
    <w:rsid w:val="5F8416C1"/>
    <w:rsid w:val="5FB67912"/>
    <w:rsid w:val="60090877"/>
    <w:rsid w:val="60160C30"/>
    <w:rsid w:val="602C06F7"/>
    <w:rsid w:val="604A160B"/>
    <w:rsid w:val="607544CD"/>
    <w:rsid w:val="607A0954"/>
    <w:rsid w:val="607B1C59"/>
    <w:rsid w:val="60B46336"/>
    <w:rsid w:val="60D87A38"/>
    <w:rsid w:val="60EC3212"/>
    <w:rsid w:val="6118535B"/>
    <w:rsid w:val="61204966"/>
    <w:rsid w:val="614A35AB"/>
    <w:rsid w:val="614D1FB2"/>
    <w:rsid w:val="61522EA7"/>
    <w:rsid w:val="6193625C"/>
    <w:rsid w:val="61BD2AE5"/>
    <w:rsid w:val="61CF506A"/>
    <w:rsid w:val="61D37C8C"/>
    <w:rsid w:val="61D95419"/>
    <w:rsid w:val="61FF1DD5"/>
    <w:rsid w:val="62127771"/>
    <w:rsid w:val="623E733C"/>
    <w:rsid w:val="62C80B75"/>
    <w:rsid w:val="62EA5256"/>
    <w:rsid w:val="630C0C8E"/>
    <w:rsid w:val="63110999"/>
    <w:rsid w:val="63153B1C"/>
    <w:rsid w:val="63222C4E"/>
    <w:rsid w:val="634F7C90"/>
    <w:rsid w:val="638D24E1"/>
    <w:rsid w:val="638F59E4"/>
    <w:rsid w:val="63E663F3"/>
    <w:rsid w:val="6424550D"/>
    <w:rsid w:val="64564967"/>
    <w:rsid w:val="646308E0"/>
    <w:rsid w:val="646507D9"/>
    <w:rsid w:val="648E5907"/>
    <w:rsid w:val="64C30B21"/>
    <w:rsid w:val="64C403D2"/>
    <w:rsid w:val="64D92503"/>
    <w:rsid w:val="651A5E66"/>
    <w:rsid w:val="651B073D"/>
    <w:rsid w:val="652341F0"/>
    <w:rsid w:val="6547002F"/>
    <w:rsid w:val="65767E03"/>
    <w:rsid w:val="65A215B9"/>
    <w:rsid w:val="65A5192D"/>
    <w:rsid w:val="65AC4A59"/>
    <w:rsid w:val="65E27442"/>
    <w:rsid w:val="66104098"/>
    <w:rsid w:val="66160092"/>
    <w:rsid w:val="66171B8A"/>
    <w:rsid w:val="6634118E"/>
    <w:rsid w:val="663414BA"/>
    <w:rsid w:val="666176C6"/>
    <w:rsid w:val="666B2DD6"/>
    <w:rsid w:val="66886A01"/>
    <w:rsid w:val="66A504F5"/>
    <w:rsid w:val="66B84383"/>
    <w:rsid w:val="66D435C2"/>
    <w:rsid w:val="67745DEE"/>
    <w:rsid w:val="67A0618E"/>
    <w:rsid w:val="67A34B94"/>
    <w:rsid w:val="67D15A64"/>
    <w:rsid w:val="68231F49"/>
    <w:rsid w:val="682B15F5"/>
    <w:rsid w:val="682B5875"/>
    <w:rsid w:val="683D30A9"/>
    <w:rsid w:val="68916D9B"/>
    <w:rsid w:val="68A43D74"/>
    <w:rsid w:val="68D77510"/>
    <w:rsid w:val="69056238"/>
    <w:rsid w:val="6906005F"/>
    <w:rsid w:val="691A19A1"/>
    <w:rsid w:val="69324762"/>
    <w:rsid w:val="694035C3"/>
    <w:rsid w:val="69C01245"/>
    <w:rsid w:val="69DB5AB9"/>
    <w:rsid w:val="69F22036"/>
    <w:rsid w:val="6A0D758C"/>
    <w:rsid w:val="6A4F0DC6"/>
    <w:rsid w:val="6A8D4E45"/>
    <w:rsid w:val="6B02331D"/>
    <w:rsid w:val="6BA23EB8"/>
    <w:rsid w:val="6BDC2C06"/>
    <w:rsid w:val="6BE72A0E"/>
    <w:rsid w:val="6BF95E33"/>
    <w:rsid w:val="6C065149"/>
    <w:rsid w:val="6C317DCA"/>
    <w:rsid w:val="6C3F3A31"/>
    <w:rsid w:val="6C5649E3"/>
    <w:rsid w:val="6C654E73"/>
    <w:rsid w:val="6C6B44B3"/>
    <w:rsid w:val="6C8058DB"/>
    <w:rsid w:val="6C890958"/>
    <w:rsid w:val="6C8C4653"/>
    <w:rsid w:val="6CC676E3"/>
    <w:rsid w:val="6D062AED"/>
    <w:rsid w:val="6D326E35"/>
    <w:rsid w:val="6D3C6B02"/>
    <w:rsid w:val="6D6F0E98"/>
    <w:rsid w:val="6DA97D78"/>
    <w:rsid w:val="6DCB57FF"/>
    <w:rsid w:val="6DCC37B0"/>
    <w:rsid w:val="6DEF3809"/>
    <w:rsid w:val="6E41661F"/>
    <w:rsid w:val="6E5D3897"/>
    <w:rsid w:val="6ED51A64"/>
    <w:rsid w:val="6ED74F67"/>
    <w:rsid w:val="6EDB2861"/>
    <w:rsid w:val="6EDF260E"/>
    <w:rsid w:val="6EED7D49"/>
    <w:rsid w:val="6F5B773E"/>
    <w:rsid w:val="6F6F1C62"/>
    <w:rsid w:val="6F93311C"/>
    <w:rsid w:val="6FAB6244"/>
    <w:rsid w:val="6FC211D5"/>
    <w:rsid w:val="6FD93890"/>
    <w:rsid w:val="703A6DB5"/>
    <w:rsid w:val="704D7FCB"/>
    <w:rsid w:val="70906F2C"/>
    <w:rsid w:val="7099044B"/>
    <w:rsid w:val="70C62214"/>
    <w:rsid w:val="70E33D42"/>
    <w:rsid w:val="71096180"/>
    <w:rsid w:val="710F0089"/>
    <w:rsid w:val="711C5CCB"/>
    <w:rsid w:val="71321543"/>
    <w:rsid w:val="7148570A"/>
    <w:rsid w:val="71671D9D"/>
    <w:rsid w:val="71804EC5"/>
    <w:rsid w:val="71886F9C"/>
    <w:rsid w:val="721E646B"/>
    <w:rsid w:val="72223A68"/>
    <w:rsid w:val="7239568B"/>
    <w:rsid w:val="72476E8D"/>
    <w:rsid w:val="72692B97"/>
    <w:rsid w:val="727417A6"/>
    <w:rsid w:val="72AF6499"/>
    <w:rsid w:val="72C132D3"/>
    <w:rsid w:val="72F57903"/>
    <w:rsid w:val="737871FE"/>
    <w:rsid w:val="73A21565"/>
    <w:rsid w:val="73A9053B"/>
    <w:rsid w:val="73E20E2C"/>
    <w:rsid w:val="741E7C8F"/>
    <w:rsid w:val="74570DEB"/>
    <w:rsid w:val="746A2BC7"/>
    <w:rsid w:val="74795BDB"/>
    <w:rsid w:val="747C1AD0"/>
    <w:rsid w:val="74863A84"/>
    <w:rsid w:val="749565C7"/>
    <w:rsid w:val="749F4A62"/>
    <w:rsid w:val="74BB4393"/>
    <w:rsid w:val="74BF7515"/>
    <w:rsid w:val="74FF2584"/>
    <w:rsid w:val="753E3B56"/>
    <w:rsid w:val="75450A73"/>
    <w:rsid w:val="755F5E6D"/>
    <w:rsid w:val="756103A4"/>
    <w:rsid w:val="75642169"/>
    <w:rsid w:val="75657B4A"/>
    <w:rsid w:val="757C314C"/>
    <w:rsid w:val="75DB226C"/>
    <w:rsid w:val="75E53406"/>
    <w:rsid w:val="763019B8"/>
    <w:rsid w:val="7630437D"/>
    <w:rsid w:val="76333BE9"/>
    <w:rsid w:val="76361681"/>
    <w:rsid w:val="768C5F3F"/>
    <w:rsid w:val="76FF5169"/>
    <w:rsid w:val="7722209A"/>
    <w:rsid w:val="77297D8C"/>
    <w:rsid w:val="77314D9C"/>
    <w:rsid w:val="776730D8"/>
    <w:rsid w:val="77735805"/>
    <w:rsid w:val="77C447AA"/>
    <w:rsid w:val="77FE00FE"/>
    <w:rsid w:val="7809377A"/>
    <w:rsid w:val="7819334D"/>
    <w:rsid w:val="781B11FA"/>
    <w:rsid w:val="78364649"/>
    <w:rsid w:val="789A377C"/>
    <w:rsid w:val="78C62C34"/>
    <w:rsid w:val="78F80E84"/>
    <w:rsid w:val="78FD1CB7"/>
    <w:rsid w:val="793867BE"/>
    <w:rsid w:val="798464EA"/>
    <w:rsid w:val="79A70BD3"/>
    <w:rsid w:val="7A167A1F"/>
    <w:rsid w:val="7A173ACE"/>
    <w:rsid w:val="7A293BFF"/>
    <w:rsid w:val="7A5558FC"/>
    <w:rsid w:val="7A5D61CD"/>
    <w:rsid w:val="7A637886"/>
    <w:rsid w:val="7ADD5399"/>
    <w:rsid w:val="7B122FD6"/>
    <w:rsid w:val="7B131F11"/>
    <w:rsid w:val="7B135DC1"/>
    <w:rsid w:val="7B1573B1"/>
    <w:rsid w:val="7B1D2D88"/>
    <w:rsid w:val="7BA042C7"/>
    <w:rsid w:val="7BAA2912"/>
    <w:rsid w:val="7BAB6BF6"/>
    <w:rsid w:val="7BB63533"/>
    <w:rsid w:val="7BCC76A8"/>
    <w:rsid w:val="7BDA69D6"/>
    <w:rsid w:val="7C1D1228"/>
    <w:rsid w:val="7C2D424A"/>
    <w:rsid w:val="7C536688"/>
    <w:rsid w:val="7C63309F"/>
    <w:rsid w:val="7C9A5076"/>
    <w:rsid w:val="7CC0046E"/>
    <w:rsid w:val="7CF2748B"/>
    <w:rsid w:val="7D202558"/>
    <w:rsid w:val="7D2C2AE8"/>
    <w:rsid w:val="7D2D4E69"/>
    <w:rsid w:val="7D335CF6"/>
    <w:rsid w:val="7D5A5BB5"/>
    <w:rsid w:val="7D6619C8"/>
    <w:rsid w:val="7DC00DDD"/>
    <w:rsid w:val="7E477D32"/>
    <w:rsid w:val="7E7E6C0F"/>
    <w:rsid w:val="7E994343"/>
    <w:rsid w:val="7EBC5EE0"/>
    <w:rsid w:val="7F001769"/>
    <w:rsid w:val="7F1A1DC9"/>
    <w:rsid w:val="7F2E019B"/>
    <w:rsid w:val="7F346D56"/>
    <w:rsid w:val="7F5F7BED"/>
    <w:rsid w:val="7F695915"/>
    <w:rsid w:val="7FB83A5B"/>
    <w:rsid w:val="7FF74CF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6" w:lineRule="auto"/>
      <w:outlineLvl w:val="0"/>
    </w:pPr>
    <w:rPr>
      <w:b/>
      <w:bCs/>
      <w:kern w:val="44"/>
      <w:sz w:val="44"/>
      <w:szCs w:val="44"/>
      <w:lang w:val="zh-CN"/>
    </w:rPr>
  </w:style>
  <w:style w:type="paragraph" w:styleId="4">
    <w:name w:val="heading 2"/>
    <w:basedOn w:val="1"/>
    <w:next w:val="1"/>
    <w:link w:val="40"/>
    <w:qFormat/>
    <w:uiPriority w:val="0"/>
    <w:pPr>
      <w:keepNext/>
      <w:keepLines/>
      <w:spacing w:line="576" w:lineRule="auto"/>
      <w:ind w:firstLine="200" w:firstLineChars="200"/>
      <w:outlineLvl w:val="1"/>
    </w:pPr>
    <w:rPr>
      <w:rFonts w:ascii="宋体" w:hAnsi="宋体"/>
      <w:b/>
      <w:bCs/>
      <w:sz w:val="28"/>
      <w:szCs w:val="32"/>
      <w:lang w:val="zh-CN"/>
    </w:rPr>
  </w:style>
  <w:style w:type="paragraph" w:styleId="5">
    <w:name w:val="heading 3"/>
    <w:basedOn w:val="1"/>
    <w:next w:val="1"/>
    <w:link w:val="41"/>
    <w:qFormat/>
    <w:uiPriority w:val="0"/>
    <w:pPr>
      <w:keepNext/>
      <w:keepLines/>
      <w:spacing w:line="576" w:lineRule="auto"/>
      <w:ind w:firstLine="200" w:firstLineChars="200"/>
      <w:jc w:val="left"/>
      <w:outlineLvl w:val="2"/>
    </w:pPr>
    <w:rPr>
      <w:rFonts w:ascii="宋体" w:hAnsi="宋体"/>
      <w:b/>
      <w:bCs/>
      <w:sz w:val="24"/>
      <w:szCs w:val="32"/>
      <w:lang w:val="zh-CN"/>
    </w:rPr>
  </w:style>
  <w:style w:type="paragraph" w:styleId="6">
    <w:name w:val="heading 4"/>
    <w:basedOn w:val="1"/>
    <w:next w:val="1"/>
    <w:qFormat/>
    <w:uiPriority w:val="0"/>
    <w:pPr>
      <w:keepNext/>
      <w:keepLines/>
      <w:spacing w:before="120" w:after="120" w:line="480" w:lineRule="exact"/>
      <w:ind w:left="200" w:leftChars="200"/>
      <w:jc w:val="left"/>
      <w:outlineLvl w:val="3"/>
    </w:pPr>
    <w:rPr>
      <w:rFonts w:eastAsia="黑体"/>
      <w:b/>
      <w:bCs/>
      <w:sz w:val="28"/>
      <w:szCs w:val="28"/>
    </w:rPr>
  </w:style>
  <w:style w:type="paragraph" w:styleId="7">
    <w:name w:val="heading 5"/>
    <w:basedOn w:val="1"/>
    <w:next w:val="1"/>
    <w:link w:val="42"/>
    <w:qFormat/>
    <w:uiPriority w:val="0"/>
    <w:pPr>
      <w:keepNext/>
      <w:keepLines/>
      <w:spacing w:before="280" w:after="290" w:line="374" w:lineRule="auto"/>
      <w:outlineLvl w:val="4"/>
    </w:pPr>
    <w:rPr>
      <w:b/>
      <w:bCs/>
      <w:sz w:val="28"/>
      <w:szCs w:val="28"/>
      <w:lang w:val="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0"/>
    <w:pPr>
      <w:spacing w:after="120"/>
    </w:pPr>
    <w:rPr>
      <w:szCs w:val="20"/>
      <w:lang w:val="zh-CN"/>
    </w:rPr>
  </w:style>
  <w:style w:type="paragraph" w:styleId="8">
    <w:name w:val="toc 7"/>
    <w:basedOn w:val="1"/>
    <w:next w:val="1"/>
    <w:qFormat/>
    <w:uiPriority w:val="0"/>
    <w:pPr>
      <w:ind w:left="1260"/>
      <w:jc w:val="left"/>
    </w:pPr>
    <w:rPr>
      <w:rFonts w:ascii="Calibri" w:hAnsi="Calibri"/>
      <w:sz w:val="18"/>
      <w:szCs w:val="18"/>
    </w:rPr>
  </w:style>
  <w:style w:type="paragraph" w:styleId="9">
    <w:name w:val="Normal Indent"/>
    <w:basedOn w:val="1"/>
    <w:qFormat/>
    <w:uiPriority w:val="0"/>
    <w:pPr>
      <w:snapToGrid w:val="0"/>
      <w:ind w:firstLine="880"/>
    </w:pPr>
    <w:rPr>
      <w:rFonts w:ascii="??_GB2312" w:hAnsi="??_GB2312" w:eastAsia="仿宋" w:cs="??_GB2312"/>
      <w:color w:val="FF0000"/>
    </w:rPr>
  </w:style>
  <w:style w:type="paragraph" w:styleId="10">
    <w:name w:val="Document Map"/>
    <w:basedOn w:val="1"/>
    <w:link w:val="45"/>
    <w:qFormat/>
    <w:uiPriority w:val="0"/>
    <w:rPr>
      <w:rFonts w:ascii="宋体"/>
      <w:sz w:val="18"/>
      <w:szCs w:val="18"/>
      <w:lang w:val="zh-CN"/>
    </w:rPr>
  </w:style>
  <w:style w:type="paragraph" w:styleId="11">
    <w:name w:val="annotation text"/>
    <w:basedOn w:val="1"/>
    <w:link w:val="43"/>
    <w:qFormat/>
    <w:uiPriority w:val="99"/>
    <w:pPr>
      <w:jc w:val="left"/>
    </w:pPr>
    <w:rPr>
      <w:lang w:val="zh-CN"/>
    </w:rPr>
  </w:style>
  <w:style w:type="paragraph" w:styleId="12">
    <w:name w:val="Body Text Indent"/>
    <w:basedOn w:val="1"/>
    <w:qFormat/>
    <w:uiPriority w:val="0"/>
    <w:pPr>
      <w:ind w:left="855"/>
    </w:pPr>
  </w:style>
  <w:style w:type="paragraph" w:styleId="13">
    <w:name w:val="toc 5"/>
    <w:basedOn w:val="1"/>
    <w:next w:val="1"/>
    <w:qFormat/>
    <w:uiPriority w:val="0"/>
    <w:pPr>
      <w:ind w:left="840"/>
      <w:jc w:val="left"/>
    </w:pPr>
    <w:rPr>
      <w:rFonts w:ascii="Calibri" w:hAnsi="Calibri"/>
      <w:sz w:val="18"/>
      <w:szCs w:val="18"/>
    </w:rPr>
  </w:style>
  <w:style w:type="paragraph" w:styleId="14">
    <w:name w:val="toc 3"/>
    <w:basedOn w:val="1"/>
    <w:next w:val="1"/>
    <w:qFormat/>
    <w:uiPriority w:val="0"/>
    <w:pPr>
      <w:ind w:left="420"/>
      <w:jc w:val="left"/>
    </w:pPr>
    <w:rPr>
      <w:rFonts w:ascii="Calibri" w:hAnsi="Calibri"/>
      <w:i/>
      <w:iCs/>
      <w:sz w:val="20"/>
      <w:szCs w:val="20"/>
    </w:rPr>
  </w:style>
  <w:style w:type="paragraph" w:styleId="15">
    <w:name w:val="Plain Text"/>
    <w:basedOn w:val="1"/>
    <w:link w:val="47"/>
    <w:qFormat/>
    <w:uiPriority w:val="0"/>
    <w:rPr>
      <w:rFonts w:ascii="宋体" w:hAnsi="Courier New"/>
      <w:szCs w:val="21"/>
      <w:lang w:val="zh-CN"/>
    </w:rPr>
  </w:style>
  <w:style w:type="paragraph" w:styleId="16">
    <w:name w:val="toc 8"/>
    <w:basedOn w:val="1"/>
    <w:next w:val="1"/>
    <w:qFormat/>
    <w:uiPriority w:val="0"/>
    <w:pPr>
      <w:ind w:left="1470"/>
      <w:jc w:val="left"/>
    </w:pPr>
    <w:rPr>
      <w:rFonts w:ascii="Calibri" w:hAnsi="Calibri"/>
      <w:sz w:val="18"/>
      <w:szCs w:val="18"/>
    </w:rPr>
  </w:style>
  <w:style w:type="paragraph" w:styleId="17">
    <w:name w:val="Date"/>
    <w:basedOn w:val="1"/>
    <w:next w:val="1"/>
    <w:link w:val="48"/>
    <w:qFormat/>
    <w:uiPriority w:val="0"/>
    <w:pPr>
      <w:ind w:left="100" w:leftChars="2500"/>
    </w:pPr>
    <w:rPr>
      <w:lang w:val="zh-CN"/>
    </w:rPr>
  </w:style>
  <w:style w:type="paragraph" w:styleId="18">
    <w:name w:val="Body Text Indent 2"/>
    <w:basedOn w:val="1"/>
    <w:link w:val="61"/>
    <w:unhideWhenUsed/>
    <w:qFormat/>
    <w:uiPriority w:val="99"/>
    <w:pPr>
      <w:spacing w:after="120" w:line="480" w:lineRule="auto"/>
      <w:ind w:left="420" w:leftChars="200"/>
    </w:pPr>
  </w:style>
  <w:style w:type="paragraph" w:styleId="19">
    <w:name w:val="Balloon Text"/>
    <w:basedOn w:val="1"/>
    <w:link w:val="49"/>
    <w:qFormat/>
    <w:uiPriority w:val="99"/>
    <w:rPr>
      <w:sz w:val="18"/>
      <w:szCs w:val="18"/>
      <w:lang w:val="zh-CN"/>
    </w:rPr>
  </w:style>
  <w:style w:type="paragraph" w:styleId="20">
    <w:name w:val="footer"/>
    <w:basedOn w:val="1"/>
    <w:link w:val="50"/>
    <w:qFormat/>
    <w:uiPriority w:val="99"/>
    <w:pPr>
      <w:tabs>
        <w:tab w:val="center" w:pos="4153"/>
        <w:tab w:val="right" w:pos="8306"/>
      </w:tabs>
      <w:snapToGrid w:val="0"/>
      <w:jc w:val="left"/>
    </w:pPr>
    <w:rPr>
      <w:sz w:val="18"/>
      <w:szCs w:val="18"/>
      <w:lang w:val="zh-CN"/>
    </w:rPr>
  </w:style>
  <w:style w:type="paragraph" w:styleId="21">
    <w:name w:val="header"/>
    <w:basedOn w:val="1"/>
    <w:link w:val="51"/>
    <w:qFormat/>
    <w:uiPriority w:val="99"/>
    <w:pPr>
      <w:pBdr>
        <w:bottom w:val="single" w:color="auto" w:sz="6" w:space="1"/>
      </w:pBdr>
      <w:tabs>
        <w:tab w:val="center" w:pos="4153"/>
        <w:tab w:val="right" w:pos="8306"/>
      </w:tabs>
      <w:snapToGrid w:val="0"/>
      <w:jc w:val="center"/>
    </w:pPr>
    <w:rPr>
      <w:sz w:val="18"/>
      <w:szCs w:val="18"/>
      <w:lang w:val="zh-CN"/>
    </w:rPr>
  </w:style>
  <w:style w:type="paragraph" w:styleId="22">
    <w:name w:val="toc 1"/>
    <w:basedOn w:val="1"/>
    <w:next w:val="1"/>
    <w:qFormat/>
    <w:uiPriority w:val="0"/>
    <w:pPr>
      <w:spacing w:before="120" w:after="120"/>
      <w:jc w:val="left"/>
    </w:pPr>
    <w:rPr>
      <w:rFonts w:ascii="Calibri" w:hAnsi="Calibri"/>
      <w:b/>
      <w:bCs/>
      <w:caps/>
      <w:sz w:val="20"/>
      <w:szCs w:val="20"/>
    </w:rPr>
  </w:style>
  <w:style w:type="paragraph" w:styleId="23">
    <w:name w:val="toc 4"/>
    <w:basedOn w:val="1"/>
    <w:next w:val="1"/>
    <w:qFormat/>
    <w:uiPriority w:val="0"/>
    <w:pPr>
      <w:ind w:left="630"/>
      <w:jc w:val="left"/>
    </w:pPr>
    <w:rPr>
      <w:rFonts w:ascii="Calibri" w:hAnsi="Calibri"/>
      <w:sz w:val="18"/>
      <w:szCs w:val="18"/>
    </w:rPr>
  </w:style>
  <w:style w:type="paragraph" w:styleId="24">
    <w:name w:val="Subtitle"/>
    <w:basedOn w:val="1"/>
    <w:next w:val="1"/>
    <w:link w:val="52"/>
    <w:qFormat/>
    <w:uiPriority w:val="0"/>
    <w:pPr>
      <w:spacing w:before="240" w:after="60" w:line="312" w:lineRule="auto"/>
      <w:jc w:val="center"/>
      <w:outlineLvl w:val="1"/>
    </w:pPr>
    <w:rPr>
      <w:rFonts w:ascii="Cambria" w:hAnsi="Cambria"/>
      <w:b/>
      <w:bCs/>
      <w:kern w:val="28"/>
      <w:sz w:val="32"/>
      <w:szCs w:val="32"/>
      <w:lang w:val="zh-CN"/>
    </w:rPr>
  </w:style>
  <w:style w:type="paragraph" w:styleId="25">
    <w:name w:val="toc 6"/>
    <w:basedOn w:val="1"/>
    <w:next w:val="1"/>
    <w:qFormat/>
    <w:uiPriority w:val="0"/>
    <w:pPr>
      <w:ind w:left="1050"/>
      <w:jc w:val="left"/>
    </w:pPr>
    <w:rPr>
      <w:rFonts w:ascii="Calibri" w:hAnsi="Calibri"/>
      <w:sz w:val="18"/>
      <w:szCs w:val="18"/>
    </w:rPr>
  </w:style>
  <w:style w:type="paragraph" w:styleId="26">
    <w:name w:val="toc 2"/>
    <w:basedOn w:val="1"/>
    <w:next w:val="1"/>
    <w:qFormat/>
    <w:uiPriority w:val="0"/>
    <w:pPr>
      <w:ind w:left="210"/>
      <w:jc w:val="left"/>
    </w:pPr>
    <w:rPr>
      <w:rFonts w:ascii="Calibri" w:hAnsi="Calibri"/>
      <w:smallCaps/>
      <w:sz w:val="20"/>
      <w:szCs w:val="20"/>
    </w:rPr>
  </w:style>
  <w:style w:type="paragraph" w:styleId="27">
    <w:name w:val="toc 9"/>
    <w:basedOn w:val="1"/>
    <w:next w:val="1"/>
    <w:qFormat/>
    <w:uiPriority w:val="0"/>
    <w:pPr>
      <w:ind w:left="1680"/>
      <w:jc w:val="left"/>
    </w:pPr>
    <w:rPr>
      <w:rFonts w:ascii="Calibri" w:hAnsi="Calibri"/>
      <w:sz w:val="18"/>
      <w:szCs w:val="18"/>
    </w:rPr>
  </w:style>
  <w:style w:type="paragraph" w:styleId="28">
    <w:name w:val="Body Text 2"/>
    <w:basedOn w:val="1"/>
    <w:next w:val="2"/>
    <w:qFormat/>
    <w:uiPriority w:val="0"/>
    <w:pPr>
      <w:widowControl/>
      <w:spacing w:after="120" w:line="480" w:lineRule="auto"/>
    </w:pPr>
  </w:style>
  <w:style w:type="paragraph" w:styleId="29">
    <w:name w:val="Title"/>
    <w:basedOn w:val="1"/>
    <w:next w:val="1"/>
    <w:link w:val="53"/>
    <w:qFormat/>
    <w:uiPriority w:val="0"/>
    <w:pPr>
      <w:spacing w:before="240" w:after="60"/>
      <w:jc w:val="center"/>
      <w:outlineLvl w:val="0"/>
    </w:pPr>
    <w:rPr>
      <w:rFonts w:ascii="Cambria" w:hAnsi="Cambria"/>
      <w:b/>
      <w:bCs/>
      <w:sz w:val="32"/>
      <w:szCs w:val="32"/>
      <w:lang w:val="zh-CN"/>
    </w:rPr>
  </w:style>
  <w:style w:type="paragraph" w:styleId="30">
    <w:name w:val="annotation subject"/>
    <w:basedOn w:val="11"/>
    <w:next w:val="11"/>
    <w:link w:val="44"/>
    <w:qFormat/>
    <w:uiPriority w:val="0"/>
    <w:rPr>
      <w:b/>
      <w:bCs/>
    </w:rPr>
  </w:style>
  <w:style w:type="paragraph" w:styleId="31">
    <w:name w:val="Body Text First Indent 2"/>
    <w:basedOn w:val="12"/>
    <w:next w:val="32"/>
    <w:qFormat/>
    <w:uiPriority w:val="0"/>
    <w:pPr>
      <w:ind w:firstLine="420" w:firstLineChars="200"/>
    </w:pPr>
    <w:rPr>
      <w:szCs w:val="20"/>
    </w:rPr>
  </w:style>
  <w:style w:type="paragraph" w:customStyle="1" w:styleId="32">
    <w:name w:val="正文格式"/>
    <w:basedOn w:val="1"/>
    <w:qFormat/>
    <w:uiPriority w:val="0"/>
    <w:rPr>
      <w:sz w:val="28"/>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FollowedHyperlink"/>
    <w:qFormat/>
    <w:uiPriority w:val="0"/>
    <w:rPr>
      <w:color w:val="954F72"/>
      <w:u w:val="single"/>
    </w:rPr>
  </w:style>
  <w:style w:type="character" w:styleId="37">
    <w:name w:val="Hyperlink"/>
    <w:qFormat/>
    <w:uiPriority w:val="0"/>
    <w:rPr>
      <w:color w:val="0000FF"/>
      <w:u w:val="single"/>
    </w:rPr>
  </w:style>
  <w:style w:type="character" w:styleId="38">
    <w:name w:val="annotation reference"/>
    <w:qFormat/>
    <w:uiPriority w:val="99"/>
    <w:rPr>
      <w:sz w:val="21"/>
      <w:szCs w:val="21"/>
    </w:rPr>
  </w:style>
  <w:style w:type="character" w:customStyle="1" w:styleId="39">
    <w:name w:val="标题 1 Char"/>
    <w:link w:val="3"/>
    <w:qFormat/>
    <w:uiPriority w:val="0"/>
    <w:rPr>
      <w:b/>
      <w:bCs/>
      <w:kern w:val="44"/>
      <w:sz w:val="44"/>
      <w:szCs w:val="44"/>
    </w:rPr>
  </w:style>
  <w:style w:type="character" w:customStyle="1" w:styleId="40">
    <w:name w:val="标题 2 Char"/>
    <w:link w:val="4"/>
    <w:qFormat/>
    <w:uiPriority w:val="0"/>
    <w:rPr>
      <w:rFonts w:ascii="宋体" w:hAnsi="宋体"/>
      <w:b/>
      <w:bCs/>
      <w:kern w:val="2"/>
      <w:sz w:val="28"/>
      <w:szCs w:val="32"/>
    </w:rPr>
  </w:style>
  <w:style w:type="character" w:customStyle="1" w:styleId="41">
    <w:name w:val="标题 3 Char"/>
    <w:link w:val="5"/>
    <w:qFormat/>
    <w:uiPriority w:val="0"/>
    <w:rPr>
      <w:rFonts w:ascii="宋体" w:hAnsi="宋体"/>
      <w:b/>
      <w:bCs/>
      <w:kern w:val="2"/>
      <w:sz w:val="24"/>
      <w:szCs w:val="32"/>
    </w:rPr>
  </w:style>
  <w:style w:type="character" w:customStyle="1" w:styleId="42">
    <w:name w:val="标题 5 Char"/>
    <w:link w:val="7"/>
    <w:qFormat/>
    <w:uiPriority w:val="0"/>
    <w:rPr>
      <w:b/>
      <w:bCs/>
      <w:kern w:val="2"/>
      <w:sz w:val="28"/>
      <w:szCs w:val="28"/>
    </w:rPr>
  </w:style>
  <w:style w:type="character" w:customStyle="1" w:styleId="43">
    <w:name w:val="批注文字 Char"/>
    <w:link w:val="11"/>
    <w:qFormat/>
    <w:uiPriority w:val="99"/>
    <w:rPr>
      <w:kern w:val="2"/>
      <w:sz w:val="21"/>
      <w:szCs w:val="24"/>
    </w:rPr>
  </w:style>
  <w:style w:type="character" w:customStyle="1" w:styleId="44">
    <w:name w:val="批注主题 Char"/>
    <w:link w:val="30"/>
    <w:qFormat/>
    <w:uiPriority w:val="0"/>
    <w:rPr>
      <w:b/>
      <w:bCs/>
      <w:kern w:val="2"/>
      <w:sz w:val="21"/>
      <w:szCs w:val="24"/>
    </w:rPr>
  </w:style>
  <w:style w:type="character" w:customStyle="1" w:styleId="45">
    <w:name w:val="文档结构图 Char"/>
    <w:link w:val="10"/>
    <w:qFormat/>
    <w:uiPriority w:val="0"/>
    <w:rPr>
      <w:rFonts w:ascii="宋体"/>
      <w:kern w:val="2"/>
      <w:sz w:val="18"/>
      <w:szCs w:val="18"/>
    </w:rPr>
  </w:style>
  <w:style w:type="character" w:customStyle="1" w:styleId="46">
    <w:name w:val="正文文本 Char"/>
    <w:link w:val="2"/>
    <w:qFormat/>
    <w:uiPriority w:val="0"/>
    <w:rPr>
      <w:kern w:val="2"/>
      <w:sz w:val="21"/>
    </w:rPr>
  </w:style>
  <w:style w:type="character" w:customStyle="1" w:styleId="47">
    <w:name w:val="纯文本 Char"/>
    <w:link w:val="15"/>
    <w:qFormat/>
    <w:uiPriority w:val="0"/>
    <w:rPr>
      <w:rFonts w:ascii="宋体" w:hAnsi="Courier New" w:cs="Courier New"/>
      <w:kern w:val="2"/>
      <w:sz w:val="21"/>
      <w:szCs w:val="21"/>
    </w:rPr>
  </w:style>
  <w:style w:type="character" w:customStyle="1" w:styleId="48">
    <w:name w:val="日期 Char"/>
    <w:link w:val="17"/>
    <w:qFormat/>
    <w:uiPriority w:val="0"/>
    <w:rPr>
      <w:kern w:val="2"/>
      <w:sz w:val="21"/>
      <w:szCs w:val="24"/>
    </w:rPr>
  </w:style>
  <w:style w:type="character" w:customStyle="1" w:styleId="49">
    <w:name w:val="批注框文本 Char"/>
    <w:link w:val="19"/>
    <w:qFormat/>
    <w:uiPriority w:val="99"/>
    <w:rPr>
      <w:kern w:val="2"/>
      <w:sz w:val="18"/>
      <w:szCs w:val="18"/>
    </w:rPr>
  </w:style>
  <w:style w:type="character" w:customStyle="1" w:styleId="50">
    <w:name w:val="页脚 Char"/>
    <w:link w:val="20"/>
    <w:qFormat/>
    <w:uiPriority w:val="99"/>
    <w:rPr>
      <w:kern w:val="2"/>
      <w:sz w:val="18"/>
      <w:szCs w:val="18"/>
    </w:rPr>
  </w:style>
  <w:style w:type="character" w:customStyle="1" w:styleId="51">
    <w:name w:val="页眉 Char"/>
    <w:link w:val="21"/>
    <w:qFormat/>
    <w:uiPriority w:val="99"/>
    <w:rPr>
      <w:kern w:val="2"/>
      <w:sz w:val="18"/>
      <w:szCs w:val="18"/>
    </w:rPr>
  </w:style>
  <w:style w:type="character" w:customStyle="1" w:styleId="52">
    <w:name w:val="副标题 Char"/>
    <w:link w:val="24"/>
    <w:qFormat/>
    <w:uiPriority w:val="0"/>
    <w:rPr>
      <w:rFonts w:ascii="Cambria" w:hAnsi="Cambria" w:cs="Times New Roman"/>
      <w:b/>
      <w:bCs/>
      <w:kern w:val="28"/>
      <w:sz w:val="32"/>
      <w:szCs w:val="32"/>
    </w:rPr>
  </w:style>
  <w:style w:type="character" w:customStyle="1" w:styleId="53">
    <w:name w:val="标题 Char"/>
    <w:link w:val="29"/>
    <w:qFormat/>
    <w:uiPriority w:val="0"/>
    <w:rPr>
      <w:rFonts w:ascii="Cambria" w:hAnsi="Cambria" w:cs="Times New Roman"/>
      <w:b/>
      <w:bCs/>
      <w:kern w:val="2"/>
      <w:sz w:val="32"/>
      <w:szCs w:val="32"/>
    </w:rPr>
  </w:style>
  <w:style w:type="paragraph" w:customStyle="1" w:styleId="5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5">
    <w:name w:val="修订1"/>
    <w:qFormat/>
    <w:uiPriority w:val="0"/>
    <w:rPr>
      <w:rFonts w:ascii="Times New Roman" w:hAnsi="Times New Roman" w:eastAsia="宋体" w:cs="Times New Roman"/>
      <w:kern w:val="2"/>
      <w:sz w:val="21"/>
      <w:szCs w:val="24"/>
      <w:lang w:val="en-US" w:eastAsia="zh-CN" w:bidi="ar-SA"/>
    </w:rPr>
  </w:style>
  <w:style w:type="character" w:customStyle="1" w:styleId="56">
    <w:name w:val="正文文本 Char1"/>
    <w:semiHidden/>
    <w:qFormat/>
    <w:uiPriority w:val="99"/>
    <w:rPr>
      <w:kern w:val="2"/>
      <w:sz w:val="21"/>
      <w:szCs w:val="24"/>
    </w:rPr>
  </w:style>
  <w:style w:type="paragraph" w:customStyle="1" w:styleId="57">
    <w:name w:val="p0"/>
    <w:basedOn w:val="1"/>
    <w:qFormat/>
    <w:uiPriority w:val="0"/>
    <w:pPr>
      <w:widowControl/>
    </w:pPr>
    <w:rPr>
      <w:kern w:val="0"/>
      <w:szCs w:val="21"/>
    </w:rPr>
  </w:style>
  <w:style w:type="paragraph" w:customStyle="1" w:styleId="58">
    <w:name w:val="Char"/>
    <w:basedOn w:val="1"/>
    <w:qFormat/>
    <w:uiPriority w:val="0"/>
  </w:style>
  <w:style w:type="paragraph" w:customStyle="1" w:styleId="59">
    <w:name w:val="Char Char"/>
    <w:basedOn w:val="1"/>
    <w:qFormat/>
    <w:uiPriority w:val="0"/>
  </w:style>
  <w:style w:type="paragraph" w:customStyle="1" w:styleId="60">
    <w:name w:val="Char Char1"/>
    <w:basedOn w:val="1"/>
    <w:qFormat/>
    <w:uiPriority w:val="0"/>
    <w:rPr>
      <w:sz w:val="32"/>
    </w:rPr>
  </w:style>
  <w:style w:type="character" w:customStyle="1" w:styleId="61">
    <w:name w:val="正文文本缩进 2 Char"/>
    <w:basedOn w:val="35"/>
    <w:link w:val="18"/>
    <w:qFormat/>
    <w:uiPriority w:val="99"/>
    <w:rPr>
      <w:kern w:val="2"/>
      <w:sz w:val="21"/>
      <w:szCs w:val="24"/>
    </w:rPr>
  </w:style>
  <w:style w:type="paragraph" w:customStyle="1" w:styleId="62">
    <w:name w:val="列表段落1"/>
    <w:basedOn w:val="1"/>
    <w:unhideWhenUsed/>
    <w:qFormat/>
    <w:uiPriority w:val="99"/>
    <w:pPr>
      <w:ind w:firstLine="420" w:firstLineChars="200"/>
    </w:pPr>
  </w:style>
  <w:style w:type="paragraph" w:customStyle="1" w:styleId="6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4">
    <w:name w:val="style9"/>
    <w:basedOn w:val="1"/>
    <w:qFormat/>
    <w:uiPriority w:val="0"/>
    <w:pPr>
      <w:widowControl/>
      <w:spacing w:before="100" w:beforeAutospacing="1" w:after="100" w:afterAutospacing="1" w:line="360" w:lineRule="atLeast"/>
      <w:jc w:val="left"/>
    </w:pPr>
    <w:rPr>
      <w:rFonts w:hint="eastAsia" w:ascii="宋体" w:hAnsi="宋体"/>
      <w:color w:val="000000"/>
      <w:spacing w:val="15"/>
      <w:kern w:val="0"/>
      <w:sz w:val="24"/>
    </w:rPr>
  </w:style>
  <w:style w:type="paragraph" w:customStyle="1" w:styleId="65">
    <w:name w:val="首行缩进2字符"/>
    <w:basedOn w:val="1"/>
    <w:qFormat/>
    <w:uiPriority w:val="99"/>
    <w:pPr>
      <w:ind w:firstLine="200" w:firstLineChars="200"/>
    </w:pPr>
  </w:style>
  <w:style w:type="paragraph" w:customStyle="1" w:styleId="6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_Style 3"/>
    <w:basedOn w:val="3"/>
    <w:next w:val="1"/>
    <w:qFormat/>
    <w:uiPriority w:val="0"/>
    <w:pPr>
      <w:outlineLvl w:val="9"/>
    </w:pPr>
  </w:style>
  <w:style w:type="paragraph" w:customStyle="1" w:styleId="70">
    <w:name w:val="_Style 2"/>
    <w:basedOn w:val="3"/>
    <w:next w:val="1"/>
    <w:qFormat/>
    <w:uiPriority w:val="0"/>
    <w:pPr>
      <w:outlineLvl w:val="9"/>
    </w:pPr>
  </w:style>
  <w:style w:type="paragraph" w:styleId="71">
    <w:name w:val="No Spacing"/>
    <w:qFormat/>
    <w:uiPriority w:val="1"/>
    <w:pPr>
      <w:widowControl w:val="0"/>
      <w:snapToGrid w:val="0"/>
      <w:spacing w:line="500" w:lineRule="exact"/>
      <w:ind w:firstLine="200" w:firstLineChars="200"/>
      <w:jc w:val="both"/>
    </w:pPr>
    <w:rPr>
      <w:rFonts w:ascii="仿宋_GB2312" w:hAnsi="Calibri"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Info spid="_x0000_s2049"/>
    <customShpInfo spid="_x0000_s2052"/>
    <customShpInfo spid="_x0000_s2054"/>
    <customShpInfo spid="_x0000_s2055"/>
    <customShpInfo spid="_x0000_s2056"/>
    <customShpInfo spid="_x0000_s2063" textRotate="1"/>
    <customShpInfo spid="_x0000_s2062"/>
    <customShpInfo spid="_x0000_s2061"/>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104</Pages>
  <Words>34606</Words>
  <Characters>36169</Characters>
  <Lines>484</Lines>
  <Paragraphs>136</Paragraphs>
  <TotalTime>0</TotalTime>
  <ScaleCrop>false</ScaleCrop>
  <LinksUpToDate>false</LinksUpToDate>
  <CharactersWithSpaces>37249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2023-05-24T09:53:00Z</dcterms:created>
  <dc:creator>Administrator</dc:creator>
  <cp:lastModifiedBy>你的明天</cp:lastModifiedBy>
  <cp:lastPrinted>2021-03-22T08:31:00Z</cp:lastPrinted>
  <dcterms:modified xsi:type="dcterms:W3CDTF">2025-11-19T10:00:03Z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070DFAAE9D1D4C47B5C473C736C3BBA7</vt:lpwstr>
  </property>
  <property fmtid="{D5CDD505-2E9C-101B-9397-08002B2CF9AE}" pid="3" name="KSOProductBuildVer">
    <vt:lpwstr>2052-12.1.0.23125</vt:lpwstr>
  </property>
  <property fmtid="{D5CDD505-2E9C-101B-9397-08002B2CF9AE}" pid="4" name="KSOTemplateDocerSaveRecord">
    <vt:lpwstr>eyJoZGlkIjoiYWQ0MDU3MTUzZDA1NWIyOTNhYTVhZTI3ODk4MWUxMzgiLCJ1c2VySWQiOiI1MTYyMjAzNzAifQ==</vt:lpwstr>
  </property>
</Properties>
</file>